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0C29122" w:rsidR="00C40420" w:rsidRDefault="00DD466D" w:rsidP="004A448E">
      <w:pPr>
        <w:pStyle w:val="Heading1"/>
      </w:pPr>
      <w:r>
        <w:t>1.ИМЕ НА ЛЕКАРСТВЕНИЯ ПРОДУКТ</w:t>
      </w:r>
    </w:p>
    <w:p w14:paraId="634699A5" w14:textId="2681360B" w:rsidR="005D744F" w:rsidRDefault="005D744F" w:rsidP="005D744F"/>
    <w:p w14:paraId="2F021915" w14:textId="77777777" w:rsidR="005D744F" w:rsidRPr="005D744F" w:rsidRDefault="005D744F" w:rsidP="005D744F">
      <w:pPr>
        <w:rPr>
          <w:sz w:val="24"/>
          <w:szCs w:val="24"/>
          <w:lang w:val="ru-RU"/>
        </w:rPr>
      </w:pPr>
      <w:r w:rsidRPr="005D744F">
        <w:rPr>
          <w:lang w:eastAsia="bg-BG"/>
        </w:rPr>
        <w:t xml:space="preserve">Синепар 200 </w:t>
      </w:r>
      <w:r w:rsidRPr="005D744F">
        <w:rPr>
          <w:lang w:val="en-US"/>
        </w:rPr>
        <w:t>mg</w:t>
      </w:r>
      <w:r w:rsidRPr="005D744F">
        <w:rPr>
          <w:lang w:val="ru-RU"/>
        </w:rPr>
        <w:t xml:space="preserve">/50 </w:t>
      </w:r>
      <w:r w:rsidRPr="005D744F">
        <w:rPr>
          <w:lang w:val="en-US"/>
        </w:rPr>
        <w:t>mg</w:t>
      </w:r>
      <w:r w:rsidRPr="005D744F">
        <w:rPr>
          <w:lang w:val="ru-RU"/>
        </w:rPr>
        <w:t xml:space="preserve"> </w:t>
      </w:r>
      <w:r w:rsidRPr="005D744F">
        <w:rPr>
          <w:lang w:eastAsia="bg-BG"/>
        </w:rPr>
        <w:t>таблетки с удължено освобождаване</w:t>
      </w:r>
    </w:p>
    <w:p w14:paraId="7E8903FB" w14:textId="77777777" w:rsidR="005D744F" w:rsidRPr="005D744F" w:rsidRDefault="005D744F" w:rsidP="005D744F">
      <w:pPr>
        <w:rPr>
          <w:sz w:val="24"/>
          <w:szCs w:val="24"/>
          <w:lang w:val="en-US"/>
        </w:rPr>
      </w:pPr>
      <w:proofErr w:type="spellStart"/>
      <w:r w:rsidRPr="005D744F">
        <w:rPr>
          <w:lang w:val="en-US"/>
        </w:rPr>
        <w:t>Sinepar</w:t>
      </w:r>
      <w:proofErr w:type="spellEnd"/>
      <w:r w:rsidRPr="005D744F">
        <w:rPr>
          <w:lang w:val="en-US"/>
        </w:rPr>
        <w:t xml:space="preserve"> </w:t>
      </w:r>
      <w:r w:rsidRPr="005D744F">
        <w:rPr>
          <w:lang w:eastAsia="bg-BG"/>
        </w:rPr>
        <w:t xml:space="preserve">200 </w:t>
      </w:r>
      <w:r w:rsidRPr="005D744F">
        <w:rPr>
          <w:lang w:val="en-US"/>
        </w:rPr>
        <w:t>mg/50 mg prolonged-release tablets</w:t>
      </w:r>
    </w:p>
    <w:p w14:paraId="46031B70" w14:textId="77777777" w:rsidR="005D744F" w:rsidRPr="005D744F" w:rsidRDefault="005D744F" w:rsidP="005D744F"/>
    <w:p w14:paraId="6920A680" w14:textId="696AADB7" w:rsidR="00C40420" w:rsidRDefault="00DD466D" w:rsidP="004A448E">
      <w:pPr>
        <w:pStyle w:val="Heading1"/>
      </w:pPr>
      <w:r>
        <w:t>2. КАЧЕСТВЕН И КОЛИЧЕСТВЕН СЪСТАВ</w:t>
      </w:r>
    </w:p>
    <w:p w14:paraId="3C97374C" w14:textId="10313514" w:rsidR="005D744F" w:rsidRDefault="005D744F" w:rsidP="005D744F"/>
    <w:p w14:paraId="74C13E30" w14:textId="77777777" w:rsidR="005D744F" w:rsidRPr="005D744F" w:rsidRDefault="005D744F" w:rsidP="005D744F">
      <w:pPr>
        <w:rPr>
          <w:sz w:val="24"/>
          <w:szCs w:val="24"/>
        </w:rPr>
      </w:pPr>
      <w:r w:rsidRPr="005D744F">
        <w:rPr>
          <w:lang w:eastAsia="bg-BG"/>
        </w:rPr>
        <w:t xml:space="preserve">Синепар е лекарствено средство, което съдържа две лекарствени вещества </w:t>
      </w:r>
      <w:r w:rsidRPr="005D744F">
        <w:rPr>
          <w:i/>
          <w:iCs/>
          <w:lang w:eastAsia="bg-BG"/>
        </w:rPr>
        <w:t xml:space="preserve">- </w:t>
      </w:r>
      <w:r w:rsidRPr="005D744F">
        <w:rPr>
          <w:i/>
          <w:iCs/>
          <w:lang w:val="en-US"/>
        </w:rPr>
        <w:t>carbidopa</w:t>
      </w:r>
      <w:r w:rsidRPr="005D744F">
        <w:rPr>
          <w:i/>
          <w:iCs/>
        </w:rPr>
        <w:t xml:space="preserve"> </w:t>
      </w:r>
      <w:r w:rsidRPr="005D744F">
        <w:rPr>
          <w:lang w:eastAsia="bg-BG"/>
        </w:rPr>
        <w:t xml:space="preserve">(карбидопа) и </w:t>
      </w:r>
      <w:r w:rsidRPr="005D744F">
        <w:rPr>
          <w:i/>
          <w:iCs/>
          <w:lang w:val="en-US"/>
        </w:rPr>
        <w:t>levodopa</w:t>
      </w:r>
      <w:r w:rsidRPr="005D744F">
        <w:t xml:space="preserve"> </w:t>
      </w:r>
      <w:r w:rsidRPr="005D744F">
        <w:rPr>
          <w:lang w:eastAsia="bg-BG"/>
        </w:rPr>
        <w:t xml:space="preserve">(леводопа) в съотношение 50 </w:t>
      </w:r>
      <w:r w:rsidRPr="005D744F">
        <w:rPr>
          <w:lang w:val="en-US"/>
        </w:rPr>
        <w:t>mg</w:t>
      </w:r>
      <w:r w:rsidRPr="005D744F">
        <w:t xml:space="preserve">/200 </w:t>
      </w:r>
      <w:r w:rsidRPr="005D744F">
        <w:rPr>
          <w:lang w:val="en-US"/>
        </w:rPr>
        <w:t>mg</w:t>
      </w:r>
      <w:r w:rsidRPr="005D744F">
        <w:t xml:space="preserve"> </w:t>
      </w:r>
      <w:r w:rsidRPr="005D744F">
        <w:rPr>
          <w:lang w:eastAsia="bg-BG"/>
        </w:rPr>
        <w:t xml:space="preserve">(53.50 </w:t>
      </w:r>
      <w:r w:rsidRPr="005D744F">
        <w:rPr>
          <w:lang w:val="en-US"/>
        </w:rPr>
        <w:t>mg</w:t>
      </w:r>
      <w:r w:rsidRPr="005D744F">
        <w:t xml:space="preserve"> </w:t>
      </w:r>
      <w:r w:rsidRPr="005D744F">
        <w:rPr>
          <w:i/>
          <w:iCs/>
          <w:lang w:val="en-US"/>
        </w:rPr>
        <w:t>carbidopa</w:t>
      </w:r>
      <w:r w:rsidRPr="005D744F">
        <w:rPr>
          <w:i/>
          <w:iCs/>
        </w:rPr>
        <w:t xml:space="preserve"> </w:t>
      </w:r>
      <w:r w:rsidRPr="005D744F">
        <w:rPr>
          <w:i/>
          <w:iCs/>
          <w:lang w:val="en-US"/>
        </w:rPr>
        <w:t>monohydrate</w:t>
      </w:r>
      <w:r w:rsidRPr="005D744F">
        <w:rPr>
          <w:i/>
          <w:iCs/>
        </w:rPr>
        <w:t>,</w:t>
      </w:r>
      <w:r w:rsidRPr="005D744F">
        <w:t xml:space="preserve"> </w:t>
      </w:r>
      <w:r w:rsidRPr="005D744F">
        <w:rPr>
          <w:lang w:eastAsia="bg-BG"/>
        </w:rPr>
        <w:t xml:space="preserve">еквивалентен на </w:t>
      </w:r>
      <w:r w:rsidRPr="005D744F">
        <w:t xml:space="preserve">50 </w:t>
      </w:r>
      <w:r w:rsidRPr="005D744F">
        <w:rPr>
          <w:lang w:val="en-US"/>
        </w:rPr>
        <w:t>mg</w:t>
      </w:r>
      <w:r w:rsidRPr="005D744F">
        <w:t xml:space="preserve"> </w:t>
      </w:r>
      <w:r w:rsidRPr="005D744F">
        <w:rPr>
          <w:i/>
          <w:iCs/>
          <w:lang w:val="en-US"/>
        </w:rPr>
        <w:t>carbidopa</w:t>
      </w:r>
      <w:r w:rsidRPr="005D744F">
        <w:rPr>
          <w:i/>
          <w:iCs/>
        </w:rPr>
        <w:t>).</w:t>
      </w:r>
    </w:p>
    <w:p w14:paraId="4ACE0B45" w14:textId="77777777" w:rsidR="005D744F" w:rsidRPr="005D744F" w:rsidRDefault="005D744F" w:rsidP="005D744F"/>
    <w:p w14:paraId="614984C4" w14:textId="347BBEFC" w:rsidR="008A6AF2" w:rsidRDefault="00DD466D" w:rsidP="002C50EE">
      <w:pPr>
        <w:pStyle w:val="Heading1"/>
      </w:pPr>
      <w:r>
        <w:t>3. ЛЕКАРСТВЕНА ФОРМА</w:t>
      </w:r>
    </w:p>
    <w:p w14:paraId="0A5A93A8" w14:textId="4FDF39CB" w:rsidR="005D744F" w:rsidRDefault="005D744F" w:rsidP="005D744F"/>
    <w:p w14:paraId="1E60CB6B" w14:textId="77777777" w:rsidR="005D744F" w:rsidRPr="005D744F" w:rsidRDefault="005D744F" w:rsidP="005D744F">
      <w:pPr>
        <w:rPr>
          <w:sz w:val="24"/>
          <w:szCs w:val="24"/>
        </w:rPr>
      </w:pPr>
      <w:r w:rsidRPr="005D744F">
        <w:rPr>
          <w:lang w:eastAsia="bg-BG"/>
        </w:rPr>
        <w:t>Таблетки с удължено освобождаване.</w:t>
      </w:r>
    </w:p>
    <w:p w14:paraId="0268993F" w14:textId="77777777" w:rsidR="005D744F" w:rsidRPr="005D744F" w:rsidRDefault="005D744F" w:rsidP="005D744F">
      <w:pPr>
        <w:rPr>
          <w:sz w:val="24"/>
          <w:szCs w:val="24"/>
        </w:rPr>
      </w:pPr>
      <w:r w:rsidRPr="005D744F">
        <w:rPr>
          <w:lang w:eastAsia="bg-BG"/>
        </w:rPr>
        <w:t>Синепар таблетки с удължено освобождаване са оранжево-кафяви, кръгли таблетки.</w:t>
      </w:r>
    </w:p>
    <w:p w14:paraId="41B90F91" w14:textId="77777777" w:rsidR="005D744F" w:rsidRPr="005D744F" w:rsidRDefault="005D744F" w:rsidP="005D744F"/>
    <w:p w14:paraId="490FC2C4" w14:textId="32682B15" w:rsidR="002C50EE" w:rsidRDefault="002C50EE" w:rsidP="002C50EE">
      <w:pPr>
        <w:pStyle w:val="Heading1"/>
      </w:pPr>
      <w:r>
        <w:t>4. КЛИНИЧНИ ДАННИ</w:t>
      </w:r>
    </w:p>
    <w:p w14:paraId="0C8E6903" w14:textId="01CBC368" w:rsidR="008134C8" w:rsidRDefault="002C50EE" w:rsidP="004A448E">
      <w:pPr>
        <w:pStyle w:val="Heading2"/>
      </w:pPr>
      <w:r>
        <w:t>4.1. Терапевтични показания</w:t>
      </w:r>
    </w:p>
    <w:p w14:paraId="01142522" w14:textId="7CE1443D" w:rsidR="005D744F" w:rsidRDefault="005D744F" w:rsidP="005D744F"/>
    <w:p w14:paraId="7178E321" w14:textId="77777777" w:rsidR="005D744F" w:rsidRPr="005D744F" w:rsidRDefault="005D744F" w:rsidP="005D744F">
      <w:pPr>
        <w:pStyle w:val="ListParagraph"/>
        <w:numPr>
          <w:ilvl w:val="0"/>
          <w:numId w:val="35"/>
        </w:numPr>
        <w:rPr>
          <w:lang w:eastAsia="bg-BG"/>
        </w:rPr>
      </w:pPr>
      <w:r w:rsidRPr="005D744F">
        <w:rPr>
          <w:lang w:eastAsia="bg-BG"/>
        </w:rPr>
        <w:t>Идиопатична паркинсонова болест;</w:t>
      </w:r>
    </w:p>
    <w:p w14:paraId="45AE6C6A" w14:textId="77777777" w:rsidR="005D744F" w:rsidRPr="005D744F" w:rsidRDefault="005D744F" w:rsidP="005D744F">
      <w:pPr>
        <w:pStyle w:val="ListParagraph"/>
        <w:numPr>
          <w:ilvl w:val="0"/>
          <w:numId w:val="35"/>
        </w:numPr>
        <w:rPr>
          <w:lang w:eastAsia="bg-BG"/>
        </w:rPr>
      </w:pPr>
      <w:r w:rsidRPr="005D744F">
        <w:rPr>
          <w:lang w:eastAsia="bg-BG"/>
        </w:rPr>
        <w:t>Постенцефалитен паркинсонизъм;</w:t>
      </w:r>
    </w:p>
    <w:p w14:paraId="4F81E910" w14:textId="77777777" w:rsidR="005D744F" w:rsidRPr="005D744F" w:rsidRDefault="005D744F" w:rsidP="005D744F">
      <w:pPr>
        <w:pStyle w:val="ListParagraph"/>
        <w:numPr>
          <w:ilvl w:val="0"/>
          <w:numId w:val="35"/>
        </w:numPr>
        <w:rPr>
          <w:lang w:eastAsia="bg-BG"/>
        </w:rPr>
      </w:pPr>
      <w:r w:rsidRPr="005D744F">
        <w:rPr>
          <w:lang w:eastAsia="bg-BG"/>
        </w:rPr>
        <w:t>Симптоматичен паркинсонизъм (въглеокисна или манганова интоксикация);</w:t>
      </w:r>
    </w:p>
    <w:p w14:paraId="5E84DE0E" w14:textId="02484316" w:rsidR="005D744F" w:rsidRPr="005D744F" w:rsidRDefault="005D744F" w:rsidP="005D744F">
      <w:pPr>
        <w:pStyle w:val="ListParagraph"/>
        <w:numPr>
          <w:ilvl w:val="0"/>
          <w:numId w:val="35"/>
        </w:numPr>
        <w:rPr>
          <w:lang w:eastAsia="bg-BG"/>
        </w:rPr>
      </w:pPr>
      <w:r w:rsidRPr="005D744F">
        <w:rPr>
          <w:lang w:eastAsia="bg-BG"/>
        </w:rPr>
        <w:t>При</w:t>
      </w:r>
      <w:r>
        <w:rPr>
          <w:lang w:eastAsia="bg-BG"/>
        </w:rPr>
        <w:t xml:space="preserve"> пациенти с паркинсонова болест </w:t>
      </w:r>
      <w:r w:rsidRPr="005D744F">
        <w:rPr>
          <w:lang w:eastAsia="bg-BG"/>
        </w:rPr>
        <w:t>или</w:t>
      </w:r>
      <w:r w:rsidRPr="005D744F">
        <w:rPr>
          <w:lang w:eastAsia="bg-BG"/>
        </w:rPr>
        <w:tab/>
        <w:t>паркинсониз</w:t>
      </w:r>
      <w:r>
        <w:rPr>
          <w:lang w:eastAsia="bg-BG"/>
        </w:rPr>
        <w:t xml:space="preserve">ъм, които </w:t>
      </w:r>
      <w:r w:rsidRPr="005D744F">
        <w:rPr>
          <w:lang w:eastAsia="bg-BG"/>
        </w:rPr>
        <w:t>приемат витаминни</w:t>
      </w:r>
      <w:r>
        <w:rPr>
          <w:lang w:eastAsia="bg-BG"/>
        </w:rPr>
        <w:t xml:space="preserve"> </w:t>
      </w:r>
      <w:r w:rsidRPr="005D744F">
        <w:rPr>
          <w:lang w:eastAsia="bg-BG"/>
        </w:rPr>
        <w:t>препарати, съдържащи пиридоксин;</w:t>
      </w:r>
    </w:p>
    <w:p w14:paraId="2A47B3FA" w14:textId="77777777" w:rsidR="005D744F" w:rsidRPr="005D744F" w:rsidRDefault="005D744F" w:rsidP="005D744F">
      <w:pPr>
        <w:pStyle w:val="ListParagraph"/>
        <w:numPr>
          <w:ilvl w:val="0"/>
          <w:numId w:val="35"/>
        </w:numPr>
        <w:rPr>
          <w:lang w:eastAsia="bg-BG"/>
        </w:rPr>
      </w:pPr>
      <w:r w:rsidRPr="005D744F">
        <w:rPr>
          <w:lang w:eastAsia="bg-BG"/>
        </w:rPr>
        <w:t>За редуциране на феномена на изключване при пациенти, лекувани преди това с лекарства, съдържащи леводопа/декарбоксилазен инхибитор, или само леводопа, които са имали двигателна нестабилност, характеризираща се с влошаване, свързано с феномена на изчерпване на дозата, дискинезии, свързани с пикова доза, акинезия или подобни прояви на краткотрайни двигателни нарушения.</w:t>
      </w:r>
    </w:p>
    <w:p w14:paraId="6903C7E4" w14:textId="77777777" w:rsidR="005D744F" w:rsidRPr="005D744F" w:rsidRDefault="005D744F" w:rsidP="005D744F"/>
    <w:p w14:paraId="30BE2C7B" w14:textId="294257A2" w:rsidR="008134C8" w:rsidRDefault="002C50EE" w:rsidP="004A448E">
      <w:pPr>
        <w:pStyle w:val="Heading2"/>
      </w:pPr>
      <w:r>
        <w:t>4.2. Дозировка и начин на приложение</w:t>
      </w:r>
    </w:p>
    <w:p w14:paraId="71289943" w14:textId="3D8C8967" w:rsidR="005D744F" w:rsidRDefault="005D744F" w:rsidP="005D744F"/>
    <w:p w14:paraId="40D2E746" w14:textId="77777777" w:rsidR="005D744F" w:rsidRPr="005D744F" w:rsidRDefault="005D744F" w:rsidP="005D744F">
      <w:pPr>
        <w:spacing w:line="240" w:lineRule="auto"/>
        <w:rPr>
          <w:rFonts w:eastAsia="Times New Roman" w:cs="Arial"/>
        </w:rPr>
      </w:pPr>
      <w:bookmarkStart w:id="1" w:name="bookmark0"/>
      <w:r w:rsidRPr="005D744F">
        <w:rPr>
          <w:rFonts w:eastAsia="Times New Roman" w:cs="Arial"/>
          <w:b/>
          <w:bCs/>
          <w:color w:val="000000"/>
          <w:u w:val="single"/>
          <w:lang w:eastAsia="bg-BG"/>
        </w:rPr>
        <w:t>Дозировка</w:t>
      </w:r>
      <w:bookmarkEnd w:id="1"/>
    </w:p>
    <w:p w14:paraId="6BA63B40" w14:textId="77777777" w:rsidR="005D744F" w:rsidRDefault="005D744F" w:rsidP="005D744F">
      <w:pPr>
        <w:spacing w:line="240" w:lineRule="auto"/>
        <w:rPr>
          <w:rFonts w:eastAsia="Times New Roman" w:cs="Arial"/>
          <w:color w:val="000000"/>
          <w:lang w:eastAsia="bg-BG"/>
        </w:rPr>
      </w:pPr>
    </w:p>
    <w:p w14:paraId="75FF4F87" w14:textId="490BFAED" w:rsidR="005D744F" w:rsidRPr="005D744F" w:rsidRDefault="005D744F" w:rsidP="005D744F">
      <w:pPr>
        <w:spacing w:line="240" w:lineRule="auto"/>
        <w:rPr>
          <w:rFonts w:eastAsia="Times New Roman" w:cs="Arial"/>
        </w:rPr>
      </w:pPr>
      <w:r w:rsidRPr="005D744F">
        <w:rPr>
          <w:rFonts w:eastAsia="Times New Roman" w:cs="Arial"/>
          <w:color w:val="000000"/>
          <w:lang w:eastAsia="bg-BG"/>
        </w:rPr>
        <w:t>Дневната дозировка трябва да се определя чрез внимателно покачване или намаляване на дозата. Пациентите трябва да бъдат мониторирани често през периода на адаптиране на дозата, особено с оглед на поява или влошаване на усещането за гадене или на патологичните неволеви движения (дискинезия, дистония или хорея).</w:t>
      </w:r>
    </w:p>
    <w:p w14:paraId="0C4CD5E1" w14:textId="77777777" w:rsidR="005D744F" w:rsidRDefault="005D744F" w:rsidP="005D744F">
      <w:pPr>
        <w:spacing w:line="240" w:lineRule="auto"/>
        <w:rPr>
          <w:rFonts w:eastAsia="Times New Roman" w:cs="Arial"/>
          <w:color w:val="000000"/>
          <w:lang w:eastAsia="bg-BG"/>
        </w:rPr>
      </w:pPr>
    </w:p>
    <w:p w14:paraId="5E9AEBD9" w14:textId="633BE854" w:rsidR="005D744F" w:rsidRPr="005D744F" w:rsidRDefault="005D744F" w:rsidP="005D744F">
      <w:pPr>
        <w:spacing w:line="240" w:lineRule="auto"/>
        <w:rPr>
          <w:rFonts w:eastAsia="Times New Roman" w:cs="Arial"/>
        </w:rPr>
      </w:pPr>
      <w:r w:rsidRPr="005D744F">
        <w:rPr>
          <w:rFonts w:eastAsia="Times New Roman" w:cs="Arial"/>
          <w:color w:val="000000"/>
          <w:lang w:eastAsia="bg-BG"/>
        </w:rPr>
        <w:lastRenderedPageBreak/>
        <w:t>Синепар може да се прилага само като цяла таблетка. Таблетките не трябва да се чупят или дъвчат, за да се съхранят свойствата им на удължено освобождаване.</w:t>
      </w:r>
    </w:p>
    <w:p w14:paraId="2D70743F" w14:textId="77777777" w:rsidR="005D744F" w:rsidRDefault="005D744F" w:rsidP="005D744F">
      <w:pPr>
        <w:spacing w:line="240" w:lineRule="auto"/>
        <w:rPr>
          <w:rFonts w:eastAsia="Times New Roman" w:cs="Arial"/>
          <w:color w:val="000000"/>
          <w:lang w:eastAsia="bg-BG"/>
        </w:rPr>
      </w:pPr>
    </w:p>
    <w:p w14:paraId="7856BCC5" w14:textId="7AB5D9C6" w:rsidR="005D744F" w:rsidRPr="005D744F" w:rsidRDefault="005D744F" w:rsidP="005D744F">
      <w:pPr>
        <w:spacing w:line="240" w:lineRule="auto"/>
        <w:rPr>
          <w:rFonts w:eastAsia="Times New Roman" w:cs="Arial"/>
        </w:rPr>
      </w:pPr>
      <w:r w:rsidRPr="005D744F">
        <w:rPr>
          <w:rFonts w:eastAsia="Times New Roman" w:cs="Arial"/>
          <w:color w:val="000000"/>
          <w:lang w:eastAsia="bg-BG"/>
        </w:rPr>
        <w:t>Стандартните антипаркинсонови лекарства, освен леводопа като самостоятелен продукт, могат да продължат да се прилаганит, ако бъде предписан Синепар, макар че може да се наложи тяхната дозировка да бъде съответно адаптирана.</w:t>
      </w:r>
    </w:p>
    <w:p w14:paraId="7D91C53E" w14:textId="77777777" w:rsidR="005D744F" w:rsidRDefault="005D744F" w:rsidP="005D744F">
      <w:pPr>
        <w:spacing w:line="240" w:lineRule="auto"/>
        <w:rPr>
          <w:rFonts w:eastAsia="Times New Roman" w:cs="Arial"/>
          <w:color w:val="000000"/>
          <w:lang w:eastAsia="bg-BG"/>
        </w:rPr>
      </w:pPr>
    </w:p>
    <w:p w14:paraId="3294C2B6" w14:textId="3820D6CC" w:rsidR="005D744F" w:rsidRPr="005D744F" w:rsidRDefault="005D744F" w:rsidP="005D744F">
      <w:pPr>
        <w:spacing w:line="240" w:lineRule="auto"/>
        <w:rPr>
          <w:rFonts w:eastAsia="Times New Roman" w:cs="Arial"/>
          <w:color w:val="000000"/>
          <w:lang w:eastAsia="bg-BG"/>
        </w:rPr>
      </w:pPr>
      <w:r w:rsidRPr="005D744F">
        <w:rPr>
          <w:rFonts w:eastAsia="Times New Roman" w:cs="Arial"/>
          <w:color w:val="000000"/>
          <w:lang w:eastAsia="bg-BG"/>
        </w:rPr>
        <w:t>Тъй като карбидопа предотвратява отслабването на ефектите на леводопа, обусловени от пиридоксин, Синепар може да се прилага при пациенти, получаващи допълнително пиридоксин (витамин В</w:t>
      </w:r>
      <w:r w:rsidRPr="005D744F">
        <w:rPr>
          <w:rFonts w:eastAsia="Times New Roman" w:cs="Arial"/>
          <w:color w:val="000000"/>
          <w:vertAlign w:val="subscript"/>
          <w:lang w:eastAsia="bg-BG"/>
        </w:rPr>
        <w:t>6</w:t>
      </w:r>
      <w:r w:rsidRPr="005D744F">
        <w:rPr>
          <w:rFonts w:eastAsia="Times New Roman" w:cs="Arial"/>
          <w:color w:val="000000"/>
          <w:lang w:eastAsia="bg-BG"/>
        </w:rPr>
        <w:t>).</w:t>
      </w:r>
    </w:p>
    <w:p w14:paraId="537FFF6C" w14:textId="5EDD24C7" w:rsidR="005D744F" w:rsidRDefault="005D744F" w:rsidP="005D744F"/>
    <w:p w14:paraId="66AF2A14" w14:textId="77777777" w:rsidR="005D744F" w:rsidRPr="005D744F" w:rsidRDefault="005D744F" w:rsidP="005D744F">
      <w:pPr>
        <w:spacing w:line="240" w:lineRule="auto"/>
        <w:rPr>
          <w:rFonts w:eastAsia="Times New Roman" w:cs="Arial"/>
        </w:rPr>
      </w:pPr>
      <w:r w:rsidRPr="005D744F">
        <w:rPr>
          <w:rFonts w:eastAsia="Times New Roman" w:cs="Arial"/>
          <w:i/>
          <w:iCs/>
          <w:color w:val="000000"/>
          <w:u w:val="single"/>
          <w:lang w:eastAsia="bg-BG"/>
        </w:rPr>
        <w:t>Първоначална доза</w:t>
      </w:r>
    </w:p>
    <w:p w14:paraId="52926030" w14:textId="77777777" w:rsidR="005D744F" w:rsidRDefault="005D744F" w:rsidP="005D744F">
      <w:pPr>
        <w:spacing w:line="240" w:lineRule="auto"/>
        <w:rPr>
          <w:rFonts w:eastAsia="Times New Roman" w:cs="Arial"/>
          <w:i/>
          <w:iCs/>
          <w:color w:val="000000"/>
          <w:lang w:eastAsia="bg-BG"/>
        </w:rPr>
      </w:pPr>
    </w:p>
    <w:p w14:paraId="68EE1E19" w14:textId="0AC8C0A0"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Пациенти, които до този момент не са получавали терапия с леводопа.</w:t>
      </w:r>
    </w:p>
    <w:p w14:paraId="1205A74F"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В подходящи случаи терапия с леводопа може да бъде започната със Синепар 200 </w:t>
      </w:r>
      <w:r w:rsidRPr="005D744F">
        <w:rPr>
          <w:rFonts w:eastAsia="Times New Roman" w:cs="Arial"/>
          <w:color w:val="000000"/>
          <w:lang w:val="en-US"/>
        </w:rPr>
        <w:t>mg</w:t>
      </w:r>
      <w:r w:rsidRPr="005D744F">
        <w:rPr>
          <w:rFonts w:eastAsia="Times New Roman" w:cs="Arial"/>
          <w:color w:val="000000"/>
          <w:lang w:val="ru-RU"/>
        </w:rPr>
        <w:t xml:space="preserve">/50 </w:t>
      </w:r>
      <w:r w:rsidRPr="005D744F">
        <w:rPr>
          <w:rFonts w:eastAsia="Times New Roman" w:cs="Arial"/>
          <w:color w:val="000000"/>
          <w:lang w:val="en-US"/>
        </w:rPr>
        <w:t>mg</w:t>
      </w:r>
      <w:r w:rsidRPr="005D744F">
        <w:rPr>
          <w:rFonts w:eastAsia="Times New Roman" w:cs="Arial"/>
          <w:color w:val="000000"/>
          <w:lang w:val="ru-RU"/>
        </w:rPr>
        <w:t xml:space="preserve">. </w:t>
      </w:r>
      <w:r w:rsidRPr="005D744F">
        <w:rPr>
          <w:rFonts w:eastAsia="Times New Roman" w:cs="Arial"/>
          <w:color w:val="000000"/>
          <w:lang w:eastAsia="bg-BG"/>
        </w:rPr>
        <w:t xml:space="preserve">Препоръчваната начална доза е една таблетка, два или три пъти дневно. Първоначалните дози не трябва да надвишават 600 </w:t>
      </w:r>
      <w:r w:rsidRPr="005D744F">
        <w:rPr>
          <w:rFonts w:eastAsia="Times New Roman" w:cs="Arial"/>
          <w:color w:val="000000"/>
          <w:lang w:val="en-US"/>
        </w:rPr>
        <w:t>mg</w:t>
      </w:r>
      <w:r w:rsidRPr="005D744F">
        <w:rPr>
          <w:rFonts w:eastAsia="Times New Roman" w:cs="Arial"/>
          <w:color w:val="000000"/>
          <w:lang w:val="ru-RU"/>
        </w:rPr>
        <w:t xml:space="preserve"> </w:t>
      </w:r>
      <w:r w:rsidRPr="005D744F">
        <w:rPr>
          <w:rFonts w:eastAsia="Times New Roman" w:cs="Arial"/>
          <w:color w:val="000000"/>
          <w:lang w:eastAsia="bg-BG"/>
        </w:rPr>
        <w:t>дневно за леводопа, както и да не бъдат назначавани през интервали по-кратки от 6 часа.</w:t>
      </w:r>
    </w:p>
    <w:p w14:paraId="7261425B" w14:textId="77777777" w:rsidR="005D744F" w:rsidRDefault="005D744F" w:rsidP="005D744F">
      <w:pPr>
        <w:spacing w:line="240" w:lineRule="auto"/>
        <w:rPr>
          <w:rFonts w:eastAsia="Times New Roman" w:cs="Arial"/>
          <w:i/>
          <w:iCs/>
          <w:color w:val="000000"/>
          <w:lang w:eastAsia="bg-BG"/>
        </w:rPr>
      </w:pPr>
    </w:p>
    <w:p w14:paraId="7DF04FB2" w14:textId="5480F5C4"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Пациенти, получаващи в момента конвенционални комбинации леводопа/декарбоксилазен инхибитор.</w:t>
      </w:r>
    </w:p>
    <w:p w14:paraId="072E633E"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Дозировката на Синепар трябва да бъде така подбрана, че да осигурява около 1</w:t>
      </w:r>
      <w:r w:rsidRPr="005D744F">
        <w:rPr>
          <w:rFonts w:eastAsia="Times New Roman" w:cs="Arial"/>
          <w:i/>
          <w:iCs/>
          <w:color w:val="000000"/>
          <w:lang w:eastAsia="bg-BG"/>
        </w:rPr>
        <w:t>0%</w:t>
      </w:r>
      <w:r w:rsidRPr="005D744F">
        <w:rPr>
          <w:rFonts w:eastAsia="Times New Roman" w:cs="Arial"/>
          <w:color w:val="000000"/>
          <w:lang w:eastAsia="bg-BG"/>
        </w:rPr>
        <w:t xml:space="preserve"> по-голямо количество леводопа дневно, въпреки че може да се наложи дозата да бъде повишена до толкова, че да осигурява до 30% по-голямо количество леводопа дневно в зависимост от клиничния отговор (вж. точка 4.2). Интервалът между отделните дози трябва да е от порядъка на 4-8 часа през активната част на денонощието (вж. точка 5).</w:t>
      </w:r>
    </w:p>
    <w:p w14:paraId="41C22873" w14:textId="77777777" w:rsidR="005D744F" w:rsidRDefault="005D744F" w:rsidP="005D744F">
      <w:pPr>
        <w:spacing w:line="240" w:lineRule="auto"/>
        <w:rPr>
          <w:rFonts w:eastAsia="Times New Roman" w:cs="Arial"/>
          <w:color w:val="000000"/>
          <w:lang w:eastAsia="bg-BG"/>
        </w:rPr>
      </w:pPr>
    </w:p>
    <w:p w14:paraId="19A1F381" w14:textId="183B9B51" w:rsidR="005D744F" w:rsidRPr="005D744F" w:rsidRDefault="005D744F" w:rsidP="005D744F">
      <w:pPr>
        <w:spacing w:line="240" w:lineRule="auto"/>
        <w:rPr>
          <w:rFonts w:eastAsia="Times New Roman" w:cs="Arial"/>
        </w:rPr>
      </w:pPr>
      <w:r w:rsidRPr="005D744F">
        <w:rPr>
          <w:rFonts w:eastAsia="Times New Roman" w:cs="Arial"/>
          <w:color w:val="000000"/>
          <w:lang w:eastAsia="bg-BG"/>
        </w:rPr>
        <w:t>Таблицата по-долу съдържа препоръки за заместване със Синепар на конвенционални комбинации леводопа/декарбоксилазен инхибитор.</w:t>
      </w:r>
    </w:p>
    <w:tbl>
      <w:tblPr>
        <w:tblStyle w:val="TableGrid"/>
        <w:tblW w:w="0" w:type="auto"/>
        <w:tblLook w:val="04A0" w:firstRow="1" w:lastRow="0" w:firstColumn="1" w:lastColumn="0" w:noHBand="0" w:noVBand="1"/>
      </w:tblPr>
      <w:tblGrid>
        <w:gridCol w:w="4824"/>
        <w:gridCol w:w="1830"/>
        <w:gridCol w:w="2696"/>
      </w:tblGrid>
      <w:tr w:rsidR="005D744F" w14:paraId="38241EFC" w14:textId="77777777" w:rsidTr="005D744F">
        <w:tc>
          <w:tcPr>
            <w:tcW w:w="4944" w:type="dxa"/>
          </w:tcPr>
          <w:p w14:paraId="69317194" w14:textId="184029B6" w:rsidR="005D744F" w:rsidRPr="005D744F" w:rsidRDefault="005D744F" w:rsidP="005D744F">
            <w:r w:rsidRPr="005D744F">
              <w:rPr>
                <w:b/>
                <w:bCs/>
              </w:rPr>
              <w:t>Леводопа/декарбоксилазен инхибитор</w:t>
            </w:r>
          </w:p>
        </w:tc>
        <w:tc>
          <w:tcPr>
            <w:tcW w:w="1872" w:type="dxa"/>
          </w:tcPr>
          <w:p w14:paraId="28DF38A6" w14:textId="6621EBF3" w:rsidR="005D744F" w:rsidRPr="005D744F" w:rsidRDefault="005D744F" w:rsidP="005D744F">
            <w:r w:rsidRPr="005D744F">
              <w:rPr>
                <w:b/>
                <w:bCs/>
              </w:rPr>
              <w:t>Синепар</w:t>
            </w:r>
          </w:p>
        </w:tc>
        <w:tc>
          <w:tcPr>
            <w:tcW w:w="2760" w:type="dxa"/>
          </w:tcPr>
          <w:p w14:paraId="168CF1C7" w14:textId="61038FF5" w:rsidR="005D744F" w:rsidRPr="005D744F" w:rsidRDefault="005D744F" w:rsidP="005D744F">
            <w:r w:rsidRPr="005D744F">
              <w:rPr>
                <w:b/>
                <w:bCs/>
              </w:rPr>
              <w:t>Синепар</w:t>
            </w:r>
          </w:p>
        </w:tc>
      </w:tr>
      <w:tr w:rsidR="005D744F" w14:paraId="64DE05AD" w14:textId="77777777" w:rsidTr="005D744F">
        <w:tc>
          <w:tcPr>
            <w:tcW w:w="4944" w:type="dxa"/>
          </w:tcPr>
          <w:p w14:paraId="5CC56C28" w14:textId="59819260" w:rsidR="005D744F" w:rsidRPr="005D744F" w:rsidRDefault="005D744F" w:rsidP="005D744F">
            <w:r w:rsidRPr="005D744F">
              <w:rPr>
                <w:b/>
                <w:bCs/>
              </w:rPr>
              <w:t xml:space="preserve">Обща дневна доза леводопа </w:t>
            </w:r>
            <w:r w:rsidRPr="005D744F">
              <w:rPr>
                <w:b/>
                <w:bCs/>
                <w:lang w:val="ru-RU"/>
              </w:rPr>
              <w:t>(</w:t>
            </w:r>
            <w:r w:rsidRPr="005D744F">
              <w:rPr>
                <w:b/>
                <w:bCs/>
                <w:lang w:val="en-US"/>
              </w:rPr>
              <w:t>mg</w:t>
            </w:r>
            <w:r w:rsidRPr="005D744F">
              <w:rPr>
                <w:b/>
                <w:bCs/>
                <w:lang w:val="ru-RU"/>
              </w:rPr>
              <w:t>)</w:t>
            </w:r>
          </w:p>
        </w:tc>
        <w:tc>
          <w:tcPr>
            <w:tcW w:w="1872" w:type="dxa"/>
          </w:tcPr>
          <w:p w14:paraId="1CD326BB" w14:textId="5D66618C" w:rsidR="005D744F" w:rsidRPr="005D744F" w:rsidRDefault="005D744F" w:rsidP="005D744F">
            <w:r w:rsidRPr="005D744F">
              <w:rPr>
                <w:b/>
                <w:bCs/>
              </w:rPr>
              <w:t xml:space="preserve">Обща дневна доза леводопа </w:t>
            </w:r>
            <w:r w:rsidRPr="005D744F">
              <w:rPr>
                <w:b/>
                <w:bCs/>
                <w:lang w:val="ru-RU"/>
              </w:rPr>
              <w:t>(</w:t>
            </w:r>
            <w:r w:rsidRPr="005D744F">
              <w:rPr>
                <w:b/>
                <w:bCs/>
                <w:lang w:val="en-US"/>
              </w:rPr>
              <w:t>mg</w:t>
            </w:r>
            <w:r w:rsidRPr="005D744F">
              <w:rPr>
                <w:b/>
                <w:bCs/>
                <w:lang w:val="ru-RU"/>
              </w:rPr>
              <w:t>)</w:t>
            </w:r>
          </w:p>
        </w:tc>
        <w:tc>
          <w:tcPr>
            <w:tcW w:w="2760" w:type="dxa"/>
          </w:tcPr>
          <w:p w14:paraId="6B81927F" w14:textId="46F145CD" w:rsidR="005D744F" w:rsidRPr="005D744F" w:rsidRDefault="005D744F" w:rsidP="005D744F">
            <w:r w:rsidRPr="005D744F">
              <w:rPr>
                <w:b/>
                <w:bCs/>
              </w:rPr>
              <w:t>Препоръчвани схеми за дозиране</w:t>
            </w:r>
          </w:p>
        </w:tc>
      </w:tr>
      <w:tr w:rsidR="005D744F" w14:paraId="17CCBBC6" w14:textId="77777777" w:rsidTr="005D744F">
        <w:tc>
          <w:tcPr>
            <w:tcW w:w="4944" w:type="dxa"/>
          </w:tcPr>
          <w:p w14:paraId="348C9B49" w14:textId="40943EC0" w:rsidR="005D744F" w:rsidRPr="005D744F" w:rsidRDefault="005D744F" w:rsidP="005D744F">
            <w:r w:rsidRPr="005D744F">
              <w:t>300-400</w:t>
            </w:r>
          </w:p>
        </w:tc>
        <w:tc>
          <w:tcPr>
            <w:tcW w:w="1872" w:type="dxa"/>
          </w:tcPr>
          <w:p w14:paraId="112E0668" w14:textId="101AD71E" w:rsidR="005D744F" w:rsidRPr="005D744F" w:rsidRDefault="005D744F" w:rsidP="005D744F">
            <w:r w:rsidRPr="005D744F">
              <w:t>400</w:t>
            </w:r>
          </w:p>
        </w:tc>
        <w:tc>
          <w:tcPr>
            <w:tcW w:w="2760" w:type="dxa"/>
          </w:tcPr>
          <w:p w14:paraId="2DB870D1" w14:textId="5AB70303" w:rsidR="005D744F" w:rsidRPr="005D744F" w:rsidRDefault="005D744F" w:rsidP="005D744F">
            <w:r w:rsidRPr="005D744F">
              <w:t>1 таблетка два пъти дневно</w:t>
            </w:r>
          </w:p>
        </w:tc>
      </w:tr>
      <w:tr w:rsidR="005D744F" w14:paraId="27385B27" w14:textId="77777777" w:rsidTr="005D744F">
        <w:tc>
          <w:tcPr>
            <w:tcW w:w="4944" w:type="dxa"/>
          </w:tcPr>
          <w:p w14:paraId="244C5719" w14:textId="00ECBCD2" w:rsidR="005D744F" w:rsidRPr="005D744F" w:rsidRDefault="005D744F" w:rsidP="005D744F">
            <w:r w:rsidRPr="005D744F">
              <w:t>500-600</w:t>
            </w:r>
          </w:p>
        </w:tc>
        <w:tc>
          <w:tcPr>
            <w:tcW w:w="1872" w:type="dxa"/>
          </w:tcPr>
          <w:p w14:paraId="1FB62E74" w14:textId="4C85B469" w:rsidR="005D744F" w:rsidRPr="005D744F" w:rsidRDefault="005D744F" w:rsidP="005D744F">
            <w:r w:rsidRPr="005D744F">
              <w:t>600</w:t>
            </w:r>
          </w:p>
        </w:tc>
        <w:tc>
          <w:tcPr>
            <w:tcW w:w="2760" w:type="dxa"/>
          </w:tcPr>
          <w:p w14:paraId="2B20DFD9" w14:textId="4BBD413B" w:rsidR="005D744F" w:rsidRPr="005D744F" w:rsidRDefault="005D744F" w:rsidP="005D744F">
            <w:r w:rsidRPr="005D744F">
              <w:t>1 таблетка три пъти дневно</w:t>
            </w:r>
          </w:p>
        </w:tc>
      </w:tr>
      <w:tr w:rsidR="005D744F" w14:paraId="3F7F0F05" w14:textId="77777777" w:rsidTr="005D744F">
        <w:tc>
          <w:tcPr>
            <w:tcW w:w="4944" w:type="dxa"/>
          </w:tcPr>
          <w:p w14:paraId="380DC069" w14:textId="5B82D1B4" w:rsidR="005D744F" w:rsidRPr="005D744F" w:rsidRDefault="005D744F" w:rsidP="005D744F">
            <w:r w:rsidRPr="005D744F">
              <w:t>700-800</w:t>
            </w:r>
          </w:p>
        </w:tc>
        <w:tc>
          <w:tcPr>
            <w:tcW w:w="1872" w:type="dxa"/>
          </w:tcPr>
          <w:p w14:paraId="029B3C70" w14:textId="3E2A7162" w:rsidR="005D744F" w:rsidRPr="005D744F" w:rsidRDefault="005D744F" w:rsidP="005D744F">
            <w:r w:rsidRPr="005D744F">
              <w:t>800</w:t>
            </w:r>
          </w:p>
        </w:tc>
        <w:tc>
          <w:tcPr>
            <w:tcW w:w="2760" w:type="dxa"/>
          </w:tcPr>
          <w:p w14:paraId="186A4252" w14:textId="7D6B07C6" w:rsidR="005D744F" w:rsidRPr="005D744F" w:rsidRDefault="005D744F" w:rsidP="005D744F">
            <w:r w:rsidRPr="005D744F">
              <w:t>4 таблетки в три или повече отделни приема</w:t>
            </w:r>
          </w:p>
        </w:tc>
      </w:tr>
      <w:tr w:rsidR="005D744F" w14:paraId="20A76770" w14:textId="77777777" w:rsidTr="005D744F">
        <w:tc>
          <w:tcPr>
            <w:tcW w:w="4944" w:type="dxa"/>
          </w:tcPr>
          <w:p w14:paraId="08700B63" w14:textId="027985B1" w:rsidR="005D744F" w:rsidRPr="005D744F" w:rsidRDefault="005D744F" w:rsidP="005D744F">
            <w:r w:rsidRPr="005D744F">
              <w:t>900-1000</w:t>
            </w:r>
          </w:p>
        </w:tc>
        <w:tc>
          <w:tcPr>
            <w:tcW w:w="1872" w:type="dxa"/>
          </w:tcPr>
          <w:p w14:paraId="4D717CE7" w14:textId="2FDC5610" w:rsidR="005D744F" w:rsidRPr="005D744F" w:rsidRDefault="005D744F" w:rsidP="005D744F">
            <w:r w:rsidRPr="005D744F">
              <w:t>1000</w:t>
            </w:r>
          </w:p>
        </w:tc>
        <w:tc>
          <w:tcPr>
            <w:tcW w:w="2760" w:type="dxa"/>
          </w:tcPr>
          <w:p w14:paraId="15D17CA4" w14:textId="18EF0EC1" w:rsidR="005D744F" w:rsidRPr="005D744F" w:rsidRDefault="005D744F" w:rsidP="005D744F">
            <w:r w:rsidRPr="005D744F">
              <w:t xml:space="preserve">5 таблетки в три или повече </w:t>
            </w:r>
            <w:r w:rsidRPr="005D744F">
              <w:rPr>
                <w:u w:val="single"/>
              </w:rPr>
              <w:t>отделни приема*</w:t>
            </w:r>
          </w:p>
        </w:tc>
      </w:tr>
    </w:tbl>
    <w:p w14:paraId="04A46708"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*например 2 таблетки преди обяд, 2 таблетки рано след обяд и 1 таблетка по-късно след обяд.</w:t>
      </w:r>
    </w:p>
    <w:p w14:paraId="1F2FF2CD" w14:textId="77777777" w:rsidR="005D744F" w:rsidRDefault="005D744F" w:rsidP="005D744F">
      <w:pPr>
        <w:spacing w:line="240" w:lineRule="auto"/>
        <w:rPr>
          <w:rFonts w:eastAsia="Times New Roman" w:cs="Arial"/>
          <w:color w:val="000000"/>
          <w:lang w:eastAsia="bg-BG"/>
        </w:rPr>
      </w:pPr>
    </w:p>
    <w:p w14:paraId="3211635E" w14:textId="61197E2C" w:rsidR="005D744F" w:rsidRPr="005D744F" w:rsidRDefault="005D744F" w:rsidP="005D744F">
      <w:pPr>
        <w:spacing w:line="240" w:lineRule="auto"/>
        <w:rPr>
          <w:rFonts w:eastAsia="Times New Roman" w:cs="Arial"/>
          <w:i/>
          <w:iCs/>
          <w:color w:val="000000"/>
          <w:lang w:eastAsia="bg-BG"/>
        </w:rPr>
      </w:pPr>
      <w:r w:rsidRPr="005D744F">
        <w:rPr>
          <w:rFonts w:eastAsia="Times New Roman" w:cs="Arial"/>
          <w:color w:val="000000"/>
          <w:lang w:eastAsia="bg-BG"/>
        </w:rPr>
        <w:t xml:space="preserve">Относно дозовите интервали, непосочени в таблицата, виж точка </w:t>
      </w:r>
      <w:r>
        <w:rPr>
          <w:rFonts w:eastAsia="Times New Roman" w:cs="Arial"/>
          <w:i/>
          <w:iCs/>
          <w:color w:val="000000"/>
          <w:lang w:eastAsia="bg-BG"/>
        </w:rPr>
        <w:t xml:space="preserve">4.2. Първоначална доза- </w:t>
      </w:r>
      <w:r w:rsidRPr="005D744F">
        <w:rPr>
          <w:rFonts w:eastAsia="Times New Roman" w:cs="Arial"/>
          <w:i/>
          <w:iCs/>
          <w:color w:val="000000"/>
          <w:lang w:eastAsia="bg-BG"/>
        </w:rPr>
        <w:t>Пациенти, получаващи в момента конвенционални комбинации леводопа/декарбоксилазен инхибитор.</w:t>
      </w:r>
    </w:p>
    <w:p w14:paraId="5FCB730C" w14:textId="77777777" w:rsidR="005D744F" w:rsidRDefault="005D744F" w:rsidP="005D744F">
      <w:pPr>
        <w:spacing w:line="240" w:lineRule="auto"/>
        <w:rPr>
          <w:rFonts w:eastAsia="Times New Roman" w:cs="Arial"/>
          <w:i/>
          <w:iCs/>
          <w:color w:val="000000"/>
          <w:lang w:eastAsia="bg-BG"/>
        </w:rPr>
      </w:pPr>
    </w:p>
    <w:p w14:paraId="601DCF3C" w14:textId="0D826E3B"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Пациенти, които в момента се лекуват само с леводопа</w:t>
      </w:r>
    </w:p>
    <w:p w14:paraId="72A41293"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lastRenderedPageBreak/>
        <w:t>Леводопа трябва да бъде прекъснат поне 8 часа преди началото на терапия със Синепар. При пациенти с лека до умерена степен на заболяването първоначалната препоръчвана доза е 1 таблетка с удължено освобождаване два или три пъти дневно.</w:t>
      </w:r>
    </w:p>
    <w:p w14:paraId="68BE20C6" w14:textId="77777777" w:rsidR="005D744F" w:rsidRDefault="005D744F" w:rsidP="005D744F">
      <w:pPr>
        <w:spacing w:line="240" w:lineRule="auto"/>
        <w:rPr>
          <w:rFonts w:eastAsia="Times New Roman" w:cs="Arial"/>
          <w:i/>
          <w:iCs/>
          <w:color w:val="000000"/>
          <w:lang w:eastAsia="bg-BG"/>
        </w:rPr>
      </w:pPr>
    </w:p>
    <w:p w14:paraId="1B69932E" w14:textId="2A0A507A"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Титриране на дозата</w:t>
      </w:r>
    </w:p>
    <w:p w14:paraId="3C401644"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След като терапията вече е започната, дозите и дозовите интервали могат да се увеличават или намаляват в зависимост от терапевтичния отговор. При повечето пациенти се постига адекватен терапевтичен ефект с 2-8 таблетки с удължено освобождаване дневно, приложени като отделни дози, разпределени през интервали от 4 до 12 часа през активната част от денонощието. По- високи дози (до 12 таблетки) и по-кратки интервали (по-малко от 4 часа) също са били прилагани, но обикновено не се препоръчват.</w:t>
      </w:r>
    </w:p>
    <w:p w14:paraId="47F93D6E" w14:textId="77777777" w:rsidR="005D744F" w:rsidRDefault="005D744F" w:rsidP="005D744F">
      <w:pPr>
        <w:spacing w:line="240" w:lineRule="auto"/>
        <w:rPr>
          <w:rFonts w:eastAsia="Times New Roman" w:cs="Arial"/>
          <w:color w:val="000000"/>
          <w:lang w:eastAsia="bg-BG"/>
        </w:rPr>
      </w:pPr>
    </w:p>
    <w:p w14:paraId="01A2FE48" w14:textId="60FC3E91" w:rsidR="005D744F" w:rsidRPr="005D744F" w:rsidRDefault="005D744F" w:rsidP="005D744F">
      <w:pPr>
        <w:spacing w:line="240" w:lineRule="auto"/>
        <w:rPr>
          <w:rFonts w:eastAsia="Times New Roman" w:cs="Arial"/>
        </w:rPr>
      </w:pPr>
      <w:r w:rsidRPr="005D744F">
        <w:rPr>
          <w:rFonts w:eastAsia="Times New Roman" w:cs="Arial"/>
          <w:color w:val="000000"/>
          <w:lang w:eastAsia="bg-BG"/>
        </w:rPr>
        <w:t>В случаите, когато дозите Синепар се прилагат през интервали по-кратки от 4 часа или ако отделните дози не са равни, се препоръчва по-малките дозировки да се назначават в края на деня. При някои пациенти началото на ефекта от първата сутрешна доза може да се забави с около 1 час в сравнение с отговора, настъпващ обичайно в резултат на първата сутрешна доза</w:t>
      </w:r>
    </w:p>
    <w:p w14:paraId="64D8C9DF" w14:textId="6501BFE2" w:rsidR="005D744F" w:rsidRPr="005D744F" w:rsidRDefault="005D744F" w:rsidP="005D744F">
      <w:pPr>
        <w:rPr>
          <w:rFonts w:cs="Arial"/>
        </w:rPr>
      </w:pPr>
      <w:r w:rsidRPr="005D744F">
        <w:rPr>
          <w:rFonts w:eastAsia="Times New Roman" w:cs="Arial"/>
          <w:color w:val="000000"/>
          <w:lang w:eastAsia="bg-BG"/>
        </w:rPr>
        <w:t>Синепар.</w:t>
      </w:r>
    </w:p>
    <w:p w14:paraId="29502A30" w14:textId="3FB68F5C" w:rsidR="005D744F" w:rsidRDefault="005D744F" w:rsidP="005D744F"/>
    <w:p w14:paraId="425EEBAA"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Препоръчва се да се спазва интервал от поне 3 дни между дните, в които се извършва адаптиране на дозировката.</w:t>
      </w:r>
    </w:p>
    <w:p w14:paraId="57D408E7" w14:textId="77777777" w:rsidR="005D744F" w:rsidRDefault="005D744F" w:rsidP="005D744F">
      <w:pPr>
        <w:spacing w:line="240" w:lineRule="auto"/>
        <w:rPr>
          <w:rFonts w:eastAsia="Times New Roman" w:cs="Arial"/>
          <w:i/>
          <w:iCs/>
          <w:color w:val="000000"/>
          <w:lang w:eastAsia="bg-BG"/>
        </w:rPr>
      </w:pPr>
    </w:p>
    <w:p w14:paraId="4E839DEB" w14:textId="6FBD9A44"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Поддържаща доза</w:t>
      </w:r>
    </w:p>
    <w:p w14:paraId="2A4E0CF3"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Поради това, че болестта на Паркинсон е с прогресиращ характер, препоръчително е да се провежда периодично клинично наблюдение, в процеса на което може да се окаже необходимо да се извърши ново адаптиране на дозовия режим на Синепар.</w:t>
      </w:r>
    </w:p>
    <w:p w14:paraId="02CFB4F9" w14:textId="77777777" w:rsidR="005D744F" w:rsidRDefault="005D744F" w:rsidP="005D744F">
      <w:pPr>
        <w:spacing w:line="240" w:lineRule="auto"/>
        <w:rPr>
          <w:rFonts w:eastAsia="Times New Roman" w:cs="Arial"/>
          <w:i/>
          <w:iCs/>
          <w:color w:val="000000"/>
          <w:lang w:eastAsia="bg-BG"/>
        </w:rPr>
      </w:pPr>
    </w:p>
    <w:p w14:paraId="0F53922F" w14:textId="7C667CD3"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Допълнително включване към терапията на други антипаркинсонови лекарства</w:t>
      </w:r>
    </w:p>
    <w:p w14:paraId="141BC8A1"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Антихолинергични средства, допаминови агонисти и амантадин могат да се прилагат заедно със Синепар. Когато тези лекарства се включват допълнително към вече установена терапевтична схема за Синепар, може да се наложи ново адаптиране на дозировката.</w:t>
      </w:r>
    </w:p>
    <w:p w14:paraId="4391F8CE" w14:textId="77777777" w:rsidR="005D744F" w:rsidRDefault="005D744F" w:rsidP="005D744F">
      <w:pPr>
        <w:spacing w:line="240" w:lineRule="auto"/>
        <w:rPr>
          <w:rFonts w:eastAsia="Times New Roman" w:cs="Arial"/>
          <w:i/>
          <w:iCs/>
          <w:color w:val="000000"/>
          <w:lang w:eastAsia="bg-BG"/>
        </w:rPr>
      </w:pPr>
    </w:p>
    <w:p w14:paraId="08EC7AC5" w14:textId="755E73EB"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Прекъсване на терапията</w:t>
      </w:r>
    </w:p>
    <w:p w14:paraId="732E8678"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Ако се налага да се направи рязко намаляване на дозата или прекъсване на лечението, пациентите трябва да бъдат внимателно наблюдавани, особено ако получават невролептици (виж точка 4.4).</w:t>
      </w:r>
    </w:p>
    <w:p w14:paraId="535C73E1" w14:textId="77777777" w:rsidR="005D744F" w:rsidRDefault="005D744F" w:rsidP="005D744F">
      <w:pPr>
        <w:spacing w:line="240" w:lineRule="auto"/>
        <w:rPr>
          <w:rFonts w:eastAsia="Times New Roman" w:cs="Arial"/>
          <w:color w:val="000000"/>
          <w:lang w:eastAsia="bg-BG"/>
        </w:rPr>
      </w:pPr>
    </w:p>
    <w:p w14:paraId="5AE99E8E" w14:textId="5202E01C" w:rsidR="005D744F" w:rsidRPr="005D744F" w:rsidRDefault="005D744F" w:rsidP="005D744F">
      <w:pPr>
        <w:spacing w:line="240" w:lineRule="auto"/>
        <w:rPr>
          <w:rFonts w:eastAsia="Times New Roman" w:cs="Arial"/>
        </w:rPr>
      </w:pPr>
      <w:r w:rsidRPr="005D744F">
        <w:rPr>
          <w:rFonts w:eastAsia="Times New Roman" w:cs="Arial"/>
          <w:color w:val="000000"/>
          <w:lang w:eastAsia="bg-BG"/>
        </w:rPr>
        <w:t>Когато се налага обща анестезия, терапията със Синепар може да бъде продължена дотогава, докогато пациентът е в състояние да приема лекарства перорално. Ако терапията бъде временно прекъсната, обичайната дозировка трябва да бъде приложена възможно най-скоро, след като пациентът отново е в състояние да приема лекарства перорално.</w:t>
      </w:r>
    </w:p>
    <w:p w14:paraId="654200BF" w14:textId="77777777" w:rsidR="005D744F" w:rsidRDefault="005D744F" w:rsidP="005D744F">
      <w:pPr>
        <w:spacing w:line="240" w:lineRule="auto"/>
        <w:rPr>
          <w:rFonts w:eastAsia="Times New Roman" w:cs="Arial"/>
          <w:color w:val="000000"/>
          <w:u w:val="single"/>
          <w:lang w:eastAsia="bg-BG"/>
        </w:rPr>
      </w:pPr>
    </w:p>
    <w:p w14:paraId="4F749C41" w14:textId="1CD6532F" w:rsidR="005D744F" w:rsidRPr="005D744F" w:rsidRDefault="005D744F" w:rsidP="005D744F">
      <w:pPr>
        <w:spacing w:line="240" w:lineRule="auto"/>
        <w:rPr>
          <w:rFonts w:eastAsia="Times New Roman" w:cs="Arial"/>
        </w:rPr>
      </w:pPr>
      <w:r w:rsidRPr="005D744F">
        <w:rPr>
          <w:rFonts w:eastAsia="Times New Roman" w:cs="Arial"/>
          <w:color w:val="000000"/>
          <w:u w:val="single"/>
          <w:lang w:eastAsia="bg-BG"/>
        </w:rPr>
        <w:t>Педиатрична популация</w:t>
      </w:r>
    </w:p>
    <w:p w14:paraId="601607E4" w14:textId="77777777" w:rsidR="005D744F" w:rsidRDefault="005D744F" w:rsidP="005D744F">
      <w:pPr>
        <w:spacing w:line="240" w:lineRule="auto"/>
        <w:rPr>
          <w:rFonts w:eastAsia="Times New Roman" w:cs="Arial"/>
          <w:color w:val="000000"/>
          <w:lang w:eastAsia="bg-BG"/>
        </w:rPr>
      </w:pPr>
    </w:p>
    <w:p w14:paraId="479B4E51" w14:textId="302394F3"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Не се препоръчва употребата на Синепар 200 </w:t>
      </w:r>
      <w:r w:rsidRPr="005D744F">
        <w:rPr>
          <w:rFonts w:eastAsia="Times New Roman" w:cs="Arial"/>
          <w:color w:val="000000"/>
          <w:lang w:val="en-US"/>
        </w:rPr>
        <w:t>mg</w:t>
      </w:r>
      <w:r w:rsidRPr="005D744F">
        <w:rPr>
          <w:rFonts w:eastAsia="Times New Roman" w:cs="Arial"/>
          <w:color w:val="000000"/>
          <w:lang w:val="ru-RU"/>
        </w:rPr>
        <w:t xml:space="preserve">/50 </w:t>
      </w:r>
      <w:r w:rsidRPr="005D744F">
        <w:rPr>
          <w:rFonts w:eastAsia="Times New Roman" w:cs="Arial"/>
          <w:color w:val="000000"/>
          <w:lang w:val="en-US"/>
        </w:rPr>
        <w:t>mg</w:t>
      </w:r>
      <w:r w:rsidRPr="005D744F">
        <w:rPr>
          <w:rFonts w:eastAsia="Times New Roman" w:cs="Arial"/>
          <w:color w:val="000000"/>
          <w:lang w:val="ru-RU"/>
        </w:rPr>
        <w:t xml:space="preserve"> </w:t>
      </w:r>
      <w:r w:rsidRPr="005D744F">
        <w:rPr>
          <w:rFonts w:eastAsia="Times New Roman" w:cs="Arial"/>
          <w:color w:val="000000"/>
          <w:lang w:eastAsia="bg-BG"/>
        </w:rPr>
        <w:t>таблетки с удължено освобождаване при деца под 18 години поради недостатъчни данни за безопасност и ефикасност.</w:t>
      </w:r>
    </w:p>
    <w:p w14:paraId="59A69390" w14:textId="77777777" w:rsidR="005D744F" w:rsidRPr="005D744F" w:rsidRDefault="005D744F" w:rsidP="005D744F"/>
    <w:p w14:paraId="28C984E8" w14:textId="483998F5" w:rsidR="008134C8" w:rsidRDefault="002C50EE" w:rsidP="004A448E">
      <w:pPr>
        <w:pStyle w:val="Heading2"/>
      </w:pPr>
      <w:r>
        <w:lastRenderedPageBreak/>
        <w:t>4.3. Противопоказания</w:t>
      </w:r>
    </w:p>
    <w:p w14:paraId="64ADD4C1" w14:textId="7BC7E393" w:rsidR="005D744F" w:rsidRDefault="005D744F" w:rsidP="005D744F"/>
    <w:p w14:paraId="6CFF0AB8"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Неселективните инхибитори на моноаминооксидазата (МАО) са противопоказни за едновременна употреба със Синепар. Тези инхибитори трябва да бъдат спрени най-малко две седмици преди началото на терапията. Синепар може да се приема едновременно с препоръчвана от производителя доза на МАО инхибитор със селективност за МАО тип В (например селегилин хидрохлорид - </w:t>
      </w:r>
      <w:proofErr w:type="spellStart"/>
      <w:r w:rsidRPr="005D744F">
        <w:rPr>
          <w:rFonts w:eastAsia="Times New Roman" w:cs="Arial"/>
          <w:i/>
          <w:iCs/>
          <w:color w:val="000000"/>
          <w:lang w:val="en-US"/>
        </w:rPr>
        <w:t>selegiline</w:t>
      </w:r>
      <w:proofErr w:type="spellEnd"/>
      <w:r w:rsidRPr="005D744F">
        <w:rPr>
          <w:rFonts w:eastAsia="Times New Roman" w:cs="Arial"/>
          <w:i/>
          <w:iCs/>
          <w:color w:val="000000"/>
          <w:lang w:val="ru-RU"/>
        </w:rPr>
        <w:t xml:space="preserve"> </w:t>
      </w:r>
      <w:r w:rsidRPr="005D744F">
        <w:rPr>
          <w:rFonts w:eastAsia="Times New Roman" w:cs="Arial"/>
          <w:i/>
          <w:iCs/>
          <w:color w:val="000000"/>
          <w:lang w:val="en-US"/>
        </w:rPr>
        <w:t>hydrochloride</w:t>
      </w:r>
      <w:r w:rsidRPr="005D744F">
        <w:rPr>
          <w:rFonts w:eastAsia="Times New Roman" w:cs="Arial"/>
          <w:i/>
          <w:iCs/>
          <w:color w:val="000000"/>
          <w:lang w:val="ru-RU"/>
        </w:rPr>
        <w:t>).(</w:t>
      </w:r>
      <w:r w:rsidRPr="005D744F">
        <w:rPr>
          <w:rFonts w:eastAsia="Times New Roman" w:cs="Arial"/>
          <w:i/>
          <w:iCs/>
          <w:color w:val="000000"/>
          <w:lang w:eastAsia="bg-BG"/>
        </w:rPr>
        <w:t>виж</w:t>
      </w:r>
      <w:r w:rsidRPr="005D744F">
        <w:rPr>
          <w:rFonts w:eastAsia="Times New Roman" w:cs="Arial"/>
          <w:color w:val="000000"/>
          <w:lang w:val="ru-RU"/>
        </w:rPr>
        <w:t xml:space="preserve"> </w:t>
      </w:r>
      <w:r w:rsidRPr="005D744F">
        <w:rPr>
          <w:rFonts w:eastAsia="Times New Roman" w:cs="Arial"/>
          <w:color w:val="000000"/>
          <w:lang w:eastAsia="bg-BG"/>
        </w:rPr>
        <w:t>точка 4.5)</w:t>
      </w:r>
    </w:p>
    <w:p w14:paraId="6815AD66" w14:textId="77777777" w:rsidR="005D744F" w:rsidRDefault="005D744F" w:rsidP="005D744F">
      <w:pPr>
        <w:spacing w:line="240" w:lineRule="auto"/>
        <w:rPr>
          <w:rFonts w:eastAsia="Times New Roman" w:cs="Arial"/>
          <w:color w:val="000000"/>
          <w:lang w:eastAsia="bg-BG"/>
        </w:rPr>
      </w:pPr>
    </w:p>
    <w:p w14:paraId="0F4B247D" w14:textId="7451256D" w:rsidR="005D744F" w:rsidRPr="005D744F" w:rsidRDefault="005D744F" w:rsidP="005D744F">
      <w:pPr>
        <w:spacing w:line="240" w:lineRule="auto"/>
        <w:rPr>
          <w:rFonts w:eastAsia="Times New Roman" w:cs="Arial"/>
        </w:rPr>
      </w:pPr>
      <w:r w:rsidRPr="005D744F">
        <w:rPr>
          <w:rFonts w:eastAsia="Times New Roman" w:cs="Arial"/>
          <w:color w:val="000000"/>
          <w:lang w:eastAsia="bg-BG"/>
        </w:rPr>
        <w:t>Синепар е противопоказан при пациенти с анамнеза за свръхчувствителност към активните вещества или към някое от помощните вещества на таблетките, изброени в точка 6.1, както и при пациенти с тесноъгьлна глаукома.</w:t>
      </w:r>
    </w:p>
    <w:p w14:paraId="6F67C3E5" w14:textId="77777777" w:rsidR="005D744F" w:rsidRDefault="005D744F" w:rsidP="005D744F">
      <w:pPr>
        <w:spacing w:line="240" w:lineRule="auto"/>
        <w:rPr>
          <w:rFonts w:eastAsia="Times New Roman" w:cs="Arial"/>
          <w:color w:val="000000"/>
          <w:lang w:eastAsia="bg-BG"/>
        </w:rPr>
      </w:pPr>
    </w:p>
    <w:p w14:paraId="50C39BC3" w14:textId="22AA03FD" w:rsidR="005D744F" w:rsidRPr="005D744F" w:rsidRDefault="005D744F" w:rsidP="005D744F">
      <w:pPr>
        <w:spacing w:line="240" w:lineRule="auto"/>
        <w:rPr>
          <w:rFonts w:eastAsia="Times New Roman" w:cs="Arial"/>
        </w:rPr>
      </w:pPr>
      <w:r w:rsidRPr="005D744F">
        <w:rPr>
          <w:rFonts w:eastAsia="Times New Roman" w:cs="Arial"/>
          <w:color w:val="000000"/>
          <w:lang w:eastAsia="bg-BG"/>
        </w:rPr>
        <w:t>Тъй като леводопа може да активира малигнен меланом, Синепар не трябва да се прилага при пациенти, при които се установяват подозрителни за такъв процес диагностично неизяснени кожни лезии или пациенти с анамнеза за меланом.</w:t>
      </w:r>
    </w:p>
    <w:p w14:paraId="3E727B15" w14:textId="77777777" w:rsidR="005D744F" w:rsidRPr="005D744F" w:rsidRDefault="005D744F" w:rsidP="005D744F"/>
    <w:p w14:paraId="212F509C" w14:textId="7AD310DD" w:rsidR="004F498A" w:rsidRDefault="002C50EE" w:rsidP="004A448E">
      <w:pPr>
        <w:pStyle w:val="Heading2"/>
      </w:pPr>
      <w:r>
        <w:t>4.4. Специални предупреждения и предпазни мерки при употреба</w:t>
      </w:r>
    </w:p>
    <w:p w14:paraId="0E3AE50D" w14:textId="0471D375" w:rsidR="005D744F" w:rsidRDefault="005D744F" w:rsidP="005D744F"/>
    <w:p w14:paraId="2A629B59"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Ако пациентите получават монотерапия с леводопа, то тя трябва да бъде прекъсната поне 8 часа, преди да се започне терапия със Синепар (и поне 12 часа, ако е била назначена леводопа таблетка със забавено освобождаване).</w:t>
      </w:r>
    </w:p>
    <w:p w14:paraId="03879018" w14:textId="77777777" w:rsidR="005D744F" w:rsidRDefault="005D744F" w:rsidP="005D744F">
      <w:pPr>
        <w:spacing w:line="240" w:lineRule="auto"/>
        <w:rPr>
          <w:rFonts w:eastAsia="Times New Roman" w:cs="Arial"/>
          <w:color w:val="000000"/>
          <w:lang w:eastAsia="bg-BG"/>
        </w:rPr>
      </w:pPr>
    </w:p>
    <w:p w14:paraId="23EE7D86" w14:textId="29AA40E0"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При пациенти, лекувани преди това само с леводопа, могат да настъпят дискинезии, поради факта, че карбидопа позволява по-голямо количество леводопа да достигне до мозъка и следователно, да се образува повече допамин. Появата на дискинезии може да наложи редуциране на дозировката.</w:t>
      </w:r>
    </w:p>
    <w:p w14:paraId="1DC9D7AB" w14:textId="02AF9D79" w:rsidR="005D744F" w:rsidRDefault="005D744F" w:rsidP="005D744F"/>
    <w:p w14:paraId="10F6CB61"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Както </w:t>
      </w:r>
      <w:r w:rsidRPr="005D744F">
        <w:rPr>
          <w:rFonts w:eastAsia="Times New Roman" w:cs="Arial"/>
          <w:i/>
          <w:iCs/>
          <w:color w:val="000000"/>
          <w:lang w:eastAsia="bg-BG"/>
        </w:rPr>
        <w:t>и</w:t>
      </w:r>
      <w:r w:rsidRPr="005D744F">
        <w:rPr>
          <w:rFonts w:eastAsia="Times New Roman" w:cs="Arial"/>
          <w:color w:val="000000"/>
          <w:lang w:eastAsia="bg-BG"/>
        </w:rPr>
        <w:t xml:space="preserve"> при лечение с леводопа, Синепар може да предизвика неволеви движения и психични нарушения. Смята се, че тези реакции се дължат на повишеното количество допамин в мозъка, в резултат от лечението с леводопа. Това може да наложи намаляване на дозата. Всички пациенти трябва да бъдат наблюдавани за развитие на депресия със съпътстващи суицидни тенденции. При пациенти с настоящи или прекарани в миналото психози, лечението трябва да се прилага внимателно.</w:t>
      </w:r>
    </w:p>
    <w:p w14:paraId="7423CCF6" w14:textId="77777777" w:rsidR="005D744F" w:rsidRDefault="005D744F" w:rsidP="005D744F">
      <w:pPr>
        <w:spacing w:line="240" w:lineRule="auto"/>
        <w:rPr>
          <w:rFonts w:eastAsia="Times New Roman" w:cs="Arial"/>
          <w:color w:val="000000"/>
          <w:lang w:eastAsia="bg-BG"/>
        </w:rPr>
      </w:pPr>
    </w:p>
    <w:p w14:paraId="66E4FE56" w14:textId="58A95B63" w:rsidR="005D744F" w:rsidRPr="005D744F" w:rsidRDefault="005D744F" w:rsidP="005D744F">
      <w:pPr>
        <w:spacing w:line="240" w:lineRule="auto"/>
        <w:rPr>
          <w:rFonts w:eastAsia="Times New Roman" w:cs="Arial"/>
        </w:rPr>
      </w:pPr>
      <w:r w:rsidRPr="005D744F">
        <w:rPr>
          <w:rFonts w:eastAsia="Times New Roman" w:cs="Arial"/>
          <w:color w:val="000000"/>
          <w:lang w:eastAsia="bg-BG"/>
        </w:rPr>
        <w:t>Синепар трябва да се прилага много внимателно при пациенти с тежки форми на сърдечно</w:t>
      </w:r>
      <w:r w:rsidRPr="005D744F">
        <w:rPr>
          <w:rFonts w:eastAsia="Times New Roman" w:cs="Arial"/>
          <w:color w:val="000000"/>
          <w:lang w:eastAsia="bg-BG"/>
        </w:rPr>
        <w:softHyphen/>
        <w:t>съдови или белодробни заболявания, бронхиална астма, бъбречно, чернодробно или ендокринно заболяване или с анамнеза за пептична язвена болест (хеморагии) или конвулсии.</w:t>
      </w:r>
    </w:p>
    <w:p w14:paraId="3571A007" w14:textId="77777777" w:rsidR="005D744F" w:rsidRDefault="005D744F" w:rsidP="005D744F">
      <w:pPr>
        <w:spacing w:line="240" w:lineRule="auto"/>
        <w:rPr>
          <w:rFonts w:eastAsia="Times New Roman" w:cs="Arial"/>
          <w:color w:val="000000"/>
          <w:lang w:eastAsia="bg-BG"/>
        </w:rPr>
      </w:pPr>
    </w:p>
    <w:p w14:paraId="79FE089F" w14:textId="1C7AFE11" w:rsidR="005D744F" w:rsidRPr="005D744F" w:rsidRDefault="005D744F" w:rsidP="005D744F">
      <w:pPr>
        <w:spacing w:line="240" w:lineRule="auto"/>
        <w:rPr>
          <w:rFonts w:eastAsia="Times New Roman" w:cs="Arial"/>
        </w:rPr>
      </w:pPr>
      <w:r w:rsidRPr="005D744F">
        <w:rPr>
          <w:rFonts w:eastAsia="Times New Roman" w:cs="Arial"/>
          <w:color w:val="000000"/>
          <w:lang w:eastAsia="bg-BG"/>
        </w:rPr>
        <w:t>Особено внимание трябва да се обърне в случаите, когато Синепар се предписва на пациенти с анамнеза за наскоро прекаран миокарден инфаркт и остатъчна предсърдна, нодална или камерна аритмия. При подобни пациенти, сърдечната функция трябва да се мониторира, особено през периода на първоначално приложение на назначената дозировка и нейното титриране.</w:t>
      </w:r>
    </w:p>
    <w:p w14:paraId="370D6182" w14:textId="77777777" w:rsidR="005D744F" w:rsidRDefault="005D744F" w:rsidP="005D744F">
      <w:pPr>
        <w:spacing w:line="240" w:lineRule="auto"/>
        <w:rPr>
          <w:rFonts w:eastAsia="Times New Roman" w:cs="Arial"/>
          <w:color w:val="000000"/>
          <w:lang w:eastAsia="bg-BG"/>
        </w:rPr>
      </w:pPr>
    </w:p>
    <w:p w14:paraId="219DC4BC" w14:textId="6314FBD1" w:rsidR="005D744F" w:rsidRPr="005D744F" w:rsidRDefault="005D744F" w:rsidP="005D744F">
      <w:pPr>
        <w:spacing w:line="240" w:lineRule="auto"/>
        <w:rPr>
          <w:rFonts w:eastAsia="Times New Roman" w:cs="Arial"/>
        </w:rPr>
      </w:pPr>
      <w:r w:rsidRPr="005D744F">
        <w:rPr>
          <w:rFonts w:eastAsia="Times New Roman" w:cs="Arial"/>
          <w:color w:val="000000"/>
          <w:lang w:eastAsia="bg-BG"/>
        </w:rPr>
        <w:t>Пациенти с хронична широкоъгълна глаукома могат да бъдат лекувани със Синепар внимателно при положение, че вътреочното налягане е добре контролирано и стойностите му се мониторират стриктно по време на терапията</w:t>
      </w:r>
    </w:p>
    <w:p w14:paraId="3C911546"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lastRenderedPageBreak/>
        <w:t>В случаите, когато терапията с антипаркинсонови лекарства се прекъсва внезапно, може да се наблюдава развитие на комплекс симптоми, наподобяващи невролептичен малигнен синдром, който включва мускулна ригидност, повишена температура, психични нарушения и увеличени нива на серумна креатинин фосфокиназа. Поради това, пациентите трябва да бъдат редовномониторирани, когато се извършва рязко намаляване на дозировката на комбинации леводопа/карбидопа или при прекъсване на терапия с такива продукти, особено ако пациентът приема невролептици.</w:t>
      </w:r>
    </w:p>
    <w:p w14:paraId="3C50BEED" w14:textId="77777777" w:rsidR="005D744F" w:rsidRDefault="005D744F" w:rsidP="005D744F">
      <w:pPr>
        <w:spacing w:line="240" w:lineRule="auto"/>
        <w:rPr>
          <w:rFonts w:eastAsia="Times New Roman" w:cs="Arial"/>
          <w:color w:val="000000"/>
          <w:lang w:eastAsia="bg-BG"/>
        </w:rPr>
      </w:pPr>
    </w:p>
    <w:p w14:paraId="24E9E204" w14:textId="1762973D"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Прилагането на леводопа е било свързано със сънливост и внезапни епизоди на заспиване. Много рядко е било докладвано за внезапно заспиване по време на ежедневните дейности, понякога несъзнателно и без предупредителни признаци. Пациентите трябва да са информирани за това и съветвани да внимават при работа с машини или шофиране. Пациентите, които са имали сънливост или/и епизоди на внезапно заспиване, трябва да се въздържат от шофиране или работа с машини. Освен това може да се помисли за намаляване на дозата или прекратяване на терапията.</w:t>
      </w:r>
    </w:p>
    <w:p w14:paraId="60CBFBEC" w14:textId="77777777" w:rsidR="005D744F" w:rsidRDefault="005D744F" w:rsidP="005D744F">
      <w:pPr>
        <w:spacing w:line="240" w:lineRule="auto"/>
        <w:rPr>
          <w:rFonts w:eastAsia="Times New Roman" w:cs="Arial"/>
          <w:color w:val="000000"/>
          <w:lang w:eastAsia="bg-BG"/>
        </w:rPr>
      </w:pPr>
    </w:p>
    <w:p w14:paraId="3B908726" w14:textId="00B953AE" w:rsidR="005D744F" w:rsidRPr="005D744F" w:rsidRDefault="005D744F" w:rsidP="005D744F">
      <w:pPr>
        <w:spacing w:line="240" w:lineRule="auto"/>
        <w:rPr>
          <w:rFonts w:eastAsia="Times New Roman" w:cs="Arial"/>
        </w:rPr>
      </w:pPr>
      <w:r w:rsidRPr="005D744F">
        <w:rPr>
          <w:rFonts w:eastAsia="Times New Roman" w:cs="Arial"/>
          <w:color w:val="000000"/>
          <w:lang w:eastAsia="bg-BG"/>
        </w:rPr>
        <w:t>Синепар не се препоръчва за лечение на лекарствено-индуцирани екстрапирамидни реакции.</w:t>
      </w:r>
    </w:p>
    <w:p w14:paraId="02FFBEC1" w14:textId="77777777" w:rsidR="005D744F" w:rsidRDefault="005D744F" w:rsidP="005D744F">
      <w:pPr>
        <w:spacing w:line="240" w:lineRule="auto"/>
        <w:rPr>
          <w:rFonts w:eastAsia="Times New Roman" w:cs="Arial"/>
          <w:color w:val="000000"/>
          <w:lang w:eastAsia="bg-BG"/>
        </w:rPr>
      </w:pPr>
    </w:p>
    <w:p w14:paraId="329D9286" w14:textId="0C8C720B"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При провеждане на по-продължителна терапия е препоръчително да се извършва периодичен контрол и оценка на чернодробната, хемопоетичната, кардиоваскуларната и реналната функция.</w:t>
      </w:r>
    </w:p>
    <w:p w14:paraId="14E84CC5" w14:textId="77777777" w:rsidR="005D744F" w:rsidRDefault="005D744F" w:rsidP="005D744F">
      <w:pPr>
        <w:spacing w:line="240" w:lineRule="auto"/>
        <w:rPr>
          <w:rFonts w:eastAsia="Times New Roman" w:cs="Arial"/>
          <w:b/>
          <w:bCs/>
          <w:color w:val="000000"/>
          <w:u w:val="single"/>
          <w:lang w:eastAsia="bg-BG"/>
        </w:rPr>
      </w:pPr>
    </w:p>
    <w:p w14:paraId="620AF0B9" w14:textId="2845B2C7" w:rsidR="005D744F" w:rsidRPr="005D744F" w:rsidRDefault="005D744F" w:rsidP="005D744F">
      <w:pPr>
        <w:spacing w:line="240" w:lineRule="auto"/>
        <w:rPr>
          <w:rFonts w:eastAsia="Times New Roman" w:cs="Arial"/>
        </w:rPr>
      </w:pPr>
      <w:r w:rsidRPr="005D744F">
        <w:rPr>
          <w:rFonts w:eastAsia="Times New Roman" w:cs="Arial"/>
          <w:b/>
          <w:bCs/>
          <w:color w:val="000000"/>
          <w:u w:val="single"/>
          <w:lang w:eastAsia="bg-BG"/>
        </w:rPr>
        <w:t>Педиатрична популация</w:t>
      </w:r>
    </w:p>
    <w:p w14:paraId="60460B88" w14:textId="77777777" w:rsidR="005D744F" w:rsidRDefault="005D744F" w:rsidP="005D744F">
      <w:pPr>
        <w:spacing w:line="240" w:lineRule="auto"/>
        <w:rPr>
          <w:rFonts w:eastAsia="Times New Roman" w:cs="Arial"/>
          <w:color w:val="000000"/>
          <w:lang w:eastAsia="bg-BG"/>
        </w:rPr>
      </w:pPr>
    </w:p>
    <w:p w14:paraId="58C1E570" w14:textId="2ED5EF32" w:rsidR="005D744F" w:rsidRPr="005D744F" w:rsidRDefault="005D744F" w:rsidP="005D744F">
      <w:pPr>
        <w:spacing w:line="240" w:lineRule="auto"/>
        <w:rPr>
          <w:rFonts w:eastAsia="Times New Roman" w:cs="Arial"/>
        </w:rPr>
      </w:pPr>
      <w:r w:rsidRPr="005D744F">
        <w:rPr>
          <w:rFonts w:eastAsia="Times New Roman" w:cs="Arial"/>
          <w:color w:val="000000"/>
          <w:lang w:eastAsia="bg-BG"/>
        </w:rPr>
        <w:t>Употребата на Синепар при кърмачета и деца под 18 години няма напълно изяснена ефективност и безопасност, поради което не се препоръчва употребата му в тази възрастова група.</w:t>
      </w:r>
    </w:p>
    <w:p w14:paraId="69E55394" w14:textId="77777777" w:rsidR="005D744F" w:rsidRDefault="005D744F" w:rsidP="005D744F">
      <w:pPr>
        <w:spacing w:line="240" w:lineRule="auto"/>
        <w:rPr>
          <w:rFonts w:eastAsia="Times New Roman" w:cs="Arial"/>
          <w:b/>
          <w:bCs/>
          <w:color w:val="000000"/>
          <w:lang w:eastAsia="bg-BG"/>
        </w:rPr>
      </w:pPr>
    </w:p>
    <w:p w14:paraId="218BD9AC" w14:textId="7A354D59" w:rsidR="005D744F" w:rsidRPr="005D744F" w:rsidRDefault="005D744F" w:rsidP="005D744F">
      <w:pPr>
        <w:spacing w:line="240" w:lineRule="auto"/>
        <w:rPr>
          <w:rFonts w:eastAsia="Times New Roman" w:cs="Arial"/>
        </w:rPr>
      </w:pPr>
      <w:r w:rsidRPr="005D744F">
        <w:rPr>
          <w:rFonts w:eastAsia="Times New Roman" w:cs="Arial"/>
          <w:b/>
          <w:bCs/>
          <w:color w:val="000000"/>
          <w:lang w:eastAsia="bg-BG"/>
        </w:rPr>
        <w:t xml:space="preserve">Меланома: </w:t>
      </w:r>
      <w:r w:rsidRPr="005D744F">
        <w:rPr>
          <w:rFonts w:eastAsia="Times New Roman" w:cs="Arial"/>
          <w:color w:val="000000"/>
          <w:lang w:eastAsia="bg-BG"/>
        </w:rPr>
        <w:t>Епидемиологични изпитвания показват, че пациенти с болестта на Паркинсон са с по-висок риск (от 2 до приблизително 6 пъти) за развитие на меланома в сравнение с общата популация. Не е известно дали наблюдаваният повишен риск се дължи на болестта на Паркинсон или на други фактори, като лекарствата за лечение на паркинсонова</w:t>
      </w:r>
    </w:p>
    <w:p w14:paraId="0DAC5A69" w14:textId="77777777" w:rsidR="005D744F" w:rsidRDefault="005D744F" w:rsidP="005D744F">
      <w:pPr>
        <w:spacing w:line="240" w:lineRule="auto"/>
        <w:rPr>
          <w:rFonts w:eastAsia="Times New Roman" w:cs="Arial"/>
          <w:color w:val="000000"/>
          <w:lang w:eastAsia="bg-BG"/>
        </w:rPr>
      </w:pPr>
    </w:p>
    <w:p w14:paraId="5AEF4C66" w14:textId="77777777" w:rsidR="005D744F" w:rsidRPr="005D744F" w:rsidRDefault="005D744F" w:rsidP="005D744F">
      <w:pPr>
        <w:rPr>
          <w:rFonts w:eastAsia="Times New Roman" w:cs="Arial"/>
        </w:rPr>
      </w:pPr>
      <w:r w:rsidRPr="005D744F">
        <w:rPr>
          <w:rFonts w:eastAsia="Times New Roman" w:cs="Arial"/>
          <w:color w:val="000000"/>
          <w:lang w:eastAsia="bg-BG"/>
        </w:rPr>
        <w:t>Поради гореспоменатата причина, пациентите и болногледачите се съветват да следят често и</w:t>
      </w:r>
      <w:r>
        <w:rPr>
          <w:rFonts w:eastAsia="Times New Roman" w:cs="Arial"/>
        </w:rPr>
        <w:t xml:space="preserve"> </w:t>
      </w:r>
      <w:r w:rsidRPr="005D744F">
        <w:rPr>
          <w:rFonts w:eastAsia="Times New Roman" w:cs="Arial"/>
          <w:color w:val="000000"/>
          <w:lang w:eastAsia="bg-BG"/>
        </w:rPr>
        <w:t>редовно за наличието на меланома, когато се използва Синепар за всяка една индикация. Най-добре да се извършват периодични кожни прегледи от подходящ квалифициран специалист (напр. дерматолог).</w:t>
      </w:r>
    </w:p>
    <w:p w14:paraId="4BDCF226" w14:textId="77777777" w:rsidR="005D744F" w:rsidRDefault="005D744F" w:rsidP="005D744F">
      <w:pPr>
        <w:spacing w:line="240" w:lineRule="auto"/>
        <w:rPr>
          <w:rFonts w:eastAsia="Times New Roman" w:cs="Arial"/>
          <w:b/>
          <w:bCs/>
          <w:color w:val="000000"/>
          <w:lang w:eastAsia="bg-BG"/>
        </w:rPr>
      </w:pPr>
    </w:p>
    <w:p w14:paraId="2952CE68" w14:textId="5D421999" w:rsidR="005D744F" w:rsidRPr="005D744F" w:rsidRDefault="005D744F" w:rsidP="005D744F">
      <w:pPr>
        <w:spacing w:line="240" w:lineRule="auto"/>
        <w:rPr>
          <w:rFonts w:eastAsia="Times New Roman" w:cs="Arial"/>
        </w:rPr>
      </w:pPr>
      <w:r w:rsidRPr="005D744F">
        <w:rPr>
          <w:rFonts w:eastAsia="Times New Roman" w:cs="Arial"/>
          <w:b/>
          <w:bCs/>
          <w:color w:val="000000"/>
          <w:lang w:eastAsia="bg-BG"/>
        </w:rPr>
        <w:t>Нарушения в контрола на импулсите</w:t>
      </w:r>
    </w:p>
    <w:p w14:paraId="68C52E17"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Пациентите трябва да бъдат редовно мониторирани за развитие на нарушения в контрола на импулсите. Пациентите и болногледачите им трябва да са наясно, че поведенческите симптоми на нарушения в контрола на импулсите, включващи патологично влечение към хазарт, повишено либидо, хиперсексуалност, непреодолима склонност към харчене или пазаруване, преяждане и прекомерна склонност към преяждане може да се появят при пациенти, лекувани с допаминови агонисти и/или други допаминергични терапии, съдържащи леводопа, включително Синепар.</w:t>
      </w:r>
    </w:p>
    <w:p w14:paraId="6F861F0A"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Ако се развият подобни симптоми, се препоръчва преразглеждане на лечението.</w:t>
      </w:r>
    </w:p>
    <w:p w14:paraId="71514DF6" w14:textId="77777777" w:rsidR="005D744F" w:rsidRDefault="005D744F" w:rsidP="005D744F">
      <w:pPr>
        <w:spacing w:line="240" w:lineRule="auto"/>
        <w:rPr>
          <w:rFonts w:eastAsia="Times New Roman" w:cs="Arial"/>
          <w:i/>
          <w:iCs/>
          <w:color w:val="000000"/>
          <w:lang w:eastAsia="bg-BG"/>
        </w:rPr>
      </w:pPr>
    </w:p>
    <w:p w14:paraId="0761B80D" w14:textId="76428766"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lastRenderedPageBreak/>
        <w:t>Лабораторни тестове</w:t>
      </w:r>
    </w:p>
    <w:p w14:paraId="4ADE701D"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Докладваните промени в резултатите от някои лабораторни тестове включват стойностите на креатинин, пикочна киселина, алкална фосфатаза, АСАТ , АЛАТ , лактат дехидрогеназа, билирубин, урея в кръвта и положителен тест на </w:t>
      </w:r>
      <w:r w:rsidRPr="005D744F">
        <w:rPr>
          <w:rFonts w:eastAsia="Times New Roman" w:cs="Arial"/>
          <w:i/>
          <w:iCs/>
          <w:color w:val="000000"/>
          <w:lang w:val="en-US"/>
        </w:rPr>
        <w:t>Coombs</w:t>
      </w:r>
      <w:r w:rsidRPr="005D744F">
        <w:rPr>
          <w:rFonts w:eastAsia="Times New Roman" w:cs="Arial"/>
          <w:i/>
          <w:iCs/>
          <w:color w:val="000000"/>
          <w:lang w:val="ru-RU"/>
        </w:rPr>
        <w:t>.</w:t>
      </w:r>
    </w:p>
    <w:p w14:paraId="520A8FD3" w14:textId="77777777" w:rsidR="005D744F" w:rsidRDefault="005D744F" w:rsidP="005D744F">
      <w:pPr>
        <w:spacing w:line="240" w:lineRule="auto"/>
        <w:rPr>
          <w:rFonts w:eastAsia="Times New Roman" w:cs="Arial"/>
          <w:color w:val="000000"/>
          <w:lang w:eastAsia="bg-BG"/>
        </w:rPr>
      </w:pPr>
    </w:p>
    <w:p w14:paraId="527FD483" w14:textId="5728C496" w:rsidR="005D744F" w:rsidRPr="005D744F" w:rsidRDefault="005D744F" w:rsidP="005D744F">
      <w:pPr>
        <w:spacing w:line="240" w:lineRule="auto"/>
        <w:rPr>
          <w:rFonts w:eastAsia="Times New Roman" w:cs="Arial"/>
        </w:rPr>
      </w:pPr>
      <w:r w:rsidRPr="005D744F">
        <w:rPr>
          <w:rFonts w:eastAsia="Times New Roman" w:cs="Arial"/>
          <w:color w:val="000000"/>
          <w:lang w:eastAsia="bg-BG"/>
        </w:rPr>
        <w:t>Съобщава се също и за понижаване на хемоглобина, хематокрита, повишаване на серумната глюкоза, левкоцитоза, бактериурия и хематурия.</w:t>
      </w:r>
    </w:p>
    <w:p w14:paraId="7AACB5AD" w14:textId="77777777" w:rsidR="005D744F" w:rsidRDefault="005D744F" w:rsidP="005D744F">
      <w:pPr>
        <w:spacing w:line="240" w:lineRule="auto"/>
        <w:rPr>
          <w:rFonts w:eastAsia="Times New Roman" w:cs="Arial"/>
          <w:color w:val="000000"/>
          <w:lang w:eastAsia="bg-BG"/>
        </w:rPr>
      </w:pPr>
    </w:p>
    <w:p w14:paraId="0D08867A" w14:textId="7A3C699D" w:rsidR="005D744F" w:rsidRPr="005D744F" w:rsidRDefault="005D744F" w:rsidP="005D744F">
      <w:pPr>
        <w:spacing w:line="240" w:lineRule="auto"/>
        <w:rPr>
          <w:rFonts w:eastAsia="Times New Roman" w:cs="Arial"/>
        </w:rPr>
      </w:pPr>
      <w:r w:rsidRPr="005D744F">
        <w:rPr>
          <w:rFonts w:eastAsia="Times New Roman" w:cs="Arial"/>
          <w:color w:val="000000"/>
          <w:lang w:eastAsia="bg-BG"/>
        </w:rPr>
        <w:t>За определяне на кетонурия (с тест лента) - може да се причини фалшиво положителен тест за кетонни тела в урината. Тази реакция не се променя, ако пробата се затопли. Фалшиво отрицателни тестове могат да се получат, ако се използва глюкозо-оксидазен метод при тестване за глюкозурия.</w:t>
      </w:r>
    </w:p>
    <w:p w14:paraId="1BBECFF1" w14:textId="77777777" w:rsidR="005D744F" w:rsidRDefault="005D744F" w:rsidP="005D744F">
      <w:pPr>
        <w:spacing w:line="240" w:lineRule="auto"/>
        <w:rPr>
          <w:rFonts w:eastAsia="Times New Roman" w:cs="Arial"/>
          <w:color w:val="000000"/>
          <w:lang w:eastAsia="bg-BG"/>
        </w:rPr>
      </w:pPr>
    </w:p>
    <w:p w14:paraId="1B1BA47B" w14:textId="4EC2A19C"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Синдром на нарушена допаминова регулация </w:t>
      </w:r>
      <w:r w:rsidRPr="005D744F">
        <w:rPr>
          <w:rFonts w:eastAsia="Times New Roman" w:cs="Arial"/>
          <w:color w:val="000000"/>
          <w:lang w:val="ru-RU"/>
        </w:rPr>
        <w:t>(</w:t>
      </w:r>
      <w:r w:rsidRPr="005D744F">
        <w:rPr>
          <w:rFonts w:eastAsia="Times New Roman" w:cs="Arial"/>
          <w:color w:val="000000"/>
          <w:lang w:val="en-US"/>
        </w:rPr>
        <w:t>Dopamine</w:t>
      </w:r>
      <w:r w:rsidRPr="005D744F">
        <w:rPr>
          <w:rFonts w:eastAsia="Times New Roman" w:cs="Arial"/>
          <w:color w:val="000000"/>
          <w:lang w:val="ru-RU"/>
        </w:rPr>
        <w:t xml:space="preserve"> </w:t>
      </w:r>
      <w:r w:rsidRPr="005D744F">
        <w:rPr>
          <w:rFonts w:eastAsia="Times New Roman" w:cs="Arial"/>
          <w:color w:val="000000"/>
          <w:lang w:val="en-US"/>
        </w:rPr>
        <w:t>Dysregulation</w:t>
      </w:r>
      <w:r w:rsidRPr="005D744F">
        <w:rPr>
          <w:rFonts w:eastAsia="Times New Roman" w:cs="Arial"/>
          <w:color w:val="000000"/>
          <w:lang w:val="ru-RU"/>
        </w:rPr>
        <w:t xml:space="preserve"> </w:t>
      </w:r>
      <w:r w:rsidRPr="005D744F">
        <w:rPr>
          <w:rFonts w:eastAsia="Times New Roman" w:cs="Arial"/>
          <w:color w:val="000000"/>
          <w:lang w:val="en-US"/>
        </w:rPr>
        <w:t>Syndrome</w:t>
      </w:r>
      <w:r w:rsidRPr="005D744F">
        <w:rPr>
          <w:rFonts w:eastAsia="Times New Roman" w:cs="Arial"/>
          <w:color w:val="000000"/>
          <w:lang w:val="ru-RU"/>
        </w:rPr>
        <w:t xml:space="preserve">, </w:t>
      </w:r>
      <w:r w:rsidRPr="005D744F">
        <w:rPr>
          <w:rFonts w:eastAsia="Times New Roman" w:cs="Arial"/>
          <w:color w:val="000000"/>
          <w:lang w:val="en-US"/>
        </w:rPr>
        <w:t>DDS</w:t>
      </w:r>
      <w:r w:rsidRPr="005D744F">
        <w:rPr>
          <w:rFonts w:eastAsia="Times New Roman" w:cs="Arial"/>
          <w:color w:val="000000"/>
          <w:lang w:val="ru-RU"/>
        </w:rPr>
        <w:t xml:space="preserve">) </w:t>
      </w:r>
      <w:r w:rsidRPr="005D744F">
        <w:rPr>
          <w:rFonts w:eastAsia="Times New Roman" w:cs="Arial"/>
          <w:color w:val="000000"/>
          <w:lang w:eastAsia="bg-BG"/>
        </w:rPr>
        <w:t xml:space="preserve">е разстройство, свързано със зависимост, което води до прекомерно използване на продукта, наблюдавано при някои пациенти, лекувани с карбидопа/леводопа. Преди започване на лечение пациентите и полагащите грижи за тях трябва да бъдат предупредени за потенциалния риск от развитие на </w:t>
      </w:r>
      <w:r w:rsidRPr="005D744F">
        <w:rPr>
          <w:rFonts w:eastAsia="Times New Roman" w:cs="Arial"/>
          <w:color w:val="000000"/>
          <w:lang w:val="en-US"/>
        </w:rPr>
        <w:t>DDS</w:t>
      </w:r>
      <w:r w:rsidRPr="005D744F">
        <w:rPr>
          <w:rFonts w:eastAsia="Times New Roman" w:cs="Arial"/>
          <w:color w:val="000000"/>
          <w:lang w:val="ru-RU"/>
        </w:rPr>
        <w:t xml:space="preserve"> </w:t>
      </w:r>
      <w:r w:rsidRPr="005D744F">
        <w:rPr>
          <w:rFonts w:eastAsia="Times New Roman" w:cs="Arial"/>
          <w:color w:val="000000"/>
          <w:lang w:eastAsia="bg-BG"/>
        </w:rPr>
        <w:t>(вж. също точка 4.8).</w:t>
      </w:r>
    </w:p>
    <w:p w14:paraId="2638D9A4" w14:textId="023C041B" w:rsidR="005D744F" w:rsidRPr="005D744F" w:rsidRDefault="005D744F" w:rsidP="005D744F"/>
    <w:p w14:paraId="619DED1E" w14:textId="5376321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86C4B43" w14:textId="6D902EF1" w:rsidR="005D744F" w:rsidRDefault="005D744F" w:rsidP="005D744F"/>
    <w:p w14:paraId="7C9AF396"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Особено внимание се изисква в случаите, когато едновременно със Синепар се назначават и прилагат някои от следните лекарствени продукти:</w:t>
      </w:r>
    </w:p>
    <w:p w14:paraId="1AC8F62C" w14:textId="77777777" w:rsidR="005D744F" w:rsidRDefault="005D744F" w:rsidP="005D744F">
      <w:pPr>
        <w:spacing w:line="240" w:lineRule="auto"/>
        <w:rPr>
          <w:rFonts w:eastAsia="Times New Roman" w:cs="Arial"/>
          <w:i/>
          <w:iCs/>
          <w:color w:val="000000"/>
          <w:lang w:eastAsia="bg-BG"/>
        </w:rPr>
      </w:pPr>
    </w:p>
    <w:p w14:paraId="5F7FB268" w14:textId="5BA3177D"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Антихипертензивни средства</w:t>
      </w:r>
    </w:p>
    <w:p w14:paraId="40EC35CB"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При пациенти, приемащи едновременно леводопа/декарбоксилазен инхибитор и антихипертензивни лекарствени продукти, може да се наблюдава развитие на симптоматична ортостатична хипотония. Следователно, когато се започва терапия с Синепар, може да се наложи корекция на дозата на съпътстващия антихипертензивен лекарствен продукт.</w:t>
      </w:r>
    </w:p>
    <w:p w14:paraId="3E731C7D" w14:textId="77777777" w:rsidR="005D744F" w:rsidRDefault="005D744F" w:rsidP="005D744F">
      <w:pPr>
        <w:spacing w:line="240" w:lineRule="auto"/>
        <w:rPr>
          <w:rFonts w:eastAsia="Times New Roman" w:cs="Arial"/>
          <w:i/>
          <w:iCs/>
          <w:color w:val="000000"/>
          <w:lang w:eastAsia="bg-BG"/>
        </w:rPr>
      </w:pPr>
    </w:p>
    <w:p w14:paraId="40D889CF" w14:textId="2A98AEB5"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Антидепресанти</w:t>
      </w:r>
    </w:p>
    <w:p w14:paraId="4E2B949A"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Рядко има съобщени случаи на хипертония и дискинезия, настъпващи в резултат на едновременно приложение на трициклични антидепресанти с продукти, съдържащи карбидопа/леводопа.</w:t>
      </w:r>
    </w:p>
    <w:p w14:paraId="0AACA91A" w14:textId="77777777" w:rsidR="005D744F" w:rsidRDefault="005D744F" w:rsidP="005D744F">
      <w:pPr>
        <w:spacing w:line="240" w:lineRule="auto"/>
        <w:rPr>
          <w:rFonts w:eastAsia="Times New Roman" w:cs="Arial"/>
          <w:color w:val="000000"/>
          <w:lang w:eastAsia="bg-BG"/>
        </w:rPr>
      </w:pPr>
    </w:p>
    <w:p w14:paraId="78F0BFF1" w14:textId="6118ACDE" w:rsidR="005D744F" w:rsidRPr="005D744F" w:rsidRDefault="005D744F" w:rsidP="005D744F">
      <w:pPr>
        <w:spacing w:line="240" w:lineRule="auto"/>
        <w:rPr>
          <w:rFonts w:eastAsia="Times New Roman" w:cs="Arial"/>
        </w:rPr>
      </w:pPr>
      <w:r w:rsidRPr="005D744F">
        <w:rPr>
          <w:rFonts w:eastAsia="Times New Roman" w:cs="Arial"/>
          <w:color w:val="000000"/>
          <w:lang w:eastAsia="bg-BG"/>
        </w:rPr>
        <w:t>За пациенти, получаващи моноаминооксидазни инхибитори вж. точка 4.3.</w:t>
      </w:r>
    </w:p>
    <w:p w14:paraId="594DCAB2" w14:textId="77777777" w:rsidR="005D744F" w:rsidRDefault="005D744F" w:rsidP="005D744F">
      <w:pPr>
        <w:spacing w:line="240" w:lineRule="auto"/>
        <w:rPr>
          <w:rFonts w:eastAsia="Times New Roman" w:cs="Arial"/>
          <w:i/>
          <w:iCs/>
          <w:color w:val="000000"/>
          <w:lang w:eastAsia="bg-BG"/>
        </w:rPr>
      </w:pPr>
    </w:p>
    <w:p w14:paraId="47008540" w14:textId="1CE005DE"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Антихолинергици</w:t>
      </w:r>
    </w:p>
    <w:p w14:paraId="4F65B914" w14:textId="1865FF95" w:rsidR="005D744F" w:rsidRDefault="005D744F" w:rsidP="005D744F">
      <w:pPr>
        <w:rPr>
          <w:rFonts w:eastAsia="Times New Roman" w:cs="Arial"/>
          <w:color w:val="000000"/>
          <w:lang w:eastAsia="bg-BG"/>
        </w:rPr>
      </w:pPr>
      <w:r w:rsidRPr="005D744F">
        <w:rPr>
          <w:rFonts w:eastAsia="Times New Roman" w:cs="Arial"/>
          <w:color w:val="000000"/>
          <w:lang w:eastAsia="bg-BG"/>
        </w:rPr>
        <w:t>Антихолинергичните средства могат да повлияят абсорбцията и по този начин реакцията на пациента.</w:t>
      </w:r>
    </w:p>
    <w:p w14:paraId="1C0AC6B5" w14:textId="6475BD7B" w:rsidR="005D744F" w:rsidRDefault="005D744F" w:rsidP="005D744F">
      <w:pPr>
        <w:rPr>
          <w:rFonts w:eastAsia="Times New Roman" w:cs="Arial"/>
          <w:color w:val="000000"/>
          <w:lang w:eastAsia="bg-BG"/>
        </w:rPr>
      </w:pPr>
    </w:p>
    <w:p w14:paraId="6DE1E453" w14:textId="77777777"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Желязо</w:t>
      </w:r>
    </w:p>
    <w:p w14:paraId="0E0131A0"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Проучвания показват намаляване на бионаличността на карбидопа и/или леводопа, когато се приемат с железен сулфат или железен глюконат.</w:t>
      </w:r>
    </w:p>
    <w:p w14:paraId="1183DA72" w14:textId="77777777" w:rsidR="005D744F" w:rsidRDefault="005D744F" w:rsidP="005D744F">
      <w:pPr>
        <w:spacing w:line="240" w:lineRule="auto"/>
        <w:rPr>
          <w:rFonts w:eastAsia="Times New Roman" w:cs="Arial"/>
          <w:i/>
          <w:iCs/>
          <w:color w:val="000000"/>
          <w:lang w:eastAsia="bg-BG"/>
        </w:rPr>
      </w:pPr>
    </w:p>
    <w:p w14:paraId="5ED98923" w14:textId="00D8A022" w:rsidR="005D744F" w:rsidRPr="005D744F" w:rsidRDefault="005D744F" w:rsidP="005D744F">
      <w:pPr>
        <w:spacing w:line="240" w:lineRule="auto"/>
        <w:rPr>
          <w:rFonts w:eastAsia="Times New Roman" w:cs="Arial"/>
        </w:rPr>
      </w:pPr>
      <w:r w:rsidRPr="005D744F">
        <w:rPr>
          <w:rFonts w:eastAsia="Times New Roman" w:cs="Arial"/>
          <w:i/>
          <w:iCs/>
          <w:color w:val="000000"/>
          <w:lang w:eastAsia="bg-BG"/>
        </w:rPr>
        <w:t>Други лекарствени продукти</w:t>
      </w:r>
    </w:p>
    <w:p w14:paraId="5A6EDE87"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Допамин </w:t>
      </w:r>
      <w:r w:rsidRPr="005D744F">
        <w:rPr>
          <w:rFonts w:eastAsia="Times New Roman" w:cs="Arial"/>
          <w:color w:val="000000"/>
          <w:lang w:val="en-US"/>
        </w:rPr>
        <w:t>D</w:t>
      </w:r>
      <w:r w:rsidRPr="005D744F">
        <w:rPr>
          <w:rFonts w:eastAsia="Times New Roman" w:cs="Arial"/>
          <w:color w:val="000000"/>
          <w:vertAlign w:val="subscript"/>
          <w:lang w:eastAsia="bg-BG"/>
        </w:rPr>
        <w:t>2</w:t>
      </w:r>
      <w:r w:rsidRPr="005D744F">
        <w:rPr>
          <w:rFonts w:eastAsia="Times New Roman" w:cs="Arial"/>
          <w:color w:val="000000"/>
          <w:lang w:eastAsia="bg-BG"/>
        </w:rPr>
        <w:t xml:space="preserve">-рецепторните антагонисти (фенотиазин, бутирофенони, рисперидон) и изониазид могат да понижат терапевтичните ефекти на леводопа. Съобщава се и за </w:t>
      </w:r>
      <w:r w:rsidRPr="005D744F">
        <w:rPr>
          <w:rFonts w:eastAsia="Times New Roman" w:cs="Arial"/>
          <w:color w:val="000000"/>
          <w:lang w:eastAsia="bg-BG"/>
        </w:rPr>
        <w:lastRenderedPageBreak/>
        <w:t>промяна на положителните ефекти на леводопа при паркинсонова болест от фенитоин и папаверин.</w:t>
      </w:r>
    </w:p>
    <w:p w14:paraId="6A5BC093"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Пациентите, приемащи едновременно тези лекарствени продукти със Синепар, трябва да бъдат внимателно наблюдавани за евентуална загуба на терапевтичен отговор.</w:t>
      </w:r>
    </w:p>
    <w:p w14:paraId="22E04F32" w14:textId="77777777" w:rsidR="005D744F" w:rsidRDefault="005D744F" w:rsidP="005D744F">
      <w:pPr>
        <w:spacing w:line="240" w:lineRule="auto"/>
        <w:rPr>
          <w:rFonts w:eastAsia="Times New Roman" w:cs="Arial"/>
          <w:color w:val="000000"/>
          <w:lang w:eastAsia="bg-BG"/>
        </w:rPr>
      </w:pPr>
    </w:p>
    <w:p w14:paraId="5CF7B7F1" w14:textId="0A6013B2" w:rsidR="005D744F" w:rsidRPr="005D744F" w:rsidRDefault="005D744F" w:rsidP="005D744F">
      <w:pPr>
        <w:spacing w:line="240" w:lineRule="auto"/>
        <w:rPr>
          <w:rFonts w:eastAsia="Times New Roman" w:cs="Arial"/>
        </w:rPr>
      </w:pPr>
      <w:r w:rsidRPr="005D744F">
        <w:rPr>
          <w:rFonts w:eastAsia="Times New Roman" w:cs="Arial"/>
          <w:color w:val="000000"/>
          <w:lang w:eastAsia="bg-BG"/>
        </w:rPr>
        <w:t>Не се препоръчва употребата на Синепар със средства, които изчерпват допамина (напр. резерпин и тетрабеназин) или други лекарства, познати като изчерпващи запасите моноамини.</w:t>
      </w:r>
    </w:p>
    <w:p w14:paraId="62DF7362" w14:textId="77777777" w:rsidR="005D744F" w:rsidRDefault="005D744F" w:rsidP="005D744F">
      <w:pPr>
        <w:spacing w:line="240" w:lineRule="auto"/>
        <w:rPr>
          <w:rFonts w:eastAsia="Times New Roman" w:cs="Arial"/>
          <w:color w:val="000000"/>
          <w:lang w:eastAsia="bg-BG"/>
        </w:rPr>
      </w:pPr>
    </w:p>
    <w:p w14:paraId="26589203" w14:textId="124B03DA" w:rsidR="005D744F" w:rsidRPr="005D744F" w:rsidRDefault="005D744F" w:rsidP="005D744F">
      <w:pPr>
        <w:spacing w:line="240" w:lineRule="auto"/>
        <w:rPr>
          <w:rFonts w:eastAsia="Times New Roman" w:cs="Arial"/>
        </w:rPr>
      </w:pPr>
      <w:r w:rsidRPr="005D744F">
        <w:rPr>
          <w:rFonts w:eastAsia="Times New Roman" w:cs="Arial"/>
          <w:color w:val="000000"/>
          <w:lang w:eastAsia="bg-BG"/>
        </w:rPr>
        <w:t>Едновременната употреба на селегилин и карбидопа/леводопа може да бъде свързана с тежка ортостатична хипотония, която не се наблюдава при самостоятелно приложение на карбидопа/леводопа (вж. точка 4.3).</w:t>
      </w:r>
    </w:p>
    <w:p w14:paraId="75184F37" w14:textId="77777777" w:rsidR="005D744F" w:rsidRDefault="005D744F" w:rsidP="005D744F">
      <w:pPr>
        <w:spacing w:line="240" w:lineRule="auto"/>
        <w:rPr>
          <w:rFonts w:eastAsia="Times New Roman" w:cs="Arial"/>
          <w:color w:val="000000"/>
          <w:lang w:eastAsia="bg-BG"/>
        </w:rPr>
      </w:pPr>
    </w:p>
    <w:p w14:paraId="2EE6416D" w14:textId="315A6D1A" w:rsidR="005D744F" w:rsidRPr="005D744F" w:rsidRDefault="005D744F" w:rsidP="005D744F">
      <w:pPr>
        <w:spacing w:line="240" w:lineRule="auto"/>
        <w:rPr>
          <w:rFonts w:eastAsia="Times New Roman" w:cs="Arial"/>
        </w:rPr>
      </w:pPr>
      <w:r w:rsidRPr="005D744F">
        <w:rPr>
          <w:rFonts w:eastAsia="Times New Roman" w:cs="Arial"/>
          <w:color w:val="000000"/>
          <w:lang w:eastAsia="bg-BG"/>
        </w:rPr>
        <w:t>Въпреки че не са проведени специфични клинични проучвания за взаимодействията с други едновременно прилагани лекарства, пациентите са могли да приемат трициклични антидепресанти, бензодиазепини, бета-блокери, тиазиди, АСЕ инхибитори, калциеви антагонисти, дигиталисови препарати, Н</w:t>
      </w:r>
      <w:r w:rsidRPr="005D744F">
        <w:rPr>
          <w:rFonts w:eastAsia="Times New Roman" w:cs="Arial"/>
          <w:color w:val="000000"/>
          <w:vertAlign w:val="subscript"/>
          <w:lang w:eastAsia="bg-BG"/>
        </w:rPr>
        <w:t>2</w:t>
      </w:r>
      <w:r w:rsidRPr="005D744F">
        <w:rPr>
          <w:rFonts w:eastAsia="Times New Roman" w:cs="Arial"/>
          <w:color w:val="000000"/>
          <w:lang w:eastAsia="bg-BG"/>
        </w:rPr>
        <w:t>-антагонисти, салицилати и други противовъзпалителни лекарства. Синепар е използван и с други антипаркинсонови лекарства.</w:t>
      </w:r>
    </w:p>
    <w:p w14:paraId="6B4EB67E" w14:textId="77777777" w:rsidR="005D744F" w:rsidRDefault="005D744F" w:rsidP="005D744F">
      <w:pPr>
        <w:spacing w:line="240" w:lineRule="auto"/>
        <w:rPr>
          <w:rFonts w:eastAsia="Times New Roman" w:cs="Arial"/>
          <w:color w:val="000000"/>
          <w:lang w:eastAsia="bg-BG"/>
        </w:rPr>
      </w:pPr>
    </w:p>
    <w:p w14:paraId="5268BF40" w14:textId="40A3E9D7" w:rsidR="005D744F" w:rsidRPr="005D744F" w:rsidRDefault="005D744F" w:rsidP="005D744F">
      <w:pPr>
        <w:spacing w:line="240" w:lineRule="auto"/>
        <w:rPr>
          <w:rFonts w:eastAsia="Times New Roman" w:cs="Arial"/>
        </w:rPr>
      </w:pPr>
      <w:r w:rsidRPr="005D744F">
        <w:rPr>
          <w:rFonts w:eastAsia="Times New Roman" w:cs="Arial"/>
          <w:color w:val="000000"/>
          <w:lang w:eastAsia="bg-BG"/>
        </w:rPr>
        <w:t>Тъй като леводопа се конкурира с някои аминокиселини, абсорбцията на леводопа може да бъде нарушена при някои пациенти, които са на високо протеинова диета.</w:t>
      </w:r>
    </w:p>
    <w:p w14:paraId="569A5F89" w14:textId="77777777" w:rsidR="005D744F" w:rsidRDefault="005D744F" w:rsidP="005D744F">
      <w:pPr>
        <w:spacing w:line="240" w:lineRule="auto"/>
        <w:rPr>
          <w:rFonts w:eastAsia="Times New Roman" w:cs="Arial"/>
          <w:b/>
          <w:bCs/>
          <w:color w:val="000000"/>
          <w:u w:val="single"/>
          <w:lang w:eastAsia="bg-BG"/>
        </w:rPr>
      </w:pPr>
    </w:p>
    <w:p w14:paraId="177DCD20" w14:textId="45BBF45D" w:rsidR="005D744F" w:rsidRPr="005D744F" w:rsidRDefault="005D744F" w:rsidP="005D744F">
      <w:pPr>
        <w:spacing w:line="240" w:lineRule="auto"/>
        <w:rPr>
          <w:rFonts w:eastAsia="Times New Roman" w:cs="Arial"/>
        </w:rPr>
      </w:pPr>
      <w:r w:rsidRPr="005D744F">
        <w:rPr>
          <w:rFonts w:eastAsia="Times New Roman" w:cs="Arial"/>
          <w:b/>
          <w:bCs/>
          <w:color w:val="000000"/>
          <w:u w:val="single"/>
          <w:lang w:eastAsia="bg-BG"/>
        </w:rPr>
        <w:t>Педиатрична популация</w:t>
      </w:r>
    </w:p>
    <w:p w14:paraId="5032F40E"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Проучвания за взаимодействията са провеждани само при възрастни.</w:t>
      </w:r>
    </w:p>
    <w:p w14:paraId="7D02BD93" w14:textId="58C2399C" w:rsidR="005D744F" w:rsidRPr="005D744F" w:rsidRDefault="005D744F" w:rsidP="005D744F"/>
    <w:p w14:paraId="394A7584" w14:textId="7B4FFD1B" w:rsidR="004F498A" w:rsidRDefault="002C50EE" w:rsidP="004A448E">
      <w:pPr>
        <w:pStyle w:val="Heading2"/>
      </w:pPr>
      <w:r>
        <w:t>4.6. Фертилитет, бременност и кърмене</w:t>
      </w:r>
    </w:p>
    <w:p w14:paraId="46ADFC0E" w14:textId="1BAB79AF" w:rsidR="005D744F" w:rsidRDefault="005D744F" w:rsidP="005D744F"/>
    <w:p w14:paraId="6F6FDCD0" w14:textId="77777777" w:rsidR="005D744F" w:rsidRPr="005D744F" w:rsidRDefault="005D744F" w:rsidP="005D744F">
      <w:pPr>
        <w:pStyle w:val="Heading3"/>
        <w:rPr>
          <w:rFonts w:eastAsia="Times New Roman"/>
          <w:i/>
        </w:rPr>
      </w:pPr>
      <w:r w:rsidRPr="005D744F">
        <w:rPr>
          <w:rFonts w:eastAsia="Times New Roman"/>
          <w:i/>
          <w:lang w:eastAsia="bg-BG"/>
        </w:rPr>
        <w:t>Фертилитет</w:t>
      </w:r>
    </w:p>
    <w:p w14:paraId="31770782"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Няма налични данни относно потенциалните ефекти на лечението с карбидопа/леводопа върху мъжкия и женския фертилитет (вж. точка 5.3).</w:t>
      </w:r>
    </w:p>
    <w:p w14:paraId="7482A668" w14:textId="77777777" w:rsidR="005D744F" w:rsidRDefault="005D744F" w:rsidP="005D744F">
      <w:pPr>
        <w:spacing w:line="240" w:lineRule="auto"/>
        <w:rPr>
          <w:rFonts w:eastAsia="Times New Roman" w:cs="Arial"/>
          <w:i/>
          <w:iCs/>
          <w:color w:val="000000"/>
          <w:lang w:eastAsia="bg-BG"/>
        </w:rPr>
      </w:pPr>
    </w:p>
    <w:p w14:paraId="3E67C817" w14:textId="44EA887B" w:rsidR="005D744F" w:rsidRPr="005D744F" w:rsidRDefault="005D744F" w:rsidP="005D744F">
      <w:pPr>
        <w:pStyle w:val="Heading3"/>
        <w:rPr>
          <w:rFonts w:eastAsia="Times New Roman"/>
          <w:i/>
        </w:rPr>
      </w:pPr>
      <w:r w:rsidRPr="005D744F">
        <w:rPr>
          <w:rFonts w:eastAsia="Times New Roman"/>
          <w:i/>
          <w:lang w:eastAsia="bg-BG"/>
        </w:rPr>
        <w:t>Бременност</w:t>
      </w:r>
    </w:p>
    <w:p w14:paraId="2E73E73C"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Въпреки че ефектите на Синепар върху протичането на бременността при жената не са адекватни и добре контролирани, известно е, че причиняват висцерални и скелетни малформации (както леводопа, така и комбинацията от леводопа/карбидопа). Следователно употребата на Синепар при жени в репродуктивна възраст изисква сравняване на очакваните положителни ефекти от лечението с възможните рискове при настъпване на бременност.</w:t>
      </w:r>
    </w:p>
    <w:p w14:paraId="779C3CEB" w14:textId="77777777" w:rsidR="005D744F" w:rsidRDefault="005D744F" w:rsidP="005D744F">
      <w:pPr>
        <w:spacing w:line="240" w:lineRule="auto"/>
        <w:rPr>
          <w:rFonts w:eastAsia="Times New Roman" w:cs="Arial"/>
          <w:i/>
          <w:iCs/>
          <w:color w:val="000000"/>
          <w:lang w:eastAsia="bg-BG"/>
        </w:rPr>
      </w:pPr>
    </w:p>
    <w:p w14:paraId="2F7AAA36" w14:textId="5336C7CF" w:rsidR="005D744F" w:rsidRPr="005D744F" w:rsidRDefault="005D744F" w:rsidP="005D744F">
      <w:pPr>
        <w:pStyle w:val="Heading3"/>
        <w:rPr>
          <w:rFonts w:eastAsia="Times New Roman"/>
          <w:i/>
        </w:rPr>
      </w:pPr>
      <w:r w:rsidRPr="005D744F">
        <w:rPr>
          <w:rFonts w:eastAsia="Times New Roman"/>
          <w:i/>
          <w:lang w:eastAsia="bg-BG"/>
        </w:rPr>
        <w:t>Кърмене</w:t>
      </w:r>
    </w:p>
    <w:p w14:paraId="0FE0A30D"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Не е известно дали карбидопа се екскретира в майчиното мляко. Докладвана е екскреция на леводопа в кърмата в проучване на една кърмачка с паркинсонова болест, но тъй като редица лекарства се отделят в млякото и поради риска за настъпване на сериозни нежелани лекарствени реакции при кърмачетата, трябва да се вземе съответното решение за прекъсване на кърменето или за прекратяване на лечението със Синепар, след като се прецени степента на важност на лекарствения продукт за здравето на майката.</w:t>
      </w:r>
    </w:p>
    <w:p w14:paraId="1C67E4D3" w14:textId="77777777" w:rsidR="005D744F" w:rsidRPr="005D744F" w:rsidRDefault="005D744F" w:rsidP="005D744F"/>
    <w:p w14:paraId="064DF1DE" w14:textId="3FD9F2B7" w:rsidR="00CF77F7" w:rsidRDefault="002C50EE" w:rsidP="004A448E">
      <w:pPr>
        <w:pStyle w:val="Heading2"/>
      </w:pPr>
      <w:r>
        <w:lastRenderedPageBreak/>
        <w:t>4.7. Ефекти върху способността за шофиране и работа с машини</w:t>
      </w:r>
    </w:p>
    <w:p w14:paraId="27412D53" w14:textId="0A7490A3" w:rsidR="005D744F" w:rsidRDefault="005D744F" w:rsidP="005D744F"/>
    <w:p w14:paraId="38BBAEEA"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Индивидуалният отговор спрямо лекарството може да варира. Някои нежелани лекарствени реакции могат да засегнат способността на някои пациенти да шофират или да управляват машини (вж. точка 4.8).</w:t>
      </w:r>
    </w:p>
    <w:p w14:paraId="68A8370A" w14:textId="77777777" w:rsidR="005D744F" w:rsidRDefault="005D744F" w:rsidP="005D744F">
      <w:pPr>
        <w:spacing w:line="240" w:lineRule="auto"/>
        <w:rPr>
          <w:rFonts w:eastAsia="Times New Roman" w:cs="Arial"/>
          <w:color w:val="000000"/>
          <w:lang w:eastAsia="bg-BG"/>
        </w:rPr>
      </w:pPr>
    </w:p>
    <w:p w14:paraId="133214F0" w14:textId="5D06CB0A"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Пациенти, лекувани със Синепар, които се оплакват от сънливост и/или внезапни епизоди на заспиване, трябва да бъдат информирани </w:t>
      </w:r>
      <w:r w:rsidRPr="005D744F">
        <w:rPr>
          <w:rFonts w:eastAsia="Times New Roman" w:cs="Arial"/>
          <w:b/>
          <w:bCs/>
          <w:color w:val="000000"/>
          <w:lang w:eastAsia="bg-BG"/>
        </w:rPr>
        <w:t xml:space="preserve">да избягват да шофират, или да се занимават с дейности, при които намаленото внимание може да изложи тях, или други хора на риск от сериозно нараняване, или смърт </w:t>
      </w:r>
      <w:r w:rsidRPr="005D744F">
        <w:rPr>
          <w:rFonts w:eastAsia="Times New Roman" w:cs="Arial"/>
          <w:color w:val="000000"/>
          <w:lang w:eastAsia="bg-BG"/>
        </w:rPr>
        <w:t>(напр. при работа с машини), докато подобни повтарящи се епизоди и сънливостта бъдат овладени (вж. точка 4.4).</w:t>
      </w:r>
    </w:p>
    <w:p w14:paraId="73F36F6E" w14:textId="77777777" w:rsidR="005D744F" w:rsidRDefault="005D744F" w:rsidP="005D744F">
      <w:pPr>
        <w:spacing w:line="240" w:lineRule="auto"/>
        <w:rPr>
          <w:rFonts w:eastAsia="Times New Roman" w:cs="Arial"/>
          <w:color w:val="000000"/>
          <w:lang w:eastAsia="bg-BG"/>
        </w:rPr>
      </w:pPr>
    </w:p>
    <w:p w14:paraId="0359EB12" w14:textId="514234E1"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Синепар 200 </w:t>
      </w:r>
      <w:r w:rsidRPr="005D744F">
        <w:rPr>
          <w:rFonts w:eastAsia="Times New Roman" w:cs="Arial"/>
          <w:color w:val="000000"/>
          <w:lang w:val="en-US"/>
        </w:rPr>
        <w:t>mg</w:t>
      </w:r>
      <w:r w:rsidRPr="005D744F">
        <w:rPr>
          <w:rFonts w:eastAsia="Times New Roman" w:cs="Arial"/>
          <w:color w:val="000000"/>
          <w:lang w:val="ru-RU"/>
        </w:rPr>
        <w:t xml:space="preserve">/50 </w:t>
      </w:r>
      <w:r w:rsidRPr="005D744F">
        <w:rPr>
          <w:rFonts w:eastAsia="Times New Roman" w:cs="Arial"/>
          <w:color w:val="000000"/>
          <w:lang w:val="en-US"/>
        </w:rPr>
        <w:t>mg</w:t>
      </w:r>
      <w:r w:rsidRPr="005D744F">
        <w:rPr>
          <w:rFonts w:eastAsia="Times New Roman" w:cs="Arial"/>
          <w:color w:val="000000"/>
          <w:lang w:val="ru-RU"/>
        </w:rPr>
        <w:t xml:space="preserve"> </w:t>
      </w:r>
      <w:r w:rsidRPr="005D744F">
        <w:rPr>
          <w:rFonts w:eastAsia="Times New Roman" w:cs="Arial"/>
          <w:color w:val="000000"/>
          <w:lang w:eastAsia="bg-BG"/>
        </w:rPr>
        <w:t>таблетки с удължено освобождаване повлияват в умерена степен способността за шофиране и работа с машини.</w:t>
      </w:r>
    </w:p>
    <w:p w14:paraId="34DD7BA2" w14:textId="77777777" w:rsidR="005D744F" w:rsidRPr="005D744F" w:rsidRDefault="005D744F" w:rsidP="005D744F"/>
    <w:p w14:paraId="37A3FD9F" w14:textId="185476DE" w:rsidR="00CF77F7" w:rsidRDefault="002C50EE" w:rsidP="004A448E">
      <w:pPr>
        <w:pStyle w:val="Heading2"/>
      </w:pPr>
      <w:r>
        <w:t>4.8. Нежелани лекарствени реакции</w:t>
      </w:r>
    </w:p>
    <w:p w14:paraId="7B60DC44" w14:textId="4DEF10B1" w:rsidR="005D744F" w:rsidRDefault="005D744F" w:rsidP="005D744F"/>
    <w:p w14:paraId="3C90670F" w14:textId="77777777" w:rsidR="005D744F" w:rsidRPr="005D744F" w:rsidRDefault="005D744F" w:rsidP="005D744F">
      <w:pPr>
        <w:spacing w:line="240" w:lineRule="auto"/>
        <w:rPr>
          <w:rFonts w:eastAsia="Times New Roman" w:cs="Arial"/>
        </w:rPr>
      </w:pPr>
      <w:r w:rsidRPr="005D744F">
        <w:rPr>
          <w:rFonts w:eastAsia="Times New Roman" w:cs="Arial"/>
          <w:color w:val="000000"/>
          <w:lang w:eastAsia="bg-BG"/>
        </w:rPr>
        <w:t>В рамките на контролирани клинични проучвания е установено, че при пациенти с умерено до тежко изразена двигателна нестабилност Синепар не предизвиква нежелани лекарствени реакции, които са уникални по характер за формата с удължено освобождаване.</w:t>
      </w:r>
    </w:p>
    <w:p w14:paraId="1D39DFD9" w14:textId="77777777" w:rsidR="005D744F" w:rsidRDefault="005D744F" w:rsidP="005D744F">
      <w:pPr>
        <w:spacing w:line="240" w:lineRule="auto"/>
        <w:rPr>
          <w:rFonts w:eastAsia="Times New Roman" w:cs="Arial"/>
          <w:color w:val="000000"/>
          <w:lang w:eastAsia="bg-BG"/>
        </w:rPr>
      </w:pPr>
    </w:p>
    <w:p w14:paraId="0ACE8005" w14:textId="2E982115" w:rsidR="005D744F" w:rsidRPr="005D744F" w:rsidRDefault="005D744F" w:rsidP="005D744F">
      <w:pPr>
        <w:spacing w:line="240" w:lineRule="auto"/>
        <w:rPr>
          <w:rFonts w:eastAsia="Times New Roman" w:cs="Arial"/>
        </w:rPr>
      </w:pPr>
      <w:r w:rsidRPr="005D744F">
        <w:rPr>
          <w:rFonts w:eastAsia="Times New Roman" w:cs="Arial"/>
          <w:color w:val="000000"/>
          <w:lang w:eastAsia="bg-BG"/>
        </w:rPr>
        <w:t xml:space="preserve">Най-често наблюдаваните нежелани лекарствени реакции са дискинезия (форма на патологични неволеви движения). В сравнение е лекарствени продукти, съдържащи леводопа/карбидопа, при лекарствените продукти, съдържащи леводопа/карбидопа с усължено освобождаване дискинезиите настъпват с по-голяма честота, което се дължи на заместване на т.нар. </w:t>
      </w:r>
      <w:r w:rsidRPr="005D744F">
        <w:rPr>
          <w:rFonts w:eastAsia="Times New Roman" w:cs="Arial"/>
          <w:i/>
          <w:iCs/>
          <w:color w:val="000000"/>
          <w:lang w:eastAsia="bg-BG"/>
        </w:rPr>
        <w:t>феномен на "изключване"</w:t>
      </w:r>
      <w:r w:rsidRPr="005D744F">
        <w:rPr>
          <w:rFonts w:eastAsia="Times New Roman" w:cs="Arial"/>
          <w:color w:val="000000"/>
          <w:lang w:eastAsia="bg-BG"/>
        </w:rPr>
        <w:t xml:space="preserve"> </w:t>
      </w:r>
      <w:r w:rsidRPr="005D744F">
        <w:rPr>
          <w:rFonts w:eastAsia="Times New Roman" w:cs="Arial"/>
          <w:color w:val="000000"/>
          <w:lang w:val="ru-RU"/>
        </w:rPr>
        <w:t>(„</w:t>
      </w:r>
      <w:r w:rsidRPr="005D744F">
        <w:rPr>
          <w:rFonts w:eastAsia="Times New Roman" w:cs="Arial"/>
          <w:color w:val="000000"/>
          <w:lang w:val="en-US"/>
        </w:rPr>
        <w:t>off</w:t>
      </w:r>
      <w:r w:rsidRPr="005D744F">
        <w:rPr>
          <w:rFonts w:eastAsia="Times New Roman" w:cs="Arial"/>
          <w:color w:val="000000"/>
          <w:lang w:val="ru-RU"/>
        </w:rPr>
        <w:t xml:space="preserve"> </w:t>
      </w:r>
      <w:r w:rsidRPr="005D744F">
        <w:rPr>
          <w:rFonts w:eastAsia="Times New Roman" w:cs="Arial"/>
          <w:color w:val="000000"/>
          <w:lang w:val="en-US"/>
        </w:rPr>
        <w:t>time</w:t>
      </w:r>
      <w:r w:rsidRPr="005D744F">
        <w:rPr>
          <w:rFonts w:eastAsia="Times New Roman" w:cs="Arial"/>
          <w:color w:val="000000"/>
          <w:lang w:val="ru-RU"/>
        </w:rPr>
        <w:t xml:space="preserve">”), </w:t>
      </w:r>
      <w:r w:rsidRPr="005D744F">
        <w:rPr>
          <w:rFonts w:eastAsia="Times New Roman" w:cs="Arial"/>
          <w:color w:val="000000"/>
          <w:lang w:eastAsia="bg-BG"/>
        </w:rPr>
        <w:t xml:space="preserve">който се редуцира от лекарствените продукти, съдържащи леводопа/карбидопа с усължено освобождаване, от т.нар. </w:t>
      </w:r>
      <w:r w:rsidRPr="005D744F">
        <w:rPr>
          <w:rFonts w:eastAsia="Times New Roman" w:cs="Arial"/>
          <w:i/>
          <w:iCs/>
          <w:color w:val="000000"/>
          <w:lang w:eastAsia="bg-BG"/>
        </w:rPr>
        <w:t>феномен на „включване"</w:t>
      </w:r>
      <w:r w:rsidRPr="005D744F">
        <w:rPr>
          <w:rFonts w:eastAsia="Times New Roman" w:cs="Arial"/>
          <w:color w:val="000000"/>
          <w:lang w:eastAsia="bg-BG"/>
        </w:rPr>
        <w:t xml:space="preserve"> </w:t>
      </w:r>
      <w:r w:rsidRPr="005D744F">
        <w:rPr>
          <w:rFonts w:eastAsia="Times New Roman" w:cs="Arial"/>
          <w:color w:val="000000"/>
          <w:lang w:val="ru-RU"/>
        </w:rPr>
        <w:t>(,,</w:t>
      </w:r>
      <w:r w:rsidRPr="005D744F">
        <w:rPr>
          <w:rFonts w:eastAsia="Times New Roman" w:cs="Arial"/>
          <w:color w:val="000000"/>
          <w:lang w:val="en-US"/>
        </w:rPr>
        <w:t>on</w:t>
      </w:r>
      <w:r w:rsidRPr="005D744F">
        <w:rPr>
          <w:rFonts w:eastAsia="Times New Roman" w:cs="Arial"/>
          <w:color w:val="000000"/>
          <w:lang w:val="ru-RU"/>
        </w:rPr>
        <w:t>”</w:t>
      </w:r>
      <w:r w:rsidRPr="005D744F">
        <w:rPr>
          <w:rFonts w:eastAsia="Times New Roman" w:cs="Arial"/>
          <w:color w:val="000000"/>
          <w:lang w:val="en-US"/>
        </w:rPr>
        <w:t>time</w:t>
      </w:r>
      <w:r w:rsidRPr="005D744F">
        <w:rPr>
          <w:rFonts w:eastAsia="Times New Roman" w:cs="Arial"/>
          <w:color w:val="000000"/>
          <w:lang w:val="ru-RU"/>
        </w:rPr>
        <w:t xml:space="preserve">), </w:t>
      </w:r>
      <w:r w:rsidRPr="005D744F">
        <w:rPr>
          <w:rFonts w:eastAsia="Times New Roman" w:cs="Arial"/>
          <w:color w:val="000000"/>
          <w:lang w:eastAsia="bg-BG"/>
        </w:rPr>
        <w:t>който понякога се придружава от дискинезии.</w:t>
      </w:r>
    </w:p>
    <w:p w14:paraId="40365CDC" w14:textId="77777777" w:rsidR="005D744F" w:rsidRDefault="005D744F" w:rsidP="005D744F">
      <w:pPr>
        <w:spacing w:line="240" w:lineRule="auto"/>
        <w:rPr>
          <w:rFonts w:eastAsia="Times New Roman" w:cs="Arial"/>
          <w:color w:val="000000"/>
          <w:lang w:eastAsia="bg-BG"/>
        </w:rPr>
      </w:pPr>
    </w:p>
    <w:p w14:paraId="2F1203ED" w14:textId="504D4AAB" w:rsidR="005D744F" w:rsidRPr="005D744F" w:rsidRDefault="005D744F" w:rsidP="005D744F">
      <w:pPr>
        <w:spacing w:line="240" w:lineRule="auto"/>
        <w:rPr>
          <w:rFonts w:eastAsia="Times New Roman" w:cs="Arial"/>
        </w:rPr>
      </w:pPr>
      <w:r w:rsidRPr="005D744F">
        <w:rPr>
          <w:rFonts w:eastAsia="Times New Roman" w:cs="Arial"/>
          <w:color w:val="000000"/>
          <w:lang w:eastAsia="bg-BG"/>
        </w:rPr>
        <w:t>Нежеланите реакции се класифицират като много чести (≥ 1/10); чести (≥ 1/100 до &lt; 1/10); нечести (≥ 1/1000 до &lt; 1/100); редки (≥ 1/10 000 до &lt;1/1000); много редки (&lt;1/10 000), с неизвестна честота (от наличните данни не може да бъде направена оценка).</w:t>
      </w:r>
    </w:p>
    <w:p w14:paraId="67603708" w14:textId="00953C7E" w:rsidR="005D744F" w:rsidRDefault="005D744F" w:rsidP="005D744F"/>
    <w:tbl>
      <w:tblPr>
        <w:tblStyle w:val="TableGrid"/>
        <w:tblW w:w="0" w:type="auto"/>
        <w:tblLook w:val="04A0" w:firstRow="1" w:lastRow="0" w:firstColumn="1" w:lastColumn="0" w:noHBand="0" w:noVBand="1"/>
      </w:tblPr>
      <w:tblGrid>
        <w:gridCol w:w="4659"/>
        <w:gridCol w:w="4691"/>
      </w:tblGrid>
      <w:tr w:rsidR="005D744F" w14:paraId="28F97391" w14:textId="77777777" w:rsidTr="00F95790">
        <w:tc>
          <w:tcPr>
            <w:tcW w:w="4788" w:type="dxa"/>
            <w:vAlign w:val="bottom"/>
          </w:tcPr>
          <w:p w14:paraId="7587A001" w14:textId="7604ECE8" w:rsidR="005D744F" w:rsidRPr="005D744F" w:rsidRDefault="005D744F" w:rsidP="005D744F">
            <w:r w:rsidRPr="005D744F">
              <w:rPr>
                <w:b/>
                <w:bCs/>
              </w:rPr>
              <w:t>Снстемно-органна класификация Честота</w:t>
            </w:r>
          </w:p>
        </w:tc>
        <w:tc>
          <w:tcPr>
            <w:tcW w:w="4788" w:type="dxa"/>
          </w:tcPr>
          <w:p w14:paraId="6F1237F4" w14:textId="3601849B" w:rsidR="005D744F" w:rsidRPr="005D744F" w:rsidRDefault="005D744F" w:rsidP="005D744F">
            <w:r w:rsidRPr="005D744F">
              <w:rPr>
                <w:b/>
                <w:bCs/>
              </w:rPr>
              <w:t>Нежелана реакция</w:t>
            </w:r>
          </w:p>
        </w:tc>
      </w:tr>
      <w:tr w:rsidR="005D744F" w14:paraId="3D069F04" w14:textId="77777777" w:rsidTr="00B27FED">
        <w:tc>
          <w:tcPr>
            <w:tcW w:w="9576" w:type="dxa"/>
            <w:gridSpan w:val="2"/>
            <w:vAlign w:val="bottom"/>
          </w:tcPr>
          <w:p w14:paraId="3B0EACC4" w14:textId="20D00D35" w:rsidR="005D744F" w:rsidRPr="005D744F" w:rsidRDefault="005D744F" w:rsidP="005D744F">
            <w:r w:rsidRPr="005D744F">
              <w:rPr>
                <w:b/>
                <w:bCs/>
              </w:rPr>
              <w:t>Изследвания</w:t>
            </w:r>
          </w:p>
        </w:tc>
      </w:tr>
      <w:tr w:rsidR="005D744F" w14:paraId="372C4134" w14:textId="77777777" w:rsidTr="005D744F">
        <w:tc>
          <w:tcPr>
            <w:tcW w:w="4788" w:type="dxa"/>
          </w:tcPr>
          <w:p w14:paraId="420F1EB1" w14:textId="528879F6" w:rsidR="005D744F" w:rsidRPr="005D744F" w:rsidRDefault="005D744F" w:rsidP="005D744F">
            <w:r w:rsidRPr="005D744F">
              <w:t>Нечести (≥ 1/1000 до &lt;1/100)</w:t>
            </w:r>
          </w:p>
        </w:tc>
        <w:tc>
          <w:tcPr>
            <w:tcW w:w="4788" w:type="dxa"/>
          </w:tcPr>
          <w:p w14:paraId="591935A8" w14:textId="58BBAD1B" w:rsidR="005D744F" w:rsidRPr="005D744F" w:rsidRDefault="005D744F" w:rsidP="005D744F">
            <w:r w:rsidRPr="005D744F">
              <w:t>Загуба на тегло.</w:t>
            </w:r>
          </w:p>
        </w:tc>
      </w:tr>
      <w:tr w:rsidR="005D744F" w14:paraId="0D75F8EA" w14:textId="77777777" w:rsidTr="00F95790">
        <w:tc>
          <w:tcPr>
            <w:tcW w:w="4788" w:type="dxa"/>
          </w:tcPr>
          <w:p w14:paraId="37CE3332" w14:textId="32ECBD60" w:rsidR="005D744F" w:rsidRPr="005D744F" w:rsidRDefault="005D744F" w:rsidP="005D744F">
            <w:r w:rsidRPr="005D744F">
              <w:t>С неизвестна честота (от наличните данни не може да бъде направена оценка)*</w:t>
            </w:r>
          </w:p>
        </w:tc>
        <w:tc>
          <w:tcPr>
            <w:tcW w:w="4788" w:type="dxa"/>
            <w:vAlign w:val="bottom"/>
          </w:tcPr>
          <w:p w14:paraId="3F29DA2D" w14:textId="77777777" w:rsidR="005D744F" w:rsidRPr="005D744F" w:rsidRDefault="005D744F" w:rsidP="005D744F">
            <w:r w:rsidRPr="005D744F">
              <w:t>Увеличаване на телесното тегло.</w:t>
            </w:r>
          </w:p>
          <w:p w14:paraId="43A3C312" w14:textId="77777777" w:rsidR="005D744F" w:rsidRPr="005D744F" w:rsidRDefault="005D744F" w:rsidP="005D744F">
            <w:r w:rsidRPr="005D744F">
              <w:t xml:space="preserve">Наблюдавани са промени в резултатите от лабораторните тестове за алкална фосфатаза, </w:t>
            </w:r>
            <w:r w:rsidRPr="005D744F">
              <w:rPr>
                <w:lang w:val="en-US"/>
              </w:rPr>
              <w:t>AST</w:t>
            </w:r>
            <w:r w:rsidRPr="005D744F">
              <w:rPr>
                <w:lang w:val="ru-RU"/>
              </w:rPr>
              <w:t xml:space="preserve">, </w:t>
            </w:r>
            <w:r w:rsidRPr="005D744F">
              <w:rPr>
                <w:lang w:val="en-US"/>
              </w:rPr>
              <w:t>ALT</w:t>
            </w:r>
            <w:r w:rsidRPr="005D744F">
              <w:rPr>
                <w:lang w:val="ru-RU"/>
              </w:rPr>
              <w:t xml:space="preserve">, </w:t>
            </w:r>
            <w:r w:rsidRPr="005D744F">
              <w:t xml:space="preserve">лактатдехидрогеназа, билирубин, кръвна урея, креатинин, пикочна киселина и тест на </w:t>
            </w:r>
            <w:proofErr w:type="spellStart"/>
            <w:r w:rsidRPr="005D744F">
              <w:rPr>
                <w:lang w:val="en-US"/>
              </w:rPr>
              <w:t>Coomb</w:t>
            </w:r>
            <w:proofErr w:type="spellEnd"/>
            <w:r w:rsidRPr="005D744F">
              <w:rPr>
                <w:lang w:val="ru-RU"/>
              </w:rPr>
              <w:t>.</w:t>
            </w:r>
          </w:p>
          <w:p w14:paraId="7C7F5164" w14:textId="77777777" w:rsidR="005D744F" w:rsidRPr="005D744F" w:rsidRDefault="005D744F" w:rsidP="005D744F">
            <w:r w:rsidRPr="005D744F">
              <w:t>Съобщавани са понижен хемоглобин, хематокрит и повишена серумна глюкоза. Съобщавано е също за наличие на левкоцити, бактерии и кръв в урината.</w:t>
            </w:r>
          </w:p>
          <w:p w14:paraId="6DCD4110" w14:textId="77777777" w:rsidR="005D744F" w:rsidRPr="005D744F" w:rsidRDefault="005D744F" w:rsidP="005D744F">
            <w:pPr>
              <w:rPr>
                <w:rFonts w:ascii="Times New Roman" w:eastAsia="Times New Roman" w:hAnsi="Times New Roman" w:cs="Times New Roman"/>
                <w:sz w:val="24"/>
                <w:szCs w:val="24"/>
              </w:rPr>
            </w:pPr>
            <w:r w:rsidRPr="005D744F">
              <w:lastRenderedPageBreak/>
              <w:t>Продуктите, съдържащи карбидопа/леводопа, могат да предизвикат фалшивоположителна реакция за кетоннни тела в урината, когато се използва тест-касета за определяне на кетонурия. Тази реакция не се променя, ако пробата урина се</w:t>
            </w:r>
            <w:r w:rsidRPr="005D744F">
              <w:rPr>
                <w:lang w:val="ru-RU"/>
              </w:rPr>
              <w:t xml:space="preserve"> </w:t>
            </w:r>
            <w:r w:rsidRPr="005D744F">
              <w:t>загрее на водна баня.</w:t>
            </w:r>
          </w:p>
          <w:p w14:paraId="7C8ECDB1" w14:textId="7645E4F7" w:rsidR="005D744F" w:rsidRPr="005D744F" w:rsidRDefault="005D744F" w:rsidP="005D744F">
            <w:pPr>
              <w:rPr>
                <w:lang w:val="ru-RU"/>
              </w:rPr>
            </w:pPr>
            <w:r w:rsidRPr="005D744F">
              <w:rPr>
                <w:lang w:eastAsia="bg-BG"/>
              </w:rPr>
              <w:t>Фалшивоотрицателни резултати могат да се получат при използване на глюкозооксидазни методи за определяне на глюкозурия.</w:t>
            </w:r>
          </w:p>
        </w:tc>
      </w:tr>
      <w:tr w:rsidR="00DE49F9" w14:paraId="3875D92C" w14:textId="77777777" w:rsidTr="009A1F2A">
        <w:tc>
          <w:tcPr>
            <w:tcW w:w="9576" w:type="dxa"/>
            <w:gridSpan w:val="2"/>
            <w:vAlign w:val="bottom"/>
          </w:tcPr>
          <w:p w14:paraId="4329DFA7" w14:textId="4206D50B" w:rsidR="00DE49F9" w:rsidRPr="005D744F" w:rsidRDefault="00DE49F9" w:rsidP="005D744F">
            <w:r w:rsidRPr="005D744F">
              <w:rPr>
                <w:b/>
                <w:bCs/>
              </w:rPr>
              <w:t>Сърдечни нарушения</w:t>
            </w:r>
          </w:p>
        </w:tc>
      </w:tr>
      <w:tr w:rsidR="005D744F" w14:paraId="1DABFD98" w14:textId="77777777" w:rsidTr="005D744F">
        <w:tc>
          <w:tcPr>
            <w:tcW w:w="4788" w:type="dxa"/>
          </w:tcPr>
          <w:p w14:paraId="1C192CC0" w14:textId="4F85D4DD" w:rsidR="005D744F" w:rsidRPr="005D744F" w:rsidRDefault="005D744F" w:rsidP="005D744F">
            <w:r w:rsidRPr="005D744F">
              <w:t>Чести- много чести (≥ 1/100)</w:t>
            </w:r>
          </w:p>
        </w:tc>
        <w:tc>
          <w:tcPr>
            <w:tcW w:w="4788" w:type="dxa"/>
          </w:tcPr>
          <w:p w14:paraId="0CD68B55" w14:textId="5C43FE25" w:rsidR="005D744F" w:rsidRPr="005D744F" w:rsidRDefault="005D744F" w:rsidP="005D744F">
            <w:r w:rsidRPr="005D744F">
              <w:t>Палпитации</w:t>
            </w:r>
          </w:p>
        </w:tc>
      </w:tr>
      <w:tr w:rsidR="005D744F" w14:paraId="3C2C86E7" w14:textId="77777777" w:rsidTr="00D544A0">
        <w:tc>
          <w:tcPr>
            <w:tcW w:w="4788" w:type="dxa"/>
            <w:vAlign w:val="bottom"/>
          </w:tcPr>
          <w:p w14:paraId="6A2C6F28" w14:textId="3779C5CE" w:rsidR="005D744F" w:rsidRPr="005D744F" w:rsidRDefault="005D744F" w:rsidP="005D744F">
            <w:r w:rsidRPr="005D744F">
              <w:t>С неизвестна честота (от наличните данни не може да бъде направена оценка)*</w:t>
            </w:r>
          </w:p>
        </w:tc>
        <w:tc>
          <w:tcPr>
            <w:tcW w:w="4788" w:type="dxa"/>
            <w:vAlign w:val="center"/>
          </w:tcPr>
          <w:p w14:paraId="45B1418D" w14:textId="55A64D0C" w:rsidR="005D744F" w:rsidRPr="005D744F" w:rsidRDefault="005D744F" w:rsidP="005D744F">
            <w:r w:rsidRPr="005D744F">
              <w:t>Нарушен сърдечен ритъм</w:t>
            </w:r>
          </w:p>
        </w:tc>
      </w:tr>
      <w:tr w:rsidR="00DE49F9" w14:paraId="7BC4F57A" w14:textId="77777777" w:rsidTr="009653DF">
        <w:tc>
          <w:tcPr>
            <w:tcW w:w="9576" w:type="dxa"/>
            <w:gridSpan w:val="2"/>
            <w:vAlign w:val="bottom"/>
          </w:tcPr>
          <w:p w14:paraId="200F087A" w14:textId="656B9033" w:rsidR="00DE49F9" w:rsidRPr="005D744F" w:rsidRDefault="00DE49F9" w:rsidP="005D744F">
            <w:r w:rsidRPr="005D744F">
              <w:rPr>
                <w:b/>
                <w:bCs/>
              </w:rPr>
              <w:t>Нарушения на кръвта н лимфната система</w:t>
            </w:r>
          </w:p>
        </w:tc>
      </w:tr>
      <w:tr w:rsidR="005D744F" w14:paraId="6E80BE2D" w14:textId="77777777" w:rsidTr="00D544A0">
        <w:tc>
          <w:tcPr>
            <w:tcW w:w="4788" w:type="dxa"/>
            <w:vAlign w:val="bottom"/>
          </w:tcPr>
          <w:p w14:paraId="4E0A3C43" w14:textId="153CBBCA" w:rsidR="005D744F" w:rsidRPr="005D744F" w:rsidRDefault="005D744F" w:rsidP="005D744F">
            <w:r w:rsidRPr="005D744F">
              <w:t>С неизвестна честота (от наличните данни не може да бъде направена оценка)*</w:t>
            </w:r>
          </w:p>
        </w:tc>
        <w:tc>
          <w:tcPr>
            <w:tcW w:w="4788" w:type="dxa"/>
            <w:vAlign w:val="bottom"/>
          </w:tcPr>
          <w:p w14:paraId="79B6A264" w14:textId="55FCED1A" w:rsidR="005D744F" w:rsidRPr="005D744F" w:rsidRDefault="005D744F" w:rsidP="005D744F">
            <w:r w:rsidRPr="005D744F">
              <w:t>Левкопения, хемолитична и нехемолитична анемия, тромбоцитопения, агранулоцитоза.</w:t>
            </w:r>
          </w:p>
        </w:tc>
      </w:tr>
      <w:tr w:rsidR="00DE49F9" w14:paraId="37F4B06B" w14:textId="77777777" w:rsidTr="008F4B16">
        <w:tc>
          <w:tcPr>
            <w:tcW w:w="9576" w:type="dxa"/>
            <w:gridSpan w:val="2"/>
            <w:vAlign w:val="bottom"/>
          </w:tcPr>
          <w:p w14:paraId="501E5D78" w14:textId="613E7FB6" w:rsidR="00DE49F9" w:rsidRPr="005D744F" w:rsidRDefault="00DE49F9" w:rsidP="005D744F">
            <w:r w:rsidRPr="005D744F">
              <w:rPr>
                <w:b/>
                <w:bCs/>
              </w:rPr>
              <w:t>Нарушения на нервната система</w:t>
            </w:r>
          </w:p>
        </w:tc>
      </w:tr>
      <w:tr w:rsidR="005D744F" w14:paraId="05118E03" w14:textId="77777777" w:rsidTr="00D544A0">
        <w:tc>
          <w:tcPr>
            <w:tcW w:w="4788" w:type="dxa"/>
          </w:tcPr>
          <w:p w14:paraId="5C0CBB42" w14:textId="00F8F8F5" w:rsidR="005D744F" w:rsidRPr="005D744F" w:rsidRDefault="005D744F" w:rsidP="005D744F">
            <w:r w:rsidRPr="005D744F">
              <w:t>Много чести (≥1/10)</w:t>
            </w:r>
          </w:p>
        </w:tc>
        <w:tc>
          <w:tcPr>
            <w:tcW w:w="4788" w:type="dxa"/>
            <w:vAlign w:val="center"/>
          </w:tcPr>
          <w:p w14:paraId="6F78B701" w14:textId="6A739117" w:rsidR="005D744F" w:rsidRPr="005D744F" w:rsidRDefault="005D744F" w:rsidP="005D744F">
            <w:r w:rsidRPr="005D744F">
              <w:t>Дискинезия и двигателни нарушения (необичайни неволеви движения).</w:t>
            </w:r>
          </w:p>
        </w:tc>
      </w:tr>
      <w:tr w:rsidR="005D744F" w14:paraId="2C00BA4B" w14:textId="77777777" w:rsidTr="00D544A0">
        <w:tc>
          <w:tcPr>
            <w:tcW w:w="4788" w:type="dxa"/>
            <w:vAlign w:val="bottom"/>
          </w:tcPr>
          <w:p w14:paraId="0D81CB41" w14:textId="6E920123" w:rsidR="005D744F" w:rsidRPr="005D744F" w:rsidRDefault="005D744F" w:rsidP="005D744F">
            <w:r w:rsidRPr="005D744F">
              <w:t>Чести/много чести (&gt; 1/100)</w:t>
            </w:r>
          </w:p>
        </w:tc>
        <w:tc>
          <w:tcPr>
            <w:tcW w:w="4788" w:type="dxa"/>
            <w:vAlign w:val="bottom"/>
          </w:tcPr>
          <w:p w14:paraId="475F3F00" w14:textId="72428297" w:rsidR="005D744F" w:rsidRPr="005D744F" w:rsidRDefault="005D744F" w:rsidP="005D744F">
            <w:r w:rsidRPr="005D744F">
              <w:t>Замаяност, хорея.</w:t>
            </w:r>
          </w:p>
        </w:tc>
      </w:tr>
      <w:tr w:rsidR="005D744F" w14:paraId="0ECB3CE9" w14:textId="77777777" w:rsidTr="00D544A0">
        <w:tc>
          <w:tcPr>
            <w:tcW w:w="4788" w:type="dxa"/>
          </w:tcPr>
          <w:p w14:paraId="32F79A2D" w14:textId="7C98C3D4" w:rsidR="005D744F" w:rsidRPr="005D744F" w:rsidRDefault="005D744F" w:rsidP="005D744F">
            <w:r w:rsidRPr="005D744F">
              <w:t>Чести (≥ 1/100 до &lt;1/10)</w:t>
            </w:r>
          </w:p>
        </w:tc>
        <w:tc>
          <w:tcPr>
            <w:tcW w:w="4788" w:type="dxa"/>
            <w:vAlign w:val="center"/>
          </w:tcPr>
          <w:p w14:paraId="5FE27C66" w14:textId="0B9D884A" w:rsidR="005D744F" w:rsidRPr="005D744F" w:rsidRDefault="005D744F" w:rsidP="005D744F">
            <w:r w:rsidRPr="005D744F">
              <w:t>Епизоди на брадикинезия ("</w:t>
            </w:r>
            <w:r w:rsidRPr="005D744F">
              <w:rPr>
                <w:lang w:val="en-US"/>
              </w:rPr>
              <w:t>on</w:t>
            </w:r>
            <w:r w:rsidRPr="005D744F">
              <w:rPr>
                <w:lang w:val="ru-RU"/>
              </w:rPr>
              <w:t>-</w:t>
            </w:r>
            <w:r w:rsidRPr="005D744F">
              <w:rPr>
                <w:lang w:val="en-US"/>
              </w:rPr>
              <w:t>off</w:t>
            </w:r>
            <w:r w:rsidRPr="005D744F">
              <w:rPr>
                <w:lang w:val="ru-RU"/>
              </w:rPr>
              <w:t>"</w:t>
            </w:r>
            <w:r w:rsidRPr="005D744F">
              <w:t xml:space="preserve"> феномен), главоболие, парестезия, дистония, сомнолентност, включително много рядко повишена сънливост през деня и внезапни епизоди на заспиване.</w:t>
            </w:r>
          </w:p>
        </w:tc>
      </w:tr>
      <w:tr w:rsidR="005D744F" w14:paraId="2845A3FE" w14:textId="77777777" w:rsidTr="00D544A0">
        <w:tc>
          <w:tcPr>
            <w:tcW w:w="4788" w:type="dxa"/>
            <w:vAlign w:val="center"/>
          </w:tcPr>
          <w:p w14:paraId="25EC60AE" w14:textId="3582447E" w:rsidR="005D744F" w:rsidRPr="005D744F" w:rsidRDefault="005D744F" w:rsidP="005D744F">
            <w:r w:rsidRPr="005D744F">
              <w:t>Нечести (≥1/ 1000 до &lt; 1/100)</w:t>
            </w:r>
          </w:p>
        </w:tc>
        <w:tc>
          <w:tcPr>
            <w:tcW w:w="4788" w:type="dxa"/>
            <w:vAlign w:val="bottom"/>
          </w:tcPr>
          <w:p w14:paraId="7845C93A" w14:textId="618A65CC" w:rsidR="005D744F" w:rsidRPr="005D744F" w:rsidRDefault="005D744F" w:rsidP="005D744F">
            <w:r w:rsidRPr="005D744F">
              <w:t>Синкоп, екстрапирамидни нарушения, намалена умствена острота.</w:t>
            </w:r>
          </w:p>
        </w:tc>
      </w:tr>
      <w:tr w:rsidR="005D744F" w14:paraId="632C7362" w14:textId="77777777" w:rsidTr="00D544A0">
        <w:tc>
          <w:tcPr>
            <w:tcW w:w="4788" w:type="dxa"/>
            <w:vAlign w:val="center"/>
          </w:tcPr>
          <w:p w14:paraId="12B10CBC" w14:textId="15701CA7" w:rsidR="005D744F" w:rsidRPr="005D744F" w:rsidRDefault="005D744F" w:rsidP="005D744F">
            <w:r w:rsidRPr="005D744F">
              <w:t>Редки (≥1/10 000 до &lt; 1/1000)</w:t>
            </w:r>
          </w:p>
        </w:tc>
        <w:tc>
          <w:tcPr>
            <w:tcW w:w="4788" w:type="dxa"/>
            <w:vAlign w:val="center"/>
          </w:tcPr>
          <w:p w14:paraId="2D424A63" w14:textId="0907E878" w:rsidR="005D744F" w:rsidRPr="005D744F" w:rsidRDefault="005D744F" w:rsidP="005D744F">
            <w:r w:rsidRPr="005D744F">
              <w:t>Невролептичен малигнен синдром (вж. точка 4.4).</w:t>
            </w:r>
          </w:p>
        </w:tc>
      </w:tr>
      <w:tr w:rsidR="00DE49F9" w14:paraId="31B7D24D" w14:textId="77777777" w:rsidTr="00951990">
        <w:tc>
          <w:tcPr>
            <w:tcW w:w="4788" w:type="dxa"/>
          </w:tcPr>
          <w:p w14:paraId="3B535204" w14:textId="6793CF6A"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bottom"/>
          </w:tcPr>
          <w:p w14:paraId="2C88F7BE" w14:textId="77777777" w:rsidR="00DE49F9" w:rsidRPr="00DE49F9" w:rsidRDefault="00DE49F9" w:rsidP="00DE49F9">
            <w:r w:rsidRPr="00DE49F9">
              <w:t>Деменция, горчив вкус, засилен тремор на ръцете, атаксия, активиране на латентен синдром на Хорнер, скованост, усещане за стимулиране.</w:t>
            </w:r>
          </w:p>
          <w:p w14:paraId="1D94EC86" w14:textId="77777777" w:rsidR="00DE49F9" w:rsidRPr="00DE49F9" w:rsidRDefault="00DE49F9" w:rsidP="00DE49F9">
            <w:r w:rsidRPr="00DE49F9">
              <w:t>Рядко са възникнали гърчове, въпреки това причинно-следствена връзка с леводопа или леводопа/карбидопа не е установена.</w:t>
            </w:r>
          </w:p>
          <w:p w14:paraId="067E2E03" w14:textId="75428281" w:rsidR="00DE49F9" w:rsidRPr="00DE49F9" w:rsidRDefault="00DE49F9" w:rsidP="00DE49F9">
            <w:r w:rsidRPr="00DE49F9">
              <w:t>Синдром на нарушена допаминова регулация.</w:t>
            </w:r>
          </w:p>
        </w:tc>
      </w:tr>
      <w:tr w:rsidR="00DE49F9" w14:paraId="46C1E6A7" w14:textId="77777777" w:rsidTr="00F04F99">
        <w:tc>
          <w:tcPr>
            <w:tcW w:w="9576" w:type="dxa"/>
            <w:gridSpan w:val="2"/>
            <w:vAlign w:val="bottom"/>
          </w:tcPr>
          <w:p w14:paraId="7E881CB2" w14:textId="64376E59" w:rsidR="00DE49F9" w:rsidRPr="00DE49F9" w:rsidRDefault="00DE49F9" w:rsidP="00DE49F9">
            <w:r w:rsidRPr="00DE49F9">
              <w:rPr>
                <w:b/>
                <w:bCs/>
              </w:rPr>
              <w:t>Нарушения на очите</w:t>
            </w:r>
          </w:p>
        </w:tc>
      </w:tr>
      <w:tr w:rsidR="00DE49F9" w14:paraId="1D7DF723" w14:textId="77777777" w:rsidTr="005D744F">
        <w:tc>
          <w:tcPr>
            <w:tcW w:w="4788" w:type="dxa"/>
          </w:tcPr>
          <w:p w14:paraId="17BA769A" w14:textId="6A6ABEAF" w:rsidR="00DE49F9" w:rsidRPr="00DE49F9" w:rsidRDefault="00DE49F9" w:rsidP="00DE49F9">
            <w:r w:rsidRPr="00DE49F9">
              <w:t>Редки (≥ 1/10 000 до &lt; 1/1000)</w:t>
            </w:r>
          </w:p>
        </w:tc>
        <w:tc>
          <w:tcPr>
            <w:tcW w:w="4788" w:type="dxa"/>
          </w:tcPr>
          <w:p w14:paraId="6764B4EE" w14:textId="1C222BEC" w:rsidR="00DE49F9" w:rsidRPr="00DE49F9" w:rsidRDefault="00DE49F9" w:rsidP="00DE49F9">
            <w:r w:rsidRPr="00DE49F9">
              <w:t>Замъглено зрение</w:t>
            </w:r>
          </w:p>
        </w:tc>
      </w:tr>
      <w:tr w:rsidR="00DE49F9" w14:paraId="679BF540" w14:textId="77777777" w:rsidTr="00951990">
        <w:tc>
          <w:tcPr>
            <w:tcW w:w="4788" w:type="dxa"/>
            <w:vAlign w:val="bottom"/>
          </w:tcPr>
          <w:p w14:paraId="047ECA0B" w14:textId="65FBC93C"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bottom"/>
          </w:tcPr>
          <w:p w14:paraId="0F19B0AF" w14:textId="0763EE19" w:rsidR="00DE49F9" w:rsidRPr="00DE49F9" w:rsidRDefault="00DE49F9" w:rsidP="00DE49F9">
            <w:r w:rsidRPr="00DE49F9">
              <w:t>Диплопия, разширени зеници, окулогирни кризи, блефароспазъм.</w:t>
            </w:r>
          </w:p>
        </w:tc>
      </w:tr>
      <w:tr w:rsidR="00DE49F9" w14:paraId="17EAE65A" w14:textId="77777777" w:rsidTr="00FD03BF">
        <w:tc>
          <w:tcPr>
            <w:tcW w:w="9576" w:type="dxa"/>
            <w:gridSpan w:val="2"/>
            <w:vAlign w:val="bottom"/>
          </w:tcPr>
          <w:p w14:paraId="11F24FC5" w14:textId="68978F12" w:rsidR="00DE49F9" w:rsidRPr="00DE49F9" w:rsidRDefault="00DE49F9" w:rsidP="00DE49F9">
            <w:r w:rsidRPr="00DE49F9">
              <w:rPr>
                <w:b/>
                <w:bCs/>
              </w:rPr>
              <w:lastRenderedPageBreak/>
              <w:t>Респираторни, гръдни и медиастинални нарушения</w:t>
            </w:r>
          </w:p>
        </w:tc>
      </w:tr>
      <w:tr w:rsidR="00DE49F9" w14:paraId="6C95A067" w14:textId="77777777" w:rsidTr="00951990">
        <w:tc>
          <w:tcPr>
            <w:tcW w:w="4788" w:type="dxa"/>
            <w:vAlign w:val="bottom"/>
          </w:tcPr>
          <w:p w14:paraId="07D48062" w14:textId="77777777" w:rsidR="00DE49F9" w:rsidRPr="00DE49F9" w:rsidRDefault="00DE49F9" w:rsidP="00DE49F9">
            <w:r w:rsidRPr="00DE49F9">
              <w:t>Чести (≥ 1/100 до &lt; 1/10)</w:t>
            </w:r>
          </w:p>
          <w:p w14:paraId="2993BD80" w14:textId="7E4DE206"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bottom"/>
          </w:tcPr>
          <w:p w14:paraId="0CE509C0" w14:textId="77777777" w:rsidR="00DE49F9" w:rsidRPr="00DE49F9" w:rsidRDefault="00DE49F9" w:rsidP="00DE49F9">
            <w:r w:rsidRPr="00DE49F9">
              <w:t>Диспнея.</w:t>
            </w:r>
          </w:p>
          <w:p w14:paraId="23D990D2" w14:textId="49B3D11B" w:rsidR="00DE49F9" w:rsidRPr="00DE49F9" w:rsidRDefault="00DE49F9" w:rsidP="00DE49F9">
            <w:r w:rsidRPr="00DE49F9">
              <w:t>Пресипналост на гласа, особен начин на дишане, хълцане.</w:t>
            </w:r>
          </w:p>
        </w:tc>
      </w:tr>
      <w:tr w:rsidR="00DE49F9" w14:paraId="3D1DD974" w14:textId="77777777" w:rsidTr="001179CC">
        <w:tc>
          <w:tcPr>
            <w:tcW w:w="9576" w:type="dxa"/>
            <w:gridSpan w:val="2"/>
            <w:vAlign w:val="bottom"/>
          </w:tcPr>
          <w:p w14:paraId="434EB260" w14:textId="5AE62D02" w:rsidR="00DE49F9" w:rsidRPr="00DE49F9" w:rsidRDefault="00DE49F9" w:rsidP="00DE49F9">
            <w:r w:rsidRPr="00DE49F9">
              <w:rPr>
                <w:b/>
                <w:bCs/>
              </w:rPr>
              <w:t>Стомашно-чревни нарушения</w:t>
            </w:r>
          </w:p>
        </w:tc>
      </w:tr>
      <w:tr w:rsidR="00DE49F9" w14:paraId="59134149" w14:textId="77777777" w:rsidTr="00951990">
        <w:tc>
          <w:tcPr>
            <w:tcW w:w="4788" w:type="dxa"/>
          </w:tcPr>
          <w:p w14:paraId="3D2C030B" w14:textId="03FBF6DD" w:rsidR="00DE49F9" w:rsidRPr="00DE49F9" w:rsidRDefault="00DE49F9" w:rsidP="00DE49F9">
            <w:r w:rsidRPr="00DE49F9">
              <w:t>Чести/много чести (&gt; 1/100)</w:t>
            </w:r>
          </w:p>
        </w:tc>
        <w:tc>
          <w:tcPr>
            <w:tcW w:w="4788" w:type="dxa"/>
            <w:vAlign w:val="bottom"/>
          </w:tcPr>
          <w:p w14:paraId="5C7D96E9" w14:textId="743A35D4" w:rsidR="00DE49F9" w:rsidRPr="00DE49F9" w:rsidRDefault="00DE49F9" w:rsidP="00DE49F9">
            <w:r w:rsidRPr="00DE49F9">
              <w:t>Гадене, сухота в устата.</w:t>
            </w:r>
          </w:p>
        </w:tc>
      </w:tr>
      <w:tr w:rsidR="00DE49F9" w14:paraId="06ED64C8" w14:textId="77777777" w:rsidTr="00951990">
        <w:tc>
          <w:tcPr>
            <w:tcW w:w="4788" w:type="dxa"/>
            <w:vAlign w:val="center"/>
          </w:tcPr>
          <w:p w14:paraId="52BC62CA" w14:textId="782FF308" w:rsidR="00DE49F9" w:rsidRPr="00DE49F9" w:rsidRDefault="00DE49F9" w:rsidP="00DE49F9">
            <w:r w:rsidRPr="00DE49F9">
              <w:t>Чести (≥1/100 до &lt; 1/10)</w:t>
            </w:r>
          </w:p>
        </w:tc>
        <w:tc>
          <w:tcPr>
            <w:tcW w:w="4788" w:type="dxa"/>
            <w:vAlign w:val="bottom"/>
          </w:tcPr>
          <w:p w14:paraId="2026ADFC" w14:textId="628B8532" w:rsidR="00DE49F9" w:rsidRPr="00DE49F9" w:rsidRDefault="00DE49F9" w:rsidP="00DE49F9">
            <w:r w:rsidRPr="00DE49F9">
              <w:t>Диария, повръщане, запек, диспепсия.</w:t>
            </w:r>
          </w:p>
        </w:tc>
      </w:tr>
      <w:tr w:rsidR="00DE49F9" w14:paraId="2DD943E3" w14:textId="77777777" w:rsidTr="00951990">
        <w:tc>
          <w:tcPr>
            <w:tcW w:w="4788" w:type="dxa"/>
            <w:vAlign w:val="center"/>
          </w:tcPr>
          <w:p w14:paraId="5C400407" w14:textId="1D81C2C8" w:rsidR="00DE49F9" w:rsidRPr="00DE49F9" w:rsidRDefault="00DE49F9" w:rsidP="00DE49F9">
            <w:r w:rsidRPr="00DE49F9">
              <w:t>Нечести (≥ 1/ 1000 до &lt; 1/100)</w:t>
            </w:r>
          </w:p>
        </w:tc>
        <w:tc>
          <w:tcPr>
            <w:tcW w:w="4788" w:type="dxa"/>
            <w:vAlign w:val="bottom"/>
          </w:tcPr>
          <w:p w14:paraId="1EE7634D" w14:textId="161A308D" w:rsidR="00DE49F9" w:rsidRPr="00DE49F9" w:rsidRDefault="00DE49F9" w:rsidP="00DE49F9">
            <w:r w:rsidRPr="00DE49F9">
              <w:t>Болка, засягаща стомашно-чревния тракт.</w:t>
            </w:r>
          </w:p>
        </w:tc>
      </w:tr>
      <w:tr w:rsidR="00DE49F9" w14:paraId="3296A39F" w14:textId="77777777" w:rsidTr="005D744F">
        <w:tc>
          <w:tcPr>
            <w:tcW w:w="4788" w:type="dxa"/>
          </w:tcPr>
          <w:p w14:paraId="030E16D0" w14:textId="0E38DB4F" w:rsidR="00DE49F9" w:rsidRPr="00DE49F9" w:rsidRDefault="00DE49F9" w:rsidP="00DE49F9">
            <w:r w:rsidRPr="00DE49F9">
              <w:t>Редки (≥ 1/10 000 до &lt; 1/1000)</w:t>
            </w:r>
          </w:p>
        </w:tc>
        <w:tc>
          <w:tcPr>
            <w:tcW w:w="4788" w:type="dxa"/>
          </w:tcPr>
          <w:p w14:paraId="4E8DD7A5" w14:textId="36422131" w:rsidR="00DE49F9" w:rsidRPr="00DE49F9" w:rsidRDefault="00DE49F9" w:rsidP="00DE49F9">
            <w:r w:rsidRPr="00DE49F9">
              <w:t>Тъмна слюнка.</w:t>
            </w:r>
          </w:p>
        </w:tc>
      </w:tr>
      <w:tr w:rsidR="00DE49F9" w14:paraId="4D8933BA" w14:textId="77777777" w:rsidTr="009A405A">
        <w:tc>
          <w:tcPr>
            <w:tcW w:w="4788" w:type="dxa"/>
            <w:vAlign w:val="center"/>
          </w:tcPr>
          <w:p w14:paraId="580FCA99" w14:textId="2200372F"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bottom"/>
          </w:tcPr>
          <w:p w14:paraId="70DC467E" w14:textId="7D51CC81" w:rsidR="00DE49F9" w:rsidRPr="00DE49F9" w:rsidRDefault="00DE49F9" w:rsidP="00DE49F9">
            <w:r w:rsidRPr="00DE49F9">
              <w:t>Сиалорея, дисфагия, флалуленция, кръвоизлив в стомашно-чревния тракт, развитие на дуоденална язва, усещане за парене на езика.</w:t>
            </w:r>
          </w:p>
        </w:tc>
      </w:tr>
      <w:tr w:rsidR="00DE49F9" w14:paraId="448FD2D2" w14:textId="77777777" w:rsidTr="001E34A1">
        <w:tc>
          <w:tcPr>
            <w:tcW w:w="9576" w:type="dxa"/>
            <w:gridSpan w:val="2"/>
            <w:vAlign w:val="bottom"/>
          </w:tcPr>
          <w:p w14:paraId="3E89B920" w14:textId="4E0A2EFE" w:rsidR="00DE49F9" w:rsidRPr="00DE49F9" w:rsidRDefault="00DE49F9" w:rsidP="00DE49F9">
            <w:r w:rsidRPr="00DE49F9">
              <w:rPr>
                <w:b/>
                <w:bCs/>
              </w:rPr>
              <w:t>Нарушения на бъбреците и пикочните пътища</w:t>
            </w:r>
          </w:p>
        </w:tc>
      </w:tr>
      <w:tr w:rsidR="00DE49F9" w14:paraId="6356833E" w14:textId="77777777" w:rsidTr="005D744F">
        <w:tc>
          <w:tcPr>
            <w:tcW w:w="4788" w:type="dxa"/>
          </w:tcPr>
          <w:p w14:paraId="5C97A618" w14:textId="3DC5FBFE" w:rsidR="00DE49F9" w:rsidRPr="00DE49F9" w:rsidRDefault="00DE49F9" w:rsidP="00DE49F9">
            <w:r w:rsidRPr="00DE49F9">
              <w:t>Редки (≥1/10 000 до &lt; 1/1000)</w:t>
            </w:r>
          </w:p>
        </w:tc>
        <w:tc>
          <w:tcPr>
            <w:tcW w:w="4788" w:type="dxa"/>
          </w:tcPr>
          <w:p w14:paraId="40CBBE76" w14:textId="6F612686" w:rsidR="00DE49F9" w:rsidRPr="00DE49F9" w:rsidRDefault="00DE49F9" w:rsidP="00DE49F9">
            <w:r w:rsidRPr="00DE49F9">
              <w:t>Тъмна урина.</w:t>
            </w:r>
          </w:p>
        </w:tc>
      </w:tr>
      <w:tr w:rsidR="00DE49F9" w14:paraId="08EE7E1E" w14:textId="77777777" w:rsidTr="009A405A">
        <w:tc>
          <w:tcPr>
            <w:tcW w:w="4788" w:type="dxa"/>
            <w:vAlign w:val="bottom"/>
          </w:tcPr>
          <w:p w14:paraId="08F5BB37" w14:textId="7D0FC80E"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center"/>
          </w:tcPr>
          <w:p w14:paraId="561BF0B7" w14:textId="617AB825" w:rsidR="00DE49F9" w:rsidRPr="00DE49F9" w:rsidRDefault="00DE49F9" w:rsidP="00DE49F9">
            <w:r w:rsidRPr="00DE49F9">
              <w:t>Ретенция на урина, инконтиненция на урина.</w:t>
            </w:r>
          </w:p>
        </w:tc>
      </w:tr>
      <w:tr w:rsidR="00DE49F9" w14:paraId="03DC304B" w14:textId="77777777" w:rsidTr="00FA1C15">
        <w:tc>
          <w:tcPr>
            <w:tcW w:w="9576" w:type="dxa"/>
            <w:gridSpan w:val="2"/>
            <w:vAlign w:val="bottom"/>
          </w:tcPr>
          <w:p w14:paraId="143301E3" w14:textId="0A33FB28" w:rsidR="00DE49F9" w:rsidRPr="00DE49F9" w:rsidRDefault="00DE49F9" w:rsidP="00DE49F9">
            <w:r w:rsidRPr="00DE49F9">
              <w:rPr>
                <w:b/>
                <w:bCs/>
              </w:rPr>
              <w:t>Нарушения на кожата и подкожната тъкан</w:t>
            </w:r>
          </w:p>
        </w:tc>
      </w:tr>
      <w:tr w:rsidR="00DE49F9" w14:paraId="1C474652" w14:textId="77777777" w:rsidTr="005D744F">
        <w:tc>
          <w:tcPr>
            <w:tcW w:w="4788" w:type="dxa"/>
          </w:tcPr>
          <w:p w14:paraId="31356405" w14:textId="1A945B30" w:rsidR="00DE49F9" w:rsidRPr="00DE49F9" w:rsidRDefault="00DE49F9" w:rsidP="00DE49F9">
            <w:r w:rsidRPr="00DE49F9">
              <w:t>Нечести (≥ 1/1000 до &lt; 1/100)</w:t>
            </w:r>
          </w:p>
        </w:tc>
        <w:tc>
          <w:tcPr>
            <w:tcW w:w="4788" w:type="dxa"/>
          </w:tcPr>
          <w:p w14:paraId="684AE530" w14:textId="487B0333" w:rsidR="00DE49F9" w:rsidRPr="00DE49F9" w:rsidRDefault="00DE49F9" w:rsidP="00DE49F9">
            <w:r w:rsidRPr="00DE49F9">
              <w:t>Уртикария.</w:t>
            </w:r>
          </w:p>
        </w:tc>
      </w:tr>
      <w:tr w:rsidR="00DE49F9" w14:paraId="471FDC3B" w14:textId="77777777" w:rsidTr="009A405A">
        <w:tc>
          <w:tcPr>
            <w:tcW w:w="4788" w:type="dxa"/>
            <w:vAlign w:val="center"/>
          </w:tcPr>
          <w:p w14:paraId="75617022" w14:textId="32368F4C" w:rsidR="00DE49F9" w:rsidRPr="00DE49F9" w:rsidRDefault="00DE49F9" w:rsidP="00DE49F9">
            <w:r w:rsidRPr="00DE49F9">
              <w:t>Редки (≥ 1/10 000 до &lt; 1/1000)</w:t>
            </w:r>
          </w:p>
        </w:tc>
        <w:tc>
          <w:tcPr>
            <w:tcW w:w="4788" w:type="dxa"/>
            <w:vAlign w:val="bottom"/>
          </w:tcPr>
          <w:p w14:paraId="3617B8F8" w14:textId="7224334B" w:rsidR="00DE49F9" w:rsidRPr="00DE49F9" w:rsidRDefault="00DE49F9" w:rsidP="00DE49F9">
            <w:r w:rsidRPr="00DE49F9">
              <w:t>Ангиоедем, пруритус, пурпура на Шьонлайн- Хенок, алопеция, обрив, тъмна пот.</w:t>
            </w:r>
          </w:p>
        </w:tc>
      </w:tr>
      <w:tr w:rsidR="00DE49F9" w14:paraId="24CD8015" w14:textId="77777777" w:rsidTr="009A405A">
        <w:tc>
          <w:tcPr>
            <w:tcW w:w="4788" w:type="dxa"/>
          </w:tcPr>
          <w:p w14:paraId="2C50B0FB" w14:textId="71D0B888"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bottom"/>
          </w:tcPr>
          <w:p w14:paraId="2EA25617" w14:textId="6F443602" w:rsidR="00DE49F9" w:rsidRPr="00DE49F9" w:rsidRDefault="00DE49F9" w:rsidP="00DE49F9">
            <w:r w:rsidRPr="00DE49F9">
              <w:t>Усилено потене.</w:t>
            </w:r>
          </w:p>
        </w:tc>
      </w:tr>
      <w:tr w:rsidR="00DE49F9" w14:paraId="241FB35B" w14:textId="77777777" w:rsidTr="00FE70BE">
        <w:tc>
          <w:tcPr>
            <w:tcW w:w="9576" w:type="dxa"/>
            <w:gridSpan w:val="2"/>
            <w:vAlign w:val="bottom"/>
          </w:tcPr>
          <w:p w14:paraId="686920E4" w14:textId="77E91FD9" w:rsidR="00DE49F9" w:rsidRPr="00DE49F9" w:rsidRDefault="00DE49F9" w:rsidP="00DE49F9">
            <w:r w:rsidRPr="00DE49F9">
              <w:rPr>
                <w:b/>
                <w:bCs/>
              </w:rPr>
              <w:t>Нарушения на мускулно-скелетната система и съединителната тъкан</w:t>
            </w:r>
          </w:p>
        </w:tc>
      </w:tr>
      <w:tr w:rsidR="00DE49F9" w14:paraId="06CF72C3" w14:textId="77777777" w:rsidTr="005D744F">
        <w:tc>
          <w:tcPr>
            <w:tcW w:w="4788" w:type="dxa"/>
          </w:tcPr>
          <w:p w14:paraId="6F306C71" w14:textId="175D3B1E" w:rsidR="00DE49F9" w:rsidRPr="00DE49F9" w:rsidRDefault="00DE49F9" w:rsidP="00DE49F9">
            <w:r w:rsidRPr="00DE49F9">
              <w:t>Чести (≥ 1/100 до &lt; 1/10)</w:t>
            </w:r>
          </w:p>
        </w:tc>
        <w:tc>
          <w:tcPr>
            <w:tcW w:w="4788" w:type="dxa"/>
          </w:tcPr>
          <w:p w14:paraId="2FBD28B5" w14:textId="6EB1AABD" w:rsidR="00DE49F9" w:rsidRPr="00DE49F9" w:rsidRDefault="00DE49F9" w:rsidP="00DE49F9">
            <w:r w:rsidRPr="00DE49F9">
              <w:t>Мускулни крампи.</w:t>
            </w:r>
          </w:p>
        </w:tc>
      </w:tr>
      <w:tr w:rsidR="00DE49F9" w14:paraId="78BB7B6B" w14:textId="77777777" w:rsidTr="005D744F">
        <w:tc>
          <w:tcPr>
            <w:tcW w:w="4788" w:type="dxa"/>
          </w:tcPr>
          <w:p w14:paraId="5F724F7F" w14:textId="30F00162" w:rsidR="00DE49F9" w:rsidRPr="00DE49F9" w:rsidRDefault="00DE49F9" w:rsidP="00DE49F9">
            <w:r w:rsidRPr="00DE49F9">
              <w:t>С неизвестна честота (от наличните данни не може да бъде направена оценка)*</w:t>
            </w:r>
          </w:p>
        </w:tc>
        <w:tc>
          <w:tcPr>
            <w:tcW w:w="4788" w:type="dxa"/>
          </w:tcPr>
          <w:p w14:paraId="3F609EDE" w14:textId="0271D5A9" w:rsidR="00DE49F9" w:rsidRPr="00DE49F9" w:rsidRDefault="00DE49F9" w:rsidP="00DE49F9">
            <w:r w:rsidRPr="00DE49F9">
              <w:t>Мускулни потрепвания, тризмус.</w:t>
            </w:r>
          </w:p>
        </w:tc>
      </w:tr>
      <w:tr w:rsidR="00DE49F9" w14:paraId="31507161" w14:textId="77777777" w:rsidTr="00F37A9F">
        <w:tc>
          <w:tcPr>
            <w:tcW w:w="9576" w:type="dxa"/>
            <w:gridSpan w:val="2"/>
            <w:vAlign w:val="bottom"/>
          </w:tcPr>
          <w:p w14:paraId="3CDACF53" w14:textId="7DDEC6F4" w:rsidR="00DE49F9" w:rsidRPr="00DE49F9" w:rsidRDefault="00DE49F9" w:rsidP="00DE49F9">
            <w:r w:rsidRPr="00DE49F9">
              <w:rPr>
                <w:b/>
                <w:bCs/>
              </w:rPr>
              <w:t>Нарушения на метаболизма и храненето</w:t>
            </w:r>
          </w:p>
        </w:tc>
      </w:tr>
      <w:tr w:rsidR="00DE49F9" w14:paraId="1C8B8D49" w14:textId="77777777" w:rsidTr="005D744F">
        <w:tc>
          <w:tcPr>
            <w:tcW w:w="4788" w:type="dxa"/>
          </w:tcPr>
          <w:p w14:paraId="761A61FD" w14:textId="7E164116" w:rsidR="00DE49F9" w:rsidRPr="00DE49F9" w:rsidRDefault="00DE49F9" w:rsidP="00DE49F9">
            <w:r w:rsidRPr="00DE49F9">
              <w:t>Чести (≥ 1/100 до &lt;1/10)</w:t>
            </w:r>
          </w:p>
        </w:tc>
        <w:tc>
          <w:tcPr>
            <w:tcW w:w="4788" w:type="dxa"/>
          </w:tcPr>
          <w:p w14:paraId="6D2E1940" w14:textId="36CBED64" w:rsidR="00DE49F9" w:rsidRPr="00DE49F9" w:rsidRDefault="00DE49F9" w:rsidP="00DE49F9">
            <w:r w:rsidRPr="00DE49F9">
              <w:t>Анорексия.</w:t>
            </w:r>
          </w:p>
        </w:tc>
      </w:tr>
      <w:tr w:rsidR="00DE49F9" w14:paraId="29824F68" w14:textId="77777777" w:rsidTr="00475524">
        <w:tc>
          <w:tcPr>
            <w:tcW w:w="9576" w:type="dxa"/>
            <w:gridSpan w:val="2"/>
            <w:vAlign w:val="bottom"/>
          </w:tcPr>
          <w:p w14:paraId="19F3654F" w14:textId="12AC96F2" w:rsidR="00DE49F9" w:rsidRPr="00DE49F9" w:rsidRDefault="00DE49F9" w:rsidP="00DE49F9">
            <w:r w:rsidRPr="00DE49F9">
              <w:rPr>
                <w:b/>
                <w:bCs/>
              </w:rPr>
              <w:t>Наранявания, отравяния и усложнения, възникнали в резултат на интервенции</w:t>
            </w:r>
          </w:p>
        </w:tc>
      </w:tr>
      <w:tr w:rsidR="00DE49F9" w14:paraId="4087223A" w14:textId="77777777" w:rsidTr="004E31C2">
        <w:tc>
          <w:tcPr>
            <w:tcW w:w="4788" w:type="dxa"/>
            <w:vAlign w:val="bottom"/>
          </w:tcPr>
          <w:p w14:paraId="072D1C1B" w14:textId="7CD098E0" w:rsidR="00DE49F9" w:rsidRPr="00DE49F9" w:rsidRDefault="00DE49F9" w:rsidP="00DE49F9">
            <w:r w:rsidRPr="00DE49F9">
              <w:t>Нечести (≥ 1/ 1000 до &lt; 1/100)</w:t>
            </w:r>
          </w:p>
        </w:tc>
        <w:tc>
          <w:tcPr>
            <w:tcW w:w="4788" w:type="dxa"/>
            <w:vAlign w:val="bottom"/>
          </w:tcPr>
          <w:p w14:paraId="689BEAAF" w14:textId="6985CED2" w:rsidR="00DE49F9" w:rsidRPr="00DE49F9" w:rsidRDefault="00DE49F9" w:rsidP="00DE49F9">
            <w:r w:rsidRPr="00DE49F9">
              <w:t>Падане.</w:t>
            </w:r>
          </w:p>
        </w:tc>
      </w:tr>
      <w:tr w:rsidR="00DE49F9" w14:paraId="73E30957" w14:textId="77777777" w:rsidTr="00E006CE">
        <w:tc>
          <w:tcPr>
            <w:tcW w:w="9576" w:type="dxa"/>
            <w:gridSpan w:val="2"/>
            <w:vAlign w:val="bottom"/>
          </w:tcPr>
          <w:p w14:paraId="6FD25A67" w14:textId="4FD613B4" w:rsidR="00DE49F9" w:rsidRPr="00DE49F9" w:rsidRDefault="00DE49F9" w:rsidP="00DE49F9">
            <w:r w:rsidRPr="00DE49F9">
              <w:rPr>
                <w:b/>
                <w:bCs/>
              </w:rPr>
              <w:t>Неоплазми - доброкачествени, злокачествени и неопределени (вкл. кисти и полипи)</w:t>
            </w:r>
          </w:p>
        </w:tc>
      </w:tr>
      <w:tr w:rsidR="00DE49F9" w14:paraId="77A1E3C4" w14:textId="77777777" w:rsidTr="004E31C2">
        <w:tc>
          <w:tcPr>
            <w:tcW w:w="4788" w:type="dxa"/>
            <w:vAlign w:val="bottom"/>
          </w:tcPr>
          <w:p w14:paraId="67EA4C68" w14:textId="6661EA4B" w:rsidR="00DE49F9" w:rsidRPr="00DE49F9" w:rsidRDefault="00DE49F9" w:rsidP="00DE49F9">
            <w:r w:rsidRPr="00DE49F9">
              <w:t>С неизвестна честота (от наличните данни не може да бъде направена оценка)*</w:t>
            </w:r>
          </w:p>
        </w:tc>
        <w:tc>
          <w:tcPr>
            <w:tcW w:w="4788" w:type="dxa"/>
          </w:tcPr>
          <w:p w14:paraId="22823116" w14:textId="55662393" w:rsidR="00DE49F9" w:rsidRPr="00DE49F9" w:rsidRDefault="00DE49F9" w:rsidP="00DE49F9">
            <w:r w:rsidRPr="00DE49F9">
              <w:t>Малигнена меланома (вж. точка 4.3)</w:t>
            </w:r>
          </w:p>
        </w:tc>
      </w:tr>
      <w:tr w:rsidR="00DE49F9" w14:paraId="3CB448E0" w14:textId="77777777" w:rsidTr="00B77787">
        <w:tc>
          <w:tcPr>
            <w:tcW w:w="9576" w:type="dxa"/>
            <w:gridSpan w:val="2"/>
            <w:vAlign w:val="bottom"/>
          </w:tcPr>
          <w:p w14:paraId="14E5532B" w14:textId="46B3E105" w:rsidR="00DE49F9" w:rsidRPr="00DE49F9" w:rsidRDefault="00DE49F9" w:rsidP="00DE49F9">
            <w:r w:rsidRPr="00DE49F9">
              <w:rPr>
                <w:b/>
                <w:bCs/>
              </w:rPr>
              <w:t>Съдови нарушения</w:t>
            </w:r>
          </w:p>
        </w:tc>
      </w:tr>
      <w:tr w:rsidR="00DE49F9" w14:paraId="37EFC785" w14:textId="77777777" w:rsidTr="005D744F">
        <w:tc>
          <w:tcPr>
            <w:tcW w:w="4788" w:type="dxa"/>
          </w:tcPr>
          <w:p w14:paraId="6B5C9250" w14:textId="376F65D7" w:rsidR="00DE49F9" w:rsidRPr="00DE49F9" w:rsidRDefault="00DE49F9" w:rsidP="00DE49F9">
            <w:r w:rsidRPr="00DE49F9">
              <w:t>Чести (≥ 1/100 до &lt; 1/10)</w:t>
            </w:r>
          </w:p>
        </w:tc>
        <w:tc>
          <w:tcPr>
            <w:tcW w:w="4788" w:type="dxa"/>
          </w:tcPr>
          <w:p w14:paraId="5965F834" w14:textId="47A2C56B" w:rsidR="00DE49F9" w:rsidRPr="00DE49F9" w:rsidRDefault="00DE49F9" w:rsidP="00DE49F9">
            <w:r w:rsidRPr="00DE49F9">
              <w:t>Ортостатични ефекти, вкл. хипотензивни епизоди.</w:t>
            </w:r>
          </w:p>
        </w:tc>
      </w:tr>
      <w:tr w:rsidR="00DE49F9" w14:paraId="665C2073" w14:textId="77777777" w:rsidTr="005D744F">
        <w:tc>
          <w:tcPr>
            <w:tcW w:w="4788" w:type="dxa"/>
          </w:tcPr>
          <w:p w14:paraId="04C610FD" w14:textId="56103188" w:rsidR="00DE49F9" w:rsidRPr="00DE49F9" w:rsidRDefault="00DE49F9" w:rsidP="00DE49F9">
            <w:r w:rsidRPr="00DE49F9">
              <w:t>Редки ( ≥1/10 000 до &lt; 1/1000)</w:t>
            </w:r>
          </w:p>
        </w:tc>
        <w:tc>
          <w:tcPr>
            <w:tcW w:w="4788" w:type="dxa"/>
          </w:tcPr>
          <w:p w14:paraId="3D865AF4" w14:textId="46490925" w:rsidR="00DE49F9" w:rsidRPr="00DE49F9" w:rsidRDefault="00DE49F9" w:rsidP="00DE49F9">
            <w:r w:rsidRPr="00DE49F9">
              <w:t>Зачервяване.</w:t>
            </w:r>
          </w:p>
        </w:tc>
      </w:tr>
      <w:tr w:rsidR="00DE49F9" w14:paraId="38677CE6" w14:textId="77777777" w:rsidTr="00FC7149">
        <w:tc>
          <w:tcPr>
            <w:tcW w:w="4788" w:type="dxa"/>
            <w:vAlign w:val="bottom"/>
          </w:tcPr>
          <w:p w14:paraId="7755C580" w14:textId="7AF0A901" w:rsidR="00DE49F9" w:rsidRPr="00DE49F9" w:rsidRDefault="00DE49F9" w:rsidP="00DE49F9">
            <w:r w:rsidRPr="00DE49F9">
              <w:t>С неизвестна честота (от наличните данни не може да бъде направена оценка)*</w:t>
            </w:r>
          </w:p>
        </w:tc>
        <w:tc>
          <w:tcPr>
            <w:tcW w:w="4788" w:type="dxa"/>
            <w:vAlign w:val="center"/>
          </w:tcPr>
          <w:p w14:paraId="3086A4A8" w14:textId="7D908006" w:rsidR="00DE49F9" w:rsidRPr="00DE49F9" w:rsidRDefault="00DE49F9" w:rsidP="00DE49F9">
            <w:r w:rsidRPr="00DE49F9">
              <w:t>Горещи вълни, хипертония, флебит.</w:t>
            </w:r>
          </w:p>
        </w:tc>
      </w:tr>
      <w:tr w:rsidR="00DE49F9" w14:paraId="53C128EC" w14:textId="77777777" w:rsidTr="00D00C64">
        <w:tc>
          <w:tcPr>
            <w:tcW w:w="9576" w:type="dxa"/>
            <w:gridSpan w:val="2"/>
            <w:vAlign w:val="bottom"/>
          </w:tcPr>
          <w:p w14:paraId="35DF54B3" w14:textId="0633C528" w:rsidR="00DE49F9" w:rsidRPr="00DE49F9" w:rsidRDefault="00DE49F9" w:rsidP="00DE49F9">
            <w:r w:rsidRPr="00DE49F9">
              <w:rPr>
                <w:b/>
                <w:bCs/>
              </w:rPr>
              <w:t>Общи нарушения и ефекти на мястото на приложение</w:t>
            </w:r>
          </w:p>
        </w:tc>
      </w:tr>
      <w:tr w:rsidR="00DE49F9" w14:paraId="38816A72" w14:textId="77777777" w:rsidTr="005D744F">
        <w:tc>
          <w:tcPr>
            <w:tcW w:w="4788" w:type="dxa"/>
          </w:tcPr>
          <w:p w14:paraId="344BD408" w14:textId="43325B81" w:rsidR="00DE49F9" w:rsidRPr="00DE49F9" w:rsidRDefault="00DE49F9" w:rsidP="00DE49F9">
            <w:r w:rsidRPr="00DE49F9">
              <w:t>Чести (≥1/100 до &lt;1/10)</w:t>
            </w:r>
          </w:p>
        </w:tc>
        <w:tc>
          <w:tcPr>
            <w:tcW w:w="4788" w:type="dxa"/>
          </w:tcPr>
          <w:p w14:paraId="5C11F8C4" w14:textId="7DED47F7" w:rsidR="00DE49F9" w:rsidRPr="00DE49F9" w:rsidRDefault="00DE49F9" w:rsidP="00DE49F9">
            <w:r w:rsidRPr="00DE49F9">
              <w:t>Болка в гърдите, астения.</w:t>
            </w:r>
          </w:p>
        </w:tc>
      </w:tr>
      <w:tr w:rsidR="00DE49F9" w14:paraId="26239D8E" w14:textId="77777777" w:rsidTr="005D744F">
        <w:tc>
          <w:tcPr>
            <w:tcW w:w="4788" w:type="dxa"/>
          </w:tcPr>
          <w:p w14:paraId="57DD58D3" w14:textId="12EEC259" w:rsidR="00DE49F9" w:rsidRPr="00DE49F9" w:rsidRDefault="00DE49F9" w:rsidP="00DE49F9">
            <w:r w:rsidRPr="00DE49F9">
              <w:t>Нечести (≥1/ 1000 до &lt; 1/100)</w:t>
            </w:r>
          </w:p>
        </w:tc>
        <w:tc>
          <w:tcPr>
            <w:tcW w:w="4788" w:type="dxa"/>
          </w:tcPr>
          <w:p w14:paraId="61A58672" w14:textId="6CA28E4C" w:rsidR="00DE49F9" w:rsidRPr="00DE49F9" w:rsidRDefault="00DE49F9" w:rsidP="00DE49F9">
            <w:r w:rsidRPr="00DE49F9">
              <w:t>Нарушена походка.</w:t>
            </w:r>
          </w:p>
        </w:tc>
      </w:tr>
      <w:tr w:rsidR="00DE49F9" w14:paraId="1D7E56AF" w14:textId="77777777" w:rsidTr="00FC7149">
        <w:tc>
          <w:tcPr>
            <w:tcW w:w="4788" w:type="dxa"/>
            <w:vAlign w:val="center"/>
          </w:tcPr>
          <w:p w14:paraId="3F6017C5" w14:textId="3339DBC4" w:rsidR="00DE49F9" w:rsidRPr="00DE49F9" w:rsidRDefault="00DE49F9" w:rsidP="00DE49F9">
            <w:r w:rsidRPr="00DE49F9">
              <w:t>Редки (≥ 1/10 000 до &lt; 1/1000)</w:t>
            </w:r>
          </w:p>
        </w:tc>
        <w:tc>
          <w:tcPr>
            <w:tcW w:w="4788" w:type="dxa"/>
            <w:vAlign w:val="center"/>
          </w:tcPr>
          <w:p w14:paraId="647CA978" w14:textId="4DB0C63E" w:rsidR="00DE49F9" w:rsidRPr="00DE49F9" w:rsidRDefault="00DE49F9" w:rsidP="00DE49F9">
            <w:r w:rsidRPr="00DE49F9">
              <w:t>Умора.</w:t>
            </w:r>
          </w:p>
        </w:tc>
      </w:tr>
      <w:tr w:rsidR="00DE49F9" w14:paraId="402A3436" w14:textId="77777777" w:rsidTr="00FC7149">
        <w:tc>
          <w:tcPr>
            <w:tcW w:w="4788" w:type="dxa"/>
            <w:vAlign w:val="center"/>
          </w:tcPr>
          <w:p w14:paraId="12D0353E" w14:textId="11B222C6" w:rsidR="00DE49F9" w:rsidRPr="00DE49F9" w:rsidRDefault="00DE49F9" w:rsidP="00DE49F9">
            <w:r w:rsidRPr="00DE49F9">
              <w:lastRenderedPageBreak/>
              <w:t>С неизвестна честота (от наличните данни не може да бъде направена оценка)*</w:t>
            </w:r>
          </w:p>
        </w:tc>
        <w:tc>
          <w:tcPr>
            <w:tcW w:w="4788" w:type="dxa"/>
            <w:vAlign w:val="bottom"/>
          </w:tcPr>
          <w:p w14:paraId="589751CE" w14:textId="79ECCF22" w:rsidR="00DE49F9" w:rsidRPr="00DE49F9" w:rsidRDefault="00DE49F9" w:rsidP="00DE49F9">
            <w:r w:rsidRPr="00DE49F9">
              <w:t>Отпадналост, оток, слабост.</w:t>
            </w:r>
          </w:p>
        </w:tc>
      </w:tr>
      <w:tr w:rsidR="00DE49F9" w14:paraId="2DDAE751" w14:textId="77777777" w:rsidTr="00B87142">
        <w:tc>
          <w:tcPr>
            <w:tcW w:w="9576" w:type="dxa"/>
            <w:gridSpan w:val="2"/>
          </w:tcPr>
          <w:p w14:paraId="632C197E" w14:textId="3A1537B8" w:rsidR="00DE49F9" w:rsidRPr="00DE49F9" w:rsidRDefault="00DE49F9" w:rsidP="00DE49F9">
            <w:r w:rsidRPr="00DE49F9">
              <w:rPr>
                <w:b/>
                <w:bCs/>
              </w:rPr>
              <w:t>Нарушения на възпроизводителната система и гърдата</w:t>
            </w:r>
          </w:p>
        </w:tc>
      </w:tr>
      <w:tr w:rsidR="00DE49F9" w14:paraId="6327E41A" w14:textId="77777777" w:rsidTr="005D744F">
        <w:tc>
          <w:tcPr>
            <w:tcW w:w="4788" w:type="dxa"/>
          </w:tcPr>
          <w:p w14:paraId="41E8E185" w14:textId="320D940C" w:rsidR="00DE49F9" w:rsidRPr="00DE49F9" w:rsidRDefault="00DE49F9" w:rsidP="00DE49F9">
            <w:r w:rsidRPr="00DE49F9">
              <w:t>С неизвестна честота (от наличните данни не може да бъде направена оценка)*</w:t>
            </w:r>
          </w:p>
        </w:tc>
        <w:tc>
          <w:tcPr>
            <w:tcW w:w="4788" w:type="dxa"/>
          </w:tcPr>
          <w:p w14:paraId="1E209604" w14:textId="4DF55F55" w:rsidR="00DE49F9" w:rsidRPr="00DE49F9" w:rsidRDefault="00DE49F9" w:rsidP="00DE49F9">
            <w:r w:rsidRPr="00DE49F9">
              <w:t>Приапизъм.</w:t>
            </w:r>
          </w:p>
        </w:tc>
      </w:tr>
      <w:tr w:rsidR="00DE49F9" w14:paraId="1AD16661" w14:textId="77777777" w:rsidTr="00074184">
        <w:tc>
          <w:tcPr>
            <w:tcW w:w="9576" w:type="dxa"/>
            <w:gridSpan w:val="2"/>
          </w:tcPr>
          <w:p w14:paraId="5AE19301" w14:textId="5F04775E" w:rsidR="00DE49F9" w:rsidRPr="00DE49F9" w:rsidRDefault="00DE49F9" w:rsidP="00DE49F9">
            <w:r w:rsidRPr="00DE49F9">
              <w:rPr>
                <w:b/>
                <w:bCs/>
              </w:rPr>
              <w:t>Психични нарушения</w:t>
            </w:r>
          </w:p>
        </w:tc>
      </w:tr>
      <w:tr w:rsidR="00DE49F9" w14:paraId="50796D89" w14:textId="77777777" w:rsidTr="005D744F">
        <w:tc>
          <w:tcPr>
            <w:tcW w:w="4788" w:type="dxa"/>
          </w:tcPr>
          <w:p w14:paraId="6E5168FC" w14:textId="24BFB932" w:rsidR="00DE49F9" w:rsidRPr="00DE49F9" w:rsidRDefault="00DE49F9" w:rsidP="00DE49F9">
            <w:r w:rsidRPr="00DE49F9">
              <w:t>Чести/много чести (&gt; 1/100)</w:t>
            </w:r>
          </w:p>
        </w:tc>
        <w:tc>
          <w:tcPr>
            <w:tcW w:w="4788" w:type="dxa"/>
          </w:tcPr>
          <w:p w14:paraId="44356BE8" w14:textId="6A308AD4" w:rsidR="00DE49F9" w:rsidRPr="00DE49F9" w:rsidRDefault="00DE49F9" w:rsidP="00DE49F9">
            <w:r w:rsidRPr="00DE49F9">
              <w:t>Халюцинации, обърканост.</w:t>
            </w:r>
          </w:p>
        </w:tc>
      </w:tr>
      <w:tr w:rsidR="00DE49F9" w14:paraId="38D8BB08" w14:textId="77777777" w:rsidTr="005D744F">
        <w:tc>
          <w:tcPr>
            <w:tcW w:w="4788" w:type="dxa"/>
          </w:tcPr>
          <w:p w14:paraId="5D6BFAD5" w14:textId="634AE26C" w:rsidR="00DE49F9" w:rsidRPr="00DE49F9" w:rsidRDefault="00DE49F9" w:rsidP="00DE49F9">
            <w:r w:rsidRPr="00DE49F9">
              <w:t>Чести (≥ 1/100 до &lt; 1/10)</w:t>
            </w:r>
          </w:p>
        </w:tc>
        <w:tc>
          <w:tcPr>
            <w:tcW w:w="4788" w:type="dxa"/>
          </w:tcPr>
          <w:p w14:paraId="1282A3F5" w14:textId="4ADD294B" w:rsidR="00DE49F9" w:rsidRPr="00DE49F9" w:rsidRDefault="00DE49F9" w:rsidP="00DE49F9">
            <w:r w:rsidRPr="00DE49F9">
              <w:t>Необичайни сънища, безсъние, депресия със или без склонност към самоубийство.</w:t>
            </w:r>
          </w:p>
        </w:tc>
      </w:tr>
      <w:tr w:rsidR="00DE49F9" w14:paraId="7198504B" w14:textId="77777777" w:rsidTr="005D744F">
        <w:tc>
          <w:tcPr>
            <w:tcW w:w="4788" w:type="dxa"/>
          </w:tcPr>
          <w:p w14:paraId="6D8BF141" w14:textId="2185F6D8" w:rsidR="00DE49F9" w:rsidRPr="00DE49F9" w:rsidRDefault="00DE49F9" w:rsidP="00DE49F9">
            <w:r w:rsidRPr="00DE49F9">
              <w:t>Редки (≥1/10 000 до &lt; 1/1000)</w:t>
            </w:r>
          </w:p>
        </w:tc>
        <w:tc>
          <w:tcPr>
            <w:tcW w:w="4788" w:type="dxa"/>
          </w:tcPr>
          <w:p w14:paraId="2B5B72B8" w14:textId="77777777" w:rsidR="00DE49F9" w:rsidRPr="00DE49F9" w:rsidRDefault="00DE49F9" w:rsidP="00DE49F9">
            <w:r w:rsidRPr="00DE49F9">
              <w:t>Възбуда, психотични епизоди, включително делюзии и параноидни мисли.</w:t>
            </w:r>
          </w:p>
          <w:p w14:paraId="2CB3322A" w14:textId="6E4CC3CC" w:rsidR="00DE49F9" w:rsidRPr="00DE49F9" w:rsidRDefault="00DE49F9" w:rsidP="00DE49F9">
            <w:r w:rsidRPr="00DE49F9">
              <w:t>Патологично влечение към хазарт, повишено либидо, хиперсексуалност, непреодолима склонност към харчене или пазаруване, преяждане и прекомерна склонност към преяждане може да се появят при пациенти, лекувани с допаминови агонисти и/или други допаминергични терапии, съдържащи леводопа, вкл. лекарства, съдържащи леводопа/карбидопа с удължено освобождаване, (вж. точка 4.4 „Специални предупреждения и предпазни мерки при употреба”)</w:t>
            </w:r>
          </w:p>
        </w:tc>
      </w:tr>
    </w:tbl>
    <w:p w14:paraId="0A6E7E00"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*Нежелани реакции, съобщавани за леводопа или леводопа/карбидопа, които могат да бъдат потенциални нежелани реакции при Синепар.</w:t>
      </w:r>
    </w:p>
    <w:p w14:paraId="25214580" w14:textId="77777777" w:rsidR="00DE49F9" w:rsidRDefault="00DE49F9" w:rsidP="00DE49F9">
      <w:pPr>
        <w:spacing w:line="240" w:lineRule="auto"/>
        <w:rPr>
          <w:rFonts w:eastAsia="Times New Roman" w:cs="Arial"/>
          <w:i/>
          <w:iCs/>
          <w:color w:val="000000"/>
          <w:lang w:eastAsia="bg-BG"/>
        </w:rPr>
      </w:pPr>
    </w:p>
    <w:p w14:paraId="4BE4726F" w14:textId="072B59D0" w:rsidR="00DE49F9" w:rsidRPr="00DE49F9" w:rsidRDefault="00DE49F9" w:rsidP="00DE49F9">
      <w:pPr>
        <w:spacing w:line="240" w:lineRule="auto"/>
        <w:rPr>
          <w:rFonts w:eastAsia="Times New Roman" w:cs="Arial"/>
        </w:rPr>
      </w:pPr>
      <w:r w:rsidRPr="00DE49F9">
        <w:rPr>
          <w:rFonts w:eastAsia="Times New Roman" w:cs="Arial"/>
          <w:i/>
          <w:iCs/>
          <w:color w:val="000000"/>
          <w:lang w:eastAsia="bg-BG"/>
        </w:rPr>
        <w:t>Описание на избрани нежелани реакции</w:t>
      </w:r>
    </w:p>
    <w:p w14:paraId="63DE2B3F" w14:textId="77777777" w:rsidR="00DE49F9" w:rsidRDefault="00DE49F9" w:rsidP="00DE49F9">
      <w:pPr>
        <w:spacing w:line="240" w:lineRule="auto"/>
        <w:rPr>
          <w:rFonts w:eastAsia="Times New Roman" w:cs="Arial"/>
          <w:color w:val="000000"/>
          <w:lang w:eastAsia="bg-BG"/>
        </w:rPr>
      </w:pPr>
    </w:p>
    <w:p w14:paraId="1606DB27" w14:textId="0873F72D"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Синдром на нарушена допаминова регулация </w:t>
      </w:r>
      <w:r w:rsidRPr="00DE49F9">
        <w:rPr>
          <w:rFonts w:eastAsia="Times New Roman" w:cs="Arial"/>
          <w:color w:val="000000"/>
          <w:lang w:val="ru-RU"/>
        </w:rPr>
        <w:t>(</w:t>
      </w:r>
      <w:r w:rsidRPr="00DE49F9">
        <w:rPr>
          <w:rFonts w:eastAsia="Times New Roman" w:cs="Arial"/>
          <w:color w:val="000000"/>
          <w:lang w:val="en-US"/>
        </w:rPr>
        <w:t>DDS</w:t>
      </w:r>
      <w:r w:rsidRPr="00DE49F9">
        <w:rPr>
          <w:rFonts w:eastAsia="Times New Roman" w:cs="Arial"/>
          <w:color w:val="000000"/>
          <w:lang w:val="ru-RU"/>
        </w:rPr>
        <w:t xml:space="preserve">) </w:t>
      </w:r>
      <w:r w:rsidRPr="00DE49F9">
        <w:rPr>
          <w:rFonts w:eastAsia="Times New Roman" w:cs="Arial"/>
          <w:color w:val="000000"/>
          <w:lang w:eastAsia="bg-BG"/>
        </w:rPr>
        <w:t>е разстройство, свързано със зависимост, наблюдавано при някои пациенти, лекувани с карбидопа/леводопа. Засегнатите пациенти показват компулсивен модел на злоупотреба с допаминергични лекарства в дози, над подходящите за овладяване на моторните симптоми, които в някои случаи може да доведат до тежка дискинезия (вж. също точка 4.4).</w:t>
      </w:r>
    </w:p>
    <w:p w14:paraId="4B03D5D6" w14:textId="77777777" w:rsidR="00DE49F9" w:rsidRDefault="00DE49F9" w:rsidP="00DE49F9">
      <w:pPr>
        <w:spacing w:line="240" w:lineRule="auto"/>
        <w:rPr>
          <w:rFonts w:eastAsia="Times New Roman" w:cs="Arial"/>
          <w:b/>
          <w:bCs/>
          <w:color w:val="000000"/>
          <w:u w:val="single"/>
          <w:lang w:eastAsia="bg-BG"/>
        </w:rPr>
      </w:pPr>
    </w:p>
    <w:p w14:paraId="20121DF1" w14:textId="14FCEB76" w:rsidR="00DE49F9" w:rsidRPr="00DE49F9" w:rsidRDefault="00DE49F9" w:rsidP="00DE49F9">
      <w:pPr>
        <w:spacing w:line="240" w:lineRule="auto"/>
        <w:rPr>
          <w:rFonts w:eastAsia="Times New Roman" w:cs="Arial"/>
        </w:rPr>
      </w:pPr>
      <w:r w:rsidRPr="00DE49F9">
        <w:rPr>
          <w:rFonts w:eastAsia="Times New Roman" w:cs="Arial"/>
          <w:b/>
          <w:bCs/>
          <w:color w:val="000000"/>
          <w:u w:val="single"/>
          <w:lang w:eastAsia="bg-BG"/>
        </w:rPr>
        <w:t>Педиатрична популация</w:t>
      </w:r>
    </w:p>
    <w:p w14:paraId="03C29C1D" w14:textId="77777777" w:rsidR="00DE49F9" w:rsidRDefault="00DE49F9" w:rsidP="00DE49F9">
      <w:pPr>
        <w:spacing w:line="240" w:lineRule="auto"/>
        <w:rPr>
          <w:rFonts w:eastAsia="Times New Roman" w:cs="Arial"/>
          <w:color w:val="000000"/>
          <w:lang w:eastAsia="bg-BG"/>
        </w:rPr>
      </w:pPr>
    </w:p>
    <w:p w14:paraId="721377EC" w14:textId="45E1D559" w:rsidR="00DE49F9" w:rsidRPr="00DE49F9" w:rsidRDefault="00DE49F9" w:rsidP="00DE49F9">
      <w:pPr>
        <w:spacing w:line="240" w:lineRule="auto"/>
        <w:rPr>
          <w:rFonts w:eastAsia="Times New Roman" w:cs="Arial"/>
        </w:rPr>
      </w:pPr>
      <w:r w:rsidRPr="00DE49F9">
        <w:rPr>
          <w:rFonts w:eastAsia="Times New Roman" w:cs="Arial"/>
          <w:color w:val="000000"/>
          <w:lang w:eastAsia="bg-BG"/>
        </w:rPr>
        <w:t>Няма данни.</w:t>
      </w:r>
    </w:p>
    <w:p w14:paraId="7EC26874" w14:textId="77777777" w:rsidR="00DE49F9" w:rsidRDefault="00DE49F9" w:rsidP="00DE49F9">
      <w:pPr>
        <w:spacing w:line="240" w:lineRule="auto"/>
        <w:rPr>
          <w:rFonts w:eastAsia="Times New Roman" w:cs="Arial"/>
          <w:b/>
          <w:bCs/>
          <w:color w:val="000000"/>
          <w:u w:val="single"/>
          <w:lang w:eastAsia="bg-BG"/>
        </w:rPr>
      </w:pPr>
      <w:bookmarkStart w:id="2" w:name="bookmark2"/>
    </w:p>
    <w:p w14:paraId="6FEC7C9C" w14:textId="5BEBC3C6" w:rsidR="00DE49F9" w:rsidRPr="00DE49F9" w:rsidRDefault="00DE49F9" w:rsidP="00DE49F9">
      <w:pPr>
        <w:spacing w:line="240" w:lineRule="auto"/>
        <w:rPr>
          <w:rFonts w:eastAsia="Times New Roman" w:cs="Arial"/>
        </w:rPr>
      </w:pPr>
      <w:r w:rsidRPr="00DE49F9">
        <w:rPr>
          <w:rFonts w:eastAsia="Times New Roman" w:cs="Arial"/>
          <w:b/>
          <w:bCs/>
          <w:color w:val="000000"/>
          <w:u w:val="single"/>
          <w:lang w:eastAsia="bg-BG"/>
        </w:rPr>
        <w:t>Съобщаване на подозирани нежелани реакции</w:t>
      </w:r>
      <w:bookmarkEnd w:id="2"/>
    </w:p>
    <w:p w14:paraId="5E7571D1"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1DD05BA5" w14:textId="77777777" w:rsidR="00DE49F9" w:rsidRDefault="00DE49F9" w:rsidP="00DE49F9">
      <w:pPr>
        <w:spacing w:line="240" w:lineRule="auto"/>
        <w:rPr>
          <w:rFonts w:eastAsia="Times New Roman" w:cs="Arial"/>
          <w:b/>
          <w:bCs/>
          <w:color w:val="000000"/>
          <w:lang w:eastAsia="bg-BG"/>
        </w:rPr>
      </w:pPr>
      <w:bookmarkStart w:id="3" w:name="bookmark4"/>
    </w:p>
    <w:p w14:paraId="5A9C5696" w14:textId="032E2F11" w:rsidR="00DE49F9" w:rsidRPr="00DE49F9" w:rsidRDefault="00DE49F9" w:rsidP="00DE49F9">
      <w:pPr>
        <w:spacing w:line="240" w:lineRule="auto"/>
        <w:rPr>
          <w:rFonts w:eastAsia="Times New Roman" w:cs="Arial"/>
        </w:rPr>
      </w:pPr>
      <w:r w:rsidRPr="00DE49F9">
        <w:rPr>
          <w:rFonts w:eastAsia="Times New Roman" w:cs="Arial"/>
          <w:b/>
          <w:bCs/>
          <w:color w:val="000000"/>
          <w:lang w:eastAsia="bg-BG"/>
        </w:rPr>
        <w:t>Контакти:</w:t>
      </w:r>
      <w:bookmarkEnd w:id="3"/>
    </w:p>
    <w:p w14:paraId="3AB29567"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Изпълнителна агенция по лекарствата.</w:t>
      </w:r>
    </w:p>
    <w:p w14:paraId="701A733F"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lastRenderedPageBreak/>
        <w:t>България</w:t>
      </w:r>
    </w:p>
    <w:p w14:paraId="41C42821"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ул. „Дамян Груев” № 8</w:t>
      </w:r>
    </w:p>
    <w:p w14:paraId="1D4457BA"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1303 София</w:t>
      </w:r>
    </w:p>
    <w:p w14:paraId="61E636F6"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Тел.: +35 928903417</w:t>
      </w:r>
    </w:p>
    <w:p w14:paraId="57D764A4"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уебсайт: </w:t>
      </w:r>
      <w:hyperlink r:id="rId5" w:history="1">
        <w:r w:rsidRPr="00DE49F9">
          <w:rPr>
            <w:rFonts w:eastAsia="Times New Roman" w:cs="Arial"/>
            <w:color w:val="000000"/>
            <w:u w:val="single"/>
            <w:lang w:val="en-US"/>
          </w:rPr>
          <w:t>www.bda.bg</w:t>
        </w:r>
      </w:hyperlink>
    </w:p>
    <w:p w14:paraId="783E55B5" w14:textId="77777777" w:rsidR="005D744F" w:rsidRPr="005D744F" w:rsidRDefault="005D744F" w:rsidP="005D744F"/>
    <w:p w14:paraId="0A023CE0" w14:textId="5D5892D2" w:rsidR="00CF77F7" w:rsidRDefault="002C50EE" w:rsidP="004A448E">
      <w:pPr>
        <w:pStyle w:val="Heading2"/>
      </w:pPr>
      <w:r>
        <w:t>4.9. Предозиране</w:t>
      </w:r>
    </w:p>
    <w:p w14:paraId="2A0576E1" w14:textId="2EAE617E" w:rsidR="00DE49F9" w:rsidRDefault="00DE49F9" w:rsidP="00DE49F9"/>
    <w:p w14:paraId="4603F35E"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Мерките за овладяване на остро предозиране със Синепар са принципно същите, както и при остро предозиране с леводопа, обаче пиридоксин не е ефективен за неутрализиране на действията му.</w:t>
      </w:r>
    </w:p>
    <w:p w14:paraId="506E9EEC" w14:textId="77777777" w:rsidR="00DE49F9" w:rsidRDefault="00DE49F9" w:rsidP="00DE49F9">
      <w:pPr>
        <w:spacing w:line="240" w:lineRule="auto"/>
        <w:rPr>
          <w:rFonts w:eastAsia="Times New Roman" w:cs="Arial"/>
          <w:color w:val="000000"/>
          <w:lang w:eastAsia="bg-BG"/>
        </w:rPr>
      </w:pPr>
    </w:p>
    <w:p w14:paraId="209C308C" w14:textId="07F4ABC7" w:rsidR="00DE49F9" w:rsidRPr="00DE49F9" w:rsidRDefault="00DE49F9" w:rsidP="00DE49F9">
      <w:pPr>
        <w:spacing w:line="240" w:lineRule="auto"/>
        <w:rPr>
          <w:rFonts w:eastAsia="Times New Roman" w:cs="Arial"/>
        </w:rPr>
      </w:pPr>
      <w:r w:rsidRPr="00DE49F9">
        <w:rPr>
          <w:rFonts w:eastAsia="Times New Roman" w:cs="Arial"/>
          <w:color w:val="000000"/>
          <w:lang w:eastAsia="bg-BG"/>
        </w:rPr>
        <w:t>Пациентите трябва да са под наблюдение и да се проследяват електрокардиографски за развитието на аритмии, при необходимост трябва да се включи подходяща противоаритмична терапия. Възможността пациентът да е приел и други лекарствени средства също трябва да се има предвид. Засега не е натрупан достатъчно опит за приложението на диализна терапия, поради което нейната стойност за овладяване състоянието на предозиране все още не може да се прецени.</w:t>
      </w:r>
    </w:p>
    <w:p w14:paraId="5AE01914" w14:textId="77777777" w:rsidR="00DE49F9" w:rsidRDefault="00DE49F9" w:rsidP="00DE49F9">
      <w:pPr>
        <w:spacing w:line="240" w:lineRule="auto"/>
        <w:rPr>
          <w:rFonts w:eastAsia="Times New Roman" w:cs="Arial"/>
          <w:color w:val="000000"/>
          <w:u w:val="single"/>
          <w:lang w:eastAsia="bg-BG"/>
        </w:rPr>
      </w:pPr>
    </w:p>
    <w:p w14:paraId="22FF24B5" w14:textId="3ED3B553"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Педиатрична популация</w:t>
      </w:r>
    </w:p>
    <w:p w14:paraId="312FEFEC"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Няма данни.</w:t>
      </w:r>
    </w:p>
    <w:p w14:paraId="72DEEABF" w14:textId="77777777" w:rsidR="00DE49F9" w:rsidRPr="00DE49F9" w:rsidRDefault="00DE49F9" w:rsidP="00DE49F9"/>
    <w:p w14:paraId="02081B24" w14:textId="1F46E296" w:rsidR="00395555" w:rsidRPr="00395555" w:rsidRDefault="002C50EE" w:rsidP="008A6AF2">
      <w:pPr>
        <w:pStyle w:val="Heading1"/>
      </w:pPr>
      <w:r>
        <w:t>5. ФАРМАКОЛОГИЧНИ СВОЙСТВА</w:t>
      </w:r>
    </w:p>
    <w:p w14:paraId="32B6DE66" w14:textId="622EEBA1" w:rsidR="00CF77F7" w:rsidRDefault="002C50EE" w:rsidP="004A448E">
      <w:pPr>
        <w:pStyle w:val="Heading2"/>
      </w:pPr>
      <w:r>
        <w:t>5.1. Фармакодинамични свойства</w:t>
      </w:r>
    </w:p>
    <w:p w14:paraId="3D1277C0" w14:textId="0888C8AF" w:rsidR="00DE49F9" w:rsidRDefault="00DE49F9" w:rsidP="00DE49F9"/>
    <w:p w14:paraId="6F8DDB44"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Фармакотерапевтична група: Централни допаминергични лекарства, АТС код: </w:t>
      </w:r>
      <w:r w:rsidRPr="00DE49F9">
        <w:rPr>
          <w:rFonts w:eastAsia="Times New Roman" w:cs="Arial"/>
          <w:color w:val="000000"/>
          <w:lang w:val="en-US"/>
        </w:rPr>
        <w:t>N</w:t>
      </w:r>
      <w:r w:rsidRPr="00DE49F9">
        <w:rPr>
          <w:rFonts w:eastAsia="Times New Roman" w:cs="Arial"/>
          <w:color w:val="000000"/>
          <w:lang w:val="ru-RU"/>
        </w:rPr>
        <w:t>04</w:t>
      </w:r>
      <w:r w:rsidRPr="00DE49F9">
        <w:rPr>
          <w:rFonts w:eastAsia="Times New Roman" w:cs="Arial"/>
          <w:color w:val="000000"/>
          <w:lang w:val="en-US"/>
        </w:rPr>
        <w:t>BA</w:t>
      </w:r>
      <w:r w:rsidRPr="00DE49F9">
        <w:rPr>
          <w:rFonts w:eastAsia="Times New Roman" w:cs="Arial"/>
          <w:color w:val="000000"/>
          <w:lang w:val="ru-RU"/>
        </w:rPr>
        <w:t>02</w:t>
      </w:r>
    </w:p>
    <w:p w14:paraId="098174E6" w14:textId="77777777" w:rsidR="00DE49F9" w:rsidRDefault="00DE49F9" w:rsidP="00DE49F9">
      <w:pPr>
        <w:spacing w:line="240" w:lineRule="auto"/>
        <w:rPr>
          <w:rFonts w:eastAsia="Times New Roman" w:cs="Arial"/>
          <w:color w:val="000000"/>
          <w:u w:val="single"/>
          <w:lang w:eastAsia="bg-BG"/>
        </w:rPr>
      </w:pPr>
    </w:p>
    <w:p w14:paraId="3021BEA2" w14:textId="2AF80FC3"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Механизъм на действие</w:t>
      </w:r>
    </w:p>
    <w:p w14:paraId="199B1B4E"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Паркинсоновата болест е дегенеративно неврологично разстройство, характеризиращо се с прогресивна загуба на допаминергични нигростриални неврони.</w:t>
      </w:r>
    </w:p>
    <w:p w14:paraId="6E7339A1"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Белезите и симптомите, включващи ригидност, тремор, брадикинезия, постурални промени и смущения в двигателния апарат, обикновено са адекватно лекувани с лекарства, които имитират или заменят намаления допамин. Синепар, който комбинира прекурсора на допамин - леводопа, и инхибитора на периферната леводопа/декарбоксилаза - карбидопа, е ефективен при снабдяване на мозъка с допамин. Карбидопа, която не преминава кръвномозъчната бариера, увеличава плазмените нива и плазмения полуживот на леводопа като инхибира екстрацеребралното декарбоксилиране на леводопа, главно в интестиналната мукоза.</w:t>
      </w:r>
    </w:p>
    <w:p w14:paraId="116D50FC" w14:textId="77777777" w:rsidR="00DE49F9" w:rsidRDefault="00DE49F9" w:rsidP="00DE49F9">
      <w:pPr>
        <w:spacing w:line="240" w:lineRule="auto"/>
        <w:rPr>
          <w:rFonts w:eastAsia="Times New Roman" w:cs="Arial"/>
          <w:color w:val="000000"/>
          <w:lang w:eastAsia="bg-BG"/>
        </w:rPr>
      </w:pPr>
    </w:p>
    <w:p w14:paraId="5576BB77" w14:textId="466E52DA" w:rsidR="00DE49F9" w:rsidRPr="00DE49F9" w:rsidRDefault="00DE49F9" w:rsidP="00DE49F9">
      <w:pPr>
        <w:spacing w:line="240" w:lineRule="auto"/>
        <w:rPr>
          <w:rFonts w:eastAsia="Times New Roman" w:cs="Arial"/>
        </w:rPr>
      </w:pPr>
      <w:r w:rsidRPr="00DE49F9">
        <w:rPr>
          <w:rFonts w:eastAsia="Times New Roman" w:cs="Arial"/>
          <w:color w:val="000000"/>
          <w:lang w:eastAsia="bg-BG"/>
        </w:rPr>
        <w:t>Симптомите на паркинсоновата болест се свързват с намаляване на допамина в ивичестото тяло в мозъка. Леводопа, метаболитният прекурсор на допамина, облекчава симптомите на паркинсоновата болест, вероятно, като се конвертира до допамин в мозъка. След перорално приложение бързо се декарбоксилизира и конвертира до допамин в екстрацеребралните тъкани, а само малко количество непроменена леводопа достига централната нервна система. Така адекватният терапевтичен ефект се нуждае от големи дози леводопа, често придружени от нежелани реакции, някои от които са причинени от допамина, формиран в екстрацеребралните тъкани.</w:t>
      </w:r>
    </w:p>
    <w:p w14:paraId="3F5453A4" w14:textId="77777777" w:rsidR="00DE49F9" w:rsidRDefault="00DE49F9" w:rsidP="00DE49F9">
      <w:pPr>
        <w:spacing w:line="240" w:lineRule="auto"/>
        <w:rPr>
          <w:rFonts w:eastAsia="Times New Roman" w:cs="Arial"/>
          <w:color w:val="000000"/>
          <w:lang w:eastAsia="bg-BG"/>
        </w:rPr>
      </w:pPr>
    </w:p>
    <w:p w14:paraId="4702A650" w14:textId="7939F40B" w:rsidR="00DE49F9" w:rsidRPr="00DE49F9" w:rsidRDefault="00DE49F9" w:rsidP="00DE49F9">
      <w:pPr>
        <w:spacing w:line="240" w:lineRule="auto"/>
        <w:rPr>
          <w:rFonts w:eastAsia="Times New Roman" w:cs="Arial"/>
        </w:rPr>
      </w:pPr>
      <w:r w:rsidRPr="00DE49F9">
        <w:rPr>
          <w:rFonts w:eastAsia="Times New Roman" w:cs="Arial"/>
          <w:color w:val="000000"/>
          <w:lang w:eastAsia="bg-BG"/>
        </w:rPr>
        <w:lastRenderedPageBreak/>
        <w:t>Карбидопа, която не преминава през кръвномозъчната бариера, инхибира само екстрацеребралното декарбоксилиране на леводопа, по принцип в интестиналната мукоза. По този начин се увеличава количеството леводопа, което ще бъде транспортирано до мозъка и след това ще претърпи конверсия до допамин. Това действие обикновено отстранява необходимостта от големи дози леводопа през кратки интервали. По-ниската дозировка намалява или отстранява гастроинтестиналните и кардиоваскуларни нежелани реакции, тези свързани с образуване на допамин в екстрацеребралните тъкани.</w:t>
      </w:r>
    </w:p>
    <w:p w14:paraId="0FDF011A" w14:textId="77777777" w:rsidR="00DE49F9" w:rsidRDefault="00DE49F9" w:rsidP="00DE49F9">
      <w:pPr>
        <w:spacing w:line="240" w:lineRule="auto"/>
        <w:rPr>
          <w:rFonts w:eastAsia="Times New Roman" w:cs="Arial"/>
          <w:color w:val="000000"/>
          <w:u w:val="single"/>
          <w:lang w:eastAsia="bg-BG"/>
        </w:rPr>
      </w:pPr>
    </w:p>
    <w:p w14:paraId="4BB31BFC" w14:textId="29C89A95"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Фапмакодинамични ефекти</w:t>
      </w:r>
    </w:p>
    <w:p w14:paraId="4B86EEDB" w14:textId="77777777" w:rsidR="00DE49F9" w:rsidRPr="00DE49F9" w:rsidRDefault="00DE49F9" w:rsidP="00DE49F9">
      <w:pPr>
        <w:rPr>
          <w:rFonts w:eastAsia="Times New Roman" w:cs="Arial"/>
        </w:rPr>
      </w:pPr>
      <w:r w:rsidRPr="00DE49F9">
        <w:rPr>
          <w:rFonts w:eastAsia="Times New Roman" w:cs="Arial"/>
          <w:color w:val="000000"/>
          <w:lang w:eastAsia="bg-BG"/>
        </w:rPr>
        <w:t>Пациенти с паркинсонова болест, лекувани с лекарствени средства, съдържащи леводопа могат да развият моторна нестабилност, характеризираща се с недостатъчност, свързана с изчерпване на дозата, с дискинезия, причинена от пикова доза, и с акинезия. Пациенти с моторна нестабилност, които приемат Синепар, могат да развият по-често дискинезии, когато приемат</w:t>
      </w:r>
      <w:r w:rsidRPr="00DE49F9">
        <w:rPr>
          <w:rFonts w:eastAsia="Times New Roman" w:cs="Arial"/>
          <w:color w:val="000000"/>
          <w:lang w:val="ru-RU" w:eastAsia="bg-BG"/>
        </w:rPr>
        <w:t xml:space="preserve"> </w:t>
      </w:r>
      <w:r w:rsidRPr="00DE49F9">
        <w:rPr>
          <w:rFonts w:eastAsia="Times New Roman" w:cs="Arial"/>
          <w:color w:val="000000"/>
          <w:lang w:eastAsia="bg-BG"/>
        </w:rPr>
        <w:t xml:space="preserve">по-високи дози (над 1500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леводопа дневно), свързани с намаляване времето на „изключване” </w:t>
      </w:r>
      <w:r w:rsidRPr="00DE49F9">
        <w:rPr>
          <w:rFonts w:eastAsia="Times New Roman" w:cs="Arial"/>
          <w:color w:val="000000"/>
          <w:lang w:val="ru-RU"/>
        </w:rPr>
        <w:t>(„</w:t>
      </w:r>
      <w:r w:rsidRPr="00DE49F9">
        <w:rPr>
          <w:rFonts w:eastAsia="Times New Roman" w:cs="Arial"/>
          <w:color w:val="000000"/>
          <w:lang w:val="en-US"/>
        </w:rPr>
        <w:t>off</w:t>
      </w:r>
      <w:r w:rsidRPr="00DE49F9">
        <w:rPr>
          <w:rFonts w:eastAsia="Times New Roman" w:cs="Arial"/>
          <w:color w:val="000000"/>
          <w:lang w:val="ru-RU"/>
        </w:rPr>
        <w:t xml:space="preserve">’ </w:t>
      </w:r>
      <w:r w:rsidRPr="00DE49F9">
        <w:rPr>
          <w:rFonts w:eastAsia="Times New Roman" w:cs="Arial"/>
          <w:color w:val="000000"/>
          <w:lang w:val="en-US"/>
        </w:rPr>
        <w:t>time</w:t>
      </w:r>
      <w:r w:rsidRPr="00DE49F9">
        <w:rPr>
          <w:rFonts w:eastAsia="Times New Roman" w:cs="Arial"/>
          <w:color w:val="000000"/>
          <w:lang w:val="ru-RU"/>
        </w:rPr>
        <w:t>).</w:t>
      </w:r>
    </w:p>
    <w:p w14:paraId="5B913D38" w14:textId="77777777" w:rsidR="00DE49F9" w:rsidRDefault="00DE49F9" w:rsidP="00DE49F9">
      <w:pPr>
        <w:spacing w:line="240" w:lineRule="auto"/>
        <w:rPr>
          <w:rFonts w:eastAsia="Times New Roman" w:cs="Arial"/>
          <w:color w:val="000000"/>
          <w:lang w:eastAsia="bg-BG"/>
        </w:rPr>
      </w:pPr>
    </w:p>
    <w:p w14:paraId="12861F27" w14:textId="5C26E7A3"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Напредналата фаза на двигателна нестабилност </w:t>
      </w:r>
      <w:r w:rsidRPr="00DE49F9">
        <w:rPr>
          <w:rFonts w:eastAsia="Times New Roman" w:cs="Arial"/>
          <w:color w:val="000000"/>
          <w:lang w:val="ru-RU"/>
        </w:rPr>
        <w:t>(“</w:t>
      </w:r>
      <w:r w:rsidRPr="00DE49F9">
        <w:rPr>
          <w:rFonts w:eastAsia="Times New Roman" w:cs="Arial"/>
          <w:color w:val="000000"/>
          <w:lang w:val="en-US"/>
        </w:rPr>
        <w:t>on</w:t>
      </w:r>
      <w:r w:rsidRPr="00DE49F9">
        <w:rPr>
          <w:rFonts w:eastAsia="Times New Roman" w:cs="Arial"/>
          <w:color w:val="000000"/>
          <w:lang w:val="ru-RU"/>
        </w:rPr>
        <w:t>-</w:t>
      </w:r>
      <w:r w:rsidRPr="00DE49F9">
        <w:rPr>
          <w:rFonts w:eastAsia="Times New Roman" w:cs="Arial"/>
          <w:color w:val="000000"/>
          <w:lang w:val="en-US"/>
        </w:rPr>
        <w:t>off</w:t>
      </w:r>
      <w:r w:rsidRPr="00DE49F9">
        <w:rPr>
          <w:rFonts w:eastAsia="Times New Roman" w:cs="Arial"/>
          <w:color w:val="000000"/>
          <w:lang w:val="ru-RU"/>
        </w:rPr>
        <w:t>’</w:t>
      </w:r>
      <w:r w:rsidRPr="00DE49F9">
        <w:rPr>
          <w:rFonts w:eastAsia="Times New Roman" w:cs="Arial"/>
          <w:color w:val="000000"/>
          <w:lang w:eastAsia="bg-BG"/>
        </w:rPr>
        <w:t>-феномен) се характеризира с непредсказуеми преходи от подвижност към неподвижност. Въпреки че причините за настъпване на двигателна нестабилност не са напълно изяснени, е било демонстрирано, че тяхното въздействие може да бъде намалено чрез прилагане на подходящи терапевтични схеми, за поддържане стабилни плазмени нива на леводопа.</w:t>
      </w:r>
    </w:p>
    <w:p w14:paraId="3C5EB8BF" w14:textId="77777777" w:rsidR="00DE49F9" w:rsidRDefault="00DE49F9" w:rsidP="00DE49F9">
      <w:pPr>
        <w:spacing w:line="240" w:lineRule="auto"/>
        <w:rPr>
          <w:rFonts w:eastAsia="Times New Roman" w:cs="Arial"/>
          <w:color w:val="000000"/>
          <w:lang w:eastAsia="bg-BG"/>
        </w:rPr>
      </w:pPr>
    </w:p>
    <w:p w14:paraId="3E65DB9B" w14:textId="6DE66FDF"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Синепар съдържа 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карбидопа и 200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леводопа в лекарствена форма с удължено освобождаване, създадена така, че да може да освобождава активните вещества за период от 4 до 6 часа. При тази лекарствена форма се достига минимална вариабилност в плазмените нива на леводопа, в сравнение с конвенционалния леводопа/карбидопа.</w:t>
      </w:r>
    </w:p>
    <w:p w14:paraId="3AA10EC8" w14:textId="77777777" w:rsidR="00DE49F9" w:rsidRDefault="00DE49F9" w:rsidP="00DE49F9">
      <w:pPr>
        <w:spacing w:line="240" w:lineRule="auto"/>
        <w:rPr>
          <w:rFonts w:eastAsia="Times New Roman" w:cs="Arial"/>
          <w:color w:val="000000"/>
          <w:lang w:eastAsia="bg-BG"/>
        </w:rPr>
      </w:pPr>
    </w:p>
    <w:p w14:paraId="64A6AB3D" w14:textId="18E23F3F"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Редуцираното формиране на допамин в екстрацеребралните тъкани, напр. сърцето, при кучета, осигурява защита срещу развитието на причинени от допамина сърдечни аритмии. Клиничните изследвания показват резултати, поддържащи хипотезата за подобен </w:t>
      </w:r>
      <w:r w:rsidRPr="00DE49F9">
        <w:rPr>
          <w:rFonts w:eastAsia="Times New Roman" w:cs="Arial"/>
          <w:i/>
          <w:iCs/>
          <w:color w:val="000000"/>
          <w:lang w:eastAsia="bg-BG"/>
        </w:rPr>
        <w:t>протективен ефект и</w:t>
      </w:r>
      <w:r w:rsidRPr="00DE49F9">
        <w:rPr>
          <w:rFonts w:eastAsia="Times New Roman" w:cs="Arial"/>
          <w:color w:val="000000"/>
          <w:lang w:eastAsia="bg-BG"/>
        </w:rPr>
        <w:t xml:space="preserve"> при хората, въпреки че за момента проверените изследвания са твърде ограничени, за да се направят неоспорими заключения. След едновременното приложение на карбидопа и леводопа при човека, плазмените нива на леводопа са значително увеличени, в сравнение с откритите за същата доза леводопа, дадена самостоятелно, докато плазмените нива на допамина и хомованиловата киселина, значително намаляват.</w:t>
      </w:r>
    </w:p>
    <w:p w14:paraId="2A150628" w14:textId="77777777" w:rsidR="00DE49F9" w:rsidRDefault="00DE49F9" w:rsidP="00DE49F9">
      <w:pPr>
        <w:spacing w:line="240" w:lineRule="auto"/>
        <w:rPr>
          <w:rFonts w:eastAsia="Times New Roman" w:cs="Arial"/>
          <w:color w:val="000000"/>
          <w:lang w:eastAsia="bg-BG"/>
        </w:rPr>
      </w:pPr>
    </w:p>
    <w:p w14:paraId="69042C82" w14:textId="7D3D0C7D" w:rsidR="00DE49F9" w:rsidRPr="00DE49F9" w:rsidRDefault="00DE49F9" w:rsidP="00DE49F9">
      <w:pPr>
        <w:spacing w:line="240" w:lineRule="auto"/>
        <w:rPr>
          <w:rFonts w:eastAsia="Times New Roman" w:cs="Arial"/>
        </w:rPr>
      </w:pPr>
      <w:r w:rsidRPr="00DE49F9">
        <w:rPr>
          <w:rFonts w:eastAsia="Times New Roman" w:cs="Arial"/>
          <w:color w:val="000000"/>
          <w:lang w:eastAsia="bg-BG"/>
        </w:rPr>
        <w:t>Забелязано е, че пиридоксии хидрохлорид (витамин В</w:t>
      </w:r>
      <w:r w:rsidRPr="00DE49F9">
        <w:rPr>
          <w:rFonts w:eastAsia="Times New Roman" w:cs="Arial"/>
          <w:color w:val="000000"/>
          <w:vertAlign w:val="subscript"/>
          <w:lang w:eastAsia="bg-BG"/>
        </w:rPr>
        <w:t>6</w:t>
      </w:r>
      <w:r w:rsidRPr="00DE49F9">
        <w:rPr>
          <w:rFonts w:eastAsia="Times New Roman" w:cs="Arial"/>
          <w:color w:val="000000"/>
          <w:lang w:eastAsia="bg-BG"/>
        </w:rPr>
        <w:t xml:space="preserve">), в орални дози от 10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до 25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бързо обръща антипаркинсоновия ефект на леводопа. Карбидопа предотвратява това действие на пиридоксина. При изследване на пациенти, приемащи от 100 до 500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пиридоксин дневно, няма обръщане на терапевтичния ефект, докато са едновременно третирани с комбинация на леводопа/карбидопа.</w:t>
      </w:r>
    </w:p>
    <w:p w14:paraId="3550F112" w14:textId="77777777" w:rsidR="00DE49F9" w:rsidRDefault="00DE49F9" w:rsidP="00DE49F9">
      <w:pPr>
        <w:spacing w:line="240" w:lineRule="auto"/>
        <w:rPr>
          <w:rFonts w:eastAsia="Times New Roman" w:cs="Arial"/>
          <w:color w:val="000000"/>
          <w:u w:val="single"/>
          <w:lang w:eastAsia="bg-BG"/>
        </w:rPr>
      </w:pPr>
    </w:p>
    <w:p w14:paraId="602C5FE6" w14:textId="4FC0DFA7"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Клинична ефикасност и безопасност</w:t>
      </w:r>
    </w:p>
    <w:p w14:paraId="2167F13E"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В клинични проучвания, пациенти с умерена до тежка моторна нестабилност, показват намалено време на „изключване” </w:t>
      </w:r>
      <w:r w:rsidRPr="00DE49F9">
        <w:rPr>
          <w:rFonts w:eastAsia="Times New Roman" w:cs="Arial"/>
          <w:color w:val="000000"/>
          <w:lang w:val="ru-RU"/>
        </w:rPr>
        <w:t>(“</w:t>
      </w:r>
      <w:r w:rsidRPr="00DE49F9">
        <w:rPr>
          <w:rFonts w:eastAsia="Times New Roman" w:cs="Arial"/>
          <w:color w:val="000000"/>
          <w:lang w:val="en-US"/>
        </w:rPr>
        <w:t>off</w:t>
      </w:r>
      <w:r w:rsidRPr="00DE49F9">
        <w:rPr>
          <w:rFonts w:eastAsia="Times New Roman" w:cs="Arial"/>
          <w:color w:val="000000"/>
          <w:lang w:val="ru-RU"/>
        </w:rPr>
        <w:t xml:space="preserve">” </w:t>
      </w:r>
      <w:r w:rsidRPr="00DE49F9">
        <w:rPr>
          <w:rFonts w:eastAsia="Times New Roman" w:cs="Arial"/>
          <w:color w:val="000000"/>
          <w:lang w:val="en-US"/>
        </w:rPr>
        <w:t>time</w:t>
      </w:r>
      <w:r w:rsidRPr="00DE49F9">
        <w:rPr>
          <w:rFonts w:eastAsia="Times New Roman" w:cs="Arial"/>
          <w:color w:val="000000"/>
          <w:lang w:val="ru-RU"/>
        </w:rPr>
        <w:t xml:space="preserve">) </w:t>
      </w:r>
      <w:r w:rsidRPr="00DE49F9">
        <w:rPr>
          <w:rFonts w:eastAsia="Times New Roman" w:cs="Arial"/>
          <w:color w:val="000000"/>
          <w:lang w:eastAsia="bg-BG"/>
        </w:rPr>
        <w:t xml:space="preserve">при употреба на Синепар таблетки с удължено освобождаване. Както от страна на пациенти, така и от страна на лекаря, посочените общи оценки за подобрение и активиране на ежедневните дейности при </w:t>
      </w:r>
      <w:r w:rsidRPr="00DE49F9">
        <w:rPr>
          <w:rFonts w:eastAsia="Times New Roman" w:cs="Arial"/>
          <w:color w:val="000000"/>
          <w:lang w:val="ru-RU"/>
        </w:rPr>
        <w:t>“</w:t>
      </w:r>
      <w:r w:rsidRPr="00DE49F9">
        <w:rPr>
          <w:rFonts w:eastAsia="Times New Roman" w:cs="Arial"/>
          <w:color w:val="000000"/>
          <w:lang w:val="en-US"/>
        </w:rPr>
        <w:t>on</w:t>
      </w:r>
      <w:r w:rsidRPr="00DE49F9">
        <w:rPr>
          <w:rFonts w:eastAsia="Times New Roman" w:cs="Arial"/>
          <w:color w:val="000000"/>
          <w:lang w:val="ru-RU"/>
        </w:rPr>
        <w:t xml:space="preserve">” </w:t>
      </w:r>
      <w:r w:rsidRPr="00DE49F9">
        <w:rPr>
          <w:rFonts w:eastAsia="Times New Roman" w:cs="Arial"/>
          <w:color w:val="000000"/>
          <w:lang w:eastAsia="bg-BG"/>
        </w:rPr>
        <w:t xml:space="preserve">и </w:t>
      </w:r>
      <w:r w:rsidRPr="00DE49F9">
        <w:rPr>
          <w:rFonts w:eastAsia="Times New Roman" w:cs="Arial"/>
          <w:color w:val="000000"/>
          <w:lang w:val="ru-RU"/>
        </w:rPr>
        <w:t>“</w:t>
      </w:r>
      <w:r w:rsidRPr="00DE49F9">
        <w:rPr>
          <w:rFonts w:eastAsia="Times New Roman" w:cs="Arial"/>
          <w:color w:val="000000"/>
          <w:lang w:val="en-US"/>
        </w:rPr>
        <w:t>off</w:t>
      </w:r>
      <w:r w:rsidRPr="00DE49F9">
        <w:rPr>
          <w:rFonts w:eastAsia="Times New Roman" w:cs="Arial"/>
          <w:color w:val="000000"/>
          <w:lang w:val="ru-RU"/>
        </w:rPr>
        <w:t xml:space="preserve">” </w:t>
      </w:r>
      <w:r w:rsidRPr="00DE49F9">
        <w:rPr>
          <w:rFonts w:eastAsia="Times New Roman" w:cs="Arial"/>
          <w:color w:val="000000"/>
          <w:lang w:eastAsia="bg-BG"/>
        </w:rPr>
        <w:t>състоянието, са били по-добри по време на терапия със Синепар.</w:t>
      </w:r>
    </w:p>
    <w:p w14:paraId="0287A371" w14:textId="211987FB" w:rsidR="00DE49F9" w:rsidRPr="00DE49F9" w:rsidRDefault="00DE49F9" w:rsidP="00DE49F9">
      <w:pPr>
        <w:rPr>
          <w:rFonts w:cs="Arial"/>
        </w:rPr>
      </w:pPr>
    </w:p>
    <w:p w14:paraId="35F84B81" w14:textId="0399F1FE" w:rsidR="00CF77F7" w:rsidRDefault="002C50EE" w:rsidP="004A448E">
      <w:pPr>
        <w:pStyle w:val="Heading2"/>
      </w:pPr>
      <w:r>
        <w:t>5.2. Фармакокинетични свойства</w:t>
      </w:r>
    </w:p>
    <w:p w14:paraId="43E55F5C" w14:textId="51882E34" w:rsidR="00DE49F9" w:rsidRDefault="00DE49F9" w:rsidP="00DE49F9"/>
    <w:p w14:paraId="37BBCB65" w14:textId="77777777" w:rsidR="00DE49F9" w:rsidRPr="00DE49F9" w:rsidRDefault="00DE49F9" w:rsidP="00DE49F9">
      <w:pPr>
        <w:pStyle w:val="Heading3"/>
        <w:rPr>
          <w:rFonts w:eastAsia="Times New Roman"/>
          <w:b/>
          <w:u w:val="single"/>
        </w:rPr>
      </w:pPr>
      <w:r w:rsidRPr="00DE49F9">
        <w:rPr>
          <w:rFonts w:eastAsia="Times New Roman"/>
          <w:b/>
          <w:u w:val="single"/>
          <w:lang w:eastAsia="bg-BG"/>
        </w:rPr>
        <w:t>Абсоюбция</w:t>
      </w:r>
    </w:p>
    <w:p w14:paraId="3A76BCF4" w14:textId="77777777" w:rsidR="00DE49F9" w:rsidRPr="00DE49F9" w:rsidRDefault="00DE49F9" w:rsidP="00DE49F9">
      <w:pPr>
        <w:spacing w:line="240" w:lineRule="auto"/>
        <w:rPr>
          <w:rFonts w:eastAsia="Times New Roman" w:cs="Arial"/>
        </w:rPr>
      </w:pPr>
      <w:r w:rsidRPr="00DE49F9">
        <w:rPr>
          <w:rFonts w:eastAsia="Times New Roman" w:cs="Arial"/>
          <w:i/>
          <w:iCs/>
          <w:color w:val="000000"/>
          <w:lang w:eastAsia="bg-BG"/>
        </w:rPr>
        <w:t>Фармакокинетични свойства на Синепар</w:t>
      </w:r>
    </w:p>
    <w:p w14:paraId="783BBF9E"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Фармакокинетичните свойства на леводопа, след приемането на леводопа/карбидопа 200 </w:t>
      </w:r>
      <w:r w:rsidRPr="00DE49F9">
        <w:rPr>
          <w:rFonts w:eastAsia="Times New Roman" w:cs="Arial"/>
          <w:color w:val="000000"/>
          <w:lang w:val="en-US"/>
        </w:rPr>
        <w:t>mg</w:t>
      </w:r>
      <w:r w:rsidRPr="00DE49F9">
        <w:rPr>
          <w:rFonts w:eastAsia="Times New Roman" w:cs="Arial"/>
          <w:color w:val="000000"/>
          <w:lang w:val="ru-RU"/>
        </w:rPr>
        <w:t xml:space="preserve">/50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лекарствени продукти с удължено освобождаване под формата на таблетки, са изследвани при млади и стари здрави доброволци. Средното време до пиковото ниво на плазмената леводопа, след приемане на леводопа/карбидопа 200 </w:t>
      </w:r>
      <w:r w:rsidRPr="00DE49F9">
        <w:rPr>
          <w:rFonts w:eastAsia="Times New Roman" w:cs="Arial"/>
          <w:color w:val="000000"/>
          <w:lang w:val="en-US"/>
        </w:rPr>
        <w:t>mg</w:t>
      </w:r>
      <w:r w:rsidRPr="00DE49F9">
        <w:rPr>
          <w:rFonts w:eastAsia="Times New Roman" w:cs="Arial"/>
          <w:color w:val="000000"/>
          <w:lang w:val="ru-RU"/>
        </w:rPr>
        <w:t xml:space="preserve">/50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лекарствени продукти с удължено освобождаване е приблизително два часа в сравнение с 0.75 часа при конвенционални таблетки, съдържащи леводопа/карбидопа. Средните нива на пиковата плазмена леводопа са с 60% по-ниски при леводопа/карбидопа 200 </w:t>
      </w:r>
      <w:r w:rsidRPr="00DE49F9">
        <w:rPr>
          <w:rFonts w:eastAsia="Times New Roman" w:cs="Arial"/>
          <w:color w:val="000000"/>
          <w:lang w:val="en-US"/>
        </w:rPr>
        <w:t>mg</w:t>
      </w:r>
      <w:r w:rsidRPr="00DE49F9">
        <w:rPr>
          <w:rFonts w:eastAsia="Times New Roman" w:cs="Arial"/>
          <w:color w:val="000000"/>
          <w:lang w:val="ru-RU"/>
        </w:rPr>
        <w:t xml:space="preserve">/50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лекарствени продукти с удължено освобождаване спрямо конвенционални таблетки леводопа/карбидопа.</w:t>
      </w:r>
    </w:p>
    <w:p w14:paraId="27330E94" w14:textId="77777777" w:rsidR="00DE49F9" w:rsidRPr="00DE49F9" w:rsidRDefault="00DE49F9" w:rsidP="00DE49F9">
      <w:pPr>
        <w:spacing w:line="240" w:lineRule="auto"/>
        <w:rPr>
          <w:rFonts w:eastAsia="Times New Roman" w:cs="Arial"/>
        </w:rPr>
      </w:pPr>
      <w:r w:rsidRPr="00DE49F9">
        <w:rPr>
          <w:rFonts w:eastAsia="Times New Roman" w:cs="Arial"/>
          <w:i/>
          <w:iCs/>
          <w:color w:val="000000"/>
          <w:lang w:val="en-US"/>
        </w:rPr>
        <w:t>In</w:t>
      </w:r>
      <w:r w:rsidRPr="00DE49F9">
        <w:rPr>
          <w:rFonts w:eastAsia="Times New Roman" w:cs="Arial"/>
          <w:i/>
          <w:iCs/>
          <w:color w:val="000000"/>
          <w:lang w:val="ru-RU"/>
        </w:rPr>
        <w:t xml:space="preserve"> </w:t>
      </w:r>
      <w:r w:rsidRPr="00DE49F9">
        <w:rPr>
          <w:rFonts w:eastAsia="Times New Roman" w:cs="Arial"/>
          <w:i/>
          <w:iCs/>
          <w:color w:val="000000"/>
          <w:lang w:val="en-US"/>
        </w:rPr>
        <w:t>vivo</w:t>
      </w:r>
      <w:r w:rsidRPr="00DE49F9">
        <w:rPr>
          <w:rFonts w:eastAsia="Times New Roman" w:cs="Arial"/>
          <w:color w:val="000000"/>
          <w:lang w:val="ru-RU"/>
        </w:rPr>
        <w:t xml:space="preserve"> </w:t>
      </w:r>
      <w:r w:rsidRPr="00DE49F9">
        <w:rPr>
          <w:rFonts w:eastAsia="Times New Roman" w:cs="Arial"/>
          <w:color w:val="000000"/>
          <w:lang w:eastAsia="bg-BG"/>
        </w:rPr>
        <w:t xml:space="preserve">абсорбцията на леводопа след приложението на леводопа/карбидопа 200 </w:t>
      </w:r>
      <w:r w:rsidRPr="00DE49F9">
        <w:rPr>
          <w:rFonts w:eastAsia="Times New Roman" w:cs="Arial"/>
          <w:color w:val="000000"/>
          <w:lang w:val="en-US"/>
        </w:rPr>
        <w:t>mg</w:t>
      </w:r>
      <w:r w:rsidRPr="00DE49F9">
        <w:rPr>
          <w:rFonts w:eastAsia="Times New Roman" w:cs="Arial"/>
          <w:color w:val="000000"/>
          <w:lang w:val="ru-RU"/>
        </w:rPr>
        <w:t xml:space="preserve">/50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лекарствени продукти с удължено освобождаване е с продължителност от 4 до 6 часа. При тези изследвания, както и при пациентите, плазмените концентрации на леводопа варират в по-тесни граници в сравнение с тези при конвенционални таблетки леводопа/карбидопа.</w:t>
      </w:r>
    </w:p>
    <w:p w14:paraId="4601CF7E" w14:textId="77777777" w:rsidR="00DE49F9" w:rsidRDefault="00DE49F9" w:rsidP="00DE49F9">
      <w:pPr>
        <w:rPr>
          <w:rFonts w:eastAsia="Times New Roman" w:cs="Arial"/>
          <w:color w:val="000000"/>
          <w:lang w:eastAsia="bg-BG"/>
        </w:rPr>
      </w:pPr>
    </w:p>
    <w:p w14:paraId="06780200" w14:textId="77777777" w:rsidR="00DE49F9" w:rsidRPr="00DE49F9" w:rsidRDefault="00DE49F9" w:rsidP="00DE49F9">
      <w:pPr>
        <w:rPr>
          <w:rFonts w:eastAsia="Times New Roman" w:cs="Arial"/>
        </w:rPr>
      </w:pPr>
      <w:r w:rsidRPr="00DE49F9">
        <w:rPr>
          <w:rFonts w:eastAsia="Times New Roman" w:cs="Arial"/>
          <w:color w:val="000000"/>
          <w:lang w:eastAsia="bg-BG"/>
        </w:rPr>
        <w:t xml:space="preserve">Понеже бионаличността на леводопа от леводопа/карбидопа 200 </w:t>
      </w:r>
      <w:r w:rsidRPr="00DE49F9">
        <w:rPr>
          <w:rFonts w:eastAsia="Times New Roman" w:cs="Arial"/>
          <w:color w:val="000000"/>
          <w:lang w:val="en-US"/>
        </w:rPr>
        <w:t>mg</w:t>
      </w:r>
      <w:r w:rsidRPr="00DE49F9">
        <w:rPr>
          <w:rFonts w:eastAsia="Times New Roman" w:cs="Arial"/>
          <w:color w:val="000000"/>
          <w:lang w:val="ru-RU"/>
        </w:rPr>
        <w:t>/50</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лекарствени продукти с удължено освобождаване, отнесена към тази на леводопа/карбидопа</w:t>
      </w:r>
      <w:r w:rsidRPr="00DE49F9">
        <w:rPr>
          <w:rFonts w:eastAsia="Times New Roman" w:cs="Arial"/>
          <w:color w:val="000000"/>
          <w:lang w:val="ru-RU" w:eastAsia="bg-BG"/>
        </w:rPr>
        <w:t xml:space="preserve"> </w:t>
      </w:r>
      <w:r w:rsidRPr="00DE49F9">
        <w:rPr>
          <w:rFonts w:eastAsia="Times New Roman" w:cs="Arial"/>
          <w:i/>
          <w:iCs/>
          <w:color w:val="000000"/>
          <w:lang w:eastAsia="bg-BG"/>
        </w:rPr>
        <w:t>конвенционални таблетки е</w:t>
      </w:r>
      <w:r w:rsidRPr="00DE49F9">
        <w:rPr>
          <w:rFonts w:eastAsia="Times New Roman" w:cs="Arial"/>
          <w:color w:val="000000"/>
          <w:lang w:eastAsia="bg-BG"/>
        </w:rPr>
        <w:t xml:space="preserve"> приблизително 70%, дневната доза от леводопа в лекарствената форма с контролирано освобождаване обикновено ще е по-висока от тази при конвенционалните форми. Няма данни за бързо и неконтролируемо освобождоване на съставките на леводопа/карбидопа 200 </w:t>
      </w:r>
      <w:r w:rsidRPr="00DE49F9">
        <w:rPr>
          <w:rFonts w:eastAsia="Times New Roman" w:cs="Arial"/>
          <w:color w:val="000000"/>
          <w:lang w:val="en-US"/>
        </w:rPr>
        <w:t>mg</w:t>
      </w:r>
      <w:r w:rsidRPr="00DE49F9">
        <w:rPr>
          <w:rFonts w:eastAsia="Times New Roman" w:cs="Arial"/>
          <w:color w:val="000000"/>
          <w:lang w:val="ru-RU"/>
        </w:rPr>
        <w:t xml:space="preserve">/50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лекарствен продукт с удължено освобождаване.</w:t>
      </w:r>
    </w:p>
    <w:p w14:paraId="6A623313" w14:textId="77777777" w:rsidR="00DE49F9" w:rsidRDefault="00DE49F9" w:rsidP="00DE49F9">
      <w:pPr>
        <w:spacing w:line="240" w:lineRule="auto"/>
        <w:rPr>
          <w:rFonts w:eastAsia="Times New Roman" w:cs="Arial"/>
          <w:i/>
          <w:iCs/>
          <w:color w:val="000000"/>
          <w:lang w:eastAsia="bg-BG"/>
        </w:rPr>
      </w:pPr>
    </w:p>
    <w:p w14:paraId="44F16383" w14:textId="223BC786" w:rsidR="00DE49F9" w:rsidRPr="00DE49F9" w:rsidRDefault="00DE49F9" w:rsidP="00DE49F9">
      <w:pPr>
        <w:spacing w:line="240" w:lineRule="auto"/>
        <w:rPr>
          <w:rFonts w:eastAsia="Times New Roman" w:cs="Arial"/>
        </w:rPr>
      </w:pPr>
      <w:r w:rsidRPr="00DE49F9">
        <w:rPr>
          <w:rFonts w:eastAsia="Times New Roman" w:cs="Arial"/>
          <w:i/>
          <w:iCs/>
          <w:color w:val="000000"/>
          <w:lang w:eastAsia="bg-BG"/>
        </w:rPr>
        <w:t>Метаболизъм на карбидопа</w:t>
      </w:r>
    </w:p>
    <w:p w14:paraId="7B836430"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След перорална доза радиоактивно белязана карбидопа, приложена на здрави хора и на страдащи от паркинсонова болест, максималните плазмени нива на радиоактивност са достигнати за 2 до 4 часа при здравите индивиди и за час, час и половина до пет часа при болните. Приблизително равни количества са отделени чрез урината и екскрементите и при двете групи. Сравнението на метаболитите в урината на здрави индивиди и на пациенти показва, че лекарството се метаболизира в еднаква степен и от едните, и от другите. Уринната екскреция на непроменено лекарство напълно завършва след 7 часа и представлява 35% от цялата уринна радиоактивност. След това се намират само метаболити. Само метаболитите, отделяни от човека, са а-метил-З-метокси-4-хидрокси-фенилпропилова киселина и а-метил-3,4- дихидроксифенилпропилова киселина. Това се изчислява като приблизително 14% и съответно 10%, от отделените радиоактивни метаболити. Открити са два второстепенни метаболита. Единият се идентифицира като 3,4-дихидрокси-фенил-ацетон, а другият, не съвсем сигурно, като </w:t>
      </w:r>
      <w:r w:rsidRPr="00DE49F9">
        <w:rPr>
          <w:rFonts w:eastAsia="Times New Roman" w:cs="Arial"/>
          <w:color w:val="000000"/>
          <w:lang w:val="en-US"/>
        </w:rPr>
        <w:t>N</w:t>
      </w:r>
      <w:r w:rsidRPr="00DE49F9">
        <w:rPr>
          <w:rFonts w:eastAsia="Times New Roman" w:cs="Arial"/>
          <w:color w:val="000000"/>
          <w:lang w:eastAsia="bg-BG"/>
        </w:rPr>
        <w:t xml:space="preserve">-метил-карбидопа. Всеки от тях се изчислява на по-малко от 5% от метаболитите в урината. В последната е открита и непроменена </w:t>
      </w:r>
      <w:r w:rsidRPr="00DE49F9">
        <w:rPr>
          <w:rFonts w:eastAsia="Times New Roman" w:cs="Arial"/>
          <w:i/>
          <w:iCs/>
          <w:color w:val="000000"/>
          <w:lang w:val="en-US"/>
        </w:rPr>
        <w:t>carbidopa</w:t>
      </w:r>
      <w:r w:rsidRPr="00DE49F9">
        <w:rPr>
          <w:rFonts w:eastAsia="Times New Roman" w:cs="Arial"/>
          <w:i/>
          <w:iCs/>
          <w:color w:val="000000"/>
          <w:lang w:val="ru-RU"/>
        </w:rPr>
        <w:t>.</w:t>
      </w:r>
      <w:r w:rsidRPr="00DE49F9">
        <w:rPr>
          <w:rFonts w:eastAsia="Times New Roman" w:cs="Arial"/>
          <w:color w:val="000000"/>
          <w:lang w:val="ru-RU"/>
        </w:rPr>
        <w:t xml:space="preserve"> </w:t>
      </w:r>
      <w:r w:rsidRPr="00DE49F9">
        <w:rPr>
          <w:rFonts w:eastAsia="Times New Roman" w:cs="Arial"/>
          <w:color w:val="000000"/>
          <w:lang w:eastAsia="bg-BG"/>
        </w:rPr>
        <w:t>Не са наблюдавани конюгати.</w:t>
      </w:r>
    </w:p>
    <w:p w14:paraId="58FE54B4" w14:textId="77777777" w:rsidR="00DE49F9" w:rsidRDefault="00DE49F9" w:rsidP="00DE49F9">
      <w:pPr>
        <w:spacing w:line="240" w:lineRule="auto"/>
        <w:rPr>
          <w:rFonts w:eastAsia="Times New Roman" w:cs="Arial"/>
          <w:i/>
          <w:iCs/>
          <w:color w:val="000000"/>
          <w:lang w:eastAsia="bg-BG"/>
        </w:rPr>
      </w:pPr>
    </w:p>
    <w:p w14:paraId="7AA79034" w14:textId="544E401C" w:rsidR="00DE49F9" w:rsidRPr="00DE49F9" w:rsidRDefault="00DE49F9" w:rsidP="00DE49F9">
      <w:pPr>
        <w:spacing w:line="240" w:lineRule="auto"/>
        <w:rPr>
          <w:rFonts w:eastAsia="Times New Roman" w:cs="Arial"/>
        </w:rPr>
      </w:pPr>
      <w:r w:rsidRPr="00DE49F9">
        <w:rPr>
          <w:rFonts w:eastAsia="Times New Roman" w:cs="Arial"/>
          <w:i/>
          <w:iCs/>
          <w:color w:val="000000"/>
          <w:lang w:eastAsia="bg-BG"/>
        </w:rPr>
        <w:t>Метаболизъм на леводопа</w:t>
      </w:r>
    </w:p>
    <w:p w14:paraId="09540405"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Леводопа се абсорбира бързо от гастроинтестиналният тракт и в голяма степен се метаболизира. Въпреки че могат да се открият повече от 30 метаболита, тя се конвертира главно в допамин, епинефрин, норепинефрин и евентуално дихидроксифенилоцетна </w:t>
      </w:r>
      <w:r w:rsidRPr="00DE49F9">
        <w:rPr>
          <w:rFonts w:eastAsia="Times New Roman" w:cs="Arial"/>
          <w:color w:val="000000"/>
          <w:lang w:eastAsia="bg-BG"/>
        </w:rPr>
        <w:lastRenderedPageBreak/>
        <w:t>киселина, хомовинилова киселина и ванилбадемова киселина. 3-0- метилдопа се появява в цереброспиналната течност. Нейното значение е неизвестно.</w:t>
      </w:r>
    </w:p>
    <w:p w14:paraId="634728F3" w14:textId="77777777" w:rsidR="00DE49F9" w:rsidRDefault="00DE49F9" w:rsidP="00DE49F9">
      <w:pPr>
        <w:spacing w:line="240" w:lineRule="auto"/>
        <w:rPr>
          <w:rFonts w:eastAsia="Times New Roman" w:cs="Arial"/>
          <w:color w:val="000000"/>
          <w:lang w:eastAsia="bg-BG"/>
        </w:rPr>
      </w:pPr>
    </w:p>
    <w:p w14:paraId="772AE14B" w14:textId="0794672F"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Когато на пациенти с паркинсонова болест, поставени на диета без месни продукти, се дава единична доза радиоактивно белязана </w:t>
      </w:r>
      <w:r w:rsidRPr="00DE49F9">
        <w:rPr>
          <w:rFonts w:eastAsia="Times New Roman" w:cs="Arial"/>
          <w:i/>
          <w:iCs/>
          <w:color w:val="000000"/>
          <w:lang w:val="en-US"/>
        </w:rPr>
        <w:t>levodopa</w:t>
      </w:r>
      <w:r w:rsidRPr="00DE49F9">
        <w:rPr>
          <w:rFonts w:eastAsia="Times New Roman" w:cs="Arial"/>
          <w:i/>
          <w:iCs/>
          <w:color w:val="000000"/>
          <w:lang w:val="ru-RU"/>
        </w:rPr>
        <w:t>,</w:t>
      </w:r>
      <w:r w:rsidRPr="00DE49F9">
        <w:rPr>
          <w:rFonts w:eastAsia="Times New Roman" w:cs="Arial"/>
          <w:color w:val="000000"/>
          <w:lang w:val="ru-RU"/>
        </w:rPr>
        <w:t xml:space="preserve"> </w:t>
      </w:r>
      <w:r w:rsidRPr="00DE49F9">
        <w:rPr>
          <w:rFonts w:eastAsia="Times New Roman" w:cs="Arial"/>
          <w:color w:val="000000"/>
          <w:lang w:eastAsia="bg-BG"/>
        </w:rPr>
        <w:t>плазмените нива на радиоактивност достигат пикова стойност след час и половина до четири часа и са измерими за 4 до 6 часа.</w:t>
      </w:r>
    </w:p>
    <w:p w14:paraId="43120444"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При пиковите нива около 30% от радиоактивността е под формата на катехоламини, 15% на допамин и 10% на допа. Радиоактивните съединения се отделят бързо чрез урината, по една трета от дозата на два часа. 80% до 90% от уринните метаболити са фенилкарбоксилови киселини, главно хомованилова киселина. За 24 часа 1 до 2% от установената радиоактивност в урината е в допамин, а по-малко от 1% е в епинефрин, норепинефрин и непроменена леводопа.</w:t>
      </w:r>
    </w:p>
    <w:p w14:paraId="30C16D8C" w14:textId="77777777" w:rsidR="00DE49F9" w:rsidRDefault="00DE49F9" w:rsidP="00DE49F9">
      <w:pPr>
        <w:spacing w:line="240" w:lineRule="auto"/>
        <w:rPr>
          <w:rFonts w:eastAsia="Times New Roman" w:cs="Arial"/>
          <w:i/>
          <w:iCs/>
          <w:color w:val="000000"/>
          <w:lang w:eastAsia="bg-BG"/>
        </w:rPr>
      </w:pPr>
    </w:p>
    <w:p w14:paraId="253A6EA9" w14:textId="300451C3" w:rsidR="00DE49F9" w:rsidRPr="00DE49F9" w:rsidRDefault="00DE49F9" w:rsidP="00DE49F9">
      <w:pPr>
        <w:spacing w:line="240" w:lineRule="auto"/>
        <w:rPr>
          <w:rFonts w:eastAsia="Times New Roman" w:cs="Arial"/>
        </w:rPr>
      </w:pPr>
      <w:r w:rsidRPr="00DE49F9">
        <w:rPr>
          <w:rFonts w:eastAsia="Times New Roman" w:cs="Arial"/>
          <w:i/>
          <w:iCs/>
          <w:color w:val="000000"/>
          <w:lang w:eastAsia="bg-BG"/>
        </w:rPr>
        <w:t>Ефект на карбидопа върху метаболизма на леводопа</w:t>
      </w:r>
    </w:p>
    <w:p w14:paraId="4DB40796"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При здрави индивиди карбидопа съществено увеличава плазмените нива на леводопа, като постига статистически значими количества, измерени в сравнение с плацебо. Това е установено при приложение на карбидопа преди леводопа и при тяхното едновременно приложение. В едно изследване с предварително прилагане на карбидопа, плазмените нива на единична доза леводопа са нараснали около 5 пъти, а продължителността на измеримите плазмени концентрации леводопа се е увеличила от 4 до 8 часа. Когато при други изследвания двете лекарства са дадени едновременно, постигнатите резултати са подобни.</w:t>
      </w:r>
    </w:p>
    <w:p w14:paraId="2160F675" w14:textId="77777777" w:rsidR="00DE49F9" w:rsidRDefault="00DE49F9" w:rsidP="00DE49F9">
      <w:pPr>
        <w:rPr>
          <w:rFonts w:eastAsia="Times New Roman" w:cs="Arial"/>
          <w:color w:val="000000"/>
          <w:lang w:eastAsia="bg-BG"/>
        </w:rPr>
      </w:pPr>
    </w:p>
    <w:p w14:paraId="0D066949" w14:textId="1FDBB1BC" w:rsidR="00DE49F9" w:rsidRDefault="00DE49F9" w:rsidP="00DE49F9">
      <w:pPr>
        <w:rPr>
          <w:rFonts w:eastAsia="Times New Roman" w:cs="Arial"/>
          <w:color w:val="000000"/>
          <w:lang w:eastAsia="bg-BG"/>
        </w:rPr>
      </w:pPr>
      <w:r w:rsidRPr="00DE49F9">
        <w:rPr>
          <w:rFonts w:eastAsia="Times New Roman" w:cs="Arial"/>
          <w:color w:val="000000"/>
          <w:lang w:eastAsia="bg-BG"/>
        </w:rPr>
        <w:t>При изследване с единична доза радиоактивно белязана леводопа, която е била давана на пациенти с паркинсонова болест, получавали предварително карбидопа, има увеличаване на елиминационния полуживот на общата радиоактивност, произтичаща от леводопа, от 3 до 15 часа. Карбидопа увеличава поне три пъти тази част от радиоактивността, дължаща се на неметаболизирана леводопа. Ккато плазмените, така и уринните допамин и хомованилова киселина, са се намалили от предварителното приемане на карбидопа.</w:t>
      </w:r>
    </w:p>
    <w:p w14:paraId="4A3E3ADC" w14:textId="77777777" w:rsidR="00DE49F9" w:rsidRPr="00DE49F9" w:rsidRDefault="00DE49F9" w:rsidP="00DE49F9">
      <w:pPr>
        <w:rPr>
          <w:rFonts w:eastAsia="Times New Roman" w:cs="Arial"/>
          <w:color w:val="000000"/>
          <w:lang w:val="ru-RU" w:eastAsia="bg-BG"/>
        </w:rPr>
      </w:pPr>
    </w:p>
    <w:p w14:paraId="648E39DA" w14:textId="5064E14A" w:rsidR="00CF77F7" w:rsidRDefault="002C50EE" w:rsidP="004A448E">
      <w:pPr>
        <w:pStyle w:val="Heading2"/>
      </w:pPr>
      <w:r>
        <w:t>5.3. Предклинични данни за безопасност</w:t>
      </w:r>
    </w:p>
    <w:p w14:paraId="4923A5C7" w14:textId="779BB196" w:rsidR="00DE49F9" w:rsidRDefault="00DE49F9" w:rsidP="00DE49F9"/>
    <w:p w14:paraId="71E0306B" w14:textId="77777777"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Токсикология</w:t>
      </w:r>
    </w:p>
    <w:p w14:paraId="40AE6DD6"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Средните дневни дози на едновременно прилаганите карбидопа и леводопа при човека са респективно 100 </w:t>
      </w:r>
      <w:r w:rsidRPr="00DE49F9">
        <w:rPr>
          <w:rFonts w:eastAsia="Times New Roman" w:cs="Arial"/>
          <w:color w:val="000000"/>
          <w:lang w:val="en-US"/>
        </w:rPr>
        <w:t>mg</w:t>
      </w:r>
      <w:r w:rsidRPr="00DE49F9">
        <w:rPr>
          <w:rFonts w:eastAsia="Times New Roman" w:cs="Arial"/>
          <w:color w:val="000000"/>
          <w:lang w:val="ru-RU"/>
        </w:rPr>
        <w:t xml:space="preserve"> </w:t>
      </w:r>
      <w:r w:rsidRPr="00DE49F9">
        <w:rPr>
          <w:rFonts w:eastAsia="Times New Roman" w:cs="Arial"/>
          <w:color w:val="000000"/>
          <w:lang w:eastAsia="bg-BG"/>
        </w:rPr>
        <w:t xml:space="preserve">и 1 </w:t>
      </w:r>
      <w:r w:rsidRPr="00DE49F9">
        <w:rPr>
          <w:rFonts w:eastAsia="Times New Roman" w:cs="Arial"/>
          <w:color w:val="000000"/>
          <w:lang w:val="en-US"/>
        </w:rPr>
        <w:t>g</w:t>
      </w:r>
      <w:r w:rsidRPr="00DE49F9">
        <w:rPr>
          <w:rFonts w:eastAsia="Times New Roman" w:cs="Arial"/>
          <w:color w:val="000000"/>
          <w:lang w:val="ru-RU"/>
        </w:rPr>
        <w:t xml:space="preserve">, </w:t>
      </w:r>
      <w:r w:rsidRPr="00DE49F9">
        <w:rPr>
          <w:rFonts w:eastAsia="Times New Roman" w:cs="Arial"/>
          <w:color w:val="000000"/>
          <w:lang w:eastAsia="bg-BG"/>
        </w:rPr>
        <w:t xml:space="preserve">което е приблизително 2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карбидопа и 20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леводопа.</w:t>
      </w:r>
    </w:p>
    <w:p w14:paraId="4939B99D" w14:textId="77777777" w:rsidR="00DE49F9" w:rsidRDefault="00DE49F9" w:rsidP="00DE49F9">
      <w:pPr>
        <w:spacing w:line="240" w:lineRule="auto"/>
        <w:rPr>
          <w:rFonts w:eastAsia="Times New Roman" w:cs="Arial"/>
          <w:color w:val="000000"/>
          <w:lang w:eastAsia="bg-BG"/>
        </w:rPr>
      </w:pPr>
    </w:p>
    <w:p w14:paraId="7EB8730B" w14:textId="192C07F3"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Пероралните </w:t>
      </w:r>
      <w:r w:rsidRPr="00DE49F9">
        <w:rPr>
          <w:rFonts w:eastAsia="Times New Roman" w:cs="Arial"/>
          <w:color w:val="000000"/>
          <w:lang w:val="en-US"/>
        </w:rPr>
        <w:t>LD</w:t>
      </w:r>
      <w:r w:rsidRPr="00DE49F9">
        <w:rPr>
          <w:rFonts w:eastAsia="Times New Roman" w:cs="Arial"/>
          <w:color w:val="000000"/>
          <w:vertAlign w:val="subscript"/>
          <w:lang w:val="ru-RU"/>
        </w:rPr>
        <w:t>50</w:t>
      </w:r>
      <w:r w:rsidRPr="00DE49F9">
        <w:rPr>
          <w:rFonts w:eastAsia="Times New Roman" w:cs="Arial"/>
          <w:color w:val="000000"/>
          <w:lang w:val="ru-RU"/>
        </w:rPr>
        <w:t xml:space="preserve"> </w:t>
      </w:r>
      <w:r w:rsidRPr="00DE49F9">
        <w:rPr>
          <w:rFonts w:eastAsia="Times New Roman" w:cs="Arial"/>
          <w:color w:val="000000"/>
          <w:lang w:eastAsia="bg-BG"/>
        </w:rPr>
        <w:t xml:space="preserve">на карбидопа са 1750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при възрастни женски мишки, а 4810 и 5610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при млади, респективно женски и мъжки плъхове. Острата токсичност при перорално приложение на карбидопа е подобна при отбитите от кърмене малки плъхчета и възрастните плъхове, но съединението е по-токсично при плъховете в кьрмаческия период. Подобни са белезите на лекарствения ефект при мишки и плъхове, които се състоят в птоза, атаксия и намалена двигателна активност. При мишките се появява брадипнея. Смъртните случаи настъпват през първото денонощие и рядко има смъртни случаи до 12 дни.</w:t>
      </w:r>
    </w:p>
    <w:p w14:paraId="7E929ACE" w14:textId="77777777" w:rsidR="00DE49F9" w:rsidRDefault="00DE49F9" w:rsidP="00DE49F9">
      <w:pPr>
        <w:spacing w:line="240" w:lineRule="auto"/>
        <w:rPr>
          <w:rFonts w:eastAsia="Times New Roman" w:cs="Arial"/>
          <w:color w:val="000000"/>
          <w:lang w:eastAsia="bg-BG"/>
        </w:rPr>
      </w:pPr>
    </w:p>
    <w:p w14:paraId="05227811" w14:textId="469288B0"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Пероралните </w:t>
      </w:r>
      <w:r w:rsidRPr="00DE49F9">
        <w:rPr>
          <w:rFonts w:eastAsia="Times New Roman" w:cs="Arial"/>
          <w:color w:val="000000"/>
          <w:lang w:val="en-US"/>
        </w:rPr>
        <w:t>LD</w:t>
      </w:r>
      <w:r w:rsidRPr="00DE49F9">
        <w:rPr>
          <w:rFonts w:eastAsia="Times New Roman" w:cs="Arial"/>
          <w:color w:val="000000"/>
          <w:vertAlign w:val="subscript"/>
          <w:lang w:val="ru-RU"/>
        </w:rPr>
        <w:t>50</w:t>
      </w:r>
      <w:r w:rsidRPr="00DE49F9">
        <w:rPr>
          <w:rFonts w:eastAsia="Times New Roman" w:cs="Arial"/>
          <w:color w:val="000000"/>
          <w:lang w:val="ru-RU"/>
        </w:rPr>
        <w:t xml:space="preserve"> </w:t>
      </w:r>
      <w:r w:rsidRPr="00DE49F9">
        <w:rPr>
          <w:rFonts w:eastAsia="Times New Roman" w:cs="Arial"/>
          <w:color w:val="000000"/>
          <w:lang w:eastAsia="bg-BG"/>
        </w:rPr>
        <w:t xml:space="preserve">на леводопа варират от 800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мъжки и женски плъхове кърмачета, до 2260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при младите женски плъхове. Признаците на лекарствения ефект са </w:t>
      </w:r>
      <w:r w:rsidRPr="00DE49F9">
        <w:rPr>
          <w:rFonts w:eastAsia="Times New Roman" w:cs="Arial"/>
          <w:color w:val="000000"/>
          <w:lang w:eastAsia="bg-BG"/>
        </w:rPr>
        <w:lastRenderedPageBreak/>
        <w:t>издаване на звуци, раздразнимост, възбудимост и повишаване на двигателната активност, последвана от намалена активност след 1 до 2 часа. Смъртните случаи обикновено настъпват след 30 минути или на следващия ден, а рядко до 5 дни.</w:t>
      </w:r>
    </w:p>
    <w:p w14:paraId="7F4A055C" w14:textId="77777777" w:rsidR="00DE49F9" w:rsidRDefault="00DE49F9" w:rsidP="00DE49F9">
      <w:pPr>
        <w:spacing w:line="240" w:lineRule="auto"/>
        <w:rPr>
          <w:rFonts w:eastAsia="Times New Roman" w:cs="Arial"/>
          <w:color w:val="000000"/>
          <w:lang w:eastAsia="bg-BG"/>
        </w:rPr>
      </w:pPr>
    </w:p>
    <w:p w14:paraId="1664DC73" w14:textId="5949CCFE"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Пероралните </w:t>
      </w:r>
      <w:r w:rsidRPr="00DE49F9">
        <w:rPr>
          <w:rFonts w:eastAsia="Times New Roman" w:cs="Arial"/>
          <w:color w:val="000000"/>
          <w:lang w:val="en-US"/>
        </w:rPr>
        <w:t>LD</w:t>
      </w:r>
      <w:r w:rsidRPr="00DE49F9">
        <w:rPr>
          <w:rFonts w:eastAsia="Times New Roman" w:cs="Arial"/>
          <w:color w:val="000000"/>
          <w:vertAlign w:val="subscript"/>
          <w:lang w:val="ru-RU"/>
        </w:rPr>
        <w:t>50</w:t>
      </w:r>
      <w:r w:rsidRPr="00DE49F9">
        <w:rPr>
          <w:rFonts w:eastAsia="Times New Roman" w:cs="Arial"/>
          <w:color w:val="000000"/>
          <w:lang w:val="ru-RU"/>
        </w:rPr>
        <w:t xml:space="preserve"> </w:t>
      </w:r>
      <w:r w:rsidRPr="00DE49F9">
        <w:rPr>
          <w:rFonts w:eastAsia="Times New Roman" w:cs="Arial"/>
          <w:color w:val="000000"/>
          <w:lang w:eastAsia="bg-BG"/>
        </w:rPr>
        <w:t xml:space="preserve">на различните комбинации от карбидопа и леводопа при мишки варират от 1930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за отношение 1:1 до 3270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за отношение 1:3. Тези количества са сумата от индивидуалните дози карбидопа и леводопа. Проверените отношения над 1:3 (1:4, 1:5, 1:10) не са променили осезателно характеристиките на </w:t>
      </w:r>
      <w:r w:rsidRPr="00DE49F9">
        <w:rPr>
          <w:rFonts w:eastAsia="Times New Roman" w:cs="Arial"/>
          <w:color w:val="000000"/>
          <w:lang w:val="en-US"/>
        </w:rPr>
        <w:t>LD</w:t>
      </w:r>
      <w:r w:rsidRPr="00DE49F9">
        <w:rPr>
          <w:rFonts w:eastAsia="Times New Roman" w:cs="Arial"/>
          <w:color w:val="000000"/>
          <w:vertAlign w:val="subscript"/>
          <w:lang w:val="ru-RU"/>
        </w:rPr>
        <w:t>50</w:t>
      </w:r>
      <w:r w:rsidRPr="00DE49F9">
        <w:rPr>
          <w:rFonts w:eastAsia="Times New Roman" w:cs="Arial"/>
          <w:color w:val="000000"/>
          <w:lang w:val="ru-RU"/>
        </w:rPr>
        <w:t xml:space="preserve"> </w:t>
      </w:r>
      <w:r w:rsidRPr="00DE49F9">
        <w:rPr>
          <w:rFonts w:eastAsia="Times New Roman" w:cs="Arial"/>
          <w:color w:val="000000"/>
          <w:lang w:eastAsia="bg-BG"/>
        </w:rPr>
        <w:t>в сравнение с установените при отношение 1:3.</w:t>
      </w:r>
    </w:p>
    <w:p w14:paraId="3669EB10"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Отношенията от 1:3 и нагоре са били по-малко токсични от отношения 1:1 и 1:2. Признаците на токсичност вкючват настръхване на опашките и козината, атаксия, сълзотечение и повишена двигателна активност. Клинични конвулсии и повишена раздразнимост са наблюдавани при дози от 1500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и повече. Силно треперене на главата и тялото са забелязани при дози от 4120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и по-високи. Смъртта настъпва след 30 минути до 24 часа от прилагането на дози от 4120 и 5780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и до 12 дни - на доза 2940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w:t>
      </w:r>
    </w:p>
    <w:p w14:paraId="3F599FBD" w14:textId="77777777" w:rsidR="00DE49F9" w:rsidRDefault="00DE49F9" w:rsidP="00DE49F9">
      <w:pPr>
        <w:spacing w:line="240" w:lineRule="auto"/>
        <w:rPr>
          <w:rFonts w:eastAsia="Times New Roman" w:cs="Arial"/>
          <w:color w:val="000000"/>
          <w:lang w:eastAsia="bg-BG"/>
        </w:rPr>
      </w:pPr>
    </w:p>
    <w:p w14:paraId="186BA300" w14:textId="55BC9980"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Изследвания върху хроничната токсичност при перорално приложение на карбидопа са проведени за период от една година с маймуни и за 96 седмици с плъхове, при използване на дози от 25 до 135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дневно. При маймуните не са </w:t>
      </w:r>
      <w:r w:rsidRPr="00DE49F9">
        <w:rPr>
          <w:rFonts w:eastAsia="Times New Roman" w:cs="Arial"/>
          <w:i/>
          <w:iCs/>
          <w:color w:val="000000"/>
          <w:lang w:eastAsia="bg-BG"/>
        </w:rPr>
        <w:t>наблюдавани</w:t>
      </w:r>
      <w:r w:rsidRPr="00DE49F9">
        <w:rPr>
          <w:rFonts w:eastAsia="Times New Roman" w:cs="Arial"/>
          <w:color w:val="000000"/>
          <w:lang w:eastAsia="bg-BG"/>
        </w:rPr>
        <w:t xml:space="preserve"> ефекти, свързани с лекарството. При плъховете е настъпила вялост като при някои от животните - за всички дозови групи. При плъховете, третирани с най-високите дози, се наблюдава значително повишено тегло на бъбреците, </w:t>
      </w:r>
      <w:r w:rsidRPr="00DE49F9">
        <w:rPr>
          <w:rFonts w:eastAsia="Times New Roman" w:cs="Arial"/>
          <w:i/>
          <w:iCs/>
          <w:color w:val="000000"/>
          <w:lang w:eastAsia="bg-BG"/>
        </w:rPr>
        <w:t>в</w:t>
      </w:r>
      <w:r w:rsidRPr="00DE49F9">
        <w:rPr>
          <w:rFonts w:eastAsia="Times New Roman" w:cs="Arial"/>
          <w:color w:val="000000"/>
          <w:lang w:eastAsia="bg-BG"/>
        </w:rPr>
        <w:t xml:space="preserve"> сравнение с това на контролните животни, въпреки че не са наблюдавани микро- или макроскопични промени, които да го обясняват. Липсват хистологични промени, които се дължат на третирането. Карбидопа не е оказала влияние върху вида или честотата на неоплазии по време на 96-седмично изследване при плъховете.</w:t>
      </w:r>
    </w:p>
    <w:p w14:paraId="1C108DB0" w14:textId="77777777" w:rsidR="00DE49F9" w:rsidRDefault="00DE49F9" w:rsidP="00DE49F9">
      <w:pPr>
        <w:spacing w:line="240" w:lineRule="auto"/>
        <w:rPr>
          <w:rFonts w:eastAsia="Times New Roman" w:cs="Arial"/>
          <w:color w:val="000000"/>
          <w:lang w:eastAsia="bg-BG"/>
        </w:rPr>
      </w:pPr>
    </w:p>
    <w:p w14:paraId="7458F6D6" w14:textId="6C51E023" w:rsidR="00DE49F9" w:rsidRPr="00DE49F9" w:rsidRDefault="00DE49F9" w:rsidP="00DE49F9">
      <w:pPr>
        <w:spacing w:line="240" w:lineRule="auto"/>
        <w:rPr>
          <w:rFonts w:eastAsia="Times New Roman" w:cs="Arial"/>
        </w:rPr>
      </w:pPr>
      <w:r w:rsidRPr="00DE49F9">
        <w:rPr>
          <w:rFonts w:eastAsia="Times New Roman" w:cs="Arial"/>
          <w:color w:val="000000"/>
          <w:lang w:eastAsia="bg-BG"/>
        </w:rPr>
        <w:t>Дадената на кучета карбидопа води до недостиг на пиридоксин, предотвратен чрез едновременно прилагане на пиридоксин.</w:t>
      </w:r>
    </w:p>
    <w:p w14:paraId="39498F68" w14:textId="77777777" w:rsidR="00DE49F9" w:rsidRDefault="00DE49F9" w:rsidP="00DE49F9">
      <w:pPr>
        <w:spacing w:line="240" w:lineRule="auto"/>
        <w:rPr>
          <w:rFonts w:eastAsia="Times New Roman" w:cs="Arial"/>
          <w:color w:val="000000"/>
          <w:lang w:eastAsia="bg-BG"/>
        </w:rPr>
      </w:pPr>
    </w:p>
    <w:p w14:paraId="140266A8" w14:textId="42184CDD"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С изключение на пиридоксиновия недостиг при кучета, карбидопа не е показла токсични ефекти, свързани с хидразините. Три отношения на дозировки от карбидопа </w:t>
      </w:r>
      <w:r w:rsidRPr="00DE49F9">
        <w:rPr>
          <w:rFonts w:eastAsia="Times New Roman" w:cs="Arial"/>
          <w:i/>
          <w:iCs/>
          <w:color w:val="000000"/>
          <w:lang w:eastAsia="bg-BG"/>
        </w:rPr>
        <w:t>и</w:t>
      </w:r>
      <w:r w:rsidRPr="00DE49F9">
        <w:rPr>
          <w:rFonts w:eastAsia="Times New Roman" w:cs="Arial"/>
          <w:color w:val="000000"/>
          <w:lang w:eastAsia="bg-BG"/>
        </w:rPr>
        <w:t xml:space="preserve"> леводопа, приложени перорално на маймуни за 54 седмици и на плъхове за 106 седмици, показват, че главните физически ефекти се дължат предимно на фармакодинамичното действие на веществата. Изследваните дозировки (карбидопа/леводопа) са 10/20, 10/50, и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дневно. Дозировките от 10/20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нямат явни физически ефекти.</w:t>
      </w:r>
    </w:p>
    <w:p w14:paraId="3B28F8B3" w14:textId="77777777" w:rsidR="00DE49F9" w:rsidRPr="00DE49F9" w:rsidRDefault="00DE49F9" w:rsidP="00DE49F9">
      <w:pPr>
        <w:spacing w:line="240" w:lineRule="auto"/>
        <w:rPr>
          <w:rFonts w:eastAsia="Times New Roman" w:cs="Arial"/>
        </w:rPr>
      </w:pPr>
    </w:p>
    <w:p w14:paraId="21D6AC70" w14:textId="77777777" w:rsidR="00DE49F9" w:rsidRPr="00DE49F9" w:rsidRDefault="00DE49F9" w:rsidP="00DE49F9">
      <w:pPr>
        <w:rPr>
          <w:rFonts w:eastAsia="Times New Roman" w:cs="Arial"/>
        </w:rPr>
      </w:pPr>
      <w:r w:rsidRPr="00DE49F9">
        <w:rPr>
          <w:rFonts w:eastAsia="Times New Roman" w:cs="Arial"/>
          <w:color w:val="000000"/>
          <w:lang w:eastAsia="bg-BG"/>
        </w:rPr>
        <w:t xml:space="preserve">При маймуни, теретирани с дози от 10/50 и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се появява хиперактивност, която продължава 32 седмици при по-високата посочена доза. С доза 10/40,</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eastAsia="bg-BG"/>
        </w:rPr>
        <w:t xml:space="preserve"> дневно хиперактивността намалява по време на изследването, а след 14-та седмица, въобще не се</w:t>
      </w:r>
      <w:r w:rsidRPr="00DE49F9">
        <w:rPr>
          <w:rFonts w:eastAsia="Times New Roman" w:cs="Arial"/>
          <w:color w:val="000000"/>
          <w:lang w:val="ru-RU" w:eastAsia="bg-BG"/>
        </w:rPr>
        <w:t xml:space="preserve"> </w:t>
      </w:r>
      <w:r w:rsidRPr="00DE49F9">
        <w:rPr>
          <w:rFonts w:eastAsia="Times New Roman" w:cs="Arial"/>
          <w:color w:val="000000"/>
          <w:lang w:eastAsia="bg-BG"/>
        </w:rPr>
        <w:t xml:space="preserve">наблюдава. Мускулна некоординираност и слабост се забелязват до 22-та седмица, при дози от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Патологичните изследвания не са показали никакви морфологични промени.</w:t>
      </w:r>
    </w:p>
    <w:p w14:paraId="10135CC6" w14:textId="77777777" w:rsidR="00DE49F9" w:rsidRDefault="00DE49F9" w:rsidP="00DE49F9">
      <w:pPr>
        <w:spacing w:line="240" w:lineRule="auto"/>
        <w:rPr>
          <w:rFonts w:eastAsia="Times New Roman" w:cs="Arial"/>
          <w:color w:val="000000"/>
          <w:lang w:eastAsia="bg-BG"/>
        </w:rPr>
      </w:pPr>
    </w:p>
    <w:p w14:paraId="43A1F790" w14:textId="1AB79672"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Плъховете, които приемат 10/50 и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дневно, се наблюдава намалена активност, в сравнение с нормалната, и показват абнормни позиции на тялото. По-високите дози причиняват прекомерно слюноотделяне. Появява се и наддаване на тегло. Патологичните изследвания разкриват много слаба хипертрофия на ацинарните клетки на подчелюстните жлези при два плъха, приемали по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дневно, в </w:t>
      </w:r>
      <w:r w:rsidRPr="00DE49F9">
        <w:rPr>
          <w:rFonts w:eastAsia="Times New Roman" w:cs="Arial"/>
          <w:color w:val="000000"/>
          <w:lang w:eastAsia="bg-BG"/>
        </w:rPr>
        <w:lastRenderedPageBreak/>
        <w:t>продължение на 26 седмици. Никакви хистоморфологични ефекти не са открити за каквато и да е доза, п</w:t>
      </w:r>
      <w:bookmarkStart w:id="4" w:name="_GoBack"/>
      <w:bookmarkEnd w:id="4"/>
      <w:r w:rsidRPr="00DE49F9">
        <w:rPr>
          <w:rFonts w:eastAsia="Times New Roman" w:cs="Arial"/>
          <w:color w:val="000000"/>
          <w:lang w:eastAsia="bg-BG"/>
        </w:rPr>
        <w:t>рилагана в продължение на 54 или 106 седмици.</w:t>
      </w:r>
    </w:p>
    <w:p w14:paraId="37A335F7"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Хипертрофия на ацинарните клетки на слюнчените жлези е забелязана при плъхове, третирани с по-високи комбинирани дози, за по-кратък период от време, както и при третиране само с леводопа.</w:t>
      </w:r>
    </w:p>
    <w:p w14:paraId="50BA51F6" w14:textId="77777777" w:rsidR="00DE49F9" w:rsidRDefault="00DE49F9" w:rsidP="00DE49F9">
      <w:pPr>
        <w:spacing w:line="240" w:lineRule="auto"/>
        <w:rPr>
          <w:rFonts w:eastAsia="Times New Roman" w:cs="Arial"/>
          <w:color w:val="000000"/>
          <w:u w:val="single"/>
          <w:lang w:eastAsia="bg-BG"/>
        </w:rPr>
      </w:pPr>
    </w:p>
    <w:p w14:paraId="0B5A18BB" w14:textId="51DAC4BC"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Тератологични и репродуктивни изследвания</w:t>
      </w:r>
    </w:p>
    <w:p w14:paraId="1A7362CD"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Карбидопа не показва тератогенен ефект при мишки или зайци, третирани с дози от 120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w:t>
      </w:r>
    </w:p>
    <w:p w14:paraId="3F8C9296" w14:textId="77777777" w:rsidR="00DE49F9" w:rsidRDefault="00DE49F9" w:rsidP="00DE49F9">
      <w:pPr>
        <w:spacing w:line="240" w:lineRule="auto"/>
        <w:rPr>
          <w:rFonts w:eastAsia="Times New Roman" w:cs="Arial"/>
          <w:color w:val="000000"/>
          <w:lang w:eastAsia="bg-BG"/>
        </w:rPr>
      </w:pPr>
    </w:p>
    <w:p w14:paraId="57A21409" w14:textId="16E73944"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Леводопа причинява малформации на скелета и вътрешните органи на зайци при дози от 125 и 250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w:t>
      </w:r>
    </w:p>
    <w:p w14:paraId="4F6D619D" w14:textId="77777777" w:rsidR="00DE49F9" w:rsidRDefault="00DE49F9" w:rsidP="00DE49F9">
      <w:pPr>
        <w:spacing w:line="240" w:lineRule="auto"/>
        <w:rPr>
          <w:rFonts w:eastAsia="Times New Roman" w:cs="Arial"/>
          <w:color w:val="000000"/>
          <w:lang w:eastAsia="bg-BG"/>
        </w:rPr>
      </w:pPr>
    </w:p>
    <w:p w14:paraId="7FE774A2" w14:textId="0EE056C4"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При комбинирани дози от карбидопа и леводопа, вариращи от 25/250 до 100/500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 xml:space="preserve">дневно, няма доказателство за тератогенен ефект при мишки, но </w:t>
      </w:r>
      <w:r w:rsidRPr="00DE49F9">
        <w:rPr>
          <w:rFonts w:eastAsia="Times New Roman" w:cs="Arial"/>
          <w:i/>
          <w:iCs/>
          <w:color w:val="000000"/>
          <w:lang w:eastAsia="bg-BG"/>
        </w:rPr>
        <w:t>при</w:t>
      </w:r>
      <w:r w:rsidRPr="00DE49F9">
        <w:rPr>
          <w:rFonts w:eastAsia="Times New Roman" w:cs="Arial"/>
          <w:color w:val="000000"/>
          <w:lang w:eastAsia="bg-BG"/>
        </w:rPr>
        <w:t xml:space="preserve"> зайците се появяват висцерални и скелетни малформации, подобни на причинените от самостоятелното прилагане на леводопа.</w:t>
      </w:r>
    </w:p>
    <w:p w14:paraId="5934D6C8" w14:textId="77777777" w:rsidR="00DE49F9" w:rsidRDefault="00DE49F9" w:rsidP="00DE49F9">
      <w:pPr>
        <w:spacing w:line="240" w:lineRule="auto"/>
        <w:rPr>
          <w:rFonts w:eastAsia="Times New Roman" w:cs="Arial"/>
          <w:color w:val="000000"/>
          <w:lang w:eastAsia="bg-BG"/>
        </w:rPr>
      </w:pPr>
    </w:p>
    <w:p w14:paraId="6D72631C" w14:textId="324697A8"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Карбидопа няма ефект върху оплодителната способност, фертилитета и преживяемостта на малките, когато се дава на плъхове в дози от 30, 60 или 120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Най-високата доза причинява намалено наддаване на тегло при мъжките плъхове.</w:t>
      </w:r>
    </w:p>
    <w:p w14:paraId="0AC75026" w14:textId="77777777" w:rsidR="00DE49F9" w:rsidRDefault="00DE49F9" w:rsidP="00DE49F9">
      <w:pPr>
        <w:spacing w:line="240" w:lineRule="auto"/>
        <w:rPr>
          <w:rFonts w:eastAsia="Times New Roman" w:cs="Arial"/>
          <w:color w:val="000000"/>
          <w:lang w:eastAsia="bg-BG"/>
        </w:rPr>
      </w:pPr>
    </w:p>
    <w:p w14:paraId="5851178A" w14:textId="5B208CD3"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Прилагането на карбидопа/леводопа в дози от 10/20, 10/50 или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не засяга наблагоприятно фертилитета на мъжки и женски плъхове, техните репродуктивни способности, нито растежа и преживяемостта на малките им.</w:t>
      </w:r>
    </w:p>
    <w:p w14:paraId="79C4EC24" w14:textId="77777777" w:rsidR="00DE49F9" w:rsidRDefault="00DE49F9" w:rsidP="00DE49F9">
      <w:pPr>
        <w:spacing w:line="240" w:lineRule="auto"/>
        <w:rPr>
          <w:rFonts w:eastAsia="Times New Roman" w:cs="Arial"/>
          <w:color w:val="000000"/>
          <w:u w:val="single"/>
          <w:lang w:eastAsia="bg-BG"/>
        </w:rPr>
      </w:pPr>
    </w:p>
    <w:p w14:paraId="3A00F867" w14:textId="1B5A7EF3" w:rsidR="00DE49F9" w:rsidRPr="00DE49F9" w:rsidRDefault="00DE49F9" w:rsidP="00DE49F9">
      <w:pPr>
        <w:spacing w:line="240" w:lineRule="auto"/>
        <w:rPr>
          <w:rFonts w:eastAsia="Times New Roman" w:cs="Arial"/>
        </w:rPr>
      </w:pPr>
      <w:r w:rsidRPr="00DE49F9">
        <w:rPr>
          <w:rFonts w:eastAsia="Times New Roman" w:cs="Arial"/>
          <w:color w:val="000000"/>
          <w:u w:val="single"/>
          <w:lang w:eastAsia="bg-BG"/>
        </w:rPr>
        <w:t>Карциногенеза</w:t>
      </w:r>
    </w:p>
    <w:p w14:paraId="52465724" w14:textId="77777777"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Няма значителна разлика между третираните и контролните плъхове по отношение на смъртността и появата на неоплазми при 96-седмично изследване на карбидопа, в перорални дози от 25,45 или 135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w:t>
      </w:r>
    </w:p>
    <w:p w14:paraId="3E5E3050" w14:textId="77777777" w:rsidR="00DE49F9" w:rsidRDefault="00DE49F9" w:rsidP="00DE49F9">
      <w:pPr>
        <w:spacing w:line="240" w:lineRule="auto"/>
        <w:rPr>
          <w:rFonts w:eastAsia="Times New Roman" w:cs="Arial"/>
          <w:color w:val="000000"/>
          <w:lang w:eastAsia="bg-BG"/>
        </w:rPr>
      </w:pPr>
    </w:p>
    <w:p w14:paraId="6F89E41B" w14:textId="12A4264E" w:rsidR="00DE49F9" w:rsidRPr="00DE49F9" w:rsidRDefault="00DE49F9" w:rsidP="00DE49F9">
      <w:pPr>
        <w:spacing w:line="240" w:lineRule="auto"/>
        <w:rPr>
          <w:rFonts w:eastAsia="Times New Roman" w:cs="Arial"/>
        </w:rPr>
      </w:pPr>
      <w:r w:rsidRPr="00DE49F9">
        <w:rPr>
          <w:rFonts w:eastAsia="Times New Roman" w:cs="Arial"/>
          <w:color w:val="000000"/>
          <w:lang w:eastAsia="bg-BG"/>
        </w:rPr>
        <w:t xml:space="preserve">Комбинации от карбидопа и леводопа (10/20,10/50 и 10/100 </w:t>
      </w:r>
      <w:r w:rsidRPr="00DE49F9">
        <w:rPr>
          <w:rFonts w:eastAsia="Times New Roman" w:cs="Arial"/>
          <w:color w:val="000000"/>
          <w:lang w:val="en-US"/>
        </w:rPr>
        <w:t>mg</w:t>
      </w:r>
      <w:r w:rsidRPr="00DE49F9">
        <w:rPr>
          <w:rFonts w:eastAsia="Times New Roman" w:cs="Arial"/>
          <w:color w:val="000000"/>
          <w:lang w:val="ru-RU"/>
        </w:rPr>
        <w:t>/</w:t>
      </w:r>
      <w:r w:rsidRPr="00DE49F9">
        <w:rPr>
          <w:rFonts w:eastAsia="Times New Roman" w:cs="Arial"/>
          <w:color w:val="000000"/>
          <w:lang w:val="en-US"/>
        </w:rPr>
        <w:t>kg</w:t>
      </w:r>
      <w:r w:rsidRPr="00DE49F9">
        <w:rPr>
          <w:rFonts w:eastAsia="Times New Roman" w:cs="Arial"/>
          <w:color w:val="000000"/>
          <w:lang w:val="ru-RU"/>
        </w:rPr>
        <w:t xml:space="preserve"> </w:t>
      </w:r>
      <w:r w:rsidRPr="00DE49F9">
        <w:rPr>
          <w:rFonts w:eastAsia="Times New Roman" w:cs="Arial"/>
          <w:color w:val="000000"/>
          <w:lang w:eastAsia="bg-BG"/>
        </w:rPr>
        <w:t>дневно) са давани перорално на плъхове в продължение на 106 седмици. Няма ефект върху смъртността, нито върху вида и честота на неоплазми, в сравнение с тези на контролните животни.</w:t>
      </w:r>
    </w:p>
    <w:p w14:paraId="2AF8AFB8" w14:textId="560F4971" w:rsidR="00DE49F9" w:rsidRPr="00DE49F9" w:rsidRDefault="00DE49F9" w:rsidP="00DE49F9">
      <w:pPr>
        <w:rPr>
          <w:rFonts w:cs="Arial"/>
        </w:rPr>
      </w:pPr>
    </w:p>
    <w:p w14:paraId="6A7820AB" w14:textId="3E704CD2" w:rsidR="008A6AF2" w:rsidRDefault="002C50EE" w:rsidP="00395555">
      <w:pPr>
        <w:pStyle w:val="Heading1"/>
      </w:pPr>
      <w:r>
        <w:t>7. ПРИТЕЖАТЕЛ НА РАЗРЕШЕНИЕТО ЗА УПОТРЕБА</w:t>
      </w:r>
    </w:p>
    <w:p w14:paraId="753FF35F" w14:textId="3168709C" w:rsidR="00DE49F9" w:rsidRDefault="00DE49F9" w:rsidP="00DE49F9"/>
    <w:p w14:paraId="43364F1A" w14:textId="77777777" w:rsidR="00DE49F9" w:rsidRPr="00DE49F9" w:rsidRDefault="00DE49F9" w:rsidP="00DE49F9">
      <w:pPr>
        <w:rPr>
          <w:sz w:val="24"/>
          <w:szCs w:val="24"/>
        </w:rPr>
      </w:pPr>
      <w:r w:rsidRPr="00DE49F9">
        <w:rPr>
          <w:lang w:eastAsia="bg-BG"/>
        </w:rPr>
        <w:t>„Чайкафарма Висококачествените Лекарства” АД</w:t>
      </w:r>
    </w:p>
    <w:p w14:paraId="15855DE8" w14:textId="77777777" w:rsidR="00DE49F9" w:rsidRPr="00DE49F9" w:rsidRDefault="00DE49F9" w:rsidP="00DE49F9">
      <w:pPr>
        <w:rPr>
          <w:sz w:val="24"/>
          <w:szCs w:val="24"/>
        </w:rPr>
      </w:pPr>
      <w:r w:rsidRPr="00DE49F9">
        <w:rPr>
          <w:lang w:eastAsia="bg-BG"/>
        </w:rPr>
        <w:t>бул.” Г.М.Димитров”№1</w:t>
      </w:r>
    </w:p>
    <w:p w14:paraId="38704F5E" w14:textId="77777777" w:rsidR="00DE49F9" w:rsidRPr="00DE49F9" w:rsidRDefault="00DE49F9" w:rsidP="00DE49F9">
      <w:pPr>
        <w:rPr>
          <w:sz w:val="24"/>
          <w:szCs w:val="24"/>
        </w:rPr>
      </w:pPr>
      <w:r w:rsidRPr="00DE49F9">
        <w:rPr>
          <w:lang w:eastAsia="bg-BG"/>
        </w:rPr>
        <w:t>гр. София 1172, България</w:t>
      </w:r>
    </w:p>
    <w:p w14:paraId="47A1AAEE" w14:textId="77777777" w:rsidR="00DE49F9" w:rsidRPr="00DE49F9" w:rsidRDefault="00DE49F9" w:rsidP="00DE49F9">
      <w:pPr>
        <w:rPr>
          <w:sz w:val="24"/>
          <w:szCs w:val="24"/>
        </w:rPr>
      </w:pPr>
      <w:r w:rsidRPr="00DE49F9">
        <w:rPr>
          <w:lang w:eastAsia="bg-BG"/>
        </w:rPr>
        <w:t>тел.:+359 2 962 54 54</w:t>
      </w:r>
    </w:p>
    <w:p w14:paraId="202747E0" w14:textId="77777777" w:rsidR="00DE49F9" w:rsidRPr="00DE49F9" w:rsidRDefault="00DE49F9" w:rsidP="00DE49F9">
      <w:pPr>
        <w:rPr>
          <w:sz w:val="24"/>
          <w:szCs w:val="24"/>
        </w:rPr>
      </w:pPr>
      <w:r w:rsidRPr="00DE49F9">
        <w:rPr>
          <w:lang w:eastAsia="bg-BG"/>
        </w:rPr>
        <w:t>факс: +359 2 9603 703</w:t>
      </w:r>
    </w:p>
    <w:p w14:paraId="0EB4D622" w14:textId="1DFD26EE" w:rsidR="00DE49F9" w:rsidRPr="00DE49F9" w:rsidRDefault="00DE49F9" w:rsidP="00DE49F9">
      <w:proofErr w:type="gramStart"/>
      <w:r w:rsidRPr="00DE49F9">
        <w:rPr>
          <w:lang w:val="en-US"/>
        </w:rPr>
        <w:t>e</w:t>
      </w:r>
      <w:r w:rsidRPr="00DE49F9">
        <w:rPr>
          <w:lang w:val="ru-RU"/>
        </w:rPr>
        <w:t>-</w:t>
      </w:r>
      <w:r w:rsidRPr="00DE49F9">
        <w:rPr>
          <w:lang w:val="en-US"/>
        </w:rPr>
        <w:t>mail</w:t>
      </w:r>
      <w:proofErr w:type="gramEnd"/>
      <w:r w:rsidRPr="00DE49F9">
        <w:rPr>
          <w:lang w:val="ru-RU"/>
        </w:rPr>
        <w:t xml:space="preserve">: </w:t>
      </w:r>
      <w:hyperlink r:id="rId6" w:history="1">
        <w:r w:rsidRPr="00DE49F9">
          <w:rPr>
            <w:lang w:val="en-US"/>
          </w:rPr>
          <w:t>info</w:t>
        </w:r>
        <w:r w:rsidRPr="00DE49F9">
          <w:rPr>
            <w:lang w:val="ru-RU"/>
          </w:rPr>
          <w:t>@</w:t>
        </w:r>
        <w:proofErr w:type="spellStart"/>
        <w:r w:rsidRPr="00DE49F9">
          <w:rPr>
            <w:lang w:val="en-US"/>
          </w:rPr>
          <w:t>tchaikapharma</w:t>
        </w:r>
        <w:proofErr w:type="spellEnd"/>
        <w:r w:rsidRPr="00DE49F9">
          <w:rPr>
            <w:lang w:val="ru-RU"/>
          </w:rPr>
          <w:t>.</w:t>
        </w:r>
        <w:r w:rsidRPr="00DE49F9">
          <w:rPr>
            <w:lang w:val="en-US"/>
          </w:rPr>
          <w:t>com</w:t>
        </w:r>
      </w:hyperlink>
    </w:p>
    <w:p w14:paraId="7BA1BA64" w14:textId="13CB480A" w:rsidR="00CF77F7" w:rsidRDefault="002C50EE" w:rsidP="004A448E">
      <w:pPr>
        <w:pStyle w:val="Heading1"/>
      </w:pPr>
      <w:r>
        <w:t>8. НОМЕР НА РАЗРЕШЕНИЕТО ЗА УПОТРЕБА</w:t>
      </w:r>
    </w:p>
    <w:p w14:paraId="7897575C" w14:textId="60FF594F" w:rsidR="00DE49F9" w:rsidRDefault="00DE49F9" w:rsidP="00DE49F9"/>
    <w:p w14:paraId="3F121353" w14:textId="2AB160EF" w:rsidR="00DE49F9" w:rsidRPr="00DE49F9" w:rsidRDefault="00DE49F9" w:rsidP="00DE49F9">
      <w:r>
        <w:t>Регистрационен №: 20090136</w:t>
      </w:r>
    </w:p>
    <w:p w14:paraId="2CCB5832" w14:textId="71E07528" w:rsidR="007C605B" w:rsidRDefault="002C50EE" w:rsidP="007C605B">
      <w:pPr>
        <w:pStyle w:val="Heading1"/>
      </w:pPr>
      <w:r>
        <w:lastRenderedPageBreak/>
        <w:t>9. ДАТА НА ПЪРВО РАЗРЕШАВАНЕ/ПОДНОВЯВАНЕ НА РАЗРЕШЕНИЕТО ЗА УПОТРЕБА</w:t>
      </w:r>
    </w:p>
    <w:p w14:paraId="4AFB728C" w14:textId="2B6637CE" w:rsidR="00DE49F9" w:rsidRDefault="00DE49F9" w:rsidP="00DE49F9"/>
    <w:p w14:paraId="226787FA" w14:textId="77777777" w:rsidR="00DE49F9" w:rsidRPr="00DE49F9" w:rsidRDefault="00DE49F9" w:rsidP="00DE49F9">
      <w:pPr>
        <w:rPr>
          <w:sz w:val="24"/>
          <w:szCs w:val="24"/>
        </w:rPr>
      </w:pPr>
      <w:r w:rsidRPr="00DE49F9">
        <w:rPr>
          <w:lang w:eastAsia="bg-BG"/>
        </w:rPr>
        <w:t>Дата на първо разрешение за употреба: 06.04.2009</w:t>
      </w:r>
    </w:p>
    <w:p w14:paraId="78D84328" w14:textId="77777777" w:rsidR="00DE49F9" w:rsidRPr="00DE49F9" w:rsidRDefault="00DE49F9" w:rsidP="00DE49F9">
      <w:pPr>
        <w:rPr>
          <w:sz w:val="24"/>
          <w:szCs w:val="24"/>
        </w:rPr>
      </w:pPr>
      <w:r w:rsidRPr="00DE49F9">
        <w:rPr>
          <w:lang w:eastAsia="bg-BG"/>
        </w:rPr>
        <w:t>Дата на последно подновяване: 23.06.2014</w:t>
      </w:r>
    </w:p>
    <w:p w14:paraId="0B77B69A" w14:textId="77777777" w:rsidR="00DE49F9" w:rsidRPr="00DE49F9" w:rsidRDefault="00DE49F9" w:rsidP="00DE49F9"/>
    <w:p w14:paraId="0E9D0119" w14:textId="0245C6D7" w:rsidR="002C50EE" w:rsidRDefault="002C50EE" w:rsidP="002C50EE">
      <w:pPr>
        <w:pStyle w:val="Heading1"/>
      </w:pPr>
      <w:r>
        <w:t>10. ДАТА НА АКТУАЛИЗИРАНЕ НА ТЕКСТА</w:t>
      </w:r>
    </w:p>
    <w:bookmarkEnd w:id="0"/>
    <w:p w14:paraId="43FB38A2" w14:textId="02890F1B" w:rsidR="007C605B" w:rsidRPr="003E3126" w:rsidRDefault="00DE49F9" w:rsidP="00DE49F9">
      <w:r>
        <w:t>Ноември, 2017</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01F10"/>
    <w:multiLevelType w:val="hybridMultilevel"/>
    <w:tmpl w:val="CDFE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85A2D"/>
    <w:multiLevelType w:val="hybridMultilevel"/>
    <w:tmpl w:val="3768FC2C"/>
    <w:lvl w:ilvl="0" w:tplc="BFA4B0CC">
      <w:start w:val="4"/>
      <w:numFmt w:val="bullet"/>
      <w:lvlText w:val="-"/>
      <w:lvlJc w:val="left"/>
      <w:pPr>
        <w:ind w:left="720" w:hanging="360"/>
      </w:pPr>
      <w:rPr>
        <w:rFonts w:ascii="Arial" w:eastAsia="Times New Roman" w:hAnsi="Arial" w:cs="Arial"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1"/>
  </w:num>
  <w:num w:numId="12">
    <w:abstractNumId w:val="14"/>
  </w:num>
  <w:num w:numId="13">
    <w:abstractNumId w:val="20"/>
  </w:num>
  <w:num w:numId="14">
    <w:abstractNumId w:val="12"/>
  </w:num>
  <w:num w:numId="15">
    <w:abstractNumId w:val="30"/>
  </w:num>
  <w:num w:numId="16">
    <w:abstractNumId w:val="10"/>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D744F"/>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DE49F9"/>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6321</Words>
  <Characters>36036</Characters>
  <Application>Microsoft Office Word</Application>
  <DocSecurity>0</DocSecurity>
  <Lines>300</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2022-05-04T16:32:00Z</dcterms:created>
  <dcterms:modified xsi:type="dcterms:W3CDTF">2022-05-04T16:32:00Z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