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72A62BD6" w:rsidR="00DB32D3" w:rsidRDefault="00DD466D" w:rsidP="005726E3">
      <w:pPr>
        <w:pStyle w:val="Heading1"/>
      </w:pPr>
      <w:r>
        <w:t>1.ИМЕ НА ЛЕКАРСТВЕНИЯ ПРОДУКТ</w:t>
      </w:r>
    </w:p>
    <w:p w14:paraId="6BECB55D" w14:textId="72F69E1A" w:rsidR="008A5105" w:rsidRDefault="008A5105" w:rsidP="008A5105"/>
    <w:p w14:paraId="792F3118" w14:textId="77777777" w:rsidR="008A5105" w:rsidRPr="008A5105" w:rsidRDefault="008A5105" w:rsidP="008A5105">
      <w:pPr>
        <w:rPr>
          <w:sz w:val="24"/>
          <w:szCs w:val="24"/>
        </w:rPr>
      </w:pPr>
      <w:r w:rsidRPr="008A5105">
        <w:rPr>
          <w:lang w:eastAsia="bg-BG"/>
        </w:rPr>
        <w:t xml:space="preserve">Сингулар 4 </w:t>
      </w:r>
      <w:r w:rsidRPr="008A5105">
        <w:rPr>
          <w:lang w:val="en-US"/>
        </w:rPr>
        <w:t>mg</w:t>
      </w:r>
      <w:r w:rsidRPr="008A5105">
        <w:t xml:space="preserve"> </w:t>
      </w:r>
      <w:r w:rsidRPr="008A5105">
        <w:rPr>
          <w:lang w:eastAsia="bg-BG"/>
        </w:rPr>
        <w:t>гранули</w:t>
      </w:r>
    </w:p>
    <w:p w14:paraId="227B712A" w14:textId="77777777" w:rsidR="008A5105" w:rsidRPr="008A5105" w:rsidRDefault="008A5105" w:rsidP="008A5105">
      <w:pPr>
        <w:rPr>
          <w:sz w:val="24"/>
          <w:szCs w:val="24"/>
        </w:rPr>
      </w:pPr>
      <w:proofErr w:type="spellStart"/>
      <w:r w:rsidRPr="008A5105">
        <w:rPr>
          <w:lang w:val="en-US"/>
        </w:rPr>
        <w:t>Singulair</w:t>
      </w:r>
      <w:proofErr w:type="spellEnd"/>
      <w:r w:rsidRPr="008A5105">
        <w:t xml:space="preserve"> </w:t>
      </w:r>
      <w:r w:rsidRPr="008A5105">
        <w:rPr>
          <w:lang w:eastAsia="bg-BG"/>
        </w:rPr>
        <w:t xml:space="preserve">4 </w:t>
      </w:r>
      <w:r w:rsidRPr="008A5105">
        <w:rPr>
          <w:lang w:val="en-US"/>
        </w:rPr>
        <w:t>mg</w:t>
      </w:r>
      <w:r w:rsidRPr="008A5105">
        <w:t xml:space="preserve"> </w:t>
      </w:r>
      <w:r w:rsidRPr="008A5105">
        <w:rPr>
          <w:lang w:val="en-US"/>
        </w:rPr>
        <w:t>granules</w:t>
      </w:r>
    </w:p>
    <w:p w14:paraId="7A1C4C3E" w14:textId="77777777" w:rsidR="008A5105" w:rsidRPr="008A5105" w:rsidRDefault="008A5105" w:rsidP="008A5105"/>
    <w:p w14:paraId="48E6CABE" w14:textId="74B10D14" w:rsidR="00DB32D3" w:rsidRDefault="00DD466D" w:rsidP="005726E3">
      <w:pPr>
        <w:pStyle w:val="Heading1"/>
      </w:pPr>
      <w:r>
        <w:t>2. КАЧЕСТВЕН И КОЛИЧЕСТВЕН СЪСТАВ</w:t>
      </w:r>
    </w:p>
    <w:p w14:paraId="474FBAA4" w14:textId="58B80184" w:rsidR="008A5105" w:rsidRDefault="008A5105" w:rsidP="008A5105"/>
    <w:p w14:paraId="3BE9E105" w14:textId="77777777" w:rsidR="008A5105" w:rsidRPr="008A5105" w:rsidRDefault="008A5105" w:rsidP="008A5105">
      <w:pPr>
        <w:rPr>
          <w:sz w:val="24"/>
          <w:szCs w:val="24"/>
        </w:rPr>
      </w:pPr>
      <w:r w:rsidRPr="008A5105">
        <w:rPr>
          <w:lang w:eastAsia="bg-BG"/>
        </w:rPr>
        <w:t xml:space="preserve">Едно саше с гранули съдържа монтелукаст натрий </w:t>
      </w:r>
      <w:r w:rsidRPr="008A5105">
        <w:rPr>
          <w:lang w:val="ru-RU"/>
        </w:rPr>
        <w:t>(</w:t>
      </w:r>
      <w:r w:rsidRPr="008A5105">
        <w:rPr>
          <w:lang w:val="en-US"/>
        </w:rPr>
        <w:t>montelukast</w:t>
      </w:r>
      <w:r w:rsidRPr="008A5105">
        <w:rPr>
          <w:lang w:val="ru-RU"/>
        </w:rPr>
        <w:t xml:space="preserve"> </w:t>
      </w:r>
      <w:r w:rsidRPr="008A5105">
        <w:rPr>
          <w:lang w:val="en-US"/>
        </w:rPr>
        <w:t>sodium</w:t>
      </w:r>
      <w:r w:rsidRPr="008A5105">
        <w:rPr>
          <w:lang w:val="ru-RU"/>
        </w:rPr>
        <w:t xml:space="preserve">), </w:t>
      </w:r>
      <w:r w:rsidRPr="008A5105">
        <w:rPr>
          <w:lang w:eastAsia="bg-BG"/>
        </w:rPr>
        <w:t xml:space="preserve">еквивалентен на 4 </w:t>
      </w:r>
      <w:r w:rsidRPr="008A5105">
        <w:rPr>
          <w:lang w:val="en-US"/>
        </w:rPr>
        <w:t>mg</w:t>
      </w:r>
      <w:r w:rsidRPr="008A5105">
        <w:rPr>
          <w:lang w:val="ru-RU"/>
        </w:rPr>
        <w:t xml:space="preserve"> </w:t>
      </w:r>
      <w:r w:rsidRPr="008A5105">
        <w:rPr>
          <w:lang w:eastAsia="bg-BG"/>
        </w:rPr>
        <w:t>монтелукаст.</w:t>
      </w:r>
    </w:p>
    <w:p w14:paraId="261EF9EC" w14:textId="77777777" w:rsidR="008A5105" w:rsidRPr="008A5105" w:rsidRDefault="008A5105" w:rsidP="008A5105"/>
    <w:p w14:paraId="614984C4" w14:textId="166A4247" w:rsidR="008A6AF2" w:rsidRDefault="00DD466D" w:rsidP="002C50EE">
      <w:pPr>
        <w:pStyle w:val="Heading1"/>
      </w:pPr>
      <w:r>
        <w:t>3. ЛЕКАРСТВЕНА ФОРМА</w:t>
      </w:r>
    </w:p>
    <w:p w14:paraId="057D5FE2" w14:textId="35D41C85" w:rsidR="008A5105" w:rsidRDefault="008A5105" w:rsidP="008A5105"/>
    <w:p w14:paraId="76F9B9A7" w14:textId="77777777" w:rsidR="008A5105" w:rsidRPr="008A5105" w:rsidRDefault="008A5105" w:rsidP="008A5105">
      <w:pPr>
        <w:rPr>
          <w:sz w:val="24"/>
          <w:szCs w:val="24"/>
        </w:rPr>
      </w:pPr>
      <w:r w:rsidRPr="008A5105">
        <w:rPr>
          <w:lang w:eastAsia="bg-BG"/>
        </w:rPr>
        <w:t>Гранули</w:t>
      </w:r>
    </w:p>
    <w:p w14:paraId="2556F5BB" w14:textId="65543413" w:rsidR="008A5105" w:rsidRPr="008A5105" w:rsidRDefault="008A5105" w:rsidP="008A5105">
      <w:r w:rsidRPr="008A5105">
        <w:rPr>
          <w:lang w:eastAsia="bg-BG"/>
        </w:rPr>
        <w:t>Бели гранулирани, груби, свободно-течащи, хомогенни твърди частици, без наличие на други частици.</w:t>
      </w:r>
    </w:p>
    <w:p w14:paraId="490FC2C4" w14:textId="6899DE43" w:rsidR="002C50EE" w:rsidRDefault="002C50EE" w:rsidP="002C50EE">
      <w:pPr>
        <w:pStyle w:val="Heading1"/>
      </w:pPr>
      <w:r>
        <w:t>4. КЛИНИЧНИ ДАННИ</w:t>
      </w:r>
    </w:p>
    <w:p w14:paraId="0771830A" w14:textId="75F6CF8D" w:rsidR="00DB32D3" w:rsidRDefault="002C50EE" w:rsidP="005726E3">
      <w:pPr>
        <w:pStyle w:val="Heading2"/>
      </w:pPr>
      <w:r>
        <w:t>4.1. Терапевтични показания</w:t>
      </w:r>
    </w:p>
    <w:p w14:paraId="188543DE" w14:textId="4B896800" w:rsidR="008A5105" w:rsidRDefault="008A5105" w:rsidP="008A5105"/>
    <w:p w14:paraId="66587CD0"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Сингулар е показан като допълнителна терапия при лечението на онези пациенти на възраст от 6 месеца до 5 години с лека до умерена персистираща астма, които не са достатъчно добре контролирани с инхалаторни кортикостероиди и при които краткодействащите бета-агонисти „при нужда“ не осигуряват задоволителен клиничен контрол върху астмата.</w:t>
      </w:r>
    </w:p>
    <w:p w14:paraId="7DAE5D1D" w14:textId="77777777" w:rsidR="008A5105" w:rsidRPr="008A5105" w:rsidRDefault="008A5105" w:rsidP="008A5105">
      <w:pPr>
        <w:spacing w:line="240" w:lineRule="auto"/>
        <w:rPr>
          <w:rFonts w:eastAsia="Times New Roman" w:cs="Arial"/>
          <w:color w:val="000000"/>
          <w:lang w:eastAsia="bg-BG"/>
        </w:rPr>
      </w:pPr>
    </w:p>
    <w:p w14:paraId="6BB92CD3" w14:textId="0ABFDDD8"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Сингулар може да бъде и алтернативно лечение на нискодозираните инхалаторни кортикостероиди при пациенти на възраст от 2 до 5 години с лека персистираща астма без скорошна анамнеза за тежки астматични пристъпи, налагащи употреба на перорални кортикостероиди, и при които е доказано, че не могат да използват инхалаторни кортикостероиди (вж.точка 4.2).</w:t>
      </w:r>
    </w:p>
    <w:p w14:paraId="6962B4D2" w14:textId="77777777" w:rsidR="008A5105" w:rsidRPr="008A5105" w:rsidRDefault="008A5105" w:rsidP="008A5105">
      <w:pPr>
        <w:spacing w:line="240" w:lineRule="auto"/>
        <w:rPr>
          <w:rFonts w:eastAsia="Times New Roman" w:cs="Arial"/>
          <w:color w:val="000000"/>
          <w:lang w:eastAsia="bg-BG"/>
        </w:rPr>
      </w:pPr>
    </w:p>
    <w:p w14:paraId="39F97EC2" w14:textId="3380A5BB"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Сингулар е показан също при профилактика на астма при пациенти на 2-годишна възраст и по-големи, при която преобладаващ компонент е предизвикан от физическо усилие бронхоспазъм.</w:t>
      </w:r>
    </w:p>
    <w:p w14:paraId="7167A55C" w14:textId="77777777" w:rsidR="008A5105" w:rsidRPr="008A5105" w:rsidRDefault="008A5105" w:rsidP="008A5105"/>
    <w:p w14:paraId="7647A102" w14:textId="2EC00814" w:rsidR="00DB32D3" w:rsidRDefault="002C50EE" w:rsidP="005726E3">
      <w:pPr>
        <w:pStyle w:val="Heading2"/>
      </w:pPr>
      <w:r>
        <w:t>4.2. Дозировка и начин на приложение</w:t>
      </w:r>
    </w:p>
    <w:p w14:paraId="1802BBDD" w14:textId="3BEDC389" w:rsidR="008A5105" w:rsidRDefault="008A5105" w:rsidP="008A5105"/>
    <w:p w14:paraId="0ABD0F69" w14:textId="77777777" w:rsidR="008A5105" w:rsidRPr="008A5105" w:rsidRDefault="008A5105" w:rsidP="008A5105">
      <w:pPr>
        <w:pStyle w:val="Heading3"/>
        <w:rPr>
          <w:rFonts w:eastAsia="Times New Roman"/>
          <w:u w:val="single"/>
        </w:rPr>
      </w:pPr>
      <w:r w:rsidRPr="008A5105">
        <w:rPr>
          <w:rFonts w:eastAsia="Times New Roman"/>
          <w:u w:val="single"/>
          <w:lang w:eastAsia="bg-BG"/>
        </w:rPr>
        <w:t>Дозировка</w:t>
      </w:r>
    </w:p>
    <w:p w14:paraId="1204E552"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 xml:space="preserve">Този лекарствен продукт се дава под родителски контрол. Препоръчителната доза при педиатрични пациенти на възраст от 6 месеца до 5 години е едно саше от 4 </w:t>
      </w:r>
      <w:r w:rsidRPr="008A5105">
        <w:rPr>
          <w:rFonts w:eastAsia="Times New Roman" w:cs="Arial"/>
          <w:color w:val="000000"/>
          <w:lang w:val="en-US"/>
        </w:rPr>
        <w:t>mg</w:t>
      </w:r>
      <w:r w:rsidRPr="008A5105">
        <w:rPr>
          <w:rFonts w:eastAsia="Times New Roman" w:cs="Arial"/>
          <w:color w:val="000000"/>
          <w:lang w:val="ru-RU"/>
        </w:rPr>
        <w:t xml:space="preserve"> </w:t>
      </w:r>
      <w:r w:rsidRPr="008A5105">
        <w:rPr>
          <w:rFonts w:eastAsia="Times New Roman" w:cs="Arial"/>
          <w:color w:val="000000"/>
          <w:lang w:eastAsia="bg-BG"/>
        </w:rPr>
        <w:t xml:space="preserve">перорални гранули веднъж дневно, прието вечер. Не е необходима корекция на </w:t>
      </w:r>
      <w:r w:rsidRPr="008A5105">
        <w:rPr>
          <w:rFonts w:eastAsia="Times New Roman" w:cs="Arial"/>
          <w:color w:val="000000"/>
          <w:lang w:eastAsia="bg-BG"/>
        </w:rPr>
        <w:lastRenderedPageBreak/>
        <w:t xml:space="preserve">дозировката при тази възрастова група. Данните от клиничните проучвания за ефикасността при педиатрични пациенти на възраст от 6 месеца до 2 години с персистираща астма са ограничени. Пациентите трябва да бъдат оценени за подобрение след 2 до 4 седмици лечение с монтелукаст натрий. Лечението трябва да се прекрати, ако не се наблюдава подобрение. Сингулар 4 </w:t>
      </w:r>
      <w:r w:rsidRPr="008A5105">
        <w:rPr>
          <w:rFonts w:eastAsia="Times New Roman" w:cs="Arial"/>
          <w:color w:val="000000"/>
          <w:lang w:val="en-US"/>
        </w:rPr>
        <w:t>mg</w:t>
      </w:r>
      <w:r w:rsidRPr="008A5105">
        <w:rPr>
          <w:rFonts w:eastAsia="Times New Roman" w:cs="Arial"/>
          <w:color w:val="000000"/>
          <w:lang w:eastAsia="bg-BG"/>
        </w:rPr>
        <w:t xml:space="preserve"> гранули не се препоръчва при деца на възраст под 6 месеца.</w:t>
      </w:r>
    </w:p>
    <w:p w14:paraId="2B7325BA" w14:textId="60DE3AC7" w:rsidR="008A5105" w:rsidRPr="008A5105" w:rsidRDefault="008A5105" w:rsidP="008A5105">
      <w:pPr>
        <w:rPr>
          <w:rFonts w:cs="Arial"/>
        </w:rPr>
      </w:pPr>
    </w:p>
    <w:p w14:paraId="17F0729B" w14:textId="77777777" w:rsidR="008A5105" w:rsidRPr="008A5105" w:rsidRDefault="008A5105" w:rsidP="008A5105">
      <w:pPr>
        <w:spacing w:line="240" w:lineRule="auto"/>
        <w:rPr>
          <w:rFonts w:eastAsia="Times New Roman" w:cs="Arial"/>
          <w:sz w:val="24"/>
          <w:szCs w:val="24"/>
        </w:rPr>
      </w:pPr>
      <w:r w:rsidRPr="008A5105">
        <w:rPr>
          <w:rFonts w:eastAsia="Times New Roman" w:cs="Arial"/>
          <w:i/>
          <w:iCs/>
          <w:color w:val="000000"/>
          <w:lang w:eastAsia="bg-BG"/>
        </w:rPr>
        <w:t>Прием на Сингулар пероралните гранули:</w:t>
      </w:r>
    </w:p>
    <w:p w14:paraId="7E6960D9"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Сингулар перорални гранули могат да се прилагат директно върху езика или в устата, или като се поръсят върху лъжичка, пълна със студена храна или храна със стайна температура (напр. ябълкова каша, сладолед, моркови или ориз). Сашето не бива да се отваря, докато няма готовност да се употреби. След отваряне на сашето, цялата доза Сингулар перорални гранули трябва да се даде незабавно (в рамките на 15 минути). Ако са смесени с храна, Сингулар пероралните гранули не бива да се оставят за употреба по-късно. Сингулар пероралните гранули не са предназначени да се разтварят в течности, за да се приемат. Течности обаче могат да се дават веднага след приложението. Сингулар гранули могат да се прилагат независимо от времето на хранене.</w:t>
      </w:r>
    </w:p>
    <w:p w14:paraId="2C5E3FDE" w14:textId="77777777" w:rsidR="008A5105" w:rsidRPr="008A5105" w:rsidRDefault="008A5105" w:rsidP="008A5105">
      <w:pPr>
        <w:spacing w:line="240" w:lineRule="auto"/>
        <w:rPr>
          <w:rFonts w:eastAsia="Times New Roman" w:cs="Arial"/>
          <w:color w:val="000000"/>
          <w:u w:val="single"/>
          <w:lang w:eastAsia="bg-BG"/>
        </w:rPr>
      </w:pPr>
    </w:p>
    <w:p w14:paraId="2BB55C0B" w14:textId="4BD7AEEB" w:rsidR="008A5105" w:rsidRPr="008A5105" w:rsidRDefault="008A5105" w:rsidP="008A5105">
      <w:pPr>
        <w:spacing w:line="240" w:lineRule="auto"/>
        <w:rPr>
          <w:rFonts w:eastAsia="Times New Roman" w:cs="Arial"/>
          <w:sz w:val="24"/>
          <w:szCs w:val="24"/>
        </w:rPr>
      </w:pPr>
      <w:r w:rsidRPr="008A5105">
        <w:rPr>
          <w:rFonts w:eastAsia="Times New Roman" w:cs="Arial"/>
          <w:color w:val="000000"/>
          <w:u w:val="single"/>
          <w:lang w:eastAsia="bg-BG"/>
        </w:rPr>
        <w:t>Обши препоръки</w:t>
      </w:r>
    </w:p>
    <w:p w14:paraId="6798EB89"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Терапевтичният ефект на Сингулар върху параметрите за контрол на астмата се проявява в рамките на 1 ден. Пациентите трябва да бъдат съветвани да продължат приема на Сингулар, дори ако симптомите на астмата са под контрол, както и в периодите на влошаване на астмата.</w:t>
      </w:r>
    </w:p>
    <w:p w14:paraId="3EC2CAFD" w14:textId="77777777" w:rsidR="008A5105" w:rsidRPr="008A5105" w:rsidRDefault="008A5105" w:rsidP="008A5105">
      <w:pPr>
        <w:spacing w:line="240" w:lineRule="auto"/>
        <w:rPr>
          <w:rFonts w:eastAsia="Times New Roman" w:cs="Arial"/>
          <w:color w:val="000000"/>
          <w:lang w:eastAsia="bg-BG"/>
        </w:rPr>
      </w:pPr>
    </w:p>
    <w:p w14:paraId="7090C2EE" w14:textId="36C500F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Не е необходимо съобразяване на дозировката при пациенти с бъбречна недостатъчност или с леко до умерено увреждане на черния дроб. Няма данни за пациенти с тежко чернодробно увреждане. Дозировката е една и съща при мъже и жени.</w:t>
      </w:r>
    </w:p>
    <w:p w14:paraId="5020B99F" w14:textId="77777777" w:rsidR="008A5105" w:rsidRPr="008A5105" w:rsidRDefault="008A5105" w:rsidP="008A5105">
      <w:pPr>
        <w:spacing w:line="240" w:lineRule="auto"/>
        <w:rPr>
          <w:rFonts w:eastAsia="Times New Roman" w:cs="Arial"/>
          <w:color w:val="000000"/>
          <w:u w:val="single"/>
          <w:lang w:eastAsia="bg-BG"/>
        </w:rPr>
      </w:pPr>
    </w:p>
    <w:p w14:paraId="7C930E55" w14:textId="51F21BC8" w:rsidR="008A5105" w:rsidRPr="008A5105" w:rsidRDefault="008A5105" w:rsidP="008A5105">
      <w:pPr>
        <w:spacing w:line="240" w:lineRule="auto"/>
        <w:rPr>
          <w:rFonts w:eastAsia="Times New Roman" w:cs="Arial"/>
          <w:sz w:val="24"/>
          <w:szCs w:val="24"/>
        </w:rPr>
      </w:pPr>
      <w:r w:rsidRPr="008A5105">
        <w:rPr>
          <w:rFonts w:eastAsia="Times New Roman" w:cs="Arial"/>
          <w:color w:val="000000"/>
          <w:u w:val="single"/>
          <w:lang w:eastAsia="bg-BG"/>
        </w:rPr>
        <w:t>Сингулар като алтернативен избор на лечението с нискодозирани инхалаторни кортикостероиди при пациенти с лека постоянна астма</w:t>
      </w:r>
    </w:p>
    <w:p w14:paraId="3099C60C"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Монтелукаст не се препоръчва като монотерапия при пациенти с умерена персистираща астма. Употребата на монтелукаст като алтернативен избор на лечението с нискодозирани инхалаторни кортикостероиди при деца с лека персистираща астма трябва да се има предвид само при пациенти, които нямат скорошна анамнеза за тежки пристъпи на астма, изискващи употребата на перорални кортикостероиди и които са показали, че не могат да използват инхалаторни кортикостероиди (вж. точка 4.1). Леката персистираща астма се дефинира като астматични симптоми по-често от веднъж седмично, но по-рядко от веднъж дневно, нощни симптоми по-често от два пъти месечно, но по-рядко от веднъж седмично, нормална функция на белите дробове между епизодите. Ако не се постигне задоволителен контрол на астмата след започване на лечението (обикновено в рамките на един месец), трябва да бъде преценена нуждата от допълнително или различно противовъзпалително лечение, базирано на системата „стъпка по стъпка“ за лечение на астма. Пациентите трябва периодично да се оценяват за контрола на тяхната астма.</w:t>
      </w:r>
    </w:p>
    <w:p w14:paraId="04004D63" w14:textId="77777777" w:rsidR="008A5105" w:rsidRPr="008A5105" w:rsidRDefault="008A5105" w:rsidP="008A5105">
      <w:pPr>
        <w:spacing w:line="240" w:lineRule="auto"/>
        <w:rPr>
          <w:rFonts w:eastAsia="Times New Roman" w:cs="Arial"/>
          <w:color w:val="000000"/>
          <w:u w:val="single"/>
          <w:lang w:eastAsia="bg-BG"/>
        </w:rPr>
      </w:pPr>
    </w:p>
    <w:p w14:paraId="164F74E2" w14:textId="127DED2B" w:rsidR="008A5105" w:rsidRPr="008A5105" w:rsidRDefault="008A5105" w:rsidP="008A5105">
      <w:pPr>
        <w:spacing w:line="240" w:lineRule="auto"/>
        <w:rPr>
          <w:rFonts w:eastAsia="Times New Roman" w:cs="Arial"/>
          <w:sz w:val="24"/>
          <w:szCs w:val="24"/>
        </w:rPr>
      </w:pPr>
      <w:r w:rsidRPr="008A5105">
        <w:rPr>
          <w:rFonts w:eastAsia="Times New Roman" w:cs="Arial"/>
          <w:color w:val="000000"/>
          <w:u w:val="single"/>
          <w:lang w:eastAsia="bg-BG"/>
        </w:rPr>
        <w:t xml:space="preserve">Сингулар като профилактика на астма при пациенти на възраст от 2 до 5 години, при които преобладаващият компонент е предизвикан от физическо усилие бронхоспазъм </w:t>
      </w:r>
      <w:r w:rsidRPr="008A5105">
        <w:rPr>
          <w:rFonts w:eastAsia="Times New Roman" w:cs="Arial"/>
          <w:color w:val="000000"/>
          <w:lang w:eastAsia="bg-BG"/>
        </w:rPr>
        <w:t xml:space="preserve">При пациенти на възраст от 2 до 5 години, предизвиканият от физическо усилие бронхоспазъм може да бъде преобладаващата проява на персистираща астма, която се нуждае от лечение с инхалаторни кортикостероиди. Пациентите трябва да бъдат оценени </w:t>
      </w:r>
      <w:r w:rsidRPr="008A5105">
        <w:rPr>
          <w:rFonts w:eastAsia="Times New Roman" w:cs="Arial"/>
          <w:color w:val="000000"/>
          <w:lang w:eastAsia="bg-BG"/>
        </w:rPr>
        <w:lastRenderedPageBreak/>
        <w:t>след 2 до 4 седмици от началото на лечението с монтелукаст. Ако не се постигне задоволителен резултат, трябва да се обсъди допълнително или различно лечение.</w:t>
      </w:r>
    </w:p>
    <w:p w14:paraId="59A12532" w14:textId="77777777" w:rsidR="008A5105" w:rsidRPr="008A5105" w:rsidRDefault="008A5105" w:rsidP="008A5105">
      <w:pPr>
        <w:spacing w:line="240" w:lineRule="auto"/>
        <w:rPr>
          <w:rFonts w:eastAsia="Times New Roman" w:cs="Arial"/>
          <w:color w:val="000000"/>
          <w:u w:val="single"/>
          <w:lang w:eastAsia="bg-BG"/>
        </w:rPr>
      </w:pPr>
    </w:p>
    <w:p w14:paraId="0143B043" w14:textId="1AA57C60" w:rsidR="008A5105" w:rsidRPr="008A5105" w:rsidRDefault="008A5105" w:rsidP="008A5105">
      <w:pPr>
        <w:spacing w:line="240" w:lineRule="auto"/>
        <w:rPr>
          <w:rFonts w:eastAsia="Times New Roman" w:cs="Arial"/>
          <w:sz w:val="24"/>
          <w:szCs w:val="24"/>
        </w:rPr>
      </w:pPr>
      <w:r w:rsidRPr="008A5105">
        <w:rPr>
          <w:rFonts w:eastAsia="Times New Roman" w:cs="Arial"/>
          <w:color w:val="000000"/>
          <w:u w:val="single"/>
          <w:lang w:eastAsia="bg-BG"/>
        </w:rPr>
        <w:t xml:space="preserve">Лечение със Сингулар във връзка с друго лечение на астма </w:t>
      </w:r>
      <w:r w:rsidRPr="008A5105">
        <w:rPr>
          <w:rFonts w:eastAsia="Times New Roman" w:cs="Arial"/>
          <w:color w:val="000000"/>
          <w:lang w:eastAsia="bg-BG"/>
        </w:rPr>
        <w:t>Когато лечението със Сингулар се използва като допълваща терапия към инхалаторни кортикостероиди, Сингулар не трябва рязко да замести инхалаторните кортикостероиди (вж.точка 4.4)</w:t>
      </w:r>
    </w:p>
    <w:p w14:paraId="6D4EAF61" w14:textId="77777777" w:rsidR="008A5105" w:rsidRPr="008A5105" w:rsidRDefault="008A5105" w:rsidP="008A5105">
      <w:pPr>
        <w:spacing w:line="240" w:lineRule="auto"/>
        <w:rPr>
          <w:rFonts w:eastAsia="Times New Roman" w:cs="Arial"/>
          <w:color w:val="000000"/>
          <w:lang w:eastAsia="bg-BG"/>
        </w:rPr>
      </w:pPr>
    </w:p>
    <w:p w14:paraId="1CCDA99F" w14:textId="161CE375"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 xml:space="preserve">Предлагат се 10 </w:t>
      </w:r>
      <w:r w:rsidRPr="008A5105">
        <w:rPr>
          <w:rFonts w:eastAsia="Times New Roman" w:cs="Arial"/>
          <w:color w:val="000000"/>
          <w:lang w:val="en-US"/>
        </w:rPr>
        <w:t>mg</w:t>
      </w:r>
      <w:r w:rsidRPr="008A5105">
        <w:rPr>
          <w:rFonts w:eastAsia="Times New Roman" w:cs="Arial"/>
          <w:color w:val="000000"/>
          <w:lang w:val="ru-RU"/>
        </w:rPr>
        <w:t xml:space="preserve"> </w:t>
      </w:r>
      <w:r w:rsidRPr="008A5105">
        <w:rPr>
          <w:rFonts w:eastAsia="Times New Roman" w:cs="Arial"/>
          <w:color w:val="000000"/>
          <w:lang w:eastAsia="bg-BG"/>
        </w:rPr>
        <w:t>филмирани таблетки за възрастни и юноши на 15 и повече години.</w:t>
      </w:r>
    </w:p>
    <w:p w14:paraId="05D3885A" w14:textId="77777777" w:rsidR="008A5105" w:rsidRPr="008A5105" w:rsidRDefault="008A5105" w:rsidP="008A5105">
      <w:pPr>
        <w:spacing w:line="240" w:lineRule="auto"/>
        <w:rPr>
          <w:rFonts w:eastAsia="Times New Roman" w:cs="Arial"/>
          <w:i/>
          <w:iCs/>
          <w:color w:val="000000"/>
          <w:u w:val="single"/>
          <w:lang w:eastAsia="bg-BG"/>
        </w:rPr>
      </w:pPr>
    </w:p>
    <w:p w14:paraId="18F103D8" w14:textId="7EAB1F0F" w:rsidR="008A5105" w:rsidRPr="008A5105" w:rsidRDefault="008A5105" w:rsidP="008A5105">
      <w:pPr>
        <w:spacing w:line="240" w:lineRule="auto"/>
        <w:rPr>
          <w:rFonts w:eastAsia="Times New Roman" w:cs="Arial"/>
          <w:sz w:val="24"/>
          <w:szCs w:val="24"/>
        </w:rPr>
      </w:pPr>
      <w:r w:rsidRPr="008A5105">
        <w:rPr>
          <w:rFonts w:eastAsia="Times New Roman" w:cs="Arial"/>
          <w:i/>
          <w:iCs/>
          <w:color w:val="000000"/>
          <w:u w:val="single"/>
          <w:lang w:eastAsia="bg-BG"/>
        </w:rPr>
        <w:t>Педиатрична популаиия</w:t>
      </w:r>
    </w:p>
    <w:p w14:paraId="712D3498"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 xml:space="preserve">Сингулар 4 </w:t>
      </w:r>
      <w:r w:rsidRPr="008A5105">
        <w:rPr>
          <w:rFonts w:eastAsia="Times New Roman" w:cs="Arial"/>
          <w:color w:val="000000"/>
          <w:lang w:val="en-US"/>
        </w:rPr>
        <w:t>mg</w:t>
      </w:r>
      <w:r w:rsidRPr="008A5105">
        <w:rPr>
          <w:rFonts w:eastAsia="Times New Roman" w:cs="Arial"/>
          <w:color w:val="000000"/>
          <w:lang w:val="ru-RU"/>
        </w:rPr>
        <w:t xml:space="preserve"> </w:t>
      </w:r>
      <w:r w:rsidRPr="008A5105">
        <w:rPr>
          <w:rFonts w:eastAsia="Times New Roman" w:cs="Arial"/>
          <w:color w:val="000000"/>
          <w:lang w:eastAsia="bg-BG"/>
        </w:rPr>
        <w:t xml:space="preserve">гранули не трябва да се прилагат при деца на възраст под 6 месеца. Безопасността и ефикасността на Сингулар 4 </w:t>
      </w:r>
      <w:r w:rsidRPr="008A5105">
        <w:rPr>
          <w:rFonts w:eastAsia="Times New Roman" w:cs="Arial"/>
          <w:color w:val="000000"/>
          <w:lang w:val="en-US"/>
        </w:rPr>
        <w:t>mg</w:t>
      </w:r>
      <w:r w:rsidRPr="008A5105">
        <w:rPr>
          <w:rFonts w:eastAsia="Times New Roman" w:cs="Arial"/>
          <w:color w:val="000000"/>
          <w:lang w:val="ru-RU"/>
        </w:rPr>
        <w:t xml:space="preserve"> </w:t>
      </w:r>
      <w:r w:rsidRPr="008A5105">
        <w:rPr>
          <w:rFonts w:eastAsia="Times New Roman" w:cs="Arial"/>
          <w:color w:val="000000"/>
          <w:lang w:eastAsia="bg-BG"/>
        </w:rPr>
        <w:t>гранули при деца на възраст под 6 месеца не са установени.</w:t>
      </w:r>
    </w:p>
    <w:p w14:paraId="0ADEBC8F" w14:textId="77777777" w:rsidR="008A5105" w:rsidRPr="008A5105" w:rsidRDefault="008A5105" w:rsidP="008A5105">
      <w:pPr>
        <w:spacing w:line="240" w:lineRule="auto"/>
        <w:rPr>
          <w:rFonts w:eastAsia="Times New Roman" w:cs="Arial"/>
          <w:color w:val="000000"/>
          <w:lang w:eastAsia="bg-BG"/>
        </w:rPr>
      </w:pPr>
    </w:p>
    <w:p w14:paraId="6E479979" w14:textId="1DF47A2A" w:rsidR="008A5105" w:rsidRPr="008A5105" w:rsidRDefault="008A5105" w:rsidP="008A5105">
      <w:pPr>
        <w:spacing w:line="240" w:lineRule="auto"/>
        <w:rPr>
          <w:rFonts w:eastAsia="Times New Roman" w:cs="Arial"/>
          <w:color w:val="000000"/>
          <w:lang w:eastAsia="bg-BG"/>
        </w:rPr>
      </w:pPr>
      <w:r w:rsidRPr="008A5105">
        <w:rPr>
          <w:rFonts w:eastAsia="Times New Roman" w:cs="Arial"/>
          <w:color w:val="000000"/>
          <w:lang w:eastAsia="bg-BG"/>
        </w:rPr>
        <w:t xml:space="preserve">Предлагат се 5 </w:t>
      </w:r>
      <w:r w:rsidRPr="008A5105">
        <w:rPr>
          <w:rFonts w:eastAsia="Times New Roman" w:cs="Arial"/>
          <w:color w:val="000000"/>
          <w:lang w:val="en-US"/>
        </w:rPr>
        <w:t>mg</w:t>
      </w:r>
      <w:r w:rsidRPr="008A5105">
        <w:rPr>
          <w:rFonts w:eastAsia="Times New Roman" w:cs="Arial"/>
          <w:color w:val="000000"/>
          <w:lang w:val="ru-RU"/>
        </w:rPr>
        <w:t xml:space="preserve"> </w:t>
      </w:r>
      <w:r w:rsidRPr="008A5105">
        <w:rPr>
          <w:rFonts w:eastAsia="Times New Roman" w:cs="Arial"/>
          <w:color w:val="000000"/>
          <w:lang w:eastAsia="bg-BG"/>
        </w:rPr>
        <w:t>таблетки за дъвчене за деца на възраст от 6 до 14 години.</w:t>
      </w:r>
    </w:p>
    <w:p w14:paraId="46FF6A49" w14:textId="4F9D41DE" w:rsidR="008A5105" w:rsidRPr="008A5105" w:rsidRDefault="008A5105" w:rsidP="008A5105">
      <w:pPr>
        <w:spacing w:line="240" w:lineRule="auto"/>
        <w:rPr>
          <w:rFonts w:eastAsia="Times New Roman" w:cs="Arial"/>
          <w:color w:val="000000"/>
          <w:lang w:eastAsia="bg-BG"/>
        </w:rPr>
      </w:pPr>
    </w:p>
    <w:p w14:paraId="436244B0"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 xml:space="preserve">Предлагат се 4 </w:t>
      </w:r>
      <w:r w:rsidRPr="008A5105">
        <w:rPr>
          <w:rFonts w:eastAsia="Times New Roman" w:cs="Arial"/>
          <w:color w:val="000000"/>
          <w:lang w:val="en-US"/>
        </w:rPr>
        <w:t>mg</w:t>
      </w:r>
      <w:r w:rsidRPr="008A5105">
        <w:rPr>
          <w:rFonts w:eastAsia="Times New Roman" w:cs="Arial"/>
          <w:color w:val="000000"/>
          <w:lang w:val="ru-RU"/>
        </w:rPr>
        <w:t xml:space="preserve"> </w:t>
      </w:r>
      <w:r w:rsidRPr="008A5105">
        <w:rPr>
          <w:rFonts w:eastAsia="Times New Roman" w:cs="Arial"/>
          <w:color w:val="000000"/>
          <w:lang w:eastAsia="bg-BG"/>
        </w:rPr>
        <w:t>таблетки за дъвчене като алтернативна форма за деца на възраст от 2 до 5 години.</w:t>
      </w:r>
    </w:p>
    <w:p w14:paraId="0ECB6239" w14:textId="77777777" w:rsidR="008A5105" w:rsidRPr="008A5105" w:rsidRDefault="008A5105" w:rsidP="008A5105">
      <w:pPr>
        <w:spacing w:line="240" w:lineRule="auto"/>
        <w:rPr>
          <w:rFonts w:eastAsia="Times New Roman" w:cs="Arial"/>
          <w:color w:val="000000"/>
          <w:u w:val="single"/>
          <w:lang w:eastAsia="bg-BG"/>
        </w:rPr>
      </w:pPr>
    </w:p>
    <w:p w14:paraId="2BF1D9B3" w14:textId="4C164E6C" w:rsidR="008A5105" w:rsidRPr="008A5105" w:rsidRDefault="008A5105" w:rsidP="008A5105">
      <w:pPr>
        <w:pStyle w:val="Heading3"/>
        <w:rPr>
          <w:rFonts w:eastAsia="Times New Roman"/>
          <w:u w:val="single"/>
        </w:rPr>
      </w:pPr>
      <w:r w:rsidRPr="008A5105">
        <w:rPr>
          <w:rFonts w:eastAsia="Times New Roman"/>
          <w:u w:val="single"/>
          <w:lang w:eastAsia="bg-BG"/>
        </w:rPr>
        <w:t>Начин на приложение</w:t>
      </w:r>
    </w:p>
    <w:p w14:paraId="78395F9F"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Перорална употреба</w:t>
      </w:r>
    </w:p>
    <w:p w14:paraId="4881C2C7" w14:textId="2B83E825" w:rsidR="008A5105" w:rsidRPr="008A5105" w:rsidRDefault="008A5105" w:rsidP="008A5105"/>
    <w:p w14:paraId="74903285" w14:textId="71C21B5E" w:rsidR="00DB32D3" w:rsidRDefault="002C50EE" w:rsidP="005726E3">
      <w:pPr>
        <w:pStyle w:val="Heading2"/>
      </w:pPr>
      <w:r>
        <w:t>4.3. Противопоказания</w:t>
      </w:r>
    </w:p>
    <w:p w14:paraId="3EA0D624" w14:textId="3B43F99F" w:rsidR="008A5105" w:rsidRDefault="008A5105" w:rsidP="008A5105"/>
    <w:p w14:paraId="39CC1ABC" w14:textId="7B0E1920" w:rsidR="008A5105" w:rsidRDefault="008A5105" w:rsidP="008A5105">
      <w:r>
        <w:t>Свръхчувствителност към активното вещество и някое от помощните вещества, изброени в точка 6.1.</w:t>
      </w:r>
    </w:p>
    <w:p w14:paraId="66E6EAA4" w14:textId="77777777" w:rsidR="008A5105" w:rsidRPr="008A5105" w:rsidRDefault="008A5105" w:rsidP="008A5105"/>
    <w:p w14:paraId="76DC8E58" w14:textId="1654D270" w:rsidR="00DB32D3" w:rsidRDefault="002C50EE" w:rsidP="005726E3">
      <w:pPr>
        <w:pStyle w:val="Heading2"/>
      </w:pPr>
      <w:r>
        <w:t>4.4. Специални предупреждения и предпазни мерки при употреба</w:t>
      </w:r>
    </w:p>
    <w:p w14:paraId="4F19C2C1" w14:textId="2A5140D1" w:rsidR="008A5105" w:rsidRDefault="008A5105" w:rsidP="008A5105"/>
    <w:p w14:paraId="7DB150C7"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Диагнозата персистираща астма при много малки деца (6 месеца -2 години) трябва да бъде поставена от педиатър или пулмолог.</w:t>
      </w:r>
    </w:p>
    <w:p w14:paraId="4BF1BE1B" w14:textId="77777777" w:rsidR="008A5105" w:rsidRPr="008A5105" w:rsidRDefault="008A5105" w:rsidP="008A5105">
      <w:pPr>
        <w:spacing w:line="240" w:lineRule="auto"/>
        <w:rPr>
          <w:rFonts w:eastAsia="Times New Roman" w:cs="Arial"/>
          <w:color w:val="000000"/>
          <w:lang w:eastAsia="bg-BG"/>
        </w:rPr>
      </w:pPr>
    </w:p>
    <w:p w14:paraId="1674E186" w14:textId="25370CC6"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Пациентите трябва да се съветват никога да не използват пероралния монтелукаст за лечение на остри астматични пристъпи и да имат на разположение тяхното обичайно животоспасяващо лекарство за тази цел в готовност. Ако настъпи остър пристъп, трябва да се използват бързодействащи инхалаторни β-агонисти. Пациентите трябва да потърсят лекарски съвет колкото може по-рано, ако имат нужда от повече инхалации бързо действащ β-агонист от обикновено.</w:t>
      </w:r>
    </w:p>
    <w:p w14:paraId="4CA344C3" w14:textId="77777777" w:rsidR="008A5105" w:rsidRPr="008A5105" w:rsidRDefault="008A5105" w:rsidP="008A5105">
      <w:pPr>
        <w:spacing w:line="240" w:lineRule="auto"/>
        <w:rPr>
          <w:rFonts w:eastAsia="Times New Roman" w:cs="Arial"/>
          <w:color w:val="000000"/>
          <w:lang w:eastAsia="bg-BG"/>
        </w:rPr>
      </w:pPr>
    </w:p>
    <w:p w14:paraId="1CFC95A4" w14:textId="1416E030"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Монтелукаст не трябва рязко да замести инхалаторните или перорални кортикостероиди.</w:t>
      </w:r>
    </w:p>
    <w:p w14:paraId="2BEF96D2" w14:textId="77777777" w:rsidR="008A5105" w:rsidRPr="008A5105" w:rsidRDefault="008A5105" w:rsidP="008A5105">
      <w:pPr>
        <w:spacing w:line="240" w:lineRule="auto"/>
        <w:rPr>
          <w:rFonts w:eastAsia="Times New Roman" w:cs="Arial"/>
          <w:color w:val="000000"/>
          <w:lang w:eastAsia="bg-BG"/>
        </w:rPr>
      </w:pPr>
    </w:p>
    <w:p w14:paraId="210584C1" w14:textId="2E91D6F1"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Няма данни, които да демонстрират, че дозата на пероралните кортикостероиди може да се намали, когато те се приемат едновременно с монтелукаст.</w:t>
      </w:r>
    </w:p>
    <w:p w14:paraId="575808FF" w14:textId="77777777" w:rsidR="008A5105" w:rsidRPr="008A5105" w:rsidRDefault="008A5105" w:rsidP="008A5105">
      <w:pPr>
        <w:spacing w:line="240" w:lineRule="auto"/>
        <w:rPr>
          <w:rFonts w:eastAsia="Times New Roman" w:cs="Arial"/>
          <w:color w:val="000000"/>
          <w:lang w:eastAsia="bg-BG"/>
        </w:rPr>
      </w:pPr>
    </w:p>
    <w:p w14:paraId="6BC2A139" w14:textId="2179C3C4"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 xml:space="preserve">В редки случаи, при пациенти на лечение с антиастматични средства, включително монтелукаст, може да настъпи системна еозинофилия, понякога изявяваща се с клинични прояви на васкулит, съответстващи на синдрома на </w:t>
      </w:r>
      <w:proofErr w:type="spellStart"/>
      <w:r w:rsidRPr="008A5105">
        <w:rPr>
          <w:rFonts w:eastAsia="Times New Roman" w:cs="Arial"/>
          <w:color w:val="000000"/>
          <w:lang w:val="en-US"/>
        </w:rPr>
        <w:t>Churg</w:t>
      </w:r>
      <w:proofErr w:type="spellEnd"/>
      <w:r w:rsidRPr="008A5105">
        <w:rPr>
          <w:rFonts w:eastAsia="Times New Roman" w:cs="Arial"/>
          <w:color w:val="000000"/>
          <w:lang w:val="ru-RU"/>
        </w:rPr>
        <w:t>-</w:t>
      </w:r>
      <w:r w:rsidRPr="008A5105">
        <w:rPr>
          <w:rFonts w:eastAsia="Times New Roman" w:cs="Arial"/>
          <w:color w:val="000000"/>
          <w:lang w:val="en-US"/>
        </w:rPr>
        <w:t>Strauss</w:t>
      </w:r>
      <w:r w:rsidRPr="008A5105">
        <w:rPr>
          <w:rFonts w:eastAsia="Times New Roman" w:cs="Arial"/>
          <w:color w:val="000000"/>
          <w:lang w:val="ru-RU"/>
        </w:rPr>
        <w:t xml:space="preserve">, </w:t>
      </w:r>
      <w:r w:rsidRPr="008A5105">
        <w:rPr>
          <w:rFonts w:eastAsia="Times New Roman" w:cs="Arial"/>
          <w:color w:val="000000"/>
          <w:lang w:eastAsia="bg-BG"/>
        </w:rPr>
        <w:t xml:space="preserve">състояние, което често се лекува със системни кортикостероиди. Тези състояния понякога се свързват с намаляване или прекъсване на перорална терапия с кортикостероиди. Въпреки, че не е </w:t>
      </w:r>
      <w:r w:rsidRPr="008A5105">
        <w:rPr>
          <w:rFonts w:eastAsia="Times New Roman" w:cs="Arial"/>
          <w:color w:val="000000"/>
          <w:lang w:eastAsia="bg-BG"/>
        </w:rPr>
        <w:lastRenderedPageBreak/>
        <w:t>установена причинно- следствена връзка с левкотриеновия рецепторен антагонизъм, лекарите трябва да внимават за появата на еозинофилия, васкулитен обрив, влошаване на белодробните симптоми, усложнения от страна на сърцето и/или невропатия при пациентите. При пациенти, при които се появят тези симптоми, трябва да бъде направена преоценка и да се преразгледат техните терапевтични схеми.</w:t>
      </w:r>
    </w:p>
    <w:p w14:paraId="1F2B62CA" w14:textId="77777777" w:rsidR="008A5105" w:rsidRPr="008A5105" w:rsidRDefault="008A5105" w:rsidP="008A5105">
      <w:pPr>
        <w:spacing w:line="240" w:lineRule="auto"/>
        <w:rPr>
          <w:rFonts w:eastAsia="Times New Roman" w:cs="Arial"/>
          <w:color w:val="000000"/>
          <w:lang w:eastAsia="bg-BG"/>
        </w:rPr>
      </w:pPr>
    </w:p>
    <w:p w14:paraId="24B001FE" w14:textId="675E13D3"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Лечението с монтелукаст не променя необходимостта при пациенти с чувствителна на аспирин астма да се избягва приемът на аспирин и други нестероидни противовъзпалитени лекарства.</w:t>
      </w:r>
    </w:p>
    <w:p w14:paraId="7D7EBFFD" w14:textId="77777777" w:rsidR="008A5105" w:rsidRPr="008A5105" w:rsidRDefault="008A5105" w:rsidP="008A5105">
      <w:pPr>
        <w:spacing w:line="240" w:lineRule="auto"/>
        <w:rPr>
          <w:rFonts w:eastAsia="Times New Roman" w:cs="Arial"/>
          <w:color w:val="000000"/>
          <w:lang w:eastAsia="bg-BG"/>
        </w:rPr>
      </w:pPr>
    </w:p>
    <w:p w14:paraId="0F493189" w14:textId="5E79B0C1"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Съобщават се невро-психични събития при възрастни, юноши и деца, приемащи Сингулар (вж. точка 4.8). Пациентите и лекарите трябва да бъдат предупредени за невро-психични събития. Пациентите и/или лицата, полагащи грижи, трябва да бъдат инструктирани да уведомят лекаря си, ако настъпят такива промени. Лекуващите лекари трябва внимателно да преценят съотношението полза/риск от продължителното лечение със Сингулар, ако възникнат такива събития.</w:t>
      </w:r>
    </w:p>
    <w:p w14:paraId="288DFACD" w14:textId="77777777" w:rsidR="008A5105" w:rsidRPr="008A5105" w:rsidRDefault="008A5105" w:rsidP="008A5105">
      <w:pPr>
        <w:spacing w:line="240" w:lineRule="auto"/>
        <w:rPr>
          <w:rFonts w:eastAsia="Times New Roman" w:cs="Arial"/>
          <w:color w:val="000000"/>
          <w:u w:val="single"/>
          <w:lang w:eastAsia="bg-BG"/>
        </w:rPr>
      </w:pPr>
    </w:p>
    <w:p w14:paraId="05FE1A75" w14:textId="029851FD" w:rsidR="008A5105" w:rsidRPr="008A5105" w:rsidRDefault="008A5105" w:rsidP="008A5105">
      <w:pPr>
        <w:spacing w:line="240" w:lineRule="auto"/>
        <w:rPr>
          <w:rFonts w:eastAsia="Times New Roman" w:cs="Arial"/>
          <w:sz w:val="24"/>
          <w:szCs w:val="24"/>
        </w:rPr>
      </w:pPr>
      <w:r w:rsidRPr="008A5105">
        <w:rPr>
          <w:rFonts w:eastAsia="Times New Roman" w:cs="Arial"/>
          <w:color w:val="000000"/>
          <w:u w:val="single"/>
          <w:lang w:eastAsia="bg-BG"/>
        </w:rPr>
        <w:t>Натрий</w:t>
      </w:r>
    </w:p>
    <w:p w14:paraId="655186BE" w14:textId="69DB6489" w:rsidR="008A5105" w:rsidRPr="008A5105" w:rsidRDefault="008A5105" w:rsidP="008A5105">
      <w:pPr>
        <w:rPr>
          <w:rFonts w:eastAsia="Times New Roman" w:cs="Arial"/>
          <w:color w:val="000000"/>
          <w:lang w:eastAsia="bg-BG"/>
        </w:rPr>
      </w:pPr>
      <w:r w:rsidRPr="008A5105">
        <w:rPr>
          <w:rFonts w:eastAsia="Times New Roman" w:cs="Arial"/>
          <w:color w:val="000000"/>
          <w:lang w:eastAsia="bg-BG"/>
        </w:rPr>
        <w:t xml:space="preserve">Този лекарствен продукт съдържа по-малко от 1 </w:t>
      </w:r>
      <w:proofErr w:type="spellStart"/>
      <w:r w:rsidRPr="008A5105">
        <w:rPr>
          <w:rFonts w:eastAsia="Times New Roman" w:cs="Arial"/>
          <w:color w:val="000000"/>
          <w:lang w:val="en-US"/>
        </w:rPr>
        <w:t>mmol</w:t>
      </w:r>
      <w:proofErr w:type="spellEnd"/>
      <w:r w:rsidRPr="008A5105">
        <w:rPr>
          <w:rFonts w:eastAsia="Times New Roman" w:cs="Arial"/>
          <w:color w:val="000000"/>
          <w:lang w:val="ru-RU"/>
        </w:rPr>
        <w:t xml:space="preserve"> </w:t>
      </w:r>
      <w:r w:rsidRPr="008A5105">
        <w:rPr>
          <w:rFonts w:eastAsia="Times New Roman" w:cs="Arial"/>
          <w:color w:val="000000"/>
          <w:lang w:eastAsia="bg-BG"/>
        </w:rPr>
        <w:t xml:space="preserve">натрий (23 </w:t>
      </w:r>
      <w:r w:rsidRPr="008A5105">
        <w:rPr>
          <w:rFonts w:eastAsia="Times New Roman" w:cs="Arial"/>
          <w:color w:val="000000"/>
          <w:lang w:val="en-US"/>
        </w:rPr>
        <w:t>mg</w:t>
      </w:r>
      <w:r w:rsidRPr="008A5105">
        <w:rPr>
          <w:rFonts w:eastAsia="Times New Roman" w:cs="Arial"/>
          <w:color w:val="000000"/>
          <w:lang w:val="ru-RU"/>
        </w:rPr>
        <w:t xml:space="preserve">) </w:t>
      </w:r>
      <w:r w:rsidRPr="008A5105">
        <w:rPr>
          <w:rFonts w:eastAsia="Times New Roman" w:cs="Arial"/>
          <w:color w:val="000000"/>
          <w:lang w:eastAsia="bg-BG"/>
        </w:rPr>
        <w:t>на саше, т.е. може да се каже, че практически не съдържа натрий.</w:t>
      </w:r>
    </w:p>
    <w:p w14:paraId="70972D91" w14:textId="72BC0856" w:rsidR="008A5105" w:rsidRPr="008A5105" w:rsidRDefault="008A5105" w:rsidP="008A5105"/>
    <w:p w14:paraId="4597A211" w14:textId="77777777" w:rsidR="008A5105"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13F8D375" w14:textId="77777777" w:rsidR="008A5105" w:rsidRDefault="008A5105" w:rsidP="008A5105">
      <w:bookmarkStart w:id="1" w:name="bookmark0"/>
      <w:bookmarkEnd w:id="1"/>
    </w:p>
    <w:p w14:paraId="4ECCF109" w14:textId="77777777" w:rsidR="008A5105" w:rsidRPr="008A5105" w:rsidRDefault="008A5105" w:rsidP="008A5105">
      <w:pPr>
        <w:rPr>
          <w:rFonts w:eastAsia="Times New Roman" w:cs="Arial"/>
          <w:sz w:val="24"/>
          <w:szCs w:val="24"/>
        </w:rPr>
      </w:pPr>
      <w:r w:rsidRPr="008A5105">
        <w:rPr>
          <w:rFonts w:cs="Arial"/>
        </w:rPr>
        <w:t>Монтелукаст може да бъде прилаган с други видове лечение, използвани рутинно за профилактика или хронично лечение на астма. В клиничните проучвания за лекарствени</w:t>
      </w:r>
      <w:r w:rsidRPr="008A5105">
        <w:rPr>
          <w:rFonts w:cs="Arial"/>
        </w:rPr>
        <w:t xml:space="preserve"> </w:t>
      </w:r>
      <w:r w:rsidRPr="008A5105">
        <w:rPr>
          <w:rFonts w:eastAsia="Times New Roman" w:cs="Arial"/>
          <w:color w:val="000000"/>
          <w:lang w:eastAsia="bg-BG"/>
        </w:rPr>
        <w:t>взаимодействия, препоръчителната клинична доза на монтелукаст няма клинично значими ефекти върху фармакокинетиката на следните лекарства: теофилин, преднизон, преднизолон, перорални контрацепгиви (етинилестрадиол/норетиндрон 35/1), терфенадин, дигоксин и варфарин.</w:t>
      </w:r>
    </w:p>
    <w:p w14:paraId="2945E767" w14:textId="77777777" w:rsidR="008A5105" w:rsidRPr="008A5105" w:rsidRDefault="008A5105" w:rsidP="008A5105">
      <w:pPr>
        <w:spacing w:line="240" w:lineRule="auto"/>
        <w:rPr>
          <w:rFonts w:eastAsia="Times New Roman" w:cs="Arial"/>
          <w:color w:val="000000"/>
          <w:lang w:eastAsia="bg-BG"/>
        </w:rPr>
      </w:pPr>
    </w:p>
    <w:p w14:paraId="2747D3E4" w14:textId="59DDB3C1"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 xml:space="preserve">Площта под кривата плазмена концентрация-време </w:t>
      </w:r>
      <w:r w:rsidRPr="008A5105">
        <w:rPr>
          <w:rFonts w:eastAsia="Times New Roman" w:cs="Arial"/>
          <w:color w:val="000000"/>
          <w:lang w:val="ru-RU"/>
        </w:rPr>
        <w:t>(</w:t>
      </w:r>
      <w:r w:rsidRPr="008A5105">
        <w:rPr>
          <w:rFonts w:eastAsia="Times New Roman" w:cs="Arial"/>
          <w:color w:val="000000"/>
          <w:lang w:val="en-US"/>
        </w:rPr>
        <w:t>AUC</w:t>
      </w:r>
      <w:r w:rsidRPr="008A5105">
        <w:rPr>
          <w:rFonts w:eastAsia="Times New Roman" w:cs="Arial"/>
          <w:color w:val="000000"/>
          <w:lang w:val="ru-RU"/>
        </w:rPr>
        <w:t xml:space="preserve">) </w:t>
      </w:r>
      <w:r w:rsidRPr="008A5105">
        <w:rPr>
          <w:rFonts w:eastAsia="Times New Roman" w:cs="Arial"/>
          <w:color w:val="000000"/>
          <w:lang w:eastAsia="bg-BG"/>
        </w:rPr>
        <w:t xml:space="preserve">за монтелукаст намалява приблизително 40% при лица с едновременно приложение на фенобарбитал. Тъй като монтелукаст се метаболизира от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 xml:space="preserve">ЗА4, 2С8 и 2С9, трябва да се внимава, особено при деца, когато монтелукаст се прилага едновременно с индуктори на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3 А4,2С8 и 2С9, като фенитоин, фенобарбитал и рифампицин.</w:t>
      </w:r>
    </w:p>
    <w:p w14:paraId="445A5E3A" w14:textId="77777777" w:rsidR="008A5105" w:rsidRPr="008A5105" w:rsidRDefault="008A5105" w:rsidP="008A5105">
      <w:pPr>
        <w:spacing w:line="240" w:lineRule="auto"/>
        <w:rPr>
          <w:rFonts w:eastAsia="Times New Roman" w:cs="Arial"/>
          <w:i/>
          <w:iCs/>
          <w:color w:val="000000"/>
          <w:lang w:val="en-US"/>
        </w:rPr>
      </w:pPr>
    </w:p>
    <w:p w14:paraId="0998A1B5" w14:textId="179182FA" w:rsidR="008A5105" w:rsidRPr="008A5105" w:rsidRDefault="008A5105" w:rsidP="008A5105">
      <w:pPr>
        <w:spacing w:line="240" w:lineRule="auto"/>
        <w:rPr>
          <w:rFonts w:eastAsia="Times New Roman" w:cs="Arial"/>
          <w:sz w:val="24"/>
          <w:szCs w:val="24"/>
        </w:rPr>
      </w:pPr>
      <w:r w:rsidRPr="008A5105">
        <w:rPr>
          <w:rFonts w:eastAsia="Times New Roman" w:cs="Arial"/>
          <w:i/>
          <w:iCs/>
          <w:color w:val="000000"/>
          <w:lang w:val="en-US"/>
        </w:rPr>
        <w:t>In</w:t>
      </w:r>
      <w:r w:rsidRPr="008A5105">
        <w:rPr>
          <w:rFonts w:eastAsia="Times New Roman" w:cs="Arial"/>
          <w:i/>
          <w:iCs/>
          <w:color w:val="000000"/>
          <w:lang w:val="ru-RU"/>
        </w:rPr>
        <w:t xml:space="preserve"> </w:t>
      </w:r>
      <w:r w:rsidRPr="008A5105">
        <w:rPr>
          <w:rFonts w:eastAsia="Times New Roman" w:cs="Arial"/>
          <w:i/>
          <w:iCs/>
          <w:color w:val="000000"/>
          <w:lang w:val="en-US"/>
        </w:rPr>
        <w:t>vitro</w:t>
      </w:r>
      <w:r w:rsidRPr="008A5105">
        <w:rPr>
          <w:rFonts w:eastAsia="Times New Roman" w:cs="Arial"/>
          <w:color w:val="000000"/>
          <w:lang w:val="ru-RU"/>
        </w:rPr>
        <w:t xml:space="preserve"> </w:t>
      </w:r>
      <w:r w:rsidRPr="008A5105">
        <w:rPr>
          <w:rFonts w:eastAsia="Times New Roman" w:cs="Arial"/>
          <w:color w:val="000000"/>
          <w:lang w:eastAsia="bg-BG"/>
        </w:rPr>
        <w:t xml:space="preserve">проучвания са показали, че монтелукаст е инхибитор на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 xml:space="preserve">2С8. Но данни от клинични проучвания за лекарствени взаимодействия, включващи монтелукаст и розиглитазон (проучван субстрат, представителен за лекарства, които се метаболизират основно чрез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 xml:space="preserve">2С8) показват, че монтелукаст не инхибира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 xml:space="preserve">2С8 </w:t>
      </w:r>
      <w:r w:rsidRPr="008A5105">
        <w:rPr>
          <w:rFonts w:eastAsia="Times New Roman" w:cs="Arial"/>
          <w:i/>
          <w:iCs/>
          <w:color w:val="000000"/>
          <w:lang w:val="en-US"/>
        </w:rPr>
        <w:t>in</w:t>
      </w:r>
      <w:r w:rsidRPr="008A5105">
        <w:rPr>
          <w:rFonts w:eastAsia="Times New Roman" w:cs="Arial"/>
          <w:i/>
          <w:iCs/>
          <w:color w:val="000000"/>
          <w:lang w:val="ru-RU"/>
        </w:rPr>
        <w:t xml:space="preserve"> </w:t>
      </w:r>
      <w:r w:rsidRPr="008A5105">
        <w:rPr>
          <w:rFonts w:eastAsia="Times New Roman" w:cs="Arial"/>
          <w:i/>
          <w:iCs/>
          <w:color w:val="000000"/>
          <w:lang w:val="en-US"/>
        </w:rPr>
        <w:t>vivo</w:t>
      </w:r>
      <w:r w:rsidRPr="008A5105">
        <w:rPr>
          <w:rFonts w:eastAsia="Times New Roman" w:cs="Arial"/>
          <w:i/>
          <w:iCs/>
          <w:color w:val="000000"/>
          <w:lang w:val="ru-RU"/>
        </w:rPr>
        <w:t>.</w:t>
      </w:r>
      <w:r w:rsidRPr="008A5105">
        <w:rPr>
          <w:rFonts w:eastAsia="Times New Roman" w:cs="Arial"/>
          <w:color w:val="000000"/>
          <w:lang w:val="ru-RU"/>
        </w:rPr>
        <w:t xml:space="preserve"> </w:t>
      </w:r>
      <w:r w:rsidRPr="008A5105">
        <w:rPr>
          <w:rFonts w:eastAsia="Times New Roman" w:cs="Arial"/>
          <w:color w:val="000000"/>
          <w:lang w:eastAsia="bg-BG"/>
        </w:rPr>
        <w:t>Ето защо не се допуска, че монтелукаст променя метаболизма на лекарства, които се метаболизират от този ензим (например паклитаксел, розиглитазон, репаглинид).</w:t>
      </w:r>
    </w:p>
    <w:p w14:paraId="03169FDC" w14:textId="77777777" w:rsidR="008A5105" w:rsidRPr="008A5105" w:rsidRDefault="008A5105" w:rsidP="008A5105">
      <w:pPr>
        <w:spacing w:line="240" w:lineRule="auto"/>
        <w:rPr>
          <w:rFonts w:eastAsia="Times New Roman" w:cs="Arial"/>
          <w:i/>
          <w:iCs/>
          <w:color w:val="000000"/>
          <w:lang w:val="en-US"/>
        </w:rPr>
      </w:pPr>
    </w:p>
    <w:p w14:paraId="3F8041FE" w14:textId="79CB30A8" w:rsidR="008A5105" w:rsidRPr="008A5105" w:rsidRDefault="008A5105" w:rsidP="008A5105">
      <w:pPr>
        <w:spacing w:line="240" w:lineRule="auto"/>
        <w:rPr>
          <w:rFonts w:eastAsia="Times New Roman" w:cs="Arial"/>
          <w:sz w:val="24"/>
          <w:szCs w:val="24"/>
        </w:rPr>
      </w:pPr>
      <w:r w:rsidRPr="008A5105">
        <w:rPr>
          <w:rFonts w:eastAsia="Times New Roman" w:cs="Arial"/>
          <w:i/>
          <w:iCs/>
          <w:color w:val="000000"/>
          <w:lang w:val="en-US"/>
        </w:rPr>
        <w:t>In</w:t>
      </w:r>
      <w:r w:rsidRPr="008A5105">
        <w:rPr>
          <w:rFonts w:eastAsia="Times New Roman" w:cs="Arial"/>
          <w:i/>
          <w:iCs/>
          <w:color w:val="000000"/>
          <w:lang w:val="ru-RU"/>
        </w:rPr>
        <w:t xml:space="preserve"> </w:t>
      </w:r>
      <w:r w:rsidRPr="008A5105">
        <w:rPr>
          <w:rFonts w:eastAsia="Times New Roman" w:cs="Arial"/>
          <w:i/>
          <w:iCs/>
          <w:color w:val="000000"/>
          <w:lang w:val="en-US"/>
        </w:rPr>
        <w:t>vitro</w:t>
      </w:r>
      <w:r w:rsidRPr="008A5105">
        <w:rPr>
          <w:rFonts w:eastAsia="Times New Roman" w:cs="Arial"/>
          <w:color w:val="000000"/>
          <w:lang w:val="ru-RU"/>
        </w:rPr>
        <w:t xml:space="preserve"> </w:t>
      </w:r>
      <w:r w:rsidRPr="008A5105">
        <w:rPr>
          <w:rFonts w:eastAsia="Times New Roman" w:cs="Arial"/>
          <w:color w:val="000000"/>
          <w:lang w:eastAsia="bg-BG"/>
        </w:rPr>
        <w:t xml:space="preserve">проучвания показват, че монтелукаст е субстрат на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 xml:space="preserve">2С8 и, в по-малко значима степен, на 2С9 и ЗА4. В клинично проучване на лекарствените взаимодействия, включващо монтелукаст и гемфиброзил (инхибитор на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 xml:space="preserve">2С8 и 2С9), гемфиброзил повишава 4,4 пъти системната експозиция на монтелукаст. Не се изисква рутинна корекция на дозата при едновременно приложение с гемфиброзил или други мощни </w:t>
      </w:r>
      <w:r w:rsidRPr="008A5105">
        <w:rPr>
          <w:rFonts w:eastAsia="Times New Roman" w:cs="Arial"/>
          <w:color w:val="000000"/>
          <w:lang w:eastAsia="bg-BG"/>
        </w:rPr>
        <w:lastRenderedPageBreak/>
        <w:t xml:space="preserve">инхибитори на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2С8, но лекарят трябва да е наясно с възможността за повишаване честотата на нежеланите реакции.</w:t>
      </w:r>
    </w:p>
    <w:p w14:paraId="041586E7" w14:textId="77777777" w:rsidR="008A5105" w:rsidRPr="008A5105" w:rsidRDefault="008A5105" w:rsidP="008A5105">
      <w:pPr>
        <w:spacing w:line="240" w:lineRule="auto"/>
        <w:rPr>
          <w:rFonts w:eastAsia="Times New Roman" w:cs="Arial"/>
          <w:color w:val="000000"/>
          <w:lang w:eastAsia="bg-BG"/>
        </w:rPr>
      </w:pPr>
    </w:p>
    <w:p w14:paraId="367091AE" w14:textId="15FF7418"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 xml:space="preserve">Въз основа на </w:t>
      </w:r>
      <w:r w:rsidRPr="008A5105">
        <w:rPr>
          <w:rFonts w:eastAsia="Times New Roman" w:cs="Arial"/>
          <w:i/>
          <w:iCs/>
          <w:color w:val="000000"/>
          <w:lang w:val="en-US"/>
        </w:rPr>
        <w:t>in</w:t>
      </w:r>
      <w:r w:rsidRPr="008A5105">
        <w:rPr>
          <w:rFonts w:eastAsia="Times New Roman" w:cs="Arial"/>
          <w:i/>
          <w:iCs/>
          <w:color w:val="000000"/>
          <w:lang w:val="ru-RU"/>
        </w:rPr>
        <w:t xml:space="preserve"> </w:t>
      </w:r>
      <w:r w:rsidRPr="008A5105">
        <w:rPr>
          <w:rFonts w:eastAsia="Times New Roman" w:cs="Arial"/>
          <w:i/>
          <w:iCs/>
          <w:color w:val="000000"/>
          <w:lang w:val="en-US"/>
        </w:rPr>
        <w:t>vitro</w:t>
      </w:r>
      <w:r w:rsidRPr="008A5105">
        <w:rPr>
          <w:rFonts w:eastAsia="Times New Roman" w:cs="Arial"/>
          <w:color w:val="000000"/>
          <w:lang w:val="ru-RU"/>
        </w:rPr>
        <w:t xml:space="preserve"> </w:t>
      </w:r>
      <w:r w:rsidRPr="008A5105">
        <w:rPr>
          <w:rFonts w:eastAsia="Times New Roman" w:cs="Arial"/>
          <w:color w:val="000000"/>
          <w:lang w:eastAsia="bg-BG"/>
        </w:rPr>
        <w:t xml:space="preserve">данните, не се очакват клинично значими лекарствени взаимодействия с по-слабите инхибитори на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 xml:space="preserve">2С8 (напр. триметоприм). Едновременното приложение на монтелукаст с итраконазол, силен инхибитор на </w:t>
      </w:r>
      <w:r w:rsidRPr="008A5105">
        <w:rPr>
          <w:rFonts w:eastAsia="Times New Roman" w:cs="Arial"/>
          <w:color w:val="000000"/>
          <w:lang w:val="en-US"/>
        </w:rPr>
        <w:t>CYP</w:t>
      </w:r>
      <w:r w:rsidRPr="008A5105">
        <w:rPr>
          <w:rFonts w:eastAsia="Times New Roman" w:cs="Arial"/>
          <w:color w:val="000000"/>
          <w:lang w:val="ru-RU"/>
        </w:rPr>
        <w:t xml:space="preserve"> </w:t>
      </w:r>
      <w:r w:rsidRPr="008A5105">
        <w:rPr>
          <w:rFonts w:eastAsia="Times New Roman" w:cs="Arial"/>
          <w:color w:val="000000"/>
          <w:lang w:eastAsia="bg-BG"/>
        </w:rPr>
        <w:t>ЗА4, не е довело до значимо повишаване на системната експозиция на монтелукаст.</w:t>
      </w:r>
    </w:p>
    <w:p w14:paraId="29B37252" w14:textId="48E50FA7" w:rsidR="008A5105" w:rsidRPr="008A5105" w:rsidRDefault="008A5105" w:rsidP="008A5105"/>
    <w:p w14:paraId="006BE4EC" w14:textId="321C1C93" w:rsidR="00DB32D3" w:rsidRDefault="002C50EE" w:rsidP="005726E3">
      <w:pPr>
        <w:pStyle w:val="Heading2"/>
      </w:pPr>
      <w:r>
        <w:t>4.6. Фертилитет, бременност и кърмене</w:t>
      </w:r>
    </w:p>
    <w:p w14:paraId="7B810239" w14:textId="1F3F4835" w:rsidR="008A5105" w:rsidRDefault="008A5105" w:rsidP="008A5105"/>
    <w:p w14:paraId="1D82DF30" w14:textId="77777777" w:rsidR="008A5105" w:rsidRPr="008F2D7E" w:rsidRDefault="008A5105" w:rsidP="008F2D7E">
      <w:pPr>
        <w:pStyle w:val="Heading3"/>
        <w:rPr>
          <w:rFonts w:eastAsia="Times New Roman"/>
          <w:u w:val="single"/>
        </w:rPr>
      </w:pPr>
      <w:r w:rsidRPr="008F2D7E">
        <w:rPr>
          <w:rFonts w:eastAsia="Times New Roman"/>
          <w:u w:val="single"/>
          <w:lang w:eastAsia="bg-BG"/>
        </w:rPr>
        <w:t>Бременност</w:t>
      </w:r>
    </w:p>
    <w:p w14:paraId="40B8FBB2"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Проучванията върху животни не показват вредни ефекти по отношение на бременността и ембрионалното/феталното развитие.</w:t>
      </w:r>
    </w:p>
    <w:p w14:paraId="0FD6BD4E" w14:textId="77777777" w:rsidR="008A5105" w:rsidRPr="008F2D7E" w:rsidRDefault="008A5105" w:rsidP="008A5105">
      <w:pPr>
        <w:spacing w:line="240" w:lineRule="auto"/>
        <w:rPr>
          <w:rFonts w:eastAsia="Times New Roman" w:cs="Arial"/>
          <w:color w:val="000000"/>
          <w:lang w:eastAsia="bg-BG"/>
        </w:rPr>
      </w:pPr>
    </w:p>
    <w:p w14:paraId="139CAB8A" w14:textId="1C47F6E0"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Данните, събрани от публикации за проспективни и ретроспективни кохортни проучвания за оценка на големи вродени дефекти при употреба на монтелукаст при бременни жени, не установяват риск, свързан с лекарствения продукт. Наличните проучвания имат ограничения, свързани с методологията, включително малка изследвана извадка, събиране на ретроспективни данни, в някои случаи, и несъпоставими контролни групи.</w:t>
      </w:r>
    </w:p>
    <w:p w14:paraId="0D535F72" w14:textId="77777777" w:rsidR="008A5105" w:rsidRPr="008F2D7E" w:rsidRDefault="008A5105" w:rsidP="008A5105">
      <w:pPr>
        <w:spacing w:line="240" w:lineRule="auto"/>
        <w:rPr>
          <w:rFonts w:eastAsia="Times New Roman" w:cs="Arial"/>
          <w:color w:val="000000"/>
          <w:lang w:eastAsia="bg-BG"/>
        </w:rPr>
      </w:pPr>
    </w:p>
    <w:p w14:paraId="7C6D98BB" w14:textId="3C29093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Сингулар може да бъде използван по време на бременност, само ако е несъмнено наложително.</w:t>
      </w:r>
    </w:p>
    <w:p w14:paraId="461DF1EE" w14:textId="77777777" w:rsidR="008A5105" w:rsidRPr="008F2D7E" w:rsidRDefault="008A5105" w:rsidP="008A5105">
      <w:pPr>
        <w:spacing w:line="240" w:lineRule="auto"/>
        <w:rPr>
          <w:rFonts w:eastAsia="Times New Roman" w:cs="Arial"/>
          <w:color w:val="000000"/>
          <w:u w:val="single"/>
          <w:lang w:eastAsia="bg-BG"/>
        </w:rPr>
      </w:pPr>
    </w:p>
    <w:p w14:paraId="138948B4" w14:textId="5281516F" w:rsidR="008A5105" w:rsidRPr="008F2D7E" w:rsidRDefault="008A5105" w:rsidP="008F2D7E">
      <w:pPr>
        <w:pStyle w:val="Heading3"/>
        <w:rPr>
          <w:rFonts w:eastAsia="Times New Roman"/>
          <w:u w:val="single"/>
        </w:rPr>
      </w:pPr>
      <w:r w:rsidRPr="008F2D7E">
        <w:rPr>
          <w:rFonts w:eastAsia="Times New Roman"/>
          <w:u w:val="single"/>
          <w:lang w:eastAsia="bg-BG"/>
        </w:rPr>
        <w:t>Кърмене</w:t>
      </w:r>
    </w:p>
    <w:p w14:paraId="14B6E428" w14:textId="77777777"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Проучвания при плъхове показват, че монтелукаст се екскретира в млякото (вж. точка 5.3). Не е известно дали монтелукаст/метаболитите се екскретират в кърмата.</w:t>
      </w:r>
    </w:p>
    <w:p w14:paraId="26F9060F" w14:textId="77777777" w:rsidR="008A5105" w:rsidRPr="008F2D7E" w:rsidRDefault="008A5105" w:rsidP="008A5105">
      <w:pPr>
        <w:spacing w:line="240" w:lineRule="auto"/>
        <w:rPr>
          <w:rFonts w:eastAsia="Times New Roman" w:cs="Arial"/>
          <w:color w:val="000000"/>
          <w:lang w:eastAsia="bg-BG"/>
        </w:rPr>
      </w:pPr>
    </w:p>
    <w:p w14:paraId="475B7FF0" w14:textId="05D712CD" w:rsidR="008A5105" w:rsidRPr="008A5105" w:rsidRDefault="008A5105" w:rsidP="008A5105">
      <w:pPr>
        <w:spacing w:line="240" w:lineRule="auto"/>
        <w:rPr>
          <w:rFonts w:eastAsia="Times New Roman" w:cs="Arial"/>
          <w:sz w:val="24"/>
          <w:szCs w:val="24"/>
        </w:rPr>
      </w:pPr>
      <w:r w:rsidRPr="008A5105">
        <w:rPr>
          <w:rFonts w:eastAsia="Times New Roman" w:cs="Arial"/>
          <w:color w:val="000000"/>
          <w:lang w:eastAsia="bg-BG"/>
        </w:rPr>
        <w:t>Сингулар може да бъде използван от кърмещи майки само ако е несъмнено наложително.</w:t>
      </w:r>
    </w:p>
    <w:p w14:paraId="59C1EAB3" w14:textId="77777777" w:rsidR="008A5105" w:rsidRPr="008A5105" w:rsidRDefault="008A5105" w:rsidP="008A5105"/>
    <w:p w14:paraId="128BA3A8" w14:textId="2B7965BD" w:rsidR="00DB32D3" w:rsidRDefault="002C50EE" w:rsidP="005726E3">
      <w:pPr>
        <w:pStyle w:val="Heading2"/>
      </w:pPr>
      <w:r>
        <w:t>4.7. Ефекти върху способността за шофиране и работа с машини</w:t>
      </w:r>
    </w:p>
    <w:p w14:paraId="6B40D8ED" w14:textId="31CEF110" w:rsidR="008F2D7E" w:rsidRDefault="008F2D7E" w:rsidP="008F2D7E"/>
    <w:p w14:paraId="05B28064" w14:textId="77777777" w:rsidR="008F2D7E" w:rsidRPr="008F2D7E" w:rsidRDefault="008F2D7E" w:rsidP="008F2D7E">
      <w:pPr>
        <w:rPr>
          <w:sz w:val="24"/>
          <w:szCs w:val="24"/>
        </w:rPr>
      </w:pPr>
      <w:r w:rsidRPr="008F2D7E">
        <w:rPr>
          <w:lang w:eastAsia="bg-BG"/>
        </w:rPr>
        <w:t>Сингулар не повлиява или повлиява пренебрежимо способността за шофиране и работа с</w:t>
      </w:r>
      <w:r w:rsidRPr="008F2D7E">
        <w:rPr>
          <w:vertAlign w:val="superscript"/>
          <w:lang w:eastAsia="bg-BG"/>
        </w:rPr>
        <w:t xml:space="preserve"> </w:t>
      </w:r>
      <w:r w:rsidRPr="008F2D7E">
        <w:rPr>
          <w:lang w:eastAsia="bg-BG"/>
        </w:rPr>
        <w:t>машини. Въпреки това, отделни индивиди са съобщавали за сънливост или замаяност.</w:t>
      </w:r>
    </w:p>
    <w:p w14:paraId="6B02BB1E" w14:textId="77777777" w:rsidR="008F2D7E" w:rsidRPr="008F2D7E" w:rsidRDefault="008F2D7E" w:rsidP="008F2D7E"/>
    <w:p w14:paraId="44CE30A3" w14:textId="2BF4282A" w:rsidR="007122AD" w:rsidRDefault="002C50EE" w:rsidP="00936AD0">
      <w:pPr>
        <w:pStyle w:val="Heading2"/>
      </w:pPr>
      <w:r>
        <w:t>4.8. Нежелани лекарствени реакции</w:t>
      </w:r>
    </w:p>
    <w:p w14:paraId="50B590B3" w14:textId="607CFAC4" w:rsidR="008F2D7E" w:rsidRDefault="008F2D7E" w:rsidP="008F2D7E"/>
    <w:p w14:paraId="7C0F8564" w14:textId="77777777" w:rsidR="008F2D7E" w:rsidRPr="008F2D7E" w:rsidRDefault="008F2D7E" w:rsidP="008F2D7E">
      <w:pPr>
        <w:spacing w:line="240" w:lineRule="auto"/>
        <w:rPr>
          <w:rFonts w:eastAsia="Times New Roman" w:cs="Arial"/>
          <w:sz w:val="24"/>
          <w:szCs w:val="24"/>
        </w:rPr>
      </w:pPr>
      <w:r w:rsidRPr="008F2D7E">
        <w:rPr>
          <w:rFonts w:eastAsia="Times New Roman" w:cs="Arial"/>
          <w:color w:val="000000"/>
          <w:lang w:eastAsia="bg-BG"/>
        </w:rPr>
        <w:t>Монтелукаст е оценяван в клинични проучвания при пациенти с персистираща астма както следва:</w:t>
      </w:r>
    </w:p>
    <w:p w14:paraId="2E3DB9E4" w14:textId="77777777" w:rsidR="008F2D7E" w:rsidRPr="008F2D7E" w:rsidRDefault="008F2D7E" w:rsidP="008F2D7E">
      <w:pPr>
        <w:pStyle w:val="ListParagraph"/>
        <w:numPr>
          <w:ilvl w:val="0"/>
          <w:numId w:val="37"/>
        </w:numPr>
        <w:spacing w:line="240" w:lineRule="auto"/>
        <w:rPr>
          <w:rFonts w:eastAsia="Times New Roman" w:cs="Arial"/>
          <w:color w:val="000000"/>
          <w:lang w:eastAsia="bg-BG"/>
        </w:rPr>
      </w:pPr>
      <w:r w:rsidRPr="008F2D7E">
        <w:rPr>
          <w:rFonts w:eastAsia="Times New Roman" w:cs="Arial"/>
          <w:color w:val="000000"/>
          <w:lang w:eastAsia="bg-BG"/>
        </w:rPr>
        <w:t xml:space="preserve">10 </w:t>
      </w:r>
      <w:r w:rsidRPr="008F2D7E">
        <w:rPr>
          <w:rFonts w:eastAsia="Times New Roman" w:cs="Arial"/>
          <w:color w:val="000000"/>
          <w:lang w:val="en-US"/>
        </w:rPr>
        <w:t>mg</w:t>
      </w:r>
      <w:r w:rsidRPr="008F2D7E">
        <w:rPr>
          <w:rFonts w:eastAsia="Times New Roman" w:cs="Arial"/>
          <w:color w:val="000000"/>
          <w:lang w:val="ru-RU"/>
        </w:rPr>
        <w:t xml:space="preserve"> </w:t>
      </w:r>
      <w:r w:rsidRPr="008F2D7E">
        <w:rPr>
          <w:rFonts w:eastAsia="Times New Roman" w:cs="Arial"/>
          <w:color w:val="000000"/>
          <w:lang w:eastAsia="bg-BG"/>
        </w:rPr>
        <w:t>филмирани таблетки при приблизително 4,000 възрастни пациенти и юноши на 15 и повече години</w:t>
      </w:r>
    </w:p>
    <w:p w14:paraId="218C1AEB" w14:textId="77777777" w:rsidR="008F2D7E" w:rsidRPr="008F2D7E" w:rsidRDefault="008F2D7E" w:rsidP="008F2D7E">
      <w:pPr>
        <w:pStyle w:val="ListParagraph"/>
        <w:numPr>
          <w:ilvl w:val="0"/>
          <w:numId w:val="37"/>
        </w:numPr>
        <w:spacing w:line="240" w:lineRule="auto"/>
        <w:rPr>
          <w:rFonts w:eastAsia="Times New Roman" w:cs="Arial"/>
          <w:color w:val="000000"/>
          <w:lang w:eastAsia="bg-BG"/>
        </w:rPr>
      </w:pPr>
      <w:r w:rsidRPr="008F2D7E">
        <w:rPr>
          <w:rFonts w:eastAsia="Times New Roman" w:cs="Arial"/>
          <w:color w:val="000000"/>
          <w:lang w:eastAsia="bg-BG"/>
        </w:rPr>
        <w:t xml:space="preserve">5 </w:t>
      </w:r>
      <w:r w:rsidRPr="008F2D7E">
        <w:rPr>
          <w:rFonts w:eastAsia="Times New Roman" w:cs="Arial"/>
          <w:color w:val="000000"/>
          <w:lang w:val="en-US"/>
        </w:rPr>
        <w:t>mg</w:t>
      </w:r>
      <w:r w:rsidRPr="008F2D7E">
        <w:rPr>
          <w:rFonts w:eastAsia="Times New Roman" w:cs="Arial"/>
          <w:color w:val="000000"/>
          <w:lang w:val="ru-RU"/>
        </w:rPr>
        <w:t xml:space="preserve"> </w:t>
      </w:r>
      <w:r w:rsidRPr="008F2D7E">
        <w:rPr>
          <w:rFonts w:eastAsia="Times New Roman" w:cs="Arial"/>
          <w:color w:val="000000"/>
          <w:lang w:eastAsia="bg-BG"/>
        </w:rPr>
        <w:t>таблетки за дъвчене при приблизително 1,750 педиатрични пациенти на възраст от</w:t>
      </w:r>
      <w:r w:rsidRPr="008F2D7E">
        <w:rPr>
          <w:rFonts w:eastAsia="Times New Roman" w:cs="Arial"/>
          <w:color w:val="000000"/>
          <w:lang w:val="ru-RU" w:eastAsia="bg-BG"/>
        </w:rPr>
        <w:t xml:space="preserve"> </w:t>
      </w:r>
      <w:r w:rsidRPr="008F2D7E">
        <w:rPr>
          <w:rFonts w:eastAsia="Times New Roman" w:cs="Arial"/>
          <w:color w:val="000000"/>
          <w:lang w:eastAsia="bg-BG"/>
        </w:rPr>
        <w:t>6 до 14 години</w:t>
      </w:r>
    </w:p>
    <w:p w14:paraId="3DCFAC46" w14:textId="77777777" w:rsidR="008F2D7E" w:rsidRPr="008F2D7E" w:rsidRDefault="008F2D7E" w:rsidP="008F2D7E">
      <w:pPr>
        <w:pStyle w:val="ListParagraph"/>
        <w:numPr>
          <w:ilvl w:val="0"/>
          <w:numId w:val="37"/>
        </w:numPr>
        <w:spacing w:line="240" w:lineRule="auto"/>
        <w:rPr>
          <w:rFonts w:eastAsia="Times New Roman" w:cs="Arial"/>
          <w:color w:val="000000"/>
          <w:lang w:eastAsia="bg-BG"/>
        </w:rPr>
      </w:pPr>
      <w:r w:rsidRPr="008F2D7E">
        <w:rPr>
          <w:rFonts w:eastAsia="Times New Roman" w:cs="Arial"/>
          <w:color w:val="000000"/>
          <w:lang w:eastAsia="bg-BG"/>
        </w:rPr>
        <w:t xml:space="preserve">4 </w:t>
      </w:r>
      <w:r w:rsidRPr="008F2D7E">
        <w:rPr>
          <w:rFonts w:eastAsia="Times New Roman" w:cs="Arial"/>
          <w:color w:val="000000"/>
          <w:lang w:val="en-US"/>
        </w:rPr>
        <w:t>mg</w:t>
      </w:r>
      <w:r w:rsidRPr="008F2D7E">
        <w:rPr>
          <w:rFonts w:eastAsia="Times New Roman" w:cs="Arial"/>
          <w:color w:val="000000"/>
          <w:lang w:val="ru-RU"/>
        </w:rPr>
        <w:t xml:space="preserve"> </w:t>
      </w:r>
      <w:r w:rsidRPr="008F2D7E">
        <w:rPr>
          <w:rFonts w:eastAsia="Times New Roman" w:cs="Arial"/>
          <w:color w:val="000000"/>
          <w:lang w:eastAsia="bg-BG"/>
        </w:rPr>
        <w:t>таблетки за дъвчене при 851 педиатрични пациенти на възраст от 2 до 5 години и</w:t>
      </w:r>
    </w:p>
    <w:p w14:paraId="733CAB1C" w14:textId="3E6EDAE1" w:rsidR="008F2D7E" w:rsidRPr="008F2D7E" w:rsidRDefault="008F2D7E" w:rsidP="008F2D7E">
      <w:pPr>
        <w:pStyle w:val="ListParagraph"/>
        <w:numPr>
          <w:ilvl w:val="0"/>
          <w:numId w:val="37"/>
        </w:numPr>
        <w:spacing w:line="240" w:lineRule="auto"/>
        <w:rPr>
          <w:rFonts w:eastAsia="Times New Roman" w:cs="Arial"/>
          <w:color w:val="000000"/>
          <w:lang w:eastAsia="bg-BG"/>
        </w:rPr>
      </w:pPr>
      <w:r w:rsidRPr="008F2D7E">
        <w:rPr>
          <w:rFonts w:eastAsia="Times New Roman" w:cs="Arial"/>
          <w:color w:val="000000"/>
          <w:lang w:eastAsia="bg-BG"/>
        </w:rPr>
        <w:t xml:space="preserve">4 </w:t>
      </w:r>
      <w:r w:rsidRPr="008F2D7E">
        <w:rPr>
          <w:rFonts w:eastAsia="Times New Roman" w:cs="Arial"/>
          <w:color w:val="000000"/>
          <w:lang w:val="en-US"/>
        </w:rPr>
        <w:t>mg</w:t>
      </w:r>
      <w:r w:rsidRPr="008F2D7E">
        <w:rPr>
          <w:rFonts w:eastAsia="Times New Roman" w:cs="Arial"/>
          <w:color w:val="000000"/>
          <w:lang w:val="ru-RU"/>
        </w:rPr>
        <w:t xml:space="preserve"> </w:t>
      </w:r>
      <w:r w:rsidRPr="008F2D7E">
        <w:rPr>
          <w:rFonts w:eastAsia="Times New Roman" w:cs="Arial"/>
          <w:color w:val="000000"/>
          <w:lang w:eastAsia="bg-BG"/>
        </w:rPr>
        <w:t>гранули при 175 педиатрични пациенти на възраст от 6 месеца до 2 години</w:t>
      </w:r>
    </w:p>
    <w:p w14:paraId="193ABC15" w14:textId="77777777" w:rsidR="008F2D7E" w:rsidRPr="008F2D7E" w:rsidRDefault="008F2D7E" w:rsidP="008F2D7E">
      <w:pPr>
        <w:spacing w:line="240" w:lineRule="auto"/>
        <w:rPr>
          <w:rFonts w:eastAsia="Times New Roman" w:cs="Arial"/>
          <w:color w:val="000000"/>
          <w:lang w:eastAsia="bg-BG"/>
        </w:rPr>
      </w:pPr>
    </w:p>
    <w:p w14:paraId="797D37F8" w14:textId="6310DEA8" w:rsidR="008F2D7E" w:rsidRPr="008F2D7E" w:rsidRDefault="008F2D7E" w:rsidP="008F2D7E">
      <w:pPr>
        <w:spacing w:line="240" w:lineRule="auto"/>
        <w:rPr>
          <w:rFonts w:eastAsia="Times New Roman" w:cs="Arial"/>
          <w:sz w:val="24"/>
          <w:szCs w:val="24"/>
        </w:rPr>
      </w:pPr>
      <w:r w:rsidRPr="008F2D7E">
        <w:rPr>
          <w:rFonts w:eastAsia="Times New Roman" w:cs="Arial"/>
          <w:color w:val="000000"/>
          <w:lang w:eastAsia="bg-BG"/>
        </w:rPr>
        <w:t>Монтелукаст е оценяван в клинични проучвания при пациенти с интермитентна астма както следва:</w:t>
      </w:r>
    </w:p>
    <w:p w14:paraId="4DAF1863" w14:textId="0C6F91DE" w:rsidR="008F2D7E" w:rsidRPr="008F2D7E" w:rsidRDefault="008F2D7E" w:rsidP="008F2D7E">
      <w:pPr>
        <w:pStyle w:val="ListParagraph"/>
        <w:numPr>
          <w:ilvl w:val="0"/>
          <w:numId w:val="38"/>
        </w:numPr>
        <w:spacing w:line="240" w:lineRule="auto"/>
        <w:rPr>
          <w:rFonts w:eastAsia="Times New Roman" w:cs="Arial"/>
          <w:color w:val="000000"/>
          <w:lang w:eastAsia="bg-BG"/>
        </w:rPr>
      </w:pPr>
      <w:r w:rsidRPr="008F2D7E">
        <w:rPr>
          <w:rFonts w:eastAsia="Times New Roman" w:cs="Arial"/>
          <w:color w:val="000000"/>
          <w:lang w:eastAsia="bg-BG"/>
        </w:rPr>
        <w:lastRenderedPageBreak/>
        <w:t xml:space="preserve">4 </w:t>
      </w:r>
      <w:r w:rsidRPr="008F2D7E">
        <w:rPr>
          <w:rFonts w:eastAsia="Times New Roman" w:cs="Arial"/>
          <w:color w:val="000000"/>
          <w:lang w:val="en-US"/>
        </w:rPr>
        <w:t>mg</w:t>
      </w:r>
      <w:r w:rsidRPr="008F2D7E">
        <w:rPr>
          <w:rFonts w:eastAsia="Times New Roman" w:cs="Arial"/>
          <w:color w:val="000000"/>
          <w:lang w:val="ru-RU"/>
        </w:rPr>
        <w:t xml:space="preserve"> </w:t>
      </w:r>
      <w:r w:rsidRPr="008F2D7E">
        <w:rPr>
          <w:rFonts w:eastAsia="Times New Roman" w:cs="Arial"/>
          <w:color w:val="000000"/>
          <w:lang w:eastAsia="bg-BG"/>
        </w:rPr>
        <w:t>гранули и таблетки за дъвчене при 1,038 педиатрични пациенти на възраст от</w:t>
      </w:r>
      <w:r w:rsidRPr="008F2D7E">
        <w:rPr>
          <w:rFonts w:eastAsia="Times New Roman" w:cs="Arial"/>
          <w:color w:val="000000"/>
          <w:lang w:val="ru-RU" w:eastAsia="bg-BG"/>
        </w:rPr>
        <w:t xml:space="preserve"> </w:t>
      </w:r>
      <w:r w:rsidRPr="008F2D7E">
        <w:rPr>
          <w:rFonts w:eastAsia="Times New Roman" w:cs="Arial"/>
          <w:color w:val="000000"/>
          <w:lang w:eastAsia="bg-BG"/>
        </w:rPr>
        <w:t>6 месеца до 5 години</w:t>
      </w:r>
    </w:p>
    <w:p w14:paraId="51477D9B" w14:textId="77777777" w:rsidR="008F2D7E" w:rsidRPr="008F2D7E" w:rsidRDefault="008F2D7E" w:rsidP="008F2D7E">
      <w:pPr>
        <w:spacing w:line="240" w:lineRule="auto"/>
        <w:rPr>
          <w:rFonts w:ascii="Times New Roman" w:eastAsia="Times New Roman" w:hAnsi="Times New Roman" w:cs="Times New Roman"/>
          <w:sz w:val="24"/>
          <w:szCs w:val="24"/>
        </w:rPr>
      </w:pPr>
      <w:r w:rsidRPr="008F2D7E">
        <w:rPr>
          <w:rFonts w:eastAsia="Times New Roman" w:cs="Arial"/>
          <w:color w:val="000000"/>
          <w:lang w:eastAsia="bg-BG"/>
        </w:rPr>
        <w:t>Следните лекарство-свързани нежелани реакции са докладвани в клиничните изпитвания често (≥1/100, &lt; 1/10) при пациенти лекувани с монтелукаст и с по-голяма честота отколкото при пациентите лекувани с плацебо:</w:t>
      </w:r>
    </w:p>
    <w:p w14:paraId="35AD25F1" w14:textId="74293952" w:rsidR="008F2D7E" w:rsidRDefault="008F2D7E" w:rsidP="008F2D7E"/>
    <w:tbl>
      <w:tblPr>
        <w:tblStyle w:val="TableGrid"/>
        <w:tblW w:w="0" w:type="auto"/>
        <w:tblLook w:val="04A0" w:firstRow="1" w:lastRow="0" w:firstColumn="1" w:lastColumn="0" w:noHBand="0" w:noVBand="1"/>
      </w:tblPr>
      <w:tblGrid>
        <w:gridCol w:w="1927"/>
        <w:gridCol w:w="1839"/>
        <w:gridCol w:w="1861"/>
        <w:gridCol w:w="1861"/>
        <w:gridCol w:w="1862"/>
      </w:tblGrid>
      <w:tr w:rsidR="008F2D7E" w14:paraId="43347C16" w14:textId="77777777" w:rsidTr="008F2D7E">
        <w:tc>
          <w:tcPr>
            <w:tcW w:w="1915" w:type="dxa"/>
          </w:tcPr>
          <w:p w14:paraId="76008F39" w14:textId="6397B2C8" w:rsidR="008F2D7E" w:rsidRDefault="008F2D7E" w:rsidP="008F2D7E">
            <w:r>
              <w:rPr>
                <w:b/>
                <w:bCs/>
              </w:rPr>
              <w:t>Системо- органен клас</w:t>
            </w:r>
          </w:p>
        </w:tc>
        <w:tc>
          <w:tcPr>
            <w:tcW w:w="1915" w:type="dxa"/>
          </w:tcPr>
          <w:p w14:paraId="0E836C3B" w14:textId="4DB29778" w:rsidR="008F2D7E" w:rsidRDefault="008F2D7E" w:rsidP="008F2D7E">
            <w:r>
              <w:rPr>
                <w:b/>
                <w:bCs/>
              </w:rPr>
              <w:t xml:space="preserve">Възрастни и юноши на 15 и повече години (две 12-седмични изпитвания; </w:t>
            </w:r>
            <w:r>
              <w:rPr>
                <w:b/>
                <w:bCs/>
                <w:lang w:val="en-US"/>
              </w:rPr>
              <w:t>n</w:t>
            </w:r>
            <w:r>
              <w:rPr>
                <w:b/>
                <w:bCs/>
              </w:rPr>
              <w:t>=795)</w:t>
            </w:r>
          </w:p>
        </w:tc>
        <w:tc>
          <w:tcPr>
            <w:tcW w:w="1915" w:type="dxa"/>
          </w:tcPr>
          <w:p w14:paraId="62DBDAD7" w14:textId="5769B740" w:rsidR="008F2D7E" w:rsidRDefault="008F2D7E" w:rsidP="008F2D7E">
            <w:r>
              <w:rPr>
                <w:b/>
                <w:bCs/>
              </w:rPr>
              <w:t xml:space="preserve">Педиатрични пациенти От 6 до 14 години (едно 8-седмично изпитване </w:t>
            </w:r>
            <w:r>
              <w:rPr>
                <w:b/>
                <w:bCs/>
                <w:lang w:val="en-US"/>
              </w:rPr>
              <w:t>n</w:t>
            </w:r>
            <w:r>
              <w:rPr>
                <w:b/>
                <w:bCs/>
              </w:rPr>
              <w:t xml:space="preserve">=201) (две 5б-седмични изпитвания; </w:t>
            </w:r>
            <w:r>
              <w:rPr>
                <w:b/>
                <w:bCs/>
                <w:lang w:val="en-US"/>
              </w:rPr>
              <w:t>n</w:t>
            </w:r>
            <w:r>
              <w:rPr>
                <w:b/>
                <w:bCs/>
              </w:rPr>
              <w:t>=615)</w:t>
            </w:r>
          </w:p>
        </w:tc>
        <w:tc>
          <w:tcPr>
            <w:tcW w:w="1915" w:type="dxa"/>
          </w:tcPr>
          <w:p w14:paraId="276747EB" w14:textId="0DA7F83B" w:rsidR="008F2D7E" w:rsidRDefault="008F2D7E" w:rsidP="008F2D7E">
            <w:r>
              <w:rPr>
                <w:b/>
                <w:bCs/>
              </w:rPr>
              <w:t xml:space="preserve">Педиатрични пациенти От 2 до 5 години (едно 12-седмично изпитване </w:t>
            </w:r>
            <w:r>
              <w:rPr>
                <w:b/>
                <w:bCs/>
                <w:lang w:val="en-US"/>
              </w:rPr>
              <w:t>n</w:t>
            </w:r>
            <w:r>
              <w:rPr>
                <w:b/>
                <w:bCs/>
              </w:rPr>
              <w:t xml:space="preserve">=461) (едно 48-седмично изпитване </w:t>
            </w:r>
            <w:r>
              <w:rPr>
                <w:b/>
                <w:bCs/>
                <w:lang w:val="en-US"/>
              </w:rPr>
              <w:t>n</w:t>
            </w:r>
            <w:r>
              <w:rPr>
                <w:b/>
                <w:bCs/>
              </w:rPr>
              <w:t>=278)</w:t>
            </w:r>
          </w:p>
        </w:tc>
        <w:tc>
          <w:tcPr>
            <w:tcW w:w="1916" w:type="dxa"/>
          </w:tcPr>
          <w:p w14:paraId="403EC5BB" w14:textId="7FEAAB13" w:rsidR="008F2D7E" w:rsidRDefault="008F2D7E" w:rsidP="008F2D7E">
            <w:r>
              <w:rPr>
                <w:b/>
                <w:bCs/>
              </w:rPr>
              <w:t xml:space="preserve">Педиатрични пациенти От 6 месеца до 2 години (едно б-седмнчно изпитване </w:t>
            </w:r>
            <w:r>
              <w:rPr>
                <w:b/>
                <w:bCs/>
                <w:lang w:val="en-US"/>
              </w:rPr>
              <w:t>n</w:t>
            </w:r>
            <w:r>
              <w:rPr>
                <w:b/>
                <w:bCs/>
              </w:rPr>
              <w:t>=175)</w:t>
            </w:r>
          </w:p>
        </w:tc>
      </w:tr>
      <w:tr w:rsidR="008F2D7E" w14:paraId="4FAE42E7" w14:textId="77777777" w:rsidTr="008F2D7E">
        <w:tc>
          <w:tcPr>
            <w:tcW w:w="1915" w:type="dxa"/>
          </w:tcPr>
          <w:p w14:paraId="4F893A13" w14:textId="68B1E838" w:rsidR="008F2D7E" w:rsidRDefault="008F2D7E" w:rsidP="008F2D7E">
            <w:r>
              <w:rPr>
                <w:b/>
                <w:bCs/>
              </w:rPr>
              <w:t>Нарушения на нервната система</w:t>
            </w:r>
          </w:p>
        </w:tc>
        <w:tc>
          <w:tcPr>
            <w:tcW w:w="1915" w:type="dxa"/>
          </w:tcPr>
          <w:p w14:paraId="5E85BBD3" w14:textId="0C2690FA" w:rsidR="008F2D7E" w:rsidRDefault="008F2D7E" w:rsidP="008F2D7E">
            <w:r>
              <w:t>главоболие</w:t>
            </w:r>
          </w:p>
        </w:tc>
        <w:tc>
          <w:tcPr>
            <w:tcW w:w="1915" w:type="dxa"/>
          </w:tcPr>
          <w:p w14:paraId="4B836E16" w14:textId="3E947820" w:rsidR="008F2D7E" w:rsidRDefault="008F2D7E" w:rsidP="008F2D7E">
            <w:r>
              <w:t>главоболие</w:t>
            </w:r>
          </w:p>
        </w:tc>
        <w:tc>
          <w:tcPr>
            <w:tcW w:w="1915" w:type="dxa"/>
          </w:tcPr>
          <w:p w14:paraId="0C231311" w14:textId="77777777" w:rsidR="008F2D7E" w:rsidRDefault="008F2D7E" w:rsidP="008F2D7E"/>
        </w:tc>
        <w:tc>
          <w:tcPr>
            <w:tcW w:w="1916" w:type="dxa"/>
          </w:tcPr>
          <w:p w14:paraId="389F3B2F" w14:textId="60D12B08" w:rsidR="008F2D7E" w:rsidRDefault="008F2D7E" w:rsidP="008F2D7E">
            <w:r>
              <w:t>хиперкинезия</w:t>
            </w:r>
          </w:p>
        </w:tc>
      </w:tr>
      <w:tr w:rsidR="008F2D7E" w14:paraId="7A120154" w14:textId="77777777" w:rsidTr="008F2D7E">
        <w:tc>
          <w:tcPr>
            <w:tcW w:w="1915" w:type="dxa"/>
          </w:tcPr>
          <w:p w14:paraId="6B498709" w14:textId="536CAFB7" w:rsidR="008F2D7E" w:rsidRDefault="008F2D7E" w:rsidP="008F2D7E">
            <w:r>
              <w:rPr>
                <w:b/>
                <w:bCs/>
              </w:rPr>
              <w:t>Респираторни, гръдни и медиастинални нарушения</w:t>
            </w:r>
          </w:p>
        </w:tc>
        <w:tc>
          <w:tcPr>
            <w:tcW w:w="1915" w:type="dxa"/>
          </w:tcPr>
          <w:p w14:paraId="7ECE4C6B" w14:textId="77777777" w:rsidR="008F2D7E" w:rsidRDefault="008F2D7E" w:rsidP="008F2D7E"/>
        </w:tc>
        <w:tc>
          <w:tcPr>
            <w:tcW w:w="1915" w:type="dxa"/>
          </w:tcPr>
          <w:p w14:paraId="4B56914B" w14:textId="77777777" w:rsidR="008F2D7E" w:rsidRDefault="008F2D7E" w:rsidP="008F2D7E"/>
        </w:tc>
        <w:tc>
          <w:tcPr>
            <w:tcW w:w="1915" w:type="dxa"/>
          </w:tcPr>
          <w:p w14:paraId="5310BDCA" w14:textId="77777777" w:rsidR="008F2D7E" w:rsidRDefault="008F2D7E" w:rsidP="008F2D7E"/>
        </w:tc>
        <w:tc>
          <w:tcPr>
            <w:tcW w:w="1916" w:type="dxa"/>
          </w:tcPr>
          <w:p w14:paraId="444DDC87" w14:textId="0B9DE935" w:rsidR="008F2D7E" w:rsidRDefault="008F2D7E" w:rsidP="008F2D7E">
            <w:r>
              <w:t>астма</w:t>
            </w:r>
          </w:p>
        </w:tc>
      </w:tr>
      <w:tr w:rsidR="008F2D7E" w14:paraId="28333F3F" w14:textId="77777777" w:rsidTr="008F2D7E">
        <w:tc>
          <w:tcPr>
            <w:tcW w:w="1915" w:type="dxa"/>
          </w:tcPr>
          <w:p w14:paraId="1FC9EF00" w14:textId="4408550B" w:rsidR="008F2D7E" w:rsidRDefault="008F2D7E" w:rsidP="008F2D7E">
            <w:r>
              <w:rPr>
                <w:b/>
                <w:bCs/>
              </w:rPr>
              <w:t>Стомашно- чревни нарушения</w:t>
            </w:r>
          </w:p>
        </w:tc>
        <w:tc>
          <w:tcPr>
            <w:tcW w:w="1915" w:type="dxa"/>
          </w:tcPr>
          <w:p w14:paraId="20E293AA" w14:textId="0EB36915" w:rsidR="008F2D7E" w:rsidRDefault="008F2D7E" w:rsidP="008F2D7E">
            <w:r>
              <w:t>болка в корема</w:t>
            </w:r>
          </w:p>
        </w:tc>
        <w:tc>
          <w:tcPr>
            <w:tcW w:w="1915" w:type="dxa"/>
          </w:tcPr>
          <w:p w14:paraId="2F47B13B" w14:textId="77777777" w:rsidR="008F2D7E" w:rsidRDefault="008F2D7E" w:rsidP="008F2D7E"/>
        </w:tc>
        <w:tc>
          <w:tcPr>
            <w:tcW w:w="1915" w:type="dxa"/>
          </w:tcPr>
          <w:p w14:paraId="6C67016B" w14:textId="13D2F531" w:rsidR="008F2D7E" w:rsidRDefault="008F2D7E" w:rsidP="008F2D7E">
            <w:r>
              <w:t>болка в корема</w:t>
            </w:r>
          </w:p>
        </w:tc>
        <w:tc>
          <w:tcPr>
            <w:tcW w:w="1916" w:type="dxa"/>
          </w:tcPr>
          <w:p w14:paraId="46AE4FAB" w14:textId="1F1512DF" w:rsidR="008F2D7E" w:rsidRDefault="008F2D7E" w:rsidP="008F2D7E">
            <w:r>
              <w:t>диария</w:t>
            </w:r>
          </w:p>
        </w:tc>
      </w:tr>
      <w:tr w:rsidR="008F2D7E" w14:paraId="60EF71F4" w14:textId="77777777" w:rsidTr="008F2D7E">
        <w:tc>
          <w:tcPr>
            <w:tcW w:w="1915" w:type="dxa"/>
          </w:tcPr>
          <w:p w14:paraId="510E0B7C" w14:textId="0681C617" w:rsidR="008F2D7E" w:rsidRDefault="008F2D7E" w:rsidP="008F2D7E">
            <w:r>
              <w:rPr>
                <w:b/>
                <w:bCs/>
              </w:rPr>
              <w:t>Нарушения на кожата и подкожната тъкан</w:t>
            </w:r>
          </w:p>
        </w:tc>
        <w:tc>
          <w:tcPr>
            <w:tcW w:w="1915" w:type="dxa"/>
          </w:tcPr>
          <w:p w14:paraId="22DB6559" w14:textId="77777777" w:rsidR="008F2D7E" w:rsidRDefault="008F2D7E" w:rsidP="008F2D7E"/>
        </w:tc>
        <w:tc>
          <w:tcPr>
            <w:tcW w:w="1915" w:type="dxa"/>
          </w:tcPr>
          <w:p w14:paraId="55CBBDE1" w14:textId="77777777" w:rsidR="008F2D7E" w:rsidRDefault="008F2D7E" w:rsidP="008F2D7E"/>
        </w:tc>
        <w:tc>
          <w:tcPr>
            <w:tcW w:w="1915" w:type="dxa"/>
          </w:tcPr>
          <w:p w14:paraId="04404393" w14:textId="77777777" w:rsidR="008F2D7E" w:rsidRDefault="008F2D7E" w:rsidP="008F2D7E"/>
        </w:tc>
        <w:tc>
          <w:tcPr>
            <w:tcW w:w="1916" w:type="dxa"/>
          </w:tcPr>
          <w:p w14:paraId="306D01EB" w14:textId="3B990200" w:rsidR="008F2D7E" w:rsidRDefault="008F2D7E" w:rsidP="008F2D7E">
            <w:r>
              <w:t>екзематозен дерматит, обрив</w:t>
            </w:r>
          </w:p>
        </w:tc>
      </w:tr>
      <w:tr w:rsidR="008F2D7E" w14:paraId="00DC333F" w14:textId="77777777" w:rsidTr="008F2D7E">
        <w:tc>
          <w:tcPr>
            <w:tcW w:w="1915" w:type="dxa"/>
          </w:tcPr>
          <w:p w14:paraId="5CF398D2" w14:textId="77EE82D4" w:rsidR="008F2D7E" w:rsidRDefault="008F2D7E" w:rsidP="008F2D7E">
            <w:r>
              <w:rPr>
                <w:b/>
                <w:bCs/>
              </w:rPr>
              <w:t>Общи нарушения и ефекти на мястото на приложение</w:t>
            </w:r>
          </w:p>
        </w:tc>
        <w:tc>
          <w:tcPr>
            <w:tcW w:w="1915" w:type="dxa"/>
          </w:tcPr>
          <w:p w14:paraId="083AA1CF" w14:textId="77777777" w:rsidR="008F2D7E" w:rsidRDefault="008F2D7E" w:rsidP="008F2D7E"/>
        </w:tc>
        <w:tc>
          <w:tcPr>
            <w:tcW w:w="1915" w:type="dxa"/>
          </w:tcPr>
          <w:p w14:paraId="4C5E3CCB" w14:textId="77777777" w:rsidR="008F2D7E" w:rsidRDefault="008F2D7E" w:rsidP="008F2D7E"/>
        </w:tc>
        <w:tc>
          <w:tcPr>
            <w:tcW w:w="1915" w:type="dxa"/>
          </w:tcPr>
          <w:p w14:paraId="564F133C" w14:textId="141DEE23" w:rsidR="008F2D7E" w:rsidRDefault="008F2D7E" w:rsidP="008F2D7E">
            <w:r>
              <w:t>жажда</w:t>
            </w:r>
          </w:p>
        </w:tc>
        <w:tc>
          <w:tcPr>
            <w:tcW w:w="1916" w:type="dxa"/>
          </w:tcPr>
          <w:p w14:paraId="32A1B652" w14:textId="77777777" w:rsidR="008F2D7E" w:rsidRDefault="008F2D7E" w:rsidP="008F2D7E"/>
        </w:tc>
      </w:tr>
    </w:tbl>
    <w:p w14:paraId="6C88F3AD" w14:textId="5B457693" w:rsidR="008F2D7E" w:rsidRDefault="008F2D7E" w:rsidP="008F2D7E"/>
    <w:p w14:paraId="12E2D8A5" w14:textId="4CBA6DFA" w:rsidR="008F2D7E" w:rsidRPr="008F2D7E" w:rsidRDefault="008F2D7E" w:rsidP="008F2D7E">
      <w:pPr>
        <w:rPr>
          <w:rFonts w:cs="Arial"/>
        </w:rPr>
      </w:pPr>
      <w:r w:rsidRPr="008F2D7E">
        <w:rPr>
          <w:rFonts w:cs="Arial"/>
        </w:rPr>
        <w:t>При продължително лечение в клиничните изпитвания с ограничен брой пациенти за период до 2 години при възрастни и за период до 12 месеца при деца от 6 до 14 годишна възраст, профилът на безопасност не се е променил.</w:t>
      </w:r>
    </w:p>
    <w:p w14:paraId="2719EE62" w14:textId="28DAE1EC" w:rsidR="008F2D7E" w:rsidRPr="008F2D7E" w:rsidRDefault="008F2D7E" w:rsidP="008F2D7E">
      <w:pPr>
        <w:rPr>
          <w:rFonts w:cs="Arial"/>
        </w:rPr>
      </w:pPr>
    </w:p>
    <w:p w14:paraId="0A25B7A5" w14:textId="77777777" w:rsidR="008F2D7E" w:rsidRPr="008F2D7E" w:rsidRDefault="008F2D7E" w:rsidP="008F2D7E">
      <w:pPr>
        <w:spacing w:line="240" w:lineRule="auto"/>
        <w:rPr>
          <w:rFonts w:eastAsia="Times New Roman" w:cs="Arial"/>
          <w:sz w:val="24"/>
          <w:szCs w:val="24"/>
        </w:rPr>
      </w:pPr>
      <w:r w:rsidRPr="008F2D7E">
        <w:rPr>
          <w:rFonts w:eastAsia="Times New Roman" w:cs="Arial"/>
          <w:color w:val="000000"/>
          <w:lang w:eastAsia="bg-BG"/>
        </w:rPr>
        <w:t>Обобщено, 502 педиатрични пациенти на възраст от 2 до 5 години са лекувани с монтелукаст за най-малко 3 месеца, 338 за 6 месеца или повече и 534 пациента за 12 месеца или повече. При продължително лечение, профилът на безопасност също не се е променил при тези пациенти.</w:t>
      </w:r>
    </w:p>
    <w:p w14:paraId="6402EC76" w14:textId="77777777" w:rsidR="008F2D7E" w:rsidRPr="008F2D7E" w:rsidRDefault="008F2D7E" w:rsidP="008F2D7E">
      <w:pPr>
        <w:spacing w:line="240" w:lineRule="auto"/>
        <w:rPr>
          <w:rFonts w:eastAsia="Times New Roman" w:cs="Arial"/>
          <w:sz w:val="24"/>
          <w:szCs w:val="24"/>
        </w:rPr>
      </w:pPr>
      <w:r w:rsidRPr="008F2D7E">
        <w:rPr>
          <w:rFonts w:eastAsia="Times New Roman" w:cs="Arial"/>
          <w:color w:val="000000"/>
          <w:lang w:eastAsia="bg-BG"/>
        </w:rPr>
        <w:t>Профилът на безопасност при педиатрични пациента на възраст от 6 месеца до 2 години не се е променил при лечение до 3 месеца.</w:t>
      </w:r>
    </w:p>
    <w:p w14:paraId="230488FB" w14:textId="77777777" w:rsidR="008F2D7E" w:rsidRPr="008F2D7E" w:rsidRDefault="008F2D7E" w:rsidP="008F2D7E">
      <w:pPr>
        <w:spacing w:line="240" w:lineRule="auto"/>
        <w:rPr>
          <w:rFonts w:eastAsia="Times New Roman" w:cs="Arial"/>
          <w:color w:val="000000"/>
          <w:u w:val="single"/>
          <w:lang w:eastAsia="bg-BG"/>
        </w:rPr>
      </w:pPr>
    </w:p>
    <w:p w14:paraId="5F365B8F" w14:textId="561948A3" w:rsidR="008F2D7E" w:rsidRPr="008F2D7E" w:rsidRDefault="008F2D7E" w:rsidP="008F2D7E">
      <w:pPr>
        <w:spacing w:line="240" w:lineRule="auto"/>
        <w:rPr>
          <w:rFonts w:eastAsia="Times New Roman" w:cs="Arial"/>
          <w:sz w:val="24"/>
          <w:szCs w:val="24"/>
        </w:rPr>
      </w:pPr>
      <w:r w:rsidRPr="008F2D7E">
        <w:rPr>
          <w:rFonts w:eastAsia="Times New Roman" w:cs="Arial"/>
          <w:color w:val="000000"/>
          <w:u w:val="single"/>
          <w:lang w:eastAsia="bg-BG"/>
        </w:rPr>
        <w:t>Табличен списък на нежеланите реакции</w:t>
      </w:r>
    </w:p>
    <w:p w14:paraId="43635DFB" w14:textId="77777777" w:rsidR="008F2D7E" w:rsidRPr="008F2D7E" w:rsidRDefault="008F2D7E" w:rsidP="008F2D7E">
      <w:pPr>
        <w:spacing w:line="240" w:lineRule="auto"/>
        <w:rPr>
          <w:rFonts w:eastAsia="Times New Roman" w:cs="Arial"/>
          <w:sz w:val="24"/>
          <w:szCs w:val="24"/>
        </w:rPr>
      </w:pPr>
      <w:r w:rsidRPr="008F2D7E">
        <w:rPr>
          <w:rFonts w:eastAsia="Times New Roman" w:cs="Arial"/>
          <w:color w:val="000000"/>
          <w:lang w:eastAsia="bg-BG"/>
        </w:rPr>
        <w:lastRenderedPageBreak/>
        <w:t>Нежеланите реакции, съобщени по време на постмаркетинговата употреба са изброени в таблицата по-долу според системо-органен клас и специфични нежелани реакции. Категориите на честота са оценени на базата на съответните клинични изпитвания.</w:t>
      </w:r>
    </w:p>
    <w:p w14:paraId="7019D6AD" w14:textId="2350FF4F" w:rsidR="008F2D7E" w:rsidRDefault="00C94BDD" w:rsidP="00C94BDD">
      <w:pPr>
        <w:tabs>
          <w:tab w:val="left" w:pos="1046"/>
        </w:tabs>
      </w:pPr>
      <w:r>
        <w:tab/>
      </w:r>
    </w:p>
    <w:tbl>
      <w:tblPr>
        <w:tblStyle w:val="TableGrid"/>
        <w:tblW w:w="0" w:type="auto"/>
        <w:tblLook w:val="04A0" w:firstRow="1" w:lastRow="0" w:firstColumn="1" w:lastColumn="0" w:noHBand="0" w:noVBand="1"/>
      </w:tblPr>
      <w:tblGrid>
        <w:gridCol w:w="3112"/>
        <w:gridCol w:w="3165"/>
        <w:gridCol w:w="3073"/>
      </w:tblGrid>
      <w:tr w:rsidR="00C94BDD" w14:paraId="64335944" w14:textId="77777777" w:rsidTr="00C94BDD">
        <w:tc>
          <w:tcPr>
            <w:tcW w:w="3192" w:type="dxa"/>
          </w:tcPr>
          <w:p w14:paraId="2DD11CA5" w14:textId="1B2D5903" w:rsidR="00C94BDD" w:rsidRDefault="00C94BDD" w:rsidP="00C94BDD">
            <w:pPr>
              <w:tabs>
                <w:tab w:val="left" w:pos="1046"/>
              </w:tabs>
            </w:pPr>
            <w:r>
              <w:rPr>
                <w:b/>
                <w:bCs/>
              </w:rPr>
              <w:t>Системо-органен клас</w:t>
            </w:r>
          </w:p>
        </w:tc>
        <w:tc>
          <w:tcPr>
            <w:tcW w:w="3192" w:type="dxa"/>
          </w:tcPr>
          <w:p w14:paraId="4A44A99A" w14:textId="35BC7AF8" w:rsidR="00C94BDD" w:rsidRDefault="00C94BDD" w:rsidP="00C94BDD">
            <w:pPr>
              <w:tabs>
                <w:tab w:val="left" w:pos="1046"/>
              </w:tabs>
            </w:pPr>
            <w:r>
              <w:rPr>
                <w:b/>
                <w:bCs/>
              </w:rPr>
              <w:t>Нежелани реакции</w:t>
            </w:r>
          </w:p>
        </w:tc>
        <w:tc>
          <w:tcPr>
            <w:tcW w:w="3192" w:type="dxa"/>
          </w:tcPr>
          <w:p w14:paraId="472B539C" w14:textId="1AC63C63" w:rsidR="00C94BDD" w:rsidRDefault="00C94BDD" w:rsidP="00C94BDD">
            <w:pPr>
              <w:tabs>
                <w:tab w:val="left" w:pos="1046"/>
              </w:tabs>
            </w:pPr>
            <w:r>
              <w:rPr>
                <w:b/>
                <w:bCs/>
              </w:rPr>
              <w:t>Категория честота*</w:t>
            </w:r>
          </w:p>
        </w:tc>
      </w:tr>
      <w:tr w:rsidR="00C94BDD" w14:paraId="7B46150E" w14:textId="77777777" w:rsidTr="00C94BDD">
        <w:tc>
          <w:tcPr>
            <w:tcW w:w="3192" w:type="dxa"/>
          </w:tcPr>
          <w:p w14:paraId="20F47E7D" w14:textId="42074F99" w:rsidR="00C94BDD" w:rsidRDefault="00C94BDD" w:rsidP="00C94BDD">
            <w:pPr>
              <w:tabs>
                <w:tab w:val="left" w:pos="1046"/>
              </w:tabs>
            </w:pPr>
            <w:r>
              <w:t>Инфекци и инфестации</w:t>
            </w:r>
          </w:p>
        </w:tc>
        <w:tc>
          <w:tcPr>
            <w:tcW w:w="3192" w:type="dxa"/>
          </w:tcPr>
          <w:p w14:paraId="5EA553C1" w14:textId="2D856BD0" w:rsidR="00C94BDD" w:rsidRDefault="00C94BDD" w:rsidP="00C94BDD">
            <w:pPr>
              <w:tabs>
                <w:tab w:val="left" w:pos="1046"/>
              </w:tabs>
            </w:pPr>
            <w:r>
              <w:t>инфекции на горните дихателни пътища</w:t>
            </w:r>
            <w:r>
              <w:rPr>
                <w:vertAlign w:val="superscript"/>
              </w:rPr>
              <w:t>+</w:t>
            </w:r>
          </w:p>
        </w:tc>
        <w:tc>
          <w:tcPr>
            <w:tcW w:w="3192" w:type="dxa"/>
          </w:tcPr>
          <w:p w14:paraId="078B04DC" w14:textId="7285CC1F" w:rsidR="00C94BDD" w:rsidRDefault="00C94BDD" w:rsidP="00C94BDD">
            <w:pPr>
              <w:tabs>
                <w:tab w:val="left" w:pos="1046"/>
              </w:tabs>
            </w:pPr>
            <w:r>
              <w:t>Много чести</w:t>
            </w:r>
          </w:p>
        </w:tc>
      </w:tr>
      <w:tr w:rsidR="00C94BDD" w14:paraId="1841E20D" w14:textId="77777777" w:rsidTr="00C94BDD">
        <w:tc>
          <w:tcPr>
            <w:tcW w:w="3192" w:type="dxa"/>
            <w:vMerge w:val="restart"/>
          </w:tcPr>
          <w:p w14:paraId="4AA2AF93" w14:textId="11F4BEFF" w:rsidR="00C94BDD" w:rsidRDefault="00C94BDD" w:rsidP="00C94BDD">
            <w:pPr>
              <w:tabs>
                <w:tab w:val="left" w:pos="1046"/>
              </w:tabs>
            </w:pPr>
            <w:r>
              <w:t>Нарушения на кръвта и лимфната системата</w:t>
            </w:r>
          </w:p>
        </w:tc>
        <w:tc>
          <w:tcPr>
            <w:tcW w:w="3192" w:type="dxa"/>
          </w:tcPr>
          <w:p w14:paraId="5E366D0C" w14:textId="754FE851" w:rsidR="00C94BDD" w:rsidRDefault="00C94BDD" w:rsidP="00C94BDD">
            <w:pPr>
              <w:tabs>
                <w:tab w:val="left" w:pos="1046"/>
              </w:tabs>
            </w:pPr>
            <w:r>
              <w:t>повишена склонност към кървене</w:t>
            </w:r>
          </w:p>
        </w:tc>
        <w:tc>
          <w:tcPr>
            <w:tcW w:w="3192" w:type="dxa"/>
          </w:tcPr>
          <w:p w14:paraId="69024C9C" w14:textId="159067A9" w:rsidR="00C94BDD" w:rsidRDefault="00C94BDD" w:rsidP="00C94BDD">
            <w:pPr>
              <w:tabs>
                <w:tab w:val="left" w:pos="1046"/>
              </w:tabs>
            </w:pPr>
            <w:r>
              <w:t>Редки</w:t>
            </w:r>
          </w:p>
        </w:tc>
      </w:tr>
      <w:tr w:rsidR="00C94BDD" w14:paraId="4204B39F" w14:textId="77777777" w:rsidTr="00C94BDD">
        <w:tc>
          <w:tcPr>
            <w:tcW w:w="3192" w:type="dxa"/>
            <w:vMerge/>
          </w:tcPr>
          <w:p w14:paraId="3289DD59" w14:textId="77777777" w:rsidR="00C94BDD" w:rsidRDefault="00C94BDD" w:rsidP="00C94BDD">
            <w:pPr>
              <w:tabs>
                <w:tab w:val="left" w:pos="1046"/>
              </w:tabs>
            </w:pPr>
          </w:p>
        </w:tc>
        <w:tc>
          <w:tcPr>
            <w:tcW w:w="3192" w:type="dxa"/>
          </w:tcPr>
          <w:p w14:paraId="6DFD63E4" w14:textId="5FE5782A" w:rsidR="00C94BDD" w:rsidRDefault="00C94BDD" w:rsidP="00C94BDD">
            <w:pPr>
              <w:tabs>
                <w:tab w:val="left" w:pos="1046"/>
              </w:tabs>
            </w:pPr>
            <w:r>
              <w:t>тромбоцитопения</w:t>
            </w:r>
          </w:p>
        </w:tc>
        <w:tc>
          <w:tcPr>
            <w:tcW w:w="3192" w:type="dxa"/>
          </w:tcPr>
          <w:p w14:paraId="2CEE0363" w14:textId="013FBED3" w:rsidR="00C94BDD" w:rsidRDefault="00C94BDD" w:rsidP="00C94BDD">
            <w:pPr>
              <w:tabs>
                <w:tab w:val="left" w:pos="1046"/>
              </w:tabs>
            </w:pPr>
            <w:r>
              <w:t>Много редки</w:t>
            </w:r>
          </w:p>
        </w:tc>
      </w:tr>
      <w:tr w:rsidR="00C94BDD" w14:paraId="6220206A" w14:textId="77777777" w:rsidTr="00C94BDD">
        <w:tc>
          <w:tcPr>
            <w:tcW w:w="3192" w:type="dxa"/>
            <w:vMerge w:val="restart"/>
          </w:tcPr>
          <w:p w14:paraId="496BBF9D" w14:textId="058856C9" w:rsidR="00C94BDD" w:rsidRDefault="00C94BDD" w:rsidP="00C94BDD">
            <w:pPr>
              <w:tabs>
                <w:tab w:val="left" w:pos="1046"/>
              </w:tabs>
            </w:pPr>
            <w:r>
              <w:t>Нарушения на имунната система</w:t>
            </w:r>
          </w:p>
        </w:tc>
        <w:tc>
          <w:tcPr>
            <w:tcW w:w="3192" w:type="dxa"/>
          </w:tcPr>
          <w:p w14:paraId="45A2D69B" w14:textId="5A75FDFD" w:rsidR="00C94BDD" w:rsidRDefault="00C94BDD" w:rsidP="00C94BDD">
            <w:pPr>
              <w:tabs>
                <w:tab w:val="left" w:pos="1046"/>
              </w:tabs>
            </w:pPr>
            <w:r>
              <w:t>Реакции на свръхчувствителност, включващи анафилаксия</w:t>
            </w:r>
          </w:p>
        </w:tc>
        <w:tc>
          <w:tcPr>
            <w:tcW w:w="3192" w:type="dxa"/>
          </w:tcPr>
          <w:p w14:paraId="130FD9B8" w14:textId="7B9DB53F" w:rsidR="00C94BDD" w:rsidRDefault="00C94BDD" w:rsidP="00C94BDD">
            <w:pPr>
              <w:tabs>
                <w:tab w:val="left" w:pos="1046"/>
              </w:tabs>
            </w:pPr>
            <w:r>
              <w:t>Нечести</w:t>
            </w:r>
          </w:p>
        </w:tc>
      </w:tr>
      <w:tr w:rsidR="00C94BDD" w14:paraId="2D81CFBC" w14:textId="77777777" w:rsidTr="00C94BDD">
        <w:tc>
          <w:tcPr>
            <w:tcW w:w="3192" w:type="dxa"/>
            <w:vMerge/>
          </w:tcPr>
          <w:p w14:paraId="058861AC" w14:textId="77777777" w:rsidR="00C94BDD" w:rsidRDefault="00C94BDD" w:rsidP="00C94BDD">
            <w:pPr>
              <w:tabs>
                <w:tab w:val="left" w:pos="1046"/>
              </w:tabs>
            </w:pPr>
          </w:p>
        </w:tc>
        <w:tc>
          <w:tcPr>
            <w:tcW w:w="3192" w:type="dxa"/>
          </w:tcPr>
          <w:p w14:paraId="5C17AAD2" w14:textId="6C3F26C6" w:rsidR="00C94BDD" w:rsidRDefault="00C94BDD" w:rsidP="00C94BDD">
            <w:pPr>
              <w:tabs>
                <w:tab w:val="left" w:pos="1046"/>
              </w:tabs>
            </w:pPr>
            <w:r>
              <w:t>еозинофилна инфилтрация на черния Дроб</w:t>
            </w:r>
          </w:p>
        </w:tc>
        <w:tc>
          <w:tcPr>
            <w:tcW w:w="3192" w:type="dxa"/>
          </w:tcPr>
          <w:p w14:paraId="130121FE" w14:textId="4DBF618E" w:rsidR="00C94BDD" w:rsidRDefault="00C94BDD" w:rsidP="00C94BDD">
            <w:pPr>
              <w:tabs>
                <w:tab w:val="left" w:pos="1046"/>
              </w:tabs>
            </w:pPr>
            <w:r>
              <w:t>Много редки</w:t>
            </w:r>
          </w:p>
        </w:tc>
      </w:tr>
      <w:tr w:rsidR="00C94BDD" w14:paraId="21782D40" w14:textId="77777777" w:rsidTr="00C94BDD">
        <w:tc>
          <w:tcPr>
            <w:tcW w:w="3192" w:type="dxa"/>
            <w:vMerge w:val="restart"/>
          </w:tcPr>
          <w:p w14:paraId="680B3D8E" w14:textId="420E6684" w:rsidR="00C94BDD" w:rsidRDefault="00C94BDD" w:rsidP="00C94BDD">
            <w:pPr>
              <w:tabs>
                <w:tab w:val="left" w:pos="1046"/>
              </w:tabs>
            </w:pPr>
            <w:r>
              <w:t>Психични нарушения</w:t>
            </w:r>
          </w:p>
        </w:tc>
        <w:tc>
          <w:tcPr>
            <w:tcW w:w="3192" w:type="dxa"/>
          </w:tcPr>
          <w:p w14:paraId="12455DC2" w14:textId="3D7FBF4E" w:rsidR="00C94BDD" w:rsidRDefault="00C94BDD" w:rsidP="00C94BDD">
            <w:pPr>
              <w:tabs>
                <w:tab w:val="left" w:pos="1046"/>
              </w:tabs>
            </w:pPr>
            <w:r>
              <w:t>нарушения на съня, включително кошмари, безсъние, сомнамбулизъм, тревожност, възбуда, включително агресивно поведение или враждебност, депресия, психомоторна хиперактивност (включително раздразнителност, безпокойство, тремор</w:t>
            </w:r>
            <w:r>
              <w:rPr>
                <w:vertAlign w:val="superscript"/>
              </w:rPr>
              <w:t>§</w:t>
            </w:r>
            <w:r>
              <w:t>)</w:t>
            </w:r>
          </w:p>
        </w:tc>
        <w:tc>
          <w:tcPr>
            <w:tcW w:w="3192" w:type="dxa"/>
          </w:tcPr>
          <w:p w14:paraId="0A2AA7E8" w14:textId="68DAD5A5" w:rsidR="00C94BDD" w:rsidRDefault="00C94BDD" w:rsidP="00C94BDD">
            <w:pPr>
              <w:tabs>
                <w:tab w:val="left" w:pos="1046"/>
              </w:tabs>
            </w:pPr>
            <w:r>
              <w:t>Нечести</w:t>
            </w:r>
          </w:p>
        </w:tc>
      </w:tr>
      <w:tr w:rsidR="00C94BDD" w14:paraId="529A84BD" w14:textId="77777777" w:rsidTr="00C94BDD">
        <w:tc>
          <w:tcPr>
            <w:tcW w:w="3192" w:type="dxa"/>
            <w:vMerge/>
          </w:tcPr>
          <w:p w14:paraId="1A6CAC0C" w14:textId="77777777" w:rsidR="00C94BDD" w:rsidRDefault="00C94BDD" w:rsidP="00C94BDD">
            <w:pPr>
              <w:tabs>
                <w:tab w:val="left" w:pos="1046"/>
              </w:tabs>
            </w:pPr>
          </w:p>
        </w:tc>
        <w:tc>
          <w:tcPr>
            <w:tcW w:w="3192" w:type="dxa"/>
          </w:tcPr>
          <w:p w14:paraId="5610F9E3" w14:textId="2E4311A1" w:rsidR="00C94BDD" w:rsidRDefault="00C94BDD" w:rsidP="00C94BDD">
            <w:pPr>
              <w:tabs>
                <w:tab w:val="left" w:pos="1046"/>
              </w:tabs>
            </w:pPr>
            <w:r>
              <w:t>нарушение на вниманието, нарушения на паметта, тик</w:t>
            </w:r>
          </w:p>
        </w:tc>
        <w:tc>
          <w:tcPr>
            <w:tcW w:w="3192" w:type="dxa"/>
          </w:tcPr>
          <w:p w14:paraId="644F55C6" w14:textId="5E081C89" w:rsidR="00C94BDD" w:rsidRDefault="00C94BDD" w:rsidP="00C94BDD">
            <w:pPr>
              <w:tabs>
                <w:tab w:val="left" w:pos="1046"/>
              </w:tabs>
            </w:pPr>
            <w:r>
              <w:t>Редки</w:t>
            </w:r>
          </w:p>
        </w:tc>
      </w:tr>
      <w:tr w:rsidR="00C94BDD" w14:paraId="3E2BFC22" w14:textId="77777777" w:rsidTr="00C94BDD">
        <w:tc>
          <w:tcPr>
            <w:tcW w:w="3192" w:type="dxa"/>
            <w:vMerge/>
          </w:tcPr>
          <w:p w14:paraId="0CE33183" w14:textId="77777777" w:rsidR="00C94BDD" w:rsidRDefault="00C94BDD" w:rsidP="00C94BDD">
            <w:pPr>
              <w:tabs>
                <w:tab w:val="left" w:pos="1046"/>
              </w:tabs>
            </w:pPr>
          </w:p>
        </w:tc>
        <w:tc>
          <w:tcPr>
            <w:tcW w:w="3192" w:type="dxa"/>
          </w:tcPr>
          <w:p w14:paraId="02EF22D2" w14:textId="783BA5CF" w:rsidR="00C94BDD" w:rsidRDefault="00C94BDD" w:rsidP="00C94BDD">
            <w:pPr>
              <w:tabs>
                <w:tab w:val="left" w:pos="1046"/>
              </w:tabs>
            </w:pPr>
            <w:r>
              <w:t>халюцинации, дезориентация, мисли и опити за самоубийство (склонност към самоубийство), обсесивно-компулсивни симптоми, заекване</w:t>
            </w:r>
          </w:p>
        </w:tc>
        <w:tc>
          <w:tcPr>
            <w:tcW w:w="3192" w:type="dxa"/>
          </w:tcPr>
          <w:p w14:paraId="2B17768E" w14:textId="2354E193" w:rsidR="00C94BDD" w:rsidRDefault="00C94BDD" w:rsidP="00C94BDD">
            <w:pPr>
              <w:tabs>
                <w:tab w:val="left" w:pos="1046"/>
              </w:tabs>
            </w:pPr>
            <w:r>
              <w:t>Много редки</w:t>
            </w:r>
          </w:p>
        </w:tc>
      </w:tr>
      <w:tr w:rsidR="00C94BDD" w14:paraId="4303DBB3" w14:textId="77777777" w:rsidTr="00C94BDD">
        <w:tc>
          <w:tcPr>
            <w:tcW w:w="3192" w:type="dxa"/>
          </w:tcPr>
          <w:p w14:paraId="387466F7" w14:textId="015D1FF9" w:rsidR="00C94BDD" w:rsidRDefault="00C94BDD" w:rsidP="00C94BDD">
            <w:pPr>
              <w:tabs>
                <w:tab w:val="left" w:pos="1046"/>
              </w:tabs>
            </w:pPr>
            <w:r>
              <w:t>Нарушения на нервната система</w:t>
            </w:r>
          </w:p>
        </w:tc>
        <w:tc>
          <w:tcPr>
            <w:tcW w:w="3192" w:type="dxa"/>
          </w:tcPr>
          <w:p w14:paraId="649ED790" w14:textId="6CA03792" w:rsidR="00C94BDD" w:rsidRDefault="00C94BDD" w:rsidP="00C94BDD">
            <w:pPr>
              <w:tabs>
                <w:tab w:val="left" w:pos="1046"/>
              </w:tabs>
            </w:pPr>
            <w:r>
              <w:t>замаяност, сънливост, парестезия/хипоестезия, гърчове</w:t>
            </w:r>
          </w:p>
        </w:tc>
        <w:tc>
          <w:tcPr>
            <w:tcW w:w="3192" w:type="dxa"/>
          </w:tcPr>
          <w:p w14:paraId="3CC0943E" w14:textId="5980CB02" w:rsidR="00C94BDD" w:rsidRDefault="00C94BDD" w:rsidP="00C94BDD">
            <w:pPr>
              <w:tabs>
                <w:tab w:val="left" w:pos="1046"/>
              </w:tabs>
            </w:pPr>
            <w:r>
              <w:t>Нечести</w:t>
            </w:r>
          </w:p>
        </w:tc>
      </w:tr>
      <w:tr w:rsidR="00C94BDD" w14:paraId="7AF44043" w14:textId="77777777" w:rsidTr="00C94BDD">
        <w:tc>
          <w:tcPr>
            <w:tcW w:w="3192" w:type="dxa"/>
          </w:tcPr>
          <w:p w14:paraId="06103F51" w14:textId="3CF8F18E" w:rsidR="00C94BDD" w:rsidRDefault="00C94BDD" w:rsidP="00C94BDD">
            <w:pPr>
              <w:tabs>
                <w:tab w:val="left" w:pos="1046"/>
              </w:tabs>
            </w:pPr>
            <w:r>
              <w:t>Сърдечни нарушения</w:t>
            </w:r>
          </w:p>
        </w:tc>
        <w:tc>
          <w:tcPr>
            <w:tcW w:w="3192" w:type="dxa"/>
          </w:tcPr>
          <w:p w14:paraId="3859BF5F" w14:textId="3557A8A8" w:rsidR="00C94BDD" w:rsidRDefault="00C94BDD" w:rsidP="00C94BDD">
            <w:pPr>
              <w:tabs>
                <w:tab w:val="left" w:pos="1046"/>
              </w:tabs>
            </w:pPr>
            <w:r>
              <w:t>палпитации</w:t>
            </w:r>
          </w:p>
        </w:tc>
        <w:tc>
          <w:tcPr>
            <w:tcW w:w="3192" w:type="dxa"/>
          </w:tcPr>
          <w:p w14:paraId="660F7B26" w14:textId="7EEE0739" w:rsidR="00C94BDD" w:rsidRDefault="00C94BDD" w:rsidP="00C94BDD">
            <w:pPr>
              <w:tabs>
                <w:tab w:val="left" w:pos="1046"/>
              </w:tabs>
            </w:pPr>
            <w:r>
              <w:t>Редки</w:t>
            </w:r>
          </w:p>
        </w:tc>
      </w:tr>
      <w:tr w:rsidR="00C94BDD" w14:paraId="43D614F8" w14:textId="77777777" w:rsidTr="00C94BDD">
        <w:tc>
          <w:tcPr>
            <w:tcW w:w="3192" w:type="dxa"/>
            <w:vMerge w:val="restart"/>
          </w:tcPr>
          <w:p w14:paraId="075233EB" w14:textId="0C981FE1" w:rsidR="00C94BDD" w:rsidRDefault="00C94BDD" w:rsidP="00C94BDD">
            <w:pPr>
              <w:tabs>
                <w:tab w:val="left" w:pos="1046"/>
              </w:tabs>
            </w:pPr>
            <w:r>
              <w:t>Респираторни, гръдни и медиастинални нарушения</w:t>
            </w:r>
          </w:p>
        </w:tc>
        <w:tc>
          <w:tcPr>
            <w:tcW w:w="3192" w:type="dxa"/>
          </w:tcPr>
          <w:p w14:paraId="779E6F4C" w14:textId="430BAC1E" w:rsidR="00C94BDD" w:rsidRDefault="00C94BDD" w:rsidP="00C94BDD">
            <w:pPr>
              <w:tabs>
                <w:tab w:val="left" w:pos="1046"/>
              </w:tabs>
            </w:pPr>
            <w:r>
              <w:t>епистаксис</w:t>
            </w:r>
          </w:p>
        </w:tc>
        <w:tc>
          <w:tcPr>
            <w:tcW w:w="3192" w:type="dxa"/>
          </w:tcPr>
          <w:p w14:paraId="1420A7E7" w14:textId="31D6C946" w:rsidR="00C94BDD" w:rsidRDefault="00C94BDD" w:rsidP="00C94BDD">
            <w:pPr>
              <w:tabs>
                <w:tab w:val="left" w:pos="1046"/>
              </w:tabs>
            </w:pPr>
            <w:r>
              <w:t>Нечести</w:t>
            </w:r>
          </w:p>
        </w:tc>
      </w:tr>
      <w:tr w:rsidR="00C94BDD" w14:paraId="4FC7F12F" w14:textId="77777777" w:rsidTr="00C94BDD">
        <w:tc>
          <w:tcPr>
            <w:tcW w:w="3192" w:type="dxa"/>
            <w:vMerge/>
          </w:tcPr>
          <w:p w14:paraId="06EF55F3" w14:textId="77777777" w:rsidR="00C94BDD" w:rsidRDefault="00C94BDD" w:rsidP="00C94BDD">
            <w:pPr>
              <w:tabs>
                <w:tab w:val="left" w:pos="1046"/>
              </w:tabs>
            </w:pPr>
          </w:p>
        </w:tc>
        <w:tc>
          <w:tcPr>
            <w:tcW w:w="3192" w:type="dxa"/>
          </w:tcPr>
          <w:p w14:paraId="26C0F550" w14:textId="17F45C1F" w:rsidR="00C94BDD" w:rsidRDefault="00C94BDD" w:rsidP="00C94BDD">
            <w:pPr>
              <w:tabs>
                <w:tab w:val="left" w:pos="1046"/>
              </w:tabs>
            </w:pPr>
            <w:r>
              <w:t xml:space="preserve">синдрома на Чърг-Щраус </w:t>
            </w:r>
            <w:r w:rsidRPr="00C94BDD">
              <w:rPr>
                <w:lang w:val="ru-RU"/>
              </w:rPr>
              <w:t>(</w:t>
            </w:r>
            <w:r>
              <w:rPr>
                <w:lang w:val="en-US"/>
              </w:rPr>
              <w:t>CSS</w:t>
            </w:r>
            <w:r w:rsidRPr="00C94BDD">
              <w:rPr>
                <w:lang w:val="ru-RU"/>
              </w:rPr>
              <w:t xml:space="preserve">) </w:t>
            </w:r>
            <w:r>
              <w:t>(вж. точка 4.4)</w:t>
            </w:r>
          </w:p>
        </w:tc>
        <w:tc>
          <w:tcPr>
            <w:tcW w:w="3192" w:type="dxa"/>
          </w:tcPr>
          <w:p w14:paraId="538FD414" w14:textId="147ED500" w:rsidR="00C94BDD" w:rsidRDefault="00C94BDD" w:rsidP="00C94BDD">
            <w:pPr>
              <w:tabs>
                <w:tab w:val="left" w:pos="1046"/>
              </w:tabs>
            </w:pPr>
            <w:r>
              <w:t>Много редки</w:t>
            </w:r>
          </w:p>
        </w:tc>
      </w:tr>
      <w:tr w:rsidR="00C94BDD" w14:paraId="55B725A1" w14:textId="77777777" w:rsidTr="00C94BDD">
        <w:tc>
          <w:tcPr>
            <w:tcW w:w="3192" w:type="dxa"/>
            <w:vMerge/>
          </w:tcPr>
          <w:p w14:paraId="447C83D2" w14:textId="77777777" w:rsidR="00C94BDD" w:rsidRDefault="00C94BDD" w:rsidP="00C94BDD">
            <w:pPr>
              <w:tabs>
                <w:tab w:val="left" w:pos="1046"/>
              </w:tabs>
            </w:pPr>
          </w:p>
        </w:tc>
        <w:tc>
          <w:tcPr>
            <w:tcW w:w="3192" w:type="dxa"/>
          </w:tcPr>
          <w:p w14:paraId="77D9F0C5" w14:textId="60BE1C44" w:rsidR="00C94BDD" w:rsidRDefault="00C94BDD" w:rsidP="00C94BDD">
            <w:pPr>
              <w:tabs>
                <w:tab w:val="left" w:pos="1046"/>
              </w:tabs>
            </w:pPr>
            <w:r>
              <w:t>белодробна еозинофилия</w:t>
            </w:r>
          </w:p>
        </w:tc>
        <w:tc>
          <w:tcPr>
            <w:tcW w:w="3192" w:type="dxa"/>
          </w:tcPr>
          <w:p w14:paraId="7EF69B77" w14:textId="784F508A" w:rsidR="00C94BDD" w:rsidRDefault="00C94BDD" w:rsidP="00C94BDD">
            <w:pPr>
              <w:tabs>
                <w:tab w:val="left" w:pos="1046"/>
              </w:tabs>
            </w:pPr>
            <w:r>
              <w:t>Много редки</w:t>
            </w:r>
          </w:p>
        </w:tc>
      </w:tr>
      <w:tr w:rsidR="00C94BDD" w14:paraId="65413C2A" w14:textId="77777777" w:rsidTr="00C94BDD">
        <w:tc>
          <w:tcPr>
            <w:tcW w:w="3192" w:type="dxa"/>
            <w:vMerge w:val="restart"/>
          </w:tcPr>
          <w:p w14:paraId="6E2B8600" w14:textId="15D1B74B" w:rsidR="00C94BDD" w:rsidRDefault="00C94BDD" w:rsidP="00C94BDD">
            <w:pPr>
              <w:tabs>
                <w:tab w:val="left" w:pos="1046"/>
              </w:tabs>
            </w:pPr>
            <w:r>
              <w:t>Стомашно-чревни нарушения</w:t>
            </w:r>
          </w:p>
        </w:tc>
        <w:tc>
          <w:tcPr>
            <w:tcW w:w="3192" w:type="dxa"/>
          </w:tcPr>
          <w:p w14:paraId="16C09926" w14:textId="29718726" w:rsidR="00C94BDD" w:rsidRDefault="00C94BDD" w:rsidP="00C94BDD">
            <w:pPr>
              <w:tabs>
                <w:tab w:val="left" w:pos="1046"/>
              </w:tabs>
            </w:pPr>
            <w:r>
              <w:t>диария</w:t>
            </w:r>
            <w:r>
              <w:rPr>
                <w:vertAlign w:val="superscript"/>
              </w:rPr>
              <w:t>++</w:t>
            </w:r>
            <w:r>
              <w:t>, гадене</w:t>
            </w:r>
            <w:r>
              <w:rPr>
                <w:vertAlign w:val="superscript"/>
              </w:rPr>
              <w:t>++</w:t>
            </w:r>
            <w:r>
              <w:t>, повръщане</w:t>
            </w:r>
            <w:r>
              <w:rPr>
                <w:vertAlign w:val="superscript"/>
              </w:rPr>
              <w:t>++</w:t>
            </w:r>
          </w:p>
        </w:tc>
        <w:tc>
          <w:tcPr>
            <w:tcW w:w="3192" w:type="dxa"/>
          </w:tcPr>
          <w:p w14:paraId="75C0170D" w14:textId="035A7A8D" w:rsidR="00C94BDD" w:rsidRDefault="00C94BDD" w:rsidP="00C94BDD">
            <w:pPr>
              <w:tabs>
                <w:tab w:val="left" w:pos="1046"/>
              </w:tabs>
            </w:pPr>
            <w:r>
              <w:t>Чести</w:t>
            </w:r>
          </w:p>
        </w:tc>
      </w:tr>
      <w:tr w:rsidR="00C94BDD" w14:paraId="60D08623" w14:textId="77777777" w:rsidTr="00C94BDD">
        <w:tc>
          <w:tcPr>
            <w:tcW w:w="3192" w:type="dxa"/>
            <w:vMerge/>
          </w:tcPr>
          <w:p w14:paraId="12AE0D93" w14:textId="77777777" w:rsidR="00C94BDD" w:rsidRDefault="00C94BDD" w:rsidP="00C94BDD">
            <w:pPr>
              <w:tabs>
                <w:tab w:val="left" w:pos="1046"/>
              </w:tabs>
            </w:pPr>
          </w:p>
        </w:tc>
        <w:tc>
          <w:tcPr>
            <w:tcW w:w="3192" w:type="dxa"/>
          </w:tcPr>
          <w:p w14:paraId="3A4B6C9C" w14:textId="411C1A1C" w:rsidR="00C94BDD" w:rsidRDefault="00C94BDD" w:rsidP="00C94BDD">
            <w:pPr>
              <w:tabs>
                <w:tab w:val="left" w:pos="1046"/>
              </w:tabs>
            </w:pPr>
            <w:r>
              <w:t>сухота в устата, диспепсия</w:t>
            </w:r>
          </w:p>
        </w:tc>
        <w:tc>
          <w:tcPr>
            <w:tcW w:w="3192" w:type="dxa"/>
          </w:tcPr>
          <w:p w14:paraId="7A927CF4" w14:textId="6E22886C" w:rsidR="00C94BDD" w:rsidRDefault="00C94BDD" w:rsidP="00C94BDD">
            <w:pPr>
              <w:tabs>
                <w:tab w:val="left" w:pos="1046"/>
              </w:tabs>
            </w:pPr>
            <w:r>
              <w:t>Нечести</w:t>
            </w:r>
          </w:p>
        </w:tc>
      </w:tr>
      <w:tr w:rsidR="00C94BDD" w14:paraId="08605A3D" w14:textId="77777777" w:rsidTr="00C94BDD">
        <w:tc>
          <w:tcPr>
            <w:tcW w:w="3192" w:type="dxa"/>
            <w:vMerge w:val="restart"/>
          </w:tcPr>
          <w:p w14:paraId="3AB6E354" w14:textId="3D48EB0F" w:rsidR="00C94BDD" w:rsidRDefault="00C94BDD" w:rsidP="00C94BDD">
            <w:pPr>
              <w:tabs>
                <w:tab w:val="left" w:pos="1046"/>
              </w:tabs>
            </w:pPr>
            <w:r>
              <w:lastRenderedPageBreak/>
              <w:t>Хепатобилиарни нарушения</w:t>
            </w:r>
          </w:p>
        </w:tc>
        <w:tc>
          <w:tcPr>
            <w:tcW w:w="3192" w:type="dxa"/>
          </w:tcPr>
          <w:p w14:paraId="153BD599" w14:textId="316E7392" w:rsidR="00C94BDD" w:rsidRDefault="00C94BDD" w:rsidP="00C94BDD">
            <w:pPr>
              <w:tabs>
                <w:tab w:val="left" w:pos="1046"/>
              </w:tabs>
            </w:pPr>
            <w:r>
              <w:t>повишени нива на серумните трансаминази (АЛАТ, АСАТ)</w:t>
            </w:r>
          </w:p>
        </w:tc>
        <w:tc>
          <w:tcPr>
            <w:tcW w:w="3192" w:type="dxa"/>
          </w:tcPr>
          <w:p w14:paraId="337E1E62" w14:textId="755468B3" w:rsidR="00C94BDD" w:rsidRDefault="00C94BDD" w:rsidP="00C94BDD">
            <w:pPr>
              <w:tabs>
                <w:tab w:val="left" w:pos="1046"/>
              </w:tabs>
            </w:pPr>
            <w:r>
              <w:t>Чести</w:t>
            </w:r>
          </w:p>
        </w:tc>
      </w:tr>
      <w:tr w:rsidR="00C94BDD" w14:paraId="2EBD6B45" w14:textId="77777777" w:rsidTr="00C94BDD">
        <w:tc>
          <w:tcPr>
            <w:tcW w:w="3192" w:type="dxa"/>
            <w:vMerge/>
          </w:tcPr>
          <w:p w14:paraId="73729852" w14:textId="77777777" w:rsidR="00C94BDD" w:rsidRDefault="00C94BDD" w:rsidP="00C94BDD">
            <w:pPr>
              <w:tabs>
                <w:tab w:val="left" w:pos="1046"/>
              </w:tabs>
            </w:pPr>
          </w:p>
        </w:tc>
        <w:tc>
          <w:tcPr>
            <w:tcW w:w="3192" w:type="dxa"/>
          </w:tcPr>
          <w:p w14:paraId="0E4A6A8B" w14:textId="424191DD" w:rsidR="00C94BDD" w:rsidRDefault="00C94BDD" w:rsidP="00C94BDD">
            <w:pPr>
              <w:tabs>
                <w:tab w:val="left" w:pos="1046"/>
              </w:tabs>
            </w:pPr>
            <w:r>
              <w:t>хепатит (включително холестатичен, хепатоцелуларен или наранявания от смесен характер на черния дроб)</w:t>
            </w:r>
          </w:p>
        </w:tc>
        <w:tc>
          <w:tcPr>
            <w:tcW w:w="3192" w:type="dxa"/>
          </w:tcPr>
          <w:p w14:paraId="57E60793" w14:textId="6885A86B" w:rsidR="00C94BDD" w:rsidRDefault="00C94BDD" w:rsidP="00C94BDD">
            <w:pPr>
              <w:tabs>
                <w:tab w:val="left" w:pos="1046"/>
              </w:tabs>
            </w:pPr>
            <w:r>
              <w:t>Много редки</w:t>
            </w:r>
          </w:p>
        </w:tc>
      </w:tr>
      <w:tr w:rsidR="00C94BDD" w14:paraId="201BAF85" w14:textId="77777777" w:rsidTr="00C94BDD">
        <w:tc>
          <w:tcPr>
            <w:tcW w:w="3192" w:type="dxa"/>
            <w:vMerge w:val="restart"/>
          </w:tcPr>
          <w:p w14:paraId="33C8F9E1" w14:textId="6A9B089B" w:rsidR="00C94BDD" w:rsidRDefault="00C94BDD" w:rsidP="00C94BDD">
            <w:pPr>
              <w:tabs>
                <w:tab w:val="left" w:pos="1046"/>
              </w:tabs>
            </w:pPr>
            <w:r>
              <w:t>Нарушения на кожата и подкожната тъкан</w:t>
            </w:r>
          </w:p>
        </w:tc>
        <w:tc>
          <w:tcPr>
            <w:tcW w:w="3192" w:type="dxa"/>
          </w:tcPr>
          <w:p w14:paraId="4026EEFA" w14:textId="58A60630" w:rsidR="00C94BDD" w:rsidRDefault="00C94BDD" w:rsidP="00C94BDD">
            <w:pPr>
              <w:tabs>
                <w:tab w:val="left" w:pos="1046"/>
              </w:tabs>
            </w:pPr>
            <w:r>
              <w:t>обрив</w:t>
            </w:r>
            <w:r>
              <w:rPr>
                <w:vertAlign w:val="superscript"/>
              </w:rPr>
              <w:t>5</w:t>
            </w:r>
          </w:p>
        </w:tc>
        <w:tc>
          <w:tcPr>
            <w:tcW w:w="3192" w:type="dxa"/>
          </w:tcPr>
          <w:p w14:paraId="30AAB62D" w14:textId="74483E25" w:rsidR="00C94BDD" w:rsidRDefault="00C94BDD" w:rsidP="00C94BDD">
            <w:pPr>
              <w:tabs>
                <w:tab w:val="left" w:pos="1046"/>
              </w:tabs>
            </w:pPr>
            <w:r>
              <w:t>Чести</w:t>
            </w:r>
          </w:p>
        </w:tc>
      </w:tr>
      <w:tr w:rsidR="00C94BDD" w14:paraId="0D567C0C" w14:textId="77777777" w:rsidTr="00C94BDD">
        <w:tc>
          <w:tcPr>
            <w:tcW w:w="3192" w:type="dxa"/>
            <w:vMerge/>
          </w:tcPr>
          <w:p w14:paraId="61294C9E" w14:textId="77777777" w:rsidR="00C94BDD" w:rsidRDefault="00C94BDD" w:rsidP="00C94BDD">
            <w:pPr>
              <w:tabs>
                <w:tab w:val="left" w:pos="1046"/>
              </w:tabs>
            </w:pPr>
          </w:p>
        </w:tc>
        <w:tc>
          <w:tcPr>
            <w:tcW w:w="3192" w:type="dxa"/>
          </w:tcPr>
          <w:p w14:paraId="086D384C" w14:textId="12850210" w:rsidR="00C94BDD" w:rsidRDefault="00C94BDD" w:rsidP="00C94BDD">
            <w:pPr>
              <w:tabs>
                <w:tab w:val="left" w:pos="1046"/>
              </w:tabs>
            </w:pPr>
            <w:r>
              <w:t>кръвонасядане, уртикария, пруритус</w:t>
            </w:r>
          </w:p>
        </w:tc>
        <w:tc>
          <w:tcPr>
            <w:tcW w:w="3192" w:type="dxa"/>
          </w:tcPr>
          <w:p w14:paraId="6115687D" w14:textId="13ACD397" w:rsidR="00C94BDD" w:rsidRDefault="00C94BDD" w:rsidP="00C94BDD">
            <w:pPr>
              <w:tabs>
                <w:tab w:val="left" w:pos="1046"/>
              </w:tabs>
            </w:pPr>
            <w:r>
              <w:t>Нечести</w:t>
            </w:r>
          </w:p>
        </w:tc>
      </w:tr>
      <w:tr w:rsidR="00C94BDD" w14:paraId="2F94F4AE" w14:textId="77777777" w:rsidTr="00C94BDD">
        <w:tc>
          <w:tcPr>
            <w:tcW w:w="3192" w:type="dxa"/>
            <w:vMerge/>
          </w:tcPr>
          <w:p w14:paraId="49E19CC5" w14:textId="77777777" w:rsidR="00C94BDD" w:rsidRDefault="00C94BDD" w:rsidP="00C94BDD">
            <w:pPr>
              <w:tabs>
                <w:tab w:val="left" w:pos="1046"/>
              </w:tabs>
            </w:pPr>
          </w:p>
        </w:tc>
        <w:tc>
          <w:tcPr>
            <w:tcW w:w="3192" w:type="dxa"/>
          </w:tcPr>
          <w:p w14:paraId="6F48052F" w14:textId="683E0F09" w:rsidR="00C94BDD" w:rsidRDefault="00C94BDD" w:rsidP="00C94BDD">
            <w:pPr>
              <w:tabs>
                <w:tab w:val="left" w:pos="1046"/>
              </w:tabs>
            </w:pPr>
            <w:r>
              <w:t>ангиоедем</w:t>
            </w:r>
          </w:p>
        </w:tc>
        <w:tc>
          <w:tcPr>
            <w:tcW w:w="3192" w:type="dxa"/>
          </w:tcPr>
          <w:p w14:paraId="38FBD130" w14:textId="2FD3BB8A" w:rsidR="00C94BDD" w:rsidRDefault="00C94BDD" w:rsidP="00C94BDD">
            <w:pPr>
              <w:tabs>
                <w:tab w:val="left" w:pos="1046"/>
              </w:tabs>
            </w:pPr>
            <w:r>
              <w:t>Редки</w:t>
            </w:r>
          </w:p>
        </w:tc>
      </w:tr>
      <w:tr w:rsidR="00C94BDD" w14:paraId="7F0F3B73" w14:textId="77777777" w:rsidTr="00C94BDD">
        <w:tc>
          <w:tcPr>
            <w:tcW w:w="3192" w:type="dxa"/>
            <w:vMerge/>
          </w:tcPr>
          <w:p w14:paraId="007B93AD" w14:textId="77777777" w:rsidR="00C94BDD" w:rsidRDefault="00C94BDD" w:rsidP="00C94BDD">
            <w:pPr>
              <w:tabs>
                <w:tab w:val="left" w:pos="1046"/>
              </w:tabs>
            </w:pPr>
          </w:p>
        </w:tc>
        <w:tc>
          <w:tcPr>
            <w:tcW w:w="3192" w:type="dxa"/>
          </w:tcPr>
          <w:p w14:paraId="1FDD0CDF" w14:textId="68CE6CDB" w:rsidR="00C94BDD" w:rsidRDefault="00C94BDD" w:rsidP="00C94BDD">
            <w:pPr>
              <w:tabs>
                <w:tab w:val="left" w:pos="1046"/>
              </w:tabs>
            </w:pPr>
            <w:r>
              <w:t>еритема нодозум, еритема мултиформе</w:t>
            </w:r>
          </w:p>
        </w:tc>
        <w:tc>
          <w:tcPr>
            <w:tcW w:w="3192" w:type="dxa"/>
          </w:tcPr>
          <w:p w14:paraId="7E438340" w14:textId="5232F196" w:rsidR="00C94BDD" w:rsidRDefault="00C94BDD" w:rsidP="00C94BDD">
            <w:pPr>
              <w:tabs>
                <w:tab w:val="left" w:pos="1046"/>
              </w:tabs>
            </w:pPr>
            <w:r>
              <w:t>Много редки</w:t>
            </w:r>
          </w:p>
        </w:tc>
      </w:tr>
      <w:tr w:rsidR="00C94BDD" w14:paraId="1124C045" w14:textId="77777777" w:rsidTr="00C94BDD">
        <w:tc>
          <w:tcPr>
            <w:tcW w:w="3192" w:type="dxa"/>
          </w:tcPr>
          <w:p w14:paraId="0668A37E" w14:textId="076AF424" w:rsidR="00C94BDD" w:rsidRDefault="00C94BDD" w:rsidP="00C94BDD">
            <w:pPr>
              <w:tabs>
                <w:tab w:val="left" w:pos="1046"/>
              </w:tabs>
            </w:pPr>
            <w:r>
              <w:t>Нарушения на мускулно- скелетната система и съединителната тъкан</w:t>
            </w:r>
          </w:p>
        </w:tc>
        <w:tc>
          <w:tcPr>
            <w:tcW w:w="3192" w:type="dxa"/>
          </w:tcPr>
          <w:p w14:paraId="7754BDDC" w14:textId="2D24CB17" w:rsidR="00C94BDD" w:rsidRDefault="00C94BDD" w:rsidP="00C94BDD">
            <w:pPr>
              <w:tabs>
                <w:tab w:val="left" w:pos="1046"/>
              </w:tabs>
            </w:pPr>
            <w:r>
              <w:t>артралгия, миалгия, включително мускулни крампи</w:t>
            </w:r>
          </w:p>
        </w:tc>
        <w:tc>
          <w:tcPr>
            <w:tcW w:w="3192" w:type="dxa"/>
          </w:tcPr>
          <w:p w14:paraId="09049DC2" w14:textId="77900C2A" w:rsidR="00C94BDD" w:rsidRDefault="00C94BDD" w:rsidP="00C94BDD">
            <w:pPr>
              <w:tabs>
                <w:tab w:val="left" w:pos="1046"/>
              </w:tabs>
            </w:pPr>
            <w:r>
              <w:t>Нечести</w:t>
            </w:r>
          </w:p>
        </w:tc>
      </w:tr>
      <w:tr w:rsidR="00C94BDD" w14:paraId="14008B95" w14:textId="77777777" w:rsidTr="00C94BDD">
        <w:tc>
          <w:tcPr>
            <w:tcW w:w="3192" w:type="dxa"/>
          </w:tcPr>
          <w:p w14:paraId="49F0D1A9" w14:textId="45E5E2CB" w:rsidR="00C94BDD" w:rsidRDefault="00C94BDD" w:rsidP="00C94BDD">
            <w:pPr>
              <w:tabs>
                <w:tab w:val="left" w:pos="1046"/>
              </w:tabs>
            </w:pPr>
            <w:r>
              <w:t>Нарушения на бъбреците и пикочните пътища</w:t>
            </w:r>
          </w:p>
        </w:tc>
        <w:tc>
          <w:tcPr>
            <w:tcW w:w="3192" w:type="dxa"/>
          </w:tcPr>
          <w:p w14:paraId="36A81BE2" w14:textId="1F3A56E5" w:rsidR="00C94BDD" w:rsidRDefault="00C94BDD" w:rsidP="00C94BDD">
            <w:pPr>
              <w:tabs>
                <w:tab w:val="left" w:pos="1046"/>
              </w:tabs>
            </w:pPr>
            <w:r>
              <w:t>енуреза при деца</w:t>
            </w:r>
          </w:p>
        </w:tc>
        <w:tc>
          <w:tcPr>
            <w:tcW w:w="3192" w:type="dxa"/>
          </w:tcPr>
          <w:p w14:paraId="6A427E9F" w14:textId="1C245E2B" w:rsidR="00C94BDD" w:rsidRDefault="00C94BDD" w:rsidP="00C94BDD">
            <w:pPr>
              <w:tabs>
                <w:tab w:val="left" w:pos="1046"/>
              </w:tabs>
            </w:pPr>
            <w:r>
              <w:t>Нечести</w:t>
            </w:r>
          </w:p>
        </w:tc>
      </w:tr>
      <w:tr w:rsidR="00C94BDD" w14:paraId="1C85BB73" w14:textId="77777777" w:rsidTr="00C94BDD">
        <w:tc>
          <w:tcPr>
            <w:tcW w:w="3192" w:type="dxa"/>
            <w:vMerge w:val="restart"/>
          </w:tcPr>
          <w:p w14:paraId="73F7833B" w14:textId="3A3D5C55" w:rsidR="00C94BDD" w:rsidRDefault="00C94BDD" w:rsidP="00C94BDD">
            <w:pPr>
              <w:tabs>
                <w:tab w:val="left" w:pos="1046"/>
              </w:tabs>
            </w:pPr>
            <w:r>
              <w:t>Общи нарушения и ефекти на мястото на приложение</w:t>
            </w:r>
          </w:p>
        </w:tc>
        <w:tc>
          <w:tcPr>
            <w:tcW w:w="3192" w:type="dxa"/>
          </w:tcPr>
          <w:p w14:paraId="79725FCC" w14:textId="5F0BF202" w:rsidR="00C94BDD" w:rsidRDefault="00C94BDD" w:rsidP="00C94BDD">
            <w:pPr>
              <w:tabs>
                <w:tab w:val="left" w:pos="1046"/>
              </w:tabs>
            </w:pPr>
            <w:r>
              <w:t>пирексия</w:t>
            </w:r>
            <w:r>
              <w:rPr>
                <w:vertAlign w:val="superscript"/>
              </w:rPr>
              <w:t>++</w:t>
            </w:r>
          </w:p>
        </w:tc>
        <w:tc>
          <w:tcPr>
            <w:tcW w:w="3192" w:type="dxa"/>
          </w:tcPr>
          <w:p w14:paraId="33D20E92" w14:textId="68501B5A" w:rsidR="00C94BDD" w:rsidRDefault="00C94BDD" w:rsidP="00C94BDD">
            <w:pPr>
              <w:tabs>
                <w:tab w:val="left" w:pos="1046"/>
              </w:tabs>
            </w:pPr>
            <w:r>
              <w:t>Чести</w:t>
            </w:r>
          </w:p>
        </w:tc>
      </w:tr>
      <w:tr w:rsidR="00C94BDD" w14:paraId="7D8DC1DA" w14:textId="77777777" w:rsidTr="00C94BDD">
        <w:tc>
          <w:tcPr>
            <w:tcW w:w="3192" w:type="dxa"/>
            <w:vMerge/>
          </w:tcPr>
          <w:p w14:paraId="5174FE66" w14:textId="77777777" w:rsidR="00C94BDD" w:rsidRDefault="00C94BDD" w:rsidP="00C94BDD">
            <w:pPr>
              <w:tabs>
                <w:tab w:val="left" w:pos="1046"/>
              </w:tabs>
            </w:pPr>
          </w:p>
        </w:tc>
        <w:tc>
          <w:tcPr>
            <w:tcW w:w="3192" w:type="dxa"/>
          </w:tcPr>
          <w:p w14:paraId="10505DCF" w14:textId="643649B9" w:rsidR="00C94BDD" w:rsidRDefault="00C94BDD" w:rsidP="00C94BDD">
            <w:pPr>
              <w:tabs>
                <w:tab w:val="left" w:pos="1046"/>
              </w:tabs>
            </w:pPr>
            <w:r>
              <w:t>астения/умора, неразположение, оток</w:t>
            </w:r>
          </w:p>
        </w:tc>
        <w:tc>
          <w:tcPr>
            <w:tcW w:w="3192" w:type="dxa"/>
          </w:tcPr>
          <w:p w14:paraId="762B7E00" w14:textId="11B72BFB" w:rsidR="00C94BDD" w:rsidRDefault="00C94BDD" w:rsidP="00C94BDD">
            <w:pPr>
              <w:tabs>
                <w:tab w:val="left" w:pos="1046"/>
              </w:tabs>
            </w:pPr>
            <w:r>
              <w:t>Нечести</w:t>
            </w:r>
          </w:p>
        </w:tc>
      </w:tr>
      <w:tr w:rsidR="00C94BDD" w14:paraId="5D73F9D7" w14:textId="77777777" w:rsidTr="0052528C">
        <w:tc>
          <w:tcPr>
            <w:tcW w:w="9576" w:type="dxa"/>
            <w:gridSpan w:val="3"/>
          </w:tcPr>
          <w:p w14:paraId="17529279"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*Категория на честотата: Определена за всяка нежелана реакция според честотата в базата данни съобщена по време на клинични изпитвания: много чести (≥1/10), чести (≥1/100 до &lt;1/10), нечести (≥1/1 000 до &lt;1/100), редки (≥1/10 000 до &lt;1/1 000), много редки (&lt;1/10 000). </w:t>
            </w:r>
            <w:r w:rsidRPr="00C94BDD">
              <w:rPr>
                <w:rFonts w:eastAsia="Times New Roman" w:cs="Arial"/>
                <w:color w:val="000000"/>
                <w:vertAlign w:val="superscript"/>
                <w:lang w:eastAsia="bg-BG"/>
              </w:rPr>
              <w:t>+</w:t>
            </w:r>
            <w:r w:rsidRPr="00C94BDD">
              <w:rPr>
                <w:rFonts w:eastAsia="Times New Roman" w:cs="Arial"/>
                <w:color w:val="000000"/>
                <w:lang w:eastAsia="bg-BG"/>
              </w:rPr>
              <w:t>Тази нежелана реакци, съобщена като много честа при пациенти получаващи монтелукаст, е съобщена също като много честа при пациенти, които са получавали плацебо по време на клинични изпитвания.</w:t>
            </w:r>
          </w:p>
          <w:p w14:paraId="55C9E1C1"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vertAlign w:val="superscript"/>
                <w:lang w:eastAsia="bg-BG"/>
              </w:rPr>
              <w:t>++</w:t>
            </w:r>
            <w:r w:rsidRPr="00C94BDD">
              <w:rPr>
                <w:rFonts w:eastAsia="Times New Roman" w:cs="Arial"/>
                <w:color w:val="000000"/>
                <w:lang w:eastAsia="bg-BG"/>
              </w:rPr>
              <w:t>Тази нежелана реакци, съобщена като честа при пациенти получаващи монтелукаст, е съобщена също като честа при пациенти, които са получавали плацебо по време на клинични изпитвания.</w:t>
            </w:r>
          </w:p>
          <w:p w14:paraId="08A5D89F" w14:textId="3CE692FD" w:rsidR="00C94BDD" w:rsidRPr="00C94BDD" w:rsidRDefault="00C94BDD" w:rsidP="00C94BDD">
            <w:pPr>
              <w:tabs>
                <w:tab w:val="left" w:pos="1046"/>
              </w:tabs>
              <w:rPr>
                <w:rFonts w:cs="Arial"/>
              </w:rPr>
            </w:pPr>
            <w:r w:rsidRPr="00C94BDD">
              <w:rPr>
                <w:rFonts w:eastAsia="Times New Roman" w:cs="Arial"/>
                <w:color w:val="000000"/>
                <w:vertAlign w:val="superscript"/>
                <w:lang w:eastAsia="bg-BG"/>
              </w:rPr>
              <w:t>§</w:t>
            </w:r>
            <w:r w:rsidRPr="00C94BDD">
              <w:rPr>
                <w:rFonts w:eastAsia="Times New Roman" w:cs="Arial"/>
                <w:color w:val="000000"/>
                <w:lang w:eastAsia="bg-BG"/>
              </w:rPr>
              <w:t>Категория честота: редки</w:t>
            </w:r>
          </w:p>
        </w:tc>
      </w:tr>
    </w:tbl>
    <w:p w14:paraId="33FC6F5B" w14:textId="77777777" w:rsidR="00C94BDD" w:rsidRDefault="00C94BDD" w:rsidP="00C94BDD">
      <w:pPr>
        <w:spacing w:line="240" w:lineRule="auto"/>
        <w:rPr>
          <w:rFonts w:ascii="Times New Roman" w:eastAsia="Times New Roman" w:hAnsi="Times New Roman" w:cs="Times New Roman"/>
          <w:color w:val="000000"/>
          <w:u w:val="single"/>
          <w:lang w:eastAsia="bg-BG"/>
        </w:rPr>
      </w:pPr>
    </w:p>
    <w:p w14:paraId="01847D58" w14:textId="120A661F" w:rsidR="00C94BDD" w:rsidRPr="00C94BDD" w:rsidRDefault="00C94BDD" w:rsidP="00C94BDD">
      <w:pPr>
        <w:spacing w:line="240" w:lineRule="auto"/>
        <w:rPr>
          <w:rFonts w:eastAsia="Times New Roman" w:cs="Arial"/>
        </w:rPr>
      </w:pPr>
      <w:r w:rsidRPr="00C94BDD">
        <w:rPr>
          <w:rFonts w:eastAsia="Times New Roman" w:cs="Arial"/>
          <w:color w:val="000000"/>
          <w:u w:val="single"/>
          <w:lang w:eastAsia="bg-BG"/>
        </w:rPr>
        <w:t>Съобщаване на подозирани нежелани реакции</w:t>
      </w:r>
    </w:p>
    <w:p w14:paraId="755F35DD" w14:textId="15F891A3" w:rsidR="00C94BDD" w:rsidRDefault="00C94BDD" w:rsidP="00C94BDD">
      <w:pPr>
        <w:tabs>
          <w:tab w:val="left" w:pos="1046"/>
        </w:tabs>
        <w:rPr>
          <w:rFonts w:eastAsia="Times New Roman" w:cs="Arial"/>
          <w:color w:val="000000"/>
          <w:lang w:val="en-US"/>
        </w:rPr>
      </w:pPr>
      <w:r w:rsidRPr="00C94BDD">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8,1303 София, тел: +359 2 8903417, уебсайт: </w:t>
      </w:r>
      <w:r w:rsidRPr="00C94BDD">
        <w:rPr>
          <w:rFonts w:eastAsia="Times New Roman" w:cs="Arial"/>
        </w:rPr>
        <w:fldChar w:fldCharType="begin"/>
      </w:r>
      <w:r w:rsidRPr="00C94BDD">
        <w:rPr>
          <w:rFonts w:eastAsia="Times New Roman" w:cs="Arial"/>
        </w:rPr>
        <w:instrText xml:space="preserve"> HYPERLINK "http://www.bda.bg" </w:instrText>
      </w:r>
      <w:r w:rsidRPr="00C94BDD">
        <w:rPr>
          <w:rFonts w:eastAsia="Times New Roman" w:cs="Arial"/>
        </w:rPr>
      </w:r>
      <w:r w:rsidRPr="00C94BDD">
        <w:rPr>
          <w:rFonts w:eastAsia="Times New Roman" w:cs="Arial"/>
        </w:rPr>
        <w:fldChar w:fldCharType="separate"/>
      </w:r>
      <w:r w:rsidRPr="00C94BDD">
        <w:rPr>
          <w:rFonts w:eastAsia="Times New Roman" w:cs="Arial"/>
          <w:color w:val="000000"/>
          <w:lang w:val="en-US"/>
        </w:rPr>
        <w:t>www.bda.bg</w:t>
      </w:r>
      <w:r w:rsidRPr="00C94BDD">
        <w:rPr>
          <w:rFonts w:eastAsia="Times New Roman" w:cs="Arial"/>
        </w:rPr>
        <w:fldChar w:fldCharType="end"/>
      </w:r>
      <w:r w:rsidRPr="00C94BDD">
        <w:rPr>
          <w:rFonts w:eastAsia="Times New Roman" w:cs="Arial"/>
          <w:color w:val="000000"/>
          <w:lang w:val="en-US"/>
        </w:rPr>
        <w:t>.</w:t>
      </w:r>
    </w:p>
    <w:p w14:paraId="7BF7D10F" w14:textId="77777777" w:rsidR="00C94BDD" w:rsidRPr="00C94BDD" w:rsidRDefault="00C94BDD" w:rsidP="00C94BDD">
      <w:pPr>
        <w:tabs>
          <w:tab w:val="left" w:pos="1046"/>
        </w:tabs>
        <w:rPr>
          <w:rFonts w:cs="Arial"/>
        </w:rPr>
      </w:pPr>
    </w:p>
    <w:p w14:paraId="5A87DBA3" w14:textId="30DFEC38" w:rsidR="007122AD" w:rsidRDefault="002C50EE" w:rsidP="00936AD0">
      <w:pPr>
        <w:pStyle w:val="Heading2"/>
      </w:pPr>
      <w:r>
        <w:t>4.9. Предозиране</w:t>
      </w:r>
    </w:p>
    <w:p w14:paraId="1975F278" w14:textId="5CE39C11" w:rsidR="00C94BDD" w:rsidRDefault="00C94BDD" w:rsidP="00C94BDD"/>
    <w:p w14:paraId="74C1D04D"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При проучвания за хронична астма, монтелукаст е прилаган на възрастни пациенти в дози до 200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дневно в продължение на 22 седмици, а при краткосрочни проучвания - до 900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дневно за приблизително една седмица, без клинично значими нежелани лекарствени реакции.</w:t>
      </w:r>
    </w:p>
    <w:p w14:paraId="6B006AC8" w14:textId="77777777" w:rsidR="00C94BDD" w:rsidRPr="00C94BDD" w:rsidRDefault="00C94BDD" w:rsidP="00C94BDD">
      <w:pPr>
        <w:spacing w:line="240" w:lineRule="auto"/>
        <w:rPr>
          <w:rFonts w:eastAsia="Times New Roman" w:cs="Arial"/>
          <w:color w:val="000000"/>
          <w:lang w:eastAsia="bg-BG"/>
        </w:rPr>
      </w:pPr>
    </w:p>
    <w:p w14:paraId="4A611AC6" w14:textId="09E32B4A"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lastRenderedPageBreak/>
        <w:t xml:space="preserve">Съществуват съобщения за остро предозиране по време на постмаркетинговия период и клиничните проучвания с монтелукаст. Те включват съобщения при възрастни и деца с дози до 1,000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(приблизително 61 </w:t>
      </w:r>
      <w:r w:rsidRPr="00C94BDD">
        <w:rPr>
          <w:rFonts w:eastAsia="Times New Roman" w:cs="Arial"/>
          <w:color w:val="000000"/>
          <w:lang w:val="en-US"/>
        </w:rPr>
        <w:t>mg</w:t>
      </w:r>
      <w:r w:rsidRPr="00C94BDD">
        <w:rPr>
          <w:rFonts w:eastAsia="Times New Roman" w:cs="Arial"/>
          <w:color w:val="000000"/>
          <w:lang w:val="ru-RU"/>
        </w:rPr>
        <w:t>/</w:t>
      </w:r>
      <w:r w:rsidRPr="00C94BDD">
        <w:rPr>
          <w:rFonts w:eastAsia="Times New Roman" w:cs="Arial"/>
          <w:color w:val="000000"/>
          <w:lang w:val="en-US"/>
        </w:rPr>
        <w:t>kg</w:t>
      </w:r>
      <w:r w:rsidRPr="00C94BDD">
        <w:rPr>
          <w:rFonts w:eastAsia="Times New Roman" w:cs="Arial"/>
          <w:color w:val="000000"/>
          <w:lang w:val="ru-RU"/>
        </w:rPr>
        <w:t xml:space="preserve"> </w:t>
      </w:r>
      <w:r w:rsidRPr="00C94BDD">
        <w:rPr>
          <w:rFonts w:eastAsia="Times New Roman" w:cs="Arial"/>
          <w:color w:val="000000"/>
          <w:lang w:eastAsia="bg-BG"/>
        </w:rPr>
        <w:t>при дете на 42-месечна възраст). Наблюдаваните клинични и лабораторни находки са били в съответствие с профила на безопасност при възрастни и деца. Не е имало нежелани лекарствени реакции в болшинството от случаите на предозиране.</w:t>
      </w:r>
    </w:p>
    <w:p w14:paraId="3DCE0E1B" w14:textId="77777777" w:rsidR="00C94BDD" w:rsidRPr="00C94BDD" w:rsidRDefault="00C94BDD" w:rsidP="00C94BDD">
      <w:pPr>
        <w:spacing w:line="240" w:lineRule="auto"/>
        <w:rPr>
          <w:rFonts w:eastAsia="Times New Roman" w:cs="Arial"/>
          <w:color w:val="000000"/>
          <w:u w:val="single"/>
          <w:lang w:eastAsia="bg-BG"/>
        </w:rPr>
      </w:pPr>
    </w:p>
    <w:p w14:paraId="0A4D0110" w14:textId="0A0D5DA4" w:rsidR="00C94BDD" w:rsidRPr="00C94BDD" w:rsidRDefault="00C94BDD" w:rsidP="00C94BDD">
      <w:pPr>
        <w:spacing w:line="240" w:lineRule="auto"/>
        <w:rPr>
          <w:rFonts w:eastAsia="Times New Roman" w:cs="Arial"/>
          <w:sz w:val="24"/>
          <w:szCs w:val="24"/>
        </w:rPr>
      </w:pPr>
      <w:r w:rsidRPr="00C94BDD">
        <w:rPr>
          <w:rFonts w:eastAsia="Times New Roman" w:cs="Arial"/>
          <w:color w:val="000000"/>
          <w:u w:val="single"/>
          <w:lang w:eastAsia="bg-BG"/>
        </w:rPr>
        <w:t>Симптоми на предозиране</w:t>
      </w:r>
    </w:p>
    <w:p w14:paraId="472E8234"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Най-често наблюдаваните нежелани реакции са били в съответствие спрофила на безопасност на монтелукаст и са включвали коремна болка, сомнолентност, жажда, главоболие, повръщане и психомоторна хиперактивност.</w:t>
      </w:r>
    </w:p>
    <w:p w14:paraId="0BC4BCB6" w14:textId="77777777" w:rsidR="00C94BDD" w:rsidRPr="00C94BDD" w:rsidRDefault="00C94BDD" w:rsidP="00C94BDD">
      <w:pPr>
        <w:spacing w:line="240" w:lineRule="auto"/>
        <w:rPr>
          <w:rFonts w:eastAsia="Times New Roman" w:cs="Arial"/>
          <w:color w:val="000000"/>
          <w:u w:val="single"/>
          <w:lang w:eastAsia="bg-BG"/>
        </w:rPr>
      </w:pPr>
    </w:p>
    <w:p w14:paraId="5E45D1FE" w14:textId="24FFFE1F" w:rsidR="00C94BDD" w:rsidRPr="00C94BDD" w:rsidRDefault="00C94BDD" w:rsidP="00C94BDD">
      <w:pPr>
        <w:spacing w:line="240" w:lineRule="auto"/>
        <w:rPr>
          <w:rFonts w:eastAsia="Times New Roman" w:cs="Arial"/>
          <w:sz w:val="24"/>
          <w:szCs w:val="24"/>
        </w:rPr>
      </w:pPr>
      <w:r w:rsidRPr="00C94BDD">
        <w:rPr>
          <w:rFonts w:eastAsia="Times New Roman" w:cs="Arial"/>
          <w:color w:val="000000"/>
          <w:u w:val="single"/>
          <w:lang w:eastAsia="bg-BG"/>
        </w:rPr>
        <w:t>Лечение на предозиране</w:t>
      </w:r>
    </w:p>
    <w:p w14:paraId="3795D397"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Няма специфична информация за лечение при предозиране на монтелукаст. Не е известно дали монтелукаст се диализира чрез перитонеална или хемодиализа.</w:t>
      </w:r>
    </w:p>
    <w:p w14:paraId="6CB05700" w14:textId="44068121" w:rsidR="00C94BDD" w:rsidRPr="00C94BDD" w:rsidRDefault="00C94BDD" w:rsidP="00C94BDD"/>
    <w:p w14:paraId="02081B24" w14:textId="36FE76F4" w:rsidR="00395555" w:rsidRPr="00395555" w:rsidRDefault="002C50EE" w:rsidP="008A6AF2">
      <w:pPr>
        <w:pStyle w:val="Heading1"/>
      </w:pPr>
      <w:r>
        <w:t>5. ФАРМАКОЛОГИЧНИ СВОЙСТВА</w:t>
      </w:r>
    </w:p>
    <w:p w14:paraId="6339E404" w14:textId="6A0BB726" w:rsidR="00875EEC" w:rsidRDefault="002C50EE" w:rsidP="005726E3">
      <w:pPr>
        <w:pStyle w:val="Heading2"/>
      </w:pPr>
      <w:r>
        <w:t>5.1. Фармакодинамични свойства</w:t>
      </w:r>
    </w:p>
    <w:p w14:paraId="5E7E206B" w14:textId="27AE8D21" w:rsidR="00C94BDD" w:rsidRDefault="00C94BDD" w:rsidP="00C94BDD"/>
    <w:p w14:paraId="17AC20FF"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Фармакотерапевтична група: Антагонисти на левкотриеновия рецептор АТС код: </w:t>
      </w:r>
      <w:r w:rsidRPr="00C94BDD">
        <w:rPr>
          <w:rFonts w:eastAsia="Times New Roman" w:cs="Arial"/>
          <w:color w:val="000000"/>
          <w:lang w:val="en-US"/>
        </w:rPr>
        <w:t>R</w:t>
      </w:r>
      <w:r w:rsidRPr="00C94BDD">
        <w:rPr>
          <w:rFonts w:eastAsia="Times New Roman" w:cs="Arial"/>
          <w:color w:val="000000"/>
          <w:lang w:val="ru-RU"/>
        </w:rPr>
        <w:t>03</w:t>
      </w:r>
      <w:r w:rsidRPr="00C94BDD">
        <w:rPr>
          <w:rFonts w:eastAsia="Times New Roman" w:cs="Arial"/>
          <w:color w:val="000000"/>
          <w:lang w:val="en-US"/>
        </w:rPr>
        <w:t>D</w:t>
      </w:r>
      <w:r w:rsidRPr="00C94BDD">
        <w:rPr>
          <w:rFonts w:eastAsia="Times New Roman" w:cs="Arial"/>
          <w:color w:val="000000"/>
          <w:lang w:val="ru-RU"/>
        </w:rPr>
        <w:t xml:space="preserve"> </w:t>
      </w:r>
      <w:r w:rsidRPr="00C94BDD">
        <w:rPr>
          <w:rFonts w:eastAsia="Times New Roman" w:cs="Arial"/>
          <w:color w:val="000000"/>
          <w:lang w:eastAsia="bg-BG"/>
        </w:rPr>
        <w:t>СОЗ</w:t>
      </w:r>
    </w:p>
    <w:p w14:paraId="126D35D2" w14:textId="77777777" w:rsidR="00C94BDD" w:rsidRPr="00C94BDD" w:rsidRDefault="00C94BDD" w:rsidP="00C94BDD">
      <w:pPr>
        <w:spacing w:line="240" w:lineRule="auto"/>
        <w:rPr>
          <w:rFonts w:eastAsia="Times New Roman" w:cs="Arial"/>
          <w:color w:val="000000"/>
          <w:u w:val="single"/>
          <w:lang w:eastAsia="bg-BG"/>
        </w:rPr>
      </w:pPr>
    </w:p>
    <w:p w14:paraId="417A9BB9" w14:textId="0E489AF4" w:rsidR="00C94BDD" w:rsidRPr="00C94BDD" w:rsidRDefault="00C94BDD" w:rsidP="00C94BDD">
      <w:pPr>
        <w:spacing w:line="240" w:lineRule="auto"/>
        <w:rPr>
          <w:rFonts w:eastAsia="Times New Roman" w:cs="Arial"/>
          <w:sz w:val="24"/>
          <w:szCs w:val="24"/>
        </w:rPr>
      </w:pPr>
      <w:r w:rsidRPr="00C94BDD">
        <w:rPr>
          <w:rFonts w:eastAsia="Times New Roman" w:cs="Arial"/>
          <w:color w:val="000000"/>
          <w:u w:val="single"/>
          <w:lang w:eastAsia="bg-BG"/>
        </w:rPr>
        <w:t>Механизъм на действие</w:t>
      </w:r>
    </w:p>
    <w:p w14:paraId="43F2C77B" w14:textId="77777777" w:rsidR="00C94BDD" w:rsidRPr="00C94BDD" w:rsidRDefault="00C94BDD" w:rsidP="00C94BDD">
      <w:pPr>
        <w:rPr>
          <w:rFonts w:eastAsia="Times New Roman" w:cs="Arial"/>
          <w:sz w:val="24"/>
          <w:szCs w:val="24"/>
        </w:rPr>
      </w:pPr>
      <w:r w:rsidRPr="00C94BDD">
        <w:rPr>
          <w:rFonts w:eastAsia="Times New Roman" w:cs="Arial"/>
          <w:color w:val="000000"/>
          <w:lang w:eastAsia="bg-BG"/>
        </w:rPr>
        <w:t xml:space="preserve">Цистеинил левкотриените </w:t>
      </w:r>
      <w:r w:rsidRPr="00C94BDD">
        <w:rPr>
          <w:rFonts w:eastAsia="Times New Roman" w:cs="Arial"/>
          <w:color w:val="000000"/>
          <w:lang w:val="ru-RU"/>
        </w:rPr>
        <w:t>(</w:t>
      </w:r>
      <w:r w:rsidRPr="00C94BDD">
        <w:rPr>
          <w:rFonts w:eastAsia="Times New Roman" w:cs="Arial"/>
          <w:color w:val="000000"/>
          <w:lang w:val="en-US"/>
        </w:rPr>
        <w:t>LTC</w:t>
      </w:r>
      <w:r w:rsidRPr="00C94BDD">
        <w:rPr>
          <w:rFonts w:eastAsia="Times New Roman" w:cs="Arial"/>
          <w:color w:val="000000"/>
          <w:vertAlign w:val="subscript"/>
          <w:lang w:val="ru-RU"/>
        </w:rPr>
        <w:t>4</w:t>
      </w:r>
      <w:r w:rsidRPr="00C94BDD">
        <w:rPr>
          <w:rFonts w:eastAsia="Times New Roman" w:cs="Arial"/>
          <w:color w:val="000000"/>
          <w:lang w:val="ru-RU"/>
        </w:rPr>
        <w:t xml:space="preserve">, </w:t>
      </w:r>
      <w:r w:rsidRPr="00C94BDD">
        <w:rPr>
          <w:rFonts w:eastAsia="Times New Roman" w:cs="Arial"/>
          <w:color w:val="000000"/>
          <w:lang w:val="en-US"/>
        </w:rPr>
        <w:t>LTD</w:t>
      </w:r>
      <w:r w:rsidRPr="00C94BDD">
        <w:rPr>
          <w:rFonts w:eastAsia="Times New Roman" w:cs="Arial"/>
          <w:color w:val="000000"/>
          <w:vertAlign w:val="subscript"/>
          <w:lang w:val="ru-RU"/>
        </w:rPr>
        <w:t>4</w:t>
      </w:r>
      <w:r w:rsidRPr="00C94BDD">
        <w:rPr>
          <w:rFonts w:eastAsia="Times New Roman" w:cs="Arial"/>
          <w:color w:val="000000"/>
          <w:lang w:val="ru-RU"/>
        </w:rPr>
        <w:t xml:space="preserve">, </w:t>
      </w:r>
      <w:r w:rsidRPr="00C94BDD">
        <w:rPr>
          <w:rFonts w:eastAsia="Times New Roman" w:cs="Arial"/>
          <w:color w:val="000000"/>
          <w:lang w:val="en-US"/>
        </w:rPr>
        <w:t>LTE</w:t>
      </w:r>
      <w:r w:rsidRPr="00C94BDD">
        <w:rPr>
          <w:rFonts w:eastAsia="Times New Roman" w:cs="Arial"/>
          <w:color w:val="000000"/>
          <w:vertAlign w:val="subscript"/>
          <w:lang w:val="ru-RU"/>
        </w:rPr>
        <w:t>4</w:t>
      </w:r>
      <w:r w:rsidRPr="00C94BDD">
        <w:rPr>
          <w:rFonts w:eastAsia="Times New Roman" w:cs="Arial"/>
          <w:color w:val="000000"/>
          <w:lang w:val="ru-RU"/>
        </w:rPr>
        <w:t xml:space="preserve">) </w:t>
      </w:r>
      <w:r w:rsidRPr="00C94BDD">
        <w:rPr>
          <w:rFonts w:eastAsia="Times New Roman" w:cs="Arial"/>
          <w:color w:val="000000"/>
          <w:lang w:eastAsia="bg-BG"/>
        </w:rPr>
        <w:t xml:space="preserve">са мощни възпалителни ейкозаноиди, освобождавани от различни клетки, включително мастоцити и еозинофили. Тези важни проастматични медиатори се свързват с цистеинил левкотриенови </w:t>
      </w:r>
      <w:r w:rsidRPr="00C94BDD">
        <w:rPr>
          <w:rFonts w:eastAsia="Times New Roman" w:cs="Arial"/>
          <w:color w:val="000000"/>
        </w:rPr>
        <w:t>(</w:t>
      </w:r>
      <w:proofErr w:type="spellStart"/>
      <w:r w:rsidRPr="00C94BDD">
        <w:rPr>
          <w:rFonts w:eastAsia="Times New Roman" w:cs="Arial"/>
          <w:color w:val="000000"/>
          <w:lang w:val="en-US"/>
        </w:rPr>
        <w:t>CysLT</w:t>
      </w:r>
      <w:proofErr w:type="spellEnd"/>
      <w:r w:rsidRPr="00C94BDD">
        <w:rPr>
          <w:rFonts w:eastAsia="Times New Roman" w:cs="Arial"/>
          <w:color w:val="000000"/>
        </w:rPr>
        <w:t xml:space="preserve">) </w:t>
      </w:r>
      <w:r w:rsidRPr="00C94BDD">
        <w:rPr>
          <w:rFonts w:eastAsia="Times New Roman" w:cs="Arial"/>
          <w:color w:val="000000"/>
          <w:lang w:eastAsia="bg-BG"/>
        </w:rPr>
        <w:t>рецептори, които се намират във въздухоносните пътища на човека и предизвикват реакции на въздухоносните пътища, включващи бронхоконстрикция, лигавична секреция, съдова пропускливост и еозинофилно въвличане.</w:t>
      </w:r>
    </w:p>
    <w:p w14:paraId="728FAB6E" w14:textId="77777777" w:rsidR="00C94BDD" w:rsidRPr="00C94BDD" w:rsidRDefault="00C94BDD" w:rsidP="00C94BDD">
      <w:pPr>
        <w:spacing w:line="240" w:lineRule="auto"/>
        <w:rPr>
          <w:rFonts w:eastAsia="Times New Roman" w:cs="Arial"/>
          <w:color w:val="000000"/>
          <w:u w:val="single"/>
          <w:lang w:eastAsia="bg-BG"/>
        </w:rPr>
      </w:pPr>
    </w:p>
    <w:p w14:paraId="53DB9A91" w14:textId="4CD3C093" w:rsidR="00C94BDD" w:rsidRPr="00C94BDD" w:rsidRDefault="00C94BDD" w:rsidP="00C94BDD">
      <w:pPr>
        <w:spacing w:line="240" w:lineRule="auto"/>
        <w:rPr>
          <w:rFonts w:eastAsia="Times New Roman" w:cs="Arial"/>
          <w:sz w:val="24"/>
          <w:szCs w:val="24"/>
        </w:rPr>
      </w:pPr>
      <w:r w:rsidRPr="00C94BDD">
        <w:rPr>
          <w:rFonts w:eastAsia="Times New Roman" w:cs="Arial"/>
          <w:color w:val="000000"/>
          <w:u w:val="single"/>
          <w:lang w:eastAsia="bg-BG"/>
        </w:rPr>
        <w:t>Фармакодинамични ефекти</w:t>
      </w:r>
    </w:p>
    <w:p w14:paraId="2AC58132"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Монтелукаст е перорално активно вещество, което се свързва с висок афинитет и селективност с </w:t>
      </w:r>
      <w:proofErr w:type="spellStart"/>
      <w:r w:rsidRPr="00C94BDD">
        <w:rPr>
          <w:rFonts w:eastAsia="Times New Roman" w:cs="Arial"/>
          <w:color w:val="000000"/>
          <w:lang w:val="en-US"/>
        </w:rPr>
        <w:t>CysLT</w:t>
      </w:r>
      <w:proofErr w:type="spellEnd"/>
      <w:r w:rsidRPr="00C94BDD">
        <w:rPr>
          <w:rFonts w:eastAsia="Times New Roman" w:cs="Arial"/>
          <w:color w:val="000000"/>
          <w:vertAlign w:val="subscript"/>
          <w:lang w:val="ru-RU"/>
        </w:rPr>
        <w:t>1</w:t>
      </w:r>
      <w:r w:rsidRPr="00C94BDD">
        <w:rPr>
          <w:rFonts w:eastAsia="Times New Roman" w:cs="Arial"/>
          <w:color w:val="000000"/>
          <w:lang w:val="ru-RU"/>
        </w:rPr>
        <w:t xml:space="preserve"> </w:t>
      </w:r>
      <w:r w:rsidRPr="00C94BDD">
        <w:rPr>
          <w:rFonts w:eastAsia="Times New Roman" w:cs="Arial"/>
          <w:color w:val="000000"/>
          <w:lang w:eastAsia="bg-BG"/>
        </w:rPr>
        <w:t xml:space="preserve">рецептора. В клинични изпитвания, монтелукаст инхибира бронхоконстрикцията, дължаща се на инхалиран </w:t>
      </w:r>
      <w:r w:rsidRPr="00C94BDD">
        <w:rPr>
          <w:rFonts w:eastAsia="Times New Roman" w:cs="Arial"/>
          <w:color w:val="000000"/>
          <w:lang w:val="en-US"/>
        </w:rPr>
        <w:t>LTD</w:t>
      </w:r>
      <w:r w:rsidRPr="00C94BDD">
        <w:rPr>
          <w:rFonts w:eastAsia="Times New Roman" w:cs="Arial"/>
          <w:color w:val="000000"/>
          <w:vertAlign w:val="subscript"/>
          <w:lang w:val="ru-RU"/>
        </w:rPr>
        <w:t>4</w:t>
      </w:r>
      <w:r w:rsidRPr="00C94BDD">
        <w:rPr>
          <w:rFonts w:eastAsia="Times New Roman" w:cs="Arial"/>
          <w:color w:val="000000"/>
          <w:lang w:val="ru-RU"/>
        </w:rPr>
        <w:t xml:space="preserve"> </w:t>
      </w:r>
      <w:r w:rsidRPr="00C94BDD">
        <w:rPr>
          <w:rFonts w:eastAsia="Times New Roman" w:cs="Arial"/>
          <w:color w:val="000000"/>
          <w:lang w:eastAsia="bg-BG"/>
        </w:rPr>
        <w:t xml:space="preserve">при дози по-ниски от 5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Бронходилатацията се наблюдава в рамките на 2 часа от пероралния прием. Бронходилатацията, предизвикана от β-агонисти е адитивна към тази предизвикана от монтелукаст. Лечението с монтелукаст повлиява както ранната, така и късната фаза на бронхоконстрикцията, дължаща се на антигенна заплаха. Монтелукаст, в сравнен с плацебо, намалява еозинофилите в периферната кръв на възрастни и деца. В отделно изпитване, лечението с монтелукаст значимо намалява еозинофилите във въздухоносните пътища (измерено в храчката). При възрастни и деца от 2 до 14-годишна възраст, монтелукаст, в сравнение с плацебо, намалява еозинофилите в периферната кръв, като подобрява клиничния контрол на астмата.</w:t>
      </w:r>
    </w:p>
    <w:p w14:paraId="6B4F2DD5" w14:textId="77777777" w:rsidR="00C94BDD" w:rsidRPr="00C94BDD" w:rsidRDefault="00C94BDD" w:rsidP="00C94BDD">
      <w:pPr>
        <w:spacing w:line="240" w:lineRule="auto"/>
        <w:rPr>
          <w:rFonts w:eastAsia="Times New Roman" w:cs="Arial"/>
          <w:color w:val="000000"/>
          <w:u w:val="single"/>
          <w:lang w:eastAsia="bg-BG"/>
        </w:rPr>
      </w:pPr>
    </w:p>
    <w:p w14:paraId="75FA30CE" w14:textId="0CB0879C" w:rsidR="00C94BDD" w:rsidRPr="00C94BDD" w:rsidRDefault="00C94BDD" w:rsidP="00C94BDD">
      <w:pPr>
        <w:spacing w:line="240" w:lineRule="auto"/>
        <w:rPr>
          <w:rFonts w:eastAsia="Times New Roman" w:cs="Arial"/>
          <w:sz w:val="24"/>
          <w:szCs w:val="24"/>
        </w:rPr>
      </w:pPr>
      <w:r w:rsidRPr="00C94BDD">
        <w:rPr>
          <w:rFonts w:eastAsia="Times New Roman" w:cs="Arial"/>
          <w:color w:val="000000"/>
          <w:u w:val="single"/>
          <w:lang w:eastAsia="bg-BG"/>
        </w:rPr>
        <w:t>Клинична ефикасност и безопасност</w:t>
      </w:r>
    </w:p>
    <w:p w14:paraId="1A2F4048"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В изпитвания при възрастни монтелукаст 10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веднъж дневно, сравнен с плацебо, показва значително подобрение в сутрешния 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(10,4 % спрямо 2,7 % промяна спрямо изходните стойности), АМ скорост на пиковия експираторен поток </w:t>
      </w:r>
      <w:r w:rsidRPr="00C94BDD">
        <w:rPr>
          <w:rFonts w:eastAsia="Times New Roman" w:cs="Arial"/>
          <w:color w:val="000000"/>
          <w:lang w:val="ru-RU"/>
        </w:rPr>
        <w:t>(</w:t>
      </w:r>
      <w:r w:rsidRPr="00C94BDD">
        <w:rPr>
          <w:rFonts w:eastAsia="Times New Roman" w:cs="Arial"/>
          <w:color w:val="000000"/>
          <w:lang w:val="en-US"/>
        </w:rPr>
        <w:t>PEFR</w:t>
      </w:r>
      <w:r w:rsidRPr="00C94BDD">
        <w:rPr>
          <w:rFonts w:eastAsia="Times New Roman" w:cs="Arial"/>
          <w:color w:val="000000"/>
          <w:lang w:val="ru-RU"/>
        </w:rPr>
        <w:t xml:space="preserve">) </w:t>
      </w:r>
      <w:r w:rsidRPr="00C94BDD">
        <w:rPr>
          <w:rFonts w:eastAsia="Times New Roman" w:cs="Arial"/>
          <w:color w:val="000000"/>
          <w:lang w:eastAsia="bg-BG"/>
        </w:rPr>
        <w:t xml:space="preserve">(24,5 </w:t>
      </w:r>
      <w:r w:rsidRPr="00C94BDD">
        <w:rPr>
          <w:rFonts w:eastAsia="Times New Roman" w:cs="Arial"/>
          <w:color w:val="000000"/>
          <w:lang w:val="en-US"/>
        </w:rPr>
        <w:t>L</w:t>
      </w:r>
      <w:r w:rsidRPr="00C94BDD">
        <w:rPr>
          <w:rFonts w:eastAsia="Times New Roman" w:cs="Arial"/>
          <w:color w:val="000000"/>
          <w:lang w:val="ru-RU"/>
        </w:rPr>
        <w:t>/</w:t>
      </w:r>
      <w:r w:rsidRPr="00C94BDD">
        <w:rPr>
          <w:rFonts w:eastAsia="Times New Roman" w:cs="Arial"/>
          <w:color w:val="000000"/>
          <w:lang w:val="en-US"/>
        </w:rPr>
        <w:t>min</w:t>
      </w:r>
      <w:r w:rsidRPr="00C94BDD">
        <w:rPr>
          <w:rFonts w:eastAsia="Times New Roman" w:cs="Arial"/>
          <w:color w:val="000000"/>
          <w:lang w:val="ru-RU"/>
        </w:rPr>
        <w:t xml:space="preserve"> </w:t>
      </w:r>
      <w:r w:rsidRPr="00C94BDD">
        <w:rPr>
          <w:rFonts w:eastAsia="Times New Roman" w:cs="Arial"/>
          <w:color w:val="000000"/>
          <w:lang w:eastAsia="bg-BG"/>
        </w:rPr>
        <w:lastRenderedPageBreak/>
        <w:t xml:space="preserve">спрямо 3,3 </w:t>
      </w:r>
      <w:r w:rsidRPr="00C94BDD">
        <w:rPr>
          <w:rFonts w:eastAsia="Times New Roman" w:cs="Arial"/>
          <w:color w:val="000000"/>
          <w:lang w:val="en-US"/>
        </w:rPr>
        <w:t>L</w:t>
      </w:r>
      <w:r w:rsidRPr="00C94BDD">
        <w:rPr>
          <w:rFonts w:eastAsia="Times New Roman" w:cs="Arial"/>
          <w:color w:val="000000"/>
          <w:lang w:val="ru-RU"/>
        </w:rPr>
        <w:t>/</w:t>
      </w:r>
      <w:r w:rsidRPr="00C94BDD">
        <w:rPr>
          <w:rFonts w:eastAsia="Times New Roman" w:cs="Arial"/>
          <w:color w:val="000000"/>
          <w:lang w:val="en-US"/>
        </w:rPr>
        <w:t>min</w:t>
      </w:r>
      <w:r w:rsidRPr="00C94BDD">
        <w:rPr>
          <w:rFonts w:eastAsia="Times New Roman" w:cs="Arial"/>
          <w:color w:val="000000"/>
          <w:lang w:val="ru-RU"/>
        </w:rPr>
        <w:t xml:space="preserve"> </w:t>
      </w:r>
      <w:r w:rsidRPr="00C94BDD">
        <w:rPr>
          <w:rFonts w:eastAsia="Times New Roman" w:cs="Arial"/>
          <w:color w:val="000000"/>
          <w:lang w:eastAsia="bg-BG"/>
        </w:rPr>
        <w:t>промяна спрямо изходните стойности) и значително понижава общата употреба на β-агонист (-26,1 % спрямо -4,6 % промяна спрямо изходните стойности). Подобрението на докладвания брой от пациентите дневни и нощни астматични симптоми е значително по-добро спрямо плацебо.</w:t>
      </w:r>
    </w:p>
    <w:p w14:paraId="6A36226D" w14:textId="77777777" w:rsidR="00C94BDD" w:rsidRPr="00C94BDD" w:rsidRDefault="00C94BDD" w:rsidP="00C94BDD">
      <w:pPr>
        <w:spacing w:line="240" w:lineRule="auto"/>
        <w:rPr>
          <w:rFonts w:eastAsia="Times New Roman" w:cs="Arial"/>
          <w:color w:val="000000"/>
          <w:lang w:eastAsia="bg-BG"/>
        </w:rPr>
      </w:pPr>
    </w:p>
    <w:p w14:paraId="21C1BDEF" w14:textId="467DA35F"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Изпитвания при възрастни показват способността на монтелукаст да допълва клиничния ефект на инхалационния кортикостероид (% промяна спрямо изходните стойности за инхалационен беклометазон плюс монтелукаст срещу беклометазон, съответно за ФЕО</w:t>
      </w:r>
      <w:r w:rsidRPr="00C94BDD">
        <w:rPr>
          <w:rFonts w:eastAsia="Times New Roman" w:cs="Arial"/>
          <w:color w:val="000000"/>
          <w:vertAlign w:val="subscript"/>
          <w:lang w:eastAsia="bg-BG"/>
        </w:rPr>
        <w:t>1</w:t>
      </w:r>
      <w:r w:rsidRPr="00C94BDD">
        <w:rPr>
          <w:rFonts w:eastAsia="Times New Roman" w:cs="Arial"/>
          <w:color w:val="000000"/>
          <w:lang w:eastAsia="bg-BG"/>
        </w:rPr>
        <w:t>: 5,43 % спрямо 1,04 %; употреба на р-агонист: -8,70 % спрямо 2,64 %). В сравнение с инхалационен беклометазон (200 μ</w:t>
      </w:r>
      <w:r w:rsidRPr="00C94BDD">
        <w:rPr>
          <w:rFonts w:eastAsia="Times New Roman" w:cs="Arial"/>
          <w:color w:val="000000"/>
          <w:lang w:val="en-US"/>
        </w:rPr>
        <w:t>g</w:t>
      </w:r>
      <w:r w:rsidRPr="00C94BDD">
        <w:rPr>
          <w:rFonts w:eastAsia="Times New Roman" w:cs="Arial"/>
          <w:color w:val="000000"/>
          <w:lang w:val="ru-RU"/>
        </w:rPr>
        <w:t xml:space="preserve"> </w:t>
      </w:r>
      <w:r w:rsidRPr="00C94BDD">
        <w:rPr>
          <w:rFonts w:eastAsia="Times New Roman" w:cs="Arial"/>
          <w:color w:val="000000"/>
          <w:lang w:eastAsia="bg-BG"/>
        </w:rPr>
        <w:t>два пъти дневно с устройство за впръскване), монтелукаст показва по-бърз начален отговор, въпреки че след 12-седмично изпитване, беклометазон постига по-висок среден клиничен отговор (% промяна спрямо изходните стойности за монтелукаст срещу беклометазон, респективно за 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7,49 </w:t>
      </w:r>
      <w:r>
        <w:rPr>
          <w:rFonts w:eastAsia="Times New Roman" w:cs="Arial"/>
          <w:color w:val="000000"/>
          <w:lang w:eastAsia="bg-BG"/>
        </w:rPr>
        <w:t xml:space="preserve">% спрямо 13,3 %; употреба на </w:t>
      </w:r>
      <w:r w:rsidRPr="00C94BDD">
        <w:rPr>
          <w:rFonts w:eastAsia="Times New Roman" w:cs="Arial"/>
          <w:color w:val="000000"/>
          <w:lang w:eastAsia="bg-BG"/>
        </w:rPr>
        <w:t>β</w:t>
      </w:r>
      <w:r>
        <w:rPr>
          <w:rFonts w:eastAsia="Times New Roman" w:cs="Arial"/>
          <w:color w:val="000000"/>
          <w:lang w:eastAsia="bg-BG"/>
        </w:rPr>
        <w:t>-</w:t>
      </w:r>
      <w:r w:rsidRPr="00C94BDD">
        <w:rPr>
          <w:rFonts w:eastAsia="Times New Roman" w:cs="Arial"/>
          <w:color w:val="000000"/>
          <w:lang w:eastAsia="bg-BG"/>
        </w:rPr>
        <w:t xml:space="preserve">агонист: -28,28 </w:t>
      </w:r>
      <w:r w:rsidRPr="00C94BDD">
        <w:rPr>
          <w:rFonts w:eastAsia="Times New Roman" w:cs="Arial"/>
          <w:i/>
          <w:iCs/>
          <w:color w:val="000000"/>
          <w:lang w:eastAsia="bg-BG"/>
        </w:rPr>
        <w:t>% спрямо</w:t>
      </w:r>
      <w:r w:rsidRPr="00C94BDD">
        <w:rPr>
          <w:rFonts w:eastAsia="Times New Roman" w:cs="Arial"/>
          <w:color w:val="000000"/>
          <w:lang w:eastAsia="bg-BG"/>
        </w:rPr>
        <w:t xml:space="preserve"> -43,89 %). Въпреки това, сравнен с беклометазон, висок процент пациенти, лекувани с монтелукаст постигат подобен клиничен отговор (напр. 50 % от пациентите лекувани с беклометазон постигат подобрение на 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от приблизително 11% или повече от изходните, докато приблизително 42 % от пациентите лекувани с монтелукаст постигат същия отговор).</w:t>
      </w:r>
    </w:p>
    <w:p w14:paraId="08E6BED4" w14:textId="77777777" w:rsidR="00C94BDD" w:rsidRPr="00C94BDD" w:rsidRDefault="00C94BDD" w:rsidP="00C94BDD">
      <w:pPr>
        <w:spacing w:line="240" w:lineRule="auto"/>
        <w:rPr>
          <w:rFonts w:eastAsia="Times New Roman" w:cs="Arial"/>
          <w:color w:val="000000"/>
          <w:lang w:eastAsia="bg-BG"/>
        </w:rPr>
      </w:pPr>
    </w:p>
    <w:p w14:paraId="20A04102" w14:textId="39D3AED4"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В 8-седмично изпитване при педиатрични пациенти от 6 до 14-годишна възраст, монтелукаст 5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веднъж дневно, сравнен с плацебо, значително подобрява респираторната функция (ФЕО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8,71 % спрямо 4,16 % промяна спрямо изходните стойности; </w:t>
      </w:r>
      <w:r w:rsidRPr="00C94BDD">
        <w:rPr>
          <w:rFonts w:eastAsia="Times New Roman" w:cs="Arial"/>
          <w:color w:val="000000"/>
          <w:lang w:val="en-US"/>
        </w:rPr>
        <w:t>AM</w:t>
      </w:r>
      <w:r w:rsidRPr="00C94BDD">
        <w:rPr>
          <w:rFonts w:eastAsia="Times New Roman" w:cs="Arial"/>
          <w:color w:val="000000"/>
          <w:lang w:val="ru-RU"/>
        </w:rPr>
        <w:t xml:space="preserve"> </w:t>
      </w:r>
      <w:r w:rsidRPr="00C94BDD">
        <w:rPr>
          <w:rFonts w:eastAsia="Times New Roman" w:cs="Arial"/>
          <w:color w:val="000000"/>
          <w:lang w:val="en-US"/>
        </w:rPr>
        <w:t>PEFR</w:t>
      </w:r>
      <w:r w:rsidRPr="00C94BDD">
        <w:rPr>
          <w:rFonts w:eastAsia="Times New Roman" w:cs="Arial"/>
          <w:color w:val="000000"/>
          <w:lang w:val="ru-RU"/>
        </w:rPr>
        <w:t xml:space="preserve"> </w:t>
      </w:r>
      <w:r w:rsidRPr="00C94BDD">
        <w:rPr>
          <w:rFonts w:eastAsia="Times New Roman" w:cs="Arial"/>
          <w:color w:val="000000"/>
          <w:lang w:eastAsia="bg-BG"/>
        </w:rPr>
        <w:t xml:space="preserve">27,9 </w:t>
      </w:r>
      <w:r w:rsidRPr="00C94BDD">
        <w:rPr>
          <w:rFonts w:eastAsia="Times New Roman" w:cs="Arial"/>
          <w:color w:val="000000"/>
          <w:lang w:val="en-US"/>
        </w:rPr>
        <w:t>L</w:t>
      </w:r>
      <w:r w:rsidRPr="00C94BDD">
        <w:rPr>
          <w:rFonts w:eastAsia="Times New Roman" w:cs="Arial"/>
          <w:color w:val="000000"/>
          <w:lang w:val="ru-RU"/>
        </w:rPr>
        <w:t>/</w:t>
      </w:r>
      <w:r w:rsidRPr="00C94BDD">
        <w:rPr>
          <w:rFonts w:eastAsia="Times New Roman" w:cs="Arial"/>
          <w:color w:val="000000"/>
          <w:lang w:val="en-US"/>
        </w:rPr>
        <w:t>min</w:t>
      </w:r>
      <w:r w:rsidRPr="00C94BDD">
        <w:rPr>
          <w:rFonts w:eastAsia="Times New Roman" w:cs="Arial"/>
          <w:color w:val="000000"/>
          <w:lang w:val="ru-RU"/>
        </w:rPr>
        <w:t xml:space="preserve"> </w:t>
      </w:r>
      <w:r w:rsidRPr="00C94BDD">
        <w:rPr>
          <w:rFonts w:eastAsia="Times New Roman" w:cs="Arial"/>
          <w:color w:val="000000"/>
          <w:lang w:eastAsia="bg-BG"/>
        </w:rPr>
        <w:t xml:space="preserve">спрямо 17,8 </w:t>
      </w:r>
      <w:r w:rsidRPr="00C94BDD">
        <w:rPr>
          <w:rFonts w:eastAsia="Times New Roman" w:cs="Arial"/>
          <w:color w:val="000000"/>
          <w:lang w:val="en-US"/>
        </w:rPr>
        <w:t>L</w:t>
      </w:r>
      <w:r w:rsidRPr="00C94BDD">
        <w:rPr>
          <w:rFonts w:eastAsia="Times New Roman" w:cs="Arial"/>
          <w:color w:val="000000"/>
          <w:lang w:val="ru-RU"/>
        </w:rPr>
        <w:t>/</w:t>
      </w:r>
      <w:r w:rsidRPr="00C94BDD">
        <w:rPr>
          <w:rFonts w:eastAsia="Times New Roman" w:cs="Arial"/>
          <w:color w:val="000000"/>
          <w:lang w:val="en-US"/>
        </w:rPr>
        <w:t>min</w:t>
      </w:r>
      <w:r w:rsidRPr="00C94BDD">
        <w:rPr>
          <w:rFonts w:eastAsia="Times New Roman" w:cs="Arial"/>
          <w:color w:val="000000"/>
          <w:lang w:val="ru-RU"/>
        </w:rPr>
        <w:t xml:space="preserve"> </w:t>
      </w:r>
      <w:r w:rsidRPr="00C94BDD">
        <w:rPr>
          <w:rFonts w:eastAsia="Times New Roman" w:cs="Arial"/>
          <w:color w:val="000000"/>
          <w:lang w:eastAsia="bg-BG"/>
        </w:rPr>
        <w:t>промяна спрямо изходните стойности) и намалява нуждата от използване на бета-агонисти при нужда (-11,7 % спрямо + 8,2 % промяна спрямо изходните стойности).</w:t>
      </w:r>
    </w:p>
    <w:p w14:paraId="2FBEBFF8" w14:textId="77777777" w:rsidR="00C94BDD" w:rsidRPr="00C94BDD" w:rsidRDefault="00C94BDD" w:rsidP="00C94BDD">
      <w:pPr>
        <w:spacing w:line="240" w:lineRule="auto"/>
        <w:rPr>
          <w:rFonts w:eastAsia="Times New Roman" w:cs="Arial"/>
          <w:color w:val="000000"/>
          <w:lang w:eastAsia="bg-BG"/>
        </w:rPr>
      </w:pPr>
    </w:p>
    <w:p w14:paraId="3EEAB2A2" w14:textId="43D76044" w:rsidR="00C94BDD" w:rsidRPr="00C94BDD" w:rsidRDefault="00C94BDD" w:rsidP="00C94BDD">
      <w:pPr>
        <w:spacing w:line="240" w:lineRule="auto"/>
        <w:rPr>
          <w:rFonts w:eastAsia="Times New Roman" w:cs="Arial"/>
          <w:color w:val="000000"/>
          <w:lang w:eastAsia="bg-BG"/>
        </w:rPr>
      </w:pPr>
      <w:r w:rsidRPr="00C94BDD">
        <w:rPr>
          <w:rFonts w:eastAsia="Times New Roman" w:cs="Arial"/>
          <w:color w:val="000000"/>
          <w:lang w:eastAsia="bg-BG"/>
        </w:rPr>
        <w:t xml:space="preserve">В 12-месечно изпитване, сравняващо ефикасността на монтелукаст спрямо инхалаторен флутиказон за контрол на астма при педиатрични пациенти от 6 </w:t>
      </w:r>
      <w:r w:rsidRPr="00C94BDD">
        <w:rPr>
          <w:rFonts w:eastAsia="Times New Roman" w:cs="Arial"/>
          <w:color w:val="000000"/>
          <w:lang w:val="en-US"/>
        </w:rPr>
        <w:t>to</w:t>
      </w:r>
      <w:r w:rsidRPr="00C94BDD">
        <w:rPr>
          <w:rFonts w:eastAsia="Times New Roman" w:cs="Arial"/>
          <w:color w:val="000000"/>
          <w:lang w:val="ru-RU"/>
        </w:rPr>
        <w:t xml:space="preserve"> </w:t>
      </w:r>
      <w:r w:rsidRPr="00C94BDD">
        <w:rPr>
          <w:rFonts w:eastAsia="Times New Roman" w:cs="Arial"/>
          <w:color w:val="000000"/>
          <w:lang w:eastAsia="bg-BG"/>
        </w:rPr>
        <w:t xml:space="preserve">14 годишна възраст с лека персистираща астма, монтелукаст не се представя по-лошо от флутиказон по отношение на увеличението на процента дни без лекарства за облекчаване на астмата </w:t>
      </w:r>
      <w:r w:rsidRPr="00C94BDD">
        <w:rPr>
          <w:rFonts w:eastAsia="Times New Roman" w:cs="Arial"/>
          <w:color w:val="000000"/>
          <w:lang w:val="ru-RU"/>
        </w:rPr>
        <w:t>(</w:t>
      </w:r>
      <w:r w:rsidRPr="00C94BDD">
        <w:rPr>
          <w:rFonts w:eastAsia="Times New Roman" w:cs="Arial"/>
          <w:color w:val="000000"/>
          <w:lang w:val="en-US"/>
        </w:rPr>
        <w:t>RFDs</w:t>
      </w:r>
      <w:r w:rsidRPr="00C94BDD">
        <w:rPr>
          <w:rFonts w:eastAsia="Times New Roman" w:cs="Arial"/>
          <w:color w:val="000000"/>
          <w:lang w:val="ru-RU"/>
        </w:rPr>
        <w:t xml:space="preserve">), </w:t>
      </w:r>
      <w:r w:rsidRPr="00C94BDD">
        <w:rPr>
          <w:rFonts w:eastAsia="Times New Roman" w:cs="Arial"/>
          <w:color w:val="000000"/>
          <w:lang w:eastAsia="bg-BG"/>
        </w:rPr>
        <w:t xml:space="preserve">първична крайна точка. Средно за 12-месечния период на лечение процента </w:t>
      </w:r>
      <w:r w:rsidRPr="00C94BDD">
        <w:rPr>
          <w:rFonts w:eastAsia="Times New Roman" w:cs="Arial"/>
          <w:color w:val="000000"/>
          <w:lang w:val="en-US"/>
        </w:rPr>
        <w:t>RFDs</w:t>
      </w:r>
      <w:r w:rsidRPr="00C94BDD">
        <w:rPr>
          <w:rFonts w:eastAsia="Times New Roman" w:cs="Arial"/>
          <w:color w:val="000000"/>
          <w:lang w:val="ru-RU"/>
        </w:rPr>
        <w:t xml:space="preserve"> </w:t>
      </w:r>
      <w:r w:rsidRPr="00C94BDD">
        <w:rPr>
          <w:rFonts w:eastAsia="Times New Roman" w:cs="Arial"/>
          <w:color w:val="000000"/>
          <w:lang w:eastAsia="bg-BG"/>
        </w:rPr>
        <w:t xml:space="preserve">на асмата се увеличава от 61,6 до 84,0 в групата на монтелукаст и от 60,9 до 86,7 в групата на флутиказон. Разликата между двете групи в </w:t>
      </w:r>
      <w:r w:rsidRPr="00C94BDD">
        <w:rPr>
          <w:rFonts w:eastAsia="Times New Roman" w:cs="Arial"/>
          <w:color w:val="000000"/>
          <w:lang w:val="en-US"/>
        </w:rPr>
        <w:t>LS</w:t>
      </w:r>
      <w:r w:rsidRPr="00C94BDD">
        <w:rPr>
          <w:rFonts w:eastAsia="Times New Roman" w:cs="Arial"/>
          <w:color w:val="000000"/>
          <w:lang w:val="ru-RU"/>
        </w:rPr>
        <w:t xml:space="preserve"> </w:t>
      </w:r>
      <w:r w:rsidRPr="00C94BDD">
        <w:rPr>
          <w:rFonts w:eastAsia="Times New Roman" w:cs="Arial"/>
          <w:color w:val="000000"/>
          <w:lang w:eastAsia="bg-BG"/>
        </w:rPr>
        <w:t xml:space="preserve">средно увеличение в процента </w:t>
      </w:r>
      <w:r w:rsidRPr="00C94BDD">
        <w:rPr>
          <w:rFonts w:eastAsia="Times New Roman" w:cs="Arial"/>
          <w:color w:val="000000"/>
          <w:lang w:val="en-US"/>
        </w:rPr>
        <w:t>RFDs</w:t>
      </w:r>
      <w:r w:rsidRPr="00C94BDD">
        <w:rPr>
          <w:rFonts w:eastAsia="Times New Roman" w:cs="Arial"/>
          <w:color w:val="000000"/>
          <w:lang w:val="ru-RU"/>
        </w:rPr>
        <w:t xml:space="preserve"> </w:t>
      </w:r>
      <w:r w:rsidRPr="00C94BDD">
        <w:rPr>
          <w:rFonts w:eastAsia="Times New Roman" w:cs="Arial"/>
          <w:color w:val="000000"/>
          <w:lang w:eastAsia="bg-BG"/>
        </w:rPr>
        <w:t xml:space="preserve">на астмата е статистически значимо (-2,8 с 95 % </w:t>
      </w:r>
      <w:r w:rsidRPr="00C94BDD">
        <w:rPr>
          <w:rFonts w:eastAsia="Times New Roman" w:cs="Arial"/>
          <w:color w:val="000000"/>
          <w:lang w:val="en-US"/>
        </w:rPr>
        <w:t>CI</w:t>
      </w:r>
      <w:r w:rsidRPr="00C94BDD">
        <w:rPr>
          <w:rFonts w:eastAsia="Times New Roman" w:cs="Arial"/>
          <w:color w:val="000000"/>
          <w:lang w:val="ru-RU"/>
        </w:rPr>
        <w:t xml:space="preserve"> </w:t>
      </w:r>
      <w:r w:rsidRPr="00C94BDD">
        <w:rPr>
          <w:rFonts w:eastAsia="Times New Roman" w:cs="Arial"/>
          <w:color w:val="000000"/>
          <w:lang w:eastAsia="bg-BG"/>
        </w:rPr>
        <w:t>от -4,7, -0,9), но в границите на предварително определения диапазон на неинфериорност. И монтелукаст и флутиказон също подобряват астматичния контрол на</w:t>
      </w:r>
      <w:r w:rsidRPr="00C94BDD">
        <w:rPr>
          <w:rFonts w:eastAsia="Times New Roman" w:cs="Arial"/>
          <w:i/>
          <w:iCs/>
          <w:color w:val="000000"/>
          <w:lang w:eastAsia="bg-BG"/>
        </w:rPr>
        <w:t xml:space="preserve"> </w:t>
      </w:r>
      <w:r w:rsidRPr="00C94BDD">
        <w:rPr>
          <w:rFonts w:eastAsia="Times New Roman" w:cs="Arial"/>
          <w:color w:val="000000"/>
          <w:lang w:eastAsia="bg-BG"/>
        </w:rPr>
        <w:t>вторични променливи, оценявани през 12 месечния период на лечение: 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се увеличава от 1,83 </w:t>
      </w:r>
      <w:r w:rsidRPr="00C94BDD">
        <w:rPr>
          <w:rFonts w:eastAsia="Times New Roman" w:cs="Arial"/>
          <w:color w:val="000000"/>
          <w:lang w:val="en-US"/>
        </w:rPr>
        <w:t>L</w:t>
      </w:r>
      <w:r w:rsidRPr="00C94BDD">
        <w:rPr>
          <w:rFonts w:eastAsia="Times New Roman" w:cs="Arial"/>
          <w:color w:val="000000"/>
          <w:lang w:val="ru-RU"/>
        </w:rPr>
        <w:t xml:space="preserve"> </w:t>
      </w:r>
      <w:r w:rsidRPr="00C94BDD">
        <w:rPr>
          <w:rFonts w:eastAsia="Times New Roman" w:cs="Arial"/>
          <w:color w:val="000000"/>
          <w:lang w:eastAsia="bg-BG"/>
        </w:rPr>
        <w:t xml:space="preserve">до 2,09 </w:t>
      </w:r>
      <w:r w:rsidRPr="00C94BDD">
        <w:rPr>
          <w:rFonts w:eastAsia="Times New Roman" w:cs="Arial"/>
          <w:color w:val="000000"/>
          <w:lang w:val="en-US"/>
        </w:rPr>
        <w:t>L</w:t>
      </w:r>
      <w:r w:rsidRPr="00C94BDD">
        <w:rPr>
          <w:rFonts w:eastAsia="Times New Roman" w:cs="Arial"/>
          <w:color w:val="000000"/>
          <w:lang w:val="ru-RU"/>
        </w:rPr>
        <w:t xml:space="preserve"> </w:t>
      </w:r>
      <w:r w:rsidRPr="00C94BDD">
        <w:rPr>
          <w:rFonts w:eastAsia="Times New Roman" w:cs="Arial"/>
          <w:color w:val="000000"/>
          <w:lang w:eastAsia="bg-BG"/>
        </w:rPr>
        <w:t xml:space="preserve">в групата на монтелукаст и от 1,85 </w:t>
      </w:r>
      <w:r w:rsidRPr="00C94BDD">
        <w:rPr>
          <w:rFonts w:eastAsia="Times New Roman" w:cs="Arial"/>
          <w:color w:val="000000"/>
          <w:lang w:val="en-US"/>
        </w:rPr>
        <w:t>L</w:t>
      </w:r>
      <w:r w:rsidRPr="00C94BDD">
        <w:rPr>
          <w:rFonts w:eastAsia="Times New Roman" w:cs="Arial"/>
          <w:color w:val="000000"/>
          <w:lang w:val="ru-RU"/>
        </w:rPr>
        <w:t xml:space="preserve"> </w:t>
      </w:r>
      <w:r w:rsidRPr="00C94BDD">
        <w:rPr>
          <w:rFonts w:eastAsia="Times New Roman" w:cs="Arial"/>
          <w:color w:val="000000"/>
          <w:lang w:eastAsia="bg-BG"/>
        </w:rPr>
        <w:t xml:space="preserve">на 2.,14 </w:t>
      </w:r>
      <w:r w:rsidRPr="00C94BDD">
        <w:rPr>
          <w:rFonts w:eastAsia="Times New Roman" w:cs="Arial"/>
          <w:color w:val="000000"/>
          <w:lang w:val="en-US"/>
        </w:rPr>
        <w:t>L</w:t>
      </w:r>
      <w:r w:rsidRPr="00C94BDD">
        <w:rPr>
          <w:rFonts w:eastAsia="Times New Roman" w:cs="Arial"/>
          <w:color w:val="000000"/>
          <w:lang w:val="ru-RU"/>
        </w:rPr>
        <w:t xml:space="preserve"> </w:t>
      </w:r>
      <w:r w:rsidRPr="00C94BDD">
        <w:rPr>
          <w:rFonts w:eastAsia="Times New Roman" w:cs="Arial"/>
          <w:color w:val="000000"/>
          <w:lang w:eastAsia="bg-BG"/>
        </w:rPr>
        <w:t>в групата на флутиказон.</w:t>
      </w:r>
    </w:p>
    <w:p w14:paraId="3894DC02" w14:textId="41C90142" w:rsidR="00C94BDD" w:rsidRPr="00C94BDD" w:rsidRDefault="00C94BDD" w:rsidP="00C94BDD">
      <w:pPr>
        <w:spacing w:line="240" w:lineRule="auto"/>
        <w:rPr>
          <w:rFonts w:eastAsia="Times New Roman" w:cs="Arial"/>
          <w:color w:val="000000"/>
          <w:lang w:eastAsia="bg-BG"/>
        </w:rPr>
      </w:pPr>
    </w:p>
    <w:p w14:paraId="231519E1"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Разликата между двете групи в </w:t>
      </w:r>
      <w:r w:rsidRPr="00C94BDD">
        <w:rPr>
          <w:rFonts w:eastAsia="Times New Roman" w:cs="Arial"/>
          <w:color w:val="000000"/>
          <w:lang w:val="en-US"/>
        </w:rPr>
        <w:t>LS</w:t>
      </w:r>
      <w:r w:rsidRPr="00C94BDD">
        <w:rPr>
          <w:rFonts w:eastAsia="Times New Roman" w:cs="Arial"/>
          <w:color w:val="000000"/>
          <w:lang w:val="ru-RU"/>
        </w:rPr>
        <w:t xml:space="preserve"> </w:t>
      </w:r>
      <w:r w:rsidRPr="00C94BDD">
        <w:rPr>
          <w:rFonts w:eastAsia="Times New Roman" w:cs="Arial"/>
          <w:color w:val="000000"/>
          <w:lang w:eastAsia="bg-BG"/>
        </w:rPr>
        <w:t>средно увеличение на 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е -0,02 </w:t>
      </w:r>
      <w:r w:rsidRPr="00C94BDD">
        <w:rPr>
          <w:rFonts w:eastAsia="Times New Roman" w:cs="Arial"/>
          <w:color w:val="000000"/>
          <w:lang w:val="en-US"/>
        </w:rPr>
        <w:t>L</w:t>
      </w:r>
      <w:r w:rsidRPr="00C94BDD">
        <w:rPr>
          <w:rFonts w:eastAsia="Times New Roman" w:cs="Arial"/>
          <w:color w:val="000000"/>
          <w:lang w:val="ru-RU"/>
        </w:rPr>
        <w:t xml:space="preserve"> </w:t>
      </w:r>
      <w:r w:rsidRPr="00C94BDD">
        <w:rPr>
          <w:rFonts w:eastAsia="Times New Roman" w:cs="Arial"/>
          <w:color w:val="000000"/>
          <w:lang w:eastAsia="bg-BG"/>
        </w:rPr>
        <w:t xml:space="preserve">с 95 % </w:t>
      </w:r>
      <w:r w:rsidRPr="00C94BDD">
        <w:rPr>
          <w:rFonts w:eastAsia="Times New Roman" w:cs="Arial"/>
          <w:color w:val="000000"/>
          <w:lang w:val="en-US"/>
        </w:rPr>
        <w:t>CI</w:t>
      </w:r>
      <w:r w:rsidRPr="00C94BDD">
        <w:rPr>
          <w:rFonts w:eastAsia="Times New Roman" w:cs="Arial"/>
          <w:color w:val="000000"/>
          <w:lang w:val="ru-RU"/>
        </w:rPr>
        <w:t xml:space="preserve"> </w:t>
      </w:r>
      <w:r w:rsidRPr="00C94BDD">
        <w:rPr>
          <w:rFonts w:eastAsia="Times New Roman" w:cs="Arial"/>
          <w:color w:val="000000"/>
          <w:lang w:eastAsia="bg-BG"/>
        </w:rPr>
        <w:t>от -0,06,0,02. Средното увеличение спрямо изходните в % предсказано 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е 0,6 % в групата, лекувана с монтелукаст, и 2,7 % в групата, лекувана с флутиказон. Разликата между средните </w:t>
      </w:r>
      <w:r w:rsidRPr="00C94BDD">
        <w:rPr>
          <w:rFonts w:eastAsia="Times New Roman" w:cs="Arial"/>
          <w:color w:val="000000"/>
          <w:lang w:val="en-US"/>
        </w:rPr>
        <w:t>LS</w:t>
      </w:r>
      <w:r w:rsidRPr="00C94BDD">
        <w:rPr>
          <w:rFonts w:eastAsia="Times New Roman" w:cs="Arial"/>
          <w:color w:val="000000"/>
          <w:lang w:val="ru-RU"/>
        </w:rPr>
        <w:t xml:space="preserve"> </w:t>
      </w:r>
      <w:r w:rsidRPr="00C94BDD">
        <w:rPr>
          <w:rFonts w:eastAsia="Times New Roman" w:cs="Arial"/>
          <w:color w:val="000000"/>
          <w:lang w:eastAsia="bg-BG"/>
        </w:rPr>
        <w:t xml:space="preserve">промяна спрямо изходните в % предсказано ФЕО1 е значителна: - 2,2 % с 95 % </w:t>
      </w:r>
      <w:r w:rsidRPr="00C94BDD">
        <w:rPr>
          <w:rFonts w:eastAsia="Times New Roman" w:cs="Arial"/>
          <w:color w:val="000000"/>
          <w:lang w:val="en-US"/>
        </w:rPr>
        <w:t>CI</w:t>
      </w:r>
      <w:r w:rsidRPr="00C94BDD">
        <w:rPr>
          <w:rFonts w:eastAsia="Times New Roman" w:cs="Arial"/>
          <w:color w:val="000000"/>
          <w:lang w:val="ru-RU"/>
        </w:rPr>
        <w:t xml:space="preserve"> </w:t>
      </w:r>
      <w:r w:rsidRPr="00C94BDD">
        <w:rPr>
          <w:rFonts w:eastAsia="Times New Roman" w:cs="Arial"/>
          <w:color w:val="000000"/>
          <w:lang w:eastAsia="bg-BG"/>
        </w:rPr>
        <w:t>от-3,6, -0,7.</w:t>
      </w:r>
    </w:p>
    <w:p w14:paraId="415472E6" w14:textId="77777777" w:rsidR="00C94BDD" w:rsidRPr="00C94BDD" w:rsidRDefault="00C94BDD" w:rsidP="00C94BDD">
      <w:pPr>
        <w:spacing w:line="240" w:lineRule="auto"/>
        <w:rPr>
          <w:rFonts w:eastAsia="Times New Roman" w:cs="Arial"/>
          <w:color w:val="000000"/>
          <w:lang w:eastAsia="bg-BG"/>
        </w:rPr>
      </w:pPr>
    </w:p>
    <w:p w14:paraId="7B8E920B" w14:textId="29446E9E"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Процентът дни, в които се употребява р-агонист намаляват от 38,0 на 15,4 в групата на монтелукаст и от 38,5 на 12,8 в групата на флутиказон. Разликата между двете групи в средни </w:t>
      </w:r>
      <w:r w:rsidRPr="00C94BDD">
        <w:rPr>
          <w:rFonts w:eastAsia="Times New Roman" w:cs="Arial"/>
          <w:color w:val="000000"/>
          <w:lang w:val="en-US"/>
        </w:rPr>
        <w:t>LS</w:t>
      </w:r>
      <w:r w:rsidRPr="00C94BDD">
        <w:rPr>
          <w:rFonts w:eastAsia="Times New Roman" w:cs="Arial"/>
          <w:color w:val="000000"/>
          <w:lang w:val="ru-RU"/>
        </w:rPr>
        <w:t xml:space="preserve"> </w:t>
      </w:r>
      <w:r w:rsidRPr="00C94BDD">
        <w:rPr>
          <w:rFonts w:eastAsia="Times New Roman" w:cs="Arial"/>
          <w:color w:val="000000"/>
          <w:lang w:eastAsia="bg-BG"/>
        </w:rPr>
        <w:t xml:space="preserve">за процента дни, в които се употребява р-агонист е значителна: 2,7 с 95 % </w:t>
      </w:r>
      <w:r w:rsidRPr="00C94BDD">
        <w:rPr>
          <w:rFonts w:eastAsia="Times New Roman" w:cs="Arial"/>
          <w:color w:val="000000"/>
          <w:lang w:val="en-US"/>
        </w:rPr>
        <w:t>CI</w:t>
      </w:r>
      <w:r w:rsidRPr="00C94BDD">
        <w:rPr>
          <w:rFonts w:eastAsia="Times New Roman" w:cs="Arial"/>
          <w:color w:val="000000"/>
          <w:lang w:val="ru-RU"/>
        </w:rPr>
        <w:t xml:space="preserve"> </w:t>
      </w:r>
      <w:r w:rsidRPr="00C94BDD">
        <w:rPr>
          <w:rFonts w:eastAsia="Times New Roman" w:cs="Arial"/>
          <w:color w:val="000000"/>
          <w:lang w:eastAsia="bg-BG"/>
        </w:rPr>
        <w:t>от 0,9,4,5.</w:t>
      </w:r>
    </w:p>
    <w:p w14:paraId="312ED5DC" w14:textId="77777777" w:rsidR="00C94BDD" w:rsidRPr="00C94BDD" w:rsidRDefault="00C94BDD" w:rsidP="00C94BDD">
      <w:pPr>
        <w:spacing w:line="240" w:lineRule="auto"/>
        <w:rPr>
          <w:rFonts w:eastAsia="Times New Roman" w:cs="Arial"/>
          <w:color w:val="000000"/>
          <w:lang w:eastAsia="bg-BG"/>
        </w:rPr>
      </w:pPr>
    </w:p>
    <w:p w14:paraId="601DFF93" w14:textId="77777777" w:rsidR="00C94BDD" w:rsidRPr="00C94BDD" w:rsidRDefault="00C94BDD" w:rsidP="00C94BDD">
      <w:pPr>
        <w:spacing w:line="240" w:lineRule="auto"/>
        <w:rPr>
          <w:rFonts w:eastAsia="Times New Roman" w:cs="Arial"/>
          <w:color w:val="000000"/>
          <w:lang w:eastAsia="bg-BG"/>
        </w:rPr>
      </w:pPr>
      <w:r w:rsidRPr="00C94BDD">
        <w:rPr>
          <w:rFonts w:eastAsia="Times New Roman" w:cs="Arial"/>
          <w:color w:val="000000"/>
          <w:lang w:eastAsia="bg-BG"/>
        </w:rPr>
        <w:lastRenderedPageBreak/>
        <w:t xml:space="preserve">Процентът пациенти с астматични пристъпи (астматичния пристъп се определя като период на влошаване на астмата, които изисква лечение с перорални стероиди, непланирано посещение в лекарски кабинет, в спешен център или хоспитализация) е 32,2 в групата на монтелукаст и 25,6 в групата на флутиказон; разликата в отношението (95 % </w:t>
      </w:r>
      <w:r w:rsidRPr="00C94BDD">
        <w:rPr>
          <w:rFonts w:eastAsia="Times New Roman" w:cs="Arial"/>
          <w:color w:val="000000"/>
          <w:lang w:val="en-US"/>
        </w:rPr>
        <w:t>CI</w:t>
      </w:r>
      <w:r w:rsidRPr="00C94BDD">
        <w:rPr>
          <w:rFonts w:eastAsia="Times New Roman" w:cs="Arial"/>
          <w:color w:val="000000"/>
          <w:lang w:val="ru-RU"/>
        </w:rPr>
        <w:t xml:space="preserve">) </w:t>
      </w:r>
      <w:r w:rsidRPr="00C94BDD">
        <w:rPr>
          <w:rFonts w:eastAsia="Times New Roman" w:cs="Arial"/>
          <w:color w:val="000000"/>
          <w:lang w:eastAsia="bg-BG"/>
        </w:rPr>
        <w:t xml:space="preserve">е значителна: равна на 1,38 (1,04, 1,84). </w:t>
      </w:r>
    </w:p>
    <w:p w14:paraId="2785B0E0" w14:textId="23D778EA"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Процентът пациенти използвали системни (предимно перорални) кортикостероиди през периода на изпитването е 17,8 % в групата на монтелукаст и 10,5 % в групата на флутиказон. Разликата между двете групи в средни </w:t>
      </w:r>
      <w:r w:rsidRPr="00C94BDD">
        <w:rPr>
          <w:rFonts w:eastAsia="Times New Roman" w:cs="Arial"/>
          <w:color w:val="000000"/>
          <w:lang w:val="en-US"/>
        </w:rPr>
        <w:t>LS</w:t>
      </w:r>
      <w:r w:rsidRPr="00C94BDD">
        <w:rPr>
          <w:rFonts w:eastAsia="Times New Roman" w:cs="Arial"/>
          <w:color w:val="000000"/>
          <w:lang w:val="ru-RU"/>
        </w:rPr>
        <w:t xml:space="preserve"> </w:t>
      </w:r>
      <w:r w:rsidRPr="00C94BDD">
        <w:rPr>
          <w:rFonts w:eastAsia="Times New Roman" w:cs="Arial"/>
          <w:color w:val="000000"/>
          <w:lang w:eastAsia="bg-BG"/>
        </w:rPr>
        <w:t xml:space="preserve">е значителна: 7,3 % с 95 % </w:t>
      </w:r>
      <w:r w:rsidRPr="00C94BDD">
        <w:rPr>
          <w:rFonts w:eastAsia="Times New Roman" w:cs="Arial"/>
          <w:color w:val="000000"/>
          <w:lang w:val="en-US"/>
        </w:rPr>
        <w:t>CI</w:t>
      </w:r>
      <w:r w:rsidRPr="00C94BDD">
        <w:rPr>
          <w:rFonts w:eastAsia="Times New Roman" w:cs="Arial"/>
          <w:color w:val="000000"/>
          <w:lang w:val="ru-RU"/>
        </w:rPr>
        <w:t xml:space="preserve"> </w:t>
      </w:r>
      <w:r w:rsidRPr="00C94BDD">
        <w:rPr>
          <w:rFonts w:eastAsia="Times New Roman" w:cs="Arial"/>
          <w:color w:val="000000"/>
          <w:lang w:eastAsia="bg-BG"/>
        </w:rPr>
        <w:t>от 2,9; 11,7.</w:t>
      </w:r>
    </w:p>
    <w:p w14:paraId="553F5139" w14:textId="77777777" w:rsidR="00C94BDD" w:rsidRPr="00C94BDD" w:rsidRDefault="00C94BDD" w:rsidP="00C94BDD">
      <w:pPr>
        <w:spacing w:line="240" w:lineRule="auto"/>
        <w:rPr>
          <w:rFonts w:eastAsia="Times New Roman" w:cs="Arial"/>
          <w:color w:val="000000"/>
          <w:lang w:eastAsia="bg-BG"/>
        </w:rPr>
      </w:pPr>
    </w:p>
    <w:p w14:paraId="4EDF4509" w14:textId="1C466FE4"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В 12-седмично, плацебо-контролирано изпитване при педиатрични пациенти от 2 до 5-годишна възраст, монтелукаст 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еднократно дневно съществено подобрява параметрите за контрол на астмата, независимо от използването на придружаваща терапия (инхалационни/небулизирани кортикостероиди или инхалационен/небулизиран натриев кромогликат), в сравнение с плацебо. Шестдесет процента от пациентите не са имали придружаваща терапия. Монтелукаст значително подобрява дневните симптоми (включващи кашлица, кихане, затруднено дишане и ограничена физическа активност), както и нощните симптоми в сравнение с плацебо. Монтелукаст също така значително намалява нуждата от използване на бета-агонисти „при нужда“ и от животоспасяващи кортикостероиди в сравнение с плацебо. Пациенти, получаващи монтелукаст са имали значително повече дни без симптоми на астма, отколкото тези, получаващи плацебо. Ефектът на лечението е постигнат след първата доза.</w:t>
      </w:r>
    </w:p>
    <w:p w14:paraId="3C370E8A" w14:textId="77777777" w:rsidR="00C94BDD" w:rsidRPr="00C94BDD" w:rsidRDefault="00C94BDD" w:rsidP="00C94BDD">
      <w:pPr>
        <w:spacing w:line="240" w:lineRule="auto"/>
        <w:rPr>
          <w:rFonts w:eastAsia="Times New Roman" w:cs="Arial"/>
          <w:color w:val="000000"/>
          <w:lang w:eastAsia="bg-BG"/>
        </w:rPr>
      </w:pPr>
    </w:p>
    <w:p w14:paraId="666844EE" w14:textId="791BD7E9"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В 12-месечно, плацебо-контролирано изпитване при педиатрични пациенти от 2 до 5-годишна възраст с лека астма и епизодични екзаберации, монтелукаст 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веднъж дневно значително (р ≤ 0,001) намалява годишното ниво на астматични епизоди на екзаберация (ЕЕ) в сравнение с плацебо (1,60 ЕЕ срещу 2,34 ЕЕ, респективно), [ЕЕ дефинирано като ≥ 3 последователни с дневни симптоми, изискващи употреба на β-агонист или кортикостероиди (перорални или инхалационни) или хоспитализация, дължаща се на астмата]. Процентът намаление на годишното ниво на ЕЕ е 31,9 %, с 95 % </w:t>
      </w:r>
      <w:r w:rsidRPr="00C94BDD">
        <w:rPr>
          <w:rFonts w:eastAsia="Times New Roman" w:cs="Arial"/>
          <w:color w:val="000000"/>
          <w:lang w:val="en-US"/>
        </w:rPr>
        <w:t>CI</w:t>
      </w:r>
      <w:r w:rsidRPr="00C94BDD">
        <w:rPr>
          <w:rFonts w:eastAsia="Times New Roman" w:cs="Arial"/>
          <w:color w:val="000000"/>
          <w:lang w:val="ru-RU"/>
        </w:rPr>
        <w:t xml:space="preserve"> </w:t>
      </w:r>
      <w:r w:rsidRPr="00C94BDD">
        <w:rPr>
          <w:rFonts w:eastAsia="Times New Roman" w:cs="Arial"/>
          <w:color w:val="000000"/>
          <w:lang w:eastAsia="bg-BG"/>
        </w:rPr>
        <w:t>на 16,9, 44,1.</w:t>
      </w:r>
    </w:p>
    <w:p w14:paraId="4E2B3471" w14:textId="77777777" w:rsidR="00C94BDD" w:rsidRPr="00C94BDD" w:rsidRDefault="00C94BDD" w:rsidP="00C94BDD">
      <w:pPr>
        <w:spacing w:line="240" w:lineRule="auto"/>
        <w:rPr>
          <w:rFonts w:eastAsia="Times New Roman" w:cs="Arial"/>
          <w:color w:val="000000"/>
          <w:lang w:eastAsia="bg-BG"/>
        </w:rPr>
      </w:pPr>
    </w:p>
    <w:p w14:paraId="4929566C" w14:textId="27359894"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В плацебо-контролирано изпитване при педиатрични пациенти от 6 месеца до 5-годишна възраст, които имат интермитентна астма, но нямат персистираща астма, лечението с монтелукаст е проведено за 12-месечен период, или като схема на приложение 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веднъж дневно, или като серии от 12-дневни курсове, като всеки от тях е започнал в началото на епизод с интермитентни симптоми. Не се наблюдава сигнификантна разлика между пациентите, лекувани с монтелукаст 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и плацебо в броя на астматичните епизоди, завършили с астматичен пристъп, дефинирани като астматични епизоди, налагащи използването на здравни ресурси като непланирани визити в лекарския кабинет, спешно отделение или болница, или лечение с перорални, интравенозни или интрамускулни кортикостероиди.</w:t>
      </w:r>
    </w:p>
    <w:p w14:paraId="70684ADD" w14:textId="77777777" w:rsidR="00C94BDD" w:rsidRPr="00C94BDD" w:rsidRDefault="00C94BDD" w:rsidP="00C94BDD">
      <w:pPr>
        <w:spacing w:line="240" w:lineRule="auto"/>
        <w:rPr>
          <w:rFonts w:eastAsia="Times New Roman" w:cs="Arial"/>
          <w:color w:val="000000"/>
          <w:lang w:eastAsia="bg-BG"/>
        </w:rPr>
      </w:pPr>
    </w:p>
    <w:p w14:paraId="51E53FA8" w14:textId="6A87A23F"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При педиатрични пациенти от 6 месеца до 2 години ефикасността на монтелукаст се подкрепя чрез екстраполация на демонстрираната ефикасност при пациенти с астма на 2 години и големи и на базата на подобни фармакокинетични данни, както и на допускането, че протичането на заболяването, патофизиологията и ефекта на лекарствения продукт са значително подобни сред тези популации.</w:t>
      </w:r>
    </w:p>
    <w:p w14:paraId="457D3F56" w14:textId="77777777" w:rsidR="00C94BDD" w:rsidRPr="00C94BDD" w:rsidRDefault="00C94BDD" w:rsidP="00C94BDD">
      <w:pPr>
        <w:spacing w:line="240" w:lineRule="auto"/>
        <w:rPr>
          <w:rFonts w:eastAsia="Times New Roman" w:cs="Arial"/>
          <w:color w:val="000000"/>
          <w:lang w:eastAsia="bg-BG"/>
        </w:rPr>
      </w:pPr>
    </w:p>
    <w:p w14:paraId="732ED932" w14:textId="77777777" w:rsidR="00C94BDD" w:rsidRPr="00C94BDD" w:rsidRDefault="00C94BDD" w:rsidP="00C94BDD">
      <w:pPr>
        <w:rPr>
          <w:rFonts w:eastAsia="Times New Roman" w:cs="Arial"/>
          <w:sz w:val="24"/>
          <w:szCs w:val="24"/>
        </w:rPr>
      </w:pPr>
      <w:r w:rsidRPr="00C94BDD">
        <w:rPr>
          <w:rFonts w:eastAsia="Times New Roman" w:cs="Arial"/>
          <w:color w:val="000000"/>
          <w:lang w:eastAsia="bg-BG"/>
        </w:rPr>
        <w:t xml:space="preserve">Значително намаление на индуцираната от усилие бронхоконстрикция </w:t>
      </w:r>
      <w:r w:rsidRPr="00C94BDD">
        <w:rPr>
          <w:rFonts w:eastAsia="Times New Roman" w:cs="Arial"/>
          <w:color w:val="000000"/>
          <w:lang w:val="ru-RU"/>
        </w:rPr>
        <w:t>(</w:t>
      </w:r>
      <w:r w:rsidRPr="00C94BDD">
        <w:rPr>
          <w:rFonts w:eastAsia="Times New Roman" w:cs="Arial"/>
          <w:color w:val="000000"/>
          <w:lang w:val="en-US"/>
        </w:rPr>
        <w:t>EIB</w:t>
      </w:r>
      <w:r w:rsidRPr="00C94BDD">
        <w:rPr>
          <w:rFonts w:eastAsia="Times New Roman" w:cs="Arial"/>
          <w:color w:val="000000"/>
          <w:lang w:val="ru-RU"/>
        </w:rPr>
        <w:t xml:space="preserve">) </w:t>
      </w:r>
      <w:r w:rsidRPr="00C94BDD">
        <w:rPr>
          <w:rFonts w:eastAsia="Times New Roman" w:cs="Arial"/>
          <w:color w:val="000000"/>
          <w:lang w:eastAsia="bg-BG"/>
        </w:rPr>
        <w:t xml:space="preserve">е демострирана при 12-седмично изпитване при възрастни (максимално понижение на </w:t>
      </w:r>
      <w:r w:rsidRPr="00C94BDD">
        <w:rPr>
          <w:rFonts w:eastAsia="Times New Roman" w:cs="Arial"/>
          <w:color w:val="000000"/>
          <w:lang w:eastAsia="bg-BG"/>
        </w:rPr>
        <w:lastRenderedPageBreak/>
        <w:t>ФЕО</w:t>
      </w:r>
      <w:r w:rsidRPr="00C94BDD">
        <w:rPr>
          <w:rFonts w:eastAsia="Times New Roman" w:cs="Arial"/>
          <w:color w:val="000000"/>
          <w:vertAlign w:val="subscript"/>
          <w:lang w:eastAsia="bg-BG"/>
        </w:rPr>
        <w:t>1</w:t>
      </w:r>
      <w:r w:rsidRPr="00C94BDD">
        <w:rPr>
          <w:rFonts w:eastAsia="Times New Roman" w:cs="Arial"/>
          <w:color w:val="000000"/>
          <w:lang w:eastAsia="bg-BG"/>
        </w:rPr>
        <w:t xml:space="preserve"> 22,33% за монтелукаст спрямо 32,40% за плацебо; време за възстановяване до ниво около 5 % от изходните стойности ФЕО1 44,22 минути спрямо у 60,64 минути). Този ефект е последователен през 12-седминния период на проучването. Намалението на </w:t>
      </w:r>
      <w:r w:rsidRPr="00C94BDD">
        <w:rPr>
          <w:rFonts w:eastAsia="Times New Roman" w:cs="Arial"/>
          <w:color w:val="000000"/>
          <w:lang w:val="en-US"/>
        </w:rPr>
        <w:t>EIB</w:t>
      </w:r>
      <w:r w:rsidRPr="00C94BDD">
        <w:rPr>
          <w:rFonts w:eastAsia="Times New Roman" w:cs="Arial"/>
          <w:color w:val="000000"/>
          <w:lang w:val="ru-RU"/>
        </w:rPr>
        <w:t xml:space="preserve"> </w:t>
      </w:r>
      <w:r w:rsidRPr="00C94BDD">
        <w:rPr>
          <w:rFonts w:eastAsia="Times New Roman" w:cs="Arial"/>
          <w:color w:val="000000"/>
          <w:lang w:eastAsia="bg-BG"/>
        </w:rPr>
        <w:t>също е демонстрирано в краткосрочно изпитване при педиатрични пациенти на възраст от 6 до 14 години (максимално понижение наФЕО1 18,27% спрямо 26,11%; време за възстановяване до ниво около 5% от изходното ФЕО1 17,76 минути спрямо 27,98 минути). Ефектът на двете изпитвания е демонстриран в края на еднодневен дозиращ интервал.</w:t>
      </w:r>
    </w:p>
    <w:p w14:paraId="638A31E7" w14:textId="77777777" w:rsidR="00C94BDD" w:rsidRPr="00C94BDD" w:rsidRDefault="00C94BDD" w:rsidP="00C94BDD">
      <w:pPr>
        <w:spacing w:line="240" w:lineRule="auto"/>
        <w:rPr>
          <w:rFonts w:eastAsia="Times New Roman" w:cs="Arial"/>
          <w:color w:val="000000"/>
          <w:lang w:eastAsia="bg-BG"/>
        </w:rPr>
      </w:pPr>
    </w:p>
    <w:p w14:paraId="674F504B" w14:textId="68C83445"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При чувствителни към аспирин астматици получаващи едновременно инхалаторни и/или перорални кортикостероиди, лечението с монтелукаст, сравнено с плацебо, води до значително подобрение в контрола на астмата (ФЕО1 8,55 % спрямо -1,74% промяна спрямо изходните стойности и понижение в общата употреба на β-агонисти -27,78 % спрямо 2,09% промяна спрямо изходните стойности).</w:t>
      </w:r>
    </w:p>
    <w:p w14:paraId="6E68DFCF" w14:textId="443852B7" w:rsidR="00C94BDD" w:rsidRPr="00C94BDD" w:rsidRDefault="00C94BDD" w:rsidP="00C94BDD"/>
    <w:p w14:paraId="346B622B" w14:textId="5CF13EAA" w:rsidR="00875EEC" w:rsidRDefault="002C50EE" w:rsidP="005726E3">
      <w:pPr>
        <w:pStyle w:val="Heading2"/>
      </w:pPr>
      <w:r>
        <w:t>5.2. Фармакокинетични свойства</w:t>
      </w:r>
    </w:p>
    <w:p w14:paraId="2DFDE0B7" w14:textId="7FA2A7F7" w:rsidR="00C94BDD" w:rsidRDefault="00C94BDD" w:rsidP="00C94BDD"/>
    <w:p w14:paraId="354B178F" w14:textId="77777777" w:rsidR="00C94BDD" w:rsidRPr="00C94BDD" w:rsidRDefault="00C94BDD" w:rsidP="00C94BDD">
      <w:pPr>
        <w:pStyle w:val="Heading3"/>
        <w:rPr>
          <w:rFonts w:eastAsia="Times New Roman"/>
          <w:u w:val="single"/>
        </w:rPr>
      </w:pPr>
      <w:r w:rsidRPr="00C94BDD">
        <w:rPr>
          <w:rFonts w:eastAsia="Times New Roman"/>
          <w:u w:val="single"/>
          <w:lang w:eastAsia="bg-BG"/>
        </w:rPr>
        <w:t>Абсорбция</w:t>
      </w:r>
    </w:p>
    <w:p w14:paraId="1CD38BA3"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След орално приложение монтелукаст се абсорбира бързо и почти напълно. Средната пикова плазмена концентрация (С</w:t>
      </w:r>
      <w:r w:rsidRPr="00C94BDD">
        <w:rPr>
          <w:rFonts w:eastAsia="Times New Roman" w:cs="Arial"/>
          <w:color w:val="000000"/>
          <w:vertAlign w:val="subscript"/>
          <w:lang w:val="en-US"/>
        </w:rPr>
        <w:t>max</w:t>
      </w:r>
      <w:r w:rsidRPr="00C94BDD">
        <w:rPr>
          <w:rFonts w:eastAsia="Times New Roman" w:cs="Arial"/>
          <w:color w:val="000000"/>
          <w:lang w:eastAsia="bg-BG"/>
        </w:rPr>
        <w:t xml:space="preserve">) за филмираните таблетки от 10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се достига 3 часа (Т</w:t>
      </w:r>
      <w:r w:rsidRPr="00C94BDD">
        <w:rPr>
          <w:rFonts w:eastAsia="Times New Roman" w:cs="Arial"/>
          <w:color w:val="000000"/>
          <w:vertAlign w:val="subscript"/>
          <w:lang w:val="en-US"/>
        </w:rPr>
        <w:t>max</w:t>
      </w:r>
      <w:r w:rsidRPr="00C94BDD">
        <w:rPr>
          <w:rFonts w:eastAsia="Times New Roman" w:cs="Arial"/>
          <w:color w:val="000000"/>
          <w:lang w:eastAsia="bg-BG"/>
        </w:rPr>
        <w:t>) след приложение на гладно при възрастни. Средната перорална бионаличност е 64%. Пероралната бионаличност и С</w:t>
      </w:r>
      <w:r w:rsidRPr="00C94BDD">
        <w:rPr>
          <w:rFonts w:eastAsia="Times New Roman" w:cs="Arial"/>
          <w:color w:val="000000"/>
          <w:vertAlign w:val="subscript"/>
          <w:lang w:val="en-US"/>
        </w:rPr>
        <w:t>max</w:t>
      </w:r>
      <w:r w:rsidRPr="00C94BDD">
        <w:rPr>
          <w:rFonts w:eastAsia="Times New Roman" w:cs="Arial"/>
          <w:color w:val="000000"/>
          <w:lang w:eastAsia="bg-BG"/>
        </w:rPr>
        <w:t xml:space="preserve"> не се повлияват от стандартно хранене. Безопасността и ефикасността са демонстрирани при клинични изпитвания, при които 10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филмирани таблетки са прилагани независимо от времето на приемане на храна.</w:t>
      </w:r>
    </w:p>
    <w:p w14:paraId="7F1B6ED8" w14:textId="77777777" w:rsidR="00C94BDD" w:rsidRPr="00C94BDD" w:rsidRDefault="00C94BDD" w:rsidP="00C94BDD">
      <w:pPr>
        <w:spacing w:line="240" w:lineRule="auto"/>
        <w:rPr>
          <w:rFonts w:eastAsia="Times New Roman" w:cs="Arial"/>
          <w:color w:val="000000"/>
          <w:lang w:eastAsia="bg-BG"/>
        </w:rPr>
      </w:pPr>
    </w:p>
    <w:p w14:paraId="7AA0B903" w14:textId="24E4F86F"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С таблетките за дъвчене от 5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С</w:t>
      </w:r>
      <w:r w:rsidRPr="00C94BDD">
        <w:rPr>
          <w:rFonts w:eastAsia="Times New Roman" w:cs="Arial"/>
          <w:color w:val="000000"/>
          <w:vertAlign w:val="subscript"/>
          <w:lang w:val="en-US"/>
        </w:rPr>
        <w:t>max</w:t>
      </w:r>
      <w:r w:rsidRPr="00C94BDD">
        <w:rPr>
          <w:rFonts w:eastAsia="Times New Roman" w:cs="Arial"/>
          <w:color w:val="000000"/>
          <w:lang w:eastAsia="bg-BG"/>
        </w:rPr>
        <w:t xml:space="preserve"> се достига 2 часа след приложението при възрастни на гладно. Средната орална бионаличност е 73 % и се намалява до 63% при стандартно хранене. С таблетките за дъвчене от 4 </w:t>
      </w:r>
      <w:r w:rsidRPr="00C94BDD">
        <w:rPr>
          <w:rFonts w:eastAsia="Times New Roman" w:cs="Arial"/>
          <w:color w:val="000000"/>
          <w:lang w:val="en-US"/>
        </w:rPr>
        <w:t>mg</w:t>
      </w:r>
      <w:r w:rsidRPr="00C94BDD">
        <w:rPr>
          <w:rFonts w:eastAsia="Times New Roman" w:cs="Arial"/>
          <w:color w:val="000000"/>
          <w:lang w:val="ru-RU"/>
        </w:rPr>
        <w:t xml:space="preserve">, </w:t>
      </w:r>
      <w:proofErr w:type="spellStart"/>
      <w:r w:rsidRPr="00C94BDD">
        <w:rPr>
          <w:rFonts w:eastAsia="Times New Roman" w:cs="Arial"/>
          <w:color w:val="000000"/>
          <w:lang w:val="en-US"/>
        </w:rPr>
        <w:t>C</w:t>
      </w:r>
      <w:r w:rsidRPr="00C94BDD">
        <w:rPr>
          <w:rFonts w:eastAsia="Times New Roman" w:cs="Arial"/>
          <w:color w:val="000000"/>
          <w:vertAlign w:val="subscript"/>
          <w:lang w:val="en-US"/>
        </w:rPr>
        <w:t>max</w:t>
      </w:r>
      <w:proofErr w:type="spellEnd"/>
      <w:r w:rsidRPr="00C94BDD">
        <w:rPr>
          <w:rFonts w:eastAsia="Times New Roman" w:cs="Arial"/>
          <w:color w:val="000000"/>
          <w:lang w:val="ru-RU"/>
        </w:rPr>
        <w:t xml:space="preserve"> </w:t>
      </w:r>
      <w:r w:rsidRPr="00C94BDD">
        <w:rPr>
          <w:rFonts w:eastAsia="Times New Roman" w:cs="Arial"/>
          <w:color w:val="000000"/>
          <w:lang w:eastAsia="bg-BG"/>
        </w:rPr>
        <w:t>се достига 2 часа след приложението при педиатрични пациенти от 2 до 5-годишна възраст на гладно. Средната С</w:t>
      </w:r>
      <w:r w:rsidRPr="00C94BDD">
        <w:rPr>
          <w:rFonts w:eastAsia="Times New Roman" w:cs="Arial"/>
          <w:color w:val="000000"/>
          <w:vertAlign w:val="subscript"/>
          <w:lang w:val="en-US"/>
        </w:rPr>
        <w:t>max</w:t>
      </w:r>
      <w:r w:rsidRPr="00C94BDD">
        <w:rPr>
          <w:rFonts w:eastAsia="Times New Roman" w:cs="Arial"/>
          <w:color w:val="000000"/>
          <w:lang w:eastAsia="bg-BG"/>
        </w:rPr>
        <w:t xml:space="preserve"> е 66% по-висока докато средната </w:t>
      </w:r>
      <w:proofErr w:type="spellStart"/>
      <w:r w:rsidRPr="00C94BDD">
        <w:rPr>
          <w:rFonts w:eastAsia="Times New Roman" w:cs="Arial"/>
          <w:color w:val="000000"/>
          <w:lang w:val="en-US"/>
        </w:rPr>
        <w:t>C</w:t>
      </w:r>
      <w:r w:rsidRPr="00C94BDD">
        <w:rPr>
          <w:rFonts w:eastAsia="Times New Roman" w:cs="Arial"/>
          <w:color w:val="000000"/>
          <w:vertAlign w:val="subscript"/>
          <w:lang w:val="en-US"/>
        </w:rPr>
        <w:t>min</w:t>
      </w:r>
      <w:proofErr w:type="spellEnd"/>
      <w:r w:rsidRPr="00C94BDD">
        <w:rPr>
          <w:rFonts w:eastAsia="Times New Roman" w:cs="Arial"/>
          <w:color w:val="000000"/>
          <w:vertAlign w:val="subscript"/>
          <w:lang w:val="ru-RU"/>
        </w:rPr>
        <w:t xml:space="preserve"> </w:t>
      </w:r>
      <w:r w:rsidRPr="00C94BDD">
        <w:rPr>
          <w:rFonts w:eastAsia="Times New Roman" w:cs="Arial"/>
          <w:color w:val="000000"/>
          <w:lang w:eastAsia="bg-BG"/>
        </w:rPr>
        <w:t xml:space="preserve">е по-ниска при възрастни получавали 10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таблетки.</w:t>
      </w:r>
    </w:p>
    <w:p w14:paraId="573AE64D" w14:textId="77777777" w:rsidR="00C94BDD" w:rsidRPr="00C94BDD" w:rsidRDefault="00C94BDD" w:rsidP="00C94BDD">
      <w:pPr>
        <w:spacing w:line="240" w:lineRule="auto"/>
        <w:rPr>
          <w:rFonts w:eastAsia="Times New Roman" w:cs="Arial"/>
          <w:color w:val="000000"/>
          <w:lang w:eastAsia="bg-BG"/>
        </w:rPr>
      </w:pPr>
    </w:p>
    <w:p w14:paraId="02E6AF44" w14:textId="5A786155"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под формата на гранули са биоеквивалентни на 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таблетки за дъвчене, когато се прилагат при възрастни на гладно. При педиатрични пациенти на възраст от 6 месеца до 2 години С</w:t>
      </w:r>
      <w:r w:rsidRPr="00C94BDD">
        <w:rPr>
          <w:rFonts w:eastAsia="Times New Roman" w:cs="Arial"/>
          <w:color w:val="000000"/>
          <w:lang w:val="en-US"/>
        </w:rPr>
        <w:t>ma</w:t>
      </w:r>
      <w:r w:rsidRPr="00C94BDD">
        <w:rPr>
          <w:rFonts w:eastAsia="Times New Roman" w:cs="Arial"/>
          <w:color w:val="000000"/>
          <w:lang w:eastAsia="bg-BG"/>
        </w:rPr>
        <w:t xml:space="preserve"> се достига 2 часа след приложението на 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под формата на гранули. </w:t>
      </w:r>
      <w:proofErr w:type="spellStart"/>
      <w:proofErr w:type="gramStart"/>
      <w:r w:rsidRPr="00C94BDD">
        <w:rPr>
          <w:rFonts w:eastAsia="Times New Roman" w:cs="Arial"/>
          <w:color w:val="000000"/>
          <w:lang w:val="en-US"/>
        </w:rPr>
        <w:t>C</w:t>
      </w:r>
      <w:r w:rsidRPr="00C94BDD">
        <w:rPr>
          <w:rFonts w:eastAsia="Times New Roman" w:cs="Arial"/>
          <w:color w:val="000000"/>
          <w:vertAlign w:val="subscript"/>
          <w:lang w:val="en-US"/>
        </w:rPr>
        <w:t>max</w:t>
      </w:r>
      <w:proofErr w:type="spellEnd"/>
      <w:r w:rsidRPr="00C94BDD">
        <w:rPr>
          <w:rFonts w:eastAsia="Times New Roman" w:cs="Arial"/>
          <w:color w:val="000000"/>
          <w:lang w:val="ru-RU"/>
        </w:rPr>
        <w:t xml:space="preserve"> </w:t>
      </w:r>
      <w:r w:rsidRPr="00C94BDD">
        <w:rPr>
          <w:rFonts w:eastAsia="Times New Roman" w:cs="Arial"/>
          <w:color w:val="000000"/>
          <w:lang w:eastAsia="bg-BG"/>
        </w:rPr>
        <w:t xml:space="preserve">е почти 2 пъти по-голямо, отколкото при възрастни, приемащи таблетка 10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Съвместното приложение на ябълкова каша или стандартно хранене с храна с високо съдържание на мазнини заедно с 4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под формата на гранули няма клинично значим ефект върху фармакокинетиката на монтелукаст както е установено от </w:t>
      </w:r>
      <w:r w:rsidRPr="00C94BDD">
        <w:rPr>
          <w:rFonts w:eastAsia="Times New Roman" w:cs="Arial"/>
          <w:color w:val="000000"/>
          <w:lang w:val="en-US"/>
        </w:rPr>
        <w:t>AUC</w:t>
      </w:r>
      <w:r w:rsidRPr="00C94BDD">
        <w:rPr>
          <w:rFonts w:eastAsia="Times New Roman" w:cs="Arial"/>
          <w:color w:val="000000"/>
          <w:lang w:val="ru-RU"/>
        </w:rPr>
        <w:t xml:space="preserve"> </w:t>
      </w:r>
      <w:r w:rsidRPr="00C94BDD">
        <w:rPr>
          <w:rFonts w:eastAsia="Times New Roman" w:cs="Arial"/>
          <w:color w:val="000000"/>
          <w:lang w:eastAsia="bg-BG"/>
        </w:rPr>
        <w:t xml:space="preserve">(1225,7 спрямо 1223,1 </w:t>
      </w:r>
      <w:r w:rsidRPr="00C94BDD">
        <w:rPr>
          <w:rFonts w:eastAsia="Times New Roman" w:cs="Arial"/>
          <w:color w:val="000000"/>
          <w:lang w:val="en-US"/>
        </w:rPr>
        <w:t>ng</w:t>
      </w:r>
      <w:r w:rsidRPr="00C94BDD">
        <w:rPr>
          <w:rFonts w:eastAsia="Times New Roman" w:cs="Arial"/>
          <w:color w:val="000000"/>
          <w:lang w:val="ru-RU"/>
        </w:rPr>
        <w:t xml:space="preserve"> </w:t>
      </w:r>
      <w:r w:rsidRPr="00C94BDD">
        <w:rPr>
          <w:rFonts w:eastAsia="Times New Roman" w:cs="Arial"/>
          <w:color w:val="000000"/>
          <w:lang w:eastAsia="bg-BG"/>
        </w:rPr>
        <w:t>на час</w:t>
      </w:r>
      <w:r w:rsidRPr="00C94BDD">
        <w:rPr>
          <w:rFonts w:eastAsia="Times New Roman" w:cs="Arial"/>
          <w:color w:val="000000"/>
          <w:lang w:val="ru-RU"/>
        </w:rPr>
        <w:t>/</w:t>
      </w:r>
      <w:r w:rsidRPr="00C94BDD">
        <w:rPr>
          <w:rFonts w:eastAsia="Times New Roman" w:cs="Arial"/>
          <w:color w:val="000000"/>
          <w:lang w:val="en-US"/>
        </w:rPr>
        <w:t>ml</w:t>
      </w:r>
      <w:r w:rsidRPr="00C94BDD">
        <w:rPr>
          <w:rFonts w:eastAsia="Times New Roman" w:cs="Arial"/>
          <w:color w:val="000000"/>
          <w:lang w:val="ru-RU"/>
        </w:rPr>
        <w:t xml:space="preserve"> </w:t>
      </w:r>
      <w:r w:rsidRPr="00C94BDD">
        <w:rPr>
          <w:rFonts w:eastAsia="Times New Roman" w:cs="Arial"/>
          <w:color w:val="000000"/>
          <w:lang w:eastAsia="bg-BG"/>
        </w:rPr>
        <w:t xml:space="preserve">съответно със или без ябълкова каша, и 1 191,8 спрямо 1 148,5 </w:t>
      </w:r>
      <w:r w:rsidRPr="00C94BDD">
        <w:rPr>
          <w:rFonts w:eastAsia="Times New Roman" w:cs="Arial"/>
          <w:color w:val="000000"/>
          <w:lang w:val="en-US"/>
        </w:rPr>
        <w:t>ng</w:t>
      </w:r>
      <w:r w:rsidRPr="00C94BDD">
        <w:rPr>
          <w:rFonts w:eastAsia="Times New Roman" w:cs="Arial"/>
          <w:color w:val="000000"/>
          <w:lang w:val="ru-RU"/>
        </w:rPr>
        <w:t xml:space="preserve"> </w:t>
      </w:r>
      <w:r w:rsidRPr="00C94BDD">
        <w:rPr>
          <w:rFonts w:eastAsia="Times New Roman" w:cs="Arial"/>
          <w:color w:val="000000"/>
          <w:lang w:eastAsia="bg-BG"/>
        </w:rPr>
        <w:t>на час</w:t>
      </w:r>
      <w:r w:rsidRPr="00C94BDD">
        <w:rPr>
          <w:rFonts w:eastAsia="Times New Roman" w:cs="Arial"/>
          <w:color w:val="000000"/>
          <w:lang w:val="ru-RU"/>
        </w:rPr>
        <w:t>/</w:t>
      </w:r>
      <w:r w:rsidRPr="00C94BDD">
        <w:rPr>
          <w:rFonts w:eastAsia="Times New Roman" w:cs="Arial"/>
          <w:color w:val="000000"/>
          <w:lang w:val="en-US"/>
        </w:rPr>
        <w:t>ml</w:t>
      </w:r>
      <w:r w:rsidRPr="00C94BDD">
        <w:rPr>
          <w:rFonts w:eastAsia="Times New Roman" w:cs="Arial"/>
          <w:color w:val="000000"/>
          <w:lang w:val="ru-RU"/>
        </w:rPr>
        <w:t xml:space="preserve"> </w:t>
      </w:r>
      <w:r w:rsidRPr="00C94BDD">
        <w:rPr>
          <w:rFonts w:eastAsia="Times New Roman" w:cs="Arial"/>
          <w:color w:val="000000"/>
          <w:lang w:eastAsia="bg-BG"/>
        </w:rPr>
        <w:t>съответно със или без стандартно хранене с храна с високо съдържание на мазнини).</w:t>
      </w:r>
      <w:proofErr w:type="gramEnd"/>
    </w:p>
    <w:p w14:paraId="23D2353B" w14:textId="77777777" w:rsidR="00C94BDD" w:rsidRPr="00C94BDD" w:rsidRDefault="00C94BDD" w:rsidP="00C94BDD">
      <w:pPr>
        <w:spacing w:line="240" w:lineRule="auto"/>
        <w:rPr>
          <w:rFonts w:eastAsia="Times New Roman" w:cs="Arial"/>
          <w:color w:val="000000"/>
          <w:u w:val="single"/>
          <w:lang w:eastAsia="bg-BG"/>
        </w:rPr>
      </w:pPr>
    </w:p>
    <w:p w14:paraId="66DE6AE3" w14:textId="09A1EB72" w:rsidR="00C94BDD" w:rsidRPr="00C94BDD" w:rsidRDefault="00C94BDD" w:rsidP="00C94BDD">
      <w:pPr>
        <w:pStyle w:val="Heading3"/>
        <w:rPr>
          <w:rFonts w:eastAsia="Times New Roman"/>
          <w:u w:val="single"/>
        </w:rPr>
      </w:pPr>
      <w:r w:rsidRPr="00C94BDD">
        <w:rPr>
          <w:rFonts w:eastAsia="Times New Roman"/>
          <w:u w:val="single"/>
          <w:lang w:eastAsia="bg-BG"/>
        </w:rPr>
        <w:t>Разпределение</w:t>
      </w:r>
    </w:p>
    <w:p w14:paraId="7DB78697"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Монтелукаст е свързан повече от 99% с плазмените протеини. Обема на разпределение на монтелукаст при равновесно състояние е средно до 8 -11 литра. Изследвания при плъхове с радиомаркиран монтелукаст показват минимално преминаване през кръвно-мозъчната бариера. Освен това концентрациите на радиомаркиран материал на 24-и час след дозата са минимални във всички други тъкани.</w:t>
      </w:r>
    </w:p>
    <w:p w14:paraId="015AD36F" w14:textId="77777777" w:rsidR="00C94BDD" w:rsidRPr="00C94BDD" w:rsidRDefault="00C94BDD" w:rsidP="00C94BDD">
      <w:pPr>
        <w:spacing w:line="240" w:lineRule="auto"/>
        <w:rPr>
          <w:rFonts w:eastAsia="Times New Roman" w:cs="Arial"/>
          <w:color w:val="000000"/>
          <w:u w:val="single"/>
          <w:lang w:eastAsia="bg-BG"/>
        </w:rPr>
      </w:pPr>
    </w:p>
    <w:p w14:paraId="04B356EE" w14:textId="5250D07B" w:rsidR="00C94BDD" w:rsidRPr="00C94BDD" w:rsidRDefault="00C94BDD" w:rsidP="00C94BDD">
      <w:pPr>
        <w:pStyle w:val="Heading3"/>
        <w:rPr>
          <w:rFonts w:eastAsia="Times New Roman"/>
          <w:u w:val="single"/>
        </w:rPr>
      </w:pPr>
      <w:r w:rsidRPr="00C94BDD">
        <w:rPr>
          <w:rFonts w:eastAsia="Times New Roman"/>
          <w:u w:val="single"/>
          <w:lang w:eastAsia="bg-BG"/>
        </w:rPr>
        <w:lastRenderedPageBreak/>
        <w:t>Биотрансформация</w:t>
      </w:r>
    </w:p>
    <w:p w14:paraId="6F1A968A"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Монтелукаст се метаболизира в голяма степен. При проучвания с терапевтични дози плазмените концентрации на метаболитите на монтелукаст, са неизмерими в равновесно състояние при възрастни и деца.</w:t>
      </w:r>
    </w:p>
    <w:p w14:paraId="57495B85" w14:textId="77777777" w:rsidR="00C94BDD" w:rsidRPr="00C94BDD" w:rsidRDefault="00C94BDD" w:rsidP="00C94BDD">
      <w:pPr>
        <w:spacing w:line="240" w:lineRule="auto"/>
        <w:rPr>
          <w:rFonts w:eastAsia="Times New Roman" w:cs="Arial"/>
          <w:color w:val="000000"/>
          <w:lang w:eastAsia="bg-BG"/>
        </w:rPr>
      </w:pPr>
    </w:p>
    <w:p w14:paraId="6A0E212B" w14:textId="146DE726"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Цитохром Р450 2С8 е основният ензим, участващ в метаболизма на монтелукаст. Допълнително </w:t>
      </w:r>
      <w:r w:rsidRPr="00C94BDD">
        <w:rPr>
          <w:rFonts w:eastAsia="Times New Roman" w:cs="Arial"/>
          <w:color w:val="000000"/>
          <w:lang w:val="en-US"/>
        </w:rPr>
        <w:t>CYP</w:t>
      </w:r>
      <w:r w:rsidRPr="00C94BDD">
        <w:rPr>
          <w:rFonts w:eastAsia="Times New Roman" w:cs="Arial"/>
          <w:color w:val="000000"/>
          <w:lang w:val="ru-RU"/>
        </w:rPr>
        <w:t>3</w:t>
      </w:r>
      <w:r w:rsidRPr="00C94BDD">
        <w:rPr>
          <w:rFonts w:eastAsia="Times New Roman" w:cs="Arial"/>
          <w:color w:val="000000"/>
          <w:lang w:val="en-US"/>
        </w:rPr>
        <w:t>A</w:t>
      </w:r>
      <w:r w:rsidRPr="00C94BDD">
        <w:rPr>
          <w:rFonts w:eastAsia="Times New Roman" w:cs="Arial"/>
          <w:color w:val="000000"/>
          <w:lang w:val="ru-RU"/>
        </w:rPr>
        <w:t xml:space="preserve">4 </w:t>
      </w:r>
      <w:r w:rsidRPr="00C94BDD">
        <w:rPr>
          <w:rFonts w:eastAsia="Times New Roman" w:cs="Arial"/>
          <w:color w:val="000000"/>
          <w:lang w:eastAsia="bg-BG"/>
        </w:rPr>
        <w:t>и 2С9 може да имат минимално участие, въпреки че итраконазол инхибитор на</w:t>
      </w:r>
    </w:p>
    <w:p w14:paraId="6626A47B" w14:textId="77777777" w:rsidR="00C94BDD" w:rsidRPr="00C94BDD" w:rsidRDefault="00C94BDD" w:rsidP="00C94BDD">
      <w:pPr>
        <w:rPr>
          <w:rFonts w:eastAsia="Times New Roman" w:cs="Arial"/>
          <w:sz w:val="24"/>
          <w:szCs w:val="24"/>
        </w:rPr>
      </w:pPr>
      <w:r w:rsidRPr="00C94BDD">
        <w:rPr>
          <w:rFonts w:eastAsia="Times New Roman" w:cs="Arial"/>
          <w:color w:val="000000"/>
          <w:lang w:val="en-US"/>
        </w:rPr>
        <w:t>CYP</w:t>
      </w:r>
      <w:r w:rsidRPr="00C94BDD">
        <w:rPr>
          <w:rFonts w:eastAsia="Times New Roman" w:cs="Arial"/>
          <w:color w:val="000000"/>
          <w:lang w:val="ru-RU"/>
        </w:rPr>
        <w:t xml:space="preserve"> </w:t>
      </w:r>
      <w:r w:rsidRPr="00C94BDD">
        <w:rPr>
          <w:rFonts w:eastAsia="Times New Roman" w:cs="Arial"/>
          <w:color w:val="000000"/>
          <w:lang w:eastAsia="bg-BG"/>
        </w:rPr>
        <w:t xml:space="preserve">ЗА4, е показал, че не променя фармакокинетичните параметри на монтелукаст при здрави доброволци, приемали 10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 xml:space="preserve">монтелукаст дневно. Базирайки се на </w:t>
      </w:r>
      <w:r w:rsidRPr="00C94BDD">
        <w:rPr>
          <w:rFonts w:eastAsia="Times New Roman" w:cs="Arial"/>
          <w:i/>
          <w:iCs/>
          <w:color w:val="000000"/>
          <w:lang w:val="en-US"/>
        </w:rPr>
        <w:t>in</w:t>
      </w:r>
      <w:r w:rsidRPr="00C94BDD">
        <w:rPr>
          <w:rFonts w:eastAsia="Times New Roman" w:cs="Arial"/>
          <w:i/>
          <w:iCs/>
          <w:color w:val="000000"/>
          <w:lang w:val="ru-RU"/>
        </w:rPr>
        <w:t xml:space="preserve"> </w:t>
      </w:r>
      <w:r w:rsidRPr="00C94BDD">
        <w:rPr>
          <w:rFonts w:eastAsia="Times New Roman" w:cs="Arial"/>
          <w:i/>
          <w:iCs/>
          <w:color w:val="000000"/>
          <w:lang w:val="en-US"/>
        </w:rPr>
        <w:t>vitro</w:t>
      </w:r>
      <w:r w:rsidRPr="00C94BDD">
        <w:rPr>
          <w:rFonts w:eastAsia="Times New Roman" w:cs="Arial"/>
          <w:color w:val="000000"/>
          <w:lang w:val="ru-RU"/>
        </w:rPr>
        <w:t xml:space="preserve"> </w:t>
      </w:r>
      <w:r w:rsidRPr="00C94BDD">
        <w:rPr>
          <w:rFonts w:eastAsia="Times New Roman" w:cs="Arial"/>
          <w:color w:val="000000"/>
          <w:lang w:eastAsia="bg-BG"/>
        </w:rPr>
        <w:t xml:space="preserve">резултати в човешки чернодробни микрозоми, терапевтичните плазмени концентрации на монтелукаст не потискат цитохроми Р450 ЗА4,2С9, 1А2,2А6, 2С19 или </w:t>
      </w:r>
      <w:r w:rsidRPr="00C94BDD">
        <w:rPr>
          <w:rFonts w:eastAsia="Times New Roman" w:cs="Arial"/>
          <w:color w:val="000000"/>
          <w:lang w:val="ru-RU"/>
        </w:rPr>
        <w:t>2</w:t>
      </w:r>
      <w:r w:rsidRPr="00C94BDD">
        <w:rPr>
          <w:rFonts w:eastAsia="Times New Roman" w:cs="Arial"/>
          <w:color w:val="000000"/>
          <w:lang w:val="en-US"/>
        </w:rPr>
        <w:t>D</w:t>
      </w:r>
      <w:r w:rsidRPr="00C94BDD">
        <w:rPr>
          <w:rFonts w:eastAsia="Times New Roman" w:cs="Arial"/>
          <w:color w:val="000000"/>
          <w:lang w:val="ru-RU"/>
        </w:rPr>
        <w:t xml:space="preserve">6. </w:t>
      </w:r>
      <w:r w:rsidRPr="00C94BDD">
        <w:rPr>
          <w:rFonts w:eastAsia="Times New Roman" w:cs="Arial"/>
          <w:color w:val="000000"/>
          <w:lang w:eastAsia="bg-BG"/>
        </w:rPr>
        <w:t>Приносът на метаболитиге на монтелукаст към терапевтичния ефект е минимален.</w:t>
      </w:r>
    </w:p>
    <w:p w14:paraId="6123184D" w14:textId="77777777" w:rsidR="00C94BDD" w:rsidRPr="00C94BDD" w:rsidRDefault="00C94BDD" w:rsidP="00C94BDD">
      <w:pPr>
        <w:spacing w:line="240" w:lineRule="auto"/>
        <w:rPr>
          <w:rFonts w:eastAsia="Times New Roman" w:cs="Arial"/>
          <w:color w:val="000000"/>
          <w:u w:val="single"/>
          <w:lang w:eastAsia="bg-BG"/>
        </w:rPr>
      </w:pPr>
    </w:p>
    <w:p w14:paraId="7380EE34" w14:textId="1B929321" w:rsidR="00C94BDD" w:rsidRPr="00C94BDD" w:rsidRDefault="00C94BDD" w:rsidP="00C94BDD">
      <w:pPr>
        <w:pStyle w:val="Heading3"/>
        <w:rPr>
          <w:rFonts w:eastAsia="Times New Roman"/>
          <w:u w:val="single"/>
        </w:rPr>
      </w:pPr>
      <w:r w:rsidRPr="00C94BDD">
        <w:rPr>
          <w:rFonts w:eastAsia="Times New Roman"/>
          <w:u w:val="single"/>
          <w:lang w:eastAsia="bg-BG"/>
        </w:rPr>
        <w:t>Елиминиране</w:t>
      </w:r>
    </w:p>
    <w:p w14:paraId="343F33D5"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При здрави възрастни плазменият клирънс на монтелукаст е средно 45 </w:t>
      </w:r>
      <w:r w:rsidRPr="00C94BDD">
        <w:rPr>
          <w:rFonts w:eastAsia="Times New Roman" w:cs="Arial"/>
          <w:color w:val="000000"/>
          <w:lang w:val="en-US"/>
        </w:rPr>
        <w:t>ml</w:t>
      </w:r>
      <w:r w:rsidRPr="00C94BDD">
        <w:rPr>
          <w:rFonts w:eastAsia="Times New Roman" w:cs="Arial"/>
          <w:color w:val="000000"/>
          <w:lang w:val="ru-RU"/>
        </w:rPr>
        <w:t>/</w:t>
      </w:r>
      <w:r w:rsidRPr="00C94BDD">
        <w:rPr>
          <w:rFonts w:eastAsia="Times New Roman" w:cs="Arial"/>
          <w:color w:val="000000"/>
          <w:lang w:val="en-US"/>
        </w:rPr>
        <w:t>min</w:t>
      </w:r>
      <w:r w:rsidRPr="00C94BDD">
        <w:rPr>
          <w:rFonts w:eastAsia="Times New Roman" w:cs="Arial"/>
          <w:color w:val="000000"/>
          <w:lang w:val="ru-RU"/>
        </w:rPr>
        <w:t xml:space="preserve">. </w:t>
      </w:r>
      <w:r w:rsidRPr="00C94BDD">
        <w:rPr>
          <w:rFonts w:eastAsia="Times New Roman" w:cs="Arial"/>
          <w:color w:val="000000"/>
          <w:lang w:eastAsia="bg-BG"/>
        </w:rPr>
        <w:t>След една перорална доза на радиомаркиран монтелукаст, 86% от радиоактивността е открита във фекалните маси до 5 дни и &lt; 0,2% - в урината. Това, свързано с определената за монтелукаст перорална бионаличност, показва, че монтелукаст се екскретира почти изцяло чрез жлъчката.</w:t>
      </w:r>
    </w:p>
    <w:p w14:paraId="29CB8C09" w14:textId="77777777" w:rsidR="00C94BDD" w:rsidRPr="00C94BDD" w:rsidRDefault="00C94BDD" w:rsidP="00C94BDD">
      <w:pPr>
        <w:spacing w:line="240" w:lineRule="auto"/>
        <w:rPr>
          <w:rFonts w:eastAsia="Times New Roman" w:cs="Arial"/>
          <w:color w:val="000000"/>
          <w:u w:val="single"/>
          <w:lang w:eastAsia="bg-BG"/>
        </w:rPr>
      </w:pPr>
    </w:p>
    <w:p w14:paraId="77B43E6E" w14:textId="1A682E79" w:rsidR="00C94BDD" w:rsidRPr="00C94BDD" w:rsidRDefault="00C94BDD" w:rsidP="00C94BDD">
      <w:pPr>
        <w:spacing w:line="240" w:lineRule="auto"/>
        <w:rPr>
          <w:rFonts w:eastAsia="Times New Roman" w:cs="Arial"/>
          <w:sz w:val="24"/>
          <w:szCs w:val="24"/>
        </w:rPr>
      </w:pPr>
      <w:r w:rsidRPr="00C94BDD">
        <w:rPr>
          <w:rFonts w:eastAsia="Times New Roman" w:cs="Arial"/>
          <w:color w:val="000000"/>
          <w:u w:val="single"/>
          <w:lang w:eastAsia="bg-BG"/>
        </w:rPr>
        <w:t>Характерни особености при папиенти</w:t>
      </w:r>
    </w:p>
    <w:p w14:paraId="58CBE9CF"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Не е необходимо съобразяване на дозировката за пациенти в напреднала възраст или лека до умерена чернодробна недостатъчност. Не са провеждани изпитвания с пациенти с бъбречни увреждания. Тъй като монтелукаст и неговите метаболити се елиминират чрез жлъчката, не е необходимо съобразяване на дозировката при пациенти с бъбречно увреждане. Няма клинични данни за фармакокинетиката при пациенти с тежка чернодробна недостатъчност </w:t>
      </w:r>
      <w:r w:rsidRPr="00C94BDD">
        <w:rPr>
          <w:rFonts w:eastAsia="Times New Roman" w:cs="Arial"/>
          <w:color w:val="000000"/>
          <w:lang w:val="ru-RU"/>
        </w:rPr>
        <w:t>(</w:t>
      </w:r>
      <w:r w:rsidRPr="00C94BDD">
        <w:rPr>
          <w:rFonts w:eastAsia="Times New Roman" w:cs="Arial"/>
          <w:color w:val="000000"/>
          <w:lang w:val="en-US"/>
        </w:rPr>
        <w:t>Child</w:t>
      </w:r>
      <w:r w:rsidRPr="00C94BDD">
        <w:rPr>
          <w:rFonts w:eastAsia="Times New Roman" w:cs="Arial"/>
          <w:color w:val="000000"/>
          <w:lang w:val="ru-RU"/>
        </w:rPr>
        <w:t xml:space="preserve"> </w:t>
      </w:r>
      <w:r w:rsidRPr="00C94BDD">
        <w:rPr>
          <w:rFonts w:eastAsia="Times New Roman" w:cs="Arial"/>
          <w:color w:val="000000"/>
          <w:lang w:eastAsia="bg-BG"/>
        </w:rPr>
        <w:t xml:space="preserve">- </w:t>
      </w:r>
      <w:r w:rsidRPr="00C94BDD">
        <w:rPr>
          <w:rFonts w:eastAsia="Times New Roman" w:cs="Arial"/>
          <w:color w:val="000000"/>
          <w:lang w:val="en-US"/>
        </w:rPr>
        <w:t>Pugh</w:t>
      </w:r>
      <w:r w:rsidRPr="00C94BDD">
        <w:rPr>
          <w:rFonts w:eastAsia="Times New Roman" w:cs="Arial"/>
          <w:color w:val="000000"/>
          <w:lang w:val="ru-RU"/>
        </w:rPr>
        <w:t xml:space="preserve"> </w:t>
      </w:r>
      <w:r w:rsidRPr="00C94BDD">
        <w:rPr>
          <w:rFonts w:eastAsia="Times New Roman" w:cs="Arial"/>
          <w:color w:val="000000"/>
          <w:lang w:eastAsia="bg-BG"/>
        </w:rPr>
        <w:t>степен &gt; 9).</w:t>
      </w:r>
    </w:p>
    <w:p w14:paraId="119A4928" w14:textId="77777777" w:rsidR="00C94BDD" w:rsidRPr="00C94BDD" w:rsidRDefault="00C94BDD" w:rsidP="00C94BDD">
      <w:pPr>
        <w:spacing w:line="240" w:lineRule="auto"/>
        <w:rPr>
          <w:rFonts w:eastAsia="Times New Roman" w:cs="Arial"/>
          <w:color w:val="000000"/>
          <w:lang w:eastAsia="bg-BG"/>
        </w:rPr>
      </w:pPr>
    </w:p>
    <w:p w14:paraId="21D5A11D" w14:textId="00C7F1F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При високи дози монтелукаст (20 и 60 пъти над препоръчителната доза при възрастни) се наблюдава намаление в плазмените концентрации на теофилин. Този ефект не е наблюдаван при препоръчителна доза от 10 </w:t>
      </w:r>
      <w:r w:rsidRPr="00C94BDD">
        <w:rPr>
          <w:rFonts w:eastAsia="Times New Roman" w:cs="Arial"/>
          <w:color w:val="000000"/>
          <w:lang w:val="en-US"/>
        </w:rPr>
        <w:t>mg</w:t>
      </w:r>
      <w:r w:rsidRPr="00C94BDD">
        <w:rPr>
          <w:rFonts w:eastAsia="Times New Roman" w:cs="Arial"/>
          <w:color w:val="000000"/>
          <w:lang w:val="ru-RU"/>
        </w:rPr>
        <w:t xml:space="preserve"> </w:t>
      </w:r>
      <w:r w:rsidRPr="00C94BDD">
        <w:rPr>
          <w:rFonts w:eastAsia="Times New Roman" w:cs="Arial"/>
          <w:color w:val="000000"/>
          <w:lang w:eastAsia="bg-BG"/>
        </w:rPr>
        <w:t>дневно.</w:t>
      </w:r>
    </w:p>
    <w:p w14:paraId="1E12A69E" w14:textId="66F52E64" w:rsidR="00C94BDD" w:rsidRPr="00C94BDD" w:rsidRDefault="00C94BDD" w:rsidP="00C94BDD"/>
    <w:p w14:paraId="4F31844C" w14:textId="5D4896DB" w:rsidR="00875EEC" w:rsidRDefault="002C50EE" w:rsidP="005726E3">
      <w:pPr>
        <w:pStyle w:val="Heading2"/>
      </w:pPr>
      <w:r>
        <w:t>5.3. Предклинични данни за безопасност</w:t>
      </w:r>
    </w:p>
    <w:p w14:paraId="44D03F80" w14:textId="0420F994" w:rsidR="00C94BDD" w:rsidRPr="00C94BDD" w:rsidRDefault="00C94BDD" w:rsidP="00C94BDD">
      <w:pPr>
        <w:rPr>
          <w:rFonts w:cs="Arial"/>
        </w:rPr>
      </w:pPr>
    </w:p>
    <w:p w14:paraId="018AA3D8" w14:textId="77777777"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В проучвания при животни за токсичността на лекарствения продукт са били наблюдавани минимални биохимични промени в серумните нива на </w:t>
      </w:r>
      <w:r w:rsidRPr="00C94BDD">
        <w:rPr>
          <w:rFonts w:eastAsia="Times New Roman" w:cs="Arial"/>
          <w:color w:val="000000"/>
          <w:lang w:val="en-US"/>
        </w:rPr>
        <w:t>ALT</w:t>
      </w:r>
      <w:r w:rsidRPr="00C94BDD">
        <w:rPr>
          <w:rFonts w:eastAsia="Times New Roman" w:cs="Arial"/>
          <w:color w:val="000000"/>
          <w:lang w:val="ru-RU"/>
        </w:rPr>
        <w:t xml:space="preserve">, </w:t>
      </w:r>
      <w:r w:rsidRPr="00C94BDD">
        <w:rPr>
          <w:rFonts w:eastAsia="Times New Roman" w:cs="Arial"/>
          <w:color w:val="000000"/>
          <w:lang w:eastAsia="bg-BG"/>
        </w:rPr>
        <w:t xml:space="preserve">глюкоза, фосфор и триглицериди, които обаче са били преходни. Проявите на токсичност при животните са били увеличаване на саливацията, гастроинтестинални симптоми, редки изпражнения и йонен дисбаланс. Тези симптоми са наблюдавани при дози, водещи до над 17 пъти по-висока системна експозиция от отчетената при клиничните дози. При маймуни нежеланите лекарствени реакции са възниквали при дози от 150 </w:t>
      </w:r>
      <w:r w:rsidRPr="00C94BDD">
        <w:rPr>
          <w:rFonts w:eastAsia="Times New Roman" w:cs="Arial"/>
          <w:color w:val="000000"/>
          <w:lang w:val="en-US"/>
        </w:rPr>
        <w:t>mg</w:t>
      </w:r>
      <w:r w:rsidRPr="00C94BDD">
        <w:rPr>
          <w:rFonts w:eastAsia="Times New Roman" w:cs="Arial"/>
          <w:color w:val="000000"/>
          <w:lang w:val="ru-RU"/>
        </w:rPr>
        <w:t>/</w:t>
      </w:r>
      <w:r w:rsidRPr="00C94BDD">
        <w:rPr>
          <w:rFonts w:eastAsia="Times New Roman" w:cs="Arial"/>
          <w:color w:val="000000"/>
          <w:lang w:val="en-US"/>
        </w:rPr>
        <w:t>kg</w:t>
      </w:r>
      <w:r w:rsidRPr="00C94BDD">
        <w:rPr>
          <w:rFonts w:eastAsia="Times New Roman" w:cs="Arial"/>
          <w:color w:val="000000"/>
          <w:lang w:eastAsia="bg-BG"/>
        </w:rPr>
        <w:t xml:space="preserve">/дневно (&gt; 232 пъти по-голяма системна експозиция от тази при клиничната доза). При проучвания при животни монтелукаст не е оказал ефект върху фертилитета или репродуктивните възможности при системна експозиция надхвърляща клиничната с повече от 24 пъти. В проучване на фертилитета при женски плъхове е било наблюдавано леко намаляване на теглото при малките при доза 200 </w:t>
      </w:r>
      <w:r w:rsidRPr="00C94BDD">
        <w:rPr>
          <w:rFonts w:eastAsia="Times New Roman" w:cs="Arial"/>
          <w:color w:val="000000"/>
          <w:lang w:val="en-US"/>
        </w:rPr>
        <w:t>mg</w:t>
      </w:r>
      <w:r w:rsidRPr="00C94BDD">
        <w:rPr>
          <w:rFonts w:eastAsia="Times New Roman" w:cs="Arial"/>
          <w:color w:val="000000"/>
          <w:lang w:val="ru-RU"/>
        </w:rPr>
        <w:t>/</w:t>
      </w:r>
      <w:r w:rsidRPr="00C94BDD">
        <w:rPr>
          <w:rFonts w:eastAsia="Times New Roman" w:cs="Arial"/>
          <w:color w:val="000000"/>
          <w:lang w:val="en-US"/>
        </w:rPr>
        <w:t>kg</w:t>
      </w:r>
      <w:r w:rsidRPr="00C94BDD">
        <w:rPr>
          <w:rFonts w:eastAsia="Times New Roman" w:cs="Arial"/>
          <w:color w:val="000000"/>
          <w:lang w:eastAsia="bg-BG"/>
        </w:rPr>
        <w:t xml:space="preserve">/дневно (&gt; 69 пъти клиничната системна експозиция). В проучвания със зайци, е наблюдавана по-висока честота на непълна осификация в сравнение със съответни контролни животни при системна експозиция </w:t>
      </w:r>
      <w:r w:rsidRPr="00C94BDD">
        <w:rPr>
          <w:rFonts w:eastAsia="Times New Roman" w:cs="Arial"/>
          <w:color w:val="000000"/>
          <w:lang w:eastAsia="bg-BG"/>
        </w:rPr>
        <w:lastRenderedPageBreak/>
        <w:t>повече от 24 пъти над клиничната системна експозиция. Не са наблюдавани аномалии при плъхове. Монтелукаст преминава през плацентарната бариера и се екскретира в кърмата при животни.</w:t>
      </w:r>
    </w:p>
    <w:p w14:paraId="696DECFB" w14:textId="77777777" w:rsidR="00C94BDD" w:rsidRPr="00C94BDD" w:rsidRDefault="00C94BDD" w:rsidP="00C94BDD">
      <w:pPr>
        <w:spacing w:line="240" w:lineRule="auto"/>
        <w:rPr>
          <w:rFonts w:eastAsia="Times New Roman" w:cs="Arial"/>
          <w:color w:val="000000"/>
          <w:lang w:eastAsia="bg-BG"/>
        </w:rPr>
      </w:pPr>
    </w:p>
    <w:p w14:paraId="3EBC44F9" w14:textId="7338E9CA"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Смърт не настъпва при еднократен перорален прием на монтелукаст натрий в дози до 5 000 </w:t>
      </w:r>
      <w:r w:rsidRPr="00C94BDD">
        <w:rPr>
          <w:rFonts w:eastAsia="Times New Roman" w:cs="Arial"/>
          <w:color w:val="000000"/>
          <w:lang w:val="en-US"/>
        </w:rPr>
        <w:t>mg</w:t>
      </w:r>
      <w:r w:rsidRPr="00C94BDD">
        <w:rPr>
          <w:rFonts w:eastAsia="Times New Roman" w:cs="Arial"/>
          <w:color w:val="000000"/>
          <w:lang w:val="ru-RU"/>
        </w:rPr>
        <w:t>/</w:t>
      </w:r>
      <w:r w:rsidRPr="00C94BDD">
        <w:rPr>
          <w:rFonts w:eastAsia="Times New Roman" w:cs="Arial"/>
          <w:color w:val="000000"/>
          <w:lang w:val="en-US"/>
        </w:rPr>
        <w:t>kg</w:t>
      </w:r>
      <w:r w:rsidRPr="00C94BDD">
        <w:rPr>
          <w:rFonts w:eastAsia="Times New Roman" w:cs="Arial"/>
          <w:color w:val="000000"/>
          <w:lang w:val="ru-RU"/>
        </w:rPr>
        <w:t xml:space="preserve"> </w:t>
      </w:r>
      <w:r w:rsidRPr="00C94BDD">
        <w:rPr>
          <w:rFonts w:eastAsia="Times New Roman" w:cs="Arial"/>
          <w:color w:val="000000"/>
          <w:lang w:eastAsia="bg-BG"/>
        </w:rPr>
        <w:t xml:space="preserve">при мишки и плъхове (15 000 </w:t>
      </w:r>
      <w:r w:rsidRPr="00C94BDD">
        <w:rPr>
          <w:rFonts w:eastAsia="Times New Roman" w:cs="Arial"/>
          <w:color w:val="000000"/>
          <w:lang w:val="en-US"/>
        </w:rPr>
        <w:t>mg</w:t>
      </w:r>
      <w:r w:rsidRPr="00C94BDD">
        <w:rPr>
          <w:rFonts w:eastAsia="Times New Roman" w:cs="Arial"/>
          <w:color w:val="000000"/>
          <w:lang w:val="ru-RU"/>
        </w:rPr>
        <w:t>/</w:t>
      </w:r>
      <w:r w:rsidRPr="00C94BDD">
        <w:rPr>
          <w:rFonts w:eastAsia="Times New Roman" w:cs="Arial"/>
          <w:color w:val="000000"/>
          <w:lang w:val="en-US"/>
        </w:rPr>
        <w:t>m</w:t>
      </w:r>
      <w:r w:rsidRPr="00C94BDD">
        <w:rPr>
          <w:rFonts w:eastAsia="Times New Roman" w:cs="Arial"/>
          <w:color w:val="000000"/>
          <w:vertAlign w:val="superscript"/>
          <w:lang w:val="ru-RU"/>
        </w:rPr>
        <w:t>2</w:t>
      </w:r>
      <w:r w:rsidRPr="00C94BDD">
        <w:rPr>
          <w:rFonts w:eastAsia="Times New Roman" w:cs="Arial"/>
          <w:color w:val="000000"/>
          <w:lang w:val="ru-RU"/>
        </w:rPr>
        <w:t xml:space="preserve"> </w:t>
      </w:r>
      <w:r w:rsidRPr="00C94BDD">
        <w:rPr>
          <w:rFonts w:eastAsia="Times New Roman" w:cs="Arial"/>
          <w:color w:val="000000"/>
          <w:lang w:eastAsia="bg-BG"/>
        </w:rPr>
        <w:t xml:space="preserve">при мишки и 30 000 </w:t>
      </w:r>
      <w:r w:rsidRPr="00C94BDD">
        <w:rPr>
          <w:rFonts w:eastAsia="Times New Roman" w:cs="Arial"/>
          <w:color w:val="000000"/>
          <w:lang w:val="en-US"/>
        </w:rPr>
        <w:t>mg</w:t>
      </w:r>
      <w:r w:rsidRPr="00C94BDD">
        <w:rPr>
          <w:rFonts w:eastAsia="Times New Roman" w:cs="Arial"/>
          <w:color w:val="000000"/>
          <w:lang w:val="ru-RU"/>
        </w:rPr>
        <w:t>/</w:t>
      </w:r>
      <w:r w:rsidRPr="00C94BDD">
        <w:rPr>
          <w:rFonts w:eastAsia="Times New Roman" w:cs="Arial"/>
          <w:color w:val="000000"/>
          <w:lang w:val="en-US"/>
        </w:rPr>
        <w:t>m</w:t>
      </w:r>
      <w:r w:rsidRPr="00C94BDD">
        <w:rPr>
          <w:rFonts w:eastAsia="Times New Roman" w:cs="Arial"/>
          <w:color w:val="000000"/>
          <w:vertAlign w:val="superscript"/>
          <w:lang w:val="ru-RU"/>
        </w:rPr>
        <w:t>2</w:t>
      </w:r>
      <w:r w:rsidRPr="00C94BDD">
        <w:rPr>
          <w:rFonts w:eastAsia="Times New Roman" w:cs="Arial"/>
          <w:color w:val="000000"/>
          <w:lang w:val="ru-RU"/>
        </w:rPr>
        <w:t xml:space="preserve"> </w:t>
      </w:r>
      <w:r w:rsidRPr="00C94BDD">
        <w:rPr>
          <w:rFonts w:eastAsia="Times New Roman" w:cs="Arial"/>
          <w:color w:val="000000"/>
          <w:lang w:eastAsia="bg-BG"/>
        </w:rPr>
        <w:t xml:space="preserve">съответно при плъхове) максимална изпитвана доза. Тази доза отговаря на 25 000 пъти препоръчителната дневна доза при възрастни хора (определена при възрастни пациенти с тегло 50 </w:t>
      </w:r>
      <w:r w:rsidRPr="00C94BDD">
        <w:rPr>
          <w:rFonts w:eastAsia="Times New Roman" w:cs="Arial"/>
          <w:color w:val="000000"/>
          <w:lang w:val="en-US"/>
        </w:rPr>
        <w:t>kg</w:t>
      </w:r>
      <w:r w:rsidRPr="00C94BDD">
        <w:rPr>
          <w:rFonts w:eastAsia="Times New Roman" w:cs="Arial"/>
          <w:color w:val="000000"/>
          <w:lang w:val="ru-RU"/>
        </w:rPr>
        <w:t>).</w:t>
      </w:r>
    </w:p>
    <w:p w14:paraId="000C9706" w14:textId="77777777" w:rsidR="00C94BDD" w:rsidRPr="00C94BDD" w:rsidRDefault="00C94BDD" w:rsidP="00C94BDD">
      <w:pPr>
        <w:spacing w:line="240" w:lineRule="auto"/>
        <w:rPr>
          <w:rFonts w:eastAsia="Times New Roman" w:cs="Arial"/>
          <w:color w:val="000000"/>
          <w:lang w:eastAsia="bg-BG"/>
        </w:rPr>
      </w:pPr>
    </w:p>
    <w:p w14:paraId="57AEE471" w14:textId="39294A1A" w:rsidR="00C94BDD" w:rsidRPr="00C94BDD" w:rsidRDefault="00C94BDD" w:rsidP="00C94BDD">
      <w:pPr>
        <w:spacing w:line="240" w:lineRule="auto"/>
        <w:rPr>
          <w:rFonts w:eastAsia="Times New Roman" w:cs="Arial"/>
          <w:sz w:val="24"/>
          <w:szCs w:val="24"/>
        </w:rPr>
      </w:pPr>
      <w:r w:rsidRPr="00C94BDD">
        <w:rPr>
          <w:rFonts w:eastAsia="Times New Roman" w:cs="Arial"/>
          <w:color w:val="000000"/>
          <w:lang w:eastAsia="bg-BG"/>
        </w:rPr>
        <w:t xml:space="preserve">Установено е, че монтелукаст не е фототоксичен при мишки за </w:t>
      </w:r>
      <w:r w:rsidRPr="00C94BDD">
        <w:rPr>
          <w:rFonts w:eastAsia="Times New Roman" w:cs="Arial"/>
          <w:color w:val="000000"/>
          <w:lang w:val="en-US"/>
        </w:rPr>
        <w:t>UVA</w:t>
      </w:r>
      <w:r w:rsidRPr="00C94BDD">
        <w:rPr>
          <w:rFonts w:eastAsia="Times New Roman" w:cs="Arial"/>
          <w:color w:val="000000"/>
          <w:lang w:val="ru-RU"/>
        </w:rPr>
        <w:t xml:space="preserve">, </w:t>
      </w:r>
      <w:r w:rsidRPr="00C94BDD">
        <w:rPr>
          <w:rFonts w:eastAsia="Times New Roman" w:cs="Arial"/>
          <w:color w:val="000000"/>
          <w:lang w:val="en-US"/>
        </w:rPr>
        <w:t>UVB</w:t>
      </w:r>
      <w:r w:rsidRPr="00C94BDD">
        <w:rPr>
          <w:rFonts w:eastAsia="Times New Roman" w:cs="Arial"/>
          <w:color w:val="000000"/>
          <w:lang w:val="ru-RU"/>
        </w:rPr>
        <w:t xml:space="preserve"> </w:t>
      </w:r>
      <w:r w:rsidRPr="00C94BDD">
        <w:rPr>
          <w:rFonts w:eastAsia="Times New Roman" w:cs="Arial"/>
          <w:color w:val="000000"/>
          <w:lang w:eastAsia="bg-BG"/>
        </w:rPr>
        <w:t xml:space="preserve">или лъчите от видимия спектър при дози до 500 </w:t>
      </w:r>
      <w:r w:rsidRPr="00C94BDD">
        <w:rPr>
          <w:rFonts w:eastAsia="Times New Roman" w:cs="Arial"/>
          <w:color w:val="000000"/>
          <w:lang w:val="en-US"/>
        </w:rPr>
        <w:t>mg</w:t>
      </w:r>
      <w:r w:rsidRPr="00C94BDD">
        <w:rPr>
          <w:rFonts w:eastAsia="Times New Roman" w:cs="Arial"/>
          <w:color w:val="000000"/>
          <w:lang w:val="ru-RU"/>
        </w:rPr>
        <w:t>/</w:t>
      </w:r>
      <w:r w:rsidRPr="00C94BDD">
        <w:rPr>
          <w:rFonts w:eastAsia="Times New Roman" w:cs="Arial"/>
          <w:color w:val="000000"/>
          <w:lang w:val="en-US"/>
        </w:rPr>
        <w:t>kg</w:t>
      </w:r>
      <w:r w:rsidRPr="00C94BDD">
        <w:rPr>
          <w:rFonts w:eastAsia="Times New Roman" w:cs="Arial"/>
          <w:color w:val="000000"/>
          <w:lang w:eastAsia="bg-BG"/>
        </w:rPr>
        <w:t>/дневно (приблизително &gt;200 пъти над клиничната доза).</w:t>
      </w:r>
    </w:p>
    <w:p w14:paraId="719A692B" w14:textId="77777777" w:rsidR="00C94BDD" w:rsidRPr="00C94BDD" w:rsidRDefault="00C94BDD" w:rsidP="00C94BDD">
      <w:pPr>
        <w:rPr>
          <w:rFonts w:eastAsia="Times New Roman" w:cs="Arial"/>
          <w:color w:val="000000"/>
          <w:lang w:eastAsia="bg-BG"/>
        </w:rPr>
      </w:pPr>
    </w:p>
    <w:p w14:paraId="001361B6" w14:textId="7E0A70E8" w:rsidR="00C94BDD" w:rsidRPr="00C94BDD" w:rsidRDefault="00C94BDD" w:rsidP="00C94BDD">
      <w:r w:rsidRPr="00C94BDD">
        <w:rPr>
          <w:rFonts w:eastAsia="Times New Roman" w:cs="Arial"/>
          <w:color w:val="000000"/>
          <w:lang w:eastAsia="bg-BG"/>
        </w:rPr>
        <w:t xml:space="preserve">Монтелукаст не е бил мутагенен в </w:t>
      </w:r>
      <w:r w:rsidRPr="00C94BDD">
        <w:rPr>
          <w:rFonts w:eastAsia="Times New Roman" w:cs="Arial"/>
          <w:i/>
          <w:iCs/>
          <w:color w:val="000000"/>
          <w:lang w:val="en-US"/>
        </w:rPr>
        <w:t>in</w:t>
      </w:r>
      <w:r w:rsidRPr="00C94BDD">
        <w:rPr>
          <w:rFonts w:eastAsia="Times New Roman" w:cs="Arial"/>
          <w:i/>
          <w:iCs/>
          <w:color w:val="000000"/>
          <w:lang w:val="ru-RU"/>
        </w:rPr>
        <w:t xml:space="preserve"> </w:t>
      </w:r>
      <w:r w:rsidRPr="00C94BDD">
        <w:rPr>
          <w:rFonts w:eastAsia="Times New Roman" w:cs="Arial"/>
          <w:i/>
          <w:iCs/>
          <w:color w:val="000000"/>
          <w:lang w:val="en-US"/>
        </w:rPr>
        <w:t>vitro</w:t>
      </w:r>
      <w:r w:rsidRPr="00C94BDD">
        <w:rPr>
          <w:rFonts w:eastAsia="Times New Roman" w:cs="Arial"/>
          <w:color w:val="000000"/>
          <w:lang w:val="ru-RU"/>
        </w:rPr>
        <w:t xml:space="preserve"> </w:t>
      </w:r>
      <w:r w:rsidRPr="00C94BDD">
        <w:rPr>
          <w:rFonts w:eastAsia="Times New Roman" w:cs="Arial"/>
          <w:color w:val="000000"/>
          <w:lang w:eastAsia="bg-BG"/>
        </w:rPr>
        <w:t xml:space="preserve">и </w:t>
      </w:r>
      <w:r w:rsidRPr="00C94BDD">
        <w:rPr>
          <w:rFonts w:eastAsia="Times New Roman" w:cs="Arial"/>
          <w:i/>
          <w:iCs/>
          <w:color w:val="000000"/>
          <w:lang w:val="en-US"/>
        </w:rPr>
        <w:t>in</w:t>
      </w:r>
      <w:r w:rsidRPr="00C94BDD">
        <w:rPr>
          <w:rFonts w:eastAsia="Times New Roman" w:cs="Arial"/>
          <w:i/>
          <w:iCs/>
          <w:color w:val="000000"/>
          <w:lang w:val="ru-RU"/>
        </w:rPr>
        <w:t xml:space="preserve"> </w:t>
      </w:r>
      <w:r w:rsidRPr="00C94BDD">
        <w:rPr>
          <w:rFonts w:eastAsia="Times New Roman" w:cs="Arial"/>
          <w:i/>
          <w:iCs/>
          <w:color w:val="000000"/>
          <w:lang w:val="en-US"/>
        </w:rPr>
        <w:t>vivo</w:t>
      </w:r>
      <w:r w:rsidRPr="00C94BDD">
        <w:rPr>
          <w:rFonts w:eastAsia="Times New Roman" w:cs="Arial"/>
          <w:color w:val="000000"/>
          <w:lang w:val="ru-RU"/>
        </w:rPr>
        <w:t xml:space="preserve"> </w:t>
      </w:r>
      <w:r w:rsidRPr="00C94BDD">
        <w:rPr>
          <w:rFonts w:eastAsia="Times New Roman" w:cs="Arial"/>
          <w:color w:val="000000"/>
          <w:lang w:eastAsia="bg-BG"/>
        </w:rPr>
        <w:t>тестванията, нито туморогенен при гризачи.</w:t>
      </w:r>
    </w:p>
    <w:p w14:paraId="1BA6531D" w14:textId="5C020F28" w:rsidR="00B6672E" w:rsidRDefault="002C50EE" w:rsidP="00936AD0">
      <w:pPr>
        <w:pStyle w:val="Heading1"/>
      </w:pPr>
      <w:r>
        <w:t>7. ПРИТЕЖАТЕЛ НА РАЗРЕШЕНИЕТО ЗА УПОТРЕБА</w:t>
      </w:r>
    </w:p>
    <w:p w14:paraId="560C526A" w14:textId="31C28107" w:rsidR="00C94BDD" w:rsidRDefault="00C94BDD" w:rsidP="00C94BDD"/>
    <w:p w14:paraId="47FD636B" w14:textId="77777777" w:rsidR="00C94BDD" w:rsidRDefault="00C94BDD" w:rsidP="00C94BDD">
      <w:r>
        <w:t xml:space="preserve">N.V. Organon </w:t>
      </w:r>
    </w:p>
    <w:p w14:paraId="3497BD24" w14:textId="77777777" w:rsidR="00C94BDD" w:rsidRDefault="00C94BDD" w:rsidP="00C94BDD">
      <w:pPr>
        <w:rPr>
          <w:lang w:eastAsia="bg-BG"/>
        </w:rPr>
      </w:pPr>
      <w:r>
        <w:t xml:space="preserve">Kloosterstraat </w:t>
      </w:r>
      <w:r>
        <w:rPr>
          <w:lang w:eastAsia="bg-BG"/>
        </w:rPr>
        <w:t xml:space="preserve">6 </w:t>
      </w:r>
    </w:p>
    <w:p w14:paraId="7AA294B0" w14:textId="77777777" w:rsidR="00C94BDD" w:rsidRDefault="00C94BDD" w:rsidP="00C94BDD">
      <w:r>
        <w:rPr>
          <w:lang w:eastAsia="bg-BG"/>
        </w:rPr>
        <w:t xml:space="preserve">5349 </w:t>
      </w:r>
      <w:r>
        <w:t>AB Oss</w:t>
      </w:r>
    </w:p>
    <w:p w14:paraId="0DDCBF30" w14:textId="0ACFCA2E" w:rsidR="00C94BDD" w:rsidRPr="00C94BDD" w:rsidRDefault="00C94BDD" w:rsidP="00C94BDD">
      <w:r>
        <w:rPr>
          <w:lang w:eastAsia="bg-BG"/>
        </w:rPr>
        <w:t>Нидерландия</w:t>
      </w:r>
    </w:p>
    <w:p w14:paraId="508F3A54" w14:textId="608BFDB5" w:rsidR="00B6672E" w:rsidRDefault="00936AD0" w:rsidP="00936AD0">
      <w:pPr>
        <w:pStyle w:val="Heading1"/>
      </w:pPr>
      <w:r>
        <w:t>8.</w:t>
      </w:r>
      <w:r w:rsidR="002C50EE">
        <w:t>НОМЕР НА РАЗРЕШЕНИЕТО ЗА УПОТРЕБА</w:t>
      </w:r>
    </w:p>
    <w:p w14:paraId="7590EF07" w14:textId="542EDD6C" w:rsidR="00C94BDD" w:rsidRDefault="00C94BDD" w:rsidP="00C94BDD"/>
    <w:p w14:paraId="24F15812" w14:textId="34EAA4C2" w:rsidR="00C94BDD" w:rsidRPr="00C94BDD" w:rsidRDefault="00C94BDD" w:rsidP="00C94BDD">
      <w:r>
        <w:rPr>
          <w:lang w:val="en-US"/>
        </w:rPr>
        <w:t>Per</w:t>
      </w:r>
      <w:r w:rsidRPr="00C94BDD">
        <w:rPr>
          <w:lang w:val="ru-RU"/>
        </w:rPr>
        <w:t xml:space="preserve">. </w:t>
      </w:r>
      <w:r>
        <w:t>№20030631</w:t>
      </w:r>
    </w:p>
    <w:p w14:paraId="3BC5EC53" w14:textId="28BF67F7" w:rsidR="00875EEC" w:rsidRDefault="002C50EE" w:rsidP="005726E3">
      <w:pPr>
        <w:pStyle w:val="Heading1"/>
      </w:pPr>
      <w:r>
        <w:t>9. ДАТА НА ПЪРВО РАЗРЕШАВАНЕ/ПОДНОВЯВАНЕ НА РАЗРЕШЕНИЕТО ЗА УПОТРЕБА</w:t>
      </w:r>
    </w:p>
    <w:p w14:paraId="52043F21" w14:textId="07F6AB02" w:rsidR="00C94BDD" w:rsidRDefault="00C94BDD" w:rsidP="00C94BDD"/>
    <w:p w14:paraId="75D8DC97" w14:textId="77777777" w:rsidR="00C94BDD" w:rsidRPr="00C94BDD" w:rsidRDefault="00C94BDD" w:rsidP="00C94BDD">
      <w:pPr>
        <w:rPr>
          <w:sz w:val="24"/>
          <w:szCs w:val="24"/>
        </w:rPr>
      </w:pPr>
      <w:bookmarkStart w:id="2" w:name="_GoBack"/>
      <w:r w:rsidRPr="00C94BDD">
        <w:rPr>
          <w:lang w:eastAsia="bg-BG"/>
        </w:rPr>
        <w:t>Дата на първо разрешаване: 07 октомври 2003 г.</w:t>
      </w:r>
    </w:p>
    <w:p w14:paraId="1D0B3349" w14:textId="2CB57873" w:rsidR="00C94BDD" w:rsidRPr="00C94BDD" w:rsidRDefault="00C94BDD" w:rsidP="00C94BDD">
      <w:pPr>
        <w:rPr>
          <w:sz w:val="24"/>
          <w:szCs w:val="24"/>
        </w:rPr>
      </w:pPr>
      <w:r w:rsidRPr="00C94BDD">
        <w:rPr>
          <w:lang w:eastAsia="bg-BG"/>
        </w:rPr>
        <w:t>Дата на последно подновяване: 17 юли 2014 г.</w:t>
      </w:r>
    </w:p>
    <w:bookmarkEnd w:id="2"/>
    <w:p w14:paraId="43FB38A2" w14:textId="1E62F256" w:rsidR="007C605B" w:rsidRPr="003E3126" w:rsidRDefault="002C50EE" w:rsidP="005726E3">
      <w:pPr>
        <w:pStyle w:val="Heading1"/>
      </w:pPr>
      <w:r>
        <w:t>10. ДАТА НА АКТУАЛИЗИРАНЕ НА ТЕКСТА</w:t>
      </w:r>
      <w:bookmarkEnd w:id="0"/>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BE53CE5"/>
    <w:multiLevelType w:val="hybridMultilevel"/>
    <w:tmpl w:val="A7609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4D3DBD"/>
    <w:multiLevelType w:val="hybridMultilevel"/>
    <w:tmpl w:val="71601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2"/>
  </w:num>
  <w:num w:numId="12">
    <w:abstractNumId w:val="16"/>
  </w:num>
  <w:num w:numId="13">
    <w:abstractNumId w:val="21"/>
  </w:num>
  <w:num w:numId="14">
    <w:abstractNumId w:val="14"/>
  </w:num>
  <w:num w:numId="15">
    <w:abstractNumId w:val="31"/>
  </w:num>
  <w:num w:numId="16">
    <w:abstractNumId w:val="11"/>
  </w:num>
  <w:num w:numId="17">
    <w:abstractNumId w:val="26"/>
  </w:num>
  <w:num w:numId="18">
    <w:abstractNumId w:val="8"/>
  </w:num>
  <w:num w:numId="19">
    <w:abstractNumId w:val="28"/>
  </w:num>
  <w:num w:numId="20">
    <w:abstractNumId w:val="25"/>
  </w:num>
  <w:num w:numId="21">
    <w:abstractNumId w:val="19"/>
  </w:num>
  <w:num w:numId="22">
    <w:abstractNumId w:val="27"/>
  </w:num>
  <w:num w:numId="23">
    <w:abstractNumId w:val="20"/>
  </w:num>
  <w:num w:numId="24">
    <w:abstractNumId w:val="9"/>
  </w:num>
  <w:num w:numId="25">
    <w:abstractNumId w:val="24"/>
  </w:num>
  <w:num w:numId="26">
    <w:abstractNumId w:val="23"/>
  </w:num>
  <w:num w:numId="27">
    <w:abstractNumId w:val="33"/>
  </w:num>
  <w:num w:numId="28">
    <w:abstractNumId w:val="6"/>
  </w:num>
  <w:num w:numId="29">
    <w:abstractNumId w:val="22"/>
  </w:num>
  <w:num w:numId="30">
    <w:abstractNumId w:val="37"/>
  </w:num>
  <w:num w:numId="31">
    <w:abstractNumId w:val="5"/>
  </w:num>
  <w:num w:numId="32">
    <w:abstractNumId w:val="35"/>
  </w:num>
  <w:num w:numId="33">
    <w:abstractNumId w:val="30"/>
  </w:num>
  <w:num w:numId="34">
    <w:abstractNumId w:val="34"/>
  </w:num>
  <w:num w:numId="35">
    <w:abstractNumId w:val="7"/>
  </w:num>
  <w:num w:numId="36">
    <w:abstractNumId w:val="10"/>
  </w:num>
  <w:num w:numId="37">
    <w:abstractNumId w:val="13"/>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5105"/>
    <w:rsid w:val="008A6AF2"/>
    <w:rsid w:val="008C70A2"/>
    <w:rsid w:val="008F2D7E"/>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94BDD"/>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5095</Words>
  <Characters>29047</Characters>
  <Application>Microsoft Office Word</Application>
  <DocSecurity>0</DocSecurity>
  <Lines>242</Lines>
  <Paragraphs>68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2022-11-24T17:18:00Z</dcterms:created>
  <dcterms:modified xsi:type="dcterms:W3CDTF">2022-11-24T17:18:00Z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