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4FAB0CCB" w:rsidR="00DB32D3" w:rsidRDefault="00DD466D" w:rsidP="005726E3">
      <w:pPr>
        <w:pStyle w:val="Heading1"/>
      </w:pPr>
      <w:r>
        <w:t>1.ИМЕ НА ЛЕКАРСТВЕНИЯ ПРОДУКТ</w:t>
      </w:r>
    </w:p>
    <w:p w14:paraId="7016B643" w14:textId="325B2579" w:rsidR="000C77EF" w:rsidRDefault="000C77EF" w:rsidP="000C77EF"/>
    <w:p w14:paraId="243B5722" w14:textId="77777777" w:rsidR="000C77EF" w:rsidRPr="000C77EF" w:rsidRDefault="000C77EF" w:rsidP="000C77EF">
      <w:pPr>
        <w:rPr>
          <w:sz w:val="24"/>
          <w:szCs w:val="24"/>
        </w:rPr>
      </w:pPr>
      <w:r w:rsidRPr="000C77EF">
        <w:rPr>
          <w:lang w:eastAsia="bg-BG"/>
        </w:rPr>
        <w:t xml:space="preserve">Сингулар 5 </w:t>
      </w:r>
      <w:r w:rsidRPr="000C77EF">
        <w:rPr>
          <w:lang w:val="en-US"/>
        </w:rPr>
        <w:t>mg</w:t>
      </w:r>
      <w:r w:rsidRPr="000C77EF">
        <w:t xml:space="preserve"> </w:t>
      </w:r>
      <w:r w:rsidRPr="000C77EF">
        <w:rPr>
          <w:lang w:eastAsia="bg-BG"/>
        </w:rPr>
        <w:t>таблетки за дъвчене</w:t>
      </w:r>
    </w:p>
    <w:p w14:paraId="6DB9539E" w14:textId="138A75E4" w:rsidR="000C77EF" w:rsidRPr="000C77EF" w:rsidRDefault="000C77EF" w:rsidP="000C77EF">
      <w:proofErr w:type="spellStart"/>
      <w:r w:rsidRPr="000C77EF">
        <w:rPr>
          <w:lang w:val="en-US"/>
        </w:rPr>
        <w:t>Singulair</w:t>
      </w:r>
      <w:proofErr w:type="spellEnd"/>
      <w:r w:rsidRPr="000C77EF">
        <w:t xml:space="preserve"> </w:t>
      </w:r>
      <w:r w:rsidRPr="000C77EF">
        <w:rPr>
          <w:lang w:eastAsia="bg-BG"/>
        </w:rPr>
        <w:t xml:space="preserve">5 </w:t>
      </w:r>
      <w:r w:rsidRPr="000C77EF">
        <w:rPr>
          <w:lang w:val="en-US"/>
        </w:rPr>
        <w:t>mg</w:t>
      </w:r>
      <w:r w:rsidRPr="000C77EF">
        <w:t xml:space="preserve"> </w:t>
      </w:r>
      <w:r w:rsidRPr="000C77EF">
        <w:rPr>
          <w:lang w:val="en-US"/>
        </w:rPr>
        <w:t>chewable</w:t>
      </w:r>
      <w:r w:rsidRPr="000C77EF">
        <w:t xml:space="preserve"> </w:t>
      </w:r>
      <w:r w:rsidRPr="000C77EF">
        <w:rPr>
          <w:lang w:val="en-US"/>
        </w:rPr>
        <w:t>tablets</w:t>
      </w:r>
    </w:p>
    <w:p w14:paraId="48E6CABE" w14:textId="41D96AB1" w:rsidR="00DB32D3" w:rsidRDefault="00DD466D" w:rsidP="005726E3">
      <w:pPr>
        <w:pStyle w:val="Heading1"/>
      </w:pPr>
      <w:r>
        <w:t>2. КАЧЕСТВЕН И КОЛИЧЕСТВЕН СЪСТАВ</w:t>
      </w:r>
    </w:p>
    <w:p w14:paraId="4CDEF15A" w14:textId="1FDDD680" w:rsidR="000C77EF" w:rsidRDefault="000C77EF" w:rsidP="000C77EF"/>
    <w:p w14:paraId="43EB87E3"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Една таблетка за дъвчене съдържа монтелукаст натрий </w:t>
      </w:r>
      <w:r w:rsidRPr="000C77EF">
        <w:rPr>
          <w:rFonts w:eastAsia="Times New Roman" w:cs="Arial"/>
          <w:color w:val="000000"/>
          <w:szCs w:val="20"/>
        </w:rPr>
        <w:t>(</w:t>
      </w:r>
      <w:proofErr w:type="spellStart"/>
      <w:r w:rsidRPr="000C77EF">
        <w:rPr>
          <w:rFonts w:eastAsia="Times New Roman" w:cs="Arial"/>
          <w:color w:val="000000"/>
          <w:szCs w:val="20"/>
          <w:lang w:val="en-US"/>
        </w:rPr>
        <w:t>montelukast</w:t>
      </w:r>
      <w:proofErr w:type="spellEnd"/>
      <w:r w:rsidRPr="000C77EF">
        <w:rPr>
          <w:rFonts w:eastAsia="Times New Roman" w:cs="Arial"/>
          <w:color w:val="000000"/>
          <w:szCs w:val="20"/>
        </w:rPr>
        <w:t xml:space="preserve"> </w:t>
      </w:r>
      <w:r w:rsidRPr="000C77EF">
        <w:rPr>
          <w:rFonts w:eastAsia="Times New Roman" w:cs="Arial"/>
          <w:color w:val="000000"/>
          <w:szCs w:val="20"/>
          <w:lang w:val="en-US"/>
        </w:rPr>
        <w:t>sodium</w:t>
      </w:r>
      <w:r w:rsidRPr="000C77EF">
        <w:rPr>
          <w:rFonts w:eastAsia="Times New Roman" w:cs="Arial"/>
          <w:color w:val="000000"/>
          <w:szCs w:val="20"/>
        </w:rPr>
        <w:t xml:space="preserve">), </w:t>
      </w:r>
      <w:r w:rsidRPr="000C77EF">
        <w:rPr>
          <w:rFonts w:eastAsia="Times New Roman" w:cs="Arial"/>
          <w:color w:val="000000"/>
          <w:szCs w:val="20"/>
          <w:lang w:eastAsia="bg-BG"/>
        </w:rPr>
        <w:t xml:space="preserve">еквивалентен на 5 </w:t>
      </w:r>
      <w:r w:rsidRPr="000C77EF">
        <w:rPr>
          <w:rFonts w:eastAsia="Times New Roman" w:cs="Arial"/>
          <w:color w:val="000000"/>
          <w:szCs w:val="20"/>
          <w:lang w:val="en-US"/>
        </w:rPr>
        <w:t>mg</w:t>
      </w:r>
      <w:r w:rsidRPr="000C77EF">
        <w:rPr>
          <w:rFonts w:eastAsia="Times New Roman" w:cs="Arial"/>
          <w:color w:val="000000"/>
          <w:szCs w:val="20"/>
        </w:rPr>
        <w:t xml:space="preserve"> </w:t>
      </w:r>
      <w:r w:rsidRPr="000C77EF">
        <w:rPr>
          <w:rFonts w:eastAsia="Times New Roman" w:cs="Arial"/>
          <w:color w:val="000000"/>
          <w:szCs w:val="20"/>
          <w:lang w:eastAsia="bg-BG"/>
        </w:rPr>
        <w:t>монтелукаст.</w:t>
      </w:r>
    </w:p>
    <w:p w14:paraId="7FB9196B" w14:textId="77777777" w:rsidR="000C77EF" w:rsidRPr="000C77EF" w:rsidRDefault="000C77EF" w:rsidP="000C77EF">
      <w:pPr>
        <w:spacing w:line="240" w:lineRule="auto"/>
        <w:rPr>
          <w:rFonts w:eastAsia="Times New Roman" w:cs="Arial"/>
          <w:color w:val="000000"/>
          <w:szCs w:val="20"/>
          <w:u w:val="single"/>
          <w:lang w:eastAsia="bg-BG"/>
        </w:rPr>
      </w:pPr>
    </w:p>
    <w:p w14:paraId="3DC8EF00" w14:textId="6F508988"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u w:val="single"/>
          <w:lang w:eastAsia="bg-BG"/>
        </w:rPr>
        <w:t>Помошно(и) вешество(а) с известно действие</w:t>
      </w:r>
      <w:r w:rsidRPr="000C77EF">
        <w:rPr>
          <w:rFonts w:eastAsia="Times New Roman" w:cs="Arial"/>
          <w:color w:val="000000"/>
          <w:szCs w:val="20"/>
          <w:lang w:eastAsia="bg-BG"/>
        </w:rPr>
        <w:t>:</w:t>
      </w:r>
    </w:p>
    <w:p w14:paraId="60859D2D"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Този лекарствен продукт съдържа 1,5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аспаргам (Е 951) на таблетка.</w:t>
      </w:r>
    </w:p>
    <w:p w14:paraId="1C7AA6F2" w14:textId="00EBC0D0" w:rsidR="000C77EF" w:rsidRPr="000C77EF" w:rsidRDefault="000C77EF" w:rsidP="000C77EF">
      <w:pPr>
        <w:rPr>
          <w:rFonts w:cs="Arial"/>
          <w:sz w:val="24"/>
        </w:rPr>
      </w:pPr>
      <w:r w:rsidRPr="000C77EF">
        <w:rPr>
          <w:rFonts w:eastAsia="Times New Roman" w:cs="Arial"/>
          <w:color w:val="000000"/>
          <w:szCs w:val="20"/>
          <w:lang w:eastAsia="bg-BG"/>
        </w:rPr>
        <w:t xml:space="preserve">Този лекарствен продукт съдържа до 0,45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бензилов алкохол (Е 1519) на таблетка.</w:t>
      </w:r>
    </w:p>
    <w:p w14:paraId="614984C4" w14:textId="7B1122B7" w:rsidR="008A6AF2" w:rsidRDefault="00DD466D" w:rsidP="002C50EE">
      <w:pPr>
        <w:pStyle w:val="Heading1"/>
      </w:pPr>
      <w:r>
        <w:t>3. ЛЕКАРСТВЕНА ФОРМА</w:t>
      </w:r>
    </w:p>
    <w:p w14:paraId="5B6DC8A1" w14:textId="1DB6B5F6" w:rsidR="000C77EF" w:rsidRDefault="000C77EF" w:rsidP="000C77EF"/>
    <w:p w14:paraId="42137298" w14:textId="77777777" w:rsidR="000C77EF" w:rsidRPr="000C77EF" w:rsidRDefault="000C77EF" w:rsidP="000C77EF">
      <w:pPr>
        <w:rPr>
          <w:sz w:val="24"/>
          <w:szCs w:val="24"/>
        </w:rPr>
      </w:pPr>
      <w:r w:rsidRPr="000C77EF">
        <w:rPr>
          <w:lang w:eastAsia="bg-BG"/>
        </w:rPr>
        <w:t>Таблетка за дъвчене</w:t>
      </w:r>
    </w:p>
    <w:p w14:paraId="31BA030F" w14:textId="77777777" w:rsidR="000C77EF" w:rsidRDefault="000C77EF" w:rsidP="000C77EF">
      <w:pPr>
        <w:rPr>
          <w:lang w:eastAsia="bg-BG"/>
        </w:rPr>
      </w:pPr>
    </w:p>
    <w:p w14:paraId="7F20146C" w14:textId="0CBC5FF5" w:rsidR="000C77EF" w:rsidRPr="000C77EF" w:rsidRDefault="000C77EF" w:rsidP="000C77EF">
      <w:pPr>
        <w:rPr>
          <w:sz w:val="24"/>
          <w:szCs w:val="24"/>
        </w:rPr>
      </w:pPr>
      <w:r w:rsidRPr="000C77EF">
        <w:rPr>
          <w:lang w:eastAsia="bg-BG"/>
        </w:rPr>
        <w:t xml:space="preserve">Розова, двойноизпъкнала кръгла таблетка, диаметър 9.5 </w:t>
      </w:r>
      <w:r w:rsidRPr="000C77EF">
        <w:rPr>
          <w:lang w:val="en-US"/>
        </w:rPr>
        <w:t>mm</w:t>
      </w:r>
      <w:r w:rsidRPr="000C77EF">
        <w:rPr>
          <w:lang w:val="ru-RU"/>
        </w:rPr>
        <w:t xml:space="preserve"> </w:t>
      </w:r>
      <w:r w:rsidRPr="000C77EF">
        <w:rPr>
          <w:lang w:eastAsia="bg-BG"/>
        </w:rPr>
        <w:t xml:space="preserve">с надпис </w:t>
      </w:r>
      <w:r w:rsidRPr="000C77EF">
        <w:rPr>
          <w:lang w:val="ru-RU"/>
        </w:rPr>
        <w:t>„</w:t>
      </w:r>
      <w:proofErr w:type="spellStart"/>
      <w:r w:rsidRPr="000C77EF">
        <w:rPr>
          <w:lang w:val="en-US"/>
        </w:rPr>
        <w:t>Singulair</w:t>
      </w:r>
      <w:proofErr w:type="spellEnd"/>
      <w:r w:rsidRPr="000C77EF">
        <w:rPr>
          <w:lang w:val="ru-RU"/>
        </w:rPr>
        <w:t xml:space="preserve">“ </w:t>
      </w:r>
      <w:r w:rsidRPr="000C77EF">
        <w:rPr>
          <w:lang w:eastAsia="bg-BG"/>
        </w:rPr>
        <w:t xml:space="preserve">от едната страна и </w:t>
      </w:r>
      <w:r w:rsidRPr="000C77EF">
        <w:rPr>
          <w:lang w:val="ru-RU"/>
        </w:rPr>
        <w:t>„</w:t>
      </w:r>
      <w:r w:rsidRPr="000C77EF">
        <w:rPr>
          <w:lang w:val="en-US"/>
        </w:rPr>
        <w:t>MSD</w:t>
      </w:r>
      <w:r w:rsidRPr="000C77EF">
        <w:rPr>
          <w:lang w:val="ru-RU"/>
        </w:rPr>
        <w:t xml:space="preserve"> </w:t>
      </w:r>
      <w:r w:rsidRPr="000C77EF">
        <w:rPr>
          <w:lang w:eastAsia="bg-BG"/>
        </w:rPr>
        <w:t>275“ от другата.</w:t>
      </w:r>
    </w:p>
    <w:p w14:paraId="056F604F" w14:textId="77777777" w:rsidR="000C77EF" w:rsidRPr="000C77EF" w:rsidRDefault="000C77EF" w:rsidP="000C77EF"/>
    <w:p w14:paraId="490FC2C4" w14:textId="6899DE43" w:rsidR="002C50EE" w:rsidRDefault="002C50EE" w:rsidP="002C50EE">
      <w:pPr>
        <w:pStyle w:val="Heading1"/>
      </w:pPr>
      <w:r>
        <w:t>4. КЛИНИЧНИ ДАННИ</w:t>
      </w:r>
    </w:p>
    <w:p w14:paraId="0771830A" w14:textId="4814341C" w:rsidR="00DB32D3" w:rsidRDefault="002C50EE" w:rsidP="005726E3">
      <w:pPr>
        <w:pStyle w:val="Heading2"/>
      </w:pPr>
      <w:r>
        <w:t>4.1. Терапевтични показания</w:t>
      </w:r>
    </w:p>
    <w:p w14:paraId="4A1FF1F5" w14:textId="46923166" w:rsidR="000C77EF" w:rsidRDefault="000C77EF" w:rsidP="000C77EF"/>
    <w:p w14:paraId="77B6BFE8" w14:textId="77777777" w:rsidR="000C77EF" w:rsidRPr="000C77EF" w:rsidRDefault="000C77EF" w:rsidP="000C77EF">
      <w:pPr>
        <w:rPr>
          <w:sz w:val="24"/>
          <w:szCs w:val="24"/>
        </w:rPr>
      </w:pPr>
      <w:r w:rsidRPr="000C77EF">
        <w:rPr>
          <w:lang w:eastAsia="bg-BG"/>
        </w:rPr>
        <w:t>Сингулар е показан като допълнителна терапия при лечението на пациенти с лека до умерена персистираща астма, които не са достатъчно добре контролирани с инхалаторни кортикостероиди и при които краткодействащите бета-агонисти „при нужда“ не осигуряват задоволителен клиничен контрол върху астмата.</w:t>
      </w:r>
    </w:p>
    <w:p w14:paraId="36D21728" w14:textId="77777777" w:rsidR="000C77EF" w:rsidRDefault="000C77EF" w:rsidP="000C77EF">
      <w:pPr>
        <w:rPr>
          <w:lang w:eastAsia="bg-BG"/>
        </w:rPr>
      </w:pPr>
    </w:p>
    <w:p w14:paraId="38ED144D" w14:textId="394C1518" w:rsidR="000C77EF" w:rsidRPr="000C77EF" w:rsidRDefault="000C77EF" w:rsidP="000C77EF">
      <w:pPr>
        <w:rPr>
          <w:sz w:val="24"/>
          <w:szCs w:val="24"/>
        </w:rPr>
      </w:pPr>
      <w:r w:rsidRPr="000C77EF">
        <w:rPr>
          <w:lang w:eastAsia="bg-BG"/>
        </w:rPr>
        <w:t>Сингулар може да бъде и алтернативно лечение на нискодозираните инхалаторни кортикостероиди при пациенти с лека персистираща астма без скорошна анамнеза за тежки астматични пристъпи, налагащи употреба на перорални кортикостероиди, и при които е доказано, че не могат да използват инхалаторни кортикостероиди (вж. точка 4.2).</w:t>
      </w:r>
    </w:p>
    <w:p w14:paraId="091B55E8" w14:textId="77777777" w:rsidR="000C77EF" w:rsidRDefault="000C77EF" w:rsidP="000C77EF">
      <w:pPr>
        <w:rPr>
          <w:lang w:eastAsia="bg-BG"/>
        </w:rPr>
      </w:pPr>
    </w:p>
    <w:p w14:paraId="717DF762" w14:textId="5CEBBF56" w:rsidR="000C77EF" w:rsidRDefault="000C77EF" w:rsidP="000C77EF">
      <w:pPr>
        <w:rPr>
          <w:lang w:eastAsia="bg-BG"/>
        </w:rPr>
      </w:pPr>
      <w:r w:rsidRPr="000C77EF">
        <w:rPr>
          <w:lang w:eastAsia="bg-BG"/>
        </w:rPr>
        <w:t>Сингулар е показан и при профилактика на астма, при която преобладаващият компонент е предизвикан от физическо усилие бронхоспазъм.</w:t>
      </w:r>
    </w:p>
    <w:p w14:paraId="5B181FDB" w14:textId="77777777" w:rsidR="000C77EF" w:rsidRPr="000C77EF" w:rsidRDefault="000C77EF" w:rsidP="000C77EF"/>
    <w:p w14:paraId="7647A102" w14:textId="78BB5F1F" w:rsidR="00DB32D3" w:rsidRDefault="002C50EE" w:rsidP="005726E3">
      <w:pPr>
        <w:pStyle w:val="Heading2"/>
      </w:pPr>
      <w:r>
        <w:t>4.2. Дозировка и начин на приложение</w:t>
      </w:r>
    </w:p>
    <w:p w14:paraId="473D3128" w14:textId="478AF7B0" w:rsidR="000C77EF" w:rsidRDefault="000C77EF" w:rsidP="000C77EF"/>
    <w:p w14:paraId="2EA92ABF" w14:textId="77777777" w:rsidR="000C77EF" w:rsidRPr="000C77EF" w:rsidRDefault="000C77EF" w:rsidP="000C77EF">
      <w:pPr>
        <w:pStyle w:val="Heading3"/>
        <w:rPr>
          <w:rFonts w:eastAsia="Times New Roman"/>
          <w:sz w:val="28"/>
          <w:u w:val="single"/>
        </w:rPr>
      </w:pPr>
      <w:r w:rsidRPr="000C77EF">
        <w:rPr>
          <w:rFonts w:eastAsia="Times New Roman"/>
          <w:u w:val="single"/>
          <w:lang w:eastAsia="bg-BG"/>
        </w:rPr>
        <w:lastRenderedPageBreak/>
        <w:t>Дозировка</w:t>
      </w:r>
    </w:p>
    <w:p w14:paraId="2AD9BFB9"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Препоръчителната доза при педиатрични пациенти на възраст 6-14 години е една таблетка за дъвчене от 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дневно, приета вечер. Ако се приема с храна, Сингулар трябва да се взима 1 час преди или 2 часа след хранене. Не е необходима корекция на дозата при тази възрастова група.</w:t>
      </w:r>
    </w:p>
    <w:p w14:paraId="5016F9FA" w14:textId="77777777" w:rsidR="000C77EF" w:rsidRPr="000C77EF" w:rsidRDefault="000C77EF" w:rsidP="000C77EF">
      <w:pPr>
        <w:spacing w:line="240" w:lineRule="auto"/>
        <w:rPr>
          <w:rFonts w:eastAsia="Times New Roman" w:cs="Arial"/>
          <w:color w:val="000000"/>
          <w:szCs w:val="20"/>
          <w:u w:val="single"/>
          <w:lang w:eastAsia="bg-BG"/>
        </w:rPr>
      </w:pPr>
    </w:p>
    <w:p w14:paraId="7E9CE9FB" w14:textId="385FD910"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u w:val="single"/>
          <w:lang w:eastAsia="bg-BG"/>
        </w:rPr>
        <w:t>Общи препоръки</w:t>
      </w:r>
    </w:p>
    <w:p w14:paraId="64C930DA"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Терапевтичният ефект на Сингулар върху параметрите за контрол на астмата се проявява в</w:t>
      </w:r>
    </w:p>
    <w:p w14:paraId="394D00B1" w14:textId="13E0CDEC" w:rsidR="000C77EF" w:rsidRPr="000C77EF" w:rsidRDefault="000C77EF" w:rsidP="000C77EF">
      <w:pPr>
        <w:rPr>
          <w:rFonts w:eastAsia="Times New Roman" w:cs="Arial"/>
          <w:color w:val="000000"/>
          <w:szCs w:val="20"/>
          <w:lang w:val="ru-RU" w:eastAsia="bg-BG"/>
        </w:rPr>
      </w:pPr>
      <w:r w:rsidRPr="000C77EF">
        <w:rPr>
          <w:rFonts w:eastAsia="Times New Roman" w:cs="Arial"/>
          <w:color w:val="000000"/>
          <w:szCs w:val="20"/>
          <w:lang w:eastAsia="bg-BG"/>
        </w:rPr>
        <w:t>рамките на един ден. Пациентите трябва да бъдат съветвани да продължат да приемат</w:t>
      </w:r>
      <w:r w:rsidRPr="000C77EF">
        <w:rPr>
          <w:rFonts w:eastAsia="Times New Roman" w:cs="Arial"/>
          <w:color w:val="000000"/>
          <w:szCs w:val="20"/>
          <w:lang w:val="ru-RU" w:eastAsia="bg-BG"/>
        </w:rPr>
        <w:t>.</w:t>
      </w:r>
    </w:p>
    <w:p w14:paraId="324892AE" w14:textId="252FDCAD" w:rsidR="000C77EF" w:rsidRPr="000C77EF" w:rsidRDefault="000C77EF" w:rsidP="000C77EF">
      <w:pPr>
        <w:rPr>
          <w:rFonts w:eastAsia="Times New Roman" w:cs="Arial"/>
          <w:color w:val="000000"/>
          <w:szCs w:val="20"/>
          <w:lang w:val="ru-RU" w:eastAsia="bg-BG"/>
        </w:rPr>
      </w:pPr>
    </w:p>
    <w:p w14:paraId="06D045AB"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Сингулар, дори ако симптомите на астма са под контрол, какго и по време на периодите на влошаване на астмата.</w:t>
      </w:r>
    </w:p>
    <w:p w14:paraId="6DCCF4EF" w14:textId="77777777" w:rsidR="000C77EF" w:rsidRPr="000C77EF" w:rsidRDefault="000C77EF" w:rsidP="000C77EF">
      <w:pPr>
        <w:spacing w:line="240" w:lineRule="auto"/>
        <w:rPr>
          <w:rFonts w:eastAsia="Times New Roman" w:cs="Arial"/>
          <w:color w:val="000000"/>
          <w:szCs w:val="20"/>
          <w:lang w:eastAsia="bg-BG"/>
        </w:rPr>
      </w:pPr>
    </w:p>
    <w:p w14:paraId="7F0D5FB9" w14:textId="31F70D7B"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Не е необходима корекция на дозата при пациенти с бъбречна недостатъчност или с леко до умерено увреждане на черния дроб. Няма данни за пациенти с тежка чернодробна недостатъчност. Дозировката е една и съща при мъже и жени.</w:t>
      </w:r>
    </w:p>
    <w:p w14:paraId="48AF2F9A" w14:textId="77777777" w:rsidR="000C77EF" w:rsidRPr="000C77EF" w:rsidRDefault="000C77EF" w:rsidP="000C77EF">
      <w:pPr>
        <w:spacing w:line="240" w:lineRule="auto"/>
        <w:rPr>
          <w:rFonts w:eastAsia="Times New Roman" w:cs="Arial"/>
          <w:color w:val="000000"/>
          <w:szCs w:val="20"/>
          <w:u w:val="single"/>
          <w:lang w:eastAsia="bg-BG"/>
        </w:rPr>
      </w:pPr>
    </w:p>
    <w:p w14:paraId="3F1E3BA9" w14:textId="6ADD5913"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u w:val="single"/>
          <w:lang w:eastAsia="bg-BG"/>
        </w:rPr>
        <w:t xml:space="preserve">Сингулар като алтернативен избор на лечението с нискодозирани инхалаторни кортикостероиди при пациенти с лека персистираща астма </w:t>
      </w:r>
      <w:r w:rsidRPr="000C77EF">
        <w:rPr>
          <w:rFonts w:eastAsia="Times New Roman" w:cs="Arial"/>
          <w:color w:val="000000"/>
          <w:szCs w:val="20"/>
          <w:lang w:eastAsia="bg-BG"/>
        </w:rPr>
        <w:t>Монтелукаст не се препоръчва като монотерапия при пациенти с умерено персистираща астма. Употребата на монтелукаст като терапевтична алтернатива на инхалаторните кортикостероиди в ниска доза при деца с лека персистираща астма трябва да се има предвид само при пациенти без скорошна анамнеза за сериозни пристъпи на астма, изискващи употребата на перорални кортикостероиди, и които са показали, че не могат да използват инхалаторни кортикостероиди (вж. точка 4.1). Леката персистираща астма се дефинира като астматични симптоми по-често от веднъж седмично, но по-рядко от веднъж дневно, нощни симптоми по-често от два пъти месечно, но по-рядко от веднъж седмично, нормална функция на белите дробове между епизодите. Ако не се постигне задоволителен контрол на астмата след започване на лечението (обикновено в рамките на един месец), трябва да бъде преценена нуждата от допълнителна или различна противовъзпалителна терапия, базирана на системата „стъпка по стъпка“ за лечение на астма. Пациентите трябва периодично да се оценяват за контрола на тяхната астма.</w:t>
      </w:r>
    </w:p>
    <w:p w14:paraId="4711D4C2" w14:textId="77777777" w:rsidR="000C77EF" w:rsidRPr="000C77EF" w:rsidRDefault="000C77EF" w:rsidP="000C77EF">
      <w:pPr>
        <w:spacing w:line="240" w:lineRule="auto"/>
        <w:rPr>
          <w:rFonts w:eastAsia="Times New Roman" w:cs="Arial"/>
          <w:color w:val="000000"/>
          <w:szCs w:val="20"/>
          <w:u w:val="single"/>
          <w:lang w:eastAsia="bg-BG"/>
        </w:rPr>
      </w:pPr>
    </w:p>
    <w:p w14:paraId="05E39B30" w14:textId="03C210F9"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u w:val="single"/>
          <w:lang w:eastAsia="bg-BG"/>
        </w:rPr>
        <w:t>Терапия със Сингулар във връзка с друго лечение на астмата</w:t>
      </w:r>
    </w:p>
    <w:p w14:paraId="07C53D48"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Когато лечението със Сингулар се изпозлва като допълваща терапия към инхалаторни кортикостероиди, Сингулар не трябва рязко да замести инхалаторните кортикостероиди (вж. точка 4.4).</w:t>
      </w:r>
    </w:p>
    <w:p w14:paraId="53A2F353" w14:textId="77777777" w:rsidR="000C77EF" w:rsidRPr="000C77EF" w:rsidRDefault="000C77EF" w:rsidP="000C77EF">
      <w:pPr>
        <w:spacing w:line="240" w:lineRule="auto"/>
        <w:rPr>
          <w:rFonts w:eastAsia="Times New Roman" w:cs="Arial"/>
          <w:color w:val="000000"/>
          <w:szCs w:val="20"/>
          <w:lang w:eastAsia="bg-BG"/>
        </w:rPr>
      </w:pPr>
    </w:p>
    <w:p w14:paraId="34CCB984" w14:textId="121BE814"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Предлагат се 10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филмирани таблетки за възрастни и юноши на 15 и повече години.</w:t>
      </w:r>
    </w:p>
    <w:p w14:paraId="7870BEE0" w14:textId="77777777" w:rsidR="000C77EF" w:rsidRPr="000C77EF" w:rsidRDefault="000C77EF" w:rsidP="000C77EF">
      <w:pPr>
        <w:spacing w:line="240" w:lineRule="auto"/>
        <w:rPr>
          <w:rFonts w:eastAsia="Times New Roman" w:cs="Arial"/>
          <w:i/>
          <w:iCs/>
          <w:color w:val="000000"/>
          <w:szCs w:val="20"/>
          <w:u w:val="single"/>
          <w:lang w:eastAsia="bg-BG"/>
        </w:rPr>
      </w:pPr>
    </w:p>
    <w:p w14:paraId="2CF5C5EF" w14:textId="2D5D8980" w:rsidR="000C77EF" w:rsidRPr="000C77EF" w:rsidRDefault="000C77EF" w:rsidP="000C77EF">
      <w:pPr>
        <w:spacing w:line="240" w:lineRule="auto"/>
        <w:rPr>
          <w:rFonts w:eastAsia="Times New Roman" w:cs="Arial"/>
          <w:sz w:val="28"/>
          <w:szCs w:val="24"/>
        </w:rPr>
      </w:pPr>
      <w:r w:rsidRPr="000C77EF">
        <w:rPr>
          <w:rFonts w:eastAsia="Times New Roman" w:cs="Arial"/>
          <w:i/>
          <w:iCs/>
          <w:color w:val="000000"/>
          <w:szCs w:val="20"/>
          <w:u w:val="single"/>
          <w:lang w:eastAsia="bg-BG"/>
        </w:rPr>
        <w:t>Педиатрична популация</w:t>
      </w:r>
    </w:p>
    <w:p w14:paraId="6BB73884"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Сингулар 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таблетки за дъвчене не трябва да се прилага при деца на възраст под 6 години. Безопасността и ефикасността на Сингулар 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таблетки за дъвчене при деца на възраст под 6 години не са установени.</w:t>
      </w:r>
    </w:p>
    <w:p w14:paraId="71D22C5B" w14:textId="77777777" w:rsidR="000C77EF" w:rsidRPr="000C77EF" w:rsidRDefault="000C77EF" w:rsidP="000C77EF">
      <w:pPr>
        <w:spacing w:line="240" w:lineRule="auto"/>
        <w:rPr>
          <w:rFonts w:eastAsia="Times New Roman" w:cs="Arial"/>
          <w:color w:val="000000"/>
          <w:szCs w:val="20"/>
          <w:lang w:eastAsia="bg-BG"/>
        </w:rPr>
      </w:pPr>
    </w:p>
    <w:p w14:paraId="6EFFFFDC" w14:textId="18578D3D"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Предлагат се 4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таблетки за дъвчене за педиатрични пациенти на възраст от 2 до 5 години. Предлагат се 4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гранули за педиатрични пациенти на възраст от 6 месеца до 5 години.</w:t>
      </w:r>
    </w:p>
    <w:p w14:paraId="446DFF66" w14:textId="77777777" w:rsidR="000C77EF" w:rsidRPr="000C77EF" w:rsidRDefault="000C77EF" w:rsidP="000C77EF">
      <w:pPr>
        <w:rPr>
          <w:rFonts w:eastAsia="Times New Roman" w:cs="Arial"/>
          <w:color w:val="000000"/>
          <w:szCs w:val="20"/>
          <w:u w:val="single"/>
          <w:lang w:eastAsia="bg-BG"/>
        </w:rPr>
      </w:pPr>
    </w:p>
    <w:p w14:paraId="53DCBF4D" w14:textId="77777777" w:rsidR="000C77EF" w:rsidRPr="000C77EF" w:rsidRDefault="000C77EF" w:rsidP="000C77EF">
      <w:pPr>
        <w:pStyle w:val="Heading3"/>
        <w:rPr>
          <w:rFonts w:eastAsia="Times New Roman"/>
          <w:u w:val="single"/>
          <w:lang w:eastAsia="bg-BG"/>
        </w:rPr>
      </w:pPr>
      <w:r w:rsidRPr="000C77EF">
        <w:rPr>
          <w:rFonts w:eastAsia="Times New Roman"/>
          <w:u w:val="single"/>
          <w:lang w:eastAsia="bg-BG"/>
        </w:rPr>
        <w:lastRenderedPageBreak/>
        <w:t xml:space="preserve">Начин на приложение </w:t>
      </w:r>
    </w:p>
    <w:p w14:paraId="79F9444F" w14:textId="77777777" w:rsidR="000C77EF" w:rsidRPr="000C77EF" w:rsidRDefault="000C77EF" w:rsidP="000C77EF">
      <w:pPr>
        <w:rPr>
          <w:rFonts w:eastAsia="Times New Roman" w:cs="Arial"/>
          <w:color w:val="000000"/>
          <w:szCs w:val="20"/>
          <w:lang w:eastAsia="bg-BG"/>
        </w:rPr>
      </w:pPr>
      <w:r w:rsidRPr="000C77EF">
        <w:rPr>
          <w:rFonts w:eastAsia="Times New Roman" w:cs="Arial"/>
          <w:color w:val="000000"/>
          <w:szCs w:val="20"/>
          <w:lang w:eastAsia="bg-BG"/>
        </w:rPr>
        <w:t xml:space="preserve">Перорално приложение </w:t>
      </w:r>
    </w:p>
    <w:p w14:paraId="3831ACEB" w14:textId="616BA72D" w:rsidR="000C77EF" w:rsidRPr="000C77EF" w:rsidRDefault="000C77EF" w:rsidP="000C77EF">
      <w:pPr>
        <w:rPr>
          <w:rFonts w:cs="Arial"/>
          <w:sz w:val="24"/>
          <w:lang w:val="ru-RU"/>
        </w:rPr>
      </w:pPr>
      <w:r w:rsidRPr="000C77EF">
        <w:rPr>
          <w:rFonts w:eastAsia="Times New Roman" w:cs="Arial"/>
          <w:color w:val="000000"/>
          <w:szCs w:val="20"/>
          <w:lang w:eastAsia="bg-BG"/>
        </w:rPr>
        <w:t>Таблетките трябва да се сдьвчат, преди да се глътнат.</w:t>
      </w:r>
    </w:p>
    <w:p w14:paraId="676D087E" w14:textId="77777777" w:rsidR="000C77EF" w:rsidRPr="000C77EF" w:rsidRDefault="000C77EF" w:rsidP="000C77EF"/>
    <w:p w14:paraId="74903285" w14:textId="46949E73" w:rsidR="00DB32D3" w:rsidRDefault="002C50EE" w:rsidP="005726E3">
      <w:pPr>
        <w:pStyle w:val="Heading2"/>
      </w:pPr>
      <w:r>
        <w:t>4.3. Противопоказания</w:t>
      </w:r>
    </w:p>
    <w:p w14:paraId="4E8F814F" w14:textId="7260A43D" w:rsidR="000C77EF" w:rsidRDefault="000C77EF" w:rsidP="000C77EF"/>
    <w:p w14:paraId="0089B1A0" w14:textId="28352543" w:rsidR="000C77EF" w:rsidRDefault="000C77EF" w:rsidP="000C77EF">
      <w:pPr>
        <w:rPr>
          <w:lang w:eastAsia="bg-BG"/>
        </w:rPr>
      </w:pPr>
      <w:r w:rsidRPr="000C77EF">
        <w:rPr>
          <w:lang w:eastAsia="bg-BG"/>
        </w:rPr>
        <w:t>Свръхчувствителност към активното вещество или някое от помощните вещества, изброени в точка 6.1.</w:t>
      </w:r>
    </w:p>
    <w:p w14:paraId="19E332DD" w14:textId="77777777" w:rsidR="000C77EF" w:rsidRPr="000C77EF" w:rsidRDefault="000C77EF" w:rsidP="000C77EF">
      <w:pPr>
        <w:rPr>
          <w:sz w:val="24"/>
          <w:szCs w:val="24"/>
        </w:rPr>
      </w:pPr>
    </w:p>
    <w:p w14:paraId="76DC8E58" w14:textId="3C23129D" w:rsidR="00DB32D3" w:rsidRDefault="002C50EE" w:rsidP="005726E3">
      <w:pPr>
        <w:pStyle w:val="Heading2"/>
      </w:pPr>
      <w:r>
        <w:t>4.4. Специални предупреждения и предпазни мерки при употреба</w:t>
      </w:r>
    </w:p>
    <w:p w14:paraId="288DF212" w14:textId="688C58A1" w:rsidR="000C77EF" w:rsidRDefault="000C77EF" w:rsidP="000C77EF"/>
    <w:p w14:paraId="21A03F20"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Пациентите трябва да бъдат съветвани никога да не използват пероралния монтелукаст за лечение на остри астматични пристъпи и да имат на разположение обичайното си животоспасяващо лекарство за тази цел в готовност. Ако настъпи остър пристъп, трябва да се използват бързодействащи инхалаторни бета-агонисти. Пациентите трябва да потърсят лекарски съвет колкото може по-рано, ако имат нужда от повече инхалации с бързодействащ бета-агонист от обикновено.</w:t>
      </w:r>
      <w:bookmarkStart w:id="1" w:name="bookmark0"/>
      <w:bookmarkEnd w:id="1"/>
    </w:p>
    <w:p w14:paraId="1DC6F33C" w14:textId="77777777" w:rsidR="000C77EF" w:rsidRPr="000C77EF" w:rsidRDefault="000C77EF" w:rsidP="000C77EF">
      <w:pPr>
        <w:rPr>
          <w:rFonts w:eastAsia="Times New Roman" w:cs="Arial"/>
          <w:sz w:val="28"/>
          <w:szCs w:val="24"/>
        </w:rPr>
      </w:pPr>
    </w:p>
    <w:p w14:paraId="6B310C40" w14:textId="746DFDF7" w:rsidR="000C77EF" w:rsidRPr="000C77EF" w:rsidRDefault="000C77EF" w:rsidP="000C77EF">
      <w:pPr>
        <w:rPr>
          <w:rFonts w:eastAsia="Times New Roman" w:cs="Arial"/>
          <w:color w:val="000000"/>
          <w:szCs w:val="20"/>
          <w:lang w:eastAsia="bg-BG"/>
        </w:rPr>
      </w:pPr>
      <w:r w:rsidRPr="000C77EF">
        <w:rPr>
          <w:rFonts w:eastAsia="Times New Roman" w:cs="Arial"/>
          <w:color w:val="000000"/>
          <w:szCs w:val="20"/>
          <w:lang w:eastAsia="bg-BG"/>
        </w:rPr>
        <w:t>Монтелукаст не трябва рязко да замести инхалаторните или пероралните кортикостероиди.</w:t>
      </w:r>
    </w:p>
    <w:p w14:paraId="3AB4DD46" w14:textId="479999AD" w:rsidR="000C77EF" w:rsidRPr="000C77EF" w:rsidRDefault="000C77EF" w:rsidP="000C77EF">
      <w:pPr>
        <w:rPr>
          <w:rFonts w:eastAsia="Times New Roman" w:cs="Arial"/>
          <w:color w:val="000000"/>
          <w:szCs w:val="20"/>
          <w:lang w:eastAsia="bg-BG"/>
        </w:rPr>
      </w:pPr>
    </w:p>
    <w:p w14:paraId="7A83769C"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Няма данни, които да демонстрират, че дозата на пероралните кортикостероиди може да се намали, когато те се приемат едновременно с монтелукаст.</w:t>
      </w:r>
    </w:p>
    <w:p w14:paraId="7C505782" w14:textId="77777777" w:rsidR="000C77EF" w:rsidRPr="000C77EF" w:rsidRDefault="000C77EF" w:rsidP="000C77EF">
      <w:pPr>
        <w:spacing w:line="240" w:lineRule="auto"/>
        <w:rPr>
          <w:rFonts w:eastAsia="Times New Roman" w:cs="Arial"/>
          <w:color w:val="000000"/>
          <w:szCs w:val="20"/>
          <w:lang w:eastAsia="bg-BG"/>
        </w:rPr>
      </w:pPr>
    </w:p>
    <w:p w14:paraId="206A2A0C" w14:textId="0F9FB0DA"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В редки случаи, при пациенти на лечение с антиастматични средства, включително монтелукаст, може да настъпи системна еозинофилия, изявяваща се понякога с клинични прояви на васкулит, съответстващи на синдрома на </w:t>
      </w:r>
      <w:proofErr w:type="spellStart"/>
      <w:r w:rsidRPr="000C77EF">
        <w:rPr>
          <w:rFonts w:eastAsia="Times New Roman" w:cs="Arial"/>
          <w:color w:val="000000"/>
          <w:szCs w:val="20"/>
          <w:lang w:val="en-US"/>
        </w:rPr>
        <w:t>Churg</w:t>
      </w:r>
      <w:proofErr w:type="spellEnd"/>
      <w:r w:rsidRPr="000C77EF">
        <w:rPr>
          <w:rFonts w:eastAsia="Times New Roman" w:cs="Arial"/>
          <w:color w:val="000000"/>
          <w:szCs w:val="20"/>
          <w:lang w:val="ru-RU"/>
        </w:rPr>
        <w:t>-</w:t>
      </w:r>
      <w:r w:rsidRPr="000C77EF">
        <w:rPr>
          <w:rFonts w:eastAsia="Times New Roman" w:cs="Arial"/>
          <w:color w:val="000000"/>
          <w:szCs w:val="20"/>
          <w:lang w:val="en-US"/>
        </w:rPr>
        <w:t>Strauss</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състояние, което често се лекува със системни кортикостероиди. Понякога тези състояния се свързват с намаляване или прекъсване на пероралната терапия с кортикостероиди. Въпреки че не е установена причинно- следствена връзка с антагонизъм на левкотриеновите рецептори, лекарите трябва да внимават за появата на еозинофилия, васкулитен </w:t>
      </w:r>
      <w:r w:rsidRPr="000C77EF">
        <w:rPr>
          <w:rFonts w:eastAsia="Times New Roman" w:cs="Arial"/>
          <w:i/>
          <w:iCs/>
          <w:color w:val="000000"/>
          <w:szCs w:val="20"/>
          <w:lang w:eastAsia="bg-BG"/>
        </w:rPr>
        <w:t>обрив, влошаване на</w:t>
      </w:r>
      <w:r w:rsidRPr="000C77EF">
        <w:rPr>
          <w:rFonts w:eastAsia="Times New Roman" w:cs="Arial"/>
          <w:color w:val="000000"/>
          <w:szCs w:val="20"/>
          <w:lang w:eastAsia="bg-BG"/>
        </w:rPr>
        <w:t xml:space="preserve"> белодробните симптоми, усложнения от страна на сърцето и/или невропатия при пациентите. При пациенти, при които се появят тези симптоми, трябва да бъде направена преоценка и да се преразгледат техните терапевтични схеми.</w:t>
      </w:r>
    </w:p>
    <w:p w14:paraId="1DC01D05" w14:textId="77777777" w:rsidR="000C77EF" w:rsidRPr="000C77EF" w:rsidRDefault="000C77EF" w:rsidP="000C77EF">
      <w:pPr>
        <w:spacing w:line="240" w:lineRule="auto"/>
        <w:rPr>
          <w:rFonts w:eastAsia="Times New Roman" w:cs="Arial"/>
          <w:color w:val="000000"/>
          <w:szCs w:val="20"/>
          <w:lang w:eastAsia="bg-BG"/>
        </w:rPr>
      </w:pPr>
    </w:p>
    <w:p w14:paraId="23DBCD14" w14:textId="313A1EE6"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Лечението с монтелукаст не променя необходимостта пациентите с аспирин-индуцирана астма да избягват приема на аспирин и други нестероидни противовъзпалителни лекарства.</w:t>
      </w:r>
    </w:p>
    <w:p w14:paraId="472F02A9" w14:textId="77777777" w:rsidR="000C77EF" w:rsidRPr="000C77EF" w:rsidRDefault="000C77EF" w:rsidP="000C77EF">
      <w:pPr>
        <w:spacing w:line="240" w:lineRule="auto"/>
        <w:rPr>
          <w:rFonts w:eastAsia="Times New Roman" w:cs="Arial"/>
          <w:color w:val="000000"/>
          <w:szCs w:val="20"/>
          <w:lang w:eastAsia="bg-BG"/>
        </w:rPr>
      </w:pPr>
    </w:p>
    <w:p w14:paraId="42572D04" w14:textId="6E261CE2"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Съобщават се невро-психични събития при възрастни, юноши и деца, приемащи Сингулар (вж. точка 4.8). Пациентите и лекарите трябва да бъдат предупредени за невро-психични събития. Пациентите и/или лицата, полагащи грижи, трябва да бъдат инструктирани да уведомят лекаря си, ако настъпят такива промени. Лекуващите лекари трябва внимателно да преценят съотношението полза/риск от продължителното лечение със Сингулар, ако възникнат такива събития.</w:t>
      </w:r>
    </w:p>
    <w:p w14:paraId="3A85E924" w14:textId="77777777" w:rsidR="000C77EF" w:rsidRPr="000C77EF" w:rsidRDefault="000C77EF" w:rsidP="000C77EF">
      <w:pPr>
        <w:spacing w:line="240" w:lineRule="auto"/>
        <w:rPr>
          <w:rFonts w:eastAsia="Times New Roman" w:cs="Arial"/>
          <w:color w:val="000000"/>
          <w:szCs w:val="20"/>
          <w:u w:val="single"/>
          <w:lang w:eastAsia="bg-BG"/>
        </w:rPr>
      </w:pPr>
    </w:p>
    <w:p w14:paraId="2566C780" w14:textId="7185F145"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u w:val="single"/>
          <w:lang w:eastAsia="bg-BG"/>
        </w:rPr>
        <w:t>Аспартам</w:t>
      </w:r>
    </w:p>
    <w:p w14:paraId="73003331"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lastRenderedPageBreak/>
        <w:t xml:space="preserve">Сингулар съдържа аспартам, източник на фенилаланин. Всяка 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таблетка за дъвчене съдържа 1,5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аспартам, еквивалентен на 0,842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фенилаланин за доза. Може да бъде вреден за пациенти с фенилкетонурия.</w:t>
      </w:r>
    </w:p>
    <w:p w14:paraId="4AD79AF1" w14:textId="77777777" w:rsidR="000C77EF" w:rsidRPr="000C77EF" w:rsidRDefault="000C77EF" w:rsidP="000C77EF">
      <w:pPr>
        <w:spacing w:line="240" w:lineRule="auto"/>
        <w:rPr>
          <w:rFonts w:eastAsia="Times New Roman" w:cs="Arial"/>
          <w:color w:val="000000"/>
          <w:szCs w:val="20"/>
          <w:u w:val="single"/>
          <w:lang w:eastAsia="bg-BG"/>
        </w:rPr>
      </w:pPr>
    </w:p>
    <w:p w14:paraId="69B8D9C2" w14:textId="3E4DD455"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u w:val="single"/>
          <w:lang w:eastAsia="bg-BG"/>
        </w:rPr>
        <w:t>Натрий</w:t>
      </w:r>
    </w:p>
    <w:p w14:paraId="7386C429"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Този лекарствен продукт съдържа по-малко от 1 </w:t>
      </w:r>
      <w:proofErr w:type="spellStart"/>
      <w:r w:rsidRPr="000C77EF">
        <w:rPr>
          <w:rFonts w:eastAsia="Times New Roman" w:cs="Arial"/>
          <w:color w:val="000000"/>
          <w:szCs w:val="20"/>
          <w:lang w:val="en-US"/>
        </w:rPr>
        <w:t>mmol</w:t>
      </w:r>
      <w:proofErr w:type="spellEnd"/>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натрий (23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на таблетка, т.е. може да се каже, че практически не съдържа натрий.</w:t>
      </w:r>
    </w:p>
    <w:p w14:paraId="18721D04" w14:textId="77777777" w:rsidR="000C77EF" w:rsidRPr="000C77EF" w:rsidRDefault="000C77EF" w:rsidP="000C77EF">
      <w:pPr>
        <w:spacing w:line="240" w:lineRule="auto"/>
        <w:rPr>
          <w:rFonts w:eastAsia="Times New Roman" w:cs="Arial"/>
          <w:color w:val="000000"/>
          <w:szCs w:val="20"/>
          <w:u w:val="single"/>
          <w:lang w:eastAsia="bg-BG"/>
        </w:rPr>
      </w:pPr>
    </w:p>
    <w:p w14:paraId="14204D30" w14:textId="4C5FF621"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u w:val="single"/>
          <w:lang w:eastAsia="bg-BG"/>
        </w:rPr>
        <w:t>Бензилов алкохол</w:t>
      </w:r>
    </w:p>
    <w:p w14:paraId="363DDA51"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Този лекарствен продукт съдържа до 0,45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бензилов алкохол на таблетка. Бензияовият алкохол може да причини алергични реакции.</w:t>
      </w:r>
    </w:p>
    <w:p w14:paraId="7DED31E2"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Големи обеми трябва да се използват с повишено внимание и само ако е необходимо, особено при лица с чернодробно или бъбречно увреждане, или при бременни или кърмещи жени, поради риск от кумулиране и токсичност (метаболитна ацидоза).</w:t>
      </w:r>
    </w:p>
    <w:p w14:paraId="6AA9541E" w14:textId="77777777" w:rsidR="000C77EF" w:rsidRPr="000C77EF" w:rsidRDefault="000C77EF" w:rsidP="000C77EF"/>
    <w:p w14:paraId="62F27C9B" w14:textId="36D81A38" w:rsidR="00DB32D3"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B72A46C" w14:textId="181A8C84" w:rsidR="000C77EF" w:rsidRDefault="000C77EF" w:rsidP="000C77EF"/>
    <w:p w14:paraId="1F2E094A"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Монтелукаст може да бъде прилаган с други видове лечение, използвани рутинно за профилактика и хронично лечение на астма. В проучвания за лекарствени взаимодействия, препоръчителната клинична доза на монтелукаст няма клинично значими ефекти върху фармакокинетиката на следните лекарства: теофилин, преднизон, преднизолон, перорални контрацептиви (етинилестрадиол/норетиндрон 35/1), терфенадин, дигоксин и варфарин.</w:t>
      </w:r>
    </w:p>
    <w:p w14:paraId="0F428E80" w14:textId="77777777" w:rsidR="000C77EF" w:rsidRPr="000C77EF" w:rsidRDefault="000C77EF" w:rsidP="000C77EF">
      <w:pPr>
        <w:spacing w:line="240" w:lineRule="auto"/>
        <w:rPr>
          <w:rFonts w:eastAsia="Times New Roman" w:cs="Arial"/>
          <w:color w:val="000000"/>
          <w:szCs w:val="20"/>
          <w:lang w:eastAsia="bg-BG"/>
        </w:rPr>
      </w:pPr>
    </w:p>
    <w:p w14:paraId="44271787" w14:textId="64759E30"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Площта под кривата плазмена концентрация-време </w:t>
      </w:r>
      <w:r w:rsidRPr="000C77EF">
        <w:rPr>
          <w:rFonts w:eastAsia="Times New Roman" w:cs="Arial"/>
          <w:color w:val="000000"/>
          <w:szCs w:val="20"/>
          <w:lang w:val="ru-RU"/>
        </w:rPr>
        <w:t>(</w:t>
      </w:r>
      <w:r w:rsidRPr="000C77EF">
        <w:rPr>
          <w:rFonts w:eastAsia="Times New Roman" w:cs="Arial"/>
          <w:color w:val="000000"/>
          <w:szCs w:val="20"/>
          <w:lang w:val="en-US"/>
        </w:rPr>
        <w:t>AUC</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за монтелукаст намалява приблизително 40% при лица с едновременно приложение на фенобарбитал. Тъй като монтелукаст се метаболизира от </w:t>
      </w:r>
      <w:r w:rsidRPr="000C77EF">
        <w:rPr>
          <w:rFonts w:eastAsia="Times New Roman" w:cs="Arial"/>
          <w:color w:val="000000"/>
          <w:szCs w:val="20"/>
          <w:lang w:val="en-US"/>
        </w:rPr>
        <w:t>CYP</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ЗА4,2С8 и 2С9, трябва да се внимава, особено при деца, когато монтелукаст се прилага едновременно с индуктори на </w:t>
      </w:r>
      <w:r w:rsidRPr="000C77EF">
        <w:rPr>
          <w:rFonts w:eastAsia="Times New Roman" w:cs="Arial"/>
          <w:color w:val="000000"/>
          <w:szCs w:val="20"/>
          <w:lang w:val="en-US"/>
        </w:rPr>
        <w:t>CYP</w:t>
      </w:r>
      <w:r w:rsidRPr="000C77EF">
        <w:rPr>
          <w:rFonts w:eastAsia="Times New Roman" w:cs="Arial"/>
          <w:color w:val="000000"/>
          <w:szCs w:val="20"/>
          <w:lang w:val="ru-RU"/>
        </w:rPr>
        <w:t xml:space="preserve"> 3</w:t>
      </w:r>
      <w:r w:rsidRPr="000C77EF">
        <w:rPr>
          <w:rFonts w:eastAsia="Times New Roman" w:cs="Arial"/>
          <w:color w:val="000000"/>
          <w:szCs w:val="20"/>
          <w:lang w:eastAsia="bg-BG"/>
        </w:rPr>
        <w:t>А4,2С8 и 2</w:t>
      </w:r>
      <w:r w:rsidRPr="000C77EF">
        <w:rPr>
          <w:rFonts w:eastAsia="Times New Roman" w:cs="Arial"/>
          <w:color w:val="000000"/>
          <w:szCs w:val="20"/>
          <w:lang w:val="en-US"/>
        </w:rPr>
        <w:t>C</w:t>
      </w:r>
      <w:r w:rsidRPr="000C77EF">
        <w:rPr>
          <w:rFonts w:eastAsia="Times New Roman" w:cs="Arial"/>
          <w:color w:val="000000"/>
          <w:szCs w:val="20"/>
          <w:lang w:val="ru-RU"/>
        </w:rPr>
        <w:t xml:space="preserve">9, </w:t>
      </w:r>
      <w:r w:rsidRPr="000C77EF">
        <w:rPr>
          <w:rFonts w:eastAsia="Times New Roman" w:cs="Arial"/>
          <w:color w:val="000000"/>
          <w:szCs w:val="20"/>
          <w:lang w:eastAsia="bg-BG"/>
        </w:rPr>
        <w:t>като фенитоин, фенобарбитал и рифампицин.</w:t>
      </w:r>
    </w:p>
    <w:p w14:paraId="44DF39FB" w14:textId="77777777" w:rsidR="000C77EF" w:rsidRPr="000C77EF" w:rsidRDefault="000C77EF" w:rsidP="000C77EF">
      <w:pPr>
        <w:rPr>
          <w:rFonts w:eastAsia="Times New Roman" w:cs="Arial"/>
          <w:i/>
          <w:iCs/>
          <w:color w:val="000000"/>
          <w:szCs w:val="20"/>
          <w:lang w:val="en-US"/>
        </w:rPr>
      </w:pPr>
    </w:p>
    <w:p w14:paraId="1D4D9D0B" w14:textId="77777777" w:rsidR="000C77EF" w:rsidRPr="000C77EF" w:rsidRDefault="000C77EF" w:rsidP="000C77EF">
      <w:pPr>
        <w:rPr>
          <w:rFonts w:eastAsia="Times New Roman" w:cs="Arial"/>
          <w:sz w:val="28"/>
          <w:szCs w:val="24"/>
        </w:rPr>
      </w:pPr>
      <w:r w:rsidRPr="000C77EF">
        <w:rPr>
          <w:rFonts w:eastAsia="Times New Roman" w:cs="Arial"/>
          <w:i/>
          <w:iCs/>
          <w:color w:val="000000"/>
          <w:szCs w:val="20"/>
          <w:lang w:val="en-US"/>
        </w:rPr>
        <w:t>In</w:t>
      </w:r>
      <w:r w:rsidRPr="000C77EF">
        <w:rPr>
          <w:rFonts w:eastAsia="Times New Roman" w:cs="Arial"/>
          <w:i/>
          <w:iCs/>
          <w:color w:val="000000"/>
          <w:szCs w:val="20"/>
          <w:lang w:val="ru-RU"/>
        </w:rPr>
        <w:t xml:space="preserve"> </w:t>
      </w:r>
      <w:r w:rsidRPr="000C77EF">
        <w:rPr>
          <w:rFonts w:eastAsia="Times New Roman" w:cs="Arial"/>
          <w:i/>
          <w:iCs/>
          <w:color w:val="000000"/>
          <w:szCs w:val="20"/>
          <w:lang w:val="en-US"/>
        </w:rPr>
        <w:t>vitro</w:t>
      </w:r>
      <w:r w:rsidRPr="000C77EF">
        <w:rPr>
          <w:rFonts w:eastAsia="Times New Roman" w:cs="Arial"/>
          <w:color w:val="000000"/>
          <w:szCs w:val="20"/>
          <w:lang w:val="ru-RU"/>
        </w:rPr>
        <w:t xml:space="preserve"> </w:t>
      </w:r>
      <w:r w:rsidRPr="000C77EF">
        <w:rPr>
          <w:rFonts w:eastAsia="Times New Roman" w:cs="Arial"/>
          <w:color w:val="000000"/>
          <w:szCs w:val="20"/>
          <w:lang w:eastAsia="bg-BG"/>
        </w:rPr>
        <w:t>проучвания са показали, че монтелукаст е мощен инхибитор на С</w:t>
      </w:r>
      <w:r w:rsidRPr="000C77EF">
        <w:rPr>
          <w:rFonts w:eastAsia="Times New Roman" w:cs="Arial"/>
          <w:color w:val="000000"/>
          <w:szCs w:val="20"/>
          <w:lang w:val="en-US"/>
        </w:rPr>
        <w:t>YP</w:t>
      </w:r>
      <w:r w:rsidRPr="000C77EF">
        <w:rPr>
          <w:rFonts w:eastAsia="Times New Roman" w:cs="Arial"/>
          <w:color w:val="000000"/>
          <w:szCs w:val="20"/>
          <w:lang w:val="ru-RU"/>
        </w:rPr>
        <w:t>, 2</w:t>
      </w:r>
      <w:r w:rsidRPr="000C77EF">
        <w:rPr>
          <w:rFonts w:eastAsia="Times New Roman" w:cs="Arial"/>
          <w:color w:val="000000"/>
          <w:szCs w:val="20"/>
          <w:lang w:val="en-US"/>
        </w:rPr>
        <w:t>C</w:t>
      </w:r>
      <w:r w:rsidRPr="000C77EF">
        <w:rPr>
          <w:rFonts w:eastAsia="Times New Roman" w:cs="Arial"/>
          <w:color w:val="000000"/>
          <w:szCs w:val="20"/>
          <w:lang w:val="ru-RU"/>
        </w:rPr>
        <w:t xml:space="preserve">8: </w:t>
      </w:r>
      <w:r w:rsidRPr="000C77EF">
        <w:rPr>
          <w:rFonts w:eastAsia="Times New Roman" w:cs="Arial"/>
          <w:color w:val="000000"/>
          <w:szCs w:val="20"/>
          <w:lang w:eastAsia="bg-BG"/>
        </w:rPr>
        <w:t>Но данни от клинични проучвания за лекарствени взаимодействия, включващи монтелукаст и розиглитазон (проучван субстрат, представителен за лекарствените продукти, които се метаболизират</w:t>
      </w:r>
      <w:r w:rsidRPr="000C77EF">
        <w:rPr>
          <w:rFonts w:eastAsia="Times New Roman" w:cs="Arial"/>
          <w:color w:val="000000"/>
          <w:szCs w:val="20"/>
          <w:lang w:val="ru-RU" w:eastAsia="bg-BG"/>
        </w:rPr>
        <w:t xml:space="preserve"> </w:t>
      </w:r>
      <w:r w:rsidRPr="000C77EF">
        <w:rPr>
          <w:rFonts w:eastAsia="Times New Roman" w:cs="Arial"/>
          <w:color w:val="000000"/>
          <w:szCs w:val="20"/>
          <w:lang w:eastAsia="bg-BG"/>
        </w:rPr>
        <w:t xml:space="preserve">основно чрез </w:t>
      </w:r>
      <w:r w:rsidRPr="000C77EF">
        <w:rPr>
          <w:rFonts w:eastAsia="Times New Roman" w:cs="Arial"/>
          <w:color w:val="000000"/>
          <w:szCs w:val="20"/>
          <w:lang w:val="en-US"/>
        </w:rPr>
        <w:t>CYP</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2С8) показват, че монтелукаст не инхибира </w:t>
      </w:r>
      <w:r w:rsidRPr="000C77EF">
        <w:rPr>
          <w:rFonts w:eastAsia="Times New Roman" w:cs="Arial"/>
          <w:color w:val="000000"/>
          <w:szCs w:val="20"/>
          <w:lang w:val="en-US"/>
        </w:rPr>
        <w:t>CYP</w:t>
      </w:r>
      <w:r w:rsidRPr="000C77EF">
        <w:rPr>
          <w:rFonts w:eastAsia="Times New Roman" w:cs="Arial"/>
          <w:color w:val="000000"/>
          <w:szCs w:val="20"/>
          <w:lang w:val="ru-RU"/>
        </w:rPr>
        <w:t>2</w:t>
      </w:r>
      <w:r w:rsidRPr="000C77EF">
        <w:rPr>
          <w:rFonts w:eastAsia="Times New Roman" w:cs="Arial"/>
          <w:color w:val="000000"/>
          <w:szCs w:val="20"/>
          <w:lang w:val="en-US"/>
        </w:rPr>
        <w:t>C</w:t>
      </w:r>
      <w:r w:rsidRPr="000C77EF">
        <w:rPr>
          <w:rFonts w:eastAsia="Times New Roman" w:cs="Arial"/>
          <w:color w:val="000000"/>
          <w:szCs w:val="20"/>
          <w:lang w:val="ru-RU"/>
        </w:rPr>
        <w:t xml:space="preserve">8 </w:t>
      </w:r>
      <w:r w:rsidRPr="000C77EF">
        <w:rPr>
          <w:rFonts w:eastAsia="Times New Roman" w:cs="Arial"/>
          <w:i/>
          <w:iCs/>
          <w:color w:val="000000"/>
          <w:szCs w:val="20"/>
          <w:lang w:val="en-US"/>
        </w:rPr>
        <w:t>in</w:t>
      </w:r>
      <w:r w:rsidRPr="000C77EF">
        <w:rPr>
          <w:rFonts w:eastAsia="Times New Roman" w:cs="Arial"/>
          <w:i/>
          <w:iCs/>
          <w:color w:val="000000"/>
          <w:szCs w:val="20"/>
          <w:lang w:val="ru-RU"/>
        </w:rPr>
        <w:t xml:space="preserve"> </w:t>
      </w:r>
      <w:r w:rsidRPr="000C77EF">
        <w:rPr>
          <w:rFonts w:eastAsia="Times New Roman" w:cs="Arial"/>
          <w:i/>
          <w:iCs/>
          <w:color w:val="000000"/>
          <w:szCs w:val="20"/>
          <w:lang w:val="en-US"/>
        </w:rPr>
        <w:t>vivo</w:t>
      </w:r>
      <w:r w:rsidRPr="000C77EF">
        <w:rPr>
          <w:rFonts w:eastAsia="Times New Roman" w:cs="Arial"/>
          <w:i/>
          <w:iCs/>
          <w:color w:val="000000"/>
          <w:szCs w:val="20"/>
          <w:lang w:val="ru-RU"/>
        </w:rPr>
        <w:t>.</w:t>
      </w:r>
      <w:r w:rsidRPr="000C77EF">
        <w:rPr>
          <w:rFonts w:eastAsia="Times New Roman" w:cs="Arial"/>
          <w:color w:val="000000"/>
          <w:szCs w:val="20"/>
          <w:lang w:val="ru-RU"/>
        </w:rPr>
        <w:t xml:space="preserve"> </w:t>
      </w:r>
      <w:r w:rsidRPr="000C77EF">
        <w:rPr>
          <w:rFonts w:eastAsia="Times New Roman" w:cs="Arial"/>
          <w:color w:val="000000"/>
          <w:szCs w:val="20"/>
          <w:lang w:eastAsia="bg-BG"/>
        </w:rPr>
        <w:t>Ето защо не се допуска, че монтелукаст променя значително метаболизма на лекарства, които се метаболизират от този ензим (например паклитаксел, розиглитазон и репаглинид).</w:t>
      </w:r>
    </w:p>
    <w:p w14:paraId="772C9A28" w14:textId="77777777" w:rsidR="000C77EF" w:rsidRPr="000C77EF" w:rsidRDefault="000C77EF" w:rsidP="000C77EF">
      <w:pPr>
        <w:spacing w:line="240" w:lineRule="auto"/>
        <w:rPr>
          <w:rFonts w:eastAsia="Times New Roman" w:cs="Arial"/>
          <w:i/>
          <w:iCs/>
          <w:color w:val="000000"/>
          <w:szCs w:val="20"/>
          <w:lang w:val="en-US"/>
        </w:rPr>
      </w:pPr>
    </w:p>
    <w:p w14:paraId="458E77FA" w14:textId="078AE980" w:rsidR="000C77EF" w:rsidRPr="000C77EF" w:rsidRDefault="000C77EF" w:rsidP="000C77EF">
      <w:pPr>
        <w:spacing w:line="240" w:lineRule="auto"/>
        <w:rPr>
          <w:rFonts w:eastAsia="Times New Roman" w:cs="Arial"/>
          <w:sz w:val="28"/>
          <w:szCs w:val="24"/>
        </w:rPr>
      </w:pPr>
      <w:r w:rsidRPr="000C77EF">
        <w:rPr>
          <w:rFonts w:eastAsia="Times New Roman" w:cs="Arial"/>
          <w:i/>
          <w:iCs/>
          <w:color w:val="000000"/>
          <w:szCs w:val="20"/>
          <w:lang w:val="en-US"/>
        </w:rPr>
        <w:t>In</w:t>
      </w:r>
      <w:r w:rsidRPr="000C77EF">
        <w:rPr>
          <w:rFonts w:eastAsia="Times New Roman" w:cs="Arial"/>
          <w:i/>
          <w:iCs/>
          <w:color w:val="000000"/>
          <w:szCs w:val="20"/>
          <w:lang w:val="ru-RU"/>
        </w:rPr>
        <w:t xml:space="preserve"> </w:t>
      </w:r>
      <w:r w:rsidRPr="000C77EF">
        <w:rPr>
          <w:rFonts w:eastAsia="Times New Roman" w:cs="Arial"/>
          <w:i/>
          <w:iCs/>
          <w:color w:val="000000"/>
          <w:szCs w:val="20"/>
          <w:lang w:val="en-US"/>
        </w:rPr>
        <w:t>vitro</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проучвания показват, че монтелукаст е субстрат на </w:t>
      </w:r>
      <w:r w:rsidRPr="000C77EF">
        <w:rPr>
          <w:rFonts w:eastAsia="Times New Roman" w:cs="Arial"/>
          <w:color w:val="000000"/>
          <w:szCs w:val="20"/>
          <w:lang w:val="en-US"/>
        </w:rPr>
        <w:t>CYP</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2С8 и, в по-малко значима степен, на 2С9 и ЗА4. В клинично проучване на лекарствените взаимодействия, включващо монтелукаст и гемфиброзил (инхибитор на </w:t>
      </w:r>
      <w:r w:rsidRPr="000C77EF">
        <w:rPr>
          <w:rFonts w:eastAsia="Times New Roman" w:cs="Arial"/>
          <w:color w:val="000000"/>
          <w:szCs w:val="20"/>
          <w:lang w:val="en-US"/>
        </w:rPr>
        <w:t>CYP</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2С8 и 2С9), гемфиброзил повишава 4,4 пъти системната експозиция на монтелукаст. Не се изисква рутинна корекция на дозата при едновременно приложение с гемфиброзил или други мощни инхибитори на </w:t>
      </w:r>
      <w:r w:rsidRPr="000C77EF">
        <w:rPr>
          <w:rFonts w:eastAsia="Times New Roman" w:cs="Arial"/>
          <w:color w:val="000000"/>
          <w:szCs w:val="20"/>
          <w:lang w:val="en-US"/>
        </w:rPr>
        <w:t>CYP</w:t>
      </w:r>
      <w:r w:rsidRPr="000C77EF">
        <w:rPr>
          <w:rFonts w:eastAsia="Times New Roman" w:cs="Arial"/>
          <w:color w:val="000000"/>
          <w:szCs w:val="20"/>
          <w:lang w:val="ru-RU"/>
        </w:rPr>
        <w:t xml:space="preserve"> </w:t>
      </w:r>
      <w:r w:rsidRPr="000C77EF">
        <w:rPr>
          <w:rFonts w:eastAsia="Times New Roman" w:cs="Arial"/>
          <w:color w:val="000000"/>
          <w:szCs w:val="20"/>
          <w:lang w:eastAsia="bg-BG"/>
        </w:rPr>
        <w:t>2С8, но лекарят трябва да е наясно с възможността за повишаване честотата на нежеланите реакции.</w:t>
      </w:r>
    </w:p>
    <w:p w14:paraId="2460FD53" w14:textId="77777777" w:rsidR="000C77EF" w:rsidRPr="000C77EF" w:rsidRDefault="000C77EF" w:rsidP="000C77EF">
      <w:pPr>
        <w:spacing w:line="240" w:lineRule="auto"/>
        <w:rPr>
          <w:rFonts w:eastAsia="Times New Roman" w:cs="Arial"/>
          <w:color w:val="000000"/>
          <w:szCs w:val="20"/>
          <w:lang w:eastAsia="bg-BG"/>
        </w:rPr>
      </w:pPr>
    </w:p>
    <w:p w14:paraId="059D8884" w14:textId="0522D563"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Въз основа на </w:t>
      </w:r>
      <w:r w:rsidRPr="000C77EF">
        <w:rPr>
          <w:rFonts w:eastAsia="Times New Roman" w:cs="Arial"/>
          <w:i/>
          <w:iCs/>
          <w:color w:val="000000"/>
          <w:szCs w:val="20"/>
          <w:lang w:val="en-US"/>
        </w:rPr>
        <w:t>in</w:t>
      </w:r>
      <w:r w:rsidRPr="000C77EF">
        <w:rPr>
          <w:rFonts w:eastAsia="Times New Roman" w:cs="Arial"/>
          <w:i/>
          <w:iCs/>
          <w:color w:val="000000"/>
          <w:szCs w:val="20"/>
          <w:lang w:val="ru-RU"/>
        </w:rPr>
        <w:t xml:space="preserve"> </w:t>
      </w:r>
      <w:r w:rsidRPr="000C77EF">
        <w:rPr>
          <w:rFonts w:eastAsia="Times New Roman" w:cs="Arial"/>
          <w:i/>
          <w:iCs/>
          <w:color w:val="000000"/>
          <w:szCs w:val="20"/>
          <w:lang w:val="en-US"/>
        </w:rPr>
        <w:t>vitro</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данните не се очакват клинично значими лекарствени взаимодействия с по-слабите инхибитори на </w:t>
      </w:r>
      <w:r w:rsidRPr="000C77EF">
        <w:rPr>
          <w:rFonts w:eastAsia="Times New Roman" w:cs="Arial"/>
          <w:color w:val="000000"/>
          <w:szCs w:val="20"/>
          <w:lang w:val="en-US"/>
        </w:rPr>
        <w:t>CYP</w:t>
      </w:r>
      <w:r w:rsidRPr="000C77EF">
        <w:rPr>
          <w:rFonts w:eastAsia="Times New Roman" w:cs="Arial"/>
          <w:color w:val="000000"/>
          <w:szCs w:val="20"/>
          <w:lang w:val="ru-RU"/>
        </w:rPr>
        <w:t xml:space="preserve"> </w:t>
      </w:r>
      <w:r w:rsidRPr="000C77EF">
        <w:rPr>
          <w:rFonts w:eastAsia="Times New Roman" w:cs="Arial"/>
          <w:color w:val="000000"/>
          <w:szCs w:val="20"/>
          <w:lang w:eastAsia="bg-BG"/>
        </w:rPr>
        <w:t xml:space="preserve">2С8 (напр. триметоприм). </w:t>
      </w:r>
      <w:r w:rsidRPr="000C77EF">
        <w:rPr>
          <w:rFonts w:eastAsia="Times New Roman" w:cs="Arial"/>
          <w:color w:val="000000"/>
          <w:szCs w:val="20"/>
          <w:lang w:eastAsia="bg-BG"/>
        </w:rPr>
        <w:lastRenderedPageBreak/>
        <w:t xml:space="preserve">Едновременното приложение на монтелукаст с итраконазол, силен инхибитор на </w:t>
      </w:r>
      <w:r w:rsidRPr="000C77EF">
        <w:rPr>
          <w:rFonts w:eastAsia="Times New Roman" w:cs="Arial"/>
          <w:color w:val="000000"/>
          <w:szCs w:val="20"/>
          <w:lang w:val="en-US"/>
        </w:rPr>
        <w:t>CYP</w:t>
      </w:r>
      <w:r w:rsidRPr="000C77EF">
        <w:rPr>
          <w:rFonts w:eastAsia="Times New Roman" w:cs="Arial"/>
          <w:color w:val="000000"/>
          <w:szCs w:val="20"/>
          <w:lang w:val="ru-RU"/>
        </w:rPr>
        <w:t xml:space="preserve"> </w:t>
      </w:r>
      <w:r w:rsidRPr="000C77EF">
        <w:rPr>
          <w:rFonts w:eastAsia="Times New Roman" w:cs="Arial"/>
          <w:color w:val="000000"/>
          <w:szCs w:val="20"/>
          <w:lang w:eastAsia="bg-BG"/>
        </w:rPr>
        <w:t>3А4, не е довело до значимо повишаване на системната експозиция на монтелукаст.</w:t>
      </w:r>
    </w:p>
    <w:p w14:paraId="4D8D7028" w14:textId="42C01911" w:rsidR="000C77EF" w:rsidRPr="000C77EF" w:rsidRDefault="000C77EF" w:rsidP="000C77EF"/>
    <w:p w14:paraId="006BE4EC" w14:textId="097C0AE8" w:rsidR="00DB32D3" w:rsidRDefault="002C50EE" w:rsidP="005726E3">
      <w:pPr>
        <w:pStyle w:val="Heading2"/>
      </w:pPr>
      <w:r>
        <w:t>4.6. Фертилитет, бременност и кърмене</w:t>
      </w:r>
    </w:p>
    <w:p w14:paraId="76BB2CF0" w14:textId="05B7D80B" w:rsidR="000C77EF" w:rsidRDefault="000C77EF" w:rsidP="000C77EF"/>
    <w:p w14:paraId="36B7E323" w14:textId="77777777" w:rsidR="000C77EF" w:rsidRPr="000C77EF" w:rsidRDefault="000C77EF" w:rsidP="000C77EF">
      <w:pPr>
        <w:pStyle w:val="Heading3"/>
        <w:rPr>
          <w:rFonts w:eastAsia="Times New Roman"/>
          <w:sz w:val="28"/>
          <w:u w:val="single"/>
        </w:rPr>
      </w:pPr>
      <w:r w:rsidRPr="000C77EF">
        <w:rPr>
          <w:rFonts w:eastAsia="Times New Roman"/>
          <w:u w:val="single"/>
          <w:lang w:eastAsia="bg-BG"/>
        </w:rPr>
        <w:t>Бременност</w:t>
      </w:r>
    </w:p>
    <w:p w14:paraId="479182D1"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Проучванията върху животни не показват вредни ефекти по отношение на бременността и ембрионалното/феталното развитие.</w:t>
      </w:r>
    </w:p>
    <w:p w14:paraId="50C4F120" w14:textId="77777777" w:rsidR="000C77EF" w:rsidRPr="000C77EF" w:rsidRDefault="000C77EF" w:rsidP="000C77EF">
      <w:pPr>
        <w:spacing w:line="240" w:lineRule="auto"/>
        <w:rPr>
          <w:rFonts w:eastAsia="Times New Roman" w:cs="Arial"/>
          <w:color w:val="000000"/>
          <w:szCs w:val="20"/>
          <w:lang w:eastAsia="bg-BG"/>
        </w:rPr>
      </w:pPr>
    </w:p>
    <w:p w14:paraId="3454623F" w14:textId="6EABD2DA"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Данните, събрани от публикации за проспективни и ретроспективни кохортни проучвания за оценка на големи вродени дефекти при употреба на монтелукаст при бременни жени, не установяват риск, свързан с лекарствения продукт. Наличните проучвания имат ограничения, свързани с методологията, включително малка изследвана извадка, събиране на ретроспективни данни, в някои случаи, и несъпоставими контролни групи.</w:t>
      </w:r>
    </w:p>
    <w:p w14:paraId="3117B3EF" w14:textId="77777777" w:rsidR="000C77EF" w:rsidRPr="000C77EF" w:rsidRDefault="000C77EF" w:rsidP="000C77EF">
      <w:pPr>
        <w:spacing w:line="240" w:lineRule="auto"/>
        <w:rPr>
          <w:rFonts w:eastAsia="Times New Roman" w:cs="Arial"/>
          <w:color w:val="000000"/>
          <w:szCs w:val="20"/>
          <w:lang w:eastAsia="bg-BG"/>
        </w:rPr>
      </w:pPr>
    </w:p>
    <w:p w14:paraId="2449C7F5" w14:textId="2E634340"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Сингулар може да бъде използван по време на бременност, само ако е несъмнено наложително.</w:t>
      </w:r>
    </w:p>
    <w:p w14:paraId="4C655D58" w14:textId="77777777" w:rsidR="000C77EF" w:rsidRPr="000C77EF" w:rsidRDefault="000C77EF" w:rsidP="000C77EF">
      <w:pPr>
        <w:spacing w:line="240" w:lineRule="auto"/>
        <w:rPr>
          <w:rFonts w:eastAsia="Times New Roman" w:cs="Arial"/>
          <w:color w:val="000000"/>
          <w:szCs w:val="20"/>
          <w:u w:val="single"/>
          <w:lang w:eastAsia="bg-BG"/>
        </w:rPr>
      </w:pPr>
    </w:p>
    <w:p w14:paraId="3D88B6E7" w14:textId="755EAED0" w:rsidR="000C77EF" w:rsidRPr="000C77EF" w:rsidRDefault="000C77EF" w:rsidP="000C77EF">
      <w:pPr>
        <w:pStyle w:val="Heading3"/>
        <w:rPr>
          <w:rFonts w:eastAsia="Times New Roman"/>
          <w:sz w:val="28"/>
          <w:u w:val="single"/>
        </w:rPr>
      </w:pPr>
      <w:r w:rsidRPr="000C77EF">
        <w:rPr>
          <w:rFonts w:eastAsia="Times New Roman"/>
          <w:u w:val="single"/>
          <w:lang w:eastAsia="bg-BG"/>
        </w:rPr>
        <w:t>Кърмене</w:t>
      </w:r>
    </w:p>
    <w:p w14:paraId="40DD9EE6"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Проучвания при плъхове показват, че монтелукаст се екскрегира в млякото (вж. точка 5.3). Не е известно дали монтелукаст/метаболитите се екскретират в кърмата.</w:t>
      </w:r>
    </w:p>
    <w:p w14:paraId="059D9C38" w14:textId="77777777" w:rsidR="000C77EF" w:rsidRPr="000C77EF" w:rsidRDefault="000C77EF" w:rsidP="000C77EF">
      <w:pPr>
        <w:rPr>
          <w:rFonts w:eastAsia="Times New Roman" w:cs="Arial"/>
          <w:color w:val="000000"/>
          <w:szCs w:val="20"/>
          <w:lang w:eastAsia="bg-BG"/>
        </w:rPr>
      </w:pPr>
    </w:p>
    <w:p w14:paraId="78E7E45A" w14:textId="0A7EC878" w:rsidR="000C77EF" w:rsidRPr="000C77EF" w:rsidRDefault="000C77EF" w:rsidP="000C77EF">
      <w:pPr>
        <w:rPr>
          <w:rFonts w:eastAsia="Times New Roman" w:cs="Arial"/>
          <w:color w:val="000000"/>
          <w:szCs w:val="20"/>
          <w:lang w:eastAsia="bg-BG"/>
        </w:rPr>
      </w:pPr>
      <w:r w:rsidRPr="000C77EF">
        <w:rPr>
          <w:rFonts w:eastAsia="Times New Roman" w:cs="Arial"/>
          <w:color w:val="000000"/>
          <w:szCs w:val="20"/>
          <w:lang w:eastAsia="bg-BG"/>
        </w:rPr>
        <w:t>Сингулар може да бъде използван от кърмещи майки, само ако е несъмнено наложително.</w:t>
      </w:r>
    </w:p>
    <w:p w14:paraId="3CDD58F1" w14:textId="77777777" w:rsidR="000C77EF" w:rsidRPr="000C77EF" w:rsidRDefault="000C77EF" w:rsidP="000C77EF"/>
    <w:p w14:paraId="128BA3A8" w14:textId="60CFD405" w:rsidR="00DB32D3" w:rsidRDefault="002C50EE" w:rsidP="005726E3">
      <w:pPr>
        <w:pStyle w:val="Heading2"/>
      </w:pPr>
      <w:r>
        <w:t>4.7. Ефекти върху способността за шофиране и работа с машини</w:t>
      </w:r>
    </w:p>
    <w:p w14:paraId="2005AA9F" w14:textId="146F5155" w:rsidR="000C77EF" w:rsidRDefault="000C77EF" w:rsidP="000C77EF"/>
    <w:p w14:paraId="0D8FECDE" w14:textId="768A15BD" w:rsidR="000C77EF" w:rsidRDefault="000C77EF" w:rsidP="000C77EF">
      <w:r>
        <w:t>Сингулар не повлиява или повлиява пренебрежимо способността за шофиране и работа с машини. Въпреки това отделни индивиди съобщават за сънливост или замаяност.</w:t>
      </w:r>
    </w:p>
    <w:p w14:paraId="2A70E63A" w14:textId="77777777" w:rsidR="000C77EF" w:rsidRPr="000C77EF" w:rsidRDefault="000C77EF" w:rsidP="000C77EF"/>
    <w:p w14:paraId="44CE30A3" w14:textId="36066D76" w:rsidR="007122AD" w:rsidRDefault="002C50EE" w:rsidP="00936AD0">
      <w:pPr>
        <w:pStyle w:val="Heading2"/>
      </w:pPr>
      <w:r>
        <w:t>4.8. Нежелани лекарствени реакции</w:t>
      </w:r>
    </w:p>
    <w:p w14:paraId="2FA20AEE" w14:textId="483D0E92" w:rsidR="000C77EF" w:rsidRDefault="000C77EF" w:rsidP="000C77EF"/>
    <w:p w14:paraId="3F8B4A3F"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Монтелукаст е оценяван в клинични проучвания както следва:</w:t>
      </w:r>
    </w:p>
    <w:p w14:paraId="095650A7" w14:textId="77777777" w:rsidR="000C77EF" w:rsidRPr="000C77EF" w:rsidRDefault="000C77EF" w:rsidP="000C77EF">
      <w:pPr>
        <w:pStyle w:val="ListParagraph"/>
        <w:numPr>
          <w:ilvl w:val="0"/>
          <w:numId w:val="37"/>
        </w:numPr>
        <w:spacing w:line="240" w:lineRule="auto"/>
        <w:rPr>
          <w:rFonts w:eastAsia="Times New Roman" w:cs="Arial"/>
          <w:color w:val="000000"/>
          <w:szCs w:val="20"/>
          <w:lang w:eastAsia="bg-BG"/>
        </w:rPr>
      </w:pPr>
      <w:r w:rsidRPr="000C77EF">
        <w:rPr>
          <w:rFonts w:eastAsia="Times New Roman" w:cs="Arial"/>
          <w:color w:val="000000"/>
          <w:szCs w:val="20"/>
          <w:lang w:eastAsia="bg-BG"/>
        </w:rPr>
        <w:t xml:space="preserve">10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филмирани таблетки при приблизително 4 000 възрастни пациенти и юноши на възраст 15 години и повече, и</w:t>
      </w:r>
    </w:p>
    <w:p w14:paraId="31032FD4" w14:textId="4B4AA2DA" w:rsidR="000C77EF" w:rsidRPr="000C77EF" w:rsidRDefault="000C77EF" w:rsidP="000C77EF">
      <w:pPr>
        <w:pStyle w:val="ListParagraph"/>
        <w:numPr>
          <w:ilvl w:val="0"/>
          <w:numId w:val="37"/>
        </w:numPr>
        <w:spacing w:line="240" w:lineRule="auto"/>
        <w:rPr>
          <w:rFonts w:eastAsia="Times New Roman" w:cs="Arial"/>
          <w:color w:val="000000"/>
          <w:szCs w:val="20"/>
          <w:lang w:eastAsia="bg-BG"/>
        </w:rPr>
      </w:pPr>
      <w:r w:rsidRPr="000C77EF">
        <w:rPr>
          <w:rFonts w:eastAsia="Times New Roman" w:cs="Arial"/>
          <w:color w:val="000000"/>
          <w:szCs w:val="20"/>
          <w:lang w:eastAsia="bg-BG"/>
        </w:rPr>
        <w:t xml:space="preserve">5 </w:t>
      </w:r>
      <w:r w:rsidRPr="000C77EF">
        <w:rPr>
          <w:rFonts w:eastAsia="Times New Roman" w:cs="Arial"/>
          <w:color w:val="000000"/>
          <w:szCs w:val="20"/>
          <w:lang w:val="en-US"/>
        </w:rPr>
        <w:t>mg</w:t>
      </w:r>
      <w:r w:rsidRPr="000C77EF">
        <w:rPr>
          <w:rFonts w:eastAsia="Times New Roman" w:cs="Arial"/>
          <w:color w:val="000000"/>
          <w:szCs w:val="20"/>
          <w:lang w:val="ru-RU"/>
        </w:rPr>
        <w:t xml:space="preserve"> </w:t>
      </w:r>
      <w:r w:rsidRPr="000C77EF">
        <w:rPr>
          <w:rFonts w:eastAsia="Times New Roman" w:cs="Arial"/>
          <w:color w:val="000000"/>
          <w:szCs w:val="20"/>
          <w:lang w:eastAsia="bg-BG"/>
        </w:rPr>
        <w:t>таблетки за дъвчене при приблизително 1 750 педиатрични пациенти на възраст от 6 до 14 години</w:t>
      </w:r>
    </w:p>
    <w:p w14:paraId="4EB664EF" w14:textId="77777777" w:rsidR="000C77EF" w:rsidRPr="000C77EF" w:rsidRDefault="000C77EF" w:rsidP="000C77EF">
      <w:pPr>
        <w:spacing w:line="240" w:lineRule="auto"/>
        <w:rPr>
          <w:rFonts w:eastAsia="Times New Roman" w:cs="Arial"/>
          <w:color w:val="000000"/>
          <w:szCs w:val="20"/>
          <w:lang w:eastAsia="bg-BG"/>
        </w:rPr>
      </w:pPr>
    </w:p>
    <w:p w14:paraId="624EB719" w14:textId="4F60C6C5"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Следните лекарство-свързани нежелани реакции са докладвани в клиничните проучвания често (≥ 1/100 до &lt; 1/10) при пациенти, лекувани с монтелукаст, и с по-голяма честота отколкото при пациентите, лекувани с плацебо:</w:t>
      </w:r>
    </w:p>
    <w:p w14:paraId="6964C629" w14:textId="464AF7D8" w:rsidR="000C77EF" w:rsidRDefault="000C77EF" w:rsidP="000C77EF"/>
    <w:tbl>
      <w:tblPr>
        <w:tblStyle w:val="TableGrid"/>
        <w:tblW w:w="0" w:type="auto"/>
        <w:tblLook w:val="04A0" w:firstRow="1" w:lastRow="0" w:firstColumn="1" w:lastColumn="0" w:noHBand="0" w:noVBand="1"/>
      </w:tblPr>
      <w:tblGrid>
        <w:gridCol w:w="3111"/>
        <w:gridCol w:w="3118"/>
        <w:gridCol w:w="3121"/>
      </w:tblGrid>
      <w:tr w:rsidR="000C77EF" w14:paraId="2E9D5A89" w14:textId="77777777" w:rsidTr="000C77EF">
        <w:tc>
          <w:tcPr>
            <w:tcW w:w="3192" w:type="dxa"/>
          </w:tcPr>
          <w:p w14:paraId="07F48E91" w14:textId="4C9F4D72" w:rsidR="000C77EF" w:rsidRPr="000C77EF" w:rsidRDefault="000C77EF" w:rsidP="000C77EF">
            <w:r w:rsidRPr="000C77EF">
              <w:rPr>
                <w:b/>
                <w:bCs/>
                <w:szCs w:val="20"/>
              </w:rPr>
              <w:t>Системо-органен клас</w:t>
            </w:r>
          </w:p>
        </w:tc>
        <w:tc>
          <w:tcPr>
            <w:tcW w:w="3192" w:type="dxa"/>
          </w:tcPr>
          <w:p w14:paraId="4C0DF7CA" w14:textId="166AE58F" w:rsidR="000C77EF" w:rsidRPr="000C77EF" w:rsidRDefault="000C77EF" w:rsidP="000C77EF">
            <w:r w:rsidRPr="000C77EF">
              <w:rPr>
                <w:b/>
                <w:bCs/>
                <w:szCs w:val="20"/>
              </w:rPr>
              <w:t xml:space="preserve">Възрастни пациенти и юноши на възраст 15 години и повече (две 12-седмични проучвания; </w:t>
            </w:r>
            <w:r w:rsidRPr="000C77EF">
              <w:rPr>
                <w:b/>
                <w:bCs/>
                <w:szCs w:val="20"/>
                <w:lang w:val="en-US"/>
              </w:rPr>
              <w:t>n</w:t>
            </w:r>
            <w:r w:rsidRPr="000C77EF">
              <w:rPr>
                <w:b/>
                <w:bCs/>
                <w:szCs w:val="20"/>
              </w:rPr>
              <w:t>=795)</w:t>
            </w:r>
          </w:p>
        </w:tc>
        <w:tc>
          <w:tcPr>
            <w:tcW w:w="3192" w:type="dxa"/>
          </w:tcPr>
          <w:p w14:paraId="4EE7D32E" w14:textId="1DF55BF1" w:rsidR="000C77EF" w:rsidRPr="000C77EF" w:rsidRDefault="000C77EF" w:rsidP="000C77EF">
            <w:r w:rsidRPr="000C77EF">
              <w:rPr>
                <w:b/>
                <w:bCs/>
                <w:szCs w:val="20"/>
              </w:rPr>
              <w:t xml:space="preserve">Педиатрични пациенти на възраст 6 до 14 години (едно 8-седмично проучване; </w:t>
            </w:r>
            <w:r w:rsidRPr="000C77EF">
              <w:rPr>
                <w:b/>
                <w:bCs/>
                <w:szCs w:val="20"/>
                <w:lang w:val="en-US"/>
              </w:rPr>
              <w:t>n</w:t>
            </w:r>
            <w:r w:rsidRPr="000C77EF">
              <w:rPr>
                <w:b/>
                <w:bCs/>
                <w:szCs w:val="20"/>
                <w:lang w:val="ru-RU"/>
              </w:rPr>
              <w:t>=</w:t>
            </w:r>
            <w:r w:rsidRPr="000C77EF">
              <w:rPr>
                <w:b/>
                <w:bCs/>
                <w:szCs w:val="20"/>
              </w:rPr>
              <w:t xml:space="preserve">201) (две </w:t>
            </w:r>
            <w:r w:rsidRPr="000C77EF">
              <w:rPr>
                <w:b/>
                <w:bCs/>
                <w:szCs w:val="20"/>
              </w:rPr>
              <w:lastRenderedPageBreak/>
              <w:t xml:space="preserve">56-седмичнн проучвания; </w:t>
            </w:r>
            <w:r w:rsidRPr="000C77EF">
              <w:rPr>
                <w:b/>
                <w:bCs/>
                <w:szCs w:val="20"/>
                <w:lang w:val="en-US"/>
              </w:rPr>
              <w:t>n</w:t>
            </w:r>
            <w:r w:rsidRPr="000C77EF">
              <w:rPr>
                <w:b/>
                <w:bCs/>
                <w:szCs w:val="20"/>
                <w:lang w:val="ru-RU"/>
              </w:rPr>
              <w:t>=</w:t>
            </w:r>
            <w:r w:rsidRPr="000C77EF">
              <w:rPr>
                <w:b/>
                <w:bCs/>
                <w:szCs w:val="20"/>
              </w:rPr>
              <w:t>615)</w:t>
            </w:r>
          </w:p>
        </w:tc>
      </w:tr>
      <w:tr w:rsidR="000C77EF" w14:paraId="64744691" w14:textId="77777777" w:rsidTr="000C77EF">
        <w:tc>
          <w:tcPr>
            <w:tcW w:w="3192" w:type="dxa"/>
          </w:tcPr>
          <w:p w14:paraId="65A716E7" w14:textId="68D500D8" w:rsidR="000C77EF" w:rsidRPr="000C77EF" w:rsidRDefault="000C77EF" w:rsidP="000C77EF">
            <w:r w:rsidRPr="000C77EF">
              <w:rPr>
                <w:b/>
                <w:bCs/>
                <w:szCs w:val="20"/>
              </w:rPr>
              <w:lastRenderedPageBreak/>
              <w:t>Нарушения на нервната система</w:t>
            </w:r>
          </w:p>
        </w:tc>
        <w:tc>
          <w:tcPr>
            <w:tcW w:w="3192" w:type="dxa"/>
          </w:tcPr>
          <w:p w14:paraId="562693A7" w14:textId="4E8E4592" w:rsidR="000C77EF" w:rsidRPr="000C77EF" w:rsidRDefault="000C77EF" w:rsidP="000C77EF">
            <w:r w:rsidRPr="000C77EF">
              <w:rPr>
                <w:szCs w:val="20"/>
              </w:rPr>
              <w:t>главоболие</w:t>
            </w:r>
          </w:p>
        </w:tc>
        <w:tc>
          <w:tcPr>
            <w:tcW w:w="3192" w:type="dxa"/>
          </w:tcPr>
          <w:p w14:paraId="20FB518D" w14:textId="430FC97B" w:rsidR="000C77EF" w:rsidRPr="000C77EF" w:rsidRDefault="000C77EF" w:rsidP="000C77EF">
            <w:r w:rsidRPr="000C77EF">
              <w:rPr>
                <w:szCs w:val="20"/>
              </w:rPr>
              <w:t>главоболие</w:t>
            </w:r>
          </w:p>
        </w:tc>
      </w:tr>
      <w:tr w:rsidR="000C77EF" w14:paraId="7063A5D1" w14:textId="77777777" w:rsidTr="000C77EF">
        <w:tc>
          <w:tcPr>
            <w:tcW w:w="3192" w:type="dxa"/>
          </w:tcPr>
          <w:p w14:paraId="5BC4194B" w14:textId="4FB14C8C" w:rsidR="000C77EF" w:rsidRPr="000C77EF" w:rsidRDefault="000C77EF" w:rsidP="000C77EF">
            <w:r w:rsidRPr="000C77EF">
              <w:rPr>
                <w:b/>
                <w:bCs/>
                <w:szCs w:val="20"/>
              </w:rPr>
              <w:t>Стомашно-чревни нарушения</w:t>
            </w:r>
          </w:p>
        </w:tc>
        <w:tc>
          <w:tcPr>
            <w:tcW w:w="3192" w:type="dxa"/>
          </w:tcPr>
          <w:p w14:paraId="0D0B2C50" w14:textId="5FD28108" w:rsidR="000C77EF" w:rsidRPr="000C77EF" w:rsidRDefault="000C77EF" w:rsidP="000C77EF">
            <w:r w:rsidRPr="000C77EF">
              <w:rPr>
                <w:szCs w:val="20"/>
              </w:rPr>
              <w:t>болка в корема</w:t>
            </w:r>
          </w:p>
        </w:tc>
        <w:tc>
          <w:tcPr>
            <w:tcW w:w="3192" w:type="dxa"/>
          </w:tcPr>
          <w:p w14:paraId="00AFB948" w14:textId="77777777" w:rsidR="000C77EF" w:rsidRPr="000C77EF" w:rsidRDefault="000C77EF" w:rsidP="000C77EF"/>
        </w:tc>
      </w:tr>
    </w:tbl>
    <w:p w14:paraId="289810B6" w14:textId="77777777" w:rsidR="000C77EF" w:rsidRDefault="000C77EF" w:rsidP="000C77EF">
      <w:pPr>
        <w:spacing w:line="240" w:lineRule="auto"/>
        <w:rPr>
          <w:rFonts w:ascii="Times New Roman" w:eastAsia="Times New Roman" w:hAnsi="Times New Roman" w:cs="Times New Roman"/>
          <w:color w:val="000000"/>
          <w:sz w:val="20"/>
          <w:szCs w:val="20"/>
          <w:lang w:eastAsia="bg-BG"/>
        </w:rPr>
      </w:pPr>
    </w:p>
    <w:p w14:paraId="5E0FB836" w14:textId="4813545B"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 xml:space="preserve">При продължително лечение в клиничните изпитвания е ограничен брой пациенти за период до 2 години при възрастни и за период до 12 месеца при педиатрични пациенти на възраст от </w:t>
      </w:r>
      <w:r w:rsidRPr="000C77EF">
        <w:rPr>
          <w:rFonts w:eastAsia="Times New Roman" w:cs="Arial"/>
          <w:i/>
          <w:iCs/>
          <w:color w:val="000000"/>
          <w:szCs w:val="20"/>
          <w:lang w:eastAsia="bg-BG"/>
        </w:rPr>
        <w:t xml:space="preserve">6 до </w:t>
      </w:r>
      <w:r w:rsidRPr="000C77EF">
        <w:rPr>
          <w:rFonts w:eastAsia="Times New Roman" w:cs="Arial"/>
          <w:color w:val="000000"/>
          <w:szCs w:val="20"/>
          <w:lang w:eastAsia="bg-BG"/>
        </w:rPr>
        <w:t>14 години, профилът на безопасност не се променя.</w:t>
      </w:r>
    </w:p>
    <w:p w14:paraId="1D685F0E" w14:textId="77777777" w:rsidR="000C77EF" w:rsidRPr="000C77EF" w:rsidRDefault="000C77EF" w:rsidP="000C77EF">
      <w:pPr>
        <w:spacing w:line="240" w:lineRule="auto"/>
        <w:rPr>
          <w:rFonts w:eastAsia="Times New Roman" w:cs="Arial"/>
          <w:color w:val="000000"/>
          <w:szCs w:val="20"/>
          <w:u w:val="single"/>
          <w:lang w:eastAsia="bg-BG"/>
        </w:rPr>
      </w:pPr>
    </w:p>
    <w:p w14:paraId="1C1ACDF4" w14:textId="1D63EC2E"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u w:val="single"/>
          <w:lang w:eastAsia="bg-BG"/>
        </w:rPr>
        <w:t>Табличен списък на нежеланите реакции</w:t>
      </w:r>
    </w:p>
    <w:p w14:paraId="4B5BD76A" w14:textId="77777777" w:rsidR="000C77EF" w:rsidRPr="000C77EF" w:rsidRDefault="000C77EF" w:rsidP="000C77EF">
      <w:pPr>
        <w:spacing w:line="240" w:lineRule="auto"/>
        <w:rPr>
          <w:rFonts w:eastAsia="Times New Roman" w:cs="Arial"/>
          <w:sz w:val="28"/>
          <w:szCs w:val="24"/>
        </w:rPr>
      </w:pPr>
      <w:r w:rsidRPr="000C77EF">
        <w:rPr>
          <w:rFonts w:eastAsia="Times New Roman" w:cs="Arial"/>
          <w:color w:val="000000"/>
          <w:szCs w:val="20"/>
          <w:lang w:eastAsia="bg-BG"/>
        </w:rPr>
        <w:t>Нежеланите реакции, съобщени по време на постмаркетинговата употреба, са изброени в таблицата по-долу според системо-органен клас и специфични нежелани реакции. Категориите за честота са оценени на базата на съответните клинични изпитвания.</w:t>
      </w:r>
    </w:p>
    <w:p w14:paraId="0900C7E8" w14:textId="1F510AE1" w:rsidR="000C77EF" w:rsidRDefault="000C77EF" w:rsidP="000C77EF"/>
    <w:tbl>
      <w:tblPr>
        <w:tblStyle w:val="TableGrid"/>
        <w:tblW w:w="0" w:type="auto"/>
        <w:tblLook w:val="04A0" w:firstRow="1" w:lastRow="0" w:firstColumn="1" w:lastColumn="0" w:noHBand="0" w:noVBand="1"/>
      </w:tblPr>
      <w:tblGrid>
        <w:gridCol w:w="3112"/>
        <w:gridCol w:w="3165"/>
        <w:gridCol w:w="3073"/>
      </w:tblGrid>
      <w:tr w:rsidR="00714F46" w14:paraId="25BCD0CF" w14:textId="77777777" w:rsidTr="00FB4943">
        <w:tc>
          <w:tcPr>
            <w:tcW w:w="3192" w:type="dxa"/>
            <w:vAlign w:val="center"/>
          </w:tcPr>
          <w:p w14:paraId="7D5145F2" w14:textId="570938BF" w:rsidR="00714F46" w:rsidRPr="00714F46" w:rsidRDefault="00714F46" w:rsidP="00714F46">
            <w:r w:rsidRPr="00714F46">
              <w:rPr>
                <w:b/>
                <w:bCs/>
                <w:szCs w:val="20"/>
              </w:rPr>
              <w:t>Системо-органен клас</w:t>
            </w:r>
          </w:p>
        </w:tc>
        <w:tc>
          <w:tcPr>
            <w:tcW w:w="3192" w:type="dxa"/>
            <w:vAlign w:val="center"/>
          </w:tcPr>
          <w:p w14:paraId="31F53F9D" w14:textId="17D2D473" w:rsidR="00714F46" w:rsidRPr="00714F46" w:rsidRDefault="00714F46" w:rsidP="00714F46">
            <w:pPr>
              <w:rPr>
                <w:lang w:val="en-US"/>
              </w:rPr>
            </w:pPr>
            <w:r w:rsidRPr="00714F46">
              <w:rPr>
                <w:b/>
                <w:bCs/>
                <w:szCs w:val="20"/>
              </w:rPr>
              <w:t>Нежелани реакции</w:t>
            </w:r>
          </w:p>
        </w:tc>
        <w:tc>
          <w:tcPr>
            <w:tcW w:w="3192" w:type="dxa"/>
            <w:vAlign w:val="center"/>
          </w:tcPr>
          <w:p w14:paraId="289636B0" w14:textId="0E2D0A2F" w:rsidR="00714F46" w:rsidRPr="00714F46" w:rsidRDefault="00714F46" w:rsidP="00714F46">
            <w:pPr>
              <w:rPr>
                <w:lang w:val="en-US"/>
              </w:rPr>
            </w:pPr>
            <w:r w:rsidRPr="00714F46">
              <w:rPr>
                <w:b/>
                <w:bCs/>
                <w:szCs w:val="20"/>
              </w:rPr>
              <w:t xml:space="preserve">Категория </w:t>
            </w:r>
            <w:r w:rsidRPr="00714F46">
              <w:rPr>
                <w:i/>
                <w:iCs/>
                <w:szCs w:val="20"/>
              </w:rPr>
              <w:t>честота*</w:t>
            </w:r>
          </w:p>
        </w:tc>
      </w:tr>
      <w:tr w:rsidR="00714F46" w14:paraId="06434BDA" w14:textId="77777777" w:rsidTr="00FB4943">
        <w:tc>
          <w:tcPr>
            <w:tcW w:w="3192" w:type="dxa"/>
          </w:tcPr>
          <w:p w14:paraId="57A36AFE" w14:textId="70EC6EB5" w:rsidR="00714F46" w:rsidRPr="00714F46" w:rsidRDefault="00714F46" w:rsidP="00714F46">
            <w:pPr>
              <w:rPr>
                <w:lang w:val="en-US"/>
              </w:rPr>
            </w:pPr>
            <w:r w:rsidRPr="00714F46">
              <w:rPr>
                <w:szCs w:val="20"/>
              </w:rPr>
              <w:t>Инфекции и инфестации</w:t>
            </w:r>
          </w:p>
        </w:tc>
        <w:tc>
          <w:tcPr>
            <w:tcW w:w="3192" w:type="dxa"/>
            <w:vAlign w:val="bottom"/>
          </w:tcPr>
          <w:p w14:paraId="334C6B4A" w14:textId="39601A74" w:rsidR="00714F46" w:rsidRPr="00714F46" w:rsidRDefault="00714F46" w:rsidP="00714F46">
            <w:pPr>
              <w:rPr>
                <w:lang w:val="ru-RU"/>
              </w:rPr>
            </w:pPr>
            <w:r w:rsidRPr="00714F46">
              <w:rPr>
                <w:szCs w:val="20"/>
              </w:rPr>
              <w:t>инфекции на горните дихателни пътища</w:t>
            </w:r>
            <w:r w:rsidRPr="00714F46">
              <w:rPr>
                <w:szCs w:val="20"/>
                <w:vertAlign w:val="superscript"/>
              </w:rPr>
              <w:t>+</w:t>
            </w:r>
          </w:p>
        </w:tc>
        <w:tc>
          <w:tcPr>
            <w:tcW w:w="3192" w:type="dxa"/>
          </w:tcPr>
          <w:p w14:paraId="15BCC7A2" w14:textId="36E3A1FE" w:rsidR="00714F46" w:rsidRPr="00714F46" w:rsidRDefault="00714F46" w:rsidP="00714F46">
            <w:pPr>
              <w:rPr>
                <w:lang w:val="en-US"/>
              </w:rPr>
            </w:pPr>
            <w:r w:rsidRPr="00714F46">
              <w:rPr>
                <w:szCs w:val="20"/>
              </w:rPr>
              <w:t>много чести</w:t>
            </w:r>
          </w:p>
        </w:tc>
      </w:tr>
      <w:tr w:rsidR="00714F46" w14:paraId="434DE561" w14:textId="77777777" w:rsidTr="00FB4943">
        <w:tc>
          <w:tcPr>
            <w:tcW w:w="3192" w:type="dxa"/>
            <w:vMerge w:val="restart"/>
            <w:vAlign w:val="bottom"/>
          </w:tcPr>
          <w:p w14:paraId="5EC18DEF" w14:textId="55CA5C8C" w:rsidR="00714F46" w:rsidRPr="00714F46" w:rsidRDefault="00714F46" w:rsidP="00714F46">
            <w:pPr>
              <w:rPr>
                <w:lang w:val="ru-RU"/>
              </w:rPr>
            </w:pPr>
            <w:r w:rsidRPr="00714F46">
              <w:rPr>
                <w:szCs w:val="20"/>
              </w:rPr>
              <w:t>Нарушения на кръвта и лимфната система</w:t>
            </w:r>
          </w:p>
        </w:tc>
        <w:tc>
          <w:tcPr>
            <w:tcW w:w="3192" w:type="dxa"/>
            <w:vAlign w:val="bottom"/>
          </w:tcPr>
          <w:p w14:paraId="426EFC51" w14:textId="4F4D4771" w:rsidR="00714F46" w:rsidRPr="00714F46" w:rsidRDefault="00714F46" w:rsidP="00714F46">
            <w:pPr>
              <w:rPr>
                <w:lang w:val="en-US"/>
              </w:rPr>
            </w:pPr>
            <w:r w:rsidRPr="00714F46">
              <w:rPr>
                <w:szCs w:val="20"/>
              </w:rPr>
              <w:t>повишена склонност към кървене</w:t>
            </w:r>
          </w:p>
        </w:tc>
        <w:tc>
          <w:tcPr>
            <w:tcW w:w="3192" w:type="dxa"/>
            <w:vAlign w:val="bottom"/>
          </w:tcPr>
          <w:p w14:paraId="36D277E2" w14:textId="62BA990F" w:rsidR="00714F46" w:rsidRPr="00714F46" w:rsidRDefault="00714F46" w:rsidP="00714F46">
            <w:pPr>
              <w:rPr>
                <w:lang w:val="en-US"/>
              </w:rPr>
            </w:pPr>
            <w:r w:rsidRPr="00714F46">
              <w:rPr>
                <w:szCs w:val="20"/>
              </w:rPr>
              <w:t>редки</w:t>
            </w:r>
          </w:p>
        </w:tc>
      </w:tr>
      <w:tr w:rsidR="00714F46" w14:paraId="2E9E56AA" w14:textId="77777777" w:rsidTr="00FB4943">
        <w:tc>
          <w:tcPr>
            <w:tcW w:w="3192" w:type="dxa"/>
            <w:vMerge/>
            <w:vAlign w:val="bottom"/>
          </w:tcPr>
          <w:p w14:paraId="1E6590A2" w14:textId="77777777" w:rsidR="00714F46" w:rsidRPr="00714F46" w:rsidRDefault="00714F46" w:rsidP="00714F46">
            <w:pPr>
              <w:rPr>
                <w:lang w:val="en-US"/>
              </w:rPr>
            </w:pPr>
          </w:p>
        </w:tc>
        <w:tc>
          <w:tcPr>
            <w:tcW w:w="3192" w:type="dxa"/>
            <w:vAlign w:val="bottom"/>
          </w:tcPr>
          <w:p w14:paraId="396A5AE3" w14:textId="2B8EBA94" w:rsidR="00714F46" w:rsidRPr="00714F46" w:rsidRDefault="00714F46" w:rsidP="00714F46">
            <w:pPr>
              <w:rPr>
                <w:lang w:val="en-US"/>
              </w:rPr>
            </w:pPr>
            <w:r w:rsidRPr="00714F46">
              <w:rPr>
                <w:szCs w:val="20"/>
              </w:rPr>
              <w:t>тромбоцитопения</w:t>
            </w:r>
          </w:p>
        </w:tc>
        <w:tc>
          <w:tcPr>
            <w:tcW w:w="3192" w:type="dxa"/>
            <w:vAlign w:val="bottom"/>
          </w:tcPr>
          <w:p w14:paraId="402D8D9B" w14:textId="1D988959" w:rsidR="00714F46" w:rsidRPr="00714F46" w:rsidRDefault="00714F46" w:rsidP="00714F46">
            <w:pPr>
              <w:rPr>
                <w:lang w:val="en-US"/>
              </w:rPr>
            </w:pPr>
            <w:r w:rsidRPr="00714F46">
              <w:rPr>
                <w:szCs w:val="20"/>
              </w:rPr>
              <w:t>много редки</w:t>
            </w:r>
          </w:p>
        </w:tc>
      </w:tr>
      <w:tr w:rsidR="00714F46" w14:paraId="72266C95" w14:textId="77777777" w:rsidTr="00FB4943">
        <w:tc>
          <w:tcPr>
            <w:tcW w:w="3192" w:type="dxa"/>
            <w:vMerge w:val="restart"/>
          </w:tcPr>
          <w:p w14:paraId="0B6F8C0E" w14:textId="7FD9DD0A" w:rsidR="00714F46" w:rsidRPr="00714F46" w:rsidRDefault="00714F46" w:rsidP="00714F46">
            <w:pPr>
              <w:rPr>
                <w:lang w:val="en-US"/>
              </w:rPr>
            </w:pPr>
            <w:r w:rsidRPr="00714F46">
              <w:rPr>
                <w:szCs w:val="20"/>
              </w:rPr>
              <w:t>Нарушения на имунната система</w:t>
            </w:r>
          </w:p>
        </w:tc>
        <w:tc>
          <w:tcPr>
            <w:tcW w:w="3192" w:type="dxa"/>
            <w:vAlign w:val="bottom"/>
          </w:tcPr>
          <w:p w14:paraId="515CB5D3" w14:textId="6401D44C" w:rsidR="00714F46" w:rsidRPr="00714F46" w:rsidRDefault="00714F46" w:rsidP="00714F46">
            <w:pPr>
              <w:rPr>
                <w:lang w:val="ru-RU"/>
              </w:rPr>
            </w:pPr>
            <w:r w:rsidRPr="00714F46">
              <w:rPr>
                <w:szCs w:val="20"/>
              </w:rPr>
              <w:t>реакции на свръхчувствителност, включващи анафилаксия</w:t>
            </w:r>
          </w:p>
        </w:tc>
        <w:tc>
          <w:tcPr>
            <w:tcW w:w="3192" w:type="dxa"/>
            <w:vAlign w:val="center"/>
          </w:tcPr>
          <w:p w14:paraId="6CB83717" w14:textId="353A57A1" w:rsidR="00714F46" w:rsidRPr="00714F46" w:rsidRDefault="00714F46" w:rsidP="00714F46">
            <w:pPr>
              <w:rPr>
                <w:lang w:val="en-US"/>
              </w:rPr>
            </w:pPr>
            <w:r w:rsidRPr="00714F46">
              <w:rPr>
                <w:szCs w:val="20"/>
              </w:rPr>
              <w:t>нечести</w:t>
            </w:r>
          </w:p>
        </w:tc>
      </w:tr>
      <w:tr w:rsidR="00714F46" w14:paraId="47DC63F1" w14:textId="77777777" w:rsidTr="00FB4943">
        <w:tc>
          <w:tcPr>
            <w:tcW w:w="3192" w:type="dxa"/>
            <w:vMerge/>
          </w:tcPr>
          <w:p w14:paraId="47207A74" w14:textId="77777777" w:rsidR="00714F46" w:rsidRPr="00714F46" w:rsidRDefault="00714F46" w:rsidP="00714F46">
            <w:pPr>
              <w:rPr>
                <w:lang w:val="en-US"/>
              </w:rPr>
            </w:pPr>
          </w:p>
        </w:tc>
        <w:tc>
          <w:tcPr>
            <w:tcW w:w="3192" w:type="dxa"/>
            <w:vAlign w:val="bottom"/>
          </w:tcPr>
          <w:p w14:paraId="44068464" w14:textId="1A40842C" w:rsidR="00714F46" w:rsidRPr="00714F46" w:rsidRDefault="00714F46" w:rsidP="00714F46">
            <w:pPr>
              <w:rPr>
                <w:lang w:val="ru-RU"/>
              </w:rPr>
            </w:pPr>
            <w:r w:rsidRPr="00714F46">
              <w:rPr>
                <w:szCs w:val="20"/>
              </w:rPr>
              <w:t>еозинофилна инфилтрация на черния дроб</w:t>
            </w:r>
          </w:p>
        </w:tc>
        <w:tc>
          <w:tcPr>
            <w:tcW w:w="3192" w:type="dxa"/>
          </w:tcPr>
          <w:p w14:paraId="4911B869" w14:textId="381B46CE" w:rsidR="00714F46" w:rsidRPr="00714F46" w:rsidRDefault="00714F46" w:rsidP="00714F46">
            <w:pPr>
              <w:rPr>
                <w:lang w:val="en-US"/>
              </w:rPr>
            </w:pPr>
            <w:r w:rsidRPr="00714F46">
              <w:rPr>
                <w:szCs w:val="20"/>
              </w:rPr>
              <w:t>много редки</w:t>
            </w:r>
          </w:p>
        </w:tc>
      </w:tr>
      <w:tr w:rsidR="00714F46" w14:paraId="60DCA1DB" w14:textId="77777777" w:rsidTr="00FB4943">
        <w:tc>
          <w:tcPr>
            <w:tcW w:w="3192" w:type="dxa"/>
            <w:vMerge w:val="restart"/>
          </w:tcPr>
          <w:p w14:paraId="6CF2FF8C" w14:textId="097816DE" w:rsidR="00714F46" w:rsidRPr="00714F46" w:rsidRDefault="00714F46" w:rsidP="00714F46">
            <w:pPr>
              <w:rPr>
                <w:lang w:val="en-US"/>
              </w:rPr>
            </w:pPr>
            <w:r w:rsidRPr="00714F46">
              <w:rPr>
                <w:szCs w:val="20"/>
              </w:rPr>
              <w:t>Психични нарушения</w:t>
            </w:r>
          </w:p>
        </w:tc>
        <w:tc>
          <w:tcPr>
            <w:tcW w:w="3192" w:type="dxa"/>
            <w:vAlign w:val="bottom"/>
          </w:tcPr>
          <w:p w14:paraId="41428662" w14:textId="5F1207CE" w:rsidR="00714F46" w:rsidRPr="00714F46" w:rsidRDefault="00714F46" w:rsidP="00714F46">
            <w:pPr>
              <w:rPr>
                <w:lang w:val="ru-RU"/>
              </w:rPr>
            </w:pPr>
            <w:r w:rsidRPr="00714F46">
              <w:rPr>
                <w:szCs w:val="20"/>
              </w:rPr>
              <w:t>нарушения на съня, включително кошмари, безсъние, сомнамбулизъм, тревожност, възбуда, включително агресивно поведение или враждебност, депресия, психомоторна хиперактивност (включително раздразнителност, безпокойство, тремор</w:t>
            </w:r>
            <w:r w:rsidRPr="00714F46">
              <w:rPr>
                <w:szCs w:val="20"/>
                <w:vertAlign w:val="superscript"/>
              </w:rPr>
              <w:t>§</w:t>
            </w:r>
            <w:r w:rsidRPr="00714F46">
              <w:rPr>
                <w:szCs w:val="20"/>
              </w:rPr>
              <w:t>)</w:t>
            </w:r>
          </w:p>
        </w:tc>
        <w:tc>
          <w:tcPr>
            <w:tcW w:w="3192" w:type="dxa"/>
          </w:tcPr>
          <w:p w14:paraId="302A466D" w14:textId="51C25CC6" w:rsidR="00714F46" w:rsidRPr="00714F46" w:rsidRDefault="00714F46" w:rsidP="00714F46">
            <w:pPr>
              <w:rPr>
                <w:lang w:val="en-US"/>
              </w:rPr>
            </w:pPr>
            <w:r w:rsidRPr="00714F46">
              <w:rPr>
                <w:szCs w:val="20"/>
              </w:rPr>
              <w:t>нечести</w:t>
            </w:r>
          </w:p>
        </w:tc>
      </w:tr>
      <w:tr w:rsidR="00714F46" w14:paraId="64DA89E7" w14:textId="77777777" w:rsidTr="00FB4943">
        <w:tc>
          <w:tcPr>
            <w:tcW w:w="3192" w:type="dxa"/>
            <w:vMerge/>
          </w:tcPr>
          <w:p w14:paraId="0B3A3BBC" w14:textId="77777777" w:rsidR="00714F46" w:rsidRPr="00714F46" w:rsidRDefault="00714F46" w:rsidP="00714F46">
            <w:pPr>
              <w:rPr>
                <w:lang w:val="en-US"/>
              </w:rPr>
            </w:pPr>
          </w:p>
        </w:tc>
        <w:tc>
          <w:tcPr>
            <w:tcW w:w="3192" w:type="dxa"/>
            <w:vAlign w:val="bottom"/>
          </w:tcPr>
          <w:p w14:paraId="5412415C" w14:textId="286E0A32" w:rsidR="00714F46" w:rsidRPr="00714F46" w:rsidRDefault="00714F46" w:rsidP="00714F46">
            <w:pPr>
              <w:rPr>
                <w:lang w:val="ru-RU"/>
              </w:rPr>
            </w:pPr>
            <w:r w:rsidRPr="00714F46">
              <w:rPr>
                <w:szCs w:val="20"/>
              </w:rPr>
              <w:t>нарушение на вниманието, нарушения на паметта, тик</w:t>
            </w:r>
          </w:p>
        </w:tc>
        <w:tc>
          <w:tcPr>
            <w:tcW w:w="3192" w:type="dxa"/>
          </w:tcPr>
          <w:p w14:paraId="5B624AC0" w14:textId="2089FA15" w:rsidR="00714F46" w:rsidRPr="00714F46" w:rsidRDefault="00714F46" w:rsidP="00714F46">
            <w:pPr>
              <w:rPr>
                <w:lang w:val="en-US"/>
              </w:rPr>
            </w:pPr>
            <w:r w:rsidRPr="00714F46">
              <w:rPr>
                <w:szCs w:val="20"/>
              </w:rPr>
              <w:t>редки</w:t>
            </w:r>
          </w:p>
        </w:tc>
      </w:tr>
      <w:tr w:rsidR="00714F46" w14:paraId="66F93DEE" w14:textId="77777777" w:rsidTr="00FB4943">
        <w:tc>
          <w:tcPr>
            <w:tcW w:w="3192" w:type="dxa"/>
            <w:vMerge/>
          </w:tcPr>
          <w:p w14:paraId="2EE9612C" w14:textId="77777777" w:rsidR="00714F46" w:rsidRPr="00714F46" w:rsidRDefault="00714F46" w:rsidP="00714F46">
            <w:pPr>
              <w:rPr>
                <w:lang w:val="en-US"/>
              </w:rPr>
            </w:pPr>
          </w:p>
        </w:tc>
        <w:tc>
          <w:tcPr>
            <w:tcW w:w="3192" w:type="dxa"/>
            <w:vAlign w:val="bottom"/>
          </w:tcPr>
          <w:p w14:paraId="4A41B14C" w14:textId="684BA9E7" w:rsidR="00714F46" w:rsidRPr="00714F46" w:rsidRDefault="00714F46" w:rsidP="00714F46">
            <w:pPr>
              <w:rPr>
                <w:lang w:val="ru-RU"/>
              </w:rPr>
            </w:pPr>
            <w:r w:rsidRPr="00714F46">
              <w:rPr>
                <w:szCs w:val="20"/>
              </w:rPr>
              <w:t>халюцинации, дезориентация, мисли и опити за самоубийство (склонност към самоубийство), обсесивно-компулсивни симптоми, заекване</w:t>
            </w:r>
          </w:p>
        </w:tc>
        <w:tc>
          <w:tcPr>
            <w:tcW w:w="3192" w:type="dxa"/>
          </w:tcPr>
          <w:p w14:paraId="553B820E" w14:textId="39C1FE8D" w:rsidR="00714F46" w:rsidRPr="00714F46" w:rsidRDefault="00714F46" w:rsidP="00714F46">
            <w:pPr>
              <w:rPr>
                <w:lang w:val="en-US"/>
              </w:rPr>
            </w:pPr>
            <w:r w:rsidRPr="00714F46">
              <w:rPr>
                <w:szCs w:val="20"/>
              </w:rPr>
              <w:t>много редки</w:t>
            </w:r>
          </w:p>
        </w:tc>
      </w:tr>
      <w:tr w:rsidR="00714F46" w14:paraId="1F9466F4" w14:textId="77777777" w:rsidTr="000C332A">
        <w:tc>
          <w:tcPr>
            <w:tcW w:w="3192" w:type="dxa"/>
            <w:vAlign w:val="bottom"/>
          </w:tcPr>
          <w:p w14:paraId="02C9D46B" w14:textId="1C5C8484" w:rsidR="00714F46" w:rsidRPr="00714F46" w:rsidRDefault="00714F46" w:rsidP="00714F46">
            <w:pPr>
              <w:rPr>
                <w:lang w:val="en-US"/>
              </w:rPr>
            </w:pPr>
            <w:r w:rsidRPr="00714F46">
              <w:rPr>
                <w:szCs w:val="20"/>
              </w:rPr>
              <w:lastRenderedPageBreak/>
              <w:t>Нарушения на нервната система</w:t>
            </w:r>
          </w:p>
        </w:tc>
        <w:tc>
          <w:tcPr>
            <w:tcW w:w="3192" w:type="dxa"/>
            <w:vAlign w:val="bottom"/>
          </w:tcPr>
          <w:p w14:paraId="13E6B124" w14:textId="24547B1F" w:rsidR="00714F46" w:rsidRPr="00714F46" w:rsidRDefault="00714F46" w:rsidP="00714F46">
            <w:pPr>
              <w:rPr>
                <w:lang w:val="ru-RU"/>
              </w:rPr>
            </w:pPr>
            <w:r w:rsidRPr="00714F46">
              <w:rPr>
                <w:szCs w:val="20"/>
              </w:rPr>
              <w:t>замаяност, сънливост, парестезия/хипоестезия, гърчове</w:t>
            </w:r>
          </w:p>
        </w:tc>
        <w:tc>
          <w:tcPr>
            <w:tcW w:w="3192" w:type="dxa"/>
          </w:tcPr>
          <w:p w14:paraId="14266243" w14:textId="58040C75" w:rsidR="00714F46" w:rsidRPr="00714F46" w:rsidRDefault="00714F46" w:rsidP="00714F46">
            <w:pPr>
              <w:rPr>
                <w:lang w:val="en-US"/>
              </w:rPr>
            </w:pPr>
            <w:r w:rsidRPr="00714F46">
              <w:rPr>
                <w:szCs w:val="20"/>
              </w:rPr>
              <w:t>нечести</w:t>
            </w:r>
          </w:p>
        </w:tc>
      </w:tr>
      <w:tr w:rsidR="00714F46" w14:paraId="4D4F07DD" w14:textId="77777777" w:rsidTr="000C332A">
        <w:tc>
          <w:tcPr>
            <w:tcW w:w="3192" w:type="dxa"/>
            <w:vAlign w:val="bottom"/>
          </w:tcPr>
          <w:p w14:paraId="1B3E647A" w14:textId="2E5EC730" w:rsidR="00714F46" w:rsidRPr="00714F46" w:rsidRDefault="00714F46" w:rsidP="00714F46">
            <w:pPr>
              <w:rPr>
                <w:lang w:val="en-US"/>
              </w:rPr>
            </w:pPr>
            <w:r w:rsidRPr="00714F46">
              <w:rPr>
                <w:szCs w:val="20"/>
              </w:rPr>
              <w:t>Сърдечни нарушения</w:t>
            </w:r>
          </w:p>
        </w:tc>
        <w:tc>
          <w:tcPr>
            <w:tcW w:w="3192" w:type="dxa"/>
            <w:vAlign w:val="bottom"/>
          </w:tcPr>
          <w:p w14:paraId="43A15AE3" w14:textId="050C3862" w:rsidR="00714F46" w:rsidRPr="00714F46" w:rsidRDefault="00714F46" w:rsidP="00714F46">
            <w:pPr>
              <w:rPr>
                <w:lang w:val="en-US"/>
              </w:rPr>
            </w:pPr>
            <w:r w:rsidRPr="00714F46">
              <w:rPr>
                <w:szCs w:val="20"/>
              </w:rPr>
              <w:t>палпитации</w:t>
            </w:r>
          </w:p>
        </w:tc>
        <w:tc>
          <w:tcPr>
            <w:tcW w:w="3192" w:type="dxa"/>
            <w:vAlign w:val="bottom"/>
          </w:tcPr>
          <w:p w14:paraId="202883A5" w14:textId="40DBC711" w:rsidR="00714F46" w:rsidRPr="00714F46" w:rsidRDefault="00714F46" w:rsidP="00714F46">
            <w:pPr>
              <w:rPr>
                <w:lang w:val="en-US"/>
              </w:rPr>
            </w:pPr>
            <w:r w:rsidRPr="00714F46">
              <w:rPr>
                <w:szCs w:val="20"/>
              </w:rPr>
              <w:t>редки</w:t>
            </w:r>
          </w:p>
        </w:tc>
      </w:tr>
      <w:tr w:rsidR="00714F46" w14:paraId="046789E7" w14:textId="77777777" w:rsidTr="000C332A">
        <w:tc>
          <w:tcPr>
            <w:tcW w:w="3192" w:type="dxa"/>
            <w:vMerge w:val="restart"/>
          </w:tcPr>
          <w:p w14:paraId="6BED8897" w14:textId="4A70AB3F" w:rsidR="00714F46" w:rsidRPr="00714F46" w:rsidRDefault="00714F46" w:rsidP="00714F46">
            <w:pPr>
              <w:rPr>
                <w:lang w:val="ru-RU"/>
              </w:rPr>
            </w:pPr>
            <w:r w:rsidRPr="00714F46">
              <w:rPr>
                <w:szCs w:val="20"/>
              </w:rPr>
              <w:t>Респираторни, гръдни и медиастинални нарушения</w:t>
            </w:r>
          </w:p>
        </w:tc>
        <w:tc>
          <w:tcPr>
            <w:tcW w:w="3192" w:type="dxa"/>
            <w:vAlign w:val="bottom"/>
          </w:tcPr>
          <w:p w14:paraId="129E0ADC" w14:textId="5F666215" w:rsidR="00714F46" w:rsidRPr="00714F46" w:rsidRDefault="00714F46" w:rsidP="00714F46">
            <w:pPr>
              <w:rPr>
                <w:lang w:val="en-US"/>
              </w:rPr>
            </w:pPr>
            <w:r w:rsidRPr="00714F46">
              <w:rPr>
                <w:szCs w:val="20"/>
              </w:rPr>
              <w:t>епистаксис</w:t>
            </w:r>
          </w:p>
        </w:tc>
        <w:tc>
          <w:tcPr>
            <w:tcW w:w="3192" w:type="dxa"/>
            <w:vAlign w:val="bottom"/>
          </w:tcPr>
          <w:p w14:paraId="54135317" w14:textId="75CDA36E" w:rsidR="00714F46" w:rsidRPr="00714F46" w:rsidRDefault="00714F46" w:rsidP="00714F46">
            <w:pPr>
              <w:rPr>
                <w:lang w:val="en-US"/>
              </w:rPr>
            </w:pPr>
            <w:r w:rsidRPr="00714F46">
              <w:rPr>
                <w:szCs w:val="20"/>
              </w:rPr>
              <w:t>нечести</w:t>
            </w:r>
          </w:p>
        </w:tc>
      </w:tr>
      <w:tr w:rsidR="00714F46" w14:paraId="5FC16152" w14:textId="77777777" w:rsidTr="000C332A">
        <w:tc>
          <w:tcPr>
            <w:tcW w:w="3192" w:type="dxa"/>
            <w:vMerge/>
          </w:tcPr>
          <w:p w14:paraId="13220FA7" w14:textId="77777777" w:rsidR="00714F46" w:rsidRPr="00714F46" w:rsidRDefault="00714F46" w:rsidP="00714F46">
            <w:pPr>
              <w:rPr>
                <w:lang w:val="en-US"/>
              </w:rPr>
            </w:pPr>
          </w:p>
        </w:tc>
        <w:tc>
          <w:tcPr>
            <w:tcW w:w="3192" w:type="dxa"/>
            <w:vAlign w:val="bottom"/>
          </w:tcPr>
          <w:p w14:paraId="1CBF3E01" w14:textId="6D03B110" w:rsidR="00714F46" w:rsidRPr="00714F46" w:rsidRDefault="00714F46" w:rsidP="00714F46">
            <w:pPr>
              <w:rPr>
                <w:lang w:val="ru-RU"/>
              </w:rPr>
            </w:pPr>
            <w:r w:rsidRPr="00714F46">
              <w:rPr>
                <w:szCs w:val="20"/>
              </w:rPr>
              <w:t xml:space="preserve">синдром на </w:t>
            </w:r>
            <w:proofErr w:type="spellStart"/>
            <w:r w:rsidRPr="00714F46">
              <w:rPr>
                <w:szCs w:val="20"/>
                <w:lang w:val="en-US"/>
              </w:rPr>
              <w:t>Churg</w:t>
            </w:r>
            <w:proofErr w:type="spellEnd"/>
            <w:r w:rsidRPr="00714F46">
              <w:rPr>
                <w:szCs w:val="20"/>
                <w:lang w:val="ru-RU"/>
              </w:rPr>
              <w:t>-</w:t>
            </w:r>
            <w:r w:rsidRPr="00714F46">
              <w:rPr>
                <w:szCs w:val="20"/>
                <w:lang w:val="en-US"/>
              </w:rPr>
              <w:t>Strauss</w:t>
            </w:r>
            <w:r w:rsidRPr="00714F46">
              <w:rPr>
                <w:szCs w:val="20"/>
                <w:lang w:val="ru-RU"/>
              </w:rPr>
              <w:t xml:space="preserve"> (</w:t>
            </w:r>
            <w:r w:rsidRPr="00714F46">
              <w:rPr>
                <w:szCs w:val="20"/>
                <w:lang w:val="en-US"/>
              </w:rPr>
              <w:t>CSS</w:t>
            </w:r>
            <w:r w:rsidRPr="00714F46">
              <w:rPr>
                <w:szCs w:val="20"/>
                <w:lang w:val="ru-RU"/>
              </w:rPr>
              <w:t xml:space="preserve">) </w:t>
            </w:r>
            <w:r w:rsidRPr="00714F46">
              <w:rPr>
                <w:szCs w:val="20"/>
              </w:rPr>
              <w:t>(вж. точка 4.4)</w:t>
            </w:r>
          </w:p>
        </w:tc>
        <w:tc>
          <w:tcPr>
            <w:tcW w:w="3192" w:type="dxa"/>
          </w:tcPr>
          <w:p w14:paraId="6FBA7903" w14:textId="41ACA7A0" w:rsidR="00714F46" w:rsidRPr="00714F46" w:rsidRDefault="00714F46" w:rsidP="00714F46">
            <w:pPr>
              <w:rPr>
                <w:lang w:val="en-US"/>
              </w:rPr>
            </w:pPr>
            <w:r w:rsidRPr="00714F46">
              <w:rPr>
                <w:szCs w:val="20"/>
              </w:rPr>
              <w:t>много редки</w:t>
            </w:r>
          </w:p>
        </w:tc>
      </w:tr>
      <w:tr w:rsidR="00714F46" w14:paraId="733B0404" w14:textId="77777777" w:rsidTr="000C332A">
        <w:tc>
          <w:tcPr>
            <w:tcW w:w="3192" w:type="dxa"/>
            <w:vMerge/>
          </w:tcPr>
          <w:p w14:paraId="18BF8319" w14:textId="77777777" w:rsidR="00714F46" w:rsidRPr="00714F46" w:rsidRDefault="00714F46" w:rsidP="00714F46">
            <w:pPr>
              <w:rPr>
                <w:lang w:val="en-US"/>
              </w:rPr>
            </w:pPr>
          </w:p>
        </w:tc>
        <w:tc>
          <w:tcPr>
            <w:tcW w:w="3192" w:type="dxa"/>
            <w:vAlign w:val="bottom"/>
          </w:tcPr>
          <w:p w14:paraId="061516AD" w14:textId="17A785DC" w:rsidR="00714F46" w:rsidRPr="00714F46" w:rsidRDefault="00714F46" w:rsidP="00714F46">
            <w:pPr>
              <w:rPr>
                <w:lang w:val="en-US"/>
              </w:rPr>
            </w:pPr>
            <w:r w:rsidRPr="00714F46">
              <w:rPr>
                <w:szCs w:val="20"/>
              </w:rPr>
              <w:t>пулмонарна еозинофилия</w:t>
            </w:r>
          </w:p>
        </w:tc>
        <w:tc>
          <w:tcPr>
            <w:tcW w:w="3192" w:type="dxa"/>
          </w:tcPr>
          <w:p w14:paraId="72138DFC" w14:textId="10C70F82" w:rsidR="00714F46" w:rsidRPr="00714F46" w:rsidRDefault="00714F46" w:rsidP="00714F46">
            <w:pPr>
              <w:rPr>
                <w:lang w:val="en-US"/>
              </w:rPr>
            </w:pPr>
            <w:r w:rsidRPr="00714F46">
              <w:rPr>
                <w:szCs w:val="20"/>
              </w:rPr>
              <w:t>много редки</w:t>
            </w:r>
          </w:p>
        </w:tc>
      </w:tr>
      <w:tr w:rsidR="00714F46" w14:paraId="5865EC48" w14:textId="77777777" w:rsidTr="000C77EF">
        <w:tc>
          <w:tcPr>
            <w:tcW w:w="3192" w:type="dxa"/>
            <w:vMerge/>
          </w:tcPr>
          <w:p w14:paraId="3A15F6E1" w14:textId="77777777" w:rsidR="00714F46" w:rsidRPr="00714F46" w:rsidRDefault="00714F46" w:rsidP="00714F46">
            <w:pPr>
              <w:rPr>
                <w:lang w:val="en-US"/>
              </w:rPr>
            </w:pPr>
          </w:p>
        </w:tc>
        <w:tc>
          <w:tcPr>
            <w:tcW w:w="3192" w:type="dxa"/>
          </w:tcPr>
          <w:p w14:paraId="77ACDF17" w14:textId="3FAAA5C0" w:rsidR="00714F46" w:rsidRPr="00714F46" w:rsidRDefault="00714F46" w:rsidP="00714F46">
            <w:pPr>
              <w:rPr>
                <w:lang w:val="en-US"/>
              </w:rPr>
            </w:pPr>
            <w:r w:rsidRPr="00714F46">
              <w:rPr>
                <w:szCs w:val="20"/>
              </w:rPr>
              <w:t>диария</w:t>
            </w:r>
            <w:r w:rsidRPr="00714F46">
              <w:rPr>
                <w:szCs w:val="20"/>
                <w:vertAlign w:val="superscript"/>
              </w:rPr>
              <w:t>++</w:t>
            </w:r>
            <w:r w:rsidRPr="00714F46">
              <w:rPr>
                <w:szCs w:val="20"/>
              </w:rPr>
              <w:t>, гадене</w:t>
            </w:r>
            <w:r w:rsidRPr="00714F46">
              <w:rPr>
                <w:szCs w:val="20"/>
                <w:vertAlign w:val="superscript"/>
              </w:rPr>
              <w:t>++</w:t>
            </w:r>
            <w:r w:rsidRPr="00714F46">
              <w:rPr>
                <w:szCs w:val="20"/>
              </w:rPr>
              <w:t>, повръщане</w:t>
            </w:r>
            <w:r w:rsidRPr="00714F46">
              <w:rPr>
                <w:szCs w:val="20"/>
                <w:vertAlign w:val="superscript"/>
              </w:rPr>
              <w:t>++</w:t>
            </w:r>
          </w:p>
        </w:tc>
        <w:tc>
          <w:tcPr>
            <w:tcW w:w="3192" w:type="dxa"/>
          </w:tcPr>
          <w:p w14:paraId="3DF76EE4" w14:textId="10A58115" w:rsidR="00714F46" w:rsidRPr="00714F46" w:rsidRDefault="00714F46" w:rsidP="00714F46">
            <w:pPr>
              <w:rPr>
                <w:lang w:val="en-US"/>
              </w:rPr>
            </w:pPr>
            <w:r w:rsidRPr="00714F46">
              <w:rPr>
                <w:szCs w:val="20"/>
              </w:rPr>
              <w:t>чести</w:t>
            </w:r>
          </w:p>
        </w:tc>
      </w:tr>
      <w:tr w:rsidR="00714F46" w14:paraId="0DAF3A76" w14:textId="77777777" w:rsidTr="000C77EF">
        <w:tc>
          <w:tcPr>
            <w:tcW w:w="3192" w:type="dxa"/>
          </w:tcPr>
          <w:p w14:paraId="59265C9F" w14:textId="2311D766" w:rsidR="00714F46" w:rsidRPr="00714F46" w:rsidRDefault="00714F46" w:rsidP="00714F46">
            <w:pPr>
              <w:rPr>
                <w:lang w:val="en-US"/>
              </w:rPr>
            </w:pPr>
            <w:r w:rsidRPr="00714F46">
              <w:rPr>
                <w:szCs w:val="20"/>
              </w:rPr>
              <w:t>Стомашно-чревни нарушения</w:t>
            </w:r>
          </w:p>
        </w:tc>
        <w:tc>
          <w:tcPr>
            <w:tcW w:w="3192" w:type="dxa"/>
          </w:tcPr>
          <w:p w14:paraId="2FBC3121" w14:textId="7E8117E7" w:rsidR="00714F46" w:rsidRPr="00714F46" w:rsidRDefault="00714F46" w:rsidP="00714F46">
            <w:pPr>
              <w:rPr>
                <w:lang w:val="en-US"/>
              </w:rPr>
            </w:pPr>
            <w:r w:rsidRPr="00714F46">
              <w:rPr>
                <w:szCs w:val="20"/>
              </w:rPr>
              <w:t>сухота в устата, диспепсия</w:t>
            </w:r>
          </w:p>
        </w:tc>
        <w:tc>
          <w:tcPr>
            <w:tcW w:w="3192" w:type="dxa"/>
          </w:tcPr>
          <w:p w14:paraId="61B59202" w14:textId="397EED6F" w:rsidR="00714F46" w:rsidRPr="00714F46" w:rsidRDefault="00714F46" w:rsidP="00714F46">
            <w:pPr>
              <w:rPr>
                <w:lang w:val="en-US"/>
              </w:rPr>
            </w:pPr>
            <w:r w:rsidRPr="00714F46">
              <w:rPr>
                <w:szCs w:val="20"/>
              </w:rPr>
              <w:t>нечести</w:t>
            </w:r>
          </w:p>
        </w:tc>
      </w:tr>
      <w:tr w:rsidR="00714F46" w14:paraId="267458C9" w14:textId="77777777" w:rsidTr="000C77EF">
        <w:tc>
          <w:tcPr>
            <w:tcW w:w="3192" w:type="dxa"/>
            <w:vMerge w:val="restart"/>
          </w:tcPr>
          <w:p w14:paraId="16626B48" w14:textId="5567802F" w:rsidR="00714F46" w:rsidRPr="00714F46" w:rsidRDefault="00714F46" w:rsidP="00714F46">
            <w:pPr>
              <w:rPr>
                <w:lang w:val="en-US"/>
              </w:rPr>
            </w:pPr>
            <w:r w:rsidRPr="00714F46">
              <w:rPr>
                <w:szCs w:val="20"/>
              </w:rPr>
              <w:t>Хепатобилиарни нарушения</w:t>
            </w:r>
          </w:p>
        </w:tc>
        <w:tc>
          <w:tcPr>
            <w:tcW w:w="3192" w:type="dxa"/>
          </w:tcPr>
          <w:p w14:paraId="58BA554A" w14:textId="7EAD6223" w:rsidR="00714F46" w:rsidRPr="00714F46" w:rsidRDefault="00714F46" w:rsidP="00714F46">
            <w:pPr>
              <w:rPr>
                <w:lang w:val="ru-RU"/>
              </w:rPr>
            </w:pPr>
            <w:r w:rsidRPr="00714F46">
              <w:rPr>
                <w:szCs w:val="20"/>
              </w:rPr>
              <w:t xml:space="preserve">повишени нива на серумните трансаминази </w:t>
            </w:r>
            <w:r w:rsidRPr="00714F46">
              <w:rPr>
                <w:szCs w:val="20"/>
                <w:lang w:val="ru-RU"/>
              </w:rPr>
              <w:t>(</w:t>
            </w:r>
            <w:r w:rsidRPr="00714F46">
              <w:rPr>
                <w:szCs w:val="20"/>
                <w:lang w:val="en-US"/>
              </w:rPr>
              <w:t>ALT</w:t>
            </w:r>
            <w:r w:rsidRPr="00714F46">
              <w:rPr>
                <w:szCs w:val="20"/>
                <w:lang w:val="ru-RU"/>
              </w:rPr>
              <w:t xml:space="preserve">, </w:t>
            </w:r>
            <w:r w:rsidRPr="00714F46">
              <w:rPr>
                <w:szCs w:val="20"/>
                <w:lang w:val="en-US"/>
              </w:rPr>
              <w:t>AST</w:t>
            </w:r>
            <w:r w:rsidRPr="00714F46">
              <w:rPr>
                <w:szCs w:val="20"/>
                <w:lang w:val="ru-RU"/>
              </w:rPr>
              <w:t>)</w:t>
            </w:r>
          </w:p>
        </w:tc>
        <w:tc>
          <w:tcPr>
            <w:tcW w:w="3192" w:type="dxa"/>
          </w:tcPr>
          <w:p w14:paraId="7F66D132" w14:textId="5C9ADB77" w:rsidR="00714F46" w:rsidRPr="00714F46" w:rsidRDefault="00714F46" w:rsidP="00714F46">
            <w:pPr>
              <w:rPr>
                <w:lang w:val="en-US"/>
              </w:rPr>
            </w:pPr>
            <w:r w:rsidRPr="00714F46">
              <w:rPr>
                <w:szCs w:val="20"/>
              </w:rPr>
              <w:t>чести</w:t>
            </w:r>
          </w:p>
        </w:tc>
      </w:tr>
      <w:tr w:rsidR="00714F46" w14:paraId="5ECE7521" w14:textId="77777777" w:rsidTr="000C77EF">
        <w:tc>
          <w:tcPr>
            <w:tcW w:w="3192" w:type="dxa"/>
            <w:vMerge/>
          </w:tcPr>
          <w:p w14:paraId="587EE6F8" w14:textId="77777777" w:rsidR="00714F46" w:rsidRPr="00714F46" w:rsidRDefault="00714F46" w:rsidP="00714F46">
            <w:pPr>
              <w:rPr>
                <w:lang w:val="en-US"/>
              </w:rPr>
            </w:pPr>
          </w:p>
        </w:tc>
        <w:tc>
          <w:tcPr>
            <w:tcW w:w="3192" w:type="dxa"/>
          </w:tcPr>
          <w:p w14:paraId="176F8AAB" w14:textId="3BE23CB9" w:rsidR="00714F46" w:rsidRPr="00714F46" w:rsidRDefault="00714F46" w:rsidP="00714F46">
            <w:pPr>
              <w:rPr>
                <w:lang w:val="ru-RU"/>
              </w:rPr>
            </w:pPr>
            <w:r w:rsidRPr="00714F46">
              <w:rPr>
                <w:szCs w:val="20"/>
              </w:rPr>
              <w:t>хепатит (включително холестатичен, хепатоцелуларен или наранявания от смесен характер на черния дроб)</w:t>
            </w:r>
          </w:p>
        </w:tc>
        <w:tc>
          <w:tcPr>
            <w:tcW w:w="3192" w:type="dxa"/>
          </w:tcPr>
          <w:p w14:paraId="2D277C0B" w14:textId="71404C89" w:rsidR="00714F46" w:rsidRPr="00714F46" w:rsidRDefault="00714F46" w:rsidP="00714F46">
            <w:pPr>
              <w:rPr>
                <w:lang w:val="en-US"/>
              </w:rPr>
            </w:pPr>
            <w:r w:rsidRPr="00714F46">
              <w:rPr>
                <w:szCs w:val="20"/>
              </w:rPr>
              <w:t>много редки</w:t>
            </w:r>
          </w:p>
        </w:tc>
      </w:tr>
      <w:tr w:rsidR="00714F46" w14:paraId="3E98A99A" w14:textId="77777777" w:rsidTr="000C77EF">
        <w:tc>
          <w:tcPr>
            <w:tcW w:w="3192" w:type="dxa"/>
            <w:vMerge w:val="restart"/>
          </w:tcPr>
          <w:p w14:paraId="3170699A" w14:textId="4AC520F9" w:rsidR="00714F46" w:rsidRPr="00714F46" w:rsidRDefault="00714F46" w:rsidP="00714F46">
            <w:pPr>
              <w:rPr>
                <w:lang w:val="ru-RU"/>
              </w:rPr>
            </w:pPr>
            <w:r w:rsidRPr="00714F46">
              <w:rPr>
                <w:szCs w:val="20"/>
              </w:rPr>
              <w:t>Нарушения на кожата и подкожната тъкан</w:t>
            </w:r>
          </w:p>
        </w:tc>
        <w:tc>
          <w:tcPr>
            <w:tcW w:w="3192" w:type="dxa"/>
          </w:tcPr>
          <w:p w14:paraId="40900107" w14:textId="078EDE61" w:rsidR="00714F46" w:rsidRPr="00714F46" w:rsidRDefault="00714F46" w:rsidP="00714F46">
            <w:pPr>
              <w:rPr>
                <w:lang w:val="en-US"/>
              </w:rPr>
            </w:pPr>
            <w:r w:rsidRPr="00714F46">
              <w:rPr>
                <w:szCs w:val="20"/>
              </w:rPr>
              <w:t>обрив</w:t>
            </w:r>
            <w:r w:rsidRPr="00714F46">
              <w:rPr>
                <w:szCs w:val="20"/>
                <w:vertAlign w:val="superscript"/>
              </w:rPr>
              <w:t>++</w:t>
            </w:r>
          </w:p>
        </w:tc>
        <w:tc>
          <w:tcPr>
            <w:tcW w:w="3192" w:type="dxa"/>
          </w:tcPr>
          <w:p w14:paraId="6F843957" w14:textId="0EF5F4A0" w:rsidR="00714F46" w:rsidRPr="00714F46" w:rsidRDefault="00714F46" w:rsidP="00714F46">
            <w:pPr>
              <w:rPr>
                <w:lang w:val="en-US"/>
              </w:rPr>
            </w:pPr>
            <w:r w:rsidRPr="00714F46">
              <w:rPr>
                <w:szCs w:val="20"/>
              </w:rPr>
              <w:t>честа</w:t>
            </w:r>
          </w:p>
        </w:tc>
      </w:tr>
      <w:tr w:rsidR="00714F46" w14:paraId="055F6046" w14:textId="77777777" w:rsidTr="000C77EF">
        <w:tc>
          <w:tcPr>
            <w:tcW w:w="3192" w:type="dxa"/>
            <w:vMerge/>
          </w:tcPr>
          <w:p w14:paraId="01AF6179" w14:textId="77777777" w:rsidR="00714F46" w:rsidRPr="00714F46" w:rsidRDefault="00714F46" w:rsidP="00714F46">
            <w:pPr>
              <w:rPr>
                <w:lang w:val="en-US"/>
              </w:rPr>
            </w:pPr>
          </w:p>
        </w:tc>
        <w:tc>
          <w:tcPr>
            <w:tcW w:w="3192" w:type="dxa"/>
          </w:tcPr>
          <w:p w14:paraId="403B2158" w14:textId="0CB6593F" w:rsidR="00714F46" w:rsidRPr="00714F46" w:rsidRDefault="00714F46" w:rsidP="00714F46">
            <w:pPr>
              <w:rPr>
                <w:lang w:val="en-US"/>
              </w:rPr>
            </w:pPr>
            <w:r w:rsidRPr="00714F46">
              <w:rPr>
                <w:szCs w:val="20"/>
              </w:rPr>
              <w:t>кръвонасядане, уртикария, сърбеж</w:t>
            </w:r>
          </w:p>
        </w:tc>
        <w:tc>
          <w:tcPr>
            <w:tcW w:w="3192" w:type="dxa"/>
          </w:tcPr>
          <w:p w14:paraId="377B0443" w14:textId="4A8A856D" w:rsidR="00714F46" w:rsidRPr="00714F46" w:rsidRDefault="00714F46" w:rsidP="00714F46">
            <w:pPr>
              <w:rPr>
                <w:lang w:val="en-US"/>
              </w:rPr>
            </w:pPr>
            <w:r w:rsidRPr="00714F46">
              <w:rPr>
                <w:szCs w:val="20"/>
              </w:rPr>
              <w:t>нечести</w:t>
            </w:r>
          </w:p>
        </w:tc>
      </w:tr>
      <w:tr w:rsidR="00714F46" w14:paraId="1840AA1B" w14:textId="77777777" w:rsidTr="000C77EF">
        <w:tc>
          <w:tcPr>
            <w:tcW w:w="3192" w:type="dxa"/>
            <w:vMerge/>
          </w:tcPr>
          <w:p w14:paraId="36FD206B" w14:textId="77777777" w:rsidR="00714F46" w:rsidRPr="00714F46" w:rsidRDefault="00714F46" w:rsidP="00714F46">
            <w:pPr>
              <w:rPr>
                <w:lang w:val="en-US"/>
              </w:rPr>
            </w:pPr>
          </w:p>
        </w:tc>
        <w:tc>
          <w:tcPr>
            <w:tcW w:w="3192" w:type="dxa"/>
          </w:tcPr>
          <w:p w14:paraId="27D16B2F" w14:textId="3F2D81A3" w:rsidR="00714F46" w:rsidRPr="00714F46" w:rsidRDefault="00714F46" w:rsidP="00714F46">
            <w:pPr>
              <w:rPr>
                <w:lang w:val="en-US"/>
              </w:rPr>
            </w:pPr>
            <w:r w:rsidRPr="00714F46">
              <w:rPr>
                <w:szCs w:val="20"/>
              </w:rPr>
              <w:t>ангиоедем</w:t>
            </w:r>
          </w:p>
        </w:tc>
        <w:tc>
          <w:tcPr>
            <w:tcW w:w="3192" w:type="dxa"/>
          </w:tcPr>
          <w:p w14:paraId="2809BA66" w14:textId="4FD3184A" w:rsidR="00714F46" w:rsidRPr="00714F46" w:rsidRDefault="00714F46" w:rsidP="00714F46">
            <w:pPr>
              <w:rPr>
                <w:lang w:val="en-US"/>
              </w:rPr>
            </w:pPr>
            <w:r w:rsidRPr="00714F46">
              <w:rPr>
                <w:szCs w:val="20"/>
              </w:rPr>
              <w:t>редки</w:t>
            </w:r>
          </w:p>
        </w:tc>
      </w:tr>
      <w:tr w:rsidR="00714F46" w14:paraId="4296FB85" w14:textId="77777777" w:rsidTr="000C77EF">
        <w:tc>
          <w:tcPr>
            <w:tcW w:w="3192" w:type="dxa"/>
            <w:vMerge/>
          </w:tcPr>
          <w:p w14:paraId="03CA997D" w14:textId="77777777" w:rsidR="00714F46" w:rsidRPr="00714F46" w:rsidRDefault="00714F46" w:rsidP="00714F46">
            <w:pPr>
              <w:rPr>
                <w:lang w:val="en-US"/>
              </w:rPr>
            </w:pPr>
          </w:p>
        </w:tc>
        <w:tc>
          <w:tcPr>
            <w:tcW w:w="3192" w:type="dxa"/>
          </w:tcPr>
          <w:p w14:paraId="0E6F156C" w14:textId="7057B30F" w:rsidR="00714F46" w:rsidRPr="00714F46" w:rsidRDefault="00714F46" w:rsidP="00714F46">
            <w:pPr>
              <w:rPr>
                <w:lang w:val="en-US"/>
              </w:rPr>
            </w:pPr>
            <w:r w:rsidRPr="00714F46">
              <w:rPr>
                <w:szCs w:val="20"/>
              </w:rPr>
              <w:t>еритема нодозум, еритема мултиформе</w:t>
            </w:r>
          </w:p>
        </w:tc>
        <w:tc>
          <w:tcPr>
            <w:tcW w:w="3192" w:type="dxa"/>
          </w:tcPr>
          <w:p w14:paraId="56958EE0" w14:textId="6F7D4108" w:rsidR="00714F46" w:rsidRPr="00714F46" w:rsidRDefault="00714F46" w:rsidP="00714F46">
            <w:pPr>
              <w:rPr>
                <w:lang w:val="en-US"/>
              </w:rPr>
            </w:pPr>
            <w:r w:rsidRPr="00714F46">
              <w:rPr>
                <w:szCs w:val="20"/>
              </w:rPr>
              <w:t>много редки</w:t>
            </w:r>
          </w:p>
        </w:tc>
      </w:tr>
      <w:tr w:rsidR="00714F46" w14:paraId="31B97D8F" w14:textId="77777777" w:rsidTr="000C77EF">
        <w:tc>
          <w:tcPr>
            <w:tcW w:w="3192" w:type="dxa"/>
          </w:tcPr>
          <w:p w14:paraId="353BF67B" w14:textId="3EBAD9B8" w:rsidR="00714F46" w:rsidRPr="00714F46" w:rsidRDefault="00714F46" w:rsidP="00714F46">
            <w:pPr>
              <w:rPr>
                <w:lang w:val="ru-RU"/>
              </w:rPr>
            </w:pPr>
            <w:r w:rsidRPr="00714F46">
              <w:rPr>
                <w:szCs w:val="20"/>
              </w:rPr>
              <w:t>Нарушения на мускулно- скелетната и съединителната тъкан</w:t>
            </w:r>
          </w:p>
        </w:tc>
        <w:tc>
          <w:tcPr>
            <w:tcW w:w="3192" w:type="dxa"/>
          </w:tcPr>
          <w:p w14:paraId="586BAC5E" w14:textId="213F4369" w:rsidR="00714F46" w:rsidRPr="00714F46" w:rsidRDefault="00714F46" w:rsidP="00714F46">
            <w:pPr>
              <w:rPr>
                <w:lang w:val="ru-RU"/>
              </w:rPr>
            </w:pPr>
            <w:r w:rsidRPr="00714F46">
              <w:rPr>
                <w:szCs w:val="20"/>
              </w:rPr>
              <w:t>артралгия, миалгия, включително мускулни крампи</w:t>
            </w:r>
          </w:p>
        </w:tc>
        <w:tc>
          <w:tcPr>
            <w:tcW w:w="3192" w:type="dxa"/>
          </w:tcPr>
          <w:p w14:paraId="35C06A44" w14:textId="1309C546" w:rsidR="00714F46" w:rsidRPr="00714F46" w:rsidRDefault="00714F46" w:rsidP="00714F46">
            <w:pPr>
              <w:rPr>
                <w:lang w:val="en-US"/>
              </w:rPr>
            </w:pPr>
            <w:r w:rsidRPr="00714F46">
              <w:rPr>
                <w:szCs w:val="20"/>
              </w:rPr>
              <w:t>нечесги</w:t>
            </w:r>
          </w:p>
        </w:tc>
      </w:tr>
      <w:tr w:rsidR="00714F46" w14:paraId="1193B762" w14:textId="77777777" w:rsidTr="000C77EF">
        <w:tc>
          <w:tcPr>
            <w:tcW w:w="3192" w:type="dxa"/>
          </w:tcPr>
          <w:p w14:paraId="34129C09" w14:textId="78E1D5C2" w:rsidR="00714F46" w:rsidRPr="00714F46" w:rsidRDefault="00714F46" w:rsidP="00714F46">
            <w:pPr>
              <w:rPr>
                <w:lang w:val="ru-RU"/>
              </w:rPr>
            </w:pPr>
            <w:r w:rsidRPr="00714F46">
              <w:rPr>
                <w:szCs w:val="20"/>
              </w:rPr>
              <w:t>Нарушения на бъбреците и пикочните пътища</w:t>
            </w:r>
          </w:p>
        </w:tc>
        <w:tc>
          <w:tcPr>
            <w:tcW w:w="3192" w:type="dxa"/>
          </w:tcPr>
          <w:p w14:paraId="48F8CAE1" w14:textId="0AD270AF" w:rsidR="00714F46" w:rsidRPr="00714F46" w:rsidRDefault="00714F46" w:rsidP="00714F46">
            <w:pPr>
              <w:rPr>
                <w:lang w:val="en-US"/>
              </w:rPr>
            </w:pPr>
            <w:r w:rsidRPr="00714F46">
              <w:rPr>
                <w:szCs w:val="20"/>
              </w:rPr>
              <w:t>енурезис при деца</w:t>
            </w:r>
          </w:p>
        </w:tc>
        <w:tc>
          <w:tcPr>
            <w:tcW w:w="3192" w:type="dxa"/>
          </w:tcPr>
          <w:p w14:paraId="0B8BE9C4" w14:textId="4639B121" w:rsidR="00714F46" w:rsidRPr="00714F46" w:rsidRDefault="00714F46" w:rsidP="00714F46">
            <w:pPr>
              <w:rPr>
                <w:lang w:val="en-US"/>
              </w:rPr>
            </w:pPr>
            <w:r w:rsidRPr="00714F46">
              <w:rPr>
                <w:szCs w:val="20"/>
              </w:rPr>
              <w:t>нечести</w:t>
            </w:r>
          </w:p>
        </w:tc>
      </w:tr>
      <w:tr w:rsidR="00714F46" w14:paraId="6B13C825" w14:textId="77777777" w:rsidTr="000C77EF">
        <w:tc>
          <w:tcPr>
            <w:tcW w:w="3192" w:type="dxa"/>
            <w:vMerge w:val="restart"/>
          </w:tcPr>
          <w:p w14:paraId="6AEEE066" w14:textId="2E4D2ABD" w:rsidR="00714F46" w:rsidRPr="00714F46" w:rsidRDefault="00714F46" w:rsidP="00714F46">
            <w:pPr>
              <w:rPr>
                <w:lang w:val="ru-RU"/>
              </w:rPr>
            </w:pPr>
            <w:r w:rsidRPr="00714F46">
              <w:rPr>
                <w:szCs w:val="20"/>
              </w:rPr>
              <w:t>Общи нарушения и ефекти на мястото на приложение</w:t>
            </w:r>
          </w:p>
        </w:tc>
        <w:tc>
          <w:tcPr>
            <w:tcW w:w="3192" w:type="dxa"/>
          </w:tcPr>
          <w:p w14:paraId="692392ED" w14:textId="616D4FC7" w:rsidR="00714F46" w:rsidRPr="00714F46" w:rsidRDefault="00714F46" w:rsidP="00714F46">
            <w:pPr>
              <w:rPr>
                <w:lang w:val="en-US"/>
              </w:rPr>
            </w:pPr>
            <w:r w:rsidRPr="00714F46">
              <w:rPr>
                <w:szCs w:val="20"/>
              </w:rPr>
              <w:t>треска</w:t>
            </w:r>
            <w:r w:rsidRPr="00714F46">
              <w:rPr>
                <w:szCs w:val="20"/>
                <w:vertAlign w:val="superscript"/>
              </w:rPr>
              <w:t>++</w:t>
            </w:r>
          </w:p>
        </w:tc>
        <w:tc>
          <w:tcPr>
            <w:tcW w:w="3192" w:type="dxa"/>
          </w:tcPr>
          <w:p w14:paraId="14C88144" w14:textId="399A6B32" w:rsidR="00714F46" w:rsidRPr="00714F46" w:rsidRDefault="00714F46" w:rsidP="00714F46">
            <w:pPr>
              <w:rPr>
                <w:lang w:val="en-US"/>
              </w:rPr>
            </w:pPr>
            <w:r w:rsidRPr="00714F46">
              <w:rPr>
                <w:szCs w:val="20"/>
              </w:rPr>
              <w:t>чести</w:t>
            </w:r>
          </w:p>
        </w:tc>
      </w:tr>
      <w:tr w:rsidR="00714F46" w14:paraId="61A60E54" w14:textId="77777777" w:rsidTr="000C77EF">
        <w:tc>
          <w:tcPr>
            <w:tcW w:w="3192" w:type="dxa"/>
            <w:vMerge/>
          </w:tcPr>
          <w:p w14:paraId="70F2275A" w14:textId="77777777" w:rsidR="00714F46" w:rsidRPr="00714F46" w:rsidRDefault="00714F46" w:rsidP="00714F46">
            <w:pPr>
              <w:rPr>
                <w:lang w:val="en-US"/>
              </w:rPr>
            </w:pPr>
          </w:p>
        </w:tc>
        <w:tc>
          <w:tcPr>
            <w:tcW w:w="3192" w:type="dxa"/>
          </w:tcPr>
          <w:p w14:paraId="14DCA7E7" w14:textId="740F3833" w:rsidR="00714F46" w:rsidRPr="00714F46" w:rsidRDefault="00714F46" w:rsidP="00714F46">
            <w:pPr>
              <w:rPr>
                <w:lang w:val="en-US"/>
              </w:rPr>
            </w:pPr>
            <w:r w:rsidRPr="00714F46">
              <w:rPr>
                <w:szCs w:val="20"/>
              </w:rPr>
              <w:t>астения/умора, неразположение, оток</w:t>
            </w:r>
          </w:p>
        </w:tc>
        <w:tc>
          <w:tcPr>
            <w:tcW w:w="3192" w:type="dxa"/>
          </w:tcPr>
          <w:p w14:paraId="7021F44D" w14:textId="06EBF0F8" w:rsidR="00714F46" w:rsidRPr="00714F46" w:rsidRDefault="00714F46" w:rsidP="00714F46">
            <w:pPr>
              <w:rPr>
                <w:lang w:val="en-US"/>
              </w:rPr>
            </w:pPr>
            <w:r w:rsidRPr="00714F46">
              <w:rPr>
                <w:szCs w:val="20"/>
              </w:rPr>
              <w:t>нечесги</w:t>
            </w:r>
          </w:p>
        </w:tc>
      </w:tr>
      <w:tr w:rsidR="00714F46" w14:paraId="7C561146" w14:textId="77777777" w:rsidTr="00915638">
        <w:tc>
          <w:tcPr>
            <w:tcW w:w="9576" w:type="dxa"/>
            <w:gridSpan w:val="3"/>
          </w:tcPr>
          <w:p w14:paraId="7350B28F" w14:textId="77777777" w:rsidR="00714F46" w:rsidRPr="00714F46" w:rsidRDefault="00714F46" w:rsidP="00714F46">
            <w:pPr>
              <w:spacing w:line="240" w:lineRule="auto"/>
              <w:rPr>
                <w:rFonts w:eastAsia="Times New Roman" w:cs="Arial"/>
                <w:szCs w:val="24"/>
              </w:rPr>
            </w:pPr>
            <w:r w:rsidRPr="00714F46">
              <w:rPr>
                <w:rFonts w:eastAsia="Times New Roman" w:cs="Arial"/>
                <w:i/>
                <w:iCs/>
                <w:color w:val="000000"/>
                <w:szCs w:val="18"/>
                <w:lang w:eastAsia="bg-BG"/>
              </w:rPr>
              <w:t>*Категория за честота: Определена за</w:t>
            </w:r>
            <w:r w:rsidRPr="00714F46">
              <w:rPr>
                <w:rFonts w:eastAsia="Times New Roman" w:cs="Arial"/>
                <w:color w:val="000000"/>
                <w:szCs w:val="18"/>
                <w:lang w:eastAsia="bg-BG"/>
              </w:rPr>
              <w:t xml:space="preserve"> всяка нежелана реакция според честотата съобщена в базата данни по време на клинични изпитвания: много чести (≥ 1/10), чести (≥ 1/100 до &lt; 1/10), нечесги (≥1/1 000 до &lt; 1/100), редки (≥1/10 000 до &lt; 1/1000), много редки (&lt; 1/10 000).</w:t>
            </w:r>
          </w:p>
          <w:p w14:paraId="79DF1EE4" w14:textId="77777777" w:rsidR="00714F46" w:rsidRPr="00714F46" w:rsidRDefault="00714F46" w:rsidP="00714F46">
            <w:pPr>
              <w:spacing w:line="240" w:lineRule="auto"/>
              <w:rPr>
                <w:rFonts w:eastAsia="Times New Roman" w:cs="Arial"/>
                <w:szCs w:val="24"/>
              </w:rPr>
            </w:pPr>
            <w:r w:rsidRPr="00714F46">
              <w:rPr>
                <w:rFonts w:eastAsia="Times New Roman" w:cs="Arial"/>
                <w:color w:val="000000"/>
                <w:szCs w:val="18"/>
                <w:vertAlign w:val="superscript"/>
                <w:lang w:eastAsia="bg-BG"/>
              </w:rPr>
              <w:t>+</w:t>
            </w:r>
            <w:r w:rsidRPr="00714F46">
              <w:rPr>
                <w:rFonts w:eastAsia="Times New Roman" w:cs="Arial"/>
                <w:color w:val="000000"/>
                <w:szCs w:val="18"/>
                <w:lang w:eastAsia="bg-BG"/>
              </w:rPr>
              <w:t>Тази нежелана реакция, съобщена като много честа при пациенти, приемащи монтелукаст, е съобщена също като много честа при пациенти, които са получили плацебо по време на клинични изпитвания.</w:t>
            </w:r>
          </w:p>
          <w:p w14:paraId="7FB11646" w14:textId="77777777" w:rsidR="00714F46" w:rsidRPr="00714F46" w:rsidRDefault="00714F46" w:rsidP="00714F46">
            <w:pPr>
              <w:spacing w:line="240" w:lineRule="auto"/>
              <w:rPr>
                <w:rFonts w:eastAsia="Times New Roman" w:cs="Arial"/>
                <w:szCs w:val="24"/>
              </w:rPr>
            </w:pPr>
            <w:r w:rsidRPr="00714F46">
              <w:rPr>
                <w:rFonts w:eastAsia="Times New Roman" w:cs="Arial"/>
                <w:color w:val="000000"/>
                <w:szCs w:val="18"/>
                <w:vertAlign w:val="superscript"/>
                <w:lang w:eastAsia="bg-BG"/>
              </w:rPr>
              <w:t>++</w:t>
            </w:r>
            <w:r w:rsidRPr="00714F46">
              <w:rPr>
                <w:rFonts w:eastAsia="Times New Roman" w:cs="Arial"/>
                <w:color w:val="000000"/>
                <w:szCs w:val="18"/>
                <w:lang w:eastAsia="bg-BG"/>
              </w:rPr>
              <w:t>Тази нежелана реакция, съобщена като честа при пациенти, приемащи монтелукаст, е съобщена също като честа при пациенти, които са получавали плацебо по време на клинични изпитвания</w:t>
            </w:r>
          </w:p>
          <w:p w14:paraId="7C705411" w14:textId="47B0689A" w:rsidR="00714F46" w:rsidRPr="00714F46" w:rsidRDefault="00714F46" w:rsidP="00714F46">
            <w:pPr>
              <w:rPr>
                <w:rFonts w:cs="Arial"/>
                <w:szCs w:val="20"/>
              </w:rPr>
            </w:pPr>
            <w:r w:rsidRPr="00714F46">
              <w:rPr>
                <w:rFonts w:eastAsia="Times New Roman" w:cs="Arial"/>
                <w:i/>
                <w:iCs/>
                <w:color w:val="000000"/>
                <w:szCs w:val="18"/>
                <w:vertAlign w:val="superscript"/>
                <w:lang w:eastAsia="bg-BG"/>
              </w:rPr>
              <w:t>§</w:t>
            </w:r>
            <w:r w:rsidRPr="00714F46">
              <w:rPr>
                <w:rFonts w:eastAsia="Times New Roman" w:cs="Arial"/>
                <w:i/>
                <w:iCs/>
                <w:color w:val="000000"/>
                <w:szCs w:val="18"/>
                <w:lang w:eastAsia="bg-BG"/>
              </w:rPr>
              <w:t>Категория честота: редки</w:t>
            </w:r>
          </w:p>
        </w:tc>
      </w:tr>
    </w:tbl>
    <w:p w14:paraId="031B1769" w14:textId="444B0C27" w:rsidR="000C77EF" w:rsidRDefault="000C77EF" w:rsidP="000C77EF">
      <w:pPr>
        <w:rPr>
          <w:lang w:val="en-US"/>
        </w:rPr>
      </w:pPr>
    </w:p>
    <w:p w14:paraId="69E8E234" w14:textId="77777777" w:rsidR="00714F46" w:rsidRPr="00714F46" w:rsidRDefault="00714F46" w:rsidP="00714F46">
      <w:pPr>
        <w:spacing w:line="240" w:lineRule="auto"/>
        <w:rPr>
          <w:rFonts w:eastAsia="Times New Roman" w:cs="Arial"/>
          <w:szCs w:val="20"/>
        </w:rPr>
      </w:pPr>
      <w:r w:rsidRPr="00714F46">
        <w:rPr>
          <w:rFonts w:eastAsia="Times New Roman" w:cs="Arial"/>
          <w:i/>
          <w:iCs/>
          <w:color w:val="000000"/>
          <w:szCs w:val="20"/>
          <w:u w:val="single"/>
          <w:lang w:eastAsia="bg-BG"/>
        </w:rPr>
        <w:t>Съобщаване на подозирани</w:t>
      </w:r>
      <w:r w:rsidRPr="00714F46">
        <w:rPr>
          <w:rFonts w:eastAsia="Times New Roman" w:cs="Arial"/>
          <w:color w:val="000000"/>
          <w:szCs w:val="20"/>
          <w:u w:val="single"/>
          <w:lang w:eastAsia="bg-BG"/>
        </w:rPr>
        <w:t xml:space="preserve"> нежелани реакции</w:t>
      </w:r>
    </w:p>
    <w:p w14:paraId="0E1E0C70" w14:textId="729BEB73" w:rsidR="00714F46" w:rsidRDefault="00714F46" w:rsidP="00714F46">
      <w:pPr>
        <w:rPr>
          <w:rFonts w:eastAsia="Times New Roman" w:cs="Arial"/>
          <w:color w:val="000000"/>
          <w:szCs w:val="20"/>
          <w:lang w:val="en-US"/>
        </w:rPr>
      </w:pPr>
      <w:r w:rsidRPr="00714F46">
        <w:rPr>
          <w:rFonts w:eastAsia="Times New Roman" w:cs="Arial"/>
          <w:color w:val="000000"/>
          <w:szCs w:val="20"/>
          <w:lang w:eastAsia="bg-BG"/>
        </w:rPr>
        <w:lastRenderedPageBreak/>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+35928903417, уебсайт: </w:t>
      </w:r>
      <w:r w:rsidRPr="00714F46">
        <w:rPr>
          <w:rFonts w:eastAsia="Times New Roman" w:cs="Arial"/>
          <w:szCs w:val="20"/>
        </w:rPr>
        <w:fldChar w:fldCharType="begin"/>
      </w:r>
      <w:r w:rsidRPr="00714F46">
        <w:rPr>
          <w:rFonts w:eastAsia="Times New Roman" w:cs="Arial"/>
          <w:szCs w:val="20"/>
        </w:rPr>
        <w:instrText xml:space="preserve"> HYPERLINK "http://www.bda.bg" </w:instrText>
      </w:r>
      <w:r w:rsidRPr="00714F46">
        <w:rPr>
          <w:rFonts w:eastAsia="Times New Roman" w:cs="Arial"/>
          <w:szCs w:val="20"/>
        </w:rPr>
      </w:r>
      <w:r w:rsidRPr="00714F46">
        <w:rPr>
          <w:rFonts w:eastAsia="Times New Roman" w:cs="Arial"/>
          <w:szCs w:val="20"/>
        </w:rPr>
        <w:fldChar w:fldCharType="separate"/>
      </w:r>
      <w:r w:rsidRPr="00714F46">
        <w:rPr>
          <w:rFonts w:eastAsia="Times New Roman" w:cs="Arial"/>
          <w:color w:val="000000"/>
          <w:szCs w:val="20"/>
          <w:lang w:val="en-US"/>
        </w:rPr>
        <w:t>www.bda.bg</w:t>
      </w:r>
      <w:r w:rsidRPr="00714F46">
        <w:rPr>
          <w:rFonts w:eastAsia="Times New Roman" w:cs="Arial"/>
          <w:szCs w:val="20"/>
        </w:rPr>
        <w:fldChar w:fldCharType="end"/>
      </w:r>
      <w:r w:rsidRPr="00714F46">
        <w:rPr>
          <w:rFonts w:eastAsia="Times New Roman" w:cs="Arial"/>
          <w:color w:val="000000"/>
          <w:szCs w:val="20"/>
          <w:lang w:val="en-US"/>
        </w:rPr>
        <w:t>.</w:t>
      </w:r>
    </w:p>
    <w:p w14:paraId="62A48759" w14:textId="77777777" w:rsidR="00714F46" w:rsidRPr="00714F46" w:rsidRDefault="00714F46" w:rsidP="00714F46">
      <w:pPr>
        <w:rPr>
          <w:rFonts w:cs="Arial"/>
          <w:szCs w:val="20"/>
          <w:lang w:val="en-US"/>
        </w:rPr>
      </w:pPr>
    </w:p>
    <w:p w14:paraId="5A87DBA3" w14:textId="5CE942D0" w:rsidR="007122AD" w:rsidRDefault="002C50EE" w:rsidP="00936AD0">
      <w:pPr>
        <w:pStyle w:val="Heading2"/>
      </w:pPr>
      <w:r>
        <w:t>4.9. Предозиране</w:t>
      </w:r>
    </w:p>
    <w:p w14:paraId="7BB50B76" w14:textId="6B85AF44" w:rsidR="00714F46" w:rsidRDefault="00714F46" w:rsidP="00714F46"/>
    <w:p w14:paraId="4C40B8E6"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При проучвания за хронична астма, монтелукаст е прилаган на възрастни пациенти в дози до 200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дневно в продължение на 22 седмици, а при краткосрочни проучвания - до 900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дневно за приблизително една седмица, без клинично значими нежелани лекарствени реакции.</w:t>
      </w:r>
    </w:p>
    <w:p w14:paraId="5CDE0EE1" w14:textId="77777777" w:rsidR="00714F46" w:rsidRPr="00714F46" w:rsidRDefault="00714F46" w:rsidP="00714F46">
      <w:pPr>
        <w:spacing w:line="240" w:lineRule="auto"/>
        <w:rPr>
          <w:rFonts w:eastAsia="Times New Roman" w:cs="Arial"/>
          <w:color w:val="000000"/>
          <w:szCs w:val="20"/>
          <w:lang w:eastAsia="bg-BG"/>
        </w:rPr>
      </w:pPr>
    </w:p>
    <w:p w14:paraId="6A0236BB" w14:textId="24C962BF"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Съществуват съобщения за остро предозиране по време на постмаркетинговия период и клинични проучвания с монтелукаст. Те включват съобщения при възрастни и деца с дози до 1 000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(приблизително 61 </w:t>
      </w:r>
      <w:r w:rsidRPr="00714F46">
        <w:rPr>
          <w:rFonts w:eastAsia="Times New Roman" w:cs="Arial"/>
          <w:color w:val="000000"/>
          <w:szCs w:val="20"/>
          <w:lang w:val="en-US"/>
        </w:rPr>
        <w:t>mg</w:t>
      </w:r>
      <w:r w:rsidRPr="00714F46">
        <w:rPr>
          <w:rFonts w:eastAsia="Times New Roman" w:cs="Arial"/>
          <w:color w:val="000000"/>
          <w:szCs w:val="20"/>
          <w:lang w:val="ru-RU"/>
        </w:rPr>
        <w:t>/</w:t>
      </w:r>
      <w:r w:rsidRPr="00714F46">
        <w:rPr>
          <w:rFonts w:eastAsia="Times New Roman" w:cs="Arial"/>
          <w:color w:val="000000"/>
          <w:szCs w:val="20"/>
          <w:lang w:val="en-US"/>
        </w:rPr>
        <w:t>kg</w:t>
      </w:r>
      <w:r w:rsidRPr="00714F46">
        <w:rPr>
          <w:rFonts w:eastAsia="Times New Roman" w:cs="Arial"/>
          <w:color w:val="000000"/>
          <w:szCs w:val="20"/>
          <w:lang w:val="ru-RU"/>
        </w:rPr>
        <w:t xml:space="preserve"> </w:t>
      </w:r>
      <w:r w:rsidRPr="00714F46">
        <w:rPr>
          <w:rFonts w:eastAsia="Times New Roman" w:cs="Arial"/>
          <w:color w:val="000000"/>
          <w:szCs w:val="20"/>
          <w:lang w:eastAsia="bg-BG"/>
        </w:rPr>
        <w:t>при дете на 42-месечна възраст). Наблюдаваните клинични и лабораторни находки са били в съответствие с профила на безопасност при възрастни и деца. Не е имало нежелани лекарствени реакции в болшинството от случаите на предозиране.</w:t>
      </w:r>
    </w:p>
    <w:p w14:paraId="7DB85CB4" w14:textId="77777777" w:rsidR="00714F46" w:rsidRPr="00714F46" w:rsidRDefault="00714F46" w:rsidP="00714F46">
      <w:pPr>
        <w:spacing w:line="240" w:lineRule="auto"/>
        <w:rPr>
          <w:rFonts w:eastAsia="Times New Roman" w:cs="Arial"/>
          <w:color w:val="000000"/>
          <w:szCs w:val="20"/>
          <w:u w:val="single"/>
          <w:lang w:eastAsia="bg-BG"/>
        </w:rPr>
      </w:pPr>
    </w:p>
    <w:p w14:paraId="71FA8257" w14:textId="3DDDB6BE" w:rsidR="00714F46" w:rsidRPr="00714F46" w:rsidRDefault="00714F46" w:rsidP="00714F46">
      <w:pPr>
        <w:pStyle w:val="Heading3"/>
        <w:rPr>
          <w:rFonts w:eastAsia="Times New Roman"/>
          <w:sz w:val="28"/>
          <w:u w:val="single"/>
        </w:rPr>
      </w:pPr>
      <w:r w:rsidRPr="00714F46">
        <w:rPr>
          <w:rFonts w:eastAsia="Times New Roman"/>
          <w:u w:val="single"/>
          <w:lang w:eastAsia="bg-BG"/>
        </w:rPr>
        <w:t>Симптоми на предозиране</w:t>
      </w:r>
    </w:p>
    <w:p w14:paraId="02A1B838" w14:textId="4DEDB13E" w:rsidR="00714F46" w:rsidRPr="00714F46" w:rsidRDefault="00714F46" w:rsidP="00714F46">
      <w:pPr>
        <w:rPr>
          <w:rFonts w:eastAsia="Times New Roman" w:cs="Arial"/>
          <w:color w:val="000000"/>
          <w:szCs w:val="20"/>
          <w:lang w:eastAsia="bg-BG"/>
        </w:rPr>
      </w:pPr>
      <w:r w:rsidRPr="00714F46">
        <w:rPr>
          <w:rFonts w:eastAsia="Times New Roman" w:cs="Arial"/>
          <w:color w:val="000000"/>
          <w:szCs w:val="20"/>
          <w:lang w:eastAsia="bg-BG"/>
        </w:rPr>
        <w:t>Най-често наблюдаваните нежелани реакции са били в съответствие с профила на безопасност на монтелукаст и са включвали коремна болка, сънливост, жажда, главоболие, повръщане и психомоторна хиперактивност.</w:t>
      </w:r>
    </w:p>
    <w:p w14:paraId="32B579C1" w14:textId="770CBFF8" w:rsidR="00714F46" w:rsidRPr="00714F46" w:rsidRDefault="00714F46" w:rsidP="00714F46">
      <w:pPr>
        <w:rPr>
          <w:rFonts w:eastAsia="Times New Roman" w:cs="Arial"/>
          <w:color w:val="000000"/>
          <w:szCs w:val="20"/>
          <w:lang w:eastAsia="bg-BG"/>
        </w:rPr>
      </w:pPr>
    </w:p>
    <w:p w14:paraId="33A2FCEC" w14:textId="77777777" w:rsidR="00714F46" w:rsidRPr="00714F46" w:rsidRDefault="00714F46" w:rsidP="00714F46">
      <w:pPr>
        <w:pStyle w:val="Heading3"/>
        <w:rPr>
          <w:rFonts w:eastAsia="Times New Roman"/>
          <w:sz w:val="28"/>
          <w:u w:val="single"/>
        </w:rPr>
      </w:pPr>
      <w:r w:rsidRPr="00714F46">
        <w:rPr>
          <w:rFonts w:eastAsia="Times New Roman"/>
          <w:u w:val="single"/>
          <w:lang w:eastAsia="bg-BG"/>
        </w:rPr>
        <w:t>Лечение на предозиране</w:t>
      </w:r>
    </w:p>
    <w:p w14:paraId="3F2D8BA6" w14:textId="17AC0842"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Няма специфична информация за лечение при предозиране на монтелукаст. Не е известно дали монтелукаст се диализира чрез перитонеална или хемодиализа.</w:t>
      </w:r>
    </w:p>
    <w:p w14:paraId="3DC5836D" w14:textId="77777777" w:rsidR="00714F46" w:rsidRPr="00714F46" w:rsidRDefault="00714F46" w:rsidP="00714F46">
      <w:pPr>
        <w:spacing w:line="240" w:lineRule="auto"/>
        <w:rPr>
          <w:rFonts w:ascii="Times New Roman" w:eastAsia="Times New Roman" w:hAnsi="Times New Roman" w:cs="Times New Roman"/>
          <w:sz w:val="24"/>
          <w:szCs w:val="24"/>
        </w:rPr>
      </w:pPr>
    </w:p>
    <w:p w14:paraId="02081B24" w14:textId="36FE76F4" w:rsidR="00395555" w:rsidRPr="00395555" w:rsidRDefault="002C50EE" w:rsidP="008A6AF2">
      <w:pPr>
        <w:pStyle w:val="Heading1"/>
      </w:pPr>
      <w:r>
        <w:t>5. ФАРМАКОЛОГИЧНИ СВОЙСТВА</w:t>
      </w:r>
    </w:p>
    <w:p w14:paraId="6339E404" w14:textId="0203F39E" w:rsidR="00875EEC" w:rsidRDefault="002C50EE" w:rsidP="005726E3">
      <w:pPr>
        <w:pStyle w:val="Heading2"/>
      </w:pPr>
      <w:r>
        <w:t>5.1. Фармакодинамични свойства</w:t>
      </w:r>
    </w:p>
    <w:p w14:paraId="6CA59EF5" w14:textId="28CFFD71" w:rsidR="00714F46" w:rsidRDefault="00714F46" w:rsidP="00714F46"/>
    <w:p w14:paraId="0D1F2E24"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Фармакотерапевтична група: Антагонисти на левкотриеновия рецептор АТС код: </w:t>
      </w:r>
      <w:r w:rsidRPr="00714F46">
        <w:rPr>
          <w:rFonts w:eastAsia="Times New Roman" w:cs="Arial"/>
          <w:color w:val="000000"/>
          <w:szCs w:val="20"/>
          <w:lang w:val="en-US"/>
        </w:rPr>
        <w:t>R</w:t>
      </w:r>
      <w:r w:rsidRPr="00714F46">
        <w:rPr>
          <w:rFonts w:eastAsia="Times New Roman" w:cs="Arial"/>
          <w:color w:val="000000"/>
          <w:szCs w:val="20"/>
          <w:lang w:val="ru-RU"/>
        </w:rPr>
        <w:t>03</w:t>
      </w:r>
      <w:r w:rsidRPr="00714F46">
        <w:rPr>
          <w:rFonts w:eastAsia="Times New Roman" w:cs="Arial"/>
          <w:color w:val="000000"/>
          <w:szCs w:val="20"/>
          <w:lang w:val="en-US"/>
        </w:rPr>
        <w:t>D</w:t>
      </w:r>
      <w:r w:rsidRPr="00714F46">
        <w:rPr>
          <w:rFonts w:eastAsia="Times New Roman" w:cs="Arial"/>
          <w:color w:val="000000"/>
          <w:szCs w:val="20"/>
          <w:lang w:val="ru-RU"/>
        </w:rPr>
        <w:t xml:space="preserve"> </w:t>
      </w:r>
      <w:r w:rsidRPr="00714F46">
        <w:rPr>
          <w:rFonts w:eastAsia="Times New Roman" w:cs="Arial"/>
          <w:color w:val="000000"/>
          <w:szCs w:val="20"/>
          <w:lang w:eastAsia="bg-BG"/>
        </w:rPr>
        <w:t>СОЗ</w:t>
      </w:r>
    </w:p>
    <w:p w14:paraId="623C40C7" w14:textId="77777777" w:rsidR="00714F46" w:rsidRPr="00714F46" w:rsidRDefault="00714F46" w:rsidP="00714F46">
      <w:pPr>
        <w:spacing w:line="240" w:lineRule="auto"/>
        <w:rPr>
          <w:rFonts w:eastAsia="Times New Roman" w:cs="Arial"/>
          <w:color w:val="000000"/>
          <w:szCs w:val="20"/>
          <w:u w:val="single"/>
          <w:lang w:eastAsia="bg-BG"/>
        </w:rPr>
      </w:pPr>
    </w:p>
    <w:p w14:paraId="0039C292" w14:textId="0EBF76C6"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u w:val="single"/>
          <w:lang w:eastAsia="bg-BG"/>
        </w:rPr>
        <w:t>Механизъм на действие</w:t>
      </w:r>
    </w:p>
    <w:p w14:paraId="42EA03F3"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Цистеинил левкотриените </w:t>
      </w:r>
      <w:r w:rsidRPr="00714F46">
        <w:rPr>
          <w:rFonts w:eastAsia="Times New Roman" w:cs="Arial"/>
          <w:color w:val="000000"/>
          <w:szCs w:val="20"/>
          <w:lang w:val="ru-RU"/>
        </w:rPr>
        <w:t>(</w:t>
      </w:r>
      <w:r w:rsidRPr="00714F46">
        <w:rPr>
          <w:rFonts w:eastAsia="Times New Roman" w:cs="Arial"/>
          <w:color w:val="000000"/>
          <w:szCs w:val="20"/>
          <w:lang w:val="en-US"/>
        </w:rPr>
        <w:t>LTC</w:t>
      </w:r>
      <w:r w:rsidRPr="00714F46">
        <w:rPr>
          <w:rFonts w:eastAsia="Times New Roman" w:cs="Arial"/>
          <w:color w:val="000000"/>
          <w:szCs w:val="20"/>
          <w:lang w:val="ru-RU"/>
        </w:rPr>
        <w:t xml:space="preserve">4, </w:t>
      </w:r>
      <w:r w:rsidRPr="00714F46">
        <w:rPr>
          <w:rFonts w:eastAsia="Times New Roman" w:cs="Arial"/>
          <w:color w:val="000000"/>
          <w:szCs w:val="20"/>
          <w:lang w:val="en-US"/>
        </w:rPr>
        <w:t>LTD</w:t>
      </w:r>
      <w:r w:rsidRPr="00714F46">
        <w:rPr>
          <w:rFonts w:eastAsia="Times New Roman" w:cs="Arial"/>
          <w:color w:val="000000"/>
          <w:szCs w:val="20"/>
          <w:vertAlign w:val="subscript"/>
          <w:lang w:val="ru-RU"/>
        </w:rPr>
        <w:t>4</w:t>
      </w:r>
      <w:r w:rsidRPr="00714F46">
        <w:rPr>
          <w:rFonts w:eastAsia="Times New Roman" w:cs="Arial"/>
          <w:color w:val="000000"/>
          <w:szCs w:val="20"/>
          <w:lang w:val="ru-RU"/>
        </w:rPr>
        <w:t xml:space="preserve">, </w:t>
      </w:r>
      <w:r w:rsidRPr="00714F46">
        <w:rPr>
          <w:rFonts w:eastAsia="Times New Roman" w:cs="Arial"/>
          <w:color w:val="000000"/>
          <w:szCs w:val="20"/>
          <w:lang w:val="en-US"/>
        </w:rPr>
        <w:t>LTE</w:t>
      </w:r>
      <w:r w:rsidRPr="00714F46">
        <w:rPr>
          <w:rFonts w:eastAsia="Times New Roman" w:cs="Arial"/>
          <w:color w:val="000000"/>
          <w:szCs w:val="20"/>
          <w:vertAlign w:val="subscript"/>
          <w:lang w:val="ru-RU"/>
        </w:rPr>
        <w:t>4</w:t>
      </w:r>
      <w:r w:rsidRPr="00714F46">
        <w:rPr>
          <w:rFonts w:eastAsia="Times New Roman" w:cs="Arial"/>
          <w:color w:val="000000"/>
          <w:szCs w:val="20"/>
          <w:lang w:eastAsia="bg-BG"/>
        </w:rPr>
        <w:t xml:space="preserve">) са мощни възпалителни ейкозаноиди, освобождавани от различни клетки, включително мастоцити и еозинофили. Тези важни проастматични медиатори се свързват с цистеинил левкотриенови </w:t>
      </w:r>
      <w:r w:rsidRPr="00714F46">
        <w:rPr>
          <w:rFonts w:eastAsia="Times New Roman" w:cs="Arial"/>
          <w:color w:val="000000"/>
          <w:szCs w:val="20"/>
        </w:rPr>
        <w:t>(</w:t>
      </w:r>
      <w:proofErr w:type="spellStart"/>
      <w:r w:rsidRPr="00714F46">
        <w:rPr>
          <w:rFonts w:eastAsia="Times New Roman" w:cs="Arial"/>
          <w:color w:val="000000"/>
          <w:szCs w:val="20"/>
          <w:lang w:val="en-US"/>
        </w:rPr>
        <w:t>CysLT</w:t>
      </w:r>
      <w:proofErr w:type="spellEnd"/>
      <w:r w:rsidRPr="00714F46">
        <w:rPr>
          <w:rFonts w:eastAsia="Times New Roman" w:cs="Arial"/>
          <w:color w:val="000000"/>
          <w:szCs w:val="20"/>
        </w:rPr>
        <w:t xml:space="preserve">) </w:t>
      </w:r>
      <w:r w:rsidRPr="00714F46">
        <w:rPr>
          <w:rFonts w:eastAsia="Times New Roman" w:cs="Arial"/>
          <w:color w:val="000000"/>
          <w:szCs w:val="20"/>
          <w:lang w:eastAsia="bg-BG"/>
        </w:rPr>
        <w:t>рецептори, които се намират във въздухоносните пътища на човека и предизвикват реакции на въздухоносните пътища, като бронхоконстрикция, лигави чна секреция, съдова пропускливост и еозинофилно въвличане.</w:t>
      </w:r>
    </w:p>
    <w:p w14:paraId="29D29589" w14:textId="77777777" w:rsidR="00714F46" w:rsidRPr="00714F46" w:rsidRDefault="00714F46" w:rsidP="00714F46">
      <w:pPr>
        <w:spacing w:line="240" w:lineRule="auto"/>
        <w:rPr>
          <w:rFonts w:eastAsia="Times New Roman" w:cs="Arial"/>
          <w:color w:val="000000"/>
          <w:szCs w:val="20"/>
          <w:u w:val="single"/>
          <w:lang w:eastAsia="bg-BG"/>
        </w:rPr>
      </w:pPr>
    </w:p>
    <w:p w14:paraId="26A661DD" w14:textId="48B02D9C"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u w:val="single"/>
          <w:lang w:eastAsia="bg-BG"/>
        </w:rPr>
        <w:t>Фапмакодинамични ефекти</w:t>
      </w:r>
    </w:p>
    <w:p w14:paraId="58052251"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Монтелукаст е перорално активно вещество, което се свързва с висок афинитет и селективност с </w:t>
      </w:r>
      <w:proofErr w:type="spellStart"/>
      <w:r w:rsidRPr="00714F46">
        <w:rPr>
          <w:rFonts w:eastAsia="Times New Roman" w:cs="Arial"/>
          <w:color w:val="000000"/>
          <w:szCs w:val="20"/>
          <w:lang w:val="en-US"/>
        </w:rPr>
        <w:t>CysLT</w:t>
      </w:r>
      <w:proofErr w:type="spellEnd"/>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рецептора. В клинични проучвания монтелукаст инхибира </w:t>
      </w:r>
      <w:r w:rsidRPr="00714F46">
        <w:rPr>
          <w:rFonts w:eastAsia="Times New Roman" w:cs="Arial"/>
          <w:color w:val="000000"/>
          <w:szCs w:val="20"/>
          <w:lang w:eastAsia="bg-BG"/>
        </w:rPr>
        <w:lastRenderedPageBreak/>
        <w:t xml:space="preserve">бронхоконстрикцията, дължаща се на инхалиран </w:t>
      </w:r>
      <w:r w:rsidRPr="00714F46">
        <w:rPr>
          <w:rFonts w:eastAsia="Times New Roman" w:cs="Arial"/>
          <w:color w:val="000000"/>
          <w:szCs w:val="20"/>
          <w:lang w:val="en-US"/>
        </w:rPr>
        <w:t>LTD</w:t>
      </w:r>
      <w:r w:rsidRPr="00714F46">
        <w:rPr>
          <w:rFonts w:eastAsia="Times New Roman" w:cs="Arial"/>
          <w:color w:val="000000"/>
          <w:szCs w:val="20"/>
          <w:vertAlign w:val="subscript"/>
          <w:lang w:val="ru-RU"/>
        </w:rPr>
        <w:t>4</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при дози по-ниски от 5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Бронходилатацията се наблюдава в рамките на 2 часа от пероралния прием. Бронходилатацията, предизвикана от бета-агонисти, е адитивна към тази, предизвикана от монтелукаст. Лечението с монтелукаст повлиява както ранната, така и късната фаза на бронхоконстрикция, дължаща се на антигенна заплаха. Монтелукаст, в сравнение с плацебо, намалява еозинофилите в периферната кръв на възрастни и педиатрични пациенти. В отделно проучване лечението с монтелукаст значимо намалява еозинофилите във въздухоносните пътища (измерено в храчката) и в периферната кръв, като подобрява клиничния контрол на астмата.</w:t>
      </w:r>
    </w:p>
    <w:p w14:paraId="2B6F289D" w14:textId="77777777" w:rsidR="00714F46" w:rsidRPr="00714F46" w:rsidRDefault="00714F46" w:rsidP="00714F46">
      <w:pPr>
        <w:spacing w:line="240" w:lineRule="auto"/>
        <w:rPr>
          <w:rFonts w:eastAsia="Times New Roman" w:cs="Arial"/>
          <w:color w:val="000000"/>
          <w:szCs w:val="20"/>
          <w:u w:val="single"/>
          <w:lang w:eastAsia="bg-BG"/>
        </w:rPr>
      </w:pPr>
    </w:p>
    <w:p w14:paraId="58025EC2" w14:textId="3C8DEAA2"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u w:val="single"/>
          <w:lang w:eastAsia="bg-BG"/>
        </w:rPr>
        <w:t>Клинична ефикасност и безопасност</w:t>
      </w:r>
    </w:p>
    <w:p w14:paraId="6DFA1071"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В проучвания при възрастни монтелукаст 10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веднъж дневно, сравнен с плацебо, показва значително подобрение в сутрешния ФЕО</w:t>
      </w:r>
      <w:r w:rsidRPr="00714F46">
        <w:rPr>
          <w:rFonts w:eastAsia="Times New Roman" w:cs="Arial"/>
          <w:color w:val="000000"/>
          <w:szCs w:val="20"/>
          <w:vertAlign w:val="subscript"/>
          <w:lang w:eastAsia="bg-BG"/>
        </w:rPr>
        <w:t>1</w:t>
      </w:r>
      <w:r w:rsidRPr="00714F46">
        <w:rPr>
          <w:rFonts w:eastAsia="Times New Roman" w:cs="Arial"/>
          <w:color w:val="000000"/>
          <w:szCs w:val="20"/>
          <w:lang w:eastAsia="bg-BG"/>
        </w:rPr>
        <w:t xml:space="preserve"> (10,4 % спрямо 2,7 % промяна спрямо изходните стойности) и сутрешната скорост на пиковия експираторен поток </w:t>
      </w:r>
      <w:r w:rsidRPr="00714F46">
        <w:rPr>
          <w:rFonts w:eastAsia="Times New Roman" w:cs="Arial"/>
          <w:color w:val="000000"/>
          <w:szCs w:val="20"/>
          <w:lang w:val="ru-RU"/>
        </w:rPr>
        <w:t>(</w:t>
      </w:r>
      <w:r w:rsidRPr="00714F46">
        <w:rPr>
          <w:rFonts w:eastAsia="Times New Roman" w:cs="Arial"/>
          <w:color w:val="000000"/>
          <w:szCs w:val="20"/>
          <w:lang w:val="en-US"/>
        </w:rPr>
        <w:t>PEFR</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(24,5 </w:t>
      </w:r>
      <w:r w:rsidRPr="00714F46">
        <w:rPr>
          <w:rFonts w:eastAsia="Times New Roman" w:cs="Arial"/>
          <w:color w:val="000000"/>
          <w:szCs w:val="20"/>
          <w:lang w:val="en-US"/>
        </w:rPr>
        <w:t>l</w:t>
      </w:r>
      <w:r w:rsidRPr="00714F46">
        <w:rPr>
          <w:rFonts w:eastAsia="Times New Roman" w:cs="Arial"/>
          <w:color w:val="000000"/>
          <w:szCs w:val="20"/>
          <w:lang w:val="ru-RU"/>
        </w:rPr>
        <w:t>/</w:t>
      </w:r>
      <w:r w:rsidRPr="00714F46">
        <w:rPr>
          <w:rFonts w:eastAsia="Times New Roman" w:cs="Arial"/>
          <w:color w:val="000000"/>
          <w:szCs w:val="20"/>
          <w:lang w:val="en-US"/>
        </w:rPr>
        <w:t>min</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спрямо 3,3 </w:t>
      </w:r>
      <w:r w:rsidRPr="00714F46">
        <w:rPr>
          <w:rFonts w:eastAsia="Times New Roman" w:cs="Arial"/>
          <w:color w:val="000000"/>
          <w:szCs w:val="20"/>
          <w:lang w:val="en-US"/>
        </w:rPr>
        <w:t>l</w:t>
      </w:r>
      <w:r w:rsidRPr="00714F46">
        <w:rPr>
          <w:rFonts w:eastAsia="Times New Roman" w:cs="Arial"/>
          <w:color w:val="000000"/>
          <w:szCs w:val="20"/>
          <w:lang w:val="ru-RU"/>
        </w:rPr>
        <w:t>/</w:t>
      </w:r>
      <w:r w:rsidRPr="00714F46">
        <w:rPr>
          <w:rFonts w:eastAsia="Times New Roman" w:cs="Arial"/>
          <w:color w:val="000000"/>
          <w:szCs w:val="20"/>
          <w:lang w:val="en-US"/>
        </w:rPr>
        <w:t>min</w:t>
      </w:r>
      <w:r w:rsidRPr="00714F46">
        <w:rPr>
          <w:rFonts w:eastAsia="Times New Roman" w:cs="Arial"/>
          <w:color w:val="000000"/>
          <w:szCs w:val="20"/>
          <w:lang w:val="ru-RU"/>
        </w:rPr>
        <w:t xml:space="preserve"> </w:t>
      </w:r>
      <w:r w:rsidRPr="00714F46">
        <w:rPr>
          <w:rFonts w:eastAsia="Times New Roman" w:cs="Arial"/>
          <w:color w:val="000000"/>
          <w:szCs w:val="20"/>
          <w:lang w:eastAsia="bg-BG"/>
        </w:rPr>
        <w:t>промяна спрямо изходните стойности), и значително понижава общата употреба на бета-агонист (-26,1 % спрямо -4,6 % промяна спрямо изходните стойности). Подобрението на докладваните от пациентите дневни и нощни астматични симптоми е значително по-добро спрямо плацебо.</w:t>
      </w:r>
    </w:p>
    <w:p w14:paraId="5B7D2435" w14:textId="77777777" w:rsidR="00714F46" w:rsidRPr="00714F46" w:rsidRDefault="00714F46" w:rsidP="00714F46">
      <w:pPr>
        <w:spacing w:line="240" w:lineRule="auto"/>
        <w:rPr>
          <w:rFonts w:eastAsia="Times New Roman" w:cs="Arial"/>
          <w:color w:val="000000"/>
          <w:szCs w:val="20"/>
          <w:lang w:eastAsia="bg-BG"/>
        </w:rPr>
      </w:pPr>
    </w:p>
    <w:p w14:paraId="2D55A255" w14:textId="6275C7C1"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Проучвания при възрастни показват способността на монтелукаст да допълва клиничния ефект на инхалационния кортикостероид (% промяна спрямо изходните стойности за инхалационен беклометазон плюс монтелукаст срещу беклометазон, съответно за ФЕО</w:t>
      </w:r>
      <w:r w:rsidRPr="00714F46">
        <w:rPr>
          <w:rFonts w:eastAsia="Times New Roman" w:cs="Arial"/>
          <w:color w:val="000000"/>
          <w:szCs w:val="20"/>
          <w:vertAlign w:val="subscript"/>
          <w:lang w:eastAsia="bg-BG"/>
        </w:rPr>
        <w:t>1</w:t>
      </w:r>
      <w:r w:rsidRPr="00714F46">
        <w:rPr>
          <w:rFonts w:eastAsia="Times New Roman" w:cs="Arial"/>
          <w:color w:val="000000"/>
          <w:szCs w:val="20"/>
          <w:lang w:eastAsia="bg-BG"/>
        </w:rPr>
        <w:t>:5,43 % спрямо 1,04 %; употреба на бета-агонист: -8,70 % спрямо 2,64 %). В сравнение с инхалационен беклометазон (200 μ</w:t>
      </w:r>
      <w:r w:rsidRPr="00714F46">
        <w:rPr>
          <w:rFonts w:eastAsia="Times New Roman" w:cs="Arial"/>
          <w:color w:val="000000"/>
          <w:szCs w:val="20"/>
          <w:lang w:val="en-US"/>
        </w:rPr>
        <w:t>g</w:t>
      </w:r>
      <w:r w:rsidRPr="00714F46">
        <w:rPr>
          <w:rFonts w:eastAsia="Times New Roman" w:cs="Arial"/>
          <w:color w:val="000000"/>
          <w:szCs w:val="20"/>
          <w:lang w:val="ru-RU"/>
        </w:rPr>
        <w:t xml:space="preserve"> </w:t>
      </w:r>
      <w:r w:rsidRPr="00714F46">
        <w:rPr>
          <w:rFonts w:eastAsia="Times New Roman" w:cs="Arial"/>
          <w:color w:val="000000"/>
          <w:szCs w:val="20"/>
          <w:lang w:eastAsia="bg-BG"/>
        </w:rPr>
        <w:t>два пъти дневно с устройство за впръскване), монтелукаст показва по-бърз начален отговор, въпреки че след 12-седмично изпитване, беклометазон постига по-висок среден клиничен отговор (% промяна спрямо изходните стойности за монтелукаст срещу беклометазон, респективно за ФЕО</w:t>
      </w:r>
      <w:r w:rsidRPr="00714F46">
        <w:rPr>
          <w:rFonts w:eastAsia="Times New Roman" w:cs="Arial"/>
          <w:color w:val="000000"/>
          <w:szCs w:val="20"/>
          <w:vertAlign w:val="subscript"/>
          <w:lang w:eastAsia="bg-BG"/>
        </w:rPr>
        <w:t>1</w:t>
      </w:r>
      <w:r w:rsidRPr="00714F46">
        <w:rPr>
          <w:rFonts w:eastAsia="Times New Roman" w:cs="Arial"/>
          <w:color w:val="000000"/>
          <w:szCs w:val="20"/>
          <w:lang w:eastAsia="bg-BG"/>
        </w:rPr>
        <w:t>: 7,49 % спрямо 13,3 %; употреба на бета-агонист: -28,28 % спрямо -43,89 %). Въпреки това, в сравнение с беклометазон, висок процент пациенти, лекувани с монтелукаст, постигат подобен клиничен отговор (н</w:t>
      </w:r>
      <w:r w:rsidRPr="00714F46">
        <w:rPr>
          <w:rFonts w:eastAsia="Times New Roman" w:cs="Arial"/>
          <w:color w:val="000000"/>
          <w:szCs w:val="20"/>
          <w:u w:val="single"/>
          <w:lang w:eastAsia="bg-BG"/>
        </w:rPr>
        <w:t>апр. 50</w:t>
      </w:r>
      <w:r w:rsidRPr="00714F46">
        <w:rPr>
          <w:rFonts w:eastAsia="Times New Roman" w:cs="Arial"/>
          <w:color w:val="000000"/>
          <w:szCs w:val="20"/>
          <w:lang w:eastAsia="bg-BG"/>
        </w:rPr>
        <w:t xml:space="preserve"> % от пациентите, лекувани с беклометазон, постигат подобрение на ФЕО</w:t>
      </w:r>
      <w:r w:rsidRPr="00714F46">
        <w:rPr>
          <w:rFonts w:eastAsia="Times New Roman" w:cs="Arial"/>
          <w:color w:val="000000"/>
          <w:szCs w:val="20"/>
          <w:vertAlign w:val="subscript"/>
          <w:lang w:eastAsia="bg-BG"/>
        </w:rPr>
        <w:t xml:space="preserve">1 </w:t>
      </w:r>
      <w:r w:rsidRPr="00714F46">
        <w:rPr>
          <w:rFonts w:eastAsia="Times New Roman" w:cs="Arial"/>
          <w:color w:val="000000"/>
          <w:szCs w:val="20"/>
          <w:lang w:eastAsia="bg-BG"/>
        </w:rPr>
        <w:t>от приблизително 11% или повече спрямо изходните, докато приблизително 42 % от пациентите, лекувани с монтелукаст, постигат същия отговор).</w:t>
      </w:r>
    </w:p>
    <w:p w14:paraId="49416448" w14:textId="77777777" w:rsidR="00714F46" w:rsidRPr="00714F46" w:rsidRDefault="00714F46" w:rsidP="00714F46">
      <w:pPr>
        <w:spacing w:line="240" w:lineRule="auto"/>
        <w:rPr>
          <w:rFonts w:eastAsia="Times New Roman" w:cs="Arial"/>
          <w:sz w:val="28"/>
          <w:szCs w:val="24"/>
        </w:rPr>
      </w:pPr>
    </w:p>
    <w:p w14:paraId="7C314A0C" w14:textId="77777777" w:rsidR="00714F46" w:rsidRPr="00714F46" w:rsidRDefault="00714F46" w:rsidP="00714F46">
      <w:pPr>
        <w:rPr>
          <w:rFonts w:eastAsia="Times New Roman" w:cs="Arial"/>
          <w:sz w:val="28"/>
          <w:szCs w:val="24"/>
        </w:rPr>
      </w:pPr>
      <w:r w:rsidRPr="00714F46">
        <w:rPr>
          <w:rFonts w:eastAsia="Times New Roman" w:cs="Arial"/>
          <w:color w:val="000000"/>
          <w:szCs w:val="20"/>
          <w:lang w:eastAsia="bg-BG"/>
        </w:rPr>
        <w:t xml:space="preserve">В 8-седмично проучване при педиатрични пациенти на възраст от 6 до 14 години монтелукаст 5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веднъж дневно, сравнен с плацебо, значително подобрява респираторната функция (ФЕО</w:t>
      </w:r>
      <w:r w:rsidRPr="00714F46">
        <w:rPr>
          <w:rFonts w:eastAsia="Times New Roman" w:cs="Arial"/>
          <w:color w:val="000000"/>
          <w:szCs w:val="20"/>
          <w:vertAlign w:val="subscript"/>
          <w:lang w:eastAsia="bg-BG"/>
        </w:rPr>
        <w:t xml:space="preserve">1 </w:t>
      </w:r>
      <w:r w:rsidRPr="00714F46">
        <w:rPr>
          <w:rFonts w:eastAsia="Times New Roman" w:cs="Arial"/>
          <w:color w:val="000000"/>
          <w:szCs w:val="20"/>
          <w:lang w:eastAsia="bg-BG"/>
        </w:rPr>
        <w:t xml:space="preserve">8,71 % спрямо 4,16 % промяна спрямо изходните стойности; </w:t>
      </w:r>
      <w:r w:rsidRPr="00714F46">
        <w:rPr>
          <w:rFonts w:eastAsia="Times New Roman" w:cs="Arial"/>
          <w:color w:val="000000"/>
          <w:szCs w:val="20"/>
          <w:lang w:val="en-US"/>
        </w:rPr>
        <w:t>AM</w:t>
      </w:r>
      <w:r w:rsidRPr="00714F46">
        <w:rPr>
          <w:rFonts w:eastAsia="Times New Roman" w:cs="Arial"/>
          <w:color w:val="000000"/>
          <w:szCs w:val="20"/>
          <w:lang w:val="ru-RU"/>
        </w:rPr>
        <w:t xml:space="preserve"> </w:t>
      </w:r>
      <w:r w:rsidRPr="00714F46">
        <w:rPr>
          <w:rFonts w:eastAsia="Times New Roman" w:cs="Arial"/>
          <w:color w:val="000000"/>
          <w:szCs w:val="20"/>
          <w:lang w:val="en-US"/>
        </w:rPr>
        <w:t>PEFR</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27,9 </w:t>
      </w:r>
      <w:r w:rsidRPr="00714F46">
        <w:rPr>
          <w:rFonts w:eastAsia="Times New Roman" w:cs="Arial"/>
          <w:color w:val="000000"/>
          <w:szCs w:val="20"/>
          <w:lang w:val="ru-RU"/>
        </w:rPr>
        <w:t>1/</w:t>
      </w:r>
      <w:r w:rsidRPr="00714F46">
        <w:rPr>
          <w:rFonts w:eastAsia="Times New Roman" w:cs="Arial"/>
          <w:color w:val="000000"/>
          <w:szCs w:val="20"/>
          <w:lang w:val="en-US"/>
        </w:rPr>
        <w:t>min</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спрямо 17,8 </w:t>
      </w:r>
      <w:r w:rsidRPr="00714F46">
        <w:rPr>
          <w:rFonts w:eastAsia="Times New Roman" w:cs="Arial"/>
          <w:color w:val="000000"/>
          <w:szCs w:val="20"/>
          <w:lang w:val="en-US"/>
        </w:rPr>
        <w:t>l</w:t>
      </w:r>
      <w:r w:rsidRPr="00714F46">
        <w:rPr>
          <w:rFonts w:eastAsia="Times New Roman" w:cs="Arial"/>
          <w:color w:val="000000"/>
          <w:szCs w:val="20"/>
          <w:lang w:val="ru-RU"/>
        </w:rPr>
        <w:t>/</w:t>
      </w:r>
      <w:r w:rsidRPr="00714F46">
        <w:rPr>
          <w:rFonts w:eastAsia="Times New Roman" w:cs="Arial"/>
          <w:color w:val="000000"/>
          <w:szCs w:val="20"/>
          <w:lang w:val="en-US"/>
        </w:rPr>
        <w:t>min</w:t>
      </w:r>
      <w:r w:rsidRPr="00714F46">
        <w:rPr>
          <w:rFonts w:eastAsia="Times New Roman" w:cs="Arial"/>
          <w:color w:val="000000"/>
          <w:szCs w:val="20"/>
          <w:lang w:val="ru-RU"/>
        </w:rPr>
        <w:t xml:space="preserve"> </w:t>
      </w:r>
      <w:r w:rsidRPr="00714F46">
        <w:rPr>
          <w:rFonts w:eastAsia="Times New Roman" w:cs="Arial"/>
          <w:color w:val="000000"/>
          <w:szCs w:val="20"/>
          <w:lang w:eastAsia="bg-BG"/>
        </w:rPr>
        <w:t>промяна спрямо изходните стойности) и намалява нуждата от използване на бета-агонисти “при нужда” (-11,7 % спрямо +8,2 % промяна спрямо изходните стойности).</w:t>
      </w:r>
    </w:p>
    <w:p w14:paraId="02841E57" w14:textId="77777777" w:rsidR="00714F46" w:rsidRPr="00714F46" w:rsidRDefault="00714F46" w:rsidP="00714F46">
      <w:pPr>
        <w:spacing w:line="240" w:lineRule="auto"/>
        <w:rPr>
          <w:rFonts w:eastAsia="Times New Roman" w:cs="Arial"/>
          <w:color w:val="000000"/>
          <w:szCs w:val="20"/>
          <w:lang w:eastAsia="bg-BG"/>
        </w:rPr>
      </w:pPr>
    </w:p>
    <w:p w14:paraId="09F2BAEE" w14:textId="4D8500FF"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В 12-месечно проучване, сравняващо ефикасността на монтелукаст спрямо инхалаторен флутиказон за контрол на астма при педиатрични пациенти на възраст от 6 до 14 години с лека персистираща астма, монтелукаст не се представя по-лошо от флутиказон по отношение на увеличението на процента дни без лекарства за облекчаване на астмата </w:t>
      </w:r>
      <w:r w:rsidRPr="00714F46">
        <w:rPr>
          <w:rFonts w:eastAsia="Times New Roman" w:cs="Arial"/>
          <w:color w:val="000000"/>
          <w:szCs w:val="20"/>
          <w:lang w:val="ru-RU"/>
        </w:rPr>
        <w:t>(</w:t>
      </w:r>
      <w:r w:rsidRPr="00714F46">
        <w:rPr>
          <w:rFonts w:eastAsia="Times New Roman" w:cs="Arial"/>
          <w:color w:val="000000"/>
          <w:szCs w:val="20"/>
          <w:lang w:val="en-US"/>
        </w:rPr>
        <w:t>RFDs</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първичната крайна точка. Средно за 12-месечния период на лечение процентът на </w:t>
      </w:r>
      <w:r w:rsidRPr="00714F46">
        <w:rPr>
          <w:rFonts w:eastAsia="Times New Roman" w:cs="Arial"/>
          <w:color w:val="000000"/>
          <w:szCs w:val="20"/>
          <w:lang w:val="en-US"/>
        </w:rPr>
        <w:t>RFDs</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на астмата се увеличава от 61,6 до 84,0 в групата на монтелукаст и от 60,9 до 86,7 в групата на флутиказон. Разликата между двете групи в </w:t>
      </w:r>
      <w:r w:rsidRPr="00714F46">
        <w:rPr>
          <w:rFonts w:eastAsia="Times New Roman" w:cs="Arial"/>
          <w:color w:val="000000"/>
          <w:szCs w:val="20"/>
          <w:lang w:val="en-US"/>
        </w:rPr>
        <w:t>LS</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средно увеличение в процента </w:t>
      </w:r>
      <w:r w:rsidRPr="00714F46">
        <w:rPr>
          <w:rFonts w:eastAsia="Times New Roman" w:cs="Arial"/>
          <w:color w:val="000000"/>
          <w:szCs w:val="20"/>
          <w:lang w:val="en-US"/>
        </w:rPr>
        <w:t>RFDs</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на астмата е статистически значимо (-2,8 с 95 % </w:t>
      </w:r>
      <w:r w:rsidRPr="00714F46">
        <w:rPr>
          <w:rFonts w:eastAsia="Times New Roman" w:cs="Arial"/>
          <w:color w:val="000000"/>
          <w:szCs w:val="20"/>
          <w:lang w:val="en-US"/>
        </w:rPr>
        <w:t>CI</w:t>
      </w:r>
      <w:r w:rsidRPr="00714F46">
        <w:rPr>
          <w:rFonts w:eastAsia="Times New Roman" w:cs="Arial"/>
          <w:color w:val="000000"/>
          <w:szCs w:val="20"/>
          <w:lang w:val="ru-RU"/>
        </w:rPr>
        <w:t xml:space="preserve"> </w:t>
      </w:r>
      <w:r w:rsidRPr="00714F46">
        <w:rPr>
          <w:rFonts w:eastAsia="Times New Roman" w:cs="Arial"/>
          <w:color w:val="000000"/>
          <w:szCs w:val="20"/>
          <w:lang w:eastAsia="bg-BG"/>
        </w:rPr>
        <w:t>от -4,7, -0,9), но в границите на предварително определения диапазон на неинфериорност.</w:t>
      </w:r>
    </w:p>
    <w:p w14:paraId="3FF9E6A5"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lastRenderedPageBreak/>
        <w:t>Както монтелукаст така и флутиказон подобряват астматичния контрол на вторични променливи, оценявани през 12-месечния период на лечение:</w:t>
      </w:r>
    </w:p>
    <w:p w14:paraId="71122BE5"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ФЕО</w:t>
      </w:r>
      <w:r w:rsidRPr="00714F46">
        <w:rPr>
          <w:rFonts w:eastAsia="Times New Roman" w:cs="Arial"/>
          <w:color w:val="000000"/>
          <w:szCs w:val="20"/>
          <w:vertAlign w:val="subscript"/>
          <w:lang w:eastAsia="bg-BG"/>
        </w:rPr>
        <w:t>1</w:t>
      </w:r>
      <w:r w:rsidRPr="00714F46">
        <w:rPr>
          <w:rFonts w:eastAsia="Times New Roman" w:cs="Arial"/>
          <w:color w:val="000000"/>
          <w:szCs w:val="20"/>
          <w:lang w:eastAsia="bg-BG"/>
        </w:rPr>
        <w:t xml:space="preserve"> се увеличава от 1,83 </w:t>
      </w:r>
      <w:r w:rsidRPr="00714F46">
        <w:rPr>
          <w:rFonts w:eastAsia="Times New Roman" w:cs="Arial"/>
          <w:color w:val="000000"/>
          <w:szCs w:val="20"/>
          <w:lang w:val="en-US"/>
        </w:rPr>
        <w:t>l</w:t>
      </w:r>
      <w:r w:rsidRPr="00714F46">
        <w:rPr>
          <w:rFonts w:eastAsia="Times New Roman" w:cs="Arial"/>
          <w:color w:val="000000"/>
          <w:szCs w:val="20"/>
          <w:lang w:eastAsia="bg-BG"/>
        </w:rPr>
        <w:t xml:space="preserve"> до 2,09</w:t>
      </w:r>
      <w:r w:rsidRPr="00714F46">
        <w:rPr>
          <w:rFonts w:eastAsia="Times New Roman" w:cs="Arial"/>
          <w:color w:val="000000"/>
          <w:szCs w:val="20"/>
          <w:lang w:val="ru-RU"/>
        </w:rPr>
        <w:t xml:space="preserve"> </w:t>
      </w:r>
      <w:r w:rsidRPr="00714F46">
        <w:rPr>
          <w:rFonts w:eastAsia="Times New Roman" w:cs="Arial"/>
          <w:color w:val="000000"/>
          <w:szCs w:val="20"/>
          <w:lang w:val="en-US"/>
        </w:rPr>
        <w:t>l</w:t>
      </w:r>
      <w:r w:rsidRPr="00714F46">
        <w:rPr>
          <w:rFonts w:eastAsia="Times New Roman" w:cs="Arial"/>
          <w:color w:val="000000"/>
          <w:szCs w:val="20"/>
          <w:lang w:eastAsia="bg-BG"/>
        </w:rPr>
        <w:t xml:space="preserve"> в групата на монтелукаст и от 1,85 1 на 2,14 1 в групата на флутиказон. Разликата между двете групи в средното </w:t>
      </w:r>
      <w:r w:rsidRPr="00714F46">
        <w:rPr>
          <w:rFonts w:eastAsia="Times New Roman" w:cs="Arial"/>
          <w:color w:val="000000"/>
          <w:szCs w:val="20"/>
          <w:lang w:val="en-US"/>
        </w:rPr>
        <w:t>LS</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увеличение на ФЕО1 е -0,02 1 с 95 % </w:t>
      </w:r>
      <w:r w:rsidRPr="00714F46">
        <w:rPr>
          <w:rFonts w:eastAsia="Times New Roman" w:cs="Arial"/>
          <w:color w:val="000000"/>
          <w:szCs w:val="20"/>
          <w:lang w:val="en-US"/>
        </w:rPr>
        <w:t>CI</w:t>
      </w:r>
      <w:r w:rsidRPr="00714F46">
        <w:rPr>
          <w:rFonts w:eastAsia="Times New Roman" w:cs="Arial"/>
          <w:color w:val="000000"/>
          <w:szCs w:val="20"/>
          <w:lang w:val="ru-RU"/>
        </w:rPr>
        <w:t xml:space="preserve"> </w:t>
      </w:r>
      <w:r w:rsidRPr="00714F46">
        <w:rPr>
          <w:rFonts w:eastAsia="Times New Roman" w:cs="Arial"/>
          <w:color w:val="000000"/>
          <w:szCs w:val="20"/>
          <w:lang w:eastAsia="bg-BG"/>
        </w:rPr>
        <w:t>от -0,06,</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0,02. Средното увеличение спрямо изходните стойности в % предсказано ФЕО1 е 0,6 % в групата, лекувана с монтелукаст, и 2,7 % в групата, лекувана с флутиказон. Разликата между средните </w:t>
      </w:r>
      <w:r w:rsidRPr="00714F46">
        <w:rPr>
          <w:rFonts w:eastAsia="Times New Roman" w:cs="Arial"/>
          <w:color w:val="000000"/>
          <w:szCs w:val="20"/>
          <w:lang w:val="en-US"/>
        </w:rPr>
        <w:t>LS</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стойности за промяна спрямо изходните стойности в % предсказано ФЕО1 е значителна: -2,2 % с 95 % </w:t>
      </w:r>
      <w:r w:rsidRPr="00714F46">
        <w:rPr>
          <w:rFonts w:eastAsia="Times New Roman" w:cs="Arial"/>
          <w:color w:val="000000"/>
          <w:szCs w:val="20"/>
          <w:lang w:val="en-US"/>
        </w:rPr>
        <w:t>CI</w:t>
      </w:r>
      <w:r w:rsidRPr="00714F46">
        <w:rPr>
          <w:rFonts w:eastAsia="Times New Roman" w:cs="Arial"/>
          <w:color w:val="000000"/>
          <w:szCs w:val="20"/>
          <w:lang w:val="ru-RU"/>
        </w:rPr>
        <w:t xml:space="preserve"> </w:t>
      </w:r>
      <w:r w:rsidRPr="00714F46">
        <w:rPr>
          <w:rFonts w:eastAsia="Times New Roman" w:cs="Arial"/>
          <w:color w:val="000000"/>
          <w:szCs w:val="20"/>
          <w:lang w:eastAsia="bg-BG"/>
        </w:rPr>
        <w:t>-3,6, -0,7.</w:t>
      </w:r>
    </w:p>
    <w:p w14:paraId="612AD5DE"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Процентът дни, в конто се употребява бета-агонист, намаляват от 38,0 на 15,4 в групата на монтелукаст и от 38,5 на 12,8 в групата на флутиказон. Разликата между двете групи в средните </w:t>
      </w:r>
      <w:r w:rsidRPr="00714F46">
        <w:rPr>
          <w:rFonts w:eastAsia="Times New Roman" w:cs="Arial"/>
          <w:color w:val="000000"/>
          <w:szCs w:val="20"/>
          <w:lang w:val="en-US"/>
        </w:rPr>
        <w:t>LS</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стойности за процента дни, в които се употребява бета-агонист, е значителна: 2,7 с 95 % </w:t>
      </w:r>
      <w:r w:rsidRPr="00714F46">
        <w:rPr>
          <w:rFonts w:eastAsia="Times New Roman" w:cs="Arial"/>
          <w:color w:val="000000"/>
          <w:szCs w:val="20"/>
          <w:lang w:val="en-US"/>
        </w:rPr>
        <w:t>CI</w:t>
      </w:r>
      <w:r w:rsidRPr="00714F46">
        <w:rPr>
          <w:rFonts w:eastAsia="Times New Roman" w:cs="Arial"/>
          <w:color w:val="000000"/>
          <w:szCs w:val="20"/>
          <w:lang w:val="ru-RU"/>
        </w:rPr>
        <w:t xml:space="preserve"> </w:t>
      </w:r>
      <w:r w:rsidRPr="00714F46">
        <w:rPr>
          <w:rFonts w:eastAsia="Times New Roman" w:cs="Arial"/>
          <w:color w:val="000000"/>
          <w:szCs w:val="20"/>
          <w:lang w:eastAsia="bg-BG"/>
        </w:rPr>
        <w:t>от 0,9,4,5.</w:t>
      </w:r>
    </w:p>
    <w:p w14:paraId="435B9238"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Процентът на пациентите с астматични пристъпи (астматичният пристъп се определя като период на влошаване на астмата, който изисква лечение с перорални стероиди, непланирано посещение в лекарски кабинет, в спешен център или хоспитализация) е 32,2 в групата на монтелукаст и 25,6 в групата на флутиказон; разликата в съотношението на вероятностите (95 % </w:t>
      </w:r>
      <w:r w:rsidRPr="00714F46">
        <w:rPr>
          <w:rFonts w:eastAsia="Times New Roman" w:cs="Arial"/>
          <w:color w:val="000000"/>
          <w:szCs w:val="20"/>
          <w:lang w:val="en-US"/>
        </w:rPr>
        <w:t>CI</w:t>
      </w:r>
      <w:r w:rsidRPr="00714F46">
        <w:rPr>
          <w:rFonts w:eastAsia="Times New Roman" w:cs="Arial"/>
          <w:color w:val="000000"/>
          <w:szCs w:val="20"/>
          <w:lang w:val="ru-RU"/>
        </w:rPr>
        <w:t xml:space="preserve">) </w:t>
      </w:r>
      <w:r w:rsidRPr="00714F46">
        <w:rPr>
          <w:rFonts w:eastAsia="Times New Roman" w:cs="Arial"/>
          <w:color w:val="000000"/>
          <w:szCs w:val="20"/>
          <w:lang w:eastAsia="bg-BG"/>
        </w:rPr>
        <w:t>е значителна: еквивалентна на 1,38 (1,04,1,84).</w:t>
      </w:r>
    </w:p>
    <w:p w14:paraId="2B054FC1"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Процентът на пациентите, използвали системни (предимно перорални) кортикостероиди през периода на проучването, е 17,8 % в групата на монтелукаст и 10,5 % в групата на флутиказон. Разликата между двете групи в средните </w:t>
      </w:r>
      <w:r w:rsidRPr="00714F46">
        <w:rPr>
          <w:rFonts w:eastAsia="Times New Roman" w:cs="Arial"/>
          <w:color w:val="000000"/>
          <w:szCs w:val="20"/>
          <w:lang w:val="en-US"/>
        </w:rPr>
        <w:t>LS</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стойности е значителна: 7,3 % с 95 % </w:t>
      </w:r>
      <w:r w:rsidRPr="00714F46">
        <w:rPr>
          <w:rFonts w:eastAsia="Times New Roman" w:cs="Arial"/>
          <w:color w:val="000000"/>
          <w:szCs w:val="20"/>
          <w:lang w:val="en-US"/>
        </w:rPr>
        <w:t>CI</w:t>
      </w:r>
      <w:r w:rsidRPr="00714F46">
        <w:rPr>
          <w:rFonts w:eastAsia="Times New Roman" w:cs="Arial"/>
          <w:color w:val="000000"/>
          <w:szCs w:val="20"/>
          <w:lang w:val="ru-RU"/>
        </w:rPr>
        <w:t xml:space="preserve"> </w:t>
      </w:r>
      <w:r w:rsidRPr="00714F46">
        <w:rPr>
          <w:rFonts w:eastAsia="Times New Roman" w:cs="Arial"/>
          <w:color w:val="000000"/>
          <w:szCs w:val="20"/>
          <w:lang w:eastAsia="bg-BG"/>
        </w:rPr>
        <w:t>= 2,9; 11,7.</w:t>
      </w:r>
    </w:p>
    <w:p w14:paraId="48116A8B" w14:textId="77777777" w:rsidR="00714F46" w:rsidRPr="00714F46" w:rsidRDefault="00714F46" w:rsidP="00714F46">
      <w:pPr>
        <w:spacing w:line="240" w:lineRule="auto"/>
        <w:rPr>
          <w:rFonts w:eastAsia="Times New Roman" w:cs="Arial"/>
          <w:color w:val="000000"/>
          <w:szCs w:val="20"/>
          <w:lang w:eastAsia="bg-BG"/>
        </w:rPr>
      </w:pPr>
    </w:p>
    <w:p w14:paraId="05D157B0" w14:textId="6600CEFB"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Значително намаление на индуцираната от физически усилия бронхоконстрикция (Е1В) е демонстрирана в 12-седмично проучване при възрастни (максимално понижение на ФЕО</w:t>
      </w:r>
      <w:r w:rsidRPr="00714F46">
        <w:rPr>
          <w:rFonts w:eastAsia="Times New Roman" w:cs="Arial"/>
          <w:color w:val="000000"/>
          <w:szCs w:val="20"/>
          <w:vertAlign w:val="subscript"/>
          <w:lang w:eastAsia="bg-BG"/>
        </w:rPr>
        <w:t>1</w:t>
      </w:r>
      <w:r w:rsidRPr="00714F46">
        <w:rPr>
          <w:rFonts w:eastAsia="Times New Roman" w:cs="Arial"/>
          <w:color w:val="000000"/>
          <w:szCs w:val="20"/>
          <w:lang w:eastAsia="bg-BG"/>
        </w:rPr>
        <w:t xml:space="preserve"> 22,33 % за монтелукаст спрямо 32,40 % за плацебо; време за възстановяване до ниво около 5 % от изходните стойности ФЕО</w:t>
      </w:r>
      <w:r w:rsidRPr="00714F46">
        <w:rPr>
          <w:rFonts w:eastAsia="Times New Roman" w:cs="Arial"/>
          <w:color w:val="000000"/>
          <w:szCs w:val="20"/>
          <w:vertAlign w:val="subscript"/>
          <w:lang w:eastAsia="bg-BG"/>
        </w:rPr>
        <w:t>1</w:t>
      </w:r>
      <w:r w:rsidRPr="00714F46">
        <w:rPr>
          <w:rFonts w:eastAsia="Times New Roman" w:cs="Arial"/>
          <w:color w:val="000000"/>
          <w:szCs w:val="20"/>
          <w:lang w:eastAsia="bg-BG"/>
        </w:rPr>
        <w:t xml:space="preserve"> 44,22 минути спрямо 60,64 минути). Този ефект е последователен през 12-седмичния период на проучването. Намалението на </w:t>
      </w:r>
      <w:r w:rsidRPr="00714F46">
        <w:rPr>
          <w:rFonts w:eastAsia="Times New Roman" w:cs="Arial"/>
          <w:color w:val="000000"/>
          <w:szCs w:val="20"/>
          <w:lang w:val="en-US"/>
        </w:rPr>
        <w:t>EIB</w:t>
      </w:r>
      <w:r w:rsidRPr="00714F46">
        <w:rPr>
          <w:rFonts w:eastAsia="Times New Roman" w:cs="Arial"/>
          <w:color w:val="000000"/>
          <w:szCs w:val="20"/>
          <w:lang w:val="ru-RU"/>
        </w:rPr>
        <w:t xml:space="preserve"> </w:t>
      </w:r>
      <w:r w:rsidRPr="00714F46">
        <w:rPr>
          <w:rFonts w:eastAsia="Times New Roman" w:cs="Arial"/>
          <w:color w:val="000000"/>
          <w:szCs w:val="20"/>
          <w:lang w:eastAsia="bg-BG"/>
        </w:rPr>
        <w:t>също е демонстрирано в краткосрочно проучване при педиатрични пациенти (максимално понижение на ФЕО</w:t>
      </w:r>
      <w:r w:rsidRPr="00714F46">
        <w:rPr>
          <w:rFonts w:eastAsia="Times New Roman" w:cs="Arial"/>
          <w:color w:val="000000"/>
          <w:szCs w:val="20"/>
          <w:vertAlign w:val="subscript"/>
          <w:lang w:eastAsia="bg-BG"/>
        </w:rPr>
        <w:t>1</w:t>
      </w:r>
      <w:r w:rsidRPr="00714F46">
        <w:rPr>
          <w:rFonts w:eastAsia="Times New Roman" w:cs="Arial"/>
          <w:color w:val="000000"/>
          <w:szCs w:val="20"/>
          <w:lang w:eastAsia="bg-BG"/>
        </w:rPr>
        <w:t xml:space="preserve"> 18,27 % спрямо 26,11 %; време за възстановяване до ниво около 5 % от изходното ФЕО1 17,76 минути спрямо 27,98 минути). Ефектът на двете проучвания е демонстриран в края на интервала на дозиране веднъж дневно.</w:t>
      </w:r>
    </w:p>
    <w:p w14:paraId="6AFC2413" w14:textId="77777777" w:rsidR="00714F46" w:rsidRPr="00714F46" w:rsidRDefault="00714F46" w:rsidP="00714F46">
      <w:pPr>
        <w:spacing w:line="240" w:lineRule="auto"/>
        <w:rPr>
          <w:rFonts w:eastAsia="Times New Roman" w:cs="Arial"/>
          <w:color w:val="000000"/>
          <w:szCs w:val="20"/>
          <w:lang w:eastAsia="bg-BG"/>
        </w:rPr>
      </w:pPr>
    </w:p>
    <w:p w14:paraId="4B1DB3BC" w14:textId="5AB4F3DC"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При чувствителни към аспирин астматици, получаващи едновременно инхалаторни и/или перорални кортикостероиди, лечението с монтелукаст, сравнено с плацебо, води до значително подобрение в контрола на астмата (ФЕО</w:t>
      </w:r>
      <w:r w:rsidRPr="00714F46">
        <w:rPr>
          <w:rFonts w:eastAsia="Times New Roman" w:cs="Arial"/>
          <w:color w:val="000000"/>
          <w:szCs w:val="20"/>
          <w:vertAlign w:val="subscript"/>
          <w:lang w:eastAsia="bg-BG"/>
        </w:rPr>
        <w:t>1</w:t>
      </w:r>
      <w:r w:rsidRPr="00714F46">
        <w:rPr>
          <w:rFonts w:eastAsia="Times New Roman" w:cs="Arial"/>
          <w:color w:val="000000"/>
          <w:szCs w:val="20"/>
          <w:lang w:eastAsia="bg-BG"/>
        </w:rPr>
        <w:t xml:space="preserve"> 8,55 % спрямо -1,74 % промяна спрямо изходните стойности и понижение в общата употреба на бета-агонисти -27,78 % спрямо 2,09 % промяна спрямо изходните стойности).</w:t>
      </w:r>
    </w:p>
    <w:p w14:paraId="4E3A99C3" w14:textId="1F474E5B" w:rsidR="00714F46" w:rsidRPr="00714F46" w:rsidRDefault="00714F46" w:rsidP="00714F46">
      <w:pPr>
        <w:rPr>
          <w:rFonts w:cs="Arial"/>
          <w:sz w:val="24"/>
        </w:rPr>
      </w:pPr>
    </w:p>
    <w:p w14:paraId="346B622B" w14:textId="1A15DC9C" w:rsidR="00875EEC" w:rsidRDefault="002C50EE" w:rsidP="005726E3">
      <w:pPr>
        <w:pStyle w:val="Heading2"/>
      </w:pPr>
      <w:r>
        <w:t>5.2. Фармакокинетични свойства</w:t>
      </w:r>
    </w:p>
    <w:p w14:paraId="53BD1221" w14:textId="176D6471" w:rsidR="00714F46" w:rsidRDefault="00714F46" w:rsidP="00714F46"/>
    <w:p w14:paraId="7FD62552" w14:textId="77777777" w:rsidR="00714F46" w:rsidRPr="00714F46" w:rsidRDefault="00714F46" w:rsidP="00714F46">
      <w:pPr>
        <w:pStyle w:val="Heading3"/>
        <w:rPr>
          <w:rFonts w:eastAsia="Times New Roman"/>
          <w:sz w:val="28"/>
          <w:u w:val="single"/>
        </w:rPr>
      </w:pPr>
      <w:r w:rsidRPr="00714F46">
        <w:rPr>
          <w:rFonts w:eastAsia="Times New Roman"/>
          <w:u w:val="single"/>
          <w:lang w:eastAsia="bg-BG"/>
        </w:rPr>
        <w:t>Абсорбция</w:t>
      </w:r>
    </w:p>
    <w:p w14:paraId="451DC487" w14:textId="14CCD24B"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След перорално приложение монтелукаст се абсорбира бързо. Средната</w:t>
      </w:r>
      <w:r w:rsidRPr="00714F46">
        <w:rPr>
          <w:rFonts w:eastAsia="Times New Roman" w:cs="Arial"/>
          <w:color w:val="000000"/>
          <w:szCs w:val="20"/>
          <w:lang w:val="ru-RU"/>
        </w:rPr>
        <w:t xml:space="preserve"> </w:t>
      </w:r>
      <w:r w:rsidRPr="00714F46">
        <w:rPr>
          <w:rFonts w:eastAsia="Times New Roman" w:cs="Arial"/>
          <w:color w:val="000000"/>
          <w:szCs w:val="20"/>
          <w:lang w:eastAsia="bg-BG"/>
        </w:rPr>
        <w:t>пикова плазмена</w:t>
      </w:r>
      <w:r>
        <w:rPr>
          <w:rFonts w:eastAsia="Times New Roman" w:cs="Arial"/>
          <w:sz w:val="28"/>
          <w:szCs w:val="24"/>
        </w:rPr>
        <w:t xml:space="preserve"> </w:t>
      </w:r>
      <w:r w:rsidRPr="00714F46">
        <w:rPr>
          <w:rFonts w:eastAsia="Times New Roman" w:cs="Arial"/>
          <w:color w:val="000000"/>
          <w:szCs w:val="20"/>
          <w:lang w:eastAsia="bg-BG"/>
        </w:rPr>
        <w:t>концентрация (С</w:t>
      </w:r>
      <w:r w:rsidRPr="00714F46">
        <w:rPr>
          <w:rFonts w:eastAsia="Times New Roman" w:cs="Arial"/>
          <w:color w:val="000000"/>
          <w:szCs w:val="20"/>
          <w:vertAlign w:val="subscript"/>
          <w:lang w:val="en-US"/>
        </w:rPr>
        <w:t>max</w:t>
      </w:r>
      <w:r w:rsidRPr="00714F46">
        <w:rPr>
          <w:rFonts w:eastAsia="Times New Roman" w:cs="Arial"/>
          <w:color w:val="000000"/>
          <w:szCs w:val="20"/>
          <w:lang w:eastAsia="bg-BG"/>
        </w:rPr>
        <w:t xml:space="preserve">) за филмираните таблетки от 10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се достига 3 часа (</w:t>
      </w:r>
      <w:proofErr w:type="spellStart"/>
      <w:r w:rsidRPr="00714F46">
        <w:rPr>
          <w:rFonts w:eastAsia="Times New Roman" w:cs="Arial"/>
          <w:color w:val="000000"/>
          <w:szCs w:val="20"/>
          <w:lang w:val="en-US"/>
        </w:rPr>
        <w:t>T</w:t>
      </w:r>
      <w:r w:rsidRPr="00714F46">
        <w:rPr>
          <w:rFonts w:eastAsia="Times New Roman" w:cs="Arial"/>
          <w:color w:val="000000"/>
          <w:szCs w:val="20"/>
          <w:vertAlign w:val="subscript"/>
          <w:lang w:val="en-US"/>
        </w:rPr>
        <w:t>max</w:t>
      </w:r>
      <w:proofErr w:type="spellEnd"/>
      <w:r w:rsidRPr="00714F46">
        <w:rPr>
          <w:rFonts w:eastAsia="Times New Roman" w:cs="Arial"/>
          <w:color w:val="000000"/>
          <w:szCs w:val="20"/>
          <w:lang w:val="ru-RU"/>
        </w:rPr>
        <w:t xml:space="preserve">) </w:t>
      </w:r>
      <w:r w:rsidRPr="00714F46">
        <w:rPr>
          <w:rFonts w:eastAsia="Times New Roman" w:cs="Arial"/>
          <w:color w:val="000000"/>
          <w:szCs w:val="20"/>
          <w:lang w:eastAsia="bg-BG"/>
        </w:rPr>
        <w:t>след</w:t>
      </w:r>
      <w:r w:rsidRPr="00714F46">
        <w:rPr>
          <w:rFonts w:eastAsia="Times New Roman" w:cs="Arial"/>
          <w:smallCaps/>
          <w:color w:val="000000"/>
          <w:sz w:val="32"/>
          <w:szCs w:val="30"/>
          <w:lang w:eastAsia="bg-BG"/>
        </w:rPr>
        <w:t xml:space="preserve"> </w:t>
      </w:r>
      <w:r w:rsidRPr="00714F46">
        <w:rPr>
          <w:rFonts w:eastAsia="Times New Roman" w:cs="Arial"/>
          <w:color w:val="000000"/>
          <w:szCs w:val="20"/>
          <w:lang w:eastAsia="bg-BG"/>
        </w:rPr>
        <w:t>приложение на гладно при възрастни. Средната перорална бионаличност</w:t>
      </w:r>
      <w:r w:rsidRPr="00714F46">
        <w:rPr>
          <w:rFonts w:eastAsia="Times New Roman" w:cs="Arial"/>
          <w:color w:val="000000"/>
          <w:szCs w:val="20"/>
          <w:lang w:val="ru-RU"/>
        </w:rPr>
        <w:t xml:space="preserve"> </w:t>
      </w:r>
      <w:r w:rsidRPr="00714F46">
        <w:rPr>
          <w:rFonts w:eastAsia="Times New Roman" w:cs="Arial"/>
          <w:color w:val="000000"/>
          <w:szCs w:val="20"/>
          <w:lang w:eastAsia="bg-BG"/>
        </w:rPr>
        <w:t>е 64%. Пероралната бионаличност и С</w:t>
      </w:r>
      <w:r w:rsidRPr="00714F46">
        <w:rPr>
          <w:rFonts w:eastAsia="Times New Roman" w:cs="Arial"/>
          <w:color w:val="000000"/>
          <w:szCs w:val="20"/>
          <w:vertAlign w:val="subscript"/>
          <w:lang w:val="en-US"/>
        </w:rPr>
        <w:t>max</w:t>
      </w:r>
      <w:r w:rsidRPr="00714F46">
        <w:rPr>
          <w:rFonts w:eastAsia="Times New Roman" w:cs="Arial"/>
          <w:color w:val="000000"/>
          <w:szCs w:val="20"/>
          <w:lang w:eastAsia="bg-BG"/>
        </w:rPr>
        <w:t xml:space="preserve"> не се повлияват от стандартно хранене. Безопасността и ефикасността са демонстрирани при клинични изпитвания, при които 10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филмирани таблетки са прилагани независимо от времето на приемане на храна.</w:t>
      </w:r>
    </w:p>
    <w:p w14:paraId="1BF3032E" w14:textId="77777777" w:rsidR="00714F46" w:rsidRPr="00714F46" w:rsidRDefault="00714F46" w:rsidP="00714F46">
      <w:pPr>
        <w:spacing w:line="240" w:lineRule="auto"/>
        <w:rPr>
          <w:rFonts w:eastAsia="Times New Roman" w:cs="Arial"/>
          <w:color w:val="000000"/>
          <w:szCs w:val="20"/>
          <w:lang w:eastAsia="bg-BG"/>
        </w:rPr>
      </w:pPr>
    </w:p>
    <w:p w14:paraId="227E3E90" w14:textId="6032E7C9" w:rsidR="00714F46" w:rsidRPr="00714F46" w:rsidRDefault="00714F46" w:rsidP="00714F46">
      <w:pPr>
        <w:spacing w:line="240" w:lineRule="auto"/>
        <w:rPr>
          <w:rFonts w:eastAsia="Times New Roman" w:cs="Arial"/>
          <w:color w:val="000000"/>
          <w:szCs w:val="20"/>
          <w:lang w:eastAsia="bg-BG"/>
        </w:rPr>
      </w:pPr>
      <w:r w:rsidRPr="00714F46">
        <w:rPr>
          <w:rFonts w:eastAsia="Times New Roman" w:cs="Arial"/>
          <w:color w:val="000000"/>
          <w:szCs w:val="20"/>
          <w:lang w:eastAsia="bg-BG"/>
        </w:rPr>
        <w:t xml:space="preserve">С таблетките за дъвчене от 5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proofErr w:type="spellStart"/>
      <w:r w:rsidRPr="00714F46">
        <w:rPr>
          <w:rFonts w:eastAsia="Times New Roman" w:cs="Arial"/>
          <w:color w:val="000000"/>
          <w:szCs w:val="20"/>
          <w:lang w:val="en-US"/>
        </w:rPr>
        <w:t>C</w:t>
      </w:r>
      <w:r w:rsidRPr="00714F46">
        <w:rPr>
          <w:rFonts w:eastAsia="Times New Roman" w:cs="Arial"/>
          <w:color w:val="000000"/>
          <w:szCs w:val="20"/>
          <w:vertAlign w:val="subscript"/>
          <w:lang w:val="en-US"/>
        </w:rPr>
        <w:t>max</w:t>
      </w:r>
      <w:proofErr w:type="spellEnd"/>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се достига 2 часа след приложението при възрастни на гладно. </w:t>
      </w:r>
    </w:p>
    <w:p w14:paraId="2209498F" w14:textId="53E565C6"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lastRenderedPageBreak/>
        <w:t>Средната перорална бионаличност е 73 % и намалява до 63 % при стандартно хранене.</w:t>
      </w:r>
    </w:p>
    <w:p w14:paraId="70D5C4A2" w14:textId="77777777" w:rsidR="00714F46" w:rsidRPr="00714F46" w:rsidRDefault="00714F46" w:rsidP="00714F46">
      <w:pPr>
        <w:spacing w:line="240" w:lineRule="auto"/>
        <w:rPr>
          <w:rFonts w:eastAsia="Times New Roman" w:cs="Arial"/>
          <w:color w:val="000000"/>
          <w:szCs w:val="20"/>
          <w:u w:val="single"/>
          <w:lang w:eastAsia="bg-BG"/>
        </w:rPr>
      </w:pPr>
    </w:p>
    <w:p w14:paraId="5957B69C" w14:textId="039B1DE0" w:rsidR="00714F46" w:rsidRPr="00714F46" w:rsidRDefault="00714F46" w:rsidP="00714F46">
      <w:pPr>
        <w:pStyle w:val="Heading3"/>
        <w:rPr>
          <w:rFonts w:eastAsia="Times New Roman"/>
          <w:sz w:val="28"/>
          <w:u w:val="single"/>
        </w:rPr>
      </w:pPr>
      <w:r w:rsidRPr="00714F46">
        <w:rPr>
          <w:rFonts w:eastAsia="Times New Roman"/>
          <w:u w:val="single"/>
          <w:lang w:eastAsia="bg-BG"/>
        </w:rPr>
        <w:t>Разпределение</w:t>
      </w:r>
    </w:p>
    <w:p w14:paraId="15055957"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Монтелукаст се свързва повече от 99 % с плазмените протеини. Обемът на разпределение на монтелукаст в равновесно състояние достига средно до 8-11 литра. Проучвания при плъхове с радиомаркиран монтелукаст показват минимално преминаване през кръвно-мозъчната бариера. Освен това, концентрациите на радиомаркиран материал на 24-ия час след дозата са минимални във всички други тъкани.</w:t>
      </w:r>
    </w:p>
    <w:p w14:paraId="75DFC6E7" w14:textId="77777777" w:rsidR="00714F46" w:rsidRPr="00714F46" w:rsidRDefault="00714F46" w:rsidP="00714F46">
      <w:pPr>
        <w:spacing w:line="240" w:lineRule="auto"/>
        <w:rPr>
          <w:rFonts w:eastAsia="Times New Roman" w:cs="Arial"/>
          <w:color w:val="000000"/>
          <w:szCs w:val="20"/>
          <w:u w:val="single"/>
          <w:lang w:eastAsia="bg-BG"/>
        </w:rPr>
      </w:pPr>
    </w:p>
    <w:p w14:paraId="094109D8" w14:textId="54CDCA89" w:rsidR="00714F46" w:rsidRPr="00714F46" w:rsidRDefault="00714F46" w:rsidP="00714F46">
      <w:pPr>
        <w:pStyle w:val="Heading3"/>
        <w:rPr>
          <w:rFonts w:eastAsia="Times New Roman"/>
          <w:sz w:val="28"/>
          <w:u w:val="single"/>
        </w:rPr>
      </w:pPr>
      <w:r w:rsidRPr="00714F46">
        <w:rPr>
          <w:rFonts w:eastAsia="Times New Roman"/>
          <w:u w:val="single"/>
          <w:lang w:eastAsia="bg-BG"/>
        </w:rPr>
        <w:t>Биотрансформация</w:t>
      </w:r>
    </w:p>
    <w:p w14:paraId="1F234F87"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Монтелукаст се метаболизира в голяма степен. При проучвания с терапевтични дози, плазмените концентрации на метаболитите на монтелукаст не са измерими в равновесно състояние при възрастни и деца.</w:t>
      </w:r>
    </w:p>
    <w:p w14:paraId="076D81B3" w14:textId="77777777" w:rsidR="00714F46" w:rsidRPr="00714F46" w:rsidRDefault="00714F46" w:rsidP="00714F46">
      <w:pPr>
        <w:spacing w:line="240" w:lineRule="auto"/>
        <w:rPr>
          <w:rFonts w:eastAsia="Times New Roman" w:cs="Arial"/>
          <w:color w:val="000000"/>
          <w:szCs w:val="20"/>
          <w:lang w:eastAsia="bg-BG"/>
        </w:rPr>
      </w:pPr>
    </w:p>
    <w:p w14:paraId="28AEC064" w14:textId="24DE83A8"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Цитохром Р450 2С8 е основният ензим, участващ в метаболизма на монтелукаст. Допълнително </w:t>
      </w:r>
      <w:r w:rsidRPr="00714F46">
        <w:rPr>
          <w:rFonts w:eastAsia="Times New Roman" w:cs="Arial"/>
          <w:color w:val="000000"/>
          <w:szCs w:val="20"/>
          <w:lang w:val="en-US"/>
        </w:rPr>
        <w:t>CYP</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ЗА4 и 2С9 може да имат минимално участие, въпреки че итраконазол, инхибитор на </w:t>
      </w:r>
      <w:r w:rsidRPr="00714F46">
        <w:rPr>
          <w:rFonts w:eastAsia="Times New Roman" w:cs="Arial"/>
          <w:color w:val="000000"/>
          <w:szCs w:val="20"/>
          <w:lang w:val="en-US"/>
        </w:rPr>
        <w:t>CYP</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ЗА4, е показал, че не променя фармакокинетичните параметри на монтелукаст при здрави доброволци, приемали 10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монтелукаст </w:t>
      </w:r>
      <w:r w:rsidRPr="00714F46">
        <w:rPr>
          <w:rFonts w:eastAsia="Times New Roman" w:cs="Arial"/>
          <w:i/>
          <w:iCs/>
          <w:color w:val="000000"/>
          <w:szCs w:val="20"/>
          <w:lang w:eastAsia="bg-BG"/>
        </w:rPr>
        <w:t xml:space="preserve">дневно. Базирайки се на </w:t>
      </w:r>
      <w:r w:rsidRPr="00714F46">
        <w:rPr>
          <w:rFonts w:eastAsia="Times New Roman" w:cs="Arial"/>
          <w:i/>
          <w:iCs/>
          <w:color w:val="000000"/>
          <w:szCs w:val="20"/>
          <w:lang w:val="en-US"/>
        </w:rPr>
        <w:t>in</w:t>
      </w:r>
      <w:r w:rsidRPr="00714F46">
        <w:rPr>
          <w:rFonts w:eastAsia="Times New Roman" w:cs="Arial"/>
          <w:i/>
          <w:iCs/>
          <w:color w:val="000000"/>
          <w:szCs w:val="20"/>
          <w:lang w:val="ru-RU"/>
        </w:rPr>
        <w:t xml:space="preserve"> </w:t>
      </w:r>
      <w:r w:rsidRPr="00714F46">
        <w:rPr>
          <w:rFonts w:eastAsia="Times New Roman" w:cs="Arial"/>
          <w:i/>
          <w:iCs/>
          <w:color w:val="000000"/>
          <w:szCs w:val="20"/>
          <w:lang w:val="en-US"/>
        </w:rPr>
        <w:t>vitro</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резултати в човешки чернодробни микрозоми, терапевтичните плазмени концентрации на монтелукаст не потискат цитохром Р450 ЗА4,2С9,1А2,2А6,2С19 или </w:t>
      </w:r>
      <w:r w:rsidRPr="00714F46">
        <w:rPr>
          <w:rFonts w:eastAsia="Times New Roman" w:cs="Arial"/>
          <w:color w:val="000000"/>
          <w:szCs w:val="20"/>
          <w:lang w:val="ru-RU"/>
        </w:rPr>
        <w:t>2</w:t>
      </w:r>
      <w:r w:rsidRPr="00714F46">
        <w:rPr>
          <w:rFonts w:eastAsia="Times New Roman" w:cs="Arial"/>
          <w:color w:val="000000"/>
          <w:szCs w:val="20"/>
          <w:lang w:val="en-US"/>
        </w:rPr>
        <w:t>D</w:t>
      </w:r>
      <w:r w:rsidRPr="00714F46">
        <w:rPr>
          <w:rFonts w:eastAsia="Times New Roman" w:cs="Arial"/>
          <w:color w:val="000000"/>
          <w:szCs w:val="20"/>
          <w:lang w:val="ru-RU"/>
        </w:rPr>
        <w:t xml:space="preserve">6. </w:t>
      </w:r>
      <w:r w:rsidRPr="00714F46">
        <w:rPr>
          <w:rFonts w:eastAsia="Times New Roman" w:cs="Arial"/>
          <w:color w:val="000000"/>
          <w:szCs w:val="20"/>
          <w:lang w:eastAsia="bg-BG"/>
        </w:rPr>
        <w:t>Приносът на метаболитите на монтелукаст към терапевтичния ефект е минимален.</w:t>
      </w:r>
    </w:p>
    <w:p w14:paraId="45689D13" w14:textId="77777777" w:rsidR="00714F46" w:rsidRPr="00714F46" w:rsidRDefault="00714F46" w:rsidP="00714F46">
      <w:pPr>
        <w:spacing w:line="240" w:lineRule="auto"/>
        <w:rPr>
          <w:rFonts w:eastAsia="Times New Roman" w:cs="Arial"/>
          <w:color w:val="000000"/>
          <w:szCs w:val="20"/>
          <w:u w:val="single"/>
          <w:lang w:eastAsia="bg-BG"/>
        </w:rPr>
      </w:pPr>
    </w:p>
    <w:p w14:paraId="531787B5" w14:textId="0F157650" w:rsidR="00714F46" w:rsidRPr="00714F46" w:rsidRDefault="00714F46" w:rsidP="00714F46">
      <w:pPr>
        <w:pStyle w:val="Heading3"/>
        <w:rPr>
          <w:rFonts w:eastAsia="Times New Roman"/>
          <w:sz w:val="28"/>
          <w:u w:val="single"/>
        </w:rPr>
      </w:pPr>
      <w:r w:rsidRPr="00714F46">
        <w:rPr>
          <w:rFonts w:eastAsia="Times New Roman"/>
          <w:u w:val="single"/>
          <w:lang w:eastAsia="bg-BG"/>
        </w:rPr>
        <w:t>Елиминиране</w:t>
      </w:r>
    </w:p>
    <w:p w14:paraId="48BDFA41"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При здрави възрастни плазменият клирънс на монтелукаст е средно 45 </w:t>
      </w:r>
      <w:r w:rsidRPr="00714F46">
        <w:rPr>
          <w:rFonts w:eastAsia="Times New Roman" w:cs="Arial"/>
          <w:color w:val="000000"/>
          <w:szCs w:val="20"/>
          <w:lang w:val="en-US"/>
        </w:rPr>
        <w:t>ml</w:t>
      </w:r>
      <w:r w:rsidRPr="00714F46">
        <w:rPr>
          <w:rFonts w:eastAsia="Times New Roman" w:cs="Arial"/>
          <w:color w:val="000000"/>
          <w:szCs w:val="20"/>
          <w:lang w:val="ru-RU"/>
        </w:rPr>
        <w:t>/</w:t>
      </w:r>
      <w:r w:rsidRPr="00714F46">
        <w:rPr>
          <w:rFonts w:eastAsia="Times New Roman" w:cs="Arial"/>
          <w:color w:val="000000"/>
          <w:szCs w:val="20"/>
          <w:lang w:val="en-US"/>
        </w:rPr>
        <w:t>min</w:t>
      </w:r>
      <w:r w:rsidRPr="00714F46">
        <w:rPr>
          <w:rFonts w:eastAsia="Times New Roman" w:cs="Arial"/>
          <w:color w:val="000000"/>
          <w:szCs w:val="20"/>
          <w:lang w:val="ru-RU"/>
        </w:rPr>
        <w:t xml:space="preserve">. </w:t>
      </w:r>
      <w:r w:rsidRPr="00714F46">
        <w:rPr>
          <w:rFonts w:eastAsia="Times New Roman" w:cs="Arial"/>
          <w:color w:val="000000"/>
          <w:szCs w:val="20"/>
          <w:lang w:eastAsia="bg-BG"/>
        </w:rPr>
        <w:t>След една перорална доза на радиомаркиран монтелукаст, 86 % от радиоактивността е открита във фекалните маси до 5 дни и &lt; 0,2% - в урината. Това, свързано с определената за монтелукаст перорална бионаличност, показва, че монтелукаст се екскретира почти изцяло чрез жлъчката.</w:t>
      </w:r>
    </w:p>
    <w:p w14:paraId="227A9804" w14:textId="77777777" w:rsidR="00714F46" w:rsidRPr="00714F46" w:rsidRDefault="00714F46" w:rsidP="00714F46">
      <w:pPr>
        <w:spacing w:line="240" w:lineRule="auto"/>
        <w:rPr>
          <w:rFonts w:eastAsia="Times New Roman" w:cs="Arial"/>
          <w:color w:val="000000"/>
          <w:szCs w:val="20"/>
          <w:u w:val="single"/>
          <w:lang w:eastAsia="bg-BG"/>
        </w:rPr>
      </w:pPr>
    </w:p>
    <w:p w14:paraId="3B365EBD" w14:textId="595EBCB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u w:val="single"/>
          <w:lang w:eastAsia="bg-BG"/>
        </w:rPr>
        <w:t>Характерни особености на пациента</w:t>
      </w:r>
    </w:p>
    <w:p w14:paraId="2FDD4B4F"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Не е необходимо съобразяване на дозировката за пациенти в напреднала възраст или лека до умерена чернодробна недостатъчност. Не са провеждани проучвания с пациенти с бъбречни увреждания. Тъй като монтелукаст и неговите метаболити се елиминират чрез жлъчката, не е необходимо съобразяване на дозировката при пациенти с бъбречно увреждане. Няма данни за фармакокинетиката на монтелукаст при пациенти с тежка чернодробна недостатъчност </w:t>
      </w:r>
      <w:r w:rsidRPr="00714F46">
        <w:rPr>
          <w:rFonts w:eastAsia="Times New Roman" w:cs="Arial"/>
          <w:color w:val="000000"/>
          <w:szCs w:val="20"/>
          <w:lang w:val="ru-RU"/>
        </w:rPr>
        <w:t>(</w:t>
      </w:r>
      <w:r w:rsidRPr="00714F46">
        <w:rPr>
          <w:rFonts w:eastAsia="Times New Roman" w:cs="Arial"/>
          <w:color w:val="000000"/>
          <w:szCs w:val="20"/>
          <w:lang w:val="en-US"/>
        </w:rPr>
        <w:t>Child</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 </w:t>
      </w:r>
      <w:r w:rsidRPr="00714F46">
        <w:rPr>
          <w:rFonts w:eastAsia="Times New Roman" w:cs="Arial"/>
          <w:color w:val="000000"/>
          <w:szCs w:val="20"/>
          <w:lang w:val="en-US"/>
        </w:rPr>
        <w:t>Pugh</w:t>
      </w:r>
      <w:r w:rsidRPr="00714F46">
        <w:rPr>
          <w:rFonts w:eastAsia="Times New Roman" w:cs="Arial"/>
          <w:color w:val="000000"/>
          <w:szCs w:val="20"/>
          <w:lang w:val="ru-RU"/>
        </w:rPr>
        <w:t xml:space="preserve"> </w:t>
      </w:r>
      <w:r w:rsidRPr="00714F46">
        <w:rPr>
          <w:rFonts w:eastAsia="Times New Roman" w:cs="Arial"/>
          <w:color w:val="000000"/>
          <w:szCs w:val="20"/>
          <w:lang w:eastAsia="bg-BG"/>
        </w:rPr>
        <w:t>степен &gt; 9).</w:t>
      </w:r>
    </w:p>
    <w:p w14:paraId="682D68F2" w14:textId="77777777" w:rsidR="00714F46" w:rsidRPr="00714F46" w:rsidRDefault="00714F46" w:rsidP="00714F46">
      <w:pPr>
        <w:spacing w:line="240" w:lineRule="auto"/>
        <w:rPr>
          <w:rFonts w:eastAsia="Times New Roman" w:cs="Arial"/>
          <w:color w:val="000000"/>
          <w:szCs w:val="20"/>
          <w:lang w:eastAsia="bg-BG"/>
        </w:rPr>
      </w:pPr>
    </w:p>
    <w:p w14:paraId="579ED696" w14:textId="54269BA2"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При високи дози монтелукаст (20 и 60 пъти над препоръчителната доза при възрастни) се наблюдава намаление в плазмените концентрации на теофилин. Този ефект не е наблюдаван при препоръчителната доза от 10 </w:t>
      </w:r>
      <w:r w:rsidRPr="00714F46">
        <w:rPr>
          <w:rFonts w:eastAsia="Times New Roman" w:cs="Arial"/>
          <w:color w:val="000000"/>
          <w:szCs w:val="20"/>
          <w:lang w:val="en-US"/>
        </w:rPr>
        <w:t>mg</w:t>
      </w:r>
      <w:r w:rsidRPr="00714F46">
        <w:rPr>
          <w:rFonts w:eastAsia="Times New Roman" w:cs="Arial"/>
          <w:color w:val="000000"/>
          <w:szCs w:val="20"/>
          <w:lang w:val="ru-RU"/>
        </w:rPr>
        <w:t xml:space="preserve"> </w:t>
      </w:r>
      <w:r w:rsidRPr="00714F46">
        <w:rPr>
          <w:rFonts w:eastAsia="Times New Roman" w:cs="Arial"/>
          <w:color w:val="000000"/>
          <w:szCs w:val="20"/>
          <w:lang w:eastAsia="bg-BG"/>
        </w:rPr>
        <w:t>дневно.</w:t>
      </w:r>
    </w:p>
    <w:p w14:paraId="5AB2FE78" w14:textId="168E9298" w:rsidR="00714F46" w:rsidRPr="00714F46" w:rsidRDefault="00714F46" w:rsidP="00714F46"/>
    <w:p w14:paraId="4F31844C" w14:textId="10AC32A2" w:rsidR="00875EEC" w:rsidRDefault="002C50EE" w:rsidP="005726E3">
      <w:pPr>
        <w:pStyle w:val="Heading2"/>
      </w:pPr>
      <w:r>
        <w:t>5.3. Предклинични данни за безопасност</w:t>
      </w:r>
    </w:p>
    <w:p w14:paraId="391F2AD9" w14:textId="7BBB90EF" w:rsidR="00714F46" w:rsidRDefault="00714F46" w:rsidP="00714F46"/>
    <w:p w14:paraId="0D47123F"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В проучвания при животни за токсичност са били наблюдавани минимални биохимични промени в серумните нива на </w:t>
      </w:r>
      <w:r w:rsidRPr="00714F46">
        <w:rPr>
          <w:rFonts w:eastAsia="Times New Roman" w:cs="Arial"/>
          <w:color w:val="000000"/>
          <w:szCs w:val="20"/>
          <w:lang w:val="en-US"/>
        </w:rPr>
        <w:t>ALT</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глюкозата, фосфора и триглицеридите, които обаче са били преходни. Проявите на токсичност при животните са били увеличаване на саливацията, гастроинтестинални симптоми, редки изпражнения и йонен дисбаланс. Тези симптоми са наблюдавани при дози 17 пъти по-високи от клиничните. При маймуни </w:t>
      </w:r>
      <w:r w:rsidRPr="00714F46">
        <w:rPr>
          <w:rFonts w:eastAsia="Times New Roman" w:cs="Arial"/>
          <w:color w:val="000000"/>
          <w:szCs w:val="20"/>
          <w:lang w:eastAsia="bg-BG"/>
        </w:rPr>
        <w:lastRenderedPageBreak/>
        <w:t xml:space="preserve">нежеланите лекарствени реакции са възниквали при дози от 150 </w:t>
      </w:r>
      <w:r w:rsidRPr="00714F46">
        <w:rPr>
          <w:rFonts w:eastAsia="Times New Roman" w:cs="Arial"/>
          <w:color w:val="000000"/>
          <w:szCs w:val="20"/>
          <w:lang w:val="en-US"/>
        </w:rPr>
        <w:t>mg</w:t>
      </w:r>
      <w:r w:rsidRPr="00714F46">
        <w:rPr>
          <w:rFonts w:eastAsia="Times New Roman" w:cs="Arial"/>
          <w:color w:val="000000"/>
          <w:szCs w:val="20"/>
          <w:lang w:val="ru-RU"/>
        </w:rPr>
        <w:t>/</w:t>
      </w:r>
      <w:r w:rsidRPr="00714F46">
        <w:rPr>
          <w:rFonts w:eastAsia="Times New Roman" w:cs="Arial"/>
          <w:color w:val="000000"/>
          <w:szCs w:val="20"/>
          <w:lang w:val="en-US"/>
        </w:rPr>
        <w:t>kg</w:t>
      </w:r>
      <w:r w:rsidRPr="00714F46">
        <w:rPr>
          <w:rFonts w:eastAsia="Times New Roman" w:cs="Arial"/>
          <w:color w:val="000000"/>
          <w:szCs w:val="20"/>
          <w:lang w:eastAsia="bg-BG"/>
        </w:rPr>
        <w:t>/дневно (&gt; 232 пъти по-голяма доза от клиничната). При проучвания при животни монтелукаст не е оказала ефект върху фертилитета или репродуктивните възможности при доза надхвърляща клиничната с повече от</w:t>
      </w:r>
    </w:p>
    <w:p w14:paraId="7A93B8ED" w14:textId="77777777"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24 пъти. В проучване на фертилитета при женски плъхове е наблюдавано леко намаляване на теглото при малките при доза 200 </w:t>
      </w:r>
      <w:r w:rsidRPr="00714F46">
        <w:rPr>
          <w:rFonts w:eastAsia="Times New Roman" w:cs="Arial"/>
          <w:color w:val="000000"/>
          <w:szCs w:val="20"/>
          <w:lang w:val="en-US"/>
        </w:rPr>
        <w:t>mg</w:t>
      </w:r>
      <w:r w:rsidRPr="00714F46">
        <w:rPr>
          <w:rFonts w:eastAsia="Times New Roman" w:cs="Arial"/>
          <w:color w:val="000000"/>
          <w:szCs w:val="20"/>
          <w:lang w:val="ru-RU"/>
        </w:rPr>
        <w:t>/</w:t>
      </w:r>
      <w:r w:rsidRPr="00714F46">
        <w:rPr>
          <w:rFonts w:eastAsia="Times New Roman" w:cs="Arial"/>
          <w:color w:val="000000"/>
          <w:szCs w:val="20"/>
          <w:lang w:val="en-US"/>
        </w:rPr>
        <w:t>kg</w:t>
      </w:r>
      <w:r w:rsidRPr="00714F46">
        <w:rPr>
          <w:rFonts w:eastAsia="Times New Roman" w:cs="Arial"/>
          <w:color w:val="000000"/>
          <w:szCs w:val="20"/>
          <w:lang w:eastAsia="bg-BG"/>
        </w:rPr>
        <w:t>/дневно (&gt; 69 пъти клиничната доза). В проучвания със</w:t>
      </w:r>
    </w:p>
    <w:p w14:paraId="652F9AE8" w14:textId="77777777" w:rsidR="00714F46" w:rsidRPr="00714F46" w:rsidRDefault="00714F46" w:rsidP="00714F46">
      <w:pPr>
        <w:rPr>
          <w:rFonts w:eastAsia="Times New Roman" w:cs="Arial"/>
          <w:sz w:val="28"/>
          <w:szCs w:val="24"/>
        </w:rPr>
      </w:pPr>
      <w:r w:rsidRPr="00714F46">
        <w:rPr>
          <w:rFonts w:eastAsia="Times New Roman" w:cs="Arial"/>
          <w:color w:val="000000"/>
          <w:szCs w:val="20"/>
          <w:lang w:eastAsia="bg-BG"/>
        </w:rPr>
        <w:t>зайци, е наблюдавана по-висока честота на непълна осификация в сравнение със съответни контролни животни при приложение на доза 24 пъти над клиничната. Не са наблюдавани аномалии при плъхове. Монтелукаст преминава през плацентарната бариера и се екскретира в кърмата при животни.</w:t>
      </w:r>
    </w:p>
    <w:p w14:paraId="34F50F52" w14:textId="77777777" w:rsidR="00714F46" w:rsidRPr="00714F46" w:rsidRDefault="00714F46" w:rsidP="00714F46">
      <w:pPr>
        <w:spacing w:line="240" w:lineRule="auto"/>
        <w:rPr>
          <w:rFonts w:eastAsia="Times New Roman" w:cs="Arial"/>
          <w:color w:val="000000"/>
          <w:szCs w:val="20"/>
          <w:lang w:eastAsia="bg-BG"/>
        </w:rPr>
      </w:pPr>
    </w:p>
    <w:p w14:paraId="6E56B0CA" w14:textId="5CFEC5BF"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Смърт не настъпва при еднократен перорален прием на монтелукаст натрий в дози до 5 000 </w:t>
      </w:r>
      <w:r w:rsidRPr="00714F46">
        <w:rPr>
          <w:rFonts w:eastAsia="Times New Roman" w:cs="Arial"/>
          <w:color w:val="000000"/>
          <w:szCs w:val="20"/>
          <w:lang w:val="en-US"/>
        </w:rPr>
        <w:t>mg</w:t>
      </w:r>
      <w:r w:rsidRPr="00714F46">
        <w:rPr>
          <w:rFonts w:eastAsia="Times New Roman" w:cs="Arial"/>
          <w:color w:val="000000"/>
          <w:szCs w:val="20"/>
          <w:lang w:val="ru-RU"/>
        </w:rPr>
        <w:t>/</w:t>
      </w:r>
      <w:r w:rsidRPr="00714F46">
        <w:rPr>
          <w:rFonts w:eastAsia="Times New Roman" w:cs="Arial"/>
          <w:color w:val="000000"/>
          <w:szCs w:val="20"/>
          <w:lang w:val="en-US"/>
        </w:rPr>
        <w:t>kg</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при мишки и плъхове (15 000 </w:t>
      </w:r>
      <w:r w:rsidRPr="00714F46">
        <w:rPr>
          <w:rFonts w:eastAsia="Times New Roman" w:cs="Arial"/>
          <w:color w:val="000000"/>
          <w:szCs w:val="20"/>
          <w:lang w:val="en-US"/>
        </w:rPr>
        <w:t>mg</w:t>
      </w:r>
      <w:r w:rsidRPr="00714F46">
        <w:rPr>
          <w:rFonts w:eastAsia="Times New Roman" w:cs="Arial"/>
          <w:color w:val="000000"/>
          <w:szCs w:val="20"/>
          <w:lang w:val="ru-RU"/>
        </w:rPr>
        <w:t>/</w:t>
      </w:r>
      <w:r w:rsidRPr="00714F46">
        <w:rPr>
          <w:rFonts w:eastAsia="Times New Roman" w:cs="Arial"/>
          <w:color w:val="000000"/>
          <w:szCs w:val="20"/>
          <w:lang w:val="en-US"/>
        </w:rPr>
        <w:t>m</w:t>
      </w:r>
      <w:r w:rsidRPr="00714F46">
        <w:rPr>
          <w:rFonts w:eastAsia="Times New Roman" w:cs="Arial"/>
          <w:color w:val="000000"/>
          <w:szCs w:val="20"/>
          <w:vertAlign w:val="superscript"/>
          <w:lang w:val="ru-RU"/>
        </w:rPr>
        <w:t>2</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при мишки и 30 000 </w:t>
      </w:r>
      <w:r w:rsidRPr="00714F46">
        <w:rPr>
          <w:rFonts w:eastAsia="Times New Roman" w:cs="Arial"/>
          <w:color w:val="000000"/>
          <w:szCs w:val="20"/>
          <w:lang w:val="en-US"/>
        </w:rPr>
        <w:t>mg</w:t>
      </w:r>
      <w:r w:rsidRPr="00714F46">
        <w:rPr>
          <w:rFonts w:eastAsia="Times New Roman" w:cs="Arial"/>
          <w:color w:val="000000"/>
          <w:szCs w:val="20"/>
          <w:lang w:val="ru-RU"/>
        </w:rPr>
        <w:t>/</w:t>
      </w:r>
      <w:r w:rsidRPr="00714F46">
        <w:rPr>
          <w:rFonts w:eastAsia="Times New Roman" w:cs="Arial"/>
          <w:color w:val="000000"/>
          <w:szCs w:val="20"/>
          <w:lang w:val="en-US"/>
        </w:rPr>
        <w:t>m</w:t>
      </w:r>
      <w:r w:rsidRPr="00714F46">
        <w:rPr>
          <w:rFonts w:eastAsia="Times New Roman" w:cs="Arial"/>
          <w:color w:val="000000"/>
          <w:szCs w:val="20"/>
          <w:vertAlign w:val="superscript"/>
          <w:lang w:val="ru-RU"/>
        </w:rPr>
        <w:t>2</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съответно при плъхове), максимално изпитвана доза. Тази доза отговаря на 25 000 пъти препоръчителната човешка дневна доза при възрастни (определена при възрастни пациенти с тегло 50 </w:t>
      </w:r>
      <w:r w:rsidRPr="00714F46">
        <w:rPr>
          <w:rFonts w:eastAsia="Times New Roman" w:cs="Arial"/>
          <w:color w:val="000000"/>
          <w:szCs w:val="20"/>
          <w:lang w:val="en-US"/>
        </w:rPr>
        <w:t>kg</w:t>
      </w:r>
      <w:r w:rsidRPr="00714F46">
        <w:rPr>
          <w:rFonts w:eastAsia="Times New Roman" w:cs="Arial"/>
          <w:color w:val="000000"/>
          <w:szCs w:val="20"/>
          <w:lang w:val="ru-RU"/>
        </w:rPr>
        <w:t>).</w:t>
      </w:r>
    </w:p>
    <w:p w14:paraId="5415A243" w14:textId="77777777" w:rsidR="00714F46" w:rsidRPr="00714F46" w:rsidRDefault="00714F46" w:rsidP="00714F46">
      <w:pPr>
        <w:spacing w:line="240" w:lineRule="auto"/>
        <w:rPr>
          <w:rFonts w:eastAsia="Times New Roman" w:cs="Arial"/>
          <w:color w:val="000000"/>
          <w:szCs w:val="20"/>
          <w:lang w:eastAsia="bg-BG"/>
        </w:rPr>
      </w:pPr>
    </w:p>
    <w:p w14:paraId="0EC9258E" w14:textId="2DC0AF66" w:rsidR="00714F46" w:rsidRPr="00714F46" w:rsidRDefault="00714F46" w:rsidP="00714F46">
      <w:pPr>
        <w:spacing w:line="240" w:lineRule="auto"/>
        <w:rPr>
          <w:rFonts w:eastAsia="Times New Roman" w:cs="Arial"/>
          <w:sz w:val="28"/>
          <w:szCs w:val="24"/>
        </w:rPr>
      </w:pPr>
      <w:r w:rsidRPr="00714F46">
        <w:rPr>
          <w:rFonts w:eastAsia="Times New Roman" w:cs="Arial"/>
          <w:color w:val="000000"/>
          <w:szCs w:val="20"/>
          <w:lang w:eastAsia="bg-BG"/>
        </w:rPr>
        <w:t xml:space="preserve">Установено е, че монтелукаст не е фототоксичен при мишки за УВЛ или лъчите от видимия спектър при дози до 500 </w:t>
      </w:r>
      <w:r w:rsidRPr="00714F46">
        <w:rPr>
          <w:rFonts w:eastAsia="Times New Roman" w:cs="Arial"/>
          <w:color w:val="000000"/>
          <w:szCs w:val="20"/>
          <w:lang w:val="en-US"/>
        </w:rPr>
        <w:t>mg</w:t>
      </w:r>
      <w:r w:rsidRPr="00714F46">
        <w:rPr>
          <w:rFonts w:eastAsia="Times New Roman" w:cs="Arial"/>
          <w:color w:val="000000"/>
          <w:szCs w:val="20"/>
          <w:lang w:val="ru-RU"/>
        </w:rPr>
        <w:t>/</w:t>
      </w:r>
      <w:r w:rsidRPr="00714F46">
        <w:rPr>
          <w:rFonts w:eastAsia="Times New Roman" w:cs="Arial"/>
          <w:color w:val="000000"/>
          <w:szCs w:val="20"/>
          <w:lang w:val="en-US"/>
        </w:rPr>
        <w:t>kg</w:t>
      </w:r>
      <w:r w:rsidRPr="00714F46">
        <w:rPr>
          <w:rFonts w:eastAsia="Times New Roman" w:cs="Arial"/>
          <w:color w:val="000000"/>
          <w:szCs w:val="20"/>
          <w:lang w:eastAsia="bg-BG"/>
        </w:rPr>
        <w:t>/дневно (приблизително 200 пъти над клиничната доза).</w:t>
      </w:r>
    </w:p>
    <w:p w14:paraId="3115D608" w14:textId="77777777" w:rsidR="00714F46" w:rsidRPr="00714F46" w:rsidRDefault="00714F46" w:rsidP="00714F46">
      <w:pPr>
        <w:rPr>
          <w:rFonts w:eastAsia="Times New Roman" w:cs="Arial"/>
          <w:color w:val="000000"/>
          <w:szCs w:val="20"/>
          <w:lang w:eastAsia="bg-BG"/>
        </w:rPr>
      </w:pPr>
    </w:p>
    <w:p w14:paraId="65B41350" w14:textId="38599BF3" w:rsidR="00714F46" w:rsidRDefault="00714F46" w:rsidP="00714F46">
      <w:pPr>
        <w:rPr>
          <w:rFonts w:ascii="Times New Roman" w:eastAsia="Times New Roman" w:hAnsi="Times New Roman" w:cs="Times New Roman"/>
          <w:color w:val="000000"/>
          <w:sz w:val="20"/>
          <w:szCs w:val="20"/>
          <w:lang w:eastAsia="bg-BG"/>
        </w:rPr>
      </w:pPr>
      <w:r w:rsidRPr="00714F46">
        <w:rPr>
          <w:rFonts w:eastAsia="Times New Roman" w:cs="Arial"/>
          <w:color w:val="000000"/>
          <w:szCs w:val="20"/>
          <w:lang w:eastAsia="bg-BG"/>
        </w:rPr>
        <w:t xml:space="preserve">Монтелукаст не е бил мутагенен в </w:t>
      </w:r>
      <w:r w:rsidRPr="00714F46">
        <w:rPr>
          <w:rFonts w:eastAsia="Times New Roman" w:cs="Arial"/>
          <w:i/>
          <w:iCs/>
          <w:color w:val="000000"/>
          <w:szCs w:val="20"/>
          <w:lang w:val="en-US"/>
        </w:rPr>
        <w:t>in</w:t>
      </w:r>
      <w:r w:rsidRPr="00714F46">
        <w:rPr>
          <w:rFonts w:eastAsia="Times New Roman" w:cs="Arial"/>
          <w:i/>
          <w:iCs/>
          <w:color w:val="000000"/>
          <w:szCs w:val="20"/>
          <w:lang w:val="ru-RU"/>
        </w:rPr>
        <w:t xml:space="preserve"> </w:t>
      </w:r>
      <w:r w:rsidRPr="00714F46">
        <w:rPr>
          <w:rFonts w:eastAsia="Times New Roman" w:cs="Arial"/>
          <w:i/>
          <w:iCs/>
          <w:color w:val="000000"/>
          <w:szCs w:val="20"/>
          <w:lang w:val="en-US"/>
        </w:rPr>
        <w:t>vitro</w:t>
      </w:r>
      <w:r w:rsidRPr="00714F46">
        <w:rPr>
          <w:rFonts w:eastAsia="Times New Roman" w:cs="Arial"/>
          <w:color w:val="000000"/>
          <w:szCs w:val="20"/>
          <w:lang w:val="ru-RU"/>
        </w:rPr>
        <w:t xml:space="preserve"> </w:t>
      </w:r>
      <w:r w:rsidRPr="00714F46">
        <w:rPr>
          <w:rFonts w:eastAsia="Times New Roman" w:cs="Arial"/>
          <w:color w:val="000000"/>
          <w:szCs w:val="20"/>
          <w:lang w:eastAsia="bg-BG"/>
        </w:rPr>
        <w:t xml:space="preserve">и </w:t>
      </w:r>
      <w:r w:rsidRPr="00714F46">
        <w:rPr>
          <w:rFonts w:eastAsia="Times New Roman" w:cs="Arial"/>
          <w:i/>
          <w:iCs/>
          <w:color w:val="000000"/>
          <w:szCs w:val="20"/>
          <w:lang w:val="en-US"/>
        </w:rPr>
        <w:t>in</w:t>
      </w:r>
      <w:r w:rsidRPr="00714F46">
        <w:rPr>
          <w:rFonts w:eastAsia="Times New Roman" w:cs="Arial"/>
          <w:i/>
          <w:iCs/>
          <w:color w:val="000000"/>
          <w:szCs w:val="20"/>
          <w:lang w:val="ru-RU"/>
        </w:rPr>
        <w:t xml:space="preserve"> </w:t>
      </w:r>
      <w:r w:rsidRPr="00714F46">
        <w:rPr>
          <w:rFonts w:eastAsia="Times New Roman" w:cs="Arial"/>
          <w:i/>
          <w:iCs/>
          <w:color w:val="000000"/>
          <w:szCs w:val="20"/>
          <w:lang w:val="en-US"/>
        </w:rPr>
        <w:t>vivo</w:t>
      </w:r>
      <w:r w:rsidRPr="00714F46">
        <w:rPr>
          <w:rFonts w:eastAsia="Times New Roman" w:cs="Arial"/>
          <w:color w:val="000000"/>
          <w:szCs w:val="20"/>
          <w:lang w:val="ru-RU"/>
        </w:rPr>
        <w:t xml:space="preserve"> </w:t>
      </w:r>
      <w:r w:rsidRPr="00714F46">
        <w:rPr>
          <w:rFonts w:eastAsia="Times New Roman" w:cs="Arial"/>
          <w:color w:val="000000"/>
          <w:szCs w:val="20"/>
          <w:lang w:eastAsia="bg-BG"/>
        </w:rPr>
        <w:t>тестванията, нито туморогенен при гризачи.</w:t>
      </w:r>
    </w:p>
    <w:p w14:paraId="60C086FA" w14:textId="77777777" w:rsidR="00714F46" w:rsidRPr="00714F46" w:rsidRDefault="00714F46" w:rsidP="00714F46"/>
    <w:p w14:paraId="1BA6531D" w14:textId="404ECA57" w:rsidR="00B6672E" w:rsidRDefault="002C50EE" w:rsidP="00936AD0">
      <w:pPr>
        <w:pStyle w:val="Heading1"/>
      </w:pPr>
      <w:r>
        <w:t>7. ПРИТЕЖАТЕЛ НА РАЗРЕШЕНИЕТО ЗА УПОТРЕБА</w:t>
      </w:r>
    </w:p>
    <w:p w14:paraId="29B5326A" w14:textId="275BD8F0" w:rsidR="00714F46" w:rsidRDefault="00714F46" w:rsidP="00714F46"/>
    <w:p w14:paraId="099E2D28" w14:textId="39995466" w:rsidR="00714F46" w:rsidRPr="00714F46" w:rsidRDefault="00714F46" w:rsidP="00714F46">
      <w:pPr>
        <w:rPr>
          <w:rFonts w:cs="Arial"/>
        </w:rPr>
      </w:pPr>
      <w:r w:rsidRPr="00714F46">
        <w:rPr>
          <w:rFonts w:cs="Arial"/>
        </w:rPr>
        <w:t>N.V. Organon</w:t>
      </w:r>
    </w:p>
    <w:p w14:paraId="64710B26" w14:textId="77777777" w:rsidR="00714F46" w:rsidRPr="00714F46" w:rsidRDefault="00714F46" w:rsidP="00714F46">
      <w:pPr>
        <w:rPr>
          <w:rFonts w:eastAsia="Times New Roman" w:cs="Arial"/>
          <w:color w:val="000000"/>
          <w:lang w:val="ru-RU"/>
        </w:rPr>
      </w:pPr>
      <w:proofErr w:type="spellStart"/>
      <w:r w:rsidRPr="00714F46">
        <w:rPr>
          <w:rFonts w:eastAsia="Times New Roman" w:cs="Arial"/>
          <w:color w:val="000000"/>
          <w:lang w:val="en-US"/>
        </w:rPr>
        <w:t>Kloosterstraat</w:t>
      </w:r>
      <w:proofErr w:type="spellEnd"/>
      <w:r w:rsidRPr="00714F46">
        <w:rPr>
          <w:rFonts w:eastAsia="Times New Roman" w:cs="Arial"/>
          <w:color w:val="000000"/>
          <w:lang w:val="ru-RU"/>
        </w:rPr>
        <w:t xml:space="preserve"> 6 </w:t>
      </w:r>
    </w:p>
    <w:p w14:paraId="3DB17092" w14:textId="77777777" w:rsidR="00714F46" w:rsidRPr="00714F46" w:rsidRDefault="00714F46" w:rsidP="00714F46">
      <w:pPr>
        <w:rPr>
          <w:rFonts w:eastAsia="Times New Roman" w:cs="Arial"/>
          <w:color w:val="000000"/>
          <w:lang w:val="ru-RU"/>
        </w:rPr>
      </w:pPr>
      <w:r w:rsidRPr="00714F46">
        <w:rPr>
          <w:rFonts w:eastAsia="Times New Roman" w:cs="Arial"/>
          <w:color w:val="000000"/>
          <w:lang w:val="ru-RU"/>
        </w:rPr>
        <w:t xml:space="preserve">5349 </w:t>
      </w:r>
      <w:r w:rsidRPr="00714F46">
        <w:rPr>
          <w:rFonts w:eastAsia="Times New Roman" w:cs="Arial"/>
          <w:color w:val="000000"/>
          <w:lang w:val="en-US"/>
        </w:rPr>
        <w:t>AB</w:t>
      </w:r>
      <w:r w:rsidRPr="00714F46">
        <w:rPr>
          <w:rFonts w:eastAsia="Times New Roman" w:cs="Arial"/>
          <w:color w:val="000000"/>
          <w:lang w:val="ru-RU"/>
        </w:rPr>
        <w:t xml:space="preserve"> </w:t>
      </w:r>
      <w:r w:rsidRPr="00714F46">
        <w:rPr>
          <w:rFonts w:eastAsia="Times New Roman" w:cs="Arial"/>
          <w:color w:val="000000"/>
          <w:lang w:val="en-US"/>
        </w:rPr>
        <w:t>Oss</w:t>
      </w:r>
      <w:r w:rsidRPr="00714F46">
        <w:rPr>
          <w:rFonts w:eastAsia="Times New Roman" w:cs="Arial"/>
          <w:color w:val="000000"/>
          <w:lang w:val="ru-RU"/>
        </w:rPr>
        <w:t xml:space="preserve"> </w:t>
      </w:r>
    </w:p>
    <w:p w14:paraId="254FAFAC" w14:textId="5FC5AE02" w:rsidR="00714F46" w:rsidRPr="00714F46" w:rsidRDefault="00714F46" w:rsidP="00714F46">
      <w:pPr>
        <w:rPr>
          <w:rFonts w:eastAsia="Times New Roman" w:cs="Arial"/>
          <w:sz w:val="24"/>
          <w:szCs w:val="24"/>
          <w:lang w:val="ru-RU"/>
        </w:rPr>
      </w:pPr>
      <w:r w:rsidRPr="00714F46">
        <w:rPr>
          <w:rFonts w:eastAsia="Times New Roman" w:cs="Arial"/>
          <w:color w:val="000000"/>
          <w:lang w:eastAsia="bg-BG"/>
        </w:rPr>
        <w:t>Нидерландия</w:t>
      </w:r>
    </w:p>
    <w:p w14:paraId="4A47A551" w14:textId="77777777" w:rsidR="00714F46" w:rsidRPr="00714F46" w:rsidRDefault="00714F46" w:rsidP="00714F46">
      <w:pPr>
        <w:rPr>
          <w:lang w:val="ru-RU"/>
        </w:rPr>
      </w:pPr>
    </w:p>
    <w:p w14:paraId="508F3A54" w14:textId="78BEEB42" w:rsidR="00B6672E" w:rsidRDefault="00936AD0" w:rsidP="00936AD0">
      <w:pPr>
        <w:pStyle w:val="Heading1"/>
      </w:pPr>
      <w:r>
        <w:t>8.</w:t>
      </w:r>
      <w:r w:rsidR="002C50EE">
        <w:t>НОМЕР НА РАЗРЕШЕНИЕТО ЗА УПОТРЕБА</w:t>
      </w:r>
    </w:p>
    <w:p w14:paraId="4F544BA5" w14:textId="6FE6DEC4" w:rsidR="00714F46" w:rsidRDefault="00714F46" w:rsidP="00714F46"/>
    <w:p w14:paraId="06FCFFA4" w14:textId="4CBC4ED4" w:rsidR="00714F46" w:rsidRPr="00714F46" w:rsidRDefault="00714F46" w:rsidP="00714F46">
      <w:r>
        <w:t>Per. № 9800291</w:t>
      </w:r>
    </w:p>
    <w:p w14:paraId="3BC5EC53" w14:textId="6F28ECD6" w:rsidR="00875EEC" w:rsidRDefault="002C50EE" w:rsidP="005726E3">
      <w:pPr>
        <w:pStyle w:val="Heading1"/>
      </w:pPr>
      <w:r>
        <w:t>9. ДАТА НА ПЪРВО РАЗРЕШАВАНЕ/ПОДНОВЯВАНЕ НА РАЗРЕШЕНИЕТО ЗА УПОТРЕБА</w:t>
      </w:r>
    </w:p>
    <w:p w14:paraId="1012B512" w14:textId="38B93999" w:rsidR="00714F46" w:rsidRDefault="00714F46" w:rsidP="00714F46"/>
    <w:p w14:paraId="30BC7764" w14:textId="77777777" w:rsidR="00714F46" w:rsidRPr="00714F46" w:rsidRDefault="00714F46" w:rsidP="00714F46">
      <w:pPr>
        <w:rPr>
          <w:sz w:val="24"/>
          <w:szCs w:val="24"/>
        </w:rPr>
      </w:pPr>
      <w:r w:rsidRPr="00714F46">
        <w:rPr>
          <w:lang w:eastAsia="bg-BG"/>
        </w:rPr>
        <w:t>Дата на първо разрешаване: 18 септември 1998 г.</w:t>
      </w:r>
    </w:p>
    <w:p w14:paraId="34E3760E" w14:textId="493D0D32" w:rsidR="00714F46" w:rsidRPr="00714F46" w:rsidRDefault="00714F46" w:rsidP="00714F46">
      <w:r w:rsidRPr="00714F46">
        <w:rPr>
          <w:lang w:eastAsia="bg-BG"/>
        </w:rPr>
        <w:t>Дата на последно подновяване: 18 март 2010 г.</w:t>
      </w:r>
    </w:p>
    <w:p w14:paraId="43FB38A2" w14:textId="46301726" w:rsidR="007C605B" w:rsidRDefault="002C50EE" w:rsidP="005726E3">
      <w:pPr>
        <w:pStyle w:val="Heading1"/>
      </w:pPr>
      <w:r>
        <w:t>10. ДАТА НА АКТУАЛИЗИРАНЕ НА ТЕКСТА</w:t>
      </w:r>
      <w:bookmarkEnd w:id="0"/>
    </w:p>
    <w:p w14:paraId="3DF4DA6E" w14:textId="77777777" w:rsidR="00714F46" w:rsidRPr="00714F46" w:rsidRDefault="00714F46" w:rsidP="00714F46">
      <w:bookmarkStart w:id="2" w:name="_GoBack"/>
      <w:bookmarkEnd w:id="2"/>
    </w:p>
    <w:sectPr w:rsidR="00714F46" w:rsidRPr="00714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0D33F92"/>
    <w:multiLevelType w:val="hybridMultilevel"/>
    <w:tmpl w:val="FE0E1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5"/>
  </w:num>
  <w:num w:numId="4">
    <w:abstractNumId w:val="3"/>
  </w:num>
  <w:num w:numId="5">
    <w:abstractNumId w:val="1"/>
  </w:num>
  <w:num w:numId="6">
    <w:abstractNumId w:val="18"/>
  </w:num>
  <w:num w:numId="7">
    <w:abstractNumId w:val="13"/>
  </w:num>
  <w:num w:numId="8">
    <w:abstractNumId w:val="17"/>
  </w:num>
  <w:num w:numId="9">
    <w:abstractNumId w:val="2"/>
  </w:num>
  <w:num w:numId="10">
    <w:abstractNumId w:val="5"/>
  </w:num>
  <w:num w:numId="11">
    <w:abstractNumId w:val="32"/>
  </w:num>
  <w:num w:numId="12">
    <w:abstractNumId w:val="16"/>
  </w:num>
  <w:num w:numId="13">
    <w:abstractNumId w:val="21"/>
  </w:num>
  <w:num w:numId="14">
    <w:abstractNumId w:val="14"/>
  </w:num>
  <w:num w:numId="15">
    <w:abstractNumId w:val="31"/>
  </w:num>
  <w:num w:numId="16">
    <w:abstractNumId w:val="12"/>
  </w:num>
  <w:num w:numId="17">
    <w:abstractNumId w:val="26"/>
  </w:num>
  <w:num w:numId="18">
    <w:abstractNumId w:val="9"/>
  </w:num>
  <w:num w:numId="19">
    <w:abstractNumId w:val="28"/>
  </w:num>
  <w:num w:numId="20">
    <w:abstractNumId w:val="25"/>
  </w:num>
  <w:num w:numId="21">
    <w:abstractNumId w:val="19"/>
  </w:num>
  <w:num w:numId="22">
    <w:abstractNumId w:val="27"/>
  </w:num>
  <w:num w:numId="23">
    <w:abstractNumId w:val="20"/>
  </w:num>
  <w:num w:numId="24">
    <w:abstractNumId w:val="10"/>
  </w:num>
  <w:num w:numId="25">
    <w:abstractNumId w:val="24"/>
  </w:num>
  <w:num w:numId="26">
    <w:abstractNumId w:val="23"/>
  </w:num>
  <w:num w:numId="27">
    <w:abstractNumId w:val="33"/>
  </w:num>
  <w:num w:numId="28">
    <w:abstractNumId w:val="7"/>
  </w:num>
  <w:num w:numId="29">
    <w:abstractNumId w:val="22"/>
  </w:num>
  <w:num w:numId="30">
    <w:abstractNumId w:val="36"/>
  </w:num>
  <w:num w:numId="31">
    <w:abstractNumId w:val="6"/>
  </w:num>
  <w:num w:numId="32">
    <w:abstractNumId w:val="35"/>
  </w:num>
  <w:num w:numId="33">
    <w:abstractNumId w:val="30"/>
  </w:num>
  <w:num w:numId="34">
    <w:abstractNumId w:val="34"/>
  </w:num>
  <w:num w:numId="35">
    <w:abstractNumId w:val="8"/>
  </w:num>
  <w:num w:numId="36">
    <w:abstractNumId w:val="11"/>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C77EF"/>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14F46"/>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4213</Words>
  <Characters>24020</Characters>
  <Application>Microsoft Office Word</Application>
  <DocSecurity>0</DocSecurity>
  <Lines>200</Lines>
  <Paragraphs>56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3</cp:revision>
  <dcterms:created xsi:type="dcterms:W3CDTF">2022-11-24T20:38:00Z</dcterms:created>
  <dcterms:modified xsi:type="dcterms:W3CDTF">2022-11-24T20:38:00Z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