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A328C" w14:textId="77777777" w:rsidR="002C50EE" w:rsidRPr="00F37617" w:rsidRDefault="002C50EE" w:rsidP="002C50EE">
      <w:pPr>
        <w:pStyle w:val="Heading1"/>
        <w:jc w:val="center"/>
        <w:rPr>
          <w:rFonts w:cs="Arial"/>
          <w:lang w:val="bg-BG"/>
        </w:rPr>
      </w:pPr>
      <w:bookmarkStart w:id="0" w:name="_Hlk63124480"/>
      <w:r w:rsidRPr="00F37617">
        <w:rPr>
          <w:rFonts w:cs="Arial"/>
          <w:lang w:val="bg-BG"/>
        </w:rPr>
        <w:t>КРАТКА ХАРАКТЕРИСТИКА НА ПРОДУКТА</w:t>
      </w:r>
    </w:p>
    <w:p w14:paraId="6AF1D2F0" w14:textId="75880E1B" w:rsidR="002C50EE" w:rsidRPr="00F37617" w:rsidRDefault="002C50EE" w:rsidP="00B26507">
      <w:pPr>
        <w:pStyle w:val="Heading1"/>
        <w:numPr>
          <w:ilvl w:val="0"/>
          <w:numId w:val="11"/>
        </w:numPr>
        <w:rPr>
          <w:rFonts w:cs="Arial"/>
        </w:rPr>
      </w:pPr>
      <w:r w:rsidRPr="00F37617">
        <w:rPr>
          <w:rFonts w:cs="Arial"/>
        </w:rPr>
        <w:t>ИМЕ НА ЛЕКАРСТВЕНИЯ ПРОДУКТ</w:t>
      </w:r>
    </w:p>
    <w:p w14:paraId="092C8A17" w14:textId="77777777" w:rsidR="00B26507" w:rsidRPr="00F37617" w:rsidRDefault="00B26507" w:rsidP="00B26507">
      <w:pPr>
        <w:rPr>
          <w:rFonts w:cs="Arial"/>
          <w:sz w:val="24"/>
          <w:szCs w:val="24"/>
        </w:rPr>
      </w:pPr>
      <w:proofErr w:type="spellStart"/>
      <w:r w:rsidRPr="00F37617">
        <w:rPr>
          <w:rFonts w:cs="Arial"/>
          <w:lang w:val="bg-BG" w:eastAsia="bg-BG"/>
        </w:rPr>
        <w:t>Синтром</w:t>
      </w:r>
      <w:proofErr w:type="spellEnd"/>
      <w:r w:rsidRPr="00F37617">
        <w:rPr>
          <w:rFonts w:cs="Arial"/>
          <w:lang w:val="bg-BG" w:eastAsia="bg-BG"/>
        </w:rPr>
        <w:t xml:space="preserve"> 4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>таблетки</w:t>
      </w:r>
    </w:p>
    <w:p w14:paraId="0CA01D13" w14:textId="0CBA4151" w:rsidR="00B26507" w:rsidRPr="00F37617" w:rsidRDefault="00B26507" w:rsidP="00B26507">
      <w:pPr>
        <w:rPr>
          <w:rFonts w:cs="Arial"/>
        </w:rPr>
      </w:pP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4 </w:t>
      </w:r>
      <w:r w:rsidRPr="00F37617">
        <w:rPr>
          <w:rFonts w:cs="Arial"/>
        </w:rPr>
        <w:t>mg tablets</w:t>
      </w:r>
    </w:p>
    <w:p w14:paraId="5A36363A" w14:textId="4E8FADA0" w:rsidR="002C50EE" w:rsidRPr="00F37617" w:rsidRDefault="002C50EE" w:rsidP="00B26507">
      <w:pPr>
        <w:pStyle w:val="Heading1"/>
        <w:numPr>
          <w:ilvl w:val="0"/>
          <w:numId w:val="11"/>
        </w:numPr>
        <w:rPr>
          <w:rFonts w:cs="Arial"/>
        </w:rPr>
      </w:pPr>
      <w:r w:rsidRPr="00F37617">
        <w:rPr>
          <w:rFonts w:cs="Arial"/>
        </w:rPr>
        <w:t>КАЧЕСТВЕН И КОЛИЧЕСТВЕН СЪСТАВ</w:t>
      </w:r>
    </w:p>
    <w:p w14:paraId="73BDAC80" w14:textId="07F98E00" w:rsidR="00B26507" w:rsidRPr="00F37617" w:rsidRDefault="00B26507" w:rsidP="00B26507">
      <w:pPr>
        <w:rPr>
          <w:rFonts w:cs="Arial"/>
        </w:rPr>
      </w:pPr>
      <w:proofErr w:type="spellStart"/>
      <w:r w:rsidRPr="00F37617">
        <w:rPr>
          <w:rFonts w:cs="Arial"/>
        </w:rPr>
        <w:t>Аценокумарол</w:t>
      </w:r>
      <w:proofErr w:type="spellEnd"/>
      <w:r w:rsidRPr="00F37617">
        <w:rPr>
          <w:rFonts w:cs="Arial"/>
        </w:rPr>
        <w:t xml:space="preserve"> (</w:t>
      </w: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) 4 mg, </w:t>
      </w:r>
      <w:proofErr w:type="spellStart"/>
      <w:r w:rsidRPr="00F37617">
        <w:rPr>
          <w:rFonts w:cs="Arial"/>
        </w:rPr>
        <w:t>таблетка</w:t>
      </w:r>
      <w:proofErr w:type="spellEnd"/>
      <w:r w:rsidRPr="00F37617">
        <w:rPr>
          <w:rFonts w:cs="Arial"/>
        </w:rPr>
        <w:t>.</w:t>
      </w:r>
    </w:p>
    <w:p w14:paraId="0BC947E8" w14:textId="5FBAAEE1" w:rsidR="00B26507" w:rsidRPr="00F37617" w:rsidRDefault="00B26507" w:rsidP="00B26507">
      <w:pPr>
        <w:rPr>
          <w:rFonts w:cs="Arial"/>
        </w:rPr>
      </w:pPr>
      <w:proofErr w:type="spellStart"/>
      <w:r w:rsidRPr="00F37617">
        <w:rPr>
          <w:rFonts w:cs="Arial"/>
        </w:rPr>
        <w:t>Помощно</w:t>
      </w:r>
      <w:proofErr w:type="spellEnd"/>
      <w:r w:rsidRPr="00F37617">
        <w:rPr>
          <w:rFonts w:cs="Arial"/>
        </w:rPr>
        <w:t xml:space="preserve">(и) </w:t>
      </w:r>
      <w:proofErr w:type="spellStart"/>
      <w:r w:rsidRPr="00F37617">
        <w:rPr>
          <w:rFonts w:cs="Arial"/>
        </w:rPr>
        <w:t>вещество</w:t>
      </w:r>
      <w:proofErr w:type="spellEnd"/>
      <w:r w:rsidRPr="00F37617">
        <w:rPr>
          <w:rFonts w:cs="Arial"/>
        </w:rPr>
        <w:t xml:space="preserve">(а) с </w:t>
      </w:r>
      <w:proofErr w:type="spellStart"/>
      <w:r w:rsidRPr="00F37617">
        <w:rPr>
          <w:rFonts w:cs="Arial"/>
        </w:rPr>
        <w:t>известно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действие</w:t>
      </w:r>
      <w:proofErr w:type="spellEnd"/>
      <w:r w:rsidRPr="00F37617">
        <w:rPr>
          <w:rFonts w:cs="Arial"/>
        </w:rPr>
        <w:t xml:space="preserve">: </w:t>
      </w:r>
      <w:proofErr w:type="spellStart"/>
      <w:r w:rsidRPr="00F37617">
        <w:rPr>
          <w:rFonts w:cs="Arial"/>
        </w:rPr>
        <w:t>лактоза</w:t>
      </w:r>
      <w:proofErr w:type="spellEnd"/>
      <w:r w:rsidRPr="00F37617">
        <w:rPr>
          <w:rFonts w:cs="Arial"/>
        </w:rPr>
        <w:t xml:space="preserve"> (304,4 mg).</w:t>
      </w:r>
    </w:p>
    <w:p w14:paraId="6CCB29CE" w14:textId="322BD69C" w:rsidR="002C50EE" w:rsidRPr="00F37617" w:rsidRDefault="002C50EE" w:rsidP="00B26507">
      <w:pPr>
        <w:pStyle w:val="Heading1"/>
        <w:numPr>
          <w:ilvl w:val="0"/>
          <w:numId w:val="11"/>
        </w:numPr>
        <w:rPr>
          <w:rFonts w:cs="Arial"/>
        </w:rPr>
      </w:pPr>
      <w:r w:rsidRPr="00F37617">
        <w:rPr>
          <w:rFonts w:cs="Arial"/>
        </w:rPr>
        <w:t>ЛЕКАРСТВЕНА ФОРМА</w:t>
      </w:r>
    </w:p>
    <w:p w14:paraId="12C709AF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Таблетки за перорално приложение</w:t>
      </w:r>
    </w:p>
    <w:p w14:paraId="36A9FBC0" w14:textId="78CB3831" w:rsidR="00B26507" w:rsidRPr="00F37617" w:rsidRDefault="00B26507" w:rsidP="00B26507">
      <w:pPr>
        <w:rPr>
          <w:rFonts w:cs="Arial"/>
        </w:rPr>
      </w:pPr>
      <w:r w:rsidRPr="00F37617">
        <w:rPr>
          <w:rFonts w:cs="Arial"/>
          <w:lang w:val="bg-BG" w:eastAsia="bg-BG"/>
        </w:rPr>
        <w:t xml:space="preserve">Бели, кръгли със скосени ръбове. От едната страна е отпечатано </w:t>
      </w:r>
      <w:r w:rsidRPr="00F37617">
        <w:rPr>
          <w:rFonts w:cs="Arial"/>
        </w:rPr>
        <w:t xml:space="preserve">“CG”, </w:t>
      </w:r>
      <w:r w:rsidRPr="00F37617">
        <w:rPr>
          <w:rFonts w:cs="Arial"/>
          <w:lang w:val="bg-BG" w:eastAsia="bg-BG"/>
        </w:rPr>
        <w:t>а от другата е поставена делителна черта под формата на кръст и във всеки сектор е поставено А. Прекъсвачът прави по- лесно приемането на таблетката, но не я разделя на равни дози.</w:t>
      </w:r>
    </w:p>
    <w:p w14:paraId="490FC2C4" w14:textId="77777777" w:rsidR="002C50EE" w:rsidRPr="00F37617" w:rsidRDefault="002C50EE" w:rsidP="002C50EE">
      <w:pPr>
        <w:pStyle w:val="Heading1"/>
        <w:rPr>
          <w:rFonts w:cs="Arial"/>
        </w:rPr>
      </w:pPr>
      <w:r w:rsidRPr="00F37617">
        <w:rPr>
          <w:rFonts w:cs="Arial"/>
        </w:rPr>
        <w:t>4. КЛИНИЧНИ ДАННИ</w:t>
      </w:r>
    </w:p>
    <w:p w14:paraId="7CAFA7A6" w14:textId="3584BA54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4.1. </w:t>
      </w:r>
      <w:proofErr w:type="spellStart"/>
      <w:r w:rsidRPr="00F37617">
        <w:rPr>
          <w:rFonts w:cs="Arial"/>
        </w:rPr>
        <w:t>Терапевтични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показания</w:t>
      </w:r>
      <w:proofErr w:type="spellEnd"/>
    </w:p>
    <w:p w14:paraId="274763D7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Лечение и профилактика на </w:t>
      </w:r>
      <w:proofErr w:type="spellStart"/>
      <w:r w:rsidRPr="00F37617">
        <w:rPr>
          <w:rFonts w:cs="Arial"/>
          <w:lang w:val="bg-BG" w:eastAsia="bg-BG"/>
        </w:rPr>
        <w:t>тромбоемболични</w:t>
      </w:r>
      <w:proofErr w:type="spellEnd"/>
      <w:r w:rsidRPr="00F37617">
        <w:rPr>
          <w:rFonts w:cs="Arial"/>
          <w:lang w:val="bg-BG" w:eastAsia="bg-BG"/>
        </w:rPr>
        <w:t xml:space="preserve"> заболявания.</w:t>
      </w:r>
    </w:p>
    <w:p w14:paraId="3FED0B7F" w14:textId="77777777" w:rsidR="00B26507" w:rsidRPr="00F37617" w:rsidRDefault="00B26507" w:rsidP="00B26507">
      <w:pPr>
        <w:rPr>
          <w:rFonts w:cs="Arial"/>
        </w:rPr>
      </w:pPr>
    </w:p>
    <w:p w14:paraId="79BF9253" w14:textId="78CE0006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4.2. </w:t>
      </w:r>
      <w:proofErr w:type="spellStart"/>
      <w:r w:rsidRPr="00F37617">
        <w:rPr>
          <w:rFonts w:cs="Arial"/>
        </w:rPr>
        <w:t>Дозировка</w:t>
      </w:r>
      <w:proofErr w:type="spellEnd"/>
      <w:r w:rsidRPr="00F37617">
        <w:rPr>
          <w:rFonts w:cs="Arial"/>
        </w:rPr>
        <w:t xml:space="preserve"> и </w:t>
      </w:r>
      <w:proofErr w:type="spellStart"/>
      <w:r w:rsidRPr="00F37617">
        <w:rPr>
          <w:rFonts w:cs="Arial"/>
        </w:rPr>
        <w:t>начин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приложение</w:t>
      </w:r>
      <w:proofErr w:type="spellEnd"/>
    </w:p>
    <w:p w14:paraId="592669F3" w14:textId="77777777" w:rsidR="00B26507" w:rsidRPr="00F37617" w:rsidRDefault="00B26507" w:rsidP="00B26507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  <w:u w:val="single"/>
          <w:lang w:val="bg-BG" w:eastAsia="bg-BG"/>
        </w:rPr>
      </w:pPr>
    </w:p>
    <w:p w14:paraId="48323CFF" w14:textId="2CBFE7A5" w:rsidR="00B26507" w:rsidRPr="00F37617" w:rsidRDefault="00B26507" w:rsidP="00391B5C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Дозировка</w:t>
      </w:r>
    </w:p>
    <w:p w14:paraId="58505B6B" w14:textId="77777777" w:rsidR="00B26507" w:rsidRPr="00F37617" w:rsidRDefault="00B26507" w:rsidP="00B26507">
      <w:pPr>
        <w:rPr>
          <w:rFonts w:cs="Arial"/>
          <w:i/>
          <w:iCs/>
          <w:lang w:val="bg-BG" w:eastAsia="bg-BG"/>
        </w:rPr>
      </w:pPr>
    </w:p>
    <w:p w14:paraId="4A5ADC1A" w14:textId="7E532F73" w:rsidR="00B26507" w:rsidRPr="00F37617" w:rsidRDefault="00B26507" w:rsidP="00B26507">
      <w:pPr>
        <w:rPr>
          <w:rFonts w:cs="Arial"/>
          <w:b/>
          <w:bCs/>
          <w:sz w:val="24"/>
          <w:szCs w:val="24"/>
          <w:lang w:val="bg-BG"/>
        </w:rPr>
      </w:pPr>
      <w:r w:rsidRPr="00F37617">
        <w:rPr>
          <w:rFonts w:cs="Arial"/>
          <w:b/>
          <w:bCs/>
          <w:i/>
          <w:iCs/>
          <w:lang w:val="bg-BG" w:eastAsia="bg-BG"/>
        </w:rPr>
        <w:t>Общи препоръки</w:t>
      </w:r>
    </w:p>
    <w:p w14:paraId="1ABAA6A4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Чувствителността към антикоагуланти се различава при отделните пациенти и може да варира в хода на лечението. Затова е важно да се провеждат редовни тестове за </w:t>
      </w:r>
      <w:proofErr w:type="spellStart"/>
      <w:r w:rsidRPr="00F37617">
        <w:rPr>
          <w:rFonts w:cs="Arial"/>
          <w:lang w:val="bg-BG" w:eastAsia="bg-BG"/>
        </w:rPr>
        <w:t>протромбиново</w:t>
      </w:r>
      <w:proofErr w:type="spellEnd"/>
      <w:r w:rsidRPr="00F37617">
        <w:rPr>
          <w:rFonts w:cs="Arial"/>
          <w:lang w:val="bg-BG" w:eastAsia="bg-BG"/>
        </w:rPr>
        <w:t xml:space="preserve"> време (РТ)/ </w:t>
      </w:r>
      <w:r w:rsidRPr="00F37617">
        <w:rPr>
          <w:rFonts w:cs="Arial"/>
        </w:rPr>
        <w:t xml:space="preserve">international normalized ratio (INR) </w:t>
      </w:r>
      <w:r w:rsidRPr="00F37617">
        <w:rPr>
          <w:rFonts w:cs="Arial"/>
          <w:lang w:val="bg-BG" w:eastAsia="bg-BG"/>
        </w:rPr>
        <w:t xml:space="preserve">и да се съобразява дозата на пациентите. Ако това е невъзможно, не трябва да се използва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>.</w:t>
      </w:r>
    </w:p>
    <w:p w14:paraId="4D2268AB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0597A937" w14:textId="1DCFEF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Дневната дозировка трябва винаги да се приема еднократно.</w:t>
      </w:r>
    </w:p>
    <w:p w14:paraId="38A4FE63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264348F9" w14:textId="30188B4E" w:rsidR="00B26507" w:rsidRPr="00F37617" w:rsidRDefault="00B26507" w:rsidP="00B26507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За промяна на дозировката при различни клинични състояния вижте точки 4.4 Специални предупреждения и предпазни мерки при употреба и 4.5 Взаимодействие с други лекарствени продукти и други форми на взаимодействие.</w:t>
      </w:r>
    </w:p>
    <w:p w14:paraId="11E3ECFB" w14:textId="31BB7448" w:rsidR="00B26507" w:rsidRPr="00F37617" w:rsidRDefault="00B26507" w:rsidP="00B26507">
      <w:pPr>
        <w:rPr>
          <w:rFonts w:cs="Arial"/>
        </w:rPr>
      </w:pPr>
    </w:p>
    <w:p w14:paraId="5703972A" w14:textId="77777777" w:rsidR="00B26507" w:rsidRPr="00F37617" w:rsidRDefault="00B26507" w:rsidP="00B26507">
      <w:pPr>
        <w:rPr>
          <w:rFonts w:cs="Arial"/>
          <w:b/>
          <w:bCs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>Начална дозировка</w:t>
      </w:r>
    </w:p>
    <w:p w14:paraId="7F68C24C" w14:textId="68FAF153" w:rsidR="00B26507" w:rsidRPr="00F37617" w:rsidRDefault="00B26507" w:rsidP="00B26507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Дозирането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трябва да бъде индивидуално. Ако </w:t>
      </w:r>
      <w:r w:rsidRPr="00F37617">
        <w:rPr>
          <w:rFonts w:cs="Arial"/>
        </w:rPr>
        <w:t xml:space="preserve">PT/INR </w:t>
      </w:r>
      <w:r w:rsidRPr="00F37617">
        <w:rPr>
          <w:rFonts w:cs="Arial"/>
          <w:lang w:val="bg-BG" w:eastAsia="bg-BG"/>
        </w:rPr>
        <w:t xml:space="preserve">стойността преди започване на лечението е в нормални граници, обичайната начална доза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>е между</w:t>
      </w:r>
      <w:r w:rsidRPr="00F37617">
        <w:rPr>
          <w:rFonts w:cs="Arial"/>
        </w:rPr>
        <w:t xml:space="preserve"> 2mg </w:t>
      </w:r>
      <w:r w:rsidRPr="00F37617">
        <w:rPr>
          <w:rFonts w:cs="Arial"/>
          <w:lang w:val="bg-BG" w:eastAsia="bg-BG"/>
        </w:rPr>
        <w:t>и</w:t>
      </w:r>
      <w:r w:rsidRPr="00F37617">
        <w:rPr>
          <w:rFonts w:cs="Arial"/>
        </w:rPr>
        <w:t xml:space="preserve"> 4mg </w:t>
      </w:r>
      <w:r w:rsidRPr="00F37617">
        <w:rPr>
          <w:rFonts w:cs="Arial"/>
          <w:lang w:val="bg-BG" w:eastAsia="bg-BG"/>
        </w:rPr>
        <w:t xml:space="preserve">на ден без предварителна натоварваща доза. Лечението може да се проведе и с начална натоварваща доза, която за първия ден обикновено е 6 </w:t>
      </w:r>
      <w:r w:rsidRPr="00F37617">
        <w:rPr>
          <w:rFonts w:cs="Arial"/>
        </w:rPr>
        <w:t xml:space="preserve">mg, </w:t>
      </w:r>
      <w:r w:rsidRPr="00F37617">
        <w:rPr>
          <w:rFonts w:cs="Arial"/>
          <w:lang w:val="bg-BG" w:eastAsia="bg-BG"/>
        </w:rPr>
        <w:t xml:space="preserve">последвана от 4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>на втория ден.</w:t>
      </w:r>
    </w:p>
    <w:p w14:paraId="7E08F1E3" w14:textId="38349185" w:rsidR="00B26507" w:rsidRPr="00F37617" w:rsidRDefault="00B26507" w:rsidP="00B26507">
      <w:pPr>
        <w:rPr>
          <w:rFonts w:cs="Arial"/>
          <w:lang w:val="bg-BG" w:eastAsia="bg-BG"/>
        </w:rPr>
      </w:pPr>
    </w:p>
    <w:p w14:paraId="0101C49F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lastRenderedPageBreak/>
        <w:t>Ако в началото РТ</w:t>
      </w:r>
      <w:r w:rsidRPr="00F37617">
        <w:rPr>
          <w:rFonts w:cs="Arial"/>
        </w:rPr>
        <w:t xml:space="preserve">/INR </w:t>
      </w:r>
      <w:r w:rsidRPr="00F37617">
        <w:rPr>
          <w:rFonts w:cs="Arial"/>
          <w:lang w:val="bg-BG" w:eastAsia="bg-BG"/>
        </w:rPr>
        <w:t>стойността е извън границите на нормата, лечението трябва да се започне при повишено внимание.</w:t>
      </w:r>
    </w:p>
    <w:p w14:paraId="3E1869DA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3BE0A595" w14:textId="09132252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При пациенти в напреднала възраст (&gt; 65 години), пациенти с чернодробни проблеми, с тежка сърдечна недостатъчност и чернодробен застой или страдащи от недохранване може да са необходими по-ниски дози при започване и поддържане на лечението (вж. 4.4 Специални предупреждения и предпазни мерки при употреба).</w:t>
      </w:r>
    </w:p>
    <w:p w14:paraId="56C2F66F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343D2A36" w14:textId="49A1944C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Измерването на </w:t>
      </w:r>
      <w:r w:rsidRPr="00F37617">
        <w:rPr>
          <w:rFonts w:cs="Arial"/>
        </w:rPr>
        <w:t xml:space="preserve">PT/TNR </w:t>
      </w:r>
      <w:r w:rsidRPr="00F37617">
        <w:rPr>
          <w:rFonts w:cs="Arial"/>
          <w:lang w:val="bg-BG" w:eastAsia="bg-BG"/>
        </w:rPr>
        <w:t xml:space="preserve">трябва да се извършва ежедневно, като се започва от втората или третата доза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и продължава до времето, когато </w:t>
      </w:r>
      <w:proofErr w:type="spellStart"/>
      <w:r w:rsidRPr="00F37617">
        <w:rPr>
          <w:rFonts w:cs="Arial"/>
          <w:lang w:val="bg-BG" w:eastAsia="bg-BG"/>
        </w:rPr>
        <w:t>коагулационният</w:t>
      </w:r>
      <w:proofErr w:type="spellEnd"/>
      <w:r w:rsidRPr="00F37617">
        <w:rPr>
          <w:rFonts w:cs="Arial"/>
          <w:lang w:val="bg-BG" w:eastAsia="bg-BG"/>
        </w:rPr>
        <w:t xml:space="preserve"> статус се стабилизира в рамките на целевия обхват. В зависимост от стабилността на </w:t>
      </w:r>
      <w:r w:rsidRPr="00F37617">
        <w:rPr>
          <w:rFonts w:cs="Arial"/>
        </w:rPr>
        <w:t xml:space="preserve">PT/1NR </w:t>
      </w:r>
      <w:r w:rsidRPr="00F37617">
        <w:rPr>
          <w:rFonts w:cs="Arial"/>
          <w:lang w:val="bg-BG" w:eastAsia="bg-BG"/>
        </w:rPr>
        <w:t>резултатите с течение на времето интервалът между тестовете може да се увеличи. Препоръчително е кръвните проби за изследванията да се взимат по едно и също време на деня.</w:t>
      </w:r>
    </w:p>
    <w:p w14:paraId="6E60C93D" w14:textId="77777777" w:rsidR="00B26507" w:rsidRPr="00F37617" w:rsidRDefault="00B26507" w:rsidP="00B26507">
      <w:pPr>
        <w:rPr>
          <w:rFonts w:cs="Arial"/>
          <w:b/>
          <w:bCs/>
          <w:i/>
          <w:iCs/>
          <w:lang w:val="bg-BG" w:eastAsia="bg-BG"/>
        </w:rPr>
      </w:pPr>
    </w:p>
    <w:p w14:paraId="298919D5" w14:textId="1074DD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i/>
          <w:iCs/>
          <w:lang w:val="bg-BG" w:eastAsia="bg-BG"/>
        </w:rPr>
        <w:t xml:space="preserve">Поддържаща терапия и </w:t>
      </w:r>
      <w:proofErr w:type="spellStart"/>
      <w:r w:rsidRPr="00F37617">
        <w:rPr>
          <w:rFonts w:cs="Arial"/>
          <w:b/>
          <w:bCs/>
          <w:i/>
          <w:iCs/>
          <w:lang w:val="bg-BG" w:eastAsia="bg-BG"/>
        </w:rPr>
        <w:t>коагулационни</w:t>
      </w:r>
      <w:proofErr w:type="spellEnd"/>
      <w:r w:rsidRPr="00F37617">
        <w:rPr>
          <w:rFonts w:cs="Arial"/>
          <w:b/>
          <w:bCs/>
          <w:i/>
          <w:iCs/>
          <w:lang w:val="bg-BG" w:eastAsia="bg-BG"/>
        </w:rPr>
        <w:t xml:space="preserve"> тестове</w:t>
      </w:r>
    </w:p>
    <w:p w14:paraId="0BB0CD69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Поддържащата доза варира при отделните пациенти и трябва да се определя индивидуално на базата на </w:t>
      </w:r>
      <w:r w:rsidRPr="00F37617">
        <w:rPr>
          <w:rFonts w:cs="Arial"/>
        </w:rPr>
        <w:t xml:space="preserve">PT/INR </w:t>
      </w:r>
      <w:r w:rsidRPr="00F37617">
        <w:rPr>
          <w:rFonts w:cs="Arial"/>
          <w:lang w:val="bg-BG" w:eastAsia="bg-BG"/>
        </w:rPr>
        <w:t>стойностите и трябва да се извършва през равни интервали от време, най-малко веднъж месечно.</w:t>
      </w:r>
    </w:p>
    <w:p w14:paraId="4CA2176B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18C4DE22" w14:textId="12150D0B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Поддържащата дневна доза обикновено варира в границите от 1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 xml:space="preserve">до 8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 xml:space="preserve">и зависи от заболяването, клиничните показания и желаната интензивност на </w:t>
      </w:r>
      <w:proofErr w:type="spellStart"/>
      <w:r w:rsidRPr="00F37617">
        <w:rPr>
          <w:rFonts w:cs="Arial"/>
          <w:lang w:val="bg-BG" w:eastAsia="bg-BG"/>
        </w:rPr>
        <w:t>антикоагулантна</w:t>
      </w:r>
      <w:proofErr w:type="spellEnd"/>
      <w:r w:rsidRPr="00F37617">
        <w:rPr>
          <w:rFonts w:cs="Arial"/>
          <w:lang w:val="bg-BG" w:eastAsia="bg-BG"/>
        </w:rPr>
        <w:t xml:space="preserve"> активност.</w:t>
      </w:r>
    </w:p>
    <w:p w14:paraId="3C26AFA9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538A7F8A" w14:textId="01693519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В зависимост от клиничните показания оптималната интензивност на антикоагулацията, терапевтичната област обикновено се намира между 2,0 и 3,5 по </w:t>
      </w:r>
      <w:r w:rsidRPr="00F37617">
        <w:rPr>
          <w:rFonts w:cs="Arial"/>
        </w:rPr>
        <w:t xml:space="preserve">INR </w:t>
      </w:r>
      <w:r w:rsidRPr="00F37617">
        <w:rPr>
          <w:rFonts w:cs="Arial"/>
          <w:lang w:val="bg-BG" w:eastAsia="bg-BG"/>
        </w:rPr>
        <w:t xml:space="preserve">(виж Таблица 1). В отделни случаи дози над 4,5 </w:t>
      </w:r>
      <w:r w:rsidRPr="00F37617">
        <w:rPr>
          <w:rFonts w:cs="Arial"/>
        </w:rPr>
        <w:t xml:space="preserve">INR </w:t>
      </w:r>
      <w:r w:rsidRPr="00F37617">
        <w:rPr>
          <w:rFonts w:cs="Arial"/>
          <w:lang w:val="bg-BG" w:eastAsia="bg-BG"/>
        </w:rPr>
        <w:t>може да се приемат за нормални.</w:t>
      </w:r>
    </w:p>
    <w:p w14:paraId="7F2BA44C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53BF5F20" w14:textId="484AF710" w:rsidR="00B26507" w:rsidRPr="00F37617" w:rsidRDefault="00B26507" w:rsidP="00B26507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Таблица 1 Препоръчително </w:t>
      </w:r>
      <w:r w:rsidRPr="00F37617">
        <w:rPr>
          <w:rFonts w:cs="Arial"/>
        </w:rPr>
        <w:t xml:space="preserve">INR* </w:t>
      </w:r>
      <w:r w:rsidRPr="00F37617">
        <w:rPr>
          <w:rFonts w:cs="Arial"/>
          <w:lang w:val="bg-BG" w:eastAsia="bg-BG"/>
        </w:rPr>
        <w:t>при перорално антикоагулантно лечение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6507" w:rsidRPr="00F37617" w14:paraId="3B1F32EF" w14:textId="77777777" w:rsidTr="00B26507">
        <w:tc>
          <w:tcPr>
            <w:tcW w:w="4675" w:type="dxa"/>
          </w:tcPr>
          <w:p w14:paraId="5B8F5270" w14:textId="75115A90" w:rsidR="00B26507" w:rsidRPr="00F37617" w:rsidRDefault="00B26507" w:rsidP="00B26507">
            <w:pPr>
              <w:rPr>
                <w:rFonts w:cs="Arial"/>
                <w:b/>
                <w:bCs/>
              </w:rPr>
            </w:pPr>
            <w:proofErr w:type="spellStart"/>
            <w:r w:rsidRPr="00F37617">
              <w:rPr>
                <w:rFonts w:cs="Arial"/>
                <w:b/>
                <w:bCs/>
              </w:rPr>
              <w:t>Показания</w:t>
            </w:r>
            <w:proofErr w:type="spellEnd"/>
          </w:p>
        </w:tc>
        <w:tc>
          <w:tcPr>
            <w:tcW w:w="4675" w:type="dxa"/>
          </w:tcPr>
          <w:p w14:paraId="245A669C" w14:textId="722FAF65" w:rsidR="00B26507" w:rsidRPr="00F37617" w:rsidRDefault="00B26507" w:rsidP="00B26507">
            <w:pPr>
              <w:rPr>
                <w:rFonts w:cs="Arial"/>
                <w:b/>
                <w:bCs/>
              </w:rPr>
            </w:pPr>
            <w:proofErr w:type="spellStart"/>
            <w:r w:rsidRPr="00F37617">
              <w:rPr>
                <w:rFonts w:cs="Arial"/>
                <w:b/>
                <w:bCs/>
              </w:rPr>
              <w:t>Препоръчително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INR</w:t>
            </w:r>
          </w:p>
        </w:tc>
      </w:tr>
      <w:tr w:rsidR="00B26507" w:rsidRPr="00F37617" w14:paraId="208EC3C4" w14:textId="77777777" w:rsidTr="00B26507">
        <w:tc>
          <w:tcPr>
            <w:tcW w:w="4675" w:type="dxa"/>
          </w:tcPr>
          <w:p w14:paraId="36F1C082" w14:textId="35CC2B8B" w:rsidR="00B26507" w:rsidRPr="00F37617" w:rsidRDefault="00B26507" w:rsidP="00B26507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Профилактика</w:t>
            </w:r>
            <w:proofErr w:type="spellEnd"/>
            <w:r w:rsidRPr="00F37617">
              <w:rPr>
                <w:rFonts w:cs="Arial"/>
              </w:rPr>
              <w:t xml:space="preserve"> и </w:t>
            </w:r>
            <w:proofErr w:type="spellStart"/>
            <w:r w:rsidRPr="00F37617">
              <w:rPr>
                <w:rFonts w:cs="Arial"/>
              </w:rPr>
              <w:t>лечение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венозна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тромбоемболия</w:t>
            </w:r>
            <w:proofErr w:type="spellEnd"/>
            <w:r w:rsidRPr="00F37617">
              <w:rPr>
                <w:rFonts w:cs="Arial"/>
              </w:rPr>
              <w:t xml:space="preserve"> (</w:t>
            </w:r>
            <w:proofErr w:type="spellStart"/>
            <w:r w:rsidRPr="00F37617">
              <w:rPr>
                <w:rFonts w:cs="Arial"/>
              </w:rPr>
              <w:t>включително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пулмонална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емболия</w:t>
            </w:r>
            <w:proofErr w:type="spellEnd"/>
            <w:r w:rsidRPr="00F37617">
              <w:rPr>
                <w:rFonts w:cs="Arial"/>
              </w:rPr>
              <w:t>)</w:t>
            </w:r>
          </w:p>
        </w:tc>
        <w:tc>
          <w:tcPr>
            <w:tcW w:w="4675" w:type="dxa"/>
          </w:tcPr>
          <w:p w14:paraId="73731237" w14:textId="2A68B4B2" w:rsidR="00B26507" w:rsidRPr="00F37617" w:rsidRDefault="00B26507" w:rsidP="00B26507">
            <w:pPr>
              <w:rPr>
                <w:rFonts w:cs="Arial"/>
              </w:rPr>
            </w:pPr>
            <w:r w:rsidRPr="00F37617">
              <w:rPr>
                <w:rFonts w:cs="Arial"/>
              </w:rPr>
              <w:t>2,0- 3,0</w:t>
            </w:r>
          </w:p>
        </w:tc>
      </w:tr>
      <w:tr w:rsidR="00B26507" w:rsidRPr="00F37617" w14:paraId="7582608D" w14:textId="77777777" w:rsidTr="00B26507">
        <w:tc>
          <w:tcPr>
            <w:tcW w:w="4675" w:type="dxa"/>
          </w:tcPr>
          <w:p w14:paraId="1FF8EC61" w14:textId="74AF41CB" w:rsidR="00B26507" w:rsidRPr="00F37617" w:rsidRDefault="00B26507" w:rsidP="00B26507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Предсърдно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мъждене</w:t>
            </w:r>
            <w:proofErr w:type="spellEnd"/>
          </w:p>
        </w:tc>
        <w:tc>
          <w:tcPr>
            <w:tcW w:w="4675" w:type="dxa"/>
          </w:tcPr>
          <w:p w14:paraId="2B91053B" w14:textId="0DE8E603" w:rsidR="00B26507" w:rsidRPr="00F37617" w:rsidRDefault="00B26507" w:rsidP="00B26507">
            <w:pPr>
              <w:rPr>
                <w:rFonts w:cs="Arial"/>
              </w:rPr>
            </w:pPr>
            <w:r w:rsidRPr="00F37617">
              <w:rPr>
                <w:rFonts w:cs="Arial"/>
              </w:rPr>
              <w:t>2,0- 3,0</w:t>
            </w:r>
          </w:p>
        </w:tc>
      </w:tr>
      <w:tr w:rsidR="00B26507" w:rsidRPr="00F37617" w14:paraId="730D7BB8" w14:textId="77777777" w:rsidTr="00B26507">
        <w:tc>
          <w:tcPr>
            <w:tcW w:w="4675" w:type="dxa"/>
          </w:tcPr>
          <w:p w14:paraId="25BF034D" w14:textId="027C01D6" w:rsidR="00B26507" w:rsidRPr="00F37617" w:rsidRDefault="00B26507" w:rsidP="00B26507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Пост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миокарден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инфаркт</w:t>
            </w:r>
            <w:proofErr w:type="spellEnd"/>
            <w:r w:rsidRPr="00F37617">
              <w:rPr>
                <w:rFonts w:cs="Arial"/>
              </w:rPr>
              <w:t xml:space="preserve"> (с </w:t>
            </w:r>
            <w:proofErr w:type="spellStart"/>
            <w:r w:rsidRPr="00F37617">
              <w:rPr>
                <w:rFonts w:cs="Arial"/>
              </w:rPr>
              <w:t>нарастващ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риск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от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тромбоемболични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усложнения</w:t>
            </w:r>
            <w:proofErr w:type="spellEnd"/>
            <w:r w:rsidRPr="00F37617">
              <w:rPr>
                <w:rFonts w:cs="Arial"/>
              </w:rPr>
              <w:t>)</w:t>
            </w:r>
          </w:p>
        </w:tc>
        <w:tc>
          <w:tcPr>
            <w:tcW w:w="4675" w:type="dxa"/>
          </w:tcPr>
          <w:p w14:paraId="2BEE610A" w14:textId="3ACCB04C" w:rsidR="00B26507" w:rsidRPr="00F37617" w:rsidRDefault="00B26507" w:rsidP="00B26507">
            <w:pPr>
              <w:rPr>
                <w:rFonts w:cs="Arial"/>
              </w:rPr>
            </w:pPr>
            <w:r w:rsidRPr="00F37617">
              <w:rPr>
                <w:rFonts w:cs="Arial"/>
              </w:rPr>
              <w:t>2,0- 3,0</w:t>
            </w:r>
          </w:p>
        </w:tc>
      </w:tr>
      <w:tr w:rsidR="00B26507" w:rsidRPr="00F37617" w14:paraId="4B51BB72" w14:textId="77777777" w:rsidTr="00B26507">
        <w:tc>
          <w:tcPr>
            <w:tcW w:w="4675" w:type="dxa"/>
          </w:tcPr>
          <w:p w14:paraId="67503FCC" w14:textId="6A5F103C" w:rsidR="00B26507" w:rsidRPr="00F37617" w:rsidRDefault="00B26507" w:rsidP="00B26507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Сърдечна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клапна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биопротеза</w:t>
            </w:r>
            <w:proofErr w:type="spellEnd"/>
          </w:p>
        </w:tc>
        <w:tc>
          <w:tcPr>
            <w:tcW w:w="4675" w:type="dxa"/>
          </w:tcPr>
          <w:p w14:paraId="0CAC5BFD" w14:textId="599417B8" w:rsidR="00B26507" w:rsidRPr="00F37617" w:rsidRDefault="00B26507" w:rsidP="00B26507">
            <w:pPr>
              <w:rPr>
                <w:rFonts w:cs="Arial"/>
              </w:rPr>
            </w:pPr>
            <w:r w:rsidRPr="00F37617">
              <w:rPr>
                <w:rFonts w:cs="Arial"/>
              </w:rPr>
              <w:t>2,0- 3,0</w:t>
            </w:r>
          </w:p>
        </w:tc>
      </w:tr>
      <w:tr w:rsidR="00B26507" w:rsidRPr="00F37617" w14:paraId="6DF6EA4A" w14:textId="77777777" w:rsidTr="00B26507">
        <w:tc>
          <w:tcPr>
            <w:tcW w:w="4675" w:type="dxa"/>
          </w:tcPr>
          <w:p w14:paraId="1990E9A5" w14:textId="5BFEAF0E" w:rsidR="00B26507" w:rsidRPr="00F37617" w:rsidRDefault="00B26507" w:rsidP="00B26507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Вторична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профилактика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при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пациенти</w:t>
            </w:r>
            <w:proofErr w:type="spellEnd"/>
            <w:r w:rsidRPr="00F37617">
              <w:rPr>
                <w:rFonts w:cs="Arial"/>
              </w:rPr>
              <w:t xml:space="preserve"> с </w:t>
            </w:r>
            <w:proofErr w:type="spellStart"/>
            <w:r w:rsidRPr="00F37617">
              <w:rPr>
                <w:rFonts w:cs="Arial"/>
              </w:rPr>
              <w:t>антифосфолипиден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синдром</w:t>
            </w:r>
            <w:proofErr w:type="spellEnd"/>
          </w:p>
        </w:tc>
        <w:tc>
          <w:tcPr>
            <w:tcW w:w="4675" w:type="dxa"/>
          </w:tcPr>
          <w:p w14:paraId="676021A0" w14:textId="215ECBF5" w:rsidR="00B26507" w:rsidRPr="00F37617" w:rsidRDefault="00B26507" w:rsidP="00B26507">
            <w:pPr>
              <w:rPr>
                <w:rFonts w:cs="Arial"/>
              </w:rPr>
            </w:pPr>
            <w:r w:rsidRPr="00F37617">
              <w:rPr>
                <w:rFonts w:cs="Arial"/>
              </w:rPr>
              <w:t>2,0-3,0</w:t>
            </w:r>
          </w:p>
        </w:tc>
      </w:tr>
      <w:tr w:rsidR="00B26507" w:rsidRPr="00F37617" w14:paraId="79972CF5" w14:textId="77777777" w:rsidTr="00B26507">
        <w:tc>
          <w:tcPr>
            <w:tcW w:w="4675" w:type="dxa"/>
          </w:tcPr>
          <w:p w14:paraId="3486F9B1" w14:textId="548E9416" w:rsidR="00B26507" w:rsidRPr="00F37617" w:rsidRDefault="00B26507" w:rsidP="00B26507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Пациенти</w:t>
            </w:r>
            <w:proofErr w:type="spellEnd"/>
            <w:r w:rsidRPr="00F37617">
              <w:rPr>
                <w:rFonts w:cs="Arial"/>
              </w:rPr>
              <w:t xml:space="preserve"> с </w:t>
            </w:r>
            <w:proofErr w:type="spellStart"/>
            <w:r w:rsidRPr="00F37617">
              <w:rPr>
                <w:rFonts w:cs="Arial"/>
              </w:rPr>
              <w:t>антифосфолипиден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синдром</w:t>
            </w:r>
            <w:proofErr w:type="spellEnd"/>
            <w:r w:rsidRPr="00F37617">
              <w:rPr>
                <w:rFonts w:cs="Arial"/>
              </w:rPr>
              <w:t xml:space="preserve"> и </w:t>
            </w:r>
            <w:proofErr w:type="spellStart"/>
            <w:r w:rsidRPr="00F37617">
              <w:rPr>
                <w:rFonts w:cs="Arial"/>
              </w:rPr>
              <w:t>венозен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тромбоемболизъм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лекувани</w:t>
            </w:r>
            <w:proofErr w:type="spellEnd"/>
            <w:r w:rsidRPr="00F37617">
              <w:rPr>
                <w:rFonts w:cs="Arial"/>
              </w:rPr>
              <w:t xml:space="preserve"> с </w:t>
            </w:r>
            <w:proofErr w:type="spellStart"/>
            <w:r w:rsidRPr="00F37617">
              <w:rPr>
                <w:rFonts w:cs="Arial"/>
              </w:rPr>
              <w:t>антагонист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витамин</w:t>
            </w:r>
            <w:proofErr w:type="spellEnd"/>
            <w:r w:rsidRPr="00F37617">
              <w:rPr>
                <w:rFonts w:cs="Arial"/>
              </w:rPr>
              <w:t xml:space="preserve"> К</w:t>
            </w:r>
          </w:p>
        </w:tc>
        <w:tc>
          <w:tcPr>
            <w:tcW w:w="4675" w:type="dxa"/>
          </w:tcPr>
          <w:p w14:paraId="3925C8DA" w14:textId="4CC32EE0" w:rsidR="00B26507" w:rsidRPr="00F37617" w:rsidRDefault="00B26507" w:rsidP="00B26507">
            <w:pPr>
              <w:rPr>
                <w:rFonts w:cs="Arial"/>
              </w:rPr>
            </w:pPr>
            <w:r w:rsidRPr="00F37617">
              <w:rPr>
                <w:rFonts w:cs="Arial"/>
              </w:rPr>
              <w:t>2,0-3,5</w:t>
            </w:r>
          </w:p>
        </w:tc>
      </w:tr>
      <w:tr w:rsidR="00B26507" w:rsidRPr="00F37617" w14:paraId="5871B471" w14:textId="77777777" w:rsidTr="00B26507">
        <w:tc>
          <w:tcPr>
            <w:tcW w:w="4675" w:type="dxa"/>
          </w:tcPr>
          <w:p w14:paraId="37A4A412" w14:textId="7CD3EE53" w:rsidR="00B26507" w:rsidRPr="00F37617" w:rsidRDefault="00B26507" w:rsidP="00B26507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Механични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сърдечни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клапи</w:t>
            </w:r>
            <w:proofErr w:type="spellEnd"/>
          </w:p>
        </w:tc>
        <w:tc>
          <w:tcPr>
            <w:tcW w:w="4675" w:type="dxa"/>
          </w:tcPr>
          <w:p w14:paraId="42372420" w14:textId="76EA1C0A" w:rsidR="00B26507" w:rsidRPr="00F37617" w:rsidRDefault="00B26507" w:rsidP="00B26507">
            <w:pPr>
              <w:rPr>
                <w:rFonts w:cs="Arial"/>
              </w:rPr>
            </w:pPr>
            <w:r w:rsidRPr="00F37617">
              <w:rPr>
                <w:rFonts w:cs="Arial"/>
              </w:rPr>
              <w:t>2,0- 3,5</w:t>
            </w:r>
          </w:p>
        </w:tc>
      </w:tr>
    </w:tbl>
    <w:p w14:paraId="7EF4F999" w14:textId="5F1E8A93" w:rsidR="00B26507" w:rsidRPr="00F37617" w:rsidRDefault="00B26507" w:rsidP="00B26507">
      <w:pPr>
        <w:rPr>
          <w:rFonts w:cs="Arial"/>
        </w:rPr>
      </w:pPr>
      <w:r w:rsidRPr="00F37617">
        <w:rPr>
          <w:rFonts w:cs="Arial"/>
        </w:rPr>
        <w:t>*</w:t>
      </w:r>
      <w:r w:rsidRPr="00F37617">
        <w:rPr>
          <w:rFonts w:cs="Arial"/>
        </w:rPr>
        <w:tab/>
        <w:t xml:space="preserve">РТ </w:t>
      </w:r>
      <w:proofErr w:type="spellStart"/>
      <w:r w:rsidRPr="00F37617">
        <w:rPr>
          <w:rFonts w:cs="Arial"/>
        </w:rPr>
        <w:t>което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отразява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намаляването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витамин</w:t>
      </w:r>
      <w:proofErr w:type="spellEnd"/>
      <w:r w:rsidRPr="00F37617">
        <w:rPr>
          <w:rFonts w:cs="Arial"/>
        </w:rPr>
        <w:t xml:space="preserve"> К </w:t>
      </w:r>
      <w:proofErr w:type="spellStart"/>
      <w:r w:rsidRPr="00F37617">
        <w:rPr>
          <w:rFonts w:cs="Arial"/>
        </w:rPr>
        <w:t>зависимите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фактори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кръвосъсирването</w:t>
      </w:r>
      <w:proofErr w:type="spellEnd"/>
      <w:r w:rsidRPr="00F37617">
        <w:rPr>
          <w:rFonts w:cs="Arial"/>
        </w:rPr>
        <w:t xml:space="preserve"> VII, X и П, </w:t>
      </w:r>
      <w:proofErr w:type="spellStart"/>
      <w:r w:rsidRPr="00F37617">
        <w:rPr>
          <w:rFonts w:cs="Arial"/>
        </w:rPr>
        <w:t>зависи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от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чувствителността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тромбопластина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използван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изследване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PT. International Sensitivity Index (ISI) </w:t>
      </w:r>
      <w:proofErr w:type="spellStart"/>
      <w:r w:rsidRPr="00F37617">
        <w:rPr>
          <w:rFonts w:cs="Arial"/>
        </w:rPr>
        <w:t>отразява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чувствителността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съответния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местен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тромбопластин</w:t>
      </w:r>
      <w:proofErr w:type="spellEnd"/>
      <w:r w:rsidRPr="00F37617">
        <w:rPr>
          <w:rFonts w:cs="Arial"/>
        </w:rPr>
        <w:t xml:space="preserve"> в </w:t>
      </w:r>
      <w:proofErr w:type="spellStart"/>
      <w:r w:rsidRPr="00F37617">
        <w:rPr>
          <w:rFonts w:cs="Arial"/>
        </w:rPr>
        <w:t>сравнение</w:t>
      </w:r>
      <w:proofErr w:type="spellEnd"/>
      <w:r w:rsidRPr="00F37617">
        <w:rPr>
          <w:rFonts w:cs="Arial"/>
        </w:rPr>
        <w:t xml:space="preserve"> с </w:t>
      </w:r>
      <w:proofErr w:type="spellStart"/>
      <w:r w:rsidRPr="00F37617">
        <w:rPr>
          <w:rFonts w:cs="Arial"/>
        </w:rPr>
        <w:t>международните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референтни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препарати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lastRenderedPageBreak/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Световната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Здравна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Организация</w:t>
      </w:r>
      <w:proofErr w:type="spellEnd"/>
      <w:r w:rsidRPr="00F37617">
        <w:rPr>
          <w:rFonts w:cs="Arial"/>
        </w:rPr>
        <w:t xml:space="preserve">. "International </w:t>
      </w:r>
      <w:proofErr w:type="spellStart"/>
      <w:r w:rsidRPr="00F37617">
        <w:rPr>
          <w:rFonts w:cs="Arial"/>
        </w:rPr>
        <w:t>Normalised</w:t>
      </w:r>
      <w:proofErr w:type="spellEnd"/>
      <w:r w:rsidRPr="00F37617">
        <w:rPr>
          <w:rFonts w:cs="Arial"/>
        </w:rPr>
        <w:t xml:space="preserve"> Ratio" (INR) е </w:t>
      </w:r>
      <w:proofErr w:type="spellStart"/>
      <w:r w:rsidRPr="00F37617">
        <w:rPr>
          <w:rFonts w:cs="Arial"/>
        </w:rPr>
        <w:t>термин</w:t>
      </w:r>
      <w:proofErr w:type="spellEnd"/>
      <w:r w:rsidRPr="00F37617">
        <w:rPr>
          <w:rFonts w:cs="Arial"/>
        </w:rPr>
        <w:t xml:space="preserve">, </w:t>
      </w:r>
      <w:proofErr w:type="spellStart"/>
      <w:r w:rsidRPr="00F37617">
        <w:rPr>
          <w:rFonts w:cs="Arial"/>
        </w:rPr>
        <w:t>въведен</w:t>
      </w:r>
      <w:proofErr w:type="spellEnd"/>
      <w:r w:rsidRPr="00F37617">
        <w:rPr>
          <w:rFonts w:cs="Arial"/>
        </w:rPr>
        <w:t xml:space="preserve"> с </w:t>
      </w:r>
      <w:proofErr w:type="spellStart"/>
      <w:r w:rsidRPr="00F37617">
        <w:rPr>
          <w:rFonts w:cs="Arial"/>
        </w:rPr>
        <w:t>цел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стандартизация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PT.INR е </w:t>
      </w:r>
      <w:proofErr w:type="spellStart"/>
      <w:r w:rsidRPr="00F37617">
        <w:rPr>
          <w:rFonts w:cs="Arial"/>
        </w:rPr>
        <w:t>съотношение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антикоагулантното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плазмено</w:t>
      </w:r>
      <w:proofErr w:type="spellEnd"/>
      <w:r w:rsidRPr="00F37617">
        <w:rPr>
          <w:rFonts w:cs="Arial"/>
        </w:rPr>
        <w:t xml:space="preserve"> РТ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пациента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към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нормалното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плазмено</w:t>
      </w:r>
      <w:proofErr w:type="spellEnd"/>
      <w:r w:rsidRPr="00F37617">
        <w:rPr>
          <w:rFonts w:cs="Arial"/>
        </w:rPr>
        <w:t xml:space="preserve"> </w:t>
      </w:r>
      <w:proofErr w:type="gramStart"/>
      <w:r w:rsidRPr="00F37617">
        <w:rPr>
          <w:rFonts w:cs="Arial"/>
        </w:rPr>
        <w:t xml:space="preserve">PT,  </w:t>
      </w:r>
      <w:proofErr w:type="spellStart"/>
      <w:r w:rsidRPr="00F37617">
        <w:rPr>
          <w:rFonts w:cs="Arial"/>
        </w:rPr>
        <w:t>като</w:t>
      </w:r>
      <w:proofErr w:type="spellEnd"/>
      <w:proofErr w:type="gram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се</w:t>
      </w:r>
      <w:proofErr w:type="spellEnd"/>
      <w:r w:rsidRPr="00F37617">
        <w:rPr>
          <w:rFonts w:cs="Arial"/>
          <w:lang w:val="bg-BG"/>
        </w:rPr>
        <w:t xml:space="preserve"> </w:t>
      </w:r>
      <w:proofErr w:type="spellStart"/>
      <w:r w:rsidRPr="00F37617">
        <w:rPr>
          <w:rFonts w:cs="Arial"/>
        </w:rPr>
        <w:t>използва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същия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тромбопопластин</w:t>
      </w:r>
      <w:proofErr w:type="spellEnd"/>
      <w:r w:rsidRPr="00F37617">
        <w:rPr>
          <w:rFonts w:cs="Arial"/>
        </w:rPr>
        <w:t xml:space="preserve"> в </w:t>
      </w:r>
      <w:proofErr w:type="spellStart"/>
      <w:r w:rsidRPr="00F37617">
        <w:rPr>
          <w:rFonts w:cs="Arial"/>
        </w:rPr>
        <w:t>същата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система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за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изследване</w:t>
      </w:r>
      <w:proofErr w:type="spellEnd"/>
      <w:r w:rsidRPr="00F37617">
        <w:rPr>
          <w:rFonts w:cs="Arial"/>
        </w:rPr>
        <w:t xml:space="preserve">, </w:t>
      </w:r>
      <w:proofErr w:type="spellStart"/>
      <w:r w:rsidRPr="00F37617">
        <w:rPr>
          <w:rFonts w:cs="Arial"/>
        </w:rPr>
        <w:t>дефинирана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чрез</w:t>
      </w:r>
      <w:proofErr w:type="spellEnd"/>
      <w:r w:rsidRPr="00F37617">
        <w:rPr>
          <w:rFonts w:cs="Arial"/>
        </w:rPr>
        <w:t xml:space="preserve"> International Sensitivity Index.</w:t>
      </w:r>
    </w:p>
    <w:p w14:paraId="31B70C75" w14:textId="5665C34A" w:rsidR="00B26507" w:rsidRPr="00F37617" w:rsidRDefault="00B26507" w:rsidP="00B26507">
      <w:pPr>
        <w:rPr>
          <w:rFonts w:cs="Arial"/>
        </w:rPr>
      </w:pPr>
    </w:p>
    <w:p w14:paraId="4CCE3D3D" w14:textId="7777777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b/>
          <w:bCs/>
          <w:i/>
          <w:iCs/>
          <w:color w:val="000000"/>
          <w:lang w:val="bg-BG" w:eastAsia="bg-BG"/>
        </w:rPr>
        <w:t>Прекратяване на лечението</w:t>
      </w:r>
    </w:p>
    <w:p w14:paraId="1F102FEB" w14:textId="7777777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color w:val="000000"/>
          <w:lang w:val="bg-BG" w:eastAsia="bg-BG"/>
        </w:rPr>
        <w:t xml:space="preserve">Обикновено терапията със </w:t>
      </w: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 </w:t>
      </w:r>
      <w:r w:rsidRPr="00F37617">
        <w:rPr>
          <w:rFonts w:eastAsia="Times New Roman" w:cs="Arial"/>
          <w:color w:val="000000"/>
          <w:lang w:val="bg-BG" w:eastAsia="bg-BG"/>
        </w:rPr>
        <w:t xml:space="preserve">може да бъде прекратена без да е необходимо постепенно намаляване на дозата. Установено е обаче, че при изключително редки случаи и при някои високо рискови пациенти (напр. след миокарден инфаркт) може да се наблюдава </w:t>
      </w:r>
      <w:r w:rsidRPr="00F37617">
        <w:rPr>
          <w:rFonts w:eastAsia="Times New Roman" w:cs="Arial"/>
          <w:color w:val="000000"/>
        </w:rPr>
        <w:t xml:space="preserve">"rebound </w:t>
      </w:r>
      <w:r w:rsidRPr="00F37617">
        <w:rPr>
          <w:rFonts w:eastAsia="Times New Roman" w:cs="Arial"/>
          <w:color w:val="000000"/>
          <w:lang w:val="bg-BG" w:eastAsia="bg-BG"/>
        </w:rPr>
        <w:t xml:space="preserve">хиперкоагулация". При такива пациенти спирането на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антикоагулантната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терапия трябва да става постепенно.</w:t>
      </w:r>
    </w:p>
    <w:p w14:paraId="768A1BD9" w14:textId="77777777" w:rsidR="00B26507" w:rsidRPr="00F37617" w:rsidRDefault="00B26507" w:rsidP="00B26507">
      <w:pPr>
        <w:rPr>
          <w:rFonts w:eastAsia="Times New Roman" w:cs="Arial"/>
          <w:b/>
          <w:bCs/>
          <w:i/>
          <w:iCs/>
          <w:color w:val="000000"/>
          <w:lang w:val="bg-BG" w:eastAsia="bg-BG"/>
        </w:rPr>
      </w:pPr>
    </w:p>
    <w:p w14:paraId="4B0B0D48" w14:textId="6F219626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b/>
          <w:bCs/>
          <w:i/>
          <w:iCs/>
          <w:color w:val="000000"/>
          <w:lang w:val="bg-BG" w:eastAsia="bg-BG"/>
        </w:rPr>
        <w:t>Пропусната доза</w:t>
      </w:r>
    </w:p>
    <w:p w14:paraId="020964DE" w14:textId="7777777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proofErr w:type="spellStart"/>
      <w:r w:rsidRPr="00F37617">
        <w:rPr>
          <w:rFonts w:eastAsia="Times New Roman" w:cs="Arial"/>
          <w:color w:val="000000"/>
          <w:lang w:val="bg-BG" w:eastAsia="bg-BG"/>
        </w:rPr>
        <w:t>Антикоагулиращият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ефект на </w:t>
      </w: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 </w:t>
      </w:r>
      <w:r w:rsidRPr="00F37617">
        <w:rPr>
          <w:rFonts w:eastAsia="Times New Roman" w:cs="Arial"/>
          <w:color w:val="000000"/>
          <w:lang w:val="bg-BG" w:eastAsia="bg-BG"/>
        </w:rPr>
        <w:t>се проявява в рамките на 24 часа. Ако пациентът пропусне да приеме предписаната му доза на време трябва да направи това възможно най-бързо същия ден. Пациентът не трябва да удвоява дневната си доза при пропускане на прием, а трябва да се консултира с лекаря си.</w:t>
      </w:r>
    </w:p>
    <w:p w14:paraId="694C33AB" w14:textId="77777777" w:rsidR="00B26507" w:rsidRPr="00F37617" w:rsidRDefault="00B26507" w:rsidP="00B26507">
      <w:pPr>
        <w:rPr>
          <w:rFonts w:eastAsia="Times New Roman" w:cs="Arial"/>
          <w:b/>
          <w:bCs/>
          <w:color w:val="000000"/>
          <w:lang w:val="bg-BG" w:eastAsia="bg-BG"/>
        </w:rPr>
      </w:pPr>
      <w:bookmarkStart w:id="1" w:name="bookmark0"/>
    </w:p>
    <w:p w14:paraId="3D6F46BB" w14:textId="2B5B515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b/>
          <w:bCs/>
          <w:color w:val="000000"/>
          <w:lang w:val="bg-BG" w:eastAsia="bg-BG"/>
        </w:rPr>
        <w:t xml:space="preserve">Преминаване на </w:t>
      </w:r>
      <w:proofErr w:type="spellStart"/>
      <w:r w:rsidRPr="00F37617">
        <w:rPr>
          <w:rFonts w:eastAsia="Times New Roman" w:cs="Arial"/>
          <w:b/>
          <w:bCs/>
          <w:color w:val="000000"/>
        </w:rPr>
        <w:t>Sintrom</w:t>
      </w:r>
      <w:proofErr w:type="spellEnd"/>
      <w:r w:rsidRPr="00F37617">
        <w:rPr>
          <w:rFonts w:eastAsia="Times New Roman" w:cs="Arial"/>
          <w:b/>
          <w:bCs/>
          <w:color w:val="000000"/>
        </w:rPr>
        <w:t xml:space="preserve"> </w:t>
      </w:r>
      <w:r w:rsidRPr="00F37617">
        <w:rPr>
          <w:rFonts w:eastAsia="Times New Roman" w:cs="Arial"/>
          <w:b/>
          <w:bCs/>
          <w:color w:val="000000"/>
          <w:lang w:val="bg-BG" w:eastAsia="bg-BG"/>
        </w:rPr>
        <w:t xml:space="preserve">от </w:t>
      </w:r>
      <w:proofErr w:type="spellStart"/>
      <w:r w:rsidRPr="00F37617">
        <w:rPr>
          <w:rFonts w:eastAsia="Times New Roman" w:cs="Arial"/>
          <w:b/>
          <w:bCs/>
          <w:color w:val="000000"/>
          <w:lang w:val="bg-BG" w:eastAsia="bg-BG"/>
        </w:rPr>
        <w:t>хепариновата</w:t>
      </w:r>
      <w:proofErr w:type="spellEnd"/>
      <w:r w:rsidRPr="00F37617">
        <w:rPr>
          <w:rFonts w:eastAsia="Times New Roman" w:cs="Arial"/>
          <w:b/>
          <w:bCs/>
          <w:color w:val="000000"/>
          <w:lang w:val="bg-BG" w:eastAsia="bg-BG"/>
        </w:rPr>
        <w:t xml:space="preserve"> терапия</w:t>
      </w:r>
      <w:bookmarkEnd w:id="1"/>
    </w:p>
    <w:p w14:paraId="2F930A5E" w14:textId="77777777" w:rsidR="00B26507" w:rsidRPr="00F37617" w:rsidRDefault="00B26507" w:rsidP="00B26507">
      <w:pPr>
        <w:rPr>
          <w:rFonts w:eastAsia="Times New Roman" w:cs="Arial"/>
          <w:color w:val="000000"/>
          <w:lang w:val="bg-BG" w:eastAsia="bg-BG"/>
        </w:rPr>
      </w:pPr>
      <w:r w:rsidRPr="00F37617">
        <w:rPr>
          <w:rFonts w:eastAsia="Times New Roman" w:cs="Arial"/>
          <w:color w:val="000000"/>
          <w:lang w:val="bg-BG" w:eastAsia="bg-BG"/>
        </w:rPr>
        <w:t xml:space="preserve">При клинични случаи, които изискват бърза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антикоагулация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, се предпочита започване на терапията с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хепарин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, тъй като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антикоагулантният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ефект на </w:t>
      </w: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 </w:t>
      </w:r>
      <w:r w:rsidRPr="00F37617">
        <w:rPr>
          <w:rFonts w:eastAsia="Times New Roman" w:cs="Arial"/>
          <w:color w:val="000000"/>
          <w:lang w:val="bg-BG" w:eastAsia="bg-BG"/>
        </w:rPr>
        <w:t xml:space="preserve">е забавен. Преминаването на </w:t>
      </w: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 </w:t>
      </w:r>
      <w:r w:rsidRPr="00F37617">
        <w:rPr>
          <w:rFonts w:eastAsia="Times New Roman" w:cs="Arial"/>
          <w:color w:val="000000"/>
          <w:lang w:val="bg-BG" w:eastAsia="bg-BG"/>
        </w:rPr>
        <w:t xml:space="preserve">може да започне при едновременен прием на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хепарин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или да се отложи в зависимост от клиничния случай. За да се гарантира настъпването на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антикоагулация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е препоръчително да се продължи предписването на пълната терапевтична доза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хепарин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за период от поне 4 дни след започване на приема на </w:t>
      </w: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 </w:t>
      </w:r>
      <w:r w:rsidRPr="00F37617">
        <w:rPr>
          <w:rFonts w:eastAsia="Times New Roman" w:cs="Arial"/>
          <w:color w:val="000000"/>
          <w:lang w:val="bg-BG" w:eastAsia="bg-BG"/>
        </w:rPr>
        <w:t xml:space="preserve">и терапията с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хепарин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да продължи докато </w:t>
      </w:r>
      <w:r w:rsidRPr="00F37617">
        <w:rPr>
          <w:rFonts w:eastAsia="Times New Roman" w:cs="Arial"/>
          <w:color w:val="000000"/>
        </w:rPr>
        <w:t xml:space="preserve">INR </w:t>
      </w:r>
      <w:r w:rsidRPr="00F37617">
        <w:rPr>
          <w:rFonts w:eastAsia="Times New Roman" w:cs="Arial"/>
          <w:color w:val="000000"/>
          <w:lang w:val="bg-BG" w:eastAsia="bg-BG"/>
        </w:rPr>
        <w:t xml:space="preserve">е в целевия обхват за най-малко два последователни дни. По време на преходния </w:t>
      </w:r>
    </w:p>
    <w:p w14:paraId="70F9429C" w14:textId="2B6728C0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color w:val="000000"/>
          <w:lang w:val="bg-BG" w:eastAsia="bg-BG"/>
        </w:rPr>
        <w:t>период е необходимо строго мониториране на антикоагулацията.</w:t>
      </w:r>
    </w:p>
    <w:p w14:paraId="51FCCC13" w14:textId="77777777" w:rsidR="00B26507" w:rsidRPr="00F37617" w:rsidRDefault="00B26507" w:rsidP="00B26507">
      <w:pPr>
        <w:rPr>
          <w:rFonts w:eastAsia="Times New Roman" w:cs="Arial"/>
          <w:b/>
          <w:bCs/>
          <w:color w:val="000000"/>
          <w:lang w:val="bg-BG" w:eastAsia="bg-BG"/>
        </w:rPr>
      </w:pPr>
      <w:bookmarkStart w:id="2" w:name="bookmark2"/>
    </w:p>
    <w:p w14:paraId="257D40E0" w14:textId="37018FF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b/>
          <w:bCs/>
          <w:color w:val="000000"/>
          <w:lang w:val="bg-BG" w:eastAsia="bg-BG"/>
        </w:rPr>
        <w:t>Лечение по време на стоматологични и хирургични интервенции</w:t>
      </w:r>
      <w:bookmarkEnd w:id="2"/>
    </w:p>
    <w:p w14:paraId="512EA1EC" w14:textId="7777777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color w:val="000000"/>
          <w:lang w:val="bg-BG" w:eastAsia="bg-BG"/>
        </w:rPr>
        <w:t xml:space="preserve">При пациентите на </w:t>
      </w: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, </w:t>
      </w:r>
      <w:r w:rsidRPr="00F37617">
        <w:rPr>
          <w:rFonts w:eastAsia="Times New Roman" w:cs="Arial"/>
          <w:color w:val="000000"/>
          <w:lang w:val="bg-BG" w:eastAsia="bg-BG"/>
        </w:rPr>
        <w:t xml:space="preserve">на които предстоят оперативни или инвазивни процедури е необходимо стриктното наблюдение на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коагулационния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статус. При определени условия, напр. когато операционното място е ограничено и достъпно, и позволява употребата на локални процедури за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хемостаза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, стоматологични и малки хирургични процедури може да се провеждат при продължителна антикоагулация без риск от хеморагия. Решението да се спре приема на </w:t>
      </w: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, </w:t>
      </w:r>
      <w:r w:rsidRPr="00F37617">
        <w:rPr>
          <w:rFonts w:eastAsia="Times New Roman" w:cs="Arial"/>
          <w:color w:val="000000"/>
          <w:lang w:val="bg-BG" w:eastAsia="bg-BG"/>
        </w:rPr>
        <w:t xml:space="preserve">дори за кратък период от време, трябва внимателно да отчита индивидуалните рискове и ползи. Започването на комбинирано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антикоагулантно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лечение с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хепарин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например, трябва да се основава на внимателна оценка на очаквания риск от тромбоемболия и кървене.</w:t>
      </w:r>
    </w:p>
    <w:p w14:paraId="79BD4810" w14:textId="77777777" w:rsidR="00B26507" w:rsidRPr="00F37617" w:rsidRDefault="00B26507" w:rsidP="00B26507">
      <w:pPr>
        <w:rPr>
          <w:rFonts w:eastAsia="Times New Roman" w:cs="Arial"/>
          <w:b/>
          <w:bCs/>
          <w:color w:val="000000"/>
          <w:lang w:val="bg-BG" w:eastAsia="bg-BG"/>
        </w:rPr>
      </w:pPr>
    </w:p>
    <w:p w14:paraId="0506BEB1" w14:textId="6A2DCA78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r w:rsidRPr="00F37617">
        <w:rPr>
          <w:rFonts w:eastAsia="Times New Roman" w:cs="Arial"/>
          <w:b/>
          <w:bCs/>
          <w:color w:val="000000"/>
          <w:lang w:val="bg-BG" w:eastAsia="bg-BG"/>
        </w:rPr>
        <w:t>Специални групи пациенти</w:t>
      </w:r>
    </w:p>
    <w:p w14:paraId="4532D9C1" w14:textId="77777777" w:rsidR="00B26507" w:rsidRPr="00F37617" w:rsidRDefault="00B26507" w:rsidP="00B26507">
      <w:pPr>
        <w:rPr>
          <w:rFonts w:eastAsia="Times New Roman" w:cs="Arial"/>
          <w:b/>
          <w:bCs/>
          <w:i/>
          <w:iCs/>
          <w:color w:val="000000"/>
          <w:lang w:val="bg-BG" w:eastAsia="bg-BG"/>
        </w:rPr>
      </w:pPr>
    </w:p>
    <w:p w14:paraId="6ECE4B9D" w14:textId="6D829249" w:rsidR="00B26507" w:rsidRPr="00F37617" w:rsidRDefault="00B26507" w:rsidP="00B26507">
      <w:pPr>
        <w:pStyle w:val="Heading3"/>
        <w:rPr>
          <w:rFonts w:eastAsia="Times New Roman" w:cs="Arial"/>
          <w:b/>
          <w:bCs/>
          <w:lang w:val="bg-BG"/>
        </w:rPr>
      </w:pPr>
      <w:r w:rsidRPr="00F37617">
        <w:rPr>
          <w:rFonts w:eastAsia="Times New Roman" w:cs="Arial"/>
          <w:b/>
          <w:bCs/>
          <w:lang w:val="bg-BG" w:eastAsia="bg-BG"/>
        </w:rPr>
        <w:t>Бъбречно увреждане</w:t>
      </w:r>
    </w:p>
    <w:p w14:paraId="7B37B287" w14:textId="7777777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 </w:t>
      </w:r>
      <w:r w:rsidRPr="00F37617">
        <w:rPr>
          <w:rFonts w:eastAsia="Times New Roman" w:cs="Arial"/>
          <w:color w:val="000000"/>
          <w:lang w:val="bg-BG" w:eastAsia="bg-BG"/>
        </w:rPr>
        <w:t xml:space="preserve">не се препоръчва при пациенти с тежко бъбречно увреждане, поради повишен риск от кръвоизлив. Необходимо е повишено внимание при пациенти с леко до умерено бъбречно увреждане (вж. също т. 4.3 Противопоказания, т. 4.4 Специални предупреждения и предпазни мерки при употреба и т. 5.2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Фармакокинетични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свойства).</w:t>
      </w:r>
    </w:p>
    <w:p w14:paraId="71F9DD1B" w14:textId="77777777" w:rsidR="00B26507" w:rsidRPr="00F37617" w:rsidRDefault="00B26507" w:rsidP="00B26507">
      <w:pPr>
        <w:rPr>
          <w:rFonts w:eastAsia="Times New Roman" w:cs="Arial"/>
          <w:b/>
          <w:bCs/>
          <w:i/>
          <w:iCs/>
          <w:color w:val="000000"/>
          <w:lang w:val="bg-BG" w:eastAsia="bg-BG"/>
        </w:rPr>
      </w:pPr>
    </w:p>
    <w:p w14:paraId="22C8E5D9" w14:textId="4AD895DB" w:rsidR="00B26507" w:rsidRPr="00F37617" w:rsidRDefault="00B26507" w:rsidP="00B26507">
      <w:pPr>
        <w:pStyle w:val="Heading3"/>
        <w:rPr>
          <w:rFonts w:eastAsia="Times New Roman" w:cs="Arial"/>
          <w:b/>
          <w:bCs/>
          <w:lang w:val="bg-BG"/>
        </w:rPr>
      </w:pPr>
      <w:r w:rsidRPr="00F37617">
        <w:rPr>
          <w:rFonts w:eastAsia="Times New Roman" w:cs="Arial"/>
          <w:b/>
          <w:bCs/>
          <w:lang w:val="bg-BG" w:eastAsia="bg-BG"/>
        </w:rPr>
        <w:t>Чернодробно увреждане</w:t>
      </w:r>
    </w:p>
    <w:p w14:paraId="1026729A" w14:textId="7777777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  <w:proofErr w:type="spellStart"/>
      <w:r w:rsidRPr="00F37617">
        <w:rPr>
          <w:rFonts w:eastAsia="Times New Roman" w:cs="Arial"/>
          <w:color w:val="000000"/>
        </w:rPr>
        <w:t>Sintrom</w:t>
      </w:r>
      <w:proofErr w:type="spellEnd"/>
      <w:r w:rsidRPr="00F37617">
        <w:rPr>
          <w:rFonts w:eastAsia="Times New Roman" w:cs="Arial"/>
          <w:color w:val="000000"/>
        </w:rPr>
        <w:t xml:space="preserve"> </w:t>
      </w:r>
      <w:r w:rsidRPr="00F37617">
        <w:rPr>
          <w:rFonts w:eastAsia="Times New Roman" w:cs="Arial"/>
          <w:color w:val="000000"/>
          <w:lang w:val="bg-BG" w:eastAsia="bg-BG"/>
        </w:rPr>
        <w:t xml:space="preserve">не се препоръчва при пациенти с тежко чернодробно увреждане, поради повишен риск от кръвоизлив. Необходимо е повишено внимание при пациенти с леко до умерено чернодробно увреждане (вж. също т. 4.3 Противопоказания, т. 4.4 Специални предупреждения и предпазни мерки при употреба и т. 5.2 </w:t>
      </w:r>
      <w:proofErr w:type="spellStart"/>
      <w:r w:rsidRPr="00F37617">
        <w:rPr>
          <w:rFonts w:eastAsia="Times New Roman" w:cs="Arial"/>
          <w:color w:val="000000"/>
          <w:lang w:val="bg-BG" w:eastAsia="bg-BG"/>
        </w:rPr>
        <w:t>Фармакокинетични</w:t>
      </w:r>
      <w:proofErr w:type="spellEnd"/>
      <w:r w:rsidRPr="00F37617">
        <w:rPr>
          <w:rFonts w:eastAsia="Times New Roman" w:cs="Arial"/>
          <w:color w:val="000000"/>
          <w:lang w:val="bg-BG" w:eastAsia="bg-BG"/>
        </w:rPr>
        <w:t xml:space="preserve"> свойства).</w:t>
      </w:r>
    </w:p>
    <w:p w14:paraId="4C4D94A7" w14:textId="77777777" w:rsidR="00B26507" w:rsidRPr="00F37617" w:rsidRDefault="00B26507" w:rsidP="00B26507">
      <w:pPr>
        <w:rPr>
          <w:rFonts w:eastAsia="Times New Roman" w:cs="Arial"/>
          <w:b/>
          <w:bCs/>
          <w:i/>
          <w:iCs/>
          <w:color w:val="000000"/>
          <w:lang w:val="bg-BG" w:eastAsia="bg-BG"/>
        </w:rPr>
      </w:pPr>
    </w:p>
    <w:p w14:paraId="2E073D56" w14:textId="200D3C28" w:rsidR="00B26507" w:rsidRPr="00F37617" w:rsidRDefault="00B26507" w:rsidP="00B26507">
      <w:pPr>
        <w:pStyle w:val="Heading3"/>
        <w:rPr>
          <w:rFonts w:eastAsia="Times New Roman" w:cs="Arial"/>
          <w:b/>
          <w:bCs/>
          <w:lang w:val="bg-BG" w:eastAsia="bg-BG"/>
        </w:rPr>
      </w:pPr>
      <w:r w:rsidRPr="00F37617">
        <w:rPr>
          <w:rFonts w:eastAsia="Times New Roman" w:cs="Arial"/>
          <w:b/>
          <w:bCs/>
          <w:lang w:val="bg-BG" w:eastAsia="bg-BG"/>
        </w:rPr>
        <w:t>Педиатрична популация</w:t>
      </w:r>
    </w:p>
    <w:p w14:paraId="672533E3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sz w:val="20"/>
          <w:szCs w:val="20"/>
          <w:lang w:val="bg-BG" w:eastAsia="bg-BG"/>
        </w:rPr>
        <w:t xml:space="preserve">Опитът с перорални антикоагуланти, включително </w:t>
      </w:r>
      <w:proofErr w:type="spellStart"/>
      <w:r w:rsidRPr="00F37617">
        <w:rPr>
          <w:rFonts w:cs="Arial"/>
          <w:sz w:val="20"/>
          <w:szCs w:val="20"/>
          <w:lang w:val="bg-BG" w:eastAsia="bg-BG"/>
        </w:rPr>
        <w:t>аценокумарол</w:t>
      </w:r>
      <w:proofErr w:type="spellEnd"/>
      <w:r w:rsidRPr="00F37617">
        <w:rPr>
          <w:rFonts w:cs="Arial"/>
          <w:sz w:val="20"/>
          <w:szCs w:val="20"/>
          <w:lang w:val="bg-BG" w:eastAsia="bg-BG"/>
        </w:rPr>
        <w:t xml:space="preserve">, при деца остава ограничен. Препоръчва се внимателно приложение и по-често </w:t>
      </w:r>
      <w:proofErr w:type="spellStart"/>
      <w:r w:rsidRPr="00F37617">
        <w:rPr>
          <w:rFonts w:cs="Arial"/>
          <w:sz w:val="20"/>
          <w:szCs w:val="20"/>
          <w:lang w:val="bg-BG" w:eastAsia="bg-BG"/>
        </w:rPr>
        <w:t>мониториране</w:t>
      </w:r>
      <w:proofErr w:type="spellEnd"/>
      <w:r w:rsidRPr="00F37617">
        <w:rPr>
          <w:rFonts w:cs="Arial"/>
          <w:sz w:val="20"/>
          <w:szCs w:val="20"/>
          <w:lang w:val="bg-BG" w:eastAsia="bg-BG"/>
        </w:rPr>
        <w:t xml:space="preserve"> на </w:t>
      </w:r>
      <w:proofErr w:type="spellStart"/>
      <w:r w:rsidRPr="00F37617">
        <w:rPr>
          <w:rFonts w:cs="Arial"/>
          <w:sz w:val="20"/>
          <w:szCs w:val="20"/>
          <w:lang w:val="bg-BG" w:eastAsia="bg-BG"/>
        </w:rPr>
        <w:t>протромбиновото</w:t>
      </w:r>
      <w:proofErr w:type="spellEnd"/>
      <w:r w:rsidRPr="00F37617">
        <w:rPr>
          <w:rFonts w:cs="Arial"/>
          <w:sz w:val="20"/>
          <w:szCs w:val="20"/>
          <w:lang w:val="bg-BG" w:eastAsia="bg-BG"/>
        </w:rPr>
        <w:t xml:space="preserve"> време и </w:t>
      </w:r>
      <w:r w:rsidRPr="00F37617">
        <w:rPr>
          <w:rFonts w:cs="Arial"/>
          <w:sz w:val="20"/>
          <w:szCs w:val="20"/>
        </w:rPr>
        <w:t xml:space="preserve">INR </w:t>
      </w:r>
      <w:r w:rsidRPr="00F37617">
        <w:rPr>
          <w:rFonts w:cs="Arial"/>
          <w:sz w:val="20"/>
          <w:szCs w:val="20"/>
          <w:lang w:val="bg-BG" w:eastAsia="bg-BG"/>
        </w:rPr>
        <w:t>(вж. също т. 4.4 Специални предупреждения и предпазни мерки при употреба).</w:t>
      </w:r>
    </w:p>
    <w:p w14:paraId="24FE6E48" w14:textId="77777777" w:rsidR="00B26507" w:rsidRPr="00F37617" w:rsidRDefault="00B26507" w:rsidP="00B26507">
      <w:pPr>
        <w:rPr>
          <w:rFonts w:cs="Arial"/>
          <w:sz w:val="20"/>
          <w:szCs w:val="20"/>
          <w:lang w:val="bg-BG" w:eastAsia="bg-BG"/>
        </w:rPr>
      </w:pPr>
    </w:p>
    <w:p w14:paraId="19446887" w14:textId="2BD8533F" w:rsidR="00B26507" w:rsidRPr="00F37617" w:rsidRDefault="00B26507" w:rsidP="00B26507">
      <w:pPr>
        <w:pStyle w:val="Heading3"/>
        <w:rPr>
          <w:rFonts w:eastAsia="Times New Roman" w:cs="Arial"/>
          <w:b/>
          <w:bCs/>
          <w:lang w:val="bg-BG"/>
        </w:rPr>
      </w:pPr>
      <w:r w:rsidRPr="00F37617">
        <w:rPr>
          <w:rFonts w:eastAsia="Times New Roman" w:cs="Arial"/>
          <w:b/>
          <w:bCs/>
          <w:lang w:val="bg-BG" w:eastAsia="bg-BG"/>
        </w:rPr>
        <w:t>Пациенти в напреднала възраст (</w:t>
      </w:r>
      <w:r w:rsidRPr="00F37617">
        <w:rPr>
          <w:rFonts w:eastAsia="Times New Roman" w:cs="Arial"/>
          <w:b/>
          <w:bCs/>
        </w:rPr>
        <w:t>≥</w:t>
      </w:r>
      <w:r w:rsidRPr="00F37617">
        <w:rPr>
          <w:rFonts w:eastAsia="Times New Roman" w:cs="Arial"/>
          <w:b/>
          <w:bCs/>
          <w:lang w:val="bg-BG" w:eastAsia="bg-BG"/>
        </w:rPr>
        <w:t xml:space="preserve"> 65 години)</w:t>
      </w:r>
    </w:p>
    <w:p w14:paraId="706ACD72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sz w:val="20"/>
          <w:szCs w:val="20"/>
          <w:lang w:val="bg-BG" w:eastAsia="bg-BG"/>
        </w:rPr>
        <w:t xml:space="preserve">При пациентите в напреднала възраст понякога се налага прилагането на по-ниска начална и поддържаща доза. Препоръчва се повишено внимание и по-често проследяване на </w:t>
      </w:r>
      <w:proofErr w:type="spellStart"/>
      <w:r w:rsidRPr="00F37617">
        <w:rPr>
          <w:rFonts w:cs="Arial"/>
          <w:sz w:val="20"/>
          <w:szCs w:val="20"/>
          <w:lang w:val="bg-BG" w:eastAsia="bg-BG"/>
        </w:rPr>
        <w:t>протромбиново</w:t>
      </w:r>
      <w:proofErr w:type="spellEnd"/>
      <w:r w:rsidRPr="00F37617">
        <w:rPr>
          <w:rFonts w:cs="Arial"/>
          <w:sz w:val="20"/>
          <w:szCs w:val="20"/>
          <w:lang w:val="bg-BG" w:eastAsia="bg-BG"/>
        </w:rPr>
        <w:t xml:space="preserve"> време и </w:t>
      </w:r>
      <w:r w:rsidRPr="00F37617">
        <w:rPr>
          <w:rFonts w:cs="Arial"/>
          <w:sz w:val="20"/>
          <w:szCs w:val="20"/>
        </w:rPr>
        <w:t xml:space="preserve">INR </w:t>
      </w:r>
      <w:r w:rsidRPr="00F37617">
        <w:rPr>
          <w:rFonts w:cs="Arial"/>
          <w:sz w:val="20"/>
          <w:szCs w:val="20"/>
          <w:lang w:val="bg-BG" w:eastAsia="bg-BG"/>
        </w:rPr>
        <w:t xml:space="preserve">(вж. 4.4 Специални предупреждения и предпазни мерки при употреба и 5.2 </w:t>
      </w:r>
      <w:proofErr w:type="spellStart"/>
      <w:r w:rsidRPr="00F37617">
        <w:rPr>
          <w:rFonts w:cs="Arial"/>
          <w:sz w:val="20"/>
          <w:szCs w:val="20"/>
          <w:lang w:val="bg-BG" w:eastAsia="bg-BG"/>
        </w:rPr>
        <w:t>Фармакокинетични</w:t>
      </w:r>
      <w:proofErr w:type="spellEnd"/>
      <w:r w:rsidRPr="00F37617">
        <w:rPr>
          <w:rFonts w:cs="Arial"/>
          <w:sz w:val="20"/>
          <w:szCs w:val="20"/>
          <w:lang w:val="bg-BG" w:eastAsia="bg-BG"/>
        </w:rPr>
        <w:t xml:space="preserve"> свойства).</w:t>
      </w:r>
    </w:p>
    <w:p w14:paraId="4E444358" w14:textId="77777777" w:rsidR="00B26507" w:rsidRPr="00F37617" w:rsidRDefault="00B26507" w:rsidP="00B26507">
      <w:pPr>
        <w:rPr>
          <w:rFonts w:cs="Arial"/>
          <w:sz w:val="20"/>
          <w:szCs w:val="20"/>
          <w:lang w:val="bg-BG" w:eastAsia="bg-BG"/>
        </w:rPr>
      </w:pPr>
    </w:p>
    <w:p w14:paraId="4C58766A" w14:textId="03B19240" w:rsidR="00B26507" w:rsidRPr="00F37617" w:rsidRDefault="00B26507" w:rsidP="00B26507">
      <w:pPr>
        <w:rPr>
          <w:rFonts w:cs="Arial"/>
          <w:b/>
          <w:bCs/>
          <w:sz w:val="24"/>
          <w:szCs w:val="24"/>
          <w:lang w:val="bg-BG"/>
        </w:rPr>
      </w:pPr>
      <w:r w:rsidRPr="00F37617">
        <w:rPr>
          <w:rFonts w:cs="Arial"/>
          <w:b/>
          <w:bCs/>
          <w:sz w:val="20"/>
          <w:szCs w:val="20"/>
          <w:lang w:val="bg-BG" w:eastAsia="bg-BG"/>
        </w:rPr>
        <w:t>Начин на приложение</w:t>
      </w:r>
    </w:p>
    <w:p w14:paraId="78C39ED7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sz w:val="20"/>
          <w:szCs w:val="20"/>
          <w:lang w:val="bg-BG" w:eastAsia="bg-BG"/>
        </w:rPr>
        <w:t>Дневната дозировка трябва да се приема винаги по едно и също време на деня. Таблетката трябва да се поглъща цяла с чаша вода.</w:t>
      </w:r>
    </w:p>
    <w:p w14:paraId="36C99BE7" w14:textId="77777777" w:rsidR="00B26507" w:rsidRPr="00F37617" w:rsidRDefault="00B26507" w:rsidP="00B26507">
      <w:pPr>
        <w:rPr>
          <w:rFonts w:eastAsia="Times New Roman" w:cs="Arial"/>
          <w:sz w:val="24"/>
          <w:szCs w:val="24"/>
          <w:lang w:val="bg-BG"/>
        </w:rPr>
      </w:pPr>
    </w:p>
    <w:p w14:paraId="1901BF1C" w14:textId="77777777" w:rsidR="00B26507" w:rsidRPr="00F37617" w:rsidRDefault="00B26507" w:rsidP="00B26507">
      <w:pPr>
        <w:rPr>
          <w:rFonts w:cs="Arial"/>
          <w:lang w:val="bg-BG"/>
        </w:rPr>
      </w:pPr>
    </w:p>
    <w:p w14:paraId="455D6048" w14:textId="4FD98431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4.3. </w:t>
      </w:r>
      <w:proofErr w:type="spellStart"/>
      <w:r w:rsidRPr="00F37617">
        <w:rPr>
          <w:rFonts w:cs="Arial"/>
        </w:rPr>
        <w:t>Противопоказания</w:t>
      </w:r>
      <w:proofErr w:type="spellEnd"/>
    </w:p>
    <w:p w14:paraId="391408A6" w14:textId="77777777" w:rsidR="00B26507" w:rsidRPr="00F37617" w:rsidRDefault="00B26507" w:rsidP="00B26507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Известна свръхчувствителност към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и други </w:t>
      </w:r>
      <w:proofErr w:type="spellStart"/>
      <w:r w:rsidRPr="00F37617">
        <w:rPr>
          <w:rFonts w:cs="Arial"/>
          <w:lang w:val="bg-BG" w:eastAsia="bg-BG"/>
        </w:rPr>
        <w:t>кумаринови</w:t>
      </w:r>
      <w:proofErr w:type="spellEnd"/>
      <w:r w:rsidRPr="00F37617">
        <w:rPr>
          <w:rFonts w:cs="Arial"/>
          <w:lang w:val="bg-BG" w:eastAsia="bg-BG"/>
        </w:rPr>
        <w:t xml:space="preserve"> производни, или към някое от помощните вещества, изброени в точка 6.1.</w:t>
      </w:r>
    </w:p>
    <w:p w14:paraId="509C8F43" w14:textId="77777777" w:rsidR="00B26507" w:rsidRPr="00F37617" w:rsidRDefault="00B26507" w:rsidP="00B26507">
      <w:pPr>
        <w:pStyle w:val="ListParagraph"/>
        <w:numPr>
          <w:ilvl w:val="0"/>
          <w:numId w:val="12"/>
        </w:num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Бременност</w:t>
      </w:r>
    </w:p>
    <w:p w14:paraId="2130D7B5" w14:textId="77777777" w:rsidR="00B26507" w:rsidRPr="00F37617" w:rsidRDefault="00B26507" w:rsidP="00B26507">
      <w:pPr>
        <w:pStyle w:val="ListParagraph"/>
        <w:numPr>
          <w:ilvl w:val="0"/>
          <w:numId w:val="12"/>
        </w:num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Пациенти, които не са в състояние да провеждат лечението сами и не са под наблюдение (напр. неконтролирани сенилни пациенти, алкохолици и психично болни)</w:t>
      </w:r>
    </w:p>
    <w:p w14:paraId="1E8A8891" w14:textId="77777777" w:rsidR="00B26507" w:rsidRPr="00F37617" w:rsidRDefault="00B26507" w:rsidP="00B26507">
      <w:pPr>
        <w:rPr>
          <w:rFonts w:cs="Arial"/>
        </w:rPr>
      </w:pPr>
    </w:p>
    <w:p w14:paraId="69CFF07A" w14:textId="6AF044C1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>е противопоказен също и при състояния, в които рискът от кръвоизливи е по-голям, отколкото възможните клинични ползи, напр.:</w:t>
      </w:r>
    </w:p>
    <w:p w14:paraId="69495B39" w14:textId="77777777" w:rsidR="00B26507" w:rsidRPr="00F37617" w:rsidRDefault="00B26507" w:rsidP="00B26507">
      <w:pPr>
        <w:pStyle w:val="ListParagraph"/>
        <w:numPr>
          <w:ilvl w:val="0"/>
          <w:numId w:val="13"/>
        </w:numPr>
        <w:rPr>
          <w:rFonts w:cs="Arial"/>
          <w:lang w:val="bg-BG" w:eastAsia="bg-BG"/>
        </w:rPr>
      </w:pPr>
      <w:proofErr w:type="spellStart"/>
      <w:r w:rsidRPr="00F37617">
        <w:rPr>
          <w:rFonts w:cs="Arial"/>
          <w:lang w:val="bg-BG" w:eastAsia="bg-BG"/>
        </w:rPr>
        <w:t>Хеморагична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диатеза</w:t>
      </w:r>
      <w:proofErr w:type="spellEnd"/>
      <w:r w:rsidRPr="00F37617">
        <w:rPr>
          <w:rFonts w:cs="Arial"/>
          <w:lang w:val="bg-BG" w:eastAsia="bg-BG"/>
        </w:rPr>
        <w:t xml:space="preserve"> или </w:t>
      </w:r>
      <w:proofErr w:type="spellStart"/>
      <w:r w:rsidRPr="00F37617">
        <w:rPr>
          <w:rFonts w:cs="Arial"/>
          <w:lang w:val="bg-BG" w:eastAsia="bg-BG"/>
        </w:rPr>
        <w:t>хеморагична</w:t>
      </w:r>
      <w:proofErr w:type="spellEnd"/>
      <w:r w:rsidRPr="00F37617">
        <w:rPr>
          <w:rFonts w:cs="Arial"/>
          <w:lang w:val="bg-BG" w:eastAsia="bg-BG"/>
        </w:rPr>
        <w:t xml:space="preserve"> кръвна </w:t>
      </w:r>
      <w:proofErr w:type="spellStart"/>
      <w:r w:rsidRPr="00F37617">
        <w:rPr>
          <w:rFonts w:cs="Arial"/>
          <w:lang w:val="bg-BG" w:eastAsia="bg-BG"/>
        </w:rPr>
        <w:t>дискразия</w:t>
      </w:r>
      <w:proofErr w:type="spellEnd"/>
    </w:p>
    <w:p w14:paraId="3E3D90EB" w14:textId="77777777" w:rsidR="00B26507" w:rsidRPr="00F37617" w:rsidRDefault="00B26507" w:rsidP="00B26507">
      <w:pPr>
        <w:pStyle w:val="ListParagraph"/>
        <w:numPr>
          <w:ilvl w:val="0"/>
          <w:numId w:val="13"/>
        </w:num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Непосредствено преди или след операция на централната нервна система, както и очни операции и тежки травмиращи хирургични интервенции</w:t>
      </w:r>
    </w:p>
    <w:p w14:paraId="5AED60D6" w14:textId="77777777" w:rsidR="00B26507" w:rsidRPr="00F37617" w:rsidRDefault="00B26507" w:rsidP="00B26507">
      <w:pPr>
        <w:pStyle w:val="ListParagraph"/>
        <w:numPr>
          <w:ilvl w:val="0"/>
          <w:numId w:val="13"/>
        </w:numPr>
        <w:rPr>
          <w:rFonts w:cs="Arial"/>
          <w:lang w:val="bg-BG" w:eastAsia="bg-BG"/>
        </w:rPr>
      </w:pPr>
      <w:proofErr w:type="spellStart"/>
      <w:r w:rsidRPr="00F37617">
        <w:rPr>
          <w:rFonts w:cs="Arial"/>
          <w:lang w:val="bg-BG" w:eastAsia="bg-BG"/>
        </w:rPr>
        <w:t>Пептична</w:t>
      </w:r>
      <w:proofErr w:type="spellEnd"/>
      <w:r w:rsidRPr="00F37617">
        <w:rPr>
          <w:rFonts w:cs="Arial"/>
          <w:lang w:val="bg-BG" w:eastAsia="bg-BG"/>
        </w:rPr>
        <w:t xml:space="preserve"> язва или кръвоизлив в гастроинтестиналния тракт, </w:t>
      </w:r>
      <w:proofErr w:type="spellStart"/>
      <w:r w:rsidRPr="00F37617">
        <w:rPr>
          <w:rFonts w:cs="Arial"/>
          <w:lang w:val="bg-BG" w:eastAsia="bg-BG"/>
        </w:rPr>
        <w:t>урогениталния</w:t>
      </w:r>
      <w:proofErr w:type="spellEnd"/>
      <w:r w:rsidRPr="00F37617">
        <w:rPr>
          <w:rFonts w:cs="Arial"/>
          <w:lang w:val="bg-BG" w:eastAsia="bg-BG"/>
        </w:rPr>
        <w:t xml:space="preserve"> тракт или дихателната система, както и при </w:t>
      </w:r>
      <w:proofErr w:type="spellStart"/>
      <w:r w:rsidRPr="00F37617">
        <w:rPr>
          <w:rFonts w:cs="Arial"/>
          <w:lang w:val="bg-BG" w:eastAsia="bg-BG"/>
        </w:rPr>
        <w:t>мозъчносъдови</w:t>
      </w:r>
      <w:proofErr w:type="spellEnd"/>
      <w:r w:rsidRPr="00F37617">
        <w:rPr>
          <w:rFonts w:cs="Arial"/>
          <w:lang w:val="bg-BG" w:eastAsia="bg-BG"/>
        </w:rPr>
        <w:t xml:space="preserve"> кръвоизливи, остър перикардит, </w:t>
      </w:r>
      <w:proofErr w:type="spellStart"/>
      <w:r w:rsidRPr="00F37617">
        <w:rPr>
          <w:rFonts w:cs="Arial"/>
          <w:lang w:val="bg-BG" w:eastAsia="bg-BG"/>
        </w:rPr>
        <w:t>перикарден</w:t>
      </w:r>
      <w:proofErr w:type="spellEnd"/>
      <w:r w:rsidRPr="00F37617">
        <w:rPr>
          <w:rFonts w:cs="Arial"/>
          <w:lang w:val="bg-BG" w:eastAsia="bg-BG"/>
        </w:rPr>
        <w:t xml:space="preserve"> излив и инфекциозен </w:t>
      </w:r>
      <w:proofErr w:type="spellStart"/>
      <w:r w:rsidRPr="00F37617">
        <w:rPr>
          <w:rFonts w:cs="Arial"/>
          <w:lang w:val="bg-BG" w:eastAsia="bg-BG"/>
        </w:rPr>
        <w:t>ендокардит</w:t>
      </w:r>
      <w:proofErr w:type="spellEnd"/>
    </w:p>
    <w:p w14:paraId="5FA8C6EF" w14:textId="77777777" w:rsidR="00B26507" w:rsidRPr="00F37617" w:rsidRDefault="00B26507" w:rsidP="00B26507">
      <w:pPr>
        <w:pStyle w:val="ListParagraph"/>
        <w:numPr>
          <w:ilvl w:val="0"/>
          <w:numId w:val="13"/>
        </w:num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Тежка хипертония</w:t>
      </w:r>
    </w:p>
    <w:p w14:paraId="68E4ACD1" w14:textId="77777777" w:rsidR="00B26507" w:rsidRPr="00F37617" w:rsidRDefault="00B26507" w:rsidP="00B26507">
      <w:pPr>
        <w:pStyle w:val="ListParagraph"/>
        <w:numPr>
          <w:ilvl w:val="0"/>
          <w:numId w:val="13"/>
        </w:num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Тежко чернодробно увреждане (вж. т. 4.2 Дозировка и начин на приложение)</w:t>
      </w:r>
    </w:p>
    <w:p w14:paraId="27C6C0A5" w14:textId="77777777" w:rsidR="00B26507" w:rsidRPr="00F37617" w:rsidRDefault="00B26507" w:rsidP="00B26507">
      <w:pPr>
        <w:pStyle w:val="ListParagraph"/>
        <w:numPr>
          <w:ilvl w:val="0"/>
          <w:numId w:val="13"/>
        </w:num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Тежко бъбречно увреждане(вж. т. 4.2 Дозировка и начин на приложение)</w:t>
      </w:r>
    </w:p>
    <w:p w14:paraId="66B122F1" w14:textId="1CD32040" w:rsidR="00B26507" w:rsidRPr="00F37617" w:rsidRDefault="00B26507" w:rsidP="00B26507">
      <w:pPr>
        <w:pStyle w:val="ListParagraph"/>
        <w:numPr>
          <w:ilvl w:val="0"/>
          <w:numId w:val="13"/>
        </w:numPr>
        <w:rPr>
          <w:rFonts w:cs="Arial"/>
        </w:rPr>
      </w:pPr>
      <w:r w:rsidRPr="00F37617">
        <w:rPr>
          <w:rFonts w:cs="Arial"/>
          <w:lang w:val="bg-BG" w:eastAsia="bg-BG"/>
        </w:rPr>
        <w:t xml:space="preserve">Повишена </w:t>
      </w:r>
      <w:proofErr w:type="spellStart"/>
      <w:r w:rsidRPr="00F37617">
        <w:rPr>
          <w:rFonts w:cs="Arial"/>
          <w:lang w:val="bg-BG" w:eastAsia="bg-BG"/>
        </w:rPr>
        <w:t>фибринолитична</w:t>
      </w:r>
      <w:proofErr w:type="spellEnd"/>
      <w:r w:rsidRPr="00F37617">
        <w:rPr>
          <w:rFonts w:cs="Arial"/>
          <w:lang w:val="bg-BG" w:eastAsia="bg-BG"/>
        </w:rPr>
        <w:t xml:space="preserve"> активност след операция на белия дроб, простатата, матката и т.н.</w:t>
      </w:r>
    </w:p>
    <w:p w14:paraId="6A890001" w14:textId="77777777" w:rsidR="00B26507" w:rsidRPr="00F37617" w:rsidRDefault="00B26507" w:rsidP="00B26507">
      <w:pPr>
        <w:rPr>
          <w:rFonts w:cs="Arial"/>
        </w:rPr>
      </w:pPr>
    </w:p>
    <w:p w14:paraId="2A4373D0" w14:textId="74BACBC9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lastRenderedPageBreak/>
        <w:t xml:space="preserve">4.4. </w:t>
      </w:r>
      <w:proofErr w:type="spellStart"/>
      <w:r w:rsidRPr="00F37617">
        <w:rPr>
          <w:rFonts w:cs="Arial"/>
        </w:rPr>
        <w:t>Специални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предупреждения</w:t>
      </w:r>
      <w:proofErr w:type="spellEnd"/>
      <w:r w:rsidRPr="00F37617">
        <w:rPr>
          <w:rFonts w:cs="Arial"/>
        </w:rPr>
        <w:t xml:space="preserve"> и </w:t>
      </w:r>
      <w:proofErr w:type="spellStart"/>
      <w:r w:rsidRPr="00F37617">
        <w:rPr>
          <w:rFonts w:cs="Arial"/>
        </w:rPr>
        <w:t>предпазни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мерки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употреба</w:t>
      </w:r>
      <w:proofErr w:type="spellEnd"/>
    </w:p>
    <w:p w14:paraId="3D28C4D2" w14:textId="77777777" w:rsidR="00B26507" w:rsidRPr="00F37617" w:rsidRDefault="00B26507" w:rsidP="00B26507">
      <w:pPr>
        <w:rPr>
          <w:rFonts w:cs="Arial"/>
        </w:rPr>
      </w:pPr>
    </w:p>
    <w:p w14:paraId="020C354A" w14:textId="77777777" w:rsidR="00B26507" w:rsidRPr="00F37617" w:rsidRDefault="00B26507" w:rsidP="00B26507">
      <w:pPr>
        <w:pStyle w:val="Heading3"/>
        <w:rPr>
          <w:rFonts w:eastAsia="Times New Roman" w:cs="Arial"/>
          <w:lang w:val="bg-BG"/>
        </w:rPr>
      </w:pPr>
      <w:r w:rsidRPr="00F37617">
        <w:rPr>
          <w:rFonts w:eastAsia="Times New Roman" w:cs="Arial"/>
          <w:lang w:val="bg-BG" w:eastAsia="bg-BG"/>
        </w:rPr>
        <w:t>Чернодробно увреждане</w:t>
      </w:r>
    </w:p>
    <w:p w14:paraId="2964F867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Необходимо е повишено внимание при пациенти с леко до умерено чернодробно увреждане, тъй като може да бъде нарушен и синтезът на факторите на коагулацията или да възникне </w:t>
      </w:r>
      <w:proofErr w:type="spellStart"/>
      <w:r w:rsidRPr="00F37617">
        <w:rPr>
          <w:rFonts w:cs="Arial"/>
          <w:lang w:val="bg-BG" w:eastAsia="bg-BG"/>
        </w:rPr>
        <w:t>тромбоцитна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дисфункция</w:t>
      </w:r>
      <w:proofErr w:type="spellEnd"/>
      <w:r w:rsidRPr="00F37617">
        <w:rPr>
          <w:rFonts w:cs="Arial"/>
          <w:lang w:val="bg-BG" w:eastAsia="bg-BG"/>
        </w:rPr>
        <w:t xml:space="preserve"> (вж. т. 4.2 Дозировка и начин на приложение и т. 5.2 “</w:t>
      </w:r>
      <w:proofErr w:type="spellStart"/>
      <w:r w:rsidRPr="00F37617">
        <w:rPr>
          <w:rFonts w:cs="Arial"/>
          <w:lang w:val="bg-BG" w:eastAsia="bg-BG"/>
        </w:rPr>
        <w:t>Фармакокинетични</w:t>
      </w:r>
      <w:proofErr w:type="spellEnd"/>
      <w:r w:rsidRPr="00F37617">
        <w:rPr>
          <w:rFonts w:cs="Arial"/>
          <w:lang w:val="bg-BG" w:eastAsia="bg-BG"/>
        </w:rPr>
        <w:t xml:space="preserve"> свойства”).</w:t>
      </w:r>
    </w:p>
    <w:p w14:paraId="5618436F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219A5AD1" w14:textId="603B1818" w:rsidR="00B26507" w:rsidRPr="00F37617" w:rsidRDefault="00B26507" w:rsidP="00B26507">
      <w:pPr>
        <w:pStyle w:val="Heading3"/>
        <w:rPr>
          <w:rFonts w:eastAsia="Times New Roman" w:cs="Arial"/>
          <w:lang w:val="bg-BG"/>
        </w:rPr>
      </w:pPr>
      <w:r w:rsidRPr="00F37617">
        <w:rPr>
          <w:rFonts w:eastAsia="Times New Roman" w:cs="Arial"/>
          <w:lang w:val="bg-BG" w:eastAsia="bg-BG"/>
        </w:rPr>
        <w:t>Бъбречно увреждане</w:t>
      </w:r>
    </w:p>
    <w:p w14:paraId="399AD4C6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Поради възможността за натрупване на метаболити при нарушена бъбречна функция е необходимо повишено внимание при пациенти с леко до умерено бъбречно увреждане (вж. също т. 4.2 Дозировка и начин на приложение и т. 5.2 </w:t>
      </w:r>
      <w:proofErr w:type="spellStart"/>
      <w:r w:rsidRPr="00F37617">
        <w:rPr>
          <w:rFonts w:cs="Arial"/>
          <w:lang w:val="bg-BG" w:eastAsia="bg-BG"/>
        </w:rPr>
        <w:t>Фармакокинетични</w:t>
      </w:r>
      <w:proofErr w:type="spellEnd"/>
      <w:r w:rsidRPr="00F37617">
        <w:rPr>
          <w:rFonts w:cs="Arial"/>
          <w:lang w:val="bg-BG" w:eastAsia="bg-BG"/>
        </w:rPr>
        <w:t xml:space="preserve"> свойства).</w:t>
      </w:r>
    </w:p>
    <w:p w14:paraId="553BDDDA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03E18966" w14:textId="7BDFD6AE" w:rsidR="00B26507" w:rsidRPr="00F37617" w:rsidRDefault="00B26507" w:rsidP="00BF0E36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Сърдечна недостатъчност</w:t>
      </w:r>
    </w:p>
    <w:p w14:paraId="43FEAAD3" w14:textId="61551ADB" w:rsidR="00B26507" w:rsidRPr="00F37617" w:rsidRDefault="00B26507" w:rsidP="00B26507">
      <w:pPr>
        <w:rPr>
          <w:rFonts w:cs="Arial"/>
        </w:rPr>
      </w:pPr>
      <w:r w:rsidRPr="00F37617">
        <w:rPr>
          <w:rFonts w:cs="Arial"/>
          <w:lang w:val="bg-BG" w:eastAsia="bg-BG"/>
        </w:rPr>
        <w:t>В случаи на тежка сърдечна недостатъчност дозировката трябва да бъде подбрана много внимателно, защото активирането или гама-</w:t>
      </w:r>
      <w:proofErr w:type="spellStart"/>
      <w:r w:rsidRPr="00F37617">
        <w:rPr>
          <w:rFonts w:cs="Arial"/>
          <w:lang w:val="bg-BG" w:eastAsia="bg-BG"/>
        </w:rPr>
        <w:t>карбоксилирането</w:t>
      </w:r>
      <w:proofErr w:type="spellEnd"/>
      <w:r w:rsidRPr="00F37617">
        <w:rPr>
          <w:rFonts w:cs="Arial"/>
          <w:lang w:val="bg-BG" w:eastAsia="bg-BG"/>
        </w:rPr>
        <w:t xml:space="preserve"> на факторите на коагулация може да </w:t>
      </w:r>
      <w:proofErr w:type="spellStart"/>
      <w:r w:rsidRPr="00F37617">
        <w:rPr>
          <w:rFonts w:cs="Arial"/>
        </w:rPr>
        <w:t>се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намали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чернодробен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застой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вижте</w:t>
      </w:r>
      <w:proofErr w:type="spellEnd"/>
      <w:r w:rsidRPr="00F37617">
        <w:rPr>
          <w:rFonts w:cs="Arial"/>
        </w:rPr>
        <w:t xml:space="preserve"> 4.2 </w:t>
      </w:r>
      <w:proofErr w:type="spellStart"/>
      <w:r w:rsidRPr="00F37617">
        <w:rPr>
          <w:rFonts w:cs="Arial"/>
        </w:rPr>
        <w:t>Дозировка</w:t>
      </w:r>
      <w:proofErr w:type="spellEnd"/>
      <w:r w:rsidRPr="00F37617">
        <w:rPr>
          <w:rFonts w:cs="Arial"/>
        </w:rPr>
        <w:t xml:space="preserve"> и </w:t>
      </w:r>
      <w:proofErr w:type="spellStart"/>
      <w:r w:rsidRPr="00F37617">
        <w:rPr>
          <w:rFonts w:cs="Arial"/>
        </w:rPr>
        <w:t>начин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приложение</w:t>
      </w:r>
      <w:proofErr w:type="spellEnd"/>
      <w:r w:rsidRPr="00F37617">
        <w:rPr>
          <w:rFonts w:cs="Arial"/>
        </w:rPr>
        <w:t xml:space="preserve">. </w:t>
      </w:r>
      <w:proofErr w:type="spellStart"/>
      <w:r w:rsidRPr="00F37617">
        <w:rPr>
          <w:rFonts w:cs="Arial"/>
        </w:rPr>
        <w:t>При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възстановяване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след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чернодробен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застой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обаче</w:t>
      </w:r>
      <w:proofErr w:type="spellEnd"/>
      <w:r w:rsidRPr="00F37617">
        <w:rPr>
          <w:rFonts w:cs="Arial"/>
        </w:rPr>
        <w:t xml:space="preserve">, </w:t>
      </w:r>
      <w:proofErr w:type="spellStart"/>
      <w:r w:rsidRPr="00F37617">
        <w:rPr>
          <w:rFonts w:cs="Arial"/>
        </w:rPr>
        <w:t>може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наложи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повишаване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дозировката</w:t>
      </w:r>
      <w:proofErr w:type="spellEnd"/>
      <w:r w:rsidRPr="00F37617">
        <w:rPr>
          <w:rFonts w:cs="Arial"/>
        </w:rPr>
        <w:t>.</w:t>
      </w:r>
    </w:p>
    <w:p w14:paraId="3CA4F1AB" w14:textId="09C86DF1" w:rsidR="00B26507" w:rsidRPr="00F37617" w:rsidRDefault="00B26507" w:rsidP="00B26507">
      <w:pPr>
        <w:rPr>
          <w:rFonts w:cs="Arial"/>
          <w:lang w:val="bg-BG"/>
        </w:rPr>
      </w:pPr>
      <w:r w:rsidRPr="00F37617">
        <w:rPr>
          <w:rFonts w:cs="Arial"/>
          <w:lang w:val="bg-BG"/>
        </w:rPr>
        <w:t xml:space="preserve"> </w:t>
      </w:r>
    </w:p>
    <w:p w14:paraId="6330CAC6" w14:textId="77777777" w:rsidR="00B26507" w:rsidRPr="00F37617" w:rsidRDefault="00B26507" w:rsidP="00B26507">
      <w:pPr>
        <w:pStyle w:val="Heading3"/>
        <w:rPr>
          <w:rFonts w:eastAsia="Times New Roman" w:cs="Arial"/>
          <w:lang w:val="bg-BG"/>
        </w:rPr>
      </w:pPr>
      <w:r w:rsidRPr="00F37617">
        <w:rPr>
          <w:rFonts w:eastAsia="Times New Roman" w:cs="Arial"/>
          <w:lang w:val="bg-BG" w:eastAsia="bg-BG"/>
        </w:rPr>
        <w:t>Хематология</w:t>
      </w:r>
    </w:p>
    <w:p w14:paraId="61E00B22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Необходимо е повишено внимание при пациенти с установен дефицит или при съмнения за дефицит (напр. продължително кървене след нараняване) на протеин С или протеин </w:t>
      </w:r>
      <w:r w:rsidRPr="00F37617">
        <w:rPr>
          <w:rFonts w:cs="Arial"/>
        </w:rPr>
        <w:t xml:space="preserve">S </w:t>
      </w:r>
      <w:r w:rsidRPr="00F37617">
        <w:rPr>
          <w:rFonts w:cs="Arial"/>
          <w:lang w:val="bg-BG" w:eastAsia="bg-BG"/>
        </w:rPr>
        <w:t>(вж. 4.8 Нежелани лекарствени реакции).</w:t>
      </w:r>
    </w:p>
    <w:p w14:paraId="2A10BF91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6B180532" w14:textId="04B18A3B" w:rsidR="00B26507" w:rsidRPr="00F37617" w:rsidRDefault="00B26507" w:rsidP="00B26507">
      <w:pPr>
        <w:pStyle w:val="Heading3"/>
        <w:rPr>
          <w:rFonts w:eastAsia="Times New Roman" w:cs="Arial"/>
          <w:lang w:val="bg-BG"/>
        </w:rPr>
      </w:pPr>
      <w:r w:rsidRPr="00F37617">
        <w:rPr>
          <w:rFonts w:eastAsia="Times New Roman" w:cs="Arial"/>
          <w:lang w:val="bg-BG" w:eastAsia="bg-BG"/>
        </w:rPr>
        <w:t>Специални групи пациенти</w:t>
      </w:r>
    </w:p>
    <w:p w14:paraId="692E6561" w14:textId="5F91F81D" w:rsidR="00B26507" w:rsidRPr="00F37617" w:rsidRDefault="00B26507" w:rsidP="00B26507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При педиатрични пациенти и пациенти в напреднала възраст (</w:t>
      </w:r>
      <w:r w:rsidRPr="00F37617">
        <w:rPr>
          <w:rFonts w:cs="Arial"/>
        </w:rPr>
        <w:t>≥</w:t>
      </w:r>
      <w:r w:rsidRPr="00F37617">
        <w:rPr>
          <w:rFonts w:cs="Arial"/>
          <w:lang w:val="bg-BG" w:eastAsia="bg-BG"/>
        </w:rPr>
        <w:t xml:space="preserve">65 години) се препоръчва повишено внимание и по-често проследяване на </w:t>
      </w:r>
      <w:proofErr w:type="spellStart"/>
      <w:r w:rsidRPr="00F37617">
        <w:rPr>
          <w:rFonts w:cs="Arial"/>
          <w:lang w:val="bg-BG" w:eastAsia="bg-BG"/>
        </w:rPr>
        <w:t>протромбиново</w:t>
      </w:r>
      <w:proofErr w:type="spellEnd"/>
      <w:r w:rsidRPr="00F37617">
        <w:rPr>
          <w:rFonts w:cs="Arial"/>
          <w:lang w:val="bg-BG" w:eastAsia="bg-BG"/>
        </w:rPr>
        <w:t xml:space="preserve"> време и </w:t>
      </w:r>
      <w:r w:rsidRPr="00F37617">
        <w:rPr>
          <w:rFonts w:cs="Arial"/>
        </w:rPr>
        <w:t xml:space="preserve">INR </w:t>
      </w:r>
      <w:r w:rsidRPr="00F37617">
        <w:rPr>
          <w:rFonts w:cs="Arial"/>
          <w:lang w:val="bg-BG" w:eastAsia="bg-BG"/>
        </w:rPr>
        <w:t xml:space="preserve">(вж. точки 4.2 Дозировка и начин на приложение и 5.2 </w:t>
      </w:r>
      <w:proofErr w:type="spellStart"/>
      <w:r w:rsidRPr="00F37617">
        <w:rPr>
          <w:rFonts w:cs="Arial"/>
          <w:lang w:val="bg-BG" w:eastAsia="bg-BG"/>
        </w:rPr>
        <w:t>Фармакокинетични</w:t>
      </w:r>
      <w:proofErr w:type="spellEnd"/>
      <w:r w:rsidRPr="00F37617">
        <w:rPr>
          <w:rFonts w:cs="Arial"/>
          <w:lang w:val="bg-BG" w:eastAsia="bg-BG"/>
        </w:rPr>
        <w:t xml:space="preserve"> свойства).</w:t>
      </w:r>
    </w:p>
    <w:p w14:paraId="7DE85396" w14:textId="54DBA6A4" w:rsidR="00B26507" w:rsidRPr="00F37617" w:rsidRDefault="00B26507" w:rsidP="00B26507">
      <w:pPr>
        <w:rPr>
          <w:rFonts w:cs="Arial"/>
          <w:lang w:val="bg-BG" w:eastAsia="bg-BG"/>
        </w:rPr>
      </w:pPr>
    </w:p>
    <w:p w14:paraId="28261CAD" w14:textId="77777777" w:rsidR="00B26507" w:rsidRPr="00F37617" w:rsidRDefault="00B26507" w:rsidP="00B26507">
      <w:pPr>
        <w:pStyle w:val="Heading3"/>
        <w:rPr>
          <w:rFonts w:eastAsia="Times New Roman" w:cs="Arial"/>
          <w:lang w:val="bg-BG"/>
        </w:rPr>
      </w:pPr>
      <w:proofErr w:type="spellStart"/>
      <w:r w:rsidRPr="00F37617">
        <w:rPr>
          <w:rFonts w:eastAsia="Times New Roman" w:cs="Arial"/>
          <w:lang w:val="bg-BG" w:eastAsia="bg-BG"/>
        </w:rPr>
        <w:t>Калцифилаксия</w:t>
      </w:r>
      <w:proofErr w:type="spellEnd"/>
    </w:p>
    <w:p w14:paraId="5926D769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  <w:lang w:val="bg-BG" w:eastAsia="bg-BG"/>
        </w:rPr>
        <w:t>Калцифилаксията</w:t>
      </w:r>
      <w:proofErr w:type="spellEnd"/>
      <w:r w:rsidRPr="00F37617">
        <w:rPr>
          <w:rFonts w:cs="Arial"/>
          <w:lang w:val="bg-BG" w:eastAsia="bg-BG"/>
        </w:rPr>
        <w:t xml:space="preserve"> е рядък синдром на втвърдяване (</w:t>
      </w:r>
      <w:proofErr w:type="spellStart"/>
      <w:r w:rsidRPr="00F37617">
        <w:rPr>
          <w:rFonts w:cs="Arial"/>
          <w:lang w:val="bg-BG" w:eastAsia="bg-BG"/>
        </w:rPr>
        <w:t>калцифициране</w:t>
      </w:r>
      <w:proofErr w:type="spellEnd"/>
      <w:r w:rsidRPr="00F37617">
        <w:rPr>
          <w:rFonts w:cs="Arial"/>
          <w:lang w:val="bg-BG" w:eastAsia="bg-BG"/>
        </w:rPr>
        <w:t xml:space="preserve">) на кръвоносните съдове и некроза на кожата, който е свързан с висока смъртност. Заболяването се наблюдава главно при пациенти с терминална бъбречна недостатъчност на диализа или при пациенти с установени рискови фактори, като дефицит на протеин С или </w:t>
      </w:r>
      <w:r w:rsidRPr="00F37617">
        <w:rPr>
          <w:rFonts w:cs="Arial"/>
        </w:rPr>
        <w:t xml:space="preserve">S, </w:t>
      </w:r>
      <w:proofErr w:type="spellStart"/>
      <w:r w:rsidRPr="00F37617">
        <w:rPr>
          <w:rFonts w:cs="Arial"/>
          <w:lang w:val="bg-BG" w:eastAsia="bg-BG"/>
        </w:rPr>
        <w:t>хиперфосфатемия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хиперкалциемия</w:t>
      </w:r>
      <w:proofErr w:type="spellEnd"/>
      <w:r w:rsidRPr="00F37617">
        <w:rPr>
          <w:rFonts w:cs="Arial"/>
          <w:lang w:val="bg-BG" w:eastAsia="bg-BG"/>
        </w:rPr>
        <w:t xml:space="preserve"> или </w:t>
      </w:r>
      <w:proofErr w:type="spellStart"/>
      <w:r w:rsidRPr="00F37617">
        <w:rPr>
          <w:rFonts w:cs="Arial"/>
          <w:lang w:val="bg-BG" w:eastAsia="bg-BG"/>
        </w:rPr>
        <w:t>хипералбуминемия</w:t>
      </w:r>
      <w:proofErr w:type="spellEnd"/>
      <w:r w:rsidRPr="00F37617">
        <w:rPr>
          <w:rFonts w:cs="Arial"/>
          <w:lang w:val="bg-BG" w:eastAsia="bg-BG"/>
        </w:rPr>
        <w:t xml:space="preserve">. Редки случаи на </w:t>
      </w:r>
      <w:proofErr w:type="spellStart"/>
      <w:r w:rsidRPr="00F37617">
        <w:rPr>
          <w:rFonts w:cs="Arial"/>
          <w:lang w:val="bg-BG" w:eastAsia="bg-BG"/>
        </w:rPr>
        <w:t>калцифилаксия</w:t>
      </w:r>
      <w:proofErr w:type="spellEnd"/>
      <w:r w:rsidRPr="00F37617">
        <w:rPr>
          <w:rFonts w:cs="Arial"/>
          <w:lang w:val="bg-BG" w:eastAsia="bg-BG"/>
        </w:rPr>
        <w:t xml:space="preserve"> са съобщени и при пациенти без бъбречно заболяване, приемащи антагонисти на витамин К, включително </w:t>
      </w:r>
      <w:proofErr w:type="spellStart"/>
      <w:r w:rsidRPr="00F37617">
        <w:rPr>
          <w:rFonts w:cs="Arial"/>
          <w:lang w:val="bg-BG" w:eastAsia="bg-BG"/>
        </w:rPr>
        <w:t>Синтром</w:t>
      </w:r>
      <w:proofErr w:type="spellEnd"/>
      <w:r w:rsidRPr="00F37617">
        <w:rPr>
          <w:rFonts w:cs="Arial"/>
          <w:lang w:val="bg-BG" w:eastAsia="bg-BG"/>
        </w:rPr>
        <w:t xml:space="preserve">. В случай че е диагностицирана </w:t>
      </w:r>
      <w:proofErr w:type="spellStart"/>
      <w:r w:rsidRPr="00F37617">
        <w:rPr>
          <w:rFonts w:cs="Arial"/>
          <w:lang w:val="bg-BG" w:eastAsia="bg-BG"/>
        </w:rPr>
        <w:t>калцифилаксия</w:t>
      </w:r>
      <w:proofErr w:type="spellEnd"/>
      <w:r w:rsidRPr="00F37617">
        <w:rPr>
          <w:rFonts w:cs="Arial"/>
          <w:lang w:val="bg-BG" w:eastAsia="bg-BG"/>
        </w:rPr>
        <w:t xml:space="preserve">, трябва да се започне подходящо лечение и да се обмисли спиране на лечението с </w:t>
      </w:r>
      <w:proofErr w:type="spellStart"/>
      <w:r w:rsidRPr="00F37617">
        <w:rPr>
          <w:rFonts w:cs="Arial"/>
          <w:lang w:val="bg-BG" w:eastAsia="bg-BG"/>
        </w:rPr>
        <w:t>Синтром</w:t>
      </w:r>
      <w:proofErr w:type="spellEnd"/>
      <w:r w:rsidRPr="00F37617">
        <w:rPr>
          <w:rFonts w:cs="Arial"/>
          <w:lang w:val="bg-BG" w:eastAsia="bg-BG"/>
        </w:rPr>
        <w:t>.</w:t>
      </w:r>
    </w:p>
    <w:p w14:paraId="7B4497A3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4222CAAF" w14:textId="676726B3" w:rsidR="00B26507" w:rsidRPr="00F37617" w:rsidRDefault="00B26507" w:rsidP="00B26507">
      <w:pPr>
        <w:pStyle w:val="Heading3"/>
        <w:rPr>
          <w:rFonts w:eastAsia="Times New Roman" w:cs="Arial"/>
          <w:lang w:val="bg-BG"/>
        </w:rPr>
      </w:pPr>
      <w:r w:rsidRPr="00F37617">
        <w:rPr>
          <w:rFonts w:eastAsia="Times New Roman" w:cs="Arial"/>
          <w:lang w:val="bg-BG" w:eastAsia="bg-BG"/>
        </w:rPr>
        <w:t>Кръвоизлив</w:t>
      </w:r>
    </w:p>
    <w:p w14:paraId="4BC678DC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  <w:lang w:val="bg-BG" w:eastAsia="bg-BG"/>
        </w:rPr>
        <w:t>Синтромът</w:t>
      </w:r>
      <w:proofErr w:type="spellEnd"/>
      <w:r w:rsidRPr="00F37617">
        <w:rPr>
          <w:rFonts w:cs="Arial"/>
          <w:lang w:val="bg-BG" w:eastAsia="bg-BG"/>
        </w:rPr>
        <w:t xml:space="preserve"> може да причини сериозно кървене (включително </w:t>
      </w:r>
      <w:proofErr w:type="spellStart"/>
      <w:r w:rsidRPr="00F37617">
        <w:rPr>
          <w:rFonts w:cs="Arial"/>
          <w:lang w:val="bg-BG" w:eastAsia="bg-BG"/>
        </w:rPr>
        <w:t>хеморагичен</w:t>
      </w:r>
      <w:proofErr w:type="spellEnd"/>
      <w:r w:rsidRPr="00F37617">
        <w:rPr>
          <w:rFonts w:cs="Arial"/>
          <w:lang w:val="bg-BG" w:eastAsia="bg-BG"/>
        </w:rPr>
        <w:t xml:space="preserve"> и </w:t>
      </w:r>
      <w:proofErr w:type="spellStart"/>
      <w:r w:rsidRPr="00F37617">
        <w:rPr>
          <w:rFonts w:cs="Arial"/>
          <w:lang w:val="bg-BG" w:eastAsia="bg-BG"/>
        </w:rPr>
        <w:t>хиповолемичен</w:t>
      </w:r>
      <w:proofErr w:type="spellEnd"/>
      <w:r w:rsidRPr="00F37617">
        <w:rPr>
          <w:rFonts w:cs="Arial"/>
          <w:lang w:val="bg-BG" w:eastAsia="bg-BG"/>
        </w:rPr>
        <w:t xml:space="preserve"> шок) или смърт. Рискови фактори за кървене включват интензивна антикоагулация </w:t>
      </w:r>
      <w:r w:rsidRPr="00F37617">
        <w:rPr>
          <w:rFonts w:cs="Arial"/>
        </w:rPr>
        <w:t xml:space="preserve">(INR&gt; </w:t>
      </w:r>
      <w:r w:rsidRPr="00F37617">
        <w:rPr>
          <w:rFonts w:cs="Arial"/>
          <w:lang w:val="bg-BG" w:eastAsia="bg-BG"/>
        </w:rPr>
        <w:t xml:space="preserve">4.0), възраст &gt; 65 години, много променлива история на </w:t>
      </w:r>
      <w:r w:rsidRPr="00F37617">
        <w:rPr>
          <w:rFonts w:cs="Arial"/>
        </w:rPr>
        <w:t xml:space="preserve">INR, </w:t>
      </w:r>
      <w:r w:rsidRPr="00F37617">
        <w:rPr>
          <w:rFonts w:cs="Arial"/>
          <w:lang w:val="bg-BG" w:eastAsia="bg-BG"/>
        </w:rPr>
        <w:t xml:space="preserve">анамнеза за стомашно-чревен кръвоизлив, хипертония, </w:t>
      </w:r>
      <w:proofErr w:type="spellStart"/>
      <w:r w:rsidRPr="00F37617">
        <w:rPr>
          <w:rFonts w:cs="Arial"/>
          <w:lang w:val="bg-BG" w:eastAsia="bg-BG"/>
        </w:rPr>
        <w:t>цереброваскуларно</w:t>
      </w:r>
      <w:proofErr w:type="spellEnd"/>
      <w:r w:rsidRPr="00F37617">
        <w:rPr>
          <w:rFonts w:cs="Arial"/>
          <w:lang w:val="bg-BG" w:eastAsia="bg-BG"/>
        </w:rPr>
        <w:t xml:space="preserve"> заболяване, </w:t>
      </w:r>
      <w:r w:rsidRPr="00F37617">
        <w:rPr>
          <w:rFonts w:cs="Arial"/>
          <w:lang w:val="bg-BG" w:eastAsia="bg-BG"/>
        </w:rPr>
        <w:lastRenderedPageBreak/>
        <w:t xml:space="preserve">тежко сърдечно заболяване, анемия, злокачествено заболяване, травма, бъбречна недостатъчност, съпътстващи лекарства (вж. точка 4.5 Взаимодействия). Трябва да се извършва редовно мониториране на </w:t>
      </w:r>
      <w:r w:rsidRPr="00F37617">
        <w:rPr>
          <w:rFonts w:cs="Arial"/>
        </w:rPr>
        <w:t xml:space="preserve">INR </w:t>
      </w:r>
      <w:r w:rsidRPr="00F37617">
        <w:rPr>
          <w:rFonts w:cs="Arial"/>
          <w:lang w:val="bg-BG" w:eastAsia="bg-BG"/>
        </w:rPr>
        <w:t>при всички лекувани пациенти.</w:t>
      </w:r>
    </w:p>
    <w:p w14:paraId="188FC159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18176F3C" w14:textId="117A36AA" w:rsidR="00B26507" w:rsidRPr="00F37617" w:rsidRDefault="00B26507" w:rsidP="00B26507">
      <w:pPr>
        <w:pStyle w:val="Heading3"/>
        <w:rPr>
          <w:rFonts w:eastAsia="Times New Roman" w:cs="Arial"/>
          <w:i/>
          <w:iCs/>
          <w:lang w:val="bg-BG"/>
        </w:rPr>
      </w:pPr>
      <w:r w:rsidRPr="00F37617">
        <w:rPr>
          <w:rFonts w:eastAsia="Times New Roman" w:cs="Arial"/>
          <w:i/>
          <w:iCs/>
          <w:lang w:val="bg-BG" w:eastAsia="bg-BG"/>
        </w:rPr>
        <w:t>Други</w:t>
      </w:r>
    </w:p>
    <w:p w14:paraId="56130612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Необходимо е строго медицинско наблюдение в случаи на състояния или заболявания, които могат да намалят </w:t>
      </w:r>
      <w:proofErr w:type="spellStart"/>
      <w:r w:rsidRPr="00F37617">
        <w:rPr>
          <w:rFonts w:cs="Arial"/>
          <w:lang w:val="bg-BG" w:eastAsia="bg-BG"/>
        </w:rPr>
        <w:t>протеинното</w:t>
      </w:r>
      <w:proofErr w:type="spellEnd"/>
      <w:r w:rsidRPr="00F37617">
        <w:rPr>
          <w:rFonts w:cs="Arial"/>
          <w:lang w:val="bg-BG" w:eastAsia="bg-BG"/>
        </w:rPr>
        <w:t xml:space="preserve"> свързване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, </w:t>
      </w:r>
      <w:r w:rsidRPr="00F37617">
        <w:rPr>
          <w:rFonts w:cs="Arial"/>
          <w:lang w:val="bg-BG" w:eastAsia="bg-BG"/>
        </w:rPr>
        <w:t xml:space="preserve">например </w:t>
      </w:r>
      <w:proofErr w:type="spellStart"/>
      <w:r w:rsidRPr="00F37617">
        <w:rPr>
          <w:rFonts w:cs="Arial"/>
          <w:lang w:val="bg-BG" w:eastAsia="bg-BG"/>
        </w:rPr>
        <w:t>тиреотоксикоза</w:t>
      </w:r>
      <w:proofErr w:type="spellEnd"/>
      <w:r w:rsidRPr="00F37617">
        <w:rPr>
          <w:rFonts w:cs="Arial"/>
          <w:lang w:val="bg-BG" w:eastAsia="bg-BG"/>
        </w:rPr>
        <w:t>, тумори, бъбречни заболявания, инфекции и възпаление.</w:t>
      </w:r>
    </w:p>
    <w:p w14:paraId="32DCC000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Нарушения в стомашно-чревната абсорбция могат да променят </w:t>
      </w:r>
      <w:proofErr w:type="spellStart"/>
      <w:r w:rsidRPr="00F37617">
        <w:rPr>
          <w:rFonts w:cs="Arial"/>
          <w:lang w:val="bg-BG" w:eastAsia="bg-BG"/>
        </w:rPr>
        <w:t>антикоагулантния</w:t>
      </w:r>
      <w:proofErr w:type="spellEnd"/>
      <w:r w:rsidRPr="00F37617">
        <w:rPr>
          <w:rFonts w:cs="Arial"/>
          <w:lang w:val="bg-BG" w:eastAsia="bg-BG"/>
        </w:rPr>
        <w:t xml:space="preserve"> ефект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. </w:t>
      </w:r>
      <w:r w:rsidRPr="00F37617">
        <w:rPr>
          <w:rFonts w:cs="Arial"/>
          <w:lang w:val="bg-BG" w:eastAsia="bg-BG"/>
        </w:rPr>
        <w:t>По време на лечението с антикоагуланти трябва да се избягват мускулни инжекции, защото може да причинят хематоми. От друга страна, подкожните и венозните инжекции не предизвикват такива усложнения.</w:t>
      </w:r>
    </w:p>
    <w:p w14:paraId="59BE8336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Трябва да се внимава, особено когато се налага скъсяване на </w:t>
      </w:r>
      <w:r w:rsidRPr="00F37617">
        <w:rPr>
          <w:rFonts w:cs="Arial"/>
        </w:rPr>
        <w:t xml:space="preserve">PT/INR </w:t>
      </w:r>
      <w:r w:rsidRPr="00F37617">
        <w:rPr>
          <w:rFonts w:cs="Arial"/>
          <w:lang w:val="bg-BG" w:eastAsia="bg-BG"/>
        </w:rPr>
        <w:t xml:space="preserve">за диагностични или терапевтични интервенции (напр. </w:t>
      </w:r>
      <w:proofErr w:type="spellStart"/>
      <w:r w:rsidRPr="00F37617">
        <w:rPr>
          <w:rFonts w:cs="Arial"/>
          <w:lang w:val="bg-BG" w:eastAsia="bg-BG"/>
        </w:rPr>
        <w:t>ангиография</w:t>
      </w:r>
      <w:proofErr w:type="spellEnd"/>
      <w:r w:rsidRPr="00F37617">
        <w:rPr>
          <w:rFonts w:cs="Arial"/>
          <w:lang w:val="bg-BG" w:eastAsia="bg-BG"/>
        </w:rPr>
        <w:t>, лумбална пункция, малка хирургична интервенция, екстракция на зъб и др.).</w:t>
      </w:r>
    </w:p>
    <w:p w14:paraId="393BD16B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0994B2E1" w14:textId="3DC8ABE7" w:rsidR="00B26507" w:rsidRPr="00F37617" w:rsidRDefault="00B26507" w:rsidP="00B26507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Пациенти с редки наследствени проблеми на </w:t>
      </w:r>
      <w:proofErr w:type="spellStart"/>
      <w:r w:rsidRPr="00F37617">
        <w:rPr>
          <w:rFonts w:cs="Arial"/>
          <w:lang w:val="bg-BG" w:eastAsia="bg-BG"/>
        </w:rPr>
        <w:t>галактозна</w:t>
      </w:r>
      <w:proofErr w:type="spellEnd"/>
      <w:r w:rsidRPr="00F37617">
        <w:rPr>
          <w:rFonts w:cs="Arial"/>
          <w:lang w:val="bg-BG" w:eastAsia="bg-BG"/>
        </w:rPr>
        <w:t xml:space="preserve"> непоносимост, общ </w:t>
      </w:r>
      <w:proofErr w:type="spellStart"/>
      <w:r w:rsidRPr="00F37617">
        <w:rPr>
          <w:rFonts w:cs="Arial"/>
          <w:lang w:val="bg-BG" w:eastAsia="bg-BG"/>
        </w:rPr>
        <w:t>лактазен</w:t>
      </w:r>
      <w:proofErr w:type="spellEnd"/>
      <w:r w:rsidRPr="00F37617">
        <w:rPr>
          <w:rFonts w:cs="Arial"/>
          <w:lang w:val="bg-BG" w:eastAsia="bg-BG"/>
        </w:rPr>
        <w:t xml:space="preserve"> дефицит или </w:t>
      </w:r>
      <w:proofErr w:type="spellStart"/>
      <w:r w:rsidRPr="00F37617">
        <w:rPr>
          <w:rFonts w:cs="Arial"/>
          <w:lang w:val="bg-BG" w:eastAsia="bg-BG"/>
        </w:rPr>
        <w:t>глюкозо</w:t>
      </w:r>
      <w:proofErr w:type="spellEnd"/>
      <w:r w:rsidRPr="00F37617">
        <w:rPr>
          <w:rFonts w:cs="Arial"/>
          <w:lang w:val="bg-BG" w:eastAsia="bg-BG"/>
        </w:rPr>
        <w:t xml:space="preserve">- </w:t>
      </w:r>
      <w:proofErr w:type="spellStart"/>
      <w:r w:rsidRPr="00F37617">
        <w:rPr>
          <w:rFonts w:cs="Arial"/>
          <w:lang w:val="bg-BG" w:eastAsia="bg-BG"/>
        </w:rPr>
        <w:t>галактозна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малабсорбция</w:t>
      </w:r>
      <w:proofErr w:type="spellEnd"/>
      <w:r w:rsidRPr="00F37617">
        <w:rPr>
          <w:rFonts w:cs="Arial"/>
          <w:lang w:val="bg-BG" w:eastAsia="bg-BG"/>
        </w:rPr>
        <w:t xml:space="preserve"> не трябва да приемат този лекарствен продукт.</w:t>
      </w:r>
    </w:p>
    <w:p w14:paraId="56778CB7" w14:textId="77777777" w:rsidR="00B26507" w:rsidRPr="00F37617" w:rsidRDefault="00B26507" w:rsidP="00B26507">
      <w:pPr>
        <w:rPr>
          <w:rFonts w:cs="Arial"/>
          <w:lang w:val="bg-BG"/>
        </w:rPr>
      </w:pPr>
    </w:p>
    <w:p w14:paraId="78BEBB3D" w14:textId="435E337A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4.5. </w:t>
      </w:r>
      <w:proofErr w:type="spellStart"/>
      <w:r w:rsidRPr="00F37617">
        <w:rPr>
          <w:rFonts w:cs="Arial"/>
        </w:rPr>
        <w:t>Взаимодействие</w:t>
      </w:r>
      <w:proofErr w:type="spellEnd"/>
      <w:r w:rsidRPr="00F37617">
        <w:rPr>
          <w:rFonts w:cs="Arial"/>
        </w:rPr>
        <w:t xml:space="preserve"> с </w:t>
      </w:r>
      <w:proofErr w:type="spellStart"/>
      <w:r w:rsidRPr="00F37617">
        <w:rPr>
          <w:rFonts w:cs="Arial"/>
        </w:rPr>
        <w:t>други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лекарствени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продукти</w:t>
      </w:r>
      <w:proofErr w:type="spellEnd"/>
      <w:r w:rsidRPr="00F37617">
        <w:rPr>
          <w:rFonts w:cs="Arial"/>
        </w:rPr>
        <w:t xml:space="preserve"> и </w:t>
      </w:r>
      <w:proofErr w:type="spellStart"/>
      <w:r w:rsidRPr="00F37617">
        <w:rPr>
          <w:rFonts w:cs="Arial"/>
        </w:rPr>
        <w:t>други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форми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взаимодействие</w:t>
      </w:r>
      <w:proofErr w:type="spellEnd"/>
    </w:p>
    <w:p w14:paraId="441EA184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Между </w:t>
      </w:r>
      <w:proofErr w:type="spellStart"/>
      <w:r w:rsidRPr="00F37617">
        <w:rPr>
          <w:rFonts w:cs="Arial"/>
          <w:lang w:val="bg-BG" w:eastAsia="bg-BG"/>
        </w:rPr>
        <w:t>кумариновите</w:t>
      </w:r>
      <w:proofErr w:type="spellEnd"/>
      <w:r w:rsidRPr="00F37617">
        <w:rPr>
          <w:rFonts w:cs="Arial"/>
          <w:lang w:val="bg-BG" w:eastAsia="bg-BG"/>
        </w:rPr>
        <w:t xml:space="preserve"> производни и другите лекарства са възможни много взаимодействия. Техните механизми включват нарушения на резорбцията, инхибиране или индукция на </w:t>
      </w:r>
      <w:proofErr w:type="spellStart"/>
      <w:r w:rsidRPr="00F37617">
        <w:rPr>
          <w:rFonts w:cs="Arial"/>
          <w:lang w:val="bg-BG" w:eastAsia="bg-BG"/>
        </w:rPr>
        <w:t>метаболизиращите</w:t>
      </w:r>
      <w:proofErr w:type="spellEnd"/>
      <w:r w:rsidRPr="00F37617">
        <w:rPr>
          <w:rFonts w:cs="Arial"/>
          <w:lang w:val="bg-BG" w:eastAsia="bg-BG"/>
        </w:rPr>
        <w:t xml:space="preserve"> ензимни системи (главно при </w:t>
      </w:r>
      <w:r w:rsidRPr="00F37617">
        <w:rPr>
          <w:rFonts w:cs="Arial"/>
        </w:rPr>
        <w:t xml:space="preserve">CYP2C9, </w:t>
      </w:r>
      <w:r w:rsidRPr="00F37617">
        <w:rPr>
          <w:rFonts w:cs="Arial"/>
          <w:lang w:val="bg-BG" w:eastAsia="bg-BG"/>
        </w:rPr>
        <w:t xml:space="preserve">вж. също и 5.2 </w:t>
      </w:r>
      <w:proofErr w:type="spellStart"/>
      <w:r w:rsidRPr="00F37617">
        <w:rPr>
          <w:rFonts w:cs="Arial"/>
          <w:lang w:val="bg-BG" w:eastAsia="bg-BG"/>
        </w:rPr>
        <w:t>Фармакокинетични</w:t>
      </w:r>
      <w:proofErr w:type="spellEnd"/>
      <w:r w:rsidRPr="00F37617">
        <w:rPr>
          <w:rFonts w:cs="Arial"/>
          <w:lang w:val="bg-BG" w:eastAsia="bg-BG"/>
        </w:rPr>
        <w:t xml:space="preserve"> свойства) и намалена наличност на витамин К, необходим за гама-</w:t>
      </w:r>
      <w:proofErr w:type="spellStart"/>
      <w:r w:rsidRPr="00F37617">
        <w:rPr>
          <w:rFonts w:cs="Arial"/>
          <w:lang w:val="bg-BG" w:eastAsia="bg-BG"/>
        </w:rPr>
        <w:t>карбоксилиране</w:t>
      </w:r>
      <w:proofErr w:type="spellEnd"/>
      <w:r w:rsidRPr="00F37617">
        <w:rPr>
          <w:rFonts w:cs="Arial"/>
          <w:lang w:val="bg-BG" w:eastAsia="bg-BG"/>
        </w:rPr>
        <w:t xml:space="preserve"> на факторите на </w:t>
      </w:r>
      <w:proofErr w:type="spellStart"/>
      <w:r w:rsidRPr="00F37617">
        <w:rPr>
          <w:rFonts w:cs="Arial"/>
          <w:lang w:val="bg-BG" w:eastAsia="bg-BG"/>
        </w:rPr>
        <w:t>протромбиновия</w:t>
      </w:r>
      <w:proofErr w:type="spellEnd"/>
      <w:r w:rsidRPr="00F37617">
        <w:rPr>
          <w:rFonts w:cs="Arial"/>
          <w:lang w:val="bg-BG" w:eastAsia="bg-BG"/>
        </w:rPr>
        <w:t xml:space="preserve"> комплекс. Важно е да се има предвид, че някои лекарства може да взаимодействат по повече от един механизъм. При всеки вид терапия съществува риск от взаимодействие, въпреки че не всички взаимодействия са с медицинско значение. Затова е важно да се провежда внимателно наблюдение и чести (напр. два пъти седмично) </w:t>
      </w:r>
      <w:proofErr w:type="spellStart"/>
      <w:r w:rsidRPr="00F37617">
        <w:rPr>
          <w:rFonts w:cs="Arial"/>
          <w:lang w:val="bg-BG" w:eastAsia="bg-BG"/>
        </w:rPr>
        <w:t>коагулационни</w:t>
      </w:r>
      <w:proofErr w:type="spellEnd"/>
      <w:r w:rsidRPr="00F37617">
        <w:rPr>
          <w:rFonts w:cs="Arial"/>
          <w:lang w:val="bg-BG" w:eastAsia="bg-BG"/>
        </w:rPr>
        <w:t xml:space="preserve"> тестове при иницииране на терапия или прекратяване на приема на каквото и да е лекарство в комбинация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>.</w:t>
      </w:r>
    </w:p>
    <w:p w14:paraId="1E52364A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</w:p>
    <w:p w14:paraId="66272FB9" w14:textId="6D883B2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>Взаимодействия, вследствие на които едновременната употреба не се препоръчва</w:t>
      </w:r>
    </w:p>
    <w:p w14:paraId="474D4A43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</w:p>
    <w:p w14:paraId="085EC632" w14:textId="52F976BE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 xml:space="preserve">Ефекти на други лекарства върху </w:t>
      </w:r>
      <w:proofErr w:type="spellStart"/>
      <w:r w:rsidRPr="00F37617">
        <w:rPr>
          <w:rFonts w:cs="Arial"/>
          <w:b/>
          <w:bCs/>
          <w:lang w:val="bg-BG" w:eastAsia="bg-BG"/>
        </w:rPr>
        <w:t>аценокумарол</w:t>
      </w:r>
      <w:proofErr w:type="spellEnd"/>
    </w:p>
    <w:p w14:paraId="6E1F5036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</w:p>
    <w:p w14:paraId="36E6148D" w14:textId="09110CA8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 xml:space="preserve">Следните лекарства </w:t>
      </w:r>
      <w:proofErr w:type="spellStart"/>
      <w:r w:rsidRPr="00F37617">
        <w:rPr>
          <w:rFonts w:cs="Arial"/>
          <w:b/>
          <w:bCs/>
          <w:lang w:val="bg-BG" w:eastAsia="bg-BG"/>
        </w:rPr>
        <w:t>потенцират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</w:t>
      </w:r>
      <w:proofErr w:type="spellStart"/>
      <w:r w:rsidRPr="00F37617">
        <w:rPr>
          <w:rFonts w:cs="Arial"/>
          <w:b/>
          <w:bCs/>
          <w:lang w:val="bg-BG" w:eastAsia="bg-BG"/>
        </w:rPr>
        <w:t>антикоагулантната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активност на </w:t>
      </w:r>
      <w:proofErr w:type="spellStart"/>
      <w:r w:rsidRPr="00F37617">
        <w:rPr>
          <w:rFonts w:cs="Arial"/>
          <w:b/>
          <w:bCs/>
          <w:lang w:val="bg-BG" w:eastAsia="bg-BG"/>
        </w:rPr>
        <w:t>аценокумарол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и/или изменят </w:t>
      </w:r>
      <w:proofErr w:type="spellStart"/>
      <w:r w:rsidRPr="00F37617">
        <w:rPr>
          <w:rFonts w:cs="Arial"/>
          <w:b/>
          <w:bCs/>
          <w:lang w:val="bg-BG" w:eastAsia="bg-BG"/>
        </w:rPr>
        <w:t>хемостазата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и така повишат риска от </w:t>
      </w:r>
      <w:proofErr w:type="spellStart"/>
      <w:r w:rsidRPr="00F37617">
        <w:rPr>
          <w:rFonts w:cs="Arial"/>
          <w:b/>
          <w:bCs/>
          <w:lang w:val="bg-BG" w:eastAsia="bg-BG"/>
        </w:rPr>
        <w:t>хеморагия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: </w:t>
      </w:r>
      <w:proofErr w:type="spellStart"/>
      <w:r w:rsidRPr="00F37617">
        <w:rPr>
          <w:rFonts w:cs="Arial"/>
          <w:lang w:val="bg-BG" w:eastAsia="bg-BG"/>
        </w:rPr>
        <w:t>хепарин</w:t>
      </w:r>
      <w:proofErr w:type="spellEnd"/>
      <w:r w:rsidRPr="00F37617">
        <w:rPr>
          <w:rFonts w:cs="Arial"/>
          <w:lang w:val="bg-BG" w:eastAsia="bg-BG"/>
        </w:rPr>
        <w:t xml:space="preserve"> (освен в случаите, в които е необходима бърза антикоагулация; вж. т. 4.2 Дозировка и начин на приложение), </w:t>
      </w:r>
      <w:proofErr w:type="spellStart"/>
      <w:r w:rsidRPr="00F37617">
        <w:rPr>
          <w:rFonts w:cs="Arial"/>
          <w:lang w:val="bg-BG" w:eastAsia="bg-BG"/>
        </w:rPr>
        <w:t>тромбоцитни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антиагреганти</w:t>
      </w:r>
      <w:proofErr w:type="spellEnd"/>
      <w:r w:rsidRPr="00F37617">
        <w:rPr>
          <w:rFonts w:cs="Arial"/>
          <w:lang w:val="bg-BG" w:eastAsia="bg-BG"/>
        </w:rPr>
        <w:t xml:space="preserve"> като салицилова киселина и нейните производни (напр. </w:t>
      </w:r>
      <w:proofErr w:type="spellStart"/>
      <w:r w:rsidRPr="00F37617">
        <w:rPr>
          <w:rFonts w:cs="Arial"/>
          <w:lang w:val="bg-BG" w:eastAsia="bg-BG"/>
        </w:rPr>
        <w:t>ацетилсалицилова</w:t>
      </w:r>
      <w:proofErr w:type="spellEnd"/>
      <w:r w:rsidRPr="00F37617">
        <w:rPr>
          <w:rFonts w:cs="Arial"/>
          <w:lang w:val="bg-BG" w:eastAsia="bg-BG"/>
        </w:rPr>
        <w:t xml:space="preserve"> киселина, пара-</w:t>
      </w:r>
      <w:proofErr w:type="spellStart"/>
      <w:r w:rsidRPr="00F37617">
        <w:rPr>
          <w:rFonts w:cs="Arial"/>
          <w:lang w:val="bg-BG" w:eastAsia="bg-BG"/>
        </w:rPr>
        <w:t>аминосалицилова</w:t>
      </w:r>
      <w:proofErr w:type="spellEnd"/>
      <w:r w:rsidRPr="00F37617">
        <w:rPr>
          <w:rFonts w:cs="Arial"/>
          <w:lang w:val="bg-BG" w:eastAsia="bg-BG"/>
        </w:rPr>
        <w:t xml:space="preserve"> киселина, </w:t>
      </w:r>
      <w:proofErr w:type="spellStart"/>
      <w:r w:rsidRPr="00F37617">
        <w:rPr>
          <w:rFonts w:cs="Arial"/>
          <w:lang w:val="bg-BG" w:eastAsia="bg-BG"/>
        </w:rPr>
        <w:t>дифлунизал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клопидогрел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тиклопидин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фенилбутазон</w:t>
      </w:r>
      <w:proofErr w:type="spellEnd"/>
      <w:r w:rsidRPr="00F37617">
        <w:rPr>
          <w:rFonts w:cs="Arial"/>
          <w:lang w:val="bg-BG" w:eastAsia="bg-BG"/>
        </w:rPr>
        <w:t xml:space="preserve"> или други </w:t>
      </w:r>
      <w:proofErr w:type="spellStart"/>
      <w:r w:rsidRPr="00F37617">
        <w:rPr>
          <w:rFonts w:cs="Arial"/>
          <w:lang w:val="bg-BG" w:eastAsia="bg-BG"/>
        </w:rPr>
        <w:t>пиразолонови</w:t>
      </w:r>
      <w:proofErr w:type="spellEnd"/>
      <w:r w:rsidRPr="00F37617">
        <w:rPr>
          <w:rFonts w:cs="Arial"/>
          <w:lang w:val="bg-BG" w:eastAsia="bg-BG"/>
        </w:rPr>
        <w:t xml:space="preserve"> производни (</w:t>
      </w:r>
      <w:proofErr w:type="spellStart"/>
      <w:r w:rsidRPr="00F37617">
        <w:rPr>
          <w:rFonts w:cs="Arial"/>
          <w:lang w:val="bg-BG" w:eastAsia="bg-BG"/>
        </w:rPr>
        <w:t>сулфинпиразон</w:t>
      </w:r>
      <w:proofErr w:type="spellEnd"/>
      <w:r w:rsidRPr="00F37617">
        <w:rPr>
          <w:rFonts w:cs="Arial"/>
          <w:lang w:val="bg-BG" w:eastAsia="bg-BG"/>
        </w:rPr>
        <w:t xml:space="preserve">) и други нестероидни противовъзпалителни лекарства, включително инхибитори на цикло-оксигеназа-2 (СОХ-2 инхибитори) (напр. </w:t>
      </w:r>
      <w:proofErr w:type="spellStart"/>
      <w:r w:rsidRPr="00F37617">
        <w:rPr>
          <w:rFonts w:cs="Arial"/>
          <w:lang w:val="bg-BG" w:eastAsia="bg-BG"/>
        </w:rPr>
        <w:t>целекоксиб</w:t>
      </w:r>
      <w:proofErr w:type="spellEnd"/>
      <w:r w:rsidRPr="00F37617">
        <w:rPr>
          <w:rFonts w:cs="Arial"/>
          <w:lang w:val="bg-BG" w:eastAsia="bg-BG"/>
        </w:rPr>
        <w:t>.</w:t>
      </w:r>
    </w:p>
    <w:p w14:paraId="33AF3B64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lastRenderedPageBreak/>
        <w:t xml:space="preserve">Следователно, употребата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заедно с тези вещества не се препоръчва. Когато се назначи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в комбинация с тези лекарства, е необходимо да се правят по-често </w:t>
      </w:r>
      <w:proofErr w:type="spellStart"/>
      <w:r w:rsidRPr="00F37617">
        <w:rPr>
          <w:rFonts w:cs="Arial"/>
          <w:lang w:val="bg-BG" w:eastAsia="bg-BG"/>
        </w:rPr>
        <w:t>коагулационни</w:t>
      </w:r>
      <w:proofErr w:type="spellEnd"/>
      <w:r w:rsidRPr="00F37617">
        <w:rPr>
          <w:rFonts w:cs="Arial"/>
          <w:lang w:val="bg-BG" w:eastAsia="bg-BG"/>
        </w:rPr>
        <w:t xml:space="preserve"> тестове.</w:t>
      </w:r>
    </w:p>
    <w:p w14:paraId="555BD243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  <w:bookmarkStart w:id="3" w:name="bookmark3"/>
    </w:p>
    <w:p w14:paraId="648640D2" w14:textId="425516E3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>Взаимодействия, които трябва да се вземат под внимание</w:t>
      </w:r>
      <w:bookmarkEnd w:id="3"/>
    </w:p>
    <w:p w14:paraId="57F0AEC4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</w:p>
    <w:p w14:paraId="0D719BCC" w14:textId="3E9E3F56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 xml:space="preserve">Следните лекарства може да </w:t>
      </w:r>
      <w:proofErr w:type="spellStart"/>
      <w:r w:rsidRPr="00F37617">
        <w:rPr>
          <w:rFonts w:cs="Arial"/>
          <w:b/>
          <w:bCs/>
          <w:lang w:val="bg-BG" w:eastAsia="bg-BG"/>
        </w:rPr>
        <w:t>потенцират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</w:t>
      </w:r>
      <w:proofErr w:type="spellStart"/>
      <w:r w:rsidRPr="00F37617">
        <w:rPr>
          <w:rFonts w:cs="Arial"/>
          <w:b/>
          <w:bCs/>
          <w:lang w:val="bg-BG" w:eastAsia="bg-BG"/>
        </w:rPr>
        <w:t>антикоагулантният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ефект на </w:t>
      </w:r>
      <w:proofErr w:type="spellStart"/>
      <w:r w:rsidRPr="00F37617">
        <w:rPr>
          <w:rFonts w:cs="Arial"/>
          <w:b/>
          <w:bCs/>
          <w:lang w:val="bg-BG" w:eastAsia="bg-BG"/>
        </w:rPr>
        <w:t>аценокумарол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: </w:t>
      </w:r>
      <w:proofErr w:type="spellStart"/>
      <w:r w:rsidRPr="00F37617">
        <w:rPr>
          <w:rFonts w:cs="Arial"/>
          <w:lang w:val="bg-BG" w:eastAsia="bg-BG"/>
        </w:rPr>
        <w:t>алопуринол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анаболни</w:t>
      </w:r>
      <w:proofErr w:type="spellEnd"/>
      <w:r w:rsidRPr="00F37617">
        <w:rPr>
          <w:rFonts w:cs="Arial"/>
          <w:lang w:val="bg-BG" w:eastAsia="bg-BG"/>
        </w:rPr>
        <w:t xml:space="preserve"> стероиди, </w:t>
      </w:r>
      <w:proofErr w:type="spellStart"/>
      <w:r w:rsidRPr="00F37617">
        <w:rPr>
          <w:rFonts w:cs="Arial"/>
          <w:lang w:val="bg-BG" w:eastAsia="bg-BG"/>
        </w:rPr>
        <w:t>андрогени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антиаритмични</w:t>
      </w:r>
      <w:proofErr w:type="spellEnd"/>
      <w:r w:rsidRPr="00F37617">
        <w:rPr>
          <w:rFonts w:cs="Arial"/>
          <w:lang w:val="bg-BG" w:eastAsia="bg-BG"/>
        </w:rPr>
        <w:t xml:space="preserve"> лекарствени продукти (напр. </w:t>
      </w:r>
      <w:proofErr w:type="spellStart"/>
      <w:r w:rsidRPr="00F37617">
        <w:rPr>
          <w:rFonts w:cs="Arial"/>
          <w:lang w:val="bg-BG" w:eastAsia="bg-BG"/>
        </w:rPr>
        <w:t>амиодарон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хинидин</w:t>
      </w:r>
      <w:proofErr w:type="spellEnd"/>
      <w:r w:rsidRPr="00F37617">
        <w:rPr>
          <w:rFonts w:cs="Arial"/>
          <w:lang w:val="bg-BG" w:eastAsia="bg-BG"/>
        </w:rPr>
        <w:t xml:space="preserve">), антибиотици (напр. </w:t>
      </w:r>
      <w:proofErr w:type="spellStart"/>
      <w:r w:rsidRPr="00F37617">
        <w:rPr>
          <w:rFonts w:cs="Arial"/>
          <w:lang w:val="bg-BG" w:eastAsia="bg-BG"/>
        </w:rPr>
        <w:t>амоксицилин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цефалоспорини</w:t>
      </w:r>
      <w:proofErr w:type="spellEnd"/>
      <w:r w:rsidRPr="00F37617">
        <w:rPr>
          <w:rFonts w:cs="Arial"/>
          <w:lang w:val="bg-BG" w:eastAsia="bg-BG"/>
        </w:rPr>
        <w:t xml:space="preserve"> втора и трета генерация, </w:t>
      </w:r>
      <w:proofErr w:type="spellStart"/>
      <w:r w:rsidRPr="00F37617">
        <w:rPr>
          <w:rFonts w:cs="Arial"/>
          <w:lang w:val="bg-BG" w:eastAsia="bg-BG"/>
        </w:rPr>
        <w:t>хлорамфеникол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еритромицин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флуорхинолони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неомицин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тетрациклини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циметидин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дисулфирам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етакринова</w:t>
      </w:r>
      <w:proofErr w:type="spellEnd"/>
      <w:r w:rsidRPr="00F37617">
        <w:rPr>
          <w:rFonts w:cs="Arial"/>
          <w:lang w:val="bg-BG" w:eastAsia="bg-BG"/>
        </w:rPr>
        <w:t xml:space="preserve"> киселина, </w:t>
      </w:r>
      <w:proofErr w:type="spellStart"/>
      <w:r w:rsidRPr="00F37617">
        <w:rPr>
          <w:rFonts w:cs="Arial"/>
          <w:lang w:val="bg-BG" w:eastAsia="bg-BG"/>
        </w:rPr>
        <w:t>фибрати</w:t>
      </w:r>
      <w:proofErr w:type="spellEnd"/>
      <w:r w:rsidRPr="00F37617">
        <w:rPr>
          <w:rFonts w:cs="Arial"/>
          <w:lang w:val="bg-BG" w:eastAsia="bg-BG"/>
        </w:rPr>
        <w:t xml:space="preserve">, (напр. </w:t>
      </w:r>
      <w:proofErr w:type="spellStart"/>
      <w:r w:rsidRPr="00F37617">
        <w:rPr>
          <w:rFonts w:cs="Arial"/>
          <w:lang w:val="bg-BG" w:eastAsia="bg-BG"/>
        </w:rPr>
        <w:t>клофибринова</w:t>
      </w:r>
      <w:proofErr w:type="spellEnd"/>
      <w:r w:rsidRPr="00F37617">
        <w:rPr>
          <w:rFonts w:cs="Arial"/>
          <w:lang w:val="bg-BG" w:eastAsia="bg-BG"/>
        </w:rPr>
        <w:t xml:space="preserve"> киселина), </w:t>
      </w:r>
      <w:proofErr w:type="spellStart"/>
      <w:r w:rsidRPr="00F37617">
        <w:rPr>
          <w:rFonts w:cs="Arial"/>
          <w:lang w:val="bg-BG" w:eastAsia="bg-BG"/>
        </w:rPr>
        <w:t>глюкагон</w:t>
      </w:r>
      <w:proofErr w:type="spellEnd"/>
      <w:r w:rsidRPr="00F37617">
        <w:rPr>
          <w:rFonts w:cs="Arial"/>
          <w:lang w:val="bg-BG" w:eastAsia="bg-BG"/>
        </w:rPr>
        <w:t xml:space="preserve">, производни на </w:t>
      </w:r>
      <w:proofErr w:type="spellStart"/>
      <w:r w:rsidRPr="00F37617">
        <w:rPr>
          <w:rFonts w:cs="Arial"/>
          <w:lang w:val="bg-BG" w:eastAsia="bg-BG"/>
        </w:rPr>
        <w:t>имидазол</w:t>
      </w:r>
      <w:proofErr w:type="spellEnd"/>
      <w:r w:rsidRPr="00F37617">
        <w:rPr>
          <w:rFonts w:cs="Arial"/>
          <w:lang w:val="bg-BG" w:eastAsia="bg-BG"/>
        </w:rPr>
        <w:t xml:space="preserve"> (напр. </w:t>
      </w:r>
      <w:proofErr w:type="spellStart"/>
      <w:r w:rsidRPr="00F37617">
        <w:rPr>
          <w:rFonts w:cs="Arial"/>
          <w:lang w:val="bg-BG" w:eastAsia="bg-BG"/>
        </w:rPr>
        <w:t>метронидазол</w:t>
      </w:r>
      <w:proofErr w:type="spellEnd"/>
      <w:r w:rsidRPr="00F37617">
        <w:rPr>
          <w:rFonts w:cs="Arial"/>
          <w:lang w:val="bg-BG" w:eastAsia="bg-BG"/>
        </w:rPr>
        <w:t xml:space="preserve"> и </w:t>
      </w:r>
      <w:proofErr w:type="spellStart"/>
      <w:r w:rsidRPr="00F37617">
        <w:rPr>
          <w:rFonts w:cs="Arial"/>
          <w:lang w:val="bg-BG" w:eastAsia="bg-BG"/>
        </w:rPr>
        <w:t>миконазол</w:t>
      </w:r>
      <w:proofErr w:type="spellEnd"/>
      <w:r w:rsidRPr="00F37617">
        <w:rPr>
          <w:rFonts w:cs="Arial"/>
          <w:lang w:val="bg-BG" w:eastAsia="bg-BG"/>
        </w:rPr>
        <w:t xml:space="preserve"> при локално приложение), </w:t>
      </w:r>
      <w:proofErr w:type="spellStart"/>
      <w:r w:rsidRPr="00F37617">
        <w:rPr>
          <w:rFonts w:cs="Arial"/>
          <w:lang w:val="bg-BG" w:eastAsia="bg-BG"/>
        </w:rPr>
        <w:t>парацетамол</w:t>
      </w:r>
      <w:proofErr w:type="spellEnd"/>
      <w:r w:rsidRPr="00F37617">
        <w:rPr>
          <w:rFonts w:cs="Arial"/>
          <w:lang w:val="bg-BG" w:eastAsia="bg-BG"/>
        </w:rPr>
        <w:t xml:space="preserve">, селективни </w:t>
      </w:r>
      <w:proofErr w:type="spellStart"/>
      <w:r w:rsidRPr="00F37617">
        <w:rPr>
          <w:rFonts w:cs="Arial"/>
          <w:lang w:val="bg-BG" w:eastAsia="bg-BG"/>
        </w:rPr>
        <w:t>инхибитори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proofErr w:type="spellStart"/>
      <w:r w:rsidRPr="00F37617">
        <w:rPr>
          <w:rFonts w:cs="Arial"/>
          <w:lang w:val="bg-BG" w:eastAsia="bg-BG"/>
        </w:rPr>
        <w:t>серотониновия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реъптейк</w:t>
      </w:r>
      <w:proofErr w:type="spellEnd"/>
      <w:r w:rsidRPr="00F37617">
        <w:rPr>
          <w:rFonts w:cs="Arial"/>
          <w:lang w:val="bg-BG" w:eastAsia="bg-BG"/>
        </w:rPr>
        <w:t xml:space="preserve"> </w:t>
      </w:r>
      <w:r w:rsidRPr="00F37617">
        <w:rPr>
          <w:rFonts w:cs="Arial"/>
          <w:lang w:val="bg-BG"/>
        </w:rPr>
        <w:t xml:space="preserve">SSRI </w:t>
      </w:r>
      <w:r w:rsidRPr="00F37617">
        <w:rPr>
          <w:rFonts w:cs="Arial"/>
          <w:lang w:val="bg-BG" w:eastAsia="bg-BG"/>
        </w:rPr>
        <w:t xml:space="preserve">(напр. </w:t>
      </w:r>
      <w:proofErr w:type="spellStart"/>
      <w:r w:rsidRPr="00F37617">
        <w:rPr>
          <w:rFonts w:cs="Arial"/>
          <w:lang w:val="bg-BG" w:eastAsia="bg-BG"/>
        </w:rPr>
        <w:t>циталопрам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флоксетин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сертралин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статини</w:t>
      </w:r>
      <w:proofErr w:type="spellEnd"/>
      <w:r w:rsidRPr="00F37617">
        <w:rPr>
          <w:rFonts w:cs="Arial"/>
          <w:lang w:val="bg-BG" w:eastAsia="bg-BG"/>
        </w:rPr>
        <w:t xml:space="preserve"> (напр. </w:t>
      </w:r>
      <w:proofErr w:type="spellStart"/>
      <w:r w:rsidRPr="00F37617">
        <w:rPr>
          <w:rFonts w:cs="Arial"/>
          <w:lang w:val="bg-BG" w:eastAsia="bg-BG"/>
        </w:rPr>
        <w:t>флувастатин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аторвастатин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симвастатин</w:t>
      </w:r>
      <w:proofErr w:type="spellEnd"/>
      <w:r w:rsidRPr="00F37617">
        <w:rPr>
          <w:rFonts w:cs="Arial"/>
          <w:lang w:val="bg-BG" w:eastAsia="bg-BG"/>
        </w:rPr>
        <w:t xml:space="preserve">), сулфонамиди, включително </w:t>
      </w:r>
      <w:proofErr w:type="spellStart"/>
      <w:r w:rsidRPr="00F37617">
        <w:rPr>
          <w:rFonts w:cs="Arial"/>
          <w:lang w:val="bg-BG" w:eastAsia="bg-BG"/>
        </w:rPr>
        <w:t>котримоксазол</w:t>
      </w:r>
      <w:proofErr w:type="spellEnd"/>
      <w:r w:rsidRPr="00F37617">
        <w:rPr>
          <w:rFonts w:cs="Arial"/>
          <w:lang w:val="bg-BG" w:eastAsia="bg-BG"/>
        </w:rPr>
        <w:t xml:space="preserve"> (=</w:t>
      </w:r>
      <w:proofErr w:type="spellStart"/>
      <w:r w:rsidRPr="00F37617">
        <w:rPr>
          <w:rFonts w:cs="Arial"/>
          <w:lang w:val="bg-BG" w:eastAsia="bg-BG"/>
        </w:rPr>
        <w:t>сулфаметоксазол+триметоприм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сулфанилурейни</w:t>
      </w:r>
      <w:proofErr w:type="spellEnd"/>
      <w:r w:rsidRPr="00F37617">
        <w:rPr>
          <w:rFonts w:cs="Arial"/>
          <w:lang w:val="bg-BG" w:eastAsia="bg-BG"/>
        </w:rPr>
        <w:t xml:space="preserve"> лекарства (като </w:t>
      </w:r>
      <w:proofErr w:type="spellStart"/>
      <w:r w:rsidRPr="00F37617">
        <w:rPr>
          <w:rFonts w:cs="Arial"/>
          <w:lang w:val="bg-BG" w:eastAsia="bg-BG"/>
        </w:rPr>
        <w:t>толбутамид</w:t>
      </w:r>
      <w:proofErr w:type="spellEnd"/>
      <w:r w:rsidRPr="00F37617">
        <w:rPr>
          <w:rFonts w:cs="Arial"/>
          <w:lang w:val="bg-BG" w:eastAsia="bg-BG"/>
        </w:rPr>
        <w:t xml:space="preserve"> и </w:t>
      </w:r>
      <w:proofErr w:type="spellStart"/>
      <w:r w:rsidRPr="00F37617">
        <w:rPr>
          <w:rFonts w:cs="Arial"/>
          <w:lang w:val="bg-BG" w:eastAsia="bg-BG"/>
        </w:rPr>
        <w:t>хлорпропамид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тиреоидни</w:t>
      </w:r>
      <w:proofErr w:type="spellEnd"/>
      <w:r w:rsidRPr="00F37617">
        <w:rPr>
          <w:rFonts w:cs="Arial"/>
          <w:lang w:val="bg-BG" w:eastAsia="bg-BG"/>
        </w:rPr>
        <w:t xml:space="preserve"> хормони (вкл. </w:t>
      </w:r>
      <w:proofErr w:type="spellStart"/>
      <w:r w:rsidRPr="00F37617">
        <w:rPr>
          <w:rFonts w:cs="Arial"/>
          <w:lang w:val="bg-BG" w:eastAsia="bg-BG"/>
        </w:rPr>
        <w:t>декстротироксин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тамоксифен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трамадол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инхибитори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proofErr w:type="spellStart"/>
      <w:r w:rsidRPr="00F37617">
        <w:rPr>
          <w:rFonts w:cs="Arial"/>
          <w:lang w:val="bg-BG" w:eastAsia="bg-BG"/>
        </w:rPr>
        <w:t>протонната</w:t>
      </w:r>
      <w:proofErr w:type="spellEnd"/>
      <w:r w:rsidRPr="00F37617">
        <w:rPr>
          <w:rFonts w:cs="Arial"/>
          <w:lang w:val="bg-BG" w:eastAsia="bg-BG"/>
        </w:rPr>
        <w:t xml:space="preserve"> помпа (напр. </w:t>
      </w:r>
      <w:proofErr w:type="spellStart"/>
      <w:r w:rsidRPr="00F37617">
        <w:rPr>
          <w:rFonts w:cs="Arial"/>
          <w:lang w:val="bg-BG" w:eastAsia="bg-BG"/>
        </w:rPr>
        <w:t>омепразол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плазминоген</w:t>
      </w:r>
      <w:proofErr w:type="spellEnd"/>
      <w:r w:rsidRPr="00F37617">
        <w:rPr>
          <w:rFonts w:cs="Arial"/>
          <w:lang w:val="bg-BG" w:eastAsia="bg-BG"/>
        </w:rPr>
        <w:t xml:space="preserve"> активатори (напр. </w:t>
      </w:r>
      <w:proofErr w:type="spellStart"/>
      <w:r w:rsidRPr="00F37617">
        <w:rPr>
          <w:rFonts w:cs="Arial"/>
          <w:lang w:val="bg-BG" w:eastAsia="bg-BG"/>
        </w:rPr>
        <w:t>урокиназа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стрептокиназа</w:t>
      </w:r>
      <w:proofErr w:type="spellEnd"/>
      <w:r w:rsidRPr="00F37617">
        <w:rPr>
          <w:rFonts w:cs="Arial"/>
          <w:lang w:val="bg-BG" w:eastAsia="bg-BG"/>
        </w:rPr>
        <w:t xml:space="preserve"> и </w:t>
      </w:r>
      <w:proofErr w:type="spellStart"/>
      <w:r w:rsidRPr="00F37617">
        <w:rPr>
          <w:rFonts w:cs="Arial"/>
          <w:lang w:val="bg-BG" w:eastAsia="bg-BG"/>
        </w:rPr>
        <w:t>алтеплаза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тромбинови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инхибитори</w:t>
      </w:r>
      <w:proofErr w:type="spellEnd"/>
      <w:r w:rsidRPr="00F37617">
        <w:rPr>
          <w:rFonts w:cs="Arial"/>
          <w:lang w:val="bg-BG" w:eastAsia="bg-BG"/>
        </w:rPr>
        <w:t xml:space="preserve"> (например </w:t>
      </w:r>
      <w:proofErr w:type="spellStart"/>
      <w:r w:rsidRPr="00F37617">
        <w:rPr>
          <w:rFonts w:cs="Arial"/>
          <w:lang w:val="bg-BG" w:eastAsia="bg-BG"/>
        </w:rPr>
        <w:t>аргатробан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прокинетични</w:t>
      </w:r>
      <w:proofErr w:type="spellEnd"/>
      <w:r w:rsidRPr="00F37617">
        <w:rPr>
          <w:rFonts w:cs="Arial"/>
          <w:lang w:val="bg-BG" w:eastAsia="bg-BG"/>
        </w:rPr>
        <w:t xml:space="preserve"> медикаменти (напр. </w:t>
      </w:r>
      <w:proofErr w:type="spellStart"/>
      <w:r w:rsidRPr="00F37617">
        <w:rPr>
          <w:rFonts w:cs="Arial"/>
          <w:lang w:val="bg-BG" w:eastAsia="bg-BG"/>
        </w:rPr>
        <w:t>цизаприд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антиациди</w:t>
      </w:r>
      <w:proofErr w:type="spellEnd"/>
      <w:r w:rsidRPr="00F37617">
        <w:rPr>
          <w:rFonts w:cs="Arial"/>
          <w:lang w:val="bg-BG" w:eastAsia="bg-BG"/>
        </w:rPr>
        <w:t xml:space="preserve"> (например магнезиев </w:t>
      </w:r>
      <w:proofErr w:type="spellStart"/>
      <w:r w:rsidRPr="00F37617">
        <w:rPr>
          <w:rFonts w:cs="Arial"/>
          <w:lang w:val="bg-BG" w:eastAsia="bg-BG"/>
        </w:rPr>
        <w:t>хидроксид</w:t>
      </w:r>
      <w:proofErr w:type="spellEnd"/>
      <w:r w:rsidRPr="00F37617">
        <w:rPr>
          <w:rFonts w:cs="Arial"/>
          <w:lang w:val="bg-BG" w:eastAsia="bg-BG"/>
        </w:rPr>
        <w:t xml:space="preserve">) и </w:t>
      </w:r>
      <w:proofErr w:type="spellStart"/>
      <w:r w:rsidRPr="00F37617">
        <w:rPr>
          <w:rFonts w:cs="Arial"/>
          <w:lang w:val="bg-BG" w:eastAsia="bg-BG"/>
        </w:rPr>
        <w:t>вилоксазин</w:t>
      </w:r>
      <w:proofErr w:type="spellEnd"/>
      <w:r w:rsidRPr="00F37617">
        <w:rPr>
          <w:rFonts w:cs="Arial"/>
          <w:lang w:val="bg-BG" w:eastAsia="bg-BG"/>
        </w:rPr>
        <w:t xml:space="preserve">, витамин Е, кортикостероиди (напр. </w:t>
      </w:r>
      <w:proofErr w:type="spellStart"/>
      <w:r w:rsidRPr="00F37617">
        <w:rPr>
          <w:rFonts w:cs="Arial"/>
          <w:lang w:val="bg-BG" w:eastAsia="bg-BG"/>
        </w:rPr>
        <w:t>метилпреднизолон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преднизон</w:t>
      </w:r>
      <w:proofErr w:type="spellEnd"/>
      <w:r w:rsidRPr="00F37617">
        <w:rPr>
          <w:rFonts w:cs="Arial"/>
          <w:lang w:val="bg-BG" w:eastAsia="bg-BG"/>
        </w:rPr>
        <w:t xml:space="preserve">) и </w:t>
      </w:r>
      <w:proofErr w:type="spellStart"/>
      <w:r w:rsidRPr="00F37617">
        <w:rPr>
          <w:rFonts w:cs="Arial"/>
          <w:lang w:val="bg-BG" w:eastAsia="bg-BG"/>
        </w:rPr>
        <w:t>инхибитори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r w:rsidRPr="00F37617">
        <w:rPr>
          <w:rFonts w:cs="Arial"/>
          <w:lang w:val="bg-BG"/>
        </w:rPr>
        <w:t>CYP2C9</w:t>
      </w:r>
    </w:p>
    <w:p w14:paraId="4E85D0EE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</w:p>
    <w:p w14:paraId="5A729CFA" w14:textId="476D7DF4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 xml:space="preserve">Следните лекарства могат да намалят </w:t>
      </w:r>
      <w:proofErr w:type="spellStart"/>
      <w:r w:rsidRPr="00F37617">
        <w:rPr>
          <w:rFonts w:cs="Arial"/>
          <w:b/>
          <w:bCs/>
          <w:lang w:val="bg-BG" w:eastAsia="bg-BG"/>
        </w:rPr>
        <w:t>антикоагулантното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действие на </w:t>
      </w:r>
      <w:proofErr w:type="spellStart"/>
      <w:r w:rsidRPr="00F37617">
        <w:rPr>
          <w:rFonts w:cs="Arial"/>
          <w:b/>
          <w:bCs/>
          <w:lang w:val="bg-BG" w:eastAsia="bg-BG"/>
        </w:rPr>
        <w:t>аценокумарол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: </w:t>
      </w:r>
      <w:proofErr w:type="spellStart"/>
      <w:r w:rsidRPr="00F37617">
        <w:rPr>
          <w:rFonts w:cs="Arial"/>
          <w:lang w:val="bg-BG" w:eastAsia="bg-BG"/>
        </w:rPr>
        <w:t>Аминоглутетимид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антинеопластични</w:t>
      </w:r>
      <w:proofErr w:type="spellEnd"/>
      <w:r w:rsidRPr="00F37617">
        <w:rPr>
          <w:rFonts w:cs="Arial"/>
          <w:lang w:val="bg-BG" w:eastAsia="bg-BG"/>
        </w:rPr>
        <w:t xml:space="preserve"> лекарства (</w:t>
      </w:r>
      <w:proofErr w:type="spellStart"/>
      <w:r w:rsidRPr="00F37617">
        <w:rPr>
          <w:rFonts w:cs="Arial"/>
          <w:lang w:val="bg-BG" w:eastAsia="bg-BG"/>
        </w:rPr>
        <w:t>азатиоприн</w:t>
      </w:r>
      <w:proofErr w:type="spellEnd"/>
      <w:r w:rsidRPr="00F37617">
        <w:rPr>
          <w:rFonts w:cs="Arial"/>
          <w:lang w:val="bg-BG" w:eastAsia="bg-BG"/>
        </w:rPr>
        <w:t xml:space="preserve">, 6-меркаптопурин), </w:t>
      </w:r>
      <w:proofErr w:type="spellStart"/>
      <w:r w:rsidRPr="00F37617">
        <w:rPr>
          <w:rFonts w:cs="Arial"/>
          <w:lang w:val="bg-BG" w:eastAsia="bg-BG"/>
        </w:rPr>
        <w:t>барбитурати</w:t>
      </w:r>
      <w:proofErr w:type="spellEnd"/>
      <w:r w:rsidRPr="00F37617">
        <w:rPr>
          <w:rFonts w:cs="Arial"/>
          <w:lang w:val="bg-BG" w:eastAsia="bg-BG"/>
        </w:rPr>
        <w:t xml:space="preserve"> (напр. </w:t>
      </w:r>
      <w:proofErr w:type="spellStart"/>
      <w:r w:rsidRPr="00F37617">
        <w:rPr>
          <w:rFonts w:cs="Arial"/>
          <w:lang w:val="bg-BG" w:eastAsia="bg-BG"/>
        </w:rPr>
        <w:t>фенобарбитал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карбамазепин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холестирамин</w:t>
      </w:r>
      <w:proofErr w:type="spellEnd"/>
      <w:r w:rsidRPr="00F37617">
        <w:rPr>
          <w:rFonts w:cs="Arial"/>
          <w:lang w:val="bg-BG" w:eastAsia="bg-BG"/>
        </w:rPr>
        <w:t xml:space="preserve"> (вж. 4.9 Предозиране), </w:t>
      </w:r>
      <w:r w:rsidRPr="00F37617">
        <w:rPr>
          <w:rFonts w:cs="Arial"/>
        </w:rPr>
        <w:t xml:space="preserve">HIV </w:t>
      </w:r>
      <w:proofErr w:type="spellStart"/>
      <w:r w:rsidRPr="00F37617">
        <w:rPr>
          <w:rFonts w:cs="Arial"/>
          <w:lang w:val="bg-BG" w:eastAsia="bg-BG"/>
        </w:rPr>
        <w:t>протеазни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инхибитори</w:t>
      </w:r>
      <w:proofErr w:type="spellEnd"/>
      <w:r w:rsidRPr="00F37617">
        <w:rPr>
          <w:rFonts w:cs="Arial"/>
          <w:lang w:val="bg-BG" w:eastAsia="bg-BG"/>
        </w:rPr>
        <w:t xml:space="preserve"> (напр. </w:t>
      </w:r>
      <w:proofErr w:type="spellStart"/>
      <w:r w:rsidRPr="00F37617">
        <w:rPr>
          <w:rFonts w:cs="Arial"/>
          <w:lang w:val="bg-BG" w:eastAsia="bg-BG"/>
        </w:rPr>
        <w:t>ритонавир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нелфинавир</w:t>
      </w:r>
      <w:proofErr w:type="spellEnd"/>
      <w:r w:rsidRPr="00F37617">
        <w:rPr>
          <w:rFonts w:cs="Arial"/>
          <w:lang w:val="bg-BG" w:eastAsia="bg-BG"/>
        </w:rPr>
        <w:t xml:space="preserve">), </w:t>
      </w:r>
      <w:proofErr w:type="spellStart"/>
      <w:r w:rsidRPr="00F37617">
        <w:rPr>
          <w:rFonts w:cs="Arial"/>
          <w:lang w:val="bg-BG" w:eastAsia="bg-BG"/>
        </w:rPr>
        <w:t>гризеофулвин</w:t>
      </w:r>
      <w:proofErr w:type="spellEnd"/>
      <w:r w:rsidRPr="00F37617">
        <w:rPr>
          <w:rFonts w:cs="Arial"/>
          <w:lang w:val="bg-BG" w:eastAsia="bg-BG"/>
        </w:rPr>
        <w:t xml:space="preserve">, перорални </w:t>
      </w:r>
      <w:proofErr w:type="spellStart"/>
      <w:r w:rsidRPr="00F37617">
        <w:rPr>
          <w:rFonts w:cs="Arial"/>
          <w:lang w:val="bg-BG" w:eastAsia="bg-BG"/>
        </w:rPr>
        <w:t>контрацептиви</w:t>
      </w:r>
      <w:proofErr w:type="spellEnd"/>
      <w:r w:rsidRPr="00F37617">
        <w:rPr>
          <w:rFonts w:cs="Arial"/>
          <w:lang w:val="bg-BG" w:eastAsia="bg-BG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рифампицин</w:t>
      </w:r>
      <w:proofErr w:type="spellEnd"/>
      <w:r w:rsidRPr="00F37617">
        <w:rPr>
          <w:rFonts w:cs="Arial"/>
          <w:lang w:val="bg-BG" w:eastAsia="bg-BG"/>
        </w:rPr>
        <w:t xml:space="preserve"> и жълт кантарион (това взаимодействие е описано при </w:t>
      </w:r>
      <w:proofErr w:type="spellStart"/>
      <w:r w:rsidRPr="00F37617">
        <w:rPr>
          <w:rFonts w:cs="Arial"/>
          <w:lang w:val="bg-BG" w:eastAsia="bg-BG"/>
        </w:rPr>
        <w:t>варфарин</w:t>
      </w:r>
      <w:proofErr w:type="spellEnd"/>
      <w:r w:rsidRPr="00F37617">
        <w:rPr>
          <w:rFonts w:cs="Arial"/>
          <w:lang w:val="bg-BG" w:eastAsia="bg-BG"/>
        </w:rPr>
        <w:t xml:space="preserve"> и </w:t>
      </w:r>
      <w:proofErr w:type="spellStart"/>
      <w:r w:rsidRPr="00F37617">
        <w:rPr>
          <w:rFonts w:cs="Arial"/>
          <w:lang w:val="bg-BG" w:eastAsia="bg-BG"/>
        </w:rPr>
        <w:t>фенпрокумон</w:t>
      </w:r>
      <w:proofErr w:type="spellEnd"/>
      <w:r w:rsidRPr="00F37617">
        <w:rPr>
          <w:rFonts w:cs="Arial"/>
          <w:lang w:val="bg-BG" w:eastAsia="bg-BG"/>
        </w:rPr>
        <w:t xml:space="preserve"> и не може да се изключи и за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>).</w:t>
      </w:r>
    </w:p>
    <w:p w14:paraId="0FE9B7D9" w14:textId="7EAD2BC0" w:rsidR="00B26507" w:rsidRPr="00F37617" w:rsidRDefault="00B26507" w:rsidP="00B26507">
      <w:pPr>
        <w:rPr>
          <w:rFonts w:cs="Arial"/>
        </w:rPr>
      </w:pPr>
    </w:p>
    <w:p w14:paraId="24B41BDE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Индукторите на </w:t>
      </w:r>
      <w:r w:rsidRPr="00F37617">
        <w:rPr>
          <w:rFonts w:cs="Arial"/>
        </w:rPr>
        <w:t xml:space="preserve">CYP2C9, CYP2C19 </w:t>
      </w:r>
      <w:r w:rsidRPr="00F37617">
        <w:rPr>
          <w:rFonts w:cs="Arial"/>
          <w:lang w:val="bg-BG" w:eastAsia="bg-BG"/>
        </w:rPr>
        <w:t xml:space="preserve">или </w:t>
      </w:r>
      <w:r w:rsidRPr="00F37617">
        <w:rPr>
          <w:rFonts w:cs="Arial"/>
        </w:rPr>
        <w:t xml:space="preserve">CYP3A4 </w:t>
      </w:r>
      <w:r w:rsidRPr="00F37617">
        <w:rPr>
          <w:rFonts w:cs="Arial"/>
          <w:lang w:val="bg-BG" w:eastAsia="bg-BG"/>
        </w:rPr>
        <w:t xml:space="preserve">може да намалят </w:t>
      </w:r>
      <w:proofErr w:type="spellStart"/>
      <w:r w:rsidRPr="00F37617">
        <w:rPr>
          <w:rFonts w:cs="Arial"/>
          <w:lang w:val="bg-BG" w:eastAsia="bg-BG"/>
        </w:rPr>
        <w:t>антикоагулантното</w:t>
      </w:r>
      <w:proofErr w:type="spellEnd"/>
      <w:r w:rsidRPr="00F37617">
        <w:rPr>
          <w:rFonts w:cs="Arial"/>
          <w:lang w:val="bg-BG" w:eastAsia="bg-BG"/>
        </w:rPr>
        <w:t xml:space="preserve"> действие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. Тъй като не е възможно да се предскажат нито тежестта, нито ранните признаци на взаимодействия, пациентите, приемащи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, </w:t>
      </w:r>
      <w:r w:rsidRPr="00F37617">
        <w:rPr>
          <w:rFonts w:cs="Arial"/>
          <w:lang w:val="bg-BG" w:eastAsia="bg-BG"/>
        </w:rPr>
        <w:t>особено тези с нарушена чернодробна функция, трябва да ограничат употребата на алкохол.</w:t>
      </w:r>
    </w:p>
    <w:p w14:paraId="10F5BF92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</w:p>
    <w:p w14:paraId="2C9DE8B2" w14:textId="345DE3B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 xml:space="preserve">Ефекти на </w:t>
      </w:r>
      <w:proofErr w:type="spellStart"/>
      <w:r w:rsidRPr="00F37617">
        <w:rPr>
          <w:rFonts w:cs="Arial"/>
          <w:b/>
          <w:bCs/>
          <w:lang w:val="bg-BG" w:eastAsia="bg-BG"/>
        </w:rPr>
        <w:t>аценокумарол</w:t>
      </w:r>
      <w:proofErr w:type="spellEnd"/>
      <w:r w:rsidRPr="00F37617">
        <w:rPr>
          <w:rFonts w:cs="Arial"/>
          <w:b/>
          <w:bCs/>
          <w:lang w:val="bg-BG" w:eastAsia="bg-BG"/>
        </w:rPr>
        <w:t xml:space="preserve"> върху други лекарства</w:t>
      </w:r>
    </w:p>
    <w:p w14:paraId="40F4AE5C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При едновременно лечение с </w:t>
      </w:r>
      <w:proofErr w:type="spellStart"/>
      <w:r w:rsidRPr="00F37617">
        <w:rPr>
          <w:rFonts w:cs="Arial"/>
          <w:lang w:val="bg-BG" w:eastAsia="bg-BG"/>
        </w:rPr>
        <w:t>хидантоинови</w:t>
      </w:r>
      <w:proofErr w:type="spellEnd"/>
      <w:r w:rsidRPr="00F37617">
        <w:rPr>
          <w:rFonts w:cs="Arial"/>
          <w:lang w:val="bg-BG" w:eastAsia="bg-BG"/>
        </w:rPr>
        <w:t xml:space="preserve"> производни серумната концентрация на </w:t>
      </w:r>
      <w:proofErr w:type="spellStart"/>
      <w:r w:rsidRPr="00F37617">
        <w:rPr>
          <w:rFonts w:cs="Arial"/>
          <w:lang w:val="bg-BG" w:eastAsia="bg-BG"/>
        </w:rPr>
        <w:t>хидантоин</w:t>
      </w:r>
      <w:proofErr w:type="spellEnd"/>
      <w:r w:rsidRPr="00F37617">
        <w:rPr>
          <w:rFonts w:cs="Arial"/>
          <w:lang w:val="bg-BG" w:eastAsia="bg-BG"/>
        </w:rPr>
        <w:t xml:space="preserve"> може да се повиши.</w:t>
      </w:r>
    </w:p>
    <w:p w14:paraId="05D1D405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може да усили </w:t>
      </w:r>
      <w:proofErr w:type="spellStart"/>
      <w:r w:rsidRPr="00F37617">
        <w:rPr>
          <w:rFonts w:cs="Arial"/>
          <w:lang w:val="bg-BG" w:eastAsia="bg-BG"/>
        </w:rPr>
        <w:t>хипогликемичното</w:t>
      </w:r>
      <w:proofErr w:type="spellEnd"/>
      <w:r w:rsidRPr="00F37617">
        <w:rPr>
          <w:rFonts w:cs="Arial"/>
          <w:lang w:val="bg-BG" w:eastAsia="bg-BG"/>
        </w:rPr>
        <w:t xml:space="preserve"> действие на </w:t>
      </w:r>
      <w:proofErr w:type="spellStart"/>
      <w:r w:rsidRPr="00F37617">
        <w:rPr>
          <w:rFonts w:cs="Arial"/>
          <w:lang w:val="bg-BG" w:eastAsia="bg-BG"/>
        </w:rPr>
        <w:t>сулфанилурейните</w:t>
      </w:r>
      <w:proofErr w:type="spellEnd"/>
      <w:r w:rsidRPr="00F37617">
        <w:rPr>
          <w:rFonts w:cs="Arial"/>
          <w:lang w:val="bg-BG" w:eastAsia="bg-BG"/>
        </w:rPr>
        <w:t xml:space="preserve"> производни.</w:t>
      </w:r>
    </w:p>
    <w:p w14:paraId="59FA24FA" w14:textId="77777777" w:rsidR="00B26507" w:rsidRPr="00F37617" w:rsidRDefault="00B26507" w:rsidP="00B26507">
      <w:pPr>
        <w:rPr>
          <w:rFonts w:cs="Arial"/>
          <w:b/>
          <w:bCs/>
          <w:lang w:val="bg-BG" w:eastAsia="bg-BG"/>
        </w:rPr>
      </w:pPr>
    </w:p>
    <w:p w14:paraId="5DBF7A10" w14:textId="3EC30095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>Хранителни компоненти богати на витамин К</w:t>
      </w:r>
    </w:p>
    <w:p w14:paraId="5474572A" w14:textId="039C4931" w:rsidR="00B26507" w:rsidRPr="00F37617" w:rsidRDefault="00B26507" w:rsidP="00B26507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Храни, богати на витамин К могат да намалят ефектите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>.</w:t>
      </w:r>
    </w:p>
    <w:p w14:paraId="1DB089C3" w14:textId="77777777" w:rsidR="00B26507" w:rsidRPr="00F37617" w:rsidRDefault="00B26507" w:rsidP="00B26507">
      <w:pPr>
        <w:rPr>
          <w:rFonts w:cs="Arial"/>
        </w:rPr>
      </w:pPr>
    </w:p>
    <w:p w14:paraId="48221AB5" w14:textId="18A1B0B8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>4.6. Фертилитет, бременност и кърмене</w:t>
      </w:r>
    </w:p>
    <w:p w14:paraId="692658F9" w14:textId="77777777" w:rsidR="00B26507" w:rsidRPr="00F37617" w:rsidRDefault="00B26507" w:rsidP="00B26507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  <w:lang w:val="bg-BG" w:eastAsia="bg-BG"/>
        </w:rPr>
      </w:pPr>
    </w:p>
    <w:p w14:paraId="0796F19F" w14:textId="33373CDA" w:rsidR="00B26507" w:rsidRPr="00F37617" w:rsidRDefault="00B26507" w:rsidP="00B26507">
      <w:pPr>
        <w:pStyle w:val="Heading3"/>
        <w:rPr>
          <w:rFonts w:eastAsia="Times New Roman" w:cs="Arial"/>
          <w:b/>
          <w:bCs/>
          <w:lang w:val="bg-BG"/>
        </w:rPr>
      </w:pPr>
      <w:r w:rsidRPr="00F37617">
        <w:rPr>
          <w:rFonts w:eastAsia="Times New Roman" w:cs="Arial"/>
          <w:b/>
          <w:bCs/>
          <w:lang w:val="bg-BG" w:eastAsia="bg-BG"/>
        </w:rPr>
        <w:lastRenderedPageBreak/>
        <w:t>Бременност</w:t>
      </w:r>
    </w:p>
    <w:p w14:paraId="44C02240" w14:textId="77777777" w:rsidR="00B26507" w:rsidRPr="00F37617" w:rsidRDefault="00B26507" w:rsidP="00B26507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, </w:t>
      </w:r>
      <w:r w:rsidRPr="00F37617">
        <w:rPr>
          <w:rFonts w:cs="Arial"/>
          <w:lang w:val="bg-BG" w:eastAsia="bg-BG"/>
        </w:rPr>
        <w:t xml:space="preserve">както и другите </w:t>
      </w:r>
      <w:proofErr w:type="spellStart"/>
      <w:r w:rsidRPr="00F37617">
        <w:rPr>
          <w:rFonts w:cs="Arial"/>
          <w:lang w:val="bg-BG" w:eastAsia="bg-BG"/>
        </w:rPr>
        <w:t>кумаринови</w:t>
      </w:r>
      <w:proofErr w:type="spellEnd"/>
      <w:r w:rsidRPr="00F37617">
        <w:rPr>
          <w:rFonts w:cs="Arial"/>
          <w:lang w:val="bg-BG" w:eastAsia="bg-BG"/>
        </w:rPr>
        <w:t xml:space="preserve"> производни, може да бъде свързан с вродени малформации на плода. Следователно той е противопоказан по време на бременност (вж. т. 4.3 Противопоказания).</w:t>
      </w:r>
    </w:p>
    <w:p w14:paraId="3EE6B193" w14:textId="77777777" w:rsidR="00B26507" w:rsidRPr="00F37617" w:rsidRDefault="00B26507" w:rsidP="00B26507">
      <w:pPr>
        <w:rPr>
          <w:rFonts w:cs="Arial"/>
          <w:lang w:val="bg-BG" w:eastAsia="bg-BG"/>
        </w:rPr>
      </w:pPr>
    </w:p>
    <w:p w14:paraId="19EEC1A7" w14:textId="30C2DEB6" w:rsidR="00B26507" w:rsidRPr="00F37617" w:rsidRDefault="00B26507" w:rsidP="00B26507">
      <w:pPr>
        <w:pStyle w:val="Heading3"/>
        <w:rPr>
          <w:rFonts w:eastAsia="Times New Roman" w:cs="Arial"/>
          <w:b/>
          <w:bCs/>
          <w:lang w:val="bg-BG"/>
        </w:rPr>
      </w:pPr>
      <w:r w:rsidRPr="00F37617">
        <w:rPr>
          <w:rFonts w:eastAsia="Times New Roman" w:cs="Arial"/>
          <w:b/>
          <w:bCs/>
          <w:lang w:val="bg-BG" w:eastAsia="bg-BG"/>
        </w:rPr>
        <w:t>Жени с детероден потенциал</w:t>
      </w:r>
    </w:p>
    <w:p w14:paraId="0E054323" w14:textId="7F304A3B" w:rsidR="00B26507" w:rsidRPr="00F37617" w:rsidRDefault="00B26507" w:rsidP="00B26507">
      <w:pPr>
        <w:rPr>
          <w:rFonts w:cs="Arial"/>
        </w:rPr>
      </w:pPr>
      <w:r w:rsidRPr="00F37617">
        <w:rPr>
          <w:rFonts w:cs="Arial"/>
          <w:lang w:val="bg-BG" w:eastAsia="bg-BG"/>
        </w:rPr>
        <w:t xml:space="preserve">Жени с детероден потенциал трябва да използват ефективна </w:t>
      </w:r>
      <w:proofErr w:type="spellStart"/>
      <w:r w:rsidRPr="00F37617">
        <w:rPr>
          <w:rFonts w:cs="Arial"/>
          <w:lang w:val="bg-BG" w:eastAsia="bg-BG"/>
        </w:rPr>
        <w:t>контрацепция</w:t>
      </w:r>
      <w:proofErr w:type="spellEnd"/>
      <w:r w:rsidRPr="00F37617">
        <w:rPr>
          <w:rFonts w:cs="Arial"/>
          <w:lang w:val="bg-BG" w:eastAsia="bg-BG"/>
        </w:rPr>
        <w:t xml:space="preserve"> по време на лечение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>.</w:t>
      </w:r>
    </w:p>
    <w:p w14:paraId="7A9CAA59" w14:textId="67400E58" w:rsidR="00B26507" w:rsidRPr="00F37617" w:rsidRDefault="00B26507" w:rsidP="00B26507">
      <w:pPr>
        <w:rPr>
          <w:rFonts w:cs="Arial"/>
        </w:rPr>
      </w:pPr>
    </w:p>
    <w:p w14:paraId="75CEE0B8" w14:textId="77777777" w:rsidR="00B26507" w:rsidRPr="00F37617" w:rsidRDefault="00B26507" w:rsidP="00BF0E36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Кърмене</w:t>
      </w:r>
    </w:p>
    <w:p w14:paraId="1C8FF419" w14:textId="77777777" w:rsidR="00B26507" w:rsidRPr="00F37617" w:rsidRDefault="00B26507" w:rsidP="001F25AF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>преминава в кърмата, но в толкова малки количества, че не се очакват нежелани лекарствени реакции при новороденото.</w:t>
      </w:r>
    </w:p>
    <w:p w14:paraId="0D9D35FE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5994234B" w14:textId="6CF4FD10" w:rsidR="00B26507" w:rsidRPr="00F37617" w:rsidRDefault="00B26507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Решението за кърмене трябва да се обмисли внимателно и може да се предхожда от </w:t>
      </w:r>
      <w:proofErr w:type="spellStart"/>
      <w:r w:rsidRPr="00F37617">
        <w:rPr>
          <w:rFonts w:cs="Arial"/>
          <w:lang w:val="bg-BG" w:eastAsia="bg-BG"/>
        </w:rPr>
        <w:t>коагулационен</w:t>
      </w:r>
      <w:proofErr w:type="spellEnd"/>
      <w:r w:rsidRPr="00F37617">
        <w:rPr>
          <w:rFonts w:cs="Arial"/>
          <w:lang w:val="bg-BG" w:eastAsia="bg-BG"/>
        </w:rPr>
        <w:t xml:space="preserve"> тест и оценка на витамин К статуса на кърмачето.</w:t>
      </w:r>
    </w:p>
    <w:p w14:paraId="51CE4367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231AE7A3" w14:textId="632D0965" w:rsidR="00B26507" w:rsidRPr="00F37617" w:rsidRDefault="00B26507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Кърмещите жени лекувани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трябва да се </w:t>
      </w:r>
      <w:proofErr w:type="spellStart"/>
      <w:r w:rsidRPr="00F37617">
        <w:rPr>
          <w:rFonts w:cs="Arial"/>
          <w:lang w:val="bg-BG" w:eastAsia="bg-BG"/>
        </w:rPr>
        <w:t>мониторират</w:t>
      </w:r>
      <w:proofErr w:type="spellEnd"/>
      <w:r w:rsidRPr="00F37617">
        <w:rPr>
          <w:rFonts w:cs="Arial"/>
          <w:lang w:val="bg-BG" w:eastAsia="bg-BG"/>
        </w:rPr>
        <w:t xml:space="preserve"> внимателно, за да се избегне превишаването на препоръчителните </w:t>
      </w:r>
      <w:r w:rsidRPr="00F37617">
        <w:rPr>
          <w:rFonts w:cs="Arial"/>
        </w:rPr>
        <w:t xml:space="preserve">PT/INR </w:t>
      </w:r>
      <w:r w:rsidRPr="00F37617">
        <w:rPr>
          <w:rFonts w:cs="Arial"/>
          <w:lang w:val="bg-BG" w:eastAsia="bg-BG"/>
        </w:rPr>
        <w:t>стойности.</w:t>
      </w:r>
    </w:p>
    <w:p w14:paraId="287FBFEC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5A352790" w14:textId="47F2987A" w:rsidR="00B26507" w:rsidRPr="00F37617" w:rsidRDefault="00B26507" w:rsidP="001F25AF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По време на кърмене при детето, е необходимо да се прилага профилактично 1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>витамин К</w:t>
      </w:r>
      <w:r w:rsidRPr="00F37617">
        <w:rPr>
          <w:rFonts w:cs="Arial"/>
          <w:vertAlign w:val="subscript"/>
          <w:lang w:val="bg-BG" w:eastAsia="bg-BG"/>
        </w:rPr>
        <w:t>1</w:t>
      </w:r>
      <w:r w:rsidRPr="00F37617">
        <w:rPr>
          <w:rFonts w:cs="Arial"/>
          <w:lang w:val="bg-BG" w:eastAsia="bg-BG"/>
        </w:rPr>
        <w:t xml:space="preserve"> седмично.</w:t>
      </w:r>
    </w:p>
    <w:p w14:paraId="40D04EB2" w14:textId="1267DC5B" w:rsidR="001F25AF" w:rsidRPr="00F37617" w:rsidRDefault="001F25AF" w:rsidP="001F25AF">
      <w:pPr>
        <w:rPr>
          <w:rFonts w:cs="Arial"/>
          <w:lang w:val="bg-BG" w:eastAsia="bg-BG"/>
        </w:rPr>
      </w:pPr>
    </w:p>
    <w:p w14:paraId="032E5D2D" w14:textId="77777777" w:rsidR="001F25AF" w:rsidRPr="00F37617" w:rsidRDefault="001F25AF" w:rsidP="001F25AF">
      <w:pPr>
        <w:rPr>
          <w:rFonts w:cs="Arial"/>
          <w:b/>
          <w:bCs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>Фертилитет</w:t>
      </w:r>
    </w:p>
    <w:p w14:paraId="357D52CB" w14:textId="24B93C19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Няма данни за приложението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и въздействието му върху </w:t>
      </w:r>
      <w:proofErr w:type="spellStart"/>
      <w:r w:rsidRPr="00F37617">
        <w:rPr>
          <w:rFonts w:cs="Arial"/>
          <w:lang w:val="bg-BG" w:eastAsia="bg-BG"/>
        </w:rPr>
        <w:t>фертилитета</w:t>
      </w:r>
      <w:proofErr w:type="spellEnd"/>
      <w:r w:rsidRPr="00F37617">
        <w:rPr>
          <w:rFonts w:cs="Arial"/>
          <w:lang w:val="bg-BG" w:eastAsia="bg-BG"/>
        </w:rPr>
        <w:t xml:space="preserve"> при хора.</w:t>
      </w:r>
    </w:p>
    <w:p w14:paraId="1F73231B" w14:textId="77777777" w:rsidR="00B26507" w:rsidRPr="00F37617" w:rsidRDefault="00B26507" w:rsidP="00B26507">
      <w:pPr>
        <w:rPr>
          <w:rFonts w:cs="Arial"/>
        </w:rPr>
      </w:pPr>
    </w:p>
    <w:p w14:paraId="223919B7" w14:textId="77777777" w:rsidR="00B26507" w:rsidRPr="00F37617" w:rsidRDefault="00B26507" w:rsidP="00B26507">
      <w:pPr>
        <w:rPr>
          <w:rFonts w:cs="Arial"/>
        </w:rPr>
      </w:pPr>
    </w:p>
    <w:p w14:paraId="5F675BDB" w14:textId="71436020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4.7. </w:t>
      </w:r>
      <w:proofErr w:type="spellStart"/>
      <w:r w:rsidRPr="00F37617">
        <w:rPr>
          <w:rFonts w:cs="Arial"/>
        </w:rPr>
        <w:t>Ефекти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върху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способността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за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шофиране</w:t>
      </w:r>
      <w:proofErr w:type="spellEnd"/>
      <w:r w:rsidRPr="00F37617">
        <w:rPr>
          <w:rFonts w:cs="Arial"/>
        </w:rPr>
        <w:t xml:space="preserve"> и </w:t>
      </w:r>
      <w:proofErr w:type="spellStart"/>
      <w:r w:rsidRPr="00F37617">
        <w:rPr>
          <w:rFonts w:cs="Arial"/>
        </w:rPr>
        <w:t>работа</w:t>
      </w:r>
      <w:proofErr w:type="spellEnd"/>
      <w:r w:rsidRPr="00F37617">
        <w:rPr>
          <w:rFonts w:cs="Arial"/>
        </w:rPr>
        <w:t xml:space="preserve"> с </w:t>
      </w:r>
      <w:proofErr w:type="spellStart"/>
      <w:r w:rsidRPr="00F37617">
        <w:rPr>
          <w:rFonts w:cs="Arial"/>
        </w:rPr>
        <w:t>машини</w:t>
      </w:r>
      <w:proofErr w:type="spellEnd"/>
    </w:p>
    <w:p w14:paraId="5404896D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Не е известно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>да повлиява способността за шофиране или използване на машини. Въпреки това амбулаторните пациенти трябва да носят със себе си "</w:t>
      </w:r>
      <w:proofErr w:type="spellStart"/>
      <w:r w:rsidRPr="00F37617">
        <w:rPr>
          <w:rFonts w:cs="Arial"/>
          <w:lang w:val="bg-BG" w:eastAsia="bg-BG"/>
        </w:rPr>
        <w:t>антикоагулационна</w:t>
      </w:r>
      <w:proofErr w:type="spellEnd"/>
      <w:r w:rsidRPr="00F37617">
        <w:rPr>
          <w:rFonts w:cs="Arial"/>
          <w:lang w:val="bg-BG" w:eastAsia="bg-BG"/>
        </w:rPr>
        <w:t xml:space="preserve"> карта" в случай на травма.</w:t>
      </w:r>
    </w:p>
    <w:p w14:paraId="40CBA2B0" w14:textId="77777777" w:rsidR="001F25AF" w:rsidRPr="00F37617" w:rsidRDefault="001F25AF" w:rsidP="001F25AF">
      <w:pPr>
        <w:rPr>
          <w:rFonts w:cs="Arial"/>
        </w:rPr>
      </w:pPr>
    </w:p>
    <w:p w14:paraId="1B3BD30D" w14:textId="4D190E5D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4.8. </w:t>
      </w:r>
      <w:proofErr w:type="spellStart"/>
      <w:r w:rsidRPr="00F37617">
        <w:rPr>
          <w:rFonts w:cs="Arial"/>
        </w:rPr>
        <w:t>Нежелани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лекарствени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реакции</w:t>
      </w:r>
      <w:proofErr w:type="spellEnd"/>
    </w:p>
    <w:p w14:paraId="477A38A7" w14:textId="58D5B916" w:rsidR="001F25AF" w:rsidRPr="00F37617" w:rsidRDefault="001F25AF" w:rsidP="001F25AF">
      <w:pPr>
        <w:rPr>
          <w:rFonts w:cs="Arial"/>
          <w:sz w:val="24"/>
          <w:szCs w:val="24"/>
        </w:rPr>
      </w:pPr>
      <w:r w:rsidRPr="00F37617">
        <w:rPr>
          <w:rFonts w:cs="Arial"/>
          <w:lang w:val="bg-BG" w:eastAsia="bg-BG"/>
        </w:rPr>
        <w:t xml:space="preserve">Нежеланите лекарствени реакции в Таблица 2 са изброени по </w:t>
      </w:r>
      <w:proofErr w:type="spellStart"/>
      <w:r w:rsidRPr="00F37617">
        <w:rPr>
          <w:rFonts w:cs="Arial"/>
          <w:lang w:val="bg-BG" w:eastAsia="bg-BG"/>
        </w:rPr>
        <w:t>системо-органни</w:t>
      </w:r>
      <w:proofErr w:type="spellEnd"/>
      <w:r w:rsidRPr="00F37617">
        <w:rPr>
          <w:rFonts w:cs="Arial"/>
          <w:lang w:val="bg-BG" w:eastAsia="bg-BG"/>
        </w:rPr>
        <w:t xml:space="preserve"> класове съгласно </w:t>
      </w:r>
      <w:r w:rsidRPr="00F37617">
        <w:rPr>
          <w:rFonts w:cs="Arial"/>
        </w:rPr>
        <w:t xml:space="preserve">MedDRA. </w:t>
      </w:r>
      <w:r w:rsidRPr="00F37617">
        <w:rPr>
          <w:rFonts w:cs="Arial"/>
          <w:lang w:val="bg-BG" w:eastAsia="bg-BG"/>
        </w:rPr>
        <w:t xml:space="preserve">В рамките на всеки </w:t>
      </w:r>
      <w:proofErr w:type="spellStart"/>
      <w:r w:rsidRPr="00F37617">
        <w:rPr>
          <w:rFonts w:cs="Arial"/>
          <w:lang w:val="bg-BG" w:eastAsia="bg-BG"/>
        </w:rPr>
        <w:t>системо-органен</w:t>
      </w:r>
      <w:proofErr w:type="spellEnd"/>
      <w:r w:rsidRPr="00F37617">
        <w:rPr>
          <w:rFonts w:cs="Arial"/>
          <w:lang w:val="bg-BG" w:eastAsia="bg-BG"/>
        </w:rPr>
        <w:t xml:space="preserve"> клас нежеланите лекарствени реакции са изброени по честота, като най-честите са първи. При всяко групиране в зависимост от честотата, нежеланите</w:t>
      </w:r>
      <w:r w:rsidRPr="00F37617">
        <w:rPr>
          <w:rFonts w:cs="Arial"/>
          <w:lang w:eastAsia="bg-BG"/>
        </w:rPr>
        <w:t xml:space="preserve"> </w:t>
      </w:r>
      <w:proofErr w:type="spellStart"/>
      <w:r w:rsidRPr="00F37617">
        <w:rPr>
          <w:rFonts w:cs="Arial"/>
        </w:rPr>
        <w:t>лекарствени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реакции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изброяват</w:t>
      </w:r>
      <w:proofErr w:type="spellEnd"/>
      <w:r w:rsidRPr="00F37617">
        <w:rPr>
          <w:rFonts w:cs="Arial"/>
        </w:rPr>
        <w:t xml:space="preserve"> в </w:t>
      </w:r>
      <w:proofErr w:type="spellStart"/>
      <w:r w:rsidRPr="00F37617">
        <w:rPr>
          <w:rFonts w:cs="Arial"/>
        </w:rPr>
        <w:t>низходящ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ред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отношение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тяхната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сериозност</w:t>
      </w:r>
      <w:proofErr w:type="spellEnd"/>
      <w:r w:rsidRPr="00F37617">
        <w:rPr>
          <w:rFonts w:cs="Arial"/>
        </w:rPr>
        <w:t xml:space="preserve">. </w:t>
      </w:r>
      <w:proofErr w:type="spellStart"/>
      <w:r w:rsidRPr="00F37617">
        <w:rPr>
          <w:rFonts w:cs="Arial"/>
        </w:rPr>
        <w:t>Категориите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честоти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определят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съгласно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следната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конвенция</w:t>
      </w:r>
      <w:proofErr w:type="spellEnd"/>
      <w:r w:rsidRPr="00F37617">
        <w:rPr>
          <w:rFonts w:cs="Arial"/>
        </w:rPr>
        <w:t xml:space="preserve"> (CIOMS III): </w:t>
      </w:r>
      <w:proofErr w:type="spellStart"/>
      <w:r w:rsidRPr="00F37617">
        <w:rPr>
          <w:rFonts w:cs="Arial"/>
        </w:rPr>
        <w:t>много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чести</w:t>
      </w:r>
      <w:proofErr w:type="spellEnd"/>
      <w:r w:rsidRPr="00F37617">
        <w:rPr>
          <w:rFonts w:cs="Arial"/>
        </w:rPr>
        <w:t xml:space="preserve"> (≥1/10), </w:t>
      </w:r>
      <w:proofErr w:type="spellStart"/>
      <w:r w:rsidRPr="00F37617">
        <w:rPr>
          <w:rFonts w:cs="Arial"/>
        </w:rPr>
        <w:t>чести</w:t>
      </w:r>
      <w:proofErr w:type="spellEnd"/>
      <w:r w:rsidRPr="00F37617">
        <w:rPr>
          <w:rFonts w:cs="Arial"/>
        </w:rPr>
        <w:t xml:space="preserve"> (≥1/100, &lt;1/10), </w:t>
      </w:r>
      <w:proofErr w:type="spellStart"/>
      <w:r w:rsidRPr="00F37617">
        <w:rPr>
          <w:rFonts w:cs="Arial"/>
        </w:rPr>
        <w:t>нечести</w:t>
      </w:r>
      <w:proofErr w:type="spellEnd"/>
      <w:r w:rsidRPr="00F37617">
        <w:rPr>
          <w:rFonts w:cs="Arial"/>
        </w:rPr>
        <w:t xml:space="preserve"> (≥ 1/1 000, &lt;1/100), </w:t>
      </w:r>
      <w:proofErr w:type="spellStart"/>
      <w:r w:rsidRPr="00F37617">
        <w:rPr>
          <w:rFonts w:cs="Arial"/>
        </w:rPr>
        <w:t>редки</w:t>
      </w:r>
      <w:proofErr w:type="spellEnd"/>
      <w:r w:rsidRPr="00F37617">
        <w:rPr>
          <w:rFonts w:cs="Arial"/>
        </w:rPr>
        <w:t xml:space="preserve"> (≥1/10 000, &lt;1/1 000), </w:t>
      </w:r>
      <w:proofErr w:type="spellStart"/>
      <w:r w:rsidRPr="00F37617">
        <w:rPr>
          <w:rFonts w:cs="Arial"/>
        </w:rPr>
        <w:t>много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редки</w:t>
      </w:r>
      <w:proofErr w:type="spellEnd"/>
      <w:r w:rsidRPr="00F37617">
        <w:rPr>
          <w:rFonts w:cs="Arial"/>
        </w:rPr>
        <w:t xml:space="preserve"> (&lt;1/10 000).</w:t>
      </w:r>
    </w:p>
    <w:p w14:paraId="5548D19D" w14:textId="1A2A6626" w:rsidR="001F25AF" w:rsidRPr="00F37617" w:rsidRDefault="001F25AF" w:rsidP="001F25AF">
      <w:pPr>
        <w:rPr>
          <w:rFonts w:cs="Arial"/>
        </w:rPr>
      </w:pPr>
      <w:r w:rsidRPr="00F37617">
        <w:rPr>
          <w:rFonts w:cs="Arial"/>
        </w:rPr>
        <w:t xml:space="preserve"> </w:t>
      </w:r>
    </w:p>
    <w:p w14:paraId="452B1A4B" w14:textId="77777777" w:rsidR="001F25AF" w:rsidRPr="00F37617" w:rsidRDefault="001F25AF" w:rsidP="001F25AF">
      <w:pPr>
        <w:rPr>
          <w:rFonts w:cs="Arial"/>
          <w:b/>
          <w:bCs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>Кръвоизливи</w:t>
      </w:r>
    </w:p>
    <w:p w14:paraId="219C9A65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Появата на кръвоизливи в различни органи е обичайна нежелана лекарствена реакция на терапията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. </w:t>
      </w:r>
      <w:r w:rsidRPr="00F37617">
        <w:rPr>
          <w:rFonts w:cs="Arial"/>
          <w:lang w:val="bg-BG" w:eastAsia="bg-BG"/>
        </w:rPr>
        <w:t>Възникването й е свързано с дозировката на лекарството, възрастта на пациента и естеството на основното заболяване.</w:t>
      </w:r>
    </w:p>
    <w:p w14:paraId="679D7B85" w14:textId="0FDBE4CB" w:rsidR="001F25AF" w:rsidRPr="00F37617" w:rsidRDefault="001F25AF" w:rsidP="001F25AF">
      <w:pPr>
        <w:rPr>
          <w:rFonts w:cs="Arial"/>
        </w:rPr>
      </w:pPr>
    </w:p>
    <w:p w14:paraId="01E4F9E5" w14:textId="5614B3B8" w:rsidR="001F25AF" w:rsidRPr="00F37617" w:rsidRDefault="001F25AF" w:rsidP="001F25AF">
      <w:pPr>
        <w:rPr>
          <w:rFonts w:cs="Arial"/>
        </w:rPr>
      </w:pPr>
      <w:proofErr w:type="spellStart"/>
      <w:r w:rsidRPr="00F37617">
        <w:rPr>
          <w:rFonts w:cs="Arial"/>
        </w:rPr>
        <w:t>Таблица</w:t>
      </w:r>
      <w:proofErr w:type="spellEnd"/>
      <w:r w:rsidRPr="00F37617">
        <w:rPr>
          <w:rFonts w:cs="Arial"/>
        </w:rPr>
        <w:t xml:space="preserve"> 2 </w:t>
      </w:r>
      <w:proofErr w:type="spellStart"/>
      <w:r w:rsidRPr="00F37617">
        <w:rPr>
          <w:rFonts w:cs="Arial"/>
        </w:rPr>
        <w:t>Таблично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обобщение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нежеланите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реакции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7ADB" w:rsidRPr="00F37617" w14:paraId="680CF1B3" w14:textId="77777777" w:rsidTr="00311D3F">
        <w:trPr>
          <w:trHeight w:val="990"/>
        </w:trPr>
        <w:tc>
          <w:tcPr>
            <w:tcW w:w="4675" w:type="dxa"/>
          </w:tcPr>
          <w:p w14:paraId="34408E0B" w14:textId="77777777" w:rsidR="00487ADB" w:rsidRPr="00F37617" w:rsidRDefault="00487ADB" w:rsidP="001F25AF">
            <w:pPr>
              <w:spacing w:line="240" w:lineRule="auto"/>
              <w:rPr>
                <w:rFonts w:eastAsia="Times New Roman" w:cs="Arial"/>
                <w:lang w:val="bg-BG"/>
              </w:rPr>
            </w:pPr>
            <w:proofErr w:type="spellStart"/>
            <w:r w:rsidRPr="00F37617">
              <w:rPr>
                <w:rFonts w:eastAsia="Times New Roman" w:cs="Arial"/>
                <w:b/>
                <w:bCs/>
                <w:color w:val="000000"/>
                <w:lang w:val="bg-BG" w:eastAsia="bg-BG"/>
              </w:rPr>
              <w:lastRenderedPageBreak/>
              <w:t>Нарущения</w:t>
            </w:r>
            <w:proofErr w:type="spellEnd"/>
            <w:r w:rsidRPr="00F37617">
              <w:rPr>
                <w:rFonts w:eastAsia="Times New Roman" w:cs="Arial"/>
                <w:b/>
                <w:bCs/>
                <w:color w:val="000000"/>
                <w:lang w:val="bg-BG" w:eastAsia="bg-BG"/>
              </w:rPr>
              <w:t xml:space="preserve"> на имунната система</w:t>
            </w:r>
          </w:p>
          <w:p w14:paraId="0D95E1EE" w14:textId="2B960E6B" w:rsidR="00487ADB" w:rsidRPr="00F37617" w:rsidRDefault="00487ADB" w:rsidP="001F25AF">
            <w:pPr>
              <w:rPr>
                <w:rFonts w:eastAsia="Times New Roman" w:cs="Arial"/>
                <w:sz w:val="24"/>
                <w:szCs w:val="24"/>
                <w:lang w:val="bg-BG"/>
              </w:rPr>
            </w:pPr>
            <w:proofErr w:type="spellStart"/>
            <w:r w:rsidRPr="00F37617">
              <w:rPr>
                <w:rFonts w:cs="Arial"/>
              </w:rPr>
              <w:t>Редки</w:t>
            </w:r>
            <w:proofErr w:type="spellEnd"/>
            <w:r w:rsidRPr="00F37617">
              <w:rPr>
                <w:rFonts w:cs="Arial"/>
              </w:rPr>
              <w:t>:</w:t>
            </w:r>
          </w:p>
        </w:tc>
        <w:tc>
          <w:tcPr>
            <w:tcW w:w="4675" w:type="dxa"/>
          </w:tcPr>
          <w:p w14:paraId="178A4AE0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4309BFB9" w14:textId="7C20F600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Свръхчувствителност</w:t>
            </w:r>
            <w:proofErr w:type="spellEnd"/>
            <w:r w:rsidRPr="00F37617">
              <w:rPr>
                <w:rFonts w:cs="Arial"/>
              </w:rPr>
              <w:t xml:space="preserve"> (</w:t>
            </w:r>
            <w:proofErr w:type="spellStart"/>
            <w:r w:rsidRPr="00F37617">
              <w:rPr>
                <w:rFonts w:cs="Arial"/>
              </w:rPr>
              <w:t>напр</w:t>
            </w:r>
            <w:proofErr w:type="spellEnd"/>
            <w:r w:rsidRPr="00F37617">
              <w:rPr>
                <w:rFonts w:cs="Arial"/>
              </w:rPr>
              <w:t xml:space="preserve">. </w:t>
            </w:r>
            <w:proofErr w:type="spellStart"/>
            <w:r w:rsidRPr="00F37617">
              <w:rPr>
                <w:rFonts w:cs="Arial"/>
              </w:rPr>
              <w:t>уртикария</w:t>
            </w:r>
            <w:proofErr w:type="spellEnd"/>
            <w:r w:rsidRPr="00F37617">
              <w:rPr>
                <w:rFonts w:cs="Arial"/>
              </w:rPr>
              <w:t xml:space="preserve">, </w:t>
            </w:r>
            <w:proofErr w:type="spellStart"/>
            <w:r w:rsidRPr="00F37617">
              <w:rPr>
                <w:rFonts w:cs="Arial"/>
              </w:rPr>
              <w:t>обрив</w:t>
            </w:r>
            <w:proofErr w:type="spellEnd"/>
            <w:r w:rsidRPr="00F37617">
              <w:rPr>
                <w:rFonts w:cs="Arial"/>
              </w:rPr>
              <w:t>)</w:t>
            </w:r>
          </w:p>
        </w:tc>
      </w:tr>
      <w:tr w:rsidR="00487ADB" w:rsidRPr="00F37617" w14:paraId="3B161A3E" w14:textId="77777777" w:rsidTr="00BA42C6">
        <w:trPr>
          <w:trHeight w:val="820"/>
        </w:trPr>
        <w:tc>
          <w:tcPr>
            <w:tcW w:w="4675" w:type="dxa"/>
          </w:tcPr>
          <w:p w14:paraId="1B2F3E0F" w14:textId="77777777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  <w:b/>
                <w:bCs/>
              </w:rPr>
              <w:t>Съдови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нарушения</w:t>
            </w:r>
            <w:proofErr w:type="spellEnd"/>
          </w:p>
          <w:p w14:paraId="0E2B8652" w14:textId="77777777" w:rsidR="00487ADB" w:rsidRPr="00F37617" w:rsidRDefault="00487ADB" w:rsidP="001F25AF">
            <w:pPr>
              <w:rPr>
                <w:rFonts w:cs="Arial"/>
                <w:lang w:val="bg-BG"/>
              </w:rPr>
            </w:pPr>
            <w:proofErr w:type="spellStart"/>
            <w:r w:rsidRPr="00F37617">
              <w:rPr>
                <w:rFonts w:cs="Arial"/>
              </w:rPr>
              <w:t>Чести</w:t>
            </w:r>
            <w:proofErr w:type="spellEnd"/>
            <w:r w:rsidRPr="00F37617">
              <w:rPr>
                <w:rFonts w:cs="Arial"/>
              </w:rPr>
              <w:t>:</w:t>
            </w:r>
          </w:p>
          <w:p w14:paraId="30F7373E" w14:textId="36CCA379" w:rsidR="00487ADB" w:rsidRPr="00F37617" w:rsidRDefault="00487ADB" w:rsidP="001F25AF">
            <w:pPr>
              <w:rPr>
                <w:rFonts w:cs="Arial"/>
                <w:lang w:val="bg-BG"/>
              </w:rPr>
            </w:pPr>
            <w:proofErr w:type="spellStart"/>
            <w:r w:rsidRPr="00F37617">
              <w:rPr>
                <w:rFonts w:cs="Arial"/>
              </w:rPr>
              <w:t>Много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редки</w:t>
            </w:r>
            <w:proofErr w:type="spellEnd"/>
            <w:r w:rsidRPr="00F37617">
              <w:rPr>
                <w:rFonts w:cs="Arial"/>
              </w:rPr>
              <w:t>:</w:t>
            </w:r>
          </w:p>
        </w:tc>
        <w:tc>
          <w:tcPr>
            <w:tcW w:w="4675" w:type="dxa"/>
          </w:tcPr>
          <w:p w14:paraId="52B75325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232DAB51" w14:textId="77777777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Кръвоизлив</w:t>
            </w:r>
            <w:proofErr w:type="spellEnd"/>
          </w:p>
          <w:p w14:paraId="170F2549" w14:textId="2A11FA66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Васкулити</w:t>
            </w:r>
            <w:proofErr w:type="spellEnd"/>
          </w:p>
        </w:tc>
      </w:tr>
      <w:tr w:rsidR="001F25AF" w:rsidRPr="00F37617" w14:paraId="2631CFF6" w14:textId="77777777" w:rsidTr="001F25AF">
        <w:tc>
          <w:tcPr>
            <w:tcW w:w="4675" w:type="dxa"/>
          </w:tcPr>
          <w:p w14:paraId="11DA267E" w14:textId="77777777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  <w:b/>
                <w:bCs/>
              </w:rPr>
              <w:t>Стомашно-чревни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нарушения</w:t>
            </w:r>
            <w:proofErr w:type="spellEnd"/>
          </w:p>
          <w:p w14:paraId="1728EFB7" w14:textId="79036A5D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Редки</w:t>
            </w:r>
            <w:proofErr w:type="spellEnd"/>
            <w:r w:rsidRPr="00F37617">
              <w:rPr>
                <w:rFonts w:cs="Arial"/>
              </w:rPr>
              <w:t>:</w:t>
            </w:r>
          </w:p>
        </w:tc>
        <w:tc>
          <w:tcPr>
            <w:tcW w:w="4675" w:type="dxa"/>
          </w:tcPr>
          <w:p w14:paraId="551FCB4F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1880F488" w14:textId="2E3F800A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Загуба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апетит</w:t>
            </w:r>
            <w:proofErr w:type="spellEnd"/>
            <w:r w:rsidRPr="00F37617">
              <w:rPr>
                <w:rFonts w:cs="Arial"/>
              </w:rPr>
              <w:t xml:space="preserve">, </w:t>
            </w:r>
            <w:proofErr w:type="spellStart"/>
            <w:r w:rsidRPr="00F37617">
              <w:rPr>
                <w:rFonts w:cs="Arial"/>
              </w:rPr>
              <w:t>гадене</w:t>
            </w:r>
            <w:proofErr w:type="spellEnd"/>
            <w:r w:rsidRPr="00F37617">
              <w:rPr>
                <w:rFonts w:cs="Arial"/>
              </w:rPr>
              <w:t xml:space="preserve">, </w:t>
            </w:r>
            <w:proofErr w:type="spellStart"/>
            <w:r w:rsidRPr="00F37617">
              <w:rPr>
                <w:rFonts w:cs="Arial"/>
              </w:rPr>
              <w:t>повръщане</w:t>
            </w:r>
            <w:proofErr w:type="spellEnd"/>
          </w:p>
        </w:tc>
      </w:tr>
      <w:tr w:rsidR="001F25AF" w:rsidRPr="00F37617" w14:paraId="5FACE677" w14:textId="77777777" w:rsidTr="001F25AF">
        <w:tc>
          <w:tcPr>
            <w:tcW w:w="4675" w:type="dxa"/>
          </w:tcPr>
          <w:p w14:paraId="131473A4" w14:textId="77777777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  <w:b/>
                <w:bCs/>
              </w:rPr>
              <w:t>Хепато-билиарни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нарушения</w:t>
            </w:r>
            <w:proofErr w:type="spellEnd"/>
          </w:p>
          <w:p w14:paraId="6003DFF0" w14:textId="12A505D1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Много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редки</w:t>
            </w:r>
            <w:proofErr w:type="spellEnd"/>
            <w:r w:rsidRPr="00F37617">
              <w:rPr>
                <w:rFonts w:cs="Arial"/>
              </w:rPr>
              <w:t>:</w:t>
            </w:r>
          </w:p>
        </w:tc>
        <w:tc>
          <w:tcPr>
            <w:tcW w:w="4675" w:type="dxa"/>
          </w:tcPr>
          <w:p w14:paraId="63AF748A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0FB2F6A6" w14:textId="3FC78112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Чернодробно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увреждане</w:t>
            </w:r>
            <w:proofErr w:type="spellEnd"/>
          </w:p>
        </w:tc>
      </w:tr>
      <w:tr w:rsidR="00487ADB" w:rsidRPr="00F37617" w14:paraId="0746E5E4" w14:textId="77777777" w:rsidTr="00E528BE">
        <w:trPr>
          <w:trHeight w:val="1369"/>
        </w:trPr>
        <w:tc>
          <w:tcPr>
            <w:tcW w:w="4675" w:type="dxa"/>
          </w:tcPr>
          <w:p w14:paraId="4EB588BE" w14:textId="77777777" w:rsidR="00487ADB" w:rsidRPr="00F37617" w:rsidRDefault="00487ADB" w:rsidP="001F25AF">
            <w:pPr>
              <w:rPr>
                <w:rFonts w:cs="Arial"/>
                <w:b/>
                <w:bCs/>
              </w:rPr>
            </w:pPr>
            <w:proofErr w:type="spellStart"/>
            <w:r w:rsidRPr="00F37617">
              <w:rPr>
                <w:rFonts w:cs="Arial"/>
                <w:b/>
                <w:bCs/>
              </w:rPr>
              <w:t>Нарушения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на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кожата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и </w:t>
            </w:r>
            <w:proofErr w:type="spellStart"/>
            <w:r w:rsidRPr="00F37617">
              <w:rPr>
                <w:rFonts w:cs="Arial"/>
                <w:b/>
                <w:bCs/>
              </w:rPr>
              <w:t>подкожната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тъкан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</w:p>
          <w:p w14:paraId="5DCBDB70" w14:textId="77777777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Редки</w:t>
            </w:r>
            <w:proofErr w:type="spellEnd"/>
            <w:r w:rsidRPr="00F37617">
              <w:rPr>
                <w:rFonts w:cs="Arial"/>
              </w:rPr>
              <w:t>:</w:t>
            </w:r>
          </w:p>
          <w:p w14:paraId="70AE49E0" w14:textId="77777777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Много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редки</w:t>
            </w:r>
            <w:proofErr w:type="spellEnd"/>
            <w:r w:rsidRPr="00F37617">
              <w:rPr>
                <w:rFonts w:cs="Arial"/>
              </w:rPr>
              <w:t>:</w:t>
            </w:r>
          </w:p>
          <w:p w14:paraId="07124ADC" w14:textId="69550FAF" w:rsidR="00487ADB" w:rsidRPr="00F37617" w:rsidRDefault="00487ADB" w:rsidP="001F25AF">
            <w:pPr>
              <w:rPr>
                <w:rFonts w:cs="Arial"/>
              </w:rPr>
            </w:pPr>
            <w:r w:rsidRPr="00F37617">
              <w:rPr>
                <w:rFonts w:cs="Arial"/>
              </w:rPr>
              <w:t xml:space="preserve">С </w:t>
            </w:r>
            <w:proofErr w:type="spellStart"/>
            <w:r w:rsidRPr="00F37617">
              <w:rPr>
                <w:rFonts w:cs="Arial"/>
              </w:rPr>
              <w:t>неизвестна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честота</w:t>
            </w:r>
            <w:proofErr w:type="spellEnd"/>
            <w:r w:rsidRPr="00F37617">
              <w:rPr>
                <w:rFonts w:cs="Arial"/>
              </w:rPr>
              <w:t>:</w:t>
            </w:r>
          </w:p>
        </w:tc>
        <w:tc>
          <w:tcPr>
            <w:tcW w:w="4675" w:type="dxa"/>
          </w:tcPr>
          <w:p w14:paraId="662CB7DE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1C0BF9BC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04DE0D9F" w14:textId="77777777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Алопеция</w:t>
            </w:r>
            <w:proofErr w:type="spellEnd"/>
          </w:p>
          <w:p w14:paraId="55BD4C3A" w14:textId="77777777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Хеморагична</w:t>
            </w:r>
            <w:proofErr w:type="spellEnd"/>
            <w:r w:rsidRPr="00F37617">
              <w:rPr>
                <w:rFonts w:cs="Arial"/>
              </w:rPr>
              <w:t xml:space="preserve">* </w:t>
            </w:r>
            <w:proofErr w:type="spellStart"/>
            <w:r w:rsidRPr="00F37617">
              <w:rPr>
                <w:rFonts w:cs="Arial"/>
              </w:rPr>
              <w:t>кожна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некроза</w:t>
            </w:r>
            <w:proofErr w:type="spellEnd"/>
          </w:p>
          <w:p w14:paraId="63CE956A" w14:textId="5A222123" w:rsidR="00487ADB" w:rsidRPr="00F37617" w:rsidRDefault="00487ADB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Калцифилаксия</w:t>
            </w:r>
            <w:proofErr w:type="spellEnd"/>
          </w:p>
        </w:tc>
      </w:tr>
      <w:tr w:rsidR="001F25AF" w:rsidRPr="00F37617" w14:paraId="243A26B3" w14:textId="77777777" w:rsidTr="001F25AF">
        <w:tc>
          <w:tcPr>
            <w:tcW w:w="4675" w:type="dxa"/>
          </w:tcPr>
          <w:p w14:paraId="015FDF8B" w14:textId="77777777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  <w:b/>
                <w:bCs/>
              </w:rPr>
              <w:t>Нарушения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на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кръвта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и </w:t>
            </w:r>
            <w:proofErr w:type="spellStart"/>
            <w:r w:rsidRPr="00F37617">
              <w:rPr>
                <w:rFonts w:cs="Arial"/>
                <w:b/>
                <w:bCs/>
              </w:rPr>
              <w:t>лимфната</w:t>
            </w:r>
            <w:proofErr w:type="spellEnd"/>
            <w:r w:rsidRPr="00F37617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F37617">
              <w:rPr>
                <w:rFonts w:cs="Arial"/>
                <w:b/>
                <w:bCs/>
              </w:rPr>
              <w:t>система</w:t>
            </w:r>
            <w:proofErr w:type="spellEnd"/>
          </w:p>
          <w:p w14:paraId="19D037D5" w14:textId="560F8055" w:rsidR="001F25AF" w:rsidRPr="00F37617" w:rsidRDefault="001F25AF" w:rsidP="001F25AF">
            <w:pPr>
              <w:rPr>
                <w:rFonts w:cs="Arial"/>
              </w:rPr>
            </w:pPr>
            <w:r w:rsidRPr="00F37617">
              <w:rPr>
                <w:rFonts w:cs="Arial"/>
              </w:rPr>
              <w:t xml:space="preserve">С </w:t>
            </w:r>
            <w:proofErr w:type="spellStart"/>
            <w:r w:rsidRPr="00F37617">
              <w:rPr>
                <w:rFonts w:cs="Arial"/>
              </w:rPr>
              <w:t>неизвестна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честота</w:t>
            </w:r>
            <w:proofErr w:type="spellEnd"/>
            <w:r w:rsidRPr="00F37617">
              <w:rPr>
                <w:rFonts w:cs="Arial"/>
              </w:rPr>
              <w:t>:</w:t>
            </w:r>
          </w:p>
        </w:tc>
        <w:tc>
          <w:tcPr>
            <w:tcW w:w="4675" w:type="dxa"/>
          </w:tcPr>
          <w:p w14:paraId="4754E68A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3828F6EB" w14:textId="77777777" w:rsidR="00487ADB" w:rsidRPr="00F37617" w:rsidRDefault="00487ADB" w:rsidP="001F25AF">
            <w:pPr>
              <w:rPr>
                <w:rFonts w:cs="Arial"/>
              </w:rPr>
            </w:pPr>
          </w:p>
          <w:p w14:paraId="63FAB68D" w14:textId="1F1D0A83" w:rsidR="001F25AF" w:rsidRPr="00F37617" w:rsidRDefault="001F25AF" w:rsidP="001F25AF">
            <w:pPr>
              <w:rPr>
                <w:rFonts w:cs="Arial"/>
              </w:rPr>
            </w:pPr>
            <w:proofErr w:type="spellStart"/>
            <w:r w:rsidRPr="00F37617">
              <w:rPr>
                <w:rFonts w:cs="Arial"/>
              </w:rPr>
              <w:t>Анемия</w:t>
            </w:r>
            <w:proofErr w:type="spellEnd"/>
            <w:r w:rsidRPr="00F37617">
              <w:rPr>
                <w:rFonts w:cs="Arial"/>
              </w:rPr>
              <w:t xml:space="preserve"> (</w:t>
            </w:r>
            <w:proofErr w:type="spellStart"/>
            <w:r w:rsidRPr="00F37617">
              <w:rPr>
                <w:rFonts w:cs="Arial"/>
              </w:rPr>
              <w:t>вторична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спрямо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кръвоизлива</w:t>
            </w:r>
            <w:proofErr w:type="spellEnd"/>
            <w:r w:rsidRPr="00F37617">
              <w:rPr>
                <w:rFonts w:cs="Arial"/>
              </w:rPr>
              <w:t>)</w:t>
            </w:r>
          </w:p>
        </w:tc>
      </w:tr>
    </w:tbl>
    <w:p w14:paraId="733F8F68" w14:textId="5CC589D6" w:rsidR="001F25AF" w:rsidRPr="00F37617" w:rsidRDefault="001F25AF" w:rsidP="001F25AF">
      <w:pPr>
        <w:rPr>
          <w:rFonts w:cs="Arial"/>
        </w:rPr>
      </w:pPr>
      <w:r w:rsidRPr="00F37617">
        <w:rPr>
          <w:rFonts w:cs="Arial"/>
        </w:rPr>
        <w:t xml:space="preserve">* </w:t>
      </w:r>
      <w:proofErr w:type="spellStart"/>
      <w:r w:rsidRPr="00F37617">
        <w:rPr>
          <w:rFonts w:cs="Arial"/>
        </w:rPr>
        <w:t>Обикновено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свързана</w:t>
      </w:r>
      <w:proofErr w:type="spellEnd"/>
      <w:r w:rsidRPr="00F37617">
        <w:rPr>
          <w:rFonts w:cs="Arial"/>
        </w:rPr>
        <w:t xml:space="preserve"> с </w:t>
      </w:r>
      <w:proofErr w:type="spellStart"/>
      <w:r w:rsidRPr="00F37617">
        <w:rPr>
          <w:rFonts w:cs="Arial"/>
        </w:rPr>
        <w:t>вроден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дефицит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протеин</w:t>
      </w:r>
      <w:proofErr w:type="spellEnd"/>
      <w:r w:rsidRPr="00F37617">
        <w:rPr>
          <w:rFonts w:cs="Arial"/>
        </w:rPr>
        <w:t xml:space="preserve"> С </w:t>
      </w:r>
      <w:proofErr w:type="spellStart"/>
      <w:r w:rsidRPr="00F37617">
        <w:rPr>
          <w:rFonts w:cs="Arial"/>
        </w:rPr>
        <w:t>или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неговият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ко-фактор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протеин</w:t>
      </w:r>
      <w:proofErr w:type="spellEnd"/>
      <w:r w:rsidRPr="00F37617">
        <w:rPr>
          <w:rFonts w:cs="Arial"/>
        </w:rPr>
        <w:t xml:space="preserve"> S</w:t>
      </w:r>
    </w:p>
    <w:p w14:paraId="32DF46B7" w14:textId="77777777" w:rsidR="001F25AF" w:rsidRPr="00F37617" w:rsidRDefault="001F25AF" w:rsidP="001F25AF">
      <w:pPr>
        <w:spacing w:line="240" w:lineRule="auto"/>
        <w:rPr>
          <w:rFonts w:eastAsia="Times New Roman" w:cs="Arial"/>
          <w:color w:val="000000"/>
          <w:sz w:val="20"/>
          <w:szCs w:val="20"/>
          <w:u w:val="single"/>
          <w:lang w:val="bg-BG" w:eastAsia="bg-BG"/>
        </w:rPr>
      </w:pPr>
    </w:p>
    <w:p w14:paraId="2EB961E2" w14:textId="0D05CEE8" w:rsidR="001F25AF" w:rsidRPr="00F37617" w:rsidRDefault="001F25AF" w:rsidP="001F25AF">
      <w:pPr>
        <w:rPr>
          <w:rFonts w:cs="Arial"/>
          <w:sz w:val="24"/>
          <w:szCs w:val="24"/>
          <w:u w:val="single"/>
          <w:lang w:val="bg-BG"/>
        </w:rPr>
      </w:pPr>
      <w:r w:rsidRPr="00F37617">
        <w:rPr>
          <w:rFonts w:cs="Arial"/>
          <w:u w:val="single"/>
          <w:lang w:val="bg-BG" w:eastAsia="bg-BG"/>
        </w:rPr>
        <w:t>Съобщаване на подозирани нежелани реакции</w:t>
      </w:r>
    </w:p>
    <w:p w14:paraId="18ECFA57" w14:textId="5869B68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564C89E9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Изпълнителна агенция по лекарствата</w:t>
      </w:r>
    </w:p>
    <w:p w14:paraId="51539339" w14:textId="6A8C2BFC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  <w:lang w:val="bg-BG" w:eastAsia="bg-BG"/>
        </w:rPr>
        <w:t>ул</w:t>
      </w:r>
      <w:proofErr w:type="spellEnd"/>
      <w:r w:rsidRPr="00F37617">
        <w:rPr>
          <w:rFonts w:cs="Arial"/>
          <w:lang w:val="bg-BG" w:eastAsia="bg-BG"/>
        </w:rPr>
        <w:t>.,Дамян Груев” № 8</w:t>
      </w:r>
    </w:p>
    <w:p w14:paraId="0E43DAE9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1303 София</w:t>
      </w:r>
    </w:p>
    <w:p w14:paraId="5C31D105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Тел.: +35 928903417</w:t>
      </w:r>
    </w:p>
    <w:p w14:paraId="7E2C8561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уебсайт: </w:t>
      </w:r>
      <w:hyperlink r:id="rId7" w:history="1">
        <w:r w:rsidRPr="00F37617">
          <w:rPr>
            <w:rFonts w:cs="Arial"/>
          </w:rPr>
          <w:t>www.bda.bg</w:t>
        </w:r>
      </w:hyperlink>
    </w:p>
    <w:p w14:paraId="2145C0C5" w14:textId="77777777" w:rsidR="001F25AF" w:rsidRPr="00F37617" w:rsidRDefault="001F25AF" w:rsidP="001F25AF">
      <w:pPr>
        <w:rPr>
          <w:rFonts w:cs="Arial"/>
        </w:rPr>
      </w:pPr>
    </w:p>
    <w:p w14:paraId="611C622D" w14:textId="3AA8A94E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4.9. </w:t>
      </w:r>
      <w:proofErr w:type="spellStart"/>
      <w:r w:rsidRPr="00F37617">
        <w:rPr>
          <w:rFonts w:cs="Arial"/>
        </w:rPr>
        <w:t>Предозиране</w:t>
      </w:r>
      <w:proofErr w:type="spellEnd"/>
    </w:p>
    <w:p w14:paraId="7373F278" w14:textId="482E9CD8" w:rsidR="001F25AF" w:rsidRPr="00F37617" w:rsidRDefault="001F25AF" w:rsidP="001F25AF">
      <w:pPr>
        <w:rPr>
          <w:rFonts w:cs="Arial"/>
        </w:rPr>
      </w:pPr>
      <w:proofErr w:type="spellStart"/>
      <w:r w:rsidRPr="00F37617">
        <w:rPr>
          <w:rFonts w:cs="Arial"/>
        </w:rPr>
        <w:t>Поради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факта</w:t>
      </w:r>
      <w:proofErr w:type="spellEnd"/>
      <w:r w:rsidRPr="00F37617">
        <w:rPr>
          <w:rFonts w:cs="Arial"/>
        </w:rPr>
        <w:t xml:space="preserve">, </w:t>
      </w:r>
      <w:proofErr w:type="spellStart"/>
      <w:r w:rsidRPr="00F37617">
        <w:rPr>
          <w:rFonts w:cs="Arial"/>
        </w:rPr>
        <w:t>че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дори</w:t>
      </w:r>
      <w:proofErr w:type="spellEnd"/>
      <w:r w:rsidRPr="00F37617">
        <w:rPr>
          <w:rFonts w:cs="Arial"/>
        </w:rPr>
        <w:t xml:space="preserve"> и </w:t>
      </w:r>
      <w:proofErr w:type="spellStart"/>
      <w:r w:rsidRPr="00F37617">
        <w:rPr>
          <w:rFonts w:cs="Arial"/>
        </w:rPr>
        <w:t>много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големите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единични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дози</w:t>
      </w:r>
      <w:proofErr w:type="spellEnd"/>
      <w:r w:rsidRPr="00F37617">
        <w:rPr>
          <w:rFonts w:cs="Arial"/>
        </w:rPr>
        <w:t xml:space="preserve">, </w:t>
      </w:r>
      <w:proofErr w:type="spellStart"/>
      <w:r w:rsidRPr="00F37617">
        <w:rPr>
          <w:rFonts w:cs="Arial"/>
        </w:rPr>
        <w:t>обикновено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опасни</w:t>
      </w:r>
      <w:proofErr w:type="spellEnd"/>
      <w:r w:rsidRPr="00F37617">
        <w:rPr>
          <w:rFonts w:cs="Arial"/>
        </w:rPr>
        <w:t xml:space="preserve">, </w:t>
      </w:r>
      <w:proofErr w:type="spellStart"/>
      <w:r w:rsidRPr="00F37617">
        <w:rPr>
          <w:rFonts w:cs="Arial"/>
        </w:rPr>
        <w:t>предозирането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манифестира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клинично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продължителна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употреба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дневни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дозировки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по-високи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от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необходимите</w:t>
      </w:r>
      <w:proofErr w:type="spellEnd"/>
      <w:r w:rsidRPr="00F37617">
        <w:rPr>
          <w:rFonts w:cs="Arial"/>
        </w:rPr>
        <w:t xml:space="preserve"> за </w:t>
      </w:r>
      <w:proofErr w:type="spellStart"/>
      <w:r w:rsidRPr="00F37617">
        <w:rPr>
          <w:rFonts w:cs="Arial"/>
        </w:rPr>
        <w:t>лечението</w:t>
      </w:r>
      <w:proofErr w:type="spellEnd"/>
      <w:r w:rsidRPr="00F37617">
        <w:rPr>
          <w:rFonts w:cs="Arial"/>
        </w:rPr>
        <w:t>.</w:t>
      </w:r>
    </w:p>
    <w:p w14:paraId="3F43EA14" w14:textId="7BEF88C1" w:rsidR="001F25AF" w:rsidRPr="00F37617" w:rsidRDefault="001F25AF" w:rsidP="001F25AF">
      <w:pPr>
        <w:rPr>
          <w:rFonts w:cs="Arial"/>
        </w:rPr>
      </w:pPr>
    </w:p>
    <w:p w14:paraId="1F0B0C60" w14:textId="77777777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Признаци и симптоми</w:t>
      </w:r>
    </w:p>
    <w:p w14:paraId="05E674AE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Появата и тежестта на симптомите зависят от индивидуалната чувствителност към перорални антикоагуланти, тежестта на предозирането и продължителността на лечението.</w:t>
      </w:r>
    </w:p>
    <w:p w14:paraId="5FDD8B45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26F7B590" w14:textId="3EC94C61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Кървенето е главният признак на интоксикация с перорални антикоагуланти. Най-често наблюдаваните симптоми са: подкожен кръвоизлив (80%), </w:t>
      </w:r>
      <w:proofErr w:type="spellStart"/>
      <w:r w:rsidRPr="00F37617">
        <w:rPr>
          <w:rFonts w:cs="Arial"/>
          <w:lang w:val="bg-BG" w:eastAsia="bg-BG"/>
        </w:rPr>
        <w:t>хематурия</w:t>
      </w:r>
      <w:proofErr w:type="spellEnd"/>
      <w:r w:rsidRPr="00F37617">
        <w:rPr>
          <w:rFonts w:cs="Arial"/>
          <w:lang w:val="bg-BG" w:eastAsia="bg-BG"/>
        </w:rPr>
        <w:t xml:space="preserve"> (52%), х</w:t>
      </w:r>
      <w:r w:rsidR="00487ADB" w:rsidRPr="00F37617">
        <w:rPr>
          <w:rFonts w:cs="Arial"/>
          <w:lang w:val="bg-BG" w:eastAsia="bg-BG"/>
        </w:rPr>
        <w:t>е</w:t>
      </w:r>
      <w:r w:rsidRPr="00F37617">
        <w:rPr>
          <w:rFonts w:cs="Arial"/>
          <w:lang w:val="bg-BG" w:eastAsia="bg-BG"/>
        </w:rPr>
        <w:t>матоми, кървене от</w:t>
      </w:r>
      <w:r w:rsidRPr="00F37617">
        <w:rPr>
          <w:rFonts w:cs="Arial"/>
          <w:lang w:eastAsia="bg-BG"/>
        </w:rPr>
        <w:t xml:space="preserve"> </w:t>
      </w:r>
      <w:r w:rsidRPr="00F37617">
        <w:rPr>
          <w:rFonts w:cs="Arial"/>
          <w:lang w:val="bg-BG" w:eastAsia="bg-BG"/>
        </w:rPr>
        <w:t xml:space="preserve">гастроинтестиналния тракт, </w:t>
      </w:r>
      <w:proofErr w:type="spellStart"/>
      <w:r w:rsidRPr="00F37617">
        <w:rPr>
          <w:rFonts w:cs="Arial"/>
          <w:lang w:val="bg-BG" w:eastAsia="bg-BG"/>
        </w:rPr>
        <w:t>хематемеза</w:t>
      </w:r>
      <w:proofErr w:type="spellEnd"/>
      <w:r w:rsidRPr="00F37617">
        <w:rPr>
          <w:rFonts w:cs="Arial"/>
          <w:lang w:val="bg-BG" w:eastAsia="bg-BG"/>
        </w:rPr>
        <w:t xml:space="preserve">, маточно кървене, </w:t>
      </w:r>
      <w:proofErr w:type="spellStart"/>
      <w:r w:rsidRPr="00F37617">
        <w:rPr>
          <w:rFonts w:cs="Arial"/>
          <w:lang w:val="bg-BG" w:eastAsia="bg-BG"/>
        </w:rPr>
        <w:t>епистаксис</w:t>
      </w:r>
      <w:proofErr w:type="spellEnd"/>
      <w:r w:rsidRPr="00F37617">
        <w:rPr>
          <w:rFonts w:cs="Arial"/>
          <w:lang w:val="bg-BG" w:eastAsia="bg-BG"/>
        </w:rPr>
        <w:t>, кървене от венците и кървене в ставите.</w:t>
      </w:r>
    </w:p>
    <w:p w14:paraId="07FD1C93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lastRenderedPageBreak/>
        <w:t xml:space="preserve">Лабораторните тестове показват твърде високи </w:t>
      </w:r>
      <w:r w:rsidRPr="00F37617">
        <w:rPr>
          <w:rFonts w:cs="Arial"/>
        </w:rPr>
        <w:t xml:space="preserve">PT/INR </w:t>
      </w:r>
      <w:r w:rsidRPr="00F37617">
        <w:rPr>
          <w:rFonts w:cs="Arial"/>
          <w:lang w:val="bg-BG" w:eastAsia="bg-BG"/>
        </w:rPr>
        <w:t xml:space="preserve">стойности, особено удължено </w:t>
      </w:r>
      <w:proofErr w:type="spellStart"/>
      <w:r w:rsidRPr="00F37617">
        <w:rPr>
          <w:rFonts w:cs="Arial"/>
          <w:lang w:val="bg-BG" w:eastAsia="bg-BG"/>
        </w:rPr>
        <w:t>рекалцнфикационно</w:t>
      </w:r>
      <w:proofErr w:type="spellEnd"/>
      <w:r w:rsidRPr="00F37617">
        <w:rPr>
          <w:rFonts w:cs="Arial"/>
          <w:lang w:val="bg-BG" w:eastAsia="bg-BG"/>
        </w:rPr>
        <w:t xml:space="preserve"> време или </w:t>
      </w:r>
      <w:proofErr w:type="spellStart"/>
      <w:r w:rsidRPr="00F37617">
        <w:rPr>
          <w:rFonts w:cs="Arial"/>
          <w:lang w:val="bg-BG" w:eastAsia="bg-BG"/>
        </w:rPr>
        <w:t>протромбиново</w:t>
      </w:r>
      <w:proofErr w:type="spellEnd"/>
      <w:r w:rsidRPr="00F37617">
        <w:rPr>
          <w:rFonts w:cs="Arial"/>
          <w:lang w:val="bg-BG" w:eastAsia="bg-BG"/>
        </w:rPr>
        <w:t xml:space="preserve"> време и нарушено гама-</w:t>
      </w:r>
      <w:proofErr w:type="spellStart"/>
      <w:r w:rsidRPr="00F37617">
        <w:rPr>
          <w:rFonts w:cs="Arial"/>
          <w:lang w:val="bg-BG" w:eastAsia="bg-BG"/>
        </w:rPr>
        <w:t>карбоксилиране</w:t>
      </w:r>
      <w:proofErr w:type="spellEnd"/>
      <w:r w:rsidRPr="00F37617">
        <w:rPr>
          <w:rFonts w:cs="Arial"/>
          <w:lang w:val="bg-BG" w:eastAsia="bg-BG"/>
        </w:rPr>
        <w:t xml:space="preserve"> на фактори II, VII, IX и X.</w:t>
      </w:r>
    </w:p>
    <w:p w14:paraId="2C7ADFE3" w14:textId="77777777" w:rsidR="001F25AF" w:rsidRPr="00F37617" w:rsidRDefault="001F25AF" w:rsidP="001F25AF">
      <w:pPr>
        <w:rPr>
          <w:rFonts w:cs="Arial"/>
          <w:b/>
          <w:bCs/>
          <w:lang w:val="bg-BG" w:eastAsia="bg-BG"/>
        </w:rPr>
      </w:pPr>
    </w:p>
    <w:p w14:paraId="143DDCEA" w14:textId="55BF71BA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Лечение</w:t>
      </w:r>
    </w:p>
    <w:p w14:paraId="2450C89D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Необходимостта и </w:t>
      </w:r>
      <w:proofErr w:type="spellStart"/>
      <w:r w:rsidRPr="00F37617">
        <w:rPr>
          <w:rFonts w:cs="Arial"/>
          <w:lang w:val="bg-BG" w:eastAsia="bg-BG"/>
        </w:rPr>
        <w:t>препорьчителността</w:t>
      </w:r>
      <w:proofErr w:type="spellEnd"/>
      <w:r w:rsidRPr="00F37617">
        <w:rPr>
          <w:rFonts w:cs="Arial"/>
          <w:lang w:val="bg-BG" w:eastAsia="bg-BG"/>
        </w:rPr>
        <w:t xml:space="preserve"> на лечението със сироп от </w:t>
      </w:r>
      <w:proofErr w:type="spellStart"/>
      <w:r w:rsidRPr="00F37617">
        <w:rPr>
          <w:rFonts w:cs="Arial"/>
          <w:lang w:val="bg-BG" w:eastAsia="bg-BG"/>
        </w:rPr>
        <w:t>ипекакуана</w:t>
      </w:r>
      <w:proofErr w:type="spellEnd"/>
      <w:r w:rsidRPr="00F37617">
        <w:rPr>
          <w:rFonts w:cs="Arial"/>
          <w:lang w:val="bg-BG" w:eastAsia="bg-BG"/>
        </w:rPr>
        <w:t xml:space="preserve">, стомашен </w:t>
      </w:r>
      <w:proofErr w:type="spellStart"/>
      <w:r w:rsidRPr="00F37617">
        <w:rPr>
          <w:rFonts w:cs="Arial"/>
          <w:lang w:val="bg-BG" w:eastAsia="bg-BG"/>
        </w:rPr>
        <w:t>лаваж</w:t>
      </w:r>
      <w:proofErr w:type="spellEnd"/>
      <w:r w:rsidRPr="00F37617">
        <w:rPr>
          <w:rFonts w:cs="Arial"/>
          <w:lang w:val="bg-BG" w:eastAsia="bg-BG"/>
        </w:rPr>
        <w:t xml:space="preserve"> като допълнение към терапия с активен въглен и прием на </w:t>
      </w:r>
      <w:proofErr w:type="spellStart"/>
      <w:r w:rsidRPr="00F37617">
        <w:rPr>
          <w:rFonts w:cs="Arial"/>
          <w:lang w:val="bg-BG" w:eastAsia="bg-BG"/>
        </w:rPr>
        <w:t>холестирамин</w:t>
      </w:r>
      <w:proofErr w:type="spellEnd"/>
      <w:r w:rsidRPr="00F37617">
        <w:rPr>
          <w:rFonts w:cs="Arial"/>
          <w:lang w:val="bg-BG" w:eastAsia="bg-BG"/>
        </w:rPr>
        <w:t>, е спорна. Ползите от тези лечения се съпоставят с риска от кървене при всеки пациент.</w:t>
      </w:r>
    </w:p>
    <w:p w14:paraId="71917D23" w14:textId="77777777" w:rsidR="001F25AF" w:rsidRPr="00F37617" w:rsidRDefault="001F25AF" w:rsidP="001F25AF">
      <w:pPr>
        <w:rPr>
          <w:rFonts w:cs="Arial"/>
          <w:b/>
          <w:bCs/>
          <w:lang w:val="bg-BG" w:eastAsia="bg-BG"/>
        </w:rPr>
      </w:pPr>
    </w:p>
    <w:p w14:paraId="4A2CED13" w14:textId="757AA897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Спешни и поддържащи мерки</w:t>
      </w:r>
    </w:p>
    <w:p w14:paraId="388FDB07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При спешни случаи на тежки кръвоизливи при всяко ниво на </w:t>
      </w:r>
      <w:r w:rsidRPr="00F37617">
        <w:rPr>
          <w:rFonts w:cs="Arial"/>
        </w:rPr>
        <w:t xml:space="preserve">INR, </w:t>
      </w:r>
      <w:r w:rsidRPr="00F37617">
        <w:rPr>
          <w:rFonts w:cs="Arial"/>
          <w:lang w:val="bg-BG" w:eastAsia="bg-BG"/>
        </w:rPr>
        <w:t xml:space="preserve">факторите на кръвосъсирване може да възстановят нормалните си стойности, като се влее прясна кръв или прясна замразена плазма, </w:t>
      </w:r>
      <w:proofErr w:type="spellStart"/>
      <w:r w:rsidRPr="00F37617">
        <w:rPr>
          <w:rFonts w:cs="Arial"/>
          <w:lang w:val="bg-BG" w:eastAsia="bg-BG"/>
        </w:rPr>
        <w:t>протромбинов</w:t>
      </w:r>
      <w:proofErr w:type="spellEnd"/>
      <w:r w:rsidRPr="00F37617">
        <w:rPr>
          <w:rFonts w:cs="Arial"/>
          <w:lang w:val="bg-BG" w:eastAsia="bg-BG"/>
        </w:rPr>
        <w:t xml:space="preserve"> комплекс от концентриран или </w:t>
      </w:r>
      <w:proofErr w:type="spellStart"/>
      <w:r w:rsidRPr="00F37617">
        <w:rPr>
          <w:rFonts w:cs="Arial"/>
          <w:lang w:val="bg-BG" w:eastAsia="bg-BG"/>
        </w:rPr>
        <w:t>рекомбинантен</w:t>
      </w:r>
      <w:proofErr w:type="spellEnd"/>
      <w:r w:rsidRPr="00F37617">
        <w:rPr>
          <w:rFonts w:cs="Arial"/>
          <w:lang w:val="bg-BG" w:eastAsia="bg-BG"/>
        </w:rPr>
        <w:t xml:space="preserve"> фактор </w:t>
      </w:r>
      <w:proofErr w:type="spellStart"/>
      <w:r w:rsidRPr="00F37617">
        <w:rPr>
          <w:rFonts w:cs="Arial"/>
        </w:rPr>
        <w:t>VIIa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>с добавка от витамин К1</w:t>
      </w:r>
    </w:p>
    <w:p w14:paraId="5380801F" w14:textId="77777777" w:rsidR="001F25AF" w:rsidRPr="00F37617" w:rsidRDefault="001F25AF" w:rsidP="001F25AF">
      <w:pPr>
        <w:rPr>
          <w:rFonts w:cs="Arial"/>
          <w:b/>
          <w:bCs/>
          <w:lang w:val="bg-BG" w:eastAsia="bg-BG"/>
        </w:rPr>
      </w:pPr>
      <w:bookmarkStart w:id="4" w:name="bookmark4"/>
    </w:p>
    <w:p w14:paraId="01D26F51" w14:textId="62A4488F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Антидот</w:t>
      </w:r>
      <w:bookmarkEnd w:id="4"/>
    </w:p>
    <w:p w14:paraId="01052CC1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Витамин К1-(</w:t>
      </w:r>
      <w:proofErr w:type="spellStart"/>
      <w:r w:rsidRPr="00F37617">
        <w:rPr>
          <w:rFonts w:cs="Arial"/>
          <w:lang w:val="bg-BG" w:eastAsia="bg-BG"/>
        </w:rPr>
        <w:t>фитоменадион</w:t>
      </w:r>
      <w:proofErr w:type="spellEnd"/>
      <w:r w:rsidRPr="00F37617">
        <w:rPr>
          <w:rFonts w:cs="Arial"/>
          <w:lang w:val="bg-BG" w:eastAsia="bg-BG"/>
        </w:rPr>
        <w:t xml:space="preserve">) може да </w:t>
      </w:r>
      <w:proofErr w:type="spellStart"/>
      <w:r w:rsidRPr="00F37617">
        <w:rPr>
          <w:rFonts w:cs="Arial"/>
          <w:lang w:val="bg-BG" w:eastAsia="bg-BG"/>
        </w:rPr>
        <w:t>антагонизира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инхибиторното</w:t>
      </w:r>
      <w:proofErr w:type="spellEnd"/>
      <w:r w:rsidRPr="00F37617">
        <w:rPr>
          <w:rFonts w:cs="Arial"/>
          <w:lang w:val="bg-BG" w:eastAsia="bg-BG"/>
        </w:rPr>
        <w:t xml:space="preserve"> действие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>върху чернодробното гама-</w:t>
      </w:r>
      <w:proofErr w:type="spellStart"/>
      <w:r w:rsidRPr="00F37617">
        <w:rPr>
          <w:rFonts w:cs="Arial"/>
          <w:lang w:val="bg-BG" w:eastAsia="bg-BG"/>
        </w:rPr>
        <w:t>карбоксилиране</w:t>
      </w:r>
      <w:proofErr w:type="spellEnd"/>
      <w:r w:rsidRPr="00F37617">
        <w:rPr>
          <w:rFonts w:cs="Arial"/>
          <w:lang w:val="bg-BG" w:eastAsia="bg-BG"/>
        </w:rPr>
        <w:t xml:space="preserve"> на витамин К-зависимите </w:t>
      </w:r>
      <w:proofErr w:type="spellStart"/>
      <w:r w:rsidRPr="00F37617">
        <w:rPr>
          <w:rFonts w:cs="Arial"/>
          <w:lang w:val="bg-BG" w:eastAsia="bg-BG"/>
        </w:rPr>
        <w:t>коагулационни</w:t>
      </w:r>
      <w:proofErr w:type="spellEnd"/>
      <w:r w:rsidRPr="00F37617">
        <w:rPr>
          <w:rFonts w:cs="Arial"/>
          <w:lang w:val="bg-BG" w:eastAsia="bg-BG"/>
        </w:rPr>
        <w:t xml:space="preserve"> фактори за 3-5 часа.</w:t>
      </w:r>
    </w:p>
    <w:p w14:paraId="6C613F33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3E928FAE" w14:textId="397F86C0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В случай на клинично незначими кръвоизливи </w:t>
      </w:r>
      <w:r w:rsidRPr="00F37617">
        <w:rPr>
          <w:rFonts w:cs="Arial"/>
        </w:rPr>
        <w:t xml:space="preserve">(INR&lt;4,5), </w:t>
      </w:r>
      <w:r w:rsidRPr="00F37617">
        <w:rPr>
          <w:rFonts w:cs="Arial"/>
          <w:lang w:val="bg-BG" w:eastAsia="bg-BG"/>
        </w:rPr>
        <w:t xml:space="preserve">като слабо кървене от носа или малки изолирани хематоми, често е достатъчно временно намаление или пропускане на дозировка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>.</w:t>
      </w:r>
    </w:p>
    <w:p w14:paraId="79E0A0A3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179ECD17" w14:textId="03C00DDE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В случаи на повишено </w:t>
      </w:r>
      <w:r w:rsidRPr="00F37617">
        <w:rPr>
          <w:rFonts w:cs="Arial"/>
        </w:rPr>
        <w:t xml:space="preserve">INR (INR </w:t>
      </w:r>
      <w:r w:rsidRPr="00F37617">
        <w:rPr>
          <w:rFonts w:cs="Arial"/>
          <w:lang w:val="bg-BG" w:eastAsia="bg-BG"/>
        </w:rPr>
        <w:t xml:space="preserve">4,5-10) без значително кървене, прекъснете лечението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>.</w:t>
      </w:r>
    </w:p>
    <w:p w14:paraId="665C8893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422EABA5" w14:textId="69C2845B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В случаите на повишено </w:t>
      </w:r>
      <w:r w:rsidRPr="00F37617">
        <w:rPr>
          <w:rFonts w:cs="Arial"/>
        </w:rPr>
        <w:t xml:space="preserve">INR (INR </w:t>
      </w:r>
      <w:r w:rsidRPr="00F37617">
        <w:rPr>
          <w:rFonts w:cs="Arial"/>
          <w:lang w:val="bg-BG" w:eastAsia="bg-BG"/>
        </w:rPr>
        <w:t xml:space="preserve">&gt;10) без значително кървене, прекъснете лечението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и приложете 1-5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 xml:space="preserve">витамин К1 </w:t>
      </w:r>
      <w:proofErr w:type="spellStart"/>
      <w:r w:rsidRPr="00F37617">
        <w:rPr>
          <w:rFonts w:cs="Arial"/>
          <w:lang w:val="bg-BG" w:eastAsia="bg-BG"/>
        </w:rPr>
        <w:t>пероралено</w:t>
      </w:r>
      <w:proofErr w:type="spellEnd"/>
      <w:r w:rsidRPr="00F37617">
        <w:rPr>
          <w:rFonts w:cs="Arial"/>
          <w:lang w:val="bg-BG" w:eastAsia="bg-BG"/>
        </w:rPr>
        <w:t>.</w:t>
      </w:r>
    </w:p>
    <w:p w14:paraId="23B2FF63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4C47B4E9" w14:textId="0467F873" w:rsidR="001F25AF" w:rsidRPr="00F37617" w:rsidRDefault="001F25AF" w:rsidP="001F25AF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Ако има данни за </w:t>
      </w:r>
      <w:proofErr w:type="spellStart"/>
      <w:r w:rsidRPr="00F37617">
        <w:rPr>
          <w:rFonts w:cs="Arial"/>
          <w:lang w:val="bg-BG" w:eastAsia="bg-BG"/>
        </w:rPr>
        <w:t>значителн</w:t>
      </w:r>
      <w:proofErr w:type="spellEnd"/>
      <w:r w:rsidRPr="00F37617">
        <w:rPr>
          <w:rFonts w:cs="Arial"/>
          <w:lang w:val="bg-BG" w:eastAsia="bg-BG"/>
        </w:rPr>
        <w:t xml:space="preserve"> кръвоизлив (при всяко ниво на </w:t>
      </w:r>
      <w:r w:rsidRPr="00F37617">
        <w:rPr>
          <w:rFonts w:cs="Arial"/>
        </w:rPr>
        <w:t xml:space="preserve">INR), </w:t>
      </w:r>
      <w:r w:rsidRPr="00F37617">
        <w:rPr>
          <w:rFonts w:cs="Arial"/>
          <w:lang w:val="bg-BG" w:eastAsia="bg-BG"/>
        </w:rPr>
        <w:t xml:space="preserve">да се прекъсне лечението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, </w:t>
      </w:r>
      <w:r w:rsidRPr="00F37617">
        <w:rPr>
          <w:rFonts w:cs="Arial"/>
          <w:lang w:val="bg-BG" w:eastAsia="bg-BG"/>
        </w:rPr>
        <w:t xml:space="preserve">като </w:t>
      </w:r>
    </w:p>
    <w:p w14:paraId="137BACF0" w14:textId="06F0505D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се приложи 5-10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 xml:space="preserve">витамин К1 бавно венозно (със скорост, която не надвишава 1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>за минута).</w:t>
      </w:r>
    </w:p>
    <w:p w14:paraId="3182DD13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2F5E439C" w14:textId="75F4202A" w:rsidR="001F25AF" w:rsidRPr="00F37617" w:rsidRDefault="001F25AF" w:rsidP="001F25AF">
      <w:pPr>
        <w:rPr>
          <w:rFonts w:cs="Arial"/>
          <w:lang w:eastAsia="bg-BG"/>
        </w:rPr>
      </w:pPr>
      <w:r w:rsidRPr="00F37617">
        <w:rPr>
          <w:rFonts w:cs="Arial"/>
          <w:lang w:val="bg-BG" w:eastAsia="bg-BG"/>
        </w:rPr>
        <w:t xml:space="preserve">В случаите на кръвоизлив лечението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трябва да се възобновява, когато </w:t>
      </w:r>
      <w:r w:rsidRPr="00F37617">
        <w:rPr>
          <w:rFonts w:cs="Arial"/>
        </w:rPr>
        <w:t xml:space="preserve">INR </w:t>
      </w:r>
      <w:r w:rsidRPr="00F37617">
        <w:rPr>
          <w:rFonts w:cs="Arial"/>
          <w:lang w:val="bg-BG" w:eastAsia="bg-BG"/>
        </w:rPr>
        <w:t>е в целевия диапазон</w:t>
      </w:r>
    </w:p>
    <w:p w14:paraId="103EE8A7" w14:textId="77777777" w:rsidR="001F25AF" w:rsidRPr="00F37617" w:rsidRDefault="001F25AF" w:rsidP="001F25AF">
      <w:pPr>
        <w:rPr>
          <w:rFonts w:cs="Arial"/>
        </w:rPr>
      </w:pPr>
    </w:p>
    <w:p w14:paraId="18EF4AFE" w14:textId="77777777" w:rsidR="002C50EE" w:rsidRPr="00F37617" w:rsidRDefault="002C50EE" w:rsidP="002C50EE">
      <w:pPr>
        <w:pStyle w:val="Heading1"/>
        <w:rPr>
          <w:rFonts w:cs="Arial"/>
        </w:rPr>
      </w:pPr>
      <w:r w:rsidRPr="00F37617">
        <w:rPr>
          <w:rFonts w:cs="Arial"/>
        </w:rPr>
        <w:t>5. ФАРМАКОЛОГИЧНИ СВОЙСТВА</w:t>
      </w:r>
    </w:p>
    <w:p w14:paraId="2F1CA24E" w14:textId="24FC47DE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5.1. </w:t>
      </w:r>
      <w:proofErr w:type="spellStart"/>
      <w:r w:rsidRPr="00F37617">
        <w:rPr>
          <w:rFonts w:cs="Arial"/>
        </w:rPr>
        <w:t>Фармакодинамични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свойства</w:t>
      </w:r>
      <w:proofErr w:type="spellEnd"/>
    </w:p>
    <w:p w14:paraId="7CB3ABB7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  <w:lang w:val="bg-BG" w:eastAsia="bg-BG"/>
        </w:rPr>
        <w:t>Фармакотерапевтична</w:t>
      </w:r>
      <w:proofErr w:type="spellEnd"/>
      <w:r w:rsidRPr="00F37617">
        <w:rPr>
          <w:rFonts w:cs="Arial"/>
          <w:lang w:val="bg-BG" w:eastAsia="bg-BG"/>
        </w:rPr>
        <w:t xml:space="preserve"> група: </w:t>
      </w:r>
      <w:proofErr w:type="spellStart"/>
      <w:r w:rsidRPr="00F37617">
        <w:rPr>
          <w:rFonts w:cs="Arial"/>
          <w:lang w:val="bg-BG" w:eastAsia="bg-BG"/>
        </w:rPr>
        <w:t>антитромбоцити</w:t>
      </w:r>
      <w:proofErr w:type="spellEnd"/>
      <w:r w:rsidRPr="00F37617">
        <w:rPr>
          <w:rFonts w:cs="Arial"/>
          <w:lang w:val="bg-BG" w:eastAsia="bg-BG"/>
        </w:rPr>
        <w:t>, антагонисти на витамин К. АТС код: В01АА07</w:t>
      </w:r>
    </w:p>
    <w:p w14:paraId="77D20C9F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7D5DCD63" w14:textId="503B1E21" w:rsidR="001F25AF" w:rsidRPr="00F37617" w:rsidRDefault="001F25AF" w:rsidP="001F25AF">
      <w:pPr>
        <w:rPr>
          <w:rFonts w:cs="Arial"/>
          <w:lang w:val="bg-BG" w:eastAsia="bg-BG"/>
        </w:rPr>
      </w:pP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активната съставка на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е </w:t>
      </w:r>
      <w:proofErr w:type="spellStart"/>
      <w:r w:rsidRPr="00F37617">
        <w:rPr>
          <w:rFonts w:cs="Arial"/>
          <w:lang w:val="bg-BG" w:eastAsia="bg-BG"/>
        </w:rPr>
        <w:t>кумариново</w:t>
      </w:r>
      <w:proofErr w:type="spellEnd"/>
      <w:r w:rsidRPr="00F37617">
        <w:rPr>
          <w:rFonts w:cs="Arial"/>
          <w:lang w:val="bg-BG" w:eastAsia="bg-BG"/>
        </w:rPr>
        <w:t xml:space="preserve"> производно и действа като антагонист на витамин К. Антагонистите на витамин К проявяват </w:t>
      </w:r>
      <w:proofErr w:type="spellStart"/>
      <w:r w:rsidRPr="00F37617">
        <w:rPr>
          <w:rFonts w:cs="Arial"/>
          <w:lang w:val="bg-BG" w:eastAsia="bg-BG"/>
        </w:rPr>
        <w:t>антикоагулантния</w:t>
      </w:r>
      <w:proofErr w:type="spellEnd"/>
      <w:r w:rsidRPr="00F37617">
        <w:rPr>
          <w:rFonts w:cs="Arial"/>
          <w:lang w:val="bg-BG" w:eastAsia="bg-BG"/>
        </w:rPr>
        <w:t xml:space="preserve"> си </w:t>
      </w:r>
      <w:r w:rsidRPr="00F37617">
        <w:rPr>
          <w:rFonts w:cs="Arial"/>
          <w:lang w:val="bg-BG" w:eastAsia="bg-BG"/>
        </w:rPr>
        <w:lastRenderedPageBreak/>
        <w:t xml:space="preserve">ефект </w:t>
      </w:r>
      <w:proofErr w:type="spellStart"/>
      <w:r w:rsidRPr="00F37617">
        <w:rPr>
          <w:rFonts w:cs="Arial"/>
          <w:lang w:val="bg-BG" w:eastAsia="bg-BG"/>
        </w:rPr>
        <w:t>инхибирайки</w:t>
      </w:r>
      <w:proofErr w:type="spellEnd"/>
      <w:r w:rsidRPr="00F37617">
        <w:rPr>
          <w:rFonts w:cs="Arial"/>
          <w:lang w:val="bg-BG" w:eastAsia="bg-BG"/>
        </w:rPr>
        <w:t xml:space="preserve"> витамин К-</w:t>
      </w:r>
      <w:proofErr w:type="spellStart"/>
      <w:r w:rsidRPr="00F37617">
        <w:rPr>
          <w:rFonts w:cs="Arial"/>
          <w:lang w:val="bg-BG" w:eastAsia="bg-BG"/>
        </w:rPr>
        <w:t>епоксид</w:t>
      </w:r>
      <w:proofErr w:type="spellEnd"/>
      <w:r w:rsidRPr="00F37617">
        <w:rPr>
          <w:rFonts w:cs="Arial"/>
          <w:lang w:val="bg-BG" w:eastAsia="bg-BG"/>
        </w:rPr>
        <w:t>-</w:t>
      </w:r>
      <w:proofErr w:type="spellStart"/>
      <w:r w:rsidRPr="00F37617">
        <w:rPr>
          <w:rFonts w:cs="Arial"/>
          <w:lang w:val="bg-BG" w:eastAsia="bg-BG"/>
        </w:rPr>
        <w:t>редуктазата</w:t>
      </w:r>
      <w:proofErr w:type="spellEnd"/>
      <w:r w:rsidRPr="00F37617">
        <w:rPr>
          <w:rFonts w:cs="Arial"/>
          <w:lang w:val="bg-BG" w:eastAsia="bg-BG"/>
        </w:rPr>
        <w:t xml:space="preserve"> с последваща редукция на гама-</w:t>
      </w:r>
      <w:proofErr w:type="spellStart"/>
      <w:r w:rsidRPr="00F37617">
        <w:rPr>
          <w:rFonts w:cs="Arial"/>
          <w:lang w:val="bg-BG" w:eastAsia="bg-BG"/>
        </w:rPr>
        <w:t>карбоксилирането</w:t>
      </w:r>
      <w:proofErr w:type="spellEnd"/>
      <w:r w:rsidRPr="00F37617">
        <w:rPr>
          <w:rFonts w:cs="Arial"/>
          <w:lang w:val="bg-BG" w:eastAsia="bg-BG"/>
        </w:rPr>
        <w:t xml:space="preserve"> на определени молекули на </w:t>
      </w:r>
      <w:proofErr w:type="spellStart"/>
      <w:r w:rsidRPr="00F37617">
        <w:rPr>
          <w:rFonts w:cs="Arial"/>
          <w:lang w:val="bg-BG" w:eastAsia="bg-BG"/>
        </w:rPr>
        <w:t>глутаминовата</w:t>
      </w:r>
      <w:proofErr w:type="spellEnd"/>
      <w:r w:rsidRPr="00F37617">
        <w:rPr>
          <w:rFonts w:cs="Arial"/>
          <w:lang w:val="bg-BG" w:eastAsia="bg-BG"/>
        </w:rPr>
        <w:t xml:space="preserve"> киселина, които се намират в няколко участъка близо до терминалните участъци на фактори на кръвосъсирването II (</w:t>
      </w:r>
      <w:proofErr w:type="spellStart"/>
      <w:r w:rsidRPr="00F37617">
        <w:rPr>
          <w:rFonts w:cs="Arial"/>
          <w:lang w:val="bg-BG" w:eastAsia="bg-BG"/>
        </w:rPr>
        <w:t>протромбин</w:t>
      </w:r>
      <w:proofErr w:type="spellEnd"/>
      <w:r w:rsidRPr="00F37617">
        <w:rPr>
          <w:rFonts w:cs="Arial"/>
          <w:lang w:val="bg-BG" w:eastAsia="bg-BG"/>
        </w:rPr>
        <w:t xml:space="preserve">), VII, IX и X и протеин С или неговия </w:t>
      </w:r>
      <w:proofErr w:type="spellStart"/>
      <w:r w:rsidRPr="00F37617">
        <w:rPr>
          <w:rFonts w:cs="Arial"/>
          <w:lang w:val="bg-BG" w:eastAsia="bg-BG"/>
        </w:rPr>
        <w:t>кофактор</w:t>
      </w:r>
      <w:proofErr w:type="spellEnd"/>
      <w:r w:rsidRPr="00F37617">
        <w:rPr>
          <w:rFonts w:cs="Arial"/>
          <w:lang w:val="bg-BG" w:eastAsia="bg-BG"/>
        </w:rPr>
        <w:t xml:space="preserve"> протеин </w:t>
      </w:r>
      <w:r w:rsidRPr="00F37617">
        <w:rPr>
          <w:rFonts w:cs="Arial"/>
        </w:rPr>
        <w:t xml:space="preserve">S. </w:t>
      </w:r>
      <w:r w:rsidRPr="00F37617">
        <w:rPr>
          <w:rFonts w:cs="Arial"/>
          <w:lang w:val="bg-BG" w:eastAsia="bg-BG"/>
        </w:rPr>
        <w:t>Това гама-</w:t>
      </w:r>
      <w:proofErr w:type="spellStart"/>
      <w:r w:rsidRPr="00F37617">
        <w:rPr>
          <w:rFonts w:cs="Arial"/>
          <w:lang w:val="bg-BG" w:eastAsia="bg-BG"/>
        </w:rPr>
        <w:t>карбоксилиране</w:t>
      </w:r>
      <w:proofErr w:type="spellEnd"/>
      <w:r w:rsidRPr="00F37617">
        <w:rPr>
          <w:rFonts w:cs="Arial"/>
          <w:lang w:val="bg-BG" w:eastAsia="bg-BG"/>
        </w:rPr>
        <w:t xml:space="preserve"> има важно значение за взаимодействието на споменатите по-горе </w:t>
      </w:r>
      <w:proofErr w:type="spellStart"/>
      <w:r w:rsidRPr="00F37617">
        <w:rPr>
          <w:rFonts w:cs="Arial"/>
          <w:lang w:val="bg-BG" w:eastAsia="bg-BG"/>
        </w:rPr>
        <w:t>коагулационни</w:t>
      </w:r>
      <w:proofErr w:type="spellEnd"/>
      <w:r w:rsidRPr="00F37617">
        <w:rPr>
          <w:rFonts w:cs="Arial"/>
          <w:lang w:val="bg-BG" w:eastAsia="bg-BG"/>
        </w:rPr>
        <w:t xml:space="preserve"> фактори с калциевите йони. Без протичането на тази реакция не може да започне кръвосъсирване.</w:t>
      </w:r>
    </w:p>
    <w:p w14:paraId="06FFC743" w14:textId="469E4418" w:rsidR="001F25AF" w:rsidRPr="00F37617" w:rsidRDefault="001F25AF" w:rsidP="001F25AF">
      <w:pPr>
        <w:rPr>
          <w:rFonts w:cs="Arial"/>
        </w:rPr>
      </w:pPr>
      <w:r w:rsidRPr="00F37617">
        <w:rPr>
          <w:rFonts w:cs="Arial"/>
        </w:rPr>
        <w:t xml:space="preserve">В </w:t>
      </w:r>
      <w:proofErr w:type="spellStart"/>
      <w:r w:rsidRPr="00F37617">
        <w:rPr>
          <w:rFonts w:cs="Arial"/>
        </w:rPr>
        <w:t>зависимост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от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размера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началната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дозировка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удължава</w:t>
      </w:r>
      <w:proofErr w:type="spellEnd"/>
      <w:r w:rsidRPr="00F37617">
        <w:rPr>
          <w:rFonts w:cs="Arial"/>
        </w:rPr>
        <w:t xml:space="preserve"> RT/INR </w:t>
      </w:r>
      <w:proofErr w:type="spellStart"/>
      <w:r w:rsidRPr="00F37617">
        <w:rPr>
          <w:rFonts w:cs="Arial"/>
        </w:rPr>
        <w:t>приблизително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36 - 72 </w:t>
      </w:r>
      <w:proofErr w:type="spellStart"/>
      <w:r w:rsidRPr="00F37617">
        <w:rPr>
          <w:rFonts w:cs="Arial"/>
        </w:rPr>
        <w:t>часа</w:t>
      </w:r>
      <w:proofErr w:type="spellEnd"/>
      <w:r w:rsidRPr="00F37617">
        <w:rPr>
          <w:rFonts w:cs="Arial"/>
        </w:rPr>
        <w:t xml:space="preserve">. </w:t>
      </w:r>
      <w:proofErr w:type="spellStart"/>
      <w:r w:rsidRPr="00F37617">
        <w:rPr>
          <w:rFonts w:cs="Arial"/>
        </w:rPr>
        <w:t>След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прекратяване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лечението</w:t>
      </w:r>
      <w:proofErr w:type="spellEnd"/>
      <w:r w:rsidRPr="00F37617">
        <w:rPr>
          <w:rFonts w:cs="Arial"/>
        </w:rPr>
        <w:t xml:space="preserve"> RT/INR </w:t>
      </w:r>
      <w:proofErr w:type="spellStart"/>
      <w:r w:rsidRPr="00F37617">
        <w:rPr>
          <w:rFonts w:cs="Arial"/>
        </w:rPr>
        <w:t>обикновено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се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връща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към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нормата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след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няколко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дни</w:t>
      </w:r>
      <w:proofErr w:type="spellEnd"/>
      <w:r w:rsidRPr="00F37617">
        <w:rPr>
          <w:rFonts w:cs="Arial"/>
        </w:rPr>
        <w:t>.</w:t>
      </w:r>
    </w:p>
    <w:p w14:paraId="40A715B3" w14:textId="77777777" w:rsidR="001F25AF" w:rsidRPr="00F37617" w:rsidRDefault="001F25AF" w:rsidP="001F25AF">
      <w:pPr>
        <w:rPr>
          <w:rFonts w:cs="Arial"/>
        </w:rPr>
      </w:pPr>
    </w:p>
    <w:p w14:paraId="788B4E5E" w14:textId="64F84AB8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5.2. </w:t>
      </w:r>
      <w:proofErr w:type="spellStart"/>
      <w:r w:rsidRPr="00F37617">
        <w:rPr>
          <w:rFonts w:cs="Arial"/>
        </w:rPr>
        <w:t>Фармакокинетични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свойства</w:t>
      </w:r>
      <w:proofErr w:type="spellEnd"/>
    </w:p>
    <w:p w14:paraId="63FDDAD1" w14:textId="77777777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Абсорбция</w:t>
      </w:r>
    </w:p>
    <w:p w14:paraId="1CC06350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, </w:t>
      </w:r>
      <w:proofErr w:type="spellStart"/>
      <w:r w:rsidRPr="00F37617">
        <w:rPr>
          <w:rFonts w:cs="Arial"/>
          <w:lang w:val="bg-BG" w:eastAsia="bg-BG"/>
        </w:rPr>
        <w:t>рацемична</w:t>
      </w:r>
      <w:proofErr w:type="spellEnd"/>
      <w:r w:rsidRPr="00F37617">
        <w:rPr>
          <w:rFonts w:cs="Arial"/>
          <w:lang w:val="bg-BG" w:eastAsia="bg-BG"/>
        </w:rPr>
        <w:t xml:space="preserve"> смес от оптични </w:t>
      </w:r>
      <w:proofErr w:type="gramStart"/>
      <w:r w:rsidRPr="00F37617">
        <w:rPr>
          <w:rFonts w:cs="Arial"/>
        </w:rPr>
        <w:t>R(</w:t>
      </w:r>
      <w:proofErr w:type="gramEnd"/>
      <w:r w:rsidRPr="00F37617">
        <w:rPr>
          <w:rFonts w:cs="Arial"/>
        </w:rPr>
        <w:t xml:space="preserve">+) </w:t>
      </w:r>
      <w:r w:rsidRPr="00F37617">
        <w:rPr>
          <w:rFonts w:cs="Arial"/>
          <w:lang w:val="bg-BG" w:eastAsia="bg-BG"/>
        </w:rPr>
        <w:t xml:space="preserve">и </w:t>
      </w:r>
      <w:r w:rsidRPr="00F37617">
        <w:rPr>
          <w:rFonts w:cs="Arial"/>
        </w:rPr>
        <w:t xml:space="preserve">S(-) </w:t>
      </w:r>
      <w:proofErr w:type="spellStart"/>
      <w:r w:rsidRPr="00F37617">
        <w:rPr>
          <w:rFonts w:cs="Arial"/>
          <w:lang w:val="bg-BG" w:eastAsia="bg-BG"/>
        </w:rPr>
        <w:t>енантиомери</w:t>
      </w:r>
      <w:proofErr w:type="spellEnd"/>
      <w:r w:rsidRPr="00F37617">
        <w:rPr>
          <w:rFonts w:cs="Arial"/>
          <w:lang w:val="bg-BG" w:eastAsia="bg-BG"/>
        </w:rPr>
        <w:t xml:space="preserve">, се резорбира бързо при перорално приложение и най-малко 60% от приетата доза се открива в системното кръвообращение. След еднократна доза от 10 </w:t>
      </w:r>
      <w:r w:rsidRPr="00F37617">
        <w:rPr>
          <w:rFonts w:cs="Arial"/>
        </w:rPr>
        <w:t xml:space="preserve">mg </w:t>
      </w:r>
      <w:r w:rsidRPr="00F37617">
        <w:rPr>
          <w:rFonts w:cs="Arial"/>
          <w:lang w:val="bg-BG" w:eastAsia="bg-BG"/>
        </w:rPr>
        <w:t xml:space="preserve">се достига пикова плазмена концентрация от 0,3 </w:t>
      </w:r>
      <w:r w:rsidRPr="00F37617">
        <w:rPr>
          <w:rFonts w:cs="Arial"/>
        </w:rPr>
        <w:t>±</w:t>
      </w:r>
      <w:r w:rsidRPr="00F37617">
        <w:rPr>
          <w:rFonts w:cs="Arial"/>
          <w:lang w:val="bg-BG" w:eastAsia="bg-BG"/>
        </w:rPr>
        <w:t xml:space="preserve"> 0,05 микрограм</w:t>
      </w:r>
      <w:r w:rsidRPr="00F37617">
        <w:rPr>
          <w:rFonts w:cs="Arial"/>
        </w:rPr>
        <w:t xml:space="preserve">/ml </w:t>
      </w:r>
      <w:r w:rsidRPr="00F37617">
        <w:rPr>
          <w:rFonts w:cs="Arial"/>
          <w:lang w:val="bg-BG" w:eastAsia="bg-BG"/>
        </w:rPr>
        <w:t xml:space="preserve">след 1-3 часа. Пиковите плазмени концентрации и областите под концентрационната крива </w:t>
      </w:r>
      <w:r w:rsidRPr="00F37617">
        <w:rPr>
          <w:rFonts w:cs="Arial"/>
        </w:rPr>
        <w:t xml:space="preserve">(AUC) </w:t>
      </w:r>
      <w:r w:rsidRPr="00F37617">
        <w:rPr>
          <w:rFonts w:cs="Arial"/>
          <w:lang w:val="bg-BG" w:eastAsia="bg-BG"/>
        </w:rPr>
        <w:t xml:space="preserve">са пропорционални на дозата над </w:t>
      </w:r>
      <w:proofErr w:type="spellStart"/>
      <w:r w:rsidRPr="00F37617">
        <w:rPr>
          <w:rFonts w:cs="Arial"/>
          <w:lang w:val="bg-BG" w:eastAsia="bg-BG"/>
        </w:rPr>
        <w:t>дозов</w:t>
      </w:r>
      <w:proofErr w:type="spellEnd"/>
      <w:r w:rsidRPr="00F37617">
        <w:rPr>
          <w:rFonts w:cs="Arial"/>
          <w:lang w:val="bg-BG" w:eastAsia="bg-BG"/>
        </w:rPr>
        <w:t xml:space="preserve"> обхват от 8-16 </w:t>
      </w:r>
      <w:r w:rsidRPr="00F37617">
        <w:rPr>
          <w:rFonts w:cs="Arial"/>
        </w:rPr>
        <w:t>mg.</w:t>
      </w:r>
    </w:p>
    <w:p w14:paraId="1BCB5F6F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245754C1" w14:textId="6418F904" w:rsidR="001F25AF" w:rsidRPr="00F37617" w:rsidRDefault="001F25AF" w:rsidP="001F25AF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Плазмените концентрации при отделните пациенти варират до такава степен, че не може да се установи взаимоотношение между дозата, плазмените концентрации на </w:t>
      </w: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и привидното ниво на </w:t>
      </w:r>
      <w:proofErr w:type="spellStart"/>
      <w:r w:rsidRPr="00F37617">
        <w:rPr>
          <w:rFonts w:cs="Arial"/>
          <w:lang w:val="bg-BG" w:eastAsia="bg-BG"/>
        </w:rPr>
        <w:t>протромбин</w:t>
      </w:r>
      <w:proofErr w:type="spellEnd"/>
      <w:r w:rsidRPr="00F37617">
        <w:rPr>
          <w:rFonts w:cs="Arial"/>
          <w:lang w:val="bg-BG" w:eastAsia="bg-BG"/>
        </w:rPr>
        <w:t>.</w:t>
      </w:r>
    </w:p>
    <w:p w14:paraId="2D160A89" w14:textId="419EFBD1" w:rsidR="001F25AF" w:rsidRPr="00F37617" w:rsidRDefault="001F25AF" w:rsidP="001F25AF">
      <w:pPr>
        <w:rPr>
          <w:rFonts w:cs="Arial"/>
          <w:lang w:val="bg-BG" w:eastAsia="bg-BG"/>
        </w:rPr>
      </w:pPr>
    </w:p>
    <w:p w14:paraId="03FEE138" w14:textId="77777777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Разпределение</w:t>
      </w:r>
    </w:p>
    <w:p w14:paraId="6412D0C6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Приложеният </w:t>
      </w: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се разпределя в плазмените фракции на кръвта, </w:t>
      </w:r>
      <w:proofErr w:type="spellStart"/>
      <w:r w:rsidRPr="00F37617">
        <w:rPr>
          <w:rFonts w:cs="Arial"/>
          <w:lang w:val="bg-BG" w:eastAsia="bg-BG"/>
        </w:rPr>
        <w:t>къдего</w:t>
      </w:r>
      <w:proofErr w:type="spellEnd"/>
      <w:r w:rsidRPr="00F37617">
        <w:rPr>
          <w:rFonts w:cs="Arial"/>
          <w:lang w:val="bg-BG" w:eastAsia="bg-BG"/>
        </w:rPr>
        <w:t xml:space="preserve"> 98,7% се свързва с плазмените протеини, главно с албумина. Привидният обем на разпределение е 0,16- 0,18</w:t>
      </w:r>
      <w:r w:rsidRPr="00F37617">
        <w:rPr>
          <w:rFonts w:cs="Arial"/>
        </w:rPr>
        <w:t xml:space="preserve">l/kg </w:t>
      </w:r>
      <w:r w:rsidRPr="00F37617">
        <w:rPr>
          <w:rFonts w:cs="Arial"/>
          <w:lang w:val="bg-BG" w:eastAsia="bg-BG"/>
        </w:rPr>
        <w:t xml:space="preserve">за </w:t>
      </w:r>
      <w:r w:rsidRPr="00F37617">
        <w:rPr>
          <w:rFonts w:cs="Arial"/>
        </w:rPr>
        <w:t xml:space="preserve">R(+) </w:t>
      </w:r>
      <w:proofErr w:type="spellStart"/>
      <w:r w:rsidRPr="00F37617">
        <w:rPr>
          <w:rFonts w:cs="Arial"/>
          <w:lang w:val="bg-BG" w:eastAsia="bg-BG"/>
        </w:rPr>
        <w:t>енантиомер</w:t>
      </w:r>
      <w:proofErr w:type="spellEnd"/>
      <w:r w:rsidRPr="00F37617">
        <w:rPr>
          <w:rFonts w:cs="Arial"/>
          <w:lang w:val="bg-BG" w:eastAsia="bg-BG"/>
        </w:rPr>
        <w:t xml:space="preserve"> и 0,22-0,34 </w:t>
      </w:r>
      <w:r w:rsidRPr="00F37617">
        <w:rPr>
          <w:rFonts w:cs="Arial"/>
        </w:rPr>
        <w:t xml:space="preserve">1/kg </w:t>
      </w:r>
      <w:r w:rsidRPr="00F37617">
        <w:rPr>
          <w:rFonts w:cs="Arial"/>
          <w:lang w:val="bg-BG" w:eastAsia="bg-BG"/>
        </w:rPr>
        <w:t xml:space="preserve">за </w:t>
      </w:r>
      <w:r w:rsidRPr="00F37617">
        <w:rPr>
          <w:rFonts w:cs="Arial"/>
        </w:rPr>
        <w:t xml:space="preserve">S </w:t>
      </w:r>
      <w:r w:rsidRPr="00F37617">
        <w:rPr>
          <w:rFonts w:cs="Arial"/>
          <w:lang w:val="bg-BG" w:eastAsia="bg-BG"/>
        </w:rPr>
        <w:t xml:space="preserve">(-) </w:t>
      </w:r>
      <w:proofErr w:type="spellStart"/>
      <w:r w:rsidRPr="00F37617">
        <w:rPr>
          <w:rFonts w:cs="Arial"/>
          <w:lang w:val="bg-BG" w:eastAsia="bg-BG"/>
        </w:rPr>
        <w:t>енантиомер</w:t>
      </w:r>
      <w:proofErr w:type="spellEnd"/>
      <w:r w:rsidRPr="00F37617">
        <w:rPr>
          <w:rFonts w:cs="Arial"/>
          <w:lang w:val="bg-BG" w:eastAsia="bg-BG"/>
        </w:rPr>
        <w:t>.</w:t>
      </w:r>
    </w:p>
    <w:p w14:paraId="40E014F2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преминава в кърмата, но само в много малки количества, които не могат да бъдат открити с обикновените аналитични методи. Той също преминава </w:t>
      </w:r>
      <w:proofErr w:type="spellStart"/>
      <w:r w:rsidRPr="00F37617">
        <w:rPr>
          <w:rFonts w:cs="Arial"/>
          <w:lang w:val="bg-BG" w:eastAsia="bg-BG"/>
        </w:rPr>
        <w:t>плацентарната</w:t>
      </w:r>
      <w:proofErr w:type="spellEnd"/>
      <w:r w:rsidRPr="00F37617">
        <w:rPr>
          <w:rFonts w:cs="Arial"/>
          <w:lang w:val="bg-BG" w:eastAsia="bg-BG"/>
        </w:rPr>
        <w:t xml:space="preserve"> бариера (вж. също т. 4.6 Фертилитет, бременност и кърмене).</w:t>
      </w:r>
    </w:p>
    <w:p w14:paraId="161F0227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6F9059A9" w14:textId="1B729731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Биотрансформация / Метаболизъм</w:t>
      </w:r>
    </w:p>
    <w:p w14:paraId="0FCC88C1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се </w:t>
      </w:r>
      <w:proofErr w:type="spellStart"/>
      <w:r w:rsidRPr="00F37617">
        <w:rPr>
          <w:rFonts w:cs="Arial"/>
          <w:lang w:val="bg-BG" w:eastAsia="bg-BG"/>
        </w:rPr>
        <w:t>метаболизира</w:t>
      </w:r>
      <w:proofErr w:type="spellEnd"/>
      <w:r w:rsidRPr="00F37617">
        <w:rPr>
          <w:rFonts w:cs="Arial"/>
          <w:lang w:val="bg-BG" w:eastAsia="bg-BG"/>
        </w:rPr>
        <w:t xml:space="preserve"> в голяма степен. Основните </w:t>
      </w:r>
      <w:proofErr w:type="spellStart"/>
      <w:r w:rsidRPr="00F37617">
        <w:rPr>
          <w:rFonts w:cs="Arial"/>
          <w:lang w:val="bg-BG" w:eastAsia="bg-BG"/>
        </w:rPr>
        <w:t>метаболити</w:t>
      </w:r>
      <w:proofErr w:type="spellEnd"/>
      <w:r w:rsidRPr="00F37617">
        <w:rPr>
          <w:rFonts w:cs="Arial"/>
          <w:lang w:val="bg-BG" w:eastAsia="bg-BG"/>
        </w:rPr>
        <w:t xml:space="preserve"> са </w:t>
      </w:r>
      <w:proofErr w:type="spellStart"/>
      <w:r w:rsidRPr="00F37617">
        <w:rPr>
          <w:rFonts w:cs="Arial"/>
          <w:lang w:val="bg-BG" w:eastAsia="bg-BG"/>
        </w:rPr>
        <w:t>хидроксилираните</w:t>
      </w:r>
      <w:proofErr w:type="spellEnd"/>
      <w:r w:rsidRPr="00F37617">
        <w:rPr>
          <w:rFonts w:cs="Arial"/>
          <w:lang w:val="bg-BG" w:eastAsia="bg-BG"/>
        </w:rPr>
        <w:t xml:space="preserve"> на 6 и 7 място </w:t>
      </w:r>
      <w:proofErr w:type="spellStart"/>
      <w:r w:rsidRPr="00F37617">
        <w:rPr>
          <w:rFonts w:cs="Arial"/>
          <w:lang w:val="bg-BG" w:eastAsia="bg-BG"/>
        </w:rPr>
        <w:t>енантиомери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, а </w:t>
      </w:r>
      <w:proofErr w:type="spellStart"/>
      <w:r w:rsidRPr="00F37617">
        <w:rPr>
          <w:rFonts w:cs="Arial"/>
          <w:lang w:val="bg-BG" w:eastAsia="bg-BG"/>
        </w:rPr>
        <w:t>цитохром</w:t>
      </w:r>
      <w:proofErr w:type="spellEnd"/>
      <w:r w:rsidRPr="00F37617">
        <w:rPr>
          <w:rFonts w:cs="Arial"/>
          <w:lang w:val="bg-BG" w:eastAsia="bg-BG"/>
        </w:rPr>
        <w:t xml:space="preserve"> Р450 2С9 е основният катализатор на образуването на тези четири метаболита. Други ензими, участващи в метаболизма на </w:t>
      </w:r>
      <w:r w:rsidRPr="00F37617">
        <w:rPr>
          <w:rFonts w:cs="Arial"/>
        </w:rPr>
        <w:t xml:space="preserve">(R)- </w:t>
      </w:r>
      <w:proofErr w:type="spellStart"/>
      <w:r w:rsidRPr="00F37617">
        <w:rPr>
          <w:rFonts w:cs="Arial"/>
          <w:lang w:val="bg-BG" w:eastAsia="bg-BG"/>
        </w:rPr>
        <w:t>аценокумарола</w:t>
      </w:r>
      <w:proofErr w:type="spellEnd"/>
      <w:r w:rsidRPr="00F37617">
        <w:rPr>
          <w:rFonts w:cs="Arial"/>
          <w:lang w:val="bg-BG" w:eastAsia="bg-BG"/>
        </w:rPr>
        <w:t xml:space="preserve"> са </w:t>
      </w:r>
      <w:r w:rsidRPr="00F37617">
        <w:rPr>
          <w:rFonts w:cs="Arial"/>
        </w:rPr>
        <w:t xml:space="preserve">CYP1A2 </w:t>
      </w:r>
      <w:r w:rsidRPr="00F37617">
        <w:rPr>
          <w:rFonts w:cs="Arial"/>
          <w:lang w:val="bg-BG" w:eastAsia="bg-BG"/>
        </w:rPr>
        <w:t xml:space="preserve">и </w:t>
      </w:r>
      <w:r w:rsidRPr="00F37617">
        <w:rPr>
          <w:rFonts w:cs="Arial"/>
        </w:rPr>
        <w:t xml:space="preserve">CYP2C19. </w:t>
      </w:r>
      <w:r w:rsidRPr="00F37617">
        <w:rPr>
          <w:rFonts w:cs="Arial"/>
          <w:lang w:val="bg-BG" w:eastAsia="bg-BG"/>
        </w:rPr>
        <w:t xml:space="preserve">При редукция на </w:t>
      </w:r>
      <w:proofErr w:type="spellStart"/>
      <w:r w:rsidRPr="00F37617">
        <w:rPr>
          <w:rFonts w:cs="Arial"/>
          <w:lang w:val="bg-BG" w:eastAsia="bg-BG"/>
        </w:rPr>
        <w:t>кето</w:t>
      </w:r>
      <w:proofErr w:type="spellEnd"/>
      <w:r w:rsidRPr="00F37617">
        <w:rPr>
          <w:rFonts w:cs="Arial"/>
          <w:lang w:val="bg-BG" w:eastAsia="bg-BG"/>
        </w:rPr>
        <w:t xml:space="preserve">-групата се образуват два различни </w:t>
      </w:r>
      <w:proofErr w:type="spellStart"/>
      <w:r w:rsidRPr="00F37617">
        <w:rPr>
          <w:rFonts w:cs="Arial"/>
          <w:lang w:val="bg-BG" w:eastAsia="bg-BG"/>
        </w:rPr>
        <w:t>карбинолови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метаболита</w:t>
      </w:r>
      <w:proofErr w:type="spellEnd"/>
      <w:r w:rsidRPr="00F37617">
        <w:rPr>
          <w:rFonts w:cs="Arial"/>
          <w:lang w:val="bg-BG" w:eastAsia="bg-BG"/>
        </w:rPr>
        <w:t xml:space="preserve">. При редукция на нитро-групата се образува един </w:t>
      </w:r>
      <w:proofErr w:type="spellStart"/>
      <w:r w:rsidRPr="00F37617">
        <w:rPr>
          <w:rFonts w:cs="Arial"/>
          <w:lang w:val="bg-BG" w:eastAsia="bg-BG"/>
        </w:rPr>
        <w:t>амино-метаболит</w:t>
      </w:r>
      <w:proofErr w:type="spellEnd"/>
      <w:r w:rsidRPr="00F37617">
        <w:rPr>
          <w:rFonts w:cs="Arial"/>
          <w:lang w:val="bg-BG" w:eastAsia="bg-BG"/>
        </w:rPr>
        <w:t xml:space="preserve">. Никой от тях не допринася за </w:t>
      </w:r>
      <w:proofErr w:type="spellStart"/>
      <w:r w:rsidRPr="00F37617">
        <w:rPr>
          <w:rFonts w:cs="Arial"/>
          <w:lang w:val="bg-BG" w:eastAsia="bg-BG"/>
        </w:rPr>
        <w:t>антикоагулантната</w:t>
      </w:r>
      <w:proofErr w:type="spellEnd"/>
      <w:r w:rsidRPr="00F37617">
        <w:rPr>
          <w:rFonts w:cs="Arial"/>
          <w:lang w:val="bg-BG" w:eastAsia="bg-BG"/>
        </w:rPr>
        <w:t xml:space="preserve"> активност на изходното лекарство при хора, но те всички са активни при животински модел. Генетичното многообразие на </w:t>
      </w:r>
      <w:r w:rsidRPr="00F37617">
        <w:rPr>
          <w:rFonts w:cs="Arial"/>
        </w:rPr>
        <w:t xml:space="preserve">CYP2C9 </w:t>
      </w:r>
      <w:r w:rsidRPr="00F37617">
        <w:rPr>
          <w:rFonts w:cs="Arial"/>
          <w:lang w:val="bg-BG" w:eastAsia="bg-BG"/>
        </w:rPr>
        <w:t xml:space="preserve">е причина за 14% от </w:t>
      </w:r>
      <w:proofErr w:type="spellStart"/>
      <w:r w:rsidRPr="00F37617">
        <w:rPr>
          <w:rFonts w:cs="Arial"/>
          <w:lang w:val="bg-BG" w:eastAsia="bg-BG"/>
        </w:rPr>
        <w:t>междуиндивидуалното</w:t>
      </w:r>
      <w:proofErr w:type="spellEnd"/>
      <w:r w:rsidRPr="00F37617">
        <w:rPr>
          <w:rFonts w:cs="Arial"/>
          <w:lang w:val="bg-BG" w:eastAsia="bg-BG"/>
        </w:rPr>
        <w:t xml:space="preserve"> вариране във </w:t>
      </w:r>
      <w:proofErr w:type="spellStart"/>
      <w:r w:rsidRPr="00F37617">
        <w:rPr>
          <w:rFonts w:cs="Arial"/>
          <w:lang w:val="bg-BG" w:eastAsia="bg-BG"/>
        </w:rPr>
        <w:t>фармакодинамичния</w:t>
      </w:r>
      <w:proofErr w:type="spellEnd"/>
      <w:r w:rsidRPr="00F37617">
        <w:rPr>
          <w:rFonts w:cs="Arial"/>
          <w:lang w:val="bg-BG" w:eastAsia="bg-BG"/>
        </w:rPr>
        <w:t xml:space="preserve"> отговор към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>.</w:t>
      </w:r>
    </w:p>
    <w:p w14:paraId="7464A4F2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34A71E5E" w14:textId="3EA2535B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Елиминиране</w:t>
      </w:r>
    </w:p>
    <w:p w14:paraId="0A44D637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има </w:t>
      </w:r>
      <w:proofErr w:type="spellStart"/>
      <w:r w:rsidRPr="00F37617">
        <w:rPr>
          <w:rFonts w:cs="Arial"/>
          <w:i/>
          <w:iCs/>
          <w:lang w:val="bg-BG" w:eastAsia="bg-BG"/>
        </w:rPr>
        <w:t>полуживот</w:t>
      </w:r>
      <w:proofErr w:type="spellEnd"/>
      <w:r w:rsidRPr="00F37617">
        <w:rPr>
          <w:rFonts w:cs="Arial"/>
          <w:i/>
          <w:iCs/>
          <w:lang w:val="bg-BG" w:eastAsia="bg-BG"/>
        </w:rPr>
        <w:t xml:space="preserve"> на</w:t>
      </w:r>
      <w:r w:rsidRPr="00F37617">
        <w:rPr>
          <w:rFonts w:cs="Arial"/>
          <w:lang w:val="bg-BG" w:eastAsia="bg-BG"/>
        </w:rPr>
        <w:t xml:space="preserve"> елиминиране от плазмата 8-11 часа. След перорално приложение явният плазмен клирънс достига до 3,65 </w:t>
      </w:r>
      <w:r w:rsidRPr="00F37617">
        <w:rPr>
          <w:rFonts w:cs="Arial"/>
        </w:rPr>
        <w:t xml:space="preserve">1/h. </w:t>
      </w:r>
      <w:r w:rsidRPr="00F37617">
        <w:rPr>
          <w:rFonts w:cs="Arial"/>
          <w:lang w:val="bg-BG" w:eastAsia="bg-BG"/>
        </w:rPr>
        <w:t xml:space="preserve">Тоталният плазмен клирънс на </w:t>
      </w:r>
      <w:r w:rsidRPr="00F37617">
        <w:rPr>
          <w:rFonts w:cs="Arial"/>
        </w:rPr>
        <w:lastRenderedPageBreak/>
        <w:t xml:space="preserve">R </w:t>
      </w:r>
      <w:r w:rsidRPr="00F37617">
        <w:rPr>
          <w:rFonts w:cs="Arial"/>
          <w:lang w:val="bg-BG" w:eastAsia="bg-BG"/>
        </w:rPr>
        <w:t xml:space="preserve">(+) </w:t>
      </w:r>
      <w:proofErr w:type="spellStart"/>
      <w:r w:rsidRPr="00F37617">
        <w:rPr>
          <w:rFonts w:cs="Arial"/>
          <w:lang w:val="bg-BG" w:eastAsia="bg-BG"/>
        </w:rPr>
        <w:t>енантиомера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, който притежава значително по-висока </w:t>
      </w:r>
      <w:proofErr w:type="spellStart"/>
      <w:r w:rsidRPr="00F37617">
        <w:rPr>
          <w:rFonts w:cs="Arial"/>
          <w:lang w:val="bg-BG" w:eastAsia="bg-BG"/>
        </w:rPr>
        <w:t>антикоагулантна</w:t>
      </w:r>
      <w:proofErr w:type="spellEnd"/>
      <w:r w:rsidRPr="00F37617">
        <w:rPr>
          <w:rFonts w:cs="Arial"/>
          <w:lang w:val="bg-BG" w:eastAsia="bg-BG"/>
        </w:rPr>
        <w:t xml:space="preserve"> активност, е много по- нисък от този на </w:t>
      </w:r>
      <w:r w:rsidRPr="00F37617">
        <w:rPr>
          <w:rFonts w:cs="Arial"/>
        </w:rPr>
        <w:t xml:space="preserve">S </w:t>
      </w:r>
      <w:r w:rsidRPr="00F37617">
        <w:rPr>
          <w:rFonts w:cs="Arial"/>
          <w:lang w:val="bg-BG" w:eastAsia="bg-BG"/>
        </w:rPr>
        <w:t xml:space="preserve">(-) </w:t>
      </w:r>
      <w:proofErr w:type="spellStart"/>
      <w:r w:rsidRPr="00F37617">
        <w:rPr>
          <w:rFonts w:cs="Arial"/>
          <w:lang w:val="bg-BG" w:eastAsia="bg-BG"/>
        </w:rPr>
        <w:t>енантиомера</w:t>
      </w:r>
      <w:proofErr w:type="spellEnd"/>
      <w:r w:rsidRPr="00F37617">
        <w:rPr>
          <w:rFonts w:cs="Arial"/>
          <w:lang w:val="bg-BG" w:eastAsia="bg-BG"/>
        </w:rPr>
        <w:t>.</w:t>
      </w:r>
    </w:p>
    <w:p w14:paraId="544DD4EE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0DDABC33" w14:textId="5418BE6A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Само 0,12-0,18% от дозата се </w:t>
      </w:r>
      <w:proofErr w:type="spellStart"/>
      <w:r w:rsidRPr="00F37617">
        <w:rPr>
          <w:rFonts w:cs="Arial"/>
          <w:lang w:val="bg-BG" w:eastAsia="bg-BG"/>
        </w:rPr>
        <w:t>екскретира</w:t>
      </w:r>
      <w:proofErr w:type="spellEnd"/>
      <w:r w:rsidRPr="00F37617">
        <w:rPr>
          <w:rFonts w:cs="Arial"/>
          <w:lang w:val="bg-BG" w:eastAsia="bg-BG"/>
        </w:rPr>
        <w:t xml:space="preserve"> в непроменен вид с урината. Кумулативната екскреция на </w:t>
      </w:r>
      <w:proofErr w:type="spellStart"/>
      <w:r w:rsidRPr="00F37617">
        <w:rPr>
          <w:rFonts w:cs="Arial"/>
          <w:lang w:val="bg-BG" w:eastAsia="bg-BG"/>
        </w:rPr>
        <w:t>метаболитите</w:t>
      </w:r>
      <w:proofErr w:type="spellEnd"/>
      <w:r w:rsidRPr="00F37617">
        <w:rPr>
          <w:rFonts w:cs="Arial"/>
          <w:lang w:val="bg-BG" w:eastAsia="bg-BG"/>
        </w:rPr>
        <w:t xml:space="preserve"> и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след една седмица достига 60% от дозата в урината и 29% във </w:t>
      </w:r>
      <w:proofErr w:type="spellStart"/>
      <w:r w:rsidRPr="00F37617">
        <w:rPr>
          <w:rFonts w:cs="Arial"/>
          <w:lang w:val="bg-BG" w:eastAsia="bg-BG"/>
        </w:rPr>
        <w:t>фецеса</w:t>
      </w:r>
      <w:proofErr w:type="spellEnd"/>
      <w:r w:rsidRPr="00F37617">
        <w:rPr>
          <w:rFonts w:cs="Arial"/>
          <w:lang w:val="bg-BG" w:eastAsia="bg-BG"/>
        </w:rPr>
        <w:t>.</w:t>
      </w:r>
    </w:p>
    <w:p w14:paraId="0B2F56CC" w14:textId="48EE81EE" w:rsidR="001F25AF" w:rsidRPr="00F37617" w:rsidRDefault="001F25AF" w:rsidP="001F25AF">
      <w:pPr>
        <w:rPr>
          <w:rFonts w:cs="Arial"/>
        </w:rPr>
      </w:pPr>
    </w:p>
    <w:p w14:paraId="6FA41BB8" w14:textId="77777777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Специални групи пациенти</w:t>
      </w:r>
    </w:p>
    <w:p w14:paraId="00FB6EA4" w14:textId="6FF3BFBB" w:rsidR="001F25AF" w:rsidRPr="00F37617" w:rsidRDefault="001F25AF" w:rsidP="00487ADB">
      <w:pPr>
        <w:pStyle w:val="Heading3"/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>Пациенти в напреднала възраст</w:t>
      </w:r>
    </w:p>
    <w:p w14:paraId="4BF4088F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В хода на клинично проучване плазмените концентрации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, с които се постига определено </w:t>
      </w:r>
      <w:proofErr w:type="spellStart"/>
      <w:r w:rsidRPr="00F37617">
        <w:rPr>
          <w:rFonts w:cs="Arial"/>
          <w:lang w:val="bg-BG" w:eastAsia="bg-BG"/>
        </w:rPr>
        <w:t>протромбиново</w:t>
      </w:r>
      <w:proofErr w:type="spellEnd"/>
      <w:r w:rsidRPr="00F37617">
        <w:rPr>
          <w:rFonts w:cs="Arial"/>
          <w:lang w:val="bg-BG" w:eastAsia="bg-BG"/>
        </w:rPr>
        <w:t xml:space="preserve"> ниво, са били по-високи при пациенти над 70 години, отколкото при по- млади, въпреки че приложените дози не са били по-големи.</w:t>
      </w:r>
    </w:p>
    <w:p w14:paraId="03F87A96" w14:textId="77777777" w:rsidR="001F25AF" w:rsidRPr="00F37617" w:rsidRDefault="001F25AF" w:rsidP="001F25AF">
      <w:pPr>
        <w:rPr>
          <w:rFonts w:cs="Arial"/>
          <w:b/>
          <w:bCs/>
          <w:lang w:val="bg-BG" w:eastAsia="bg-BG"/>
        </w:rPr>
      </w:pPr>
    </w:p>
    <w:p w14:paraId="6BF93BA0" w14:textId="3DEE8F33" w:rsidR="001F25AF" w:rsidRPr="00F37617" w:rsidRDefault="001F25AF" w:rsidP="001F25AF">
      <w:pPr>
        <w:pStyle w:val="Heading3"/>
        <w:rPr>
          <w:rFonts w:eastAsia="Times New Roman" w:cs="Arial"/>
          <w:b/>
          <w:bCs/>
          <w:lang w:val="bg-BG"/>
        </w:rPr>
      </w:pPr>
      <w:r w:rsidRPr="00F37617">
        <w:rPr>
          <w:rFonts w:eastAsia="Times New Roman" w:cs="Arial"/>
          <w:b/>
          <w:bCs/>
          <w:lang w:val="bg-BG" w:eastAsia="bg-BG"/>
        </w:rPr>
        <w:t>Бъбречно увреждане</w:t>
      </w:r>
    </w:p>
    <w:p w14:paraId="5371559F" w14:textId="02626572" w:rsidR="001F25AF" w:rsidRPr="00F37617" w:rsidRDefault="001F25AF" w:rsidP="001F25AF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Няма налични </w:t>
      </w:r>
      <w:proofErr w:type="spellStart"/>
      <w:r w:rsidRPr="00F37617">
        <w:rPr>
          <w:rFonts w:cs="Arial"/>
          <w:lang w:val="bg-BG" w:eastAsia="bg-BG"/>
        </w:rPr>
        <w:t>фармакокинетични</w:t>
      </w:r>
      <w:proofErr w:type="spellEnd"/>
      <w:r w:rsidRPr="00F37617">
        <w:rPr>
          <w:rFonts w:cs="Arial"/>
          <w:lang w:val="bg-BG" w:eastAsia="bg-BG"/>
        </w:rPr>
        <w:t xml:space="preserve"> данни за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при бъбречно увреждане. Въз основа на </w:t>
      </w:r>
      <w:proofErr w:type="spellStart"/>
      <w:r w:rsidRPr="00F37617">
        <w:rPr>
          <w:rFonts w:cs="Arial"/>
          <w:lang w:val="bg-BG" w:eastAsia="bg-BG"/>
        </w:rPr>
        <w:t>уринната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екскреция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, не може да се изключи възможността за натрупване на метаболити при нарушена бъбречна функция. Затова използването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е противопоказано при пациенти с тежко бъбречно увреждане и трябва да се внимава при пациенти с леко до умерено бъбречно увреждане (вж. също т. 4.2 Дозировка и начин на приложение, т. 4.3 Противопоказания и т. 4.4 Специални предупреждения и предпазни мерки при употреба).</w:t>
      </w:r>
    </w:p>
    <w:p w14:paraId="13DA6A15" w14:textId="3D246CCA" w:rsidR="001F25AF" w:rsidRPr="00F37617" w:rsidRDefault="001F25AF" w:rsidP="001F25AF">
      <w:pPr>
        <w:rPr>
          <w:rFonts w:cs="Arial"/>
          <w:lang w:val="bg-BG" w:eastAsia="bg-BG"/>
        </w:rPr>
      </w:pPr>
    </w:p>
    <w:p w14:paraId="13682786" w14:textId="77777777" w:rsidR="001F25AF" w:rsidRPr="00F37617" w:rsidRDefault="001F25AF" w:rsidP="001F25AF">
      <w:pPr>
        <w:pStyle w:val="Heading3"/>
        <w:rPr>
          <w:rFonts w:eastAsia="Times New Roman" w:cs="Arial"/>
          <w:b/>
          <w:bCs/>
          <w:lang w:val="bg-BG"/>
        </w:rPr>
      </w:pPr>
      <w:r w:rsidRPr="00F37617">
        <w:rPr>
          <w:rFonts w:eastAsia="Times New Roman" w:cs="Arial"/>
          <w:b/>
          <w:bCs/>
          <w:lang w:val="bg-BG" w:eastAsia="bg-BG"/>
        </w:rPr>
        <w:t>Чернодробно увреждане</w:t>
      </w:r>
    </w:p>
    <w:p w14:paraId="1DC10B23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Няма налични </w:t>
      </w:r>
      <w:proofErr w:type="spellStart"/>
      <w:r w:rsidRPr="00F37617">
        <w:rPr>
          <w:rFonts w:cs="Arial"/>
          <w:lang w:val="bg-BG" w:eastAsia="bg-BG"/>
        </w:rPr>
        <w:t>фармакокинетични</w:t>
      </w:r>
      <w:proofErr w:type="spellEnd"/>
      <w:r w:rsidRPr="00F37617">
        <w:rPr>
          <w:rFonts w:cs="Arial"/>
          <w:lang w:val="bg-BG" w:eastAsia="bg-BG"/>
        </w:rPr>
        <w:t xml:space="preserve"> данни за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при чернодробно увреждане. Въз основа на метаболизма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и възможното намаление на ензимната активност на </w:t>
      </w:r>
      <w:r w:rsidRPr="00F37617">
        <w:rPr>
          <w:rFonts w:cs="Arial"/>
        </w:rPr>
        <w:t>CYP2C9, CYP1</w:t>
      </w:r>
      <w:r w:rsidRPr="00F37617">
        <w:rPr>
          <w:rFonts w:cs="Arial"/>
          <w:lang w:val="bg-BG" w:eastAsia="bg-BG"/>
        </w:rPr>
        <w:t xml:space="preserve">А2 и </w:t>
      </w:r>
      <w:r w:rsidRPr="00F37617">
        <w:rPr>
          <w:rFonts w:cs="Arial"/>
        </w:rPr>
        <w:t>CYP3</w:t>
      </w:r>
      <w:r w:rsidRPr="00F37617">
        <w:rPr>
          <w:rFonts w:cs="Arial"/>
          <w:lang w:val="bg-BG" w:eastAsia="bg-BG"/>
        </w:rPr>
        <w:t xml:space="preserve">А4, е вероятно </w:t>
      </w:r>
      <w:proofErr w:type="spellStart"/>
      <w:r w:rsidRPr="00F37617">
        <w:rPr>
          <w:rFonts w:cs="Arial"/>
          <w:lang w:val="bg-BG" w:eastAsia="bg-BG"/>
        </w:rPr>
        <w:t>клирънса</w:t>
      </w:r>
      <w:proofErr w:type="spellEnd"/>
      <w:r w:rsidRPr="00F37617">
        <w:rPr>
          <w:rFonts w:cs="Arial"/>
          <w:lang w:val="bg-BG" w:eastAsia="bg-BG"/>
        </w:rPr>
        <w:t xml:space="preserve"> да бъде намален. Затова използването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е противопоказано при пациенти с тежко чернодробно увреждане и трябва да се внимава при пациенти с леко до умерено чернодробно увреждане (вж. също т. 4.2 Дозировка и начин на приложение, т. 4.3 Противопоказания и т. 4.4 Специални предупреждения и предпазни мерки при употреба).</w:t>
      </w:r>
    </w:p>
    <w:p w14:paraId="66F37893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11D4EDD2" w14:textId="0892131A" w:rsidR="001F25AF" w:rsidRPr="00F37617" w:rsidRDefault="001F25AF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Етнос</w:t>
      </w:r>
    </w:p>
    <w:p w14:paraId="30B45C4B" w14:textId="77777777" w:rsidR="001F25AF" w:rsidRPr="00F37617" w:rsidRDefault="001F25AF" w:rsidP="001F25AF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Експресията на </w:t>
      </w:r>
      <w:r w:rsidRPr="00F37617">
        <w:rPr>
          <w:rFonts w:cs="Arial"/>
        </w:rPr>
        <w:t xml:space="preserve">CYP2C9 </w:t>
      </w:r>
      <w:r w:rsidRPr="00F37617">
        <w:rPr>
          <w:rFonts w:cs="Arial"/>
          <w:lang w:val="bg-BG" w:eastAsia="bg-BG"/>
        </w:rPr>
        <w:t xml:space="preserve">ензимните системи е </w:t>
      </w:r>
      <w:proofErr w:type="spellStart"/>
      <w:r w:rsidRPr="00F37617">
        <w:rPr>
          <w:rFonts w:cs="Arial"/>
          <w:lang w:val="bg-BG" w:eastAsia="bg-BG"/>
        </w:rPr>
        <w:t>полиморфна</w:t>
      </w:r>
      <w:proofErr w:type="spellEnd"/>
      <w:r w:rsidRPr="00F37617">
        <w:rPr>
          <w:rFonts w:cs="Arial"/>
          <w:lang w:val="bg-BG" w:eastAsia="bg-BG"/>
        </w:rPr>
        <w:t xml:space="preserve"> и честотата им е различна при отделните популации. В кавказката раса честотата на </w:t>
      </w:r>
      <w:r w:rsidRPr="00F37617">
        <w:rPr>
          <w:rFonts w:cs="Arial"/>
        </w:rPr>
        <w:t xml:space="preserve">CYP2C9*2 </w:t>
      </w:r>
      <w:r w:rsidRPr="00F37617">
        <w:rPr>
          <w:rFonts w:cs="Arial"/>
          <w:lang w:val="bg-BG" w:eastAsia="bg-BG"/>
        </w:rPr>
        <w:t xml:space="preserve">и </w:t>
      </w:r>
      <w:r w:rsidRPr="00F37617">
        <w:rPr>
          <w:rFonts w:cs="Arial"/>
        </w:rPr>
        <w:t xml:space="preserve">CYP2C9*3 </w:t>
      </w:r>
      <w:r w:rsidRPr="00F37617">
        <w:rPr>
          <w:rFonts w:cs="Arial"/>
          <w:lang w:val="bg-BG" w:eastAsia="bg-BG"/>
        </w:rPr>
        <w:t xml:space="preserve">е съответно 12 и 8%. Пациентите с един или повече </w:t>
      </w:r>
      <w:proofErr w:type="spellStart"/>
      <w:r w:rsidRPr="00F37617">
        <w:rPr>
          <w:rFonts w:cs="Arial"/>
          <w:lang w:val="bg-BG" w:eastAsia="bg-BG"/>
        </w:rPr>
        <w:t>алелни</w:t>
      </w:r>
      <w:proofErr w:type="spellEnd"/>
      <w:r w:rsidRPr="00F37617">
        <w:rPr>
          <w:rFonts w:cs="Arial"/>
          <w:lang w:val="bg-BG" w:eastAsia="bg-BG"/>
        </w:rPr>
        <w:t xml:space="preserve"> варианти на </w:t>
      </w:r>
      <w:r w:rsidRPr="00F37617">
        <w:rPr>
          <w:rFonts w:cs="Arial"/>
        </w:rPr>
        <w:t xml:space="preserve">CYP2C9 </w:t>
      </w:r>
      <w:r w:rsidRPr="00F37617">
        <w:rPr>
          <w:rFonts w:cs="Arial"/>
          <w:lang w:val="bg-BG" w:eastAsia="bg-BG"/>
        </w:rPr>
        <w:t xml:space="preserve">имат намален </w:t>
      </w:r>
      <w:proofErr w:type="spellStart"/>
      <w:r w:rsidRPr="00F37617">
        <w:rPr>
          <w:rFonts w:cs="Arial"/>
          <w:lang w:val="bg-BG" w:eastAsia="bg-BG"/>
        </w:rPr>
        <w:t>клирънс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r w:rsidRPr="00F37617">
        <w:rPr>
          <w:rFonts w:cs="Arial"/>
        </w:rPr>
        <w:t>S</w:t>
      </w:r>
      <w:r w:rsidRPr="00F37617">
        <w:rPr>
          <w:rFonts w:cs="Arial"/>
          <w:lang w:val="bg-BG" w:eastAsia="bg-BG"/>
        </w:rPr>
        <w:t>-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. При пациентите от африканската раса </w:t>
      </w:r>
      <w:r w:rsidRPr="00F37617">
        <w:rPr>
          <w:rFonts w:cs="Arial"/>
        </w:rPr>
        <w:t xml:space="preserve">CYP2C9*2 </w:t>
      </w:r>
      <w:r w:rsidRPr="00F37617">
        <w:rPr>
          <w:rFonts w:cs="Arial"/>
          <w:lang w:val="bg-BG" w:eastAsia="bg-BG"/>
        </w:rPr>
        <w:t xml:space="preserve">и </w:t>
      </w:r>
      <w:r w:rsidRPr="00F37617">
        <w:rPr>
          <w:rFonts w:cs="Arial"/>
        </w:rPr>
        <w:t xml:space="preserve">CYP2C9*3 </w:t>
      </w:r>
      <w:r w:rsidRPr="00F37617">
        <w:rPr>
          <w:rFonts w:cs="Arial"/>
          <w:lang w:val="bg-BG" w:eastAsia="bg-BG"/>
        </w:rPr>
        <w:t xml:space="preserve">се срещат с много по-ниска честота -1- 4% и 0,5-2,3 %, съответно, спрямо кавказката раса. Японската популация има по-ниска </w:t>
      </w:r>
      <w:proofErr w:type="spellStart"/>
      <w:r w:rsidRPr="00F37617">
        <w:rPr>
          <w:rFonts w:cs="Arial"/>
          <w:lang w:val="bg-BG" w:eastAsia="bg-BG"/>
        </w:rPr>
        <w:t>алелна</w:t>
      </w:r>
      <w:proofErr w:type="spellEnd"/>
      <w:r w:rsidRPr="00F37617">
        <w:rPr>
          <w:rFonts w:cs="Arial"/>
          <w:lang w:val="bg-BG" w:eastAsia="bg-BG"/>
        </w:rPr>
        <w:t xml:space="preserve"> честота на </w:t>
      </w:r>
      <w:r w:rsidRPr="00F37617">
        <w:rPr>
          <w:rFonts w:cs="Arial"/>
        </w:rPr>
        <w:t xml:space="preserve">CYP2C9*2 </w:t>
      </w:r>
      <w:r w:rsidRPr="00F37617">
        <w:rPr>
          <w:rFonts w:cs="Arial"/>
          <w:lang w:val="bg-BG" w:eastAsia="bg-BG"/>
        </w:rPr>
        <w:t xml:space="preserve">и </w:t>
      </w:r>
      <w:r w:rsidRPr="00F37617">
        <w:rPr>
          <w:rFonts w:cs="Arial"/>
        </w:rPr>
        <w:t xml:space="preserve">CYP2C9*3 </w:t>
      </w:r>
      <w:r w:rsidRPr="00F37617">
        <w:rPr>
          <w:rFonts w:cs="Arial"/>
          <w:lang w:val="bg-BG" w:eastAsia="bg-BG"/>
        </w:rPr>
        <w:t>- 0,1% и 1-6%, съответно.</w:t>
      </w:r>
    </w:p>
    <w:p w14:paraId="25FD15A9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12457C45" w14:textId="2F854036" w:rsidR="001F25AF" w:rsidRPr="00F37617" w:rsidRDefault="001F25AF" w:rsidP="001F25AF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Поддържащата доза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е различна в зависимост от генотипа.</w:t>
      </w:r>
    </w:p>
    <w:p w14:paraId="76634D4C" w14:textId="77777777" w:rsidR="001F25AF" w:rsidRPr="00F37617" w:rsidRDefault="001F25AF" w:rsidP="001F25AF">
      <w:pPr>
        <w:rPr>
          <w:rFonts w:cs="Arial"/>
          <w:lang w:val="bg-BG" w:eastAsia="bg-BG"/>
        </w:rPr>
      </w:pPr>
    </w:p>
    <w:p w14:paraId="396E64F7" w14:textId="56685EF7" w:rsidR="001F25AF" w:rsidRPr="00F37617" w:rsidRDefault="001F25AF" w:rsidP="001F25AF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Подробна информация относно средната доза и медианата на дозата в зависимост от </w:t>
      </w:r>
      <w:r w:rsidRPr="00F37617">
        <w:rPr>
          <w:rFonts w:cs="Arial"/>
        </w:rPr>
        <w:t xml:space="preserve">CYP2C9 </w:t>
      </w:r>
      <w:r w:rsidRPr="00F37617">
        <w:rPr>
          <w:rFonts w:cs="Arial"/>
          <w:lang w:val="bg-BG" w:eastAsia="bg-BG"/>
        </w:rPr>
        <w:t>генотипа е представена в таблицата по-долу:</w:t>
      </w:r>
    </w:p>
    <w:p w14:paraId="7D101241" w14:textId="6C99305C" w:rsidR="00487ADB" w:rsidRPr="00F37617" w:rsidRDefault="00487ADB" w:rsidP="001F25AF">
      <w:pPr>
        <w:rPr>
          <w:rFonts w:cs="Arial"/>
          <w:lang w:eastAsia="bg-BG"/>
        </w:rPr>
      </w:pPr>
      <w:proofErr w:type="spellStart"/>
      <w:r w:rsidRPr="00F37617">
        <w:rPr>
          <w:rFonts w:cs="Arial"/>
        </w:rPr>
        <w:t>Таблица</w:t>
      </w:r>
      <w:proofErr w:type="spellEnd"/>
      <w:r w:rsidRPr="00F37617">
        <w:rPr>
          <w:rFonts w:cs="Arial"/>
        </w:rPr>
        <w:t xml:space="preserve"> 3 CYP2C9 </w:t>
      </w:r>
      <w:proofErr w:type="spellStart"/>
      <w:r w:rsidRPr="00F37617">
        <w:rPr>
          <w:rFonts w:cs="Arial"/>
        </w:rPr>
        <w:t>генотип</w:t>
      </w:r>
      <w:proofErr w:type="spellEnd"/>
      <w:r w:rsidRPr="00F37617">
        <w:rPr>
          <w:rFonts w:cs="Arial"/>
        </w:rPr>
        <w:t xml:space="preserve"> и </w:t>
      </w:r>
      <w:proofErr w:type="spellStart"/>
      <w:r w:rsidRPr="00F37617">
        <w:rPr>
          <w:rFonts w:cs="Arial"/>
        </w:rPr>
        <w:t>поддържаща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доза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на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аценокумарол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18"/>
        <w:gridCol w:w="1613"/>
        <w:gridCol w:w="1515"/>
        <w:gridCol w:w="1613"/>
        <w:gridCol w:w="1545"/>
      </w:tblGrid>
      <w:tr w:rsidR="002E46C4" w:rsidRPr="00F37617" w14:paraId="4C64595E" w14:textId="77777777" w:rsidTr="00487ADB">
        <w:tc>
          <w:tcPr>
            <w:tcW w:w="1546" w:type="dxa"/>
          </w:tcPr>
          <w:p w14:paraId="07E14849" w14:textId="39022720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  <w:lang w:val="bg-BG" w:eastAsia="bg-BG"/>
              </w:rPr>
              <w:lastRenderedPageBreak/>
              <w:t>Генотип</w:t>
            </w:r>
          </w:p>
        </w:tc>
        <w:tc>
          <w:tcPr>
            <w:tcW w:w="1518" w:type="dxa"/>
          </w:tcPr>
          <w:p w14:paraId="689EDAFB" w14:textId="753F0D68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N</w:t>
            </w:r>
          </w:p>
        </w:tc>
        <w:tc>
          <w:tcPr>
            <w:tcW w:w="1613" w:type="dxa"/>
          </w:tcPr>
          <w:p w14:paraId="3143AD72" w14:textId="0EF243F9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proofErr w:type="spellStart"/>
            <w:r w:rsidRPr="00F37617">
              <w:rPr>
                <w:rFonts w:cs="Arial"/>
              </w:rPr>
              <w:t>Средна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доза</w:t>
            </w:r>
            <w:proofErr w:type="spellEnd"/>
            <w:r w:rsidRPr="00F37617">
              <w:rPr>
                <w:rFonts w:cs="Arial"/>
              </w:rPr>
              <w:t xml:space="preserve"> (mg/</w:t>
            </w:r>
            <w:proofErr w:type="spellStart"/>
            <w:r w:rsidRPr="00F37617">
              <w:rPr>
                <w:rFonts w:cs="Arial"/>
              </w:rPr>
              <w:t>седмица</w:t>
            </w:r>
            <w:proofErr w:type="spellEnd"/>
            <w:r w:rsidRPr="00F37617">
              <w:rPr>
                <w:rFonts w:cs="Arial"/>
              </w:rPr>
              <w:t>)</w:t>
            </w:r>
          </w:p>
        </w:tc>
        <w:tc>
          <w:tcPr>
            <w:tcW w:w="1515" w:type="dxa"/>
          </w:tcPr>
          <w:p w14:paraId="0C61B53A" w14:textId="7F265E3A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SD</w:t>
            </w:r>
          </w:p>
        </w:tc>
        <w:tc>
          <w:tcPr>
            <w:tcW w:w="1613" w:type="dxa"/>
          </w:tcPr>
          <w:p w14:paraId="1B721823" w14:textId="7DF9CECD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proofErr w:type="spellStart"/>
            <w:r w:rsidRPr="00F37617">
              <w:rPr>
                <w:rFonts w:cs="Arial"/>
              </w:rPr>
              <w:t>Медиана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на</w:t>
            </w:r>
            <w:proofErr w:type="spellEnd"/>
            <w:r w:rsidRPr="00F37617">
              <w:rPr>
                <w:rFonts w:cs="Arial"/>
              </w:rPr>
              <w:t xml:space="preserve"> </w:t>
            </w:r>
            <w:proofErr w:type="spellStart"/>
            <w:r w:rsidRPr="00F37617">
              <w:rPr>
                <w:rFonts w:cs="Arial"/>
              </w:rPr>
              <w:t>дозата</w:t>
            </w:r>
            <w:proofErr w:type="spellEnd"/>
            <w:r w:rsidRPr="00F37617">
              <w:rPr>
                <w:rFonts w:cs="Arial"/>
              </w:rPr>
              <w:t xml:space="preserve"> (mg/</w:t>
            </w:r>
            <w:proofErr w:type="spellStart"/>
            <w:r w:rsidRPr="00F37617">
              <w:rPr>
                <w:rFonts w:cs="Arial"/>
              </w:rPr>
              <w:t>седмица</w:t>
            </w:r>
            <w:proofErr w:type="spellEnd"/>
            <w:r w:rsidRPr="00F37617">
              <w:rPr>
                <w:rFonts w:cs="Arial"/>
              </w:rPr>
              <w:t>)</w:t>
            </w:r>
          </w:p>
        </w:tc>
        <w:tc>
          <w:tcPr>
            <w:tcW w:w="1545" w:type="dxa"/>
          </w:tcPr>
          <w:p w14:paraId="0314B4AF" w14:textId="737F98DD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proofErr w:type="spellStart"/>
            <w:r w:rsidRPr="00F37617">
              <w:rPr>
                <w:rFonts w:cs="Arial"/>
              </w:rPr>
              <w:t>Интервал</w:t>
            </w:r>
            <w:proofErr w:type="spellEnd"/>
          </w:p>
        </w:tc>
      </w:tr>
      <w:tr w:rsidR="002E46C4" w:rsidRPr="00F37617" w14:paraId="0D1C0D4B" w14:textId="77777777" w:rsidTr="00487ADB">
        <w:tc>
          <w:tcPr>
            <w:tcW w:w="1546" w:type="dxa"/>
            <w:vAlign w:val="bottom"/>
          </w:tcPr>
          <w:p w14:paraId="40C5430B" w14:textId="22A3D4F6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CYP2C9*1</w:t>
            </w:r>
          </w:p>
        </w:tc>
        <w:tc>
          <w:tcPr>
            <w:tcW w:w="1518" w:type="dxa"/>
            <w:vAlign w:val="bottom"/>
          </w:tcPr>
          <w:p w14:paraId="6AA9C9F2" w14:textId="3962E74E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169</w:t>
            </w:r>
          </w:p>
        </w:tc>
        <w:tc>
          <w:tcPr>
            <w:tcW w:w="1613" w:type="dxa"/>
            <w:vAlign w:val="bottom"/>
          </w:tcPr>
          <w:p w14:paraId="0EB537A9" w14:textId="22506D03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17,1</w:t>
            </w:r>
          </w:p>
        </w:tc>
        <w:tc>
          <w:tcPr>
            <w:tcW w:w="1515" w:type="dxa"/>
            <w:vAlign w:val="bottom"/>
          </w:tcPr>
          <w:p w14:paraId="592513B4" w14:textId="0272BF1F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8,7</w:t>
            </w:r>
          </w:p>
        </w:tc>
        <w:tc>
          <w:tcPr>
            <w:tcW w:w="1613" w:type="dxa"/>
            <w:vAlign w:val="bottom"/>
          </w:tcPr>
          <w:p w14:paraId="7E71BAE7" w14:textId="071AB021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15,8</w:t>
            </w:r>
          </w:p>
        </w:tc>
        <w:tc>
          <w:tcPr>
            <w:tcW w:w="1545" w:type="dxa"/>
            <w:vAlign w:val="bottom"/>
          </w:tcPr>
          <w:p w14:paraId="6C1C19F0" w14:textId="25E38762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2,3-61</w:t>
            </w:r>
          </w:p>
        </w:tc>
      </w:tr>
      <w:tr w:rsidR="002E46C4" w:rsidRPr="00F37617" w14:paraId="4AE0E8D7" w14:textId="77777777" w:rsidTr="00487ADB">
        <w:tc>
          <w:tcPr>
            <w:tcW w:w="1546" w:type="dxa"/>
            <w:vAlign w:val="bottom"/>
          </w:tcPr>
          <w:p w14:paraId="0836A887" w14:textId="022DAF26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CYP2C9*2</w:t>
            </w:r>
          </w:p>
        </w:tc>
        <w:tc>
          <w:tcPr>
            <w:tcW w:w="1518" w:type="dxa"/>
            <w:vAlign w:val="bottom"/>
          </w:tcPr>
          <w:p w14:paraId="33EBF1F3" w14:textId="24CD7736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90</w:t>
            </w:r>
          </w:p>
        </w:tc>
        <w:tc>
          <w:tcPr>
            <w:tcW w:w="1613" w:type="dxa"/>
            <w:vAlign w:val="bottom"/>
          </w:tcPr>
          <w:p w14:paraId="7DADC5E0" w14:textId="79631B2F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14,4</w:t>
            </w:r>
          </w:p>
        </w:tc>
        <w:tc>
          <w:tcPr>
            <w:tcW w:w="1515" w:type="dxa"/>
            <w:vAlign w:val="bottom"/>
          </w:tcPr>
          <w:p w14:paraId="0E8D10F9" w14:textId="6A16C3FC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6,3</w:t>
            </w:r>
          </w:p>
        </w:tc>
        <w:tc>
          <w:tcPr>
            <w:tcW w:w="1613" w:type="dxa"/>
            <w:vAlign w:val="bottom"/>
          </w:tcPr>
          <w:p w14:paraId="54D0D7D4" w14:textId="06697DFB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13,5</w:t>
            </w:r>
          </w:p>
        </w:tc>
        <w:tc>
          <w:tcPr>
            <w:tcW w:w="1545" w:type="dxa"/>
            <w:vAlign w:val="bottom"/>
          </w:tcPr>
          <w:p w14:paraId="6AF4C2C5" w14:textId="1812BB16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3,5- 37,3</w:t>
            </w:r>
          </w:p>
        </w:tc>
      </w:tr>
      <w:tr w:rsidR="002E46C4" w:rsidRPr="00F37617" w14:paraId="1F2B0141" w14:textId="77777777" w:rsidTr="00487ADB">
        <w:tc>
          <w:tcPr>
            <w:tcW w:w="1546" w:type="dxa"/>
          </w:tcPr>
          <w:p w14:paraId="315161E3" w14:textId="2DA4E6C0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CYP2C9*3</w:t>
            </w:r>
          </w:p>
        </w:tc>
        <w:tc>
          <w:tcPr>
            <w:tcW w:w="1518" w:type="dxa"/>
          </w:tcPr>
          <w:p w14:paraId="1A251CE1" w14:textId="219FF79D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48</w:t>
            </w:r>
          </w:p>
        </w:tc>
        <w:tc>
          <w:tcPr>
            <w:tcW w:w="1613" w:type="dxa"/>
          </w:tcPr>
          <w:p w14:paraId="1CD1AE4B" w14:textId="10EAF37E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11,0</w:t>
            </w:r>
          </w:p>
        </w:tc>
        <w:tc>
          <w:tcPr>
            <w:tcW w:w="1515" w:type="dxa"/>
          </w:tcPr>
          <w:p w14:paraId="331842D2" w14:textId="208BD7C1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5,1</w:t>
            </w:r>
          </w:p>
        </w:tc>
        <w:tc>
          <w:tcPr>
            <w:tcW w:w="1613" w:type="dxa"/>
          </w:tcPr>
          <w:p w14:paraId="44C84862" w14:textId="2FE0DCAF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10,5</w:t>
            </w:r>
          </w:p>
        </w:tc>
        <w:tc>
          <w:tcPr>
            <w:tcW w:w="1545" w:type="dxa"/>
          </w:tcPr>
          <w:p w14:paraId="528DA620" w14:textId="607EE9AF" w:rsidR="002E46C4" w:rsidRPr="00F37617" w:rsidRDefault="002E46C4" w:rsidP="002E46C4">
            <w:pPr>
              <w:rPr>
                <w:rFonts w:cs="Arial"/>
                <w:sz w:val="24"/>
                <w:szCs w:val="24"/>
              </w:rPr>
            </w:pPr>
            <w:r w:rsidRPr="00F37617">
              <w:rPr>
                <w:rFonts w:cs="Arial"/>
              </w:rPr>
              <w:t>2,3- 22</w:t>
            </w:r>
          </w:p>
        </w:tc>
      </w:tr>
    </w:tbl>
    <w:p w14:paraId="0F553CEF" w14:textId="77777777" w:rsidR="001C24E6" w:rsidRPr="00F37617" w:rsidRDefault="001C24E6" w:rsidP="001C24E6">
      <w:pPr>
        <w:spacing w:line="240" w:lineRule="auto"/>
        <w:rPr>
          <w:rFonts w:eastAsia="Times New Roman" w:cs="Arial"/>
          <w:b/>
          <w:bCs/>
          <w:color w:val="000000"/>
          <w:sz w:val="20"/>
          <w:szCs w:val="20"/>
          <w:lang w:val="bg-BG" w:eastAsia="bg-BG"/>
        </w:rPr>
      </w:pPr>
    </w:p>
    <w:p w14:paraId="15FF5571" w14:textId="0DC9BC9B" w:rsidR="001C24E6" w:rsidRPr="00F37617" w:rsidRDefault="001C24E6" w:rsidP="001C24E6">
      <w:pPr>
        <w:rPr>
          <w:rFonts w:cs="Arial"/>
          <w:b/>
          <w:bCs/>
          <w:sz w:val="24"/>
          <w:szCs w:val="24"/>
          <w:lang w:val="bg-BG"/>
        </w:rPr>
      </w:pPr>
      <w:r w:rsidRPr="00F37617">
        <w:rPr>
          <w:rFonts w:cs="Arial"/>
          <w:b/>
          <w:bCs/>
          <w:lang w:val="bg-BG" w:eastAsia="bg-BG"/>
        </w:rPr>
        <w:t>Клинични проучвания</w:t>
      </w:r>
    </w:p>
    <w:p w14:paraId="22044534" w14:textId="7F7D87A5" w:rsidR="002E46C4" w:rsidRPr="00F37617" w:rsidRDefault="001C24E6" w:rsidP="001C24E6">
      <w:pPr>
        <w:rPr>
          <w:rFonts w:cs="Arial"/>
          <w:sz w:val="24"/>
          <w:szCs w:val="24"/>
        </w:rPr>
      </w:pPr>
      <w:r w:rsidRPr="00F37617">
        <w:rPr>
          <w:rFonts w:cs="Arial"/>
          <w:lang w:val="bg-BG" w:eastAsia="bg-BG"/>
        </w:rPr>
        <w:t xml:space="preserve">Не са провеждани нови клинични изпитвания със </w:t>
      </w:r>
      <w:proofErr w:type="spellStart"/>
      <w:r w:rsidRPr="00F37617">
        <w:rPr>
          <w:rFonts w:cs="Arial"/>
        </w:rPr>
        <w:t>Sintrom</w:t>
      </w:r>
      <w:proofErr w:type="spellEnd"/>
      <w:r w:rsidRPr="00F37617">
        <w:rPr>
          <w:rFonts w:cs="Arial"/>
        </w:rPr>
        <w:t>.</w:t>
      </w:r>
    </w:p>
    <w:p w14:paraId="57462FE2" w14:textId="3AA7D761" w:rsidR="002E46C4" w:rsidRPr="00F37617" w:rsidRDefault="002E46C4" w:rsidP="001F25AF">
      <w:pPr>
        <w:rPr>
          <w:rFonts w:cs="Arial"/>
          <w:sz w:val="24"/>
          <w:szCs w:val="24"/>
        </w:rPr>
      </w:pPr>
    </w:p>
    <w:p w14:paraId="53FE7BC1" w14:textId="77777777" w:rsidR="002E46C4" w:rsidRPr="00F37617" w:rsidRDefault="002E46C4" w:rsidP="001F25AF">
      <w:pPr>
        <w:rPr>
          <w:rFonts w:cs="Arial"/>
          <w:sz w:val="24"/>
          <w:szCs w:val="24"/>
        </w:rPr>
      </w:pPr>
    </w:p>
    <w:p w14:paraId="134A69A8" w14:textId="561CC9E6" w:rsidR="002C50EE" w:rsidRPr="00F37617" w:rsidRDefault="002C50EE" w:rsidP="002C50EE">
      <w:pPr>
        <w:pStyle w:val="Heading2"/>
        <w:rPr>
          <w:rFonts w:cs="Arial"/>
        </w:rPr>
      </w:pPr>
      <w:r w:rsidRPr="00F37617">
        <w:rPr>
          <w:rFonts w:cs="Arial"/>
        </w:rPr>
        <w:t xml:space="preserve">5.3. </w:t>
      </w:r>
      <w:proofErr w:type="spellStart"/>
      <w:r w:rsidRPr="00F37617">
        <w:rPr>
          <w:rFonts w:cs="Arial"/>
        </w:rPr>
        <w:t>Предклинични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данни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за</w:t>
      </w:r>
      <w:proofErr w:type="spellEnd"/>
      <w:r w:rsidRPr="00F37617">
        <w:rPr>
          <w:rFonts w:cs="Arial"/>
        </w:rPr>
        <w:t xml:space="preserve"> </w:t>
      </w:r>
      <w:proofErr w:type="spellStart"/>
      <w:r w:rsidRPr="00F37617">
        <w:rPr>
          <w:rFonts w:cs="Arial"/>
        </w:rPr>
        <w:t>безопасност</w:t>
      </w:r>
      <w:proofErr w:type="spellEnd"/>
    </w:p>
    <w:p w14:paraId="12A25C0F" w14:textId="77777777" w:rsidR="002B7B2A" w:rsidRPr="00F37617" w:rsidRDefault="002B7B2A" w:rsidP="002B7B2A">
      <w:pPr>
        <w:rPr>
          <w:rFonts w:cs="Arial"/>
          <w:b/>
          <w:bCs/>
          <w:lang w:val="bg-BG" w:eastAsia="bg-BG"/>
        </w:rPr>
      </w:pPr>
    </w:p>
    <w:p w14:paraId="66C9901A" w14:textId="615846D6" w:rsidR="002B7B2A" w:rsidRPr="00F37617" w:rsidRDefault="002B7B2A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>Токсичност</w:t>
      </w:r>
    </w:p>
    <w:p w14:paraId="297A574B" w14:textId="79B25688" w:rsidR="002B7B2A" w:rsidRPr="00F37617" w:rsidRDefault="002B7B2A" w:rsidP="002B7B2A">
      <w:pPr>
        <w:rPr>
          <w:rFonts w:cs="Arial"/>
          <w:lang w:val="bg-BG" w:eastAsia="bg-BG"/>
        </w:rPr>
      </w:pPr>
      <w:r w:rsidRPr="00F37617">
        <w:rPr>
          <w:rFonts w:cs="Arial"/>
          <w:lang w:val="bg-BG" w:eastAsia="bg-BG"/>
        </w:rPr>
        <w:t xml:space="preserve">След еднократна (висока) перорална и/или венозна доза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е показал ниска степен на токсичност при мишки, плъхове и зайци. При кучета е наблюдавана висока честота на остра токсичност при перорален прием.</w:t>
      </w:r>
    </w:p>
    <w:p w14:paraId="497B3595" w14:textId="77777777" w:rsidR="002B7B2A" w:rsidRPr="00F37617" w:rsidRDefault="002B7B2A" w:rsidP="002B7B2A">
      <w:pPr>
        <w:spacing w:line="240" w:lineRule="auto"/>
        <w:rPr>
          <w:rFonts w:eastAsia="Times New Roman" w:cs="Arial"/>
          <w:color w:val="000000"/>
          <w:sz w:val="20"/>
          <w:szCs w:val="20"/>
          <w:lang w:val="bg-BG" w:eastAsia="bg-BG"/>
        </w:rPr>
      </w:pPr>
    </w:p>
    <w:p w14:paraId="2255BE13" w14:textId="66AE5837" w:rsidR="002B7B2A" w:rsidRPr="00F37617" w:rsidRDefault="002B7B2A" w:rsidP="002B7B2A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При изследвания на повторно приложение на лекарствения продукт се счита, че черният дроб е основен таргетен орган за токсичността на </w:t>
      </w:r>
      <w:proofErr w:type="spellStart"/>
      <w:r w:rsidRPr="00F37617">
        <w:rPr>
          <w:rFonts w:cs="Arial"/>
          <w:lang w:val="bg-BG" w:eastAsia="bg-BG"/>
        </w:rPr>
        <w:t>кумариновите</w:t>
      </w:r>
      <w:proofErr w:type="spellEnd"/>
      <w:r w:rsidRPr="00F37617">
        <w:rPr>
          <w:rFonts w:cs="Arial"/>
          <w:lang w:val="bg-BG" w:eastAsia="bg-BG"/>
        </w:rPr>
        <w:t xml:space="preserve"> производни, включително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>. Приложението на тези вещества в прекомерни фармакологични дози може да причини хеморагии.</w:t>
      </w:r>
    </w:p>
    <w:p w14:paraId="64707BA6" w14:textId="77777777" w:rsidR="002B7B2A" w:rsidRPr="00F37617" w:rsidRDefault="002B7B2A" w:rsidP="002B7B2A">
      <w:pPr>
        <w:rPr>
          <w:rFonts w:cs="Arial"/>
          <w:b/>
          <w:bCs/>
          <w:lang w:val="bg-BG" w:eastAsia="bg-BG"/>
        </w:rPr>
      </w:pPr>
    </w:p>
    <w:p w14:paraId="4E69ADCD" w14:textId="16C37BC9" w:rsidR="002B7B2A" w:rsidRPr="00F37617" w:rsidRDefault="002B7B2A" w:rsidP="00487ADB">
      <w:pPr>
        <w:pStyle w:val="Heading3"/>
        <w:rPr>
          <w:rFonts w:cs="Arial"/>
          <w:lang w:val="bg-BG"/>
        </w:rPr>
      </w:pPr>
      <w:r w:rsidRPr="00F37617">
        <w:rPr>
          <w:rFonts w:cs="Arial"/>
          <w:lang w:val="bg-BG" w:eastAsia="bg-BG"/>
        </w:rPr>
        <w:t xml:space="preserve">Репродуктивна токсичност, </w:t>
      </w:r>
      <w:proofErr w:type="spellStart"/>
      <w:r w:rsidRPr="00F37617">
        <w:rPr>
          <w:rFonts w:cs="Arial"/>
          <w:lang w:val="bg-BG" w:eastAsia="bg-BG"/>
        </w:rPr>
        <w:t>тератогенност</w:t>
      </w:r>
      <w:proofErr w:type="spellEnd"/>
    </w:p>
    <w:p w14:paraId="473D7594" w14:textId="77777777" w:rsidR="002B7B2A" w:rsidRPr="00F37617" w:rsidRDefault="002B7B2A" w:rsidP="002B7B2A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Не са провеждани </w:t>
      </w:r>
      <w:proofErr w:type="spellStart"/>
      <w:r w:rsidRPr="00F37617">
        <w:rPr>
          <w:rFonts w:cs="Arial"/>
          <w:lang w:val="bg-BG" w:eastAsia="bg-BG"/>
        </w:rPr>
        <w:t>изпиквания</w:t>
      </w:r>
      <w:proofErr w:type="spellEnd"/>
      <w:r w:rsidRPr="00F37617">
        <w:rPr>
          <w:rFonts w:cs="Arial"/>
          <w:lang w:val="bg-BG" w:eastAsia="bg-BG"/>
        </w:rPr>
        <w:t xml:space="preserve"> за репродуктивна токсичност с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. </w:t>
      </w:r>
      <w:proofErr w:type="spellStart"/>
      <w:r w:rsidRPr="00F37617">
        <w:rPr>
          <w:rFonts w:cs="Arial"/>
          <w:lang w:val="bg-BG" w:eastAsia="bg-BG"/>
        </w:rPr>
        <w:t>Плацентарното</w:t>
      </w:r>
      <w:proofErr w:type="spellEnd"/>
      <w:r w:rsidRPr="00F37617">
        <w:rPr>
          <w:rFonts w:cs="Arial"/>
          <w:lang w:val="bg-BG" w:eastAsia="bg-BG"/>
        </w:rPr>
        <w:t xml:space="preserve"> и </w:t>
      </w:r>
      <w:proofErr w:type="spellStart"/>
      <w:r w:rsidRPr="00F37617">
        <w:rPr>
          <w:rFonts w:cs="Arial"/>
          <w:lang w:val="bg-BG" w:eastAsia="bg-BG"/>
        </w:rPr>
        <w:t>трансплацентарно</w:t>
      </w:r>
      <w:proofErr w:type="spellEnd"/>
      <w:r w:rsidRPr="00F37617">
        <w:rPr>
          <w:rFonts w:cs="Arial"/>
          <w:lang w:val="bg-BG" w:eastAsia="bg-BG"/>
        </w:rPr>
        <w:t xml:space="preserve"> взаимодействие с витамин К-зависимите </w:t>
      </w:r>
      <w:proofErr w:type="spellStart"/>
      <w:r w:rsidRPr="00F37617">
        <w:rPr>
          <w:rFonts w:cs="Arial"/>
          <w:lang w:val="bg-BG" w:eastAsia="bg-BG"/>
        </w:rPr>
        <w:t>коагулационни</w:t>
      </w:r>
      <w:proofErr w:type="spellEnd"/>
      <w:r w:rsidRPr="00F37617">
        <w:rPr>
          <w:rFonts w:cs="Arial"/>
          <w:lang w:val="bg-BG" w:eastAsia="bg-BG"/>
        </w:rPr>
        <w:t xml:space="preserve"> фактори може да увеличи ембрионалните или </w:t>
      </w:r>
      <w:proofErr w:type="spellStart"/>
      <w:r w:rsidRPr="00F37617">
        <w:rPr>
          <w:rFonts w:cs="Arial"/>
          <w:lang w:val="bg-BG" w:eastAsia="bg-BG"/>
        </w:rPr>
        <w:t>фетални</w:t>
      </w:r>
      <w:proofErr w:type="spellEnd"/>
      <w:r w:rsidRPr="00F37617">
        <w:rPr>
          <w:rFonts w:cs="Arial"/>
          <w:lang w:val="bg-BG" w:eastAsia="bg-BG"/>
        </w:rPr>
        <w:t xml:space="preserve"> аномалии и </w:t>
      </w:r>
      <w:proofErr w:type="spellStart"/>
      <w:r w:rsidRPr="00F37617">
        <w:rPr>
          <w:rFonts w:cs="Arial"/>
          <w:lang w:val="bg-BG" w:eastAsia="bg-BG"/>
        </w:rPr>
        <w:t>неонаталните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хеморагии</w:t>
      </w:r>
      <w:proofErr w:type="spellEnd"/>
      <w:r w:rsidRPr="00F37617">
        <w:rPr>
          <w:rFonts w:cs="Arial"/>
          <w:lang w:val="bg-BG" w:eastAsia="bg-BG"/>
        </w:rPr>
        <w:t xml:space="preserve"> при животни и хора (вж. също т. 4.6 Фертилитет, бременност и кърмене).</w:t>
      </w:r>
    </w:p>
    <w:p w14:paraId="4111B91E" w14:textId="77777777" w:rsidR="002B7B2A" w:rsidRPr="00F37617" w:rsidRDefault="002B7B2A" w:rsidP="002B7B2A">
      <w:pPr>
        <w:rPr>
          <w:rFonts w:cs="Arial"/>
          <w:b/>
          <w:bCs/>
          <w:lang w:val="bg-BG" w:eastAsia="bg-BG"/>
        </w:rPr>
      </w:pPr>
    </w:p>
    <w:p w14:paraId="1BD47C05" w14:textId="4A4480E5" w:rsidR="002B7B2A" w:rsidRPr="00F37617" w:rsidRDefault="002B7B2A" w:rsidP="00487ADB">
      <w:pPr>
        <w:pStyle w:val="Heading3"/>
        <w:rPr>
          <w:rFonts w:cs="Arial"/>
          <w:lang w:val="bg-BG"/>
        </w:rPr>
      </w:pPr>
      <w:proofErr w:type="spellStart"/>
      <w:r w:rsidRPr="00F37617">
        <w:rPr>
          <w:rFonts w:cs="Arial"/>
          <w:lang w:val="bg-BG" w:eastAsia="bg-BG"/>
        </w:rPr>
        <w:t>Мутагенност</w:t>
      </w:r>
      <w:proofErr w:type="spellEnd"/>
    </w:p>
    <w:p w14:paraId="41A689B5" w14:textId="77777777" w:rsidR="002B7B2A" w:rsidRPr="00F37617" w:rsidRDefault="002B7B2A" w:rsidP="002B7B2A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От изследванията върху клетъчни системи от бактерии и бозайници </w:t>
      </w:r>
      <w:r w:rsidRPr="00F37617">
        <w:rPr>
          <w:rFonts w:cs="Arial"/>
          <w:i/>
          <w:iCs/>
        </w:rPr>
        <w:t>in vitro,</w:t>
      </w:r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включително опити за ДНК-репарация при </w:t>
      </w:r>
      <w:proofErr w:type="spellStart"/>
      <w:r w:rsidRPr="00F37617">
        <w:rPr>
          <w:rFonts w:cs="Arial"/>
          <w:lang w:val="bg-BG" w:eastAsia="bg-BG"/>
        </w:rPr>
        <w:t>хепатоцити</w:t>
      </w:r>
      <w:proofErr w:type="spellEnd"/>
      <w:r w:rsidRPr="00F37617">
        <w:rPr>
          <w:rFonts w:cs="Arial"/>
          <w:lang w:val="bg-BG" w:eastAsia="bg-BG"/>
        </w:rPr>
        <w:t xml:space="preserve"> от плъхове, може да се направи заключението, че </w:t>
      </w: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и/или неговите </w:t>
      </w:r>
      <w:proofErr w:type="spellStart"/>
      <w:r w:rsidRPr="00F37617">
        <w:rPr>
          <w:rFonts w:cs="Arial"/>
          <w:lang w:val="bg-BG" w:eastAsia="bg-BG"/>
        </w:rPr>
        <w:t>метаболити</w:t>
      </w:r>
      <w:proofErr w:type="spellEnd"/>
      <w:r w:rsidRPr="00F37617">
        <w:rPr>
          <w:rFonts w:cs="Arial"/>
          <w:lang w:val="bg-BG" w:eastAsia="bg-BG"/>
        </w:rPr>
        <w:t xml:space="preserve"> нямат </w:t>
      </w:r>
      <w:proofErr w:type="spellStart"/>
      <w:r w:rsidRPr="00F37617">
        <w:rPr>
          <w:rFonts w:cs="Arial"/>
          <w:lang w:val="bg-BG" w:eastAsia="bg-BG"/>
        </w:rPr>
        <w:t>мутагенен</w:t>
      </w:r>
      <w:proofErr w:type="spellEnd"/>
      <w:r w:rsidRPr="00F37617">
        <w:rPr>
          <w:rFonts w:cs="Arial"/>
          <w:lang w:val="bg-BG" w:eastAsia="bg-BG"/>
        </w:rPr>
        <w:t xml:space="preserve"> ефект. Едно </w:t>
      </w:r>
      <w:r w:rsidRPr="00F37617">
        <w:rPr>
          <w:rFonts w:cs="Arial"/>
          <w:i/>
          <w:iCs/>
        </w:rPr>
        <w:t>in vitro</w:t>
      </w:r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проучване на човешки лимфоцити е показало </w:t>
      </w:r>
      <w:proofErr w:type="spellStart"/>
      <w:r w:rsidRPr="00F37617">
        <w:rPr>
          <w:rFonts w:cs="Arial"/>
          <w:lang w:val="bg-BG" w:eastAsia="bg-BG"/>
        </w:rPr>
        <w:t>лекостепенна</w:t>
      </w:r>
      <w:proofErr w:type="spellEnd"/>
      <w:r w:rsidRPr="00F37617">
        <w:rPr>
          <w:rFonts w:cs="Arial"/>
          <w:lang w:val="bg-BG" w:eastAsia="bg-BG"/>
        </w:rPr>
        <w:t xml:space="preserve"> </w:t>
      </w:r>
      <w:proofErr w:type="spellStart"/>
      <w:r w:rsidRPr="00F37617">
        <w:rPr>
          <w:rFonts w:cs="Arial"/>
          <w:lang w:val="bg-BG" w:eastAsia="bg-BG"/>
        </w:rPr>
        <w:t>мутагенна</w:t>
      </w:r>
      <w:proofErr w:type="spellEnd"/>
      <w:r w:rsidRPr="00F37617">
        <w:rPr>
          <w:rFonts w:cs="Arial"/>
          <w:lang w:val="bg-BG" w:eastAsia="bg-BG"/>
        </w:rPr>
        <w:t xml:space="preserve"> активност, като ефективните концентрации на </w:t>
      </w:r>
      <w:proofErr w:type="spellStart"/>
      <w:r w:rsidRPr="00F37617">
        <w:rPr>
          <w:rFonts w:cs="Arial"/>
        </w:rPr>
        <w:t>acenocoumarol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са били от 500 до 1 000 пъти по-високи от определените концентрации в плазмата при хора след лечение с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>.</w:t>
      </w:r>
    </w:p>
    <w:p w14:paraId="36A6819A" w14:textId="77777777" w:rsidR="002B7B2A" w:rsidRPr="00F37617" w:rsidRDefault="002B7B2A" w:rsidP="002B7B2A">
      <w:pPr>
        <w:rPr>
          <w:rFonts w:cs="Arial"/>
          <w:b/>
          <w:bCs/>
          <w:lang w:val="bg-BG" w:eastAsia="bg-BG"/>
        </w:rPr>
      </w:pPr>
    </w:p>
    <w:p w14:paraId="2CFDBFF1" w14:textId="5FF78B43" w:rsidR="002B7B2A" w:rsidRPr="00F37617" w:rsidRDefault="002B7B2A" w:rsidP="00487ADB">
      <w:pPr>
        <w:pStyle w:val="Heading3"/>
        <w:rPr>
          <w:rFonts w:cs="Arial"/>
          <w:lang w:val="bg-BG"/>
        </w:rPr>
      </w:pPr>
      <w:proofErr w:type="spellStart"/>
      <w:r w:rsidRPr="00F37617">
        <w:rPr>
          <w:rFonts w:cs="Arial"/>
          <w:lang w:val="bg-BG" w:eastAsia="bg-BG"/>
        </w:rPr>
        <w:t>Карциногенност</w:t>
      </w:r>
      <w:proofErr w:type="spellEnd"/>
    </w:p>
    <w:p w14:paraId="1DB95C91" w14:textId="77777777" w:rsidR="002B7B2A" w:rsidRPr="00F37617" w:rsidRDefault="002B7B2A" w:rsidP="002B7B2A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 xml:space="preserve">Не са провеждани проучвания на доживотно приложение на </w:t>
      </w:r>
      <w:proofErr w:type="spellStart"/>
      <w:r w:rsidRPr="00F37617">
        <w:rPr>
          <w:rFonts w:cs="Arial"/>
          <w:lang w:val="bg-BG" w:eastAsia="bg-BG"/>
        </w:rPr>
        <w:t>аценокумарол</w:t>
      </w:r>
      <w:proofErr w:type="spellEnd"/>
      <w:r w:rsidRPr="00F37617">
        <w:rPr>
          <w:rFonts w:cs="Arial"/>
          <w:lang w:val="bg-BG" w:eastAsia="bg-BG"/>
        </w:rPr>
        <w:t xml:space="preserve"> при животни.</w:t>
      </w:r>
    </w:p>
    <w:p w14:paraId="6B20DC3F" w14:textId="77777777" w:rsidR="002B7B2A" w:rsidRPr="00F37617" w:rsidRDefault="002B7B2A" w:rsidP="002B7B2A">
      <w:pPr>
        <w:rPr>
          <w:rFonts w:cs="Arial"/>
          <w:sz w:val="24"/>
          <w:szCs w:val="24"/>
          <w:lang w:val="bg-BG"/>
        </w:rPr>
      </w:pPr>
      <w:proofErr w:type="spellStart"/>
      <w:r w:rsidRPr="00F37617">
        <w:rPr>
          <w:rFonts w:cs="Arial"/>
          <w:lang w:val="bg-BG" w:eastAsia="bg-BG"/>
        </w:rPr>
        <w:t>Кумаринът</w:t>
      </w:r>
      <w:proofErr w:type="spellEnd"/>
      <w:r w:rsidRPr="00F37617">
        <w:rPr>
          <w:rFonts w:cs="Arial"/>
          <w:lang w:val="bg-BG" w:eastAsia="bg-BG"/>
        </w:rPr>
        <w:t xml:space="preserve"> повишава заболеваемостта от белодробни и чернодробни тумори при мишки и чернодробни и бъбречни тумори при плъхове, без да влияе на преживяемостта. Смята се, че чернодробните тумори при плъховете и белодробните тумори при мишките са свързани със специфичните за вида метаболитни пътища. </w:t>
      </w:r>
      <w:proofErr w:type="spellStart"/>
      <w:r w:rsidRPr="00F37617">
        <w:rPr>
          <w:rFonts w:cs="Arial"/>
          <w:lang w:val="bg-BG" w:eastAsia="bg-BG"/>
        </w:rPr>
        <w:t>Хепатотоксичността</w:t>
      </w:r>
      <w:proofErr w:type="spellEnd"/>
      <w:r w:rsidRPr="00F37617">
        <w:rPr>
          <w:rFonts w:cs="Arial"/>
          <w:lang w:val="bg-BG" w:eastAsia="bg-BG"/>
        </w:rPr>
        <w:t xml:space="preserve"> на </w:t>
      </w:r>
      <w:proofErr w:type="spellStart"/>
      <w:r w:rsidRPr="00F37617">
        <w:rPr>
          <w:rFonts w:cs="Arial"/>
          <w:lang w:val="bg-BG" w:eastAsia="bg-BG"/>
        </w:rPr>
        <w:t>кумарина</w:t>
      </w:r>
      <w:proofErr w:type="spellEnd"/>
      <w:r w:rsidRPr="00F37617">
        <w:rPr>
          <w:rFonts w:cs="Arial"/>
          <w:lang w:val="bg-BG" w:eastAsia="bg-BG"/>
        </w:rPr>
        <w:t xml:space="preserve"> и неговите производни при плъхове се свързва с ензимната индукция и начина на тяхното </w:t>
      </w:r>
      <w:proofErr w:type="spellStart"/>
      <w:r w:rsidRPr="00F37617">
        <w:rPr>
          <w:rFonts w:cs="Arial"/>
          <w:lang w:val="bg-BG" w:eastAsia="bg-BG"/>
        </w:rPr>
        <w:t>метаболизиране</w:t>
      </w:r>
      <w:proofErr w:type="spellEnd"/>
      <w:r w:rsidRPr="00F37617">
        <w:rPr>
          <w:rFonts w:cs="Arial"/>
          <w:lang w:val="bg-BG" w:eastAsia="bg-BG"/>
        </w:rPr>
        <w:t>, присъщ на този вид гризачи.</w:t>
      </w:r>
    </w:p>
    <w:p w14:paraId="49AE8A41" w14:textId="77777777" w:rsidR="002B7B2A" w:rsidRPr="00F37617" w:rsidRDefault="002B7B2A" w:rsidP="002B7B2A">
      <w:pPr>
        <w:rPr>
          <w:rFonts w:cs="Arial"/>
        </w:rPr>
      </w:pPr>
    </w:p>
    <w:p w14:paraId="28C40F19" w14:textId="2CC6B8E1" w:rsidR="002C50EE" w:rsidRPr="00F37617" w:rsidRDefault="002C50EE" w:rsidP="002C50EE">
      <w:pPr>
        <w:pStyle w:val="Heading1"/>
        <w:rPr>
          <w:rFonts w:cs="Arial"/>
        </w:rPr>
      </w:pPr>
      <w:r w:rsidRPr="00F37617">
        <w:rPr>
          <w:rFonts w:cs="Arial"/>
        </w:rPr>
        <w:t>7. ПРИТЕЖАТЕЛ НА РАЗРЕШЕНИЕТО ЗА УПОТРЕБА</w:t>
      </w:r>
    </w:p>
    <w:p w14:paraId="0A1E83CB" w14:textId="77777777" w:rsidR="002B7B2A" w:rsidRPr="00F37617" w:rsidRDefault="002B7B2A" w:rsidP="002B7B2A">
      <w:pPr>
        <w:rPr>
          <w:rFonts w:cs="Arial"/>
          <w:sz w:val="24"/>
          <w:szCs w:val="24"/>
        </w:rPr>
      </w:pPr>
      <w:proofErr w:type="spellStart"/>
      <w:r w:rsidRPr="00F37617">
        <w:rPr>
          <w:rFonts w:cs="Arial"/>
        </w:rPr>
        <w:t>Merus</w:t>
      </w:r>
      <w:proofErr w:type="spellEnd"/>
      <w:r w:rsidRPr="00F37617">
        <w:rPr>
          <w:rFonts w:cs="Arial"/>
        </w:rPr>
        <w:t xml:space="preserve"> Labs </w:t>
      </w:r>
      <w:proofErr w:type="spellStart"/>
      <w:r w:rsidRPr="00F37617">
        <w:rPr>
          <w:rFonts w:cs="Arial"/>
        </w:rPr>
        <w:t>Luxco</w:t>
      </w:r>
      <w:proofErr w:type="spellEnd"/>
      <w:r w:rsidRPr="00F37617">
        <w:rPr>
          <w:rFonts w:cs="Arial"/>
        </w:rPr>
        <w:t xml:space="preserve"> </w:t>
      </w:r>
      <w:r w:rsidRPr="00F37617">
        <w:rPr>
          <w:rFonts w:cs="Arial"/>
          <w:lang w:val="bg-BG" w:eastAsia="bg-BG"/>
        </w:rPr>
        <w:t xml:space="preserve">II </w:t>
      </w:r>
      <w:proofErr w:type="spellStart"/>
      <w:r w:rsidRPr="00F37617">
        <w:rPr>
          <w:rFonts w:cs="Arial"/>
        </w:rPr>
        <w:t>S.a</w:t>
      </w:r>
      <w:proofErr w:type="spellEnd"/>
      <w:r w:rsidRPr="00F37617">
        <w:rPr>
          <w:rFonts w:cs="Arial"/>
        </w:rPr>
        <w:t xml:space="preserve"> R.L.</w:t>
      </w:r>
    </w:p>
    <w:p w14:paraId="4FB2B266" w14:textId="77777777" w:rsidR="002B7B2A" w:rsidRPr="00F37617" w:rsidRDefault="002B7B2A" w:rsidP="002B7B2A">
      <w:pPr>
        <w:rPr>
          <w:rFonts w:cs="Arial"/>
          <w:sz w:val="24"/>
          <w:szCs w:val="24"/>
        </w:rPr>
      </w:pPr>
      <w:r w:rsidRPr="00F37617">
        <w:rPr>
          <w:rFonts w:cs="Arial"/>
          <w:lang w:val="bg-BG" w:eastAsia="bg-BG"/>
        </w:rPr>
        <w:t xml:space="preserve">26-28, </w:t>
      </w:r>
      <w:r w:rsidRPr="00F37617">
        <w:rPr>
          <w:rFonts w:cs="Arial"/>
        </w:rPr>
        <w:t>rue Edward Steichen</w:t>
      </w:r>
    </w:p>
    <w:p w14:paraId="5EAF5199" w14:textId="1572E0FA" w:rsidR="002B7B2A" w:rsidRPr="00F37617" w:rsidRDefault="002B7B2A" w:rsidP="002B7B2A">
      <w:pPr>
        <w:rPr>
          <w:rFonts w:cs="Arial"/>
        </w:rPr>
      </w:pPr>
      <w:r w:rsidRPr="00F37617">
        <w:rPr>
          <w:rFonts w:cs="Arial"/>
        </w:rPr>
        <w:t xml:space="preserve">L-2540 </w:t>
      </w:r>
      <w:r w:rsidRPr="00F37617">
        <w:rPr>
          <w:rFonts w:cs="Arial"/>
          <w:lang w:val="bg-BG" w:eastAsia="bg-BG"/>
        </w:rPr>
        <w:t>Люксембург</w:t>
      </w:r>
    </w:p>
    <w:p w14:paraId="04840D59" w14:textId="732D9C33" w:rsidR="002C50EE" w:rsidRPr="00F37617" w:rsidRDefault="002C50EE" w:rsidP="002C50EE">
      <w:pPr>
        <w:pStyle w:val="Heading1"/>
        <w:rPr>
          <w:rFonts w:cs="Arial"/>
        </w:rPr>
      </w:pPr>
      <w:r w:rsidRPr="00F37617">
        <w:rPr>
          <w:rFonts w:cs="Arial"/>
        </w:rPr>
        <w:t>8. НОМЕР НА РАЗРЕШЕНИЕТО ЗА УПОТРЕБА</w:t>
      </w:r>
    </w:p>
    <w:p w14:paraId="37CE5860" w14:textId="7B060A68" w:rsidR="002B7B2A" w:rsidRPr="00F37617" w:rsidRDefault="002B7B2A" w:rsidP="002B7B2A">
      <w:pPr>
        <w:rPr>
          <w:rFonts w:cs="Arial"/>
        </w:rPr>
      </w:pPr>
      <w:r w:rsidRPr="00F37617">
        <w:rPr>
          <w:rFonts w:cs="Arial"/>
        </w:rPr>
        <w:t>20000293</w:t>
      </w:r>
    </w:p>
    <w:p w14:paraId="5900CBF3" w14:textId="31CA2241" w:rsidR="002C50EE" w:rsidRPr="00F37617" w:rsidRDefault="002C50EE" w:rsidP="002C50EE">
      <w:pPr>
        <w:pStyle w:val="Heading1"/>
        <w:rPr>
          <w:rFonts w:cs="Arial"/>
        </w:rPr>
      </w:pPr>
      <w:r w:rsidRPr="00F37617">
        <w:rPr>
          <w:rFonts w:cs="Arial"/>
        </w:rPr>
        <w:t>9. ДАТА НА ПЪРВО РАЗРЕШАВАНЕ/ПОДНОВЯВАНЕ НА РАЗРЕШЕНИЕТО ЗА УПОТРЕБА</w:t>
      </w:r>
    </w:p>
    <w:p w14:paraId="141F439C" w14:textId="77777777" w:rsidR="002B7B2A" w:rsidRPr="00F37617" w:rsidRDefault="002B7B2A" w:rsidP="002B7B2A">
      <w:pPr>
        <w:rPr>
          <w:rFonts w:cs="Arial"/>
          <w:sz w:val="24"/>
          <w:szCs w:val="24"/>
          <w:lang w:val="bg-BG"/>
        </w:rPr>
      </w:pPr>
      <w:r w:rsidRPr="00F37617">
        <w:rPr>
          <w:rFonts w:cs="Arial"/>
          <w:lang w:val="bg-BG" w:eastAsia="bg-BG"/>
        </w:rPr>
        <w:t>Дата на първо разрешаване: 05.10.2005 г.</w:t>
      </w:r>
    </w:p>
    <w:p w14:paraId="3290F5CD" w14:textId="0E717651" w:rsidR="002B7B2A" w:rsidRPr="00F37617" w:rsidRDefault="002B7B2A" w:rsidP="002B7B2A">
      <w:pPr>
        <w:rPr>
          <w:rFonts w:cs="Arial"/>
        </w:rPr>
      </w:pPr>
      <w:r w:rsidRPr="00F37617">
        <w:rPr>
          <w:rFonts w:cs="Arial"/>
          <w:lang w:val="bg-BG" w:eastAsia="bg-BG"/>
        </w:rPr>
        <w:t>Дата на последно подновяване: 08.12.2010 г.</w:t>
      </w:r>
    </w:p>
    <w:p w14:paraId="0E9D0119" w14:textId="77777777" w:rsidR="002C50EE" w:rsidRPr="00F37617" w:rsidRDefault="002C50EE" w:rsidP="002C50EE">
      <w:pPr>
        <w:pStyle w:val="Heading1"/>
        <w:rPr>
          <w:rFonts w:cs="Arial"/>
        </w:rPr>
      </w:pPr>
      <w:r w:rsidRPr="00F37617">
        <w:rPr>
          <w:rFonts w:cs="Arial"/>
        </w:rPr>
        <w:t>10. ДАТА НА АКТУАЛИЗИРАНЕ НА ТЕКСТА</w:t>
      </w:r>
    </w:p>
    <w:bookmarkEnd w:id="0"/>
    <w:p w14:paraId="383FCB10" w14:textId="40F0C6A3" w:rsidR="002C50EE" w:rsidRPr="00F37617" w:rsidRDefault="002B7B2A" w:rsidP="002B7B2A">
      <w:pPr>
        <w:rPr>
          <w:rFonts w:cs="Arial"/>
          <w:b/>
          <w:bCs/>
          <w:sz w:val="26"/>
          <w:szCs w:val="26"/>
        </w:rPr>
      </w:pPr>
      <w:proofErr w:type="spellStart"/>
      <w:r w:rsidRPr="00F37617">
        <w:rPr>
          <w:rFonts w:cs="Arial"/>
        </w:rPr>
        <w:t>Април</w:t>
      </w:r>
      <w:proofErr w:type="spellEnd"/>
      <w:r w:rsidRPr="00F37617">
        <w:rPr>
          <w:rFonts w:cs="Arial"/>
        </w:rPr>
        <w:t xml:space="preserve"> 2020г.</w:t>
      </w:r>
    </w:p>
    <w:p w14:paraId="423F4C2A" w14:textId="77777777" w:rsidR="00C87E90" w:rsidRPr="00F37617" w:rsidRDefault="00C87E90" w:rsidP="003E3126">
      <w:pPr>
        <w:rPr>
          <w:rFonts w:cs="Arial"/>
        </w:rPr>
      </w:pPr>
    </w:p>
    <w:sectPr w:rsidR="00C87E90" w:rsidRPr="00F37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3697A" w14:textId="77777777" w:rsidR="008A5379" w:rsidRDefault="008A5379" w:rsidP="00D57FA1">
      <w:pPr>
        <w:spacing w:line="240" w:lineRule="auto"/>
      </w:pPr>
      <w:r>
        <w:separator/>
      </w:r>
    </w:p>
  </w:endnote>
  <w:endnote w:type="continuationSeparator" w:id="0">
    <w:p w14:paraId="76C300CC" w14:textId="77777777" w:rsidR="008A5379" w:rsidRDefault="008A5379" w:rsidP="00D57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53280" w14:textId="77777777" w:rsidR="008A5379" w:rsidRDefault="008A5379" w:rsidP="00D57FA1">
      <w:pPr>
        <w:spacing w:line="240" w:lineRule="auto"/>
      </w:pPr>
      <w:r>
        <w:separator/>
      </w:r>
    </w:p>
  </w:footnote>
  <w:footnote w:type="continuationSeparator" w:id="0">
    <w:p w14:paraId="3081DAA2" w14:textId="77777777" w:rsidR="008A5379" w:rsidRDefault="008A5379" w:rsidP="00D57F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D824FB"/>
    <w:multiLevelType w:val="hybridMultilevel"/>
    <w:tmpl w:val="7C008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3A54D4B"/>
    <w:multiLevelType w:val="hybridMultilevel"/>
    <w:tmpl w:val="5DC0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12526"/>
    <w:multiLevelType w:val="hybridMultilevel"/>
    <w:tmpl w:val="8F96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C24E6"/>
    <w:rsid w:val="001D1B23"/>
    <w:rsid w:val="001F25AF"/>
    <w:rsid w:val="002B7B2A"/>
    <w:rsid w:val="002C50EE"/>
    <w:rsid w:val="002E46C4"/>
    <w:rsid w:val="00391B5C"/>
    <w:rsid w:val="003E3126"/>
    <w:rsid w:val="00487ADB"/>
    <w:rsid w:val="00517A5B"/>
    <w:rsid w:val="00593A00"/>
    <w:rsid w:val="006158A1"/>
    <w:rsid w:val="00617B1F"/>
    <w:rsid w:val="00672487"/>
    <w:rsid w:val="00672600"/>
    <w:rsid w:val="00681D4A"/>
    <w:rsid w:val="00685882"/>
    <w:rsid w:val="00814073"/>
    <w:rsid w:val="00826F0D"/>
    <w:rsid w:val="008A5379"/>
    <w:rsid w:val="008C70A2"/>
    <w:rsid w:val="009773E4"/>
    <w:rsid w:val="00A20351"/>
    <w:rsid w:val="00AE2107"/>
    <w:rsid w:val="00B26507"/>
    <w:rsid w:val="00B275A8"/>
    <w:rsid w:val="00BF0E36"/>
    <w:rsid w:val="00BF2600"/>
    <w:rsid w:val="00C33464"/>
    <w:rsid w:val="00C87E90"/>
    <w:rsid w:val="00D57FA1"/>
    <w:rsid w:val="00F37617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984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07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B2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F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57F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d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4579</Words>
  <Characters>26106</Characters>
  <Application>Microsoft Office Word</Application>
  <DocSecurity>0</DocSecurity>
  <Lines>217</Lines>
  <Paragraphs>61</Paragraphs>
  <ScaleCrop>false</ScaleCrop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2021-04-09T19:04:00Z</dcterms:created>
  <dcterms:modified xsi:type="dcterms:W3CDTF">2021-07-27T08:30:00Z</dcterms:modified>
</cp:coreProperties>
</file>