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7A328C" w14:textId="16329281" w:rsidR="002C50EE" w:rsidRDefault="002C50EE" w:rsidP="002C50EE">
      <w:pPr>
        <w:pStyle w:val="Heading1"/>
        <w:jc w:val="center"/>
      </w:pPr>
      <w:bookmarkStart w:id="0" w:name="_Hlk63124480"/>
      <w:r>
        <w:t>КРАТКА ХАРАКТЕРИСТИКА НА ПРОДУКТА</w:t>
      </w:r>
    </w:p>
    <w:p w14:paraId="3B239815" w14:textId="2EEF7405" w:rsidR="00AA23EC" w:rsidRDefault="00DD466D" w:rsidP="00DD466D">
      <w:pPr>
        <w:pStyle w:val="Heading1"/>
      </w:pPr>
      <w:r>
        <w:t>1.ИМЕ НА ЛЕКАРСТВЕНИЯ ПРОДУКТ</w:t>
      </w:r>
    </w:p>
    <w:p w14:paraId="3342B39E" w14:textId="20F17909" w:rsidR="00AE72D2" w:rsidRDefault="00AE72D2" w:rsidP="00AE72D2"/>
    <w:p w14:paraId="3F19ACA5" w14:textId="77777777" w:rsidR="00AE72D2" w:rsidRPr="00AE72D2" w:rsidRDefault="00AE72D2" w:rsidP="00AE72D2">
      <w:pPr>
        <w:rPr>
          <w:sz w:val="24"/>
          <w:szCs w:val="24"/>
        </w:rPr>
      </w:pPr>
      <w:r w:rsidRPr="00AE72D2">
        <w:rPr>
          <w:lang w:eastAsia="bg-BG"/>
        </w:rPr>
        <w:t xml:space="preserve">Сиофор 1000 </w:t>
      </w:r>
      <w:r w:rsidRPr="00AE72D2">
        <w:rPr>
          <w:lang w:val="en-US"/>
        </w:rPr>
        <w:t>mg</w:t>
      </w:r>
      <w:r w:rsidRPr="00AE72D2">
        <w:t xml:space="preserve"> </w:t>
      </w:r>
      <w:r w:rsidRPr="00AE72D2">
        <w:rPr>
          <w:lang w:eastAsia="bg-BG"/>
        </w:rPr>
        <w:t>филмирани таблетки</w:t>
      </w:r>
    </w:p>
    <w:p w14:paraId="57011CBE" w14:textId="77777777" w:rsidR="00AE72D2" w:rsidRPr="00AE72D2" w:rsidRDefault="00AE72D2" w:rsidP="00AE72D2">
      <w:pPr>
        <w:rPr>
          <w:sz w:val="24"/>
          <w:szCs w:val="24"/>
        </w:rPr>
      </w:pPr>
      <w:proofErr w:type="spellStart"/>
      <w:r w:rsidRPr="00AE72D2">
        <w:rPr>
          <w:lang w:val="en-US"/>
        </w:rPr>
        <w:t>Siofor</w:t>
      </w:r>
      <w:proofErr w:type="spellEnd"/>
      <w:r w:rsidRPr="00AE72D2">
        <w:t xml:space="preserve"> </w:t>
      </w:r>
      <w:r w:rsidRPr="00AE72D2">
        <w:rPr>
          <w:lang w:eastAsia="bg-BG"/>
        </w:rPr>
        <w:t xml:space="preserve">1000 </w:t>
      </w:r>
      <w:r w:rsidRPr="00AE72D2">
        <w:rPr>
          <w:lang w:val="en-US"/>
        </w:rPr>
        <w:t>mg</w:t>
      </w:r>
      <w:r w:rsidRPr="00AE72D2">
        <w:t xml:space="preserve"> </w:t>
      </w:r>
      <w:r w:rsidRPr="00AE72D2">
        <w:rPr>
          <w:lang w:val="en-US"/>
        </w:rPr>
        <w:t>film</w:t>
      </w:r>
      <w:r w:rsidRPr="00AE72D2">
        <w:t>-</w:t>
      </w:r>
      <w:r w:rsidRPr="00AE72D2">
        <w:rPr>
          <w:lang w:val="en-US"/>
        </w:rPr>
        <w:t>coated</w:t>
      </w:r>
      <w:r w:rsidRPr="00AE72D2">
        <w:t xml:space="preserve"> </w:t>
      </w:r>
      <w:r w:rsidRPr="00AE72D2">
        <w:rPr>
          <w:lang w:val="en-US"/>
        </w:rPr>
        <w:t>tablets</w:t>
      </w:r>
    </w:p>
    <w:p w14:paraId="6ABD106E" w14:textId="77777777" w:rsidR="00AE72D2" w:rsidRPr="00AE72D2" w:rsidRDefault="00AE72D2" w:rsidP="00AE72D2"/>
    <w:p w14:paraId="0A368469" w14:textId="60B886F4" w:rsidR="00C0049F" w:rsidRDefault="00DD466D" w:rsidP="009F1313">
      <w:pPr>
        <w:pStyle w:val="Heading1"/>
      </w:pPr>
      <w:r>
        <w:t>2. КАЧЕСТВЕН И КОЛИЧЕСТВЕН СЪСТАВ</w:t>
      </w:r>
    </w:p>
    <w:p w14:paraId="221E27FE" w14:textId="79F0FD95" w:rsidR="00AE72D2" w:rsidRDefault="00AE72D2" w:rsidP="00AE72D2"/>
    <w:p w14:paraId="7A00B246" w14:textId="77777777" w:rsidR="00AE72D2" w:rsidRPr="00AE72D2" w:rsidRDefault="00AE72D2" w:rsidP="00AE72D2">
      <w:pPr>
        <w:rPr>
          <w:sz w:val="24"/>
          <w:szCs w:val="24"/>
        </w:rPr>
      </w:pPr>
      <w:r w:rsidRPr="00AE72D2">
        <w:rPr>
          <w:lang w:eastAsia="bg-BG"/>
        </w:rPr>
        <w:t xml:space="preserve">Една филмирана таблетка съдържа 1000 </w:t>
      </w:r>
      <w:r w:rsidRPr="00AE72D2">
        <w:rPr>
          <w:lang w:val="en-US"/>
        </w:rPr>
        <w:t>mg</w:t>
      </w:r>
      <w:r w:rsidRPr="00AE72D2">
        <w:t xml:space="preserve"> </w:t>
      </w:r>
      <w:r w:rsidRPr="00AE72D2">
        <w:rPr>
          <w:lang w:eastAsia="bg-BG"/>
        </w:rPr>
        <w:t xml:space="preserve">метформинов хидрохлорид </w:t>
      </w:r>
      <w:r w:rsidRPr="00AE72D2">
        <w:t>(</w:t>
      </w:r>
      <w:r w:rsidRPr="00AE72D2">
        <w:rPr>
          <w:lang w:val="en-US"/>
        </w:rPr>
        <w:t>metformin</w:t>
      </w:r>
      <w:r w:rsidRPr="00AE72D2">
        <w:t xml:space="preserve"> </w:t>
      </w:r>
      <w:r w:rsidRPr="00AE72D2">
        <w:rPr>
          <w:lang w:val="en-US"/>
        </w:rPr>
        <w:t>hydrochloride</w:t>
      </w:r>
      <w:r w:rsidRPr="00AE72D2">
        <w:t xml:space="preserve">), </w:t>
      </w:r>
      <w:r w:rsidRPr="00AE72D2">
        <w:rPr>
          <w:lang w:eastAsia="bg-BG"/>
        </w:rPr>
        <w:t xml:space="preserve">еквивалентен на 780 </w:t>
      </w:r>
      <w:r w:rsidRPr="00AE72D2">
        <w:rPr>
          <w:lang w:val="en-US"/>
        </w:rPr>
        <w:t>mg</w:t>
      </w:r>
      <w:r w:rsidRPr="00AE72D2">
        <w:t xml:space="preserve"> </w:t>
      </w:r>
      <w:r w:rsidRPr="00AE72D2">
        <w:rPr>
          <w:lang w:eastAsia="bg-BG"/>
        </w:rPr>
        <w:t xml:space="preserve">метформин </w:t>
      </w:r>
      <w:r w:rsidRPr="00AE72D2">
        <w:t>(</w:t>
      </w:r>
      <w:r w:rsidRPr="00AE72D2">
        <w:rPr>
          <w:lang w:val="en-US"/>
        </w:rPr>
        <w:t>metformin</w:t>
      </w:r>
      <w:r w:rsidRPr="00AE72D2">
        <w:t xml:space="preserve">) </w:t>
      </w:r>
      <w:r w:rsidRPr="00AE72D2">
        <w:rPr>
          <w:lang w:eastAsia="bg-BG"/>
        </w:rPr>
        <w:t>във вид на основа.</w:t>
      </w:r>
    </w:p>
    <w:p w14:paraId="2D3D33D1" w14:textId="77777777" w:rsidR="00AE72D2" w:rsidRPr="00AE72D2" w:rsidRDefault="00AE72D2" w:rsidP="00AE72D2"/>
    <w:p w14:paraId="614984C4" w14:textId="07C433A0" w:rsidR="008A6AF2" w:rsidRDefault="00DD466D" w:rsidP="002C50EE">
      <w:pPr>
        <w:pStyle w:val="Heading1"/>
      </w:pPr>
      <w:r>
        <w:t>3. ЛЕКАРСТВЕНА ФОРМА</w:t>
      </w:r>
    </w:p>
    <w:p w14:paraId="0CFD2EE9" w14:textId="67FD5372" w:rsidR="00AE72D2" w:rsidRDefault="00AE72D2" w:rsidP="00AE72D2"/>
    <w:p w14:paraId="4810786C" w14:textId="77777777" w:rsidR="00AE72D2" w:rsidRPr="00AE72D2" w:rsidRDefault="00AE72D2" w:rsidP="00AE72D2">
      <w:pPr>
        <w:rPr>
          <w:sz w:val="24"/>
          <w:szCs w:val="24"/>
        </w:rPr>
      </w:pPr>
      <w:r w:rsidRPr="00AE72D2">
        <w:rPr>
          <w:lang w:eastAsia="bg-BG"/>
        </w:rPr>
        <w:t>Филмирана таблетка.</w:t>
      </w:r>
    </w:p>
    <w:p w14:paraId="3AE8A4E5" w14:textId="77777777" w:rsidR="00AE72D2" w:rsidRPr="00AE72D2" w:rsidRDefault="00AE72D2" w:rsidP="00AE72D2">
      <w:pPr>
        <w:rPr>
          <w:sz w:val="24"/>
          <w:szCs w:val="24"/>
        </w:rPr>
      </w:pPr>
      <w:r w:rsidRPr="00AE72D2">
        <w:rPr>
          <w:lang w:eastAsia="bg-BG"/>
        </w:rPr>
        <w:t xml:space="preserve">Бяла, двойно изпъкнала, продълговата филмирана таблетка със скосяване </w:t>
      </w:r>
      <w:r w:rsidRPr="00AE72D2">
        <w:rPr>
          <w:lang w:val="ru-RU"/>
        </w:rPr>
        <w:t>(</w:t>
      </w:r>
      <w:r w:rsidRPr="00AE72D2">
        <w:rPr>
          <w:lang w:val="en-US"/>
        </w:rPr>
        <w:t>snap</w:t>
      </w:r>
      <w:r w:rsidRPr="00AE72D2">
        <w:rPr>
          <w:lang w:val="ru-RU"/>
        </w:rPr>
        <w:t>-</w:t>
      </w:r>
      <w:r w:rsidRPr="00AE72D2">
        <w:rPr>
          <w:lang w:val="en-US"/>
        </w:rPr>
        <w:t>tab</w:t>
      </w:r>
      <w:r w:rsidRPr="00AE72D2">
        <w:rPr>
          <w:lang w:val="ru-RU"/>
        </w:rPr>
        <w:t xml:space="preserve">) </w:t>
      </w:r>
      <w:r w:rsidRPr="00AE72D2">
        <w:rPr>
          <w:lang w:eastAsia="bg-BG"/>
        </w:rPr>
        <w:t>от едната страна, улесняващо разделянето, и с делителна черта от другата страна.</w:t>
      </w:r>
    </w:p>
    <w:p w14:paraId="7C771C18" w14:textId="0A0AC0FB" w:rsidR="00AE72D2" w:rsidRPr="00AE72D2" w:rsidRDefault="00AE72D2" w:rsidP="00AE72D2">
      <w:r w:rsidRPr="00AE72D2">
        <w:rPr>
          <w:lang w:eastAsia="bg-BG"/>
        </w:rPr>
        <w:t>Таблетката може да бъде разделена на две равни дози.</w:t>
      </w:r>
    </w:p>
    <w:p w14:paraId="490FC2C4" w14:textId="32682B15" w:rsidR="002C50EE" w:rsidRDefault="002C50EE" w:rsidP="002C50EE">
      <w:pPr>
        <w:pStyle w:val="Heading1"/>
      </w:pPr>
      <w:r>
        <w:t>4. КЛИНИЧНИ ДАННИ</w:t>
      </w:r>
    </w:p>
    <w:p w14:paraId="754A29C8" w14:textId="34304510" w:rsidR="00C0049F" w:rsidRDefault="002C50EE" w:rsidP="009F1313">
      <w:pPr>
        <w:pStyle w:val="Heading2"/>
      </w:pPr>
      <w:r>
        <w:t>4.1. Терапевтични показания</w:t>
      </w:r>
    </w:p>
    <w:p w14:paraId="1A864943" w14:textId="599A2437" w:rsidR="00395555" w:rsidRDefault="00395555" w:rsidP="00395555"/>
    <w:p w14:paraId="6CB1A6D1" w14:textId="77777777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>Лечение на тип 2 захарен диабет, особено при пациенти с наднормено тегло, ако диетата и физическите упражнение не водят до адекватен гликемичен контрол.</w:t>
      </w:r>
    </w:p>
    <w:p w14:paraId="7659878C" w14:textId="77777777" w:rsidR="00AE72D2" w:rsidRPr="00AE72D2" w:rsidRDefault="00AE72D2" w:rsidP="00AE72D2">
      <w:pPr>
        <w:pStyle w:val="ListParagraph"/>
        <w:numPr>
          <w:ilvl w:val="0"/>
          <w:numId w:val="32"/>
        </w:numPr>
        <w:spacing w:line="240" w:lineRule="auto"/>
        <w:rPr>
          <w:rFonts w:eastAsia="Times New Roman" w:cs="Arial"/>
          <w:color w:val="000000"/>
          <w:szCs w:val="20"/>
          <w:lang w:eastAsia="bg-BG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 xml:space="preserve">При възрастни Сиофор 1000 </w:t>
      </w:r>
      <w:r w:rsidRPr="00AE72D2">
        <w:rPr>
          <w:rFonts w:eastAsia="Times New Roman" w:cs="Arial"/>
          <w:color w:val="000000"/>
          <w:szCs w:val="20"/>
          <w:lang w:val="en-US"/>
        </w:rPr>
        <w:t>mg</w:t>
      </w:r>
      <w:r w:rsidRPr="00AE72D2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AE72D2">
        <w:rPr>
          <w:rFonts w:eastAsia="Times New Roman" w:cs="Arial"/>
          <w:color w:val="000000"/>
          <w:szCs w:val="20"/>
          <w:lang w:eastAsia="bg-BG"/>
        </w:rPr>
        <w:t>може да се използва като монотерапия или в комбинация с други перорални антидиабетни лекарства или инсулин.</w:t>
      </w:r>
    </w:p>
    <w:p w14:paraId="63B20E27" w14:textId="77777777" w:rsidR="00AE72D2" w:rsidRPr="00AE72D2" w:rsidRDefault="00AE72D2" w:rsidP="00AE72D2">
      <w:pPr>
        <w:pStyle w:val="ListParagraph"/>
        <w:numPr>
          <w:ilvl w:val="0"/>
          <w:numId w:val="32"/>
        </w:numPr>
        <w:spacing w:line="240" w:lineRule="auto"/>
        <w:rPr>
          <w:rFonts w:eastAsia="Times New Roman" w:cs="Arial"/>
          <w:color w:val="000000"/>
          <w:szCs w:val="20"/>
          <w:lang w:eastAsia="bg-BG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 xml:space="preserve">При деца над 10-годишна възраст и юноши Сиофор 1000 </w:t>
      </w:r>
      <w:r w:rsidRPr="00AE72D2">
        <w:rPr>
          <w:rFonts w:eastAsia="Times New Roman" w:cs="Arial"/>
          <w:color w:val="000000"/>
          <w:szCs w:val="20"/>
          <w:lang w:val="en-US"/>
        </w:rPr>
        <w:t>mg</w:t>
      </w:r>
      <w:r w:rsidRPr="00AE72D2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AE72D2">
        <w:rPr>
          <w:rFonts w:eastAsia="Times New Roman" w:cs="Arial"/>
          <w:color w:val="000000"/>
          <w:szCs w:val="20"/>
          <w:lang w:eastAsia="bg-BG"/>
        </w:rPr>
        <w:t>може да се използва като монотерапия или в комбинация с инсулин.</w:t>
      </w:r>
    </w:p>
    <w:p w14:paraId="6F0C19B3" w14:textId="77777777" w:rsidR="00AE72D2" w:rsidRPr="00AE72D2" w:rsidRDefault="00AE72D2" w:rsidP="00AE72D2">
      <w:pPr>
        <w:rPr>
          <w:rFonts w:eastAsia="Times New Roman" w:cs="Arial"/>
          <w:color w:val="000000"/>
          <w:szCs w:val="20"/>
          <w:lang w:eastAsia="bg-BG"/>
        </w:rPr>
      </w:pPr>
    </w:p>
    <w:p w14:paraId="096C3351" w14:textId="471338EA" w:rsidR="00AE72D2" w:rsidRDefault="00AE72D2" w:rsidP="00AE72D2">
      <w:pPr>
        <w:rPr>
          <w:rFonts w:eastAsia="Times New Roman" w:cs="Arial"/>
          <w:color w:val="000000"/>
          <w:szCs w:val="20"/>
          <w:lang w:eastAsia="bg-BG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>Установено е намаление на усложненията на диабета при възрастни пациенти с наднормено тегло и диабет тип 2 при лечение с метформинов хидрохлорид като първо средство на избор след неуспех от диетата (вж. т. 5.1).</w:t>
      </w:r>
    </w:p>
    <w:p w14:paraId="477B3895" w14:textId="77777777" w:rsidR="00AE72D2" w:rsidRPr="00AE72D2" w:rsidRDefault="00AE72D2" w:rsidP="00AE72D2">
      <w:pPr>
        <w:rPr>
          <w:rFonts w:cs="Arial"/>
          <w:sz w:val="24"/>
        </w:rPr>
      </w:pPr>
    </w:p>
    <w:p w14:paraId="7C0CA5EB" w14:textId="433C7B0A" w:rsidR="00C0049F" w:rsidRDefault="002C50EE" w:rsidP="009F1313">
      <w:pPr>
        <w:pStyle w:val="Heading2"/>
      </w:pPr>
      <w:r>
        <w:t>4.2. Дозировка и начин на приложение</w:t>
      </w:r>
    </w:p>
    <w:p w14:paraId="02490A0D" w14:textId="5D369939" w:rsidR="00AE72D2" w:rsidRDefault="00AE72D2" w:rsidP="00AE72D2"/>
    <w:p w14:paraId="0661F377" w14:textId="77777777" w:rsidR="00AE72D2" w:rsidRPr="00AE72D2" w:rsidRDefault="00AE72D2" w:rsidP="00AE72D2">
      <w:pPr>
        <w:pStyle w:val="Heading3"/>
        <w:rPr>
          <w:rFonts w:eastAsia="Times New Roman"/>
          <w:sz w:val="28"/>
          <w:u w:val="single"/>
        </w:rPr>
      </w:pPr>
      <w:r w:rsidRPr="00AE72D2">
        <w:rPr>
          <w:rFonts w:eastAsia="Times New Roman"/>
          <w:u w:val="single"/>
          <w:lang w:eastAsia="bg-BG"/>
        </w:rPr>
        <w:t>Дозировка</w:t>
      </w:r>
    </w:p>
    <w:p w14:paraId="37C72DF3" w14:textId="77777777" w:rsidR="00AE72D2" w:rsidRPr="00AE72D2" w:rsidRDefault="00AE72D2" w:rsidP="00AE72D2">
      <w:pPr>
        <w:spacing w:line="240" w:lineRule="auto"/>
        <w:rPr>
          <w:rFonts w:eastAsia="Times New Roman" w:cs="Arial"/>
          <w:i/>
          <w:iCs/>
          <w:color w:val="000000"/>
          <w:szCs w:val="20"/>
          <w:lang w:eastAsia="bg-BG"/>
        </w:rPr>
      </w:pPr>
    </w:p>
    <w:p w14:paraId="76C5DCBE" w14:textId="7F6A9AF2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i/>
          <w:iCs/>
          <w:color w:val="000000"/>
          <w:szCs w:val="20"/>
          <w:lang w:eastAsia="bg-BG"/>
        </w:rPr>
        <w:t xml:space="preserve">Възрастни с нормална бъбречна функция </w:t>
      </w:r>
      <w:r w:rsidRPr="00AE72D2">
        <w:rPr>
          <w:rFonts w:eastAsia="Times New Roman" w:cs="Arial"/>
          <w:i/>
          <w:iCs/>
          <w:color w:val="000000"/>
          <w:szCs w:val="20"/>
          <w:lang w:val="ru-RU"/>
        </w:rPr>
        <w:t>(</w:t>
      </w:r>
      <w:r w:rsidRPr="00AE72D2">
        <w:rPr>
          <w:rFonts w:eastAsia="Times New Roman" w:cs="Arial"/>
          <w:i/>
          <w:iCs/>
          <w:color w:val="000000"/>
          <w:szCs w:val="20"/>
          <w:lang w:val="en-US"/>
        </w:rPr>
        <w:t>GFR</w:t>
      </w:r>
      <w:r w:rsidRPr="00AE72D2">
        <w:rPr>
          <w:rFonts w:eastAsia="Times New Roman" w:cs="Arial"/>
          <w:i/>
          <w:iCs/>
          <w:color w:val="000000"/>
          <w:szCs w:val="20"/>
          <w:lang w:val="ru-RU"/>
        </w:rPr>
        <w:t xml:space="preserve">&gt; </w:t>
      </w:r>
      <w:r w:rsidRPr="00AE72D2">
        <w:rPr>
          <w:rFonts w:eastAsia="Times New Roman" w:cs="Arial"/>
          <w:i/>
          <w:iCs/>
          <w:color w:val="000000"/>
          <w:szCs w:val="20"/>
          <w:lang w:eastAsia="bg-BG"/>
        </w:rPr>
        <w:t xml:space="preserve">90 </w:t>
      </w:r>
      <w:r w:rsidRPr="00AE72D2">
        <w:rPr>
          <w:rFonts w:eastAsia="Times New Roman" w:cs="Arial"/>
          <w:i/>
          <w:iCs/>
          <w:color w:val="000000"/>
          <w:szCs w:val="20"/>
          <w:lang w:val="en-US"/>
        </w:rPr>
        <w:t>ml</w:t>
      </w:r>
      <w:r w:rsidRPr="00AE72D2">
        <w:rPr>
          <w:rFonts w:eastAsia="Times New Roman" w:cs="Arial"/>
          <w:i/>
          <w:iCs/>
          <w:color w:val="000000"/>
          <w:szCs w:val="20"/>
          <w:lang w:eastAsia="bg-BG"/>
        </w:rPr>
        <w:t>/мин)</w:t>
      </w:r>
    </w:p>
    <w:p w14:paraId="4B0AFBCC" w14:textId="77777777" w:rsidR="00AE72D2" w:rsidRPr="00AE72D2" w:rsidRDefault="00AE72D2" w:rsidP="00AE72D2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1FB24DED" w14:textId="6E8DA54A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>Монотерапия и комбинация с други перорални антидиабетни лекарства</w:t>
      </w:r>
    </w:p>
    <w:p w14:paraId="16643BF7" w14:textId="77777777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 xml:space="preserve">Обичайната начална доза е 500 </w:t>
      </w:r>
      <w:r w:rsidRPr="00AE72D2">
        <w:rPr>
          <w:rFonts w:eastAsia="Times New Roman" w:cs="Arial"/>
          <w:color w:val="000000"/>
          <w:szCs w:val="20"/>
          <w:lang w:val="en-US"/>
        </w:rPr>
        <w:t>mg</w:t>
      </w:r>
      <w:r w:rsidRPr="00AE72D2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AE72D2">
        <w:rPr>
          <w:rFonts w:eastAsia="Times New Roman" w:cs="Arial"/>
          <w:color w:val="000000"/>
          <w:szCs w:val="20"/>
          <w:lang w:eastAsia="bg-BG"/>
        </w:rPr>
        <w:t xml:space="preserve">или 850 </w:t>
      </w:r>
      <w:r w:rsidRPr="00AE72D2">
        <w:rPr>
          <w:rFonts w:eastAsia="Times New Roman" w:cs="Arial"/>
          <w:color w:val="000000"/>
          <w:szCs w:val="20"/>
          <w:lang w:val="en-US"/>
        </w:rPr>
        <w:t>mg</w:t>
      </w:r>
      <w:r w:rsidRPr="00AE72D2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AE72D2">
        <w:rPr>
          <w:rFonts w:eastAsia="Times New Roman" w:cs="Arial"/>
          <w:color w:val="000000"/>
          <w:szCs w:val="20"/>
          <w:lang w:eastAsia="bg-BG"/>
        </w:rPr>
        <w:t>метформинов хидрохлорид 2 или 3 пъти дневно, прилаган по време или след хранене.</w:t>
      </w:r>
    </w:p>
    <w:p w14:paraId="1E5D356B" w14:textId="77777777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lastRenderedPageBreak/>
        <w:t xml:space="preserve">След 10-15 дни дозата трябва да се коригира в зависимост от измерените нива на кръвната захар. Постепенното повишение на дозата може да подобри стомашно-чревната поносимост. При пациенти, приемащи високи дози метформинов хидрохлорид (2 или 3 </w:t>
      </w:r>
      <w:r w:rsidRPr="00AE72D2">
        <w:rPr>
          <w:rFonts w:eastAsia="Times New Roman" w:cs="Arial"/>
          <w:color w:val="000000"/>
          <w:szCs w:val="20"/>
          <w:lang w:val="en-US"/>
        </w:rPr>
        <w:t>g</w:t>
      </w:r>
      <w:r w:rsidRPr="00AE72D2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AE72D2">
        <w:rPr>
          <w:rFonts w:eastAsia="Times New Roman" w:cs="Arial"/>
          <w:color w:val="000000"/>
          <w:szCs w:val="20"/>
          <w:lang w:eastAsia="bg-BG"/>
        </w:rPr>
        <w:t>ма ден), е</w:t>
      </w:r>
    </w:p>
    <w:p w14:paraId="12A10B88" w14:textId="6F3A9CD0" w:rsidR="00AE72D2" w:rsidRPr="00AE72D2" w:rsidRDefault="00AE72D2" w:rsidP="00AE72D2">
      <w:pPr>
        <w:rPr>
          <w:rFonts w:eastAsia="Times New Roman" w:cs="Arial"/>
          <w:color w:val="000000"/>
          <w:szCs w:val="20"/>
          <w:lang w:val="ru-RU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>възможно да се заменят две филмирани таблетки метформинов хидрохлорид 500</w:t>
      </w:r>
      <w:r w:rsidRPr="00AE72D2">
        <w:rPr>
          <w:rFonts w:eastAsia="Times New Roman" w:cs="Arial"/>
          <w:color w:val="000000"/>
          <w:szCs w:val="20"/>
          <w:lang w:val="en-US"/>
        </w:rPr>
        <w:t>mg</w:t>
      </w:r>
      <w:r w:rsidRPr="00AE72D2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AE72D2">
        <w:rPr>
          <w:rFonts w:eastAsia="Times New Roman" w:cs="Arial"/>
          <w:color w:val="000000"/>
          <w:szCs w:val="20"/>
          <w:lang w:eastAsia="bg-BG"/>
        </w:rPr>
        <w:t xml:space="preserve">с една филмирана таблетка Сиофор 1000 </w:t>
      </w:r>
      <w:r w:rsidRPr="00AE72D2">
        <w:rPr>
          <w:rFonts w:eastAsia="Times New Roman" w:cs="Arial"/>
          <w:color w:val="000000"/>
          <w:szCs w:val="20"/>
          <w:lang w:val="en-US"/>
        </w:rPr>
        <w:t>mg</w:t>
      </w:r>
      <w:r w:rsidRPr="00AE72D2">
        <w:rPr>
          <w:rFonts w:eastAsia="Times New Roman" w:cs="Arial"/>
          <w:color w:val="000000"/>
          <w:szCs w:val="20"/>
          <w:lang w:val="ru-RU"/>
        </w:rPr>
        <w:t>.</w:t>
      </w:r>
    </w:p>
    <w:p w14:paraId="369EDA17" w14:textId="07216805" w:rsidR="00AE72D2" w:rsidRPr="00AE72D2" w:rsidRDefault="00AE72D2" w:rsidP="00AE72D2">
      <w:pPr>
        <w:rPr>
          <w:rFonts w:eastAsia="Times New Roman" w:cs="Arial"/>
          <w:color w:val="000000"/>
          <w:szCs w:val="20"/>
          <w:lang w:val="ru-RU"/>
        </w:rPr>
      </w:pPr>
    </w:p>
    <w:p w14:paraId="49354107" w14:textId="77777777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 xml:space="preserve">Максималната препоръчителна доза на метформинов хидрохлорид е </w:t>
      </w:r>
      <w:r w:rsidRPr="00AE72D2">
        <w:rPr>
          <w:rFonts w:eastAsia="Times New Roman" w:cs="Arial"/>
          <w:i/>
          <w:iCs/>
          <w:color w:val="000000"/>
          <w:szCs w:val="20"/>
          <w:lang w:eastAsia="bg-BG"/>
        </w:rPr>
        <w:t>3</w:t>
      </w:r>
      <w:r w:rsidRPr="00AE72D2">
        <w:rPr>
          <w:rFonts w:eastAsia="Times New Roman" w:cs="Arial"/>
          <w:color w:val="000000"/>
          <w:szCs w:val="20"/>
          <w:lang w:eastAsia="bg-BG"/>
        </w:rPr>
        <w:t xml:space="preserve"> </w:t>
      </w:r>
      <w:r w:rsidRPr="00AE72D2">
        <w:rPr>
          <w:rFonts w:eastAsia="Times New Roman" w:cs="Arial"/>
          <w:color w:val="000000"/>
          <w:szCs w:val="20"/>
          <w:lang w:val="en-US"/>
        </w:rPr>
        <w:t>g</w:t>
      </w:r>
      <w:r w:rsidRPr="00AE72D2">
        <w:rPr>
          <w:rFonts w:eastAsia="Times New Roman" w:cs="Arial"/>
          <w:color w:val="000000"/>
          <w:szCs w:val="20"/>
          <w:lang w:eastAsia="bg-BG"/>
        </w:rPr>
        <w:t>/ден, разделена на три приема.</w:t>
      </w:r>
    </w:p>
    <w:p w14:paraId="1B0C7500" w14:textId="77777777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>Ако се предвижда преминаване от друго перорално антидиабетно лекарство, трябва да се преустанови приемът на другото лекарство и да се започне метформинов хидрохлорид в гореспоменатата доза.</w:t>
      </w:r>
    </w:p>
    <w:p w14:paraId="473C8E9D" w14:textId="77777777" w:rsidR="00AE72D2" w:rsidRPr="00AE72D2" w:rsidRDefault="00AE72D2" w:rsidP="00AE72D2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47F1311B" w14:textId="546BD0F8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>Комбинация е инсулин</w:t>
      </w:r>
    </w:p>
    <w:p w14:paraId="0AF5A3D1" w14:textId="77777777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 xml:space="preserve">Метформинов хидрохлорид и инсулин могат да се използват като комбинирана терапия за постигане на по-добър гликемичен контрол. Метформинов хидрохлорид се прилага в обичайната начална доза 500 </w:t>
      </w:r>
      <w:r w:rsidRPr="00AE72D2">
        <w:rPr>
          <w:rFonts w:eastAsia="Times New Roman" w:cs="Arial"/>
          <w:color w:val="000000"/>
          <w:szCs w:val="20"/>
          <w:lang w:val="en-US"/>
        </w:rPr>
        <w:t>mg</w:t>
      </w:r>
      <w:r w:rsidRPr="00AE72D2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AE72D2">
        <w:rPr>
          <w:rFonts w:eastAsia="Times New Roman" w:cs="Arial"/>
          <w:color w:val="000000"/>
          <w:szCs w:val="20"/>
          <w:lang w:eastAsia="bg-BG"/>
        </w:rPr>
        <w:t xml:space="preserve">или 850 </w:t>
      </w:r>
      <w:r w:rsidRPr="00AE72D2">
        <w:rPr>
          <w:rFonts w:eastAsia="Times New Roman" w:cs="Arial"/>
          <w:color w:val="000000"/>
          <w:szCs w:val="20"/>
          <w:lang w:val="en-US"/>
        </w:rPr>
        <w:t>mg</w:t>
      </w:r>
      <w:r w:rsidRPr="00AE72D2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AE72D2">
        <w:rPr>
          <w:rFonts w:eastAsia="Times New Roman" w:cs="Arial"/>
          <w:color w:val="000000"/>
          <w:szCs w:val="20"/>
          <w:lang w:eastAsia="bg-BG"/>
        </w:rPr>
        <w:t>2-3 пъти дневно, докато дозата на инсулина се коригира според измерените нива на кръвната захар.</w:t>
      </w:r>
    </w:p>
    <w:p w14:paraId="0274C30F" w14:textId="77777777" w:rsidR="00AE72D2" w:rsidRPr="00AE72D2" w:rsidRDefault="00AE72D2" w:rsidP="00AE72D2">
      <w:pPr>
        <w:spacing w:line="240" w:lineRule="auto"/>
        <w:rPr>
          <w:rFonts w:eastAsia="Times New Roman" w:cs="Arial"/>
          <w:i/>
          <w:iCs/>
          <w:color w:val="000000"/>
          <w:szCs w:val="20"/>
          <w:lang w:eastAsia="bg-BG"/>
        </w:rPr>
      </w:pPr>
    </w:p>
    <w:p w14:paraId="0C9A3596" w14:textId="5B5FBA23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i/>
          <w:iCs/>
          <w:color w:val="000000"/>
          <w:szCs w:val="20"/>
          <w:lang w:eastAsia="bg-BG"/>
        </w:rPr>
        <w:t>Старческа възраст</w:t>
      </w:r>
    </w:p>
    <w:p w14:paraId="130678DD" w14:textId="77777777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>Поради вероятността от намалена бъбречна функция при пациенти в старческа възраст, дозата на метформинов хидрохлорид трябва да бъде коригирана според бъбречната функция. Необходимо е редовно проследяване на бъбречната функция (вж. т. 4.4).</w:t>
      </w:r>
    </w:p>
    <w:p w14:paraId="452C9BBF" w14:textId="77777777" w:rsidR="00AE72D2" w:rsidRPr="00AE72D2" w:rsidRDefault="00AE72D2" w:rsidP="00AE72D2">
      <w:pPr>
        <w:spacing w:line="240" w:lineRule="auto"/>
        <w:rPr>
          <w:rFonts w:eastAsia="Times New Roman" w:cs="Arial"/>
          <w:i/>
          <w:iCs/>
          <w:color w:val="000000"/>
          <w:szCs w:val="20"/>
          <w:lang w:eastAsia="bg-BG"/>
        </w:rPr>
      </w:pPr>
    </w:p>
    <w:p w14:paraId="7A5760B1" w14:textId="05C0814A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i/>
          <w:iCs/>
          <w:color w:val="000000"/>
          <w:szCs w:val="20"/>
          <w:lang w:eastAsia="bg-BG"/>
        </w:rPr>
        <w:t>Бъбречно увреждане</w:t>
      </w:r>
    </w:p>
    <w:p w14:paraId="27A03C1E" w14:textId="04329562" w:rsidR="00AE72D2" w:rsidRDefault="00AE72D2" w:rsidP="00AE72D2">
      <w:pPr>
        <w:rPr>
          <w:rFonts w:eastAsia="Times New Roman" w:cs="Arial"/>
          <w:color w:val="000000"/>
          <w:szCs w:val="20"/>
          <w:lang w:eastAsia="bg-BG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 xml:space="preserve">Преди започване на лечение с продукти, съдържащи метформин, трябва да се направи оценка на </w:t>
      </w:r>
      <w:r w:rsidRPr="00AE72D2">
        <w:rPr>
          <w:rFonts w:eastAsia="Times New Roman" w:cs="Arial"/>
          <w:color w:val="000000"/>
          <w:szCs w:val="20"/>
          <w:lang w:val="en-US"/>
        </w:rPr>
        <w:t>GFR</w:t>
      </w:r>
      <w:r w:rsidRPr="00AE72D2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AE72D2">
        <w:rPr>
          <w:rFonts w:eastAsia="Times New Roman" w:cs="Arial"/>
          <w:color w:val="000000"/>
          <w:szCs w:val="20"/>
          <w:lang w:eastAsia="bg-BG"/>
        </w:rPr>
        <w:t>стойностите, а след това - поне веднъж годишно. При пациенти с повишен риск от по</w:t>
      </w:r>
      <w:r w:rsidRPr="00AE72D2">
        <w:rPr>
          <w:rFonts w:eastAsia="Times New Roman" w:cs="Arial"/>
          <w:color w:val="000000"/>
          <w:szCs w:val="20"/>
          <w:lang w:eastAsia="bg-BG"/>
        </w:rPr>
        <w:softHyphen/>
        <w:t>нататъшно прогресиране на бъбречно увреждане и при пациенти в старческа възраст трябва по- често да се прави оценка на бъбречната функция, например на всеки 3-6 месеца.</w:t>
      </w:r>
    </w:p>
    <w:p w14:paraId="239990D1" w14:textId="55556EF3" w:rsidR="00AE72D2" w:rsidRDefault="00AE72D2" w:rsidP="00AE72D2">
      <w:pPr>
        <w:rPr>
          <w:rFonts w:eastAsia="Times New Roman" w:cs="Arial"/>
          <w:color w:val="000000"/>
          <w:szCs w:val="20"/>
          <w:lang w:eastAsia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96"/>
        <w:gridCol w:w="3119"/>
        <w:gridCol w:w="3135"/>
      </w:tblGrid>
      <w:tr w:rsidR="00AE72D2" w14:paraId="32E7A382" w14:textId="77777777" w:rsidTr="00AE72D2">
        <w:tc>
          <w:tcPr>
            <w:tcW w:w="3192" w:type="dxa"/>
          </w:tcPr>
          <w:p w14:paraId="3758D0FE" w14:textId="0A1A9223" w:rsidR="00AE72D2" w:rsidRPr="00AE72D2" w:rsidRDefault="00AE72D2" w:rsidP="00AE72D2">
            <w:pPr>
              <w:rPr>
                <w:rFonts w:cs="Arial"/>
                <w:lang w:val="ru-RU"/>
              </w:rPr>
            </w:pPr>
            <w:r w:rsidRPr="00AE72D2">
              <w:rPr>
                <w:szCs w:val="20"/>
                <w:lang w:val="en-US"/>
              </w:rPr>
              <w:t>GFR ml</w:t>
            </w:r>
            <w:r w:rsidRPr="00AE72D2">
              <w:rPr>
                <w:szCs w:val="20"/>
              </w:rPr>
              <w:t>/мин</w:t>
            </w:r>
          </w:p>
        </w:tc>
        <w:tc>
          <w:tcPr>
            <w:tcW w:w="3192" w:type="dxa"/>
          </w:tcPr>
          <w:p w14:paraId="65566654" w14:textId="38650B07" w:rsidR="00AE72D2" w:rsidRPr="00AE72D2" w:rsidRDefault="00AE72D2" w:rsidP="00AE72D2">
            <w:pPr>
              <w:rPr>
                <w:rFonts w:cs="Arial"/>
                <w:lang w:val="ru-RU"/>
              </w:rPr>
            </w:pPr>
            <w:r w:rsidRPr="00AE72D2">
              <w:rPr>
                <w:szCs w:val="20"/>
              </w:rPr>
              <w:t>Обща максимална дневна доза (да се раздели на 2-3 дневни дози)</w:t>
            </w:r>
          </w:p>
        </w:tc>
        <w:tc>
          <w:tcPr>
            <w:tcW w:w="3192" w:type="dxa"/>
          </w:tcPr>
          <w:p w14:paraId="3EA09E59" w14:textId="7C5D9EFF" w:rsidR="00AE72D2" w:rsidRPr="00AE72D2" w:rsidRDefault="00AE72D2" w:rsidP="00AE72D2">
            <w:pPr>
              <w:rPr>
                <w:rFonts w:cs="Arial"/>
                <w:lang w:val="ru-RU"/>
              </w:rPr>
            </w:pPr>
            <w:r w:rsidRPr="00AE72D2">
              <w:rPr>
                <w:szCs w:val="20"/>
              </w:rPr>
              <w:t>Допълнителни съображения</w:t>
            </w:r>
          </w:p>
        </w:tc>
      </w:tr>
      <w:tr w:rsidR="00AE72D2" w14:paraId="742A3C2B" w14:textId="77777777" w:rsidTr="00AE72D2">
        <w:tc>
          <w:tcPr>
            <w:tcW w:w="3192" w:type="dxa"/>
          </w:tcPr>
          <w:p w14:paraId="7B7890A2" w14:textId="1764DBDE" w:rsidR="00AE72D2" w:rsidRPr="00AE72D2" w:rsidRDefault="00AE72D2" w:rsidP="00AE72D2">
            <w:pPr>
              <w:rPr>
                <w:rFonts w:cs="Arial"/>
                <w:lang w:val="ru-RU"/>
              </w:rPr>
            </w:pPr>
            <w:r w:rsidRPr="00AE72D2">
              <w:rPr>
                <w:szCs w:val="20"/>
              </w:rPr>
              <w:t>60-89</w:t>
            </w:r>
          </w:p>
        </w:tc>
        <w:tc>
          <w:tcPr>
            <w:tcW w:w="3192" w:type="dxa"/>
          </w:tcPr>
          <w:p w14:paraId="5B5191F5" w14:textId="1353A2B3" w:rsidR="00AE72D2" w:rsidRPr="00AE72D2" w:rsidRDefault="00AE72D2" w:rsidP="00AE72D2">
            <w:pPr>
              <w:rPr>
                <w:rFonts w:cs="Arial"/>
                <w:lang w:val="ru-RU"/>
              </w:rPr>
            </w:pPr>
            <w:r w:rsidRPr="00AE72D2">
              <w:rPr>
                <w:szCs w:val="20"/>
              </w:rPr>
              <w:t xml:space="preserve">3000 </w:t>
            </w:r>
            <w:r w:rsidRPr="00AE72D2">
              <w:rPr>
                <w:szCs w:val="20"/>
                <w:lang w:val="en-US"/>
              </w:rPr>
              <w:t>mg</w:t>
            </w:r>
          </w:p>
        </w:tc>
        <w:tc>
          <w:tcPr>
            <w:tcW w:w="3192" w:type="dxa"/>
          </w:tcPr>
          <w:p w14:paraId="63594EA0" w14:textId="2EA98E61" w:rsidR="00AE72D2" w:rsidRPr="00AE72D2" w:rsidRDefault="00AE72D2" w:rsidP="00AE72D2">
            <w:pPr>
              <w:rPr>
                <w:rFonts w:cs="Arial"/>
                <w:lang w:val="ru-RU"/>
              </w:rPr>
            </w:pPr>
            <w:r w:rsidRPr="00AE72D2">
              <w:rPr>
                <w:szCs w:val="20"/>
              </w:rPr>
              <w:t>Може да се обмисли понижаване на дозата във връзка с намаляването на бъбречната функция.</w:t>
            </w:r>
          </w:p>
        </w:tc>
      </w:tr>
      <w:tr w:rsidR="00AE72D2" w14:paraId="08F5CAE9" w14:textId="77777777" w:rsidTr="00AE72D2">
        <w:tc>
          <w:tcPr>
            <w:tcW w:w="3192" w:type="dxa"/>
          </w:tcPr>
          <w:p w14:paraId="13533AFB" w14:textId="0A9578B5" w:rsidR="00AE72D2" w:rsidRPr="00AE72D2" w:rsidRDefault="00AE72D2" w:rsidP="00AE72D2">
            <w:pPr>
              <w:rPr>
                <w:rFonts w:cs="Arial"/>
                <w:lang w:val="ru-RU"/>
              </w:rPr>
            </w:pPr>
            <w:r w:rsidRPr="00AE72D2">
              <w:rPr>
                <w:szCs w:val="20"/>
              </w:rPr>
              <w:t>45-59</w:t>
            </w:r>
          </w:p>
        </w:tc>
        <w:tc>
          <w:tcPr>
            <w:tcW w:w="3192" w:type="dxa"/>
          </w:tcPr>
          <w:p w14:paraId="7B0A5E4F" w14:textId="23447CC4" w:rsidR="00AE72D2" w:rsidRPr="00AE72D2" w:rsidRDefault="00AE72D2" w:rsidP="00AE72D2">
            <w:pPr>
              <w:rPr>
                <w:rFonts w:cs="Arial"/>
                <w:lang w:val="ru-RU"/>
              </w:rPr>
            </w:pPr>
            <w:r w:rsidRPr="00AE72D2">
              <w:rPr>
                <w:szCs w:val="20"/>
              </w:rPr>
              <w:t xml:space="preserve">2000 </w:t>
            </w:r>
            <w:r w:rsidRPr="00AE72D2">
              <w:rPr>
                <w:szCs w:val="20"/>
                <w:lang w:val="en-US"/>
              </w:rPr>
              <w:t>mg</w:t>
            </w:r>
          </w:p>
        </w:tc>
        <w:tc>
          <w:tcPr>
            <w:tcW w:w="3192" w:type="dxa"/>
            <w:vMerge w:val="restart"/>
          </w:tcPr>
          <w:p w14:paraId="57D10691" w14:textId="39C7EEE3" w:rsidR="00AE72D2" w:rsidRPr="00AE72D2" w:rsidRDefault="00AE72D2" w:rsidP="00AE72D2">
            <w:pPr>
              <w:rPr>
                <w:rFonts w:cs="Arial"/>
                <w:lang w:val="ru-RU"/>
              </w:rPr>
            </w:pPr>
            <w:r w:rsidRPr="00AE72D2">
              <w:rPr>
                <w:szCs w:val="20"/>
              </w:rPr>
              <w:t>Факторите, които могат да увеличат риска от лактатна ацидоза (вж. точка 4.4) трябва да бъдат преразгледани, преди да се обмисли започването на лечение с метформин. Началната доза е най-много половината от максималната доза.</w:t>
            </w:r>
          </w:p>
        </w:tc>
      </w:tr>
      <w:tr w:rsidR="00AE72D2" w14:paraId="2B1971CB" w14:textId="77777777" w:rsidTr="00AE72D2">
        <w:tc>
          <w:tcPr>
            <w:tcW w:w="3192" w:type="dxa"/>
          </w:tcPr>
          <w:p w14:paraId="58760524" w14:textId="157329D9" w:rsidR="00AE72D2" w:rsidRPr="00AE72D2" w:rsidRDefault="00AE72D2" w:rsidP="00AE72D2">
            <w:pPr>
              <w:rPr>
                <w:rFonts w:cs="Arial"/>
                <w:lang w:val="ru-RU"/>
              </w:rPr>
            </w:pPr>
            <w:r w:rsidRPr="00AE72D2">
              <w:rPr>
                <w:szCs w:val="20"/>
              </w:rPr>
              <w:t>30-44</w:t>
            </w:r>
          </w:p>
        </w:tc>
        <w:tc>
          <w:tcPr>
            <w:tcW w:w="3192" w:type="dxa"/>
          </w:tcPr>
          <w:p w14:paraId="42B00E45" w14:textId="7E19179C" w:rsidR="00AE72D2" w:rsidRPr="00AE72D2" w:rsidRDefault="00AE72D2" w:rsidP="00AE72D2">
            <w:pPr>
              <w:rPr>
                <w:rFonts w:cs="Arial"/>
                <w:lang w:val="ru-RU"/>
              </w:rPr>
            </w:pPr>
            <w:r w:rsidRPr="00AE72D2">
              <w:rPr>
                <w:szCs w:val="20"/>
              </w:rPr>
              <w:t xml:space="preserve">1000 </w:t>
            </w:r>
            <w:r w:rsidRPr="00AE72D2">
              <w:rPr>
                <w:szCs w:val="20"/>
                <w:lang w:val="en-US"/>
              </w:rPr>
              <w:t>mg</w:t>
            </w:r>
          </w:p>
        </w:tc>
        <w:tc>
          <w:tcPr>
            <w:tcW w:w="3192" w:type="dxa"/>
            <w:vMerge/>
          </w:tcPr>
          <w:p w14:paraId="77203EE3" w14:textId="77777777" w:rsidR="00AE72D2" w:rsidRPr="00AE72D2" w:rsidRDefault="00AE72D2" w:rsidP="00AE72D2">
            <w:pPr>
              <w:rPr>
                <w:rFonts w:cs="Arial"/>
                <w:lang w:val="ru-RU"/>
              </w:rPr>
            </w:pPr>
          </w:p>
        </w:tc>
      </w:tr>
      <w:tr w:rsidR="00AE72D2" w14:paraId="348E5300" w14:textId="77777777" w:rsidTr="00AE72D2">
        <w:tc>
          <w:tcPr>
            <w:tcW w:w="3192" w:type="dxa"/>
          </w:tcPr>
          <w:p w14:paraId="0A2F3ECF" w14:textId="23ABBB34" w:rsidR="00AE72D2" w:rsidRPr="00AE72D2" w:rsidRDefault="00AE72D2" w:rsidP="00AE72D2">
            <w:pPr>
              <w:rPr>
                <w:rFonts w:cs="Arial"/>
                <w:lang w:val="ru-RU"/>
              </w:rPr>
            </w:pPr>
            <w:r w:rsidRPr="00AE72D2">
              <w:rPr>
                <w:szCs w:val="20"/>
              </w:rPr>
              <w:lastRenderedPageBreak/>
              <w:t>&lt;30</w:t>
            </w:r>
          </w:p>
        </w:tc>
        <w:tc>
          <w:tcPr>
            <w:tcW w:w="3192" w:type="dxa"/>
          </w:tcPr>
          <w:p w14:paraId="5189384E" w14:textId="0E39735D" w:rsidR="00AE72D2" w:rsidRPr="00AE72D2" w:rsidRDefault="00AE72D2" w:rsidP="00AE72D2">
            <w:pPr>
              <w:rPr>
                <w:rFonts w:cs="Arial"/>
                <w:lang w:val="ru-RU"/>
              </w:rPr>
            </w:pPr>
            <w:r w:rsidRPr="00AE72D2">
              <w:rPr>
                <w:szCs w:val="20"/>
              </w:rPr>
              <w:t>-</w:t>
            </w:r>
          </w:p>
        </w:tc>
        <w:tc>
          <w:tcPr>
            <w:tcW w:w="3192" w:type="dxa"/>
          </w:tcPr>
          <w:p w14:paraId="1841EF84" w14:textId="46245787" w:rsidR="00AE72D2" w:rsidRPr="00AE72D2" w:rsidRDefault="00AE72D2" w:rsidP="00AE72D2">
            <w:pPr>
              <w:rPr>
                <w:rFonts w:cs="Arial"/>
                <w:lang w:val="ru-RU"/>
              </w:rPr>
            </w:pPr>
            <w:r w:rsidRPr="00AE72D2">
              <w:rPr>
                <w:szCs w:val="20"/>
              </w:rPr>
              <w:t>Метформин е противопоказан</w:t>
            </w:r>
          </w:p>
        </w:tc>
      </w:tr>
    </w:tbl>
    <w:p w14:paraId="498E55FD" w14:textId="7B3EA072" w:rsidR="00AE72D2" w:rsidRDefault="00AE72D2" w:rsidP="00AE72D2">
      <w:pPr>
        <w:rPr>
          <w:rFonts w:cs="Arial"/>
          <w:sz w:val="24"/>
          <w:lang w:val="ru-RU"/>
        </w:rPr>
      </w:pPr>
    </w:p>
    <w:p w14:paraId="23442FC4" w14:textId="77777777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i/>
          <w:iCs/>
          <w:color w:val="000000"/>
          <w:szCs w:val="20"/>
          <w:lang w:eastAsia="bg-BG"/>
        </w:rPr>
        <w:t>Педиатрична популация</w:t>
      </w:r>
    </w:p>
    <w:p w14:paraId="357AFD0D" w14:textId="77777777" w:rsidR="00AE72D2" w:rsidRPr="00AE72D2" w:rsidRDefault="00AE72D2" w:rsidP="00AE72D2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09E93006" w14:textId="73739DD6" w:rsidR="00AE72D2" w:rsidRPr="00AE72D2" w:rsidRDefault="00AE72D2" w:rsidP="00AE72D2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>Монотерапия и комбинация с инсулин</w:t>
      </w:r>
    </w:p>
    <w:p w14:paraId="400AA548" w14:textId="77777777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</w:p>
    <w:p w14:paraId="51E40409" w14:textId="61F9E06C" w:rsidR="00AE72D2" w:rsidRPr="00AE72D2" w:rsidRDefault="00AE72D2" w:rsidP="00AE72D2">
      <w:pPr>
        <w:pStyle w:val="ListParagraph"/>
        <w:numPr>
          <w:ilvl w:val="0"/>
          <w:numId w:val="33"/>
        </w:num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 xml:space="preserve">Сиофор 1000 </w:t>
      </w:r>
      <w:r w:rsidRPr="00AE72D2">
        <w:rPr>
          <w:rFonts w:eastAsia="Times New Roman" w:cs="Arial"/>
          <w:color w:val="000000"/>
          <w:szCs w:val="20"/>
          <w:lang w:val="en-US"/>
        </w:rPr>
        <w:t>mg</w:t>
      </w:r>
      <w:r w:rsidRPr="00AE72D2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AE72D2">
        <w:rPr>
          <w:rFonts w:eastAsia="Times New Roman" w:cs="Arial"/>
          <w:color w:val="000000"/>
          <w:szCs w:val="20"/>
          <w:lang w:eastAsia="bg-BG"/>
        </w:rPr>
        <w:t>може да се използва при деца над 10-годишна възраст и при юноши.</w:t>
      </w:r>
    </w:p>
    <w:p w14:paraId="337BAD67" w14:textId="33958C94" w:rsidR="00AE72D2" w:rsidRPr="00AE72D2" w:rsidRDefault="00AE72D2" w:rsidP="00AE72D2">
      <w:pPr>
        <w:pStyle w:val="ListParagraph"/>
        <w:numPr>
          <w:ilvl w:val="0"/>
          <w:numId w:val="33"/>
        </w:num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 xml:space="preserve">Обичайната начална доза </w:t>
      </w:r>
      <w:r w:rsidRPr="00AE72D2">
        <w:rPr>
          <w:rFonts w:eastAsia="Times New Roman" w:cs="Arial"/>
          <w:i/>
          <w:iCs/>
          <w:color w:val="000000"/>
          <w:szCs w:val="20"/>
          <w:lang w:eastAsia="bg-BG"/>
        </w:rPr>
        <w:t>е</w:t>
      </w:r>
      <w:r w:rsidRPr="00AE72D2">
        <w:rPr>
          <w:rFonts w:eastAsia="Times New Roman" w:cs="Arial"/>
          <w:color w:val="000000"/>
          <w:szCs w:val="20"/>
          <w:lang w:eastAsia="bg-BG"/>
        </w:rPr>
        <w:t xml:space="preserve"> 500 </w:t>
      </w:r>
      <w:r w:rsidRPr="00AE72D2">
        <w:rPr>
          <w:rFonts w:eastAsia="Times New Roman" w:cs="Arial"/>
          <w:color w:val="000000"/>
          <w:szCs w:val="20"/>
          <w:lang w:val="en-US"/>
        </w:rPr>
        <w:t>mg</w:t>
      </w:r>
      <w:r w:rsidRPr="00AE72D2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AE72D2">
        <w:rPr>
          <w:rFonts w:eastAsia="Times New Roman" w:cs="Arial"/>
          <w:color w:val="000000"/>
          <w:szCs w:val="20"/>
          <w:lang w:eastAsia="bg-BG"/>
        </w:rPr>
        <w:t xml:space="preserve">или 850 </w:t>
      </w:r>
      <w:r w:rsidRPr="00AE72D2">
        <w:rPr>
          <w:rFonts w:eastAsia="Times New Roman" w:cs="Arial"/>
          <w:color w:val="000000"/>
          <w:szCs w:val="20"/>
          <w:lang w:val="en-US"/>
        </w:rPr>
        <w:t>mg</w:t>
      </w:r>
      <w:r w:rsidRPr="00AE72D2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AE72D2">
        <w:rPr>
          <w:rFonts w:eastAsia="Times New Roman" w:cs="Arial"/>
          <w:color w:val="000000"/>
          <w:szCs w:val="20"/>
          <w:lang w:eastAsia="bg-BG"/>
        </w:rPr>
        <w:t>метформинов хидрохлорид веднъж дневно, приложени по време или след хранене.</w:t>
      </w:r>
    </w:p>
    <w:p w14:paraId="66CB443E" w14:textId="77777777" w:rsidR="00AE72D2" w:rsidRPr="00AE72D2" w:rsidRDefault="00AE72D2" w:rsidP="00AE72D2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2AB823FB" w14:textId="2F0826F5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>След 10 до 15 дни дозата трябва да се коригира спрямо измерените нива кръвната захар.</w:t>
      </w:r>
    </w:p>
    <w:p w14:paraId="2C9E1D6B" w14:textId="4A4A9B30" w:rsidR="00AE72D2" w:rsidRPr="00AE72D2" w:rsidRDefault="00AE72D2" w:rsidP="00AE72D2">
      <w:pPr>
        <w:rPr>
          <w:rFonts w:eastAsia="Times New Roman" w:cs="Arial"/>
          <w:color w:val="000000"/>
          <w:szCs w:val="20"/>
          <w:lang w:eastAsia="bg-BG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>Постепенното увеличение на дозата може да подобри стомашно-чревната поносимост.</w:t>
      </w:r>
    </w:p>
    <w:p w14:paraId="2B305482" w14:textId="7826D16B" w:rsidR="00AE72D2" w:rsidRPr="00AE72D2" w:rsidRDefault="00AE72D2" w:rsidP="00AE72D2">
      <w:pPr>
        <w:rPr>
          <w:rFonts w:eastAsia="Times New Roman" w:cs="Arial"/>
          <w:color w:val="000000"/>
          <w:szCs w:val="20"/>
          <w:lang w:eastAsia="bg-BG"/>
        </w:rPr>
      </w:pPr>
    </w:p>
    <w:p w14:paraId="5033650F" w14:textId="77777777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 xml:space="preserve">Максималната препоръчителна доза метформинов хидрохлорид е 2 </w:t>
      </w:r>
      <w:r w:rsidRPr="00AE72D2">
        <w:rPr>
          <w:rFonts w:eastAsia="Times New Roman" w:cs="Arial"/>
          <w:color w:val="000000"/>
          <w:szCs w:val="20"/>
          <w:lang w:val="en-US"/>
        </w:rPr>
        <w:t>g</w:t>
      </w:r>
      <w:r w:rsidRPr="00AE72D2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AE72D2">
        <w:rPr>
          <w:rFonts w:eastAsia="Times New Roman" w:cs="Arial"/>
          <w:color w:val="000000"/>
          <w:szCs w:val="20"/>
          <w:lang w:eastAsia="bg-BG"/>
        </w:rPr>
        <w:t>на ден, разделена на 2 или 3 приема.</w:t>
      </w:r>
    </w:p>
    <w:p w14:paraId="36C0D5C6" w14:textId="77777777" w:rsidR="00AE72D2" w:rsidRPr="00AE72D2" w:rsidRDefault="00AE72D2" w:rsidP="00AE72D2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5EB8D899" w14:textId="48030418" w:rsidR="00AE72D2" w:rsidRPr="00AE72D2" w:rsidRDefault="00AE72D2" w:rsidP="00AE72D2">
      <w:pPr>
        <w:pStyle w:val="Heading3"/>
        <w:rPr>
          <w:rFonts w:eastAsia="Times New Roman"/>
          <w:sz w:val="28"/>
          <w:u w:val="single"/>
        </w:rPr>
      </w:pPr>
      <w:r w:rsidRPr="00AE72D2">
        <w:rPr>
          <w:rFonts w:eastAsia="Times New Roman"/>
          <w:u w:val="single"/>
          <w:lang w:eastAsia="bg-BG"/>
        </w:rPr>
        <w:t>Начин на приложение</w:t>
      </w:r>
    </w:p>
    <w:p w14:paraId="043D000B" w14:textId="36196DA8" w:rsidR="00AE72D2" w:rsidRDefault="00AE72D2" w:rsidP="00AE72D2">
      <w:pPr>
        <w:rPr>
          <w:rFonts w:eastAsia="Times New Roman" w:cs="Arial"/>
          <w:color w:val="000000"/>
          <w:szCs w:val="20"/>
          <w:lang w:eastAsia="bg-BG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 xml:space="preserve">Благодарение наличието на скосяване от едната страна </w:t>
      </w:r>
      <w:r w:rsidRPr="00AE72D2">
        <w:rPr>
          <w:rFonts w:eastAsia="Times New Roman" w:cs="Arial"/>
          <w:color w:val="000000"/>
          <w:szCs w:val="20"/>
          <w:lang w:val="ru-RU"/>
        </w:rPr>
        <w:t>(</w:t>
      </w:r>
      <w:r w:rsidRPr="00AE72D2">
        <w:rPr>
          <w:rFonts w:eastAsia="Times New Roman" w:cs="Arial"/>
          <w:color w:val="000000"/>
          <w:szCs w:val="20"/>
          <w:lang w:val="en-US"/>
        </w:rPr>
        <w:t>snap</w:t>
      </w:r>
      <w:r w:rsidRPr="00AE72D2">
        <w:rPr>
          <w:rFonts w:eastAsia="Times New Roman" w:cs="Arial"/>
          <w:color w:val="000000"/>
          <w:szCs w:val="20"/>
          <w:lang w:val="ru-RU"/>
        </w:rPr>
        <w:t>-</w:t>
      </w:r>
      <w:r w:rsidRPr="00AE72D2">
        <w:rPr>
          <w:rFonts w:eastAsia="Times New Roman" w:cs="Arial"/>
          <w:color w:val="000000"/>
          <w:szCs w:val="20"/>
          <w:lang w:val="en-US"/>
        </w:rPr>
        <w:t>tab</w:t>
      </w:r>
      <w:r w:rsidRPr="00AE72D2">
        <w:rPr>
          <w:rFonts w:eastAsia="Times New Roman" w:cs="Arial"/>
          <w:color w:val="000000"/>
          <w:szCs w:val="20"/>
          <w:lang w:val="ru-RU"/>
        </w:rPr>
        <w:t xml:space="preserve">), </w:t>
      </w:r>
      <w:r w:rsidRPr="00AE72D2">
        <w:rPr>
          <w:rFonts w:eastAsia="Times New Roman" w:cs="Arial"/>
          <w:color w:val="000000"/>
          <w:szCs w:val="20"/>
          <w:lang w:eastAsia="bg-BG"/>
        </w:rPr>
        <w:t>филмираните таблетки могат да бъдат разделени по два начина - подобно на други таблетки с помощта на двете ръце, или ако се поставят на твърда равна основа със скосяването отдолу и се натисне отгоре с палеца.</w:t>
      </w:r>
    </w:p>
    <w:p w14:paraId="0890A57E" w14:textId="77777777" w:rsidR="00AE72D2" w:rsidRPr="00AE72D2" w:rsidRDefault="00AE72D2" w:rsidP="00AE72D2">
      <w:pPr>
        <w:rPr>
          <w:rFonts w:cs="Arial"/>
          <w:sz w:val="28"/>
          <w:lang w:val="ru-RU"/>
        </w:rPr>
      </w:pPr>
    </w:p>
    <w:p w14:paraId="62B13D0B" w14:textId="6F33D4E4" w:rsidR="00395555" w:rsidRDefault="002C50EE" w:rsidP="008A6AF2">
      <w:pPr>
        <w:pStyle w:val="Heading2"/>
      </w:pPr>
      <w:r>
        <w:t>4.3. Противопоказания</w:t>
      </w:r>
    </w:p>
    <w:p w14:paraId="327B0FC9" w14:textId="302995FC" w:rsidR="00AE72D2" w:rsidRDefault="00AE72D2" w:rsidP="00AE72D2"/>
    <w:p w14:paraId="286973F4" w14:textId="77777777" w:rsidR="00AE72D2" w:rsidRPr="00AE72D2" w:rsidRDefault="00AE72D2" w:rsidP="00AE72D2">
      <w:pPr>
        <w:pStyle w:val="ListParagraph"/>
        <w:numPr>
          <w:ilvl w:val="0"/>
          <w:numId w:val="34"/>
        </w:numPr>
        <w:rPr>
          <w:sz w:val="24"/>
          <w:szCs w:val="24"/>
        </w:rPr>
      </w:pPr>
      <w:r w:rsidRPr="00AE72D2">
        <w:rPr>
          <w:lang w:eastAsia="bg-BG"/>
        </w:rPr>
        <w:t>Свръхчувствителност към активното вещество или към някое от помощните вещества, изброени в т. 6.1</w:t>
      </w:r>
    </w:p>
    <w:p w14:paraId="7097B0B1" w14:textId="77777777" w:rsidR="00AE72D2" w:rsidRPr="00AE72D2" w:rsidRDefault="00AE72D2" w:rsidP="00AE72D2">
      <w:pPr>
        <w:pStyle w:val="ListParagraph"/>
        <w:numPr>
          <w:ilvl w:val="0"/>
          <w:numId w:val="34"/>
        </w:numPr>
        <w:rPr>
          <w:sz w:val="24"/>
          <w:szCs w:val="24"/>
        </w:rPr>
      </w:pPr>
      <w:r w:rsidRPr="00AE72D2">
        <w:rPr>
          <w:lang w:eastAsia="bg-BG"/>
        </w:rPr>
        <w:t>Всеки тип остра метаболитна ацидоза (като лактатна ацидоза, диабетна кетоацидоза), диабетна прекома</w:t>
      </w:r>
    </w:p>
    <w:p w14:paraId="5B4F9338" w14:textId="77777777" w:rsidR="00AE72D2" w:rsidRPr="00AE72D2" w:rsidRDefault="00AE72D2" w:rsidP="00AE72D2">
      <w:pPr>
        <w:pStyle w:val="ListParagraph"/>
        <w:numPr>
          <w:ilvl w:val="0"/>
          <w:numId w:val="34"/>
        </w:numPr>
        <w:rPr>
          <w:sz w:val="24"/>
          <w:szCs w:val="24"/>
        </w:rPr>
      </w:pPr>
      <w:r w:rsidRPr="00AE72D2">
        <w:rPr>
          <w:lang w:eastAsia="bg-BG"/>
        </w:rPr>
        <w:t xml:space="preserve">Тежка бъбречна недостатъчност </w:t>
      </w:r>
      <w:r w:rsidRPr="00AE72D2">
        <w:rPr>
          <w:lang w:val="ru-RU"/>
        </w:rPr>
        <w:t>(</w:t>
      </w:r>
      <w:r w:rsidRPr="00AE72D2">
        <w:rPr>
          <w:lang w:val="en-US"/>
        </w:rPr>
        <w:t>GFR</w:t>
      </w:r>
      <w:r w:rsidRPr="00AE72D2">
        <w:rPr>
          <w:lang w:val="ru-RU"/>
        </w:rPr>
        <w:t xml:space="preserve"> </w:t>
      </w:r>
      <w:r w:rsidRPr="00AE72D2">
        <w:rPr>
          <w:lang w:eastAsia="bg-BG"/>
        </w:rPr>
        <w:t xml:space="preserve">&lt;30 </w:t>
      </w:r>
      <w:r w:rsidRPr="00AE72D2">
        <w:rPr>
          <w:lang w:val="en-US"/>
        </w:rPr>
        <w:t>ml</w:t>
      </w:r>
      <w:r w:rsidRPr="00AE72D2">
        <w:rPr>
          <w:lang w:val="ru-RU"/>
        </w:rPr>
        <w:t>/</w:t>
      </w:r>
      <w:r w:rsidRPr="00AE72D2">
        <w:rPr>
          <w:lang w:val="en-US"/>
        </w:rPr>
        <w:t>min</w:t>
      </w:r>
      <w:r w:rsidRPr="00AE72D2">
        <w:rPr>
          <w:lang w:val="ru-RU"/>
        </w:rPr>
        <w:t>)</w:t>
      </w:r>
    </w:p>
    <w:p w14:paraId="2EBB7969" w14:textId="77777777" w:rsidR="00AE72D2" w:rsidRPr="00AE72D2" w:rsidRDefault="00AE72D2" w:rsidP="00AE72D2">
      <w:pPr>
        <w:pStyle w:val="ListParagraph"/>
        <w:numPr>
          <w:ilvl w:val="0"/>
          <w:numId w:val="34"/>
        </w:numPr>
        <w:rPr>
          <w:sz w:val="24"/>
          <w:szCs w:val="24"/>
        </w:rPr>
      </w:pPr>
      <w:r w:rsidRPr="00AE72D2">
        <w:rPr>
          <w:lang w:eastAsia="bg-BG"/>
        </w:rPr>
        <w:t>Остри състояния с риск за промяна в бъбречната функция, като дехидратация, тежка инфекция, шок</w:t>
      </w:r>
    </w:p>
    <w:p w14:paraId="120AD31C" w14:textId="14F5A4AF" w:rsidR="00AE72D2" w:rsidRPr="00AE72D2" w:rsidRDefault="00AE72D2" w:rsidP="00AE72D2">
      <w:pPr>
        <w:pStyle w:val="ListParagraph"/>
        <w:numPr>
          <w:ilvl w:val="0"/>
          <w:numId w:val="34"/>
        </w:numPr>
        <w:rPr>
          <w:sz w:val="24"/>
          <w:szCs w:val="24"/>
        </w:rPr>
      </w:pPr>
      <w:r w:rsidRPr="00AE72D2">
        <w:rPr>
          <w:lang w:eastAsia="bg-BG"/>
        </w:rPr>
        <w:t>Заболяване, което може да доведе до тъканна хипоксия (особено остро заболяване или влошаване на хронично заболяване) като:</w:t>
      </w:r>
    </w:p>
    <w:p w14:paraId="4451903F" w14:textId="65F7F42B" w:rsidR="00AE72D2" w:rsidRPr="00AE72D2" w:rsidRDefault="00AE72D2" w:rsidP="00AE72D2">
      <w:pPr>
        <w:pStyle w:val="ListParagraph"/>
        <w:numPr>
          <w:ilvl w:val="0"/>
          <w:numId w:val="35"/>
        </w:numPr>
        <w:rPr>
          <w:lang w:eastAsia="bg-BG"/>
        </w:rPr>
      </w:pPr>
      <w:r w:rsidRPr="00AE72D2">
        <w:rPr>
          <w:lang w:eastAsia="bg-BG"/>
        </w:rPr>
        <w:t>декомпенсирана сърдечна недостатъчност</w:t>
      </w:r>
    </w:p>
    <w:p w14:paraId="081787C6" w14:textId="7DA12890" w:rsidR="00AE72D2" w:rsidRPr="00AE72D2" w:rsidRDefault="00AE72D2" w:rsidP="00AE72D2">
      <w:pPr>
        <w:pStyle w:val="ListParagraph"/>
        <w:numPr>
          <w:ilvl w:val="0"/>
          <w:numId w:val="35"/>
        </w:numPr>
        <w:rPr>
          <w:lang w:eastAsia="bg-BG"/>
        </w:rPr>
      </w:pPr>
      <w:r w:rsidRPr="00AE72D2">
        <w:rPr>
          <w:lang w:eastAsia="bg-BG"/>
        </w:rPr>
        <w:t>дихателна недостатъчност</w:t>
      </w:r>
    </w:p>
    <w:p w14:paraId="1A631F3C" w14:textId="77777777" w:rsidR="00AE72D2" w:rsidRPr="00AE72D2" w:rsidRDefault="00AE72D2" w:rsidP="00AE72D2">
      <w:pPr>
        <w:pStyle w:val="ListParagraph"/>
        <w:numPr>
          <w:ilvl w:val="0"/>
          <w:numId w:val="35"/>
        </w:numPr>
        <w:rPr>
          <w:sz w:val="24"/>
          <w:szCs w:val="24"/>
        </w:rPr>
      </w:pPr>
      <w:r w:rsidRPr="00AE72D2">
        <w:rPr>
          <w:lang w:eastAsia="bg-BG"/>
        </w:rPr>
        <w:t>наскоро</w:t>
      </w:r>
      <w:r>
        <w:rPr>
          <w:lang w:eastAsia="bg-BG"/>
        </w:rPr>
        <w:t xml:space="preserve"> прекаран инфаркт на миокарда</w:t>
      </w:r>
    </w:p>
    <w:p w14:paraId="56838683" w14:textId="77777777" w:rsidR="00AE72D2" w:rsidRPr="00AE72D2" w:rsidRDefault="00AE72D2" w:rsidP="00AE72D2">
      <w:pPr>
        <w:pStyle w:val="ListParagraph"/>
        <w:numPr>
          <w:ilvl w:val="0"/>
          <w:numId w:val="35"/>
        </w:numPr>
        <w:rPr>
          <w:sz w:val="24"/>
          <w:szCs w:val="24"/>
        </w:rPr>
      </w:pPr>
      <w:r w:rsidRPr="00AE72D2">
        <w:rPr>
          <w:lang w:eastAsia="bg-BG"/>
        </w:rPr>
        <w:t>шок</w:t>
      </w:r>
    </w:p>
    <w:p w14:paraId="466BBBC3" w14:textId="6CC4EBF3" w:rsidR="00AE72D2" w:rsidRPr="00AE72D2" w:rsidRDefault="00AE72D2" w:rsidP="00AE72D2">
      <w:pPr>
        <w:pStyle w:val="ListParagraph"/>
        <w:numPr>
          <w:ilvl w:val="0"/>
          <w:numId w:val="35"/>
        </w:numPr>
        <w:rPr>
          <w:sz w:val="24"/>
          <w:szCs w:val="24"/>
        </w:rPr>
      </w:pPr>
      <w:r w:rsidRPr="00AE72D2">
        <w:rPr>
          <w:lang w:eastAsia="bg-BG"/>
        </w:rPr>
        <w:t>Чернодробна недостатъчност, остра алкохолна интоксикация, алкохолизъм</w:t>
      </w:r>
    </w:p>
    <w:p w14:paraId="40FB4106" w14:textId="01FA5B73" w:rsidR="00AE72D2" w:rsidRPr="00AE72D2" w:rsidRDefault="00AE72D2" w:rsidP="00AE72D2">
      <w:pPr>
        <w:rPr>
          <w:sz w:val="24"/>
          <w:szCs w:val="24"/>
        </w:rPr>
      </w:pPr>
    </w:p>
    <w:p w14:paraId="5A4AC413" w14:textId="0ECC3499" w:rsidR="00395555" w:rsidRDefault="002C50EE" w:rsidP="008A6AF2">
      <w:pPr>
        <w:pStyle w:val="Heading2"/>
      </w:pPr>
      <w:r>
        <w:t>4.4. Специални предупреждения и предпазни мерки при употреба</w:t>
      </w:r>
    </w:p>
    <w:p w14:paraId="4B0A7F5D" w14:textId="7C92FD33" w:rsidR="00AE72D2" w:rsidRDefault="00AE72D2" w:rsidP="00AE72D2"/>
    <w:p w14:paraId="477BB9A0" w14:textId="77777777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u w:val="single"/>
          <w:lang w:eastAsia="bg-BG"/>
        </w:rPr>
        <w:t>Лактатна ацидоза</w:t>
      </w:r>
    </w:p>
    <w:p w14:paraId="08F8C378" w14:textId="77777777" w:rsidR="00AE72D2" w:rsidRPr="00AE72D2" w:rsidRDefault="00AE72D2" w:rsidP="00AE72D2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708D1D1E" w14:textId="32E4A773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lastRenderedPageBreak/>
        <w:t>Лактатната ацидоза, много рядко, но сериозно метаболитно усложнение, най-често настъпва при остро влошаване на бъбречната функция, кардио-респираторно заболяване или сепсис. Натрупването на метформин настъпва при остро влошаване на бъбречната функция и увеличава риска от лактатна ацидоза.</w:t>
      </w:r>
    </w:p>
    <w:p w14:paraId="70A2FA9C" w14:textId="77777777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>В случай на дехидратация (тежка диария или повръщане, треска или намален прием на течности) трябва временно да се спре приема на метформин и е препоръчително да се установи връзка с медицински специалист.</w:t>
      </w:r>
    </w:p>
    <w:p w14:paraId="37753679" w14:textId="77777777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>Приемът на лекарствени продукти, които могат остро да увредят бъбречната функция (като антихипертензивни средства, диуретици и НСПВС) трябва да се започне с повишено внимание при пациенти, лекувани с метформин. Други рискови фактори за лактатна ацидоза са прекомерен прием на алкохол, чернодробна недостатъчност, недостатъчно контролиран диабет, кетоза, продължително гладуване и всякакви състояния, свързани с хипоксия, както и едновременната употреба на лекарствени продукти, които могат да причинят лактатна ацидоза (вж. точки 4.3 и 4.5).</w:t>
      </w:r>
    </w:p>
    <w:p w14:paraId="760EDA96" w14:textId="77777777" w:rsidR="00AE72D2" w:rsidRPr="00AE72D2" w:rsidRDefault="00AE72D2" w:rsidP="00AE72D2">
      <w:pPr>
        <w:spacing w:line="240" w:lineRule="auto"/>
        <w:rPr>
          <w:rFonts w:eastAsia="Times New Roman" w:cs="Arial"/>
          <w:i/>
          <w:iCs/>
          <w:color w:val="000000"/>
          <w:szCs w:val="20"/>
          <w:lang w:eastAsia="bg-BG"/>
        </w:rPr>
      </w:pPr>
    </w:p>
    <w:p w14:paraId="26B786EA" w14:textId="17B42C29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i/>
          <w:iCs/>
          <w:color w:val="000000"/>
          <w:szCs w:val="20"/>
          <w:lang w:eastAsia="bg-BG"/>
        </w:rPr>
        <w:t>Диагноза</w:t>
      </w:r>
    </w:p>
    <w:p w14:paraId="39D767C1" w14:textId="77777777" w:rsidR="00AE72D2" w:rsidRPr="00AE72D2" w:rsidRDefault="00AE72D2" w:rsidP="00AE72D2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69BF995E" w14:textId="783C3C04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 xml:space="preserve">Пациентите и/или болногледачите трябва да бъдат информирани за риска от лактатна ацидоза. Лактатната ацидоза се характеризира с ацидозна диспнея, коремна болка, мускулни крампи, астения и хипотермия, последвани от кома. В случай на съмнение за симптоми пациентът трябва да спре приема на метформин и незабавно да потърси лекарска помощ. Диагностичните лабораторни находки са понижено кръвно </w:t>
      </w:r>
      <w:r w:rsidRPr="00AE72D2">
        <w:rPr>
          <w:rFonts w:eastAsia="Times New Roman" w:cs="Arial"/>
          <w:color w:val="000000"/>
          <w:szCs w:val="20"/>
          <w:lang w:val="en-US"/>
        </w:rPr>
        <w:t>pH</w:t>
      </w:r>
      <w:r w:rsidRPr="00AE72D2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AE72D2">
        <w:rPr>
          <w:rFonts w:eastAsia="Times New Roman" w:cs="Arial"/>
          <w:color w:val="000000"/>
          <w:szCs w:val="20"/>
          <w:lang w:eastAsia="bg-BG"/>
        </w:rPr>
        <w:t xml:space="preserve">(&lt;7,35), повишени нива на плазмения лактат (&gt;5 </w:t>
      </w:r>
      <w:proofErr w:type="spellStart"/>
      <w:r w:rsidRPr="00AE72D2">
        <w:rPr>
          <w:rFonts w:eastAsia="Times New Roman" w:cs="Arial"/>
          <w:color w:val="000000"/>
          <w:szCs w:val="20"/>
          <w:lang w:val="en-US"/>
        </w:rPr>
        <w:t>mmol</w:t>
      </w:r>
      <w:proofErr w:type="spellEnd"/>
      <w:r w:rsidRPr="00AE72D2">
        <w:rPr>
          <w:rFonts w:eastAsia="Times New Roman" w:cs="Arial"/>
          <w:color w:val="000000"/>
          <w:szCs w:val="20"/>
          <w:lang w:val="ru-RU"/>
        </w:rPr>
        <w:t>/</w:t>
      </w:r>
      <w:r w:rsidRPr="00AE72D2">
        <w:rPr>
          <w:rFonts w:eastAsia="Times New Roman" w:cs="Arial"/>
          <w:color w:val="000000"/>
          <w:szCs w:val="20"/>
          <w:lang w:val="en-US"/>
        </w:rPr>
        <w:t>l</w:t>
      </w:r>
      <w:r w:rsidRPr="00AE72D2">
        <w:rPr>
          <w:rFonts w:eastAsia="Times New Roman" w:cs="Arial"/>
          <w:color w:val="000000"/>
          <w:szCs w:val="20"/>
          <w:lang w:val="ru-RU"/>
        </w:rPr>
        <w:t xml:space="preserve">) </w:t>
      </w:r>
      <w:r w:rsidRPr="00AE72D2">
        <w:rPr>
          <w:rFonts w:eastAsia="Times New Roman" w:cs="Arial"/>
          <w:color w:val="000000"/>
          <w:szCs w:val="20"/>
          <w:lang w:eastAsia="bg-BG"/>
        </w:rPr>
        <w:t>и повишена анионна разлика и съотношение лактат/пируват.</w:t>
      </w:r>
    </w:p>
    <w:p w14:paraId="1BFA9BEB" w14:textId="77777777" w:rsidR="00AE72D2" w:rsidRPr="00AE72D2" w:rsidRDefault="00AE72D2" w:rsidP="00AE72D2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766BAD98" w14:textId="54640402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>Лекарите трябва да предупреждават пациентите за риска и за симптомите на лактатна ацидоза.</w:t>
      </w:r>
    </w:p>
    <w:p w14:paraId="126C00B6" w14:textId="77777777" w:rsidR="00AE72D2" w:rsidRPr="00AE72D2" w:rsidRDefault="00AE72D2" w:rsidP="00AE72D2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1BEFA97D" w14:textId="165D3FF9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u w:val="single"/>
          <w:lang w:eastAsia="bg-BG"/>
        </w:rPr>
        <w:t>Бъбречна функция</w:t>
      </w:r>
    </w:p>
    <w:p w14:paraId="5445F142" w14:textId="77777777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 xml:space="preserve">Тъй като метформин се екскретира от бъбреците, преди започване на лечението трябва да се направи оценка на стойностите на </w:t>
      </w:r>
      <w:r w:rsidRPr="00AE72D2">
        <w:rPr>
          <w:rFonts w:eastAsia="Times New Roman" w:cs="Arial"/>
          <w:color w:val="000000"/>
          <w:szCs w:val="20"/>
          <w:lang w:val="en-US"/>
        </w:rPr>
        <w:t>GFR</w:t>
      </w:r>
      <w:r w:rsidRPr="00AE72D2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AE72D2">
        <w:rPr>
          <w:rFonts w:eastAsia="Times New Roman" w:cs="Arial"/>
          <w:color w:val="000000"/>
          <w:szCs w:val="20"/>
          <w:lang w:eastAsia="bg-BG"/>
        </w:rPr>
        <w:t>и редовно след това, вж. точка 4.2:</w:t>
      </w:r>
    </w:p>
    <w:p w14:paraId="1A454A72" w14:textId="1CD433A9" w:rsidR="00AE72D2" w:rsidRPr="00AE72D2" w:rsidRDefault="00AE72D2" w:rsidP="00AE72D2">
      <w:pPr>
        <w:pStyle w:val="ListParagraph"/>
        <w:numPr>
          <w:ilvl w:val="0"/>
          <w:numId w:val="35"/>
        </w:num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>поне веднъж годишно при пациенти с нормална бъбречна функция;</w:t>
      </w:r>
    </w:p>
    <w:p w14:paraId="6F45A63E" w14:textId="0FD674C9" w:rsidR="00AE72D2" w:rsidRPr="00AE72D2" w:rsidRDefault="00AE72D2" w:rsidP="00AE72D2">
      <w:pPr>
        <w:pStyle w:val="ListParagraph"/>
        <w:numPr>
          <w:ilvl w:val="0"/>
          <w:numId w:val="35"/>
        </w:num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>поне два до четири пъти годишно при пациенти с нива на креатининов клирънс на долната граница на нормата и при пациенти в старческа възраст.</w:t>
      </w:r>
    </w:p>
    <w:p w14:paraId="782AA086" w14:textId="77777777" w:rsidR="00AE72D2" w:rsidRPr="00AE72D2" w:rsidRDefault="00AE72D2" w:rsidP="00AE72D2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5E078684" w14:textId="4FCFF659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 xml:space="preserve">Метформин е противопоказан при пациенти с </w:t>
      </w:r>
      <w:r w:rsidRPr="00AE72D2">
        <w:rPr>
          <w:rFonts w:eastAsia="Times New Roman" w:cs="Arial"/>
          <w:color w:val="000000"/>
          <w:szCs w:val="20"/>
          <w:lang w:val="en-US"/>
        </w:rPr>
        <w:t>GFR</w:t>
      </w:r>
      <w:r w:rsidRPr="00AE72D2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AE72D2">
        <w:rPr>
          <w:rFonts w:eastAsia="Times New Roman" w:cs="Arial"/>
          <w:color w:val="000000"/>
          <w:szCs w:val="20"/>
          <w:lang w:eastAsia="bg-BG"/>
        </w:rPr>
        <w:t xml:space="preserve">&lt;30 </w:t>
      </w:r>
      <w:r w:rsidRPr="00AE72D2">
        <w:rPr>
          <w:rFonts w:eastAsia="Times New Roman" w:cs="Arial"/>
          <w:color w:val="000000"/>
          <w:szCs w:val="20"/>
          <w:lang w:val="en-US"/>
        </w:rPr>
        <w:t>ml</w:t>
      </w:r>
      <w:r w:rsidRPr="00AE72D2">
        <w:rPr>
          <w:rFonts w:eastAsia="Times New Roman" w:cs="Arial"/>
          <w:color w:val="000000"/>
          <w:szCs w:val="20"/>
          <w:lang w:eastAsia="bg-BG"/>
        </w:rPr>
        <w:t>/мин и трябва да бъде временно спрян при наличие на състояния, които променят бъбречната функция, вж. точка 4.3).</w:t>
      </w:r>
    </w:p>
    <w:p w14:paraId="4297ACE0" w14:textId="77777777" w:rsidR="00AE72D2" w:rsidRPr="00AE72D2" w:rsidRDefault="00AE72D2" w:rsidP="00AE72D2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61C068AB" w14:textId="4DE76EEF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>Намалената бъбречна функция при пациенти в старческа възраст е честа и асимптоматична. Специално внимание е необходимо в случаи, при които може да се наруши бъбречната функция, например при започване на антихипертензивно лечение, диуретично лечение или при започване на лечение с нестероидни противовъзпалителни средства (НСПВС).</w:t>
      </w:r>
    </w:p>
    <w:p w14:paraId="0C8E65E3" w14:textId="77777777" w:rsidR="00AE72D2" w:rsidRPr="00AE72D2" w:rsidRDefault="00AE72D2" w:rsidP="00AE72D2">
      <w:pPr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2E089719" w14:textId="4A81126C" w:rsidR="00AE72D2" w:rsidRDefault="00AE72D2" w:rsidP="00AE72D2">
      <w:pPr>
        <w:rPr>
          <w:rFonts w:eastAsia="Times New Roman" w:cs="Arial"/>
          <w:color w:val="000000"/>
          <w:szCs w:val="20"/>
          <w:u w:val="single"/>
          <w:lang w:eastAsia="bg-BG"/>
        </w:rPr>
      </w:pPr>
      <w:r w:rsidRPr="00AE72D2">
        <w:rPr>
          <w:rFonts w:eastAsia="Times New Roman" w:cs="Arial"/>
          <w:color w:val="000000"/>
          <w:szCs w:val="20"/>
          <w:u w:val="single"/>
          <w:lang w:eastAsia="bg-BG"/>
        </w:rPr>
        <w:t>Сърдечна функция</w:t>
      </w:r>
    </w:p>
    <w:p w14:paraId="1133B204" w14:textId="77777777" w:rsidR="00AE72D2" w:rsidRPr="00AE72D2" w:rsidRDefault="00AE72D2" w:rsidP="00AE72D2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 xml:space="preserve">Пациентите със сърдечна недостатъчност са с по-голям риск от хипоксия и бъбречна недостатъчност. </w:t>
      </w:r>
    </w:p>
    <w:p w14:paraId="6572B5EB" w14:textId="77777777" w:rsidR="00AE72D2" w:rsidRPr="00AE72D2" w:rsidRDefault="00AE72D2" w:rsidP="00AE72D2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2E8D4A81" w14:textId="07410BEA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>Метформин може да се използва при пациенти със стабилна хронична сърдечна недостатъчност при редовно наблюдение на сърдечната и бъбречната функция.</w:t>
      </w:r>
    </w:p>
    <w:p w14:paraId="31EC3174" w14:textId="77777777" w:rsidR="00AE72D2" w:rsidRPr="00AE72D2" w:rsidRDefault="00AE72D2" w:rsidP="00AE72D2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7D701066" w14:textId="3AD253F8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>Метформин е противопоказан за пациенти с остра и нестабилна сърдечна недостатъчност (вижте точка 4.3).</w:t>
      </w:r>
    </w:p>
    <w:p w14:paraId="5889D58C" w14:textId="77777777" w:rsidR="00AE72D2" w:rsidRPr="00AE72D2" w:rsidRDefault="00AE72D2" w:rsidP="00AE72D2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4F321B94" w14:textId="1E08F41E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u w:val="single"/>
          <w:lang w:eastAsia="bg-BG"/>
        </w:rPr>
        <w:t>Приложение на йод-съ държащи контрастни вещества</w:t>
      </w:r>
    </w:p>
    <w:p w14:paraId="5058E6CA" w14:textId="77777777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>Вътресъдовото приложение на йодирани контрастни вещества може да доведе до контраст- индуцирана нефропатия, водеща до натрупването на метформин и повишен риск от лактатна ацидоза. Метформин трябва да се спре преди или по време на процедурата за образна диагностика и не трябва да се възобновява до най-малко 48 часа след това, при условие че бъбречната функция е оценена отново и е установено, че е стабилна, вж. точки 4.2 и 4.5.</w:t>
      </w:r>
    </w:p>
    <w:p w14:paraId="3D87CE7A" w14:textId="77777777" w:rsidR="00AE72D2" w:rsidRPr="00AE72D2" w:rsidRDefault="00AE72D2" w:rsidP="00AE72D2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7D9AAE0B" w14:textId="6BF8A967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u w:val="single"/>
          <w:lang w:eastAsia="bg-BG"/>
        </w:rPr>
        <w:t>Операция</w:t>
      </w:r>
    </w:p>
    <w:p w14:paraId="3213D3F5" w14:textId="77777777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>Метформин трябва да се спре по време на операция под обща, спинална или епидурална анестезия. Лечението може да бъде възобновено не по-рано от 48 часа след операцията или възобновяването на храненето през уста, и при условие че бъбречната функция е оценена отново и е установено, че е стабилна.</w:t>
      </w:r>
    </w:p>
    <w:p w14:paraId="2ABB3BFA" w14:textId="77777777" w:rsidR="00AE72D2" w:rsidRPr="00AE72D2" w:rsidRDefault="00AE72D2" w:rsidP="00AE72D2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3DB73080" w14:textId="539232FF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u w:val="single"/>
          <w:lang w:eastAsia="bg-BG"/>
        </w:rPr>
        <w:t>Други предпазни мерки</w:t>
      </w:r>
    </w:p>
    <w:p w14:paraId="27FAFD28" w14:textId="77777777" w:rsidR="00AE72D2" w:rsidRDefault="00AE72D2" w:rsidP="00AE72D2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color w:val="000000"/>
          <w:szCs w:val="20"/>
          <w:lang w:eastAsia="bg-BG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>Всички пациенти трябва да продължат да спазват диетата си с равномерно разпределен прием на въглехидрати през деня. Пациентите с наднормено тегло трябва да продължат да спазват диетата, ограничаваща калориите.</w:t>
      </w:r>
    </w:p>
    <w:p w14:paraId="69F86A08" w14:textId="77777777" w:rsidR="00AE72D2" w:rsidRDefault="00AE72D2" w:rsidP="00AE72D2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color w:val="000000"/>
          <w:szCs w:val="20"/>
          <w:lang w:eastAsia="bg-BG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>Обичайните лабораторни тестове за проследяване на диабета трябва да се правят редовно.</w:t>
      </w:r>
    </w:p>
    <w:p w14:paraId="12335EF3" w14:textId="7EFDCEEE" w:rsidR="00AE72D2" w:rsidRPr="00AE72D2" w:rsidRDefault="00AE72D2" w:rsidP="00AE72D2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color w:val="000000"/>
          <w:szCs w:val="20"/>
          <w:lang w:eastAsia="bg-BG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>Метформин, прилаган самостоятелно, не причинява хипогликемия, но е необходимо внимание при приложението му в комбинация с инсулин или с други антидиабетни лекарства (напр. сулфанилурейни лекарства или меглитиниди).</w:t>
      </w:r>
    </w:p>
    <w:p w14:paraId="41E043B4" w14:textId="77777777" w:rsidR="00AE72D2" w:rsidRPr="00AE72D2" w:rsidRDefault="00AE72D2" w:rsidP="00AE72D2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57CE5BE1" w14:textId="67FBCC7A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u w:val="single"/>
          <w:lang w:eastAsia="bg-BG"/>
        </w:rPr>
        <w:t>Педиатрична популация</w:t>
      </w:r>
    </w:p>
    <w:p w14:paraId="22A7AB25" w14:textId="77777777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>Преди започване на лечение с метформин трябва да се потвърди диагнозата захарен диабет тип 2.</w:t>
      </w:r>
    </w:p>
    <w:p w14:paraId="155D6D35" w14:textId="77777777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>Контролираните клинични проучвания в продължение на една година не установяват ефект на метформин върху растежа и пубертета, но няма дългосрочни данни в тази специфична област. Ето защо се препоръчва внимателно проследяване на ефекта на метформин върху тези параметри при деца, лекувани с метформин, особено при деца в предпубертетна възраст.</w:t>
      </w:r>
    </w:p>
    <w:p w14:paraId="256327D5" w14:textId="77777777" w:rsidR="00AE72D2" w:rsidRPr="00AE72D2" w:rsidRDefault="00AE72D2" w:rsidP="00AE72D2">
      <w:pPr>
        <w:spacing w:line="240" w:lineRule="auto"/>
        <w:rPr>
          <w:rFonts w:eastAsia="Times New Roman" w:cs="Arial"/>
          <w:i/>
          <w:iCs/>
          <w:color w:val="000000"/>
          <w:szCs w:val="20"/>
          <w:lang w:eastAsia="bg-BG"/>
        </w:rPr>
      </w:pPr>
    </w:p>
    <w:p w14:paraId="3C3337A9" w14:textId="3FE0928E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i/>
          <w:iCs/>
          <w:color w:val="000000"/>
          <w:szCs w:val="20"/>
          <w:lang w:eastAsia="bg-BG"/>
        </w:rPr>
        <w:t>Деца на възраст между 10 и 12 години</w:t>
      </w:r>
    </w:p>
    <w:p w14:paraId="13EB2B15" w14:textId="77777777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>Само 15 лица на възраст между 10 и 12 години са включени в контролирани клинични проучвания, проведени при деца и юноши. Въпреки че ефикасността и безопасността на метформин при тези деца не се различава от ефикасността и безопасността при по-големи деца и юноши, се препоръчва особено внимание при предписването на метформин на деца на възраст между 10 и 12 години.</w:t>
      </w:r>
    </w:p>
    <w:p w14:paraId="54AC8942" w14:textId="77777777" w:rsidR="00AE72D2" w:rsidRPr="00AE72D2" w:rsidRDefault="00AE72D2" w:rsidP="00AE72D2">
      <w:pPr>
        <w:rPr>
          <w:rFonts w:cs="Arial"/>
          <w:sz w:val="24"/>
        </w:rPr>
      </w:pPr>
    </w:p>
    <w:p w14:paraId="1244F76A" w14:textId="461BCFDA" w:rsidR="00395555" w:rsidRDefault="002C50EE" w:rsidP="008A6AF2">
      <w:pPr>
        <w:pStyle w:val="Heading2"/>
      </w:pPr>
      <w:r>
        <w:t>4.5. Взаимодействие с други лекарствени продукти и други форми на взаимодействие</w:t>
      </w:r>
    </w:p>
    <w:p w14:paraId="3401B27E" w14:textId="40294C83" w:rsidR="00AE72D2" w:rsidRDefault="00AE72D2" w:rsidP="00AE72D2"/>
    <w:p w14:paraId="605BC6E6" w14:textId="77777777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u w:val="single"/>
          <w:lang w:eastAsia="bg-BG"/>
        </w:rPr>
        <w:t>Не се препоръчва съпътстваща употреба</w:t>
      </w:r>
    </w:p>
    <w:p w14:paraId="0B223479" w14:textId="77777777" w:rsidR="00AE72D2" w:rsidRPr="00AE72D2" w:rsidRDefault="00AE72D2" w:rsidP="00AE72D2">
      <w:pPr>
        <w:spacing w:line="240" w:lineRule="auto"/>
        <w:rPr>
          <w:rFonts w:eastAsia="Times New Roman" w:cs="Arial"/>
          <w:i/>
          <w:iCs/>
          <w:color w:val="000000"/>
          <w:szCs w:val="20"/>
          <w:lang w:eastAsia="bg-BG"/>
        </w:rPr>
      </w:pPr>
    </w:p>
    <w:p w14:paraId="3BEA3DD2" w14:textId="24527A15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i/>
          <w:iCs/>
          <w:color w:val="000000"/>
          <w:szCs w:val="20"/>
          <w:lang w:eastAsia="bg-BG"/>
        </w:rPr>
        <w:lastRenderedPageBreak/>
        <w:t>Алкохол</w:t>
      </w:r>
    </w:p>
    <w:p w14:paraId="0B691509" w14:textId="3A43CC51" w:rsidR="00AE72D2" w:rsidRPr="00AE72D2" w:rsidRDefault="00AE72D2" w:rsidP="00AE72D2">
      <w:pPr>
        <w:rPr>
          <w:rFonts w:cs="Arial"/>
          <w:sz w:val="24"/>
        </w:rPr>
      </w:pPr>
    </w:p>
    <w:p w14:paraId="5AAD0CC8" w14:textId="77777777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>Алкохолната интоксикация се свързва с повишен риск от лактатна ацидоза, особено в случаи на гладуване, недохранване или чернодробна недостатъчност.</w:t>
      </w:r>
    </w:p>
    <w:p w14:paraId="3BD039BC" w14:textId="77777777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>Да се избягва приемът на алкохол и на алкохол-съдържащи лекарствени продукти.</w:t>
      </w:r>
    </w:p>
    <w:p w14:paraId="39428F57" w14:textId="77777777" w:rsidR="00AE72D2" w:rsidRPr="00AE72D2" w:rsidRDefault="00AE72D2" w:rsidP="00AE72D2">
      <w:pPr>
        <w:spacing w:line="240" w:lineRule="auto"/>
        <w:rPr>
          <w:rFonts w:eastAsia="Times New Roman" w:cs="Arial"/>
          <w:i/>
          <w:iCs/>
          <w:color w:val="000000"/>
          <w:szCs w:val="20"/>
          <w:lang w:eastAsia="bg-BG"/>
        </w:rPr>
      </w:pPr>
    </w:p>
    <w:p w14:paraId="3E43BC69" w14:textId="2C6852F0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i/>
          <w:iCs/>
          <w:color w:val="000000"/>
          <w:szCs w:val="20"/>
          <w:lang w:eastAsia="bg-BG"/>
        </w:rPr>
        <w:t>Йодирани контрастни вещества</w:t>
      </w:r>
    </w:p>
    <w:p w14:paraId="479FDD30" w14:textId="77777777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>Метформин трябва задължително да се спре преди или по време на процедурата за образна диагностика и не трябва да се възобновява до най-малко 48 часа след това, при условие че бъбречната функция е оценена отново и е установено, че е стабилна, вж. точки 4.2 и 4.4.</w:t>
      </w:r>
    </w:p>
    <w:p w14:paraId="5AF55A7F" w14:textId="77777777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>Вътресъдовото приложение на йодирани контрастни вещества може да доведе до контраст- индуцирана нефропатия, водеща до натрупването на метформин и повишен риск от лактатна ацидоза.</w:t>
      </w:r>
    </w:p>
    <w:p w14:paraId="295B3E0D" w14:textId="77777777" w:rsidR="00AE72D2" w:rsidRPr="00AE72D2" w:rsidRDefault="00AE72D2" w:rsidP="00AE72D2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119D8EBC" w14:textId="1BABD01A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u w:val="single"/>
          <w:lang w:eastAsia="bg-BG"/>
        </w:rPr>
        <w:t>Комбинации, изискващи предпазни мерки при употреба</w:t>
      </w:r>
    </w:p>
    <w:p w14:paraId="5DC9A42A" w14:textId="77777777" w:rsidR="00AE72D2" w:rsidRPr="00AE72D2" w:rsidRDefault="00AE72D2" w:rsidP="00AE72D2">
      <w:pPr>
        <w:spacing w:line="240" w:lineRule="auto"/>
        <w:rPr>
          <w:rFonts w:eastAsia="Times New Roman" w:cs="Arial"/>
          <w:i/>
          <w:iCs/>
          <w:color w:val="000000"/>
          <w:szCs w:val="20"/>
          <w:lang w:eastAsia="bg-BG"/>
        </w:rPr>
      </w:pPr>
    </w:p>
    <w:p w14:paraId="6479788B" w14:textId="3971CCC6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i/>
          <w:iCs/>
          <w:color w:val="000000"/>
          <w:szCs w:val="20"/>
          <w:lang w:eastAsia="bg-BG"/>
        </w:rPr>
        <w:t xml:space="preserve">Някои лекарствени продукти могат да се отразят неблагоприятно на бъбречната функция, което може да увеличи риска от лактатна ацидоза, например НСПВС, включително селективни инхибитори на циклооксигеназа </w:t>
      </w:r>
      <w:r w:rsidRPr="00AE72D2">
        <w:rPr>
          <w:rFonts w:eastAsia="Times New Roman" w:cs="Arial"/>
          <w:i/>
          <w:iCs/>
          <w:color w:val="000000"/>
          <w:szCs w:val="20"/>
          <w:lang w:val="ru-RU"/>
        </w:rPr>
        <w:t>(</w:t>
      </w:r>
      <w:r w:rsidRPr="00AE72D2">
        <w:rPr>
          <w:rFonts w:eastAsia="Times New Roman" w:cs="Arial"/>
          <w:i/>
          <w:iCs/>
          <w:color w:val="000000"/>
          <w:szCs w:val="20"/>
          <w:lang w:val="en-US"/>
        </w:rPr>
        <w:t>COX</w:t>
      </w:r>
      <w:r w:rsidRPr="00AE72D2">
        <w:rPr>
          <w:rFonts w:eastAsia="Times New Roman" w:cs="Arial"/>
          <w:i/>
          <w:iCs/>
          <w:color w:val="000000"/>
          <w:szCs w:val="20"/>
          <w:lang w:val="ru-RU"/>
        </w:rPr>
        <w:t xml:space="preserve">) </w:t>
      </w:r>
      <w:r w:rsidRPr="00AE72D2">
        <w:rPr>
          <w:rFonts w:eastAsia="Times New Roman" w:cs="Arial"/>
          <w:i/>
          <w:iCs/>
          <w:color w:val="000000"/>
          <w:szCs w:val="20"/>
          <w:lang w:eastAsia="bg-BG"/>
        </w:rPr>
        <w:t>II, АСЕ инхибитори, ангиотензин II рецепторни антагонисти и диуретици, особено бримкови диуретици. При започването или употребата на такива продукти в комбинация с метформин е необходимо внимателно проследяване на бъбречната функция.</w:t>
      </w:r>
    </w:p>
    <w:p w14:paraId="7853946B" w14:textId="77777777" w:rsidR="00AE72D2" w:rsidRPr="00AE72D2" w:rsidRDefault="00AE72D2" w:rsidP="00AE72D2">
      <w:pPr>
        <w:spacing w:line="240" w:lineRule="auto"/>
        <w:rPr>
          <w:rFonts w:eastAsia="Times New Roman" w:cs="Arial"/>
          <w:i/>
          <w:iCs/>
          <w:color w:val="000000"/>
          <w:szCs w:val="20"/>
          <w:lang w:eastAsia="bg-BG"/>
        </w:rPr>
      </w:pPr>
    </w:p>
    <w:p w14:paraId="231259D2" w14:textId="0BEC039F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i/>
          <w:iCs/>
          <w:color w:val="000000"/>
          <w:szCs w:val="20"/>
          <w:lang w:eastAsia="bg-BG"/>
        </w:rPr>
        <w:t>Лекарствени продукти с вътрешна хипергликемична активност (като глюкокортикоиди (системно и локално приложение) и симпатикомиметици):</w:t>
      </w:r>
      <w:r w:rsidRPr="00AE72D2">
        <w:rPr>
          <w:rFonts w:eastAsia="Times New Roman" w:cs="Arial"/>
          <w:color w:val="000000"/>
          <w:szCs w:val="20"/>
          <w:lang w:eastAsia="bg-BG"/>
        </w:rPr>
        <w:t xml:space="preserve"> Може да се наложи по-често проследяване на нивото на кръвната захар особено в началото на лечението. При необходимост, коригирайте дозата на метфомин по време на лечение със съответния лекарствен продукт и при преустановяване на приемът му.</w:t>
      </w:r>
    </w:p>
    <w:p w14:paraId="63F011E9" w14:textId="77777777" w:rsidR="00AE72D2" w:rsidRPr="00AE72D2" w:rsidRDefault="00AE72D2" w:rsidP="00AE72D2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120C814B" w14:textId="3D2F8AE4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 xml:space="preserve">Транспортери на органични катиони </w:t>
      </w:r>
      <w:r w:rsidRPr="00AE72D2">
        <w:rPr>
          <w:rFonts w:eastAsia="Times New Roman" w:cs="Arial"/>
          <w:color w:val="000000"/>
          <w:szCs w:val="20"/>
          <w:lang w:val="ru-RU"/>
        </w:rPr>
        <w:t>(</w:t>
      </w:r>
      <w:r w:rsidRPr="00AE72D2">
        <w:rPr>
          <w:rFonts w:eastAsia="Times New Roman" w:cs="Arial"/>
          <w:color w:val="000000"/>
          <w:szCs w:val="20"/>
          <w:lang w:val="en-US"/>
        </w:rPr>
        <w:t>OCT</w:t>
      </w:r>
      <w:r w:rsidRPr="00AE72D2">
        <w:rPr>
          <w:rFonts w:eastAsia="Times New Roman" w:cs="Arial"/>
          <w:color w:val="000000"/>
          <w:szCs w:val="20"/>
          <w:lang w:val="ru-RU"/>
        </w:rPr>
        <w:t>)</w:t>
      </w:r>
    </w:p>
    <w:p w14:paraId="5DF28D9C" w14:textId="77777777" w:rsidR="00AE72D2" w:rsidRPr="00AE72D2" w:rsidRDefault="00AE72D2" w:rsidP="00AE72D2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04C8CFF9" w14:textId="0524558C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>Метформин е субстрат и на двата транспортера ОСТ1 и ОСТ2.</w:t>
      </w:r>
    </w:p>
    <w:p w14:paraId="338EB78C" w14:textId="77777777" w:rsidR="00AE72D2" w:rsidRPr="00AE72D2" w:rsidRDefault="00AE72D2" w:rsidP="00AE72D2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26DF4000" w14:textId="4B666DCA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>Едновременното приложение на метформин с:</w:t>
      </w:r>
    </w:p>
    <w:p w14:paraId="5DA710D9" w14:textId="77777777" w:rsidR="00AE72D2" w:rsidRPr="00AE72D2" w:rsidRDefault="00AE72D2" w:rsidP="00AE72D2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color w:val="000000"/>
          <w:szCs w:val="20"/>
          <w:lang w:eastAsia="bg-BG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 xml:space="preserve">инхибитори на </w:t>
      </w:r>
      <w:r w:rsidRPr="00AE72D2">
        <w:rPr>
          <w:rFonts w:eastAsia="Times New Roman" w:cs="Arial"/>
          <w:color w:val="000000"/>
          <w:szCs w:val="20"/>
          <w:lang w:val="en-US"/>
        </w:rPr>
        <w:t>OCT</w:t>
      </w:r>
      <w:r w:rsidRPr="00AE72D2">
        <w:rPr>
          <w:rFonts w:eastAsia="Times New Roman" w:cs="Arial"/>
          <w:color w:val="000000"/>
          <w:szCs w:val="20"/>
          <w:lang w:val="ru-RU"/>
        </w:rPr>
        <w:t xml:space="preserve">1 </w:t>
      </w:r>
      <w:r w:rsidRPr="00AE72D2">
        <w:rPr>
          <w:rFonts w:eastAsia="Times New Roman" w:cs="Arial"/>
          <w:color w:val="000000"/>
          <w:szCs w:val="20"/>
          <w:lang w:eastAsia="bg-BG"/>
        </w:rPr>
        <w:t>(като верапамил) може да намали ефикасността на метформин;</w:t>
      </w:r>
    </w:p>
    <w:p w14:paraId="0C79C95F" w14:textId="77777777" w:rsidR="00AE72D2" w:rsidRDefault="00AE72D2" w:rsidP="00AE72D2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color w:val="000000"/>
          <w:szCs w:val="20"/>
          <w:lang w:eastAsia="bg-BG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>индукторите на ОСТ1 (като рифампицин) може да увеличи стомашно-чревната абсорбция и ефикасността на метформин;</w:t>
      </w:r>
    </w:p>
    <w:p w14:paraId="6C93BB4C" w14:textId="77777777" w:rsidR="00AE72D2" w:rsidRDefault="00AE72D2" w:rsidP="00AE72D2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color w:val="000000"/>
          <w:szCs w:val="20"/>
          <w:lang w:eastAsia="bg-BG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>инхибиторите на ОСТ2 (като циметидин, долутегравир, ранолазин, триметоприм, вандетаниб, исавуконазол) може да намали бъбречното елиминиране на метформин и това да доведе до повишаване на концентрацията на метформин в плазмата;</w:t>
      </w:r>
    </w:p>
    <w:p w14:paraId="0B101C8C" w14:textId="048139D1" w:rsidR="00AE72D2" w:rsidRPr="00AE72D2" w:rsidRDefault="00AE72D2" w:rsidP="00AE72D2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color w:val="000000"/>
          <w:szCs w:val="20"/>
          <w:lang w:eastAsia="bg-BG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 xml:space="preserve">инхибиторите и на </w:t>
      </w:r>
      <w:r w:rsidRPr="00AE72D2">
        <w:rPr>
          <w:rFonts w:eastAsia="Times New Roman" w:cs="Arial"/>
          <w:color w:val="000000"/>
          <w:szCs w:val="20"/>
          <w:lang w:val="en-US"/>
        </w:rPr>
        <w:t>OCT</w:t>
      </w:r>
      <w:r w:rsidRPr="00AE72D2">
        <w:rPr>
          <w:rFonts w:eastAsia="Times New Roman" w:cs="Arial"/>
          <w:color w:val="000000"/>
          <w:szCs w:val="20"/>
          <w:lang w:eastAsia="bg-BG"/>
        </w:rPr>
        <w:t>1, и на ОСТ2 (като кризотиниб, олапариб) може да промени ефикасността и бъбречното елиминиране на метформин.</w:t>
      </w:r>
    </w:p>
    <w:p w14:paraId="28687BE9" w14:textId="77777777" w:rsidR="00AE72D2" w:rsidRPr="00AE72D2" w:rsidRDefault="00AE72D2" w:rsidP="00AE72D2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0423D3D2" w14:textId="6D81D22A" w:rsidR="00AE72D2" w:rsidRPr="00AE72D2" w:rsidRDefault="00AE72D2" w:rsidP="00AE72D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 xml:space="preserve">Следователно се препоръчва внимание особено при пациенти с бъбречно увреждане, когато тези лекарства се прилагат едновременно с метформин, тъй като концентрацията на метформин в плазмата може да се увеличи. При необходимост може да се обмисли </w:t>
      </w:r>
      <w:r w:rsidRPr="00AE72D2">
        <w:rPr>
          <w:rFonts w:eastAsia="Times New Roman" w:cs="Arial"/>
          <w:color w:val="000000"/>
          <w:szCs w:val="20"/>
          <w:lang w:eastAsia="bg-BG"/>
        </w:rPr>
        <w:lastRenderedPageBreak/>
        <w:t xml:space="preserve">коригиране на дозата метформин, тъй като инхибиторите/индукторите на </w:t>
      </w:r>
      <w:r w:rsidRPr="00AE72D2">
        <w:rPr>
          <w:rFonts w:eastAsia="Times New Roman" w:cs="Arial"/>
          <w:color w:val="000000"/>
          <w:szCs w:val="20"/>
          <w:lang w:val="en-US"/>
        </w:rPr>
        <w:t>OCT</w:t>
      </w:r>
      <w:r w:rsidRPr="00AE72D2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AE72D2">
        <w:rPr>
          <w:rFonts w:eastAsia="Times New Roman" w:cs="Arial"/>
          <w:color w:val="000000"/>
          <w:szCs w:val="20"/>
          <w:lang w:eastAsia="bg-BG"/>
        </w:rPr>
        <w:t>могат да променят ефикасността на метформин.</w:t>
      </w:r>
    </w:p>
    <w:p w14:paraId="56020868" w14:textId="77777777" w:rsidR="00AE72D2" w:rsidRPr="00AE72D2" w:rsidRDefault="00AE72D2" w:rsidP="00AE72D2"/>
    <w:p w14:paraId="6EADE4D6" w14:textId="7A855189" w:rsidR="00395555" w:rsidRDefault="002C50EE" w:rsidP="008A6AF2">
      <w:pPr>
        <w:pStyle w:val="Heading2"/>
      </w:pPr>
      <w:r>
        <w:t>4.6. Фертилитет, бременност и кърмене</w:t>
      </w:r>
    </w:p>
    <w:p w14:paraId="6795E995" w14:textId="7D2ED9DC" w:rsidR="00AE72D2" w:rsidRDefault="00AE72D2" w:rsidP="00AE72D2"/>
    <w:p w14:paraId="5B6EB9E1" w14:textId="77777777" w:rsidR="00AE72D2" w:rsidRPr="00AE72D2" w:rsidRDefault="00AE72D2" w:rsidP="00AE72D2">
      <w:pPr>
        <w:pStyle w:val="Heading3"/>
        <w:rPr>
          <w:rFonts w:eastAsia="Times New Roman"/>
          <w:u w:val="single"/>
        </w:rPr>
      </w:pPr>
      <w:r w:rsidRPr="00AE72D2">
        <w:rPr>
          <w:rFonts w:eastAsia="Times New Roman"/>
          <w:u w:val="single"/>
          <w:lang w:eastAsia="bg-BG"/>
        </w:rPr>
        <w:t>Бременност</w:t>
      </w:r>
    </w:p>
    <w:p w14:paraId="517F4518" w14:textId="77777777" w:rsidR="00AE72D2" w:rsidRPr="00AE72D2" w:rsidRDefault="00AE72D2" w:rsidP="00AE72D2">
      <w:pPr>
        <w:rPr>
          <w:sz w:val="24"/>
          <w:szCs w:val="24"/>
        </w:rPr>
      </w:pPr>
      <w:r w:rsidRPr="00AE72D2">
        <w:rPr>
          <w:lang w:eastAsia="bg-BG"/>
        </w:rPr>
        <w:t>Неконтролираният диабет по време на бременност (гестационен или хроничен) се свързва с увеличен риск от вродени дефекти или перинатална смъртност.</w:t>
      </w:r>
    </w:p>
    <w:p w14:paraId="1A8A9DB6" w14:textId="77777777" w:rsidR="00AE72D2" w:rsidRPr="00AE72D2" w:rsidRDefault="00AE72D2" w:rsidP="00AE72D2">
      <w:pPr>
        <w:rPr>
          <w:sz w:val="24"/>
          <w:szCs w:val="24"/>
        </w:rPr>
      </w:pPr>
      <w:r w:rsidRPr="00AE72D2">
        <w:rPr>
          <w:lang w:eastAsia="bg-BG"/>
        </w:rPr>
        <w:t>Наличните ограничени данни от употребата на метформин при бременни жени не показват увеличен риск от вродени дефекти. Проучванията с животни не показват вреден ефект по отношение на бременността, ембрионалното и феталното развитие, по време на раждане и при постнаталното развитие.</w:t>
      </w:r>
    </w:p>
    <w:p w14:paraId="52D1097C" w14:textId="77777777" w:rsidR="00AE72D2" w:rsidRPr="00AE72D2" w:rsidRDefault="00AE72D2" w:rsidP="00AE72D2">
      <w:pPr>
        <w:rPr>
          <w:sz w:val="24"/>
          <w:szCs w:val="24"/>
        </w:rPr>
      </w:pPr>
      <w:r w:rsidRPr="00AE72D2">
        <w:rPr>
          <w:lang w:eastAsia="bg-BG"/>
        </w:rPr>
        <w:t>Ако пациентката планира да забременее, както и по време на бременността, се препоръчва диабетът да не се лекува с метформин, а за поддържане на нивата на кръвната захар близо до нормата трябва да се използва инсулин с цел намаление на риска от малформации на плода.</w:t>
      </w:r>
    </w:p>
    <w:p w14:paraId="6DE83B6A" w14:textId="77777777" w:rsidR="00AE72D2" w:rsidRDefault="00AE72D2" w:rsidP="00AE72D2">
      <w:pPr>
        <w:rPr>
          <w:lang w:eastAsia="bg-BG"/>
        </w:rPr>
      </w:pPr>
    </w:p>
    <w:p w14:paraId="3865C6FE" w14:textId="428470CD" w:rsidR="00AE72D2" w:rsidRPr="00AE72D2" w:rsidRDefault="00AE72D2" w:rsidP="00AE72D2">
      <w:pPr>
        <w:pStyle w:val="Heading3"/>
        <w:rPr>
          <w:rFonts w:eastAsia="Times New Roman"/>
          <w:u w:val="single"/>
        </w:rPr>
      </w:pPr>
      <w:r w:rsidRPr="00AE72D2">
        <w:rPr>
          <w:rFonts w:eastAsia="Times New Roman"/>
          <w:u w:val="single"/>
          <w:lang w:eastAsia="bg-BG"/>
        </w:rPr>
        <w:t>Кърмене</w:t>
      </w:r>
    </w:p>
    <w:p w14:paraId="338FDC29" w14:textId="77777777" w:rsidR="00AE72D2" w:rsidRPr="00AE72D2" w:rsidRDefault="00AE72D2" w:rsidP="00AE72D2">
      <w:pPr>
        <w:rPr>
          <w:sz w:val="24"/>
          <w:szCs w:val="24"/>
        </w:rPr>
      </w:pPr>
      <w:r w:rsidRPr="00AE72D2">
        <w:rPr>
          <w:lang w:eastAsia="bg-BG"/>
        </w:rPr>
        <w:t>Метформин се излъчва в кърмата при хора. Не са проявени ефекти на метформин при кърмените новородени и кърмачета на лекуваните майки. Въпреки това, тъй като са налични ограничени данни, не се препоръчва кърмене по време на лечение с метформинов хидрохлорид. Решението да се преустанови кърменето трябва да се направи въз основа на ползата от кърменето и потенциалния риск за детето от нежелани реакции.</w:t>
      </w:r>
    </w:p>
    <w:p w14:paraId="48C4D74D" w14:textId="77777777" w:rsidR="00AE72D2" w:rsidRDefault="00AE72D2" w:rsidP="00AE72D2">
      <w:pPr>
        <w:rPr>
          <w:lang w:eastAsia="bg-BG"/>
        </w:rPr>
      </w:pPr>
    </w:p>
    <w:p w14:paraId="30FDDB3A" w14:textId="66D3071D" w:rsidR="00AE72D2" w:rsidRPr="00AE72D2" w:rsidRDefault="00AE72D2" w:rsidP="00AE72D2">
      <w:pPr>
        <w:pStyle w:val="Heading3"/>
        <w:rPr>
          <w:rFonts w:eastAsia="Times New Roman"/>
          <w:u w:val="single"/>
        </w:rPr>
      </w:pPr>
      <w:r w:rsidRPr="00AE72D2">
        <w:rPr>
          <w:rFonts w:eastAsia="Times New Roman"/>
          <w:u w:val="single"/>
          <w:lang w:eastAsia="bg-BG"/>
        </w:rPr>
        <w:t>Фертилитет</w:t>
      </w:r>
    </w:p>
    <w:p w14:paraId="0968B9DF" w14:textId="1405D33B" w:rsidR="00AE72D2" w:rsidRDefault="00AE72D2" w:rsidP="00AE72D2">
      <w:pPr>
        <w:rPr>
          <w:lang w:eastAsia="bg-BG"/>
        </w:rPr>
      </w:pPr>
      <w:r w:rsidRPr="00AE72D2">
        <w:rPr>
          <w:lang w:eastAsia="bg-BG"/>
        </w:rPr>
        <w:t xml:space="preserve">Фертилитетът на мъжки или женски плъхове не е засегнат при приложение на метформин в дози до 600 </w:t>
      </w:r>
      <w:r w:rsidRPr="00AE72D2">
        <w:rPr>
          <w:lang w:val="en-US"/>
        </w:rPr>
        <w:t>mg</w:t>
      </w:r>
      <w:r w:rsidRPr="00AE72D2">
        <w:rPr>
          <w:lang w:val="ru-RU"/>
        </w:rPr>
        <w:t>/</w:t>
      </w:r>
      <w:r w:rsidRPr="00AE72D2">
        <w:rPr>
          <w:lang w:val="en-US"/>
        </w:rPr>
        <w:t>kg</w:t>
      </w:r>
      <w:r w:rsidRPr="00AE72D2">
        <w:rPr>
          <w:lang w:eastAsia="bg-BG"/>
        </w:rPr>
        <w:t>/ден, което е приблизително три пъти над максималната препоръчителна дневна доза при хора при сравнение с площ на телесна повърхност.</w:t>
      </w:r>
    </w:p>
    <w:p w14:paraId="3E85288B" w14:textId="77777777" w:rsidR="00AE72D2" w:rsidRPr="00AE72D2" w:rsidRDefault="00AE72D2" w:rsidP="00AE72D2"/>
    <w:p w14:paraId="5766770B" w14:textId="1571397C" w:rsidR="00395555" w:rsidRDefault="002C50EE" w:rsidP="008A6AF2">
      <w:pPr>
        <w:pStyle w:val="Heading2"/>
      </w:pPr>
      <w:r>
        <w:t>4.7. Ефекти върху способността за шофиране и работа с машини</w:t>
      </w:r>
    </w:p>
    <w:p w14:paraId="33B70D7C" w14:textId="108D13CF" w:rsidR="00AE72D2" w:rsidRDefault="00AE72D2" w:rsidP="00AE72D2"/>
    <w:p w14:paraId="68277E88" w14:textId="77777777" w:rsidR="00AE72D2" w:rsidRPr="00AE72D2" w:rsidRDefault="00AE72D2" w:rsidP="00AE72D2">
      <w:pPr>
        <w:rPr>
          <w:sz w:val="24"/>
          <w:szCs w:val="24"/>
        </w:rPr>
      </w:pPr>
      <w:r w:rsidRPr="00AE72D2">
        <w:rPr>
          <w:lang w:eastAsia="bg-BG"/>
        </w:rPr>
        <w:t>Монотерапията с метформин не води до хипогликемия и поради това няма или повлиява пренебрежимо способността за шофиране и работа с машини. Независимо от това, пациентите трябва да бъдат предупредени за риска от хипогликемия, когато метформин се използва в комбинация с други антидиабетни лекарства (напр. сулфанилурейни, инсулин или меглитиниди).</w:t>
      </w:r>
    </w:p>
    <w:p w14:paraId="0F3DA3CD" w14:textId="77777777" w:rsidR="00AE72D2" w:rsidRPr="00AE72D2" w:rsidRDefault="00AE72D2" w:rsidP="00AE72D2"/>
    <w:p w14:paraId="4FE16E21" w14:textId="4E2E06D4" w:rsidR="00395555" w:rsidRDefault="002C50EE" w:rsidP="008A6AF2">
      <w:pPr>
        <w:pStyle w:val="Heading2"/>
      </w:pPr>
      <w:r>
        <w:t>4.8. Нежелани лекарствени реакции</w:t>
      </w:r>
    </w:p>
    <w:p w14:paraId="56C8C5E3" w14:textId="6F5C6B41" w:rsidR="00AE72D2" w:rsidRDefault="00AE72D2" w:rsidP="00AE72D2"/>
    <w:p w14:paraId="118C4B8F" w14:textId="77777777" w:rsidR="00AE72D2" w:rsidRPr="00AE72D2" w:rsidRDefault="00AE72D2" w:rsidP="00AE72D2">
      <w:pPr>
        <w:spacing w:line="240" w:lineRule="auto"/>
        <w:rPr>
          <w:rFonts w:eastAsia="Times New Roman" w:cs="Arial"/>
        </w:rPr>
      </w:pPr>
      <w:r w:rsidRPr="00AE72D2">
        <w:rPr>
          <w:rFonts w:eastAsia="Times New Roman" w:cs="Arial"/>
          <w:color w:val="000000"/>
          <w:lang w:eastAsia="bg-BG"/>
        </w:rPr>
        <w:t>Следните нежелани реакции може да възникнат при лечение с метформин. Честотата се определя както следва:</w:t>
      </w:r>
    </w:p>
    <w:p w14:paraId="4E3B775A" w14:textId="77777777" w:rsidR="00AE72D2" w:rsidRPr="00AE72D2" w:rsidRDefault="00AE72D2" w:rsidP="00AE72D2">
      <w:pPr>
        <w:spacing w:line="240" w:lineRule="auto"/>
        <w:rPr>
          <w:rFonts w:eastAsia="Times New Roman" w:cs="Arial"/>
        </w:rPr>
      </w:pPr>
      <w:r w:rsidRPr="00AE72D2">
        <w:rPr>
          <w:rFonts w:eastAsia="Times New Roman" w:cs="Arial"/>
          <w:color w:val="000000"/>
          <w:lang w:eastAsia="bg-BG"/>
        </w:rPr>
        <w:t>Много чести:</w:t>
      </w:r>
      <w:r w:rsidRPr="00AE72D2">
        <w:rPr>
          <w:rFonts w:eastAsia="Times New Roman" w:cs="Arial"/>
          <w:color w:val="000000"/>
          <w:lang w:eastAsia="bg-BG"/>
        </w:rPr>
        <w:tab/>
        <w:t>(≥1/10)</w:t>
      </w:r>
    </w:p>
    <w:p w14:paraId="5A5E9FB2" w14:textId="77777777" w:rsidR="00AE72D2" w:rsidRPr="00AE72D2" w:rsidRDefault="00AE72D2" w:rsidP="00AE72D2">
      <w:pPr>
        <w:spacing w:line="240" w:lineRule="auto"/>
        <w:rPr>
          <w:rFonts w:eastAsia="Times New Roman" w:cs="Arial"/>
        </w:rPr>
      </w:pPr>
      <w:r w:rsidRPr="00AE72D2">
        <w:rPr>
          <w:rFonts w:eastAsia="Times New Roman" w:cs="Arial"/>
          <w:color w:val="000000"/>
          <w:lang w:eastAsia="bg-BG"/>
        </w:rPr>
        <w:t>Чести:</w:t>
      </w:r>
      <w:r w:rsidRPr="00AE72D2">
        <w:rPr>
          <w:rFonts w:eastAsia="Times New Roman" w:cs="Arial"/>
          <w:color w:val="000000"/>
          <w:lang w:eastAsia="bg-BG"/>
        </w:rPr>
        <w:tab/>
        <w:t>(≥1/100, &lt; 1/10)</w:t>
      </w:r>
    </w:p>
    <w:p w14:paraId="7B214DFF" w14:textId="77777777" w:rsidR="00AE72D2" w:rsidRPr="00AE72D2" w:rsidRDefault="00AE72D2" w:rsidP="00AE72D2">
      <w:pPr>
        <w:spacing w:line="240" w:lineRule="auto"/>
        <w:rPr>
          <w:rFonts w:eastAsia="Times New Roman" w:cs="Arial"/>
        </w:rPr>
      </w:pPr>
      <w:r w:rsidRPr="00AE72D2">
        <w:rPr>
          <w:rFonts w:eastAsia="Times New Roman" w:cs="Arial"/>
          <w:color w:val="000000"/>
          <w:lang w:eastAsia="bg-BG"/>
        </w:rPr>
        <w:t>Нечести:</w:t>
      </w:r>
      <w:r w:rsidRPr="00AE72D2">
        <w:rPr>
          <w:rFonts w:eastAsia="Times New Roman" w:cs="Arial"/>
          <w:color w:val="000000"/>
          <w:lang w:eastAsia="bg-BG"/>
        </w:rPr>
        <w:tab/>
        <w:t>(≥1/1000, &lt; 1/100)</w:t>
      </w:r>
    </w:p>
    <w:p w14:paraId="47BA23C7" w14:textId="77777777" w:rsidR="00AE72D2" w:rsidRPr="00AE72D2" w:rsidRDefault="00AE72D2" w:rsidP="00AE72D2">
      <w:pPr>
        <w:spacing w:line="240" w:lineRule="auto"/>
        <w:rPr>
          <w:rFonts w:eastAsia="Times New Roman" w:cs="Arial"/>
        </w:rPr>
      </w:pPr>
      <w:r w:rsidRPr="00AE72D2">
        <w:rPr>
          <w:rFonts w:eastAsia="Times New Roman" w:cs="Arial"/>
          <w:color w:val="000000"/>
          <w:lang w:eastAsia="bg-BG"/>
        </w:rPr>
        <w:t>Редки:</w:t>
      </w:r>
      <w:r w:rsidRPr="00AE72D2">
        <w:rPr>
          <w:rFonts w:eastAsia="Times New Roman" w:cs="Arial"/>
          <w:color w:val="000000"/>
          <w:lang w:eastAsia="bg-BG"/>
        </w:rPr>
        <w:tab/>
        <w:t>(≥1/10 000, &lt; 1/1000)</w:t>
      </w:r>
    </w:p>
    <w:p w14:paraId="4AFB51C0" w14:textId="77777777" w:rsidR="00AE72D2" w:rsidRPr="00AE72D2" w:rsidRDefault="00AE72D2" w:rsidP="00AE72D2">
      <w:pPr>
        <w:spacing w:line="240" w:lineRule="auto"/>
        <w:rPr>
          <w:rFonts w:eastAsia="Times New Roman" w:cs="Arial"/>
        </w:rPr>
      </w:pPr>
      <w:r w:rsidRPr="00AE72D2">
        <w:rPr>
          <w:rFonts w:eastAsia="Times New Roman" w:cs="Arial"/>
          <w:color w:val="000000"/>
          <w:lang w:eastAsia="bg-BG"/>
        </w:rPr>
        <w:lastRenderedPageBreak/>
        <w:t>Много редки:</w:t>
      </w:r>
      <w:r w:rsidRPr="00AE72D2">
        <w:rPr>
          <w:rFonts w:eastAsia="Times New Roman" w:cs="Arial"/>
          <w:color w:val="000000"/>
          <w:lang w:eastAsia="bg-BG"/>
        </w:rPr>
        <w:tab/>
        <w:t>(&lt;1/10 000)</w:t>
      </w:r>
    </w:p>
    <w:p w14:paraId="267BFF07" w14:textId="77777777" w:rsidR="00AE72D2" w:rsidRPr="00AE72D2" w:rsidRDefault="00AE72D2" w:rsidP="00AE72D2">
      <w:pPr>
        <w:spacing w:line="240" w:lineRule="auto"/>
        <w:rPr>
          <w:rFonts w:eastAsia="Times New Roman" w:cs="Arial"/>
        </w:rPr>
      </w:pPr>
      <w:r w:rsidRPr="00AE72D2">
        <w:rPr>
          <w:rFonts w:eastAsia="Times New Roman" w:cs="Arial"/>
          <w:color w:val="000000"/>
          <w:lang w:eastAsia="bg-BG"/>
        </w:rPr>
        <w:t>С неизвестна честота: (честотата не може да се определи от наличните данни)</w:t>
      </w:r>
    </w:p>
    <w:p w14:paraId="4E0D850F" w14:textId="77777777" w:rsidR="00AE72D2" w:rsidRPr="00AE72D2" w:rsidRDefault="00AE72D2" w:rsidP="00AE72D2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DF385EF" w14:textId="6B76F7CE" w:rsidR="00AE72D2" w:rsidRPr="00AE72D2" w:rsidRDefault="00AE72D2" w:rsidP="00AE72D2">
      <w:pPr>
        <w:spacing w:line="240" w:lineRule="auto"/>
        <w:rPr>
          <w:rFonts w:eastAsia="Times New Roman" w:cs="Arial"/>
        </w:rPr>
      </w:pPr>
      <w:r w:rsidRPr="00AE72D2">
        <w:rPr>
          <w:rFonts w:eastAsia="Times New Roman" w:cs="Arial"/>
          <w:color w:val="000000"/>
          <w:u w:val="single"/>
          <w:lang w:eastAsia="bg-BG"/>
        </w:rPr>
        <w:t>Нарушения на метаболизма и храненето</w:t>
      </w:r>
    </w:p>
    <w:p w14:paraId="02660C3A" w14:textId="77777777" w:rsidR="00AE72D2" w:rsidRPr="00AE72D2" w:rsidRDefault="00AE72D2" w:rsidP="00AE72D2">
      <w:pPr>
        <w:spacing w:line="240" w:lineRule="auto"/>
        <w:rPr>
          <w:rFonts w:eastAsia="Times New Roman" w:cs="Arial"/>
        </w:rPr>
      </w:pPr>
      <w:r w:rsidRPr="00AE72D2">
        <w:rPr>
          <w:rFonts w:eastAsia="Times New Roman" w:cs="Arial"/>
          <w:i/>
          <w:iCs/>
          <w:color w:val="000000"/>
          <w:lang w:eastAsia="bg-BG"/>
        </w:rPr>
        <w:t>Много редки:</w:t>
      </w:r>
    </w:p>
    <w:p w14:paraId="1FEFBDDA" w14:textId="3FB2DA75" w:rsidR="00AE72D2" w:rsidRPr="00AE72D2" w:rsidRDefault="00AE72D2" w:rsidP="00AE72D2">
      <w:pPr>
        <w:pStyle w:val="ListParagraph"/>
        <w:numPr>
          <w:ilvl w:val="1"/>
          <w:numId w:val="37"/>
        </w:numPr>
        <w:spacing w:line="240" w:lineRule="auto"/>
        <w:rPr>
          <w:rFonts w:eastAsia="Times New Roman" w:cs="Arial"/>
        </w:rPr>
      </w:pPr>
      <w:r w:rsidRPr="00AE72D2">
        <w:rPr>
          <w:rFonts w:eastAsia="Times New Roman" w:cs="Arial"/>
          <w:color w:val="000000"/>
          <w:lang w:eastAsia="bg-BG"/>
        </w:rPr>
        <w:t>лактатна ацидоза (вижте точка 4.4);</w:t>
      </w:r>
    </w:p>
    <w:p w14:paraId="4B531130" w14:textId="723A13A3" w:rsidR="00AE72D2" w:rsidRPr="00AE72D2" w:rsidRDefault="00AE72D2" w:rsidP="00AE72D2">
      <w:pPr>
        <w:pStyle w:val="ListParagraph"/>
        <w:numPr>
          <w:ilvl w:val="1"/>
          <w:numId w:val="37"/>
        </w:numPr>
        <w:spacing w:line="240" w:lineRule="auto"/>
        <w:rPr>
          <w:rFonts w:eastAsia="Times New Roman" w:cs="Arial"/>
        </w:rPr>
      </w:pPr>
      <w:r w:rsidRPr="00AE72D2">
        <w:rPr>
          <w:rFonts w:eastAsia="Times New Roman" w:cs="Arial"/>
          <w:color w:val="000000"/>
          <w:lang w:eastAsia="bg-BG"/>
        </w:rPr>
        <w:t>понижена абсорбция на витамин В12 с понижени плазмени нива при продължителна употреба на метформин. Тази етиология е препоръчително да се има предвид, ако пациентът страда от мегалобластна анемия.</w:t>
      </w:r>
    </w:p>
    <w:p w14:paraId="5361D6B6" w14:textId="77777777" w:rsidR="00AE72D2" w:rsidRPr="00AE72D2" w:rsidRDefault="00AE72D2" w:rsidP="00AE72D2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4CC749BC" w14:textId="3102CC3C" w:rsidR="00AE72D2" w:rsidRPr="00AE72D2" w:rsidRDefault="00AE72D2" w:rsidP="00AE72D2">
      <w:pPr>
        <w:spacing w:line="240" w:lineRule="auto"/>
        <w:rPr>
          <w:rFonts w:eastAsia="Times New Roman" w:cs="Arial"/>
        </w:rPr>
      </w:pPr>
      <w:r w:rsidRPr="00AE72D2">
        <w:rPr>
          <w:rFonts w:eastAsia="Times New Roman" w:cs="Arial"/>
          <w:color w:val="000000"/>
          <w:u w:val="single"/>
          <w:lang w:eastAsia="bg-BG"/>
        </w:rPr>
        <w:t>Нарушения на нервната система</w:t>
      </w:r>
    </w:p>
    <w:p w14:paraId="14648F56" w14:textId="77777777" w:rsidR="00AE72D2" w:rsidRPr="00AE72D2" w:rsidRDefault="00AE72D2" w:rsidP="00AE72D2">
      <w:pPr>
        <w:spacing w:line="240" w:lineRule="auto"/>
        <w:rPr>
          <w:rFonts w:eastAsia="Times New Roman" w:cs="Arial"/>
        </w:rPr>
      </w:pPr>
      <w:r w:rsidRPr="00AE72D2">
        <w:rPr>
          <w:rFonts w:eastAsia="Times New Roman" w:cs="Arial"/>
          <w:i/>
          <w:iCs/>
          <w:color w:val="000000"/>
          <w:lang w:eastAsia="bg-BG"/>
        </w:rPr>
        <w:t>Чести:</w:t>
      </w:r>
    </w:p>
    <w:p w14:paraId="70DB8824" w14:textId="4A75F86A" w:rsidR="00AE72D2" w:rsidRPr="00AE72D2" w:rsidRDefault="00AE72D2" w:rsidP="00AE72D2">
      <w:pPr>
        <w:pStyle w:val="ListParagraph"/>
        <w:numPr>
          <w:ilvl w:val="1"/>
          <w:numId w:val="37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AE72D2">
        <w:rPr>
          <w:rFonts w:eastAsia="Times New Roman" w:cs="Arial"/>
          <w:color w:val="000000"/>
          <w:lang w:eastAsia="bg-BG"/>
        </w:rPr>
        <w:t>нарушения на вкуса</w:t>
      </w:r>
    </w:p>
    <w:p w14:paraId="2BB0EF36" w14:textId="3DD5BF10" w:rsidR="00AE72D2" w:rsidRPr="00AE72D2" w:rsidRDefault="00AE72D2" w:rsidP="00AE72D2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3C76AC0A" w14:textId="77777777" w:rsidR="00AE72D2" w:rsidRPr="00AE72D2" w:rsidRDefault="00AE72D2" w:rsidP="00AE72D2">
      <w:pPr>
        <w:spacing w:line="240" w:lineRule="auto"/>
        <w:rPr>
          <w:rFonts w:eastAsia="Times New Roman" w:cs="Arial"/>
        </w:rPr>
      </w:pPr>
      <w:r w:rsidRPr="00AE72D2">
        <w:rPr>
          <w:rFonts w:eastAsia="Times New Roman" w:cs="Arial"/>
          <w:color w:val="000000"/>
          <w:u w:val="single"/>
          <w:lang w:eastAsia="bg-BG"/>
        </w:rPr>
        <w:t>Стомашно-чревни нарушения</w:t>
      </w:r>
    </w:p>
    <w:p w14:paraId="2FB2E223" w14:textId="77777777" w:rsidR="00AE72D2" w:rsidRPr="00AE72D2" w:rsidRDefault="00AE72D2" w:rsidP="00AE72D2">
      <w:pPr>
        <w:spacing w:line="240" w:lineRule="auto"/>
        <w:rPr>
          <w:rFonts w:eastAsia="Times New Roman" w:cs="Arial"/>
        </w:rPr>
      </w:pPr>
      <w:r w:rsidRPr="00AE72D2">
        <w:rPr>
          <w:rFonts w:eastAsia="Times New Roman" w:cs="Arial"/>
          <w:i/>
          <w:iCs/>
          <w:color w:val="000000"/>
          <w:lang w:eastAsia="bg-BG"/>
        </w:rPr>
        <w:t>Много чести:</w:t>
      </w:r>
    </w:p>
    <w:p w14:paraId="7C9A1EC5" w14:textId="45FB8CD4" w:rsidR="00AE72D2" w:rsidRPr="00AE72D2" w:rsidRDefault="00AE72D2" w:rsidP="00AE72D2">
      <w:pPr>
        <w:pStyle w:val="ListParagraph"/>
        <w:numPr>
          <w:ilvl w:val="1"/>
          <w:numId w:val="37"/>
        </w:numPr>
        <w:spacing w:line="240" w:lineRule="auto"/>
        <w:rPr>
          <w:rFonts w:eastAsia="Times New Roman" w:cs="Arial"/>
        </w:rPr>
      </w:pPr>
      <w:r w:rsidRPr="00AE72D2">
        <w:rPr>
          <w:rFonts w:eastAsia="Times New Roman" w:cs="Arial"/>
          <w:color w:val="000000"/>
          <w:lang w:eastAsia="bg-BG"/>
        </w:rPr>
        <w:t>Стомашно-чревни нарушения като гадене, повръщане, диария, коремна болка и загуба на апетит. Тези нежелани ефекти се наблюдават най-често в началото на лечението и в повечето случаи отшумяват спонтанно. За да се профилактират, се препоръчва метформин да се приема 2-3 пъти дневно по време или след хранене. Постепенното повишение на дозата също може да подобри стомашно-чревната поносимост.</w:t>
      </w:r>
    </w:p>
    <w:p w14:paraId="01D16A31" w14:textId="77777777" w:rsidR="00AE72D2" w:rsidRPr="00AE72D2" w:rsidRDefault="00AE72D2" w:rsidP="00AE72D2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3F9B6566" w14:textId="1879557D" w:rsidR="00AE72D2" w:rsidRPr="00AE72D2" w:rsidRDefault="00AE72D2" w:rsidP="00AE72D2">
      <w:pPr>
        <w:spacing w:line="240" w:lineRule="auto"/>
        <w:rPr>
          <w:rFonts w:eastAsia="Times New Roman" w:cs="Arial"/>
        </w:rPr>
      </w:pPr>
      <w:r w:rsidRPr="00AE72D2">
        <w:rPr>
          <w:rFonts w:eastAsia="Times New Roman" w:cs="Arial"/>
          <w:color w:val="000000"/>
          <w:u w:val="single"/>
          <w:lang w:eastAsia="bg-BG"/>
        </w:rPr>
        <w:t>Хепато-билиарни нарушения</w:t>
      </w:r>
    </w:p>
    <w:p w14:paraId="478DE161" w14:textId="77777777" w:rsidR="00AE72D2" w:rsidRPr="00AE72D2" w:rsidRDefault="00AE72D2" w:rsidP="00AE72D2">
      <w:pPr>
        <w:spacing w:line="240" w:lineRule="auto"/>
        <w:rPr>
          <w:rFonts w:eastAsia="Times New Roman" w:cs="Arial"/>
        </w:rPr>
      </w:pPr>
      <w:r w:rsidRPr="00AE72D2">
        <w:rPr>
          <w:rFonts w:eastAsia="Times New Roman" w:cs="Arial"/>
          <w:i/>
          <w:iCs/>
          <w:color w:val="000000"/>
          <w:lang w:eastAsia="bg-BG"/>
        </w:rPr>
        <w:t>Много редки:</w:t>
      </w:r>
    </w:p>
    <w:p w14:paraId="290C3296" w14:textId="4C4283E8" w:rsidR="00AE72D2" w:rsidRPr="00AE72D2" w:rsidRDefault="00AE72D2" w:rsidP="00AE72D2">
      <w:pPr>
        <w:pStyle w:val="ListParagraph"/>
        <w:numPr>
          <w:ilvl w:val="1"/>
          <w:numId w:val="37"/>
        </w:numPr>
        <w:spacing w:line="240" w:lineRule="auto"/>
        <w:rPr>
          <w:rFonts w:eastAsia="Times New Roman" w:cs="Arial"/>
        </w:rPr>
      </w:pPr>
      <w:r w:rsidRPr="00AE72D2">
        <w:rPr>
          <w:rFonts w:eastAsia="Times New Roman" w:cs="Arial"/>
          <w:color w:val="000000"/>
          <w:lang w:eastAsia="bg-BG"/>
        </w:rPr>
        <w:t>Изолирани съобщения за отклонения в изследванията на чернодробната функция или хепатит, които преминават след преустановяване на лечението с метформинов хидрохлорид</w:t>
      </w:r>
    </w:p>
    <w:p w14:paraId="09F1B354" w14:textId="77777777" w:rsidR="00AE72D2" w:rsidRPr="00AE72D2" w:rsidRDefault="00AE72D2" w:rsidP="00AE72D2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53FD70FE" w14:textId="41703D6F" w:rsidR="00AE72D2" w:rsidRPr="00AE72D2" w:rsidRDefault="00AE72D2" w:rsidP="00AE72D2">
      <w:pPr>
        <w:spacing w:line="240" w:lineRule="auto"/>
        <w:rPr>
          <w:rFonts w:eastAsia="Times New Roman" w:cs="Arial"/>
        </w:rPr>
      </w:pPr>
      <w:r w:rsidRPr="00AE72D2">
        <w:rPr>
          <w:rFonts w:eastAsia="Times New Roman" w:cs="Arial"/>
          <w:color w:val="000000"/>
          <w:u w:val="single"/>
          <w:lang w:eastAsia="bg-BG"/>
        </w:rPr>
        <w:t>Нарушения на кожата и подкожната тъкан</w:t>
      </w:r>
    </w:p>
    <w:p w14:paraId="3CE4AB92" w14:textId="77777777" w:rsidR="00AE72D2" w:rsidRPr="00AE72D2" w:rsidRDefault="00AE72D2" w:rsidP="00AE72D2">
      <w:pPr>
        <w:spacing w:line="240" w:lineRule="auto"/>
        <w:rPr>
          <w:rFonts w:eastAsia="Times New Roman" w:cs="Arial"/>
        </w:rPr>
      </w:pPr>
      <w:r w:rsidRPr="00AE72D2">
        <w:rPr>
          <w:rFonts w:eastAsia="Times New Roman" w:cs="Arial"/>
          <w:i/>
          <w:iCs/>
          <w:color w:val="000000"/>
          <w:lang w:eastAsia="bg-BG"/>
        </w:rPr>
        <w:t>Много редки:</w:t>
      </w:r>
    </w:p>
    <w:p w14:paraId="2B96DE13" w14:textId="49CE2EDE" w:rsidR="00AE72D2" w:rsidRPr="00AE72D2" w:rsidRDefault="00AE72D2" w:rsidP="00AE72D2">
      <w:pPr>
        <w:pStyle w:val="ListParagraph"/>
        <w:numPr>
          <w:ilvl w:val="1"/>
          <w:numId w:val="37"/>
        </w:numPr>
        <w:spacing w:line="240" w:lineRule="auto"/>
        <w:rPr>
          <w:rFonts w:eastAsia="Times New Roman" w:cs="Arial"/>
        </w:rPr>
      </w:pPr>
      <w:r w:rsidRPr="00AE72D2">
        <w:rPr>
          <w:rFonts w:eastAsia="Times New Roman" w:cs="Arial"/>
          <w:color w:val="000000"/>
          <w:lang w:eastAsia="bg-BG"/>
        </w:rPr>
        <w:t>Кожни реакции като еритема, пруритус, уртикария.</w:t>
      </w:r>
    </w:p>
    <w:p w14:paraId="4982FEA8" w14:textId="77777777" w:rsidR="00AE72D2" w:rsidRPr="00AE72D2" w:rsidRDefault="00AE72D2" w:rsidP="00AE72D2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55D2572B" w14:textId="40A65E78" w:rsidR="00AE72D2" w:rsidRPr="00AE72D2" w:rsidRDefault="00AE72D2" w:rsidP="00AE72D2">
      <w:pPr>
        <w:spacing w:line="240" w:lineRule="auto"/>
        <w:rPr>
          <w:rFonts w:eastAsia="Times New Roman" w:cs="Arial"/>
        </w:rPr>
      </w:pPr>
      <w:r w:rsidRPr="00AE72D2">
        <w:rPr>
          <w:rFonts w:eastAsia="Times New Roman" w:cs="Arial"/>
          <w:color w:val="000000"/>
          <w:u w:val="single"/>
          <w:lang w:eastAsia="bg-BG"/>
        </w:rPr>
        <w:t>Педиатрична популация</w:t>
      </w:r>
    </w:p>
    <w:p w14:paraId="0166E56A" w14:textId="77777777" w:rsidR="00AE72D2" w:rsidRPr="00AE72D2" w:rsidRDefault="00AE72D2" w:rsidP="00AE72D2">
      <w:pPr>
        <w:spacing w:line="240" w:lineRule="auto"/>
        <w:rPr>
          <w:rFonts w:eastAsia="Times New Roman" w:cs="Arial"/>
        </w:rPr>
      </w:pPr>
      <w:r w:rsidRPr="00AE72D2">
        <w:rPr>
          <w:rFonts w:eastAsia="Times New Roman" w:cs="Arial"/>
          <w:color w:val="000000"/>
          <w:lang w:eastAsia="bg-BG"/>
        </w:rPr>
        <w:t>В публикуваните и постаркетингови данни, както и в контролирани клинични проучвания в ограничена педиатрична популация между 10 и 16 години, лекувани в продължение на една година, докладваните нежеланите събития са подобни по вид и тежест на тези, съобщавани при възрастни пациенти.</w:t>
      </w:r>
    </w:p>
    <w:p w14:paraId="28D2F8FA" w14:textId="77777777" w:rsidR="00AE72D2" w:rsidRPr="00AE72D2" w:rsidRDefault="00AE72D2" w:rsidP="00AE72D2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37BD059" w14:textId="727FB86C" w:rsidR="00AE72D2" w:rsidRPr="00AE72D2" w:rsidRDefault="00AE72D2" w:rsidP="00AE72D2">
      <w:pPr>
        <w:spacing w:line="240" w:lineRule="auto"/>
        <w:rPr>
          <w:rFonts w:eastAsia="Times New Roman" w:cs="Arial"/>
        </w:rPr>
      </w:pPr>
      <w:r w:rsidRPr="00AE72D2">
        <w:rPr>
          <w:rFonts w:eastAsia="Times New Roman" w:cs="Arial"/>
          <w:color w:val="000000"/>
          <w:u w:val="single"/>
          <w:lang w:eastAsia="bg-BG"/>
        </w:rPr>
        <w:t>Съобщаване на подозирани нежелани реакции</w:t>
      </w:r>
    </w:p>
    <w:p w14:paraId="1FF4D30E" w14:textId="77777777" w:rsidR="00AE72D2" w:rsidRPr="00AE72D2" w:rsidRDefault="00AE72D2" w:rsidP="00AE72D2">
      <w:pPr>
        <w:spacing w:line="240" w:lineRule="auto"/>
        <w:rPr>
          <w:rFonts w:eastAsia="Times New Roman" w:cs="Arial"/>
        </w:rPr>
      </w:pPr>
      <w:r w:rsidRPr="00AE72D2">
        <w:rPr>
          <w:rFonts w:eastAsia="Times New Roman" w:cs="Arial"/>
          <w:color w:val="000000"/>
          <w:lang w:eastAsia="bg-BG"/>
        </w:rPr>
        <w:t>Съобщаването на подозирани нежелани реакции след разрешаване за употреба на лекарствения продукт е важно. Това позволява да продължи наблюдението на съотношението полза/риск за лекарствения продукт. От медицинските специалисти се изисква да съобщават всяка подозирана нежелана реакция чрез национална система за съобщаване:</w:t>
      </w:r>
    </w:p>
    <w:p w14:paraId="15297525" w14:textId="77777777" w:rsidR="00AE72D2" w:rsidRPr="00AE72D2" w:rsidRDefault="00AE72D2" w:rsidP="00AE72D2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0E519489" w14:textId="7B44B039" w:rsidR="00AE72D2" w:rsidRPr="00AE72D2" w:rsidRDefault="00AE72D2" w:rsidP="00AE72D2">
      <w:pPr>
        <w:spacing w:line="240" w:lineRule="auto"/>
        <w:rPr>
          <w:rFonts w:eastAsia="Times New Roman" w:cs="Arial"/>
        </w:rPr>
      </w:pPr>
      <w:r w:rsidRPr="00AE72D2">
        <w:rPr>
          <w:rFonts w:eastAsia="Times New Roman" w:cs="Arial"/>
          <w:color w:val="000000"/>
          <w:lang w:eastAsia="bg-BG"/>
        </w:rPr>
        <w:t>Изпълнителна агенция по лекарствата</w:t>
      </w:r>
    </w:p>
    <w:p w14:paraId="6ABBF414" w14:textId="77777777" w:rsidR="00AE72D2" w:rsidRPr="00AE72D2" w:rsidRDefault="00AE72D2" w:rsidP="00AE72D2">
      <w:pPr>
        <w:spacing w:line="240" w:lineRule="auto"/>
        <w:rPr>
          <w:rFonts w:eastAsia="Times New Roman" w:cs="Arial"/>
        </w:rPr>
      </w:pPr>
      <w:r w:rsidRPr="00AE72D2">
        <w:rPr>
          <w:rFonts w:eastAsia="Times New Roman" w:cs="Arial"/>
          <w:color w:val="000000"/>
          <w:lang w:eastAsia="bg-BG"/>
        </w:rPr>
        <w:t>ул. „Дамян Груев” № 8</w:t>
      </w:r>
    </w:p>
    <w:p w14:paraId="478F98D4" w14:textId="77777777" w:rsidR="00AE72D2" w:rsidRPr="00AE72D2" w:rsidRDefault="00AE72D2" w:rsidP="00AE72D2">
      <w:pPr>
        <w:spacing w:line="240" w:lineRule="auto"/>
        <w:rPr>
          <w:rFonts w:eastAsia="Times New Roman" w:cs="Arial"/>
        </w:rPr>
      </w:pPr>
      <w:r w:rsidRPr="00AE72D2">
        <w:rPr>
          <w:rFonts w:eastAsia="Times New Roman" w:cs="Arial"/>
          <w:color w:val="000000"/>
          <w:lang w:eastAsia="bg-BG"/>
        </w:rPr>
        <w:t>1303 София</w:t>
      </w:r>
    </w:p>
    <w:p w14:paraId="6AE6D6A1" w14:textId="77777777" w:rsidR="00AE72D2" w:rsidRPr="00AE72D2" w:rsidRDefault="00AE72D2" w:rsidP="00AE72D2">
      <w:pPr>
        <w:spacing w:line="240" w:lineRule="auto"/>
        <w:rPr>
          <w:rFonts w:eastAsia="Times New Roman" w:cs="Arial"/>
        </w:rPr>
      </w:pPr>
      <w:r w:rsidRPr="00AE72D2">
        <w:rPr>
          <w:rFonts w:eastAsia="Times New Roman" w:cs="Arial"/>
          <w:color w:val="000000"/>
          <w:lang w:eastAsia="bg-BG"/>
        </w:rPr>
        <w:lastRenderedPageBreak/>
        <w:t>Тел.:+35 928903417</w:t>
      </w:r>
    </w:p>
    <w:p w14:paraId="34C4C19F" w14:textId="77777777" w:rsidR="00AE72D2" w:rsidRPr="00AE72D2" w:rsidRDefault="00AE72D2" w:rsidP="00AE72D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72D2">
        <w:rPr>
          <w:rFonts w:eastAsia="Times New Roman" w:cs="Arial"/>
          <w:color w:val="000000"/>
          <w:lang w:eastAsia="bg-BG"/>
        </w:rPr>
        <w:t xml:space="preserve">уебсайт: </w:t>
      </w:r>
      <w:r w:rsidRPr="00AE72D2">
        <w:rPr>
          <w:rFonts w:eastAsia="Times New Roman" w:cs="Arial"/>
        </w:rPr>
        <w:fldChar w:fldCharType="begin"/>
      </w:r>
      <w:r w:rsidRPr="00AE72D2">
        <w:rPr>
          <w:rFonts w:eastAsia="Times New Roman" w:cs="Arial"/>
        </w:rPr>
        <w:instrText xml:space="preserve"> HYPERLINK "http://www.bda.bg" </w:instrText>
      </w:r>
      <w:r w:rsidRPr="00AE72D2">
        <w:rPr>
          <w:rFonts w:eastAsia="Times New Roman" w:cs="Arial"/>
        </w:rPr>
      </w:r>
      <w:r w:rsidRPr="00AE72D2">
        <w:rPr>
          <w:rFonts w:eastAsia="Times New Roman" w:cs="Arial"/>
        </w:rPr>
        <w:fldChar w:fldCharType="separate"/>
      </w:r>
      <w:r w:rsidRPr="00AE72D2">
        <w:rPr>
          <w:rFonts w:eastAsia="Times New Roman" w:cs="Arial"/>
          <w:color w:val="000000"/>
          <w:lang w:val="en-US"/>
        </w:rPr>
        <w:t>www</w:t>
      </w:r>
      <w:r w:rsidRPr="00AE72D2">
        <w:rPr>
          <w:rFonts w:eastAsia="Times New Roman" w:cs="Arial"/>
          <w:color w:val="000000"/>
          <w:lang w:val="ru-RU"/>
        </w:rPr>
        <w:t>.</w:t>
      </w:r>
      <w:proofErr w:type="spellStart"/>
      <w:r w:rsidRPr="00AE72D2">
        <w:rPr>
          <w:rFonts w:eastAsia="Times New Roman" w:cs="Arial"/>
          <w:color w:val="000000"/>
          <w:lang w:val="en-US"/>
        </w:rPr>
        <w:t>bda</w:t>
      </w:r>
      <w:proofErr w:type="spellEnd"/>
      <w:r w:rsidRPr="00AE72D2">
        <w:rPr>
          <w:rFonts w:eastAsia="Times New Roman" w:cs="Arial"/>
          <w:color w:val="000000"/>
          <w:lang w:val="ru-RU"/>
        </w:rPr>
        <w:t>.</w:t>
      </w:r>
      <w:proofErr w:type="spellStart"/>
      <w:r w:rsidRPr="00AE72D2">
        <w:rPr>
          <w:rFonts w:eastAsia="Times New Roman" w:cs="Arial"/>
          <w:color w:val="000000"/>
          <w:lang w:val="en-US"/>
        </w:rPr>
        <w:t>bg</w:t>
      </w:r>
      <w:proofErr w:type="spellEnd"/>
      <w:r w:rsidRPr="00AE72D2">
        <w:rPr>
          <w:rFonts w:eastAsia="Times New Roman" w:cs="Arial"/>
        </w:rPr>
        <w:fldChar w:fldCharType="end"/>
      </w:r>
    </w:p>
    <w:p w14:paraId="478B9BFE" w14:textId="7CA65B62" w:rsidR="00AE72D2" w:rsidRPr="00AE72D2" w:rsidRDefault="00AE72D2" w:rsidP="00AE72D2"/>
    <w:p w14:paraId="4ED30546" w14:textId="150CCB2C" w:rsidR="007C605B" w:rsidRDefault="002C50EE" w:rsidP="009F1313">
      <w:pPr>
        <w:pStyle w:val="Heading2"/>
      </w:pPr>
      <w:r>
        <w:t>4.9. Предозиране</w:t>
      </w:r>
    </w:p>
    <w:p w14:paraId="26DB012C" w14:textId="3AC8B293" w:rsidR="00AE72D2" w:rsidRDefault="00AE72D2" w:rsidP="00AE72D2"/>
    <w:p w14:paraId="40779715" w14:textId="7CBA308E" w:rsidR="00AE72D2" w:rsidRPr="00AE72D2" w:rsidRDefault="00AE72D2" w:rsidP="00AE72D2">
      <w:r>
        <w:t xml:space="preserve">Хипогликемия не е наблюдавана при дози на метформинов хидрохлорид до 85 </w:t>
      </w:r>
      <w:r>
        <w:rPr>
          <w:i/>
          <w:iCs/>
          <w:lang w:val="en-US"/>
        </w:rPr>
        <w:t>g</w:t>
      </w:r>
      <w:r w:rsidRPr="00AE72D2">
        <w:rPr>
          <w:i/>
          <w:iCs/>
          <w:lang w:val="ru-RU"/>
        </w:rPr>
        <w:t>,</w:t>
      </w:r>
      <w:r w:rsidRPr="00AE72D2">
        <w:rPr>
          <w:lang w:val="ru-RU"/>
        </w:rPr>
        <w:t xml:space="preserve"> </w:t>
      </w:r>
      <w:r>
        <w:t>въпреки че в такива случаи е наблюдавана лактатна ацидоза. Значително предозиране на метформин или съпътстващи рискови фактори могат да доведат до лактатна ацидоза. Лактатната ацидоза е спешно състояние и трябва да се лекува в болнична обстановка. Най-ефективният начин за отстраняване на лактат и метформин е хемодиализата.</w:t>
      </w:r>
    </w:p>
    <w:p w14:paraId="02081B24" w14:textId="1F46E296" w:rsidR="00395555" w:rsidRPr="00395555" w:rsidRDefault="002C50EE" w:rsidP="008A6AF2">
      <w:pPr>
        <w:pStyle w:val="Heading1"/>
      </w:pPr>
      <w:r>
        <w:t>5. ФАРМАКОЛОГИЧНИ СВОЙСТВА</w:t>
      </w:r>
    </w:p>
    <w:p w14:paraId="5350637D" w14:textId="0DE5AFC6" w:rsidR="00395555" w:rsidRDefault="002C50EE" w:rsidP="008A6AF2">
      <w:pPr>
        <w:pStyle w:val="Heading2"/>
      </w:pPr>
      <w:r>
        <w:t>5.1. Фармакодинамични свойства</w:t>
      </w:r>
    </w:p>
    <w:p w14:paraId="3F94FFE5" w14:textId="5229BA2C" w:rsidR="00AE72D2" w:rsidRDefault="00AE72D2" w:rsidP="00AE72D2"/>
    <w:p w14:paraId="25D81CDA" w14:textId="359B85C8" w:rsidR="00AE72D2" w:rsidRDefault="00AE72D2" w:rsidP="00AE72D2">
      <w:r>
        <w:t>Фармакотерапевтична група: лекарствени продукти, понижаващи нивото на кръвната захар с изключение на инсулин. Бигваниди</w:t>
      </w:r>
    </w:p>
    <w:p w14:paraId="2A6824B3" w14:textId="7854A5BD" w:rsidR="00AE72D2" w:rsidRDefault="00AE72D2" w:rsidP="00AE72D2"/>
    <w:p w14:paraId="4B352FB0" w14:textId="77777777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>АТС код: АЮВА02</w:t>
      </w:r>
    </w:p>
    <w:p w14:paraId="4D6C0459" w14:textId="77777777" w:rsidR="00AE72D2" w:rsidRPr="00AE72D2" w:rsidRDefault="00AE72D2" w:rsidP="00AE72D2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52734F79" w14:textId="3E654099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u w:val="single"/>
          <w:lang w:eastAsia="bg-BG"/>
        </w:rPr>
        <w:t>Механизъм на действие</w:t>
      </w:r>
    </w:p>
    <w:p w14:paraId="5D6E2727" w14:textId="77777777" w:rsidR="00AE72D2" w:rsidRPr="00AE72D2" w:rsidRDefault="00AE72D2" w:rsidP="00AE72D2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2CBCBB50" w14:textId="43EFB135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>Метформин може да действа чрез три механизма:</w:t>
      </w:r>
    </w:p>
    <w:p w14:paraId="6DA192D6" w14:textId="77777777" w:rsidR="00AE72D2" w:rsidRDefault="00AE72D2" w:rsidP="00AE72D2">
      <w:pPr>
        <w:pStyle w:val="ListParagraph"/>
        <w:numPr>
          <w:ilvl w:val="0"/>
          <w:numId w:val="2"/>
        </w:numPr>
        <w:spacing w:line="240" w:lineRule="auto"/>
        <w:rPr>
          <w:rFonts w:eastAsia="Times New Roman" w:cs="Arial"/>
          <w:color w:val="000000"/>
          <w:szCs w:val="20"/>
          <w:lang w:eastAsia="bg-BG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>намалява образуването на глюкоза в черния дроб, като инхибира глюконеогенезата и гликогенолизата;</w:t>
      </w:r>
    </w:p>
    <w:p w14:paraId="0ED9E5B8" w14:textId="77777777" w:rsidR="00AE72D2" w:rsidRDefault="00AE72D2" w:rsidP="00AE72D2">
      <w:pPr>
        <w:pStyle w:val="ListParagraph"/>
        <w:numPr>
          <w:ilvl w:val="0"/>
          <w:numId w:val="2"/>
        </w:numPr>
        <w:spacing w:line="240" w:lineRule="auto"/>
        <w:rPr>
          <w:rFonts w:eastAsia="Times New Roman" w:cs="Arial"/>
          <w:color w:val="000000"/>
          <w:szCs w:val="20"/>
          <w:lang w:eastAsia="bg-BG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>подобрява периферното поемане и усвояване на глюкозата от мускулите, като повишава чувствителността към инсулин;</w:t>
      </w:r>
    </w:p>
    <w:p w14:paraId="67585772" w14:textId="4FC33520" w:rsidR="00AE72D2" w:rsidRPr="00AE72D2" w:rsidRDefault="00AE72D2" w:rsidP="00AE72D2">
      <w:pPr>
        <w:pStyle w:val="ListParagraph"/>
        <w:numPr>
          <w:ilvl w:val="0"/>
          <w:numId w:val="2"/>
        </w:numPr>
        <w:spacing w:line="240" w:lineRule="auto"/>
        <w:rPr>
          <w:rFonts w:eastAsia="Times New Roman" w:cs="Arial"/>
          <w:color w:val="000000"/>
          <w:szCs w:val="20"/>
          <w:lang w:eastAsia="bg-BG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>забавя абсорбцията на глюкозата в червата.</w:t>
      </w:r>
    </w:p>
    <w:p w14:paraId="004053BF" w14:textId="77777777" w:rsidR="00AE72D2" w:rsidRPr="00AE72D2" w:rsidRDefault="00AE72D2" w:rsidP="00AE72D2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431F95DE" w14:textId="65E0E865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 xml:space="preserve">Метформин стимулира вътреклетъчната синтеза на гликоген, като въздейства върху гликоген- синтетазата. Метформин повишава транспортния капацитет на всички видове мембранни преносители на глюкоза </w:t>
      </w:r>
      <w:r w:rsidRPr="00AE72D2">
        <w:rPr>
          <w:rFonts w:eastAsia="Times New Roman" w:cs="Arial"/>
          <w:color w:val="000000"/>
          <w:szCs w:val="20"/>
          <w:lang w:val="ru-RU"/>
        </w:rPr>
        <w:t>(</w:t>
      </w:r>
      <w:r w:rsidRPr="00AE72D2">
        <w:rPr>
          <w:rFonts w:eastAsia="Times New Roman" w:cs="Arial"/>
          <w:color w:val="000000"/>
          <w:szCs w:val="20"/>
          <w:lang w:val="en-US"/>
        </w:rPr>
        <w:t>GLUT</w:t>
      </w:r>
      <w:r w:rsidRPr="00AE72D2">
        <w:rPr>
          <w:rFonts w:eastAsia="Times New Roman" w:cs="Arial"/>
          <w:color w:val="000000"/>
          <w:szCs w:val="20"/>
          <w:lang w:val="ru-RU"/>
        </w:rPr>
        <w:t xml:space="preserve">), </w:t>
      </w:r>
      <w:r w:rsidRPr="00AE72D2">
        <w:rPr>
          <w:rFonts w:eastAsia="Times New Roman" w:cs="Arial"/>
          <w:color w:val="000000"/>
          <w:szCs w:val="20"/>
          <w:lang w:eastAsia="bg-BG"/>
        </w:rPr>
        <w:t>известни досега.</w:t>
      </w:r>
    </w:p>
    <w:p w14:paraId="3630BB76" w14:textId="77777777" w:rsidR="00AE72D2" w:rsidRPr="00AE72D2" w:rsidRDefault="00AE72D2" w:rsidP="00AE72D2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2DC53D3E" w14:textId="3ED96CD3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u w:val="single"/>
          <w:lang w:eastAsia="bg-BG"/>
        </w:rPr>
        <w:t>Фармакодинамични ефекти</w:t>
      </w:r>
    </w:p>
    <w:p w14:paraId="02CB33F7" w14:textId="77777777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>Метформин е бигванид с антихипергликемични ефекти, понижаващ както базалната, така и постпрандиалната кръвна захар. Той не стимулира секрецията на инсулин и поради това не води до хипогликемия.</w:t>
      </w:r>
    </w:p>
    <w:p w14:paraId="0911A8CF" w14:textId="77777777" w:rsidR="00AE72D2" w:rsidRPr="00AE72D2" w:rsidRDefault="00AE72D2" w:rsidP="00AE72D2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4895464C" w14:textId="069479CF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 xml:space="preserve">При хора, независимо от действието си върху гликемията, метформин оказва благоприятни ефекти върху липидния метаболизъм. Това е демонстрирано с терапевтични дози в контролирани клинични проучвания със средна или голяма продължителност: метформин понижава нивата на общия холестерол, </w:t>
      </w:r>
      <w:r w:rsidRPr="00AE72D2">
        <w:rPr>
          <w:rFonts w:eastAsia="Times New Roman" w:cs="Arial"/>
          <w:color w:val="000000"/>
          <w:szCs w:val="20"/>
          <w:lang w:val="en-US"/>
        </w:rPr>
        <w:t>LDL</w:t>
      </w:r>
      <w:r w:rsidRPr="00AE72D2">
        <w:rPr>
          <w:rFonts w:eastAsia="Times New Roman" w:cs="Arial"/>
          <w:color w:val="000000"/>
          <w:szCs w:val="20"/>
          <w:lang w:eastAsia="bg-BG"/>
        </w:rPr>
        <w:t>-холестерола и триглицеридите.</w:t>
      </w:r>
    </w:p>
    <w:p w14:paraId="7720BFCF" w14:textId="77777777" w:rsidR="00AE72D2" w:rsidRPr="00AE72D2" w:rsidRDefault="00AE72D2" w:rsidP="00AE72D2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21B6BAF7" w14:textId="0585BFEE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>В клинични проучвания, употребата на метформин се свързва със стабилизиране или умерено намаление на телесното тегло.</w:t>
      </w:r>
    </w:p>
    <w:p w14:paraId="39ED0507" w14:textId="77777777" w:rsidR="00AE72D2" w:rsidRPr="00AE72D2" w:rsidRDefault="00AE72D2" w:rsidP="00AE72D2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7A2F48AE" w14:textId="3E6B6ACD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u w:val="single"/>
          <w:lang w:eastAsia="bg-BG"/>
        </w:rPr>
        <w:t>Клинична ефективност и безопасност:</w:t>
      </w:r>
    </w:p>
    <w:p w14:paraId="030428D6" w14:textId="77777777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lastRenderedPageBreak/>
        <w:t xml:space="preserve">Проспективно рандомизирано проучване </w:t>
      </w:r>
      <w:r w:rsidRPr="00AE72D2">
        <w:rPr>
          <w:rFonts w:eastAsia="Times New Roman" w:cs="Arial"/>
          <w:color w:val="000000"/>
          <w:szCs w:val="20"/>
          <w:lang w:val="ru-RU"/>
        </w:rPr>
        <w:t>(</w:t>
      </w:r>
      <w:r w:rsidRPr="00AE72D2">
        <w:rPr>
          <w:rFonts w:eastAsia="Times New Roman" w:cs="Arial"/>
          <w:color w:val="000000"/>
          <w:szCs w:val="20"/>
          <w:lang w:val="en-US"/>
        </w:rPr>
        <w:t>UKPDS</w:t>
      </w:r>
      <w:r w:rsidRPr="00AE72D2">
        <w:rPr>
          <w:rFonts w:eastAsia="Times New Roman" w:cs="Arial"/>
          <w:color w:val="000000"/>
          <w:szCs w:val="20"/>
          <w:lang w:val="ru-RU"/>
        </w:rPr>
        <w:t xml:space="preserve">) </w:t>
      </w:r>
      <w:r w:rsidRPr="00AE72D2">
        <w:rPr>
          <w:rFonts w:eastAsia="Times New Roman" w:cs="Arial"/>
          <w:color w:val="000000"/>
          <w:szCs w:val="20"/>
          <w:lang w:eastAsia="bg-BG"/>
        </w:rPr>
        <w:t>потвърждава дългосрочната полза от интензифицирания контрол на кръвната захар при възрастни пациенти с диабет тип 2.</w:t>
      </w:r>
    </w:p>
    <w:p w14:paraId="519F4354" w14:textId="77777777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>Анализът на резултатите при пациенти с наднормено тегло, лекувани с метформинов хидрохлорид след неуспех от приложение само на диета, показват:</w:t>
      </w:r>
    </w:p>
    <w:p w14:paraId="308C2DFE" w14:textId="77777777" w:rsidR="00AE72D2" w:rsidRPr="00AE72D2" w:rsidRDefault="00AE72D2" w:rsidP="00AE72D2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65E6C016" w14:textId="34472370" w:rsidR="00AE72D2" w:rsidRPr="00AE72D2" w:rsidRDefault="00AE72D2" w:rsidP="00AE72D2">
      <w:pPr>
        <w:pStyle w:val="ListParagraph"/>
        <w:numPr>
          <w:ilvl w:val="1"/>
          <w:numId w:val="2"/>
        </w:num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>сигнификантно намаление на абсолютния риск за всички усложнения, свързани с диабета в групата, лекувана с метформинов хидрохлорид (29,8 инцидента/1000 пациентогодини) спрямо приложение само на диета (43,3 инцидента/1000 пациентогодини), р=0,0023 и спрямо комбинирани групи - сулфанилурейни и монотерапия с инсулин (40,1 инцидента/1000 пациентогодини), р=0,0034;</w:t>
      </w:r>
    </w:p>
    <w:p w14:paraId="7ACE698A" w14:textId="77777777" w:rsidR="00AE72D2" w:rsidRPr="00AE72D2" w:rsidRDefault="00AE72D2" w:rsidP="00AE72D2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60640347" w14:textId="2E7275B7" w:rsidR="00AE72D2" w:rsidRPr="00AE72D2" w:rsidRDefault="00AE72D2" w:rsidP="00AE72D2">
      <w:pPr>
        <w:pStyle w:val="ListParagraph"/>
        <w:numPr>
          <w:ilvl w:val="1"/>
          <w:numId w:val="2"/>
        </w:numPr>
        <w:spacing w:line="240" w:lineRule="auto"/>
        <w:rPr>
          <w:rFonts w:eastAsia="Times New Roman" w:cs="Arial"/>
          <w:color w:val="000000"/>
          <w:szCs w:val="20"/>
          <w:lang w:eastAsia="bg-BG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 xml:space="preserve">сигнификантно намаление на абсолютния риск за смъртност, свързана с диабета: метформинов хидрохлорид </w:t>
      </w:r>
      <w:r w:rsidRPr="00AE72D2">
        <w:rPr>
          <w:rFonts w:eastAsia="Times New Roman" w:cs="Arial"/>
          <w:color w:val="000000"/>
          <w:szCs w:val="20"/>
          <w:lang w:val="ru-RU" w:eastAsia="bg-BG"/>
        </w:rPr>
        <w:t xml:space="preserve"> </w:t>
      </w:r>
      <w:r w:rsidRPr="00AE72D2">
        <w:rPr>
          <w:rFonts w:eastAsia="Times New Roman" w:cs="Arial"/>
          <w:color w:val="000000"/>
          <w:szCs w:val="20"/>
          <w:lang w:eastAsia="bg-BG"/>
        </w:rPr>
        <w:t>7,5 инцидента/1000 пациентогодини, само диета - 12,7 инцидеита/1000 пациентогодини, р=0,017;</w:t>
      </w:r>
    </w:p>
    <w:p w14:paraId="16ED777C" w14:textId="77777777" w:rsidR="00AE72D2" w:rsidRPr="00AE72D2" w:rsidRDefault="00AE72D2" w:rsidP="00AE72D2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62674522" w14:textId="69AEC919" w:rsidR="00AE72D2" w:rsidRPr="00AE72D2" w:rsidRDefault="00AE72D2" w:rsidP="00AE72D2">
      <w:pPr>
        <w:pStyle w:val="ListParagraph"/>
        <w:numPr>
          <w:ilvl w:val="1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>сигнификантно намаление на абсолютния риск за обща смъртност: метформинов хидрохлорид 13,5 инцидента/1000 пациентогодини спрямо само диета - 20,6 инцидента/1000 пациентогодини (р=0,011) и спрямо комбинирани групи - сулфанилурейни и монотерапия с инсулин - 18,9 инцидента/1000 пациентогодини</w:t>
      </w:r>
      <w:r w:rsidRPr="00AE72D2">
        <w:rPr>
          <w:rFonts w:eastAsia="Times New Roman" w:cs="Arial"/>
          <w:color w:val="000000"/>
          <w:szCs w:val="20"/>
          <w:lang w:val="ru-RU" w:eastAsia="bg-BG"/>
        </w:rPr>
        <w:t xml:space="preserve"> </w:t>
      </w:r>
      <w:r w:rsidRPr="00AE72D2">
        <w:rPr>
          <w:rFonts w:eastAsia="Times New Roman" w:cs="Arial"/>
          <w:color w:val="000000"/>
          <w:szCs w:val="20"/>
          <w:lang w:eastAsia="bg-BG"/>
        </w:rPr>
        <w:t>(</w:t>
      </w:r>
      <w:r w:rsidRPr="00AE72D2">
        <w:rPr>
          <w:rFonts w:eastAsia="Times New Roman" w:cs="Arial"/>
          <w:color w:val="000000"/>
          <w:szCs w:val="20"/>
          <w:lang w:val="en-US"/>
        </w:rPr>
        <w:t>P</w:t>
      </w:r>
      <w:r w:rsidRPr="00AE72D2">
        <w:rPr>
          <w:rFonts w:eastAsia="Times New Roman" w:cs="Arial"/>
          <w:color w:val="000000"/>
          <w:szCs w:val="20"/>
          <w:lang w:val="ru-RU"/>
        </w:rPr>
        <w:t>=0,021);</w:t>
      </w:r>
    </w:p>
    <w:p w14:paraId="6772DE56" w14:textId="77777777" w:rsidR="00AE72D2" w:rsidRPr="00AE72D2" w:rsidRDefault="00AE72D2" w:rsidP="00AE72D2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14:paraId="7165BF90" w14:textId="085030EA" w:rsidR="00AE72D2" w:rsidRDefault="00AE72D2" w:rsidP="00AE72D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02DF0A" w14:textId="3384A2B9" w:rsidR="00AE72D2" w:rsidRPr="00AE72D2" w:rsidRDefault="00AE72D2" w:rsidP="00AE72D2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AE72D2">
        <w:rPr>
          <w:lang w:eastAsia="bg-BG"/>
        </w:rPr>
        <w:t>сигнификантно намаление на абсолютния риск от инфаркт на миокарда: метформинов хидрохлорид 11 инцидента/1000 пациентогодини, само диета - 18 инцидента/1000 пациентогодини (р=0,01).</w:t>
      </w:r>
    </w:p>
    <w:p w14:paraId="06438473" w14:textId="77777777" w:rsidR="00AE72D2" w:rsidRDefault="00AE72D2" w:rsidP="00AE72D2">
      <w:pPr>
        <w:rPr>
          <w:lang w:eastAsia="bg-BG"/>
        </w:rPr>
      </w:pPr>
    </w:p>
    <w:p w14:paraId="5633513B" w14:textId="01005EDA" w:rsidR="00AE72D2" w:rsidRPr="00AE72D2" w:rsidRDefault="00AE72D2" w:rsidP="00AE72D2">
      <w:pPr>
        <w:rPr>
          <w:sz w:val="24"/>
          <w:szCs w:val="24"/>
        </w:rPr>
      </w:pPr>
      <w:r w:rsidRPr="00AE72D2">
        <w:rPr>
          <w:lang w:eastAsia="bg-BG"/>
        </w:rPr>
        <w:t>Не е доказана полза за клиничния изход при използване на метформинов хидрохлорид като второ средство на избор, в комбинация със сулфонилурейни.</w:t>
      </w:r>
    </w:p>
    <w:p w14:paraId="6800C7DD" w14:textId="77777777" w:rsidR="00AE72D2" w:rsidRDefault="00AE72D2" w:rsidP="00AE72D2">
      <w:pPr>
        <w:rPr>
          <w:lang w:eastAsia="bg-BG"/>
        </w:rPr>
      </w:pPr>
    </w:p>
    <w:p w14:paraId="09C03308" w14:textId="2AADC8E5" w:rsidR="00AE72D2" w:rsidRPr="00AE72D2" w:rsidRDefault="00AE72D2" w:rsidP="00AE72D2">
      <w:pPr>
        <w:rPr>
          <w:sz w:val="24"/>
          <w:szCs w:val="24"/>
        </w:rPr>
      </w:pPr>
      <w:r w:rsidRPr="00AE72D2">
        <w:rPr>
          <w:lang w:eastAsia="bg-BG"/>
        </w:rPr>
        <w:t>Комбинацията от метформинов хидрохлорид и инсулин е прилагана при определени пациенти с диабет тип I, но ползите от това лечение не са официално установени.</w:t>
      </w:r>
    </w:p>
    <w:p w14:paraId="0A243910" w14:textId="77777777" w:rsidR="00AE72D2" w:rsidRDefault="00AE72D2" w:rsidP="00AE72D2">
      <w:pPr>
        <w:rPr>
          <w:u w:val="single"/>
          <w:lang w:eastAsia="bg-BG"/>
        </w:rPr>
      </w:pPr>
    </w:p>
    <w:p w14:paraId="2D727148" w14:textId="6BD94B22" w:rsidR="00AE72D2" w:rsidRPr="00AE72D2" w:rsidRDefault="00AE72D2" w:rsidP="00AE72D2">
      <w:pPr>
        <w:rPr>
          <w:sz w:val="24"/>
          <w:szCs w:val="24"/>
        </w:rPr>
      </w:pPr>
      <w:r w:rsidRPr="00AE72D2">
        <w:rPr>
          <w:u w:val="single"/>
          <w:lang w:eastAsia="bg-BG"/>
        </w:rPr>
        <w:t>Педиатрична популация</w:t>
      </w:r>
    </w:p>
    <w:p w14:paraId="1A70938D" w14:textId="77777777" w:rsidR="00AE72D2" w:rsidRPr="00AE72D2" w:rsidRDefault="00AE72D2" w:rsidP="00AE72D2">
      <w:pPr>
        <w:rPr>
          <w:sz w:val="24"/>
          <w:szCs w:val="24"/>
        </w:rPr>
      </w:pPr>
      <w:r w:rsidRPr="00AE72D2">
        <w:rPr>
          <w:lang w:eastAsia="bg-BG"/>
        </w:rPr>
        <w:t>Контролирани клинични проучвания в ограничена педиатрична популация между 10 и 16 години, лекувани в продължение на една година, показват гликемичен контрол, подобен на този при възрастни пациенти.</w:t>
      </w:r>
    </w:p>
    <w:p w14:paraId="07713636" w14:textId="77777777" w:rsidR="00AE72D2" w:rsidRPr="00AE72D2" w:rsidRDefault="00AE72D2" w:rsidP="00AE72D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2453F56" w14:textId="77777777" w:rsidR="00AE72D2" w:rsidRPr="00AE72D2" w:rsidRDefault="00AE72D2" w:rsidP="00AE72D2"/>
    <w:p w14:paraId="26535098" w14:textId="474BF59B" w:rsidR="00395555" w:rsidRDefault="002C50EE" w:rsidP="008A6AF2">
      <w:pPr>
        <w:pStyle w:val="Heading2"/>
      </w:pPr>
      <w:r>
        <w:t>5.2. Фармакокинетични свойства</w:t>
      </w:r>
    </w:p>
    <w:p w14:paraId="481A1945" w14:textId="2C483D5D" w:rsidR="00AE72D2" w:rsidRDefault="00AE72D2" w:rsidP="00AE72D2"/>
    <w:p w14:paraId="4CDB351B" w14:textId="77777777" w:rsidR="00AE72D2" w:rsidRPr="00AE72D2" w:rsidRDefault="00AE72D2" w:rsidP="00AE72D2">
      <w:pPr>
        <w:pStyle w:val="Heading3"/>
        <w:rPr>
          <w:rFonts w:eastAsia="Times New Roman"/>
          <w:sz w:val="28"/>
          <w:u w:val="single"/>
        </w:rPr>
      </w:pPr>
      <w:r w:rsidRPr="00AE72D2">
        <w:rPr>
          <w:rFonts w:eastAsia="Times New Roman"/>
          <w:u w:val="single"/>
          <w:lang w:eastAsia="bg-BG"/>
        </w:rPr>
        <w:t>Абсорбция</w:t>
      </w:r>
    </w:p>
    <w:p w14:paraId="10912CB8" w14:textId="77777777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 xml:space="preserve">След перорално приложение на метформинов хидрохлорид, </w:t>
      </w:r>
      <w:proofErr w:type="spellStart"/>
      <w:r w:rsidRPr="00AE72D2">
        <w:rPr>
          <w:rFonts w:eastAsia="Times New Roman" w:cs="Arial"/>
          <w:color w:val="000000"/>
          <w:szCs w:val="20"/>
          <w:lang w:val="en-US"/>
        </w:rPr>
        <w:t>T</w:t>
      </w:r>
      <w:r w:rsidRPr="00AE72D2">
        <w:rPr>
          <w:rFonts w:eastAsia="Times New Roman" w:cs="Arial"/>
          <w:color w:val="000000"/>
          <w:szCs w:val="20"/>
          <w:vertAlign w:val="subscript"/>
          <w:lang w:val="en-US"/>
        </w:rPr>
        <w:t>max</w:t>
      </w:r>
      <w:proofErr w:type="spellEnd"/>
      <w:r w:rsidRPr="00AE72D2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AE72D2">
        <w:rPr>
          <w:rFonts w:eastAsia="Times New Roman" w:cs="Arial"/>
          <w:color w:val="000000"/>
          <w:szCs w:val="20"/>
          <w:lang w:eastAsia="bg-BG"/>
        </w:rPr>
        <w:t xml:space="preserve">се достига след 2,5 часа. Абсолютната бионаличност на 500 </w:t>
      </w:r>
      <w:r w:rsidRPr="00AE72D2">
        <w:rPr>
          <w:rFonts w:eastAsia="Times New Roman" w:cs="Arial"/>
          <w:color w:val="000000"/>
          <w:szCs w:val="20"/>
          <w:lang w:val="en-US"/>
        </w:rPr>
        <w:t>mg</w:t>
      </w:r>
      <w:r w:rsidRPr="00AE72D2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AE72D2">
        <w:rPr>
          <w:rFonts w:eastAsia="Times New Roman" w:cs="Arial"/>
          <w:color w:val="000000"/>
          <w:szCs w:val="20"/>
          <w:lang w:eastAsia="bg-BG"/>
        </w:rPr>
        <w:t xml:space="preserve">или на 850 </w:t>
      </w:r>
      <w:r w:rsidRPr="00AE72D2">
        <w:rPr>
          <w:rFonts w:eastAsia="Times New Roman" w:cs="Arial"/>
          <w:color w:val="000000"/>
          <w:szCs w:val="20"/>
          <w:lang w:val="en-US"/>
        </w:rPr>
        <w:t>mg</w:t>
      </w:r>
      <w:r w:rsidRPr="00AE72D2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AE72D2">
        <w:rPr>
          <w:rFonts w:eastAsia="Times New Roman" w:cs="Arial"/>
          <w:color w:val="000000"/>
          <w:szCs w:val="20"/>
          <w:lang w:eastAsia="bg-BG"/>
        </w:rPr>
        <w:t>метформинов хидрохлорид е около 50-60 % при здрави индивиди. След перорално приложение, нерезорбираното количество, което се открива във фецеса, е 20-30 %.</w:t>
      </w:r>
    </w:p>
    <w:p w14:paraId="5591F41C" w14:textId="77777777" w:rsidR="00AE72D2" w:rsidRPr="00AE72D2" w:rsidRDefault="00AE72D2" w:rsidP="00AE72D2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2C6D5581" w14:textId="5BCFFFB7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lastRenderedPageBreak/>
        <w:t>След перорално приложение, абсорбцията на метформин се насища и е непълна. Приема се, че фармакокинетиката на абсорбцията на метформин е нелинеарна.</w:t>
      </w:r>
    </w:p>
    <w:p w14:paraId="799ECA9E" w14:textId="77777777" w:rsidR="00AE72D2" w:rsidRPr="00AE72D2" w:rsidRDefault="00AE72D2" w:rsidP="00AE72D2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7975F45A" w14:textId="50702741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 xml:space="preserve">При обичайни дози и дозови схеми за метформинов хидрохлорид, стабилни </w:t>
      </w:r>
      <w:r w:rsidRPr="00AE72D2">
        <w:rPr>
          <w:rFonts w:eastAsia="Times New Roman" w:cs="Arial"/>
          <w:color w:val="000000"/>
          <w:szCs w:val="20"/>
          <w:lang w:val="ru-RU"/>
        </w:rPr>
        <w:t>(</w:t>
      </w:r>
      <w:r w:rsidRPr="00AE72D2">
        <w:rPr>
          <w:rFonts w:eastAsia="Times New Roman" w:cs="Arial"/>
          <w:color w:val="000000"/>
          <w:szCs w:val="20"/>
          <w:lang w:val="en-US"/>
        </w:rPr>
        <w:t>steady</w:t>
      </w:r>
      <w:r w:rsidRPr="00AE72D2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AE72D2">
        <w:rPr>
          <w:rFonts w:eastAsia="Times New Roman" w:cs="Arial"/>
          <w:color w:val="000000"/>
          <w:szCs w:val="20"/>
          <w:lang w:val="en-US"/>
        </w:rPr>
        <w:t>state</w:t>
      </w:r>
      <w:r w:rsidRPr="00AE72D2">
        <w:rPr>
          <w:rFonts w:eastAsia="Times New Roman" w:cs="Arial"/>
          <w:color w:val="000000"/>
          <w:szCs w:val="20"/>
          <w:lang w:val="ru-RU"/>
        </w:rPr>
        <w:t xml:space="preserve">) </w:t>
      </w:r>
      <w:r w:rsidRPr="00AE72D2">
        <w:rPr>
          <w:rFonts w:eastAsia="Times New Roman" w:cs="Arial"/>
          <w:color w:val="000000"/>
          <w:szCs w:val="20"/>
          <w:lang w:eastAsia="bg-BG"/>
        </w:rPr>
        <w:t>плазмени концентрации се постигат в рамките на 24-48 часа и по принцип са под 1 микрограм</w:t>
      </w:r>
      <w:r w:rsidRPr="00AE72D2">
        <w:rPr>
          <w:rFonts w:eastAsia="Times New Roman" w:cs="Arial"/>
          <w:color w:val="000000"/>
          <w:szCs w:val="20"/>
          <w:lang w:val="ru-RU"/>
        </w:rPr>
        <w:t>/</w:t>
      </w:r>
      <w:r w:rsidRPr="00AE72D2">
        <w:rPr>
          <w:rFonts w:eastAsia="Times New Roman" w:cs="Arial"/>
          <w:color w:val="000000"/>
          <w:szCs w:val="20"/>
          <w:lang w:val="en-US"/>
        </w:rPr>
        <w:t>ml</w:t>
      </w:r>
      <w:r w:rsidRPr="00AE72D2">
        <w:rPr>
          <w:rFonts w:eastAsia="Times New Roman" w:cs="Arial"/>
          <w:color w:val="000000"/>
          <w:szCs w:val="20"/>
          <w:lang w:val="ru-RU"/>
        </w:rPr>
        <w:t xml:space="preserve">. </w:t>
      </w:r>
      <w:r w:rsidRPr="00AE72D2">
        <w:rPr>
          <w:rFonts w:eastAsia="Times New Roman" w:cs="Arial"/>
          <w:color w:val="000000"/>
          <w:szCs w:val="20"/>
          <w:lang w:eastAsia="bg-BG"/>
        </w:rPr>
        <w:t>В контролирани клинични проучвания, максималните плазмени концентрации (С</w:t>
      </w:r>
      <w:r w:rsidRPr="00AE72D2">
        <w:rPr>
          <w:rFonts w:eastAsia="Times New Roman" w:cs="Arial"/>
          <w:color w:val="000000"/>
          <w:szCs w:val="20"/>
          <w:vertAlign w:val="subscript"/>
          <w:lang w:val="en-US"/>
        </w:rPr>
        <w:t>max</w:t>
      </w:r>
      <w:r w:rsidRPr="00AE72D2">
        <w:rPr>
          <w:rFonts w:eastAsia="Times New Roman" w:cs="Arial"/>
          <w:color w:val="000000"/>
          <w:szCs w:val="20"/>
          <w:lang w:eastAsia="bg-BG"/>
        </w:rPr>
        <w:t>) на метформин не надвишават 4 микрограма</w:t>
      </w:r>
      <w:r w:rsidRPr="00AE72D2">
        <w:rPr>
          <w:rFonts w:eastAsia="Times New Roman" w:cs="Arial"/>
          <w:color w:val="000000"/>
          <w:szCs w:val="20"/>
          <w:lang w:val="ru-RU"/>
        </w:rPr>
        <w:t>/</w:t>
      </w:r>
      <w:r w:rsidRPr="00AE72D2">
        <w:rPr>
          <w:rFonts w:eastAsia="Times New Roman" w:cs="Arial"/>
          <w:color w:val="000000"/>
          <w:szCs w:val="20"/>
          <w:lang w:val="en-US"/>
        </w:rPr>
        <w:t>ml</w:t>
      </w:r>
      <w:r w:rsidRPr="00AE72D2">
        <w:rPr>
          <w:rFonts w:eastAsia="Times New Roman" w:cs="Arial"/>
          <w:color w:val="000000"/>
          <w:szCs w:val="20"/>
          <w:lang w:val="ru-RU"/>
        </w:rPr>
        <w:t xml:space="preserve">, </w:t>
      </w:r>
      <w:r w:rsidRPr="00AE72D2">
        <w:rPr>
          <w:rFonts w:eastAsia="Times New Roman" w:cs="Arial"/>
          <w:color w:val="000000"/>
          <w:szCs w:val="20"/>
          <w:lang w:eastAsia="bg-BG"/>
        </w:rPr>
        <w:t>дори при максимални дози.</w:t>
      </w:r>
    </w:p>
    <w:p w14:paraId="2BBEC3F4" w14:textId="77777777" w:rsidR="00AE72D2" w:rsidRPr="00AE72D2" w:rsidRDefault="00AE72D2" w:rsidP="00AE72D2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3D2C0D44" w14:textId="216145C8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 xml:space="preserve">Храната намалява степента и леко забавя абсорбцията на метформин. След приложение на доза от 850 </w:t>
      </w:r>
      <w:r w:rsidRPr="00AE72D2">
        <w:rPr>
          <w:rFonts w:eastAsia="Times New Roman" w:cs="Arial"/>
          <w:color w:val="000000"/>
          <w:szCs w:val="20"/>
          <w:lang w:val="en-US"/>
        </w:rPr>
        <w:t>mg</w:t>
      </w:r>
      <w:r w:rsidRPr="00AE72D2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AE72D2">
        <w:rPr>
          <w:rFonts w:eastAsia="Times New Roman" w:cs="Arial"/>
          <w:color w:val="000000"/>
          <w:szCs w:val="20"/>
          <w:lang w:eastAsia="bg-BG"/>
        </w:rPr>
        <w:t xml:space="preserve">метформинов хидрохлорид се наблюдава 40% по-ниска максимална плазмена концентрация, 25% намаление на площта под кривата </w:t>
      </w:r>
      <w:r w:rsidRPr="00AE72D2">
        <w:rPr>
          <w:rFonts w:eastAsia="Times New Roman" w:cs="Arial"/>
          <w:color w:val="000000"/>
          <w:szCs w:val="20"/>
          <w:lang w:val="ru-RU"/>
        </w:rPr>
        <w:t>(</w:t>
      </w:r>
      <w:r w:rsidRPr="00AE72D2">
        <w:rPr>
          <w:rFonts w:eastAsia="Times New Roman" w:cs="Arial"/>
          <w:color w:val="000000"/>
          <w:szCs w:val="20"/>
          <w:lang w:val="en-US"/>
        </w:rPr>
        <w:t>AUC</w:t>
      </w:r>
      <w:r w:rsidRPr="00AE72D2">
        <w:rPr>
          <w:rFonts w:eastAsia="Times New Roman" w:cs="Arial"/>
          <w:color w:val="000000"/>
          <w:szCs w:val="20"/>
          <w:lang w:val="ru-RU"/>
        </w:rPr>
        <w:t xml:space="preserve">, </w:t>
      </w:r>
      <w:r w:rsidRPr="00AE72D2">
        <w:rPr>
          <w:rFonts w:eastAsia="Times New Roman" w:cs="Arial"/>
          <w:color w:val="000000"/>
          <w:szCs w:val="20"/>
          <w:lang w:val="en-US"/>
        </w:rPr>
        <w:t>area</w:t>
      </w:r>
      <w:r w:rsidRPr="00AE72D2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AE72D2">
        <w:rPr>
          <w:rFonts w:eastAsia="Times New Roman" w:cs="Arial"/>
          <w:color w:val="000000"/>
          <w:szCs w:val="20"/>
          <w:lang w:val="en-US"/>
        </w:rPr>
        <w:t>under</w:t>
      </w:r>
      <w:r w:rsidRPr="00AE72D2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AE72D2">
        <w:rPr>
          <w:rFonts w:eastAsia="Times New Roman" w:cs="Arial"/>
          <w:color w:val="000000"/>
          <w:szCs w:val="20"/>
          <w:lang w:val="en-US"/>
        </w:rPr>
        <w:t>the</w:t>
      </w:r>
      <w:r w:rsidRPr="00AE72D2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AE72D2">
        <w:rPr>
          <w:rFonts w:eastAsia="Times New Roman" w:cs="Arial"/>
          <w:color w:val="000000"/>
          <w:szCs w:val="20"/>
          <w:lang w:val="en-US"/>
        </w:rPr>
        <w:t>curve</w:t>
      </w:r>
      <w:r w:rsidRPr="00AE72D2">
        <w:rPr>
          <w:rFonts w:eastAsia="Times New Roman" w:cs="Arial"/>
          <w:color w:val="000000"/>
          <w:szCs w:val="20"/>
          <w:lang w:val="ru-RU"/>
        </w:rPr>
        <w:t xml:space="preserve">) </w:t>
      </w:r>
      <w:r w:rsidRPr="00AE72D2">
        <w:rPr>
          <w:rFonts w:eastAsia="Times New Roman" w:cs="Arial"/>
          <w:color w:val="000000"/>
          <w:szCs w:val="20"/>
          <w:lang w:eastAsia="bg-BG"/>
        </w:rPr>
        <w:t xml:space="preserve">и </w:t>
      </w:r>
      <w:r w:rsidRPr="00AE72D2">
        <w:rPr>
          <w:rFonts w:eastAsia="Times New Roman" w:cs="Arial"/>
          <w:color w:val="000000"/>
          <w:szCs w:val="20"/>
          <w:lang w:val="ru-RU"/>
        </w:rPr>
        <w:t xml:space="preserve">35 </w:t>
      </w:r>
      <w:r w:rsidRPr="00AE72D2">
        <w:rPr>
          <w:rFonts w:eastAsia="Times New Roman" w:cs="Arial"/>
          <w:color w:val="000000"/>
          <w:szCs w:val="20"/>
          <w:lang w:eastAsia="bg-BG"/>
        </w:rPr>
        <w:t>минути удължение на времето за достигане на максималната плазмена концентрация. Не е известно клиничното значение от промяната на тези параметри.</w:t>
      </w:r>
    </w:p>
    <w:p w14:paraId="16ADB764" w14:textId="77777777" w:rsidR="00AE72D2" w:rsidRPr="00AE72D2" w:rsidRDefault="00AE72D2" w:rsidP="00AE72D2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5E05CB2F" w14:textId="71C466EE" w:rsidR="00AE72D2" w:rsidRPr="00AE72D2" w:rsidRDefault="00AE72D2" w:rsidP="00AE72D2">
      <w:pPr>
        <w:pStyle w:val="Heading3"/>
        <w:rPr>
          <w:rFonts w:eastAsia="Times New Roman"/>
          <w:sz w:val="28"/>
          <w:u w:val="single"/>
        </w:rPr>
      </w:pPr>
      <w:r w:rsidRPr="00AE72D2">
        <w:rPr>
          <w:rFonts w:eastAsia="Times New Roman"/>
          <w:u w:val="single"/>
          <w:lang w:eastAsia="bg-BG"/>
        </w:rPr>
        <w:t>Разпределение</w:t>
      </w:r>
    </w:p>
    <w:p w14:paraId="1F50AFFB" w14:textId="77777777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 xml:space="preserve">Свързването с плазмените протеини е незначително. Метформин се разпределя в еритроцитите. Пиковите нива в кръвта са по-ниски в сравнение с пиковите плазмени нива и се проявяват по същото време. Червените кръвни клетки най-вероятно представляват вторичен компартимент на разпределение. Средният обем на разпределение </w:t>
      </w:r>
      <w:r w:rsidRPr="00AE72D2">
        <w:rPr>
          <w:rFonts w:eastAsia="Times New Roman" w:cs="Arial"/>
          <w:color w:val="000000"/>
          <w:szCs w:val="20"/>
          <w:lang w:val="ru-RU"/>
        </w:rPr>
        <w:t>(</w:t>
      </w:r>
      <w:proofErr w:type="spellStart"/>
      <w:r w:rsidRPr="00AE72D2">
        <w:rPr>
          <w:rFonts w:eastAsia="Times New Roman" w:cs="Arial"/>
          <w:color w:val="000000"/>
          <w:szCs w:val="20"/>
          <w:lang w:val="en-US"/>
        </w:rPr>
        <w:t>V</w:t>
      </w:r>
      <w:r w:rsidRPr="00AE72D2">
        <w:rPr>
          <w:rFonts w:eastAsia="Times New Roman" w:cs="Arial"/>
          <w:color w:val="000000"/>
          <w:szCs w:val="20"/>
          <w:vertAlign w:val="subscript"/>
          <w:lang w:val="en-US"/>
        </w:rPr>
        <w:t>d</w:t>
      </w:r>
      <w:proofErr w:type="spellEnd"/>
      <w:r w:rsidRPr="00AE72D2">
        <w:rPr>
          <w:rFonts w:eastAsia="Times New Roman" w:cs="Arial"/>
          <w:color w:val="000000"/>
          <w:szCs w:val="20"/>
          <w:lang w:val="ru-RU"/>
        </w:rPr>
        <w:t xml:space="preserve">) </w:t>
      </w:r>
      <w:r w:rsidRPr="00AE72D2">
        <w:rPr>
          <w:rFonts w:eastAsia="Times New Roman" w:cs="Arial"/>
          <w:color w:val="000000"/>
          <w:szCs w:val="20"/>
          <w:lang w:eastAsia="bg-BG"/>
        </w:rPr>
        <w:t>варира между 63-276 1.</w:t>
      </w:r>
    </w:p>
    <w:p w14:paraId="5FA255DA" w14:textId="77777777" w:rsidR="00AE72D2" w:rsidRPr="00AE72D2" w:rsidRDefault="00AE72D2" w:rsidP="00AE72D2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757BE4DB" w14:textId="7F4044F5" w:rsidR="00AE72D2" w:rsidRPr="00AE72D2" w:rsidRDefault="00AE72D2" w:rsidP="00AE72D2">
      <w:pPr>
        <w:pStyle w:val="Heading3"/>
        <w:rPr>
          <w:rFonts w:eastAsia="Times New Roman"/>
          <w:sz w:val="28"/>
          <w:u w:val="single"/>
        </w:rPr>
      </w:pPr>
      <w:r w:rsidRPr="00AE72D2">
        <w:rPr>
          <w:rFonts w:eastAsia="Times New Roman"/>
          <w:u w:val="single"/>
          <w:lang w:eastAsia="bg-BG"/>
        </w:rPr>
        <w:t>Биотрансформация</w:t>
      </w:r>
    </w:p>
    <w:p w14:paraId="2D079A00" w14:textId="77777777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>Метформин се отделя непроменен с урината. При хора не са открити метаболити.</w:t>
      </w:r>
    </w:p>
    <w:p w14:paraId="4F18A35F" w14:textId="77777777" w:rsidR="00AE72D2" w:rsidRPr="00AE72D2" w:rsidRDefault="00AE72D2" w:rsidP="00AE72D2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17ABAFF8" w14:textId="4B4C745B" w:rsidR="00AE72D2" w:rsidRPr="00AE72D2" w:rsidRDefault="00AE72D2" w:rsidP="00AE72D2">
      <w:pPr>
        <w:pStyle w:val="Heading3"/>
        <w:rPr>
          <w:rFonts w:eastAsia="Times New Roman"/>
          <w:sz w:val="28"/>
          <w:u w:val="single"/>
        </w:rPr>
      </w:pPr>
      <w:r w:rsidRPr="00AE72D2">
        <w:rPr>
          <w:rFonts w:eastAsia="Times New Roman"/>
          <w:u w:val="single"/>
          <w:lang w:eastAsia="bg-BG"/>
        </w:rPr>
        <w:t>Елиминиране</w:t>
      </w:r>
    </w:p>
    <w:p w14:paraId="6A66F5B2" w14:textId="5E0AD072" w:rsidR="00AE72D2" w:rsidRDefault="00AE72D2" w:rsidP="00AE72D2">
      <w:pPr>
        <w:rPr>
          <w:rFonts w:eastAsia="Times New Roman" w:cs="Arial"/>
          <w:color w:val="000000"/>
          <w:szCs w:val="20"/>
          <w:lang w:eastAsia="bg-BG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 xml:space="preserve">Бъбречният клирънс на метформин е &gt;400 </w:t>
      </w:r>
      <w:r w:rsidRPr="00AE72D2">
        <w:rPr>
          <w:rFonts w:eastAsia="Times New Roman" w:cs="Arial"/>
          <w:color w:val="000000"/>
          <w:szCs w:val="20"/>
          <w:lang w:val="en-US"/>
        </w:rPr>
        <w:t>ml</w:t>
      </w:r>
      <w:r w:rsidRPr="00AE72D2">
        <w:rPr>
          <w:rFonts w:eastAsia="Times New Roman" w:cs="Arial"/>
          <w:color w:val="000000"/>
          <w:szCs w:val="20"/>
          <w:lang w:val="ru-RU"/>
        </w:rPr>
        <w:t>/</w:t>
      </w:r>
      <w:r w:rsidRPr="00AE72D2">
        <w:rPr>
          <w:rFonts w:eastAsia="Times New Roman" w:cs="Arial"/>
          <w:color w:val="000000"/>
          <w:szCs w:val="20"/>
          <w:lang w:val="en-US"/>
        </w:rPr>
        <w:t>min</w:t>
      </w:r>
      <w:r w:rsidRPr="00AE72D2">
        <w:rPr>
          <w:rFonts w:eastAsia="Times New Roman" w:cs="Arial"/>
          <w:color w:val="000000"/>
          <w:szCs w:val="20"/>
          <w:lang w:val="ru-RU"/>
        </w:rPr>
        <w:t xml:space="preserve">, </w:t>
      </w:r>
      <w:r w:rsidRPr="00AE72D2">
        <w:rPr>
          <w:rFonts w:eastAsia="Times New Roman" w:cs="Arial"/>
          <w:color w:val="000000"/>
          <w:szCs w:val="20"/>
          <w:lang w:eastAsia="bg-BG"/>
        </w:rPr>
        <w:t>което показва, че</w:t>
      </w:r>
      <w:r w:rsidRPr="00AE72D2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AE72D2">
        <w:rPr>
          <w:rFonts w:eastAsia="Times New Roman" w:cs="Arial"/>
          <w:color w:val="000000"/>
          <w:szCs w:val="20"/>
          <w:lang w:eastAsia="bg-BG"/>
        </w:rPr>
        <w:t>метформин се елиминира чрез гломерулна филтрация и тубулна секреция. След перорално приложение крайното време на полуживот е около 6,5 часа.</w:t>
      </w:r>
    </w:p>
    <w:p w14:paraId="5FEB9E92" w14:textId="6D2F3C39" w:rsidR="00AE72D2" w:rsidRDefault="00AE72D2" w:rsidP="00AE72D2">
      <w:pPr>
        <w:rPr>
          <w:rFonts w:eastAsia="Times New Roman" w:cs="Arial"/>
          <w:color w:val="000000"/>
          <w:szCs w:val="20"/>
          <w:lang w:eastAsia="bg-BG"/>
        </w:rPr>
      </w:pPr>
    </w:p>
    <w:p w14:paraId="343FF36B" w14:textId="77777777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lang w:eastAsia="bg-BG"/>
        </w:rPr>
        <w:t>При нарушена бъбречна функция, бъбречният клирънс намалява в съответствие с този на креатинина и така времето на полуелиминиране се удължава, което води до увеличени нива на метформин в плазмата.</w:t>
      </w:r>
    </w:p>
    <w:p w14:paraId="193682F4" w14:textId="77777777" w:rsidR="00AE72D2" w:rsidRPr="00AE72D2" w:rsidRDefault="00AE72D2" w:rsidP="00AE72D2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146A0E84" w14:textId="20F95B76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color w:val="000000"/>
          <w:szCs w:val="20"/>
          <w:u w:val="single"/>
          <w:lang w:eastAsia="bg-BG"/>
        </w:rPr>
        <w:t>Педиатрична популация:</w:t>
      </w:r>
    </w:p>
    <w:p w14:paraId="3D773357" w14:textId="77777777" w:rsidR="00AE72D2" w:rsidRPr="00AE72D2" w:rsidRDefault="00AE72D2" w:rsidP="00AE72D2">
      <w:pPr>
        <w:spacing w:line="240" w:lineRule="auto"/>
        <w:rPr>
          <w:rFonts w:eastAsia="Times New Roman" w:cs="Arial"/>
          <w:i/>
          <w:iCs/>
          <w:color w:val="000000"/>
          <w:szCs w:val="20"/>
          <w:lang w:eastAsia="bg-BG"/>
        </w:rPr>
      </w:pPr>
    </w:p>
    <w:p w14:paraId="43BB8BBC" w14:textId="68A2828C" w:rsidR="00AE72D2" w:rsidRPr="00AE72D2" w:rsidRDefault="00AE72D2" w:rsidP="00AE72D2">
      <w:pPr>
        <w:spacing w:line="240" w:lineRule="auto"/>
        <w:rPr>
          <w:rFonts w:eastAsia="Times New Roman" w:cs="Arial"/>
          <w:sz w:val="28"/>
          <w:szCs w:val="24"/>
        </w:rPr>
      </w:pPr>
      <w:r w:rsidRPr="00AE72D2">
        <w:rPr>
          <w:rFonts w:eastAsia="Times New Roman" w:cs="Arial"/>
          <w:i/>
          <w:iCs/>
          <w:color w:val="000000"/>
          <w:szCs w:val="20"/>
          <w:lang w:eastAsia="bg-BG"/>
        </w:rPr>
        <w:t>Проучване с еднократна доза:</w:t>
      </w:r>
      <w:r w:rsidRPr="00AE72D2">
        <w:rPr>
          <w:rFonts w:eastAsia="Times New Roman" w:cs="Arial"/>
          <w:color w:val="000000"/>
          <w:szCs w:val="20"/>
          <w:lang w:eastAsia="bg-BG"/>
        </w:rPr>
        <w:t xml:space="preserve"> След приложението на единична доза 500 </w:t>
      </w:r>
      <w:r w:rsidRPr="00AE72D2">
        <w:rPr>
          <w:rFonts w:eastAsia="Times New Roman" w:cs="Arial"/>
          <w:color w:val="000000"/>
          <w:szCs w:val="20"/>
          <w:lang w:val="en-US"/>
        </w:rPr>
        <w:t>mg</w:t>
      </w:r>
      <w:r w:rsidRPr="00AE72D2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AE72D2">
        <w:rPr>
          <w:rFonts w:eastAsia="Times New Roman" w:cs="Arial"/>
          <w:color w:val="000000"/>
          <w:szCs w:val="20"/>
          <w:lang w:eastAsia="bg-BG"/>
        </w:rPr>
        <w:t>метформинов хидрохлорид, фармакокинетичния профил при деца е подобен на този, наблюдаван при здрави възрастни.</w:t>
      </w:r>
    </w:p>
    <w:p w14:paraId="48265A35" w14:textId="07AEEEA4" w:rsidR="00AE72D2" w:rsidRDefault="00AE72D2" w:rsidP="00AE72D2">
      <w:pPr>
        <w:rPr>
          <w:rFonts w:eastAsia="Times New Roman" w:cs="Arial"/>
          <w:color w:val="000000"/>
          <w:szCs w:val="20"/>
          <w:lang w:eastAsia="bg-BG"/>
        </w:rPr>
      </w:pPr>
      <w:r w:rsidRPr="00AE72D2">
        <w:rPr>
          <w:rFonts w:eastAsia="Times New Roman" w:cs="Arial"/>
          <w:i/>
          <w:iCs/>
          <w:color w:val="000000"/>
          <w:szCs w:val="20"/>
          <w:lang w:eastAsia="bg-BG"/>
        </w:rPr>
        <w:t>Проучване с многократни дози:</w:t>
      </w:r>
      <w:r w:rsidRPr="00AE72D2">
        <w:rPr>
          <w:rFonts w:eastAsia="Times New Roman" w:cs="Arial"/>
          <w:color w:val="000000"/>
          <w:szCs w:val="20"/>
          <w:lang w:eastAsia="bg-BG"/>
        </w:rPr>
        <w:t xml:space="preserve"> Данните са ограничени до едно проучване. След многократно приложение на 500 </w:t>
      </w:r>
      <w:r w:rsidRPr="00AE72D2">
        <w:rPr>
          <w:rFonts w:eastAsia="Times New Roman" w:cs="Arial"/>
          <w:color w:val="000000"/>
          <w:szCs w:val="20"/>
          <w:lang w:val="en-US"/>
        </w:rPr>
        <w:t>mg</w:t>
      </w:r>
      <w:r w:rsidRPr="00AE72D2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AE72D2">
        <w:rPr>
          <w:rFonts w:eastAsia="Times New Roman" w:cs="Arial"/>
          <w:color w:val="000000"/>
          <w:szCs w:val="20"/>
          <w:lang w:eastAsia="bg-BG"/>
        </w:rPr>
        <w:t>метформинов хидрохлорид два пъти дневно за 7 дни при деца, максималната плазмена концентрация (С</w:t>
      </w:r>
      <w:r w:rsidRPr="00AE72D2">
        <w:rPr>
          <w:rFonts w:eastAsia="Times New Roman" w:cs="Arial"/>
          <w:color w:val="000000"/>
          <w:szCs w:val="20"/>
          <w:vertAlign w:val="subscript"/>
          <w:lang w:val="en-US"/>
        </w:rPr>
        <w:t>max</w:t>
      </w:r>
      <w:r w:rsidRPr="00AE72D2">
        <w:rPr>
          <w:rFonts w:eastAsia="Times New Roman" w:cs="Arial"/>
          <w:color w:val="000000"/>
          <w:szCs w:val="20"/>
          <w:lang w:eastAsia="bg-BG"/>
        </w:rPr>
        <w:t xml:space="preserve">) и системната експозиция </w:t>
      </w:r>
      <w:r w:rsidRPr="00AE72D2">
        <w:rPr>
          <w:rFonts w:eastAsia="Times New Roman" w:cs="Arial"/>
          <w:color w:val="000000"/>
          <w:szCs w:val="20"/>
          <w:lang w:val="ru-RU"/>
        </w:rPr>
        <w:t>(</w:t>
      </w:r>
      <w:r w:rsidRPr="00AE72D2">
        <w:rPr>
          <w:rFonts w:eastAsia="Times New Roman" w:cs="Arial"/>
          <w:color w:val="000000"/>
          <w:szCs w:val="20"/>
          <w:lang w:val="en-US"/>
        </w:rPr>
        <w:t>AUC</w:t>
      </w:r>
      <w:r w:rsidRPr="00AE72D2">
        <w:rPr>
          <w:rFonts w:eastAsia="Times New Roman" w:cs="Arial"/>
          <w:color w:val="000000"/>
          <w:szCs w:val="20"/>
          <w:vertAlign w:val="subscript"/>
          <w:lang w:val="ru-RU"/>
        </w:rPr>
        <w:t>0-1</w:t>
      </w:r>
      <w:r w:rsidRPr="00AE72D2">
        <w:rPr>
          <w:rFonts w:eastAsia="Times New Roman" w:cs="Arial"/>
          <w:color w:val="000000"/>
          <w:szCs w:val="20"/>
          <w:lang w:val="ru-RU"/>
        </w:rPr>
        <w:t xml:space="preserve">) </w:t>
      </w:r>
      <w:r w:rsidRPr="00AE72D2">
        <w:rPr>
          <w:rFonts w:eastAsia="Times New Roman" w:cs="Arial"/>
          <w:color w:val="000000"/>
          <w:szCs w:val="20"/>
          <w:lang w:eastAsia="bg-BG"/>
        </w:rPr>
        <w:t xml:space="preserve">са намалени с около 33% и 40%, съответно в сравнение с възрастни пациенти с диабет, които приемат многократни дози от 500 </w:t>
      </w:r>
      <w:r w:rsidRPr="00AE72D2">
        <w:rPr>
          <w:rFonts w:eastAsia="Times New Roman" w:cs="Arial"/>
          <w:color w:val="000000"/>
          <w:szCs w:val="20"/>
          <w:lang w:val="en-US"/>
        </w:rPr>
        <w:t>mg</w:t>
      </w:r>
      <w:r w:rsidRPr="00AE72D2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AE72D2">
        <w:rPr>
          <w:rFonts w:eastAsia="Times New Roman" w:cs="Arial"/>
          <w:color w:val="000000"/>
          <w:szCs w:val="20"/>
          <w:lang w:eastAsia="bg-BG"/>
        </w:rPr>
        <w:t>два пъти дневно за 14 дни. Тъй като дозата се титрира индивидуално в зависимост от гликемичния контрол, това е от ограничено клинично значение.</w:t>
      </w:r>
    </w:p>
    <w:p w14:paraId="5D05BDE0" w14:textId="77777777" w:rsidR="00AE72D2" w:rsidRPr="00AE72D2" w:rsidRDefault="00AE72D2" w:rsidP="00AE72D2">
      <w:pPr>
        <w:rPr>
          <w:rFonts w:cs="Arial"/>
          <w:sz w:val="28"/>
        </w:rPr>
      </w:pPr>
    </w:p>
    <w:p w14:paraId="028E658A" w14:textId="6F5FD1F7" w:rsidR="00395555" w:rsidRDefault="002C50EE" w:rsidP="008A6AF2">
      <w:pPr>
        <w:pStyle w:val="Heading2"/>
      </w:pPr>
      <w:r>
        <w:lastRenderedPageBreak/>
        <w:t>5.3. Предклинични данни за безопасност</w:t>
      </w:r>
    </w:p>
    <w:p w14:paraId="4A06F341" w14:textId="40523256" w:rsidR="00AE72D2" w:rsidRDefault="00AE72D2" w:rsidP="00AE72D2"/>
    <w:p w14:paraId="2C61DFAA" w14:textId="00FF91B1" w:rsidR="00AE72D2" w:rsidRPr="00AE72D2" w:rsidRDefault="00AE72D2" w:rsidP="00AE72D2">
      <w:r>
        <w:t>Неклиничните данни не разкриват специфичен риск за хора, въз основа на конвенционални проучвания за безопасност, фармакология, токсичност при приложение на многократни дози, генотоксичност, канцерогенен потенциал и репродуктивна токсичност.</w:t>
      </w:r>
    </w:p>
    <w:p w14:paraId="6A7820AB" w14:textId="6784E99F" w:rsidR="008A6AF2" w:rsidRDefault="002C50EE" w:rsidP="00395555">
      <w:pPr>
        <w:pStyle w:val="Heading1"/>
      </w:pPr>
      <w:r>
        <w:t>7. ПРИТЕЖАТЕЛ НА РАЗРЕШЕНИЕТО ЗА УПОТРЕБА</w:t>
      </w:r>
    </w:p>
    <w:p w14:paraId="71036D0D" w14:textId="2B7B6D6E" w:rsidR="00AE72D2" w:rsidRDefault="00AE72D2" w:rsidP="00AE72D2"/>
    <w:p w14:paraId="081A0A1A" w14:textId="77777777" w:rsidR="00AE72D2" w:rsidRPr="00AE72D2" w:rsidRDefault="00AE72D2" w:rsidP="00AE72D2">
      <w:pPr>
        <w:rPr>
          <w:sz w:val="24"/>
          <w:szCs w:val="24"/>
          <w:lang w:val="en-US"/>
        </w:rPr>
      </w:pPr>
      <w:r w:rsidRPr="00AE72D2">
        <w:rPr>
          <w:lang w:val="en-US"/>
        </w:rPr>
        <w:t>BERLIN-CHEMIE AG (MENARINI GROUP)</w:t>
      </w:r>
    </w:p>
    <w:p w14:paraId="6A022D22" w14:textId="77777777" w:rsidR="00AE72D2" w:rsidRPr="00AE72D2" w:rsidRDefault="00AE72D2" w:rsidP="00AE72D2">
      <w:pPr>
        <w:rPr>
          <w:sz w:val="24"/>
          <w:szCs w:val="24"/>
          <w:lang w:val="ru-RU"/>
        </w:rPr>
      </w:pPr>
      <w:proofErr w:type="spellStart"/>
      <w:r w:rsidRPr="00AE72D2">
        <w:rPr>
          <w:lang w:val="en-US"/>
        </w:rPr>
        <w:t>Glienicker</w:t>
      </w:r>
      <w:proofErr w:type="spellEnd"/>
      <w:r w:rsidRPr="00AE72D2">
        <w:rPr>
          <w:lang w:val="ru-RU"/>
        </w:rPr>
        <w:t xml:space="preserve"> </w:t>
      </w:r>
      <w:proofErr w:type="spellStart"/>
      <w:r w:rsidRPr="00AE72D2">
        <w:rPr>
          <w:lang w:val="en-US"/>
        </w:rPr>
        <w:t>Weg</w:t>
      </w:r>
      <w:proofErr w:type="spellEnd"/>
      <w:r w:rsidRPr="00AE72D2">
        <w:rPr>
          <w:lang w:val="ru-RU"/>
        </w:rPr>
        <w:t xml:space="preserve"> </w:t>
      </w:r>
      <w:r w:rsidRPr="00AE72D2">
        <w:rPr>
          <w:lang w:eastAsia="bg-BG"/>
        </w:rPr>
        <w:t>125</w:t>
      </w:r>
    </w:p>
    <w:p w14:paraId="3921E968" w14:textId="708A5933" w:rsidR="00AE72D2" w:rsidRPr="00AE72D2" w:rsidRDefault="00AE72D2" w:rsidP="00AE72D2">
      <w:r w:rsidRPr="00AE72D2">
        <w:rPr>
          <w:lang w:eastAsia="bg-BG"/>
        </w:rPr>
        <w:t xml:space="preserve">12489 </w:t>
      </w:r>
      <w:r w:rsidRPr="00AE72D2">
        <w:rPr>
          <w:lang w:val="en-US"/>
        </w:rPr>
        <w:t>Berlin</w:t>
      </w:r>
      <w:r w:rsidRPr="00AE72D2">
        <w:rPr>
          <w:lang w:val="ru-RU"/>
        </w:rPr>
        <w:t xml:space="preserve">, </w:t>
      </w:r>
      <w:r w:rsidRPr="00AE72D2">
        <w:rPr>
          <w:lang w:eastAsia="bg-BG"/>
        </w:rPr>
        <w:t>Германия</w:t>
      </w:r>
    </w:p>
    <w:p w14:paraId="04840D59" w14:textId="068CF04B" w:rsidR="002C50EE" w:rsidRDefault="002C50EE" w:rsidP="00395555">
      <w:pPr>
        <w:pStyle w:val="Heading1"/>
      </w:pPr>
      <w:r>
        <w:t>8. НОМЕР НА РАЗРЕШЕНИЕТО ЗА УПОТРЕБА</w:t>
      </w:r>
    </w:p>
    <w:p w14:paraId="67EB1CF9" w14:textId="41C37158" w:rsidR="00AE72D2" w:rsidRDefault="00AE72D2" w:rsidP="00AE72D2"/>
    <w:p w14:paraId="01E02499" w14:textId="5D02BA99" w:rsidR="00AE72D2" w:rsidRPr="00AE72D2" w:rsidRDefault="00AE72D2" w:rsidP="00AE72D2">
      <w:r>
        <w:rPr>
          <w:lang w:val="en-US"/>
        </w:rPr>
        <w:t>Per</w:t>
      </w:r>
      <w:r w:rsidRPr="00AE72D2">
        <w:rPr>
          <w:lang w:val="ru-RU"/>
        </w:rPr>
        <w:t xml:space="preserve">. </w:t>
      </w:r>
      <w:r>
        <w:t>№ 20050505</w:t>
      </w:r>
    </w:p>
    <w:p w14:paraId="2CCB5832" w14:textId="4CBD61BD" w:rsidR="007C605B" w:rsidRDefault="002C50EE" w:rsidP="007C605B">
      <w:pPr>
        <w:pStyle w:val="Heading1"/>
      </w:pPr>
      <w:r>
        <w:t>9. ДАТА НА ПЪРВО РАЗРЕШАВАНЕ/ПОДНОВЯВАНЕ НА РАЗРЕШЕНИЕТО ЗА УПОТРЕБА</w:t>
      </w:r>
    </w:p>
    <w:p w14:paraId="49629B07" w14:textId="77777777" w:rsidR="00AE72D2" w:rsidRPr="00AE72D2" w:rsidRDefault="00AE72D2" w:rsidP="00AE72D2">
      <w:pPr>
        <w:rPr>
          <w:sz w:val="24"/>
          <w:szCs w:val="24"/>
        </w:rPr>
      </w:pPr>
      <w:r w:rsidRPr="00AE72D2">
        <w:rPr>
          <w:lang w:eastAsia="bg-BG"/>
        </w:rPr>
        <w:t>Дата на първо разрешаване: 19.10.2005 г.</w:t>
      </w:r>
    </w:p>
    <w:p w14:paraId="185B678E" w14:textId="66E23D79" w:rsidR="00AE72D2" w:rsidRPr="00AE72D2" w:rsidRDefault="00AE72D2" w:rsidP="00AE72D2">
      <w:r w:rsidRPr="00AE72D2">
        <w:rPr>
          <w:lang w:eastAsia="bg-BG"/>
        </w:rPr>
        <w:t>Дата на последно подновяване: 12.11.2010 г.</w:t>
      </w:r>
    </w:p>
    <w:p w14:paraId="0E9D0119" w14:textId="0245C6D7" w:rsidR="002C50EE" w:rsidRDefault="002C50EE" w:rsidP="002C50EE">
      <w:pPr>
        <w:pStyle w:val="Heading1"/>
      </w:pPr>
      <w:r>
        <w:t>10. ДАТА НА АКТУАЛИЗИРАНЕ НА ТЕКСТА</w:t>
      </w:r>
    </w:p>
    <w:bookmarkEnd w:id="0"/>
    <w:p w14:paraId="43FB38A2" w14:textId="644E7CD4" w:rsidR="007C605B" w:rsidRPr="003E3126" w:rsidRDefault="00AE72D2" w:rsidP="00AE72D2">
      <w:r>
        <w:t>Февруари, 2019 г.</w:t>
      </w:r>
      <w:bookmarkStart w:id="1" w:name="_GoBack"/>
      <w:bookmarkEnd w:id="1"/>
    </w:p>
    <w:sectPr w:rsidR="007C605B" w:rsidRPr="003E31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A162FA0"/>
    <w:lvl w:ilvl="0">
      <w:start w:val="1"/>
      <w:numFmt w:val="decimal"/>
      <w:lvlText w:val="%1.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00894126"/>
    <w:multiLevelType w:val="multilevel"/>
    <w:tmpl w:val="588ED0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00AE4925"/>
    <w:multiLevelType w:val="multilevel"/>
    <w:tmpl w:val="4CC8ED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4834C69"/>
    <w:multiLevelType w:val="multilevel"/>
    <w:tmpl w:val="DC0A14F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099A0F47"/>
    <w:multiLevelType w:val="hybridMultilevel"/>
    <w:tmpl w:val="5F3E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3A2C2D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7" w15:restartNumberingAfterBreak="0">
    <w:nsid w:val="19016EEE"/>
    <w:multiLevelType w:val="hybridMultilevel"/>
    <w:tmpl w:val="52F6376E"/>
    <w:lvl w:ilvl="0" w:tplc="4F7A938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FD21AD"/>
    <w:multiLevelType w:val="hybridMultilevel"/>
    <w:tmpl w:val="65C6B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6343B0"/>
    <w:multiLevelType w:val="hybridMultilevel"/>
    <w:tmpl w:val="DD4E8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B905EA"/>
    <w:multiLevelType w:val="multilevel"/>
    <w:tmpl w:val="0BDAF9CC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1" w15:restartNumberingAfterBreak="0">
    <w:nsid w:val="251258ED"/>
    <w:multiLevelType w:val="hybridMultilevel"/>
    <w:tmpl w:val="AA423BD4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2" w15:restartNumberingAfterBreak="0">
    <w:nsid w:val="26177103"/>
    <w:multiLevelType w:val="multilevel"/>
    <w:tmpl w:val="E82C6D4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2899351A"/>
    <w:multiLevelType w:val="hybridMultilevel"/>
    <w:tmpl w:val="4B2A1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0F0359"/>
    <w:multiLevelType w:val="hybridMultilevel"/>
    <w:tmpl w:val="44CA7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A60FB9"/>
    <w:multiLevelType w:val="hybridMultilevel"/>
    <w:tmpl w:val="BA3E8EEE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A002FE"/>
    <w:multiLevelType w:val="hybridMultilevel"/>
    <w:tmpl w:val="60D40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687B8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8" w15:restartNumberingAfterBreak="0">
    <w:nsid w:val="403D3417"/>
    <w:multiLevelType w:val="multilevel"/>
    <w:tmpl w:val="B57254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9" w15:restartNumberingAfterBreak="0">
    <w:nsid w:val="42823E3C"/>
    <w:multiLevelType w:val="hybridMultilevel"/>
    <w:tmpl w:val="80B07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0E33D8"/>
    <w:multiLevelType w:val="hybridMultilevel"/>
    <w:tmpl w:val="71309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ED0C31"/>
    <w:multiLevelType w:val="hybridMultilevel"/>
    <w:tmpl w:val="2946DD8C"/>
    <w:lvl w:ilvl="0" w:tplc="83C2330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224DF7"/>
    <w:multiLevelType w:val="hybridMultilevel"/>
    <w:tmpl w:val="167C0E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817B77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4" w15:restartNumberingAfterBreak="0">
    <w:nsid w:val="4B960DEC"/>
    <w:multiLevelType w:val="hybridMultilevel"/>
    <w:tmpl w:val="DE7AABEA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31061F"/>
    <w:multiLevelType w:val="hybridMultilevel"/>
    <w:tmpl w:val="7BE0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FE48DA"/>
    <w:multiLevelType w:val="hybridMultilevel"/>
    <w:tmpl w:val="8D98A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088CA4">
      <w:numFmt w:val="bullet"/>
      <w:lvlText w:val="•"/>
      <w:lvlJc w:val="left"/>
      <w:pPr>
        <w:ind w:left="1800" w:hanging="720"/>
      </w:pPr>
      <w:rPr>
        <w:rFonts w:ascii="Arial" w:eastAsiaTheme="minorHAnsi" w:hAnsi="Arial" w:cs="Arial" w:hint="default"/>
        <w:sz w:val="2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AB1ABA"/>
    <w:multiLevelType w:val="hybridMultilevel"/>
    <w:tmpl w:val="EEEC7F7E"/>
    <w:lvl w:ilvl="0" w:tplc="E38E44D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A8116B"/>
    <w:multiLevelType w:val="hybridMultilevel"/>
    <w:tmpl w:val="F18C2434"/>
    <w:lvl w:ilvl="0" w:tplc="04B87F8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4F7F46"/>
    <w:multiLevelType w:val="multilevel"/>
    <w:tmpl w:val="0BDAF9CC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0" w15:restartNumberingAfterBreak="0">
    <w:nsid w:val="55C2302E"/>
    <w:multiLevelType w:val="hybridMultilevel"/>
    <w:tmpl w:val="FF02B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1F677A"/>
    <w:multiLevelType w:val="hybridMultilevel"/>
    <w:tmpl w:val="96EC7004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B539E2"/>
    <w:multiLevelType w:val="hybridMultilevel"/>
    <w:tmpl w:val="E3BC6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BC7DEC"/>
    <w:multiLevelType w:val="hybridMultilevel"/>
    <w:tmpl w:val="EE04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AD1413"/>
    <w:multiLevelType w:val="hybridMultilevel"/>
    <w:tmpl w:val="9B941132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5E7ECE"/>
    <w:multiLevelType w:val="hybridMultilevel"/>
    <w:tmpl w:val="81BECB8C"/>
    <w:lvl w:ilvl="0" w:tplc="84BA66A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FB2D7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31"/>
  </w:num>
  <w:num w:numId="2">
    <w:abstractNumId w:val="0"/>
  </w:num>
  <w:num w:numId="3">
    <w:abstractNumId w:val="15"/>
  </w:num>
  <w:num w:numId="4">
    <w:abstractNumId w:val="3"/>
  </w:num>
  <w:num w:numId="5">
    <w:abstractNumId w:val="1"/>
  </w:num>
  <w:num w:numId="6">
    <w:abstractNumId w:val="18"/>
  </w:num>
  <w:num w:numId="7">
    <w:abstractNumId w:val="12"/>
  </w:num>
  <w:num w:numId="8">
    <w:abstractNumId w:val="17"/>
  </w:num>
  <w:num w:numId="9">
    <w:abstractNumId w:val="2"/>
  </w:num>
  <w:num w:numId="10">
    <w:abstractNumId w:val="4"/>
  </w:num>
  <w:num w:numId="11">
    <w:abstractNumId w:val="33"/>
  </w:num>
  <w:num w:numId="12">
    <w:abstractNumId w:val="16"/>
  </w:num>
  <w:num w:numId="13">
    <w:abstractNumId w:val="21"/>
  </w:num>
  <w:num w:numId="14">
    <w:abstractNumId w:val="14"/>
  </w:num>
  <w:num w:numId="15">
    <w:abstractNumId w:val="32"/>
  </w:num>
  <w:num w:numId="16">
    <w:abstractNumId w:val="11"/>
  </w:num>
  <w:num w:numId="17">
    <w:abstractNumId w:val="27"/>
  </w:num>
  <w:num w:numId="18">
    <w:abstractNumId w:val="7"/>
  </w:num>
  <w:num w:numId="19">
    <w:abstractNumId w:val="30"/>
  </w:num>
  <w:num w:numId="20">
    <w:abstractNumId w:val="26"/>
  </w:num>
  <w:num w:numId="21">
    <w:abstractNumId w:val="19"/>
  </w:num>
  <w:num w:numId="22">
    <w:abstractNumId w:val="28"/>
  </w:num>
  <w:num w:numId="23">
    <w:abstractNumId w:val="20"/>
  </w:num>
  <w:num w:numId="24">
    <w:abstractNumId w:val="9"/>
  </w:num>
  <w:num w:numId="25">
    <w:abstractNumId w:val="25"/>
  </w:num>
  <w:num w:numId="26">
    <w:abstractNumId w:val="24"/>
  </w:num>
  <w:num w:numId="27">
    <w:abstractNumId w:val="34"/>
  </w:num>
  <w:num w:numId="28">
    <w:abstractNumId w:val="6"/>
  </w:num>
  <w:num w:numId="29">
    <w:abstractNumId w:val="23"/>
  </w:num>
  <w:num w:numId="30">
    <w:abstractNumId w:val="36"/>
  </w:num>
  <w:num w:numId="31">
    <w:abstractNumId w:val="5"/>
  </w:num>
  <w:num w:numId="32">
    <w:abstractNumId w:val="13"/>
  </w:num>
  <w:num w:numId="33">
    <w:abstractNumId w:val="22"/>
  </w:num>
  <w:num w:numId="34">
    <w:abstractNumId w:val="8"/>
  </w:num>
  <w:num w:numId="35">
    <w:abstractNumId w:val="35"/>
  </w:num>
  <w:num w:numId="36">
    <w:abstractNumId w:val="10"/>
  </w:num>
  <w:num w:numId="3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A00"/>
    <w:rsid w:val="00185A46"/>
    <w:rsid w:val="001915B6"/>
    <w:rsid w:val="001D1B23"/>
    <w:rsid w:val="002B3C38"/>
    <w:rsid w:val="002B4DBB"/>
    <w:rsid w:val="002C50EE"/>
    <w:rsid w:val="00340A0A"/>
    <w:rsid w:val="003765DC"/>
    <w:rsid w:val="00395555"/>
    <w:rsid w:val="003E3126"/>
    <w:rsid w:val="004D4D6B"/>
    <w:rsid w:val="00517A5B"/>
    <w:rsid w:val="00593A00"/>
    <w:rsid w:val="005A66D9"/>
    <w:rsid w:val="00605BCA"/>
    <w:rsid w:val="006158A1"/>
    <w:rsid w:val="00617B1F"/>
    <w:rsid w:val="00672487"/>
    <w:rsid w:val="00672600"/>
    <w:rsid w:val="00681D4A"/>
    <w:rsid w:val="00685882"/>
    <w:rsid w:val="0075649D"/>
    <w:rsid w:val="007C605B"/>
    <w:rsid w:val="00814073"/>
    <w:rsid w:val="00826F0D"/>
    <w:rsid w:val="00893B92"/>
    <w:rsid w:val="008A6AF2"/>
    <w:rsid w:val="008C70A2"/>
    <w:rsid w:val="009773E4"/>
    <w:rsid w:val="009B171C"/>
    <w:rsid w:val="009F1313"/>
    <w:rsid w:val="00A20351"/>
    <w:rsid w:val="00AA23EC"/>
    <w:rsid w:val="00AC63CE"/>
    <w:rsid w:val="00AE2107"/>
    <w:rsid w:val="00AE72D2"/>
    <w:rsid w:val="00B275A8"/>
    <w:rsid w:val="00BF2600"/>
    <w:rsid w:val="00C0049F"/>
    <w:rsid w:val="00C07B84"/>
    <w:rsid w:val="00C33464"/>
    <w:rsid w:val="00C809A7"/>
    <w:rsid w:val="00C83063"/>
    <w:rsid w:val="00C87E90"/>
    <w:rsid w:val="00CA1B57"/>
    <w:rsid w:val="00D86297"/>
    <w:rsid w:val="00DD466D"/>
    <w:rsid w:val="00EB6364"/>
    <w:rsid w:val="00F37B64"/>
    <w:rsid w:val="00FD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4BA7"/>
  <w15:docId w15:val="{3DA60348-CCDC-4D6D-877F-EA9575E07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364"/>
    <w:pPr>
      <w:spacing w:after="0" w:line="256" w:lineRule="auto"/>
    </w:pPr>
    <w:rPr>
      <w:rFonts w:ascii="Arial" w:hAnsi="Arial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1D4A"/>
    <w:pPr>
      <w:keepNext/>
      <w:keepLines/>
      <w:spacing w:before="240" w:line="259" w:lineRule="auto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1D4A"/>
    <w:pPr>
      <w:keepNext/>
      <w:keepLines/>
      <w:spacing w:before="40" w:line="259" w:lineRule="auto"/>
      <w:outlineLvl w:val="1"/>
    </w:pPr>
    <w:rPr>
      <w:rFonts w:eastAsiaTheme="majorEastAsia" w:cstheme="majorBidi"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1D4A"/>
    <w:pPr>
      <w:keepNext/>
      <w:keepLines/>
      <w:spacing w:before="40" w:line="259" w:lineRule="auto"/>
      <w:outlineLvl w:val="2"/>
    </w:pPr>
    <w:rPr>
      <w:rFonts w:eastAsiaTheme="majorEastAsia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81D4A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Стил1"/>
    <w:basedOn w:val="Heading3"/>
    <w:next w:val="Normal"/>
    <w:link w:val="10"/>
    <w:qFormat/>
    <w:rsid w:val="00C87E90"/>
    <w:pPr>
      <w:widowControl w:val="0"/>
      <w:spacing w:after="1080" w:line="240" w:lineRule="auto"/>
      <w:ind w:left="4400"/>
      <w:jc w:val="center"/>
    </w:pPr>
    <w:rPr>
      <w:b/>
      <w:sz w:val="22"/>
      <w:szCs w:val="22"/>
    </w:rPr>
  </w:style>
  <w:style w:type="character" w:customStyle="1" w:styleId="10">
    <w:name w:val="Стил1 Знак"/>
    <w:basedOn w:val="Heading3Char"/>
    <w:link w:val="1"/>
    <w:rsid w:val="00C87E90"/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81D4A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882"/>
    <w:pPr>
      <w:spacing w:line="259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81D4A"/>
    <w:rPr>
      <w:rFonts w:ascii="Arial" w:eastAsiaTheme="majorEastAsia" w:hAnsi="Arial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81D4A"/>
    <w:rPr>
      <w:rFonts w:ascii="Arial" w:eastAsiaTheme="majorEastAsia" w:hAnsi="Arial" w:cstheme="majorBidi"/>
      <w:color w:val="000000" w:themeColor="tex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681D4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39"/>
    <w:rsid w:val="00756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64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3626</Words>
  <Characters>20673</Characters>
  <Application>Microsoft Office Word</Application>
  <DocSecurity>0</DocSecurity>
  <Lines>172</Lines>
  <Paragraphs>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vasilev</dc:creator>
  <cp:keywords/>
  <dc:description/>
  <cp:lastModifiedBy>petar vasilev</cp:lastModifiedBy>
  <cp:revision>2</cp:revision>
  <dcterms:created xsi:type="dcterms:W3CDTF">2022-01-04T20:02:00Z</dcterms:created>
  <dcterms:modified xsi:type="dcterms:W3CDTF">2022-01-04T20:02:00Z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8080e56-8894-418a-9b19-f357e77b996f_Enabled">
    <vt:lpwstr>true</vt:lpwstr>
  </property>
  <property fmtid="{D5CDD505-2E9C-101B-9397-08002B2CF9AE}" pid="3" name="MSIP_Label_78080e56-8894-418a-9b19-f357e77b996f_SetDate">
    <vt:lpwstr>2021-02-06T20:50:59Z</vt:lpwstr>
  </property>
  <property fmtid="{D5CDD505-2E9C-101B-9397-08002B2CF9AE}" pid="4" name="MSIP_Label_78080e56-8894-418a-9b19-f357e77b996f_Method">
    <vt:lpwstr>Standard</vt:lpwstr>
  </property>
  <property fmtid="{D5CDD505-2E9C-101B-9397-08002B2CF9AE}" pid="5" name="MSIP_Label_78080e56-8894-418a-9b19-f357e77b996f_Name">
    <vt:lpwstr>Internal Use Unencrypted</vt:lpwstr>
  </property>
  <property fmtid="{D5CDD505-2E9C-101B-9397-08002B2CF9AE}" pid="6" name="MSIP_Label_78080e56-8894-418a-9b19-f357e77b996f_SiteId">
    <vt:lpwstr>6c7fadf5-6b9d-485a-85cb-f8112e9720ec</vt:lpwstr>
  </property>
  <property fmtid="{D5CDD505-2E9C-101B-9397-08002B2CF9AE}" pid="7" name="MSIP_Label_78080e56-8894-418a-9b19-f357e77b996f_ActionId">
    <vt:lpwstr>0a32757c-47c4-4949-90c3-637a5e65fde2</vt:lpwstr>
  </property>
  <property fmtid="{D5CDD505-2E9C-101B-9397-08002B2CF9AE}" pid="8" name="MSIP_Label_78080e56-8894-418a-9b19-f357e77b996f_ContentBits">
    <vt:lpwstr>2</vt:lpwstr>
  </property>
</Properties>
</file>