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4F735328" w14:textId="1FE9F518" w:rsidR="00DF4C8E" w:rsidRDefault="00DD466D" w:rsidP="00F44498">
      <w:pPr>
        <w:pStyle w:val="Heading1"/>
      </w:pPr>
      <w:r>
        <w:t>1.ИМЕ НА ЛЕКАРСТВЕНИЯ ПРОДУКТ</w:t>
      </w:r>
    </w:p>
    <w:p w14:paraId="6D6C611F" w14:textId="71D6E66F" w:rsidR="00DA632E" w:rsidRDefault="00DA632E" w:rsidP="00DA632E"/>
    <w:p w14:paraId="5488D104" w14:textId="77777777" w:rsidR="00DA632E" w:rsidRDefault="00DA632E" w:rsidP="00DA632E">
      <w:r>
        <w:t xml:space="preserve">Сиофор 850 </w:t>
      </w:r>
      <w:r>
        <w:rPr>
          <w:lang w:val="en-US"/>
        </w:rPr>
        <w:t>mg</w:t>
      </w:r>
      <w:r w:rsidRPr="00DA632E">
        <w:t xml:space="preserve"> </w:t>
      </w:r>
      <w:r>
        <w:t xml:space="preserve">филмирани таблетки </w:t>
      </w:r>
    </w:p>
    <w:p w14:paraId="5C531A0C" w14:textId="4557CE0E" w:rsidR="00DA632E" w:rsidRPr="00DA632E" w:rsidRDefault="00DA632E" w:rsidP="00DA632E">
      <w:proofErr w:type="spellStart"/>
      <w:r>
        <w:rPr>
          <w:lang w:val="en-US"/>
        </w:rPr>
        <w:t>Siofor</w:t>
      </w:r>
      <w:proofErr w:type="spellEnd"/>
      <w:r w:rsidRPr="00DA632E">
        <w:t xml:space="preserve"> </w:t>
      </w:r>
      <w:r>
        <w:t xml:space="preserve">850 </w:t>
      </w:r>
      <w:r>
        <w:rPr>
          <w:lang w:val="en-US"/>
        </w:rPr>
        <w:t>mg</w:t>
      </w:r>
      <w:r w:rsidRPr="00DA632E">
        <w:t xml:space="preserve"> </w:t>
      </w:r>
      <w:r>
        <w:rPr>
          <w:lang w:val="en-US"/>
        </w:rPr>
        <w:t>film</w:t>
      </w:r>
      <w:r w:rsidRPr="00DA632E">
        <w:t>-</w:t>
      </w:r>
      <w:r>
        <w:rPr>
          <w:lang w:val="en-US"/>
        </w:rPr>
        <w:t>coated</w:t>
      </w:r>
      <w:r w:rsidRPr="00DA632E">
        <w:t xml:space="preserve"> </w:t>
      </w:r>
      <w:r>
        <w:rPr>
          <w:lang w:val="en-US"/>
        </w:rPr>
        <w:t>tablets</w:t>
      </w:r>
    </w:p>
    <w:p w14:paraId="2BF7ACB1" w14:textId="1FC76FCE" w:rsidR="00DF4C8E" w:rsidRDefault="00DD466D" w:rsidP="00F44498">
      <w:pPr>
        <w:pStyle w:val="Heading1"/>
      </w:pPr>
      <w:r>
        <w:t>2. КАЧЕСТВЕН И КОЛИЧЕСТВЕН СЪСТАВ</w:t>
      </w:r>
    </w:p>
    <w:p w14:paraId="4118F426" w14:textId="755B2620" w:rsidR="00DA632E" w:rsidRDefault="00DA632E" w:rsidP="00DA632E"/>
    <w:p w14:paraId="48167B31" w14:textId="77777777" w:rsidR="00DA632E" w:rsidRPr="00DA632E" w:rsidRDefault="00DA632E" w:rsidP="00DA632E">
      <w:pPr>
        <w:rPr>
          <w:sz w:val="24"/>
          <w:szCs w:val="24"/>
        </w:rPr>
      </w:pPr>
      <w:r w:rsidRPr="00DA632E">
        <w:rPr>
          <w:lang w:eastAsia="bg-BG"/>
        </w:rPr>
        <w:t xml:space="preserve">Една филмирана таблетка съдържа 850 </w:t>
      </w:r>
      <w:r w:rsidRPr="00DA632E">
        <w:rPr>
          <w:lang w:val="en-US"/>
        </w:rPr>
        <w:t>mg</w:t>
      </w:r>
      <w:r w:rsidRPr="00DA632E">
        <w:t xml:space="preserve"> </w:t>
      </w:r>
      <w:r w:rsidRPr="00DA632E">
        <w:rPr>
          <w:lang w:eastAsia="bg-BG"/>
        </w:rPr>
        <w:t xml:space="preserve">метформинов хидрохлорид </w:t>
      </w:r>
      <w:r w:rsidRPr="00DA632E">
        <w:t>(</w:t>
      </w:r>
      <w:r w:rsidRPr="00DA632E">
        <w:rPr>
          <w:lang w:val="en-US"/>
        </w:rPr>
        <w:t>metformin</w:t>
      </w:r>
      <w:r w:rsidRPr="00DA632E">
        <w:t xml:space="preserve"> </w:t>
      </w:r>
      <w:r w:rsidRPr="00DA632E">
        <w:rPr>
          <w:lang w:val="en-US"/>
        </w:rPr>
        <w:t>hydrochloride</w:t>
      </w:r>
      <w:r w:rsidRPr="00DA632E">
        <w:t xml:space="preserve">), </w:t>
      </w:r>
      <w:r w:rsidRPr="00DA632E">
        <w:rPr>
          <w:lang w:eastAsia="bg-BG"/>
        </w:rPr>
        <w:t xml:space="preserve">еквивалентен на 662,9 </w:t>
      </w:r>
      <w:r w:rsidRPr="00DA632E">
        <w:rPr>
          <w:lang w:val="en-US"/>
        </w:rPr>
        <w:t>mg</w:t>
      </w:r>
      <w:r w:rsidRPr="00DA632E">
        <w:t xml:space="preserve"> </w:t>
      </w:r>
      <w:r w:rsidRPr="00DA632E">
        <w:rPr>
          <w:lang w:eastAsia="bg-BG"/>
        </w:rPr>
        <w:t xml:space="preserve">метформин </w:t>
      </w:r>
      <w:r w:rsidRPr="00DA632E">
        <w:t>(</w:t>
      </w:r>
      <w:r w:rsidRPr="00DA632E">
        <w:rPr>
          <w:lang w:val="en-US"/>
        </w:rPr>
        <w:t>metformin</w:t>
      </w:r>
      <w:r w:rsidRPr="00DA632E">
        <w:t>).</w:t>
      </w:r>
    </w:p>
    <w:p w14:paraId="44D28F0A" w14:textId="77777777" w:rsidR="00DA632E" w:rsidRPr="00DA632E" w:rsidRDefault="00DA632E" w:rsidP="00DA632E"/>
    <w:p w14:paraId="614984C4" w14:textId="2180E67D" w:rsidR="008A6AF2" w:rsidRDefault="00DD466D" w:rsidP="002C50EE">
      <w:pPr>
        <w:pStyle w:val="Heading1"/>
      </w:pPr>
      <w:r>
        <w:t>3. ЛЕКАРСТВЕНА ФОРМА</w:t>
      </w:r>
    </w:p>
    <w:p w14:paraId="6916FB29" w14:textId="31AE451D" w:rsidR="00DA632E" w:rsidRDefault="00DA632E" w:rsidP="00DA632E"/>
    <w:p w14:paraId="01BCB1DA" w14:textId="77777777" w:rsidR="00DA632E" w:rsidRPr="00DA632E" w:rsidRDefault="00DA632E" w:rsidP="00DA632E">
      <w:pPr>
        <w:rPr>
          <w:sz w:val="24"/>
          <w:szCs w:val="24"/>
        </w:rPr>
      </w:pPr>
      <w:r w:rsidRPr="00DA632E">
        <w:rPr>
          <w:lang w:eastAsia="bg-BG"/>
        </w:rPr>
        <w:t>Филмирана таблетка</w:t>
      </w:r>
    </w:p>
    <w:p w14:paraId="3EFFB184" w14:textId="77777777" w:rsidR="00DA632E" w:rsidRPr="00DA632E" w:rsidRDefault="00DA632E" w:rsidP="00DA632E">
      <w:pPr>
        <w:rPr>
          <w:sz w:val="24"/>
          <w:szCs w:val="24"/>
        </w:rPr>
      </w:pPr>
      <w:r w:rsidRPr="00DA632E">
        <w:rPr>
          <w:lang w:eastAsia="bg-BG"/>
        </w:rPr>
        <w:t>Бели, продълговати филмирани таблетки с делител на черта от двете страни.</w:t>
      </w:r>
    </w:p>
    <w:p w14:paraId="059E2E9F" w14:textId="62C0DE38" w:rsidR="00DA632E" w:rsidRPr="00DA632E" w:rsidRDefault="00DA632E" w:rsidP="00DA632E">
      <w:pPr>
        <w:rPr>
          <w:sz w:val="24"/>
          <w:szCs w:val="24"/>
        </w:rPr>
      </w:pPr>
      <w:r w:rsidRPr="00DA632E">
        <w:rPr>
          <w:lang w:eastAsia="bg-BG"/>
        </w:rPr>
        <w:t>Делителната черта е само за улесняване на счупването с цел по-лесно поглъщане, а не за разделяне на равни дози.</w:t>
      </w:r>
    </w:p>
    <w:p w14:paraId="490FC2C4" w14:textId="32682B15" w:rsidR="002C50EE" w:rsidRDefault="002C50EE" w:rsidP="002C50EE">
      <w:pPr>
        <w:pStyle w:val="Heading1"/>
      </w:pPr>
      <w:r>
        <w:t>4. КЛИНИЧНИ ДАННИ</w:t>
      </w:r>
    </w:p>
    <w:p w14:paraId="754A29C8" w14:textId="34304510" w:rsidR="00C0049F" w:rsidRDefault="002C50EE" w:rsidP="009F1313">
      <w:pPr>
        <w:pStyle w:val="Heading2"/>
      </w:pPr>
      <w:r>
        <w:t>4.1. Терапевтични показания</w:t>
      </w:r>
    </w:p>
    <w:p w14:paraId="3B129A43" w14:textId="1C1A0514" w:rsidR="00DF4C8E" w:rsidRDefault="00DF4C8E" w:rsidP="00DF4C8E">
      <w:pPr>
        <w:rPr>
          <w:rFonts w:cs="Arial"/>
          <w:sz w:val="24"/>
        </w:rPr>
      </w:pPr>
    </w:p>
    <w:p w14:paraId="6E8E7F0E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Лечение на предиабет при възрастни, които са с висок риск за развитието на захарен диабет тип 2 (напр. лица с нарушен глюкозен толеранс (НГТ) и нарушена плазмена глюкоза на гладно </w:t>
      </w:r>
      <w:r w:rsidRPr="00DA632E">
        <w:rPr>
          <w:rFonts w:eastAsia="Times New Roman" w:cs="Arial"/>
          <w:color w:val="000000"/>
          <w:szCs w:val="20"/>
          <w:lang w:val="ru-RU"/>
        </w:rPr>
        <w:t>(</w:t>
      </w:r>
      <w:r w:rsidRPr="00DA632E">
        <w:rPr>
          <w:rFonts w:eastAsia="Times New Roman" w:cs="Arial"/>
          <w:color w:val="000000"/>
          <w:szCs w:val="20"/>
          <w:lang w:val="en-US"/>
        </w:rPr>
        <w:t>HIT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DA632E">
        <w:rPr>
          <w:rFonts w:eastAsia="Times New Roman" w:cs="Arial"/>
          <w:color w:val="000000"/>
          <w:szCs w:val="20"/>
          <w:lang w:eastAsia="bg-BG"/>
        </w:rPr>
        <w:t xml:space="preserve">и някое от следните: &lt; 60 годишна възраст; индекс на телесната маса (ИТМ) ≥30 </w:t>
      </w:r>
      <w:r w:rsidRPr="00DA632E">
        <w:rPr>
          <w:rFonts w:eastAsia="Times New Roman" w:cs="Arial"/>
          <w:color w:val="000000"/>
          <w:szCs w:val="20"/>
          <w:lang w:val="en-US"/>
        </w:rPr>
        <w:t>kg</w:t>
      </w:r>
      <w:r w:rsidRPr="00DA632E">
        <w:rPr>
          <w:rFonts w:eastAsia="Times New Roman" w:cs="Arial"/>
          <w:color w:val="000000"/>
          <w:szCs w:val="20"/>
          <w:lang w:val="ru-RU"/>
        </w:rPr>
        <w:t>/</w:t>
      </w:r>
      <w:r w:rsidRPr="00DA632E">
        <w:rPr>
          <w:rFonts w:eastAsia="Times New Roman" w:cs="Arial"/>
          <w:color w:val="000000"/>
          <w:szCs w:val="20"/>
          <w:lang w:val="en-US"/>
        </w:rPr>
        <w:t>m</w:t>
      </w:r>
      <w:r w:rsidRPr="00DA632E">
        <w:rPr>
          <w:rFonts w:eastAsia="Times New Roman" w:cs="Arial"/>
          <w:color w:val="000000"/>
          <w:szCs w:val="20"/>
          <w:vertAlign w:val="superscript"/>
          <w:lang w:val="ru-RU"/>
        </w:rPr>
        <w:t>2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; </w:t>
      </w:r>
      <w:r w:rsidRPr="00DA632E">
        <w:rPr>
          <w:rFonts w:eastAsia="Times New Roman" w:cs="Arial"/>
          <w:color w:val="000000"/>
          <w:szCs w:val="20"/>
          <w:lang w:eastAsia="bg-BG"/>
        </w:rPr>
        <w:t xml:space="preserve">фамилна анамнеза за роднини първа линия с диабет; повишени триглицериди; понижен </w:t>
      </w:r>
      <w:r w:rsidRPr="00DA632E">
        <w:rPr>
          <w:rFonts w:eastAsia="Times New Roman" w:cs="Arial"/>
          <w:color w:val="000000"/>
          <w:szCs w:val="20"/>
          <w:lang w:val="en-US"/>
        </w:rPr>
        <w:t>HDL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 xml:space="preserve">холестерол; хипертония; </w:t>
      </w:r>
      <w:proofErr w:type="spellStart"/>
      <w:r w:rsidRPr="00DA632E">
        <w:rPr>
          <w:rFonts w:eastAsia="Times New Roman" w:cs="Arial"/>
          <w:color w:val="000000"/>
          <w:szCs w:val="20"/>
          <w:lang w:val="en-US"/>
        </w:rPr>
        <w:t>HbAlc</w:t>
      </w:r>
      <w:proofErr w:type="spellEnd"/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≥6,0%; анамнеза за гестационен диабет.</w:t>
      </w:r>
    </w:p>
    <w:p w14:paraId="5180EAA7" w14:textId="77777777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6BAD2BA7" w14:textId="38D4A9C0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Лечение на захарен диабет тип 2, особено при пациенти с наднормено тегло за адекватен контрол на кръвната захар.</w:t>
      </w:r>
    </w:p>
    <w:p w14:paraId="4838137B" w14:textId="77777777" w:rsidR="00DA632E" w:rsidRPr="00DA632E" w:rsidRDefault="00DA632E" w:rsidP="00DA632E">
      <w:pPr>
        <w:pStyle w:val="ListParagraph"/>
        <w:numPr>
          <w:ilvl w:val="0"/>
          <w:numId w:val="34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При възрастни със захарен диабет тип 2, Сиофор 850 </w:t>
      </w:r>
      <w:r w:rsidRPr="00DA632E">
        <w:rPr>
          <w:rFonts w:eastAsia="Times New Roman" w:cs="Arial"/>
          <w:color w:val="000000"/>
          <w:szCs w:val="20"/>
          <w:lang w:val="en-US"/>
        </w:rPr>
        <w:t>mg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може да се използва като монотерапия или в комбинация с други перорални антидиабетни лекарства или инсулин.</w:t>
      </w:r>
    </w:p>
    <w:p w14:paraId="12849132" w14:textId="50B844E6" w:rsidR="00DA632E" w:rsidRPr="00DA632E" w:rsidRDefault="00DA632E" w:rsidP="00DA632E">
      <w:pPr>
        <w:pStyle w:val="ListParagraph"/>
        <w:numPr>
          <w:ilvl w:val="0"/>
          <w:numId w:val="34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При деца от 10-годишна възраст и юноши със захарен диабет тип 2, Сиофор 850 </w:t>
      </w:r>
      <w:r w:rsidRPr="00DA632E">
        <w:rPr>
          <w:rFonts w:eastAsia="Times New Roman" w:cs="Arial"/>
          <w:color w:val="000000"/>
          <w:szCs w:val="20"/>
          <w:lang w:val="en-US"/>
        </w:rPr>
        <w:t>mg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може да се използва като монотерапия или в комбинация с инсулин.</w:t>
      </w:r>
    </w:p>
    <w:p w14:paraId="60DD1D9E" w14:textId="77777777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2C2F5DF" w14:textId="2A502D0D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Установено е намаление на усложненията на диабета при възрастни пациенти с наднормено тегло и диабет тип 2 при лечение с метформинов хидрохлорид като първо средство на избор след неуспех от диетата (вж. точка 5.1).</w:t>
      </w:r>
    </w:p>
    <w:p w14:paraId="0C5F232A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Лечението със Сиофор 850 </w:t>
      </w:r>
      <w:r w:rsidRPr="00DA632E">
        <w:rPr>
          <w:rFonts w:eastAsia="Times New Roman" w:cs="Arial"/>
          <w:color w:val="000000"/>
          <w:szCs w:val="20"/>
          <w:lang w:val="en-US"/>
        </w:rPr>
        <w:t>mg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трябва да се придружава от подходящ хранителен режим и физически упражнения.</w:t>
      </w:r>
    </w:p>
    <w:p w14:paraId="2D4197F9" w14:textId="77777777" w:rsidR="00DA632E" w:rsidRPr="00DF4C8E" w:rsidRDefault="00DA632E" w:rsidP="00DF4C8E">
      <w:pPr>
        <w:rPr>
          <w:rFonts w:cs="Arial"/>
          <w:sz w:val="24"/>
        </w:rPr>
      </w:pPr>
    </w:p>
    <w:p w14:paraId="778B4979" w14:textId="4E2E185E" w:rsidR="00DF4C8E" w:rsidRDefault="002C50EE" w:rsidP="00F44498">
      <w:pPr>
        <w:pStyle w:val="Heading2"/>
      </w:pPr>
      <w:r>
        <w:lastRenderedPageBreak/>
        <w:t>4.2. Дозировка и начин на приложение</w:t>
      </w:r>
    </w:p>
    <w:p w14:paraId="5969BD6A" w14:textId="48948198" w:rsidR="00DA632E" w:rsidRDefault="00DA632E" w:rsidP="00DA632E"/>
    <w:p w14:paraId="3BD39F6C" w14:textId="77777777" w:rsidR="00DA632E" w:rsidRPr="00DA632E" w:rsidRDefault="00DA632E" w:rsidP="00DA632E">
      <w:pPr>
        <w:pStyle w:val="Heading3"/>
        <w:rPr>
          <w:rFonts w:eastAsia="Times New Roman"/>
          <w:sz w:val="28"/>
          <w:u w:val="single"/>
        </w:rPr>
      </w:pPr>
      <w:r w:rsidRPr="00DA632E">
        <w:rPr>
          <w:rFonts w:eastAsia="Times New Roman"/>
          <w:u w:val="single"/>
          <w:lang w:eastAsia="bg-BG"/>
        </w:rPr>
        <w:t>Дозировка</w:t>
      </w:r>
    </w:p>
    <w:p w14:paraId="26476E37" w14:textId="77777777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097CB1A" w14:textId="1D5BFD56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 xml:space="preserve">Възрастни с нормална бъбречна функция </w:t>
      </w:r>
      <w:r w:rsidRPr="00DA632E">
        <w:rPr>
          <w:rFonts w:eastAsia="Times New Roman" w:cs="Arial"/>
          <w:color w:val="000000"/>
          <w:szCs w:val="20"/>
          <w:u w:val="single"/>
          <w:lang w:val="ru-RU"/>
        </w:rPr>
        <w:t>(</w:t>
      </w:r>
      <w:r w:rsidRPr="00DA632E">
        <w:rPr>
          <w:rFonts w:eastAsia="Times New Roman" w:cs="Arial"/>
          <w:color w:val="000000"/>
          <w:szCs w:val="20"/>
          <w:u w:val="single"/>
          <w:lang w:val="en-US"/>
        </w:rPr>
        <w:t>GFR</w:t>
      </w: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>≥</w:t>
      </w:r>
      <w:r w:rsidRPr="00DA632E">
        <w:rPr>
          <w:rFonts w:eastAsia="Times New Roman" w:cs="Arial"/>
          <w:color w:val="000000"/>
          <w:szCs w:val="20"/>
          <w:u w:val="single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 xml:space="preserve">90 </w:t>
      </w:r>
      <w:r w:rsidRPr="00DA632E">
        <w:rPr>
          <w:rFonts w:eastAsia="Times New Roman" w:cs="Arial"/>
          <w:color w:val="000000"/>
          <w:szCs w:val="20"/>
          <w:u w:val="single"/>
          <w:lang w:val="en-US"/>
        </w:rPr>
        <w:t>ml</w:t>
      </w: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>/мин)</w:t>
      </w:r>
    </w:p>
    <w:p w14:paraId="6D129F69" w14:textId="7E7A70CF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3034F3B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i/>
          <w:iCs/>
          <w:color w:val="000000"/>
          <w:szCs w:val="20"/>
          <w:lang w:eastAsia="bg-BG"/>
        </w:rPr>
        <w:t>Монотерапия и комбинация с други перорални антидиабетни лекарства</w:t>
      </w:r>
    </w:p>
    <w:p w14:paraId="110371D6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Обичайната начална доза е една филмирана таблетка 2 или 3 пъти дневно, прилагана по време или след хранене.</w:t>
      </w:r>
    </w:p>
    <w:p w14:paraId="4C32EBB1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След 10-15 дни дозата трябва да се коригира в зависимост от измерените нива на кръвната захар. Постепенното повишение на дозата може да подобри стомашно-чревната поносимост.</w:t>
      </w:r>
    </w:p>
    <w:p w14:paraId="5888D40B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Максималната препоръчителна доза на метформинов хидрохлорид е 3 </w:t>
      </w:r>
      <w:r w:rsidRPr="00DA632E">
        <w:rPr>
          <w:rFonts w:eastAsia="Times New Roman" w:cs="Arial"/>
          <w:color w:val="000000"/>
          <w:szCs w:val="20"/>
          <w:lang w:val="en-US"/>
        </w:rPr>
        <w:t>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дневно, разделена на три приема.</w:t>
      </w:r>
    </w:p>
    <w:p w14:paraId="143B95AC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Ако се предвижда преминаване от друго перорално антидиабетно лекарство, трябва да се преустанови приемът на другото лекарство и да се започне метформинов хидрохлорид в гореспоменатата доза.</w:t>
      </w:r>
    </w:p>
    <w:p w14:paraId="47C5322C" w14:textId="77777777" w:rsidR="00DA632E" w:rsidRPr="00DA632E" w:rsidRDefault="00DA632E" w:rsidP="00DA632E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4CE99BA2" w14:textId="485A358D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i/>
          <w:iCs/>
          <w:color w:val="000000"/>
          <w:szCs w:val="20"/>
          <w:lang w:eastAsia="bg-BG"/>
        </w:rPr>
        <w:t>Комбинация с инсулин</w:t>
      </w:r>
    </w:p>
    <w:p w14:paraId="39047FE0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Метформинов хидрохлорид и инсулин могат да се използват като комбинирана терапия за постигане на по-добър гликемичен контрол. Метформинов хидрохлорид се прилага в обичайната начална доза от 850 </w:t>
      </w:r>
      <w:r w:rsidRPr="00DA632E">
        <w:rPr>
          <w:rFonts w:eastAsia="Times New Roman" w:cs="Arial"/>
          <w:color w:val="000000"/>
          <w:szCs w:val="20"/>
          <w:lang w:val="en-US"/>
        </w:rPr>
        <w:t>mg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2-3 пъти дневно, докато дозата на инсулина се коригира според измерените нива на кръвната захар.</w:t>
      </w:r>
    </w:p>
    <w:p w14:paraId="10A9EBDF" w14:textId="77777777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CAA8F09" w14:textId="7322948D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>Старческа възраст</w:t>
      </w:r>
    </w:p>
    <w:p w14:paraId="363E443B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Поради вероятността от намалена бъбречна функция в старческа възраст, дозата на метформинов хидрохлорид трябва да се коригира според бъбречната функция. Необходимо е редовно проследяване на бъбречната функция (вж. т. 4.4).</w:t>
      </w:r>
    </w:p>
    <w:p w14:paraId="0532B83E" w14:textId="77777777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DCC5DEF" w14:textId="6FCC219F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>Бъбречно увреждане</w:t>
      </w:r>
    </w:p>
    <w:p w14:paraId="3A46A42B" w14:textId="237C3A0F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Преди започване на лечение с продукти, съдържащи метформин, трябва да се направи оценка на </w:t>
      </w:r>
      <w:r w:rsidRPr="00DA632E">
        <w:rPr>
          <w:rFonts w:eastAsia="Times New Roman" w:cs="Arial"/>
          <w:color w:val="000000"/>
          <w:szCs w:val="20"/>
          <w:lang w:val="en-US"/>
        </w:rPr>
        <w:t>GFR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стойностите, а след това - поне веднъж годишно. При пациенти с повишен риск от по</w:t>
      </w:r>
      <w:r w:rsidRPr="00DA632E">
        <w:rPr>
          <w:rFonts w:eastAsia="Times New Roman" w:cs="Arial"/>
          <w:color w:val="000000"/>
          <w:szCs w:val="20"/>
          <w:lang w:eastAsia="bg-BG"/>
        </w:rPr>
        <w:softHyphen/>
        <w:t>нататъшно прогресиране на бъбречно увреждане и при пациенти в старческа възраст трябва по- често да се прави оценка на бъбречната функция, например на всеки 3-6 месеца.</w:t>
      </w:r>
    </w:p>
    <w:p w14:paraId="043C8841" w14:textId="20E84F68" w:rsidR="00DA632E" w:rsidRDefault="00DA632E" w:rsidP="00DA632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632E" w14:paraId="585046DD" w14:textId="77777777" w:rsidTr="00DA632E">
        <w:tc>
          <w:tcPr>
            <w:tcW w:w="3116" w:type="dxa"/>
          </w:tcPr>
          <w:p w14:paraId="02C51168" w14:textId="12A1070B" w:rsidR="00DA632E" w:rsidRPr="00DA632E" w:rsidRDefault="00DA632E" w:rsidP="00DA632E">
            <w:r w:rsidRPr="00DA632E">
              <w:rPr>
                <w:szCs w:val="20"/>
                <w:lang w:val="en-US"/>
              </w:rPr>
              <w:t>GFR ml</w:t>
            </w:r>
            <w:r w:rsidRPr="00DA632E">
              <w:rPr>
                <w:szCs w:val="20"/>
              </w:rPr>
              <w:t>/мин</w:t>
            </w:r>
          </w:p>
        </w:tc>
        <w:tc>
          <w:tcPr>
            <w:tcW w:w="3117" w:type="dxa"/>
          </w:tcPr>
          <w:p w14:paraId="5D396A7E" w14:textId="4697FB66" w:rsidR="00DA632E" w:rsidRPr="00DA632E" w:rsidRDefault="00DA632E" w:rsidP="00DA632E">
            <w:r w:rsidRPr="00DA632E">
              <w:rPr>
                <w:szCs w:val="20"/>
              </w:rPr>
              <w:t>Обща максимална дневна доза (да се раздели на 2-3 дневни дози)</w:t>
            </w:r>
          </w:p>
        </w:tc>
        <w:tc>
          <w:tcPr>
            <w:tcW w:w="3117" w:type="dxa"/>
          </w:tcPr>
          <w:p w14:paraId="7EB747F4" w14:textId="4F94600E" w:rsidR="00DA632E" w:rsidRPr="00DA632E" w:rsidRDefault="00DA632E" w:rsidP="00DA632E">
            <w:r w:rsidRPr="00DA632E">
              <w:rPr>
                <w:szCs w:val="20"/>
              </w:rPr>
              <w:t>Допълнителни съображения</w:t>
            </w:r>
          </w:p>
        </w:tc>
      </w:tr>
      <w:tr w:rsidR="00DA632E" w14:paraId="7943F2EC" w14:textId="77777777" w:rsidTr="00DA632E">
        <w:tc>
          <w:tcPr>
            <w:tcW w:w="3116" w:type="dxa"/>
          </w:tcPr>
          <w:p w14:paraId="1ABB636E" w14:textId="0A35D76D" w:rsidR="00DA632E" w:rsidRPr="00DA632E" w:rsidRDefault="00DA632E" w:rsidP="00DA632E">
            <w:r w:rsidRPr="00DA632E">
              <w:rPr>
                <w:szCs w:val="20"/>
                <w:lang w:val="en-US"/>
              </w:rPr>
              <w:t>60-89</w:t>
            </w:r>
          </w:p>
        </w:tc>
        <w:tc>
          <w:tcPr>
            <w:tcW w:w="3117" w:type="dxa"/>
          </w:tcPr>
          <w:p w14:paraId="21E22FF4" w14:textId="4E961802" w:rsidR="00DA632E" w:rsidRPr="00DA632E" w:rsidRDefault="00DA632E" w:rsidP="00DA632E">
            <w:r w:rsidRPr="00DA632E">
              <w:rPr>
                <w:szCs w:val="20"/>
              </w:rPr>
              <w:t xml:space="preserve">3000 </w:t>
            </w:r>
            <w:r w:rsidRPr="00DA632E">
              <w:rPr>
                <w:szCs w:val="20"/>
                <w:lang w:val="en-US"/>
              </w:rPr>
              <w:t>mg</w:t>
            </w:r>
          </w:p>
        </w:tc>
        <w:tc>
          <w:tcPr>
            <w:tcW w:w="3117" w:type="dxa"/>
          </w:tcPr>
          <w:p w14:paraId="7D5677EE" w14:textId="6F23F365" w:rsidR="00DA632E" w:rsidRPr="00DA632E" w:rsidRDefault="00DA632E" w:rsidP="00DA632E">
            <w:r w:rsidRPr="00DA632E">
              <w:rPr>
                <w:szCs w:val="20"/>
              </w:rPr>
              <w:t>Може да се обмисли понижаване на дозата във връзка с намаляването на бъбречната функция.</w:t>
            </w:r>
          </w:p>
        </w:tc>
      </w:tr>
      <w:tr w:rsidR="00DA632E" w14:paraId="6FE586B0" w14:textId="77777777" w:rsidTr="00DA632E">
        <w:tc>
          <w:tcPr>
            <w:tcW w:w="3116" w:type="dxa"/>
          </w:tcPr>
          <w:p w14:paraId="3ECB458A" w14:textId="513D4E65" w:rsidR="00DA632E" w:rsidRPr="00DA632E" w:rsidRDefault="00DA632E" w:rsidP="00DA632E">
            <w:r w:rsidRPr="00DA632E">
              <w:rPr>
                <w:szCs w:val="20"/>
                <w:lang w:val="en-US"/>
              </w:rPr>
              <w:t>45-59</w:t>
            </w:r>
          </w:p>
        </w:tc>
        <w:tc>
          <w:tcPr>
            <w:tcW w:w="3117" w:type="dxa"/>
          </w:tcPr>
          <w:p w14:paraId="17379813" w14:textId="37F55754" w:rsidR="00DA632E" w:rsidRPr="00DA632E" w:rsidRDefault="00DA632E" w:rsidP="00DA632E">
            <w:r w:rsidRPr="00DA632E">
              <w:rPr>
                <w:szCs w:val="20"/>
              </w:rPr>
              <w:t xml:space="preserve">2000 </w:t>
            </w:r>
            <w:r w:rsidRPr="00DA632E">
              <w:rPr>
                <w:szCs w:val="20"/>
                <w:lang w:val="en-US"/>
              </w:rPr>
              <w:t>mg</w:t>
            </w:r>
          </w:p>
        </w:tc>
        <w:tc>
          <w:tcPr>
            <w:tcW w:w="3117" w:type="dxa"/>
            <w:vMerge w:val="restart"/>
          </w:tcPr>
          <w:p w14:paraId="4AD1DBAE" w14:textId="5A23F4CD" w:rsidR="00DA632E" w:rsidRPr="00DA632E" w:rsidRDefault="00DA632E" w:rsidP="00DA632E">
            <w:r w:rsidRPr="00DA632E">
              <w:rPr>
                <w:szCs w:val="20"/>
              </w:rPr>
              <w:t xml:space="preserve">Факторите, които могат да увеличат риска от лактатна ацидоза (вж. точка 4.4) трябва да бъдат преразгледани, преди да се обмисли започването на </w:t>
            </w:r>
            <w:r w:rsidRPr="00DA632E">
              <w:rPr>
                <w:szCs w:val="20"/>
              </w:rPr>
              <w:lastRenderedPageBreak/>
              <w:t>лечение с метформин. Началната доза е най-много половината от максималната доза.</w:t>
            </w:r>
          </w:p>
        </w:tc>
      </w:tr>
      <w:tr w:rsidR="00DA632E" w14:paraId="3CEF46B6" w14:textId="77777777" w:rsidTr="00DA632E">
        <w:tc>
          <w:tcPr>
            <w:tcW w:w="3116" w:type="dxa"/>
          </w:tcPr>
          <w:p w14:paraId="536CFE08" w14:textId="30733AA9" w:rsidR="00DA632E" w:rsidRPr="00DA632E" w:rsidRDefault="00DA632E" w:rsidP="00DA632E">
            <w:r w:rsidRPr="00DA632E">
              <w:rPr>
                <w:szCs w:val="20"/>
                <w:lang w:val="en-US"/>
              </w:rPr>
              <w:t>30-44</w:t>
            </w:r>
          </w:p>
        </w:tc>
        <w:tc>
          <w:tcPr>
            <w:tcW w:w="3117" w:type="dxa"/>
          </w:tcPr>
          <w:p w14:paraId="175A488F" w14:textId="4F9E253C" w:rsidR="00DA632E" w:rsidRPr="00DA632E" w:rsidRDefault="00DA632E" w:rsidP="00DA632E">
            <w:r w:rsidRPr="00DA632E">
              <w:rPr>
                <w:szCs w:val="20"/>
              </w:rPr>
              <w:t xml:space="preserve">1000 </w:t>
            </w:r>
            <w:r w:rsidRPr="00DA632E">
              <w:rPr>
                <w:szCs w:val="20"/>
                <w:lang w:val="en-US"/>
              </w:rPr>
              <w:t>mg</w:t>
            </w:r>
          </w:p>
        </w:tc>
        <w:tc>
          <w:tcPr>
            <w:tcW w:w="3117" w:type="dxa"/>
            <w:vMerge/>
          </w:tcPr>
          <w:p w14:paraId="7D9E4CA5" w14:textId="77777777" w:rsidR="00DA632E" w:rsidRPr="00DA632E" w:rsidRDefault="00DA632E" w:rsidP="00DA632E"/>
        </w:tc>
      </w:tr>
      <w:tr w:rsidR="00DA632E" w14:paraId="28618819" w14:textId="77777777" w:rsidTr="00DA632E">
        <w:tc>
          <w:tcPr>
            <w:tcW w:w="3116" w:type="dxa"/>
          </w:tcPr>
          <w:p w14:paraId="427875D4" w14:textId="01073F59" w:rsidR="00DA632E" w:rsidRPr="00DA632E" w:rsidRDefault="00DA632E" w:rsidP="00DA632E">
            <w:r w:rsidRPr="00DA632E">
              <w:rPr>
                <w:szCs w:val="20"/>
                <w:lang w:val="en-US"/>
              </w:rPr>
              <w:t>&lt;30</w:t>
            </w:r>
          </w:p>
        </w:tc>
        <w:tc>
          <w:tcPr>
            <w:tcW w:w="3117" w:type="dxa"/>
          </w:tcPr>
          <w:p w14:paraId="224D2B52" w14:textId="0E15F6ED" w:rsidR="00DA632E" w:rsidRPr="00DA632E" w:rsidRDefault="00DA632E" w:rsidP="00DA632E">
            <w:r w:rsidRPr="00DA632E">
              <w:rPr>
                <w:szCs w:val="20"/>
              </w:rPr>
              <w:t>-</w:t>
            </w:r>
          </w:p>
        </w:tc>
        <w:tc>
          <w:tcPr>
            <w:tcW w:w="3117" w:type="dxa"/>
          </w:tcPr>
          <w:p w14:paraId="0583B273" w14:textId="7BAEA169" w:rsidR="00DA632E" w:rsidRPr="00DA632E" w:rsidRDefault="00DA632E" w:rsidP="00DA632E">
            <w:r w:rsidRPr="00DA632E">
              <w:rPr>
                <w:szCs w:val="20"/>
              </w:rPr>
              <w:t>Метформин е противопоказан</w:t>
            </w:r>
          </w:p>
        </w:tc>
      </w:tr>
    </w:tbl>
    <w:p w14:paraId="0B3AF9CA" w14:textId="75733124" w:rsidR="00DA632E" w:rsidRDefault="00DA632E" w:rsidP="00DA632E"/>
    <w:p w14:paraId="12C38E32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>Педиатрична популация</w:t>
      </w:r>
    </w:p>
    <w:p w14:paraId="23220986" w14:textId="77777777" w:rsidR="00DA632E" w:rsidRPr="00DA632E" w:rsidRDefault="00DA632E" w:rsidP="00DA632E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332C281" w14:textId="631E7958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i/>
          <w:iCs/>
          <w:color w:val="000000"/>
          <w:szCs w:val="20"/>
          <w:lang w:eastAsia="bg-BG"/>
        </w:rPr>
        <w:t>Монотерапия и комбинация с инсулин</w:t>
      </w:r>
    </w:p>
    <w:p w14:paraId="503A2EB3" w14:textId="77777777" w:rsidR="00DA632E" w:rsidRPr="00DA632E" w:rsidRDefault="00DA632E" w:rsidP="00DA632E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Сиофор 850 </w:t>
      </w:r>
      <w:r w:rsidRPr="00DA632E">
        <w:rPr>
          <w:rFonts w:eastAsia="Times New Roman" w:cs="Arial"/>
          <w:color w:val="000000"/>
          <w:szCs w:val="20"/>
          <w:lang w:val="en-US"/>
        </w:rPr>
        <w:t>mg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може да се използва при деца от 10-годишна възраст и при юноши.</w:t>
      </w:r>
    </w:p>
    <w:p w14:paraId="6B9C0B2A" w14:textId="1E02105B" w:rsidR="00DA632E" w:rsidRPr="00DA632E" w:rsidRDefault="00DA632E" w:rsidP="00DA632E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Обичайната начална доза е 500 </w:t>
      </w:r>
      <w:r w:rsidRPr="00DA632E">
        <w:rPr>
          <w:rFonts w:eastAsia="Times New Roman" w:cs="Arial"/>
          <w:color w:val="000000"/>
          <w:szCs w:val="20"/>
          <w:lang w:val="en-US"/>
        </w:rPr>
        <w:t>mg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 xml:space="preserve">или 850 </w:t>
      </w:r>
      <w:r w:rsidRPr="00DA632E">
        <w:rPr>
          <w:rFonts w:eastAsia="Times New Roman" w:cs="Arial"/>
          <w:color w:val="000000"/>
          <w:szCs w:val="20"/>
          <w:lang w:val="en-US"/>
        </w:rPr>
        <w:t>mg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метформинов хидрохлорид веднъж дневно, приложена по време или след хранене.</w:t>
      </w:r>
    </w:p>
    <w:p w14:paraId="456A96C4" w14:textId="77777777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C653BEC" w14:textId="6BD42A60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След 10 до 15 дни дозата трябва да се коригира спрямо измерените нива на кръвната захар. Постепенното увеличение на дозата може да подобри стомашно-чревната поносимост.</w:t>
      </w:r>
    </w:p>
    <w:p w14:paraId="59D2EC76" w14:textId="77777777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2B8BBB4" w14:textId="2526BAA4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Максималната препоръчителна доза метформинов хидрохлорид е 2 </w:t>
      </w:r>
      <w:r w:rsidRPr="00DA632E">
        <w:rPr>
          <w:rFonts w:eastAsia="Times New Roman" w:cs="Arial"/>
          <w:color w:val="000000"/>
          <w:szCs w:val="20"/>
          <w:lang w:val="en-US"/>
        </w:rPr>
        <w:t>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на ден, разделена на 2 или 3 приема.</w:t>
      </w:r>
    </w:p>
    <w:p w14:paraId="4F4F708C" w14:textId="77777777" w:rsidR="00DA632E" w:rsidRPr="00DA632E" w:rsidRDefault="00DA632E" w:rsidP="00DA632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405C29A" w14:textId="0BC63E44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Монотерапия (предиабет)</w:t>
      </w:r>
    </w:p>
    <w:p w14:paraId="1C078276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Препоръчителната начална доза е една филмирана таблетка дневно (850 </w:t>
      </w:r>
      <w:r w:rsidRPr="00DA632E">
        <w:rPr>
          <w:rFonts w:eastAsia="Times New Roman" w:cs="Arial"/>
          <w:color w:val="000000"/>
          <w:szCs w:val="20"/>
          <w:lang w:val="en-US"/>
        </w:rPr>
        <w:t>mg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), </w:t>
      </w:r>
      <w:r w:rsidRPr="00DA632E">
        <w:rPr>
          <w:rFonts w:eastAsia="Times New Roman" w:cs="Arial"/>
          <w:color w:val="000000"/>
          <w:szCs w:val="20"/>
          <w:lang w:eastAsia="bg-BG"/>
        </w:rPr>
        <w:t xml:space="preserve">която може да се увеличи до два пъти дневно, ако е неоходимо (два пъти дневно по 850 </w:t>
      </w:r>
      <w:r w:rsidRPr="00DA632E">
        <w:rPr>
          <w:rFonts w:eastAsia="Times New Roman" w:cs="Arial"/>
          <w:color w:val="000000"/>
          <w:szCs w:val="20"/>
          <w:lang w:val="en-US"/>
        </w:rPr>
        <w:t>mg</w:t>
      </w:r>
      <w:r w:rsidRPr="00DA632E">
        <w:rPr>
          <w:rFonts w:eastAsia="Times New Roman" w:cs="Arial"/>
          <w:color w:val="000000"/>
          <w:szCs w:val="20"/>
          <w:lang w:val="ru-RU"/>
        </w:rPr>
        <w:t>).</w:t>
      </w:r>
    </w:p>
    <w:p w14:paraId="6724ADB9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Филмираните таблетки може да се приемат по време или след храна.</w:t>
      </w:r>
    </w:p>
    <w:p w14:paraId="05298FA4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Стомашно-чревната поносимост може да се подобри чрез постепенно увеличение на дозата.</w:t>
      </w:r>
    </w:p>
    <w:p w14:paraId="5F311B33" w14:textId="1E120E59" w:rsidR="00DA632E" w:rsidRDefault="00DA632E" w:rsidP="00DA632E">
      <w:pPr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Лекарят ще прецени дали лечението трябва да продължи, въз основа на редовно проследяване на гликемичния контрол и рисковите фактори.</w:t>
      </w:r>
    </w:p>
    <w:p w14:paraId="35BD1F95" w14:textId="77777777" w:rsidR="00DA632E" w:rsidRPr="00DA632E" w:rsidRDefault="00DA632E" w:rsidP="00DA632E">
      <w:pPr>
        <w:rPr>
          <w:rFonts w:cs="Arial"/>
          <w:sz w:val="24"/>
        </w:rPr>
      </w:pPr>
    </w:p>
    <w:p w14:paraId="6A85390E" w14:textId="7F162081" w:rsidR="00DF4C8E" w:rsidRDefault="002C50EE" w:rsidP="00F44498">
      <w:pPr>
        <w:pStyle w:val="Heading2"/>
      </w:pPr>
      <w:r>
        <w:t>4.3. Противопоказания</w:t>
      </w:r>
    </w:p>
    <w:p w14:paraId="0EE9FDC3" w14:textId="41B8CFEC" w:rsidR="00DA632E" w:rsidRPr="00DA632E" w:rsidRDefault="00DA632E" w:rsidP="00DA632E">
      <w:pPr>
        <w:rPr>
          <w:rFonts w:cs="Arial"/>
          <w:sz w:val="24"/>
        </w:rPr>
      </w:pPr>
    </w:p>
    <w:p w14:paraId="7374454D" w14:textId="77777777" w:rsidR="00DA632E" w:rsidRPr="00DA632E" w:rsidRDefault="00DA632E" w:rsidP="00DA632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Свръхчувствителност към активното вещество или към някое от помощните вещества, изброени в т. 6.1</w:t>
      </w:r>
    </w:p>
    <w:p w14:paraId="68CA628B" w14:textId="77777777" w:rsidR="00DA632E" w:rsidRPr="00DA632E" w:rsidRDefault="00DA632E" w:rsidP="00DA632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Всеки тип остра метаболитна ацидоза (като лактатна ацидоза, диабетна кетоацидоза), диабетна прекома</w:t>
      </w:r>
    </w:p>
    <w:p w14:paraId="7205D61E" w14:textId="77777777" w:rsidR="00DA632E" w:rsidRPr="00DA632E" w:rsidRDefault="00DA632E" w:rsidP="00DA632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Тежка бъбречна недостатъчност </w:t>
      </w:r>
      <w:r w:rsidRPr="00DA632E">
        <w:rPr>
          <w:rFonts w:eastAsia="Times New Roman" w:cs="Arial"/>
          <w:color w:val="000000"/>
          <w:szCs w:val="20"/>
          <w:lang w:val="ru-RU"/>
        </w:rPr>
        <w:t>(</w:t>
      </w:r>
      <w:r w:rsidRPr="00DA632E">
        <w:rPr>
          <w:rFonts w:eastAsia="Times New Roman" w:cs="Arial"/>
          <w:color w:val="000000"/>
          <w:szCs w:val="20"/>
          <w:lang w:val="en-US"/>
        </w:rPr>
        <w:t>GFR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 xml:space="preserve">&lt; 30 </w:t>
      </w:r>
      <w:r w:rsidRPr="00DA632E">
        <w:rPr>
          <w:rFonts w:eastAsia="Times New Roman" w:cs="Arial"/>
          <w:color w:val="000000"/>
          <w:szCs w:val="20"/>
          <w:lang w:val="en-US"/>
        </w:rPr>
        <w:t>ml</w:t>
      </w:r>
      <w:r w:rsidRPr="00DA632E">
        <w:rPr>
          <w:rFonts w:eastAsia="Times New Roman" w:cs="Arial"/>
          <w:color w:val="000000"/>
          <w:szCs w:val="20"/>
          <w:lang w:eastAsia="bg-BG"/>
        </w:rPr>
        <w:t>/мин)</w:t>
      </w:r>
    </w:p>
    <w:p w14:paraId="09F7C8F2" w14:textId="77777777" w:rsidR="00DA632E" w:rsidRPr="00DA632E" w:rsidRDefault="00DA632E" w:rsidP="00DA632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Остри състояния с риск за промяна в бъбречната функция като дехидратация, тежка инфекция, шок</w:t>
      </w:r>
    </w:p>
    <w:p w14:paraId="57341768" w14:textId="2E2CDBC4" w:rsidR="00DA632E" w:rsidRPr="00DA632E" w:rsidRDefault="00DA632E" w:rsidP="00DA632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Заболяване, което може да доведе до тъканна хипоксия (особено остро заболяване или влошаване на хронично заболяване) като:</w:t>
      </w:r>
    </w:p>
    <w:p w14:paraId="5460EA64" w14:textId="77777777" w:rsidR="00DA632E" w:rsidRPr="00DA632E" w:rsidRDefault="00DA632E" w:rsidP="00DA632E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декомпенсирана сърдечна недостатъчност</w:t>
      </w:r>
    </w:p>
    <w:p w14:paraId="637AFE00" w14:textId="77777777" w:rsidR="00DA632E" w:rsidRPr="00DA632E" w:rsidRDefault="00DA632E" w:rsidP="00DA632E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дихателна недостатъчност</w:t>
      </w:r>
    </w:p>
    <w:p w14:paraId="42C085CB" w14:textId="77777777" w:rsidR="00DA632E" w:rsidRPr="00DA632E" w:rsidRDefault="00DA632E" w:rsidP="00DA632E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наскоро прекаран инфаркт на миокарда</w:t>
      </w:r>
    </w:p>
    <w:p w14:paraId="3C95B7B3" w14:textId="77777777" w:rsidR="00DA632E" w:rsidRPr="00DA632E" w:rsidRDefault="00DA632E" w:rsidP="00DA632E">
      <w:pPr>
        <w:pStyle w:val="ListParagraph"/>
        <w:numPr>
          <w:ilvl w:val="1"/>
          <w:numId w:val="37"/>
        </w:num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шок</w:t>
      </w:r>
    </w:p>
    <w:p w14:paraId="6A0D5F68" w14:textId="1BB9A904" w:rsidR="00DA632E" w:rsidRPr="00DA632E" w:rsidRDefault="00DA632E" w:rsidP="00DA632E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Чернодробна недостатъчност, остра алкохолна интоксикация, алкохолизъм</w:t>
      </w:r>
    </w:p>
    <w:p w14:paraId="115C9528" w14:textId="5955D015" w:rsidR="00DF4C8E" w:rsidRDefault="002C50EE" w:rsidP="00F44498">
      <w:pPr>
        <w:pStyle w:val="Heading2"/>
      </w:pPr>
      <w:r>
        <w:lastRenderedPageBreak/>
        <w:t>4.4. Специални предупреждения и предпазни мерки при употреба</w:t>
      </w:r>
    </w:p>
    <w:p w14:paraId="4C1C9649" w14:textId="7FBE547E" w:rsidR="00DA632E" w:rsidRDefault="00DA632E" w:rsidP="00DA632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A632E" w14:paraId="0AA19F5D" w14:textId="77777777" w:rsidTr="00DA632E">
        <w:tc>
          <w:tcPr>
            <w:tcW w:w="9350" w:type="dxa"/>
          </w:tcPr>
          <w:p w14:paraId="478A5F71" w14:textId="0D8B189F" w:rsidR="00DA632E" w:rsidRPr="00DA632E" w:rsidRDefault="00DA632E" w:rsidP="00DA632E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bg-BG"/>
              </w:rPr>
            </w:pPr>
            <w:r w:rsidRPr="00DA632E">
              <w:rPr>
                <w:rFonts w:cs="Arial"/>
                <w:szCs w:val="20"/>
                <w:u w:val="single"/>
              </w:rPr>
              <w:t>Лактатна ацидоза</w:t>
            </w:r>
          </w:p>
          <w:p w14:paraId="2BC3B1DC" w14:textId="77777777" w:rsidR="00DA632E" w:rsidRPr="00DA632E" w:rsidRDefault="00DA632E" w:rsidP="00DA632E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bg-BG"/>
              </w:rPr>
            </w:pPr>
          </w:p>
          <w:p w14:paraId="24719671" w14:textId="084A76FE" w:rsidR="00DA632E" w:rsidRPr="00DA632E" w:rsidRDefault="00DA632E" w:rsidP="00DA632E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r w:rsidRPr="00DA632E">
              <w:rPr>
                <w:rFonts w:eastAsia="Times New Roman" w:cs="Arial"/>
                <w:color w:val="000000"/>
                <w:szCs w:val="20"/>
                <w:lang w:eastAsia="bg-BG"/>
              </w:rPr>
              <w:t>Лактатната ацидоза, много рядко, но сериозно метаболитно усложнение, най-често настъпва при остро влошаване на бъбречната функция, кардио-респираторно заболяване или сепсис. Натрупването на метформин настъпва при остро влошаване на бъбречната функция и увеличава риска от лактатна ацидоза.</w:t>
            </w:r>
          </w:p>
          <w:p w14:paraId="34A5282C" w14:textId="77777777" w:rsidR="00DA632E" w:rsidRPr="00DA632E" w:rsidRDefault="00DA632E" w:rsidP="00DA632E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r w:rsidRPr="00DA632E">
              <w:rPr>
                <w:rFonts w:eastAsia="Times New Roman" w:cs="Arial"/>
                <w:color w:val="000000"/>
                <w:szCs w:val="20"/>
                <w:lang w:eastAsia="bg-BG"/>
              </w:rPr>
              <w:t>В случай на дехидратация (тежка диария или повръщане, треска или намакен прием на</w:t>
            </w:r>
          </w:p>
          <w:p w14:paraId="3F02DF86" w14:textId="77777777" w:rsidR="00DA632E" w:rsidRPr="00DA632E" w:rsidRDefault="00DA632E" w:rsidP="00DA632E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r w:rsidRPr="00DA632E">
              <w:rPr>
                <w:rFonts w:eastAsia="Times New Roman" w:cs="Arial"/>
                <w:color w:val="000000"/>
                <w:szCs w:val="20"/>
                <w:lang w:eastAsia="bg-BG"/>
              </w:rPr>
              <w:t>течности) трябва временно да се спре приема на метформин и е препоръчителни да се установи връзка с медицински специалист.</w:t>
            </w:r>
          </w:p>
          <w:p w14:paraId="0E99DBAF" w14:textId="77777777" w:rsidR="00DA632E" w:rsidRPr="00DA632E" w:rsidRDefault="00DA632E" w:rsidP="00DA632E">
            <w:pPr>
              <w:rPr>
                <w:rFonts w:eastAsia="Times New Roman" w:cs="Arial"/>
                <w:sz w:val="28"/>
                <w:szCs w:val="24"/>
              </w:rPr>
            </w:pPr>
            <w:r w:rsidRPr="00DA632E">
              <w:rPr>
                <w:rFonts w:eastAsia="Times New Roman" w:cs="Arial"/>
                <w:color w:val="000000"/>
                <w:szCs w:val="20"/>
                <w:lang w:eastAsia="bg-BG"/>
              </w:rPr>
              <w:t>Приемът на лекарствени продукти, които могат остро да увредят бъбрчната функция (като антихипертензивни средства, диуретици и НСПВС) трябва да се започне с повишено внимание</w:t>
            </w:r>
            <w:r w:rsidRPr="00DA632E">
              <w:rPr>
                <w:rFonts w:eastAsia="Times New Roman" w:cs="Arial"/>
                <w:color w:val="000000"/>
                <w:szCs w:val="20"/>
                <w:lang w:val="ru-RU" w:eastAsia="bg-BG"/>
              </w:rPr>
              <w:t xml:space="preserve"> </w:t>
            </w:r>
            <w:r w:rsidRPr="00DA632E">
              <w:rPr>
                <w:rFonts w:eastAsia="Times New Roman" w:cs="Arial"/>
                <w:color w:val="000000"/>
                <w:szCs w:val="20"/>
                <w:lang w:eastAsia="bg-BG"/>
              </w:rPr>
              <w:t>при пациенти, лекувани с метформин. Други рискови фактори за лактатна ацидоза са прекомерен прием на алкохол, чернодробна недостатъчност, недостатъчно контролиран диабет, кетоза, продължително гладуване и всякакви състояния, свързани с хипоксия, както и едновременната употреба на лекарствени продукти, които могат да причинят лактатна ацидоза (вж. точки 4.3 и 4.5).</w:t>
            </w:r>
          </w:p>
          <w:p w14:paraId="1E314337" w14:textId="77777777" w:rsidR="00DA632E" w:rsidRPr="00DA632E" w:rsidRDefault="00DA632E" w:rsidP="00DA632E">
            <w:pPr>
              <w:spacing w:line="240" w:lineRule="auto"/>
              <w:rPr>
                <w:rFonts w:eastAsia="Times New Roman" w:cs="Arial"/>
                <w:i/>
                <w:iCs/>
                <w:color w:val="000000"/>
                <w:szCs w:val="20"/>
                <w:lang w:eastAsia="bg-BG"/>
              </w:rPr>
            </w:pPr>
          </w:p>
          <w:p w14:paraId="3F8D918E" w14:textId="2A1FBA0D" w:rsidR="00DA632E" w:rsidRPr="00DA632E" w:rsidRDefault="00DA632E" w:rsidP="00DA632E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r w:rsidRPr="00DA632E">
              <w:rPr>
                <w:rFonts w:eastAsia="Times New Roman" w:cs="Arial"/>
                <w:i/>
                <w:iCs/>
                <w:color w:val="000000"/>
                <w:szCs w:val="20"/>
                <w:lang w:eastAsia="bg-BG"/>
              </w:rPr>
              <w:t>Диагноза</w:t>
            </w:r>
          </w:p>
          <w:p w14:paraId="207321D9" w14:textId="77777777" w:rsidR="00DA632E" w:rsidRPr="00DA632E" w:rsidRDefault="00DA632E" w:rsidP="00DA632E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bg-BG"/>
              </w:rPr>
            </w:pPr>
          </w:p>
          <w:p w14:paraId="3515CB47" w14:textId="62EC5B30" w:rsidR="00DA632E" w:rsidRPr="00DA632E" w:rsidRDefault="00DA632E" w:rsidP="00DA632E">
            <w:pPr>
              <w:spacing w:line="240" w:lineRule="auto"/>
              <w:rPr>
                <w:rFonts w:eastAsia="Times New Roman" w:cs="Arial"/>
                <w:sz w:val="28"/>
                <w:szCs w:val="24"/>
              </w:rPr>
            </w:pPr>
            <w:r w:rsidRPr="00DA632E">
              <w:rPr>
                <w:rFonts w:eastAsia="Times New Roman" w:cs="Arial"/>
                <w:color w:val="000000"/>
                <w:szCs w:val="20"/>
                <w:lang w:eastAsia="bg-BG"/>
              </w:rPr>
              <w:t xml:space="preserve">Пациентите и/или болногледачите трябва да бъдат информирани за риска от лактатна ацидоза. Лактатната ацидоза се характеризира с ацидозна диспнея, коремна болка, мускулни крампи, астения и хипотермия, последвани от кома. В случай на съмнение за симптоми пациентът трябва да спре приема на метформин и незабавно да потърси лекарска помощ. Диагностичните лабораторни находки са понижено кръвно </w:t>
            </w:r>
            <w:r w:rsidRPr="00DA632E">
              <w:rPr>
                <w:rFonts w:eastAsia="Times New Roman" w:cs="Arial"/>
                <w:color w:val="000000"/>
                <w:szCs w:val="20"/>
                <w:lang w:val="en-US"/>
              </w:rPr>
              <w:t>pH</w:t>
            </w:r>
            <w:r w:rsidRPr="00DA632E">
              <w:rPr>
                <w:rFonts w:eastAsia="Times New Roman" w:cs="Arial"/>
                <w:color w:val="000000"/>
                <w:szCs w:val="20"/>
                <w:lang w:val="ru-RU"/>
              </w:rPr>
              <w:t xml:space="preserve"> </w:t>
            </w:r>
            <w:r w:rsidRPr="00DA632E">
              <w:rPr>
                <w:rFonts w:eastAsia="Times New Roman" w:cs="Arial"/>
                <w:color w:val="000000"/>
                <w:szCs w:val="20"/>
                <w:lang w:eastAsia="bg-BG"/>
              </w:rPr>
              <w:t xml:space="preserve">(&lt;7,35), повишени нива на плазмения лактат (&gt;5 </w:t>
            </w:r>
            <w:proofErr w:type="spellStart"/>
            <w:r w:rsidRPr="00DA632E">
              <w:rPr>
                <w:rFonts w:eastAsia="Times New Roman" w:cs="Arial"/>
                <w:color w:val="000000"/>
                <w:szCs w:val="20"/>
                <w:lang w:val="en-US"/>
              </w:rPr>
              <w:t>mmol</w:t>
            </w:r>
            <w:proofErr w:type="spellEnd"/>
            <w:r w:rsidRPr="00DA632E">
              <w:rPr>
                <w:rFonts w:eastAsia="Times New Roman" w:cs="Arial"/>
                <w:color w:val="000000"/>
                <w:szCs w:val="20"/>
                <w:lang w:val="ru-RU"/>
              </w:rPr>
              <w:t>/</w:t>
            </w:r>
            <w:r w:rsidRPr="00DA632E">
              <w:rPr>
                <w:rFonts w:eastAsia="Times New Roman" w:cs="Arial"/>
                <w:color w:val="000000"/>
                <w:szCs w:val="20"/>
                <w:lang w:val="en-US"/>
              </w:rPr>
              <w:t>l</w:t>
            </w:r>
            <w:r w:rsidRPr="00DA632E">
              <w:rPr>
                <w:rFonts w:eastAsia="Times New Roman" w:cs="Arial"/>
                <w:color w:val="000000"/>
                <w:szCs w:val="20"/>
                <w:lang w:val="ru-RU"/>
              </w:rPr>
              <w:t xml:space="preserve">) </w:t>
            </w:r>
            <w:r w:rsidRPr="00DA632E">
              <w:rPr>
                <w:rFonts w:eastAsia="Times New Roman" w:cs="Arial"/>
                <w:color w:val="000000"/>
                <w:szCs w:val="20"/>
                <w:lang w:eastAsia="bg-BG"/>
              </w:rPr>
              <w:t>и повишена анионна разлика и съотношение лактат/пируват.</w:t>
            </w:r>
          </w:p>
          <w:p w14:paraId="5DBC6278" w14:textId="77777777" w:rsidR="00DA632E" w:rsidRPr="00DA632E" w:rsidRDefault="00DA632E" w:rsidP="00DA632E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bg-BG"/>
              </w:rPr>
            </w:pPr>
          </w:p>
          <w:p w14:paraId="2A188B38" w14:textId="356E2634" w:rsidR="00DA632E" w:rsidRPr="00DA632E" w:rsidRDefault="00DA632E" w:rsidP="00DA632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632E">
              <w:rPr>
                <w:rFonts w:eastAsia="Times New Roman" w:cs="Arial"/>
                <w:color w:val="000000"/>
                <w:szCs w:val="20"/>
                <w:lang w:eastAsia="bg-BG"/>
              </w:rPr>
              <w:t>Лекарите трябва да предупреждават пациентите за риска и за симптомите на лактатна ацидоза.</w:t>
            </w:r>
          </w:p>
        </w:tc>
      </w:tr>
    </w:tbl>
    <w:p w14:paraId="43BC6E25" w14:textId="3E908B37" w:rsidR="00DA632E" w:rsidRDefault="00DA632E" w:rsidP="00DA632E"/>
    <w:p w14:paraId="5ECA2EA3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>Бъбречна функция</w:t>
      </w:r>
    </w:p>
    <w:p w14:paraId="1A27C2BB" w14:textId="77777777" w:rsidR="00DA632E" w:rsidRPr="007F0595" w:rsidRDefault="00DA632E" w:rsidP="00DA632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D6C0094" w14:textId="5240C739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Тъй като метформин се екскретира от бъбреците, преди започване на лечението трябва да се направи оценка на стойностите на </w:t>
      </w:r>
      <w:r w:rsidRPr="00DA632E">
        <w:rPr>
          <w:rFonts w:eastAsia="Times New Roman" w:cs="Arial"/>
          <w:color w:val="000000"/>
          <w:szCs w:val="20"/>
          <w:lang w:val="en-US"/>
        </w:rPr>
        <w:t>GFR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>и редовно след това, вж. точка 4.2:</w:t>
      </w:r>
    </w:p>
    <w:p w14:paraId="1F409AB4" w14:textId="77777777" w:rsidR="00DA632E" w:rsidRPr="007F0595" w:rsidRDefault="00DA632E" w:rsidP="00DA632E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поне веднъж годишно при пациенти с нормална бъбречна функция;</w:t>
      </w:r>
    </w:p>
    <w:p w14:paraId="6BD103BA" w14:textId="78D5057E" w:rsidR="00DA632E" w:rsidRPr="007F0595" w:rsidRDefault="00DA632E" w:rsidP="00DA632E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поне два до четири пъти годишно при пациенти с нива на креатининов клирънс на долната граница на нормата и при лица в старческа възраст.</w:t>
      </w:r>
    </w:p>
    <w:p w14:paraId="7D2E8075" w14:textId="77777777" w:rsidR="00DA632E" w:rsidRPr="007F0595" w:rsidRDefault="00DA632E" w:rsidP="00DA632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C88D667" w14:textId="0C7B9C79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 xml:space="preserve">Метформин е противопоказан при пациенти с </w:t>
      </w:r>
      <w:r w:rsidRPr="00DA632E">
        <w:rPr>
          <w:rFonts w:eastAsia="Times New Roman" w:cs="Arial"/>
          <w:color w:val="000000"/>
          <w:szCs w:val="20"/>
          <w:lang w:val="en-US"/>
        </w:rPr>
        <w:t>GFR</w:t>
      </w:r>
      <w:r w:rsidRPr="00DA632E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DA632E">
        <w:rPr>
          <w:rFonts w:eastAsia="Times New Roman" w:cs="Arial"/>
          <w:color w:val="000000"/>
          <w:szCs w:val="20"/>
          <w:lang w:eastAsia="bg-BG"/>
        </w:rPr>
        <w:t xml:space="preserve">&lt;30 </w:t>
      </w:r>
      <w:r w:rsidRPr="00DA632E">
        <w:rPr>
          <w:rFonts w:eastAsia="Times New Roman" w:cs="Arial"/>
          <w:color w:val="000000"/>
          <w:szCs w:val="20"/>
          <w:lang w:val="en-US"/>
        </w:rPr>
        <w:t>ml</w:t>
      </w:r>
      <w:r w:rsidRPr="00DA632E">
        <w:rPr>
          <w:rFonts w:eastAsia="Times New Roman" w:cs="Arial"/>
          <w:color w:val="000000"/>
          <w:szCs w:val="20"/>
          <w:lang w:eastAsia="bg-BG"/>
        </w:rPr>
        <w:t>/мин и трябва да бъде временно спрян при наличие на състояния, които променят бъбречната функция, вж. точка 4.3).</w:t>
      </w:r>
    </w:p>
    <w:p w14:paraId="1824BF86" w14:textId="77777777" w:rsidR="00DA632E" w:rsidRPr="007F0595" w:rsidRDefault="00DA632E" w:rsidP="00DA632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896138C" w14:textId="7C02F2AD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Намалената бъбречна функция при лица в старческа възраст е честа и асимптоматична. Специално внимание е необходимо в случаи, при които може да се наруши бъбречната функция, например при започване на антихипертензивно лечение, диуретично лечение или при започване на лечение с нестероидни противовъзпалителни средства (НСПВС).</w:t>
      </w:r>
    </w:p>
    <w:p w14:paraId="6EDDFD48" w14:textId="77777777" w:rsidR="00DA632E" w:rsidRPr="007F0595" w:rsidRDefault="00DA632E" w:rsidP="00DA632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078AB70" w14:textId="54D44814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>Сърдечна функция</w:t>
      </w:r>
    </w:p>
    <w:p w14:paraId="2B1241BA" w14:textId="77777777" w:rsidR="00DA632E" w:rsidRPr="007F0595" w:rsidRDefault="00DA632E" w:rsidP="00DA632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lastRenderedPageBreak/>
        <w:t xml:space="preserve">Пациентите със сърдечна недостатъчност са с по-голям риск от хипоксия и бъбречна недостатъчност. </w:t>
      </w:r>
    </w:p>
    <w:p w14:paraId="6055CFC3" w14:textId="554AA113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Метформин може да се използва при пациенти със стабилна хронична сърдечна недостатъчност при редовно наблюдение на сърдечната и бъбречната функция.</w:t>
      </w:r>
    </w:p>
    <w:p w14:paraId="57105137" w14:textId="7777777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lang w:eastAsia="bg-BG"/>
        </w:rPr>
        <w:t>Метформин е противопоказан за пациенти с остра и нестабилна сърдечна недостатъчност (вижте точка 4.3).</w:t>
      </w:r>
    </w:p>
    <w:p w14:paraId="4B2094D0" w14:textId="77777777" w:rsidR="00DA632E" w:rsidRPr="007F0595" w:rsidRDefault="00DA632E" w:rsidP="00DA632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808A1F8" w14:textId="76703EA7" w:rsidR="00DA632E" w:rsidRPr="00DA632E" w:rsidRDefault="00DA632E" w:rsidP="00DA632E">
      <w:pPr>
        <w:spacing w:line="240" w:lineRule="auto"/>
        <w:rPr>
          <w:rFonts w:eastAsia="Times New Roman" w:cs="Arial"/>
          <w:sz w:val="28"/>
          <w:szCs w:val="24"/>
        </w:rPr>
      </w:pPr>
      <w:r w:rsidRPr="00DA632E">
        <w:rPr>
          <w:rFonts w:eastAsia="Times New Roman" w:cs="Arial"/>
          <w:color w:val="000000"/>
          <w:szCs w:val="20"/>
          <w:u w:val="single"/>
          <w:lang w:eastAsia="bg-BG"/>
        </w:rPr>
        <w:t>Приложение на йодирани контрастни вещества</w:t>
      </w:r>
    </w:p>
    <w:p w14:paraId="78EF833E" w14:textId="77777777" w:rsidR="00DA632E" w:rsidRPr="007F0595" w:rsidRDefault="00DA632E" w:rsidP="00DA632E">
      <w:pPr>
        <w:rPr>
          <w:rFonts w:eastAsia="Times New Roman" w:cs="Arial"/>
          <w:color w:val="000000"/>
          <w:szCs w:val="20"/>
          <w:lang w:eastAsia="bg-BG"/>
        </w:rPr>
      </w:pPr>
    </w:p>
    <w:p w14:paraId="4A398A4E" w14:textId="487336E8" w:rsidR="00DA632E" w:rsidRPr="007F0595" w:rsidRDefault="00DA632E" w:rsidP="00DA632E">
      <w:pPr>
        <w:rPr>
          <w:rFonts w:eastAsia="Times New Roman" w:cs="Arial"/>
          <w:color w:val="000000"/>
          <w:szCs w:val="20"/>
          <w:lang w:eastAsia="bg-BG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Вътресъдовото приложение на йодирани контрастни вещества може да доведе до контраст- индуцирана нефропатия, водеща до натрупването на метформин и повишен риск от лактатна ацидоза. Метформин трябва да се спре преди или по време на процедурата за образна диагностика и не трябва да се възобновява до най-малко 48 часа след това при усковие че бъбречната функция е оценена отново и е установено, че е стабилна, вж.точка 4.2 и 4.5.</w:t>
      </w:r>
    </w:p>
    <w:p w14:paraId="070E2F89" w14:textId="0ED53E17" w:rsidR="007F0595" w:rsidRPr="007F0595" w:rsidRDefault="007F0595" w:rsidP="00DA632E">
      <w:pPr>
        <w:rPr>
          <w:rFonts w:cs="Arial"/>
          <w:sz w:val="24"/>
        </w:rPr>
      </w:pPr>
    </w:p>
    <w:p w14:paraId="1EAFB4D3" w14:textId="7777777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u w:val="single"/>
          <w:lang w:eastAsia="bg-BG"/>
        </w:rPr>
        <w:t>Операция</w:t>
      </w:r>
    </w:p>
    <w:p w14:paraId="4A65DBAC" w14:textId="77777777" w:rsidR="007F0595" w:rsidRPr="007F0595" w:rsidRDefault="007F0595" w:rsidP="007F0595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5B8CF61" w14:textId="6012C03D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Метформин трябва да се спре по време на операция под обща, спинална или епидурална анестезия. Лечението може да бъде възобновено не по-рано от 48 часа след операцията или възобновяването на храненето през уста, и при условие че бъбречната функция е оценена отново и е установено, че е стабилна.</w:t>
      </w:r>
    </w:p>
    <w:p w14:paraId="33E88794" w14:textId="77777777" w:rsidR="007F0595" w:rsidRPr="007F0595" w:rsidRDefault="007F0595" w:rsidP="007F0595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DF89614" w14:textId="40A92476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u w:val="single"/>
          <w:lang w:eastAsia="bg-BG"/>
        </w:rPr>
        <w:t>Други предпазни мерки</w:t>
      </w:r>
    </w:p>
    <w:p w14:paraId="41C020D5" w14:textId="77777777" w:rsidR="007F0595" w:rsidRPr="007F0595" w:rsidRDefault="007F0595" w:rsidP="007F0595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Всички пациенти трябва да продължат да спазват диетата си с равномерно разпределен прием на въглехидрати през деня. Пациентите с наднормено тегло трябва да продължат да спазват диетата, ограничаваща калориите.</w:t>
      </w:r>
    </w:p>
    <w:p w14:paraId="2F6F57C1" w14:textId="77777777" w:rsidR="007F0595" w:rsidRPr="007F0595" w:rsidRDefault="007F0595" w:rsidP="007F0595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Обичайните лабораторни тестове за проследяване на диабета трябва да се правят редовно.</w:t>
      </w:r>
    </w:p>
    <w:p w14:paraId="13C3C9FE" w14:textId="6653945B" w:rsidR="007F0595" w:rsidRPr="007F0595" w:rsidRDefault="007F0595" w:rsidP="007F0595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color w:val="000000"/>
          <w:szCs w:val="20"/>
          <w:lang w:eastAsia="bg-BG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Метформин, прилаган самостоятелно, не причинява хипогликемия, но е необходимо внимание при приложението му в комбинация с инсулин или с други перорални антидиабетни лекарства (напр. сулфанилурейни лекарства или меглитиниди).</w:t>
      </w:r>
    </w:p>
    <w:p w14:paraId="0296781E" w14:textId="77777777" w:rsidR="007F0595" w:rsidRPr="007F0595" w:rsidRDefault="007F0595" w:rsidP="007F0595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928E106" w14:textId="5D8641C8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u w:val="single"/>
          <w:lang w:eastAsia="bg-BG"/>
        </w:rPr>
        <w:t>Педиатрична популация</w:t>
      </w:r>
    </w:p>
    <w:p w14:paraId="22A56C05" w14:textId="77777777" w:rsidR="007F0595" w:rsidRPr="007F0595" w:rsidRDefault="007F0595" w:rsidP="007F0595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04D9586" w14:textId="618ABDEF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Преди започване на лечение с метформин трябва да се потвърди диагнозата захарен диабет тип 2.</w:t>
      </w:r>
    </w:p>
    <w:p w14:paraId="0B6DF034" w14:textId="7777777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Контролираните клинични проучвания в продължение на една година не установяват ефект на метформин върху растежа и пубертета, но няма дългосрочни данни в тази специфична област. Ето защо се препоръчва внимателно проследяване на ефекта на метформин върху тези параметри при деца, лекувани с метформинов хидрохлорид, особено при деца в пред пубертетна възраст.</w:t>
      </w:r>
    </w:p>
    <w:p w14:paraId="5914A61D" w14:textId="77777777" w:rsidR="007F0595" w:rsidRPr="007F0595" w:rsidRDefault="007F0595" w:rsidP="007F0595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13A4A90D" w14:textId="3F2DBF6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i/>
          <w:iCs/>
          <w:color w:val="000000"/>
          <w:szCs w:val="20"/>
          <w:lang w:eastAsia="bg-BG"/>
        </w:rPr>
        <w:t>Деца на възраст между 10 и 12 години</w:t>
      </w:r>
    </w:p>
    <w:p w14:paraId="2EF60701" w14:textId="7777777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Само 15 лица на възраст между 10 и 12 години са включени в контролирани клинични проучвания, проведени при деца и юноши. Въпреки че ефикасността и безопасността на метформин при тези деца не се различава от ефикасността и безопасността при по-големи деца и юноши, се препоръчва особено внимание при предписването на метформинов хидрохлорид на деца на възраст между 10 и 12 години.</w:t>
      </w:r>
    </w:p>
    <w:p w14:paraId="25BBBF51" w14:textId="2F777C71" w:rsidR="007F0595" w:rsidRDefault="007F0595" w:rsidP="00DA632E"/>
    <w:p w14:paraId="15EDD50B" w14:textId="77777777" w:rsidR="007F0595" w:rsidRPr="00DA632E" w:rsidRDefault="007F0595" w:rsidP="00DA632E"/>
    <w:p w14:paraId="070777EC" w14:textId="2A1A77C8" w:rsidR="00DF4C8E" w:rsidRDefault="002C50EE" w:rsidP="00F44498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5471EE06" w14:textId="31C54920" w:rsidR="007F0595" w:rsidRDefault="007F0595" w:rsidP="007F0595"/>
    <w:p w14:paraId="48394CED" w14:textId="7777777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u w:val="single"/>
          <w:lang w:eastAsia="bg-BG"/>
        </w:rPr>
        <w:t>Не се препоръчва съпътстваща употреба:</w:t>
      </w:r>
    </w:p>
    <w:p w14:paraId="5EC26FD0" w14:textId="77777777" w:rsidR="007F0595" w:rsidRPr="007F0595" w:rsidRDefault="007F0595" w:rsidP="007F0595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594900E7" w14:textId="6D6361B0" w:rsidR="007F0595" w:rsidRPr="007F0595" w:rsidRDefault="007F0595" w:rsidP="007F0595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i/>
          <w:iCs/>
          <w:color w:val="000000"/>
          <w:szCs w:val="20"/>
          <w:lang w:eastAsia="bg-BG"/>
        </w:rPr>
        <w:t>Алкохол</w:t>
      </w:r>
    </w:p>
    <w:p w14:paraId="60B491D5" w14:textId="3C721A18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Алкохолната интоксикация се свързва с повишен риск от лактатна ацидоза, особено в случаи на гладуване, недохранване или чернодробна недостатъчност.</w:t>
      </w:r>
    </w:p>
    <w:p w14:paraId="0A4B7226" w14:textId="7777777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Да се избягва приемът на алкохол или на алкохол-съдържащи лекарствени продукти.</w:t>
      </w:r>
    </w:p>
    <w:p w14:paraId="789C8175" w14:textId="77777777" w:rsidR="007F0595" w:rsidRPr="007F0595" w:rsidRDefault="007F0595" w:rsidP="007F0595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0B66C026" w14:textId="58BF609E" w:rsidR="007F0595" w:rsidRPr="007F0595" w:rsidRDefault="007F0595" w:rsidP="007F0595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i/>
          <w:iCs/>
          <w:color w:val="000000"/>
          <w:szCs w:val="20"/>
          <w:lang w:eastAsia="bg-BG"/>
        </w:rPr>
        <w:t>Йодирани контрастни вещества</w:t>
      </w:r>
    </w:p>
    <w:p w14:paraId="2EF8737B" w14:textId="77777777" w:rsidR="007F0595" w:rsidRPr="007F0595" w:rsidRDefault="007F0595" w:rsidP="007F0595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FE628F3" w14:textId="7C6AF9A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Метформин трябва задължително да се спре преди или по време на процедурата за образна диагностика и не трябва да се възобновява до най-малко 48 часа след това, при условие че бъбречната функция е оценена отново и е установено, че е стабилна, вж. точки 4.2 и 4.4.</w:t>
      </w:r>
    </w:p>
    <w:p w14:paraId="78932E82" w14:textId="0C72FA3F" w:rsidR="007F0595" w:rsidRPr="007F0595" w:rsidRDefault="007F0595" w:rsidP="007F0595">
      <w:pPr>
        <w:rPr>
          <w:rFonts w:eastAsia="Times New Roman" w:cs="Arial"/>
          <w:color w:val="000000"/>
          <w:szCs w:val="20"/>
          <w:lang w:eastAsia="bg-BG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Вътресъдовото приложение на йодирани контрастни вещества може да доведе до контраст- индуцирана нефропатия, водеща до натрупването на метформин и повишен риск от лактатна ацидоза.</w:t>
      </w:r>
    </w:p>
    <w:p w14:paraId="31F6FE15" w14:textId="6B7E3222" w:rsidR="007F0595" w:rsidRPr="007F0595" w:rsidRDefault="007F0595" w:rsidP="007F0595">
      <w:pPr>
        <w:rPr>
          <w:rFonts w:eastAsia="Times New Roman" w:cs="Arial"/>
          <w:color w:val="000000"/>
          <w:szCs w:val="20"/>
          <w:lang w:eastAsia="bg-BG"/>
        </w:rPr>
      </w:pPr>
    </w:p>
    <w:p w14:paraId="40B4F4D2" w14:textId="7777777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u w:val="single"/>
          <w:lang w:eastAsia="bg-BG"/>
        </w:rPr>
        <w:t>Комбинации, изискващи предпазни мерки при употреба</w:t>
      </w:r>
    </w:p>
    <w:p w14:paraId="07ADBD6A" w14:textId="77777777" w:rsidR="007F0595" w:rsidRPr="007F0595" w:rsidRDefault="007F0595" w:rsidP="007F0595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i/>
          <w:iCs/>
          <w:color w:val="000000"/>
          <w:szCs w:val="20"/>
          <w:lang w:eastAsia="bg-BG"/>
        </w:rPr>
        <w:t xml:space="preserve">Някои лекарствени продукти могат да се отразят неблагоприятно на бъбречната функция, което може да увеличи риска от лактатна ацидоза, например НСПВС, включително селективни инхибитори на циклооксигеназа </w:t>
      </w:r>
      <w:r w:rsidRPr="007F0595">
        <w:rPr>
          <w:rFonts w:eastAsia="Times New Roman" w:cs="Arial"/>
          <w:i/>
          <w:iCs/>
          <w:color w:val="000000"/>
          <w:szCs w:val="20"/>
          <w:lang w:val="ru-RU"/>
        </w:rPr>
        <w:t>(</w:t>
      </w:r>
      <w:r w:rsidRPr="007F0595">
        <w:rPr>
          <w:rFonts w:eastAsia="Times New Roman" w:cs="Arial"/>
          <w:i/>
          <w:iCs/>
          <w:color w:val="000000"/>
          <w:szCs w:val="20"/>
          <w:lang w:val="en-US"/>
        </w:rPr>
        <w:t>COX</w:t>
      </w:r>
      <w:r w:rsidRPr="007F0595">
        <w:rPr>
          <w:rFonts w:eastAsia="Times New Roman" w:cs="Arial"/>
          <w:i/>
          <w:iCs/>
          <w:color w:val="000000"/>
          <w:szCs w:val="20"/>
          <w:lang w:val="ru-RU"/>
        </w:rPr>
        <w:t xml:space="preserve">) </w:t>
      </w:r>
      <w:r w:rsidRPr="007F0595">
        <w:rPr>
          <w:rFonts w:eastAsia="Times New Roman" w:cs="Arial"/>
          <w:i/>
          <w:iCs/>
          <w:color w:val="000000"/>
          <w:szCs w:val="20"/>
          <w:lang w:eastAsia="bg-BG"/>
        </w:rPr>
        <w:t>II, АСЕ инхибитори, ангиотензин II рецепторни антагонисти и диуретици, особено бримкови диуретици.</w:t>
      </w:r>
      <w:r w:rsidRPr="007F0595">
        <w:rPr>
          <w:rFonts w:eastAsia="Times New Roman" w:cs="Arial"/>
          <w:color w:val="000000"/>
          <w:szCs w:val="20"/>
          <w:lang w:eastAsia="bg-BG"/>
        </w:rPr>
        <w:t xml:space="preserve"> При започването или употребата на такива продукти в комбинация с метформин е необходимо внимателно проследяване на бъбречната функция.</w:t>
      </w:r>
    </w:p>
    <w:p w14:paraId="4A69E44F" w14:textId="43073CA1" w:rsidR="007F0595" w:rsidRPr="007F0595" w:rsidRDefault="007F0595" w:rsidP="007F0595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i/>
          <w:iCs/>
          <w:color w:val="000000"/>
          <w:szCs w:val="20"/>
          <w:lang w:eastAsia="bg-BG"/>
        </w:rPr>
        <w:t>Лекарствени продукти с вътрешна хипергликемична активност (като глюкокортикоиди (системно и локално приложение) и симпатикомиметици):</w:t>
      </w:r>
    </w:p>
    <w:p w14:paraId="5B68904D" w14:textId="7777777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Може да се наложи по-често проследяване на нивото на кръвната захар особено в началото на лечението. При необходимост, коригирайте дозата на метфоминов хидрохлорид по време на лечение със съответния лекарствен продукт и след преустановяването му.</w:t>
      </w:r>
    </w:p>
    <w:p w14:paraId="02A20FD8" w14:textId="77777777" w:rsidR="007F0595" w:rsidRPr="007F0595" w:rsidRDefault="007F0595" w:rsidP="007F0595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574BF80" w14:textId="138CF8E2" w:rsidR="007F0595" w:rsidRPr="007F0595" w:rsidRDefault="007F0595" w:rsidP="007F0595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 xml:space="preserve">Транспортери на органични катиони </w:t>
      </w:r>
      <w:r w:rsidRPr="007F0595">
        <w:rPr>
          <w:rFonts w:eastAsia="Times New Roman" w:cs="Arial"/>
          <w:color w:val="000000"/>
          <w:szCs w:val="20"/>
          <w:lang w:val="ru-RU"/>
        </w:rPr>
        <w:t>(</w:t>
      </w:r>
      <w:r w:rsidRPr="007F0595">
        <w:rPr>
          <w:rFonts w:eastAsia="Times New Roman" w:cs="Arial"/>
          <w:color w:val="000000"/>
          <w:szCs w:val="20"/>
          <w:lang w:val="en-US"/>
        </w:rPr>
        <w:t>OCT</w:t>
      </w:r>
      <w:r w:rsidRPr="007F0595">
        <w:rPr>
          <w:rFonts w:eastAsia="Times New Roman" w:cs="Arial"/>
          <w:color w:val="000000"/>
          <w:szCs w:val="20"/>
          <w:lang w:val="ru-RU"/>
        </w:rPr>
        <w:t>)</w:t>
      </w:r>
    </w:p>
    <w:p w14:paraId="7AE3700E" w14:textId="7777777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Метформин е субстрат и на двата транспортера ОСТ1 и ОСТ2.</w:t>
      </w:r>
    </w:p>
    <w:p w14:paraId="024ED222" w14:textId="7777777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Едновременното приложение на метформин с:</w:t>
      </w:r>
    </w:p>
    <w:p w14:paraId="3A8EC7A3" w14:textId="77777777" w:rsidR="007F0595" w:rsidRPr="007F0595" w:rsidRDefault="007F0595" w:rsidP="007F0595">
      <w:pPr>
        <w:pStyle w:val="ListParagraph"/>
        <w:numPr>
          <w:ilvl w:val="0"/>
          <w:numId w:val="39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инхибитори на ОСТ1 (като верапамил) може да намали ефикасността на метформин;</w:t>
      </w:r>
    </w:p>
    <w:p w14:paraId="0B46C7C9" w14:textId="77777777" w:rsidR="007F0595" w:rsidRPr="007F0595" w:rsidRDefault="007F0595" w:rsidP="007F0595">
      <w:pPr>
        <w:pStyle w:val="ListParagraph"/>
        <w:numPr>
          <w:ilvl w:val="0"/>
          <w:numId w:val="39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индукторнте на ОСТ1 (като рифампицин) може да увеличи стомашно-чревната абсорбция и ефикасността на метформин;</w:t>
      </w:r>
    </w:p>
    <w:p w14:paraId="400883FA" w14:textId="77777777" w:rsidR="007F0595" w:rsidRPr="007F0595" w:rsidRDefault="007F0595" w:rsidP="007F0595">
      <w:pPr>
        <w:pStyle w:val="ListParagraph"/>
        <w:numPr>
          <w:ilvl w:val="0"/>
          <w:numId w:val="39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 xml:space="preserve">инхибиторите на ОСТ2 (като циметидин, долутегравир, ранолазин, триметоприм, вандетаниб, исавуконазол) може да намали бъбречното елиминиране на </w:t>
      </w:r>
      <w:r w:rsidRPr="007F0595">
        <w:rPr>
          <w:rFonts w:eastAsia="Times New Roman" w:cs="Arial"/>
          <w:color w:val="000000"/>
          <w:szCs w:val="20"/>
          <w:lang w:eastAsia="bg-BG"/>
        </w:rPr>
        <w:lastRenderedPageBreak/>
        <w:t>метформин и това да доведе до повишаване на концентрацията на метформин в плазмата;</w:t>
      </w:r>
    </w:p>
    <w:p w14:paraId="08C57828" w14:textId="4BBD80F1" w:rsidR="007F0595" w:rsidRPr="007F0595" w:rsidRDefault="007F0595" w:rsidP="007F0595">
      <w:pPr>
        <w:pStyle w:val="ListParagraph"/>
        <w:numPr>
          <w:ilvl w:val="0"/>
          <w:numId w:val="39"/>
        </w:num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>инхибиторите и на ОСТ1, и на ОСТ2 (като кризотиниб, олапариб) може да промени ефикасността и бъбречното елиминиране на метформин.</w:t>
      </w:r>
    </w:p>
    <w:p w14:paraId="42709C05" w14:textId="77777777" w:rsidR="007F0595" w:rsidRPr="007F0595" w:rsidRDefault="007F0595" w:rsidP="007F0595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A9F5147" w14:textId="21BBF347" w:rsidR="007F0595" w:rsidRPr="007F0595" w:rsidRDefault="007F0595" w:rsidP="007F0595">
      <w:pPr>
        <w:spacing w:line="240" w:lineRule="auto"/>
        <w:rPr>
          <w:rFonts w:eastAsia="Times New Roman" w:cs="Arial"/>
          <w:sz w:val="28"/>
          <w:szCs w:val="24"/>
        </w:rPr>
      </w:pPr>
      <w:r w:rsidRPr="007F0595">
        <w:rPr>
          <w:rFonts w:eastAsia="Times New Roman" w:cs="Arial"/>
          <w:color w:val="000000"/>
          <w:szCs w:val="20"/>
          <w:lang w:eastAsia="bg-BG"/>
        </w:rPr>
        <w:t xml:space="preserve">Следователно се препоръчва внимание особено при пациенти с бъбречно увреждане, когато тези лекарства се прилагат едновременно с метформин, тъй като концентрацията на метформин в плазмата може да се увеличи. При необходимост може да се обмисли коригиране на дозата метформин, тъй като инхибиторите/индукторите на </w:t>
      </w:r>
      <w:r w:rsidRPr="007F0595">
        <w:rPr>
          <w:rFonts w:eastAsia="Times New Roman" w:cs="Arial"/>
          <w:color w:val="000000"/>
          <w:szCs w:val="20"/>
          <w:lang w:val="en-US"/>
        </w:rPr>
        <w:t>OCT</w:t>
      </w:r>
      <w:r w:rsidRPr="007F0595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7F0595">
        <w:rPr>
          <w:rFonts w:eastAsia="Times New Roman" w:cs="Arial"/>
          <w:color w:val="000000"/>
          <w:szCs w:val="20"/>
          <w:lang w:eastAsia="bg-BG"/>
        </w:rPr>
        <w:t>могат да променят ефикасността на метформин.</w:t>
      </w:r>
    </w:p>
    <w:p w14:paraId="63563FA1" w14:textId="77777777" w:rsidR="007F0595" w:rsidRPr="007F0595" w:rsidRDefault="007F0595" w:rsidP="007F0595"/>
    <w:p w14:paraId="29D2BD58" w14:textId="22213E35" w:rsidR="00DF4C8E" w:rsidRDefault="002C50EE" w:rsidP="00F44498">
      <w:pPr>
        <w:pStyle w:val="Heading2"/>
      </w:pPr>
      <w:r>
        <w:t>4.6. Фертилитет, бременност и кърмене</w:t>
      </w:r>
    </w:p>
    <w:p w14:paraId="705C3CA3" w14:textId="1D8F1AB3" w:rsidR="004E0AE8" w:rsidRDefault="004E0AE8" w:rsidP="004E0AE8"/>
    <w:p w14:paraId="555D2420" w14:textId="77777777" w:rsidR="004E0AE8" w:rsidRPr="004E0AE8" w:rsidRDefault="004E0AE8" w:rsidP="004E0AE8">
      <w:pPr>
        <w:pStyle w:val="Heading3"/>
        <w:rPr>
          <w:rFonts w:eastAsia="Times New Roman"/>
          <w:sz w:val="28"/>
          <w:u w:val="single"/>
        </w:rPr>
      </w:pPr>
      <w:r w:rsidRPr="004E0AE8">
        <w:rPr>
          <w:rFonts w:eastAsia="Times New Roman"/>
          <w:u w:val="single"/>
          <w:lang w:eastAsia="bg-BG"/>
        </w:rPr>
        <w:t>Бременност</w:t>
      </w:r>
    </w:p>
    <w:p w14:paraId="713FC35A" w14:textId="77777777" w:rsidR="004E0AE8" w:rsidRPr="004E0AE8" w:rsidRDefault="004E0AE8" w:rsidP="004E0AE8">
      <w:pPr>
        <w:spacing w:line="240" w:lineRule="auto"/>
        <w:rPr>
          <w:rFonts w:eastAsia="Times New Roman" w:cs="Arial"/>
          <w:sz w:val="28"/>
          <w:szCs w:val="24"/>
        </w:rPr>
      </w:pPr>
      <w:r w:rsidRPr="004E0AE8">
        <w:rPr>
          <w:rFonts w:eastAsia="Times New Roman" w:cs="Arial"/>
          <w:color w:val="000000"/>
          <w:szCs w:val="20"/>
          <w:lang w:eastAsia="bg-BG"/>
        </w:rPr>
        <w:t>Неконтролираният диабет по време на бременност (гестационен или хроничен) се свързва с увеличен риск от вродени дефекти или перинатална смъртност.</w:t>
      </w:r>
    </w:p>
    <w:p w14:paraId="36364AD5" w14:textId="77777777" w:rsidR="004E0AE8" w:rsidRPr="004E0AE8" w:rsidRDefault="004E0AE8" w:rsidP="004E0AE8">
      <w:pPr>
        <w:spacing w:line="240" w:lineRule="auto"/>
        <w:rPr>
          <w:rFonts w:eastAsia="Times New Roman" w:cs="Arial"/>
          <w:sz w:val="28"/>
          <w:szCs w:val="24"/>
        </w:rPr>
      </w:pPr>
      <w:r w:rsidRPr="004E0AE8">
        <w:rPr>
          <w:rFonts w:eastAsia="Times New Roman" w:cs="Arial"/>
          <w:color w:val="000000"/>
          <w:szCs w:val="20"/>
          <w:lang w:eastAsia="bg-BG"/>
        </w:rPr>
        <w:t>Наличните ограничени данни от употребата на метформин при бременни жени не показват увеличен риск от вродени дефекти.</w:t>
      </w:r>
    </w:p>
    <w:p w14:paraId="5BE1A006" w14:textId="77777777" w:rsidR="004E0AE8" w:rsidRPr="004E0AE8" w:rsidRDefault="004E0AE8" w:rsidP="004E0AE8">
      <w:pPr>
        <w:spacing w:line="240" w:lineRule="auto"/>
        <w:rPr>
          <w:rFonts w:eastAsia="Times New Roman" w:cs="Arial"/>
          <w:sz w:val="28"/>
          <w:szCs w:val="24"/>
        </w:rPr>
      </w:pPr>
      <w:r w:rsidRPr="004E0AE8">
        <w:rPr>
          <w:rFonts w:eastAsia="Times New Roman" w:cs="Arial"/>
          <w:color w:val="000000"/>
          <w:szCs w:val="20"/>
          <w:lang w:eastAsia="bg-BG"/>
        </w:rPr>
        <w:t>Проучванията с животни не показват вреден ефект по отношение на бременността, ембрионалното и феталното развитие, по време на раждане и при постнаталното развитие.</w:t>
      </w:r>
    </w:p>
    <w:p w14:paraId="79C4ED6D" w14:textId="77777777" w:rsidR="004E0AE8" w:rsidRPr="004E0AE8" w:rsidRDefault="004E0AE8" w:rsidP="004E0AE8">
      <w:pPr>
        <w:spacing w:line="240" w:lineRule="auto"/>
        <w:rPr>
          <w:rFonts w:eastAsia="Times New Roman" w:cs="Arial"/>
          <w:sz w:val="28"/>
          <w:szCs w:val="24"/>
        </w:rPr>
      </w:pPr>
      <w:r w:rsidRPr="004E0AE8">
        <w:rPr>
          <w:rFonts w:eastAsia="Times New Roman" w:cs="Arial"/>
          <w:color w:val="000000"/>
          <w:szCs w:val="20"/>
          <w:lang w:eastAsia="bg-BG"/>
        </w:rPr>
        <w:t>Ако пациентката планира да забременее, както и по време на бременността, се препоръчва както диабетът, така и предиабетът да не се лекува с метформин, а при захарен диабет тип II за поддържане на нивата на кръвната захар близо до нормата трябва да се използва инсулин с цел</w:t>
      </w:r>
    </w:p>
    <w:p w14:paraId="12D57A58" w14:textId="77777777" w:rsidR="004E0AE8" w:rsidRPr="004E0AE8" w:rsidRDefault="004E0AE8" w:rsidP="004E0AE8">
      <w:pPr>
        <w:spacing w:line="240" w:lineRule="auto"/>
        <w:rPr>
          <w:rFonts w:eastAsia="Times New Roman" w:cs="Arial"/>
          <w:sz w:val="28"/>
          <w:szCs w:val="24"/>
        </w:rPr>
      </w:pPr>
      <w:r w:rsidRPr="004E0AE8">
        <w:rPr>
          <w:rFonts w:eastAsia="Times New Roman" w:cs="Arial"/>
          <w:color w:val="000000"/>
          <w:szCs w:val="20"/>
          <w:lang w:eastAsia="bg-BG"/>
        </w:rPr>
        <w:t>намаление на риска от малформации на плода.</w:t>
      </w:r>
    </w:p>
    <w:p w14:paraId="4C0E36B8" w14:textId="77777777" w:rsidR="004E0AE8" w:rsidRPr="004E0AE8" w:rsidRDefault="004E0AE8" w:rsidP="004E0AE8">
      <w:pPr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60004A5" w14:textId="58561E17" w:rsidR="004E0AE8" w:rsidRPr="004E0AE8" w:rsidRDefault="004E0AE8" w:rsidP="004E0AE8">
      <w:pPr>
        <w:pStyle w:val="Heading3"/>
        <w:rPr>
          <w:rFonts w:eastAsia="Times New Roman"/>
          <w:u w:val="single"/>
          <w:lang w:eastAsia="bg-BG"/>
        </w:rPr>
      </w:pPr>
      <w:r w:rsidRPr="004E0AE8">
        <w:rPr>
          <w:rFonts w:eastAsia="Times New Roman"/>
          <w:u w:val="single"/>
          <w:lang w:eastAsia="bg-BG"/>
        </w:rPr>
        <w:t>Кърмене</w:t>
      </w:r>
    </w:p>
    <w:p w14:paraId="3A0F231B" w14:textId="77777777" w:rsidR="004E0AE8" w:rsidRPr="004E0AE8" w:rsidRDefault="004E0AE8" w:rsidP="004E0AE8">
      <w:pPr>
        <w:spacing w:line="240" w:lineRule="auto"/>
        <w:rPr>
          <w:rFonts w:eastAsia="Times New Roman" w:cs="Arial"/>
          <w:sz w:val="28"/>
          <w:szCs w:val="24"/>
        </w:rPr>
      </w:pPr>
      <w:r w:rsidRPr="004E0AE8">
        <w:rPr>
          <w:rFonts w:eastAsia="Times New Roman" w:cs="Arial"/>
          <w:color w:val="000000"/>
          <w:szCs w:val="20"/>
          <w:lang w:eastAsia="bg-BG"/>
        </w:rPr>
        <w:t>Метформин се излъчва в кърмата при хора. Не се проявяват ефекти на метформин при кърмени новородени/кърмачета при лечение на майката. Въпреки това, тъй като са налични само ограничени данни, не се препоръчва кърмене по време на лечение с метформин. Решението да се преустанови кърменето трябва да бъде направено въз основа на ползата от кърменето и потенциалния риск за детето от нежелани реакции.</w:t>
      </w:r>
    </w:p>
    <w:p w14:paraId="4D8C360C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1C29214" w14:textId="5B5E5914" w:rsidR="004E0AE8" w:rsidRPr="004E0AE8" w:rsidRDefault="004E0AE8" w:rsidP="004E0AE8">
      <w:pPr>
        <w:pStyle w:val="Heading3"/>
        <w:rPr>
          <w:rFonts w:eastAsia="Times New Roman"/>
          <w:sz w:val="28"/>
          <w:u w:val="single"/>
        </w:rPr>
      </w:pPr>
      <w:r w:rsidRPr="004E0AE8">
        <w:rPr>
          <w:rFonts w:eastAsia="Times New Roman"/>
          <w:u w:val="single"/>
          <w:lang w:eastAsia="bg-BG"/>
        </w:rPr>
        <w:t>Фертилитет</w:t>
      </w:r>
    </w:p>
    <w:p w14:paraId="7ACD2BBF" w14:textId="1D6EF5E5" w:rsidR="004E0AE8" w:rsidRDefault="004E0AE8" w:rsidP="004E0AE8">
      <w:pPr>
        <w:rPr>
          <w:rFonts w:eastAsia="Times New Roman" w:cs="Arial"/>
          <w:color w:val="000000"/>
          <w:szCs w:val="20"/>
          <w:lang w:eastAsia="bg-BG"/>
        </w:rPr>
      </w:pPr>
      <w:r w:rsidRPr="004E0AE8">
        <w:rPr>
          <w:rFonts w:eastAsia="Times New Roman" w:cs="Arial"/>
          <w:color w:val="000000"/>
          <w:szCs w:val="20"/>
          <w:lang w:eastAsia="bg-BG"/>
        </w:rPr>
        <w:t xml:space="preserve">Фертилитетьт при мъжки или женски плъхове е незасегнат при приложение на метформин в дози до 600 </w:t>
      </w:r>
      <w:r w:rsidRPr="004E0AE8">
        <w:rPr>
          <w:rFonts w:eastAsia="Times New Roman" w:cs="Arial"/>
          <w:color w:val="000000"/>
          <w:szCs w:val="20"/>
          <w:lang w:val="en-US"/>
        </w:rPr>
        <w:t>mg</w:t>
      </w:r>
      <w:r w:rsidRPr="004E0AE8">
        <w:rPr>
          <w:rFonts w:eastAsia="Times New Roman" w:cs="Arial"/>
          <w:color w:val="000000"/>
          <w:szCs w:val="20"/>
          <w:lang w:val="ru-RU"/>
        </w:rPr>
        <w:t>/</w:t>
      </w:r>
      <w:r w:rsidRPr="004E0AE8">
        <w:rPr>
          <w:rFonts w:eastAsia="Times New Roman" w:cs="Arial"/>
          <w:color w:val="000000"/>
          <w:szCs w:val="20"/>
          <w:lang w:val="en-US"/>
        </w:rPr>
        <w:t>kg</w:t>
      </w:r>
      <w:r w:rsidRPr="004E0AE8">
        <w:rPr>
          <w:rFonts w:eastAsia="Times New Roman" w:cs="Arial"/>
          <w:color w:val="000000"/>
          <w:szCs w:val="20"/>
          <w:lang w:eastAsia="bg-BG"/>
        </w:rPr>
        <w:t>/ден, което е приблизително три пъти над максималната препоръчителна дневна доза при хора при сравнение с площта на телесната повърхност.</w:t>
      </w:r>
    </w:p>
    <w:p w14:paraId="44DC12C8" w14:textId="77777777" w:rsidR="004E0AE8" w:rsidRPr="004E0AE8" w:rsidRDefault="004E0AE8" w:rsidP="004E0AE8">
      <w:pPr>
        <w:rPr>
          <w:rFonts w:cs="Arial"/>
          <w:sz w:val="24"/>
        </w:rPr>
      </w:pPr>
    </w:p>
    <w:p w14:paraId="4DF5A2E7" w14:textId="7FC96F9E" w:rsidR="00DF4C8E" w:rsidRDefault="002C50EE" w:rsidP="00F44498">
      <w:pPr>
        <w:pStyle w:val="Heading2"/>
      </w:pPr>
      <w:r>
        <w:t>4.7. Ефекти върху способността за шофиране и работа с машини</w:t>
      </w:r>
    </w:p>
    <w:p w14:paraId="6DCBFCDA" w14:textId="45B02C29" w:rsidR="004E0AE8" w:rsidRDefault="004E0AE8" w:rsidP="004E0AE8"/>
    <w:p w14:paraId="5B105A8F" w14:textId="77777777" w:rsidR="004E0AE8" w:rsidRPr="004E0AE8" w:rsidRDefault="004E0AE8" w:rsidP="004E0AE8">
      <w:pPr>
        <w:rPr>
          <w:sz w:val="24"/>
          <w:szCs w:val="24"/>
        </w:rPr>
      </w:pPr>
      <w:r w:rsidRPr="004E0AE8">
        <w:rPr>
          <w:lang w:eastAsia="bg-BG"/>
        </w:rPr>
        <w:t xml:space="preserve">Монотерапията с метформин не води до хипогликемия и поради това Сиофор 850 </w:t>
      </w:r>
      <w:r w:rsidRPr="004E0AE8">
        <w:rPr>
          <w:lang w:val="en-US"/>
        </w:rPr>
        <w:t>mg</w:t>
      </w:r>
      <w:r w:rsidRPr="004E0AE8">
        <w:rPr>
          <w:lang w:val="ru-RU"/>
        </w:rPr>
        <w:t xml:space="preserve"> </w:t>
      </w:r>
      <w:r w:rsidRPr="004E0AE8">
        <w:rPr>
          <w:lang w:eastAsia="bg-BG"/>
        </w:rPr>
        <w:t>не повлиява или повлиява пренебрежимо способността за шофиране и работа с машини. Независимо от това, пациентите трябва да бъдат предупредени за риска от хипогликемия, когато метформин се използва в комбинация с други антидиабетни лекарства (напр. сулфанилурейни, инсулин или меглитиниди).</w:t>
      </w:r>
    </w:p>
    <w:p w14:paraId="129AE934" w14:textId="77777777" w:rsidR="004E0AE8" w:rsidRPr="004E0AE8" w:rsidRDefault="004E0AE8" w:rsidP="004E0AE8"/>
    <w:p w14:paraId="28229498" w14:textId="49C94C29" w:rsidR="00DF4C8E" w:rsidRDefault="002C50EE" w:rsidP="00F44498">
      <w:pPr>
        <w:pStyle w:val="Heading2"/>
      </w:pPr>
      <w:r>
        <w:lastRenderedPageBreak/>
        <w:t>4.8. Нежелани лекарствени реакции</w:t>
      </w:r>
    </w:p>
    <w:p w14:paraId="4A7BA200" w14:textId="0402C36E" w:rsidR="004E0AE8" w:rsidRDefault="004E0AE8" w:rsidP="004E0AE8"/>
    <w:p w14:paraId="40CCCFFB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Следните нежелани реакции може да възникнат при лечение с метформин.</w:t>
      </w:r>
    </w:p>
    <w:p w14:paraId="0C5394F9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Честотата се определя както следва:</w:t>
      </w:r>
    </w:p>
    <w:p w14:paraId="1BD548C0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D86BE30" w14:textId="2BD2A2B9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Много чести: (≥ 1/10)</w:t>
      </w:r>
    </w:p>
    <w:p w14:paraId="353B3E4F" w14:textId="10F7F4BB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Чести: (≥ 1/100 до &lt; 1/10)</w:t>
      </w:r>
    </w:p>
    <w:p w14:paraId="3CD234BE" w14:textId="72F77F73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Нечести: (≥ 1/1000 до &lt; 1 /100)</w:t>
      </w:r>
    </w:p>
    <w:p w14:paraId="673E20E8" w14:textId="73463C3F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Редки:</w:t>
      </w:r>
      <w:r w:rsidRPr="004E0AE8">
        <w:rPr>
          <w:rFonts w:eastAsia="Times New Roman" w:cs="Arial"/>
          <w:color w:val="000000"/>
          <w:lang w:val="en-US" w:eastAsia="bg-BG"/>
        </w:rPr>
        <w:t xml:space="preserve"> </w:t>
      </w:r>
      <w:r w:rsidRPr="004E0AE8">
        <w:rPr>
          <w:rFonts w:eastAsia="Times New Roman" w:cs="Arial"/>
          <w:color w:val="000000"/>
          <w:lang w:eastAsia="bg-BG"/>
        </w:rPr>
        <w:t>(≥ 1/10 000 до &lt; 1/1000)</w:t>
      </w:r>
    </w:p>
    <w:p w14:paraId="558153D9" w14:textId="10B3B4F5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Много редки: (&lt; 1/10 000)</w:t>
      </w:r>
    </w:p>
    <w:p w14:paraId="5D7A976D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С неизвестна честота: (честотата не може да се определи от наличните данни)</w:t>
      </w:r>
    </w:p>
    <w:p w14:paraId="669D186C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3102A82" w14:textId="5931CD48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Нарушения на метаболизма и храненето</w:t>
      </w:r>
    </w:p>
    <w:p w14:paraId="10504260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i/>
          <w:iCs/>
          <w:color w:val="000000"/>
          <w:lang w:eastAsia="bg-BG"/>
        </w:rPr>
        <w:t>Много редки:</w:t>
      </w:r>
    </w:p>
    <w:p w14:paraId="26F501AA" w14:textId="77777777" w:rsidR="004E0AE8" w:rsidRPr="004E0AE8" w:rsidRDefault="004E0AE8" w:rsidP="004E0AE8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лактатна ацидоза (вижте точка 4.4);</w:t>
      </w:r>
    </w:p>
    <w:p w14:paraId="0B8B0693" w14:textId="3252A0F1" w:rsidR="004E0AE8" w:rsidRPr="004E0AE8" w:rsidRDefault="004E0AE8" w:rsidP="004E0AE8">
      <w:pPr>
        <w:pStyle w:val="ListParagraph"/>
        <w:numPr>
          <w:ilvl w:val="0"/>
          <w:numId w:val="2"/>
        </w:num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понижена абсорбция на витамин В</w:t>
      </w:r>
      <w:r w:rsidRPr="004E0AE8">
        <w:rPr>
          <w:rFonts w:eastAsia="Times New Roman" w:cs="Arial"/>
          <w:color w:val="000000"/>
          <w:vertAlign w:val="subscript"/>
          <w:lang w:eastAsia="bg-BG"/>
        </w:rPr>
        <w:t>12</w:t>
      </w:r>
      <w:r w:rsidRPr="004E0AE8">
        <w:rPr>
          <w:rFonts w:eastAsia="Times New Roman" w:cs="Arial"/>
          <w:color w:val="000000"/>
          <w:lang w:eastAsia="bg-BG"/>
        </w:rPr>
        <w:t xml:space="preserve"> с понижени серумни нива при продължителна употреба на метформин. Тази етиология е препоръчително да се има предвид, ако пациентът страда от мегалобластна анемия.</w:t>
      </w:r>
    </w:p>
    <w:p w14:paraId="5A60CA19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F87F610" w14:textId="204D8E82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Нарушения на нервната система</w:t>
      </w:r>
    </w:p>
    <w:p w14:paraId="4DF7BAA6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i/>
          <w:iCs/>
          <w:color w:val="000000"/>
          <w:lang w:eastAsia="bg-BG"/>
        </w:rPr>
        <w:t>Чести:</w:t>
      </w:r>
      <w:r w:rsidRPr="004E0AE8">
        <w:rPr>
          <w:rFonts w:eastAsia="Times New Roman" w:cs="Arial"/>
          <w:color w:val="000000"/>
          <w:lang w:eastAsia="bg-BG"/>
        </w:rPr>
        <w:t xml:space="preserve"> нарушения на вкуса</w:t>
      </w:r>
    </w:p>
    <w:p w14:paraId="0721AA55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3C04F71" w14:textId="4E35F5C0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Стомашно-чревни нарушения</w:t>
      </w:r>
    </w:p>
    <w:p w14:paraId="73B4736C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i/>
          <w:iCs/>
          <w:color w:val="000000"/>
          <w:lang w:eastAsia="bg-BG"/>
        </w:rPr>
        <w:t>Много чести:</w:t>
      </w:r>
      <w:r w:rsidRPr="004E0AE8">
        <w:rPr>
          <w:rFonts w:eastAsia="Times New Roman" w:cs="Arial"/>
          <w:color w:val="000000"/>
          <w:lang w:eastAsia="bg-BG"/>
        </w:rPr>
        <w:t xml:space="preserve"> стомашно-чревни нарушения като гадене, повръщане, диария, коремна болка и загуба на апетит. Тези нежелани ефекти се наблюдават най-често в началото на лечението и в повечето случаи отшумяват спонтанно. За да се профилактират, се препоръчва метформин да се приема 2 или 3 пъти дневно по време или след хранене. Постепенното повишение на дозата също може да подобри стомашно-чревната поносимост.</w:t>
      </w:r>
    </w:p>
    <w:p w14:paraId="0635E439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CBCDA1D" w14:textId="319041B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Хепато-билиарни нарушения</w:t>
      </w:r>
    </w:p>
    <w:p w14:paraId="24086952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i/>
          <w:iCs/>
          <w:color w:val="000000"/>
          <w:lang w:eastAsia="bg-BG"/>
        </w:rPr>
        <w:t>Много редки:</w:t>
      </w:r>
      <w:r w:rsidRPr="004E0AE8">
        <w:rPr>
          <w:rFonts w:eastAsia="Times New Roman" w:cs="Arial"/>
          <w:color w:val="000000"/>
          <w:lang w:eastAsia="bg-BG"/>
        </w:rPr>
        <w:t xml:space="preserve"> изолирани съобщения за отклонения в изследванията на чернодробната фунцкия </w:t>
      </w:r>
    </w:p>
    <w:p w14:paraId="790FF5E0" w14:textId="5C8110E8" w:rsidR="004E0AE8" w:rsidRPr="004E0AE8" w:rsidRDefault="004E0AE8" w:rsidP="004E0AE8">
      <w:pPr>
        <w:rPr>
          <w:rFonts w:eastAsia="Times New Roman" w:cs="Arial"/>
          <w:color w:val="000000"/>
          <w:lang w:eastAsia="bg-BG"/>
        </w:rPr>
      </w:pPr>
      <w:r w:rsidRPr="004E0AE8">
        <w:rPr>
          <w:rFonts w:eastAsia="Times New Roman" w:cs="Arial"/>
          <w:color w:val="000000"/>
          <w:lang w:eastAsia="bg-BG"/>
        </w:rPr>
        <w:t>или хепатит, които преминават след преустановяване на лечението с метоформинов</w:t>
      </w:r>
    </w:p>
    <w:p w14:paraId="5E7288F1" w14:textId="6AFC7EA2" w:rsidR="004E0AE8" w:rsidRPr="004E0AE8" w:rsidRDefault="004E0AE8" w:rsidP="004E0AE8">
      <w:pPr>
        <w:rPr>
          <w:rFonts w:eastAsia="Times New Roman" w:cs="Arial"/>
          <w:color w:val="000000"/>
          <w:lang w:eastAsia="bg-BG"/>
        </w:rPr>
      </w:pPr>
    </w:p>
    <w:p w14:paraId="5DFA2D4F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Нарушения на кожата и подкожната тъкан</w:t>
      </w:r>
    </w:p>
    <w:p w14:paraId="61A90830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i/>
          <w:iCs/>
          <w:color w:val="000000"/>
          <w:lang w:eastAsia="bg-BG"/>
        </w:rPr>
        <w:t>Много редки:</w:t>
      </w:r>
      <w:r w:rsidRPr="004E0AE8">
        <w:rPr>
          <w:rFonts w:eastAsia="Times New Roman" w:cs="Arial"/>
          <w:color w:val="000000"/>
          <w:lang w:eastAsia="bg-BG"/>
        </w:rPr>
        <w:t xml:space="preserve"> кожни реакции като еритема, пруритус, уртикария.</w:t>
      </w:r>
    </w:p>
    <w:p w14:paraId="2E659A97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CAC0722" w14:textId="6D59F053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5E9A7A31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В публикуваните и постмаркетингови данни, както и в контролирани клинични проучвания в ограничена педиатрична популация на възраст от 10 до 16 години, лекувана в продължение на една година, докладваните нежеланите събития са подобни по вид и тежест на тези, съобщавани при възрастни пациенти.</w:t>
      </w:r>
    </w:p>
    <w:p w14:paraId="0CE1B0EA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74E97A5" w14:textId="0AE84D14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4D1C79B8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национална система за съобщаване:</w:t>
      </w:r>
    </w:p>
    <w:p w14:paraId="58766D72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lastRenderedPageBreak/>
        <w:t>Изпълнителна агенция по лекарствата</w:t>
      </w:r>
    </w:p>
    <w:p w14:paraId="525193F1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ул. „Дамян Груев” № 8</w:t>
      </w:r>
    </w:p>
    <w:p w14:paraId="1EA5631D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1303 София</w:t>
      </w:r>
    </w:p>
    <w:p w14:paraId="49D80BDA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Тел.:+359 28903417</w:t>
      </w:r>
    </w:p>
    <w:p w14:paraId="004B8C81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 xml:space="preserve">уебсайт: </w:t>
      </w:r>
      <w:r w:rsidRPr="004E0AE8">
        <w:rPr>
          <w:rFonts w:eastAsia="Times New Roman" w:cs="Arial"/>
        </w:rPr>
        <w:fldChar w:fldCharType="begin"/>
      </w:r>
      <w:r w:rsidRPr="004E0AE8">
        <w:rPr>
          <w:rFonts w:eastAsia="Times New Roman" w:cs="Arial"/>
        </w:rPr>
        <w:instrText xml:space="preserve"> HYPERLINK "http://www.bda.bg" </w:instrText>
      </w:r>
      <w:r w:rsidRPr="004E0AE8">
        <w:rPr>
          <w:rFonts w:eastAsia="Times New Roman" w:cs="Arial"/>
        </w:rPr>
      </w:r>
      <w:r w:rsidRPr="004E0AE8">
        <w:rPr>
          <w:rFonts w:eastAsia="Times New Roman" w:cs="Arial"/>
        </w:rPr>
        <w:fldChar w:fldCharType="separate"/>
      </w:r>
      <w:r w:rsidRPr="004E0AE8">
        <w:rPr>
          <w:rFonts w:eastAsia="Times New Roman" w:cs="Arial"/>
          <w:color w:val="000000"/>
          <w:lang w:val="en-US"/>
        </w:rPr>
        <w:t>www</w:t>
      </w:r>
      <w:r w:rsidRPr="004E0AE8">
        <w:rPr>
          <w:rFonts w:eastAsia="Times New Roman" w:cs="Arial"/>
          <w:color w:val="000000"/>
          <w:lang w:val="ru-RU"/>
        </w:rPr>
        <w:t>.</w:t>
      </w:r>
      <w:proofErr w:type="spellStart"/>
      <w:r w:rsidRPr="004E0AE8">
        <w:rPr>
          <w:rFonts w:eastAsia="Times New Roman" w:cs="Arial"/>
          <w:color w:val="000000"/>
          <w:lang w:val="en-US"/>
        </w:rPr>
        <w:t>bda</w:t>
      </w:r>
      <w:proofErr w:type="spellEnd"/>
      <w:r w:rsidRPr="004E0AE8">
        <w:rPr>
          <w:rFonts w:eastAsia="Times New Roman" w:cs="Arial"/>
          <w:color w:val="000000"/>
          <w:lang w:val="ru-RU"/>
        </w:rPr>
        <w:t>.</w:t>
      </w:r>
      <w:proofErr w:type="spellStart"/>
      <w:r w:rsidRPr="004E0AE8">
        <w:rPr>
          <w:rFonts w:eastAsia="Times New Roman" w:cs="Arial"/>
          <w:color w:val="000000"/>
          <w:lang w:val="en-US"/>
        </w:rPr>
        <w:t>bg</w:t>
      </w:r>
      <w:proofErr w:type="spellEnd"/>
      <w:r w:rsidRPr="004E0AE8">
        <w:rPr>
          <w:rFonts w:eastAsia="Times New Roman" w:cs="Arial"/>
        </w:rPr>
        <w:fldChar w:fldCharType="end"/>
      </w:r>
    </w:p>
    <w:p w14:paraId="7392FB11" w14:textId="77777777" w:rsidR="004E0AE8" w:rsidRPr="004E0AE8" w:rsidRDefault="004E0AE8" w:rsidP="004E0AE8"/>
    <w:p w14:paraId="07687653" w14:textId="1FE95967" w:rsidR="00DF4C8E" w:rsidRDefault="002C50EE" w:rsidP="00F44498">
      <w:pPr>
        <w:pStyle w:val="Heading2"/>
      </w:pPr>
      <w:r>
        <w:t>4.9. Предозиране</w:t>
      </w:r>
    </w:p>
    <w:p w14:paraId="56179171" w14:textId="613391C3" w:rsidR="004E0AE8" w:rsidRDefault="004E0AE8" w:rsidP="004E0AE8"/>
    <w:p w14:paraId="10A385D0" w14:textId="77777777" w:rsidR="004E0AE8" w:rsidRPr="004E0AE8" w:rsidRDefault="004E0AE8" w:rsidP="004E0AE8">
      <w:pPr>
        <w:rPr>
          <w:sz w:val="24"/>
          <w:szCs w:val="24"/>
        </w:rPr>
      </w:pPr>
      <w:r w:rsidRPr="004E0AE8">
        <w:rPr>
          <w:lang w:eastAsia="bg-BG"/>
        </w:rPr>
        <w:t xml:space="preserve">Хипогликемия не е наблюдавана при дози на метформинов хидрохлорид до 85 </w:t>
      </w:r>
      <w:r w:rsidRPr="004E0AE8">
        <w:rPr>
          <w:lang w:val="en-US"/>
        </w:rPr>
        <w:t>g</w:t>
      </w:r>
      <w:r w:rsidRPr="004E0AE8">
        <w:rPr>
          <w:lang w:val="ru-RU"/>
        </w:rPr>
        <w:t xml:space="preserve">, </w:t>
      </w:r>
      <w:r w:rsidRPr="004E0AE8">
        <w:rPr>
          <w:lang w:eastAsia="bg-BG"/>
        </w:rPr>
        <w:t>въпреки че в такива случаи е наблюдавана лактатна ацидоза. Значително предозиране с метформин или съпътстващи рискови фактори могат да доведат до лактатна ацидоза. Лактатната ацидоза е спешно състояние и трябва да се лекува в болница. Най-ефективният начин за отстраняване на лактат и метформин е хемодиализата.</w:t>
      </w:r>
    </w:p>
    <w:p w14:paraId="126BCD65" w14:textId="77777777" w:rsidR="004E0AE8" w:rsidRPr="004E0AE8" w:rsidRDefault="004E0AE8" w:rsidP="004E0AE8"/>
    <w:p w14:paraId="02081B24" w14:textId="1F46E296" w:rsidR="00395555" w:rsidRPr="00395555" w:rsidRDefault="002C50EE" w:rsidP="008A6AF2">
      <w:pPr>
        <w:pStyle w:val="Heading1"/>
      </w:pPr>
      <w:r>
        <w:t>5. ФАРМАКОЛОГИЧНИ СВОЙСТВА</w:t>
      </w:r>
    </w:p>
    <w:p w14:paraId="4D47A490" w14:textId="6C513030" w:rsidR="00DF4C8E" w:rsidRDefault="002C50EE" w:rsidP="00F44498">
      <w:pPr>
        <w:pStyle w:val="Heading2"/>
      </w:pPr>
      <w:r>
        <w:t>5.1. Фармакодинамични свойства</w:t>
      </w:r>
    </w:p>
    <w:p w14:paraId="01B2810D" w14:textId="380D7A82" w:rsidR="004E0AE8" w:rsidRDefault="004E0AE8" w:rsidP="004E0AE8"/>
    <w:p w14:paraId="44312994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Фармакотерапевтична група: лекарствени продукти, понижаващи нивото на кръвната захар, с изключение на инсулин. Бигваниди</w:t>
      </w:r>
    </w:p>
    <w:p w14:paraId="2D14E0A8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АТС код: А10ВА02</w:t>
      </w:r>
    </w:p>
    <w:p w14:paraId="1C1A8BA3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4FB4C93" w14:textId="635056B0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Механизъм на действие</w:t>
      </w:r>
    </w:p>
    <w:p w14:paraId="58672025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7B55815" w14:textId="416B9CB2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Метформин действа чрез три механизма:</w:t>
      </w:r>
    </w:p>
    <w:p w14:paraId="5300C557" w14:textId="190019F3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E0AE8">
        <w:rPr>
          <w:rFonts w:eastAsia="Times New Roman" w:cs="Arial"/>
          <w:color w:val="000000"/>
          <w:lang w:val="ru-RU" w:eastAsia="bg-BG"/>
        </w:rPr>
        <w:t>1.</w:t>
      </w:r>
      <w:r w:rsidRPr="004E0AE8">
        <w:rPr>
          <w:rFonts w:eastAsia="Times New Roman" w:cs="Arial"/>
          <w:color w:val="000000"/>
          <w:lang w:eastAsia="bg-BG"/>
        </w:rPr>
        <w:t xml:space="preserve">Намалява образуването </w:t>
      </w:r>
      <w:proofErr w:type="gramStart"/>
      <w:r w:rsidRPr="004E0AE8">
        <w:rPr>
          <w:rFonts w:eastAsia="Times New Roman" w:cs="Arial"/>
          <w:color w:val="000000"/>
          <w:lang w:eastAsia="bg-BG"/>
        </w:rPr>
        <w:t>на глюкоза</w:t>
      </w:r>
      <w:proofErr w:type="gramEnd"/>
      <w:r w:rsidRPr="004E0AE8">
        <w:rPr>
          <w:rFonts w:eastAsia="Times New Roman" w:cs="Arial"/>
          <w:color w:val="000000"/>
          <w:lang w:eastAsia="bg-BG"/>
        </w:rPr>
        <w:t xml:space="preserve"> в черния дроб, като инхибира глюконеогенезата и гликогенолизата.</w:t>
      </w:r>
    </w:p>
    <w:p w14:paraId="5F9F7EC8" w14:textId="2298539D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E0AE8">
        <w:rPr>
          <w:rFonts w:eastAsia="Times New Roman" w:cs="Arial"/>
          <w:color w:val="000000"/>
          <w:lang w:val="ru-RU" w:eastAsia="bg-BG"/>
        </w:rPr>
        <w:t>2.</w:t>
      </w:r>
      <w:r w:rsidRPr="004E0AE8">
        <w:rPr>
          <w:rFonts w:eastAsia="Times New Roman" w:cs="Arial"/>
          <w:color w:val="000000"/>
          <w:lang w:eastAsia="bg-BG"/>
        </w:rPr>
        <w:t>Подобрява периферното поемане и усвояване на глюкозата от мускулите, като повишава чувствителността към инсулин.</w:t>
      </w:r>
    </w:p>
    <w:p w14:paraId="04CFB93E" w14:textId="6518E100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4E0AE8">
        <w:rPr>
          <w:rFonts w:eastAsia="Times New Roman" w:cs="Arial"/>
          <w:color w:val="000000"/>
          <w:lang w:val="ru-RU" w:eastAsia="bg-BG"/>
        </w:rPr>
        <w:t>3.</w:t>
      </w:r>
      <w:r w:rsidRPr="004E0AE8">
        <w:rPr>
          <w:rFonts w:eastAsia="Times New Roman" w:cs="Arial"/>
          <w:color w:val="000000"/>
          <w:lang w:eastAsia="bg-BG"/>
        </w:rPr>
        <w:t>Забавя абсорбцията на глюкозата в червата</w:t>
      </w:r>
      <w:bookmarkStart w:id="1" w:name="bookmark0"/>
      <w:bookmarkEnd w:id="1"/>
    </w:p>
    <w:p w14:paraId="126EE531" w14:textId="77777777" w:rsidR="004E0AE8" w:rsidRPr="004E0AE8" w:rsidRDefault="004E0AE8" w:rsidP="004E0AE8">
      <w:pPr>
        <w:rPr>
          <w:rFonts w:eastAsia="Times New Roman" w:cs="Arial"/>
        </w:rPr>
      </w:pPr>
    </w:p>
    <w:p w14:paraId="78219C33" w14:textId="32752FE1" w:rsidR="004E0AE8" w:rsidRPr="004E0AE8" w:rsidRDefault="004E0AE8" w:rsidP="004E0AE8">
      <w:pPr>
        <w:rPr>
          <w:rFonts w:eastAsia="Times New Roman" w:cs="Arial"/>
          <w:color w:val="000000"/>
          <w:lang w:eastAsia="bg-BG"/>
        </w:rPr>
      </w:pPr>
      <w:r w:rsidRPr="004E0AE8">
        <w:rPr>
          <w:rFonts w:eastAsia="Times New Roman" w:cs="Arial"/>
          <w:color w:val="000000"/>
          <w:lang w:eastAsia="bg-BG"/>
        </w:rPr>
        <w:t>Метформин стимулира вътреклетъчната синтеза на гликоген, като въздейства върху гликоген- синтетазата.</w:t>
      </w:r>
    </w:p>
    <w:p w14:paraId="54BA8BED" w14:textId="1396DDFD" w:rsidR="004E0AE8" w:rsidRPr="004E0AE8" w:rsidRDefault="004E0AE8" w:rsidP="004E0AE8">
      <w:pPr>
        <w:rPr>
          <w:rFonts w:eastAsia="Times New Roman" w:cs="Arial"/>
          <w:color w:val="000000"/>
          <w:lang w:eastAsia="bg-BG"/>
        </w:rPr>
      </w:pPr>
    </w:p>
    <w:p w14:paraId="42BD9F9B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 xml:space="preserve">Метформин повишава транспортния капацитет на всички видове мембранни преносители на глюкозата </w:t>
      </w:r>
      <w:r w:rsidRPr="004E0AE8">
        <w:rPr>
          <w:rFonts w:eastAsia="Times New Roman" w:cs="Arial"/>
          <w:color w:val="000000"/>
          <w:lang w:val="ru-RU"/>
        </w:rPr>
        <w:t>(</w:t>
      </w:r>
      <w:r w:rsidRPr="004E0AE8">
        <w:rPr>
          <w:rFonts w:eastAsia="Times New Roman" w:cs="Arial"/>
          <w:color w:val="000000"/>
          <w:lang w:val="en-US"/>
        </w:rPr>
        <w:t>GLUT</w:t>
      </w:r>
      <w:r w:rsidRPr="004E0AE8">
        <w:rPr>
          <w:rFonts w:eastAsia="Times New Roman" w:cs="Arial"/>
          <w:color w:val="000000"/>
          <w:lang w:val="ru-RU"/>
        </w:rPr>
        <w:t xml:space="preserve">), </w:t>
      </w:r>
      <w:r w:rsidRPr="004E0AE8">
        <w:rPr>
          <w:rFonts w:eastAsia="Times New Roman" w:cs="Arial"/>
          <w:color w:val="000000"/>
          <w:lang w:eastAsia="bg-BG"/>
        </w:rPr>
        <w:t>известни досега.</w:t>
      </w:r>
    </w:p>
    <w:p w14:paraId="153BE847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FA0DA71" w14:textId="18E145B5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Фармакодинамични ефекти</w:t>
      </w:r>
    </w:p>
    <w:p w14:paraId="6B39A44B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8E918C9" w14:textId="364AB61F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 xml:space="preserve">Метформин е бигванид с антихипергликемичен ефект, понижаващ както базалната, така и постпрандиалната кръвна захар. Той не стимулира секрецията на инсулин и поради това не води до хипогликемия. При хора, независимо от действието си върху кръвната захар, метформин оказва благоприятни ефекти върху липидния метаболизъм. Това е демонстрирано с терапевтични дози в контролирани клинични проучвания със средна или голяма продължителност: метформин понижава нивата на общия холестерол, </w:t>
      </w:r>
      <w:r w:rsidRPr="004E0AE8">
        <w:rPr>
          <w:rFonts w:eastAsia="Times New Roman" w:cs="Arial"/>
          <w:color w:val="000000"/>
          <w:lang w:val="en-US"/>
        </w:rPr>
        <w:t>LDL</w:t>
      </w:r>
      <w:r w:rsidRPr="004E0AE8">
        <w:rPr>
          <w:rFonts w:eastAsia="Times New Roman" w:cs="Arial"/>
          <w:color w:val="000000"/>
          <w:lang w:eastAsia="bg-BG"/>
        </w:rPr>
        <w:t>-холестерола и триглицеридите. В клинични проучвания употребата на метформин е свързана както със стабилно телесно тегло, така и с умерена загуба на тегло.</w:t>
      </w:r>
    </w:p>
    <w:p w14:paraId="21DACDF2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168BB0E" w14:textId="1D60B3B4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lastRenderedPageBreak/>
        <w:t>Клинична ефективност и безопасност</w:t>
      </w:r>
    </w:p>
    <w:p w14:paraId="29DCA802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 xml:space="preserve">При новодиагностицирани пациенти с диабет тип 2 с изходни нива на </w:t>
      </w:r>
      <w:proofErr w:type="spellStart"/>
      <w:r w:rsidRPr="004E0AE8">
        <w:rPr>
          <w:rFonts w:eastAsia="Times New Roman" w:cs="Arial"/>
          <w:color w:val="000000"/>
          <w:lang w:val="en-US"/>
        </w:rPr>
        <w:t>HbAt</w:t>
      </w:r>
      <w:r w:rsidRPr="004E0AE8">
        <w:rPr>
          <w:rFonts w:eastAsia="Times New Roman" w:cs="Arial"/>
          <w:color w:val="000000"/>
          <w:vertAlign w:val="subscript"/>
          <w:lang w:val="en-US"/>
        </w:rPr>
        <w:t>c</w:t>
      </w:r>
      <w:proofErr w:type="spellEnd"/>
      <w:r w:rsidRPr="004E0AE8">
        <w:rPr>
          <w:rFonts w:eastAsia="Times New Roman" w:cs="Arial"/>
          <w:color w:val="000000"/>
          <w:lang w:val="ru-RU"/>
        </w:rPr>
        <w:t xml:space="preserve"> </w:t>
      </w:r>
      <w:r w:rsidRPr="004E0AE8">
        <w:rPr>
          <w:rFonts w:eastAsia="Times New Roman" w:cs="Arial"/>
          <w:color w:val="000000"/>
          <w:lang w:eastAsia="bg-BG"/>
        </w:rPr>
        <w:t xml:space="preserve">между 7-9%, метформин намалява нивата на </w:t>
      </w:r>
      <w:proofErr w:type="spellStart"/>
      <w:r w:rsidRPr="004E0AE8">
        <w:rPr>
          <w:rFonts w:eastAsia="Times New Roman" w:cs="Arial"/>
          <w:color w:val="000000"/>
          <w:lang w:val="en-US"/>
        </w:rPr>
        <w:t>HbA</w:t>
      </w:r>
      <w:proofErr w:type="spellEnd"/>
      <w:r w:rsidRPr="004E0AE8">
        <w:rPr>
          <w:rFonts w:eastAsia="Times New Roman" w:cs="Arial"/>
          <w:color w:val="000000"/>
          <w:vertAlign w:val="subscript"/>
          <w:lang w:val="ru-RU"/>
        </w:rPr>
        <w:t>1</w:t>
      </w:r>
      <w:r w:rsidRPr="004E0AE8">
        <w:rPr>
          <w:rFonts w:eastAsia="Times New Roman" w:cs="Arial"/>
          <w:color w:val="000000"/>
          <w:vertAlign w:val="subscript"/>
          <w:lang w:val="en-US"/>
        </w:rPr>
        <w:t>c</w:t>
      </w:r>
      <w:r w:rsidRPr="004E0AE8">
        <w:rPr>
          <w:rFonts w:eastAsia="Times New Roman" w:cs="Arial"/>
          <w:color w:val="000000"/>
          <w:lang w:val="ru-RU"/>
        </w:rPr>
        <w:t xml:space="preserve"> </w:t>
      </w:r>
      <w:r w:rsidRPr="004E0AE8">
        <w:rPr>
          <w:rFonts w:eastAsia="Times New Roman" w:cs="Arial"/>
          <w:color w:val="000000"/>
          <w:lang w:eastAsia="bg-BG"/>
        </w:rPr>
        <w:t xml:space="preserve">с около 1,1-1,5% за период от 2 години. Намалението на глюкозата на гладно за същия период е между 1,7 и 2,4 </w:t>
      </w:r>
      <w:proofErr w:type="spellStart"/>
      <w:r w:rsidRPr="004E0AE8">
        <w:rPr>
          <w:rFonts w:eastAsia="Times New Roman" w:cs="Arial"/>
          <w:color w:val="000000"/>
          <w:lang w:val="en-US"/>
        </w:rPr>
        <w:t>mmol</w:t>
      </w:r>
      <w:proofErr w:type="spellEnd"/>
      <w:r w:rsidRPr="004E0AE8">
        <w:rPr>
          <w:rFonts w:eastAsia="Times New Roman" w:cs="Arial"/>
          <w:color w:val="000000"/>
          <w:lang w:val="ru-RU"/>
        </w:rPr>
        <w:t xml:space="preserve">/1 </w:t>
      </w:r>
      <w:r w:rsidRPr="004E0AE8">
        <w:rPr>
          <w:rFonts w:eastAsia="Times New Roman" w:cs="Arial"/>
          <w:color w:val="000000"/>
          <w:lang w:eastAsia="bg-BG"/>
        </w:rPr>
        <w:t xml:space="preserve">(30-44 </w:t>
      </w:r>
      <w:r w:rsidRPr="004E0AE8">
        <w:rPr>
          <w:rFonts w:eastAsia="Times New Roman" w:cs="Arial"/>
          <w:color w:val="000000"/>
          <w:lang w:val="en-US"/>
        </w:rPr>
        <w:t>mg</w:t>
      </w:r>
      <w:r w:rsidRPr="004E0AE8">
        <w:rPr>
          <w:rFonts w:eastAsia="Times New Roman" w:cs="Arial"/>
          <w:color w:val="000000"/>
          <w:lang w:val="ru-RU"/>
        </w:rPr>
        <w:t>/</w:t>
      </w:r>
      <w:r w:rsidRPr="004E0AE8">
        <w:rPr>
          <w:rFonts w:eastAsia="Times New Roman" w:cs="Arial"/>
          <w:color w:val="000000"/>
          <w:lang w:val="en-US"/>
        </w:rPr>
        <w:t>dl</w:t>
      </w:r>
      <w:r w:rsidRPr="004E0AE8">
        <w:rPr>
          <w:rFonts w:eastAsia="Times New Roman" w:cs="Arial"/>
          <w:color w:val="000000"/>
          <w:lang w:val="ru-RU"/>
        </w:rPr>
        <w:t>).</w:t>
      </w:r>
    </w:p>
    <w:p w14:paraId="51B09E21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12616BE" w14:textId="621B7050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Лечението с метформин намалява риска от макроваскуларни дългосрочни усложнения при възрастни пациенти с наднормено тегло и диабет тип 2.</w:t>
      </w:r>
    </w:p>
    <w:p w14:paraId="7FA43D59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D4336F9" w14:textId="7FAF357F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 xml:space="preserve">Проспективно рандомизирано проучване </w:t>
      </w:r>
      <w:r w:rsidRPr="004E0AE8">
        <w:rPr>
          <w:rFonts w:eastAsia="Times New Roman" w:cs="Arial"/>
          <w:color w:val="000000"/>
          <w:lang w:val="ru-RU"/>
        </w:rPr>
        <w:t>(</w:t>
      </w:r>
      <w:r w:rsidRPr="004E0AE8">
        <w:rPr>
          <w:rFonts w:eastAsia="Times New Roman" w:cs="Arial"/>
          <w:color w:val="000000"/>
          <w:lang w:val="en-US"/>
        </w:rPr>
        <w:t>UKPDS</w:t>
      </w:r>
      <w:r w:rsidRPr="004E0AE8">
        <w:rPr>
          <w:rFonts w:eastAsia="Times New Roman" w:cs="Arial"/>
          <w:color w:val="000000"/>
          <w:lang w:val="ru-RU"/>
        </w:rPr>
        <w:t xml:space="preserve">) </w:t>
      </w:r>
      <w:r w:rsidRPr="004E0AE8">
        <w:rPr>
          <w:rFonts w:eastAsia="Times New Roman" w:cs="Arial"/>
          <w:color w:val="000000"/>
          <w:lang w:eastAsia="bg-BG"/>
        </w:rPr>
        <w:t>потвърждава дългосрочната полза от интензифицирания контрол на кръвната захар при възрастни пациенти с диабет тип 2:</w:t>
      </w:r>
    </w:p>
    <w:p w14:paraId="56E10E9F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6A0DCA4" w14:textId="5AD2750B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Анализът на резултатите при пациенти с наднормено тегло, лекувани с метформинов хидрохлорид след неуспех от приложение само на диета, показват:</w:t>
      </w:r>
    </w:p>
    <w:p w14:paraId="6EB6E34D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43D4A48" w14:textId="7DFBB976" w:rsidR="004E0AE8" w:rsidRPr="004E0AE8" w:rsidRDefault="004E0AE8" w:rsidP="004E0AE8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сигнификантно намаление на абсолютния риск за всички усложнения, свързани с диабета в групата, лекувана с метформинов хидрохлорид (29,8 инцидента/1000 пациентогодини) спрямо приложение само на диета (43,3 инцидента/1000 пациентогодини), р=0,0023 и спрямо комбинирани групи - сулфанилурейни и монотерапия с инсулин (40,1 инцидента/1000 пациентогодини), р=0,0034;</w:t>
      </w:r>
    </w:p>
    <w:p w14:paraId="31463F2C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E5789AB" w14:textId="5C2D78A9" w:rsidR="004E0AE8" w:rsidRPr="004E0AE8" w:rsidRDefault="004E0AE8" w:rsidP="004E0AE8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сигнификантно намаление на абсолютния риск за смъртност, причинена от диабет: метформинов хидрохлорид 7,5 инцидента/1000 пациентогодини, а само диета - 12,7 инцидента/1000 пациентогодини, р=0,017;</w:t>
      </w:r>
    </w:p>
    <w:p w14:paraId="07FE5251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F4932F8" w14:textId="6E1F9265" w:rsidR="004E0AE8" w:rsidRPr="004E0AE8" w:rsidRDefault="004E0AE8" w:rsidP="004E0AE8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сигнификантно намаление на абсолютния риск за обща смъртност: метформинов хидрохлорид 13,5 инцидента/1000 пациентогодини спрямо само диета - 20,6 инцидента/1000 пациентогодини (р=0,011) и спрямо комбинирани групи - сулфанилурейни и монотерапия с инсулин - 18,9 инцидента/1000 пациентогодини (р=0,021);</w:t>
      </w:r>
    </w:p>
    <w:p w14:paraId="0F657979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63549BB" w14:textId="78AC91E2" w:rsidR="004E0AE8" w:rsidRPr="004E0AE8" w:rsidRDefault="004E0AE8" w:rsidP="004E0AE8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сигнификантно намаление на абсолютния риск от инфаркт на миокарда: метформинов хидрохлорид 11 инцидента/1000 пациентогодини, само диета - 18 инцидента/1000 пациентогодини (р=0,01).</w:t>
      </w:r>
    </w:p>
    <w:p w14:paraId="1448766A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DFE6038" w14:textId="77777777" w:rsidR="004E0AE8" w:rsidRPr="004E0AE8" w:rsidRDefault="004E0AE8" w:rsidP="004E0AE8">
      <w:pPr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 xml:space="preserve">Десетгодишно проследяване на проучването </w:t>
      </w:r>
      <w:r w:rsidRPr="004E0AE8">
        <w:rPr>
          <w:rFonts w:eastAsia="Times New Roman" w:cs="Arial"/>
          <w:color w:val="000000"/>
          <w:lang w:val="en-US"/>
        </w:rPr>
        <w:t>UKPDS</w:t>
      </w:r>
      <w:r w:rsidRPr="004E0AE8">
        <w:rPr>
          <w:rFonts w:eastAsia="Times New Roman" w:cs="Arial"/>
          <w:color w:val="000000"/>
          <w:lang w:val="ru-RU"/>
        </w:rPr>
        <w:t xml:space="preserve"> </w:t>
      </w:r>
      <w:r w:rsidRPr="004E0AE8">
        <w:rPr>
          <w:rFonts w:eastAsia="Times New Roman" w:cs="Arial"/>
          <w:color w:val="000000"/>
          <w:lang w:eastAsia="bg-BG"/>
        </w:rPr>
        <w:t>показва, че</w:t>
      </w:r>
      <w:r w:rsidRPr="004E0AE8">
        <w:rPr>
          <w:rFonts w:eastAsia="Times New Roman" w:cs="Arial"/>
          <w:color w:val="000000"/>
          <w:lang w:val="ru-RU"/>
        </w:rPr>
        <w:t xml:space="preserve"> </w:t>
      </w:r>
      <w:r w:rsidRPr="004E0AE8">
        <w:rPr>
          <w:rFonts w:eastAsia="Times New Roman" w:cs="Arial"/>
          <w:color w:val="000000"/>
          <w:lang w:eastAsia="bg-BG"/>
        </w:rPr>
        <w:t>тези пациенти, които получават рано лечение с метформин, са имали продължителни ползи в сравнение с тези, които получават метформин след завършването на началното проучване. Сигнификантно намаление</w:t>
      </w:r>
      <w:r w:rsidRPr="004E0AE8">
        <w:rPr>
          <w:rFonts w:eastAsia="Times New Roman" w:cs="Arial"/>
          <w:color w:val="000000"/>
          <w:lang w:val="ru-RU" w:eastAsia="bg-BG"/>
        </w:rPr>
        <w:t xml:space="preserve"> </w:t>
      </w:r>
      <w:r w:rsidRPr="004E0AE8">
        <w:rPr>
          <w:rFonts w:eastAsia="Times New Roman" w:cs="Arial"/>
          <w:color w:val="000000"/>
          <w:lang w:eastAsia="bg-BG"/>
        </w:rPr>
        <w:t>на риска персистира за всяка крайна точка, свързана с диабета (21%, р=0,01), диабет асоциирана смъртност (30%, р=0,01), смърт от всяка причина (27%, р=0,002) и миокарден инфаркт (33%, р=0,005).</w:t>
      </w:r>
    </w:p>
    <w:p w14:paraId="05897A6D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2BE3770" w14:textId="5E3DD7B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Не е доказана полза за клиничния изход при използване на метформинов хидрохлорид като второ средство на избор, в комбинация със сулфонилурейни лекарства.</w:t>
      </w:r>
    </w:p>
    <w:p w14:paraId="1FDE11A2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661772A" w14:textId="062A4D24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t>При диабет тип 1, комбинацията от метформинов хидрохлорид и инсулин е прилагана при определени пациенти, но ползите от това лечение не са официално установени.</w:t>
      </w:r>
    </w:p>
    <w:p w14:paraId="1B5E9542" w14:textId="77777777" w:rsidR="004E0AE8" w:rsidRPr="004E0AE8" w:rsidRDefault="004E0AE8" w:rsidP="004E0AE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42557EE" w14:textId="25572621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57AB35DA" w14:textId="77777777" w:rsidR="004E0AE8" w:rsidRPr="004E0AE8" w:rsidRDefault="004E0AE8" w:rsidP="004E0AE8">
      <w:pPr>
        <w:spacing w:line="240" w:lineRule="auto"/>
        <w:rPr>
          <w:rFonts w:eastAsia="Times New Roman" w:cs="Arial"/>
        </w:rPr>
      </w:pPr>
      <w:r w:rsidRPr="004E0AE8">
        <w:rPr>
          <w:rFonts w:eastAsia="Times New Roman" w:cs="Arial"/>
          <w:color w:val="000000"/>
          <w:lang w:eastAsia="bg-BG"/>
        </w:rPr>
        <w:lastRenderedPageBreak/>
        <w:t>Контролирани клинични проучвания в ограничена педиатрична популация между 10 и 16 години, лекувана в продължение на една година, показват гликемичен контрол подобен на този при възрастни пациенти.</w:t>
      </w:r>
    </w:p>
    <w:p w14:paraId="1FA57023" w14:textId="399B151F" w:rsidR="004E0AE8" w:rsidRPr="004E0AE8" w:rsidRDefault="004E0AE8" w:rsidP="004E0AE8"/>
    <w:p w14:paraId="79643DB7" w14:textId="0D86281F" w:rsidR="00DF4C8E" w:rsidRDefault="002C50EE" w:rsidP="00F44498">
      <w:pPr>
        <w:pStyle w:val="Heading2"/>
      </w:pPr>
      <w:r>
        <w:t>5.2. Фармакокинетични свойства</w:t>
      </w:r>
    </w:p>
    <w:p w14:paraId="6EBDE947" w14:textId="06AB3598" w:rsidR="00AD73B8" w:rsidRDefault="00AD73B8" w:rsidP="00AD73B8"/>
    <w:p w14:paraId="491B8A74" w14:textId="77777777" w:rsidR="00AD73B8" w:rsidRPr="00AD73B8" w:rsidRDefault="00AD73B8" w:rsidP="00AD73B8">
      <w:pPr>
        <w:pStyle w:val="Heading3"/>
        <w:rPr>
          <w:rFonts w:eastAsia="Times New Roman"/>
          <w:sz w:val="28"/>
          <w:u w:val="single"/>
        </w:rPr>
      </w:pPr>
      <w:r w:rsidRPr="00AD73B8">
        <w:rPr>
          <w:rFonts w:eastAsia="Times New Roman"/>
          <w:u w:val="single"/>
          <w:lang w:eastAsia="bg-BG"/>
        </w:rPr>
        <w:t>Абсорбция</w:t>
      </w:r>
    </w:p>
    <w:p w14:paraId="409B56B6" w14:textId="77777777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color w:val="000000"/>
          <w:szCs w:val="20"/>
          <w:lang w:eastAsia="bg-BG"/>
        </w:rPr>
        <w:t>След перорално приложение на метформинов хидрохлорид, Т</w:t>
      </w:r>
      <w:r w:rsidRPr="00AD73B8">
        <w:rPr>
          <w:rFonts w:eastAsia="Times New Roman" w:cs="Arial"/>
          <w:color w:val="000000"/>
          <w:szCs w:val="20"/>
          <w:vertAlign w:val="subscript"/>
          <w:lang w:val="en-US"/>
        </w:rPr>
        <w:t>max</w:t>
      </w:r>
      <w:r w:rsidRPr="00AD73B8">
        <w:rPr>
          <w:rFonts w:eastAsia="Times New Roman" w:cs="Arial"/>
          <w:color w:val="000000"/>
          <w:szCs w:val="20"/>
          <w:lang w:eastAsia="bg-BG"/>
        </w:rPr>
        <w:t xml:space="preserve"> е 2,5 часа. Абсолютната бионаличност на 500 </w:t>
      </w:r>
      <w:r w:rsidRPr="00AD73B8">
        <w:rPr>
          <w:rFonts w:eastAsia="Times New Roman" w:cs="Arial"/>
          <w:color w:val="000000"/>
          <w:szCs w:val="20"/>
          <w:lang w:val="en-US"/>
        </w:rPr>
        <w:t>mg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eastAsia="bg-BG"/>
        </w:rPr>
        <w:t xml:space="preserve">или на 850 </w:t>
      </w:r>
      <w:r w:rsidRPr="00AD73B8">
        <w:rPr>
          <w:rFonts w:eastAsia="Times New Roman" w:cs="Arial"/>
          <w:color w:val="000000"/>
          <w:szCs w:val="20"/>
          <w:lang w:val="en-US"/>
        </w:rPr>
        <w:t>mg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eastAsia="bg-BG"/>
        </w:rPr>
        <w:t>метформинов хидрохлорид е около 50-60 % при здрави индивиди. След перорално приложение, нерезорбираното количество, което се открива във фецеса, е 20-30 %.</w:t>
      </w:r>
    </w:p>
    <w:p w14:paraId="3888A83B" w14:textId="77777777" w:rsidR="00AD73B8" w:rsidRPr="00AD73B8" w:rsidRDefault="00AD73B8" w:rsidP="00AD73B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25A6467" w14:textId="25DA0899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color w:val="000000"/>
          <w:szCs w:val="20"/>
          <w:lang w:eastAsia="bg-BG"/>
        </w:rPr>
        <w:t>След перорално приложение, абсорбцията на метформин се насища и е непълна. Приема се, че фармакокинетиката на абсорбцията на метформин е нелинеарна.</w:t>
      </w:r>
    </w:p>
    <w:p w14:paraId="45D54F2B" w14:textId="77777777" w:rsidR="00AD73B8" w:rsidRPr="00AD73B8" w:rsidRDefault="00AD73B8" w:rsidP="00AD73B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0CA868F" w14:textId="6DAAA052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color w:val="000000"/>
          <w:szCs w:val="20"/>
          <w:lang w:eastAsia="bg-BG"/>
        </w:rPr>
        <w:t xml:space="preserve">При обичайни дози и дозови схеми на метформинов хидрохлорид, стабилни плазмени концентрации </w:t>
      </w:r>
      <w:r w:rsidRPr="00AD73B8">
        <w:rPr>
          <w:rFonts w:eastAsia="Times New Roman" w:cs="Arial"/>
          <w:color w:val="000000"/>
          <w:szCs w:val="20"/>
          <w:lang w:val="ru-RU"/>
        </w:rPr>
        <w:t>(</w:t>
      </w:r>
      <w:r w:rsidRPr="00AD73B8">
        <w:rPr>
          <w:rFonts w:eastAsia="Times New Roman" w:cs="Arial"/>
          <w:color w:val="000000"/>
          <w:szCs w:val="20"/>
          <w:lang w:val="en-US"/>
        </w:rPr>
        <w:t>steady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val="en-US"/>
        </w:rPr>
        <w:t>state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D73B8">
        <w:rPr>
          <w:rFonts w:eastAsia="Times New Roman" w:cs="Arial"/>
          <w:color w:val="000000"/>
          <w:szCs w:val="20"/>
          <w:lang w:eastAsia="bg-BG"/>
        </w:rPr>
        <w:t>се постигат в рамките на 24-48 часа и по принцип са под 1 μ</w:t>
      </w:r>
      <w:r w:rsidRPr="00AD73B8">
        <w:rPr>
          <w:rFonts w:eastAsia="Times New Roman" w:cs="Arial"/>
          <w:color w:val="000000"/>
          <w:szCs w:val="20"/>
          <w:lang w:val="en-US"/>
        </w:rPr>
        <w:t>g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/</w:t>
      </w:r>
      <w:r w:rsidRPr="00AD73B8">
        <w:rPr>
          <w:rFonts w:eastAsia="Times New Roman" w:cs="Arial"/>
          <w:color w:val="000000"/>
          <w:szCs w:val="20"/>
          <w:lang w:val="en-US"/>
        </w:rPr>
        <w:t>ml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. </w:t>
      </w:r>
      <w:r w:rsidRPr="00AD73B8">
        <w:rPr>
          <w:rFonts w:eastAsia="Times New Roman" w:cs="Arial"/>
          <w:color w:val="000000"/>
          <w:szCs w:val="20"/>
          <w:lang w:eastAsia="bg-BG"/>
        </w:rPr>
        <w:t>В контролирани клинични проучвания, максималните плазмени концентрации (С</w:t>
      </w:r>
      <w:r w:rsidRPr="00AD73B8">
        <w:rPr>
          <w:rFonts w:eastAsia="Times New Roman" w:cs="Arial"/>
          <w:color w:val="000000"/>
          <w:szCs w:val="20"/>
          <w:vertAlign w:val="subscript"/>
          <w:lang w:val="en-US"/>
        </w:rPr>
        <w:t>max</w:t>
      </w:r>
      <w:r w:rsidRPr="00AD73B8">
        <w:rPr>
          <w:rFonts w:eastAsia="Times New Roman" w:cs="Arial"/>
          <w:color w:val="000000"/>
          <w:szCs w:val="20"/>
          <w:lang w:eastAsia="bg-BG"/>
        </w:rPr>
        <w:t>) на метформин не надвишават 4 μ</w:t>
      </w:r>
      <w:r w:rsidRPr="00AD73B8">
        <w:rPr>
          <w:rFonts w:eastAsia="Times New Roman" w:cs="Arial"/>
          <w:color w:val="000000"/>
          <w:szCs w:val="20"/>
          <w:lang w:val="en-US"/>
        </w:rPr>
        <w:t>g</w:t>
      </w:r>
      <w:r w:rsidRPr="00AD73B8">
        <w:rPr>
          <w:rFonts w:eastAsia="Times New Roman" w:cs="Arial"/>
          <w:color w:val="000000"/>
          <w:szCs w:val="20"/>
          <w:lang w:val="ru-RU"/>
        </w:rPr>
        <w:t>/</w:t>
      </w:r>
      <w:r w:rsidRPr="00AD73B8">
        <w:rPr>
          <w:rFonts w:eastAsia="Times New Roman" w:cs="Arial"/>
          <w:color w:val="000000"/>
          <w:szCs w:val="20"/>
          <w:lang w:val="en-US"/>
        </w:rPr>
        <w:t>ml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, </w:t>
      </w:r>
      <w:r w:rsidRPr="00AD73B8">
        <w:rPr>
          <w:rFonts w:eastAsia="Times New Roman" w:cs="Arial"/>
          <w:color w:val="000000"/>
          <w:szCs w:val="20"/>
          <w:lang w:eastAsia="bg-BG"/>
        </w:rPr>
        <w:t>дори при максимални дози.</w:t>
      </w:r>
    </w:p>
    <w:p w14:paraId="0DB21652" w14:textId="77777777" w:rsidR="00AD73B8" w:rsidRPr="00AD73B8" w:rsidRDefault="00AD73B8" w:rsidP="00AD73B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498C5D5" w14:textId="234AF552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color w:val="000000"/>
          <w:szCs w:val="20"/>
          <w:lang w:eastAsia="bg-BG"/>
        </w:rPr>
        <w:t xml:space="preserve">Храната намалява степента и леко забавя абсорбцията на метформин. След приложение на таблетка от 850 </w:t>
      </w:r>
      <w:r w:rsidRPr="00AD73B8">
        <w:rPr>
          <w:rFonts w:eastAsia="Times New Roman" w:cs="Arial"/>
          <w:color w:val="000000"/>
          <w:szCs w:val="20"/>
          <w:lang w:val="en-US"/>
        </w:rPr>
        <w:t>mg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eastAsia="bg-BG"/>
        </w:rPr>
        <w:t xml:space="preserve">метформинов хидрохлорид се наблюдава 40% по-ниска максимална плазмена концентрация, 25% намаление на площта под кривата </w:t>
      </w:r>
      <w:r w:rsidRPr="00AD73B8">
        <w:rPr>
          <w:rFonts w:eastAsia="Times New Roman" w:cs="Arial"/>
          <w:color w:val="000000"/>
          <w:szCs w:val="20"/>
          <w:lang w:val="ru-RU"/>
        </w:rPr>
        <w:t>(</w:t>
      </w:r>
      <w:r w:rsidRPr="00AD73B8">
        <w:rPr>
          <w:rFonts w:eastAsia="Times New Roman" w:cs="Arial"/>
          <w:color w:val="000000"/>
          <w:szCs w:val="20"/>
          <w:lang w:val="en-US"/>
        </w:rPr>
        <w:t>AUC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, </w:t>
      </w:r>
      <w:r w:rsidRPr="00AD73B8">
        <w:rPr>
          <w:rFonts w:eastAsia="Times New Roman" w:cs="Arial"/>
          <w:color w:val="000000"/>
          <w:szCs w:val="20"/>
          <w:lang w:val="en-US"/>
        </w:rPr>
        <w:t>area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val="en-US"/>
        </w:rPr>
        <w:t>under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val="en-US"/>
        </w:rPr>
        <w:t>the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val="en-US"/>
        </w:rPr>
        <w:t>curve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D73B8">
        <w:rPr>
          <w:rFonts w:eastAsia="Times New Roman" w:cs="Arial"/>
          <w:color w:val="000000"/>
          <w:szCs w:val="20"/>
          <w:lang w:eastAsia="bg-BG"/>
        </w:rPr>
        <w:t xml:space="preserve">и 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35 </w:t>
      </w:r>
      <w:r w:rsidRPr="00AD73B8">
        <w:rPr>
          <w:rFonts w:eastAsia="Times New Roman" w:cs="Arial"/>
          <w:color w:val="000000"/>
          <w:szCs w:val="20"/>
          <w:lang w:eastAsia="bg-BG"/>
        </w:rPr>
        <w:t>минути удължение на времето за достигане на максималната плазмена концентрация. Не е известно клиничното значение от промяната на тези параметри.</w:t>
      </w:r>
    </w:p>
    <w:p w14:paraId="4E542B2B" w14:textId="77777777" w:rsidR="00AD73B8" w:rsidRPr="00AD73B8" w:rsidRDefault="00AD73B8" w:rsidP="00AD73B8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3EA6AD4" w14:textId="040EFEDE" w:rsidR="00AD73B8" w:rsidRPr="00AD73B8" w:rsidRDefault="00AD73B8" w:rsidP="00AD73B8">
      <w:pPr>
        <w:pStyle w:val="Heading3"/>
        <w:rPr>
          <w:rFonts w:eastAsia="Times New Roman"/>
          <w:sz w:val="28"/>
          <w:u w:val="single"/>
        </w:rPr>
      </w:pPr>
      <w:r w:rsidRPr="00AD73B8">
        <w:rPr>
          <w:rFonts w:eastAsia="Times New Roman"/>
          <w:u w:val="single"/>
          <w:lang w:eastAsia="bg-BG"/>
        </w:rPr>
        <w:t>Разпределение</w:t>
      </w:r>
    </w:p>
    <w:p w14:paraId="06204DAA" w14:textId="77777777" w:rsidR="00AD73B8" w:rsidRPr="00AD73B8" w:rsidRDefault="00AD73B8" w:rsidP="00AD73B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310FBFD" w14:textId="0E08E405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color w:val="000000"/>
          <w:szCs w:val="20"/>
          <w:lang w:eastAsia="bg-BG"/>
        </w:rPr>
        <w:t xml:space="preserve">Свързването с плазмените протеини е незначително. Метформинов хидрохлорид се разпределя в еритроцитите. Пиковите нива в кръвта са по-ниски в сравнение с пиковите плазмени нива и се проявяват по същото време. Червените кръвни клетки най-вероятно представляват вторичен компартимент на разпределение. Средният обем на разпределение </w:t>
      </w:r>
      <w:r w:rsidRPr="00AD73B8">
        <w:rPr>
          <w:rFonts w:eastAsia="Times New Roman" w:cs="Arial"/>
          <w:color w:val="000000"/>
          <w:szCs w:val="20"/>
          <w:lang w:val="ru-RU"/>
        </w:rPr>
        <w:t>(</w:t>
      </w:r>
      <w:proofErr w:type="spellStart"/>
      <w:r w:rsidRPr="00AD73B8">
        <w:rPr>
          <w:rFonts w:eastAsia="Times New Roman" w:cs="Arial"/>
          <w:color w:val="000000"/>
          <w:szCs w:val="20"/>
          <w:lang w:val="en-US"/>
        </w:rPr>
        <w:t>V</w:t>
      </w:r>
      <w:r w:rsidRPr="00AD73B8">
        <w:rPr>
          <w:rFonts w:eastAsia="Times New Roman" w:cs="Arial"/>
          <w:color w:val="000000"/>
          <w:szCs w:val="20"/>
          <w:vertAlign w:val="subscript"/>
          <w:lang w:val="en-US"/>
        </w:rPr>
        <w:t>d</w:t>
      </w:r>
      <w:proofErr w:type="spellEnd"/>
      <w:r w:rsidRPr="00AD73B8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D73B8">
        <w:rPr>
          <w:rFonts w:eastAsia="Times New Roman" w:cs="Arial"/>
          <w:color w:val="000000"/>
          <w:szCs w:val="20"/>
          <w:lang w:eastAsia="bg-BG"/>
        </w:rPr>
        <w:t>варира между 63-276 1.</w:t>
      </w:r>
    </w:p>
    <w:p w14:paraId="3F250E78" w14:textId="77777777" w:rsidR="00AD73B8" w:rsidRPr="00AD73B8" w:rsidRDefault="00AD73B8" w:rsidP="00AD73B8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DA002DB" w14:textId="20502EED" w:rsidR="00AD73B8" w:rsidRPr="00AD73B8" w:rsidRDefault="00AD73B8" w:rsidP="00AD73B8">
      <w:pPr>
        <w:pStyle w:val="Heading3"/>
        <w:rPr>
          <w:rFonts w:eastAsia="Times New Roman"/>
          <w:sz w:val="28"/>
          <w:u w:val="single"/>
        </w:rPr>
      </w:pPr>
      <w:r w:rsidRPr="00AD73B8">
        <w:rPr>
          <w:rFonts w:eastAsia="Times New Roman"/>
          <w:u w:val="single"/>
          <w:lang w:eastAsia="bg-BG"/>
        </w:rPr>
        <w:t>Биотрансформация</w:t>
      </w:r>
    </w:p>
    <w:p w14:paraId="67A5324A" w14:textId="77777777" w:rsidR="00AD73B8" w:rsidRPr="00AD73B8" w:rsidRDefault="00AD73B8" w:rsidP="00AD73B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E9A85C5" w14:textId="0BA8D94E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color w:val="000000"/>
          <w:szCs w:val="20"/>
          <w:lang w:eastAsia="bg-BG"/>
        </w:rPr>
        <w:t>Метформин се отделя непроменен с урината. При хора не са открити метаболиити</w:t>
      </w:r>
    </w:p>
    <w:p w14:paraId="2AC1BBB3" w14:textId="77777777" w:rsidR="00AD73B8" w:rsidRPr="00AD73B8" w:rsidRDefault="00AD73B8" w:rsidP="00AD73B8">
      <w:pPr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133B1CD" w14:textId="654A9605" w:rsidR="00AD73B8" w:rsidRPr="00AD73B8" w:rsidRDefault="00AD73B8" w:rsidP="00AD73B8">
      <w:pPr>
        <w:pStyle w:val="Heading3"/>
        <w:rPr>
          <w:rFonts w:eastAsia="Times New Roman"/>
          <w:u w:val="single"/>
          <w:lang w:eastAsia="bg-BG"/>
        </w:rPr>
      </w:pPr>
      <w:r w:rsidRPr="00AD73B8">
        <w:rPr>
          <w:rFonts w:eastAsia="Times New Roman"/>
          <w:u w:val="single"/>
          <w:lang w:eastAsia="bg-BG"/>
        </w:rPr>
        <w:t>Елиминиране</w:t>
      </w:r>
    </w:p>
    <w:p w14:paraId="30C6E98C" w14:textId="77777777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color w:val="000000"/>
          <w:szCs w:val="20"/>
          <w:lang w:eastAsia="bg-BG"/>
        </w:rPr>
        <w:t xml:space="preserve">Бъбречният клирънс на метформин е &gt; 400 </w:t>
      </w:r>
      <w:r w:rsidRPr="00AD73B8">
        <w:rPr>
          <w:rFonts w:eastAsia="Times New Roman" w:cs="Arial"/>
          <w:color w:val="000000"/>
          <w:szCs w:val="20"/>
          <w:lang w:val="en-US"/>
        </w:rPr>
        <w:t>ml</w:t>
      </w:r>
      <w:r w:rsidRPr="00AD73B8">
        <w:rPr>
          <w:rFonts w:eastAsia="Times New Roman" w:cs="Arial"/>
          <w:color w:val="000000"/>
          <w:szCs w:val="20"/>
          <w:lang w:val="ru-RU"/>
        </w:rPr>
        <w:t>/</w:t>
      </w:r>
      <w:r w:rsidRPr="00AD73B8">
        <w:rPr>
          <w:rFonts w:eastAsia="Times New Roman" w:cs="Arial"/>
          <w:color w:val="000000"/>
          <w:szCs w:val="20"/>
          <w:lang w:val="en-US"/>
        </w:rPr>
        <w:t>min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, </w:t>
      </w:r>
      <w:r w:rsidRPr="00AD73B8">
        <w:rPr>
          <w:rFonts w:eastAsia="Times New Roman" w:cs="Arial"/>
          <w:color w:val="000000"/>
          <w:szCs w:val="20"/>
          <w:lang w:eastAsia="bg-BG"/>
        </w:rPr>
        <w:t>което показва, че метформин се елиминира чрез гломерулна филтрация и тубулна секреция. След перорално приложение, крайното време на полуживот е около 6,5 часа.</w:t>
      </w:r>
    </w:p>
    <w:p w14:paraId="67234CEE" w14:textId="77777777" w:rsidR="00AD73B8" w:rsidRPr="00AD73B8" w:rsidRDefault="00AD73B8" w:rsidP="00AD73B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9FA622B" w14:textId="136364EB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color w:val="000000"/>
          <w:szCs w:val="20"/>
          <w:lang w:eastAsia="bg-BG"/>
        </w:rPr>
        <w:t>При нарушена бъбречна функция, бъбречният клирънс намалява в съответствие с този на креатинина и така времето на полуел и миниране се удължава, което води до увеличени нива на метформин в плазмата.</w:t>
      </w:r>
    </w:p>
    <w:p w14:paraId="7283DDB2" w14:textId="77777777" w:rsidR="00AD73B8" w:rsidRPr="00AD73B8" w:rsidRDefault="00AD73B8" w:rsidP="00AD73B8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595024E" w14:textId="504B4431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color w:val="000000"/>
          <w:szCs w:val="20"/>
          <w:u w:val="single"/>
          <w:lang w:eastAsia="bg-BG"/>
        </w:rPr>
        <w:t>Педиатрична популация</w:t>
      </w:r>
    </w:p>
    <w:p w14:paraId="0022163C" w14:textId="77777777" w:rsidR="00AD73B8" w:rsidRPr="00AD73B8" w:rsidRDefault="00AD73B8" w:rsidP="00AD73B8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0865FBF" w14:textId="47DCE3F5" w:rsidR="00AD73B8" w:rsidRPr="00AD73B8" w:rsidRDefault="00AD73B8" w:rsidP="00AD73B8">
      <w:pPr>
        <w:spacing w:line="240" w:lineRule="auto"/>
        <w:rPr>
          <w:rFonts w:eastAsia="Times New Roman" w:cs="Arial"/>
          <w:sz w:val="28"/>
          <w:szCs w:val="24"/>
        </w:rPr>
      </w:pPr>
      <w:r w:rsidRPr="00AD73B8">
        <w:rPr>
          <w:rFonts w:eastAsia="Times New Roman" w:cs="Arial"/>
          <w:i/>
          <w:iCs/>
          <w:color w:val="000000"/>
          <w:szCs w:val="20"/>
          <w:lang w:eastAsia="bg-BG"/>
        </w:rPr>
        <w:t>Проучване с еднократна доза:</w:t>
      </w:r>
      <w:r w:rsidRPr="00AD73B8">
        <w:rPr>
          <w:rFonts w:eastAsia="Times New Roman" w:cs="Arial"/>
          <w:color w:val="000000"/>
          <w:szCs w:val="20"/>
          <w:lang w:eastAsia="bg-BG"/>
        </w:rPr>
        <w:t xml:space="preserve"> След приложението на единична доза 500 </w:t>
      </w:r>
      <w:r w:rsidRPr="00AD73B8">
        <w:rPr>
          <w:rFonts w:eastAsia="Times New Roman" w:cs="Arial"/>
          <w:color w:val="000000"/>
          <w:szCs w:val="20"/>
          <w:lang w:val="en-US"/>
        </w:rPr>
        <w:t>mg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eastAsia="bg-BG"/>
        </w:rPr>
        <w:t>метформинов хидрохлорид, фармакокинетичният профил при деца е подобен на този, наблюдаван при здрави възрастни.</w:t>
      </w:r>
    </w:p>
    <w:p w14:paraId="574E987A" w14:textId="77777777" w:rsidR="00AD73B8" w:rsidRPr="00AD73B8" w:rsidRDefault="00AD73B8" w:rsidP="00AD73B8">
      <w:pPr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96A2F68" w14:textId="7D3C5822" w:rsidR="00AD73B8" w:rsidRPr="00AD73B8" w:rsidRDefault="00AD73B8" w:rsidP="00AD73B8">
      <w:pPr>
        <w:rPr>
          <w:rFonts w:eastAsia="Times New Roman" w:cs="Arial"/>
          <w:color w:val="000000"/>
          <w:szCs w:val="20"/>
          <w:lang w:eastAsia="bg-BG"/>
        </w:rPr>
      </w:pPr>
      <w:r w:rsidRPr="00AD73B8">
        <w:rPr>
          <w:rFonts w:eastAsia="Times New Roman" w:cs="Arial"/>
          <w:i/>
          <w:iCs/>
          <w:color w:val="000000"/>
          <w:szCs w:val="20"/>
          <w:lang w:eastAsia="bg-BG"/>
        </w:rPr>
        <w:t>Проучване с многократни дози:</w:t>
      </w:r>
      <w:r w:rsidRPr="00AD73B8">
        <w:rPr>
          <w:rFonts w:eastAsia="Times New Roman" w:cs="Arial"/>
          <w:color w:val="000000"/>
          <w:szCs w:val="20"/>
          <w:lang w:eastAsia="bg-BG"/>
        </w:rPr>
        <w:t xml:space="preserve"> Данните са ограничени до едно проучване. След многократно приложение на 500 </w:t>
      </w:r>
      <w:r w:rsidRPr="00AD73B8">
        <w:rPr>
          <w:rFonts w:eastAsia="Times New Roman" w:cs="Arial"/>
          <w:color w:val="000000"/>
          <w:szCs w:val="20"/>
          <w:lang w:val="en-US"/>
        </w:rPr>
        <w:t>mg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eastAsia="bg-BG"/>
        </w:rPr>
        <w:t>метформинов хидрохлорид два пъти дневно за 7 дни при деца, максималната плазмена концентрация (С</w:t>
      </w:r>
      <w:r w:rsidRPr="00AD73B8">
        <w:rPr>
          <w:rFonts w:eastAsia="Times New Roman" w:cs="Arial"/>
          <w:color w:val="000000"/>
          <w:szCs w:val="20"/>
          <w:lang w:val="en-US"/>
        </w:rPr>
        <w:t>max</w:t>
      </w:r>
      <w:r w:rsidRPr="00AD73B8">
        <w:rPr>
          <w:rFonts w:eastAsia="Times New Roman" w:cs="Arial"/>
          <w:color w:val="000000"/>
          <w:szCs w:val="20"/>
          <w:lang w:eastAsia="bg-BG"/>
        </w:rPr>
        <w:t xml:space="preserve">) и системната експозиция </w:t>
      </w:r>
      <w:r w:rsidRPr="00AD73B8">
        <w:rPr>
          <w:rFonts w:eastAsia="Times New Roman" w:cs="Arial"/>
          <w:color w:val="000000"/>
          <w:szCs w:val="20"/>
          <w:lang w:val="ru-RU"/>
        </w:rPr>
        <w:t>(</w:t>
      </w:r>
      <w:r w:rsidRPr="00AD73B8">
        <w:rPr>
          <w:rFonts w:eastAsia="Times New Roman" w:cs="Arial"/>
          <w:color w:val="000000"/>
          <w:szCs w:val="20"/>
          <w:lang w:val="en-US"/>
        </w:rPr>
        <w:t>AUC</w:t>
      </w:r>
      <w:r w:rsidRPr="00AD73B8">
        <w:rPr>
          <w:rFonts w:eastAsia="Times New Roman" w:cs="Arial"/>
          <w:color w:val="000000"/>
          <w:szCs w:val="20"/>
          <w:vertAlign w:val="subscript"/>
          <w:lang w:val="ru-RU"/>
        </w:rPr>
        <w:t>0-</w:t>
      </w:r>
      <w:r w:rsidRPr="00AD73B8">
        <w:rPr>
          <w:rFonts w:eastAsia="Times New Roman" w:cs="Arial"/>
          <w:color w:val="000000"/>
          <w:szCs w:val="20"/>
          <w:vertAlign w:val="subscript"/>
          <w:lang w:val="en-US"/>
        </w:rPr>
        <w:t>t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) </w:t>
      </w:r>
      <w:r w:rsidRPr="00AD73B8">
        <w:rPr>
          <w:rFonts w:eastAsia="Times New Roman" w:cs="Arial"/>
          <w:color w:val="000000"/>
          <w:szCs w:val="20"/>
          <w:lang w:eastAsia="bg-BG"/>
        </w:rPr>
        <w:t xml:space="preserve">са намалени с около 33% и 40%, съответно в сравнение с възрастни пациенти с диабет, които приемат многократни дози от 500 </w:t>
      </w:r>
      <w:r w:rsidRPr="00AD73B8">
        <w:rPr>
          <w:rFonts w:eastAsia="Times New Roman" w:cs="Arial"/>
          <w:color w:val="000000"/>
          <w:szCs w:val="20"/>
          <w:lang w:val="en-US"/>
        </w:rPr>
        <w:t>mg</w:t>
      </w:r>
      <w:r w:rsidRPr="00AD73B8">
        <w:rPr>
          <w:rFonts w:eastAsia="Times New Roman" w:cs="Arial"/>
          <w:color w:val="000000"/>
          <w:szCs w:val="20"/>
          <w:lang w:val="ru-RU"/>
        </w:rPr>
        <w:t xml:space="preserve"> </w:t>
      </w:r>
      <w:r w:rsidRPr="00AD73B8">
        <w:rPr>
          <w:rFonts w:eastAsia="Times New Roman" w:cs="Arial"/>
          <w:color w:val="000000"/>
          <w:szCs w:val="20"/>
          <w:lang w:eastAsia="bg-BG"/>
        </w:rPr>
        <w:t>два пъти дневно за 14 дни. Тъй като дозата се титрира индивидуално в зависимост от гликемичния контрол, това е от ограничено клинично значение.</w:t>
      </w:r>
    </w:p>
    <w:p w14:paraId="0F0E0C10" w14:textId="77777777" w:rsidR="00AD73B8" w:rsidRPr="00AD73B8" w:rsidRDefault="00AD73B8" w:rsidP="00AD73B8"/>
    <w:p w14:paraId="028E658A" w14:textId="7EB6B972" w:rsidR="00395555" w:rsidRDefault="002C50EE" w:rsidP="008A6AF2">
      <w:pPr>
        <w:pStyle w:val="Heading2"/>
      </w:pPr>
      <w:r>
        <w:t>5.3. Предклинични данни за безопасност</w:t>
      </w:r>
    </w:p>
    <w:p w14:paraId="42F53FC0" w14:textId="559B93F9" w:rsidR="00AD73B8" w:rsidRDefault="00AD73B8" w:rsidP="00AD73B8"/>
    <w:p w14:paraId="5290D453" w14:textId="77777777" w:rsidR="00AD73B8" w:rsidRPr="00AD73B8" w:rsidRDefault="00AD73B8" w:rsidP="00AD73B8">
      <w:pPr>
        <w:rPr>
          <w:sz w:val="24"/>
          <w:szCs w:val="24"/>
        </w:rPr>
      </w:pPr>
      <w:r w:rsidRPr="00AD73B8">
        <w:rPr>
          <w:lang w:eastAsia="bg-BG"/>
        </w:rPr>
        <w:t>Неклиничните данни не разкриват специфичен риск за хора, въз основа на конвенционални проучвания за безопасност, фармакология, токсичност при приложение на многократни дози, генотоксичност, карциногенен потенциал, репродуктивна токсичност.</w:t>
      </w:r>
    </w:p>
    <w:p w14:paraId="4C888E86" w14:textId="77777777" w:rsidR="00AD73B8" w:rsidRPr="00AD73B8" w:rsidRDefault="00AD73B8" w:rsidP="00AD73B8"/>
    <w:p w14:paraId="6A7820AB" w14:textId="192E5BDB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2286A306" w14:textId="2228D514" w:rsidR="00AD73B8" w:rsidRDefault="00AD73B8" w:rsidP="00AD73B8"/>
    <w:p w14:paraId="7AFF8BF6" w14:textId="77777777" w:rsidR="00AD73B8" w:rsidRPr="00AD73B8" w:rsidRDefault="00AD73B8" w:rsidP="00AD73B8">
      <w:pPr>
        <w:rPr>
          <w:sz w:val="24"/>
          <w:szCs w:val="24"/>
          <w:lang w:val="en-US"/>
        </w:rPr>
      </w:pPr>
      <w:r w:rsidRPr="00AD73B8">
        <w:rPr>
          <w:lang w:val="en-US"/>
        </w:rPr>
        <w:t>BERLIN-CHEMIE AG (MENARINI GROUP)</w:t>
      </w:r>
    </w:p>
    <w:p w14:paraId="38A9669C" w14:textId="77777777" w:rsidR="00AD73B8" w:rsidRPr="00AD73B8" w:rsidRDefault="00AD73B8" w:rsidP="00AD73B8">
      <w:pPr>
        <w:rPr>
          <w:sz w:val="24"/>
          <w:szCs w:val="24"/>
          <w:lang w:val="ru-RU"/>
        </w:rPr>
      </w:pPr>
      <w:proofErr w:type="spellStart"/>
      <w:r w:rsidRPr="00AD73B8">
        <w:rPr>
          <w:lang w:val="en-US"/>
        </w:rPr>
        <w:t>Glienicker</w:t>
      </w:r>
      <w:proofErr w:type="spellEnd"/>
      <w:r w:rsidRPr="00AD73B8">
        <w:rPr>
          <w:lang w:val="ru-RU"/>
        </w:rPr>
        <w:t xml:space="preserve"> </w:t>
      </w:r>
      <w:proofErr w:type="spellStart"/>
      <w:r w:rsidRPr="00AD73B8">
        <w:rPr>
          <w:lang w:val="en-US"/>
        </w:rPr>
        <w:t>Weg</w:t>
      </w:r>
      <w:proofErr w:type="spellEnd"/>
      <w:r w:rsidRPr="00AD73B8">
        <w:rPr>
          <w:lang w:val="ru-RU"/>
        </w:rPr>
        <w:t xml:space="preserve"> </w:t>
      </w:r>
      <w:r w:rsidRPr="00AD73B8">
        <w:rPr>
          <w:lang w:eastAsia="bg-BG"/>
        </w:rPr>
        <w:t>125</w:t>
      </w:r>
    </w:p>
    <w:p w14:paraId="13832713" w14:textId="55D24D75" w:rsidR="00AD73B8" w:rsidRPr="00AD73B8" w:rsidRDefault="00AD73B8" w:rsidP="00AD73B8">
      <w:r w:rsidRPr="00AD73B8">
        <w:rPr>
          <w:lang w:eastAsia="bg-BG"/>
        </w:rPr>
        <w:t xml:space="preserve">12489 </w:t>
      </w:r>
      <w:r w:rsidRPr="00AD73B8">
        <w:rPr>
          <w:lang w:val="en-US"/>
        </w:rPr>
        <w:t>Berlin</w:t>
      </w:r>
      <w:r w:rsidRPr="00AD73B8">
        <w:rPr>
          <w:lang w:val="ru-RU"/>
        </w:rPr>
        <w:t xml:space="preserve">, </w:t>
      </w:r>
      <w:r w:rsidRPr="00AD73B8">
        <w:rPr>
          <w:lang w:eastAsia="bg-BG"/>
        </w:rPr>
        <w:t>Германия</w:t>
      </w:r>
    </w:p>
    <w:p w14:paraId="04840D59" w14:textId="7FF252B9" w:rsidR="002C50EE" w:rsidRDefault="002C50EE" w:rsidP="00395555">
      <w:pPr>
        <w:pStyle w:val="Heading1"/>
      </w:pPr>
      <w:r>
        <w:t>8. НОМЕР НА РАЗРЕШЕНИЕТО ЗА УПОТРЕБА</w:t>
      </w:r>
    </w:p>
    <w:p w14:paraId="0E5C7F84" w14:textId="0D94AB9F" w:rsidR="00AD73B8" w:rsidRDefault="00AD73B8" w:rsidP="00AD73B8"/>
    <w:p w14:paraId="1B889CE0" w14:textId="63337BA7" w:rsidR="00AD73B8" w:rsidRPr="00AD73B8" w:rsidRDefault="00AD73B8" w:rsidP="00AD73B8">
      <w:r>
        <w:t>9700067</w:t>
      </w:r>
    </w:p>
    <w:p w14:paraId="2CCB5832" w14:textId="491BAB28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4581F02D" w14:textId="24E7D59A" w:rsidR="00AD73B8" w:rsidRDefault="00AD73B8" w:rsidP="00AD73B8"/>
    <w:p w14:paraId="586A826B" w14:textId="77777777" w:rsidR="00AD73B8" w:rsidRPr="00AD73B8" w:rsidRDefault="00AD73B8" w:rsidP="00AD73B8">
      <w:pPr>
        <w:rPr>
          <w:sz w:val="24"/>
          <w:szCs w:val="24"/>
        </w:rPr>
      </w:pPr>
      <w:r w:rsidRPr="00AD73B8">
        <w:rPr>
          <w:lang w:eastAsia="bg-BG"/>
        </w:rPr>
        <w:t>Дата на първо разрешаване: 06.02.1997</w:t>
      </w:r>
    </w:p>
    <w:p w14:paraId="091A2734" w14:textId="77777777" w:rsidR="00AD73B8" w:rsidRPr="00AD73B8" w:rsidRDefault="00AD73B8" w:rsidP="00AD73B8">
      <w:pPr>
        <w:rPr>
          <w:sz w:val="24"/>
          <w:szCs w:val="24"/>
        </w:rPr>
      </w:pPr>
      <w:r w:rsidRPr="00AD73B8">
        <w:rPr>
          <w:lang w:eastAsia="bg-BG"/>
        </w:rPr>
        <w:t>Дата на последно подновяване: 11.02.2008</w:t>
      </w:r>
    </w:p>
    <w:p w14:paraId="6CFA33F5" w14:textId="77777777" w:rsidR="00AD73B8" w:rsidRPr="00AD73B8" w:rsidRDefault="00AD73B8" w:rsidP="00AD73B8"/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2C398F1D" w:rsidR="007C605B" w:rsidRPr="002B0A88" w:rsidRDefault="00AD73B8" w:rsidP="00AD73B8">
      <w:pPr>
        <w:rPr>
          <w:sz w:val="24"/>
          <w:szCs w:val="24"/>
        </w:rPr>
      </w:pPr>
      <w:r>
        <w:t>09/2020</w:t>
      </w:r>
      <w:bookmarkStart w:id="2" w:name="_GoBack"/>
      <w:bookmarkEnd w:id="2"/>
    </w:p>
    <w:sectPr w:rsidR="007C605B" w:rsidRPr="002B0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C3103"/>
    <w:multiLevelType w:val="hybridMultilevel"/>
    <w:tmpl w:val="85E2A84A"/>
    <w:lvl w:ilvl="0" w:tplc="A5008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1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A1824D6"/>
    <w:multiLevelType w:val="multilevel"/>
    <w:tmpl w:val="BE3C9854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8544B"/>
    <w:multiLevelType w:val="hybridMultilevel"/>
    <w:tmpl w:val="F7865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46DE1"/>
    <w:multiLevelType w:val="hybridMultilevel"/>
    <w:tmpl w:val="559E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805E44"/>
    <w:multiLevelType w:val="hybridMultilevel"/>
    <w:tmpl w:val="4502D50A"/>
    <w:lvl w:ilvl="0" w:tplc="A50083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A500836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D4F54"/>
    <w:multiLevelType w:val="hybridMultilevel"/>
    <w:tmpl w:val="08946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732EDD"/>
    <w:multiLevelType w:val="hybridMultilevel"/>
    <w:tmpl w:val="C9D8E386"/>
    <w:lvl w:ilvl="0" w:tplc="A50083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BD57DD4"/>
    <w:multiLevelType w:val="hybridMultilevel"/>
    <w:tmpl w:val="140A1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EA2A7F"/>
    <w:multiLevelType w:val="hybridMultilevel"/>
    <w:tmpl w:val="18BE9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31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19"/>
  </w:num>
  <w:num w:numId="7">
    <w:abstractNumId w:val="11"/>
  </w:num>
  <w:num w:numId="8">
    <w:abstractNumId w:val="18"/>
  </w:num>
  <w:num w:numId="9">
    <w:abstractNumId w:val="2"/>
  </w:num>
  <w:num w:numId="10">
    <w:abstractNumId w:val="4"/>
  </w:num>
  <w:num w:numId="11">
    <w:abstractNumId w:val="33"/>
  </w:num>
  <w:num w:numId="12">
    <w:abstractNumId w:val="16"/>
  </w:num>
  <w:num w:numId="13">
    <w:abstractNumId w:val="22"/>
  </w:num>
  <w:num w:numId="14">
    <w:abstractNumId w:val="13"/>
  </w:num>
  <w:num w:numId="15">
    <w:abstractNumId w:val="32"/>
  </w:num>
  <w:num w:numId="16">
    <w:abstractNumId w:val="10"/>
  </w:num>
  <w:num w:numId="17">
    <w:abstractNumId w:val="27"/>
  </w:num>
  <w:num w:numId="18">
    <w:abstractNumId w:val="8"/>
  </w:num>
  <w:num w:numId="19">
    <w:abstractNumId w:val="30"/>
  </w:num>
  <w:num w:numId="20">
    <w:abstractNumId w:val="26"/>
  </w:num>
  <w:num w:numId="21">
    <w:abstractNumId w:val="20"/>
  </w:num>
  <w:num w:numId="22">
    <w:abstractNumId w:val="28"/>
  </w:num>
  <w:num w:numId="23">
    <w:abstractNumId w:val="21"/>
  </w:num>
  <w:num w:numId="24">
    <w:abstractNumId w:val="9"/>
  </w:num>
  <w:num w:numId="25">
    <w:abstractNumId w:val="25"/>
  </w:num>
  <w:num w:numId="26">
    <w:abstractNumId w:val="24"/>
  </w:num>
  <w:num w:numId="27">
    <w:abstractNumId w:val="35"/>
  </w:num>
  <w:num w:numId="28">
    <w:abstractNumId w:val="7"/>
  </w:num>
  <w:num w:numId="29">
    <w:abstractNumId w:val="23"/>
  </w:num>
  <w:num w:numId="30">
    <w:abstractNumId w:val="39"/>
  </w:num>
  <w:num w:numId="31">
    <w:abstractNumId w:val="5"/>
  </w:num>
  <w:num w:numId="32">
    <w:abstractNumId w:val="17"/>
  </w:num>
  <w:num w:numId="33">
    <w:abstractNumId w:val="34"/>
  </w:num>
  <w:num w:numId="34">
    <w:abstractNumId w:val="37"/>
  </w:num>
  <w:num w:numId="35">
    <w:abstractNumId w:val="12"/>
  </w:num>
  <w:num w:numId="36">
    <w:abstractNumId w:val="36"/>
  </w:num>
  <w:num w:numId="37">
    <w:abstractNumId w:val="29"/>
  </w:num>
  <w:num w:numId="38">
    <w:abstractNumId w:val="15"/>
  </w:num>
  <w:num w:numId="39">
    <w:abstractNumId w:val="38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0A88"/>
    <w:rsid w:val="002B3C38"/>
    <w:rsid w:val="002B4DBB"/>
    <w:rsid w:val="002C50EE"/>
    <w:rsid w:val="00340A0A"/>
    <w:rsid w:val="003765DC"/>
    <w:rsid w:val="00395555"/>
    <w:rsid w:val="003E3126"/>
    <w:rsid w:val="004D4D6B"/>
    <w:rsid w:val="004E0AE8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7F0595"/>
    <w:rsid w:val="00814073"/>
    <w:rsid w:val="00826F0D"/>
    <w:rsid w:val="00893B92"/>
    <w:rsid w:val="008A6AF2"/>
    <w:rsid w:val="008C70A2"/>
    <w:rsid w:val="009773E4"/>
    <w:rsid w:val="009B171C"/>
    <w:rsid w:val="009F1313"/>
    <w:rsid w:val="00A20351"/>
    <w:rsid w:val="00AA23EC"/>
    <w:rsid w:val="00AC63CE"/>
    <w:rsid w:val="00AD73B8"/>
    <w:rsid w:val="00AE2107"/>
    <w:rsid w:val="00B275A8"/>
    <w:rsid w:val="00BF2600"/>
    <w:rsid w:val="00C0049F"/>
    <w:rsid w:val="00C07B84"/>
    <w:rsid w:val="00C33464"/>
    <w:rsid w:val="00C809A7"/>
    <w:rsid w:val="00C83063"/>
    <w:rsid w:val="00C87E90"/>
    <w:rsid w:val="00CA1B57"/>
    <w:rsid w:val="00D86297"/>
    <w:rsid w:val="00DA632E"/>
    <w:rsid w:val="00DD466D"/>
    <w:rsid w:val="00DF4C8E"/>
    <w:rsid w:val="00EB6364"/>
    <w:rsid w:val="00F37B64"/>
    <w:rsid w:val="00F44498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3831</Words>
  <Characters>21843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SATHealth-Guest</cp:lastModifiedBy>
  <cp:revision>2</cp:revision>
  <dcterms:created xsi:type="dcterms:W3CDTF">2022-11-23T13:42:00Z</dcterms:created>
  <dcterms:modified xsi:type="dcterms:W3CDTF">2022-11-23T13:42:00Z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