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4F735328" w14:textId="33B9726A" w:rsidR="00DF4C8E" w:rsidRDefault="00DD466D" w:rsidP="00F44498">
      <w:pPr>
        <w:pStyle w:val="Heading1"/>
      </w:pPr>
      <w:r>
        <w:t>1.ИМЕ НА ЛЕКАРСТВЕНИЯ ПРОДУКТ</w:t>
      </w:r>
    </w:p>
    <w:p w14:paraId="6C672BE4" w14:textId="4D0BC370" w:rsidR="00D04FC4" w:rsidRDefault="00D04FC4" w:rsidP="00D04FC4"/>
    <w:p w14:paraId="43DC21FE" w14:textId="77777777" w:rsidR="00D04FC4" w:rsidRPr="00D04FC4" w:rsidRDefault="00D04FC4" w:rsidP="00D04FC4">
      <w:pPr>
        <w:rPr>
          <w:sz w:val="24"/>
          <w:szCs w:val="24"/>
        </w:rPr>
      </w:pPr>
      <w:r w:rsidRPr="00D04FC4">
        <w:rPr>
          <w:lang w:eastAsia="bg-BG"/>
        </w:rPr>
        <w:t xml:space="preserve">СКОПРИЛ 10 </w:t>
      </w:r>
      <w:r w:rsidRPr="00D04FC4">
        <w:rPr>
          <w:lang w:val="en-US"/>
        </w:rPr>
        <w:t>mg</w:t>
      </w:r>
      <w:r w:rsidRPr="00D04FC4">
        <w:t xml:space="preserve"> </w:t>
      </w:r>
      <w:r w:rsidRPr="00D04FC4">
        <w:rPr>
          <w:lang w:eastAsia="bg-BG"/>
        </w:rPr>
        <w:t>таблетки</w:t>
      </w:r>
    </w:p>
    <w:p w14:paraId="6F10F499" w14:textId="77777777" w:rsidR="00D04FC4" w:rsidRPr="00D04FC4" w:rsidRDefault="00D04FC4" w:rsidP="00D04FC4">
      <w:pPr>
        <w:rPr>
          <w:sz w:val="24"/>
          <w:szCs w:val="24"/>
        </w:rPr>
      </w:pPr>
      <w:r w:rsidRPr="00D04FC4">
        <w:rPr>
          <w:lang w:val="en-US"/>
        </w:rPr>
        <w:t>SKOPRYL</w:t>
      </w:r>
      <w:r w:rsidRPr="00D04FC4">
        <w:t xml:space="preserve"> </w:t>
      </w:r>
      <w:r w:rsidRPr="00D04FC4">
        <w:rPr>
          <w:lang w:eastAsia="bg-BG"/>
        </w:rPr>
        <w:t xml:space="preserve">10 </w:t>
      </w:r>
      <w:r w:rsidRPr="00D04FC4">
        <w:rPr>
          <w:lang w:val="en-US"/>
        </w:rPr>
        <w:t>mg</w:t>
      </w:r>
      <w:r w:rsidRPr="00D04FC4">
        <w:t xml:space="preserve"> </w:t>
      </w:r>
      <w:r w:rsidRPr="00D04FC4">
        <w:rPr>
          <w:lang w:val="en-US"/>
        </w:rPr>
        <w:t>tablets</w:t>
      </w:r>
    </w:p>
    <w:p w14:paraId="49E4CA72" w14:textId="77777777" w:rsidR="00D04FC4" w:rsidRDefault="00D04FC4" w:rsidP="00D04FC4">
      <w:pPr>
        <w:rPr>
          <w:lang w:eastAsia="bg-BG"/>
        </w:rPr>
      </w:pPr>
    </w:p>
    <w:p w14:paraId="78847DED" w14:textId="60A58B7B" w:rsidR="00D04FC4" w:rsidRPr="00D04FC4" w:rsidRDefault="00D04FC4" w:rsidP="00D04FC4">
      <w:pPr>
        <w:rPr>
          <w:sz w:val="24"/>
          <w:szCs w:val="24"/>
        </w:rPr>
      </w:pPr>
      <w:r w:rsidRPr="00D04FC4">
        <w:rPr>
          <w:lang w:eastAsia="bg-BG"/>
        </w:rPr>
        <w:t xml:space="preserve">СКОПРИЛ 20 </w:t>
      </w:r>
      <w:r w:rsidRPr="00D04FC4">
        <w:rPr>
          <w:lang w:val="en-US"/>
        </w:rPr>
        <w:t xml:space="preserve">mg </w:t>
      </w:r>
      <w:r w:rsidRPr="00D04FC4">
        <w:rPr>
          <w:lang w:eastAsia="bg-BG"/>
        </w:rPr>
        <w:t>таблетки</w:t>
      </w:r>
    </w:p>
    <w:p w14:paraId="0DDFE01E" w14:textId="77777777" w:rsidR="00D04FC4" w:rsidRPr="00D04FC4" w:rsidRDefault="00D04FC4" w:rsidP="00D04FC4">
      <w:pPr>
        <w:rPr>
          <w:sz w:val="24"/>
          <w:szCs w:val="24"/>
        </w:rPr>
      </w:pPr>
      <w:r w:rsidRPr="00D04FC4">
        <w:rPr>
          <w:lang w:val="en-US"/>
        </w:rPr>
        <w:t>SKOPRYL</w:t>
      </w:r>
      <w:r w:rsidRPr="00D04FC4">
        <w:rPr>
          <w:lang w:val="ru-RU"/>
        </w:rPr>
        <w:t xml:space="preserve"> </w:t>
      </w:r>
      <w:r w:rsidRPr="00D04FC4">
        <w:rPr>
          <w:lang w:eastAsia="bg-BG"/>
        </w:rPr>
        <w:t xml:space="preserve">20 </w:t>
      </w:r>
      <w:r w:rsidRPr="00D04FC4">
        <w:rPr>
          <w:lang w:val="en-US"/>
        </w:rPr>
        <w:t>mg</w:t>
      </w:r>
      <w:r w:rsidRPr="00D04FC4">
        <w:rPr>
          <w:lang w:val="ru-RU"/>
        </w:rPr>
        <w:t xml:space="preserve"> </w:t>
      </w:r>
      <w:r w:rsidRPr="00D04FC4">
        <w:rPr>
          <w:lang w:val="en-US"/>
        </w:rPr>
        <w:t>tablets</w:t>
      </w:r>
    </w:p>
    <w:p w14:paraId="57557208" w14:textId="77777777" w:rsidR="00D04FC4" w:rsidRPr="00D04FC4" w:rsidRDefault="00D04FC4" w:rsidP="00D04FC4"/>
    <w:p w14:paraId="2BF7ACB1" w14:textId="69374C4E" w:rsidR="00DF4C8E" w:rsidRDefault="00DD466D" w:rsidP="00F44498">
      <w:pPr>
        <w:pStyle w:val="Heading1"/>
      </w:pPr>
      <w:r>
        <w:t>2. КАЧЕСТВЕН И КОЛИЧЕСТВЕН СЪСТАВ</w:t>
      </w:r>
    </w:p>
    <w:p w14:paraId="097744D3" w14:textId="3F980920" w:rsidR="00D04FC4" w:rsidRDefault="00D04FC4" w:rsidP="00D04FC4"/>
    <w:p w14:paraId="1887C8E5" w14:textId="77777777" w:rsidR="00D04FC4" w:rsidRPr="00D04FC4" w:rsidRDefault="00D04FC4" w:rsidP="00D04FC4">
      <w:pPr>
        <w:rPr>
          <w:sz w:val="24"/>
          <w:szCs w:val="24"/>
        </w:rPr>
      </w:pPr>
      <w:r w:rsidRPr="00D04FC4">
        <w:rPr>
          <w:lang w:eastAsia="bg-BG"/>
        </w:rPr>
        <w:t xml:space="preserve">Една таблетка съдържа 10 </w:t>
      </w:r>
      <w:r w:rsidRPr="00D04FC4">
        <w:rPr>
          <w:lang w:val="en-US"/>
        </w:rPr>
        <w:t>mg</w:t>
      </w:r>
      <w:r w:rsidRPr="00D04FC4">
        <w:t xml:space="preserve"> </w:t>
      </w:r>
      <w:r w:rsidRPr="00D04FC4">
        <w:rPr>
          <w:lang w:eastAsia="bg-BG"/>
        </w:rPr>
        <w:t xml:space="preserve">лизиноприл </w:t>
      </w:r>
      <w:r w:rsidRPr="00D04FC4">
        <w:rPr>
          <w:i/>
          <w:iCs/>
        </w:rPr>
        <w:t>(</w:t>
      </w:r>
      <w:proofErr w:type="spellStart"/>
      <w:r w:rsidRPr="00D04FC4">
        <w:rPr>
          <w:i/>
          <w:iCs/>
          <w:lang w:val="en-US"/>
        </w:rPr>
        <w:t>lisinopril</w:t>
      </w:r>
      <w:proofErr w:type="spellEnd"/>
      <w:r w:rsidRPr="00D04FC4">
        <w:rPr>
          <w:i/>
          <w:iCs/>
        </w:rPr>
        <w:t>)</w:t>
      </w:r>
      <w:r w:rsidRPr="00D04FC4">
        <w:t xml:space="preserve"> </w:t>
      </w:r>
      <w:r w:rsidRPr="00D04FC4">
        <w:rPr>
          <w:lang w:eastAsia="bg-BG"/>
        </w:rPr>
        <w:t xml:space="preserve">(като лизиноприл дихидрат </w:t>
      </w:r>
      <w:r w:rsidRPr="00D04FC4">
        <w:rPr>
          <w:i/>
          <w:iCs/>
        </w:rPr>
        <w:t>(</w:t>
      </w:r>
      <w:proofErr w:type="spellStart"/>
      <w:r w:rsidRPr="00D04FC4">
        <w:rPr>
          <w:i/>
          <w:iCs/>
          <w:lang w:val="en-US"/>
        </w:rPr>
        <w:t>lisinopril</w:t>
      </w:r>
      <w:proofErr w:type="spellEnd"/>
      <w:r w:rsidRPr="00D04FC4">
        <w:rPr>
          <w:i/>
          <w:iCs/>
        </w:rPr>
        <w:t xml:space="preserve"> </w:t>
      </w:r>
      <w:proofErr w:type="spellStart"/>
      <w:r w:rsidRPr="00D04FC4">
        <w:rPr>
          <w:i/>
          <w:iCs/>
          <w:lang w:val="en-US"/>
        </w:rPr>
        <w:t>dihydrate</w:t>
      </w:r>
      <w:proofErr w:type="spellEnd"/>
      <w:r w:rsidRPr="00D04FC4">
        <w:rPr>
          <w:i/>
          <w:iCs/>
        </w:rPr>
        <w:t>)</w:t>
      </w:r>
      <w:r w:rsidRPr="00D04FC4">
        <w:t xml:space="preserve"> </w:t>
      </w:r>
      <w:r w:rsidRPr="00D04FC4">
        <w:rPr>
          <w:lang w:eastAsia="bg-BG"/>
        </w:rPr>
        <w:t xml:space="preserve">10,89 </w:t>
      </w:r>
      <w:r w:rsidRPr="00D04FC4">
        <w:rPr>
          <w:lang w:val="en-US"/>
        </w:rPr>
        <w:t>mg</w:t>
      </w:r>
      <w:r w:rsidRPr="00D04FC4">
        <w:t>).</w:t>
      </w:r>
    </w:p>
    <w:p w14:paraId="2C32BB34" w14:textId="77777777" w:rsidR="00D04FC4" w:rsidRPr="00D04FC4" w:rsidRDefault="00D04FC4" w:rsidP="00D04FC4">
      <w:pPr>
        <w:rPr>
          <w:sz w:val="24"/>
          <w:szCs w:val="24"/>
        </w:rPr>
      </w:pPr>
      <w:r w:rsidRPr="00D04FC4">
        <w:rPr>
          <w:lang w:eastAsia="bg-BG"/>
        </w:rPr>
        <w:t xml:space="preserve">Една таблетка съдържа 20 </w:t>
      </w:r>
      <w:r w:rsidRPr="00D04FC4">
        <w:rPr>
          <w:lang w:val="en-US"/>
        </w:rPr>
        <w:t>mg</w:t>
      </w:r>
      <w:r w:rsidRPr="00D04FC4">
        <w:t xml:space="preserve"> </w:t>
      </w:r>
      <w:r w:rsidRPr="00D04FC4">
        <w:rPr>
          <w:lang w:eastAsia="bg-BG"/>
        </w:rPr>
        <w:t xml:space="preserve">лизиноприл </w:t>
      </w:r>
      <w:r w:rsidRPr="00D04FC4">
        <w:rPr>
          <w:i/>
          <w:iCs/>
        </w:rPr>
        <w:t>(</w:t>
      </w:r>
      <w:proofErr w:type="spellStart"/>
      <w:r w:rsidRPr="00D04FC4">
        <w:rPr>
          <w:i/>
          <w:iCs/>
          <w:lang w:val="en-US"/>
        </w:rPr>
        <w:t>lisinopril</w:t>
      </w:r>
      <w:proofErr w:type="spellEnd"/>
      <w:r w:rsidRPr="00D04FC4">
        <w:rPr>
          <w:i/>
          <w:iCs/>
        </w:rPr>
        <w:t>)</w:t>
      </w:r>
      <w:r w:rsidRPr="00D04FC4">
        <w:t xml:space="preserve"> </w:t>
      </w:r>
      <w:r w:rsidRPr="00D04FC4">
        <w:rPr>
          <w:lang w:eastAsia="bg-BG"/>
        </w:rPr>
        <w:t xml:space="preserve">(като лизиноприл дихидрат </w:t>
      </w:r>
      <w:r w:rsidRPr="00D04FC4">
        <w:rPr>
          <w:i/>
          <w:iCs/>
        </w:rPr>
        <w:t>(</w:t>
      </w:r>
      <w:proofErr w:type="spellStart"/>
      <w:r w:rsidRPr="00D04FC4">
        <w:rPr>
          <w:i/>
          <w:iCs/>
          <w:lang w:val="en-US"/>
        </w:rPr>
        <w:t>lisinopril</w:t>
      </w:r>
      <w:proofErr w:type="spellEnd"/>
      <w:r w:rsidRPr="00D04FC4">
        <w:rPr>
          <w:i/>
          <w:iCs/>
        </w:rPr>
        <w:t xml:space="preserve"> </w:t>
      </w:r>
      <w:proofErr w:type="spellStart"/>
      <w:r w:rsidRPr="00D04FC4">
        <w:rPr>
          <w:i/>
          <w:iCs/>
          <w:lang w:val="en-US"/>
        </w:rPr>
        <w:t>dihydrate</w:t>
      </w:r>
      <w:proofErr w:type="spellEnd"/>
      <w:r w:rsidRPr="00D04FC4">
        <w:rPr>
          <w:i/>
          <w:iCs/>
        </w:rPr>
        <w:t>)</w:t>
      </w:r>
      <w:r w:rsidRPr="00D04FC4">
        <w:t xml:space="preserve"> </w:t>
      </w:r>
      <w:r w:rsidRPr="00D04FC4">
        <w:rPr>
          <w:lang w:eastAsia="bg-BG"/>
        </w:rPr>
        <w:t xml:space="preserve">21,78 </w:t>
      </w:r>
      <w:r w:rsidRPr="00D04FC4">
        <w:rPr>
          <w:lang w:val="en-US"/>
        </w:rPr>
        <w:t>mg</w:t>
      </w:r>
      <w:r w:rsidRPr="00D04FC4">
        <w:t>).</w:t>
      </w:r>
    </w:p>
    <w:p w14:paraId="46A2EC7D" w14:textId="77777777" w:rsidR="00D04FC4" w:rsidRPr="00D04FC4" w:rsidRDefault="00D04FC4" w:rsidP="00D04FC4"/>
    <w:p w14:paraId="614984C4" w14:textId="314494B4" w:rsidR="008A6AF2" w:rsidRDefault="00DD466D" w:rsidP="002C50EE">
      <w:pPr>
        <w:pStyle w:val="Heading1"/>
      </w:pPr>
      <w:r>
        <w:t>3. ЛЕКАРСТВЕНА ФОРМА</w:t>
      </w:r>
    </w:p>
    <w:p w14:paraId="2F099CED" w14:textId="1ED5FA47" w:rsidR="00D04FC4" w:rsidRDefault="00D04FC4" w:rsidP="00D04FC4"/>
    <w:p w14:paraId="655D8E6F" w14:textId="77777777" w:rsidR="00D04FC4" w:rsidRPr="00D04FC4" w:rsidRDefault="00D04FC4" w:rsidP="00D04FC4">
      <w:pPr>
        <w:rPr>
          <w:sz w:val="24"/>
          <w:szCs w:val="24"/>
        </w:rPr>
      </w:pPr>
      <w:r w:rsidRPr="00D04FC4">
        <w:rPr>
          <w:lang w:eastAsia="bg-BG"/>
        </w:rPr>
        <w:t>* Таблетка</w:t>
      </w:r>
    </w:p>
    <w:p w14:paraId="512E2D70" w14:textId="77777777" w:rsidR="00D04FC4" w:rsidRPr="00D04FC4" w:rsidRDefault="00D04FC4" w:rsidP="00D04FC4">
      <w:pPr>
        <w:rPr>
          <w:sz w:val="24"/>
          <w:szCs w:val="24"/>
        </w:rPr>
      </w:pPr>
      <w:r w:rsidRPr="00D04FC4">
        <w:rPr>
          <w:lang w:eastAsia="bg-BG"/>
        </w:rPr>
        <w:t xml:space="preserve">Скоприл 10 </w:t>
      </w:r>
      <w:r w:rsidRPr="00D04FC4">
        <w:rPr>
          <w:lang w:val="en-US"/>
        </w:rPr>
        <w:t>mg</w:t>
      </w:r>
      <w:r w:rsidRPr="00D04FC4">
        <w:rPr>
          <w:lang w:val="ru-RU"/>
        </w:rPr>
        <w:t xml:space="preserve"> </w:t>
      </w:r>
      <w:r w:rsidRPr="00D04FC4">
        <w:rPr>
          <w:lang w:eastAsia="bg-BG"/>
        </w:rPr>
        <w:t>таблетките са бледо жълти, кръгли, двойно изпъкнали с делителна черта от едната страна.</w:t>
      </w:r>
    </w:p>
    <w:p w14:paraId="7391F7DA" w14:textId="77777777" w:rsidR="00D04FC4" w:rsidRPr="00D04FC4" w:rsidRDefault="00D04FC4" w:rsidP="00D04FC4">
      <w:pPr>
        <w:rPr>
          <w:sz w:val="24"/>
          <w:szCs w:val="24"/>
        </w:rPr>
      </w:pPr>
      <w:r w:rsidRPr="00D04FC4">
        <w:rPr>
          <w:lang w:eastAsia="bg-BG"/>
        </w:rPr>
        <w:t xml:space="preserve">Скоприл 20 </w:t>
      </w:r>
      <w:r w:rsidRPr="00D04FC4">
        <w:rPr>
          <w:lang w:val="en-US"/>
        </w:rPr>
        <w:t>mg</w:t>
      </w:r>
      <w:r w:rsidRPr="00D04FC4">
        <w:rPr>
          <w:lang w:val="ru-RU"/>
        </w:rPr>
        <w:t xml:space="preserve"> </w:t>
      </w:r>
      <w:r w:rsidRPr="00D04FC4">
        <w:rPr>
          <w:lang w:eastAsia="bg-BG"/>
        </w:rPr>
        <w:t>са бледо розово-кафяви, кръгли, двойно изпъкнали с делителна черта от едната страна.</w:t>
      </w:r>
    </w:p>
    <w:p w14:paraId="41DE620D" w14:textId="77777777" w:rsidR="00D04FC4" w:rsidRPr="00D04FC4" w:rsidRDefault="00D04FC4" w:rsidP="00D04FC4">
      <w:pPr>
        <w:rPr>
          <w:sz w:val="24"/>
          <w:szCs w:val="24"/>
        </w:rPr>
      </w:pPr>
      <w:r w:rsidRPr="00D04FC4">
        <w:rPr>
          <w:lang w:eastAsia="bg-BG"/>
        </w:rPr>
        <w:t xml:space="preserve">Скоприл 10 </w:t>
      </w:r>
      <w:r w:rsidRPr="00D04FC4">
        <w:rPr>
          <w:lang w:val="en-US"/>
        </w:rPr>
        <w:t>mg</w:t>
      </w:r>
      <w:r w:rsidRPr="00D04FC4">
        <w:rPr>
          <w:lang w:val="ru-RU"/>
        </w:rPr>
        <w:t xml:space="preserve"> </w:t>
      </w:r>
      <w:r w:rsidRPr="00D04FC4">
        <w:rPr>
          <w:lang w:eastAsia="bg-BG"/>
        </w:rPr>
        <w:t xml:space="preserve">и 20 </w:t>
      </w:r>
      <w:r w:rsidRPr="00D04FC4">
        <w:rPr>
          <w:lang w:val="en-US"/>
        </w:rPr>
        <w:t>mg</w:t>
      </w:r>
      <w:r w:rsidRPr="00D04FC4">
        <w:rPr>
          <w:lang w:val="ru-RU"/>
        </w:rPr>
        <w:t xml:space="preserve"> </w:t>
      </w:r>
      <w:r w:rsidRPr="00D04FC4">
        <w:rPr>
          <w:lang w:eastAsia="bg-BG"/>
        </w:rPr>
        <w:t>таблетките могат да бъдат разделени на две равни дози.</w:t>
      </w:r>
    </w:p>
    <w:p w14:paraId="11EF48E4" w14:textId="77777777" w:rsidR="00D04FC4" w:rsidRPr="00D04FC4" w:rsidRDefault="00D04FC4" w:rsidP="00D04FC4"/>
    <w:p w14:paraId="490FC2C4" w14:textId="32682B15" w:rsidR="002C50EE" w:rsidRDefault="002C50EE" w:rsidP="002C50EE">
      <w:pPr>
        <w:pStyle w:val="Heading1"/>
      </w:pPr>
      <w:r>
        <w:t>4. КЛИНИЧНИ ДАННИ</w:t>
      </w:r>
    </w:p>
    <w:p w14:paraId="754A29C8" w14:textId="34304510" w:rsidR="00C0049F" w:rsidRDefault="002C50EE" w:rsidP="009F1313">
      <w:pPr>
        <w:pStyle w:val="Heading2"/>
      </w:pPr>
      <w:r>
        <w:t>4.1. Терапевтични показания</w:t>
      </w:r>
    </w:p>
    <w:p w14:paraId="3B129A43" w14:textId="0B64704E" w:rsidR="00DF4C8E" w:rsidRDefault="00DF4C8E" w:rsidP="00DF4C8E">
      <w:pPr>
        <w:rPr>
          <w:rFonts w:cs="Arial"/>
          <w:sz w:val="24"/>
        </w:rPr>
      </w:pPr>
    </w:p>
    <w:p w14:paraId="6CDEDD30" w14:textId="77777777" w:rsidR="00D04FC4" w:rsidRPr="00D04FC4" w:rsidRDefault="00D04FC4" w:rsidP="00D04FC4">
      <w:pPr>
        <w:rPr>
          <w:sz w:val="24"/>
          <w:szCs w:val="24"/>
        </w:rPr>
      </w:pPr>
      <w:r w:rsidRPr="00D04FC4">
        <w:rPr>
          <w:lang w:eastAsia="bg-BG"/>
        </w:rPr>
        <w:t>Есенциална и реноваскуларна хипертония - самостоятелно като начална терапия или съвместно с други класове антихипертензивни средства, (вж. точки 4.3,4.4,4.5 и 5.1)</w:t>
      </w:r>
    </w:p>
    <w:p w14:paraId="3CD861FE" w14:textId="77777777" w:rsidR="00D04FC4" w:rsidRPr="00D04FC4" w:rsidRDefault="00D04FC4" w:rsidP="00D04FC4">
      <w:pPr>
        <w:rPr>
          <w:sz w:val="24"/>
          <w:szCs w:val="24"/>
        </w:rPr>
      </w:pPr>
      <w:r w:rsidRPr="00D04FC4">
        <w:rPr>
          <w:lang w:eastAsia="bg-BG"/>
        </w:rPr>
        <w:t>Всички степени на сърдечна недостатъчност - като допълнителна терапия при пациенти, които не отговарят адекватно на стандартната терапия с диуретици и дигиталисови лекарствени продукти. Остър инфаркт на миокарда при пациенти със стабилна хемодинамика в първите 24 часа на острия инфаркт - за предотвратяване на левокамерен функционален арест. Пациентите, ако е уместно, трябва да получават и стандартната препоръчвана терапия с тромболитици, аспирин и бета- блокери.</w:t>
      </w:r>
    </w:p>
    <w:p w14:paraId="2735232C" w14:textId="77777777" w:rsidR="00D04FC4" w:rsidRPr="00DF4C8E" w:rsidRDefault="00D04FC4" w:rsidP="00DF4C8E">
      <w:pPr>
        <w:rPr>
          <w:rFonts w:cs="Arial"/>
          <w:sz w:val="24"/>
        </w:rPr>
      </w:pPr>
    </w:p>
    <w:p w14:paraId="778B4979" w14:textId="543418E0" w:rsidR="00DF4C8E" w:rsidRDefault="002C50EE" w:rsidP="00F44498">
      <w:pPr>
        <w:pStyle w:val="Heading2"/>
      </w:pPr>
      <w:r>
        <w:t>4.2. Дозировка и начин на приложение</w:t>
      </w:r>
    </w:p>
    <w:p w14:paraId="6DAB2DC7" w14:textId="5B08146B" w:rsidR="00D04FC4" w:rsidRDefault="00D04FC4" w:rsidP="00D04FC4"/>
    <w:p w14:paraId="420EE79B" w14:textId="77777777" w:rsidR="00D04FC4" w:rsidRPr="00D04FC4" w:rsidRDefault="00D04FC4" w:rsidP="00D04FC4">
      <w:pPr>
        <w:pStyle w:val="Heading3"/>
        <w:rPr>
          <w:rFonts w:eastAsia="Times New Roman"/>
          <w:sz w:val="28"/>
          <w:u w:val="single"/>
        </w:rPr>
      </w:pPr>
      <w:r w:rsidRPr="00D04FC4">
        <w:rPr>
          <w:rFonts w:eastAsia="Times New Roman"/>
          <w:u w:val="single"/>
          <w:lang w:eastAsia="bg-BG"/>
        </w:rPr>
        <w:lastRenderedPageBreak/>
        <w:t>Дозировка</w:t>
      </w:r>
    </w:p>
    <w:p w14:paraId="50D7F542"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Дневната доза се определя индивидуално и според показанията.</w:t>
      </w:r>
    </w:p>
    <w:p w14:paraId="600420B7" w14:textId="07E8B78D" w:rsidR="00D04FC4" w:rsidRPr="00D04FC4" w:rsidRDefault="00D04FC4" w:rsidP="00D04FC4">
      <w:pPr>
        <w:rPr>
          <w:rFonts w:cs="Arial"/>
          <w:sz w:val="24"/>
        </w:rPr>
      </w:pPr>
    </w:p>
    <w:p w14:paraId="15414789" w14:textId="7777777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Хипертония</w:t>
      </w:r>
    </w:p>
    <w:p w14:paraId="046207F9"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 лека есенциална хипертония препоръчваната начална доза е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веднъж дневно. Дозата се съобразява с индивидуалния отговор по отношение на стойностите на кръвното налягане. Обичайният дозов диапазон е 20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до 40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дневно в еднократен прием. Дневната доза се увеличава в едноседмични интервали до достигане на 80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Ако кръвното налягане не се нормализира за 1-3 месеца, към терапията може да се добави диуретик в ниски дози, калциев антагонист или бета-блокер. Най-благоприятната комбинация за избор е с 12,5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НСТ веднъж дневно, (вж. точки 4.3,4.4,4.5 и 5.1)</w:t>
      </w:r>
    </w:p>
    <w:p w14:paraId="3FD88D96"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 реноваскуларна хипертония, по-специално тези с билатерална стеноза на бъбречната артерия или стеноза на артерията на единствен бъбрек, които реагират много рязко на първата доза АСЕ - инхибитори, първоначалната доза на Скоприл трябва да е по-ниска.</w:t>
      </w:r>
    </w:p>
    <w:p w14:paraId="71BC7AD2"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Препоръчваната доза е 2,5-5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Дозата се определя индивидуално и обичайната поддържаща доза е 20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веднъж дневно.</w:t>
      </w:r>
    </w:p>
    <w:p w14:paraId="66C0C77E"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 реноваскуларна хипертония първоначалната доза Скоприл е по-ниска като препоръчваната доза е 2,5-5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и постепенно се увеличава до достигане на ефективна доза.</w:t>
      </w:r>
    </w:p>
    <w:p w14:paraId="46BF755E" w14:textId="77777777" w:rsidR="00D04FC4" w:rsidRPr="00D04FC4" w:rsidRDefault="00D04FC4" w:rsidP="00D04FC4">
      <w:pPr>
        <w:spacing w:line="240" w:lineRule="auto"/>
        <w:rPr>
          <w:rFonts w:eastAsia="Times New Roman" w:cs="Arial"/>
          <w:i/>
          <w:iCs/>
          <w:color w:val="000000"/>
          <w:szCs w:val="20"/>
          <w:lang w:eastAsia="bg-BG"/>
        </w:rPr>
      </w:pPr>
    </w:p>
    <w:p w14:paraId="0CB21AB2" w14:textId="5CA52669"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Сърдечна недостатъчност</w:t>
      </w:r>
    </w:p>
    <w:p w14:paraId="27B6E40D"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със застойна сърдечна недостатъчност началната доза трябва да е по-ниска и затова препоръчителната стартова доза е 2,5-5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веднъж дневно. Дозата при всички пациенти се увеличава постепенно за около 2-4 седмици до достигане на обичайната ефективна доза, която варира между 5 и 20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веднъж дневно.</w:t>
      </w:r>
    </w:p>
    <w:p w14:paraId="23BF105E" w14:textId="77777777" w:rsidR="00D04FC4" w:rsidRPr="00D04FC4" w:rsidRDefault="00D04FC4" w:rsidP="00D04FC4">
      <w:pPr>
        <w:spacing w:line="240" w:lineRule="auto"/>
        <w:rPr>
          <w:rFonts w:eastAsia="Times New Roman" w:cs="Arial"/>
          <w:i/>
          <w:iCs/>
          <w:color w:val="000000"/>
          <w:szCs w:val="20"/>
          <w:lang w:eastAsia="bg-BG"/>
        </w:rPr>
      </w:pPr>
    </w:p>
    <w:p w14:paraId="2E5781D8" w14:textId="3A066E3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Остър инфаркт на миокарда</w:t>
      </w:r>
    </w:p>
    <w:p w14:paraId="6E1CFB0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със стабилна хемодинамика в първите 24 часа от острия инфаркт Скоприл се прилага, както следва:</w:t>
      </w:r>
    </w:p>
    <w:p w14:paraId="4764A0D8" w14:textId="77777777" w:rsidR="00D04FC4" w:rsidRPr="00D04FC4" w:rsidRDefault="00D04FC4" w:rsidP="00D04FC4">
      <w:pPr>
        <w:pStyle w:val="ListParagraph"/>
        <w:numPr>
          <w:ilvl w:val="0"/>
          <w:numId w:val="34"/>
        </w:num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със систолично налягане над 120 </w:t>
      </w:r>
      <w:r w:rsidRPr="00D04FC4">
        <w:rPr>
          <w:rFonts w:eastAsia="Times New Roman" w:cs="Arial"/>
          <w:color w:val="000000"/>
          <w:szCs w:val="20"/>
          <w:lang w:val="en-US"/>
        </w:rPr>
        <w:t>mm</w:t>
      </w:r>
      <w:r w:rsidRPr="00D04FC4">
        <w:rPr>
          <w:rFonts w:eastAsia="Times New Roman" w:cs="Arial"/>
          <w:color w:val="000000"/>
          <w:szCs w:val="20"/>
          <w:lang w:val="ru-RU"/>
        </w:rPr>
        <w:t xml:space="preserve"> </w:t>
      </w:r>
      <w:r w:rsidRPr="00D04FC4">
        <w:rPr>
          <w:rFonts w:eastAsia="Times New Roman" w:cs="Arial"/>
          <w:color w:val="000000"/>
          <w:szCs w:val="20"/>
          <w:lang w:val="en-US"/>
        </w:rPr>
        <w:t>Hg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първоначалната доза лизиноприл е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 първите 24 часа от появата на симптомите, последвана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 следващите 24 часа, а в по-следващите 24 часа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като се продължава с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веднъж дневно в продължение на шест седмици.</w:t>
      </w:r>
    </w:p>
    <w:p w14:paraId="01CB6B5C" w14:textId="41968B23" w:rsidR="00D04FC4" w:rsidRPr="00D04FC4" w:rsidRDefault="00D04FC4" w:rsidP="00D04FC4">
      <w:pPr>
        <w:pStyle w:val="ListParagraph"/>
        <w:numPr>
          <w:ilvl w:val="0"/>
          <w:numId w:val="34"/>
        </w:num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 ниско систолично налягане (100-120 </w:t>
      </w:r>
      <w:r w:rsidRPr="00D04FC4">
        <w:rPr>
          <w:rFonts w:eastAsia="Times New Roman" w:cs="Arial"/>
          <w:color w:val="000000"/>
          <w:szCs w:val="20"/>
          <w:lang w:val="en-US"/>
        </w:rPr>
        <w:t>mm</w:t>
      </w:r>
      <w:r w:rsidRPr="00D04FC4">
        <w:rPr>
          <w:rFonts w:eastAsia="Times New Roman" w:cs="Arial"/>
          <w:color w:val="000000"/>
          <w:szCs w:val="20"/>
          <w:lang w:val="ru-RU"/>
        </w:rPr>
        <w:t xml:space="preserve"> </w:t>
      </w:r>
      <w:r w:rsidRPr="00D04FC4">
        <w:rPr>
          <w:rFonts w:eastAsia="Times New Roman" w:cs="Arial"/>
          <w:color w:val="000000"/>
          <w:szCs w:val="20"/>
          <w:lang w:val="en-US"/>
        </w:rPr>
        <w:t>Hg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през първите два дни след инфаркта се прилага по-ниската дневна доза от 2,5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лизиноприл, последвана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дневно в продължение на 6 седмици. Ако се стигне до хипотония (систолично налягане ≤100 </w:t>
      </w:r>
      <w:r w:rsidRPr="00D04FC4">
        <w:rPr>
          <w:rFonts w:eastAsia="Times New Roman" w:cs="Arial"/>
          <w:color w:val="000000"/>
          <w:szCs w:val="20"/>
          <w:lang w:val="en-US"/>
        </w:rPr>
        <w:t>mmHg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дневната поддържаща доза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се редуцира до 2,5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Ако хипотонията се задържа (систолично налягане &lt;90 </w:t>
      </w:r>
      <w:r w:rsidRPr="00D04FC4">
        <w:rPr>
          <w:rFonts w:eastAsia="Times New Roman" w:cs="Arial"/>
          <w:color w:val="000000"/>
          <w:szCs w:val="20"/>
          <w:lang w:val="en-US"/>
        </w:rPr>
        <w:t>mmHg</w:t>
      </w:r>
      <w:r w:rsidRPr="00D04FC4">
        <w:rPr>
          <w:rFonts w:eastAsia="Times New Roman" w:cs="Arial"/>
          <w:color w:val="000000"/>
          <w:szCs w:val="20"/>
          <w:lang w:val="ru-RU"/>
        </w:rPr>
        <w:t xml:space="preserve"> </w:t>
      </w:r>
      <w:r w:rsidRPr="00D04FC4">
        <w:rPr>
          <w:rFonts w:eastAsia="Times New Roman" w:cs="Arial"/>
          <w:color w:val="000000"/>
          <w:szCs w:val="20"/>
          <w:lang w:eastAsia="bg-BG"/>
        </w:rPr>
        <w:t>в продължение на повече от един час), терапията с лизиноприл трябва да отпадне.</w:t>
      </w:r>
    </w:p>
    <w:p w14:paraId="73E246D7"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 остър инфаркт на миокарда терапията с лизиноприл продължава 6 седмици.</w:t>
      </w:r>
    </w:p>
    <w:p w14:paraId="6AC0ABCE" w14:textId="77777777" w:rsidR="00D04FC4" w:rsidRPr="00D04FC4" w:rsidRDefault="00D04FC4" w:rsidP="00D04FC4">
      <w:pPr>
        <w:spacing w:line="240" w:lineRule="auto"/>
        <w:rPr>
          <w:rFonts w:eastAsia="Times New Roman" w:cs="Arial"/>
          <w:i/>
          <w:iCs/>
          <w:color w:val="000000"/>
          <w:szCs w:val="20"/>
          <w:lang w:eastAsia="bg-BG"/>
        </w:rPr>
      </w:pPr>
    </w:p>
    <w:p w14:paraId="4AC49C92" w14:textId="7A7B6438"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Дозиране при бъбречни увреждания</w:t>
      </w:r>
    </w:p>
    <w:p w14:paraId="21195D41" w14:textId="77777777" w:rsidR="00D04FC4" w:rsidRPr="00D04FC4" w:rsidRDefault="00D04FC4" w:rsidP="00D04FC4">
      <w:pPr>
        <w:rPr>
          <w:rFonts w:eastAsia="Times New Roman" w:cs="Arial"/>
          <w:color w:val="000000"/>
          <w:szCs w:val="20"/>
          <w:lang w:eastAsia="bg-BG"/>
        </w:rPr>
      </w:pPr>
      <w:r w:rsidRPr="00D04FC4">
        <w:rPr>
          <w:rFonts w:eastAsia="Times New Roman" w:cs="Arial"/>
          <w:color w:val="000000"/>
          <w:szCs w:val="20"/>
          <w:lang w:eastAsia="bg-BG"/>
        </w:rPr>
        <w:t xml:space="preserve">При пациенти с увредена бъбречна функция дозирането се съобразява с креатининовия клирънс. При креатининов клирънс 10-30 </w:t>
      </w:r>
      <w:r w:rsidRPr="00D04FC4">
        <w:rPr>
          <w:rFonts w:eastAsia="Times New Roman" w:cs="Arial"/>
          <w:color w:val="000000"/>
          <w:szCs w:val="20"/>
          <w:lang w:val="en-US"/>
        </w:rPr>
        <w:t>mL</w:t>
      </w:r>
      <w:r w:rsidRPr="00D04FC4">
        <w:rPr>
          <w:rFonts w:eastAsia="Times New Roman" w:cs="Arial"/>
          <w:color w:val="000000"/>
          <w:szCs w:val="20"/>
        </w:rPr>
        <w:t>/</w:t>
      </w:r>
      <w:r w:rsidRPr="00D04FC4">
        <w:rPr>
          <w:rFonts w:eastAsia="Times New Roman" w:cs="Arial"/>
          <w:color w:val="000000"/>
          <w:szCs w:val="20"/>
          <w:lang w:val="en-US"/>
        </w:rPr>
        <w:t>min</w:t>
      </w:r>
      <w:r w:rsidRPr="00D04FC4">
        <w:rPr>
          <w:rFonts w:eastAsia="Times New Roman" w:cs="Arial"/>
          <w:color w:val="000000"/>
          <w:szCs w:val="20"/>
        </w:rPr>
        <w:t xml:space="preserve"> </w:t>
      </w:r>
      <w:r w:rsidRPr="00D04FC4">
        <w:rPr>
          <w:rFonts w:eastAsia="Times New Roman" w:cs="Arial"/>
          <w:color w:val="000000"/>
          <w:szCs w:val="20"/>
          <w:lang w:eastAsia="bg-BG"/>
        </w:rPr>
        <w:t xml:space="preserve">първоначалната доза е 5 </w:t>
      </w:r>
      <w:r w:rsidRPr="00D04FC4">
        <w:rPr>
          <w:rFonts w:eastAsia="Times New Roman" w:cs="Arial"/>
          <w:color w:val="000000"/>
          <w:szCs w:val="20"/>
          <w:lang w:val="en-US"/>
        </w:rPr>
        <w:t>mg</w:t>
      </w:r>
      <w:r w:rsidRPr="00D04FC4">
        <w:rPr>
          <w:rFonts w:eastAsia="Times New Roman" w:cs="Arial"/>
          <w:color w:val="000000"/>
          <w:szCs w:val="20"/>
        </w:rPr>
        <w:t xml:space="preserve"> </w:t>
      </w:r>
      <w:r w:rsidRPr="00D04FC4">
        <w:rPr>
          <w:rFonts w:eastAsia="Times New Roman" w:cs="Arial"/>
          <w:color w:val="000000"/>
          <w:szCs w:val="20"/>
          <w:lang w:eastAsia="bg-BG"/>
        </w:rPr>
        <w:t xml:space="preserve">веднъж дневно, докато при пациенти с креатининов клирънс &lt;10 </w:t>
      </w:r>
      <w:r w:rsidRPr="00D04FC4">
        <w:rPr>
          <w:rFonts w:eastAsia="Times New Roman" w:cs="Arial"/>
          <w:color w:val="000000"/>
          <w:szCs w:val="20"/>
          <w:lang w:val="en-US"/>
        </w:rPr>
        <w:t>mL</w:t>
      </w:r>
      <w:r w:rsidRPr="00D04FC4">
        <w:rPr>
          <w:rFonts w:eastAsia="Times New Roman" w:cs="Arial"/>
          <w:color w:val="000000"/>
          <w:szCs w:val="20"/>
        </w:rPr>
        <w:t>/</w:t>
      </w:r>
      <w:r w:rsidRPr="00D04FC4">
        <w:rPr>
          <w:rFonts w:eastAsia="Times New Roman" w:cs="Arial"/>
          <w:color w:val="000000"/>
          <w:szCs w:val="20"/>
          <w:lang w:val="en-US"/>
        </w:rPr>
        <w:t>min</w:t>
      </w:r>
      <w:r w:rsidRPr="00D04FC4">
        <w:rPr>
          <w:rFonts w:eastAsia="Times New Roman" w:cs="Arial"/>
          <w:color w:val="000000"/>
          <w:szCs w:val="20"/>
        </w:rPr>
        <w:t xml:space="preserve"> </w:t>
      </w:r>
      <w:r w:rsidRPr="00D04FC4">
        <w:rPr>
          <w:rFonts w:eastAsia="Times New Roman" w:cs="Arial"/>
          <w:color w:val="000000"/>
          <w:szCs w:val="20"/>
          <w:lang w:eastAsia="bg-BG"/>
        </w:rPr>
        <w:t xml:space="preserve">препоръчваната </w:t>
      </w:r>
      <w:r w:rsidRPr="00D04FC4">
        <w:rPr>
          <w:rFonts w:eastAsia="Times New Roman" w:cs="Arial"/>
          <w:color w:val="000000"/>
          <w:szCs w:val="20"/>
          <w:lang w:eastAsia="bg-BG"/>
        </w:rPr>
        <w:lastRenderedPageBreak/>
        <w:t xml:space="preserve">първоначална доза е 2,5 </w:t>
      </w:r>
      <w:r w:rsidRPr="00D04FC4">
        <w:rPr>
          <w:rFonts w:eastAsia="Times New Roman" w:cs="Arial"/>
          <w:color w:val="000000"/>
          <w:szCs w:val="20"/>
          <w:lang w:val="en-US"/>
        </w:rPr>
        <w:t>mg</w:t>
      </w:r>
      <w:r w:rsidRPr="00D04FC4">
        <w:rPr>
          <w:rFonts w:eastAsia="Times New Roman" w:cs="Arial"/>
          <w:color w:val="000000"/>
          <w:szCs w:val="20"/>
        </w:rPr>
        <w:t xml:space="preserve">. </w:t>
      </w:r>
      <w:r w:rsidRPr="00D04FC4">
        <w:rPr>
          <w:rFonts w:eastAsia="Times New Roman" w:cs="Arial"/>
          <w:color w:val="000000"/>
          <w:szCs w:val="20"/>
          <w:lang w:eastAsia="bg-BG"/>
        </w:rPr>
        <w:t xml:space="preserve">Дозата може да се повишава до нормализиране на кръвното налягане, максимално до 40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дневвно </w:t>
      </w:r>
    </w:p>
    <w:p w14:paraId="65E89877" w14:textId="77777777" w:rsidR="00D04FC4" w:rsidRPr="00D04FC4" w:rsidRDefault="00D04FC4" w:rsidP="00D04FC4">
      <w:pPr>
        <w:rPr>
          <w:rFonts w:eastAsia="Times New Roman" w:cs="Arial"/>
          <w:color w:val="000000"/>
          <w:szCs w:val="20"/>
          <w:lang w:eastAsia="bg-BG"/>
        </w:rPr>
      </w:pPr>
    </w:p>
    <w:p w14:paraId="05D65625" w14:textId="272E07E4" w:rsidR="00D04FC4" w:rsidRPr="00D04FC4" w:rsidRDefault="00D04FC4" w:rsidP="00D04FC4">
      <w:pPr>
        <w:rPr>
          <w:rFonts w:eastAsia="Times New Roman" w:cs="Arial"/>
          <w:color w:val="000000"/>
          <w:szCs w:val="20"/>
          <w:lang w:eastAsia="bg-BG"/>
        </w:rPr>
      </w:pPr>
      <w:r w:rsidRPr="00D04FC4">
        <w:rPr>
          <w:rFonts w:eastAsia="Times New Roman" w:cs="Arial"/>
          <w:color w:val="000000"/>
          <w:szCs w:val="20"/>
          <w:lang w:eastAsia="bg-BG"/>
        </w:rPr>
        <w:t>При остър миокарден инфаркт лечението със Скоприл трябва да се дозира внимателно</w:t>
      </w:r>
      <w:r w:rsidRPr="00D04FC4">
        <w:rPr>
          <w:rFonts w:eastAsia="Times New Roman" w:cs="Arial"/>
          <w:color w:val="000000"/>
          <w:szCs w:val="20"/>
          <w:lang w:val="ru-RU"/>
        </w:rPr>
        <w:t xml:space="preserve"> </w:t>
      </w:r>
      <w:r w:rsidRPr="00D04FC4">
        <w:rPr>
          <w:rFonts w:eastAsia="Times New Roman" w:cs="Arial"/>
          <w:color w:val="000000"/>
          <w:szCs w:val="20"/>
          <w:lang w:eastAsia="bg-BG"/>
        </w:rPr>
        <w:t>при пациенти със съпътстващи нарушени бъбречни функции.</w:t>
      </w:r>
    </w:p>
    <w:p w14:paraId="2BF17691" w14:textId="695E701D" w:rsidR="00D04FC4" w:rsidRPr="00D04FC4" w:rsidRDefault="00D04FC4" w:rsidP="00D04FC4">
      <w:pPr>
        <w:rPr>
          <w:rFonts w:eastAsia="Times New Roman" w:cs="Arial"/>
          <w:color w:val="000000"/>
          <w:szCs w:val="20"/>
          <w:lang w:eastAsia="bg-BG"/>
        </w:rPr>
      </w:pPr>
    </w:p>
    <w:p w14:paraId="2075F133" w14:textId="7777777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Дозиране при съпътстващ прием на диуретици</w:t>
      </w:r>
    </w:p>
    <w:p w14:paraId="67B2FCD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В случай на едновременно приемане на Скоприл и диуретици, диуретикът се спира 2-3 дни преди започване на лечение със Скоприл. При пациенти с хипертония, когато диуретикът не може да бъде спрян, лечението със Скоприл започва с доза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след което се коригира в зависимост от стойностите на кръвното налягане. Ако е наложително, лечението с диуретика може да се поднови, (вж. точки 4.3,4.4,4.5 и 5.1)</w:t>
      </w:r>
    </w:p>
    <w:p w14:paraId="6443BD6B" w14:textId="77777777" w:rsidR="00D04FC4" w:rsidRPr="00D04FC4" w:rsidRDefault="00D04FC4" w:rsidP="00D04FC4">
      <w:pPr>
        <w:spacing w:line="240" w:lineRule="auto"/>
        <w:rPr>
          <w:rFonts w:eastAsia="Times New Roman" w:cs="Arial"/>
          <w:i/>
          <w:iCs/>
          <w:color w:val="000000"/>
          <w:szCs w:val="20"/>
          <w:lang w:eastAsia="bg-BG"/>
        </w:rPr>
      </w:pPr>
    </w:p>
    <w:p w14:paraId="589A3FE9" w14:textId="168415C4"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Дозиране при пациенти в напреднала възраст</w:t>
      </w:r>
    </w:p>
    <w:p w14:paraId="3092A0E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Фармакокинетичниге изследвания показват, че максималните серумни нива и площта под кривата плазмена концентарция/време са удвоени при пациенти в напреднала възраст, което налага специално внимание при дозирането в тази възраст.</w:t>
      </w:r>
    </w:p>
    <w:p w14:paraId="77411308" w14:textId="77777777" w:rsidR="00D04FC4" w:rsidRPr="00D04FC4" w:rsidRDefault="00D04FC4" w:rsidP="00D04FC4">
      <w:pPr>
        <w:spacing w:line="240" w:lineRule="auto"/>
        <w:rPr>
          <w:rFonts w:eastAsia="Times New Roman" w:cs="Arial"/>
          <w:color w:val="000000"/>
          <w:szCs w:val="20"/>
          <w:u w:val="single"/>
          <w:lang w:eastAsia="bg-BG"/>
        </w:rPr>
      </w:pPr>
    </w:p>
    <w:p w14:paraId="04331D1A" w14:textId="4FA7E676" w:rsidR="00D04FC4" w:rsidRPr="00D04FC4" w:rsidRDefault="00D04FC4" w:rsidP="00D04FC4">
      <w:pPr>
        <w:pStyle w:val="Heading3"/>
        <w:rPr>
          <w:rFonts w:eastAsia="Times New Roman"/>
          <w:sz w:val="28"/>
          <w:u w:val="single"/>
        </w:rPr>
      </w:pPr>
      <w:r w:rsidRPr="00D04FC4">
        <w:rPr>
          <w:rFonts w:eastAsia="Times New Roman"/>
          <w:u w:val="single"/>
          <w:lang w:eastAsia="bg-BG"/>
        </w:rPr>
        <w:t>Начин на приложение</w:t>
      </w:r>
    </w:p>
    <w:p w14:paraId="37F032DB"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Перорално.</w:t>
      </w:r>
    </w:p>
    <w:p w14:paraId="14DBCF2E"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Скоприл таблетките могат да се приемат преди, по време или след хранене.</w:t>
      </w:r>
    </w:p>
    <w:p w14:paraId="509ED1F5" w14:textId="56E4E283" w:rsidR="00D04FC4" w:rsidRPr="00D04FC4" w:rsidRDefault="00D04FC4" w:rsidP="00D04FC4"/>
    <w:p w14:paraId="6A85390E" w14:textId="7A34CEAA" w:rsidR="00DF4C8E" w:rsidRDefault="002C50EE" w:rsidP="00F44498">
      <w:pPr>
        <w:pStyle w:val="Heading2"/>
      </w:pPr>
      <w:r>
        <w:t>4.3. Противопоказания</w:t>
      </w:r>
    </w:p>
    <w:p w14:paraId="56E95C19" w14:textId="25D295BB" w:rsidR="00D04FC4" w:rsidRDefault="00D04FC4" w:rsidP="00D04FC4"/>
    <w:p w14:paraId="401B7F2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Свръхчувствителност към активното вещество лизиноприл или към други АСЕ-инхибитори, както и към някое от помощните вещества, изброени в точка 6.1. Анамнеза за ангиоедем, свързан с предхождащо лечение с АСЕ-инхибитори.</w:t>
      </w:r>
    </w:p>
    <w:p w14:paraId="79E8FB0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Едновременната употреба на Скоприл с алискирен-съдържащи продукти е противопоказана при пациенти със захарен диабет или бъбречно увреждане </w:t>
      </w:r>
      <w:r w:rsidRPr="00D04FC4">
        <w:rPr>
          <w:rFonts w:eastAsia="Times New Roman" w:cs="Arial"/>
          <w:color w:val="000000"/>
          <w:szCs w:val="20"/>
          <w:lang w:val="ru-RU"/>
        </w:rPr>
        <w:t>(</w:t>
      </w:r>
      <w:r w:rsidRPr="00D04FC4">
        <w:rPr>
          <w:rFonts w:eastAsia="Times New Roman" w:cs="Arial"/>
          <w:color w:val="000000"/>
          <w:szCs w:val="20"/>
          <w:lang w:val="en-US"/>
        </w:rPr>
        <w:t>GFR</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&lt; 60 </w:t>
      </w:r>
      <w:r w:rsidRPr="00D04FC4">
        <w:rPr>
          <w:rFonts w:eastAsia="Times New Roman" w:cs="Arial"/>
          <w:color w:val="000000"/>
          <w:szCs w:val="20"/>
          <w:lang w:val="en-US"/>
        </w:rPr>
        <w:t>ml</w:t>
      </w:r>
      <w:r w:rsidRPr="00D04FC4">
        <w:rPr>
          <w:rFonts w:eastAsia="Times New Roman" w:cs="Arial"/>
          <w:color w:val="000000"/>
          <w:szCs w:val="20"/>
          <w:lang w:val="ru-RU"/>
        </w:rPr>
        <w:t>/</w:t>
      </w:r>
      <w:r w:rsidRPr="00D04FC4">
        <w:rPr>
          <w:rFonts w:eastAsia="Times New Roman" w:cs="Arial"/>
          <w:color w:val="000000"/>
          <w:szCs w:val="20"/>
          <w:lang w:val="en-US"/>
        </w:rPr>
        <w:t>min</w:t>
      </w:r>
      <w:r w:rsidRPr="00D04FC4">
        <w:rPr>
          <w:rFonts w:eastAsia="Times New Roman" w:cs="Arial"/>
          <w:color w:val="000000"/>
          <w:szCs w:val="20"/>
          <w:lang w:val="ru-RU"/>
        </w:rPr>
        <w:t xml:space="preserve">/1,73 </w:t>
      </w:r>
      <w:r w:rsidRPr="00D04FC4">
        <w:rPr>
          <w:rFonts w:eastAsia="Times New Roman" w:cs="Arial"/>
          <w:color w:val="000000"/>
          <w:szCs w:val="20"/>
          <w:lang w:eastAsia="bg-BG"/>
        </w:rPr>
        <w:t>m2) (вж. точки 4.5 и 5.1) Съпътстваща употреба при терапия със сакубитрил/валсартан. Скоприл не трябва да се започва по- рано от 36 часа след последната доза сакубитрил/валсартан (вж. също точки 4.4 и 4.5).</w:t>
      </w:r>
    </w:p>
    <w:p w14:paraId="1AC6EE1E" w14:textId="77777777" w:rsidR="00D04FC4" w:rsidRPr="00D04FC4" w:rsidRDefault="00D04FC4" w:rsidP="00D04FC4"/>
    <w:p w14:paraId="115C9528" w14:textId="7C2C131C" w:rsidR="00DF4C8E" w:rsidRDefault="002C50EE" w:rsidP="00F44498">
      <w:pPr>
        <w:pStyle w:val="Heading2"/>
      </w:pPr>
      <w:r>
        <w:t>4.4. Специални предупреждения и предпазни мерки при употреба</w:t>
      </w:r>
    </w:p>
    <w:p w14:paraId="41E61BB2" w14:textId="33C165B0" w:rsidR="00D04FC4" w:rsidRDefault="00D04FC4" w:rsidP="00D04FC4"/>
    <w:p w14:paraId="5DB98C06" w14:textId="77777777"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Реноваскуларни заболявания</w:t>
      </w:r>
    </w:p>
    <w:p w14:paraId="323D9F51"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Като последствие от инхибирането на системата ренин-ангиотензин-алдостерон при определени индивиди, особено такива с увредена бъбречната функция, може да се очакват промени в бъбречната функция. Особено внимание е необходимо през първите 2-5 седмици от лечението и при необходимост дозата се намалява или терапията с лизиноприл се преустановява.</w:t>
      </w:r>
    </w:p>
    <w:p w14:paraId="3CDAA4CD" w14:textId="77777777" w:rsidR="00D04FC4" w:rsidRPr="00D04FC4" w:rsidRDefault="00D04FC4" w:rsidP="00D04FC4">
      <w:pPr>
        <w:spacing w:line="240" w:lineRule="auto"/>
        <w:rPr>
          <w:rFonts w:eastAsia="Times New Roman" w:cs="Arial"/>
          <w:i/>
          <w:iCs/>
          <w:color w:val="000000"/>
          <w:lang w:eastAsia="bg-BG"/>
        </w:rPr>
      </w:pPr>
    </w:p>
    <w:p w14:paraId="0115B7CD" w14:textId="62AA5DBA"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Двойно блокиране наренин-ангиотензин-алдостероновата система (РААС)</w:t>
      </w:r>
    </w:p>
    <w:p w14:paraId="3938F0FD"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Има данни, че едновременната употреба на АСЕ инхибитори, ангиотензин </w:t>
      </w:r>
      <w:r w:rsidRPr="00D04FC4">
        <w:rPr>
          <w:rFonts w:eastAsia="Times New Roman" w:cs="Arial"/>
          <w:color w:val="000000"/>
          <w:lang w:val="en-US"/>
        </w:rPr>
        <w:t>II</w:t>
      </w:r>
      <w:r w:rsidRPr="00D04FC4">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D04FC4">
        <w:rPr>
          <w:rFonts w:eastAsia="Times New Roman" w:cs="Arial"/>
          <w:color w:val="000000"/>
          <w:lang w:val="en-US"/>
        </w:rPr>
        <w:t>II</w:t>
      </w:r>
      <w:r w:rsidRPr="00D04FC4">
        <w:rPr>
          <w:rFonts w:eastAsia="Times New Roman" w:cs="Arial"/>
          <w:color w:val="000000"/>
          <w:lang w:eastAsia="bg-BG"/>
        </w:rPr>
        <w:t>-рецепторни блокери или алискирен (вж. точки 4.5 и 5.1).</w:t>
      </w:r>
    </w:p>
    <w:p w14:paraId="01435222" w14:textId="75332BCA"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lastRenderedPageBreak/>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1D66EB9A" w14:textId="4723CDC5" w:rsidR="00D04FC4" w:rsidRPr="00D04FC4" w:rsidRDefault="00D04FC4" w:rsidP="00D04FC4">
      <w:pPr>
        <w:rPr>
          <w:rFonts w:eastAsia="Times New Roman" w:cs="Arial"/>
          <w:color w:val="000000"/>
          <w:lang w:eastAsia="bg-BG"/>
        </w:rPr>
      </w:pPr>
      <w:r w:rsidRPr="00D04FC4">
        <w:rPr>
          <w:rFonts w:eastAsia="Times New Roman" w:cs="Arial"/>
          <w:color w:val="000000"/>
          <w:lang w:eastAsia="bg-BG"/>
        </w:rPr>
        <w:t xml:space="preserve">АСЕ инхибитори и ангиотензин </w:t>
      </w:r>
      <w:r w:rsidRPr="00D04FC4">
        <w:rPr>
          <w:rFonts w:eastAsia="Times New Roman" w:cs="Arial"/>
          <w:color w:val="000000"/>
          <w:lang w:val="en-US"/>
        </w:rPr>
        <w:t>II</w:t>
      </w:r>
      <w:r w:rsidRPr="00D04FC4">
        <w:rPr>
          <w:rFonts w:eastAsia="Times New Roman" w:cs="Arial"/>
          <w:color w:val="000000"/>
          <w:lang w:eastAsia="bg-BG"/>
        </w:rPr>
        <w:t>-рецепторни блокери не трябва да се използват едновременно</w:t>
      </w:r>
      <w:r w:rsidRPr="00D04FC4">
        <w:rPr>
          <w:rFonts w:eastAsia="Times New Roman" w:cs="Arial"/>
          <w:color w:val="000000"/>
          <w:vertAlign w:val="superscript"/>
          <w:lang w:eastAsia="bg-BG"/>
        </w:rPr>
        <w:t xml:space="preserve"> </w:t>
      </w:r>
      <w:r w:rsidRPr="00D04FC4">
        <w:rPr>
          <w:rFonts w:eastAsia="Times New Roman" w:cs="Arial"/>
          <w:color w:val="000000"/>
          <w:lang w:eastAsia="bg-BG"/>
        </w:rPr>
        <w:t>при пациенти с диабетна нефропатия.</w:t>
      </w:r>
    </w:p>
    <w:p w14:paraId="4399D7A8" w14:textId="7FF320BE" w:rsidR="00D04FC4" w:rsidRPr="00D04FC4" w:rsidRDefault="00D04FC4" w:rsidP="00D04FC4">
      <w:pPr>
        <w:rPr>
          <w:rFonts w:eastAsia="Times New Roman" w:cs="Arial"/>
          <w:color w:val="000000"/>
          <w:lang w:eastAsia="bg-BG"/>
        </w:rPr>
      </w:pPr>
    </w:p>
    <w:p w14:paraId="7BA1A911" w14:textId="77777777"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Аортна стеноза/хипертрофична кардиомиопатия</w:t>
      </w:r>
    </w:p>
    <w:p w14:paraId="03DFE81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Лизиноприл се дава с особено внимание при пациенти с обструкция при изхода на лявата камера.</w:t>
      </w:r>
    </w:p>
    <w:p w14:paraId="049E6515" w14:textId="77777777" w:rsidR="00D04FC4" w:rsidRPr="00D04FC4" w:rsidRDefault="00D04FC4" w:rsidP="00D04FC4">
      <w:pPr>
        <w:spacing w:line="240" w:lineRule="auto"/>
        <w:rPr>
          <w:rFonts w:eastAsia="Times New Roman" w:cs="Arial"/>
          <w:i/>
          <w:iCs/>
          <w:color w:val="000000"/>
          <w:lang w:eastAsia="bg-BG"/>
        </w:rPr>
      </w:pPr>
    </w:p>
    <w:p w14:paraId="3FD77806" w14:textId="27E7D9E1"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Хипотония</w:t>
      </w:r>
    </w:p>
    <w:p w14:paraId="4824447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Необходимо е внимание при едновременно приложение на лизиноприл и диуретици поради допълнителния антихипертензивен ефект.</w:t>
      </w:r>
    </w:p>
    <w:p w14:paraId="5CFE6EA7" w14:textId="77777777" w:rsidR="00D04FC4" w:rsidRPr="00D04FC4" w:rsidRDefault="00D04FC4" w:rsidP="00D04FC4">
      <w:pPr>
        <w:spacing w:line="240" w:lineRule="auto"/>
        <w:rPr>
          <w:rFonts w:eastAsia="Times New Roman" w:cs="Arial"/>
          <w:i/>
          <w:iCs/>
          <w:color w:val="000000"/>
          <w:lang w:eastAsia="bg-BG"/>
        </w:rPr>
      </w:pPr>
    </w:p>
    <w:p w14:paraId="32634B3E" w14:textId="0BB5EAD4"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Серумен калии</w:t>
      </w:r>
    </w:p>
    <w:p w14:paraId="264A645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АСЕ инхибиторите могат да предизвикат хиперкалиемия, тъй като инхнбират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обаче, захарен диабет, хипоалдостеронизъм и/или при пациенти, приемащи хранителни добавки, съдържащи калий (включително заместители на солта), калий-съхраняващи диуретици, хепарин, триметоприм или ко-тримоксазол, известен също като триметоприм/сулфаметоксазол, и особено антагонисти на алдостерона или ангиотензин- рецепторни блокери, може да възникне хиперкалемия. Калий-съхраняващите диуретици и ангиотензин-рецепторните блокери трябва да се прилагат внимателно при пациенти, приемащи АСЕ инхибитори, като серумният калий и бъбречната функция трябва да се проследяват (вж. точка 4.5).</w:t>
      </w:r>
    </w:p>
    <w:p w14:paraId="0EF816C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Ако съпътстващата употреба на горепосочените средства се счита за целесъобразна, се препоръчва редовно проследяване на серумния калий (вж. точка 4.5).</w:t>
      </w:r>
    </w:p>
    <w:p w14:paraId="36DA1544" w14:textId="77777777" w:rsidR="00D04FC4" w:rsidRPr="00D04FC4" w:rsidRDefault="00D04FC4" w:rsidP="00D04FC4">
      <w:pPr>
        <w:spacing w:line="240" w:lineRule="auto"/>
        <w:rPr>
          <w:rFonts w:eastAsia="Times New Roman" w:cs="Arial"/>
          <w:i/>
          <w:iCs/>
          <w:color w:val="000000"/>
          <w:u w:val="single"/>
          <w:lang w:eastAsia="bg-BG"/>
        </w:rPr>
      </w:pPr>
    </w:p>
    <w:p w14:paraId="5E8E9A78" w14:textId="4B989006" w:rsidR="00D04FC4" w:rsidRPr="00D04FC4" w:rsidRDefault="00D04FC4" w:rsidP="00D04FC4">
      <w:pPr>
        <w:spacing w:line="240" w:lineRule="auto"/>
        <w:rPr>
          <w:rFonts w:eastAsia="Times New Roman" w:cs="Arial"/>
        </w:rPr>
      </w:pPr>
      <w:r w:rsidRPr="00D04FC4">
        <w:rPr>
          <w:rFonts w:eastAsia="Times New Roman" w:cs="Arial"/>
          <w:i/>
          <w:iCs/>
          <w:color w:val="000000"/>
          <w:u w:val="single"/>
          <w:lang w:eastAsia="bg-BG"/>
        </w:rPr>
        <w:t>Педиатрична популация</w:t>
      </w:r>
    </w:p>
    <w:p w14:paraId="1FC8E70E"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Безопасността и ефикасността на Скоприл при деца все още не са установени.</w:t>
      </w:r>
    </w:p>
    <w:p w14:paraId="18DAC626" w14:textId="77777777" w:rsidR="00D04FC4" w:rsidRPr="00D04FC4" w:rsidRDefault="00D04FC4" w:rsidP="00D04FC4">
      <w:pPr>
        <w:spacing w:line="240" w:lineRule="auto"/>
        <w:rPr>
          <w:rFonts w:eastAsia="Times New Roman" w:cs="Arial"/>
          <w:i/>
          <w:iCs/>
          <w:color w:val="000000"/>
          <w:lang w:eastAsia="bg-BG"/>
        </w:rPr>
      </w:pPr>
    </w:p>
    <w:p w14:paraId="7954C86B" w14:textId="676E986F"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Увредена бъбречна функция</w:t>
      </w:r>
    </w:p>
    <w:p w14:paraId="4499A3E3"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Като следствие от инхибирането на системата ренин-ангиотензин-алдостерон при определени индивиди може да се очакват промени в бъбречната функция.</w:t>
      </w:r>
    </w:p>
    <w:p w14:paraId="55310E6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Пациенти с тежка конгестивна сърдечна недостатъчност, чиито бъбречни функции зависят от активността на системата ренин-ангиотензин-алдостерон, са най-податливи на бъбречни увреждания. Лечението с АСЕ-инхибитори, в това число и с лизиноприл, може да доведе до олигурия и/или прогресивна азотемия и рядко до остра бъбречна недостатъчност и/или смърт. При пациенти с едностранна или двустранна стеноза на бъбречната артерия може да се наблюдава увеличение на кръвната урея и серумния креатинин, което обикновено е обратимо след преустановяване на приема на лизиноприл. При такива пациенти бъбречната функция трябва да се контролира през първите няколко седмици на лечението.</w:t>
      </w:r>
    </w:p>
    <w:p w14:paraId="5602AEE8"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Специално внимание е необходимо при пациенти с периферни съдови заболявания или с генерализирана артериосклероза, които приемат лизиноприл, заради възможното наличие на безсимптомна реноваскуларна болест.</w:t>
      </w:r>
    </w:p>
    <w:p w14:paraId="3FFCCF2D"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Пациенти с остър миокарден инфаркт не бива да се лекуват с лизиноприл, ако съществуват данни за увредена бъбречна функция, определена от серумен креатинин над 177 μ</w:t>
      </w:r>
      <w:proofErr w:type="spellStart"/>
      <w:r w:rsidRPr="00D04FC4">
        <w:rPr>
          <w:rFonts w:eastAsia="Times New Roman" w:cs="Arial"/>
          <w:color w:val="000000"/>
          <w:lang w:val="en-US"/>
        </w:rPr>
        <w:t>mol</w:t>
      </w:r>
      <w:proofErr w:type="spellEnd"/>
      <w:r w:rsidRPr="00D04FC4">
        <w:rPr>
          <w:rFonts w:eastAsia="Times New Roman" w:cs="Arial"/>
          <w:color w:val="000000"/>
          <w:lang w:val="ru-RU"/>
        </w:rPr>
        <w:t xml:space="preserve"> </w:t>
      </w:r>
      <w:r w:rsidRPr="00D04FC4">
        <w:rPr>
          <w:rFonts w:eastAsia="Times New Roman" w:cs="Arial"/>
          <w:color w:val="000000"/>
          <w:lang w:eastAsia="bg-BG"/>
        </w:rPr>
        <w:t xml:space="preserve">и/или протеинурия над 500 </w:t>
      </w:r>
      <w:r w:rsidRPr="00D04FC4">
        <w:rPr>
          <w:rFonts w:eastAsia="Times New Roman" w:cs="Arial"/>
          <w:color w:val="000000"/>
          <w:lang w:val="en-US"/>
        </w:rPr>
        <w:t>mg</w:t>
      </w:r>
      <w:r w:rsidRPr="00D04FC4">
        <w:rPr>
          <w:rFonts w:eastAsia="Times New Roman" w:cs="Arial"/>
          <w:color w:val="000000"/>
          <w:lang w:val="ru-RU"/>
        </w:rPr>
        <w:t xml:space="preserve">/24 </w:t>
      </w:r>
      <w:r w:rsidRPr="00D04FC4">
        <w:rPr>
          <w:rFonts w:eastAsia="Times New Roman" w:cs="Arial"/>
          <w:color w:val="000000"/>
          <w:lang w:eastAsia="bg-BG"/>
        </w:rPr>
        <w:t xml:space="preserve">часа, а при пациенти с кръвно налягане под 100 </w:t>
      </w:r>
      <w:r w:rsidRPr="00D04FC4">
        <w:rPr>
          <w:rFonts w:eastAsia="Times New Roman" w:cs="Arial"/>
          <w:color w:val="000000"/>
          <w:lang w:val="en-US"/>
        </w:rPr>
        <w:t>mmHg</w:t>
      </w:r>
      <w:r w:rsidRPr="00D04FC4">
        <w:rPr>
          <w:rFonts w:eastAsia="Times New Roman" w:cs="Arial"/>
          <w:color w:val="000000"/>
          <w:lang w:val="ru-RU"/>
        </w:rPr>
        <w:t xml:space="preserve"> </w:t>
      </w:r>
      <w:r w:rsidRPr="00D04FC4">
        <w:rPr>
          <w:rFonts w:eastAsia="Times New Roman" w:cs="Arial"/>
          <w:color w:val="000000"/>
          <w:lang w:eastAsia="bg-BG"/>
        </w:rPr>
        <w:t>не бива да се започва лечение с лизиноприл.</w:t>
      </w:r>
    </w:p>
    <w:p w14:paraId="6FE8499B" w14:textId="77777777" w:rsidR="00D04FC4" w:rsidRPr="00D04FC4" w:rsidRDefault="00D04FC4" w:rsidP="00D04FC4">
      <w:pPr>
        <w:spacing w:line="240" w:lineRule="auto"/>
        <w:rPr>
          <w:rFonts w:eastAsia="Times New Roman" w:cs="Arial"/>
          <w:i/>
          <w:iCs/>
          <w:color w:val="000000"/>
          <w:lang w:eastAsia="bg-BG"/>
        </w:rPr>
      </w:pPr>
    </w:p>
    <w:p w14:paraId="60A4C378" w14:textId="1BF061E5"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Хипотония</w:t>
      </w:r>
    </w:p>
    <w:p w14:paraId="14BFB6C8" w14:textId="77777777" w:rsidR="00D04FC4" w:rsidRPr="00D04FC4" w:rsidRDefault="00D04FC4" w:rsidP="00D04FC4">
      <w:pPr>
        <w:rPr>
          <w:rFonts w:eastAsia="Times New Roman" w:cs="Arial"/>
        </w:rPr>
      </w:pPr>
      <w:r w:rsidRPr="00D04FC4">
        <w:rPr>
          <w:rFonts w:eastAsia="Times New Roman" w:cs="Arial"/>
          <w:color w:val="000000"/>
          <w:lang w:eastAsia="bg-BG"/>
        </w:rPr>
        <w:t xml:space="preserve">Необходимо е специално внимание при започване на терапия с лизиноприл при пациенти, приемащи диуретици, пациенти с ограничен прием на соли, при пациенти на диализа, дехидратирани или с конгестивна сърдечна недостатъчност, тъй като може да се появи хипотония като максималното понижение на кръвното налягане да настъпи 6 до 8 часа след приема на дозата. Пациентите с риск от поява на значителна хипотония, свързана понякога с олигурия и/или прогресивна азотемия и рядко с остра бъбречна недостатъчност и/или смърт, са тези със следните състояния или характеристики: сърдечна недостатъчност със систолично кръвно налягане по- ниско от 100 </w:t>
      </w:r>
      <w:r w:rsidRPr="00D04FC4">
        <w:rPr>
          <w:rFonts w:eastAsia="Times New Roman" w:cs="Arial"/>
          <w:color w:val="000000"/>
          <w:lang w:val="en-US"/>
        </w:rPr>
        <w:t>mmHg</w:t>
      </w:r>
      <w:r w:rsidRPr="00D04FC4">
        <w:rPr>
          <w:rFonts w:eastAsia="Times New Roman" w:cs="Arial"/>
          <w:color w:val="000000"/>
          <w:lang w:val="ru-RU"/>
        </w:rPr>
        <w:t xml:space="preserve">, </w:t>
      </w:r>
      <w:r w:rsidRPr="00D04FC4">
        <w:rPr>
          <w:rFonts w:eastAsia="Times New Roman" w:cs="Arial"/>
          <w:color w:val="000000"/>
          <w:lang w:eastAsia="bg-BG"/>
        </w:rPr>
        <w:t>хипонатриемия, терапия с високи дози диуретици, скорошна интензивна диуреза или увеличена наскоро доза на диуретика, бъбречна диализа или тежка хиповолемия и/или недостиг на соли с различна етиология. При такива пациенти терапията трябва да започне под строг лекарски контрол, като пациентите се следят отблизо през първите две седмици от лечението и при всяко повишение на дозата на лизиноприл и/или диуретика.</w:t>
      </w:r>
    </w:p>
    <w:p w14:paraId="19D3CF74"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Подобни съображения има и при пациенти с исхемична болест на сърцето или мозъчносъдова болест или при пациенти с остър миокарден инфаркт, при които значителният спад на кръвното налягане може да доведе до инфаркт или мозъчно-съдов инцидент.</w:t>
      </w:r>
    </w:p>
    <w:p w14:paraId="6DCA62D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При пациенти, подложени на обща анестезия с медикаменти, водещи до хипотония, лизиноприл може да блокира образуването на ангиотензин </w:t>
      </w:r>
      <w:r w:rsidRPr="00D04FC4">
        <w:rPr>
          <w:rFonts w:eastAsia="Times New Roman" w:cs="Arial"/>
          <w:color w:val="000000"/>
          <w:lang w:val="en-US"/>
        </w:rPr>
        <w:t>II</w:t>
      </w:r>
      <w:r w:rsidRPr="00D04FC4">
        <w:rPr>
          <w:rFonts w:eastAsia="Times New Roman" w:cs="Arial"/>
          <w:color w:val="000000"/>
          <w:lang w:eastAsia="bg-BG"/>
        </w:rPr>
        <w:t>, вторично на компенсаторното освобождаване на ренин. Анестезиологът трябва да бъде уведомен, че пациентът приема АСЕ-инхибитор. Ако се прецени че появата на хипотония се дължи на този механизъм на действие, тя може да се коригира чрез увеличаване на плазмения обем.</w:t>
      </w:r>
    </w:p>
    <w:p w14:paraId="5777ED08" w14:textId="77777777" w:rsidR="00D04FC4" w:rsidRPr="00D04FC4" w:rsidRDefault="00D04FC4" w:rsidP="00D04FC4">
      <w:pPr>
        <w:spacing w:line="240" w:lineRule="auto"/>
        <w:rPr>
          <w:rFonts w:eastAsia="Times New Roman" w:cs="Arial"/>
          <w:i/>
          <w:iCs/>
          <w:color w:val="000000"/>
          <w:lang w:eastAsia="bg-BG"/>
        </w:rPr>
      </w:pPr>
    </w:p>
    <w:p w14:paraId="083EB9CF" w14:textId="045F4F75"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Анафилактоидни и свързани подобни реакции</w:t>
      </w:r>
    </w:p>
    <w:p w14:paraId="696AFCA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Тъй като инхибиторите на ангиотензин-конвертиращия ензим повлияват метаболизма на ейкосаноидите и на полипептидите, включително и на ендогенния брадикинин, пациентите, приемащи АСЕ-инхибитори (в това число и лизиноприл), могат да изпитат различни нежелани реакции, като някои от тях са сериозни. Съобщавано е за ангиоедем по лицето, крайниците, устните, езика, глътката и/или ларинкса при пациенти, лекувани с АСЕ-инхибитори, включително лизиноприл. Това може да се случи по всяко време на лечението. В такива случаи приемът на лизиноприл се преустановява незабавно и се назначава подходяща терапия и строго наблюдение до пълното отзвучаване на симптомите.</w:t>
      </w:r>
    </w:p>
    <w:p w14:paraId="486BBDA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Пациенти с история за наследствен или идеопатичен ангиоедем, без връзка с предхождаща терапия с АСЕ-инхибитор, могат да бъдат с повишен риск от поява на ангиоедем в хода на лечение с АСЕ-инхибитор. Затова терапията с лизиноприл или други АСЕ-инхибитори при такива пациенти трябва да се избягва.</w:t>
      </w:r>
    </w:p>
    <w:p w14:paraId="68579CD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При пациенти, приемащи АСЕ-инхибитори по време на </w:t>
      </w:r>
      <w:r w:rsidRPr="00D04FC4">
        <w:rPr>
          <w:rFonts w:eastAsia="Times New Roman" w:cs="Arial"/>
          <w:color w:val="000000"/>
          <w:lang w:val="en-US"/>
        </w:rPr>
        <w:t>LDL</w:t>
      </w:r>
      <w:r w:rsidRPr="00D04FC4">
        <w:rPr>
          <w:rFonts w:eastAsia="Times New Roman" w:cs="Arial"/>
          <w:color w:val="000000"/>
          <w:lang w:eastAsia="bg-BG"/>
        </w:rPr>
        <w:t>-афереза с декстрансулфат, е възможно да се развият животозастрашаващи анафилактоидни реакции. Поради това терапията с АСЕ-инхибитори се преустановява непосредствено преди всяка афереза.</w:t>
      </w:r>
    </w:p>
    <w:p w14:paraId="0428B08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При пациенти, приемащи АСЕ-инхибитори по време на специфична десенсибилизация срещу отрови на насекоми, е възможно да се развият животозастрашаващи анафилактоидни реакции. Това налага терапията с АСЕ-инхибитора да се прекрати в периода на десенсибилизацията.</w:t>
      </w:r>
    </w:p>
    <w:p w14:paraId="280935BD" w14:textId="2ECD2838"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Има съобщения за анафилактоидни реакции при пациенти на хемодиализа с високопропускливи мембрани </w:t>
      </w:r>
      <w:r w:rsidRPr="00D04FC4">
        <w:rPr>
          <w:rFonts w:eastAsia="Times New Roman" w:cs="Arial"/>
          <w:color w:val="000000"/>
          <w:lang w:val="ru-RU"/>
        </w:rPr>
        <w:t>(</w:t>
      </w:r>
      <w:r w:rsidRPr="00D04FC4">
        <w:rPr>
          <w:rFonts w:eastAsia="Times New Roman" w:cs="Arial"/>
          <w:color w:val="000000"/>
          <w:lang w:val="en-US"/>
        </w:rPr>
        <w:t>AN</w:t>
      </w:r>
      <w:r w:rsidRPr="00D04FC4">
        <w:rPr>
          <w:rFonts w:eastAsia="Times New Roman" w:cs="Arial"/>
          <w:color w:val="000000"/>
          <w:lang w:val="ru-RU"/>
        </w:rPr>
        <w:t xml:space="preserve"> </w:t>
      </w:r>
      <w:r w:rsidRPr="00D04FC4">
        <w:rPr>
          <w:rFonts w:eastAsia="Times New Roman" w:cs="Arial"/>
          <w:color w:val="000000"/>
          <w:lang w:eastAsia="bg-BG"/>
        </w:rPr>
        <w:t xml:space="preserve">69), които са били на лечение с АСЕ-инхибитор. При </w:t>
      </w:r>
      <w:r w:rsidRPr="00D04FC4">
        <w:rPr>
          <w:rFonts w:eastAsia="Times New Roman" w:cs="Arial"/>
          <w:color w:val="000000"/>
          <w:lang w:eastAsia="bg-BG"/>
        </w:rPr>
        <w:lastRenderedPageBreak/>
        <w:t>такива пациенти трябва да се прецени дали да се смени вида на диализната мембрана или да се премине към друг клас антихипертензивни средства.</w:t>
      </w:r>
    </w:p>
    <w:p w14:paraId="0F8CBDCB" w14:textId="2559D93C" w:rsidR="00D04FC4" w:rsidRPr="00D04FC4" w:rsidRDefault="00D04FC4" w:rsidP="00D04FC4">
      <w:pPr>
        <w:spacing w:line="240" w:lineRule="auto"/>
        <w:rPr>
          <w:rFonts w:eastAsia="Times New Roman" w:cs="Arial"/>
          <w:color w:val="000000"/>
          <w:lang w:eastAsia="bg-BG"/>
        </w:rPr>
      </w:pPr>
    </w:p>
    <w:p w14:paraId="77898E19" w14:textId="77777777"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Свръхчувствителност/ангиоедем:</w:t>
      </w:r>
    </w:p>
    <w:p w14:paraId="731D573B"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лизиноприл. Лечение с лизиноприл не трябва да се започва по-рано от 36 часа след последната доза сакубитрил/валсартан (вж. точки 4.3 и 4.5).</w:t>
      </w:r>
    </w:p>
    <w:p w14:paraId="47A85FE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Съпътстваща употреба на АСЕ инхибитори с рацекадотрил, </w:t>
      </w:r>
      <w:proofErr w:type="spellStart"/>
      <w:r w:rsidRPr="00D04FC4">
        <w:rPr>
          <w:rFonts w:eastAsia="Times New Roman" w:cs="Arial"/>
          <w:color w:val="000000"/>
          <w:lang w:val="en-US"/>
        </w:rPr>
        <w:t>mTOR</w:t>
      </w:r>
      <w:proofErr w:type="spellEnd"/>
      <w:r w:rsidRPr="00D04FC4">
        <w:rPr>
          <w:rFonts w:eastAsia="Times New Roman" w:cs="Arial"/>
          <w:color w:val="000000"/>
          <w:lang w:val="ru-RU"/>
        </w:rPr>
        <w:t xml:space="preserve"> </w:t>
      </w:r>
      <w:r w:rsidRPr="00D04FC4">
        <w:rPr>
          <w:rFonts w:eastAsia="Times New Roman" w:cs="Arial"/>
          <w:color w:val="000000"/>
          <w:lang w:eastAsia="bg-BG"/>
        </w:rPr>
        <w:t>(напр. сиролимус, еверолимус, темсиролимус) и вилдаглиптин може да доведе до повишен риск от ангиоедем (напр. оток на дихателните пътища или езика, със или без нарушение на дишането) (вж. точка 4.5).</w:t>
      </w:r>
    </w:p>
    <w:p w14:paraId="2174094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Необходимо е да се подходи с повишено внимание, когато се започва лечение с рацекадотрил, </w:t>
      </w:r>
      <w:proofErr w:type="spellStart"/>
      <w:r w:rsidRPr="00D04FC4">
        <w:rPr>
          <w:rFonts w:eastAsia="Times New Roman" w:cs="Arial"/>
          <w:color w:val="000000"/>
          <w:lang w:val="en-US"/>
        </w:rPr>
        <w:t>mTOR</w:t>
      </w:r>
      <w:proofErr w:type="spellEnd"/>
      <w:r w:rsidRPr="00D04FC4">
        <w:rPr>
          <w:rFonts w:eastAsia="Times New Roman" w:cs="Arial"/>
          <w:color w:val="000000"/>
          <w:lang w:val="ru-RU"/>
        </w:rPr>
        <w:t xml:space="preserve"> </w:t>
      </w:r>
      <w:r w:rsidRPr="00D04FC4">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3DCD901E" w14:textId="77777777" w:rsidR="00D04FC4" w:rsidRPr="00D04FC4" w:rsidRDefault="00D04FC4" w:rsidP="00D04FC4">
      <w:pPr>
        <w:spacing w:line="240" w:lineRule="auto"/>
        <w:rPr>
          <w:rFonts w:eastAsia="Times New Roman" w:cs="Arial"/>
          <w:i/>
          <w:iCs/>
          <w:color w:val="000000"/>
          <w:lang w:eastAsia="bg-BG"/>
        </w:rPr>
      </w:pPr>
    </w:p>
    <w:p w14:paraId="7B955D0E" w14:textId="3E577FC5"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Неутропения/агранул оцитоза</w:t>
      </w:r>
    </w:p>
    <w:p w14:paraId="2C1FE7F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Тъй като друг инхибитор на ангиотензин-конвертиращия ензим - каптоприл - може да доведе до агранулоцитоза и потискане на костния мозък, макар и рядко при пациенти без усложнения, и по- често при пациенти с бъбречни нарушения, особено при наличие на колагенози, необходимо е периодично проследяване на броя на белите кръвни клетки при пациенти с колагенози и бъбречни заболявалия.</w:t>
      </w:r>
    </w:p>
    <w:p w14:paraId="3D646A86" w14:textId="77777777" w:rsidR="00D04FC4" w:rsidRPr="00D04FC4" w:rsidRDefault="00D04FC4" w:rsidP="00D04FC4">
      <w:pPr>
        <w:spacing w:line="240" w:lineRule="auto"/>
        <w:rPr>
          <w:rFonts w:eastAsia="Times New Roman" w:cs="Arial"/>
          <w:i/>
          <w:iCs/>
          <w:color w:val="000000"/>
          <w:lang w:eastAsia="bg-BG"/>
        </w:rPr>
      </w:pPr>
    </w:p>
    <w:p w14:paraId="5F1378CD" w14:textId="121EA9CA"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Чернодробна недостатъчност</w:t>
      </w:r>
    </w:p>
    <w:p w14:paraId="090E2A8A"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Рядко приемът на АСЕ-инхибитори се асоциира със синдром, започващ с холестатична жълтеница, която прогресира до фулминантна хепатална некроза и (понякога) смърт. Ако при пациенти, приемащи АСЕ-инхибитори, се забележи поява на жълтеница или изразено покачване на чернодробните ензими, терапията с тези медикаменти трябва да се преустанови и да се назначи адекватно медицинско проследяване на състоянието им.</w:t>
      </w:r>
    </w:p>
    <w:p w14:paraId="428D9221" w14:textId="77777777" w:rsidR="00D04FC4" w:rsidRPr="00D04FC4" w:rsidRDefault="00D04FC4" w:rsidP="00D04FC4">
      <w:pPr>
        <w:spacing w:line="240" w:lineRule="auto"/>
        <w:rPr>
          <w:rFonts w:eastAsia="Times New Roman" w:cs="Arial"/>
          <w:i/>
          <w:iCs/>
          <w:color w:val="000000"/>
          <w:lang w:eastAsia="bg-BG"/>
        </w:rPr>
      </w:pPr>
    </w:p>
    <w:p w14:paraId="7F82B058" w14:textId="50575CBD"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Кашлица</w:t>
      </w:r>
    </w:p>
    <w:p w14:paraId="53B4135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Съобщава се за упорита непродуктивна кашлица по време на лечение е АСЕ-инхибитори. Тази кашлица е обратима след спиране на терапията и трябва да се има предвид в диференциално- диагностичен план.</w:t>
      </w:r>
    </w:p>
    <w:p w14:paraId="2F6B601C" w14:textId="186BC9D1" w:rsidR="00D04FC4" w:rsidRPr="00D04FC4" w:rsidRDefault="00D04FC4" w:rsidP="00D04FC4"/>
    <w:p w14:paraId="070777EC" w14:textId="137BEC76" w:rsidR="00DF4C8E" w:rsidRDefault="002C50EE" w:rsidP="00F44498">
      <w:pPr>
        <w:pStyle w:val="Heading2"/>
      </w:pPr>
      <w:r>
        <w:t>4.5. Взаимодействие с други лекарствени продукти и други форми на взаимодействие</w:t>
      </w:r>
    </w:p>
    <w:p w14:paraId="142B1F9F" w14:textId="7A2A1DE1" w:rsidR="00D04FC4" w:rsidRDefault="00D04FC4" w:rsidP="00D04FC4"/>
    <w:p w14:paraId="5150F968" w14:textId="278F1E80"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Данни от клинични проучвания показват,</w:t>
      </w:r>
      <w:r>
        <w:rPr>
          <w:rFonts w:eastAsia="Times New Roman" w:cs="Arial"/>
          <w:color w:val="000000"/>
          <w:szCs w:val="20"/>
          <w:lang w:eastAsia="bg-BG"/>
        </w:rPr>
        <w:t xml:space="preserve"> че двойното блокиране на ренин-</w:t>
      </w:r>
      <w:r w:rsidRPr="00D04FC4">
        <w:rPr>
          <w:rFonts w:eastAsia="Times New Roman" w:cs="Arial"/>
          <w:color w:val="000000"/>
          <w:szCs w:val="20"/>
          <w:lang w:eastAsia="bg-BG"/>
        </w:rPr>
        <w:t xml:space="preserve">ангиотензин- алдостероновата система (РААС) чрез комбинираната употреба </w:t>
      </w:r>
      <w:r>
        <w:rPr>
          <w:rFonts w:eastAsia="Times New Roman" w:cs="Arial"/>
          <w:color w:val="000000"/>
          <w:szCs w:val="20"/>
          <w:lang w:eastAsia="bg-BG"/>
        </w:rPr>
        <w:t xml:space="preserve">на АСЕ инхибитори, ангиотензин </w:t>
      </w:r>
      <w:r>
        <w:rPr>
          <w:rFonts w:eastAsia="Times New Roman" w:cs="Arial"/>
          <w:color w:val="000000"/>
          <w:szCs w:val="20"/>
          <w:lang w:val="en-US" w:eastAsia="bg-BG"/>
        </w:rPr>
        <w:t>II</w:t>
      </w:r>
      <w:r w:rsidRPr="00D04FC4">
        <w:rPr>
          <w:rFonts w:eastAsia="Times New Roman" w:cs="Arial"/>
          <w:color w:val="000000"/>
          <w:szCs w:val="2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 4.4 и 5.1).</w:t>
      </w:r>
    </w:p>
    <w:p w14:paraId="326AC05A" w14:textId="77777777" w:rsidR="00D04FC4" w:rsidRPr="00D04FC4" w:rsidRDefault="00D04FC4" w:rsidP="00D04FC4">
      <w:pPr>
        <w:spacing w:line="240" w:lineRule="auto"/>
        <w:rPr>
          <w:rFonts w:eastAsia="Times New Roman" w:cs="Arial"/>
          <w:i/>
          <w:iCs/>
          <w:color w:val="000000"/>
          <w:szCs w:val="20"/>
          <w:lang w:eastAsia="bg-BG"/>
        </w:rPr>
      </w:pPr>
    </w:p>
    <w:p w14:paraId="2A7CDAF5" w14:textId="049A66EA"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Диуретици</w:t>
      </w:r>
    </w:p>
    <w:p w14:paraId="12E8AA1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Едновременната употреба на лизиноприл и хидрохлортиазид или други тиазидни диуретици води до адитивен хипотензивен ефект. Дозата лизиноприл трябва да се редуцира, когато се прилага едновременно с диуретик.</w:t>
      </w:r>
    </w:p>
    <w:p w14:paraId="010D42B2" w14:textId="77777777" w:rsidR="00D04FC4" w:rsidRPr="00D04FC4" w:rsidRDefault="00D04FC4" w:rsidP="00D04FC4">
      <w:pPr>
        <w:spacing w:line="240" w:lineRule="auto"/>
        <w:rPr>
          <w:rFonts w:eastAsia="Times New Roman" w:cs="Arial"/>
          <w:i/>
          <w:iCs/>
          <w:color w:val="000000"/>
          <w:szCs w:val="20"/>
          <w:lang w:eastAsia="bg-BG"/>
        </w:rPr>
      </w:pPr>
    </w:p>
    <w:p w14:paraId="02D314D2" w14:textId="44621004"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Нестероидни противовъзпалителни средства</w:t>
      </w:r>
    </w:p>
    <w:p w14:paraId="18C239D2" w14:textId="77777777" w:rsidR="00D04FC4" w:rsidRPr="00D04FC4" w:rsidRDefault="00D04FC4" w:rsidP="00D04FC4">
      <w:pPr>
        <w:rPr>
          <w:rFonts w:eastAsia="Times New Roman" w:cs="Arial"/>
          <w:sz w:val="28"/>
          <w:szCs w:val="24"/>
        </w:rPr>
      </w:pPr>
      <w:r w:rsidRPr="00D04FC4">
        <w:rPr>
          <w:rFonts w:eastAsia="Times New Roman" w:cs="Arial"/>
          <w:color w:val="000000"/>
          <w:szCs w:val="20"/>
          <w:lang w:eastAsia="bg-BG"/>
        </w:rPr>
        <w:t>При някои пациенти с нарушена бъбречна функция и приемащи нестероидни противовъзпалителни средства, едновременното приложение на лизиноприл може да доведе до допълнително нарушаване на бъбречната функция. Тези ефекти обикновено са обратими. Съобщава се, че нестероидните противовъзпалителни средства могат да понижат ангихипертензивния ефект на АСЕ-инхибиторите, в това число и на лизиноприл. Това взаимодействие трябва да се има предвид при пациенти, приемащи едновременно нестероидни противовъзпалителни средства и лизиноприл.</w:t>
      </w:r>
    </w:p>
    <w:p w14:paraId="45CB29C1" w14:textId="77777777" w:rsidR="00D04FC4" w:rsidRPr="00D04FC4" w:rsidRDefault="00D04FC4" w:rsidP="00D04FC4">
      <w:pPr>
        <w:spacing w:line="240" w:lineRule="auto"/>
        <w:rPr>
          <w:rFonts w:eastAsia="Times New Roman" w:cs="Arial"/>
          <w:i/>
          <w:iCs/>
          <w:color w:val="000000"/>
          <w:szCs w:val="20"/>
          <w:lang w:eastAsia="bg-BG"/>
        </w:rPr>
      </w:pPr>
    </w:p>
    <w:p w14:paraId="6E30E1D0" w14:textId="754A7DDB"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Калий-съхраняващи диуретици, хранителни добавки, съдържащи калий или калий-сьдържащи заместители на солта</w:t>
      </w:r>
    </w:p>
    <w:p w14:paraId="6453CF10"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Въпреки че серумният калий обикновено остава в рамките на нормалните граници, при някои пациенти, лекувани с лизиноприл, може да възникне хиперкалиемия. Употребата на калий- съхраняващи диуретици (напр. спиронолактон, триамтерен или амилорид), хранителни добавки, съдържащи калий или калий-съдържащи заместители на солта може да доведе до значително повишение на серумния калий. Трябва също да се внимава, когато лизиноприл се прилага едновременно с други средства, които повишават серумния калий, като напр. триметоприм и котримоксазол (триметоприм/сулфаметоксазол), тъй като е известно, че триметоприм действа като калий-съхраняващ диуретик подобно на амилорид. Поради това не се препоръчва комбинирането на лизиноприл с гореспоменатите лекарства. Ако е показана съпътстваща употреба, те трябва да се използват с повишено внимание и при често проследяване на серумния калий.</w:t>
      </w:r>
    </w:p>
    <w:p w14:paraId="0AD4C1CD" w14:textId="77777777" w:rsidR="00D04FC4" w:rsidRPr="00D04FC4" w:rsidRDefault="00D04FC4" w:rsidP="00D04FC4">
      <w:pPr>
        <w:spacing w:line="240" w:lineRule="auto"/>
        <w:rPr>
          <w:rFonts w:eastAsia="Times New Roman" w:cs="Arial"/>
          <w:i/>
          <w:iCs/>
          <w:color w:val="000000"/>
          <w:szCs w:val="20"/>
          <w:lang w:eastAsia="bg-BG"/>
        </w:rPr>
      </w:pPr>
    </w:p>
    <w:p w14:paraId="7E3B853B" w14:textId="1E0D99DF"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Циклоспорин</w:t>
      </w:r>
    </w:p>
    <w:p w14:paraId="4C73224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0124C424" w14:textId="77777777" w:rsidR="00D04FC4" w:rsidRPr="00D04FC4" w:rsidRDefault="00D04FC4" w:rsidP="00D04FC4">
      <w:pPr>
        <w:spacing w:line="240" w:lineRule="auto"/>
        <w:rPr>
          <w:rFonts w:eastAsia="Times New Roman" w:cs="Arial"/>
          <w:i/>
          <w:iCs/>
          <w:color w:val="000000"/>
          <w:szCs w:val="20"/>
          <w:lang w:eastAsia="bg-BG"/>
        </w:rPr>
      </w:pPr>
    </w:p>
    <w:p w14:paraId="77F67207" w14:textId="1F1B9B62"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Хепарин</w:t>
      </w:r>
    </w:p>
    <w:p w14:paraId="448162E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6452D23A" w14:textId="77777777" w:rsidR="00D04FC4" w:rsidRPr="00D04FC4" w:rsidRDefault="00D04FC4" w:rsidP="00D04FC4">
      <w:pPr>
        <w:spacing w:line="240" w:lineRule="auto"/>
        <w:rPr>
          <w:rFonts w:eastAsia="Times New Roman" w:cs="Arial"/>
          <w:i/>
          <w:iCs/>
          <w:color w:val="000000"/>
          <w:szCs w:val="20"/>
          <w:lang w:eastAsia="bg-BG"/>
        </w:rPr>
      </w:pPr>
    </w:p>
    <w:p w14:paraId="32BB917B" w14:textId="7A853BC4"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Антидиабетични средства</w:t>
      </w:r>
    </w:p>
    <w:p w14:paraId="60C8EE8D"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Епидемиологични проучвания предполагат, че едновременното приложение на АСЕ-инхибитори и антидиабетични средства (инсулин, орални антидиабетични средства) може да доведе до потенциране на глюкозо-понижаващия ефект и риск от хипогликемия. По-вероятно е този феномен да се наблюдава през първите седмици от едновременното приложение и при пациенти с нарушена бъбречна функция.</w:t>
      </w:r>
    </w:p>
    <w:p w14:paraId="3E95290A" w14:textId="77777777" w:rsidR="00D04FC4" w:rsidRPr="00D04FC4" w:rsidRDefault="00D04FC4" w:rsidP="00D04FC4">
      <w:pPr>
        <w:spacing w:line="240" w:lineRule="auto"/>
        <w:rPr>
          <w:rFonts w:eastAsia="Times New Roman" w:cs="Arial"/>
          <w:i/>
          <w:iCs/>
          <w:color w:val="000000"/>
          <w:szCs w:val="20"/>
          <w:lang w:eastAsia="bg-BG"/>
        </w:rPr>
      </w:pPr>
    </w:p>
    <w:p w14:paraId="17749362" w14:textId="5857E265"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Алопуринол, цитостатици или имуносупресивни средства, системни кортикостероиди или прокаинамид</w:t>
      </w:r>
    </w:p>
    <w:p w14:paraId="6E46C940"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Едновременното приложение с АСЕ-инхибитори може да доведе до повишен риск от левкопения.</w:t>
      </w:r>
    </w:p>
    <w:p w14:paraId="67EDD0A6" w14:textId="77777777" w:rsidR="00D04FC4" w:rsidRPr="00D04FC4" w:rsidRDefault="00D04FC4" w:rsidP="00D04FC4">
      <w:pPr>
        <w:spacing w:line="240" w:lineRule="auto"/>
        <w:rPr>
          <w:rFonts w:eastAsia="Times New Roman" w:cs="Arial"/>
          <w:i/>
          <w:iCs/>
          <w:color w:val="000000"/>
          <w:szCs w:val="20"/>
          <w:lang w:eastAsia="bg-BG"/>
        </w:rPr>
      </w:pPr>
    </w:p>
    <w:p w14:paraId="405E21C1" w14:textId="77777777" w:rsidR="00D04FC4" w:rsidRPr="00D04FC4" w:rsidRDefault="00D04FC4" w:rsidP="00D04FC4">
      <w:pPr>
        <w:spacing w:line="240" w:lineRule="auto"/>
        <w:rPr>
          <w:rFonts w:eastAsia="Times New Roman" w:cs="Arial"/>
          <w:i/>
          <w:iCs/>
          <w:color w:val="000000"/>
          <w:szCs w:val="20"/>
          <w:lang w:eastAsia="bg-BG"/>
        </w:rPr>
      </w:pPr>
      <w:r w:rsidRPr="00D04FC4">
        <w:rPr>
          <w:rFonts w:eastAsia="Times New Roman" w:cs="Arial"/>
          <w:i/>
          <w:iCs/>
          <w:color w:val="000000"/>
          <w:szCs w:val="20"/>
          <w:lang w:eastAsia="bg-BG"/>
        </w:rPr>
        <w:t xml:space="preserve">Антиацидни средства </w:t>
      </w:r>
    </w:p>
    <w:p w14:paraId="2CA3945D" w14:textId="7D083ECC"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Водят до намалена бионаличност на АСЕ-инхибиторите.</w:t>
      </w:r>
    </w:p>
    <w:p w14:paraId="6E4C37DE" w14:textId="77777777" w:rsidR="00D04FC4" w:rsidRPr="00D04FC4" w:rsidRDefault="00D04FC4" w:rsidP="00D04FC4">
      <w:pPr>
        <w:spacing w:line="240" w:lineRule="auto"/>
        <w:rPr>
          <w:rFonts w:eastAsia="Times New Roman" w:cs="Arial"/>
          <w:i/>
          <w:iCs/>
          <w:color w:val="000000"/>
          <w:szCs w:val="20"/>
          <w:lang w:eastAsia="bg-BG"/>
        </w:rPr>
      </w:pPr>
    </w:p>
    <w:p w14:paraId="1A7F6DDB" w14:textId="296A4E5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Симпатомиметици</w:t>
      </w:r>
    </w:p>
    <w:p w14:paraId="03BD16FF" w14:textId="77777777" w:rsidR="00D04FC4" w:rsidRPr="00D04FC4" w:rsidRDefault="00D04FC4" w:rsidP="00D04FC4">
      <w:pPr>
        <w:rPr>
          <w:rFonts w:eastAsia="Times New Roman" w:cs="Arial"/>
          <w:sz w:val="28"/>
          <w:szCs w:val="24"/>
        </w:rPr>
      </w:pPr>
      <w:r w:rsidRPr="00D04FC4">
        <w:rPr>
          <w:rFonts w:eastAsia="Times New Roman" w:cs="Arial"/>
          <w:color w:val="000000"/>
          <w:szCs w:val="20"/>
          <w:lang w:eastAsia="bg-BG"/>
        </w:rPr>
        <w:lastRenderedPageBreak/>
        <w:t>Могат да понижат антихипертензивния ефект на АСЕ-инхибиторите. Пациентите трябва внимателно да се наблюдават, докато се потвърди, че желаният терапевтичен ефект е постигнат.</w:t>
      </w:r>
    </w:p>
    <w:p w14:paraId="4F55420F" w14:textId="77777777" w:rsidR="00D04FC4" w:rsidRPr="00D04FC4" w:rsidRDefault="00D04FC4" w:rsidP="00D04FC4">
      <w:pPr>
        <w:spacing w:line="240" w:lineRule="auto"/>
        <w:rPr>
          <w:rFonts w:eastAsia="Times New Roman" w:cs="Arial"/>
          <w:i/>
          <w:iCs/>
          <w:color w:val="000000"/>
          <w:szCs w:val="20"/>
          <w:lang w:eastAsia="bg-BG"/>
        </w:rPr>
      </w:pPr>
    </w:p>
    <w:p w14:paraId="0827F65A" w14:textId="0A39328F"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Литий</w:t>
      </w:r>
    </w:p>
    <w:p w14:paraId="002299A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Съобщавано е за литиева токсичност при пациенти, получаващи литий едновременно с лизиноприл. Препоръчва се често проследяване на серумното ниво на лития при съпътстваща терапия с лизиноприл.</w:t>
      </w:r>
    </w:p>
    <w:p w14:paraId="276D8A20" w14:textId="77777777" w:rsidR="00D04FC4" w:rsidRPr="00D04FC4" w:rsidRDefault="00D04FC4" w:rsidP="00D04FC4">
      <w:pPr>
        <w:spacing w:line="240" w:lineRule="auto"/>
        <w:rPr>
          <w:rFonts w:eastAsia="Times New Roman" w:cs="Arial"/>
          <w:b/>
          <w:bCs/>
          <w:color w:val="000000"/>
          <w:szCs w:val="20"/>
          <w:lang w:eastAsia="bg-BG"/>
        </w:rPr>
      </w:pPr>
      <w:bookmarkStart w:id="1" w:name="bookmark0"/>
    </w:p>
    <w:p w14:paraId="4A6CCBDE" w14:textId="14D41670" w:rsidR="00D04FC4" w:rsidRPr="00D04FC4" w:rsidRDefault="00D04FC4" w:rsidP="00D04FC4">
      <w:pPr>
        <w:spacing w:line="240" w:lineRule="auto"/>
        <w:rPr>
          <w:rFonts w:eastAsia="Times New Roman" w:cs="Arial"/>
          <w:sz w:val="28"/>
          <w:szCs w:val="24"/>
        </w:rPr>
      </w:pPr>
      <w:r w:rsidRPr="00D04FC4">
        <w:rPr>
          <w:rFonts w:eastAsia="Times New Roman" w:cs="Arial"/>
          <w:b/>
          <w:bCs/>
          <w:color w:val="000000"/>
          <w:szCs w:val="20"/>
          <w:lang w:eastAsia="bg-BG"/>
        </w:rPr>
        <w:t>Лекарства, повишаващи риска от ангиоедем</w:t>
      </w:r>
      <w:bookmarkEnd w:id="1"/>
    </w:p>
    <w:p w14:paraId="4AD5F2B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0CCC5FD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Съпътстващата употреба на АСЕ инхибитори с рацекадотрил, </w:t>
      </w:r>
      <w:proofErr w:type="spellStart"/>
      <w:r w:rsidRPr="00D04FC4">
        <w:rPr>
          <w:rFonts w:eastAsia="Times New Roman" w:cs="Arial"/>
          <w:color w:val="000000"/>
          <w:szCs w:val="20"/>
          <w:lang w:val="en-US"/>
        </w:rPr>
        <w:t>mTOR</w:t>
      </w:r>
      <w:proofErr w:type="spellEnd"/>
      <w:r w:rsidRPr="00D04FC4">
        <w:rPr>
          <w:rFonts w:eastAsia="Times New Roman" w:cs="Arial"/>
          <w:color w:val="000000"/>
          <w:szCs w:val="20"/>
          <w:lang w:val="ru-RU"/>
        </w:rPr>
        <w:t xml:space="preserve"> </w:t>
      </w:r>
      <w:r w:rsidRPr="00D04FC4">
        <w:rPr>
          <w:rFonts w:eastAsia="Times New Roman" w:cs="Arial"/>
          <w:color w:val="000000"/>
          <w:szCs w:val="20"/>
          <w:lang w:eastAsia="bg-BG"/>
        </w:rPr>
        <w:t>инхибитори (напр. сиролимус, еверолимус, темсиролимус) и вилдаглиптин може да доведе до повишен риск от ангиоедем (вж. точка 4.4).</w:t>
      </w:r>
    </w:p>
    <w:p w14:paraId="1786B340"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Алкохолът може да усили хипотензивния ефект на всяко антихипертензивно средство.</w:t>
      </w:r>
    </w:p>
    <w:p w14:paraId="3CC94177" w14:textId="4FD08407" w:rsidR="00D04FC4" w:rsidRPr="00D04FC4" w:rsidRDefault="00D04FC4" w:rsidP="00D04FC4"/>
    <w:p w14:paraId="29D2BD58" w14:textId="0D65F00A" w:rsidR="00DF4C8E" w:rsidRDefault="002C50EE" w:rsidP="00F44498">
      <w:pPr>
        <w:pStyle w:val="Heading2"/>
      </w:pPr>
      <w:r>
        <w:t>4.6. Фертилитет, бременност и кърмене</w:t>
      </w:r>
    </w:p>
    <w:p w14:paraId="1AB66DE7" w14:textId="63A2E838" w:rsidR="00D04FC4" w:rsidRDefault="00D04FC4" w:rsidP="00D04FC4"/>
    <w:p w14:paraId="1FFD785F" w14:textId="77777777" w:rsidR="00D04FC4" w:rsidRPr="00D04FC4" w:rsidRDefault="00D04FC4" w:rsidP="00D04FC4">
      <w:pPr>
        <w:pStyle w:val="Heading3"/>
        <w:rPr>
          <w:rFonts w:eastAsia="Times New Roman"/>
          <w:sz w:val="28"/>
          <w:u w:val="single"/>
        </w:rPr>
      </w:pPr>
      <w:r w:rsidRPr="00D04FC4">
        <w:rPr>
          <w:rFonts w:eastAsia="Times New Roman"/>
          <w:u w:val="single"/>
          <w:lang w:eastAsia="bg-BG"/>
        </w:rPr>
        <w:t>Бременност</w:t>
      </w:r>
    </w:p>
    <w:p w14:paraId="3468D3AC" w14:textId="77777777" w:rsidR="00D04FC4" w:rsidRPr="00D04FC4" w:rsidRDefault="00D04FC4" w:rsidP="00D04FC4">
      <w:pPr>
        <w:spacing w:line="240" w:lineRule="auto"/>
        <w:rPr>
          <w:rFonts w:eastAsia="Times New Roman" w:cs="Arial"/>
          <w:color w:val="000000"/>
          <w:szCs w:val="20"/>
          <w:lang w:eastAsia="bg-BG"/>
        </w:rPr>
      </w:pPr>
      <w:r w:rsidRPr="00D04FC4">
        <w:rPr>
          <w:rFonts w:eastAsia="Times New Roman" w:cs="Arial"/>
          <w:color w:val="000000"/>
          <w:szCs w:val="20"/>
          <w:lang w:eastAsia="bg-BG"/>
        </w:rPr>
        <w:t xml:space="preserve">Бременността и лактацията са относителни противопоказания за употребата на лизиноприл. Категории при бременност; С (през първия триместър) и </w:t>
      </w:r>
      <w:r w:rsidRPr="00D04FC4">
        <w:rPr>
          <w:rFonts w:eastAsia="Times New Roman" w:cs="Arial"/>
          <w:color w:val="000000"/>
          <w:szCs w:val="20"/>
          <w:lang w:val="en-US"/>
        </w:rPr>
        <w:t>D</w:t>
      </w:r>
      <w:r w:rsidRPr="00D04FC4">
        <w:rPr>
          <w:rFonts w:eastAsia="Times New Roman" w:cs="Arial"/>
          <w:color w:val="000000"/>
          <w:szCs w:val="20"/>
          <w:lang w:val="ru-RU"/>
        </w:rPr>
        <w:t xml:space="preserve"> </w:t>
      </w:r>
      <w:r w:rsidRPr="00D04FC4">
        <w:rPr>
          <w:rFonts w:eastAsia="Times New Roman" w:cs="Arial"/>
          <w:color w:val="000000"/>
          <w:szCs w:val="20"/>
          <w:lang w:eastAsia="bg-BG"/>
        </w:rPr>
        <w:t>(през втория и третия триместър). Инхибиторите на ангиотензин-конвертиращия ензим могат да предизвикат фетално и неонатално увреждане и смърт, когато се прилагат на бременни жени. При установяване на бременност терапията с АСЕ-инхибитори трябва да се преустанови възможно най-бързо. Употребата на АСЕ- инхибитори през втория и третия триместър на бременността се свързва с фетални и неонатални увреждания, включващи хипотония, неонатална хипоплазия на черепа и белия дроб, анурия, обратима или необратима бъбречна увреда, олигохидрамнион, краниофациални деформации и смърт. При забременяване на пациентката лекарят трябва да положи всички усилия за възможно най-бързо прекъсване на терапията с лизиноприл. В редките случаи, когато употребата на АСЕ- инхибитори е наложителна, трябва да се правят серии от ултразвукови изследвания. Ако се установи наличие на олигохидрамнион, приемът на лизиноприл трябва да се преустанови, освен ако не се прецени, че е животоспасяващ за майката. Наличието на олигохидрамнион обаче означава, че плодът е претърпял необратима увреда. Новородените, чиито майки са приемали лизиноприл, се наблюдават внимателно за наличие на хипотония, олигурия и хиперкалемия.</w:t>
      </w:r>
    </w:p>
    <w:p w14:paraId="7EA6CA01" w14:textId="77777777" w:rsidR="00D04FC4" w:rsidRPr="00D04FC4" w:rsidRDefault="00D04FC4" w:rsidP="00D04FC4">
      <w:pPr>
        <w:spacing w:line="240" w:lineRule="auto"/>
        <w:rPr>
          <w:rFonts w:eastAsia="Times New Roman" w:cs="Arial"/>
          <w:color w:val="000000"/>
          <w:szCs w:val="20"/>
          <w:lang w:eastAsia="bg-BG"/>
        </w:rPr>
      </w:pPr>
    </w:p>
    <w:p w14:paraId="59FF90E7" w14:textId="0D5B3256" w:rsidR="00D04FC4" w:rsidRPr="00D04FC4" w:rsidRDefault="00D04FC4" w:rsidP="00D04FC4">
      <w:pPr>
        <w:pStyle w:val="Heading3"/>
        <w:rPr>
          <w:rFonts w:eastAsia="Times New Roman"/>
          <w:sz w:val="28"/>
          <w:u w:val="single"/>
        </w:rPr>
      </w:pPr>
      <w:r w:rsidRPr="00D04FC4">
        <w:rPr>
          <w:rFonts w:eastAsia="Times New Roman"/>
          <w:u w:val="single"/>
          <w:lang w:eastAsia="bg-BG"/>
        </w:rPr>
        <w:t>Кърмене</w:t>
      </w:r>
    </w:p>
    <w:p w14:paraId="3C66D73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Не е известно дали този лекарствен продукт се екскретира с майчиното мляко. Тъй като редица лекарства се екскретират с майчиното мляко и поради потенциалния риск от сериозни нежелани реакции у кърмачето, предизвикани от АСЕ-инхибитори, много внимателно трябва да се преценява дали да се преустанови приема на лизиноприл, с оглед значението на лекарството за здравето на майката.</w:t>
      </w:r>
    </w:p>
    <w:p w14:paraId="7BB39A1C" w14:textId="77777777" w:rsidR="00D04FC4" w:rsidRPr="00D04FC4" w:rsidRDefault="00D04FC4" w:rsidP="00D04FC4"/>
    <w:p w14:paraId="4DF5A2E7" w14:textId="737B0CC6" w:rsidR="00DF4C8E" w:rsidRDefault="002C50EE" w:rsidP="00F44498">
      <w:pPr>
        <w:pStyle w:val="Heading2"/>
      </w:pPr>
      <w:r>
        <w:t>4.7. Ефекти върху способността за шофиране и работа с машини</w:t>
      </w:r>
    </w:p>
    <w:p w14:paraId="52A60788" w14:textId="467BD322" w:rsidR="00D04FC4" w:rsidRDefault="00D04FC4" w:rsidP="00D04FC4"/>
    <w:p w14:paraId="175F9A51" w14:textId="25D4BC81" w:rsidR="00D04FC4" w:rsidRDefault="00D04FC4" w:rsidP="00D04FC4">
      <w:r>
        <w:t>Лизиноприл не повлиява или повлиява пренебрежимо способността за шофиране и работа с машини.</w:t>
      </w:r>
    </w:p>
    <w:p w14:paraId="4CE36B57" w14:textId="4B99BFF9" w:rsidR="00D04FC4" w:rsidRPr="00D04FC4" w:rsidRDefault="00D04FC4" w:rsidP="00D04FC4"/>
    <w:p w14:paraId="28229498" w14:textId="6466855A" w:rsidR="00DF4C8E" w:rsidRDefault="002C50EE" w:rsidP="00F44498">
      <w:pPr>
        <w:pStyle w:val="Heading2"/>
      </w:pPr>
      <w:r>
        <w:t>4.8. Нежелани лекарствени реакции</w:t>
      </w:r>
    </w:p>
    <w:p w14:paraId="4C16BBFD" w14:textId="1F36C123" w:rsidR="00D04FC4" w:rsidRDefault="00D04FC4" w:rsidP="00D04FC4"/>
    <w:p w14:paraId="549DE131"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При лечение с лизиноприл е наблюдавано настъпване на хипотония. Това се случва при определени специфични подгрупи.</w:t>
      </w:r>
    </w:p>
    <w:p w14:paraId="47D5098A"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Следните нежелани ефекти са наблюдавани и съобщавани в хода на лечението с лизиноприл и други АСЕ-инхибитори със следната честота: много чести (≥1/10), чести (≥1/100 до &lt; 1/10), нечести (≥1/1 000 до &lt; 1/100), редки (≥1/10 000 до &lt; 1/1000), много редки (&lt;1/10 000), с неизвестна честота (от наличните данни не може да бъде направена оценка):.</w:t>
      </w:r>
    </w:p>
    <w:p w14:paraId="2BC7BD99" w14:textId="77777777" w:rsidR="00D04FC4" w:rsidRPr="00D04FC4" w:rsidRDefault="00D04FC4" w:rsidP="00D04FC4">
      <w:pPr>
        <w:spacing w:line="240" w:lineRule="auto"/>
        <w:rPr>
          <w:rFonts w:eastAsia="Times New Roman" w:cs="Arial"/>
          <w:color w:val="000000"/>
          <w:u w:val="single"/>
          <w:lang w:eastAsia="bg-BG"/>
        </w:rPr>
      </w:pPr>
    </w:p>
    <w:p w14:paraId="52DBCCD2" w14:textId="64ABBEE8"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в кръвта и лимфната система:</w:t>
      </w:r>
    </w:p>
    <w:p w14:paraId="554D7E63"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понижение на хемоглобина, понижение на хематокрита.</w:t>
      </w:r>
    </w:p>
    <w:p w14:paraId="18F67D9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потискане на костния мозък, анемия, тромбоцитопения, левкопения, неутропения, агранулоцитоза, хемолитична анемия, лимфаденопатия, автоимунно заболяване.</w:t>
      </w:r>
    </w:p>
    <w:p w14:paraId="1D64EF0B" w14:textId="77777777" w:rsidR="00D04FC4" w:rsidRPr="00D04FC4" w:rsidRDefault="00D04FC4" w:rsidP="00D04FC4">
      <w:pPr>
        <w:spacing w:line="240" w:lineRule="auto"/>
        <w:rPr>
          <w:rFonts w:eastAsia="Times New Roman" w:cs="Arial"/>
          <w:color w:val="000000"/>
          <w:u w:val="single"/>
          <w:lang w:eastAsia="bg-BG"/>
        </w:rPr>
      </w:pPr>
    </w:p>
    <w:p w14:paraId="433D240F" w14:textId="28C15EF7"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на метаболизма и храненето:</w:t>
      </w:r>
    </w:p>
    <w:p w14:paraId="1B9D263F"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хипогликемия.</w:t>
      </w:r>
    </w:p>
    <w:p w14:paraId="7A57CE76" w14:textId="77777777" w:rsidR="00D04FC4" w:rsidRPr="00D04FC4" w:rsidRDefault="00D04FC4" w:rsidP="00D04FC4">
      <w:pPr>
        <w:spacing w:line="240" w:lineRule="auto"/>
        <w:rPr>
          <w:rFonts w:eastAsia="Times New Roman" w:cs="Arial"/>
          <w:color w:val="000000"/>
          <w:u w:val="single"/>
          <w:lang w:eastAsia="bg-BG"/>
        </w:rPr>
      </w:pPr>
    </w:p>
    <w:p w14:paraId="76D10DB5" w14:textId="44332D25"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от страна на нервната система и психиатрични нарушения:</w:t>
      </w:r>
    </w:p>
    <w:p w14:paraId="4D07DC41"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замаяност, главоболие.</w:t>
      </w:r>
    </w:p>
    <w:p w14:paraId="41997B10"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промени в настроението, парестезии, световъртеж, промени във вкуса, нарушения в съня.</w:t>
      </w:r>
    </w:p>
    <w:p w14:paraId="3812D94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обърканост.</w:t>
      </w:r>
    </w:p>
    <w:p w14:paraId="4A2511DB" w14:textId="77777777" w:rsidR="00D04FC4" w:rsidRPr="00D04FC4" w:rsidRDefault="00D04FC4" w:rsidP="00D04FC4">
      <w:pPr>
        <w:spacing w:line="240" w:lineRule="auto"/>
        <w:rPr>
          <w:rFonts w:eastAsia="Times New Roman" w:cs="Arial"/>
          <w:color w:val="000000"/>
          <w:u w:val="single"/>
          <w:lang w:eastAsia="bg-BG"/>
        </w:rPr>
      </w:pPr>
    </w:p>
    <w:p w14:paraId="46271333" w14:textId="70C82AF6"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Сърдечно-съдови нарушения:</w:t>
      </w:r>
    </w:p>
    <w:p w14:paraId="64185627" w14:textId="444D9E8C"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ортостатични ефекти (включително хипотония).</w:t>
      </w:r>
    </w:p>
    <w:p w14:paraId="08E16E85" w14:textId="77777777" w:rsidR="00D04FC4" w:rsidRPr="00D04FC4" w:rsidRDefault="00D04FC4" w:rsidP="00D04FC4">
      <w:pPr>
        <w:spacing w:line="240" w:lineRule="auto"/>
        <w:rPr>
          <w:rFonts w:eastAsia="Times New Roman" w:cs="Arial"/>
          <w:color w:val="000000"/>
          <w:lang w:val="ru-RU"/>
        </w:rPr>
      </w:pPr>
      <w:r w:rsidRPr="00D04FC4">
        <w:rPr>
          <w:rFonts w:eastAsia="Times New Roman" w:cs="Arial"/>
          <w:color w:val="000000"/>
          <w:lang w:eastAsia="bg-BG"/>
        </w:rPr>
        <w:t xml:space="preserve">Нечести: инфаркт на миокарда или съдово-мозъчен инцидент, вероятно вторично вследствие на значителна хипотония при високорискови пациенти, палпитации, тахикардия, пристъп на </w:t>
      </w:r>
      <w:r w:rsidRPr="00D04FC4">
        <w:rPr>
          <w:rFonts w:eastAsia="Times New Roman" w:cs="Arial"/>
          <w:color w:val="000000"/>
          <w:lang w:val="en-US"/>
        </w:rPr>
        <w:t>Raynaud</w:t>
      </w:r>
      <w:r w:rsidRPr="00D04FC4">
        <w:rPr>
          <w:rFonts w:eastAsia="Times New Roman" w:cs="Arial"/>
          <w:color w:val="000000"/>
          <w:lang w:val="ru-RU"/>
        </w:rPr>
        <w:t xml:space="preserve">. </w:t>
      </w:r>
    </w:p>
    <w:p w14:paraId="469CDE5E" w14:textId="77777777" w:rsidR="00D04FC4" w:rsidRPr="00D04FC4" w:rsidRDefault="00D04FC4" w:rsidP="00D04FC4">
      <w:pPr>
        <w:spacing w:line="240" w:lineRule="auto"/>
        <w:rPr>
          <w:rFonts w:eastAsia="Times New Roman" w:cs="Arial"/>
          <w:color w:val="000000"/>
          <w:lang w:val="ru-RU"/>
        </w:rPr>
      </w:pPr>
    </w:p>
    <w:p w14:paraId="14AE1314" w14:textId="4B599458"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 xml:space="preserve">Респираторни, гръдни и медиастинални нарушения: </w:t>
      </w:r>
      <w:r w:rsidRPr="00D04FC4">
        <w:rPr>
          <w:rFonts w:eastAsia="Times New Roman" w:cs="Arial"/>
          <w:color w:val="000000"/>
          <w:lang w:eastAsia="bg-BG"/>
        </w:rPr>
        <w:t>Чести: кашлица.</w:t>
      </w:r>
    </w:p>
    <w:p w14:paraId="751E91DF"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ринит.</w:t>
      </w:r>
    </w:p>
    <w:p w14:paraId="30CF0D4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бронхоспазъм,синуит. Алергичен алвеолит, еозинофилна пневмония.</w:t>
      </w:r>
    </w:p>
    <w:p w14:paraId="561E613D" w14:textId="77777777" w:rsidR="00D04FC4" w:rsidRPr="00D04FC4" w:rsidRDefault="00D04FC4" w:rsidP="00D04FC4">
      <w:pPr>
        <w:spacing w:line="240" w:lineRule="auto"/>
        <w:rPr>
          <w:rFonts w:eastAsia="Times New Roman" w:cs="Arial"/>
          <w:color w:val="000000"/>
          <w:u w:val="single"/>
          <w:lang w:eastAsia="bg-BG"/>
        </w:rPr>
      </w:pPr>
    </w:p>
    <w:p w14:paraId="123D1A9D" w14:textId="0B0B934B"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Стомашно-чревни нарушения:</w:t>
      </w:r>
    </w:p>
    <w:p w14:paraId="4D32A6E4"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диария, повръщане.</w:t>
      </w:r>
    </w:p>
    <w:p w14:paraId="2B3958F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гадене, коремни болки и лошо храносмилане.</w:t>
      </w:r>
    </w:p>
    <w:p w14:paraId="5216B0EE"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сухост в устата.</w:t>
      </w:r>
    </w:p>
    <w:p w14:paraId="4B8E72F3"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панкреатит, чревен ангиоедем, хепатит - както хепатоцелуларен, така и холестатичен, жълтеница и чернодробна недостатъчност.</w:t>
      </w:r>
    </w:p>
    <w:p w14:paraId="1F608A3F" w14:textId="77777777" w:rsidR="00D04FC4" w:rsidRPr="00D04FC4" w:rsidRDefault="00D04FC4" w:rsidP="00D04FC4">
      <w:pPr>
        <w:spacing w:line="240" w:lineRule="auto"/>
        <w:rPr>
          <w:rFonts w:eastAsia="Times New Roman" w:cs="Arial"/>
          <w:color w:val="000000"/>
          <w:u w:val="single"/>
          <w:lang w:eastAsia="bg-BG"/>
        </w:rPr>
      </w:pPr>
    </w:p>
    <w:p w14:paraId="32DCC1F9" w14:textId="66853574"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на кожата и подкожната тъкан:</w:t>
      </w:r>
    </w:p>
    <w:p w14:paraId="5A0A444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обрив, сърбеж.</w:t>
      </w:r>
    </w:p>
    <w:p w14:paraId="56EB0574"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свръхчувствителност/ангионевротичен едем: ангионевротичен едем на лицето, крайниците, устните, езика, глотиса и/или ларинкса, уртикария, алопеция, псориазис.</w:t>
      </w:r>
    </w:p>
    <w:p w14:paraId="113D17E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обилно изпотяване, пемфигус, токсична епидермална некролиза, синдром на Стивънс-Джонсън, еритема мултиформе.</w:t>
      </w:r>
    </w:p>
    <w:p w14:paraId="6FCB77F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lastRenderedPageBreak/>
        <w:t xml:space="preserve">Съобщавано е за симптомо-комплекс, който може да включва едно или повече от следните: треска, васкулит, миалгия, артралгия/артрит, положителни антиядрени антитела </w:t>
      </w:r>
      <w:r w:rsidRPr="00D04FC4">
        <w:rPr>
          <w:rFonts w:eastAsia="Times New Roman" w:cs="Arial"/>
          <w:color w:val="000000"/>
          <w:lang w:val="ru-RU"/>
        </w:rPr>
        <w:t>(</w:t>
      </w:r>
      <w:r w:rsidRPr="00D04FC4">
        <w:rPr>
          <w:rFonts w:eastAsia="Times New Roman" w:cs="Arial"/>
          <w:color w:val="000000"/>
          <w:lang w:val="en-US"/>
        </w:rPr>
        <w:t>ANA</w:t>
      </w:r>
      <w:r w:rsidRPr="00D04FC4">
        <w:rPr>
          <w:rFonts w:eastAsia="Times New Roman" w:cs="Arial"/>
          <w:color w:val="000000"/>
          <w:lang w:val="ru-RU"/>
        </w:rPr>
        <w:t xml:space="preserve">), </w:t>
      </w:r>
      <w:r w:rsidRPr="00D04FC4">
        <w:rPr>
          <w:rFonts w:eastAsia="Times New Roman" w:cs="Arial"/>
          <w:color w:val="000000"/>
          <w:lang w:eastAsia="bg-BG"/>
        </w:rPr>
        <w:t>повишена скорост на утаяване на еритроцитите, еозинофилия и левкоцитоза, обрив, фоточувствителност или други дерматологични прояви.</w:t>
      </w:r>
    </w:p>
    <w:p w14:paraId="19D03399" w14:textId="77777777" w:rsidR="00D04FC4" w:rsidRPr="00D04FC4" w:rsidRDefault="00D04FC4" w:rsidP="00D04FC4">
      <w:pPr>
        <w:spacing w:line="240" w:lineRule="auto"/>
        <w:rPr>
          <w:rFonts w:eastAsia="Times New Roman" w:cs="Arial"/>
          <w:color w:val="000000"/>
          <w:u w:val="single"/>
          <w:lang w:eastAsia="bg-BG"/>
        </w:rPr>
      </w:pPr>
    </w:p>
    <w:p w14:paraId="4A783CED" w14:textId="77777777" w:rsidR="00D04FC4" w:rsidRPr="00D04FC4" w:rsidRDefault="00D04FC4" w:rsidP="00D04FC4">
      <w:pPr>
        <w:spacing w:line="240" w:lineRule="auto"/>
        <w:rPr>
          <w:rFonts w:eastAsia="Times New Roman" w:cs="Arial"/>
          <w:color w:val="000000"/>
          <w:u w:val="single"/>
          <w:lang w:eastAsia="bg-BG"/>
        </w:rPr>
      </w:pPr>
      <w:r w:rsidRPr="00D04FC4">
        <w:rPr>
          <w:rFonts w:eastAsia="Times New Roman" w:cs="Arial"/>
          <w:color w:val="000000"/>
          <w:u w:val="single"/>
          <w:lang w:eastAsia="bg-BG"/>
        </w:rPr>
        <w:t xml:space="preserve">Нарушения на бъбреците и пикочните пътища: </w:t>
      </w:r>
    </w:p>
    <w:p w14:paraId="6BC670FC" w14:textId="63583864"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бъбречна дисфункция.</w:t>
      </w:r>
    </w:p>
    <w:p w14:paraId="36E9522F"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уремия, остра бъбречна недостатъчност.</w:t>
      </w:r>
    </w:p>
    <w:p w14:paraId="30029870"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олигоурия/анурия.</w:t>
      </w:r>
    </w:p>
    <w:p w14:paraId="2D8B0819" w14:textId="77777777" w:rsidR="00D04FC4" w:rsidRPr="00D04FC4" w:rsidRDefault="00D04FC4" w:rsidP="00D04FC4">
      <w:pPr>
        <w:spacing w:line="240" w:lineRule="auto"/>
        <w:rPr>
          <w:rFonts w:eastAsia="Times New Roman" w:cs="Arial"/>
          <w:color w:val="000000"/>
          <w:u w:val="single"/>
          <w:lang w:eastAsia="bg-BG"/>
        </w:rPr>
      </w:pPr>
    </w:p>
    <w:p w14:paraId="43AB1F80" w14:textId="77777777" w:rsidR="00D04FC4" w:rsidRPr="00D04FC4" w:rsidRDefault="00D04FC4" w:rsidP="00D04FC4">
      <w:pPr>
        <w:spacing w:line="240" w:lineRule="auto"/>
        <w:rPr>
          <w:rFonts w:eastAsia="Times New Roman" w:cs="Arial"/>
          <w:color w:val="000000"/>
          <w:u w:val="single"/>
          <w:lang w:eastAsia="bg-BG"/>
        </w:rPr>
      </w:pPr>
      <w:r w:rsidRPr="00D04FC4">
        <w:rPr>
          <w:rFonts w:eastAsia="Times New Roman" w:cs="Arial"/>
          <w:color w:val="000000"/>
          <w:u w:val="single"/>
          <w:lang w:eastAsia="bg-BG"/>
        </w:rPr>
        <w:t xml:space="preserve">Нарушения на възпроизводителната система и гърдата: </w:t>
      </w:r>
    </w:p>
    <w:p w14:paraId="6E9EBF7A" w14:textId="49C27263"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импотентност.</w:t>
      </w:r>
    </w:p>
    <w:p w14:paraId="5B248D6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гинекомастия.</w:t>
      </w:r>
    </w:p>
    <w:p w14:paraId="4CD2554E" w14:textId="77777777" w:rsidR="00D04FC4" w:rsidRPr="00D04FC4" w:rsidRDefault="00D04FC4" w:rsidP="00D04FC4">
      <w:pPr>
        <w:spacing w:line="240" w:lineRule="auto"/>
        <w:rPr>
          <w:rFonts w:eastAsia="Times New Roman" w:cs="Arial"/>
          <w:color w:val="000000"/>
          <w:u w:val="single"/>
          <w:lang w:eastAsia="bg-BG"/>
        </w:rPr>
      </w:pPr>
    </w:p>
    <w:p w14:paraId="1EE631EC" w14:textId="77777777" w:rsidR="00D04FC4" w:rsidRPr="00D04FC4" w:rsidRDefault="00D04FC4" w:rsidP="00D04FC4">
      <w:pPr>
        <w:spacing w:line="240" w:lineRule="auto"/>
        <w:rPr>
          <w:rFonts w:eastAsia="Times New Roman" w:cs="Arial"/>
          <w:color w:val="000000"/>
          <w:u w:val="single"/>
          <w:lang w:eastAsia="bg-BG"/>
        </w:rPr>
      </w:pPr>
      <w:r w:rsidRPr="00D04FC4">
        <w:rPr>
          <w:rFonts w:eastAsia="Times New Roman" w:cs="Arial"/>
          <w:color w:val="000000"/>
          <w:u w:val="single"/>
          <w:lang w:eastAsia="bg-BG"/>
        </w:rPr>
        <w:t xml:space="preserve">Общи нарушения и ефекти на мястото на приложение: </w:t>
      </w:r>
    </w:p>
    <w:p w14:paraId="2451796B" w14:textId="3C1F7C09"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умора, астения.</w:t>
      </w:r>
    </w:p>
    <w:p w14:paraId="129C2898" w14:textId="0015FD9C" w:rsidR="00D04FC4" w:rsidRPr="00D04FC4" w:rsidRDefault="00D04FC4" w:rsidP="00D04FC4">
      <w:pPr>
        <w:rPr>
          <w:rFonts w:cs="Arial"/>
        </w:rPr>
      </w:pPr>
    </w:p>
    <w:p w14:paraId="3094C456" w14:textId="77777777"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Изследвания;</w:t>
      </w:r>
    </w:p>
    <w:p w14:paraId="563CE850"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повишение на кръвната урея, повишение на серумния креатинин, повишение на чернодробните ензими, хиперкалиемия.</w:t>
      </w:r>
    </w:p>
    <w:p w14:paraId="79A9336E"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повишение в серумния билирубин, хипонатриемия.</w:t>
      </w:r>
    </w:p>
    <w:p w14:paraId="455B3B1E" w14:textId="77777777" w:rsidR="00D04FC4" w:rsidRPr="00D04FC4" w:rsidRDefault="00D04FC4" w:rsidP="00D04FC4">
      <w:pPr>
        <w:spacing w:line="240" w:lineRule="auto"/>
        <w:rPr>
          <w:rFonts w:eastAsia="Times New Roman" w:cs="Arial"/>
          <w:color w:val="000000"/>
          <w:u w:val="single"/>
          <w:lang w:eastAsia="bg-BG"/>
        </w:rPr>
      </w:pPr>
    </w:p>
    <w:p w14:paraId="6B26F227" w14:textId="0F5EDD44"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Съобщаване на подозирани нежелани реакции</w:t>
      </w:r>
    </w:p>
    <w:p w14:paraId="5540EBA7" w14:textId="77777777"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Изпълнителна агенция по лекарствата </w:t>
      </w:r>
    </w:p>
    <w:p w14:paraId="74FDF4BF" w14:textId="77777777"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ул. „Дамян Груев” № 8 </w:t>
      </w:r>
    </w:p>
    <w:p w14:paraId="5024B149" w14:textId="2BBFB7E1"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1303 София</w:t>
      </w:r>
    </w:p>
    <w:p w14:paraId="0B8A27D9" w14:textId="77777777"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Тел.: +359 2 8903417 </w:t>
      </w:r>
    </w:p>
    <w:p w14:paraId="2AB225BF" w14:textId="4DA34490"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уебсайт: </w:t>
      </w:r>
      <w:r w:rsidRPr="00D04FC4">
        <w:rPr>
          <w:rFonts w:eastAsia="Times New Roman" w:cs="Arial"/>
        </w:rPr>
        <w:fldChar w:fldCharType="begin"/>
      </w:r>
      <w:r w:rsidRPr="00D04FC4">
        <w:rPr>
          <w:rFonts w:eastAsia="Times New Roman" w:cs="Arial"/>
        </w:rPr>
        <w:instrText xml:space="preserve"> HYPERLINK "http://www.bda.bg" </w:instrText>
      </w:r>
      <w:r w:rsidRPr="00D04FC4">
        <w:rPr>
          <w:rFonts w:eastAsia="Times New Roman" w:cs="Arial"/>
        </w:rPr>
      </w:r>
      <w:r w:rsidRPr="00D04FC4">
        <w:rPr>
          <w:rFonts w:eastAsia="Times New Roman" w:cs="Arial"/>
        </w:rPr>
        <w:fldChar w:fldCharType="separate"/>
      </w:r>
      <w:r w:rsidRPr="00D04FC4">
        <w:rPr>
          <w:rFonts w:eastAsia="Times New Roman" w:cs="Arial"/>
          <w:color w:val="000000"/>
          <w:lang w:val="en-US"/>
        </w:rPr>
        <w:t>www</w:t>
      </w:r>
      <w:r w:rsidRPr="00D04FC4">
        <w:rPr>
          <w:rFonts w:eastAsia="Times New Roman" w:cs="Arial"/>
          <w:color w:val="000000"/>
          <w:lang w:val="ru-RU"/>
        </w:rPr>
        <w:t>.</w:t>
      </w:r>
      <w:proofErr w:type="spellStart"/>
      <w:r w:rsidRPr="00D04FC4">
        <w:rPr>
          <w:rFonts w:eastAsia="Times New Roman" w:cs="Arial"/>
          <w:color w:val="000000"/>
          <w:lang w:val="en-US"/>
        </w:rPr>
        <w:t>bda</w:t>
      </w:r>
      <w:proofErr w:type="spellEnd"/>
      <w:r w:rsidRPr="00D04FC4">
        <w:rPr>
          <w:rFonts w:eastAsia="Times New Roman" w:cs="Arial"/>
          <w:color w:val="000000"/>
          <w:lang w:val="ru-RU"/>
        </w:rPr>
        <w:t>.</w:t>
      </w:r>
      <w:proofErr w:type="spellStart"/>
      <w:r w:rsidRPr="00D04FC4">
        <w:rPr>
          <w:rFonts w:eastAsia="Times New Roman" w:cs="Arial"/>
          <w:color w:val="000000"/>
          <w:lang w:val="en-US"/>
        </w:rPr>
        <w:t>bg</w:t>
      </w:r>
      <w:proofErr w:type="spellEnd"/>
      <w:r w:rsidRPr="00D04FC4">
        <w:rPr>
          <w:rFonts w:eastAsia="Times New Roman" w:cs="Arial"/>
        </w:rPr>
        <w:fldChar w:fldCharType="end"/>
      </w:r>
    </w:p>
    <w:p w14:paraId="66AEF919" w14:textId="77777777" w:rsidR="00D04FC4" w:rsidRPr="00D04FC4" w:rsidRDefault="00D04FC4" w:rsidP="00D04FC4"/>
    <w:p w14:paraId="07687653" w14:textId="44A6B538" w:rsidR="00DF4C8E" w:rsidRDefault="002C50EE" w:rsidP="00F44498">
      <w:pPr>
        <w:pStyle w:val="Heading2"/>
      </w:pPr>
      <w:r>
        <w:t>4.9. Предозиране</w:t>
      </w:r>
    </w:p>
    <w:p w14:paraId="4A830135" w14:textId="1ED21C42" w:rsidR="00D04FC4" w:rsidRDefault="00D04FC4" w:rsidP="00D04FC4"/>
    <w:p w14:paraId="1686C5F3" w14:textId="77777777" w:rsidR="00D04FC4" w:rsidRPr="00D04FC4" w:rsidRDefault="00D04FC4" w:rsidP="00D04FC4">
      <w:pPr>
        <w:rPr>
          <w:sz w:val="24"/>
          <w:szCs w:val="24"/>
        </w:rPr>
      </w:pPr>
      <w:r w:rsidRPr="00D04FC4">
        <w:rPr>
          <w:lang w:eastAsia="bg-BG"/>
        </w:rPr>
        <w:t>Най-изявеният симптом при предозиране с лизиноприл е пролонгираната хипотония. Могат да се появят хиперкалиемия, хипонатриемия и бъбречна дисфункция, дори остра бъбречна недостатъчност.</w:t>
      </w:r>
    </w:p>
    <w:p w14:paraId="4B64C874" w14:textId="77777777" w:rsidR="00D04FC4" w:rsidRPr="00D04FC4" w:rsidRDefault="00D04FC4" w:rsidP="00D04FC4">
      <w:pPr>
        <w:rPr>
          <w:sz w:val="24"/>
          <w:szCs w:val="24"/>
        </w:rPr>
      </w:pPr>
      <w:r w:rsidRPr="00D04FC4">
        <w:rPr>
          <w:lang w:eastAsia="bg-BG"/>
        </w:rPr>
        <w:t>Терапията е симптоматична и поддържаща. Състои се от стомашна промивка, медицински въглен и корекция на дехидратацията, електролитния дисбаланс и хипотонията чрез установени процедури. Не съществува специфичен антидот.</w:t>
      </w:r>
    </w:p>
    <w:p w14:paraId="7D92C6D2" w14:textId="746AE76C" w:rsidR="00D04FC4" w:rsidRPr="00D04FC4" w:rsidRDefault="00D04FC4" w:rsidP="00D04FC4">
      <w:r w:rsidRPr="00D04FC4">
        <w:rPr>
          <w:lang w:eastAsia="bg-BG"/>
        </w:rPr>
        <w:t>Лизиноприл може да се елиминира чрез хемодиализа.</w:t>
      </w:r>
    </w:p>
    <w:p w14:paraId="02081B24" w14:textId="1F46E296" w:rsidR="00395555" w:rsidRPr="00395555" w:rsidRDefault="002C50EE" w:rsidP="008A6AF2">
      <w:pPr>
        <w:pStyle w:val="Heading1"/>
      </w:pPr>
      <w:r>
        <w:t>5. ФАРМАКОЛОГИЧНИ СВОЙСТВА</w:t>
      </w:r>
    </w:p>
    <w:p w14:paraId="4D47A490" w14:textId="443D1FE8" w:rsidR="00DF4C8E" w:rsidRDefault="002C50EE" w:rsidP="00F44498">
      <w:pPr>
        <w:pStyle w:val="Heading2"/>
      </w:pPr>
      <w:r>
        <w:t>5.1. Фармакодинамични свойства</w:t>
      </w:r>
    </w:p>
    <w:p w14:paraId="77FDE2EA" w14:textId="61F730D4" w:rsidR="00D04FC4" w:rsidRDefault="00D04FC4" w:rsidP="00D04FC4"/>
    <w:p w14:paraId="5CC853D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Фармакотерапевтична група: Лекарства, действащи върху системата ренин- ангиотензин; АСЕ- инхибитори (инхибитор на ангиотензин-конвертиращия ензим)</w:t>
      </w:r>
    </w:p>
    <w:p w14:paraId="0C467226"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АТС код: С09АА03</w:t>
      </w:r>
    </w:p>
    <w:p w14:paraId="76C1D6B6" w14:textId="77777777" w:rsidR="00D04FC4" w:rsidRPr="00D04FC4" w:rsidRDefault="00D04FC4" w:rsidP="00D04FC4">
      <w:pPr>
        <w:spacing w:line="240" w:lineRule="auto"/>
        <w:rPr>
          <w:rFonts w:eastAsia="Times New Roman" w:cs="Arial"/>
          <w:color w:val="000000"/>
          <w:szCs w:val="20"/>
          <w:u w:val="single"/>
          <w:lang w:eastAsia="bg-BG"/>
        </w:rPr>
      </w:pPr>
    </w:p>
    <w:p w14:paraId="0595D102" w14:textId="0F241838"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u w:val="single"/>
          <w:lang w:eastAsia="bg-BG"/>
        </w:rPr>
        <w:t>Механизъм на действие</w:t>
      </w:r>
    </w:p>
    <w:p w14:paraId="5F7FEBD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Лизиноприл инхибира ангиотензин-конвертиращия ензим (АСЕ) при хора и животни. АСЕ представлява пепгидил дипептидаза, катализиращ превръщането на ангиотензин I във вазоконстрикторното вещество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 което стимулира и алдостероновата секреция.</w:t>
      </w:r>
    </w:p>
    <w:p w14:paraId="736AD0D8" w14:textId="77777777" w:rsidR="00D04FC4" w:rsidRPr="00D04FC4" w:rsidRDefault="00D04FC4" w:rsidP="00D04FC4">
      <w:pPr>
        <w:spacing w:line="240" w:lineRule="auto"/>
        <w:rPr>
          <w:rFonts w:eastAsia="Times New Roman" w:cs="Arial"/>
          <w:color w:val="000000"/>
          <w:szCs w:val="20"/>
          <w:u w:val="single"/>
          <w:lang w:eastAsia="bg-BG"/>
        </w:rPr>
      </w:pPr>
    </w:p>
    <w:p w14:paraId="4987F7E4" w14:textId="0556F111"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u w:val="single"/>
          <w:lang w:eastAsia="bg-BG"/>
        </w:rPr>
        <w:t>Фармакодинамични ефекти</w:t>
      </w:r>
    </w:p>
    <w:p w14:paraId="003DBCAD"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Благоприятният ефект на лизиноприл при хипертония и сърдечна недостатъчност се дължи предимно на подтискането на ренин-ангиотензин-алдостероновата система. Инхибицията на АСЕ води до понижение на нивото на плазмения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 което води до намалена вазопресорна активност и до намалена алдостеронова секреция. АСЕ е идентичен с кининазата, ензим, който разгражда брадикинина. Не е изяснено дали повишените нива на брадикинин, мощен вазодепресорен пептид, играят роля за терапевтичните ефекти на лизиноприл.</w:t>
      </w:r>
    </w:p>
    <w:p w14:paraId="60C6B105" w14:textId="77777777" w:rsidR="00D04FC4" w:rsidRPr="00D04FC4" w:rsidRDefault="00D04FC4" w:rsidP="00D04FC4">
      <w:pPr>
        <w:spacing w:line="240" w:lineRule="auto"/>
        <w:rPr>
          <w:rFonts w:eastAsia="Times New Roman" w:cs="Arial"/>
          <w:color w:val="000000"/>
          <w:szCs w:val="20"/>
          <w:u w:val="single"/>
          <w:lang w:eastAsia="bg-BG"/>
        </w:rPr>
      </w:pPr>
    </w:p>
    <w:p w14:paraId="5B7BD9F7" w14:textId="63DAED19"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u w:val="single"/>
          <w:lang w:eastAsia="bg-BG"/>
        </w:rPr>
        <w:t>Клинична ефикасност и безопасност</w:t>
      </w:r>
    </w:p>
    <w:p w14:paraId="65934ECB" w14:textId="77777777" w:rsidR="00D04FC4" w:rsidRPr="00D04FC4" w:rsidRDefault="00D04FC4" w:rsidP="00D04FC4">
      <w:pPr>
        <w:rPr>
          <w:rFonts w:eastAsia="Times New Roman" w:cs="Arial"/>
          <w:sz w:val="28"/>
          <w:szCs w:val="24"/>
        </w:rPr>
      </w:pPr>
      <w:r w:rsidRPr="00D04FC4">
        <w:rPr>
          <w:rFonts w:eastAsia="Times New Roman" w:cs="Arial"/>
          <w:color w:val="000000"/>
          <w:szCs w:val="20"/>
          <w:lang w:eastAsia="bg-BG"/>
        </w:rPr>
        <w:t xml:space="preserve">Две големи рандомизирани контролирани проучвания - </w:t>
      </w:r>
      <w:r w:rsidRPr="00D04FC4">
        <w:rPr>
          <w:rFonts w:eastAsia="Times New Roman" w:cs="Arial"/>
          <w:color w:val="000000"/>
          <w:szCs w:val="20"/>
          <w:lang w:val="en-US"/>
        </w:rPr>
        <w:t>ONTARGET</w:t>
      </w:r>
      <w:r w:rsidRPr="00D04FC4">
        <w:rPr>
          <w:rFonts w:eastAsia="Times New Roman" w:cs="Arial"/>
          <w:color w:val="000000"/>
          <w:szCs w:val="20"/>
        </w:rPr>
        <w:t xml:space="preserve"> (</w:t>
      </w:r>
      <w:proofErr w:type="spellStart"/>
      <w:r w:rsidRPr="00D04FC4">
        <w:rPr>
          <w:rFonts w:eastAsia="Times New Roman" w:cs="Arial"/>
          <w:color w:val="000000"/>
          <w:szCs w:val="20"/>
          <w:lang w:val="en-US"/>
        </w:rPr>
        <w:t>ONgoing</w:t>
      </w:r>
      <w:proofErr w:type="spellEnd"/>
      <w:r w:rsidRPr="00D04FC4">
        <w:rPr>
          <w:rFonts w:eastAsia="Times New Roman" w:cs="Arial"/>
          <w:color w:val="000000"/>
          <w:szCs w:val="20"/>
        </w:rPr>
        <w:t xml:space="preserve"> </w:t>
      </w:r>
      <w:proofErr w:type="spellStart"/>
      <w:r w:rsidRPr="00D04FC4">
        <w:rPr>
          <w:rFonts w:eastAsia="Times New Roman" w:cs="Arial"/>
          <w:color w:val="000000"/>
          <w:szCs w:val="20"/>
          <w:lang w:val="en-US"/>
        </w:rPr>
        <w:t>Telmisasrtan</w:t>
      </w:r>
      <w:proofErr w:type="spellEnd"/>
      <w:r w:rsidRPr="00D04FC4">
        <w:rPr>
          <w:rFonts w:eastAsia="Times New Roman" w:cs="Arial"/>
          <w:color w:val="000000"/>
          <w:szCs w:val="20"/>
        </w:rPr>
        <w:t xml:space="preserve"> </w:t>
      </w:r>
      <w:r w:rsidRPr="00D04FC4">
        <w:rPr>
          <w:rFonts w:eastAsia="Times New Roman" w:cs="Arial"/>
          <w:color w:val="000000"/>
          <w:szCs w:val="20"/>
          <w:lang w:val="en-US"/>
        </w:rPr>
        <w:t>Alone</w:t>
      </w:r>
      <w:r w:rsidRPr="00D04FC4">
        <w:rPr>
          <w:rFonts w:eastAsia="Times New Roman" w:cs="Arial"/>
          <w:color w:val="000000"/>
          <w:szCs w:val="20"/>
        </w:rPr>
        <w:t xml:space="preserve"> </w:t>
      </w:r>
      <w:r w:rsidRPr="00D04FC4">
        <w:rPr>
          <w:rFonts w:eastAsia="Times New Roman" w:cs="Arial"/>
          <w:color w:val="000000"/>
          <w:szCs w:val="20"/>
          <w:lang w:val="en-US"/>
        </w:rPr>
        <w:t>and</w:t>
      </w:r>
      <w:r w:rsidRPr="00D04FC4">
        <w:rPr>
          <w:rFonts w:eastAsia="Times New Roman" w:cs="Arial"/>
          <w:color w:val="000000"/>
          <w:szCs w:val="20"/>
        </w:rPr>
        <w:t xml:space="preserve"> </w:t>
      </w:r>
      <w:r w:rsidRPr="00D04FC4">
        <w:rPr>
          <w:rFonts w:eastAsia="Times New Roman" w:cs="Arial"/>
          <w:color w:val="000000"/>
          <w:szCs w:val="20"/>
          <w:lang w:val="en-US"/>
        </w:rPr>
        <w:t>in</w:t>
      </w:r>
      <w:r w:rsidRPr="00D04FC4">
        <w:rPr>
          <w:rFonts w:eastAsia="Times New Roman" w:cs="Arial"/>
          <w:color w:val="000000"/>
          <w:szCs w:val="20"/>
        </w:rPr>
        <w:t xml:space="preserve"> </w:t>
      </w:r>
      <w:r w:rsidRPr="00D04FC4">
        <w:rPr>
          <w:rFonts w:eastAsia="Times New Roman" w:cs="Arial"/>
          <w:color w:val="000000"/>
          <w:szCs w:val="20"/>
          <w:lang w:val="en-US"/>
        </w:rPr>
        <w:t>combination</w:t>
      </w:r>
      <w:r w:rsidRPr="00D04FC4">
        <w:rPr>
          <w:rFonts w:eastAsia="Times New Roman" w:cs="Arial"/>
          <w:color w:val="000000"/>
          <w:szCs w:val="20"/>
        </w:rPr>
        <w:t xml:space="preserve"> </w:t>
      </w:r>
      <w:r w:rsidRPr="00D04FC4">
        <w:rPr>
          <w:rFonts w:eastAsia="Times New Roman" w:cs="Arial"/>
          <w:color w:val="000000"/>
          <w:szCs w:val="20"/>
          <w:lang w:val="en-US"/>
        </w:rPr>
        <w:t>with</w:t>
      </w:r>
      <w:r w:rsidRPr="00D04FC4">
        <w:rPr>
          <w:rFonts w:eastAsia="Times New Roman" w:cs="Arial"/>
          <w:color w:val="000000"/>
          <w:szCs w:val="20"/>
        </w:rPr>
        <w:t xml:space="preserve"> </w:t>
      </w:r>
      <w:r w:rsidRPr="00D04FC4">
        <w:rPr>
          <w:rFonts w:eastAsia="Times New Roman" w:cs="Arial"/>
          <w:color w:val="000000"/>
          <w:szCs w:val="20"/>
          <w:lang w:val="en-US"/>
        </w:rPr>
        <w:t>Ramipril</w:t>
      </w:r>
      <w:r w:rsidRPr="00D04FC4">
        <w:rPr>
          <w:rFonts w:eastAsia="Times New Roman" w:cs="Arial"/>
          <w:color w:val="000000"/>
          <w:szCs w:val="20"/>
        </w:rPr>
        <w:t xml:space="preserve"> </w:t>
      </w:r>
      <w:r w:rsidRPr="00D04FC4">
        <w:rPr>
          <w:rFonts w:eastAsia="Times New Roman" w:cs="Arial"/>
          <w:color w:val="000000"/>
          <w:szCs w:val="20"/>
          <w:lang w:val="en-US"/>
        </w:rPr>
        <w:t>Global</w:t>
      </w:r>
      <w:r w:rsidRPr="00D04FC4">
        <w:rPr>
          <w:rFonts w:eastAsia="Times New Roman" w:cs="Arial"/>
          <w:color w:val="000000"/>
          <w:szCs w:val="20"/>
        </w:rPr>
        <w:t xml:space="preserve"> </w:t>
      </w:r>
      <w:r w:rsidRPr="00D04FC4">
        <w:rPr>
          <w:rFonts w:eastAsia="Times New Roman" w:cs="Arial"/>
          <w:color w:val="000000"/>
          <w:szCs w:val="20"/>
          <w:lang w:val="en-US"/>
        </w:rPr>
        <w:t>Endpoint</w:t>
      </w:r>
      <w:r w:rsidRPr="00D04FC4">
        <w:rPr>
          <w:rFonts w:eastAsia="Times New Roman" w:cs="Arial"/>
          <w:color w:val="000000"/>
          <w:szCs w:val="20"/>
        </w:rPr>
        <w:t xml:space="preserve"> </w:t>
      </w:r>
      <w:r w:rsidRPr="00D04FC4">
        <w:rPr>
          <w:rFonts w:eastAsia="Times New Roman" w:cs="Arial"/>
          <w:color w:val="000000"/>
          <w:szCs w:val="20"/>
          <w:lang w:val="en-US"/>
        </w:rPr>
        <w:t>Trial</w:t>
      </w:r>
      <w:r w:rsidRPr="00D04FC4">
        <w:rPr>
          <w:rFonts w:eastAsia="Times New Roman" w:cs="Arial"/>
          <w:color w:val="000000"/>
          <w:szCs w:val="20"/>
        </w:rPr>
        <w:t xml:space="preserve"> - </w:t>
      </w:r>
      <w:r w:rsidRPr="00D04FC4">
        <w:rPr>
          <w:rFonts w:eastAsia="Times New Roman" w:cs="Arial"/>
          <w:color w:val="000000"/>
          <w:szCs w:val="20"/>
          <w:lang w:eastAsia="bg-BG"/>
        </w:rPr>
        <w:t>текущо глобално изпитване</w:t>
      </w:r>
      <w:r w:rsidRPr="00D04FC4">
        <w:rPr>
          <w:rFonts w:eastAsia="Times New Roman" w:cs="Arial"/>
          <w:color w:val="000000"/>
          <w:szCs w:val="20"/>
        </w:rPr>
        <w:t xml:space="preserve"> </w:t>
      </w:r>
      <w:r w:rsidRPr="00D04FC4">
        <w:rPr>
          <w:rFonts w:eastAsia="Times New Roman" w:cs="Arial"/>
          <w:color w:val="000000"/>
          <w:szCs w:val="20"/>
          <w:lang w:eastAsia="bg-BG"/>
        </w:rPr>
        <w:t xml:space="preserve">за крайни точки на телмисартан, самостоятелно и в комбинация с рамиприл) и </w:t>
      </w:r>
      <w:r w:rsidRPr="00D04FC4">
        <w:rPr>
          <w:rFonts w:eastAsia="Times New Roman" w:cs="Arial"/>
          <w:color w:val="000000"/>
          <w:szCs w:val="20"/>
          <w:lang w:val="en-US"/>
        </w:rPr>
        <w:t>VA</w:t>
      </w:r>
      <w:r w:rsidRPr="00D04FC4">
        <w:rPr>
          <w:rFonts w:eastAsia="Times New Roman" w:cs="Arial"/>
          <w:color w:val="000000"/>
          <w:szCs w:val="20"/>
        </w:rPr>
        <w:t xml:space="preserve"> </w:t>
      </w:r>
      <w:r w:rsidRPr="00D04FC4">
        <w:rPr>
          <w:rFonts w:eastAsia="Times New Roman" w:cs="Arial"/>
          <w:color w:val="000000"/>
          <w:szCs w:val="20"/>
          <w:lang w:val="en-US"/>
        </w:rPr>
        <w:t>NEPHRON</w:t>
      </w:r>
      <w:r w:rsidRPr="00D04FC4">
        <w:rPr>
          <w:rFonts w:eastAsia="Times New Roman" w:cs="Arial"/>
          <w:color w:val="000000"/>
          <w:szCs w:val="20"/>
        </w:rPr>
        <w:t>-</w:t>
      </w:r>
      <w:r w:rsidRPr="00D04FC4">
        <w:rPr>
          <w:rFonts w:eastAsia="Times New Roman" w:cs="Arial"/>
          <w:color w:val="000000"/>
          <w:szCs w:val="20"/>
          <w:lang w:val="en-US"/>
        </w:rPr>
        <w:t>D</w:t>
      </w:r>
      <w:r w:rsidRPr="00D04FC4">
        <w:rPr>
          <w:rFonts w:eastAsia="Times New Roman" w:cs="Arial"/>
          <w:color w:val="000000"/>
          <w:szCs w:val="20"/>
        </w:rPr>
        <w:t xml:space="preserve"> </w:t>
      </w:r>
      <w:r w:rsidRPr="00D04FC4">
        <w:rPr>
          <w:rFonts w:eastAsia="Times New Roman" w:cs="Arial"/>
          <w:color w:val="000000"/>
          <w:szCs w:val="20"/>
          <w:lang w:eastAsia="bg-BG"/>
        </w:rPr>
        <w:t>(Клинично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П-рецепторен блокер.</w:t>
      </w:r>
    </w:p>
    <w:p w14:paraId="5F42A21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val="en-US"/>
        </w:rPr>
        <w:t>ONTARGET</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D04FC4">
        <w:rPr>
          <w:rFonts w:eastAsia="Times New Roman" w:cs="Arial"/>
          <w:color w:val="000000"/>
          <w:szCs w:val="20"/>
          <w:lang w:val="en-US"/>
        </w:rPr>
        <w:t>VA</w:t>
      </w:r>
      <w:r w:rsidRPr="00D04FC4">
        <w:rPr>
          <w:rFonts w:eastAsia="Times New Roman" w:cs="Arial"/>
          <w:color w:val="000000"/>
          <w:szCs w:val="20"/>
          <w:lang w:val="ru-RU"/>
        </w:rPr>
        <w:t xml:space="preserve"> </w:t>
      </w:r>
      <w:r w:rsidRPr="00D04FC4">
        <w:rPr>
          <w:rFonts w:eastAsia="Times New Roman" w:cs="Arial"/>
          <w:color w:val="000000"/>
          <w:szCs w:val="20"/>
          <w:lang w:val="en-US"/>
        </w:rPr>
        <w:t>NEPHRON</w:t>
      </w:r>
      <w:r w:rsidRPr="00D04FC4">
        <w:rPr>
          <w:rFonts w:eastAsia="Times New Roman" w:cs="Arial"/>
          <w:color w:val="000000"/>
          <w:szCs w:val="20"/>
          <w:lang w:val="ru-RU"/>
        </w:rPr>
        <w:t>-</w:t>
      </w:r>
      <w:r w:rsidRPr="00D04FC4">
        <w:rPr>
          <w:rFonts w:eastAsia="Times New Roman" w:cs="Arial"/>
          <w:color w:val="000000"/>
          <w:szCs w:val="20"/>
          <w:lang w:val="en-US"/>
        </w:rPr>
        <w:t>D</w:t>
      </w:r>
      <w:r w:rsidRPr="00D04FC4">
        <w:rPr>
          <w:rFonts w:eastAsia="Times New Roman" w:cs="Arial"/>
          <w:color w:val="000000"/>
          <w:szCs w:val="20"/>
          <w:lang w:val="ru-RU"/>
        </w:rPr>
        <w:t xml:space="preserve"> </w:t>
      </w:r>
      <w:r w:rsidRPr="00D04FC4">
        <w:rPr>
          <w:rFonts w:eastAsia="Times New Roman" w:cs="Arial"/>
          <w:color w:val="000000"/>
          <w:szCs w:val="20"/>
          <w:lang w:eastAsia="bg-BG"/>
        </w:rPr>
        <w:t>е проучване при пациенти със захарен диабет тип 2 и диабетна нефропатия.</w:t>
      </w:r>
    </w:p>
    <w:p w14:paraId="1A51AFE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Тези проучвания не показват значим благоприятен ефект върху бъбречните и/или сърдечно</w:t>
      </w:r>
      <w:r w:rsidRPr="00D04FC4">
        <w:rPr>
          <w:rFonts w:eastAsia="Times New Roman" w:cs="Arial"/>
          <w:color w:val="000000"/>
          <w:szCs w:val="2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монотерапията.Като се имат предвид сходните им фармакодинамични свойства, тези резултати са приложими и за други АСЕ инхибитори и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-рецепторни блокери.</w:t>
      </w:r>
    </w:p>
    <w:p w14:paraId="4AD67022"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АСЕ инхибитори и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-рецепторни блокери следователно не трябва да се използват едновременно при пациенти с диабетна нефропатия.</w:t>
      </w:r>
    </w:p>
    <w:p w14:paraId="1F98B72C"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val="en-US"/>
        </w:rPr>
        <w:t>ALTITUDE</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w:t>
      </w:r>
      <w:r w:rsidRPr="00D04FC4">
        <w:rPr>
          <w:rFonts w:eastAsia="Times New Roman" w:cs="Arial"/>
          <w:color w:val="000000"/>
          <w:szCs w:val="20"/>
          <w:lang w:eastAsia="bg-BG"/>
        </w:rPr>
        <w:softHyphen/>
        <w:t>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63191EBD" w14:textId="7A3543B7" w:rsidR="00D04FC4" w:rsidRPr="00D04FC4" w:rsidRDefault="00D04FC4" w:rsidP="00D04FC4"/>
    <w:p w14:paraId="79643DB7" w14:textId="12ED462D" w:rsidR="00DF4C8E" w:rsidRDefault="002C50EE" w:rsidP="00F44498">
      <w:pPr>
        <w:pStyle w:val="Heading2"/>
      </w:pPr>
      <w:r>
        <w:t>5.2. Фармакокинетични свойства</w:t>
      </w:r>
    </w:p>
    <w:p w14:paraId="33A9DA48" w14:textId="1627BCE6" w:rsidR="00D04FC4" w:rsidRDefault="00D04FC4" w:rsidP="00D04FC4"/>
    <w:p w14:paraId="56C0A2CB" w14:textId="77777777" w:rsidR="00D04FC4" w:rsidRPr="006E7F90" w:rsidRDefault="00D04FC4" w:rsidP="006E7F90">
      <w:pPr>
        <w:pStyle w:val="Heading3"/>
        <w:rPr>
          <w:rFonts w:eastAsia="Times New Roman"/>
          <w:sz w:val="28"/>
          <w:u w:val="single"/>
        </w:rPr>
      </w:pPr>
      <w:r w:rsidRPr="006E7F90">
        <w:rPr>
          <w:rFonts w:eastAsia="Times New Roman"/>
          <w:u w:val="single"/>
          <w:lang w:eastAsia="bg-BG"/>
        </w:rPr>
        <w:lastRenderedPageBreak/>
        <w:t>Абсорбция</w:t>
      </w:r>
    </w:p>
    <w:p w14:paraId="3732276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След орален прием лизиноприл се абсорбира бавно и непълно в стомашно-чревния тракт. Абсорбцията е около 25% от приложената доза с високи индивидуални отклонения (6-60%). Храната не повлиява степента на абсорбция. Бионаличностга след орален прием е равна на степента на абсорбция поради липса на ефект на “първо преминаване” през черния дроб. Максималната плазмена концентрация се достига за 6-7 часа след оралния прием на лизиноприл и е 40 μ</w:t>
      </w:r>
      <w:r w:rsidRPr="00D04FC4">
        <w:rPr>
          <w:rFonts w:eastAsia="Times New Roman" w:cs="Arial"/>
          <w:color w:val="000000"/>
          <w:szCs w:val="20"/>
          <w:lang w:val="en-US"/>
        </w:rPr>
        <w:t>g</w:t>
      </w:r>
      <w:r w:rsidRPr="00D04FC4">
        <w:rPr>
          <w:rFonts w:eastAsia="Times New Roman" w:cs="Arial"/>
          <w:color w:val="000000"/>
          <w:szCs w:val="20"/>
          <w:lang w:val="ru-RU"/>
        </w:rPr>
        <w:t>/</w:t>
      </w:r>
      <w:r w:rsidRPr="00D04FC4">
        <w:rPr>
          <w:rFonts w:eastAsia="Times New Roman" w:cs="Arial"/>
          <w:color w:val="000000"/>
          <w:szCs w:val="20"/>
          <w:lang w:val="en-US"/>
        </w:rPr>
        <w:t>l</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след прием на доза от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и 80-140 μ</w:t>
      </w:r>
      <w:r w:rsidRPr="00D04FC4">
        <w:rPr>
          <w:rFonts w:eastAsia="Times New Roman" w:cs="Arial"/>
          <w:color w:val="000000"/>
          <w:szCs w:val="20"/>
          <w:lang w:val="en-US"/>
        </w:rPr>
        <w:t>g</w:t>
      </w:r>
      <w:r w:rsidRPr="00D04FC4">
        <w:rPr>
          <w:rFonts w:eastAsia="Times New Roman" w:cs="Arial"/>
          <w:color w:val="000000"/>
          <w:szCs w:val="20"/>
          <w:lang w:val="ru-RU"/>
        </w:rPr>
        <w:t>/</w:t>
      </w:r>
      <w:r w:rsidRPr="00D04FC4">
        <w:rPr>
          <w:rFonts w:eastAsia="Times New Roman" w:cs="Arial"/>
          <w:color w:val="000000"/>
          <w:szCs w:val="20"/>
          <w:lang w:val="en-US"/>
        </w:rPr>
        <w:t>l</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след прием на доза от 20 </w:t>
      </w:r>
      <w:r w:rsidRPr="00D04FC4">
        <w:rPr>
          <w:rFonts w:eastAsia="Times New Roman" w:cs="Arial"/>
          <w:color w:val="000000"/>
          <w:szCs w:val="20"/>
          <w:lang w:val="en-US"/>
        </w:rPr>
        <w:t>mg</w:t>
      </w:r>
      <w:r w:rsidRPr="00D04FC4">
        <w:rPr>
          <w:rFonts w:eastAsia="Times New Roman" w:cs="Arial"/>
          <w:color w:val="000000"/>
          <w:szCs w:val="20"/>
          <w:lang w:val="ru-RU"/>
        </w:rPr>
        <w:t>.</w:t>
      </w:r>
    </w:p>
    <w:p w14:paraId="7D66DCEF" w14:textId="77777777" w:rsidR="00D04FC4" w:rsidRPr="006E7F90" w:rsidRDefault="00D04FC4" w:rsidP="00D04FC4">
      <w:pPr>
        <w:spacing w:line="240" w:lineRule="auto"/>
        <w:rPr>
          <w:rFonts w:eastAsia="Times New Roman" w:cs="Arial"/>
          <w:color w:val="000000"/>
          <w:szCs w:val="20"/>
          <w:u w:val="single"/>
          <w:lang w:eastAsia="bg-BG"/>
        </w:rPr>
      </w:pPr>
    </w:p>
    <w:p w14:paraId="1A1D81B7" w14:textId="1670B89B" w:rsidR="00D04FC4" w:rsidRPr="006E7F90" w:rsidRDefault="00D04FC4" w:rsidP="006E7F90">
      <w:pPr>
        <w:pStyle w:val="Heading3"/>
        <w:rPr>
          <w:rFonts w:eastAsia="Times New Roman"/>
          <w:sz w:val="28"/>
          <w:u w:val="single"/>
        </w:rPr>
      </w:pPr>
      <w:r w:rsidRPr="006E7F90">
        <w:rPr>
          <w:rFonts w:eastAsia="Times New Roman"/>
          <w:u w:val="single"/>
          <w:lang w:eastAsia="bg-BG"/>
        </w:rPr>
        <w:t>Разпределение</w:t>
      </w:r>
    </w:p>
    <w:p w14:paraId="79061C46"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“Устойчиво състояние” на серумните концентрации се достига за 2-3 дни след приема на лекарството. В плазмата лизиноприл се свързва слабо с плазмените белтъци.</w:t>
      </w:r>
    </w:p>
    <w:p w14:paraId="44800CFB" w14:textId="77777777" w:rsidR="00D04FC4" w:rsidRPr="006E7F90" w:rsidRDefault="00D04FC4" w:rsidP="00D04FC4">
      <w:pPr>
        <w:spacing w:line="240" w:lineRule="auto"/>
        <w:rPr>
          <w:rFonts w:eastAsia="Times New Roman" w:cs="Arial"/>
          <w:color w:val="000000"/>
          <w:szCs w:val="20"/>
          <w:u w:val="single"/>
          <w:lang w:eastAsia="bg-BG"/>
        </w:rPr>
      </w:pPr>
    </w:p>
    <w:p w14:paraId="7A779E9D" w14:textId="6E36B9BA" w:rsidR="00D04FC4" w:rsidRPr="006E7F90" w:rsidRDefault="00D04FC4" w:rsidP="006E7F90">
      <w:pPr>
        <w:pStyle w:val="Heading3"/>
        <w:rPr>
          <w:rFonts w:eastAsia="Times New Roman"/>
          <w:sz w:val="28"/>
          <w:u w:val="single"/>
        </w:rPr>
      </w:pPr>
      <w:r w:rsidRPr="006E7F90">
        <w:rPr>
          <w:rFonts w:eastAsia="Times New Roman"/>
          <w:u w:val="single"/>
          <w:lang w:eastAsia="bg-BG"/>
        </w:rPr>
        <w:t>Биотрансформация</w:t>
      </w:r>
    </w:p>
    <w:p w14:paraId="5A0CF088"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Лизиноприл не се подлага на деградация и се екскретира непроменен изцяло чрез урината.</w:t>
      </w:r>
    </w:p>
    <w:p w14:paraId="3EDCE594" w14:textId="77777777" w:rsidR="00D04FC4" w:rsidRPr="006E7F90" w:rsidRDefault="00D04FC4" w:rsidP="00D04FC4">
      <w:pPr>
        <w:spacing w:line="240" w:lineRule="auto"/>
        <w:rPr>
          <w:rFonts w:eastAsia="Times New Roman" w:cs="Arial"/>
          <w:color w:val="000000"/>
          <w:szCs w:val="20"/>
          <w:u w:val="single"/>
          <w:lang w:eastAsia="bg-BG"/>
        </w:rPr>
      </w:pPr>
    </w:p>
    <w:p w14:paraId="3D748938" w14:textId="7F7ECF1F" w:rsidR="00D04FC4" w:rsidRPr="006E7F90" w:rsidRDefault="00D04FC4" w:rsidP="006E7F90">
      <w:pPr>
        <w:pStyle w:val="Heading3"/>
        <w:rPr>
          <w:rFonts w:eastAsia="Times New Roman"/>
          <w:sz w:val="28"/>
          <w:u w:val="single"/>
        </w:rPr>
      </w:pPr>
      <w:r w:rsidRPr="006E7F90">
        <w:rPr>
          <w:rFonts w:eastAsia="Times New Roman"/>
          <w:u w:val="single"/>
          <w:lang w:eastAsia="bg-BG"/>
        </w:rPr>
        <w:t>Елиминиране</w:t>
      </w:r>
    </w:p>
    <w:p w14:paraId="646DFE92" w14:textId="77777777" w:rsidR="00D04FC4" w:rsidRPr="006E7F90" w:rsidRDefault="00D04FC4" w:rsidP="00D04FC4">
      <w:pPr>
        <w:rPr>
          <w:rFonts w:eastAsia="Times New Roman" w:cs="Arial"/>
          <w:sz w:val="28"/>
          <w:szCs w:val="24"/>
        </w:rPr>
      </w:pPr>
      <w:r w:rsidRPr="00D04FC4">
        <w:rPr>
          <w:rFonts w:eastAsia="Times New Roman" w:cs="Arial"/>
          <w:color w:val="000000"/>
          <w:szCs w:val="20"/>
          <w:lang w:eastAsia="bg-BG"/>
        </w:rPr>
        <w:t>Лизиноприл се елиминира в 30% чрез урината и 70% чрез изпражненията. Елиминирането от</w:t>
      </w:r>
      <w:r w:rsidRPr="006E7F90">
        <w:rPr>
          <w:rFonts w:eastAsia="Times New Roman" w:cs="Arial"/>
          <w:color w:val="000000"/>
          <w:szCs w:val="20"/>
          <w:lang w:val="ru-RU" w:eastAsia="bg-BG"/>
        </w:rPr>
        <w:t xml:space="preserve"> </w:t>
      </w:r>
      <w:r w:rsidRPr="006E7F90">
        <w:rPr>
          <w:rFonts w:eastAsia="Times New Roman" w:cs="Arial"/>
          <w:color w:val="000000"/>
          <w:szCs w:val="20"/>
          <w:lang w:eastAsia="bg-BG"/>
        </w:rPr>
        <w:t>плазмата е двуфазно: след първата бърза фаза на елиминация, през която се елиминира по- голямата част от лекарството, следва бавна фаза с време на полуелиминиране от около 30 часа.</w:t>
      </w:r>
    </w:p>
    <w:p w14:paraId="3EF82198" w14:textId="77777777" w:rsidR="00D04FC4" w:rsidRPr="006E7F90" w:rsidRDefault="00D04FC4" w:rsidP="00D04FC4">
      <w:pPr>
        <w:spacing w:line="240" w:lineRule="auto"/>
        <w:rPr>
          <w:rFonts w:eastAsia="Times New Roman" w:cs="Arial"/>
          <w:i/>
          <w:iCs/>
          <w:color w:val="000000"/>
          <w:szCs w:val="20"/>
          <w:lang w:eastAsia="bg-BG"/>
        </w:rPr>
      </w:pPr>
    </w:p>
    <w:p w14:paraId="6ACC042C" w14:textId="0A0D6569"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Фармакокинетика при специални групи пациенти</w:t>
      </w:r>
    </w:p>
    <w:p w14:paraId="2FC903B9"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Абсорбцията при пациенти, страдащи от конгестивна сърдечна недостатъчност е с 15% по-ниска в сравнение с останалите пациенти. Намален е и клирънсът на лизиноприл, който представлява 25% от този на здравите индивиди.</w:t>
      </w:r>
    </w:p>
    <w:p w14:paraId="4DA08DD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 бъбречна недостатъчност концентрациите на лизиноприл са неколкократно по- високи от тези при здрави индивиди, като максималните концентрации се достигат по-късно и времето на елиминация е удължено.</w:t>
      </w:r>
    </w:p>
    <w:p w14:paraId="236F90A9"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Пациентите в напреднала възраст обикновено имат по-високи (приблизително удвоени) серумни концентрации, както и площ под кривата плазмена концентрация/време в сравнение с по-младите пациенти.</w:t>
      </w:r>
    </w:p>
    <w:p w14:paraId="3AC0EDD4" w14:textId="3B60286C" w:rsidR="00D04FC4" w:rsidRPr="00D04FC4" w:rsidRDefault="00D04FC4" w:rsidP="00D04FC4">
      <w:pPr>
        <w:spacing w:line="240" w:lineRule="auto"/>
        <w:rPr>
          <w:rFonts w:ascii="Times New Roman" w:eastAsia="Times New Roman" w:hAnsi="Times New Roman" w:cs="Times New Roman"/>
          <w:sz w:val="24"/>
          <w:szCs w:val="24"/>
        </w:rPr>
      </w:pPr>
    </w:p>
    <w:p w14:paraId="0D8674A3" w14:textId="77777777" w:rsidR="00D04FC4" w:rsidRPr="00D04FC4" w:rsidRDefault="00D04FC4" w:rsidP="00D04FC4"/>
    <w:p w14:paraId="028E658A" w14:textId="54B27A58" w:rsidR="00395555" w:rsidRDefault="002C50EE" w:rsidP="008A6AF2">
      <w:pPr>
        <w:pStyle w:val="Heading2"/>
      </w:pPr>
      <w:r>
        <w:t>5.3. Предклинични данни за безопасност</w:t>
      </w:r>
    </w:p>
    <w:p w14:paraId="5E0C74AF" w14:textId="1EE53AF0" w:rsidR="006E7F90" w:rsidRDefault="006E7F90" w:rsidP="006E7F90"/>
    <w:p w14:paraId="75F687AF"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Неклиничните данни не показват особен риск за хора на базата на конвенционалните фармакологични проучвания за безопасност, токсичност при многократно прилагане, генотоксичност, карциногенен потенциал, репродуктивна токсичност и токсичност за развитието. Изчерпателните токсикологични изследвания включват остра, субакутна и хронична токсичност. Многократни дози лизиноприл при плъхове не водят до акумулиране в тъканите. При цялостна авторадиография след третиране с белязан лизиноприл на бременни плъхове е открита радиокативност в плацентата, но не е открита такава във фетусите.</w:t>
      </w:r>
    </w:p>
    <w:p w14:paraId="0DC029CE"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 xml:space="preserve">Млякото на лактиращи плъхове е радиоактивно след третиране с </w:t>
      </w:r>
      <w:r w:rsidRPr="006E7F90">
        <w:rPr>
          <w:rFonts w:eastAsia="Times New Roman" w:cs="Arial"/>
          <w:color w:val="000000"/>
          <w:szCs w:val="20"/>
          <w:vertAlign w:val="superscript"/>
          <w:lang w:eastAsia="bg-BG"/>
        </w:rPr>
        <w:t>14</w:t>
      </w:r>
      <w:r w:rsidRPr="006E7F90">
        <w:rPr>
          <w:rFonts w:eastAsia="Times New Roman" w:cs="Arial"/>
          <w:color w:val="000000"/>
          <w:szCs w:val="20"/>
          <w:lang w:eastAsia="bg-BG"/>
        </w:rPr>
        <w:t>С лизиноприл.</w:t>
      </w:r>
    </w:p>
    <w:p w14:paraId="20108699"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 xml:space="preserve">Не са наблюдавани нежелани ефекти върху репродуктивните способности на мъжки и женски плъхове, третирани с до 300 </w:t>
      </w:r>
      <w:r w:rsidRPr="006E7F90">
        <w:rPr>
          <w:rFonts w:eastAsia="Times New Roman" w:cs="Arial"/>
          <w:color w:val="000000"/>
          <w:szCs w:val="20"/>
          <w:lang w:val="en-US"/>
        </w:rPr>
        <w:t>mg</w:t>
      </w:r>
      <w:r w:rsidRPr="006E7F90">
        <w:rPr>
          <w:rFonts w:eastAsia="Times New Roman" w:cs="Arial"/>
          <w:color w:val="000000"/>
          <w:szCs w:val="20"/>
          <w:lang w:val="ru-RU"/>
        </w:rPr>
        <w:t>/</w:t>
      </w:r>
      <w:r w:rsidRPr="006E7F90">
        <w:rPr>
          <w:rFonts w:eastAsia="Times New Roman" w:cs="Arial"/>
          <w:color w:val="000000"/>
          <w:szCs w:val="20"/>
          <w:lang w:val="en-US"/>
        </w:rPr>
        <w:t>kg</w:t>
      </w:r>
      <w:r w:rsidRPr="006E7F90">
        <w:rPr>
          <w:rFonts w:eastAsia="Times New Roman" w:cs="Arial"/>
          <w:color w:val="000000"/>
          <w:szCs w:val="20"/>
          <w:lang w:val="ru-RU"/>
        </w:rPr>
        <w:t xml:space="preserve"> </w:t>
      </w:r>
      <w:r w:rsidRPr="006E7F90">
        <w:rPr>
          <w:rFonts w:eastAsia="Times New Roman" w:cs="Arial"/>
          <w:color w:val="000000"/>
          <w:szCs w:val="20"/>
          <w:lang w:eastAsia="bg-BG"/>
        </w:rPr>
        <w:t xml:space="preserve">лизиноприл дневно (33 пъти </w:t>
      </w:r>
      <w:r w:rsidRPr="006E7F90">
        <w:rPr>
          <w:rFonts w:eastAsia="Times New Roman" w:cs="Arial"/>
          <w:color w:val="000000"/>
          <w:szCs w:val="20"/>
          <w:lang w:val="en-US"/>
        </w:rPr>
        <w:t>MRHDD</w:t>
      </w:r>
      <w:r w:rsidRPr="006E7F90">
        <w:rPr>
          <w:rFonts w:eastAsia="Times New Roman" w:cs="Arial"/>
          <w:color w:val="000000"/>
          <w:szCs w:val="20"/>
          <w:lang w:val="ru-RU"/>
        </w:rPr>
        <w:t xml:space="preserve"> </w:t>
      </w:r>
      <w:r w:rsidRPr="006E7F90">
        <w:rPr>
          <w:rFonts w:eastAsia="Times New Roman" w:cs="Arial"/>
          <w:color w:val="000000"/>
          <w:szCs w:val="20"/>
          <w:lang w:eastAsia="bg-BG"/>
        </w:rPr>
        <w:t>(препоръчваната максимална човешка дневна доза) на база телесна повърхност.</w:t>
      </w:r>
    </w:p>
    <w:p w14:paraId="35086F5A"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lastRenderedPageBreak/>
        <w:t xml:space="preserve">Няма данни за туморогенен ефект при 105 седмично перорално приложение на лизиноприл на мъжки и женски плъхове в дози до 90 </w:t>
      </w:r>
      <w:r w:rsidRPr="006E7F90">
        <w:rPr>
          <w:rFonts w:eastAsia="Times New Roman" w:cs="Arial"/>
          <w:color w:val="000000"/>
          <w:szCs w:val="20"/>
          <w:lang w:val="en-US"/>
        </w:rPr>
        <w:t>mg</w:t>
      </w:r>
      <w:r w:rsidRPr="006E7F90">
        <w:rPr>
          <w:rFonts w:eastAsia="Times New Roman" w:cs="Arial"/>
          <w:color w:val="000000"/>
          <w:szCs w:val="20"/>
          <w:lang w:val="ru-RU"/>
        </w:rPr>
        <w:t>/</w:t>
      </w:r>
      <w:r w:rsidRPr="006E7F90">
        <w:rPr>
          <w:rFonts w:eastAsia="Times New Roman" w:cs="Arial"/>
          <w:color w:val="000000"/>
          <w:szCs w:val="20"/>
          <w:lang w:val="en-US"/>
        </w:rPr>
        <w:t>kg</w:t>
      </w:r>
      <w:r w:rsidRPr="006E7F90">
        <w:rPr>
          <w:rFonts w:eastAsia="Times New Roman" w:cs="Arial"/>
          <w:color w:val="000000"/>
          <w:szCs w:val="20"/>
          <w:lang w:val="ru-RU"/>
        </w:rPr>
        <w:t xml:space="preserve"> </w:t>
      </w:r>
      <w:r w:rsidRPr="006E7F90">
        <w:rPr>
          <w:rFonts w:eastAsia="Times New Roman" w:cs="Arial"/>
          <w:color w:val="000000"/>
          <w:szCs w:val="20"/>
          <w:lang w:eastAsia="bg-BG"/>
        </w:rPr>
        <w:t xml:space="preserve">дневно или в продължение на 92 седмици в дози до 135 </w:t>
      </w:r>
      <w:r w:rsidRPr="006E7F90">
        <w:rPr>
          <w:rFonts w:eastAsia="Times New Roman" w:cs="Arial"/>
          <w:color w:val="000000"/>
          <w:szCs w:val="20"/>
          <w:lang w:val="en-US"/>
        </w:rPr>
        <w:t>mg</w:t>
      </w:r>
      <w:r w:rsidRPr="006E7F90">
        <w:rPr>
          <w:rFonts w:eastAsia="Times New Roman" w:cs="Arial"/>
          <w:color w:val="000000"/>
          <w:szCs w:val="20"/>
          <w:lang w:val="ru-RU"/>
        </w:rPr>
        <w:t>/</w:t>
      </w:r>
      <w:r w:rsidRPr="006E7F90">
        <w:rPr>
          <w:rFonts w:eastAsia="Times New Roman" w:cs="Arial"/>
          <w:color w:val="000000"/>
          <w:szCs w:val="20"/>
          <w:lang w:val="en-US"/>
        </w:rPr>
        <w:t>kg</w:t>
      </w:r>
      <w:r w:rsidRPr="006E7F90">
        <w:rPr>
          <w:rFonts w:eastAsia="Times New Roman" w:cs="Arial"/>
          <w:color w:val="000000"/>
          <w:szCs w:val="20"/>
          <w:lang w:val="ru-RU"/>
        </w:rPr>
        <w:t xml:space="preserve"> </w:t>
      </w:r>
      <w:r w:rsidRPr="006E7F90">
        <w:rPr>
          <w:rFonts w:eastAsia="Times New Roman" w:cs="Arial"/>
          <w:color w:val="000000"/>
          <w:szCs w:val="20"/>
          <w:lang w:eastAsia="bg-BG"/>
        </w:rPr>
        <w:t xml:space="preserve">дневно. Тези дози са съответно 10- и 7-кратно по-високи от </w:t>
      </w:r>
      <w:r w:rsidRPr="006E7F90">
        <w:rPr>
          <w:rFonts w:eastAsia="Times New Roman" w:cs="Arial"/>
          <w:color w:val="000000"/>
          <w:szCs w:val="20"/>
          <w:lang w:val="en-US"/>
        </w:rPr>
        <w:t>MRHDD</w:t>
      </w:r>
      <w:r w:rsidRPr="006E7F90">
        <w:rPr>
          <w:rFonts w:eastAsia="Times New Roman" w:cs="Arial"/>
          <w:color w:val="000000"/>
          <w:szCs w:val="20"/>
          <w:lang w:val="ru-RU"/>
        </w:rPr>
        <w:t xml:space="preserve"> </w:t>
      </w:r>
      <w:r w:rsidRPr="006E7F90">
        <w:rPr>
          <w:rFonts w:eastAsia="Times New Roman" w:cs="Arial"/>
          <w:color w:val="000000"/>
          <w:szCs w:val="20"/>
          <w:lang w:eastAsia="bg-BG"/>
        </w:rPr>
        <w:t>(препоръчваната максимална човешка дневна доза) на база телесна повърхност.</w:t>
      </w:r>
    </w:p>
    <w:p w14:paraId="1FA4AC62"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Лизинприл не е показал мутагенност при редица специфични тестове, изследващи възможния мутагенен потенциал.</w:t>
      </w:r>
    </w:p>
    <w:p w14:paraId="0B75F988"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 xml:space="preserve">Не е наблюдаван тератогенен ефект на лизиноприл в изследванията върху бременни мишки, плъхове и зайци. На базата на показателя телесна повърхност изследваните дози са били съответно до 55, 33 и 0,15 пъти </w:t>
      </w:r>
      <w:r w:rsidRPr="006E7F90">
        <w:rPr>
          <w:rFonts w:eastAsia="Times New Roman" w:cs="Arial"/>
          <w:color w:val="000000"/>
          <w:szCs w:val="20"/>
          <w:lang w:val="en-US"/>
        </w:rPr>
        <w:t>MRHDD</w:t>
      </w:r>
      <w:r w:rsidRPr="006E7F90">
        <w:rPr>
          <w:rFonts w:eastAsia="Times New Roman" w:cs="Arial"/>
          <w:color w:val="000000"/>
          <w:szCs w:val="20"/>
          <w:lang w:val="ru-RU"/>
        </w:rPr>
        <w:t xml:space="preserve"> </w:t>
      </w:r>
      <w:r w:rsidRPr="006E7F90">
        <w:rPr>
          <w:rFonts w:eastAsia="Times New Roman" w:cs="Arial"/>
          <w:color w:val="000000"/>
          <w:szCs w:val="20"/>
          <w:lang w:eastAsia="bg-BG"/>
        </w:rPr>
        <w:t>(препоръчваната максимална човешка дневна доза).</w:t>
      </w:r>
    </w:p>
    <w:p w14:paraId="5B12C91A" w14:textId="77777777" w:rsidR="006E7F90" w:rsidRPr="006E7F90" w:rsidRDefault="006E7F90" w:rsidP="006E7F90"/>
    <w:p w14:paraId="6A7820AB" w14:textId="7F78CE90" w:rsidR="008A6AF2" w:rsidRDefault="002C50EE" w:rsidP="00395555">
      <w:pPr>
        <w:pStyle w:val="Heading1"/>
      </w:pPr>
      <w:r>
        <w:t>7. ПРИТЕЖАТЕЛ НА РАЗРЕШЕНИЕТО ЗА УПОТРЕБА</w:t>
      </w:r>
    </w:p>
    <w:p w14:paraId="58997348" w14:textId="11E86C7F" w:rsidR="006E7F90" w:rsidRDefault="006E7F90" w:rsidP="006E7F90"/>
    <w:p w14:paraId="5706F57A" w14:textId="77777777" w:rsidR="006E7F90" w:rsidRPr="006E7F90" w:rsidRDefault="006E7F90" w:rsidP="006E7F90">
      <w:pPr>
        <w:rPr>
          <w:sz w:val="24"/>
          <w:szCs w:val="24"/>
        </w:rPr>
      </w:pPr>
      <w:r w:rsidRPr="006E7F90">
        <w:rPr>
          <w:lang w:eastAsia="bg-BG"/>
        </w:rPr>
        <w:t>"Алкалоид" ЕООД</w:t>
      </w:r>
    </w:p>
    <w:p w14:paraId="41042FE6" w14:textId="77777777" w:rsidR="006E7F90" w:rsidRPr="006E7F90" w:rsidRDefault="006E7F90" w:rsidP="006E7F90">
      <w:pPr>
        <w:rPr>
          <w:sz w:val="24"/>
          <w:szCs w:val="24"/>
        </w:rPr>
      </w:pPr>
      <w:r w:rsidRPr="006E7F90">
        <w:rPr>
          <w:lang w:eastAsia="bg-BG"/>
        </w:rPr>
        <w:t>бул. “Никола Й. Вапцаров” № 51-А, ет. 4,</w:t>
      </w:r>
    </w:p>
    <w:p w14:paraId="58AE5794" w14:textId="77777777" w:rsidR="006E7F90" w:rsidRPr="006E7F90" w:rsidRDefault="006E7F90" w:rsidP="006E7F90">
      <w:pPr>
        <w:rPr>
          <w:sz w:val="24"/>
          <w:szCs w:val="24"/>
        </w:rPr>
      </w:pPr>
      <w:r w:rsidRPr="006E7F90">
        <w:rPr>
          <w:lang w:eastAsia="bg-BG"/>
        </w:rPr>
        <w:t>гр. София 1407, България</w:t>
      </w:r>
    </w:p>
    <w:p w14:paraId="3362BE7B" w14:textId="77777777" w:rsidR="006E7F90" w:rsidRPr="006E7F90" w:rsidRDefault="006E7F90" w:rsidP="006E7F90">
      <w:pPr>
        <w:rPr>
          <w:sz w:val="24"/>
          <w:szCs w:val="24"/>
        </w:rPr>
      </w:pPr>
      <w:r w:rsidRPr="006E7F90">
        <w:rPr>
          <w:lang w:eastAsia="bg-BG"/>
        </w:rPr>
        <w:t>тел. +359 2 8081081</w:t>
      </w:r>
    </w:p>
    <w:p w14:paraId="1C9707B9" w14:textId="6E3235DE" w:rsidR="006E7F90" w:rsidRPr="006E7F90" w:rsidRDefault="006E7F90" w:rsidP="006E7F90">
      <w:proofErr w:type="gramStart"/>
      <w:r w:rsidRPr="006E7F90">
        <w:rPr>
          <w:lang w:val="en-US"/>
        </w:rPr>
        <w:t>e</w:t>
      </w:r>
      <w:r w:rsidRPr="006E7F90">
        <w:rPr>
          <w:lang w:val="ru-RU"/>
        </w:rPr>
        <w:t>-</w:t>
      </w:r>
      <w:r w:rsidRPr="006E7F90">
        <w:rPr>
          <w:lang w:val="en-US"/>
        </w:rPr>
        <w:t>mail</w:t>
      </w:r>
      <w:proofErr w:type="gramEnd"/>
      <w:r w:rsidRPr="006E7F90">
        <w:rPr>
          <w:lang w:val="ru-RU"/>
        </w:rPr>
        <w:t xml:space="preserve">: </w:t>
      </w:r>
      <w:hyperlink r:id="rId5" w:history="1">
        <w:r w:rsidRPr="006E7F90">
          <w:rPr>
            <w:lang w:val="en-US"/>
          </w:rPr>
          <w:t>office</w:t>
        </w:r>
        <w:r w:rsidRPr="006E7F90">
          <w:rPr>
            <w:lang w:val="ru-RU"/>
          </w:rPr>
          <w:t>@</w:t>
        </w:r>
        <w:r w:rsidRPr="006E7F90">
          <w:rPr>
            <w:lang w:val="en-US"/>
          </w:rPr>
          <w:t>alkaloid</w:t>
        </w:r>
        <w:r w:rsidRPr="006E7F90">
          <w:rPr>
            <w:lang w:val="ru-RU"/>
          </w:rPr>
          <w:t>.</w:t>
        </w:r>
        <w:proofErr w:type="spellStart"/>
        <w:r w:rsidRPr="006E7F90">
          <w:rPr>
            <w:lang w:val="en-US"/>
          </w:rPr>
          <w:t>bg</w:t>
        </w:r>
        <w:proofErr w:type="spellEnd"/>
      </w:hyperlink>
    </w:p>
    <w:p w14:paraId="04840D59" w14:textId="174986E7" w:rsidR="002C50EE" w:rsidRDefault="002C50EE" w:rsidP="00395555">
      <w:pPr>
        <w:pStyle w:val="Heading1"/>
      </w:pPr>
      <w:r>
        <w:t>8. НОМЕР НА РАЗРЕШЕНИЕТО ЗА УПОТРЕБА</w:t>
      </w:r>
    </w:p>
    <w:p w14:paraId="7AC90C21" w14:textId="0DE34162" w:rsidR="006E7F90" w:rsidRDefault="006E7F90" w:rsidP="006E7F90"/>
    <w:p w14:paraId="1766B7FC" w14:textId="77777777" w:rsidR="006E7F90" w:rsidRPr="006E7F90" w:rsidRDefault="006E7F90" w:rsidP="006E7F90">
      <w:pPr>
        <w:rPr>
          <w:sz w:val="24"/>
          <w:szCs w:val="24"/>
        </w:rPr>
      </w:pPr>
      <w:r w:rsidRPr="006E7F90">
        <w:rPr>
          <w:lang w:eastAsia="bg-BG"/>
        </w:rPr>
        <w:t xml:space="preserve">СКОПРИЛ 10 </w:t>
      </w:r>
      <w:r w:rsidRPr="006E7F90">
        <w:rPr>
          <w:lang w:val="en-US"/>
        </w:rPr>
        <w:t>mg</w:t>
      </w:r>
      <w:r w:rsidRPr="006E7F90">
        <w:t xml:space="preserve"> </w:t>
      </w:r>
      <w:r w:rsidRPr="006E7F90">
        <w:rPr>
          <w:lang w:eastAsia="bg-BG"/>
        </w:rPr>
        <w:t>таблетки</w:t>
      </w:r>
      <w:r w:rsidRPr="006E7F90">
        <w:rPr>
          <w:lang w:eastAsia="bg-BG"/>
        </w:rPr>
        <w:tab/>
      </w:r>
      <w:r w:rsidRPr="006E7F90">
        <w:rPr>
          <w:lang w:val="en-US"/>
        </w:rPr>
        <w:t>Per</w:t>
      </w:r>
      <w:r w:rsidRPr="006E7F90">
        <w:t xml:space="preserve">. </w:t>
      </w:r>
      <w:r w:rsidRPr="006E7F90">
        <w:rPr>
          <w:lang w:eastAsia="bg-BG"/>
        </w:rPr>
        <w:t>№ 20030632</w:t>
      </w:r>
    </w:p>
    <w:p w14:paraId="5AACF2C5" w14:textId="77777777" w:rsidR="006E7F90" w:rsidRPr="006E7F90" w:rsidRDefault="006E7F90" w:rsidP="006E7F90">
      <w:pPr>
        <w:rPr>
          <w:sz w:val="24"/>
          <w:szCs w:val="24"/>
        </w:rPr>
      </w:pPr>
      <w:r w:rsidRPr="006E7F90">
        <w:rPr>
          <w:lang w:eastAsia="bg-BG"/>
        </w:rPr>
        <w:t xml:space="preserve">СКОПРИЛ 20 </w:t>
      </w:r>
      <w:r w:rsidRPr="006E7F90">
        <w:rPr>
          <w:lang w:val="en-US"/>
        </w:rPr>
        <w:t>mg</w:t>
      </w:r>
      <w:r w:rsidRPr="006E7F90">
        <w:t xml:space="preserve"> </w:t>
      </w:r>
      <w:r w:rsidRPr="006E7F90">
        <w:rPr>
          <w:lang w:eastAsia="bg-BG"/>
        </w:rPr>
        <w:t>таблетки</w:t>
      </w:r>
      <w:r w:rsidRPr="006E7F90">
        <w:rPr>
          <w:lang w:eastAsia="bg-BG"/>
        </w:rPr>
        <w:tab/>
      </w:r>
      <w:r w:rsidRPr="006E7F90">
        <w:rPr>
          <w:lang w:val="en-US"/>
        </w:rPr>
        <w:t>Per</w:t>
      </w:r>
      <w:r w:rsidRPr="006E7F90">
        <w:t xml:space="preserve">. </w:t>
      </w:r>
      <w:r w:rsidRPr="006E7F90">
        <w:rPr>
          <w:lang w:eastAsia="bg-BG"/>
        </w:rPr>
        <w:t>№ 20030633</w:t>
      </w:r>
    </w:p>
    <w:p w14:paraId="624FF596" w14:textId="77777777" w:rsidR="006E7F90" w:rsidRPr="006E7F90" w:rsidRDefault="006E7F90" w:rsidP="006E7F90"/>
    <w:p w14:paraId="2CCB5832" w14:textId="37EA608F" w:rsidR="007C605B" w:rsidRDefault="002C50EE" w:rsidP="007C605B">
      <w:pPr>
        <w:pStyle w:val="Heading1"/>
      </w:pPr>
      <w:r>
        <w:t>9. ДАТА НА ПЪРВО РАЗРЕШАВАНЕ/ПОДНОВЯВАНЕ НА РАЗРЕШЕНИЕТО ЗА УПОТРЕБА</w:t>
      </w:r>
    </w:p>
    <w:p w14:paraId="3587247E" w14:textId="1C8FC7BF" w:rsidR="006E7F90" w:rsidRDefault="006E7F90" w:rsidP="006E7F90"/>
    <w:p w14:paraId="4131EE98" w14:textId="77777777" w:rsidR="006E7F90" w:rsidRPr="006E7F90" w:rsidRDefault="006E7F90" w:rsidP="006E7F90">
      <w:pPr>
        <w:rPr>
          <w:sz w:val="24"/>
          <w:szCs w:val="24"/>
        </w:rPr>
      </w:pPr>
      <w:r w:rsidRPr="006E7F90">
        <w:rPr>
          <w:lang w:eastAsia="bg-BG"/>
        </w:rPr>
        <w:t>Дата на първо разрешаване: 07 Октомври 2003</w:t>
      </w:r>
    </w:p>
    <w:p w14:paraId="52EEB949" w14:textId="4DEAEDD7" w:rsidR="006E7F90" w:rsidRPr="006E7F90" w:rsidRDefault="006E7F90" w:rsidP="006E7F90">
      <w:pPr>
        <w:rPr>
          <w:sz w:val="24"/>
          <w:szCs w:val="24"/>
        </w:rPr>
      </w:pPr>
      <w:r w:rsidRPr="006E7F90">
        <w:rPr>
          <w:lang w:eastAsia="bg-BG"/>
        </w:rPr>
        <w:t>Дата на последно подновяване: 13 Март 2009</w:t>
      </w:r>
    </w:p>
    <w:p w14:paraId="0E9D0119" w14:textId="0245C6D7" w:rsidR="002C50EE" w:rsidRDefault="002C50EE" w:rsidP="002C50EE">
      <w:pPr>
        <w:pStyle w:val="Heading1"/>
      </w:pPr>
      <w:r>
        <w:t>10. ДАТА НА АКТУАЛИЗИРАНЕ НА ТЕКСТА</w:t>
      </w:r>
    </w:p>
    <w:bookmarkEnd w:id="0"/>
    <w:p w14:paraId="43FB38A2" w14:textId="56F4A4BC" w:rsidR="007C605B" w:rsidRPr="002B0A88" w:rsidRDefault="006E7F90" w:rsidP="006E7F90">
      <w:pPr>
        <w:rPr>
          <w:sz w:val="24"/>
          <w:szCs w:val="24"/>
        </w:rPr>
      </w:pPr>
      <w:r>
        <w:t>03/2020</w:t>
      </w:r>
      <w:bookmarkStart w:id="2" w:name="_GoBack"/>
      <w:bookmarkEnd w:id="2"/>
    </w:p>
    <w:sectPr w:rsidR="007C605B" w:rsidRPr="002B0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D11B0B"/>
    <w:multiLevelType w:val="hybridMultilevel"/>
    <w:tmpl w:val="6288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C46DE1"/>
    <w:multiLevelType w:val="hybridMultilevel"/>
    <w:tmpl w:val="559E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BD4F54"/>
    <w:multiLevelType w:val="hybridMultilevel"/>
    <w:tmpl w:val="0894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2"/>
  </w:num>
  <w:num w:numId="4">
    <w:abstractNumId w:val="3"/>
  </w:num>
  <w:num w:numId="5">
    <w:abstractNumId w:val="1"/>
  </w:num>
  <w:num w:numId="6">
    <w:abstractNumId w:val="17"/>
  </w:num>
  <w:num w:numId="7">
    <w:abstractNumId w:val="10"/>
  </w:num>
  <w:num w:numId="8">
    <w:abstractNumId w:val="16"/>
  </w:num>
  <w:num w:numId="9">
    <w:abstractNumId w:val="2"/>
  </w:num>
  <w:num w:numId="10">
    <w:abstractNumId w:val="4"/>
  </w:num>
  <w:num w:numId="11">
    <w:abstractNumId w:val="30"/>
  </w:num>
  <w:num w:numId="12">
    <w:abstractNumId w:val="14"/>
  </w:num>
  <w:num w:numId="13">
    <w:abstractNumId w:val="20"/>
  </w:num>
  <w:num w:numId="14">
    <w:abstractNumId w:val="11"/>
  </w:num>
  <w:num w:numId="15">
    <w:abstractNumId w:val="29"/>
  </w:num>
  <w:num w:numId="16">
    <w:abstractNumId w:val="9"/>
  </w:num>
  <w:num w:numId="17">
    <w:abstractNumId w:val="25"/>
  </w:num>
  <w:num w:numId="18">
    <w:abstractNumId w:val="7"/>
  </w:num>
  <w:num w:numId="19">
    <w:abstractNumId w:val="27"/>
  </w:num>
  <w:num w:numId="20">
    <w:abstractNumId w:val="24"/>
  </w:num>
  <w:num w:numId="21">
    <w:abstractNumId w:val="18"/>
  </w:num>
  <w:num w:numId="22">
    <w:abstractNumId w:val="26"/>
  </w:num>
  <w:num w:numId="23">
    <w:abstractNumId w:val="19"/>
  </w:num>
  <w:num w:numId="24">
    <w:abstractNumId w:val="8"/>
  </w:num>
  <w:num w:numId="25">
    <w:abstractNumId w:val="23"/>
  </w:num>
  <w:num w:numId="26">
    <w:abstractNumId w:val="22"/>
  </w:num>
  <w:num w:numId="27">
    <w:abstractNumId w:val="32"/>
  </w:num>
  <w:num w:numId="28">
    <w:abstractNumId w:val="6"/>
  </w:num>
  <w:num w:numId="29">
    <w:abstractNumId w:val="21"/>
  </w:num>
  <w:num w:numId="30">
    <w:abstractNumId w:val="33"/>
  </w:num>
  <w:num w:numId="31">
    <w:abstractNumId w:val="5"/>
  </w:num>
  <w:num w:numId="32">
    <w:abstractNumId w:val="15"/>
  </w:num>
  <w:num w:numId="33">
    <w:abstractNumId w:val="31"/>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0A88"/>
    <w:rsid w:val="002B3C38"/>
    <w:rsid w:val="002B4DBB"/>
    <w:rsid w:val="002C50EE"/>
    <w:rsid w:val="00340A0A"/>
    <w:rsid w:val="003765DC"/>
    <w:rsid w:val="00395555"/>
    <w:rsid w:val="003E3126"/>
    <w:rsid w:val="004D4D6B"/>
    <w:rsid w:val="00517A5B"/>
    <w:rsid w:val="00593A00"/>
    <w:rsid w:val="005A66D9"/>
    <w:rsid w:val="00605BCA"/>
    <w:rsid w:val="006158A1"/>
    <w:rsid w:val="00617B1F"/>
    <w:rsid w:val="00672487"/>
    <w:rsid w:val="00672600"/>
    <w:rsid w:val="00681D4A"/>
    <w:rsid w:val="00685882"/>
    <w:rsid w:val="006E7F90"/>
    <w:rsid w:val="0075649D"/>
    <w:rsid w:val="007C605B"/>
    <w:rsid w:val="00814073"/>
    <w:rsid w:val="00826F0D"/>
    <w:rsid w:val="00893B92"/>
    <w:rsid w:val="008A6AF2"/>
    <w:rsid w:val="008C70A2"/>
    <w:rsid w:val="009773E4"/>
    <w:rsid w:val="009B171C"/>
    <w:rsid w:val="009F1313"/>
    <w:rsid w:val="00A20351"/>
    <w:rsid w:val="00AA23EC"/>
    <w:rsid w:val="00AC63CE"/>
    <w:rsid w:val="00AE2107"/>
    <w:rsid w:val="00B275A8"/>
    <w:rsid w:val="00BF2600"/>
    <w:rsid w:val="00C0049F"/>
    <w:rsid w:val="00C07B84"/>
    <w:rsid w:val="00C33464"/>
    <w:rsid w:val="00C809A7"/>
    <w:rsid w:val="00C83063"/>
    <w:rsid w:val="00C87E90"/>
    <w:rsid w:val="00CA1B57"/>
    <w:rsid w:val="00D04FC4"/>
    <w:rsid w:val="00D86297"/>
    <w:rsid w:val="00DD466D"/>
    <w:rsid w:val="00DF4C8E"/>
    <w:rsid w:val="00EB6364"/>
    <w:rsid w:val="00F37B64"/>
    <w:rsid w:val="00F44498"/>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alkaloid.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4825</Words>
  <Characters>27509</Characters>
  <Application>Microsoft Office Word</Application>
  <DocSecurity>0</DocSecurity>
  <Lines>229</Lines>
  <Paragraphs>64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SATHealth-Guest</cp:lastModifiedBy>
  <cp:revision>2</cp:revision>
  <dcterms:created xsi:type="dcterms:W3CDTF">2022-11-23T14:13:00Z</dcterms:created>
  <dcterms:modified xsi:type="dcterms:W3CDTF">2022-11-23T14:13:00Z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