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4587A552" w:rsidR="00DB32D3" w:rsidRDefault="00DD466D" w:rsidP="005726E3">
      <w:pPr>
        <w:pStyle w:val="Heading1"/>
      </w:pPr>
      <w:r>
        <w:t>1.ИМЕ НА ЛЕКАРСТВЕНИЯ ПРОДУКТ</w:t>
      </w:r>
    </w:p>
    <w:p w14:paraId="7FDE08A3" w14:textId="03FE4ADB" w:rsidR="00A5221A" w:rsidRDefault="00A5221A" w:rsidP="00A5221A"/>
    <w:p w14:paraId="3EE5C4A0" w14:textId="77777777" w:rsidR="00A5221A" w:rsidRPr="00A5221A" w:rsidRDefault="00A5221A" w:rsidP="00A5221A">
      <w:pPr>
        <w:rPr>
          <w:sz w:val="24"/>
          <w:szCs w:val="24"/>
        </w:rPr>
      </w:pPr>
      <w:r w:rsidRPr="00A5221A">
        <w:rPr>
          <w:lang w:eastAsia="bg-BG"/>
        </w:rPr>
        <w:t xml:space="preserve">Скоприл плюс 20 </w:t>
      </w:r>
      <w:r w:rsidRPr="00A5221A">
        <w:rPr>
          <w:lang w:val="en-US"/>
        </w:rPr>
        <w:t>mg</w:t>
      </w:r>
      <w:r w:rsidRPr="00A5221A">
        <w:t xml:space="preserve">/12,5 </w:t>
      </w:r>
      <w:r w:rsidRPr="00A5221A">
        <w:rPr>
          <w:lang w:val="en-US"/>
        </w:rPr>
        <w:t>mg</w:t>
      </w:r>
      <w:r w:rsidRPr="00A5221A">
        <w:t xml:space="preserve"> </w:t>
      </w:r>
      <w:r w:rsidRPr="00A5221A">
        <w:rPr>
          <w:lang w:eastAsia="bg-BG"/>
        </w:rPr>
        <w:t>таблетки</w:t>
      </w:r>
    </w:p>
    <w:p w14:paraId="4D8A6DED" w14:textId="0FB50665" w:rsidR="00A5221A" w:rsidRPr="00A5221A" w:rsidRDefault="00A5221A" w:rsidP="00A5221A">
      <w:proofErr w:type="spellStart"/>
      <w:r w:rsidRPr="00A5221A">
        <w:rPr>
          <w:lang w:val="en-US"/>
        </w:rPr>
        <w:t>Skopryl</w:t>
      </w:r>
      <w:proofErr w:type="spellEnd"/>
      <w:r w:rsidRPr="00A5221A">
        <w:t xml:space="preserve"> </w:t>
      </w:r>
      <w:r w:rsidRPr="00A5221A">
        <w:rPr>
          <w:lang w:val="en-US"/>
        </w:rPr>
        <w:t>plus</w:t>
      </w:r>
      <w:r w:rsidRPr="00A5221A">
        <w:t xml:space="preserve"> </w:t>
      </w:r>
      <w:r w:rsidRPr="00A5221A">
        <w:rPr>
          <w:lang w:eastAsia="bg-BG"/>
        </w:rPr>
        <w:t xml:space="preserve">20 </w:t>
      </w:r>
      <w:r w:rsidRPr="00A5221A">
        <w:rPr>
          <w:lang w:val="en-US"/>
        </w:rPr>
        <w:t>mg</w:t>
      </w:r>
      <w:r w:rsidRPr="00A5221A">
        <w:t xml:space="preserve">/12.5 </w:t>
      </w:r>
      <w:r w:rsidRPr="00A5221A">
        <w:rPr>
          <w:lang w:val="en-US"/>
        </w:rPr>
        <w:t>mg</w:t>
      </w:r>
      <w:r w:rsidRPr="00A5221A">
        <w:t xml:space="preserve"> </w:t>
      </w:r>
      <w:r w:rsidRPr="00A5221A">
        <w:rPr>
          <w:lang w:val="en-US"/>
        </w:rPr>
        <w:t>tablets</w:t>
      </w:r>
    </w:p>
    <w:p w14:paraId="48E6CABE" w14:textId="2EC3031F" w:rsidR="00DB32D3" w:rsidRDefault="00DD466D" w:rsidP="005726E3">
      <w:pPr>
        <w:pStyle w:val="Heading1"/>
      </w:pPr>
      <w:r>
        <w:t>2. КАЧЕСТВЕН И КОЛИЧЕСТВЕН СЪСТАВ</w:t>
      </w:r>
    </w:p>
    <w:p w14:paraId="0A5B791B" w14:textId="7241C72A" w:rsidR="00A5221A" w:rsidRDefault="00A5221A" w:rsidP="00A5221A"/>
    <w:p w14:paraId="60828599" w14:textId="79BB7526" w:rsidR="00A5221A" w:rsidRPr="00A5221A" w:rsidRDefault="00A5221A" w:rsidP="00A5221A">
      <w:pPr>
        <w:rPr>
          <w:sz w:val="24"/>
        </w:rPr>
      </w:pPr>
      <w:r w:rsidRPr="00A5221A">
        <w:rPr>
          <w:szCs w:val="20"/>
        </w:rPr>
        <w:t xml:space="preserve">Всяка таблетка съдържа 20 </w:t>
      </w:r>
      <w:r w:rsidRPr="00A5221A">
        <w:rPr>
          <w:szCs w:val="20"/>
          <w:lang w:val="en-US"/>
        </w:rPr>
        <w:t>mg</w:t>
      </w:r>
      <w:r w:rsidRPr="00A5221A">
        <w:rPr>
          <w:szCs w:val="20"/>
        </w:rPr>
        <w:t xml:space="preserve"> лизиноприл </w:t>
      </w:r>
      <w:r w:rsidRPr="00A5221A">
        <w:rPr>
          <w:i/>
          <w:iCs/>
          <w:szCs w:val="20"/>
        </w:rPr>
        <w:t>(</w:t>
      </w:r>
      <w:proofErr w:type="spellStart"/>
      <w:r w:rsidRPr="00A5221A">
        <w:rPr>
          <w:i/>
          <w:iCs/>
          <w:szCs w:val="20"/>
          <w:lang w:val="en-US"/>
        </w:rPr>
        <w:t>lisinopril</w:t>
      </w:r>
      <w:proofErr w:type="spellEnd"/>
      <w:r w:rsidRPr="00A5221A">
        <w:rPr>
          <w:i/>
          <w:iCs/>
          <w:szCs w:val="20"/>
        </w:rPr>
        <w:t>)</w:t>
      </w:r>
      <w:r w:rsidRPr="00A5221A">
        <w:rPr>
          <w:szCs w:val="20"/>
        </w:rPr>
        <w:t xml:space="preserve"> (като лизиноприл дихидрат </w:t>
      </w:r>
      <w:r w:rsidRPr="00A5221A">
        <w:rPr>
          <w:i/>
          <w:iCs/>
          <w:szCs w:val="20"/>
        </w:rPr>
        <w:t>(</w:t>
      </w:r>
      <w:proofErr w:type="spellStart"/>
      <w:r w:rsidRPr="00A5221A">
        <w:rPr>
          <w:i/>
          <w:iCs/>
          <w:szCs w:val="20"/>
          <w:lang w:val="en-US"/>
        </w:rPr>
        <w:t>lisinopril</w:t>
      </w:r>
      <w:proofErr w:type="spellEnd"/>
      <w:r w:rsidRPr="00A5221A">
        <w:rPr>
          <w:i/>
          <w:iCs/>
          <w:szCs w:val="20"/>
        </w:rPr>
        <w:t xml:space="preserve"> </w:t>
      </w:r>
      <w:proofErr w:type="spellStart"/>
      <w:r w:rsidRPr="00A5221A">
        <w:rPr>
          <w:i/>
          <w:iCs/>
          <w:szCs w:val="20"/>
          <w:lang w:val="en-US"/>
        </w:rPr>
        <w:t>dihydrate</w:t>
      </w:r>
      <w:proofErr w:type="spellEnd"/>
      <w:r w:rsidRPr="00A5221A">
        <w:rPr>
          <w:i/>
          <w:iCs/>
          <w:szCs w:val="20"/>
        </w:rPr>
        <w:t>)</w:t>
      </w:r>
      <w:r w:rsidRPr="00A5221A">
        <w:rPr>
          <w:szCs w:val="20"/>
        </w:rPr>
        <w:t xml:space="preserve"> и 12,5 </w:t>
      </w:r>
      <w:r w:rsidRPr="00A5221A">
        <w:rPr>
          <w:szCs w:val="20"/>
          <w:lang w:val="en-US"/>
        </w:rPr>
        <w:t>mg</w:t>
      </w:r>
      <w:r w:rsidRPr="00A5221A">
        <w:rPr>
          <w:szCs w:val="20"/>
        </w:rPr>
        <w:t xml:space="preserve"> хидрохлоротиазид </w:t>
      </w:r>
      <w:r w:rsidRPr="00A5221A">
        <w:rPr>
          <w:i/>
          <w:iCs/>
          <w:szCs w:val="20"/>
        </w:rPr>
        <w:t>(</w:t>
      </w:r>
      <w:r w:rsidRPr="00A5221A">
        <w:rPr>
          <w:i/>
          <w:iCs/>
          <w:szCs w:val="20"/>
          <w:lang w:val="en-US"/>
        </w:rPr>
        <w:t>hydrochlorothiazide</w:t>
      </w:r>
      <w:r w:rsidRPr="00A5221A">
        <w:rPr>
          <w:i/>
          <w:iCs/>
          <w:szCs w:val="20"/>
        </w:rPr>
        <w:t>).</w:t>
      </w:r>
    </w:p>
    <w:p w14:paraId="614984C4" w14:textId="278A37E1" w:rsidR="008A6AF2" w:rsidRDefault="00DD466D" w:rsidP="002C50EE">
      <w:pPr>
        <w:pStyle w:val="Heading1"/>
      </w:pPr>
      <w:r>
        <w:t>3. ЛЕКАРСТВЕНА ФОРМА</w:t>
      </w:r>
    </w:p>
    <w:p w14:paraId="7C8E7CFD" w14:textId="015DF657" w:rsidR="00A5221A" w:rsidRDefault="00A5221A" w:rsidP="00A5221A"/>
    <w:p w14:paraId="669D23BA" w14:textId="77777777" w:rsidR="00A5221A" w:rsidRPr="00A5221A" w:rsidRDefault="00A5221A" w:rsidP="00A5221A">
      <w:pPr>
        <w:rPr>
          <w:sz w:val="24"/>
          <w:szCs w:val="24"/>
        </w:rPr>
      </w:pPr>
      <w:r w:rsidRPr="00A5221A">
        <w:rPr>
          <w:lang w:eastAsia="bg-BG"/>
        </w:rPr>
        <w:t>Таблетка.</w:t>
      </w:r>
    </w:p>
    <w:p w14:paraId="7D43AFDB" w14:textId="77777777" w:rsidR="00A5221A" w:rsidRDefault="00A5221A" w:rsidP="00A5221A">
      <w:pPr>
        <w:rPr>
          <w:lang w:eastAsia="bg-BG"/>
        </w:rPr>
      </w:pPr>
    </w:p>
    <w:p w14:paraId="3570750E" w14:textId="02291628" w:rsidR="00A5221A" w:rsidRPr="00A5221A" w:rsidRDefault="00A5221A" w:rsidP="00A5221A">
      <w:pPr>
        <w:rPr>
          <w:sz w:val="24"/>
          <w:szCs w:val="24"/>
        </w:rPr>
      </w:pPr>
      <w:r w:rsidRPr="00A5221A">
        <w:rPr>
          <w:lang w:eastAsia="bg-BG"/>
        </w:rPr>
        <w:t>Бледо кафяво-виолетови кръгли двойноизпъкнали таблетки с делителна черта от едната страна.</w:t>
      </w:r>
    </w:p>
    <w:p w14:paraId="364775CD" w14:textId="77777777" w:rsidR="00A5221A" w:rsidRPr="00A5221A" w:rsidRDefault="00A5221A" w:rsidP="00A5221A">
      <w:pPr>
        <w:rPr>
          <w:sz w:val="24"/>
          <w:szCs w:val="24"/>
        </w:rPr>
      </w:pPr>
      <w:r w:rsidRPr="00A5221A">
        <w:rPr>
          <w:lang w:eastAsia="bg-BG"/>
        </w:rPr>
        <w:t xml:space="preserve">Диаметърът на таблетките е приблизително 9 </w:t>
      </w:r>
      <w:r w:rsidRPr="00A5221A">
        <w:rPr>
          <w:lang w:val="en-US"/>
        </w:rPr>
        <w:t>mm</w:t>
      </w:r>
      <w:r w:rsidRPr="00A5221A">
        <w:rPr>
          <w:lang w:val="ru-RU"/>
        </w:rPr>
        <w:t>.</w:t>
      </w:r>
    </w:p>
    <w:p w14:paraId="32EE7C73" w14:textId="77777777" w:rsidR="00A5221A" w:rsidRDefault="00A5221A" w:rsidP="00A5221A">
      <w:pPr>
        <w:rPr>
          <w:lang w:eastAsia="bg-BG"/>
        </w:rPr>
      </w:pPr>
    </w:p>
    <w:p w14:paraId="6E7EF989" w14:textId="1837E23A" w:rsidR="00A5221A" w:rsidRPr="00A5221A" w:rsidRDefault="00A5221A" w:rsidP="00A5221A">
      <w:pPr>
        <w:rPr>
          <w:sz w:val="24"/>
          <w:szCs w:val="24"/>
        </w:rPr>
      </w:pPr>
      <w:r w:rsidRPr="00A5221A">
        <w:rPr>
          <w:lang w:eastAsia="bg-BG"/>
        </w:rPr>
        <w:t>Делителната черта е само за улесняване на счупването с цел по-лесно поглъщане, а не за разделяне на равни дози.</w:t>
      </w:r>
    </w:p>
    <w:p w14:paraId="0CC027F9" w14:textId="77777777" w:rsidR="00A5221A" w:rsidRPr="00A5221A" w:rsidRDefault="00A5221A" w:rsidP="00A5221A"/>
    <w:p w14:paraId="490FC2C4" w14:textId="6899DE43" w:rsidR="002C50EE" w:rsidRDefault="002C50EE" w:rsidP="002C50EE">
      <w:pPr>
        <w:pStyle w:val="Heading1"/>
      </w:pPr>
      <w:r>
        <w:t>4. КЛИНИЧНИ ДАННИ</w:t>
      </w:r>
    </w:p>
    <w:p w14:paraId="0771830A" w14:textId="28BE4EA9" w:rsidR="00DB32D3" w:rsidRDefault="002C50EE" w:rsidP="005726E3">
      <w:pPr>
        <w:pStyle w:val="Heading2"/>
      </w:pPr>
      <w:r>
        <w:t>4.1. Терапевтични показания</w:t>
      </w:r>
    </w:p>
    <w:p w14:paraId="27DC7BBE" w14:textId="5083F367" w:rsidR="00A5221A" w:rsidRDefault="00A5221A" w:rsidP="00A5221A"/>
    <w:p w14:paraId="711D85EA" w14:textId="722E436A" w:rsidR="00A5221A" w:rsidRDefault="00A5221A" w:rsidP="00A5221A">
      <w:r>
        <w:t>За овладяване на лека до умерена хипертония при пациенти, които са стабилизирани на отделните съставки, дадени в същите пропорции.</w:t>
      </w:r>
    </w:p>
    <w:p w14:paraId="73DD3A4F" w14:textId="77777777" w:rsidR="00A5221A" w:rsidRPr="00A5221A" w:rsidRDefault="00A5221A" w:rsidP="00A5221A"/>
    <w:p w14:paraId="7647A102" w14:textId="20CCF086" w:rsidR="00DB32D3" w:rsidRDefault="002C50EE" w:rsidP="005726E3">
      <w:pPr>
        <w:pStyle w:val="Heading2"/>
      </w:pPr>
      <w:r>
        <w:t>4.2. Дозировка и начин на приложение</w:t>
      </w:r>
    </w:p>
    <w:p w14:paraId="7133FAED" w14:textId="0912CBD5" w:rsidR="00A5221A" w:rsidRDefault="00A5221A" w:rsidP="00A5221A"/>
    <w:p w14:paraId="5B8A55C2" w14:textId="77777777" w:rsidR="00A5221A" w:rsidRPr="00A5221A" w:rsidRDefault="00A5221A" w:rsidP="00A5221A">
      <w:pPr>
        <w:pStyle w:val="Heading3"/>
        <w:rPr>
          <w:rFonts w:eastAsia="Times New Roman"/>
          <w:sz w:val="28"/>
          <w:u w:val="single"/>
        </w:rPr>
      </w:pPr>
      <w:r w:rsidRPr="00A5221A">
        <w:rPr>
          <w:rFonts w:eastAsia="Times New Roman"/>
          <w:u w:val="single"/>
          <w:lang w:eastAsia="bg-BG"/>
        </w:rPr>
        <w:t>Дозировка</w:t>
      </w:r>
    </w:p>
    <w:p w14:paraId="544763F9" w14:textId="77777777" w:rsidR="00A5221A" w:rsidRPr="00A5221A" w:rsidRDefault="00A5221A" w:rsidP="00A5221A">
      <w:pPr>
        <w:spacing w:line="240" w:lineRule="auto"/>
        <w:rPr>
          <w:rFonts w:eastAsia="Times New Roman" w:cs="Arial"/>
          <w:b/>
          <w:bCs/>
          <w:color w:val="000000"/>
          <w:szCs w:val="20"/>
          <w:lang w:eastAsia="bg-BG"/>
        </w:rPr>
      </w:pPr>
      <w:bookmarkStart w:id="1" w:name="bookmark0"/>
    </w:p>
    <w:p w14:paraId="6508DAF3" w14:textId="48A09A2C" w:rsidR="00A5221A" w:rsidRPr="00A5221A" w:rsidRDefault="00A5221A" w:rsidP="00A5221A">
      <w:pPr>
        <w:spacing w:line="240" w:lineRule="auto"/>
        <w:rPr>
          <w:rFonts w:eastAsia="Times New Roman" w:cs="Arial"/>
          <w:sz w:val="28"/>
          <w:szCs w:val="24"/>
        </w:rPr>
      </w:pPr>
      <w:r w:rsidRPr="00A5221A">
        <w:rPr>
          <w:rFonts w:eastAsia="Times New Roman" w:cs="Arial"/>
          <w:b/>
          <w:bCs/>
          <w:color w:val="000000"/>
          <w:szCs w:val="20"/>
          <w:lang w:eastAsia="bg-BG"/>
        </w:rPr>
        <w:t>Възрастни</w:t>
      </w:r>
      <w:bookmarkEnd w:id="1"/>
    </w:p>
    <w:p w14:paraId="1FC49690" w14:textId="77777777" w:rsidR="00A5221A" w:rsidRPr="00A5221A" w:rsidRDefault="00A5221A" w:rsidP="00A5221A">
      <w:pPr>
        <w:spacing w:line="240" w:lineRule="auto"/>
        <w:rPr>
          <w:rFonts w:eastAsia="Times New Roman" w:cs="Arial"/>
          <w:sz w:val="28"/>
          <w:szCs w:val="24"/>
        </w:rPr>
      </w:pPr>
      <w:r w:rsidRPr="00A5221A">
        <w:rPr>
          <w:rFonts w:eastAsia="Times New Roman" w:cs="Arial"/>
          <w:color w:val="000000"/>
          <w:szCs w:val="20"/>
          <w:lang w:eastAsia="bg-BG"/>
        </w:rPr>
        <w:t>Обичайната доза е 1 таблетка, приложена веднъж дневно. Ако е необходимо, дозата може да се увеличи до 2 таблетки, приложени веднъж дневно.</w:t>
      </w:r>
    </w:p>
    <w:p w14:paraId="5908FB61" w14:textId="77777777" w:rsidR="00A5221A" w:rsidRPr="00A5221A" w:rsidRDefault="00A5221A" w:rsidP="00A5221A">
      <w:pPr>
        <w:spacing w:line="240" w:lineRule="auto"/>
        <w:rPr>
          <w:rFonts w:eastAsia="Times New Roman" w:cs="Arial"/>
          <w:color w:val="000000"/>
          <w:szCs w:val="20"/>
          <w:u w:val="single"/>
          <w:lang w:eastAsia="bg-BG"/>
        </w:rPr>
      </w:pPr>
    </w:p>
    <w:p w14:paraId="68077B70" w14:textId="021775A5" w:rsidR="00A5221A" w:rsidRPr="00A5221A" w:rsidRDefault="00A5221A" w:rsidP="00A5221A">
      <w:pPr>
        <w:spacing w:line="240" w:lineRule="auto"/>
        <w:rPr>
          <w:rFonts w:eastAsia="Times New Roman" w:cs="Arial"/>
          <w:color w:val="000000"/>
          <w:szCs w:val="20"/>
          <w:lang w:eastAsia="bg-BG"/>
        </w:rPr>
      </w:pPr>
      <w:r w:rsidRPr="00A5221A">
        <w:rPr>
          <w:rFonts w:eastAsia="Times New Roman" w:cs="Arial"/>
          <w:color w:val="000000"/>
          <w:szCs w:val="20"/>
          <w:u w:val="single"/>
          <w:lang w:eastAsia="bg-BG"/>
        </w:rPr>
        <w:t>Дозировка при бъбречна недостатъчност:</w:t>
      </w:r>
      <w:r w:rsidRPr="00A5221A">
        <w:rPr>
          <w:rFonts w:eastAsia="Times New Roman" w:cs="Arial"/>
          <w:color w:val="000000"/>
          <w:szCs w:val="20"/>
          <w:lang w:eastAsia="bg-BG"/>
        </w:rPr>
        <w:t xml:space="preserve"> Тиазидите може да не са подходящите диуретици за използване </w:t>
      </w:r>
    </w:p>
    <w:p w14:paraId="53D0D692" w14:textId="59A9F421" w:rsidR="00A5221A" w:rsidRPr="00A5221A" w:rsidRDefault="00A5221A" w:rsidP="00A5221A">
      <w:pPr>
        <w:spacing w:line="240" w:lineRule="auto"/>
        <w:rPr>
          <w:rFonts w:eastAsia="Times New Roman" w:cs="Arial"/>
          <w:sz w:val="28"/>
          <w:szCs w:val="24"/>
        </w:rPr>
      </w:pPr>
      <w:r w:rsidRPr="00A5221A">
        <w:rPr>
          <w:rFonts w:eastAsia="Times New Roman" w:cs="Arial"/>
          <w:color w:val="000000"/>
          <w:szCs w:val="20"/>
          <w:lang w:eastAsia="bg-BG"/>
        </w:rPr>
        <w:t xml:space="preserve">при пациенти с бъбречно увреждане и са неефективни при стойности на креатининовия клирънс 30 </w:t>
      </w:r>
      <w:r w:rsidRPr="00A5221A">
        <w:rPr>
          <w:rFonts w:eastAsia="Times New Roman" w:cs="Arial"/>
          <w:color w:val="000000"/>
          <w:szCs w:val="20"/>
          <w:lang w:val="en-US"/>
        </w:rPr>
        <w:t>ml</w:t>
      </w:r>
      <w:r w:rsidRPr="00A5221A">
        <w:rPr>
          <w:rFonts w:eastAsia="Times New Roman" w:cs="Arial"/>
          <w:color w:val="000000"/>
          <w:szCs w:val="20"/>
          <w:lang w:val="ru-RU"/>
        </w:rPr>
        <w:t>/</w:t>
      </w:r>
      <w:r w:rsidRPr="00A5221A">
        <w:rPr>
          <w:rFonts w:eastAsia="Times New Roman" w:cs="Arial"/>
          <w:color w:val="000000"/>
          <w:szCs w:val="20"/>
          <w:lang w:val="en-US"/>
        </w:rPr>
        <w:t>min</w:t>
      </w:r>
      <w:r w:rsidRPr="00A5221A">
        <w:rPr>
          <w:rFonts w:eastAsia="Times New Roman" w:cs="Arial"/>
          <w:color w:val="000000"/>
          <w:szCs w:val="20"/>
          <w:lang w:val="ru-RU"/>
        </w:rPr>
        <w:t xml:space="preserve"> </w:t>
      </w:r>
      <w:r w:rsidRPr="00A5221A">
        <w:rPr>
          <w:rFonts w:eastAsia="Times New Roman" w:cs="Arial"/>
          <w:color w:val="000000"/>
          <w:szCs w:val="20"/>
          <w:lang w:eastAsia="bg-BG"/>
        </w:rPr>
        <w:t>или по-ниски (т.е. умерена или тежка бъбречна недостатъчност).</w:t>
      </w:r>
    </w:p>
    <w:p w14:paraId="312269D8" w14:textId="51D32711" w:rsidR="00A5221A" w:rsidRPr="00A5221A" w:rsidRDefault="00A5221A" w:rsidP="00A5221A">
      <w:pPr>
        <w:rPr>
          <w:rFonts w:cs="Arial"/>
          <w:sz w:val="24"/>
        </w:rPr>
      </w:pPr>
    </w:p>
    <w:p w14:paraId="237B2BD2" w14:textId="77777777" w:rsidR="00A5221A" w:rsidRPr="00A5221A" w:rsidRDefault="00A5221A" w:rsidP="00A5221A">
      <w:pPr>
        <w:spacing w:line="240" w:lineRule="auto"/>
        <w:rPr>
          <w:rFonts w:eastAsia="Times New Roman" w:cs="Arial"/>
          <w:sz w:val="28"/>
          <w:szCs w:val="24"/>
        </w:rPr>
      </w:pPr>
      <w:r w:rsidRPr="00A5221A">
        <w:rPr>
          <w:rFonts w:eastAsia="Times New Roman" w:cs="Arial"/>
          <w:color w:val="000000"/>
          <w:szCs w:val="20"/>
          <w:lang w:eastAsia="bg-BG"/>
        </w:rPr>
        <w:lastRenderedPageBreak/>
        <w:t>Скоприл плюс не трябва да се използва като начално лечение при пациенти с бъбречна недостатъчност.</w:t>
      </w:r>
    </w:p>
    <w:p w14:paraId="62633C9C" w14:textId="77777777" w:rsidR="00A5221A" w:rsidRPr="00A5221A" w:rsidRDefault="00A5221A" w:rsidP="00A5221A">
      <w:pPr>
        <w:spacing w:line="240" w:lineRule="auto"/>
        <w:rPr>
          <w:rFonts w:eastAsia="Times New Roman" w:cs="Arial"/>
          <w:color w:val="000000"/>
          <w:szCs w:val="20"/>
          <w:lang w:eastAsia="bg-BG"/>
        </w:rPr>
      </w:pPr>
    </w:p>
    <w:p w14:paraId="474CD3FB" w14:textId="272C1D0D" w:rsidR="00A5221A" w:rsidRPr="00A5221A" w:rsidRDefault="00A5221A" w:rsidP="00A5221A">
      <w:pPr>
        <w:spacing w:line="240" w:lineRule="auto"/>
        <w:rPr>
          <w:rFonts w:eastAsia="Times New Roman" w:cs="Arial"/>
          <w:sz w:val="28"/>
          <w:szCs w:val="24"/>
        </w:rPr>
      </w:pPr>
      <w:r w:rsidRPr="00A5221A">
        <w:rPr>
          <w:rFonts w:eastAsia="Times New Roman" w:cs="Arial"/>
          <w:color w:val="000000"/>
          <w:szCs w:val="20"/>
          <w:lang w:eastAsia="bg-BG"/>
        </w:rPr>
        <w:t xml:space="preserve">При пациенти с креатининов клирьнс &gt;30 и &lt;80 </w:t>
      </w:r>
      <w:r w:rsidRPr="00A5221A">
        <w:rPr>
          <w:rFonts w:eastAsia="Times New Roman" w:cs="Arial"/>
          <w:color w:val="000000"/>
          <w:szCs w:val="20"/>
          <w:lang w:val="en-US"/>
        </w:rPr>
        <w:t>ml</w:t>
      </w:r>
      <w:r w:rsidRPr="00A5221A">
        <w:rPr>
          <w:rFonts w:eastAsia="Times New Roman" w:cs="Arial"/>
          <w:color w:val="000000"/>
          <w:szCs w:val="20"/>
          <w:lang w:val="ru-RU"/>
        </w:rPr>
        <w:t>/</w:t>
      </w:r>
      <w:r w:rsidRPr="00A5221A">
        <w:rPr>
          <w:rFonts w:eastAsia="Times New Roman" w:cs="Arial"/>
          <w:color w:val="000000"/>
          <w:szCs w:val="20"/>
          <w:lang w:val="en-US"/>
        </w:rPr>
        <w:t>min</w:t>
      </w:r>
      <w:r w:rsidRPr="00A5221A">
        <w:rPr>
          <w:rFonts w:eastAsia="Times New Roman" w:cs="Arial"/>
          <w:color w:val="000000"/>
          <w:szCs w:val="20"/>
          <w:lang w:val="ru-RU"/>
        </w:rPr>
        <w:t xml:space="preserve">, </w:t>
      </w:r>
      <w:r w:rsidRPr="00A5221A">
        <w:rPr>
          <w:rFonts w:eastAsia="Times New Roman" w:cs="Arial"/>
          <w:color w:val="000000"/>
          <w:szCs w:val="20"/>
          <w:lang w:eastAsia="bg-BG"/>
        </w:rPr>
        <w:t>Скоприл плюс може да се използва, но само след титриране на отделните компоненти.</w:t>
      </w:r>
    </w:p>
    <w:p w14:paraId="66B41F92" w14:textId="77777777" w:rsidR="00A5221A" w:rsidRPr="00A5221A" w:rsidRDefault="00A5221A" w:rsidP="00A5221A">
      <w:pPr>
        <w:spacing w:line="240" w:lineRule="auto"/>
        <w:rPr>
          <w:rFonts w:eastAsia="Times New Roman" w:cs="Arial"/>
          <w:color w:val="000000"/>
          <w:szCs w:val="20"/>
          <w:u w:val="single"/>
          <w:lang w:eastAsia="bg-BG"/>
        </w:rPr>
      </w:pPr>
    </w:p>
    <w:p w14:paraId="45A1F362" w14:textId="77777777" w:rsidR="00A5221A" w:rsidRPr="00A5221A" w:rsidRDefault="00A5221A" w:rsidP="00A5221A">
      <w:pPr>
        <w:spacing w:line="240" w:lineRule="auto"/>
        <w:rPr>
          <w:rFonts w:eastAsia="Times New Roman" w:cs="Arial"/>
          <w:color w:val="000000"/>
          <w:szCs w:val="20"/>
          <w:u w:val="single"/>
          <w:lang w:eastAsia="bg-BG"/>
        </w:rPr>
      </w:pPr>
    </w:p>
    <w:p w14:paraId="696D22F7" w14:textId="586213E4" w:rsidR="00A5221A" w:rsidRPr="00A5221A" w:rsidRDefault="00A5221A" w:rsidP="00A5221A">
      <w:pPr>
        <w:spacing w:line="240" w:lineRule="auto"/>
        <w:rPr>
          <w:rFonts w:eastAsia="Times New Roman" w:cs="Arial"/>
          <w:sz w:val="28"/>
          <w:szCs w:val="24"/>
        </w:rPr>
      </w:pPr>
      <w:r w:rsidRPr="00A5221A">
        <w:rPr>
          <w:rFonts w:eastAsia="Times New Roman" w:cs="Arial"/>
          <w:color w:val="000000"/>
          <w:szCs w:val="20"/>
          <w:u w:val="single"/>
          <w:lang w:eastAsia="bg-BG"/>
        </w:rPr>
        <w:t>Предшестваща диуретична терапия:</w:t>
      </w:r>
    </w:p>
    <w:p w14:paraId="1AE35552" w14:textId="77777777" w:rsidR="00A5221A" w:rsidRPr="00A5221A" w:rsidRDefault="00A5221A" w:rsidP="00A5221A">
      <w:pPr>
        <w:spacing w:line="240" w:lineRule="auto"/>
        <w:rPr>
          <w:rFonts w:eastAsia="Times New Roman" w:cs="Arial"/>
          <w:sz w:val="28"/>
          <w:szCs w:val="24"/>
        </w:rPr>
      </w:pPr>
      <w:r w:rsidRPr="00A5221A">
        <w:rPr>
          <w:rFonts w:eastAsia="Times New Roman" w:cs="Arial"/>
          <w:color w:val="000000"/>
          <w:szCs w:val="20"/>
          <w:lang w:eastAsia="bg-BG"/>
        </w:rPr>
        <w:t xml:space="preserve">След първоначалната доза Скоприл плюс може да възникне симптоматична хипотония: това е по-вероятно при пациенти, които са с хиповолемия и/или солеви дисбаланс в резултат на предшестваща диуретична терапия. Ако е възможно, лечението с диуретици трябва да се преустанови 2-3 дни преди започване на терапия само с лизиноприл в доза 2,5 </w:t>
      </w:r>
      <w:r w:rsidRPr="00A5221A">
        <w:rPr>
          <w:rFonts w:eastAsia="Times New Roman" w:cs="Arial"/>
          <w:color w:val="000000"/>
          <w:szCs w:val="20"/>
          <w:lang w:val="en-US"/>
        </w:rPr>
        <w:t>mg</w:t>
      </w:r>
      <w:r w:rsidRPr="00A5221A">
        <w:rPr>
          <w:rFonts w:eastAsia="Times New Roman" w:cs="Arial"/>
          <w:color w:val="000000"/>
          <w:szCs w:val="20"/>
          <w:lang w:val="ru-RU"/>
        </w:rPr>
        <w:t>.</w:t>
      </w:r>
    </w:p>
    <w:p w14:paraId="20D64D59" w14:textId="77777777" w:rsidR="00A5221A" w:rsidRPr="00A5221A" w:rsidRDefault="00A5221A" w:rsidP="00A5221A">
      <w:pPr>
        <w:spacing w:line="240" w:lineRule="auto"/>
        <w:rPr>
          <w:rFonts w:eastAsia="Times New Roman" w:cs="Arial"/>
          <w:b/>
          <w:bCs/>
          <w:color w:val="000000"/>
          <w:szCs w:val="20"/>
          <w:lang w:eastAsia="bg-BG"/>
        </w:rPr>
      </w:pPr>
    </w:p>
    <w:p w14:paraId="1E4CDA5F" w14:textId="1419120E" w:rsidR="00A5221A" w:rsidRPr="00A5221A" w:rsidRDefault="00A5221A" w:rsidP="00A5221A">
      <w:pPr>
        <w:spacing w:line="240" w:lineRule="auto"/>
        <w:rPr>
          <w:rFonts w:eastAsia="Times New Roman" w:cs="Arial"/>
          <w:sz w:val="28"/>
          <w:szCs w:val="24"/>
        </w:rPr>
      </w:pPr>
      <w:r w:rsidRPr="00A5221A">
        <w:rPr>
          <w:rFonts w:eastAsia="Times New Roman" w:cs="Arial"/>
          <w:b/>
          <w:bCs/>
          <w:color w:val="000000"/>
          <w:szCs w:val="20"/>
          <w:lang w:eastAsia="bg-BG"/>
        </w:rPr>
        <w:t>Използване при пациенти в старческа възраст</w:t>
      </w:r>
    </w:p>
    <w:p w14:paraId="05622F1B" w14:textId="77777777" w:rsidR="00A5221A" w:rsidRPr="00A5221A" w:rsidRDefault="00A5221A" w:rsidP="00A5221A">
      <w:pPr>
        <w:spacing w:line="240" w:lineRule="auto"/>
        <w:rPr>
          <w:rFonts w:eastAsia="Times New Roman" w:cs="Arial"/>
          <w:sz w:val="28"/>
          <w:szCs w:val="24"/>
        </w:rPr>
      </w:pPr>
      <w:r w:rsidRPr="00A5221A">
        <w:rPr>
          <w:rFonts w:eastAsia="Times New Roman" w:cs="Arial"/>
          <w:color w:val="000000"/>
          <w:szCs w:val="20"/>
          <w:lang w:eastAsia="bg-BG"/>
        </w:rPr>
        <w:t>Лизиноприл е еднакво ефективен при пациенти в старческа възраст (65 години или повече) и при по-млади пациенти с хипертония. При пациенти в старческа възраст с хипертония монотерапията с лизиноприл е също толкова ефективна за намаляване на диастоличното кръвно налягане, колкото и монотерапия с хидрохлоротиазид или с атенолол. При клинични проучвания възрастта не оказва влияние върху поносимостта на лизиноприл.</w:t>
      </w:r>
    </w:p>
    <w:p w14:paraId="16DD6FE0" w14:textId="77777777" w:rsidR="00A5221A" w:rsidRPr="00A5221A" w:rsidRDefault="00A5221A" w:rsidP="00A5221A">
      <w:pPr>
        <w:spacing w:line="240" w:lineRule="auto"/>
        <w:rPr>
          <w:rFonts w:eastAsia="Times New Roman" w:cs="Arial"/>
          <w:color w:val="000000"/>
          <w:szCs w:val="20"/>
          <w:lang w:eastAsia="bg-BG"/>
        </w:rPr>
      </w:pPr>
    </w:p>
    <w:p w14:paraId="22B5C1F4" w14:textId="7102E378" w:rsidR="00A5221A" w:rsidRPr="00A5221A" w:rsidRDefault="00A5221A" w:rsidP="00A5221A">
      <w:pPr>
        <w:spacing w:line="240" w:lineRule="auto"/>
        <w:rPr>
          <w:rFonts w:eastAsia="Times New Roman" w:cs="Arial"/>
          <w:sz w:val="28"/>
          <w:szCs w:val="24"/>
        </w:rPr>
      </w:pPr>
      <w:r w:rsidRPr="00A5221A">
        <w:rPr>
          <w:rFonts w:eastAsia="Times New Roman" w:cs="Arial"/>
          <w:color w:val="000000"/>
          <w:szCs w:val="20"/>
          <w:lang w:eastAsia="bg-BG"/>
        </w:rPr>
        <w:t>При клинични проучвания ефикасността и поносимостта към лизиноприл и хидрохлоротиазид, приложени едновременно, са сходни при пациенти в старческа възраст и при по-млади пациенти с хипертония.</w:t>
      </w:r>
    </w:p>
    <w:p w14:paraId="1CEE2950" w14:textId="77777777" w:rsidR="00A5221A" w:rsidRPr="00A5221A" w:rsidRDefault="00A5221A" w:rsidP="00A5221A">
      <w:pPr>
        <w:spacing w:line="240" w:lineRule="auto"/>
        <w:rPr>
          <w:rFonts w:eastAsia="Times New Roman" w:cs="Arial"/>
          <w:i/>
          <w:iCs/>
          <w:color w:val="000000"/>
          <w:szCs w:val="20"/>
          <w:lang w:eastAsia="bg-BG"/>
        </w:rPr>
      </w:pPr>
    </w:p>
    <w:p w14:paraId="31DE6863" w14:textId="4819B2D3" w:rsidR="00A5221A" w:rsidRPr="00A5221A" w:rsidRDefault="00A5221A" w:rsidP="00A5221A">
      <w:pPr>
        <w:spacing w:line="240" w:lineRule="auto"/>
        <w:rPr>
          <w:rFonts w:eastAsia="Times New Roman" w:cs="Arial"/>
          <w:sz w:val="28"/>
          <w:szCs w:val="24"/>
        </w:rPr>
      </w:pPr>
      <w:r w:rsidRPr="00A5221A">
        <w:rPr>
          <w:rFonts w:eastAsia="Times New Roman" w:cs="Arial"/>
          <w:i/>
          <w:iCs/>
          <w:color w:val="000000"/>
          <w:szCs w:val="20"/>
          <w:lang w:eastAsia="bg-BG"/>
        </w:rPr>
        <w:t>Педиатрична популация</w:t>
      </w:r>
    </w:p>
    <w:p w14:paraId="3C576107" w14:textId="77777777" w:rsidR="00A5221A" w:rsidRPr="00A5221A" w:rsidRDefault="00A5221A" w:rsidP="00A5221A">
      <w:pPr>
        <w:spacing w:line="240" w:lineRule="auto"/>
        <w:rPr>
          <w:rFonts w:eastAsia="Times New Roman" w:cs="Arial"/>
          <w:sz w:val="28"/>
          <w:szCs w:val="24"/>
        </w:rPr>
      </w:pPr>
      <w:r w:rsidRPr="00A5221A">
        <w:rPr>
          <w:rFonts w:eastAsia="Times New Roman" w:cs="Arial"/>
          <w:color w:val="000000"/>
          <w:szCs w:val="20"/>
          <w:lang w:eastAsia="bg-BG"/>
        </w:rPr>
        <w:t>Скоприл плюс не се препоръчва за употреба при деца поради недостатъчни данни за безопасността и ефикасност.</w:t>
      </w:r>
    </w:p>
    <w:p w14:paraId="414E4BDB" w14:textId="77777777" w:rsidR="00A5221A" w:rsidRPr="00A5221A" w:rsidRDefault="00A5221A" w:rsidP="00A5221A">
      <w:pPr>
        <w:spacing w:line="240" w:lineRule="auto"/>
        <w:rPr>
          <w:rFonts w:eastAsia="Times New Roman" w:cs="Arial"/>
          <w:color w:val="000000"/>
          <w:szCs w:val="20"/>
          <w:u w:val="single"/>
          <w:lang w:eastAsia="bg-BG"/>
        </w:rPr>
      </w:pPr>
    </w:p>
    <w:p w14:paraId="7F3212D2" w14:textId="77B3A1AC" w:rsidR="00A5221A" w:rsidRPr="00A5221A" w:rsidRDefault="00A5221A" w:rsidP="00A5221A">
      <w:pPr>
        <w:pStyle w:val="Heading3"/>
        <w:rPr>
          <w:rFonts w:eastAsia="Times New Roman"/>
          <w:sz w:val="28"/>
          <w:u w:val="single"/>
        </w:rPr>
      </w:pPr>
      <w:r w:rsidRPr="00A5221A">
        <w:rPr>
          <w:rFonts w:eastAsia="Times New Roman"/>
          <w:u w:val="single"/>
          <w:lang w:eastAsia="bg-BG"/>
        </w:rPr>
        <w:t>Начин на приложение</w:t>
      </w:r>
    </w:p>
    <w:p w14:paraId="3F08F4DB" w14:textId="77777777" w:rsidR="00A5221A" w:rsidRPr="00A5221A" w:rsidRDefault="00A5221A" w:rsidP="00A5221A">
      <w:pPr>
        <w:spacing w:line="240" w:lineRule="auto"/>
        <w:rPr>
          <w:rFonts w:ascii="Times New Roman" w:eastAsia="Times New Roman" w:hAnsi="Times New Roman" w:cs="Times New Roman"/>
          <w:sz w:val="24"/>
          <w:szCs w:val="24"/>
        </w:rPr>
      </w:pPr>
      <w:r w:rsidRPr="00A5221A">
        <w:rPr>
          <w:rFonts w:eastAsia="Times New Roman" w:cs="Arial"/>
          <w:color w:val="000000"/>
          <w:szCs w:val="20"/>
          <w:lang w:eastAsia="bg-BG"/>
        </w:rPr>
        <w:t>Перорално.</w:t>
      </w:r>
    </w:p>
    <w:p w14:paraId="2C8E8853" w14:textId="77777777" w:rsidR="00A5221A" w:rsidRPr="00A5221A" w:rsidRDefault="00A5221A" w:rsidP="00A5221A"/>
    <w:p w14:paraId="74903285" w14:textId="7A6115D3" w:rsidR="00DB32D3" w:rsidRDefault="002C50EE" w:rsidP="005726E3">
      <w:pPr>
        <w:pStyle w:val="Heading2"/>
      </w:pPr>
      <w:r>
        <w:t>4.3. Противопоказания</w:t>
      </w:r>
    </w:p>
    <w:p w14:paraId="798F39EF" w14:textId="06AE7073" w:rsidR="00A5221A" w:rsidRDefault="00A5221A" w:rsidP="00A5221A"/>
    <w:p w14:paraId="4DA2BE6C" w14:textId="77777777" w:rsidR="00A5221A" w:rsidRPr="00A5221A" w:rsidRDefault="00A5221A" w:rsidP="00A5221A">
      <w:pPr>
        <w:pStyle w:val="ListParagraph"/>
        <w:numPr>
          <w:ilvl w:val="0"/>
          <w:numId w:val="37"/>
        </w:numPr>
        <w:spacing w:line="240" w:lineRule="auto"/>
        <w:rPr>
          <w:rFonts w:eastAsia="Times New Roman" w:cs="Arial"/>
          <w:color w:val="000000"/>
          <w:szCs w:val="20"/>
          <w:lang w:eastAsia="bg-BG"/>
        </w:rPr>
      </w:pPr>
      <w:r w:rsidRPr="00A5221A">
        <w:rPr>
          <w:rFonts w:eastAsia="Times New Roman" w:cs="Arial"/>
          <w:color w:val="000000"/>
          <w:szCs w:val="20"/>
          <w:lang w:eastAsia="bg-BG"/>
        </w:rPr>
        <w:t>Свръхчувствителност към лизиноприл, към някое от помощните вещества изброени в точка 6.1 или към друг инхибитор на ангиотензин-конвертиращия ензим (АСЕ)</w:t>
      </w:r>
    </w:p>
    <w:p w14:paraId="1305FCD4" w14:textId="77777777" w:rsidR="00A5221A" w:rsidRPr="00A5221A" w:rsidRDefault="00A5221A" w:rsidP="00A5221A">
      <w:pPr>
        <w:pStyle w:val="ListParagraph"/>
        <w:numPr>
          <w:ilvl w:val="0"/>
          <w:numId w:val="37"/>
        </w:numPr>
        <w:spacing w:line="240" w:lineRule="auto"/>
        <w:rPr>
          <w:rFonts w:eastAsia="Times New Roman" w:cs="Arial"/>
          <w:color w:val="000000"/>
          <w:szCs w:val="20"/>
          <w:lang w:eastAsia="bg-BG"/>
        </w:rPr>
      </w:pPr>
      <w:r w:rsidRPr="00A5221A">
        <w:rPr>
          <w:rFonts w:eastAsia="Times New Roman" w:cs="Arial"/>
          <w:color w:val="000000"/>
          <w:szCs w:val="20"/>
          <w:lang w:eastAsia="bg-BG"/>
        </w:rPr>
        <w:t>Свръхчувствителност към хидрохлоротиазид или други лекарства, производни на сулфонамидите</w:t>
      </w:r>
    </w:p>
    <w:p w14:paraId="7505CECC" w14:textId="77777777" w:rsidR="00A5221A" w:rsidRPr="00A5221A" w:rsidRDefault="00A5221A" w:rsidP="00A5221A">
      <w:pPr>
        <w:pStyle w:val="ListParagraph"/>
        <w:numPr>
          <w:ilvl w:val="0"/>
          <w:numId w:val="37"/>
        </w:numPr>
        <w:spacing w:line="240" w:lineRule="auto"/>
        <w:rPr>
          <w:rFonts w:eastAsia="Times New Roman" w:cs="Arial"/>
          <w:color w:val="000000"/>
          <w:szCs w:val="20"/>
          <w:lang w:eastAsia="bg-BG"/>
        </w:rPr>
      </w:pPr>
      <w:r w:rsidRPr="00A5221A">
        <w:rPr>
          <w:rFonts w:eastAsia="Times New Roman" w:cs="Arial"/>
          <w:color w:val="000000"/>
          <w:szCs w:val="20"/>
          <w:lang w:eastAsia="bg-BG"/>
        </w:rPr>
        <w:t>Анамнеза за ангиоедем при предишно лечение с АСЕ-инхибитор</w:t>
      </w:r>
    </w:p>
    <w:p w14:paraId="3ADB861E" w14:textId="77777777" w:rsidR="00A5221A" w:rsidRPr="00A5221A" w:rsidRDefault="00A5221A" w:rsidP="00A5221A">
      <w:pPr>
        <w:pStyle w:val="ListParagraph"/>
        <w:numPr>
          <w:ilvl w:val="0"/>
          <w:numId w:val="37"/>
        </w:numPr>
        <w:spacing w:line="240" w:lineRule="auto"/>
        <w:rPr>
          <w:rFonts w:eastAsia="Times New Roman" w:cs="Arial"/>
          <w:color w:val="000000"/>
          <w:szCs w:val="20"/>
          <w:lang w:eastAsia="bg-BG"/>
        </w:rPr>
      </w:pPr>
      <w:r w:rsidRPr="00A5221A">
        <w:rPr>
          <w:rFonts w:eastAsia="Times New Roman" w:cs="Arial"/>
          <w:color w:val="000000"/>
          <w:szCs w:val="20"/>
          <w:lang w:eastAsia="bg-BG"/>
        </w:rPr>
        <w:t>Наследствен или идиопатичен ангиоедем</w:t>
      </w:r>
    </w:p>
    <w:p w14:paraId="4EFCB794" w14:textId="77777777" w:rsidR="00A5221A" w:rsidRPr="00A5221A" w:rsidRDefault="00A5221A" w:rsidP="00A5221A">
      <w:pPr>
        <w:pStyle w:val="ListParagraph"/>
        <w:numPr>
          <w:ilvl w:val="0"/>
          <w:numId w:val="37"/>
        </w:numPr>
        <w:spacing w:line="240" w:lineRule="auto"/>
        <w:rPr>
          <w:rFonts w:eastAsia="Times New Roman" w:cs="Arial"/>
          <w:color w:val="000000"/>
          <w:szCs w:val="20"/>
          <w:lang w:eastAsia="bg-BG"/>
        </w:rPr>
      </w:pPr>
      <w:r w:rsidRPr="00A5221A">
        <w:rPr>
          <w:rFonts w:eastAsia="Times New Roman" w:cs="Arial"/>
          <w:color w:val="000000"/>
          <w:szCs w:val="20"/>
          <w:lang w:eastAsia="bg-BG"/>
        </w:rPr>
        <w:t>Втори и трети триместър на бременността (вж. точки 4,4 и 4.6)</w:t>
      </w:r>
    </w:p>
    <w:p w14:paraId="728FB37C" w14:textId="77777777" w:rsidR="00A5221A" w:rsidRPr="00A5221A" w:rsidRDefault="00A5221A" w:rsidP="00A5221A">
      <w:pPr>
        <w:pStyle w:val="ListParagraph"/>
        <w:numPr>
          <w:ilvl w:val="0"/>
          <w:numId w:val="37"/>
        </w:numPr>
        <w:spacing w:line="240" w:lineRule="auto"/>
        <w:rPr>
          <w:rFonts w:eastAsia="Times New Roman" w:cs="Arial"/>
          <w:color w:val="000000"/>
          <w:szCs w:val="20"/>
          <w:lang w:eastAsia="bg-BG"/>
        </w:rPr>
      </w:pPr>
      <w:r w:rsidRPr="00A5221A">
        <w:rPr>
          <w:rFonts w:eastAsia="Times New Roman" w:cs="Arial"/>
          <w:color w:val="000000"/>
          <w:szCs w:val="20"/>
          <w:lang w:eastAsia="bg-BG"/>
        </w:rPr>
        <w:t xml:space="preserve">Тежко бъбречно увреждане (креатининов клирьнс &lt; </w:t>
      </w:r>
      <w:r w:rsidRPr="00A5221A">
        <w:rPr>
          <w:rFonts w:eastAsia="Times New Roman" w:cs="Arial"/>
          <w:color w:val="000000"/>
          <w:szCs w:val="20"/>
          <w:lang w:val="ru-RU"/>
        </w:rPr>
        <w:t>30</w:t>
      </w:r>
      <w:r w:rsidRPr="00A5221A">
        <w:rPr>
          <w:rFonts w:eastAsia="Times New Roman" w:cs="Arial"/>
          <w:color w:val="000000"/>
          <w:szCs w:val="20"/>
          <w:lang w:val="en-US"/>
        </w:rPr>
        <w:t>ml</w:t>
      </w:r>
      <w:r w:rsidRPr="00A5221A">
        <w:rPr>
          <w:rFonts w:eastAsia="Times New Roman" w:cs="Arial"/>
          <w:color w:val="000000"/>
          <w:szCs w:val="20"/>
          <w:lang w:val="ru-RU"/>
        </w:rPr>
        <w:t>/</w:t>
      </w:r>
      <w:proofErr w:type="spellStart"/>
      <w:r w:rsidRPr="00A5221A">
        <w:rPr>
          <w:rFonts w:eastAsia="Times New Roman" w:cs="Arial"/>
          <w:color w:val="000000"/>
          <w:szCs w:val="20"/>
          <w:lang w:val="en-US"/>
        </w:rPr>
        <w:t>nrin</w:t>
      </w:r>
      <w:proofErr w:type="spellEnd"/>
      <w:r w:rsidRPr="00A5221A">
        <w:rPr>
          <w:rFonts w:eastAsia="Times New Roman" w:cs="Arial"/>
          <w:color w:val="000000"/>
          <w:szCs w:val="20"/>
          <w:lang w:val="ru-RU"/>
        </w:rPr>
        <w:t>)</w:t>
      </w:r>
    </w:p>
    <w:p w14:paraId="234BE1BC" w14:textId="77777777" w:rsidR="00A5221A" w:rsidRPr="00A5221A" w:rsidRDefault="00A5221A" w:rsidP="00A5221A">
      <w:pPr>
        <w:pStyle w:val="ListParagraph"/>
        <w:numPr>
          <w:ilvl w:val="0"/>
          <w:numId w:val="37"/>
        </w:numPr>
        <w:spacing w:line="240" w:lineRule="auto"/>
        <w:rPr>
          <w:rFonts w:eastAsia="Times New Roman" w:cs="Arial"/>
          <w:color w:val="000000"/>
          <w:szCs w:val="20"/>
          <w:lang w:eastAsia="bg-BG"/>
        </w:rPr>
      </w:pPr>
      <w:r w:rsidRPr="00A5221A">
        <w:rPr>
          <w:rFonts w:eastAsia="Times New Roman" w:cs="Arial"/>
          <w:color w:val="000000"/>
          <w:szCs w:val="20"/>
          <w:lang w:eastAsia="bg-BG"/>
        </w:rPr>
        <w:t>Анурия или хиперкалиемия</w:t>
      </w:r>
    </w:p>
    <w:p w14:paraId="58AC77C3" w14:textId="77777777" w:rsidR="00A5221A" w:rsidRPr="00A5221A" w:rsidRDefault="00A5221A" w:rsidP="00A5221A">
      <w:pPr>
        <w:pStyle w:val="ListParagraph"/>
        <w:numPr>
          <w:ilvl w:val="0"/>
          <w:numId w:val="37"/>
        </w:numPr>
        <w:spacing w:line="240" w:lineRule="auto"/>
        <w:rPr>
          <w:rFonts w:eastAsia="Times New Roman" w:cs="Arial"/>
          <w:color w:val="000000"/>
          <w:szCs w:val="20"/>
          <w:lang w:eastAsia="bg-BG"/>
        </w:rPr>
      </w:pPr>
      <w:r w:rsidRPr="00A5221A">
        <w:rPr>
          <w:rFonts w:eastAsia="Times New Roman" w:cs="Arial"/>
          <w:color w:val="000000"/>
          <w:szCs w:val="20"/>
          <w:lang w:eastAsia="bg-BG"/>
        </w:rPr>
        <w:t>Тежко чернодробно увреждане</w:t>
      </w:r>
    </w:p>
    <w:p w14:paraId="21E73440" w14:textId="77777777" w:rsidR="00A5221A" w:rsidRPr="00A5221A" w:rsidRDefault="00A5221A" w:rsidP="00A5221A">
      <w:pPr>
        <w:pStyle w:val="ListParagraph"/>
        <w:numPr>
          <w:ilvl w:val="0"/>
          <w:numId w:val="37"/>
        </w:numPr>
        <w:spacing w:line="240" w:lineRule="auto"/>
        <w:rPr>
          <w:rFonts w:eastAsia="Times New Roman" w:cs="Arial"/>
          <w:color w:val="000000"/>
          <w:szCs w:val="20"/>
          <w:lang w:eastAsia="bg-BG"/>
        </w:rPr>
      </w:pPr>
      <w:r w:rsidRPr="00A5221A">
        <w:rPr>
          <w:rFonts w:eastAsia="Times New Roman" w:cs="Arial"/>
          <w:color w:val="000000"/>
          <w:szCs w:val="20"/>
          <w:lang w:eastAsia="bg-BG"/>
        </w:rPr>
        <w:t xml:space="preserve">Едновременната употреба на Скоприл плюс с алискирен-съдържащи продукти е противопоказана при пациенти със захарен диабет или бъбречно увреждане </w:t>
      </w:r>
      <w:r w:rsidRPr="00A5221A">
        <w:rPr>
          <w:rFonts w:eastAsia="Times New Roman" w:cs="Arial"/>
          <w:color w:val="000000"/>
          <w:szCs w:val="20"/>
          <w:lang w:val="ru-RU"/>
        </w:rPr>
        <w:t>(</w:t>
      </w:r>
      <w:r w:rsidRPr="00A5221A">
        <w:rPr>
          <w:rFonts w:eastAsia="Times New Roman" w:cs="Arial"/>
          <w:color w:val="000000"/>
          <w:szCs w:val="20"/>
          <w:lang w:val="en-US"/>
        </w:rPr>
        <w:t>GFR</w:t>
      </w:r>
      <w:r w:rsidRPr="00A5221A">
        <w:rPr>
          <w:rFonts w:eastAsia="Times New Roman" w:cs="Arial"/>
          <w:color w:val="000000"/>
          <w:szCs w:val="20"/>
          <w:lang w:val="ru-RU"/>
        </w:rPr>
        <w:t xml:space="preserve"> </w:t>
      </w:r>
      <w:r w:rsidRPr="00A5221A">
        <w:rPr>
          <w:rFonts w:eastAsia="Times New Roman" w:cs="Arial"/>
          <w:color w:val="000000"/>
          <w:szCs w:val="20"/>
          <w:lang w:eastAsia="bg-BG"/>
        </w:rPr>
        <w:t xml:space="preserve">&lt; 60 </w:t>
      </w:r>
      <w:r w:rsidRPr="00A5221A">
        <w:rPr>
          <w:rFonts w:eastAsia="Times New Roman" w:cs="Arial"/>
          <w:color w:val="000000"/>
          <w:szCs w:val="20"/>
          <w:lang w:val="en-US"/>
        </w:rPr>
        <w:t>ml</w:t>
      </w:r>
      <w:r w:rsidRPr="00A5221A">
        <w:rPr>
          <w:rFonts w:eastAsia="Times New Roman" w:cs="Arial"/>
          <w:color w:val="000000"/>
          <w:szCs w:val="20"/>
          <w:lang w:val="ru-RU"/>
        </w:rPr>
        <w:t>/</w:t>
      </w:r>
      <w:r w:rsidRPr="00A5221A">
        <w:rPr>
          <w:rFonts w:eastAsia="Times New Roman" w:cs="Arial"/>
          <w:color w:val="000000"/>
          <w:szCs w:val="20"/>
          <w:lang w:val="en-US"/>
        </w:rPr>
        <w:t>min</w:t>
      </w:r>
      <w:r w:rsidRPr="00A5221A">
        <w:rPr>
          <w:rFonts w:eastAsia="Times New Roman" w:cs="Arial"/>
          <w:color w:val="000000"/>
          <w:szCs w:val="20"/>
          <w:lang w:val="ru-RU"/>
        </w:rPr>
        <w:t>/1,73</w:t>
      </w:r>
      <w:r w:rsidRPr="00A5221A">
        <w:rPr>
          <w:rFonts w:eastAsia="Times New Roman" w:cs="Arial"/>
          <w:color w:val="000000"/>
          <w:szCs w:val="20"/>
          <w:lang w:val="en-US"/>
        </w:rPr>
        <w:t>m</w:t>
      </w:r>
      <w:r w:rsidRPr="00A5221A">
        <w:rPr>
          <w:rFonts w:eastAsia="Times New Roman" w:cs="Arial"/>
          <w:color w:val="000000"/>
          <w:szCs w:val="20"/>
          <w:vertAlign w:val="superscript"/>
        </w:rPr>
        <w:t>2</w:t>
      </w:r>
      <w:r w:rsidRPr="00A5221A">
        <w:rPr>
          <w:rFonts w:eastAsia="Times New Roman" w:cs="Arial"/>
          <w:color w:val="000000"/>
          <w:szCs w:val="20"/>
          <w:lang w:val="ru-RU"/>
        </w:rPr>
        <w:t xml:space="preserve"> </w:t>
      </w:r>
      <w:r w:rsidRPr="00A5221A">
        <w:rPr>
          <w:rFonts w:eastAsia="Times New Roman" w:cs="Arial"/>
          <w:color w:val="000000"/>
          <w:szCs w:val="20"/>
          <w:lang w:eastAsia="bg-BG"/>
        </w:rPr>
        <w:t>) (вж. точки 4.5 и 5.1)</w:t>
      </w:r>
    </w:p>
    <w:p w14:paraId="4DF35B10" w14:textId="401FE028" w:rsidR="00A5221A" w:rsidRPr="00A5221A" w:rsidRDefault="00A5221A" w:rsidP="00A5221A">
      <w:pPr>
        <w:pStyle w:val="ListParagraph"/>
        <w:numPr>
          <w:ilvl w:val="0"/>
          <w:numId w:val="37"/>
        </w:numPr>
        <w:spacing w:line="240" w:lineRule="auto"/>
        <w:rPr>
          <w:rFonts w:eastAsia="Times New Roman" w:cs="Arial"/>
          <w:color w:val="000000"/>
          <w:szCs w:val="20"/>
          <w:lang w:eastAsia="bg-BG"/>
        </w:rPr>
      </w:pPr>
      <w:r w:rsidRPr="00A5221A">
        <w:rPr>
          <w:rFonts w:eastAsia="Times New Roman" w:cs="Arial"/>
          <w:color w:val="000000"/>
          <w:szCs w:val="20"/>
          <w:lang w:eastAsia="bg-BG"/>
        </w:rPr>
        <w:lastRenderedPageBreak/>
        <w:t>Съпътстваща употреба при терапия със сакубитрил/валсартан. Скоприл плюс не трябва да се започва по-рано от 36 часа след последната доза скаубитрил/валсартан (вж. също точки 4.4 и 4.5)</w:t>
      </w:r>
    </w:p>
    <w:p w14:paraId="3E51E5F9" w14:textId="77777777" w:rsidR="00A5221A" w:rsidRPr="00A5221A" w:rsidRDefault="00A5221A" w:rsidP="00A5221A"/>
    <w:p w14:paraId="76DC8E58" w14:textId="58A3524D" w:rsidR="00DB32D3" w:rsidRDefault="002C50EE" w:rsidP="005726E3">
      <w:pPr>
        <w:pStyle w:val="Heading2"/>
      </w:pPr>
      <w:r>
        <w:t>4.4. Специални предупреждения и предпазни мерки при употреба</w:t>
      </w:r>
    </w:p>
    <w:p w14:paraId="0C9947F7" w14:textId="6F6A8919" w:rsidR="00A5221A" w:rsidRDefault="00A5221A" w:rsidP="00A5221A"/>
    <w:p w14:paraId="5F1530D4" w14:textId="77777777" w:rsidR="00A5221A" w:rsidRPr="00A5221A" w:rsidRDefault="00A5221A" w:rsidP="00A5221A">
      <w:pPr>
        <w:spacing w:line="240" w:lineRule="auto"/>
        <w:rPr>
          <w:rFonts w:eastAsia="Times New Roman" w:cs="Arial"/>
        </w:rPr>
      </w:pPr>
      <w:r w:rsidRPr="00A5221A">
        <w:rPr>
          <w:rFonts w:eastAsia="Times New Roman" w:cs="Arial"/>
          <w:b/>
          <w:bCs/>
          <w:color w:val="000000"/>
          <w:lang w:eastAsia="bg-BG"/>
        </w:rPr>
        <w:t>Симптоматична хипотония</w:t>
      </w:r>
    </w:p>
    <w:p w14:paraId="4AFF148D"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Симптоматична хипотония се наблюдава рядко при пациенти с неусложнена хипертония, но е по-вероятно да се появи при пациент, който е имал хиповолемия, напр. от диуретично лечение, диета с ограничено приемане на сол, диализа, диария или повръщане, или който има тежка ренин-зависима хипертония (вж, точка 4.5 и 4.8). При такива пациенти на подходящи интервали трябва да се извършва редовно определяне на серумните електролити. При пациенти с повишен риск от симптоматична хипотония започването на лечението и корекцията на дозата трябва да се проследяват в условията на внимателно лекарско наблюдение. Особени съображения важат за пациенти с исхемична болест на сърцето или мозъчно-съдова болест, тъй като прекомерното понижаване на кръвното налягане може да доведе до инфаркт на миокарда или мозъчно-съдов инцидент.</w:t>
      </w:r>
    </w:p>
    <w:p w14:paraId="6F386658" w14:textId="77777777" w:rsidR="00A5221A" w:rsidRPr="00EF2809" w:rsidRDefault="00A5221A" w:rsidP="00A5221A">
      <w:pPr>
        <w:spacing w:line="240" w:lineRule="auto"/>
        <w:rPr>
          <w:rFonts w:eastAsia="Times New Roman" w:cs="Arial"/>
          <w:color w:val="000000"/>
          <w:lang w:eastAsia="bg-BG"/>
        </w:rPr>
      </w:pPr>
    </w:p>
    <w:p w14:paraId="36C42F67" w14:textId="78B26778" w:rsidR="00A5221A" w:rsidRPr="00A5221A" w:rsidRDefault="00A5221A" w:rsidP="00A5221A">
      <w:pPr>
        <w:spacing w:line="240" w:lineRule="auto"/>
        <w:rPr>
          <w:rFonts w:eastAsia="Times New Roman" w:cs="Arial"/>
        </w:rPr>
      </w:pPr>
      <w:r w:rsidRPr="00A5221A">
        <w:rPr>
          <w:rFonts w:eastAsia="Times New Roman" w:cs="Arial"/>
          <w:color w:val="000000"/>
          <w:lang w:eastAsia="bg-BG"/>
        </w:rPr>
        <w:t>При поява на хипотония пациентът трябва да се постави в легнало положение по гръб и ако е необходимо, трябва да получи интравенозна инфузия с нормален физиологичен разтвор. Преходната реакция на понижаване на кръвното налягане не е противопоказание за следващи дози. След възстановяване на ефективните кръвен обем и налягане, възможно е евентуално подновяване на лечението с намалена доза; друга подходяща алтернатива е самостоятелното прилагане на един от двата компонента.</w:t>
      </w:r>
    </w:p>
    <w:p w14:paraId="659243A5" w14:textId="77777777" w:rsidR="00A5221A" w:rsidRPr="00EF2809" w:rsidRDefault="00A5221A" w:rsidP="00A5221A">
      <w:pPr>
        <w:spacing w:line="240" w:lineRule="auto"/>
        <w:rPr>
          <w:rFonts w:eastAsia="Times New Roman" w:cs="Arial"/>
          <w:color w:val="000000"/>
          <w:lang w:eastAsia="bg-BG"/>
        </w:rPr>
      </w:pPr>
    </w:p>
    <w:p w14:paraId="1F5B5584" w14:textId="61BB32A1" w:rsidR="00A5221A" w:rsidRPr="00A5221A" w:rsidRDefault="00A5221A" w:rsidP="00A5221A">
      <w:pPr>
        <w:spacing w:line="240" w:lineRule="auto"/>
        <w:rPr>
          <w:rFonts w:eastAsia="Times New Roman" w:cs="Arial"/>
        </w:rPr>
      </w:pPr>
      <w:r w:rsidRPr="00A5221A">
        <w:rPr>
          <w:rFonts w:eastAsia="Times New Roman" w:cs="Arial"/>
          <w:color w:val="000000"/>
          <w:lang w:eastAsia="bg-BG"/>
        </w:rPr>
        <w:t>При някои пациенти със сърдечна недостатъчност, които са с нормално или ниско кръвно налягане, може да се наблюдава допълнително понижаване на кръвното налягане при прием на лизиноприл. Това е очакван ефект и не е причина за спиране на лечението. Ако обаче се появи симптоматична хипотония, трябва да се намали дозата на лизиноприл- хидрохлоротиазид или да лечението бъде преустановено.</w:t>
      </w:r>
    </w:p>
    <w:p w14:paraId="4809FD20" w14:textId="77777777" w:rsidR="00A5221A" w:rsidRPr="00EF2809" w:rsidRDefault="00A5221A" w:rsidP="00A5221A">
      <w:pPr>
        <w:spacing w:line="240" w:lineRule="auto"/>
        <w:rPr>
          <w:rFonts w:eastAsia="Times New Roman" w:cs="Arial"/>
          <w:b/>
          <w:bCs/>
          <w:color w:val="000000"/>
          <w:lang w:eastAsia="bg-BG"/>
        </w:rPr>
      </w:pPr>
      <w:bookmarkStart w:id="2" w:name="bookmark2"/>
    </w:p>
    <w:p w14:paraId="0DEC6D4B" w14:textId="373A0621" w:rsidR="00A5221A" w:rsidRPr="00A5221A" w:rsidRDefault="00A5221A" w:rsidP="00A5221A">
      <w:pPr>
        <w:spacing w:line="240" w:lineRule="auto"/>
        <w:rPr>
          <w:rFonts w:eastAsia="Times New Roman" w:cs="Arial"/>
        </w:rPr>
      </w:pPr>
      <w:r w:rsidRPr="00A5221A">
        <w:rPr>
          <w:rFonts w:eastAsia="Times New Roman" w:cs="Arial"/>
          <w:b/>
          <w:bCs/>
          <w:color w:val="000000"/>
          <w:lang w:eastAsia="bg-BG"/>
        </w:rPr>
        <w:t>Аортна стеноза и стеноза на митралната клапа/ хипертрофична кардномиопатия</w:t>
      </w:r>
      <w:bookmarkEnd w:id="2"/>
    </w:p>
    <w:p w14:paraId="42297C89"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Както и другите АСЕ инхибитори, лизиноприл трябва да бъде прилаган с повишено внимание при пациенти с митрална стеноза или с нарущен поток на кръв от лявата камера, например аортна стеноза или хипертрофична кардномиопатия.</w:t>
      </w:r>
    </w:p>
    <w:p w14:paraId="40616B84" w14:textId="77777777" w:rsidR="00A5221A" w:rsidRPr="00EF2809" w:rsidRDefault="00A5221A" w:rsidP="00A5221A">
      <w:pPr>
        <w:spacing w:line="240" w:lineRule="auto"/>
        <w:rPr>
          <w:rFonts w:eastAsia="Times New Roman" w:cs="Arial"/>
          <w:b/>
          <w:bCs/>
          <w:color w:val="000000"/>
          <w:lang w:eastAsia="bg-BG"/>
        </w:rPr>
      </w:pPr>
      <w:bookmarkStart w:id="3" w:name="bookmark4"/>
    </w:p>
    <w:p w14:paraId="4C9B66A4" w14:textId="424085FF" w:rsidR="00A5221A" w:rsidRPr="00A5221A" w:rsidRDefault="00A5221A" w:rsidP="00A5221A">
      <w:pPr>
        <w:spacing w:line="240" w:lineRule="auto"/>
        <w:rPr>
          <w:rFonts w:eastAsia="Times New Roman" w:cs="Arial"/>
        </w:rPr>
      </w:pPr>
      <w:r w:rsidRPr="00A5221A">
        <w:rPr>
          <w:rFonts w:eastAsia="Times New Roman" w:cs="Arial"/>
          <w:b/>
          <w:bCs/>
          <w:color w:val="000000"/>
          <w:lang w:eastAsia="bg-BG"/>
        </w:rPr>
        <w:t>Нарушена бъбречна функция</w:t>
      </w:r>
      <w:bookmarkEnd w:id="3"/>
    </w:p>
    <w:p w14:paraId="00BD7760"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 xml:space="preserve">Тиазидите не са подходящите диуретици за използване при пациенти с бъбречно увреждане и са неефективни при стойности на креатининовия клирънс 30 </w:t>
      </w:r>
      <w:r w:rsidRPr="00A5221A">
        <w:rPr>
          <w:rFonts w:eastAsia="Times New Roman" w:cs="Arial"/>
          <w:color w:val="000000"/>
          <w:lang w:val="en-US"/>
        </w:rPr>
        <w:t>ml</w:t>
      </w:r>
      <w:r w:rsidRPr="00A5221A">
        <w:rPr>
          <w:rFonts w:eastAsia="Times New Roman" w:cs="Arial"/>
          <w:color w:val="000000"/>
          <w:lang w:val="ru-RU"/>
        </w:rPr>
        <w:t>/</w:t>
      </w:r>
      <w:r w:rsidRPr="00A5221A">
        <w:rPr>
          <w:rFonts w:eastAsia="Times New Roman" w:cs="Arial"/>
          <w:color w:val="000000"/>
          <w:lang w:val="en-US"/>
        </w:rPr>
        <w:t>min</w:t>
      </w:r>
      <w:r w:rsidRPr="00A5221A">
        <w:rPr>
          <w:rFonts w:eastAsia="Times New Roman" w:cs="Arial"/>
          <w:color w:val="000000"/>
          <w:lang w:val="ru-RU"/>
        </w:rPr>
        <w:t xml:space="preserve"> </w:t>
      </w:r>
      <w:r w:rsidRPr="00A5221A">
        <w:rPr>
          <w:rFonts w:eastAsia="Times New Roman" w:cs="Arial"/>
          <w:color w:val="000000"/>
          <w:lang w:eastAsia="bg-BG"/>
        </w:rPr>
        <w:t>или по- ниски (отговарящи на умерена или тежка бъбречна недостатъчност).</w:t>
      </w:r>
    </w:p>
    <w:p w14:paraId="1C229504" w14:textId="77777777" w:rsidR="00A5221A" w:rsidRPr="00EF2809" w:rsidRDefault="00A5221A" w:rsidP="00A5221A">
      <w:pPr>
        <w:spacing w:line="240" w:lineRule="auto"/>
        <w:rPr>
          <w:rFonts w:eastAsia="Times New Roman" w:cs="Arial"/>
          <w:color w:val="000000"/>
          <w:lang w:eastAsia="bg-BG"/>
        </w:rPr>
      </w:pPr>
    </w:p>
    <w:p w14:paraId="5BD85D2C" w14:textId="77777777" w:rsidR="00A5221A" w:rsidRPr="00EF2809" w:rsidRDefault="00A5221A" w:rsidP="00A5221A">
      <w:pPr>
        <w:rPr>
          <w:rFonts w:eastAsia="Times New Roman" w:cs="Arial"/>
        </w:rPr>
      </w:pPr>
      <w:r w:rsidRPr="00A5221A">
        <w:rPr>
          <w:rFonts w:eastAsia="Times New Roman" w:cs="Arial"/>
          <w:color w:val="000000"/>
          <w:lang w:eastAsia="bg-BG"/>
        </w:rPr>
        <w:t xml:space="preserve">Лизиноприл/хидрохлоротиазид не трябва да се прилага при пациенти с бъбречна недостатъчност (креатининов клирънс по-малък или равен на 80 </w:t>
      </w:r>
      <w:r w:rsidRPr="00A5221A">
        <w:rPr>
          <w:rFonts w:eastAsia="Times New Roman" w:cs="Arial"/>
          <w:color w:val="000000"/>
          <w:lang w:val="en-US"/>
        </w:rPr>
        <w:t>ml</w:t>
      </w:r>
      <w:r w:rsidRPr="00A5221A">
        <w:rPr>
          <w:rFonts w:eastAsia="Times New Roman" w:cs="Arial"/>
          <w:color w:val="000000"/>
          <w:lang w:val="ru-RU"/>
        </w:rPr>
        <w:t>/</w:t>
      </w:r>
      <w:r w:rsidRPr="00A5221A">
        <w:rPr>
          <w:rFonts w:eastAsia="Times New Roman" w:cs="Arial"/>
          <w:color w:val="000000"/>
          <w:lang w:val="en-US"/>
        </w:rPr>
        <w:t>min</w:t>
      </w:r>
      <w:r w:rsidRPr="00A5221A">
        <w:rPr>
          <w:rFonts w:eastAsia="Times New Roman" w:cs="Arial"/>
          <w:color w:val="000000"/>
          <w:lang w:val="ru-RU"/>
        </w:rPr>
        <w:t xml:space="preserve">), </w:t>
      </w:r>
      <w:r w:rsidRPr="00A5221A">
        <w:rPr>
          <w:rFonts w:eastAsia="Times New Roman" w:cs="Arial"/>
          <w:color w:val="000000"/>
          <w:lang w:eastAsia="bg-BG"/>
        </w:rPr>
        <w:t>докато титриране на отделните компоненти не покаже необходимостта от дозите в комбинираната таблетка. При пациенти със сърдечна недостатъчност, хипотонията, възникнала след започване на терапия с АСЕ инхибитори, може да доведе до допълнително увреждане на бъбречната</w:t>
      </w:r>
      <w:r w:rsidRPr="00EF2809">
        <w:rPr>
          <w:rFonts w:eastAsia="Times New Roman" w:cs="Arial"/>
          <w:color w:val="000000"/>
          <w:lang w:eastAsia="bg-BG"/>
        </w:rPr>
        <w:t xml:space="preserve"> функция. В тези случаи, докладвано е за предимно обратима остра бъбречна недостатъчност.</w:t>
      </w:r>
    </w:p>
    <w:p w14:paraId="29C133DF" w14:textId="77777777" w:rsidR="00A5221A" w:rsidRPr="00EF2809" w:rsidRDefault="00A5221A" w:rsidP="00A5221A">
      <w:pPr>
        <w:spacing w:line="240" w:lineRule="auto"/>
        <w:rPr>
          <w:rFonts w:eastAsia="Times New Roman" w:cs="Arial"/>
          <w:color w:val="000000"/>
          <w:lang w:eastAsia="bg-BG"/>
        </w:rPr>
      </w:pPr>
    </w:p>
    <w:p w14:paraId="167B46F7" w14:textId="7380A830" w:rsidR="00A5221A" w:rsidRPr="00A5221A" w:rsidRDefault="00A5221A" w:rsidP="00A5221A">
      <w:pPr>
        <w:spacing w:line="240" w:lineRule="auto"/>
        <w:rPr>
          <w:rFonts w:eastAsia="Times New Roman" w:cs="Arial"/>
        </w:rPr>
      </w:pPr>
      <w:r w:rsidRPr="00A5221A">
        <w:rPr>
          <w:rFonts w:eastAsia="Times New Roman" w:cs="Arial"/>
          <w:color w:val="000000"/>
          <w:lang w:eastAsia="bg-BG"/>
        </w:rPr>
        <w:lastRenderedPageBreak/>
        <w:t>При някои пациенти с билатерална стеноза на бъбречната артерия или стеноза на артерията при единствен бъбрек, които са били лекувани с АСЕ-инхибитори, при прекратяване на лечението са наблюдавани повишение на кръвната урея и серумния креатинин, обикновено обратими. Това е валидно в голяма степен при пациенти с бъбречна недостатъчност. Ако присъства и реноваскуларна хипертония, съществува повишен риск от тежка хипотония и бъбречна недостатъчност. При тези пациенти лечението трябва да започне под строг медицински контрол с ниски дози и внимателно титриране на дозата. Тъй като лечението с диуретици може да бъде фактор, който допринася за по-горното, бъбречната функция трябва да бъде наблюдавана през първите няколко седмици от лечението с лизиноприл/хидрохлоротиазид.</w:t>
      </w:r>
    </w:p>
    <w:p w14:paraId="125E2D60"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Някои пациенти с хипертония и без проява на предшестващо бъбречно-съдово заболяване са развили повишение на кръвната урея и серумния креатинин, обикновено незначителни и преходни, особено когато лизиноприл се прилага едновременно с диуретик. Ако това се случи по време на терапия с лизиноприл/хидрохлоротиазид, комбинацията трябва да бъде преустановена. Това е по-вероятно да се появи при пациенти с предшестващо бъбречно увреждане. Възможно е подновяване на лечението с намалена доза или някой от компонентите може да се използва по подходящ начин самостоятелно.</w:t>
      </w:r>
    </w:p>
    <w:p w14:paraId="504CC8CD" w14:textId="77777777" w:rsidR="00A5221A" w:rsidRPr="00EF2809" w:rsidRDefault="00A5221A" w:rsidP="00A5221A">
      <w:pPr>
        <w:spacing w:line="240" w:lineRule="auto"/>
        <w:rPr>
          <w:rFonts w:eastAsia="Times New Roman" w:cs="Arial"/>
          <w:b/>
          <w:bCs/>
          <w:color w:val="000000"/>
          <w:lang w:eastAsia="bg-BG"/>
        </w:rPr>
      </w:pPr>
    </w:p>
    <w:p w14:paraId="41FF85D4" w14:textId="73EFC45B" w:rsidR="00A5221A" w:rsidRPr="00A5221A" w:rsidRDefault="00A5221A" w:rsidP="00A5221A">
      <w:pPr>
        <w:spacing w:line="240" w:lineRule="auto"/>
        <w:rPr>
          <w:rFonts w:eastAsia="Times New Roman" w:cs="Arial"/>
        </w:rPr>
      </w:pPr>
      <w:r w:rsidRPr="00A5221A">
        <w:rPr>
          <w:rFonts w:eastAsia="Times New Roman" w:cs="Arial"/>
          <w:b/>
          <w:bCs/>
          <w:color w:val="000000"/>
          <w:lang w:eastAsia="bg-BG"/>
        </w:rPr>
        <w:t>Предшестваща диуретична терапия</w:t>
      </w:r>
    </w:p>
    <w:p w14:paraId="02BDFA93"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 xml:space="preserve">Диуретичната терапия трябва да се прекрати 2-3 дни преди започване на лечението с лизиноприл/хидрохлоротиазид. Ако това не е възможно, лечението трябва да започне само с лизиноприл в доза от 5 </w:t>
      </w:r>
      <w:r w:rsidRPr="00A5221A">
        <w:rPr>
          <w:rFonts w:eastAsia="Times New Roman" w:cs="Arial"/>
          <w:color w:val="000000"/>
          <w:lang w:val="en-US"/>
        </w:rPr>
        <w:t>mg</w:t>
      </w:r>
      <w:r w:rsidRPr="00A5221A">
        <w:rPr>
          <w:rFonts w:eastAsia="Times New Roman" w:cs="Arial"/>
          <w:color w:val="000000"/>
          <w:lang w:val="ru-RU"/>
        </w:rPr>
        <w:t>.</w:t>
      </w:r>
    </w:p>
    <w:p w14:paraId="6402F252" w14:textId="77777777" w:rsidR="00A5221A" w:rsidRPr="00EF2809" w:rsidRDefault="00A5221A" w:rsidP="00A5221A">
      <w:pPr>
        <w:spacing w:line="240" w:lineRule="auto"/>
        <w:rPr>
          <w:rFonts w:eastAsia="Times New Roman" w:cs="Arial"/>
          <w:b/>
          <w:bCs/>
          <w:color w:val="000000"/>
          <w:lang w:eastAsia="bg-BG"/>
        </w:rPr>
      </w:pPr>
    </w:p>
    <w:p w14:paraId="4D4283BD" w14:textId="2CC0301F" w:rsidR="00A5221A" w:rsidRPr="00A5221A" w:rsidRDefault="00A5221A" w:rsidP="00A5221A">
      <w:pPr>
        <w:spacing w:line="240" w:lineRule="auto"/>
        <w:rPr>
          <w:rFonts w:eastAsia="Times New Roman" w:cs="Arial"/>
        </w:rPr>
      </w:pPr>
      <w:r w:rsidRPr="00A5221A">
        <w:rPr>
          <w:rFonts w:eastAsia="Times New Roman" w:cs="Arial"/>
          <w:b/>
          <w:bCs/>
          <w:color w:val="000000"/>
          <w:lang w:eastAsia="bg-BG"/>
        </w:rPr>
        <w:t>Бъбречна трансплантация</w:t>
      </w:r>
    </w:p>
    <w:p w14:paraId="0BC4B532"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Да не се използва, тъй като няма опит с пациенти, които наскоро са претърпели бъбречна трансплантация.</w:t>
      </w:r>
    </w:p>
    <w:p w14:paraId="72E24395" w14:textId="77777777" w:rsidR="00A5221A" w:rsidRPr="00EF2809" w:rsidRDefault="00A5221A" w:rsidP="00A5221A">
      <w:pPr>
        <w:spacing w:line="240" w:lineRule="auto"/>
        <w:rPr>
          <w:rFonts w:eastAsia="Times New Roman" w:cs="Arial"/>
          <w:b/>
          <w:bCs/>
          <w:color w:val="000000"/>
          <w:lang w:eastAsia="bg-BG"/>
        </w:rPr>
      </w:pPr>
    </w:p>
    <w:p w14:paraId="1467E6E1" w14:textId="6017248E" w:rsidR="00A5221A" w:rsidRPr="00A5221A" w:rsidRDefault="00A5221A" w:rsidP="00A5221A">
      <w:pPr>
        <w:spacing w:line="240" w:lineRule="auto"/>
        <w:rPr>
          <w:rFonts w:eastAsia="Times New Roman" w:cs="Arial"/>
        </w:rPr>
      </w:pPr>
      <w:r w:rsidRPr="00A5221A">
        <w:rPr>
          <w:rFonts w:eastAsia="Times New Roman" w:cs="Arial"/>
          <w:b/>
          <w:bCs/>
          <w:color w:val="000000"/>
          <w:lang w:eastAsia="bg-BG"/>
        </w:rPr>
        <w:t>Анафилактондни реакции при пациенти на хемоднализа</w:t>
      </w:r>
    </w:p>
    <w:p w14:paraId="7111038D"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Използването на лизиноприл/хидрохлоротиазид не е показано при пациенти, нуждаещи се от диализа за бъбречна недостатъчност.</w:t>
      </w:r>
    </w:p>
    <w:p w14:paraId="34C232CE"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 xml:space="preserve">Анафилактондни реакции са докладвани при пациенти, подложени на определени процедури за хемодиализа (напр. с високопропускливи мембрани </w:t>
      </w:r>
      <w:r w:rsidRPr="00A5221A">
        <w:rPr>
          <w:rFonts w:eastAsia="Times New Roman" w:cs="Arial"/>
          <w:color w:val="000000"/>
          <w:lang w:val="en-US"/>
        </w:rPr>
        <w:t>AN</w:t>
      </w:r>
      <w:r w:rsidRPr="00A5221A">
        <w:rPr>
          <w:rFonts w:eastAsia="Times New Roman" w:cs="Arial"/>
          <w:color w:val="000000"/>
          <w:lang w:val="ru-RU"/>
        </w:rPr>
        <w:t xml:space="preserve"> </w:t>
      </w:r>
      <w:r w:rsidRPr="00A5221A">
        <w:rPr>
          <w:rFonts w:eastAsia="Times New Roman" w:cs="Arial"/>
          <w:color w:val="000000"/>
          <w:lang w:eastAsia="bg-BG"/>
        </w:rPr>
        <w:t xml:space="preserve">69 и по време на афереза на липопротеини с ниска плътност </w:t>
      </w:r>
      <w:r w:rsidRPr="00A5221A">
        <w:rPr>
          <w:rFonts w:eastAsia="Times New Roman" w:cs="Arial"/>
          <w:color w:val="000000"/>
          <w:lang w:val="ru-RU"/>
        </w:rPr>
        <w:t>(</w:t>
      </w:r>
      <w:r w:rsidRPr="00A5221A">
        <w:rPr>
          <w:rFonts w:eastAsia="Times New Roman" w:cs="Arial"/>
          <w:color w:val="000000"/>
          <w:lang w:val="en-US"/>
        </w:rPr>
        <w:t>LDL</w:t>
      </w:r>
      <w:r w:rsidRPr="00A5221A">
        <w:rPr>
          <w:rFonts w:eastAsia="Times New Roman" w:cs="Arial"/>
          <w:color w:val="000000"/>
          <w:lang w:val="ru-RU"/>
        </w:rPr>
        <w:t xml:space="preserve">) </w:t>
      </w:r>
      <w:r w:rsidRPr="00A5221A">
        <w:rPr>
          <w:rFonts w:eastAsia="Times New Roman" w:cs="Arial"/>
          <w:color w:val="000000"/>
          <w:lang w:eastAsia="bg-BG"/>
        </w:rPr>
        <w:t>с декстран сулфат) и лекувани едновременно с АСЕ-инхибитор. При тези пациенти трябва да се обмисли използването на различен тип диализна мембрана или различен клас антихипертензивно средство.</w:t>
      </w:r>
    </w:p>
    <w:p w14:paraId="723125DD" w14:textId="77777777" w:rsidR="00A5221A" w:rsidRPr="00EF2809" w:rsidRDefault="00A5221A" w:rsidP="00A5221A">
      <w:pPr>
        <w:spacing w:line="240" w:lineRule="auto"/>
        <w:rPr>
          <w:rFonts w:eastAsia="Times New Roman" w:cs="Arial"/>
          <w:b/>
          <w:bCs/>
          <w:color w:val="000000"/>
          <w:lang w:eastAsia="bg-BG"/>
        </w:rPr>
      </w:pPr>
      <w:bookmarkStart w:id="4" w:name="bookmark6"/>
    </w:p>
    <w:p w14:paraId="1923E8F9" w14:textId="6D47AFD3" w:rsidR="00A5221A" w:rsidRPr="00A5221A" w:rsidRDefault="00A5221A" w:rsidP="00A5221A">
      <w:pPr>
        <w:spacing w:line="240" w:lineRule="auto"/>
        <w:rPr>
          <w:rFonts w:eastAsia="Times New Roman" w:cs="Arial"/>
        </w:rPr>
      </w:pPr>
      <w:r w:rsidRPr="00A5221A">
        <w:rPr>
          <w:rFonts w:eastAsia="Times New Roman" w:cs="Arial"/>
          <w:b/>
          <w:bCs/>
          <w:color w:val="000000"/>
          <w:lang w:eastAsia="bg-BG"/>
        </w:rPr>
        <w:t xml:space="preserve">Анафилактондни реакции, свързани с афереза на липопротеини с ниска плътност </w:t>
      </w:r>
      <w:r w:rsidRPr="00A5221A">
        <w:rPr>
          <w:rFonts w:eastAsia="Times New Roman" w:cs="Arial"/>
          <w:b/>
          <w:bCs/>
          <w:color w:val="000000"/>
          <w:lang w:val="ru-RU"/>
        </w:rPr>
        <w:t>(</w:t>
      </w:r>
      <w:r w:rsidRPr="00A5221A">
        <w:rPr>
          <w:rFonts w:eastAsia="Times New Roman" w:cs="Arial"/>
          <w:b/>
          <w:bCs/>
          <w:color w:val="000000"/>
          <w:lang w:val="en-US"/>
        </w:rPr>
        <w:t>LDL</w:t>
      </w:r>
      <w:r w:rsidRPr="00A5221A">
        <w:rPr>
          <w:rFonts w:eastAsia="Times New Roman" w:cs="Arial"/>
          <w:b/>
          <w:bCs/>
          <w:color w:val="000000"/>
          <w:lang w:val="ru-RU"/>
        </w:rPr>
        <w:t>)</w:t>
      </w:r>
      <w:bookmarkEnd w:id="4"/>
    </w:p>
    <w:p w14:paraId="11AD4DA9"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 xml:space="preserve">В редки случаи при пациенти, лекувани с АСЕ-инхибитори по време на афереза на липопротеини с ниска плътност </w:t>
      </w:r>
      <w:r w:rsidRPr="00A5221A">
        <w:rPr>
          <w:rFonts w:eastAsia="Times New Roman" w:cs="Arial"/>
          <w:color w:val="000000"/>
          <w:lang w:val="ru-RU"/>
        </w:rPr>
        <w:t>(</w:t>
      </w:r>
      <w:r w:rsidRPr="00A5221A">
        <w:rPr>
          <w:rFonts w:eastAsia="Times New Roman" w:cs="Arial"/>
          <w:color w:val="000000"/>
          <w:lang w:val="en-US"/>
        </w:rPr>
        <w:t>LDL</w:t>
      </w:r>
      <w:r w:rsidRPr="00A5221A">
        <w:rPr>
          <w:rFonts w:eastAsia="Times New Roman" w:cs="Arial"/>
          <w:color w:val="000000"/>
          <w:lang w:val="ru-RU"/>
        </w:rPr>
        <w:t xml:space="preserve">) </w:t>
      </w:r>
      <w:r w:rsidRPr="00A5221A">
        <w:rPr>
          <w:rFonts w:eastAsia="Times New Roman" w:cs="Arial"/>
          <w:color w:val="000000"/>
          <w:lang w:eastAsia="bg-BG"/>
        </w:rPr>
        <w:t>с декстранов сулфат, са наблюдавани животозастрашаващи анафилактични реакции. Тези симптоми могат да бъдат избегнати чрез временно прекъсване на лечението с АСЕ-инхибитори преди всяка афереза.</w:t>
      </w:r>
    </w:p>
    <w:p w14:paraId="5DA91243" w14:textId="77777777" w:rsidR="00A5221A" w:rsidRPr="00EF2809" w:rsidRDefault="00A5221A" w:rsidP="00A5221A">
      <w:pPr>
        <w:spacing w:line="240" w:lineRule="auto"/>
        <w:rPr>
          <w:rFonts w:eastAsia="Times New Roman" w:cs="Arial"/>
          <w:b/>
          <w:bCs/>
          <w:color w:val="000000"/>
          <w:lang w:eastAsia="bg-BG"/>
        </w:rPr>
      </w:pPr>
      <w:bookmarkStart w:id="5" w:name="bookmark8"/>
    </w:p>
    <w:p w14:paraId="4088FE86" w14:textId="628684FF" w:rsidR="00A5221A" w:rsidRPr="00A5221A" w:rsidRDefault="00A5221A" w:rsidP="00A5221A">
      <w:pPr>
        <w:spacing w:line="240" w:lineRule="auto"/>
        <w:rPr>
          <w:rFonts w:eastAsia="Times New Roman" w:cs="Arial"/>
        </w:rPr>
      </w:pPr>
      <w:r w:rsidRPr="00A5221A">
        <w:rPr>
          <w:rFonts w:eastAsia="Times New Roman" w:cs="Arial"/>
          <w:b/>
          <w:bCs/>
          <w:color w:val="000000"/>
          <w:lang w:eastAsia="bg-BG"/>
        </w:rPr>
        <w:t>Чернодробно заболяване</w:t>
      </w:r>
      <w:bookmarkEnd w:id="5"/>
    </w:p>
    <w:p w14:paraId="7C1366B5" w14:textId="77777777" w:rsidR="00A5221A" w:rsidRPr="00EF2809" w:rsidRDefault="00A5221A" w:rsidP="00A5221A">
      <w:pPr>
        <w:rPr>
          <w:rFonts w:eastAsia="Times New Roman" w:cs="Arial"/>
        </w:rPr>
      </w:pPr>
      <w:r w:rsidRPr="00EF2809">
        <w:rPr>
          <w:rFonts w:eastAsia="Times New Roman" w:cs="Arial"/>
          <w:color w:val="000000"/>
          <w:lang w:eastAsia="bg-BG"/>
        </w:rPr>
        <w:t xml:space="preserve">Тиазидите трябва да се използват с повишено внимание </w:t>
      </w:r>
      <w:r w:rsidRPr="00EF2809">
        <w:rPr>
          <w:rFonts w:eastAsia="Times New Roman" w:cs="Arial"/>
          <w:i/>
          <w:iCs/>
          <w:color w:val="000000"/>
          <w:lang w:eastAsia="bg-BG"/>
        </w:rPr>
        <w:t>при пациенти</w:t>
      </w:r>
      <w:r w:rsidRPr="00EF2809">
        <w:rPr>
          <w:rFonts w:eastAsia="Times New Roman" w:cs="Arial"/>
          <w:color w:val="000000"/>
          <w:lang w:eastAsia="bg-BG"/>
        </w:rPr>
        <w:t xml:space="preserve"> с нарушена чернодробна функция или прогресиращо чернодробно заболяване, тъй като минимални промени във водно-електролитния баланс могат да предизвикат чернодробна кома (вж.</w:t>
      </w:r>
      <w:r w:rsidRPr="00EF2809">
        <w:rPr>
          <w:rFonts w:eastAsia="Times New Roman" w:cs="Arial"/>
        </w:rPr>
        <w:t xml:space="preserve"> </w:t>
      </w:r>
      <w:r w:rsidRPr="00EF2809">
        <w:rPr>
          <w:rFonts w:eastAsia="Times New Roman" w:cs="Arial"/>
          <w:color w:val="000000"/>
          <w:lang w:eastAsia="bg-BG"/>
        </w:rPr>
        <w:t xml:space="preserve">точка 4.3). В редки случаи АСЕ-инхибиторите се свързват със синдром, който започва с холестатична жълтеница или хепатит и прогресира до остра некроза и (понякога) смърт. </w:t>
      </w:r>
      <w:r w:rsidRPr="00EF2809">
        <w:rPr>
          <w:rFonts w:eastAsia="Times New Roman" w:cs="Arial"/>
          <w:color w:val="000000"/>
          <w:lang w:eastAsia="bg-BG"/>
        </w:rPr>
        <w:lastRenderedPageBreak/>
        <w:t>Механизмът на този синдром не е изяснен. Пациенти, приемащи лизиноприл/хидрохлоротиазид, които развият жълтеница или значително повишение на чернодробните ензими, трябва да преустановят приема на лизиноприл/хидрохлоротиазид и да получат подходящо медицинско проследяване.</w:t>
      </w:r>
    </w:p>
    <w:p w14:paraId="5B098492" w14:textId="77777777" w:rsidR="00A5221A" w:rsidRPr="00EF2809" w:rsidRDefault="00A5221A" w:rsidP="00A5221A">
      <w:pPr>
        <w:spacing w:line="240" w:lineRule="auto"/>
        <w:rPr>
          <w:rFonts w:eastAsia="Times New Roman" w:cs="Arial"/>
          <w:b/>
          <w:bCs/>
          <w:color w:val="000000"/>
          <w:lang w:eastAsia="bg-BG"/>
        </w:rPr>
      </w:pPr>
    </w:p>
    <w:p w14:paraId="0F581AB4" w14:textId="69617670" w:rsidR="00A5221A" w:rsidRPr="00A5221A" w:rsidRDefault="00A5221A" w:rsidP="00A5221A">
      <w:pPr>
        <w:spacing w:line="240" w:lineRule="auto"/>
        <w:rPr>
          <w:rFonts w:eastAsia="Times New Roman" w:cs="Arial"/>
        </w:rPr>
      </w:pPr>
      <w:r w:rsidRPr="00A5221A">
        <w:rPr>
          <w:rFonts w:eastAsia="Times New Roman" w:cs="Arial"/>
          <w:b/>
          <w:bCs/>
          <w:color w:val="000000"/>
          <w:lang w:eastAsia="bg-BG"/>
        </w:rPr>
        <w:t>Хирургични ннтервенции/анестезия</w:t>
      </w:r>
    </w:p>
    <w:p w14:paraId="42052310"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При пациенти, подложени на голяма хирургична интервенция или по време на анестезия с вещества с хипотоничен ефект, лизиноприл може да блокира образуването на ангиотензин II, образуван вследствие на компенсаторното освобождаване на ренин. При поява на хипотония, за която се счита, че се дължи на този механизъм, тя може да се компенсира чрез увеличаване на обема.</w:t>
      </w:r>
    </w:p>
    <w:p w14:paraId="1EC177F8" w14:textId="77777777" w:rsidR="00A5221A" w:rsidRPr="00EF2809" w:rsidRDefault="00A5221A" w:rsidP="00A5221A">
      <w:pPr>
        <w:spacing w:line="240" w:lineRule="auto"/>
        <w:rPr>
          <w:rFonts w:eastAsia="Times New Roman" w:cs="Arial"/>
          <w:b/>
          <w:bCs/>
          <w:color w:val="000000"/>
          <w:lang w:eastAsia="bg-BG"/>
        </w:rPr>
      </w:pPr>
    </w:p>
    <w:p w14:paraId="5A1EF514" w14:textId="172FC5BC" w:rsidR="00A5221A" w:rsidRPr="00A5221A" w:rsidRDefault="00A5221A" w:rsidP="00A5221A">
      <w:pPr>
        <w:spacing w:line="240" w:lineRule="auto"/>
        <w:rPr>
          <w:rFonts w:eastAsia="Times New Roman" w:cs="Arial"/>
        </w:rPr>
      </w:pPr>
      <w:r w:rsidRPr="00A5221A">
        <w:rPr>
          <w:rFonts w:eastAsia="Times New Roman" w:cs="Arial"/>
          <w:b/>
          <w:bCs/>
          <w:color w:val="000000"/>
          <w:lang w:eastAsia="bg-BG"/>
        </w:rPr>
        <w:t>Метаболитни и ендокринни ефекти</w:t>
      </w:r>
    </w:p>
    <w:p w14:paraId="70ACD90E"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Лечението с АСЕ-инхибитор и тиазид може да наруши глюкозния толеранс. Може да се изисква корекция на дозата на антидиабетните средства, включително инсулин. При пациенти с диабет, лекувани с перорални антидиабетни средства или инсулин, гликемичните нива трябва да бъдат внимателно наблюдавани по време на първия месец от лечението с АСЕ-инхибитор. По време на лечението с тиазиди може да се появи латентен захарен диабет.</w:t>
      </w:r>
    </w:p>
    <w:p w14:paraId="2819FBD7" w14:textId="77777777" w:rsidR="00A5221A" w:rsidRPr="00EF2809" w:rsidRDefault="00A5221A" w:rsidP="00A5221A">
      <w:pPr>
        <w:spacing w:line="240" w:lineRule="auto"/>
        <w:rPr>
          <w:rFonts w:eastAsia="Times New Roman" w:cs="Arial"/>
          <w:color w:val="000000"/>
          <w:lang w:eastAsia="bg-BG"/>
        </w:rPr>
      </w:pPr>
    </w:p>
    <w:p w14:paraId="320FD14B" w14:textId="7F24212F" w:rsidR="00A5221A" w:rsidRPr="00A5221A" w:rsidRDefault="00A5221A" w:rsidP="00A5221A">
      <w:pPr>
        <w:spacing w:line="240" w:lineRule="auto"/>
        <w:rPr>
          <w:rFonts w:eastAsia="Times New Roman" w:cs="Arial"/>
        </w:rPr>
      </w:pPr>
      <w:r w:rsidRPr="00A5221A">
        <w:rPr>
          <w:rFonts w:eastAsia="Times New Roman" w:cs="Arial"/>
          <w:color w:val="000000"/>
          <w:lang w:eastAsia="bg-BG"/>
        </w:rPr>
        <w:t>Повишаването на нивата на холестерола и триглицеридите може да бъде свързано с лечението с тиазидни диуретици.</w:t>
      </w:r>
    </w:p>
    <w:p w14:paraId="18B4ADA5" w14:textId="77777777" w:rsidR="00A5221A" w:rsidRPr="00EF2809" w:rsidRDefault="00A5221A" w:rsidP="00A5221A">
      <w:pPr>
        <w:spacing w:line="240" w:lineRule="auto"/>
        <w:rPr>
          <w:rFonts w:eastAsia="Times New Roman" w:cs="Arial"/>
          <w:color w:val="000000"/>
          <w:lang w:eastAsia="bg-BG"/>
        </w:rPr>
      </w:pPr>
    </w:p>
    <w:p w14:paraId="23DCF09B" w14:textId="07DF3303" w:rsidR="00A5221A" w:rsidRPr="00A5221A" w:rsidRDefault="00A5221A" w:rsidP="00A5221A">
      <w:pPr>
        <w:spacing w:line="240" w:lineRule="auto"/>
        <w:rPr>
          <w:rFonts w:eastAsia="Times New Roman" w:cs="Arial"/>
        </w:rPr>
      </w:pPr>
      <w:r w:rsidRPr="00A5221A">
        <w:rPr>
          <w:rFonts w:eastAsia="Times New Roman" w:cs="Arial"/>
          <w:color w:val="000000"/>
          <w:lang w:eastAsia="bg-BG"/>
        </w:rPr>
        <w:t>Лечението с тиазиди може да отключи хиперурикемия и/или подагра при някои пациенти. Въпреки това, лизиноприл може да увеличи пикочната киселина в урината и по този начин да смекчи хиперурикемичния ефект на хидрохлоротиазид.</w:t>
      </w:r>
    </w:p>
    <w:p w14:paraId="624A4A9C" w14:textId="77777777" w:rsidR="00A5221A" w:rsidRPr="00EF2809" w:rsidRDefault="00A5221A" w:rsidP="00A5221A">
      <w:pPr>
        <w:spacing w:line="240" w:lineRule="auto"/>
        <w:rPr>
          <w:rFonts w:eastAsia="Times New Roman" w:cs="Arial"/>
          <w:b/>
          <w:bCs/>
          <w:color w:val="000000"/>
          <w:lang w:eastAsia="bg-BG"/>
        </w:rPr>
      </w:pPr>
    </w:p>
    <w:p w14:paraId="6E073349" w14:textId="66764537" w:rsidR="00A5221A" w:rsidRPr="00A5221A" w:rsidRDefault="00A5221A" w:rsidP="00A5221A">
      <w:pPr>
        <w:spacing w:line="240" w:lineRule="auto"/>
        <w:rPr>
          <w:rFonts w:eastAsia="Times New Roman" w:cs="Arial"/>
        </w:rPr>
      </w:pPr>
      <w:r w:rsidRPr="00A5221A">
        <w:rPr>
          <w:rFonts w:eastAsia="Times New Roman" w:cs="Arial"/>
          <w:b/>
          <w:bCs/>
          <w:color w:val="000000"/>
          <w:lang w:eastAsia="bg-BG"/>
        </w:rPr>
        <w:t>Електролитен дисбаланс</w:t>
      </w:r>
    </w:p>
    <w:p w14:paraId="25477494"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При всеки пациент, получаващ диуретична терапия, през подходящи интервали трябва да се извършва периодично определяне на серумните електролити.</w:t>
      </w:r>
    </w:p>
    <w:p w14:paraId="16EC3073" w14:textId="77777777" w:rsidR="00A5221A" w:rsidRPr="00EF2809" w:rsidRDefault="00A5221A" w:rsidP="00A5221A">
      <w:pPr>
        <w:spacing w:line="240" w:lineRule="auto"/>
        <w:rPr>
          <w:rFonts w:eastAsia="Times New Roman" w:cs="Arial"/>
          <w:color w:val="000000"/>
          <w:lang w:eastAsia="bg-BG"/>
        </w:rPr>
      </w:pPr>
    </w:p>
    <w:p w14:paraId="41500B63" w14:textId="571D37A2" w:rsidR="00A5221A" w:rsidRPr="00A5221A" w:rsidRDefault="00A5221A" w:rsidP="00A5221A">
      <w:pPr>
        <w:spacing w:line="240" w:lineRule="auto"/>
        <w:rPr>
          <w:rFonts w:eastAsia="Times New Roman" w:cs="Arial"/>
        </w:rPr>
      </w:pPr>
      <w:r w:rsidRPr="00A5221A">
        <w:rPr>
          <w:rFonts w:eastAsia="Times New Roman" w:cs="Arial"/>
          <w:color w:val="000000"/>
          <w:lang w:eastAsia="bg-BG"/>
        </w:rPr>
        <w:t>Тиазидите, в това число хидрохлоротиазид, могат да предизвикат нарушения на течностите или електролитите (хипокалиемия, хипонатриемия и хипохлоремична алкалоза). Предупредителните признаци за нарушен баланс на течности или електролити са сухота в устата, жажда, слабост, летаргия, сънливост, безпокойство, крампи или болки в мускулите, мускулна умора, хипотония, олигоурия, тахикардия и стомашно-чревни нарушения като гадене или повръщане. Дилуционна хипонатриемия може да възникне при едематозни пациенти в горещо време. Хлоридният дефицит обикновено е лек и не изисква лечение. Доказано е, че тиазидните диуретици повишават екскрецията на магнезий в урината, което може да доведе до хипомагнезиемия.</w:t>
      </w:r>
    </w:p>
    <w:p w14:paraId="15E78B90" w14:textId="77777777" w:rsidR="00A5221A" w:rsidRPr="00EF2809" w:rsidRDefault="00A5221A" w:rsidP="00A5221A">
      <w:pPr>
        <w:spacing w:line="240" w:lineRule="auto"/>
        <w:rPr>
          <w:rFonts w:eastAsia="Times New Roman" w:cs="Arial"/>
          <w:color w:val="000000"/>
          <w:lang w:eastAsia="bg-BG"/>
        </w:rPr>
      </w:pPr>
    </w:p>
    <w:p w14:paraId="36D1A297" w14:textId="7E0B6325" w:rsidR="00A5221A" w:rsidRPr="00A5221A" w:rsidRDefault="00A5221A" w:rsidP="00A5221A">
      <w:pPr>
        <w:spacing w:line="240" w:lineRule="auto"/>
        <w:rPr>
          <w:rFonts w:eastAsia="Times New Roman" w:cs="Arial"/>
        </w:rPr>
      </w:pPr>
      <w:r w:rsidRPr="00A5221A">
        <w:rPr>
          <w:rFonts w:eastAsia="Times New Roman" w:cs="Arial"/>
          <w:color w:val="000000"/>
          <w:lang w:eastAsia="bg-BG"/>
        </w:rPr>
        <w:t xml:space="preserve">Тиазидите могат да намалят екскрецията на калций с урината </w:t>
      </w:r>
      <w:r w:rsidRPr="00A5221A">
        <w:rPr>
          <w:rFonts w:eastAsia="Times New Roman" w:cs="Arial"/>
          <w:i/>
          <w:iCs/>
          <w:color w:val="000000"/>
          <w:lang w:eastAsia="bg-BG"/>
        </w:rPr>
        <w:t>и</w:t>
      </w:r>
      <w:r w:rsidRPr="00A5221A">
        <w:rPr>
          <w:rFonts w:eastAsia="Times New Roman" w:cs="Arial"/>
          <w:color w:val="000000"/>
          <w:lang w:eastAsia="bg-BG"/>
        </w:rPr>
        <w:t xml:space="preserve"> да предизвикат преходно и леко покачване на серумния калций. Подчертаната хиперкалциемия може да бъде доказателство за скрит хиперпаратиреоидизъм. Приемът на тиазиди трябва да бъде прекратен преди провеждане на изследвания на функцията на паратиреоидните жлези.</w:t>
      </w:r>
    </w:p>
    <w:p w14:paraId="68E9EA27" w14:textId="77777777" w:rsidR="00A5221A" w:rsidRPr="00EF2809" w:rsidRDefault="00A5221A" w:rsidP="00A5221A">
      <w:pPr>
        <w:spacing w:line="240" w:lineRule="auto"/>
        <w:rPr>
          <w:rFonts w:eastAsia="Times New Roman" w:cs="Arial"/>
          <w:b/>
          <w:bCs/>
          <w:color w:val="000000"/>
          <w:lang w:eastAsia="bg-BG"/>
        </w:rPr>
      </w:pPr>
    </w:p>
    <w:p w14:paraId="23575B97" w14:textId="6EE1D65F" w:rsidR="00A5221A" w:rsidRPr="00A5221A" w:rsidRDefault="00A5221A" w:rsidP="00A5221A">
      <w:pPr>
        <w:spacing w:line="240" w:lineRule="auto"/>
        <w:rPr>
          <w:rFonts w:eastAsia="Times New Roman" w:cs="Arial"/>
        </w:rPr>
      </w:pPr>
      <w:r w:rsidRPr="00A5221A">
        <w:rPr>
          <w:rFonts w:eastAsia="Times New Roman" w:cs="Arial"/>
          <w:b/>
          <w:bCs/>
          <w:color w:val="000000"/>
          <w:lang w:eastAsia="bg-BG"/>
        </w:rPr>
        <w:t>Серумен калий</w:t>
      </w:r>
    </w:p>
    <w:p w14:paraId="74BEB527"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 xml:space="preserve">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 При пациенти с нарушена бъбречна функция обаче, </w:t>
      </w:r>
      <w:r w:rsidRPr="00A5221A">
        <w:rPr>
          <w:rFonts w:eastAsia="Times New Roman" w:cs="Arial"/>
          <w:color w:val="000000"/>
          <w:lang w:eastAsia="bg-BG"/>
        </w:rPr>
        <w:lastRenderedPageBreak/>
        <w:t>захарен диабет, хипоалдостеронизъм и/или при пациенти приемащи хранителни добавки, съдържащи калий (включително заместители на солта), калий-съхраняващи диуретици или при пациенти, които приемат други активни вещества, свързани с повишаване на серумния калий (напр. хепарин, триметоприм или ко-тримоксазол, известен също като триметоприм/сулфаметоксазол и особено антагонисти на алдостерона или нагиотензин- рецепторни блокери, може да възникне хиперкалиемия. Калий-съхраняващите диуретици и ангиотензин-рецепторните блокери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6F219564" w14:textId="77777777" w:rsidR="00A5221A" w:rsidRPr="00EF2809" w:rsidRDefault="00A5221A" w:rsidP="00A5221A">
      <w:pPr>
        <w:spacing w:line="240" w:lineRule="auto"/>
        <w:rPr>
          <w:rFonts w:eastAsia="Times New Roman" w:cs="Arial"/>
          <w:b/>
          <w:bCs/>
          <w:color w:val="000000"/>
          <w:lang w:eastAsia="bg-BG"/>
        </w:rPr>
      </w:pPr>
    </w:p>
    <w:p w14:paraId="533887C3" w14:textId="35B4AB6F" w:rsidR="00A5221A" w:rsidRPr="00A5221A" w:rsidRDefault="00A5221A" w:rsidP="00A5221A">
      <w:pPr>
        <w:spacing w:line="240" w:lineRule="auto"/>
        <w:rPr>
          <w:rFonts w:eastAsia="Times New Roman" w:cs="Arial"/>
        </w:rPr>
      </w:pPr>
      <w:r w:rsidRPr="00A5221A">
        <w:rPr>
          <w:rFonts w:eastAsia="Times New Roman" w:cs="Arial"/>
          <w:b/>
          <w:bCs/>
          <w:color w:val="000000"/>
          <w:lang w:eastAsia="bg-BG"/>
        </w:rPr>
        <w:t>Диабетици</w:t>
      </w:r>
    </w:p>
    <w:p w14:paraId="3ABD2193"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При пациенти, приемащи перорално антидиабетни лекарствени продукти или инсулин, трябва да се осъществява непосредствен гликемичен контрол по време на първия месец от лечението с АСЕ- инхибитор (вж. точка 4.5).</w:t>
      </w:r>
    </w:p>
    <w:p w14:paraId="51ED8958" w14:textId="77777777" w:rsidR="00A5221A" w:rsidRPr="00EF2809" w:rsidRDefault="00A5221A" w:rsidP="00A5221A">
      <w:pPr>
        <w:spacing w:line="240" w:lineRule="auto"/>
        <w:rPr>
          <w:rFonts w:eastAsia="Times New Roman" w:cs="Arial"/>
          <w:b/>
          <w:bCs/>
          <w:color w:val="000000"/>
          <w:lang w:eastAsia="bg-BG"/>
        </w:rPr>
      </w:pPr>
    </w:p>
    <w:p w14:paraId="04BDE729" w14:textId="766D15E2" w:rsidR="00A5221A" w:rsidRPr="00A5221A" w:rsidRDefault="00A5221A" w:rsidP="00A5221A">
      <w:pPr>
        <w:spacing w:line="240" w:lineRule="auto"/>
        <w:rPr>
          <w:rFonts w:eastAsia="Times New Roman" w:cs="Arial"/>
        </w:rPr>
      </w:pPr>
      <w:r w:rsidRPr="00A5221A">
        <w:rPr>
          <w:rFonts w:eastAsia="Times New Roman" w:cs="Arial"/>
          <w:b/>
          <w:bCs/>
          <w:color w:val="000000"/>
          <w:lang w:eastAsia="bg-BG"/>
        </w:rPr>
        <w:t>Свръхчувствителност/ангиоедем</w:t>
      </w:r>
    </w:p>
    <w:p w14:paraId="0459D2CF"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 xml:space="preserve">Ангиоедем на лицето, крайниците, устните, езика, глотиса и/или ларинкса е нечесто докладван при пациенти, лекувани с инхибитори на ангиотензин-конвертиращия ензим, включително лизиноприл. Той може да настъпи по всяко време на лечението. В такива случаи приемът на лизиноприл трябва да се преустанови незабавно и да се започне подходящо лечение и наблюдение, за да се осигури пълно отзвучаване </w:t>
      </w:r>
      <w:r w:rsidRPr="00A5221A">
        <w:rPr>
          <w:rFonts w:eastAsia="Times New Roman" w:cs="Arial"/>
          <w:i/>
          <w:iCs/>
          <w:color w:val="000000"/>
          <w:lang w:eastAsia="bg-BG"/>
        </w:rPr>
        <w:t>на</w:t>
      </w:r>
      <w:r w:rsidRPr="00A5221A">
        <w:rPr>
          <w:rFonts w:eastAsia="Times New Roman" w:cs="Arial"/>
          <w:color w:val="000000"/>
          <w:lang w:eastAsia="bg-BG"/>
        </w:rPr>
        <w:t xml:space="preserve"> симптомите преди изписване на пациента. Дори в тези случаи, в които се наблюдава само подуване на езика, без респираторен дистрес, може да се изисква продължително наблюдение на пациентите, тъй като лечението с антихистамини и кортикостероиди може да не е достатъчно.</w:t>
      </w:r>
    </w:p>
    <w:p w14:paraId="3A5A6456" w14:textId="77777777" w:rsidR="00A5221A" w:rsidRPr="00EF2809" w:rsidRDefault="00A5221A" w:rsidP="00A5221A">
      <w:pPr>
        <w:spacing w:line="240" w:lineRule="auto"/>
        <w:rPr>
          <w:rFonts w:eastAsia="Times New Roman" w:cs="Arial"/>
          <w:color w:val="000000"/>
          <w:lang w:eastAsia="bg-BG"/>
        </w:rPr>
      </w:pPr>
    </w:p>
    <w:p w14:paraId="04F90A8C" w14:textId="20BAD3C1" w:rsidR="00A5221A" w:rsidRPr="00A5221A" w:rsidRDefault="00A5221A" w:rsidP="00A5221A">
      <w:pPr>
        <w:spacing w:line="240" w:lineRule="auto"/>
        <w:rPr>
          <w:rFonts w:eastAsia="Times New Roman" w:cs="Arial"/>
        </w:rPr>
      </w:pPr>
      <w:r w:rsidRPr="00A5221A">
        <w:rPr>
          <w:rFonts w:eastAsia="Times New Roman" w:cs="Arial"/>
          <w:color w:val="000000"/>
          <w:lang w:eastAsia="bg-BG"/>
        </w:rPr>
        <w:t>Много рядко са съобщавани смъртни случаи поради ангиоедем, свързан с оток на ларинкса или на езика. Пациенти със засегнат език, глотис или ларинкс, е вероятно да изпитат обструкция на дихателните пътища, особено тези с анамнеза за операция на дихателните пътища. В такива случаи незабавно трябва да се приложи спешно лечение. Това може да включва приложение на адреналин и/или осигуряване на проходимост на дихателните пътища на пациента. Пациентът трябва да бъде под непрекъснато лекарско наблюдение до пълното и трайно отзвучаване на симптомите.</w:t>
      </w:r>
    </w:p>
    <w:p w14:paraId="6DAEAB06" w14:textId="77777777" w:rsidR="00A5221A" w:rsidRPr="00EF2809" w:rsidRDefault="00A5221A" w:rsidP="00A5221A">
      <w:pPr>
        <w:spacing w:line="240" w:lineRule="auto"/>
        <w:rPr>
          <w:rFonts w:eastAsia="Times New Roman" w:cs="Arial"/>
          <w:color w:val="000000"/>
          <w:lang w:eastAsia="bg-BG"/>
        </w:rPr>
      </w:pPr>
    </w:p>
    <w:p w14:paraId="61164AF0" w14:textId="38C80D30" w:rsidR="00A5221A" w:rsidRPr="00A5221A" w:rsidRDefault="00A5221A" w:rsidP="00A5221A">
      <w:pPr>
        <w:spacing w:line="240" w:lineRule="auto"/>
        <w:rPr>
          <w:rFonts w:eastAsia="Times New Roman" w:cs="Arial"/>
        </w:rPr>
      </w:pPr>
      <w:r w:rsidRPr="00A5221A">
        <w:rPr>
          <w:rFonts w:eastAsia="Times New Roman" w:cs="Arial"/>
          <w:color w:val="000000"/>
          <w:lang w:eastAsia="bg-BG"/>
        </w:rPr>
        <w:t>Интестинален (чревен) ангиоедем е също така много редко докладван при пациенти лекувани с АСЕ инхибитори и би трябвало да бъде включен в диференциалната диагноза при пациенти с коремна болка които се лекуват с АСЕ инхибитори.</w:t>
      </w:r>
    </w:p>
    <w:p w14:paraId="243CAE8B" w14:textId="77777777" w:rsidR="00A5221A" w:rsidRPr="00EF2809" w:rsidRDefault="00A5221A" w:rsidP="00A5221A">
      <w:pPr>
        <w:spacing w:line="240" w:lineRule="auto"/>
        <w:rPr>
          <w:rFonts w:eastAsia="Times New Roman" w:cs="Arial"/>
          <w:color w:val="000000"/>
          <w:lang w:eastAsia="bg-BG"/>
        </w:rPr>
      </w:pPr>
    </w:p>
    <w:p w14:paraId="2F45CE3A" w14:textId="60E3F50C" w:rsidR="00A5221A" w:rsidRPr="00A5221A" w:rsidRDefault="00A5221A" w:rsidP="00A5221A">
      <w:pPr>
        <w:spacing w:line="240" w:lineRule="auto"/>
        <w:rPr>
          <w:rFonts w:eastAsia="Times New Roman" w:cs="Arial"/>
        </w:rPr>
      </w:pPr>
      <w:r w:rsidRPr="00A5221A">
        <w:rPr>
          <w:rFonts w:eastAsia="Times New Roman" w:cs="Arial"/>
          <w:color w:val="000000"/>
          <w:lang w:eastAsia="bg-BG"/>
        </w:rPr>
        <w:t>Инхибиторите на ангиотензин-конвертиращия ензим причиняват по-висока честота на ангиоедем при чернокожи, отколкото при нечернокожи пациенти.</w:t>
      </w:r>
    </w:p>
    <w:p w14:paraId="05E60435" w14:textId="77777777" w:rsidR="00A5221A" w:rsidRPr="00EF2809" w:rsidRDefault="00A5221A" w:rsidP="00A5221A">
      <w:pPr>
        <w:spacing w:line="240" w:lineRule="auto"/>
        <w:rPr>
          <w:rFonts w:eastAsia="Times New Roman" w:cs="Arial"/>
          <w:color w:val="000000"/>
          <w:lang w:eastAsia="bg-BG"/>
        </w:rPr>
      </w:pPr>
    </w:p>
    <w:p w14:paraId="24055646" w14:textId="4700D486" w:rsidR="00A5221A" w:rsidRPr="00A5221A" w:rsidRDefault="00A5221A" w:rsidP="00A5221A">
      <w:pPr>
        <w:spacing w:line="240" w:lineRule="auto"/>
        <w:rPr>
          <w:rFonts w:eastAsia="Times New Roman" w:cs="Arial"/>
        </w:rPr>
      </w:pPr>
      <w:r w:rsidRPr="00A5221A">
        <w:rPr>
          <w:rFonts w:eastAsia="Times New Roman" w:cs="Arial"/>
          <w:color w:val="000000"/>
          <w:lang w:eastAsia="bg-BG"/>
        </w:rPr>
        <w:t>При пациенти с анамнеза за ангиоедем, несвързан с лечение с АСЕ-инхибитори, може да има повишен риск от ангиоедем, докато приемат АСЕ-инхибитор (вж. точка 4.3).</w:t>
      </w:r>
    </w:p>
    <w:p w14:paraId="6E90C67E" w14:textId="77777777" w:rsidR="00A5221A" w:rsidRPr="00EF2809" w:rsidRDefault="00A5221A" w:rsidP="00A5221A">
      <w:pPr>
        <w:spacing w:line="240" w:lineRule="auto"/>
        <w:rPr>
          <w:rFonts w:eastAsia="Times New Roman" w:cs="Arial"/>
          <w:color w:val="000000"/>
          <w:lang w:eastAsia="bg-BG"/>
        </w:rPr>
      </w:pPr>
    </w:p>
    <w:p w14:paraId="1C643611" w14:textId="77777777" w:rsidR="00A5221A" w:rsidRPr="00EF2809" w:rsidRDefault="00A5221A" w:rsidP="00A5221A">
      <w:pPr>
        <w:rPr>
          <w:rFonts w:eastAsia="Times New Roman" w:cs="Arial"/>
        </w:rPr>
      </w:pPr>
      <w:r w:rsidRPr="00A5221A">
        <w:rPr>
          <w:rFonts w:eastAsia="Times New Roman" w:cs="Arial"/>
          <w:color w:val="000000"/>
          <w:lang w:eastAsia="bg-BG"/>
        </w:rPr>
        <w:t>Съпътстващата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w:t>
      </w:r>
      <w:r w:rsidRPr="00EF2809">
        <w:rPr>
          <w:rFonts w:eastAsia="Times New Roman" w:cs="Arial"/>
        </w:rPr>
        <w:t xml:space="preserve"> </w:t>
      </w:r>
      <w:r w:rsidRPr="00EF2809">
        <w:rPr>
          <w:rFonts w:eastAsia="Times New Roman" w:cs="Arial"/>
          <w:color w:val="000000"/>
          <w:lang w:eastAsia="bg-BG"/>
        </w:rPr>
        <w:t>започва по-рано от 36 часа след последната доза лизиноприл/хидрохлоротиазид. Лечение с лизиноприл/хидрохлоротиазид не трябва да се започва по-рано от 36 часа след последната доза сакубитрил/валсартан (вж. точки 4.3 и 4.5).</w:t>
      </w:r>
    </w:p>
    <w:p w14:paraId="4B7AFE52"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lastRenderedPageBreak/>
        <w:t xml:space="preserve">Съпътстваща употреба на АСЕ инхибитори с рацекадотрил, </w:t>
      </w:r>
      <w:proofErr w:type="spellStart"/>
      <w:r w:rsidRPr="00A5221A">
        <w:rPr>
          <w:rFonts w:eastAsia="Times New Roman" w:cs="Arial"/>
          <w:color w:val="000000"/>
          <w:lang w:val="en-US"/>
        </w:rPr>
        <w:t>mTOR</w:t>
      </w:r>
      <w:proofErr w:type="spellEnd"/>
      <w:r w:rsidRPr="00A5221A">
        <w:rPr>
          <w:rFonts w:eastAsia="Times New Roman" w:cs="Arial"/>
          <w:color w:val="000000"/>
          <w:lang w:val="ru-RU"/>
        </w:rPr>
        <w:t xml:space="preserve"> </w:t>
      </w:r>
      <w:r w:rsidRPr="00A5221A">
        <w:rPr>
          <w:rFonts w:eastAsia="Times New Roman" w:cs="Arial"/>
          <w:color w:val="000000"/>
          <w:lang w:eastAsia="bg-BG"/>
        </w:rPr>
        <w:t xml:space="preserve">инхибитори (напр. сиролимус, еверолимус, темсиролимус), може да доведе до повишен риск от ангиоедем (напр. оток на дихателните 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proofErr w:type="spellStart"/>
      <w:r w:rsidRPr="00A5221A">
        <w:rPr>
          <w:rFonts w:eastAsia="Times New Roman" w:cs="Arial"/>
          <w:color w:val="000000"/>
          <w:lang w:val="en-US"/>
        </w:rPr>
        <w:t>mTOR</w:t>
      </w:r>
      <w:proofErr w:type="spellEnd"/>
      <w:r w:rsidRPr="00A5221A">
        <w:rPr>
          <w:rFonts w:eastAsia="Times New Roman" w:cs="Arial"/>
          <w:color w:val="000000"/>
          <w:lang w:val="ru-RU"/>
        </w:rPr>
        <w:t xml:space="preserve"> </w:t>
      </w:r>
      <w:r w:rsidRPr="00A5221A">
        <w:rPr>
          <w:rFonts w:eastAsia="Times New Roman" w:cs="Arial"/>
          <w:color w:val="000000"/>
          <w:lang w:eastAsia="bg-BG"/>
        </w:rPr>
        <w:t>инхибитори (напр. сиролимус, еверолимус, темсиролимус) и вилдаглиптин при пациент, който вече приема АСЕ инхибитор.</w:t>
      </w:r>
    </w:p>
    <w:p w14:paraId="487B68F4"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При пациенти, приемащи тиазиди, реакциите на свръхчувствителност могат да се появят с или без анамнеза за алергия или бронхиална астма. Обостряне или активиране на системен лупус еритематодес е съобщено при употребата на тиазиди.</w:t>
      </w:r>
    </w:p>
    <w:p w14:paraId="20CF5EA4" w14:textId="77777777" w:rsidR="00A5221A" w:rsidRPr="00EF2809" w:rsidRDefault="00A5221A" w:rsidP="00A5221A">
      <w:pPr>
        <w:spacing w:line="240" w:lineRule="auto"/>
        <w:rPr>
          <w:rFonts w:eastAsia="Times New Roman" w:cs="Arial"/>
          <w:b/>
          <w:bCs/>
          <w:color w:val="000000"/>
          <w:lang w:eastAsia="bg-BG"/>
        </w:rPr>
      </w:pPr>
    </w:p>
    <w:p w14:paraId="41763853" w14:textId="3B755F22" w:rsidR="00A5221A" w:rsidRPr="00A5221A" w:rsidRDefault="00A5221A" w:rsidP="00A5221A">
      <w:pPr>
        <w:spacing w:line="240" w:lineRule="auto"/>
        <w:rPr>
          <w:rFonts w:eastAsia="Times New Roman" w:cs="Arial"/>
        </w:rPr>
      </w:pPr>
      <w:r w:rsidRPr="00A5221A">
        <w:rPr>
          <w:rFonts w:eastAsia="Times New Roman" w:cs="Arial"/>
          <w:b/>
          <w:bCs/>
          <w:color w:val="000000"/>
          <w:lang w:eastAsia="bg-BG"/>
        </w:rPr>
        <w:t>Десенсибилизация</w:t>
      </w:r>
    </w:p>
    <w:p w14:paraId="6F5BA044"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Пациенти, получаващи АСЕ-инхибитори по време на десенсибилизиращо лечение (напр. отрова от хименоптера) са получили анафилактондни реакции. При същите пациенти тези реакции са били избегнати при временно прекратяване приема на АСЕ-инхибиторите, но те се появяват отново при неумишлено подновяване на приема,</w:t>
      </w:r>
    </w:p>
    <w:p w14:paraId="7E013C41" w14:textId="77777777" w:rsidR="00A5221A" w:rsidRPr="00EF2809" w:rsidRDefault="00A5221A" w:rsidP="00A5221A">
      <w:pPr>
        <w:spacing w:line="240" w:lineRule="auto"/>
        <w:rPr>
          <w:rFonts w:eastAsia="Times New Roman" w:cs="Arial"/>
          <w:b/>
          <w:bCs/>
          <w:color w:val="000000"/>
          <w:lang w:eastAsia="bg-BG"/>
        </w:rPr>
      </w:pPr>
    </w:p>
    <w:p w14:paraId="292041EC" w14:textId="4E6E7166" w:rsidR="00A5221A" w:rsidRPr="00A5221A" w:rsidRDefault="00A5221A" w:rsidP="00A5221A">
      <w:pPr>
        <w:spacing w:line="240" w:lineRule="auto"/>
        <w:rPr>
          <w:rFonts w:eastAsia="Times New Roman" w:cs="Arial"/>
        </w:rPr>
      </w:pPr>
      <w:r w:rsidRPr="00A5221A">
        <w:rPr>
          <w:rFonts w:eastAsia="Times New Roman" w:cs="Arial"/>
          <w:b/>
          <w:bCs/>
          <w:color w:val="000000"/>
          <w:lang w:eastAsia="bg-BG"/>
        </w:rPr>
        <w:t>Неутропения / агранулоцитоза</w:t>
      </w:r>
    </w:p>
    <w:p w14:paraId="558DBFE4"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 xml:space="preserve">При пациенти, приемащи АСЕ-инхибитори, са съобщени неутропения/агранулоцитоза, тромбоцитопения и анемия. При пациенти с нормална бъбречна функция и без други усложняващи фактори, неутропения се развива рядко. Неутропенията и агранулоцитозата са обратими след спиране на АСЕ-инхибитора. Лизиноприл трябва да се използва с изключително внимание при пациенти с колагенна васкуларна болест, на имуносупресивно лечение, лечение с алопуринол или прокаинамид или комбинация от тези усложняващи фактори, особено ако вече има съществуващо нарушение на бъбречната функция. Някои от тези пациенти развиват сериозни инфекции, които в някои случаи не се повлияват от интензивна антибиотична терапия. Ако лизиноприл се използва при такива пациенти, препоръчва се периодично проследяване на броя на белите кръвни клетки, а пациентите трябва да бъдат съветвани да </w:t>
      </w:r>
      <w:r w:rsidRPr="00A5221A">
        <w:rPr>
          <w:rFonts w:eastAsia="Times New Roman" w:cs="Arial"/>
          <w:i/>
          <w:iCs/>
          <w:color w:val="000000"/>
          <w:lang w:eastAsia="bg-BG"/>
        </w:rPr>
        <w:t>съобщават</w:t>
      </w:r>
      <w:r w:rsidRPr="00A5221A">
        <w:rPr>
          <w:rFonts w:eastAsia="Times New Roman" w:cs="Arial"/>
          <w:color w:val="000000"/>
          <w:lang w:eastAsia="bg-BG"/>
        </w:rPr>
        <w:t xml:space="preserve"> за всеки признак на инфекция.</w:t>
      </w:r>
    </w:p>
    <w:p w14:paraId="6D5C78B5" w14:textId="77777777" w:rsidR="00A5221A" w:rsidRPr="00EF2809" w:rsidRDefault="00A5221A" w:rsidP="00A5221A">
      <w:pPr>
        <w:spacing w:line="240" w:lineRule="auto"/>
        <w:rPr>
          <w:rFonts w:eastAsia="Times New Roman" w:cs="Arial"/>
          <w:b/>
          <w:bCs/>
          <w:color w:val="000000"/>
          <w:lang w:eastAsia="bg-BG"/>
        </w:rPr>
      </w:pPr>
    </w:p>
    <w:p w14:paraId="3A0780C5" w14:textId="10718087" w:rsidR="00A5221A" w:rsidRPr="00A5221A" w:rsidRDefault="00A5221A" w:rsidP="00A5221A">
      <w:pPr>
        <w:spacing w:line="240" w:lineRule="auto"/>
        <w:rPr>
          <w:rFonts w:eastAsia="Times New Roman" w:cs="Arial"/>
        </w:rPr>
      </w:pPr>
      <w:r w:rsidRPr="00A5221A">
        <w:rPr>
          <w:rFonts w:eastAsia="Times New Roman" w:cs="Arial"/>
          <w:b/>
          <w:bCs/>
          <w:color w:val="000000"/>
          <w:lang w:eastAsia="bg-BG"/>
        </w:rPr>
        <w:t>Раса</w:t>
      </w:r>
    </w:p>
    <w:p w14:paraId="4CE3D178"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Инхибиторите на ангиотензин-конвертиращия ензим причиняват по-висока честота на ангиоедем при чернокожи, отколкото при нечернокожи пациенти.</w:t>
      </w:r>
    </w:p>
    <w:p w14:paraId="5AE7C282"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Както и при други АСЕ-инхибитори, лизиноприл може да бъде по-малко ефективен за понижаването на кръвното налягане при негроидната раса, отколкото при другите раси, вероятно поради по-широкото разпространение на по-ниски ренинови нива в тази популация.</w:t>
      </w:r>
    </w:p>
    <w:p w14:paraId="14A2C595" w14:textId="77777777" w:rsidR="00A5221A" w:rsidRPr="00EF2809" w:rsidRDefault="00A5221A" w:rsidP="00A5221A">
      <w:pPr>
        <w:spacing w:line="240" w:lineRule="auto"/>
        <w:rPr>
          <w:rFonts w:eastAsia="Times New Roman" w:cs="Arial"/>
          <w:b/>
          <w:bCs/>
          <w:color w:val="000000"/>
          <w:lang w:eastAsia="bg-BG"/>
        </w:rPr>
      </w:pPr>
    </w:p>
    <w:p w14:paraId="081DCDDF" w14:textId="0F8FA467" w:rsidR="00A5221A" w:rsidRPr="00A5221A" w:rsidRDefault="00A5221A" w:rsidP="00A5221A">
      <w:pPr>
        <w:spacing w:line="240" w:lineRule="auto"/>
        <w:rPr>
          <w:rFonts w:eastAsia="Times New Roman" w:cs="Arial"/>
        </w:rPr>
      </w:pPr>
      <w:r w:rsidRPr="00A5221A">
        <w:rPr>
          <w:rFonts w:eastAsia="Times New Roman" w:cs="Arial"/>
          <w:b/>
          <w:bCs/>
          <w:color w:val="000000"/>
          <w:lang w:eastAsia="bg-BG"/>
        </w:rPr>
        <w:t>Кашлица</w:t>
      </w:r>
    </w:p>
    <w:p w14:paraId="7A6F92EA"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Има съобщения за кашлица при употреба на АСЕ-инхибитори. Характерно е, че кашлицата е непродуктивна, продължителна и отзвучава след прекратяване на лечението. Индуцираната от АСЕ-инхибитор кашлица трябва да се разглежда като част от диференциалната диагноза на кашлицата.</w:t>
      </w:r>
    </w:p>
    <w:p w14:paraId="06614A40" w14:textId="77777777" w:rsidR="00A5221A" w:rsidRPr="00EF2809" w:rsidRDefault="00A5221A" w:rsidP="00A5221A">
      <w:pPr>
        <w:spacing w:line="240" w:lineRule="auto"/>
        <w:rPr>
          <w:rFonts w:eastAsia="Times New Roman" w:cs="Arial"/>
          <w:b/>
          <w:bCs/>
          <w:color w:val="000000"/>
          <w:lang w:eastAsia="bg-BG"/>
        </w:rPr>
      </w:pPr>
    </w:p>
    <w:p w14:paraId="25640FF9" w14:textId="4382A784" w:rsidR="00A5221A" w:rsidRPr="00A5221A" w:rsidRDefault="00A5221A" w:rsidP="00A5221A">
      <w:pPr>
        <w:spacing w:line="240" w:lineRule="auto"/>
        <w:rPr>
          <w:rFonts w:eastAsia="Times New Roman" w:cs="Arial"/>
        </w:rPr>
      </w:pPr>
      <w:r w:rsidRPr="00A5221A">
        <w:rPr>
          <w:rFonts w:eastAsia="Times New Roman" w:cs="Arial"/>
          <w:b/>
          <w:bCs/>
          <w:color w:val="000000"/>
          <w:lang w:eastAsia="bg-BG"/>
        </w:rPr>
        <w:t>Литий</w:t>
      </w:r>
    </w:p>
    <w:p w14:paraId="0AC58BC4"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Комбинацията от АСЕ-инхибитори и литий обикновено не се препоръчва (вж.</w:t>
      </w:r>
    </w:p>
    <w:p w14:paraId="4B06A6FA" w14:textId="77777777" w:rsidR="00A5221A" w:rsidRPr="00EF2809" w:rsidRDefault="00A5221A" w:rsidP="00A5221A">
      <w:pPr>
        <w:spacing w:line="240" w:lineRule="auto"/>
        <w:rPr>
          <w:rFonts w:eastAsia="Times New Roman" w:cs="Arial"/>
          <w:b/>
          <w:bCs/>
          <w:color w:val="000000"/>
          <w:lang w:eastAsia="bg-BG"/>
        </w:rPr>
      </w:pPr>
    </w:p>
    <w:p w14:paraId="6268D776" w14:textId="5940ACAB" w:rsidR="00A5221A" w:rsidRPr="00EF2809" w:rsidRDefault="00A5221A" w:rsidP="00A5221A">
      <w:pPr>
        <w:spacing w:line="240" w:lineRule="auto"/>
        <w:rPr>
          <w:rFonts w:eastAsia="Times New Roman" w:cs="Arial"/>
          <w:b/>
          <w:bCs/>
          <w:color w:val="000000"/>
          <w:lang w:eastAsia="bg-BG"/>
        </w:rPr>
      </w:pPr>
      <w:r w:rsidRPr="00EF2809">
        <w:rPr>
          <w:rFonts w:eastAsia="Times New Roman" w:cs="Arial"/>
          <w:b/>
          <w:bCs/>
          <w:color w:val="000000"/>
          <w:lang w:eastAsia="bg-BG"/>
        </w:rPr>
        <w:t>Анти-допинг тест</w:t>
      </w:r>
    </w:p>
    <w:p w14:paraId="5DFC4904"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Хидрохлоротиазидът, съдържащ се в това лекарство, може да доведе до положителен аналитичен резултат при анти-допинг тест.</w:t>
      </w:r>
    </w:p>
    <w:p w14:paraId="07DD562C" w14:textId="77777777" w:rsidR="00A5221A" w:rsidRPr="00EF2809" w:rsidRDefault="00A5221A" w:rsidP="00A5221A">
      <w:pPr>
        <w:spacing w:line="240" w:lineRule="auto"/>
        <w:rPr>
          <w:rFonts w:eastAsia="Times New Roman" w:cs="Arial"/>
          <w:b/>
          <w:bCs/>
          <w:color w:val="000000"/>
          <w:lang w:eastAsia="bg-BG"/>
        </w:rPr>
      </w:pPr>
    </w:p>
    <w:p w14:paraId="328A18BD" w14:textId="2080CA4B" w:rsidR="00A5221A" w:rsidRPr="00A5221A" w:rsidRDefault="00A5221A" w:rsidP="00A5221A">
      <w:pPr>
        <w:spacing w:line="240" w:lineRule="auto"/>
        <w:rPr>
          <w:rFonts w:eastAsia="Times New Roman" w:cs="Arial"/>
          <w:b/>
          <w:bCs/>
          <w:color w:val="000000"/>
          <w:lang w:eastAsia="bg-BG"/>
        </w:rPr>
      </w:pPr>
      <w:r w:rsidRPr="00A5221A">
        <w:rPr>
          <w:rFonts w:eastAsia="Times New Roman" w:cs="Arial"/>
          <w:b/>
          <w:bCs/>
          <w:color w:val="000000"/>
          <w:lang w:eastAsia="bg-BG"/>
        </w:rPr>
        <w:lastRenderedPageBreak/>
        <w:t>Бременност</w:t>
      </w:r>
    </w:p>
    <w:p w14:paraId="76E3E5EB"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АСЕ-инхибитори не трябва да се приемат по време на бременност. Освен ако продължителното лечение с АСЕ-инхибитор се смята за важно, пациентките, които планират бременност, трябва да преминат на алтернативно антихипертензивно лечение с установен профил на безопасност при употреба по време на бременност. Когато бременността е диагностицирана, лечението с АСЕ-инхибитори трябва да бъде прекратено незабавно и, ако е подходящо, трябва да се започне алтернативно лечение (вж. точки 4.3 и 4.6).</w:t>
      </w:r>
    </w:p>
    <w:p w14:paraId="0E5B1C1A" w14:textId="77777777" w:rsidR="00A5221A" w:rsidRPr="00EF2809" w:rsidRDefault="00A5221A" w:rsidP="00A5221A">
      <w:pPr>
        <w:spacing w:line="240" w:lineRule="auto"/>
        <w:rPr>
          <w:rFonts w:eastAsia="Times New Roman" w:cs="Arial"/>
          <w:b/>
          <w:bCs/>
          <w:color w:val="000000"/>
          <w:lang w:eastAsia="bg-BG"/>
        </w:rPr>
      </w:pPr>
    </w:p>
    <w:p w14:paraId="1FF871B8" w14:textId="513F8EEE" w:rsidR="00A5221A" w:rsidRPr="00A5221A" w:rsidRDefault="00A5221A" w:rsidP="00A5221A">
      <w:pPr>
        <w:spacing w:line="240" w:lineRule="auto"/>
        <w:rPr>
          <w:rFonts w:eastAsia="Times New Roman" w:cs="Arial"/>
        </w:rPr>
      </w:pPr>
      <w:r w:rsidRPr="00A5221A">
        <w:rPr>
          <w:rFonts w:eastAsia="Times New Roman" w:cs="Arial"/>
          <w:b/>
          <w:bCs/>
          <w:color w:val="000000"/>
          <w:lang w:eastAsia="bg-BG"/>
        </w:rPr>
        <w:t>Двойно блокиране на ренин-ангиотензин-аддостероновата система (РААС)</w:t>
      </w:r>
    </w:p>
    <w:p w14:paraId="192F5160"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 xml:space="preserve">Има данни, че едновременната употреба на АСЕ инхибитори, ангиотензин </w:t>
      </w:r>
      <w:r w:rsidRPr="00A5221A">
        <w:rPr>
          <w:rFonts w:eastAsia="Times New Roman" w:cs="Arial"/>
          <w:color w:val="000000"/>
          <w:lang w:val="en-US"/>
        </w:rPr>
        <w:t>II</w:t>
      </w:r>
      <w:r w:rsidRPr="00A5221A">
        <w:rPr>
          <w:rFonts w:eastAsia="Times New Roman" w:cs="Arial"/>
          <w:color w:val="000000"/>
          <w:lang w:val="ru-RU"/>
        </w:rPr>
        <w:t>-</w:t>
      </w:r>
      <w:r w:rsidRPr="00A5221A">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A5221A">
        <w:rPr>
          <w:rFonts w:eastAsia="Times New Roman" w:cs="Arial"/>
          <w:color w:val="000000"/>
          <w:lang w:val="en-US"/>
        </w:rPr>
        <w:t>II</w:t>
      </w:r>
      <w:r w:rsidRPr="00A5221A">
        <w:rPr>
          <w:rFonts w:eastAsia="Times New Roman" w:cs="Arial"/>
          <w:color w:val="000000"/>
          <w:lang w:eastAsia="bg-BG"/>
        </w:rPr>
        <w:t>-рецепторни блокери или алискирен (вж. точки 4.5 и 5.1).</w:t>
      </w:r>
    </w:p>
    <w:p w14:paraId="475185D3"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1D87C11A"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 xml:space="preserve">АСЕ инхибитори и ангиотензин </w:t>
      </w:r>
      <w:r w:rsidRPr="00A5221A">
        <w:rPr>
          <w:rFonts w:eastAsia="Times New Roman" w:cs="Arial"/>
          <w:color w:val="000000"/>
          <w:lang w:val="en-US"/>
        </w:rPr>
        <w:t>II</w:t>
      </w:r>
      <w:r w:rsidRPr="00A5221A">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54D3F9B5" w14:textId="77777777" w:rsidR="00A5221A" w:rsidRPr="00EF2809" w:rsidRDefault="00A5221A" w:rsidP="00A5221A">
      <w:pPr>
        <w:spacing w:line="240" w:lineRule="auto"/>
        <w:rPr>
          <w:rFonts w:eastAsia="Times New Roman" w:cs="Arial"/>
          <w:b/>
          <w:bCs/>
          <w:color w:val="000000"/>
          <w:lang w:eastAsia="bg-BG"/>
        </w:rPr>
      </w:pPr>
    </w:p>
    <w:p w14:paraId="7C07C6ED" w14:textId="5851CA8A" w:rsidR="00A5221A" w:rsidRPr="00A5221A" w:rsidRDefault="00A5221A" w:rsidP="00A5221A">
      <w:pPr>
        <w:spacing w:line="240" w:lineRule="auto"/>
        <w:rPr>
          <w:rFonts w:eastAsia="Times New Roman" w:cs="Arial"/>
        </w:rPr>
      </w:pPr>
      <w:r w:rsidRPr="00A5221A">
        <w:rPr>
          <w:rFonts w:eastAsia="Times New Roman" w:cs="Arial"/>
          <w:b/>
          <w:bCs/>
          <w:color w:val="000000"/>
          <w:lang w:eastAsia="bg-BG"/>
        </w:rPr>
        <w:t>Хороидален излив, остра миопия и вторична закритоъгълна глаукома</w:t>
      </w:r>
    </w:p>
    <w:p w14:paraId="5167730C"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Сулфонамидите или лекарствата, производни на сулфонамидите, могат да предизвикат идиосинкратична реакция, водеща до хороидален излив с дефект на зрителното поле, преходна миопия и остра закритоъгълна глаукома.</w:t>
      </w:r>
    </w:p>
    <w:p w14:paraId="08B5846E"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 xml:space="preserve">Симптомите включват остро </w:t>
      </w:r>
      <w:r w:rsidRPr="00A5221A">
        <w:rPr>
          <w:rFonts w:eastAsia="Times New Roman" w:cs="Arial"/>
          <w:i/>
          <w:iCs/>
          <w:color w:val="000000"/>
          <w:lang w:eastAsia="bg-BG"/>
        </w:rPr>
        <w:t>начало на</w:t>
      </w:r>
      <w:r w:rsidRPr="00A5221A">
        <w:rPr>
          <w:rFonts w:eastAsia="Times New Roman" w:cs="Arial"/>
          <w:color w:val="000000"/>
          <w:lang w:eastAsia="bg-BG"/>
        </w:rPr>
        <w:t xml:space="preserve"> намалена зрителна острота или очна болка и обикновено се проявяват в рамките на часове до седмици след започване на лекарството. Нелекуваната остра закритоъгълна глаукома може да доведе до трайна загуба на зрението. Основното лечение е да се прекрати приема на лекарството възможно най-скоро. Може да се наложи да се обмислят бързи медицински или хирургични лечения, ако вътреочното налягане остане неконтролирано. Рисковите фактори за развитие на остра закритоъгълна глаукома могат да включват анамнеза за алергия към сулфонамиди или пеницилини.</w:t>
      </w:r>
    </w:p>
    <w:p w14:paraId="1401D200" w14:textId="77777777" w:rsidR="00EF2809" w:rsidRPr="00EF2809" w:rsidRDefault="00EF2809" w:rsidP="00A5221A">
      <w:pPr>
        <w:spacing w:line="240" w:lineRule="auto"/>
        <w:rPr>
          <w:rFonts w:eastAsia="Times New Roman" w:cs="Arial"/>
          <w:b/>
          <w:bCs/>
          <w:color w:val="000000"/>
          <w:lang w:eastAsia="bg-BG"/>
        </w:rPr>
      </w:pPr>
    </w:p>
    <w:p w14:paraId="36A6271C" w14:textId="297F4EE1" w:rsidR="00A5221A" w:rsidRPr="00A5221A" w:rsidRDefault="00A5221A" w:rsidP="00A5221A">
      <w:pPr>
        <w:spacing w:line="240" w:lineRule="auto"/>
        <w:rPr>
          <w:rFonts w:eastAsia="Times New Roman" w:cs="Arial"/>
        </w:rPr>
      </w:pPr>
      <w:r w:rsidRPr="00A5221A">
        <w:rPr>
          <w:rFonts w:eastAsia="Times New Roman" w:cs="Arial"/>
          <w:b/>
          <w:bCs/>
          <w:color w:val="000000"/>
          <w:lang w:eastAsia="bg-BG"/>
        </w:rPr>
        <w:t>Немеланомен рак на кожата</w:t>
      </w:r>
    </w:p>
    <w:p w14:paraId="1F372B06" w14:textId="77777777" w:rsidR="00A5221A" w:rsidRPr="00A5221A" w:rsidRDefault="00A5221A" w:rsidP="00A5221A">
      <w:pPr>
        <w:spacing w:line="240" w:lineRule="auto"/>
        <w:rPr>
          <w:rFonts w:eastAsia="Times New Roman" w:cs="Arial"/>
        </w:rPr>
      </w:pPr>
      <w:r w:rsidRPr="00A5221A">
        <w:rPr>
          <w:rFonts w:eastAsia="Times New Roman" w:cs="Arial"/>
          <w:color w:val="000000"/>
          <w:lang w:eastAsia="bg-BG"/>
        </w:rPr>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[базалноклетъчен карцином (БКК) и сквамозноклетъчен карцином (СКК)] при нарастваща експозиция на кумулативна доза хидрохлоротиазид (ХХТЗ). Фотосенсибилизиращите ефекти на ХХТЗ могат да действат като вероятен механизъм за развитие на НМРК.</w:t>
      </w:r>
    </w:p>
    <w:p w14:paraId="212D12E2" w14:textId="0F808392" w:rsidR="00A5221A" w:rsidRPr="00EF2809" w:rsidRDefault="00A5221A" w:rsidP="00A5221A">
      <w:pPr>
        <w:spacing w:line="240" w:lineRule="auto"/>
        <w:rPr>
          <w:rFonts w:eastAsia="Times New Roman" w:cs="Arial"/>
          <w:color w:val="000000"/>
          <w:lang w:eastAsia="bg-BG"/>
        </w:rPr>
      </w:pPr>
      <w:r w:rsidRPr="00EF2809">
        <w:rPr>
          <w:rFonts w:eastAsia="Times New Roman" w:cs="Arial"/>
          <w:color w:val="000000"/>
          <w:lang w:eastAsia="bg-BG"/>
        </w:rPr>
        <w:t>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w:t>
      </w:r>
      <w:r w:rsidRPr="00EF2809">
        <w:rPr>
          <w:rFonts w:eastAsia="Times New Roman" w:cs="Arial"/>
          <w:color w:val="000000"/>
          <w:u w:val="single"/>
          <w:lang w:eastAsia="bg-BG"/>
        </w:rPr>
        <w:t xml:space="preserve">етови </w:t>
      </w:r>
      <w:r w:rsidRPr="00EF2809">
        <w:rPr>
          <w:rFonts w:eastAsia="Times New Roman" w:cs="Arial"/>
          <w:color w:val="000000"/>
          <w:lang w:eastAsia="bg-BG"/>
        </w:rPr>
        <w:t>лъчи, а в случай на експозиция, подходяща защита, за да се сведе до минимум рискът от рак на кожата. Подозрителните кожни лезии трябва да бъдат подложени на незабавно изследване, потенциално включващо хистологични изследвания на биопсични материали</w:t>
      </w:r>
      <w:r w:rsidR="00EF2809" w:rsidRPr="00EF2809">
        <w:rPr>
          <w:rFonts w:eastAsia="Times New Roman" w:cs="Arial"/>
          <w:color w:val="000000"/>
          <w:lang w:eastAsia="bg-BG"/>
        </w:rPr>
        <w:t>.</w:t>
      </w:r>
    </w:p>
    <w:p w14:paraId="50442718" w14:textId="619CA041" w:rsidR="00EF2809" w:rsidRPr="00EF2809" w:rsidRDefault="00EF2809" w:rsidP="00A5221A">
      <w:pPr>
        <w:spacing w:line="240" w:lineRule="auto"/>
        <w:rPr>
          <w:rFonts w:eastAsia="Times New Roman" w:cs="Arial"/>
          <w:color w:val="000000"/>
          <w:lang w:eastAsia="bg-BG"/>
        </w:rPr>
      </w:pPr>
    </w:p>
    <w:p w14:paraId="1C141604"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Преразглеждане на употребата на ХХТЗ може да се наложи и при пациенти, които са имали предходен НМРК (вж. също точка 4.8).</w:t>
      </w:r>
    </w:p>
    <w:p w14:paraId="68888EDB" w14:textId="77777777" w:rsidR="00EF2809" w:rsidRPr="00EF2809" w:rsidRDefault="00EF2809" w:rsidP="00EF2809">
      <w:pPr>
        <w:spacing w:line="240" w:lineRule="auto"/>
        <w:rPr>
          <w:rFonts w:eastAsia="Times New Roman" w:cs="Arial"/>
          <w:b/>
          <w:bCs/>
          <w:color w:val="000000"/>
          <w:lang w:eastAsia="bg-BG"/>
        </w:rPr>
      </w:pPr>
    </w:p>
    <w:p w14:paraId="499D5B6A" w14:textId="14BB17B1"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Остра респираторна токсичност</w:t>
      </w:r>
    </w:p>
    <w:p w14:paraId="34C8C1AF"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 xml:space="preserve">След прием на хидрохлоротиазид се съобщават много редки тежки случаи на остра респираторна токсичност, включително остър респираторен дистрес синдром (ОРДС). След прием на хидрохлоротиазид обикновено се развива белодробен оток в рамките на минути до часове. В началото симптомите включват диспнея, повишена температура, влошаване на белодробната функция и хипотония. При съмнение за </w:t>
      </w:r>
      <w:r w:rsidRPr="00EF2809">
        <w:rPr>
          <w:rFonts w:eastAsia="Times New Roman" w:cs="Arial"/>
          <w:color w:val="000000"/>
          <w:lang w:val="en-US"/>
        </w:rPr>
        <w:t>ARDS</w:t>
      </w:r>
      <w:r w:rsidRPr="00EF2809">
        <w:rPr>
          <w:rFonts w:eastAsia="Times New Roman" w:cs="Arial"/>
          <w:color w:val="000000"/>
          <w:lang w:val="ru-RU"/>
        </w:rPr>
        <w:t xml:space="preserve"> </w:t>
      </w:r>
      <w:r w:rsidRPr="00EF2809">
        <w:rPr>
          <w:rFonts w:eastAsia="Times New Roman" w:cs="Arial"/>
          <w:color w:val="000000"/>
          <w:lang w:eastAsia="bg-BG"/>
        </w:rPr>
        <w:t xml:space="preserve">трябва да бъде спрян приемът на Скоприл </w:t>
      </w:r>
      <w:r w:rsidRPr="00EF2809">
        <w:rPr>
          <w:rFonts w:eastAsia="Times New Roman" w:cs="Arial"/>
          <w:i/>
          <w:iCs/>
          <w:color w:val="000000"/>
          <w:lang w:eastAsia="bg-BG"/>
        </w:rPr>
        <w:t>плюс</w:t>
      </w:r>
      <w:r w:rsidRPr="00EF2809">
        <w:rPr>
          <w:rFonts w:eastAsia="Times New Roman" w:cs="Arial"/>
          <w:color w:val="000000"/>
          <w:lang w:eastAsia="bg-BG"/>
        </w:rPr>
        <w:t xml:space="preserve"> и да се приложи подходящо лечение. Хидрохлоротиазид не трябва да се прилага при пациенти, които преди това са получавали ОРДС след прием на хидрохлоротиазид.</w:t>
      </w:r>
    </w:p>
    <w:p w14:paraId="50BCC3F7" w14:textId="77777777" w:rsidR="00EF2809" w:rsidRPr="00A5221A" w:rsidRDefault="00EF2809" w:rsidP="00A5221A">
      <w:pPr>
        <w:spacing w:line="240" w:lineRule="auto"/>
        <w:rPr>
          <w:rFonts w:ascii="Times New Roman" w:eastAsia="Times New Roman" w:hAnsi="Times New Roman" w:cs="Times New Roman"/>
          <w:sz w:val="24"/>
          <w:szCs w:val="24"/>
        </w:rPr>
      </w:pPr>
    </w:p>
    <w:p w14:paraId="62F27C9B" w14:textId="048BDB79"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46F6004" w14:textId="3FC32FA0" w:rsidR="00EF2809" w:rsidRDefault="00EF2809" w:rsidP="00EF2809"/>
    <w:p w14:paraId="353FA41F" w14:textId="77777777"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Лекарства, повишаващи риска от ангиоедем</w:t>
      </w:r>
    </w:p>
    <w:p w14:paraId="6588083C"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Съпътстващата употреба на АСЕ инхибитори със сакубитрил/валсартан е противопоказана, тъй като това повишава риска от ангиоедем (вж. точка 4.3 и 4.4).</w:t>
      </w:r>
    </w:p>
    <w:p w14:paraId="2EB0D0DF"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 xml:space="preserve">Съпътстващата употреба на АСЕ инхибитори с рацекадотрил, </w:t>
      </w:r>
      <w:proofErr w:type="spellStart"/>
      <w:r w:rsidRPr="00EF2809">
        <w:rPr>
          <w:rFonts w:eastAsia="Times New Roman" w:cs="Arial"/>
          <w:color w:val="000000"/>
          <w:lang w:val="en-US"/>
        </w:rPr>
        <w:t>mTOR</w:t>
      </w:r>
      <w:proofErr w:type="spellEnd"/>
      <w:r w:rsidRPr="00EF2809">
        <w:rPr>
          <w:rFonts w:eastAsia="Times New Roman" w:cs="Arial"/>
          <w:color w:val="000000"/>
          <w:lang w:val="ru-RU"/>
        </w:rPr>
        <w:t xml:space="preserve"> </w:t>
      </w:r>
      <w:r w:rsidRPr="00EF2809">
        <w:rPr>
          <w:rFonts w:eastAsia="Times New Roman" w:cs="Arial"/>
          <w:color w:val="000000"/>
          <w:lang w:eastAsia="bg-BG"/>
        </w:rPr>
        <w:t>инхибитори (напр. сиролимус, еверолимус, темсиролимус) и вилдаглиптин може да доведе до повишен риск от ангиоедем (вж. точка 4.4).</w:t>
      </w:r>
    </w:p>
    <w:p w14:paraId="742A2AB9" w14:textId="77777777" w:rsidR="00EF2809" w:rsidRPr="00EF2809" w:rsidRDefault="00EF2809" w:rsidP="00EF2809">
      <w:pPr>
        <w:spacing w:line="240" w:lineRule="auto"/>
        <w:rPr>
          <w:rFonts w:eastAsia="Times New Roman" w:cs="Arial"/>
          <w:b/>
          <w:bCs/>
          <w:color w:val="000000"/>
          <w:lang w:eastAsia="bg-BG"/>
        </w:rPr>
      </w:pPr>
    </w:p>
    <w:p w14:paraId="5049C424" w14:textId="42F961CF"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Литий</w:t>
      </w:r>
    </w:p>
    <w:p w14:paraId="38F67DB5"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При едновременно приложение на литий и АСЕ-инхибитори са съобщени обратимо повишаване на серумните концентрации на литий и токсичност. Диуретиците и АСЕ- инхибиторите намаляват бъбречния клирънс на лития и представляват висок риск от литиева токсичност. Затова комбинацията от лизиноприл и хидрохлоротиазид с литий не се препоръчва и трябва да се извърши внимателно проследяване на серумните нива на лития, ако комбинацията се окаже необходима (виж точка 4.4).</w:t>
      </w:r>
    </w:p>
    <w:p w14:paraId="34AF4511" w14:textId="77777777" w:rsidR="00EF2809" w:rsidRPr="00EF2809" w:rsidRDefault="00EF2809" w:rsidP="00EF2809">
      <w:pPr>
        <w:spacing w:line="240" w:lineRule="auto"/>
        <w:rPr>
          <w:rFonts w:eastAsia="Times New Roman" w:cs="Arial"/>
          <w:b/>
          <w:bCs/>
          <w:color w:val="000000"/>
          <w:lang w:eastAsia="bg-BG"/>
        </w:rPr>
      </w:pPr>
    </w:p>
    <w:p w14:paraId="6341606B" w14:textId="6479EE13"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Калий-съхраняващи диуретици, хранителни добавки, съдържащи калий или калий- съдържащи заместители на солта</w:t>
      </w:r>
    </w:p>
    <w:p w14:paraId="5E1CD6A4"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Въпреки че серумният калий обикновено остава в рамките на нормалните граници, при някои пациенти, лекувани с лизиноприл/хидрохлоротиазид, може да възникне хиперкалиемия. Калий-губещият ефект на тиазидните диуретици се намалява от калий- съхраняващия ефект на лизиноприл. Употребата на калий-съхраняващи диуретици (напр. спиронолактон, триамтерен или амилорид), хранителни добавки, съдържащи калий или калий-съдържащи заместители на солта, особено при пациенти с нарушена бъбречна функция или захарен диабет, може да доведе до значително повишение на серумния калий. Поради това не се препоръчва комбинирането на лизиноприл/хидрохлоротиазид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 (вж. точка 4.4).</w:t>
      </w:r>
    </w:p>
    <w:p w14:paraId="6E378F1B" w14:textId="77777777" w:rsidR="00EF2809" w:rsidRPr="00EF2809" w:rsidRDefault="00EF2809" w:rsidP="00EF2809">
      <w:pPr>
        <w:spacing w:line="240" w:lineRule="auto"/>
        <w:rPr>
          <w:rFonts w:eastAsia="Times New Roman" w:cs="Arial"/>
          <w:b/>
          <w:bCs/>
          <w:color w:val="000000"/>
          <w:lang w:eastAsia="bg-BG"/>
        </w:rPr>
      </w:pPr>
    </w:p>
    <w:p w14:paraId="13632F64" w14:textId="71ABFDE1" w:rsidR="00EF2809" w:rsidRPr="00EF2809" w:rsidRDefault="00EF2809" w:rsidP="00EF2809">
      <w:pPr>
        <w:spacing w:line="240" w:lineRule="auto"/>
        <w:rPr>
          <w:rFonts w:eastAsia="Times New Roman" w:cs="Arial"/>
          <w:b/>
          <w:bCs/>
          <w:color w:val="000000"/>
          <w:lang w:eastAsia="bg-BG"/>
        </w:rPr>
      </w:pPr>
      <w:r w:rsidRPr="00EF2809">
        <w:rPr>
          <w:rFonts w:eastAsia="Times New Roman" w:cs="Arial"/>
          <w:b/>
          <w:bCs/>
          <w:color w:val="000000"/>
          <w:lang w:eastAsia="bg-BG"/>
        </w:rPr>
        <w:t>Циклоспорин</w:t>
      </w:r>
    </w:p>
    <w:p w14:paraId="3E06F37A" w14:textId="2CF70572" w:rsidR="00EF2809" w:rsidRPr="00EF2809" w:rsidRDefault="00EF2809" w:rsidP="00EF2809">
      <w:pPr>
        <w:rPr>
          <w:rFonts w:eastAsia="Times New Roman" w:cs="Arial"/>
          <w:color w:val="000000"/>
          <w:lang w:eastAsia="bg-BG"/>
        </w:rPr>
      </w:pPr>
      <w:r w:rsidRPr="00EF2809">
        <w:rPr>
          <w:rFonts w:eastAsia="Times New Roman" w:cs="Arial"/>
          <w:color w:val="000000"/>
          <w:lang w:eastAsia="bg-BG"/>
        </w:rPr>
        <w:t>При съпътстваща употреба на АСЕ инхибитори с циклоспорин може да възникнехиперкалиемия. Препоръчва се проследяване на серумния калий. Едновременната</w:t>
      </w:r>
      <w:r w:rsidRPr="00EF2809">
        <w:rPr>
          <w:rFonts w:eastAsia="Times New Roman" w:cs="Arial"/>
          <w:color w:val="000000"/>
          <w:u w:val="single"/>
          <w:lang w:eastAsia="bg-BG"/>
        </w:rPr>
        <w:t xml:space="preserve"> </w:t>
      </w:r>
      <w:r w:rsidRPr="00EF2809">
        <w:rPr>
          <w:rFonts w:eastAsia="Times New Roman" w:cs="Arial"/>
          <w:color w:val="000000"/>
          <w:lang w:eastAsia="bg-BG"/>
        </w:rPr>
        <w:t>употреба на АСЕ - инхибитори с циклоспорин повишава риска от бъбречни увреждания.</w:t>
      </w:r>
    </w:p>
    <w:p w14:paraId="1B98BF48" w14:textId="4DEEF0F7" w:rsidR="00EF2809" w:rsidRPr="00EF2809" w:rsidRDefault="00EF2809" w:rsidP="00EF2809">
      <w:pPr>
        <w:rPr>
          <w:rFonts w:eastAsia="Times New Roman" w:cs="Arial"/>
          <w:color w:val="000000"/>
          <w:lang w:eastAsia="bg-BG"/>
        </w:rPr>
      </w:pPr>
    </w:p>
    <w:p w14:paraId="150A3790" w14:textId="77777777"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Хепарнн</w:t>
      </w:r>
    </w:p>
    <w:p w14:paraId="440252AC"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lastRenderedPageBreak/>
        <w:t>При съпътстваща употреба на АСЕ инхибитори с хепарин може да възникне хиперкалиемия. Препоръчва се проследяване на серумния калий.</w:t>
      </w:r>
    </w:p>
    <w:p w14:paraId="45560697" w14:textId="77777777" w:rsidR="00EF2809" w:rsidRPr="00EF2809" w:rsidRDefault="00EF2809" w:rsidP="00EF2809">
      <w:pPr>
        <w:spacing w:line="240" w:lineRule="auto"/>
        <w:rPr>
          <w:rFonts w:eastAsia="Times New Roman" w:cs="Arial"/>
          <w:b/>
          <w:bCs/>
          <w:color w:val="000000"/>
          <w:lang w:eastAsia="bg-BG"/>
        </w:rPr>
      </w:pPr>
    </w:p>
    <w:p w14:paraId="282A75A4" w14:textId="16549147"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 xml:space="preserve">Лекарствени продукти, индуциращи </w:t>
      </w:r>
      <w:proofErr w:type="spellStart"/>
      <w:r w:rsidRPr="00EF2809">
        <w:rPr>
          <w:rFonts w:eastAsia="Times New Roman" w:cs="Arial"/>
          <w:b/>
          <w:bCs/>
          <w:color w:val="000000"/>
          <w:lang w:val="en-US"/>
        </w:rPr>
        <w:t>torsades</w:t>
      </w:r>
      <w:proofErr w:type="spellEnd"/>
      <w:r w:rsidRPr="00EF2809">
        <w:rPr>
          <w:rFonts w:eastAsia="Times New Roman" w:cs="Arial"/>
          <w:b/>
          <w:bCs/>
          <w:color w:val="000000"/>
          <w:lang w:val="ru-RU"/>
        </w:rPr>
        <w:t xml:space="preserve"> </w:t>
      </w:r>
      <w:r w:rsidRPr="00EF2809">
        <w:rPr>
          <w:rFonts w:eastAsia="Times New Roman" w:cs="Arial"/>
          <w:b/>
          <w:bCs/>
          <w:color w:val="000000"/>
          <w:lang w:val="en-US"/>
        </w:rPr>
        <w:t>de</w:t>
      </w:r>
      <w:r w:rsidRPr="00EF2809">
        <w:rPr>
          <w:rFonts w:eastAsia="Times New Roman" w:cs="Arial"/>
          <w:b/>
          <w:bCs/>
          <w:color w:val="000000"/>
          <w:lang w:val="ru-RU"/>
        </w:rPr>
        <w:t xml:space="preserve"> </w:t>
      </w:r>
      <w:r w:rsidRPr="00EF2809">
        <w:rPr>
          <w:rFonts w:eastAsia="Times New Roman" w:cs="Arial"/>
          <w:b/>
          <w:bCs/>
          <w:color w:val="000000"/>
          <w:lang w:val="en-US"/>
        </w:rPr>
        <w:t>pointes</w:t>
      </w:r>
    </w:p>
    <w:p w14:paraId="7FEFD04B"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 xml:space="preserve">Поради риска от хипокалиемия, едновременното приложение на хидрохлортиазид и лекарствени продукти, които индуцират </w:t>
      </w:r>
      <w:proofErr w:type="spellStart"/>
      <w:r w:rsidRPr="00EF2809">
        <w:rPr>
          <w:rFonts w:eastAsia="Times New Roman" w:cs="Arial"/>
          <w:color w:val="000000"/>
          <w:lang w:val="en-US"/>
        </w:rPr>
        <w:t>torsades</w:t>
      </w:r>
      <w:proofErr w:type="spellEnd"/>
      <w:r w:rsidRPr="00EF2809">
        <w:rPr>
          <w:rFonts w:eastAsia="Times New Roman" w:cs="Arial"/>
          <w:color w:val="000000"/>
          <w:lang w:val="ru-RU"/>
        </w:rPr>
        <w:t xml:space="preserve"> </w:t>
      </w:r>
      <w:r w:rsidRPr="00EF2809">
        <w:rPr>
          <w:rFonts w:eastAsia="Times New Roman" w:cs="Arial"/>
          <w:color w:val="000000"/>
          <w:lang w:val="en-US"/>
        </w:rPr>
        <w:t>de</w:t>
      </w:r>
      <w:r w:rsidRPr="00EF2809">
        <w:rPr>
          <w:rFonts w:eastAsia="Times New Roman" w:cs="Arial"/>
          <w:color w:val="000000"/>
          <w:lang w:val="ru-RU"/>
        </w:rPr>
        <w:t xml:space="preserve"> </w:t>
      </w:r>
      <w:r w:rsidRPr="00EF2809">
        <w:rPr>
          <w:rFonts w:eastAsia="Times New Roman" w:cs="Arial"/>
          <w:color w:val="000000"/>
          <w:lang w:val="en-US"/>
        </w:rPr>
        <w:t>pointes</w:t>
      </w:r>
      <w:r w:rsidRPr="00EF2809">
        <w:rPr>
          <w:rFonts w:eastAsia="Times New Roman" w:cs="Arial"/>
          <w:color w:val="000000"/>
          <w:lang w:val="ru-RU"/>
        </w:rPr>
        <w:t xml:space="preserve">, </w:t>
      </w:r>
      <w:r w:rsidRPr="00EF2809">
        <w:rPr>
          <w:rFonts w:eastAsia="Times New Roman" w:cs="Arial"/>
          <w:color w:val="000000"/>
          <w:lang w:eastAsia="bg-BG"/>
        </w:rPr>
        <w:t xml:space="preserve">напр. някои антиаритмитични средства, някои антипсихотици и други лекарства, за които е известно, че индуцират </w:t>
      </w:r>
      <w:proofErr w:type="spellStart"/>
      <w:r w:rsidRPr="00EF2809">
        <w:rPr>
          <w:rFonts w:eastAsia="Times New Roman" w:cs="Arial"/>
          <w:color w:val="000000"/>
          <w:lang w:val="en-US"/>
        </w:rPr>
        <w:t>torsades</w:t>
      </w:r>
      <w:proofErr w:type="spellEnd"/>
      <w:r w:rsidRPr="00EF2809">
        <w:rPr>
          <w:rFonts w:eastAsia="Times New Roman" w:cs="Arial"/>
          <w:color w:val="000000"/>
          <w:lang w:val="ru-RU"/>
        </w:rPr>
        <w:t xml:space="preserve"> </w:t>
      </w:r>
      <w:r w:rsidRPr="00EF2809">
        <w:rPr>
          <w:rFonts w:eastAsia="Times New Roman" w:cs="Arial"/>
          <w:color w:val="000000"/>
          <w:lang w:val="en-US"/>
        </w:rPr>
        <w:t>de</w:t>
      </w:r>
      <w:r w:rsidRPr="00EF2809">
        <w:rPr>
          <w:rFonts w:eastAsia="Times New Roman" w:cs="Arial"/>
          <w:color w:val="000000"/>
          <w:lang w:val="ru-RU"/>
        </w:rPr>
        <w:t xml:space="preserve"> </w:t>
      </w:r>
      <w:r w:rsidRPr="00EF2809">
        <w:rPr>
          <w:rFonts w:eastAsia="Times New Roman" w:cs="Arial"/>
          <w:color w:val="000000"/>
          <w:lang w:val="en-US"/>
        </w:rPr>
        <w:t>pointes</w:t>
      </w:r>
      <w:r w:rsidRPr="00EF2809">
        <w:rPr>
          <w:rFonts w:eastAsia="Times New Roman" w:cs="Arial"/>
          <w:color w:val="000000"/>
          <w:lang w:val="ru-RU"/>
        </w:rPr>
        <w:t xml:space="preserve">, </w:t>
      </w:r>
      <w:r w:rsidRPr="00EF2809">
        <w:rPr>
          <w:rFonts w:eastAsia="Times New Roman" w:cs="Arial"/>
          <w:color w:val="000000"/>
          <w:lang w:eastAsia="bg-BG"/>
        </w:rPr>
        <w:t>трябва да се използва с повишено внимание.</w:t>
      </w:r>
    </w:p>
    <w:p w14:paraId="2A86AAA9" w14:textId="77777777" w:rsidR="00EF2809" w:rsidRPr="00EF2809" w:rsidRDefault="00EF2809" w:rsidP="00EF2809">
      <w:pPr>
        <w:spacing w:line="240" w:lineRule="auto"/>
        <w:rPr>
          <w:rFonts w:eastAsia="Times New Roman" w:cs="Arial"/>
          <w:b/>
          <w:bCs/>
          <w:color w:val="000000"/>
          <w:lang w:eastAsia="bg-BG"/>
        </w:rPr>
      </w:pPr>
    </w:p>
    <w:p w14:paraId="2E16C489" w14:textId="1047B8BB"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Трициклични антидепресанти/антипсихотици/анестетици</w:t>
      </w:r>
    </w:p>
    <w:p w14:paraId="3A7E75D7"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Едновременната употреба на някои анестетици, трициклични антидепресанти и антипсихотици с АСЕ-инхибитори може да доведе до допълнително понижаване на кръвното налягане (вж. точка 4.4).</w:t>
      </w:r>
    </w:p>
    <w:p w14:paraId="47DFA278" w14:textId="77777777" w:rsidR="00EF2809" w:rsidRPr="00EF2809" w:rsidRDefault="00EF2809" w:rsidP="00EF2809">
      <w:pPr>
        <w:spacing w:line="240" w:lineRule="auto"/>
        <w:rPr>
          <w:rFonts w:eastAsia="Times New Roman" w:cs="Arial"/>
          <w:b/>
          <w:bCs/>
          <w:color w:val="000000"/>
          <w:lang w:eastAsia="bg-BG"/>
        </w:rPr>
      </w:pPr>
    </w:p>
    <w:p w14:paraId="207B8A2E" w14:textId="0B4DEF3D"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Нестероидни противовъзпалителни / антиревматнчни лекарства (НСПВС)</w:t>
      </w:r>
    </w:p>
    <w:p w14:paraId="3E70CEB8"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Хроничното приложение на НСПВС (селективни СОХ-2 инхибитори, ацетилсалицилова киселина &gt; 3</w:t>
      </w:r>
      <w:r w:rsidRPr="00EF2809">
        <w:rPr>
          <w:rFonts w:eastAsia="Times New Roman" w:cs="Arial"/>
          <w:color w:val="000000"/>
          <w:lang w:val="en-US"/>
        </w:rPr>
        <w:t>g</w:t>
      </w:r>
      <w:r w:rsidRPr="00EF2809">
        <w:rPr>
          <w:rFonts w:eastAsia="Times New Roman" w:cs="Arial"/>
          <w:color w:val="000000"/>
          <w:lang w:eastAsia="bg-BG"/>
        </w:rPr>
        <w:t xml:space="preserve">/ден и неселективни НСПВС) може да намали антихипертензивния и диуретичен ефект </w:t>
      </w:r>
      <w:r w:rsidRPr="00EF2809">
        <w:rPr>
          <w:rFonts w:eastAsia="Times New Roman" w:cs="Arial"/>
          <w:i/>
          <w:iCs/>
          <w:color w:val="000000"/>
          <w:lang w:eastAsia="bg-BG"/>
        </w:rPr>
        <w:t>на</w:t>
      </w:r>
      <w:r w:rsidRPr="00EF2809">
        <w:rPr>
          <w:rFonts w:eastAsia="Times New Roman" w:cs="Arial"/>
          <w:color w:val="000000"/>
          <w:lang w:eastAsia="bg-BG"/>
        </w:rPr>
        <w:t xml:space="preserve"> АСЕ-инхибиторите и тиазидните диуретици. НСПВС и АСЕ- инхибиторите упражняват адитивен ефект върху повишаване на серумния калий и могат да доведат до влошаване на бъбречната функция. Този ефект обикновено е обратим. Рядко може да възникне остра бъбречна недостатъчност, особено при пациенти с нарушена бъбречна функция, като такива в старческа възраст или с дехидратирани.</w:t>
      </w:r>
    </w:p>
    <w:p w14:paraId="700DC7C5" w14:textId="77777777" w:rsidR="00EF2809" w:rsidRPr="00EF2809" w:rsidRDefault="00EF2809" w:rsidP="00EF2809">
      <w:pPr>
        <w:spacing w:line="240" w:lineRule="auto"/>
        <w:rPr>
          <w:rFonts w:eastAsia="Times New Roman" w:cs="Arial"/>
          <w:b/>
          <w:bCs/>
          <w:color w:val="000000"/>
          <w:lang w:eastAsia="bg-BG"/>
        </w:rPr>
      </w:pPr>
    </w:p>
    <w:p w14:paraId="08B731AE" w14:textId="6968AEFB"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Злато</w:t>
      </w:r>
    </w:p>
    <w:p w14:paraId="76F9829A"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Нитроидни реакции (симптоми на вазодилатация, включително зачервяване, гадене, замайване и хипотония, която може да бъде много тежка) след инжектиране на злато (например, натриев ауротиомалат) са съобщавани по-често при пациенти, получаващи лечение с АСЕ-инхибитор.</w:t>
      </w:r>
    </w:p>
    <w:p w14:paraId="66FA7FA0" w14:textId="77777777" w:rsidR="00EF2809" w:rsidRPr="00EF2809" w:rsidRDefault="00EF2809" w:rsidP="00EF2809">
      <w:pPr>
        <w:spacing w:line="240" w:lineRule="auto"/>
        <w:rPr>
          <w:rFonts w:eastAsia="Times New Roman" w:cs="Arial"/>
          <w:b/>
          <w:bCs/>
          <w:color w:val="000000"/>
          <w:lang w:eastAsia="bg-BG"/>
        </w:rPr>
      </w:pPr>
      <w:bookmarkStart w:id="6" w:name="bookmark10"/>
    </w:p>
    <w:p w14:paraId="5D143618" w14:textId="5BB5C2AE"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Симпатикомиметици</w:t>
      </w:r>
      <w:bookmarkEnd w:id="6"/>
    </w:p>
    <w:p w14:paraId="6B6C2323"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Симпатикомиметиците могат да намалят антихипертензивния ефект на АСЕ- инхибиторите.</w:t>
      </w:r>
    </w:p>
    <w:p w14:paraId="7C6EBB37" w14:textId="77777777" w:rsidR="00EF2809" w:rsidRPr="00EF2809" w:rsidRDefault="00EF2809" w:rsidP="00EF2809">
      <w:pPr>
        <w:spacing w:line="240" w:lineRule="auto"/>
        <w:rPr>
          <w:rFonts w:eastAsia="Times New Roman" w:cs="Arial"/>
          <w:b/>
          <w:bCs/>
          <w:color w:val="000000"/>
          <w:lang w:eastAsia="bg-BG"/>
        </w:rPr>
      </w:pPr>
      <w:bookmarkStart w:id="7" w:name="bookmark12"/>
    </w:p>
    <w:p w14:paraId="2E8CEF8D" w14:textId="32FF04FA"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Други антихипертензивни средства</w:t>
      </w:r>
      <w:bookmarkEnd w:id="7"/>
    </w:p>
    <w:p w14:paraId="6FCEB52F"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Едновременната употреба на тези средства може да увеличи хипотензивните ефекти на лизиноприл/хидрохлоротиазид. Едновременната употреба с глицерил тринитрат и други нитрати или други вазодилататори може допълнително да понижи кръвното налягане.</w:t>
      </w:r>
    </w:p>
    <w:p w14:paraId="106C9C58" w14:textId="77777777" w:rsidR="00EF2809" w:rsidRPr="00EF2809" w:rsidRDefault="00EF2809" w:rsidP="00EF2809">
      <w:pPr>
        <w:spacing w:line="240" w:lineRule="auto"/>
        <w:rPr>
          <w:rFonts w:eastAsia="Times New Roman" w:cs="Arial"/>
          <w:b/>
          <w:bCs/>
          <w:color w:val="000000"/>
          <w:lang w:eastAsia="bg-BG"/>
        </w:rPr>
      </w:pPr>
      <w:bookmarkStart w:id="8" w:name="bookmark14"/>
    </w:p>
    <w:p w14:paraId="6809B86B" w14:textId="3F11295D"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Антидиабетни средства</w:t>
      </w:r>
      <w:bookmarkEnd w:id="8"/>
    </w:p>
    <w:p w14:paraId="57F4D3E3"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Епидемиологични проучвания показват, че едновременното приложение на АСЕ- инхибитори и антидиабетни лекарствени продукти (инсулин, перорални хипогликемични средства) може да предизвика понижаване на кръвната захар с риск от хипогликемия. Този феномен е по-вероятно да настъпи през първите седмици на комбинираното лечение и при пациенти с бъбречно увреждане.</w:t>
      </w:r>
    </w:p>
    <w:p w14:paraId="629F1C54" w14:textId="31B6A15B" w:rsidR="00EF2809" w:rsidRPr="00EF2809" w:rsidRDefault="00EF2809" w:rsidP="00EF2809">
      <w:pPr>
        <w:rPr>
          <w:rFonts w:eastAsia="Times New Roman" w:cs="Arial"/>
          <w:color w:val="000000"/>
          <w:lang w:eastAsia="bg-BG"/>
        </w:rPr>
      </w:pPr>
      <w:r w:rsidRPr="00EF2809">
        <w:rPr>
          <w:rFonts w:eastAsia="Times New Roman" w:cs="Arial"/>
          <w:color w:val="000000"/>
          <w:lang w:eastAsia="bg-BG"/>
        </w:rPr>
        <w:t>Дългосрочни контролирани клинични проучвания с лизиноприл не са потвърдил</w:t>
      </w:r>
      <w:r w:rsidRPr="00EF2809">
        <w:rPr>
          <w:rFonts w:eastAsia="Times New Roman" w:cs="Arial"/>
          <w:color w:val="000000"/>
          <w:u w:val="single"/>
          <w:lang w:eastAsia="bg-BG"/>
        </w:rPr>
        <w:t xml:space="preserve">и тези </w:t>
      </w:r>
      <w:r w:rsidRPr="00EF2809">
        <w:rPr>
          <w:rFonts w:eastAsia="Times New Roman" w:cs="Arial"/>
          <w:color w:val="000000"/>
          <w:lang w:eastAsia="bg-BG"/>
        </w:rPr>
        <w:t>изводи и не изключват употребата на лизиноприл при пациенти с диабет. Препоръчително е обаче, тези пациенти да бъдат наблюдавани (Виж по-долу за информация относно антидиабетни лекарства и тиазидни диуретици).</w:t>
      </w:r>
    </w:p>
    <w:p w14:paraId="4658DB2D" w14:textId="59DD3340" w:rsidR="00EF2809" w:rsidRPr="00EF2809" w:rsidRDefault="00EF2809" w:rsidP="00EF2809">
      <w:pPr>
        <w:rPr>
          <w:rFonts w:eastAsia="Times New Roman" w:cs="Arial"/>
          <w:color w:val="000000"/>
          <w:lang w:eastAsia="bg-BG"/>
        </w:rPr>
      </w:pPr>
    </w:p>
    <w:p w14:paraId="33C4EE8F" w14:textId="77777777"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lastRenderedPageBreak/>
        <w:t>Амфотерицин Б (парентерално), карбеноксолон, кортикостероиди, кортикотропин (АСТН) или стимулиращи лаксативи</w:t>
      </w:r>
    </w:p>
    <w:p w14:paraId="2500BC84"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Хидрохлортиазид може да засили електролитния дисбаланс, особено хипокалиемия.</w:t>
      </w:r>
    </w:p>
    <w:p w14:paraId="7CACF788" w14:textId="77777777" w:rsidR="00EF2809" w:rsidRPr="00EF2809" w:rsidRDefault="00EF2809" w:rsidP="00EF2809">
      <w:pPr>
        <w:spacing w:line="240" w:lineRule="auto"/>
        <w:rPr>
          <w:rFonts w:eastAsia="Times New Roman" w:cs="Arial"/>
          <w:b/>
          <w:bCs/>
          <w:color w:val="000000"/>
          <w:lang w:eastAsia="bg-BG"/>
        </w:rPr>
      </w:pPr>
    </w:p>
    <w:p w14:paraId="284CE241" w14:textId="60FD9E40"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Калциеви соли</w:t>
      </w:r>
    </w:p>
    <w:p w14:paraId="2890AA56"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Серумни нива на калций поради намалена екскреция могат да се повишат, когато се прилага едновременно с тиазидни диуретици.</w:t>
      </w:r>
    </w:p>
    <w:p w14:paraId="469783AA" w14:textId="77777777" w:rsidR="00EF2809" w:rsidRPr="00EF2809" w:rsidRDefault="00EF2809" w:rsidP="00EF2809">
      <w:pPr>
        <w:spacing w:line="240" w:lineRule="auto"/>
        <w:rPr>
          <w:rFonts w:eastAsia="Times New Roman" w:cs="Arial"/>
          <w:b/>
          <w:bCs/>
          <w:color w:val="000000"/>
          <w:lang w:eastAsia="bg-BG"/>
        </w:rPr>
      </w:pPr>
    </w:p>
    <w:p w14:paraId="50E36D19" w14:textId="12A10708"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Сърдечни гликозиди</w:t>
      </w:r>
    </w:p>
    <w:p w14:paraId="3FDD3957"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Налице е повишен риск от дигиталисова токсичност, свързана с тиазид индуцирана хипокалиемия.</w:t>
      </w:r>
    </w:p>
    <w:p w14:paraId="2EACDA24" w14:textId="77777777" w:rsidR="00EF2809" w:rsidRPr="00EF2809" w:rsidRDefault="00EF2809" w:rsidP="00EF2809">
      <w:pPr>
        <w:spacing w:line="240" w:lineRule="auto"/>
        <w:rPr>
          <w:rFonts w:eastAsia="Times New Roman" w:cs="Arial"/>
          <w:b/>
          <w:bCs/>
          <w:color w:val="000000"/>
          <w:lang w:eastAsia="bg-BG"/>
        </w:rPr>
      </w:pPr>
    </w:p>
    <w:p w14:paraId="24ED8F9B" w14:textId="3DA2EEB8"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 xml:space="preserve">Холестирамин и </w:t>
      </w:r>
      <w:r w:rsidRPr="00EF2809">
        <w:rPr>
          <w:rFonts w:eastAsia="Times New Roman" w:cs="Arial"/>
          <w:b/>
          <w:bCs/>
          <w:i/>
          <w:iCs/>
          <w:color w:val="000000"/>
          <w:lang w:eastAsia="bg-BG"/>
        </w:rPr>
        <w:t>колестнпол</w:t>
      </w:r>
    </w:p>
    <w:p w14:paraId="48AAEE59"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Те могат да забавят или да намалят абсорбцията на хидрохлоротиазид. Затова сулфонамидните диуретици трябва да се вземат най-малко 1 час преди или 4-6 часа след приема на тези средства.</w:t>
      </w:r>
    </w:p>
    <w:p w14:paraId="0F2393BE" w14:textId="77777777" w:rsidR="00EF2809" w:rsidRPr="00EF2809" w:rsidRDefault="00EF2809" w:rsidP="00EF2809">
      <w:pPr>
        <w:spacing w:line="240" w:lineRule="auto"/>
        <w:rPr>
          <w:rFonts w:eastAsia="Times New Roman" w:cs="Arial"/>
          <w:b/>
          <w:bCs/>
          <w:color w:val="000000"/>
          <w:lang w:eastAsia="bg-BG"/>
        </w:rPr>
      </w:pPr>
    </w:p>
    <w:p w14:paraId="60869948" w14:textId="383973FD"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Недеполяризиращи мускулни релаксанти (напр. тубокурарин хлорид)</w:t>
      </w:r>
    </w:p>
    <w:p w14:paraId="26B34DE7"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Ефектът на тези средства може да се потенциира от хидрохлоротиазид.</w:t>
      </w:r>
    </w:p>
    <w:p w14:paraId="6C6DE080" w14:textId="77777777" w:rsidR="00EF2809" w:rsidRPr="00EF2809" w:rsidRDefault="00EF2809" w:rsidP="00EF2809">
      <w:pPr>
        <w:spacing w:line="240" w:lineRule="auto"/>
        <w:rPr>
          <w:rFonts w:eastAsia="Times New Roman" w:cs="Arial"/>
          <w:b/>
          <w:bCs/>
          <w:color w:val="000000"/>
          <w:lang w:eastAsia="bg-BG"/>
        </w:rPr>
      </w:pPr>
    </w:p>
    <w:p w14:paraId="47C05C3A" w14:textId="62E7A9E7"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Соталол</w:t>
      </w:r>
    </w:p>
    <w:p w14:paraId="399EF796"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Тиазид индуцирана хипокалиемия може да повиши риска от соталол индуцирана аритмия.</w:t>
      </w:r>
    </w:p>
    <w:p w14:paraId="1C90C9BB" w14:textId="77777777" w:rsidR="00EF2809" w:rsidRPr="00EF2809" w:rsidRDefault="00EF2809" w:rsidP="00EF2809">
      <w:pPr>
        <w:spacing w:line="240" w:lineRule="auto"/>
        <w:rPr>
          <w:rFonts w:eastAsia="Times New Roman" w:cs="Arial"/>
          <w:b/>
          <w:bCs/>
          <w:color w:val="000000"/>
          <w:lang w:eastAsia="bg-BG"/>
        </w:rPr>
      </w:pPr>
    </w:p>
    <w:p w14:paraId="228CF928" w14:textId="4E4A89AE"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Алопуринол</w:t>
      </w:r>
    </w:p>
    <w:p w14:paraId="153F27D6"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Едновременното приложение на АСЕ-инхибитори и алопуринол увеличава риска от бъбречно увреждане и може да доведе до повишен риск от левкопения.</w:t>
      </w:r>
    </w:p>
    <w:p w14:paraId="3069575E" w14:textId="77777777" w:rsidR="00EF2809" w:rsidRPr="00EF2809" w:rsidRDefault="00EF2809" w:rsidP="00EF2809">
      <w:pPr>
        <w:spacing w:line="240" w:lineRule="auto"/>
        <w:rPr>
          <w:rFonts w:eastAsia="Times New Roman" w:cs="Arial"/>
          <w:b/>
          <w:bCs/>
          <w:color w:val="000000"/>
          <w:lang w:eastAsia="bg-BG"/>
        </w:rPr>
      </w:pPr>
    </w:p>
    <w:p w14:paraId="32E7E7FA" w14:textId="58C59EC9"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Ловастатнн</w:t>
      </w:r>
    </w:p>
    <w:p w14:paraId="05BB343F" w14:textId="5F04DE00" w:rsidR="00EF2809" w:rsidRPr="00EF2809" w:rsidRDefault="00EF2809" w:rsidP="00EF2809">
      <w:pPr>
        <w:spacing w:line="240" w:lineRule="auto"/>
        <w:rPr>
          <w:rFonts w:eastAsia="Times New Roman" w:cs="Arial"/>
        </w:rPr>
      </w:pPr>
      <w:r w:rsidRPr="00EF2809">
        <w:rPr>
          <w:rFonts w:eastAsia="Times New Roman" w:cs="Arial"/>
          <w:color w:val="000000"/>
          <w:lang w:eastAsia="bg-BG"/>
        </w:rPr>
        <w:t>Едновременното приложение на АСЕ-инхибитори и ловастатин увеличава риска от хиперкалиемия.</w:t>
      </w:r>
    </w:p>
    <w:p w14:paraId="223B168B" w14:textId="77777777" w:rsidR="00EF2809" w:rsidRPr="00EF2809" w:rsidRDefault="00EF2809" w:rsidP="00EF2809">
      <w:pPr>
        <w:spacing w:line="240" w:lineRule="auto"/>
        <w:rPr>
          <w:rFonts w:eastAsia="Times New Roman" w:cs="Arial"/>
          <w:b/>
          <w:bCs/>
          <w:color w:val="000000"/>
          <w:lang w:eastAsia="bg-BG"/>
        </w:rPr>
      </w:pPr>
      <w:bookmarkStart w:id="9" w:name="bookmark16"/>
    </w:p>
    <w:p w14:paraId="79D000DE" w14:textId="54497C86"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Цитостатици, имуносупресори, прокаинамид</w:t>
      </w:r>
      <w:bookmarkEnd w:id="9"/>
    </w:p>
    <w:p w14:paraId="3BBE3664"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Едновременното приложение на АСЕ-инхибитори може да доведе до повишен риск от левкопения (вж. точка 4.4).</w:t>
      </w:r>
    </w:p>
    <w:p w14:paraId="5E312368" w14:textId="77777777" w:rsidR="00EF2809" w:rsidRPr="00EF2809" w:rsidRDefault="00EF2809" w:rsidP="00EF2809">
      <w:pPr>
        <w:spacing w:line="240" w:lineRule="auto"/>
        <w:rPr>
          <w:rFonts w:eastAsia="Times New Roman" w:cs="Arial"/>
          <w:b/>
          <w:bCs/>
          <w:color w:val="000000"/>
          <w:lang w:eastAsia="bg-BG"/>
        </w:rPr>
      </w:pPr>
      <w:bookmarkStart w:id="10" w:name="bookmark18"/>
    </w:p>
    <w:p w14:paraId="0B3969FB" w14:textId="4FDCA19F"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Алкохол</w:t>
      </w:r>
      <w:bookmarkEnd w:id="10"/>
    </w:p>
    <w:p w14:paraId="34A378E2"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Алкохолът може да засили хипотензивния ефект на всички антихипертензиви.</w:t>
      </w:r>
    </w:p>
    <w:p w14:paraId="0760FC4A" w14:textId="77777777" w:rsidR="00EF2809" w:rsidRPr="00EF2809" w:rsidRDefault="00EF2809" w:rsidP="00EF2809">
      <w:pPr>
        <w:spacing w:line="240" w:lineRule="auto"/>
        <w:rPr>
          <w:rFonts w:eastAsia="Times New Roman" w:cs="Arial"/>
          <w:b/>
          <w:bCs/>
          <w:color w:val="000000"/>
          <w:lang w:eastAsia="bg-BG"/>
        </w:rPr>
      </w:pPr>
      <w:bookmarkStart w:id="11" w:name="bookmark20"/>
    </w:p>
    <w:p w14:paraId="7E614080" w14:textId="1E283409"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Антациди</w:t>
      </w:r>
      <w:bookmarkEnd w:id="11"/>
    </w:p>
    <w:p w14:paraId="73F47CDC"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Предизвикват намаляване на бионаличността на АСЕ инхибиторите.</w:t>
      </w:r>
    </w:p>
    <w:p w14:paraId="628B4900" w14:textId="77777777" w:rsidR="00EF2809" w:rsidRPr="00EF2809" w:rsidRDefault="00EF2809" w:rsidP="00EF2809">
      <w:pPr>
        <w:spacing w:line="240" w:lineRule="auto"/>
        <w:rPr>
          <w:rFonts w:eastAsia="Times New Roman" w:cs="Arial"/>
          <w:b/>
          <w:bCs/>
          <w:color w:val="000000"/>
          <w:lang w:eastAsia="bg-BG"/>
        </w:rPr>
      </w:pPr>
      <w:bookmarkStart w:id="12" w:name="bookmark22"/>
    </w:p>
    <w:p w14:paraId="056708A0" w14:textId="2EBB4D25"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Пресорни амини (напр. епинефрин (адреналин))</w:t>
      </w:r>
      <w:bookmarkEnd w:id="12"/>
    </w:p>
    <w:p w14:paraId="5CC2899C"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Едновременното приложение може да доведе до понижен отговор към пресорните амини, но не достатъчно, за да се изключи използването им.</w:t>
      </w:r>
    </w:p>
    <w:p w14:paraId="03774276" w14:textId="77777777" w:rsidR="00EF2809" w:rsidRPr="00EF2809" w:rsidRDefault="00EF2809" w:rsidP="00EF2809">
      <w:pPr>
        <w:spacing w:line="240" w:lineRule="auto"/>
        <w:rPr>
          <w:rFonts w:eastAsia="Times New Roman" w:cs="Arial"/>
          <w:b/>
          <w:bCs/>
          <w:color w:val="000000"/>
          <w:lang w:eastAsia="bg-BG"/>
        </w:rPr>
      </w:pPr>
      <w:bookmarkStart w:id="13" w:name="bookmark24"/>
    </w:p>
    <w:p w14:paraId="2E261B50" w14:textId="147C668F"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Барбитурати или наркотици</w:t>
      </w:r>
      <w:bookmarkEnd w:id="13"/>
    </w:p>
    <w:p w14:paraId="06F28649" w14:textId="113D596D" w:rsidR="00EF2809" w:rsidRPr="00EF2809" w:rsidRDefault="00EF2809" w:rsidP="00EF2809">
      <w:pPr>
        <w:spacing w:line="240" w:lineRule="auto"/>
        <w:rPr>
          <w:rFonts w:eastAsia="Times New Roman" w:cs="Arial"/>
          <w:color w:val="000000"/>
          <w:lang w:eastAsia="bg-BG"/>
        </w:rPr>
      </w:pPr>
      <w:r w:rsidRPr="00EF2809">
        <w:rPr>
          <w:rFonts w:eastAsia="Times New Roman" w:cs="Arial"/>
          <w:color w:val="000000"/>
          <w:lang w:eastAsia="bg-BG"/>
        </w:rPr>
        <w:t>Може да настъпи потенциране на ортостатична хипотония.</w:t>
      </w:r>
    </w:p>
    <w:p w14:paraId="799C52AE" w14:textId="7D1CE43A" w:rsidR="00EF2809" w:rsidRPr="00EF2809" w:rsidRDefault="00EF2809" w:rsidP="00EF2809">
      <w:pPr>
        <w:spacing w:line="240" w:lineRule="auto"/>
        <w:rPr>
          <w:rFonts w:eastAsia="Times New Roman" w:cs="Arial"/>
          <w:color w:val="000000"/>
          <w:lang w:eastAsia="bg-BG"/>
        </w:rPr>
      </w:pPr>
    </w:p>
    <w:p w14:paraId="4DAA54EA" w14:textId="77777777"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Двойна блокада на на ренин-ангиотензин-алдостероновата система</w:t>
      </w:r>
    </w:p>
    <w:p w14:paraId="1A887F1C"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lastRenderedPageBreak/>
        <w:t>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w:t>
      </w:r>
      <w:r w:rsidRPr="00EF2809">
        <w:rPr>
          <w:rFonts w:eastAsia="Times New Roman" w:cs="Arial"/>
          <w:color w:val="000000"/>
          <w:lang w:val="en-US"/>
        </w:rPr>
        <w:t>II</w:t>
      </w:r>
      <w:r w:rsidRPr="00EF2809">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2 сравнение с употребата само на едно средство, действащо върху РААС (вж. точки 4.3, 4.4 и 5.1).</w:t>
      </w:r>
    </w:p>
    <w:p w14:paraId="4487BC4C" w14:textId="77777777" w:rsidR="00EF2809" w:rsidRPr="00EF2809" w:rsidRDefault="00EF2809" w:rsidP="00EF2809">
      <w:pPr>
        <w:spacing w:line="240" w:lineRule="auto"/>
        <w:rPr>
          <w:rFonts w:eastAsia="Times New Roman" w:cs="Arial"/>
          <w:b/>
          <w:bCs/>
          <w:color w:val="000000"/>
          <w:lang w:eastAsia="bg-BG"/>
        </w:rPr>
      </w:pPr>
    </w:p>
    <w:p w14:paraId="01811E15" w14:textId="2C0B31F1" w:rsidR="00EF2809" w:rsidRPr="00EF2809" w:rsidRDefault="00EF2809" w:rsidP="00EF2809">
      <w:pPr>
        <w:spacing w:line="240" w:lineRule="auto"/>
        <w:rPr>
          <w:rFonts w:eastAsia="Times New Roman" w:cs="Arial"/>
        </w:rPr>
      </w:pPr>
      <w:r w:rsidRPr="00EF2809">
        <w:rPr>
          <w:rFonts w:eastAsia="Times New Roman" w:cs="Arial"/>
          <w:b/>
          <w:bCs/>
          <w:color w:val="000000"/>
          <w:lang w:eastAsia="bg-BG"/>
        </w:rPr>
        <w:t>Други вещества</w:t>
      </w:r>
    </w:p>
    <w:p w14:paraId="516BB4FD" w14:textId="77777777" w:rsidR="00EF2809" w:rsidRPr="00EF2809" w:rsidRDefault="00EF2809" w:rsidP="00EF2809">
      <w:pPr>
        <w:spacing w:line="240" w:lineRule="auto"/>
        <w:rPr>
          <w:rFonts w:eastAsia="Times New Roman" w:cs="Arial"/>
        </w:rPr>
      </w:pPr>
      <w:r w:rsidRPr="00EF2809">
        <w:rPr>
          <w:rFonts w:eastAsia="Times New Roman" w:cs="Arial"/>
          <w:color w:val="000000"/>
          <w:lang w:eastAsia="bg-BG"/>
        </w:rPr>
        <w:t>Индометацин може да понижи антихипертензивния ефект на едновременно приложеният Скоприл плюс. Антихипертензивния ефект на Скоприл плюс може да бъде потенциран когато се прилага едновременно с други вещества които биха могли да предизвикат ортостатична хипотония.</w:t>
      </w:r>
    </w:p>
    <w:p w14:paraId="1603F94A" w14:textId="6A1131E9" w:rsidR="00EF2809" w:rsidRPr="00EF2809" w:rsidRDefault="00EF2809" w:rsidP="00EF2809"/>
    <w:p w14:paraId="006BE4EC" w14:textId="30B4B527" w:rsidR="00DB32D3" w:rsidRDefault="002C50EE" w:rsidP="005726E3">
      <w:pPr>
        <w:pStyle w:val="Heading2"/>
      </w:pPr>
      <w:r>
        <w:t>4.6. Фертилитет, бременност и кърмене</w:t>
      </w:r>
    </w:p>
    <w:p w14:paraId="1F965629" w14:textId="65743730" w:rsidR="00EF2809" w:rsidRDefault="00EF2809" w:rsidP="00EF2809"/>
    <w:p w14:paraId="3676138A" w14:textId="6746D886" w:rsidR="00EF2809" w:rsidRPr="000D01AC" w:rsidRDefault="000D01AC" w:rsidP="000D01AC">
      <w:pPr>
        <w:pStyle w:val="Heading3"/>
        <w:rPr>
          <w:u w:val="single"/>
        </w:rPr>
      </w:pPr>
      <w:r w:rsidRPr="000D01AC">
        <w:rPr>
          <w:u w:val="single"/>
        </w:rPr>
        <w:t>Бременност</w:t>
      </w:r>
    </w:p>
    <w:p w14:paraId="23ED7F06" w14:textId="692EC3B2" w:rsidR="000D01AC" w:rsidRDefault="000D01AC" w:rsidP="00EF2809">
      <w:pPr>
        <w:rPr>
          <w:sz w:val="20"/>
          <w:szCs w:val="20"/>
          <w:u w:val="single"/>
        </w:rPr>
      </w:pPr>
    </w:p>
    <w:tbl>
      <w:tblPr>
        <w:tblStyle w:val="TableGrid"/>
        <w:tblW w:w="0" w:type="auto"/>
        <w:tblLook w:val="04A0" w:firstRow="1" w:lastRow="0" w:firstColumn="1" w:lastColumn="0" w:noHBand="0" w:noVBand="1"/>
      </w:tblPr>
      <w:tblGrid>
        <w:gridCol w:w="9350"/>
      </w:tblGrid>
      <w:tr w:rsidR="000D01AC" w14:paraId="0F55E9A0" w14:textId="77777777" w:rsidTr="000D01AC">
        <w:tc>
          <w:tcPr>
            <w:tcW w:w="9576" w:type="dxa"/>
          </w:tcPr>
          <w:p w14:paraId="171EB016" w14:textId="1D6875B6" w:rsidR="000D01AC" w:rsidRPr="000D01AC" w:rsidRDefault="000D01AC" w:rsidP="000D01AC">
            <w:pPr>
              <w:spacing w:line="240" w:lineRule="auto"/>
              <w:rPr>
                <w:rFonts w:eastAsia="Times New Roman" w:cs="Arial"/>
                <w:sz w:val="24"/>
                <w:szCs w:val="24"/>
              </w:rPr>
            </w:pPr>
            <w:r w:rsidRPr="000D01AC">
              <w:rPr>
                <w:rFonts w:eastAsia="Times New Roman" w:cs="Arial"/>
                <w:color w:val="000000"/>
                <w:szCs w:val="20"/>
                <w:lang w:eastAsia="bg-BG"/>
              </w:rPr>
              <w:t>Употребата на АСЕ-инхибитори не се препоръчва по време на първия триместьр на бременността (вж. точка 4.4). Употребата на АСЕ-инхибитори е противопоказана по време на 2-ри и 3-ти триместьр на бременността (вж. точки 4.3 и 4.4).</w:t>
            </w:r>
          </w:p>
        </w:tc>
      </w:tr>
    </w:tbl>
    <w:p w14:paraId="42167E8C" w14:textId="5D604D25" w:rsidR="000D01AC" w:rsidRDefault="000D01AC" w:rsidP="00EF2809"/>
    <w:p w14:paraId="16FD263C" w14:textId="77777777" w:rsidR="000D01AC" w:rsidRPr="000D01AC" w:rsidRDefault="000D01AC" w:rsidP="000D01AC">
      <w:pPr>
        <w:spacing w:line="240" w:lineRule="auto"/>
        <w:rPr>
          <w:rFonts w:eastAsia="Times New Roman" w:cs="Arial"/>
          <w:sz w:val="28"/>
          <w:szCs w:val="24"/>
        </w:rPr>
      </w:pPr>
      <w:r w:rsidRPr="000D01AC">
        <w:rPr>
          <w:rFonts w:eastAsia="Times New Roman" w:cs="Arial"/>
          <w:i/>
          <w:iCs/>
          <w:color w:val="000000"/>
          <w:szCs w:val="20"/>
          <w:lang w:eastAsia="bg-BG"/>
        </w:rPr>
        <w:t>Лизиноприл</w:t>
      </w:r>
    </w:p>
    <w:p w14:paraId="08B08E90" w14:textId="77777777" w:rsidR="000D01AC" w:rsidRPr="000D01AC" w:rsidRDefault="000D01AC" w:rsidP="000D01AC">
      <w:pPr>
        <w:spacing w:line="240" w:lineRule="auto"/>
        <w:rPr>
          <w:rFonts w:eastAsia="Times New Roman" w:cs="Arial"/>
          <w:sz w:val="28"/>
          <w:szCs w:val="24"/>
        </w:rPr>
      </w:pPr>
      <w:r w:rsidRPr="000D01AC">
        <w:rPr>
          <w:rFonts w:eastAsia="Times New Roman" w:cs="Arial"/>
          <w:color w:val="000000"/>
          <w:szCs w:val="20"/>
          <w:lang w:eastAsia="bg-BG"/>
        </w:rPr>
        <w:t>Епидемиологичните данни относно риска от тератогенност след експозиция на АСЕ- инхибитори през първия триместьр на бременността не са убедителни, но не може да се изключи леко повишение на риска. Освен ако продължаването на лечението с АСЕ- инхибитор се смята за важно, пациентките, които планират бременност, трябва да преминат на алтернативно антихипертензивно лечение с установен профил на безопасност при употреба по време на бременност. Когато бременността е диагностицирана, лечението с АСЕ-инхибитори трябва да бъде спряно незабавно и ако е подходящо, трябва да започне алтернативно лечение.</w:t>
      </w:r>
    </w:p>
    <w:p w14:paraId="7859D7B7" w14:textId="77777777" w:rsidR="000D01AC" w:rsidRPr="000D01AC" w:rsidRDefault="000D01AC" w:rsidP="000D01AC">
      <w:pPr>
        <w:spacing w:line="240" w:lineRule="auto"/>
        <w:rPr>
          <w:rFonts w:eastAsia="Times New Roman" w:cs="Arial"/>
          <w:sz w:val="28"/>
          <w:szCs w:val="24"/>
        </w:rPr>
      </w:pPr>
      <w:r w:rsidRPr="000D01AC">
        <w:rPr>
          <w:rFonts w:eastAsia="Times New Roman" w:cs="Arial"/>
          <w:color w:val="000000"/>
          <w:szCs w:val="20"/>
          <w:lang w:eastAsia="bg-BG"/>
        </w:rPr>
        <w:t>Експозиция на АСЕ-инхибитор през втория и третия триместьр на бременността индуцира фетотоксичност (намалена бъбречна функция, олигохидрамнион, забавена осификация на черепа) и неонатална токсичност (бъбречна недостатъчност, хипотония, хиперкалиемия). (Вж. точка 5.3) В случай на експозиция на АСЕ-инхибитор през втория триместьр на бременността, се препоръчва проверка с ултразвуково изследване на бъбречната функция и черепа. Новородени, чиито майки са приемали АСЕ-инхибитори, трябва да бъдат внимателно наблюдавани за хипотония (вж. също точки 4.3 и 4.4).</w:t>
      </w:r>
    </w:p>
    <w:p w14:paraId="37CFDBFB" w14:textId="77777777" w:rsidR="000D01AC" w:rsidRPr="000D01AC" w:rsidRDefault="000D01AC" w:rsidP="000D01AC">
      <w:pPr>
        <w:spacing w:line="240" w:lineRule="auto"/>
        <w:rPr>
          <w:rFonts w:eastAsia="Times New Roman" w:cs="Arial"/>
          <w:i/>
          <w:iCs/>
          <w:color w:val="000000"/>
          <w:szCs w:val="20"/>
          <w:lang w:eastAsia="bg-BG"/>
        </w:rPr>
      </w:pPr>
    </w:p>
    <w:p w14:paraId="29B58A88" w14:textId="6BABC5CB" w:rsidR="000D01AC" w:rsidRPr="000D01AC" w:rsidRDefault="000D01AC" w:rsidP="000D01AC">
      <w:pPr>
        <w:spacing w:line="240" w:lineRule="auto"/>
        <w:rPr>
          <w:rFonts w:eastAsia="Times New Roman" w:cs="Arial"/>
          <w:sz w:val="28"/>
          <w:szCs w:val="24"/>
        </w:rPr>
      </w:pPr>
      <w:r w:rsidRPr="000D01AC">
        <w:rPr>
          <w:rFonts w:eastAsia="Times New Roman" w:cs="Arial"/>
          <w:i/>
          <w:iCs/>
          <w:color w:val="000000"/>
          <w:szCs w:val="20"/>
          <w:lang w:eastAsia="bg-BG"/>
        </w:rPr>
        <w:t>Хидрохлорот иазид</w:t>
      </w:r>
    </w:p>
    <w:p w14:paraId="34905168" w14:textId="77777777" w:rsidR="000D01AC" w:rsidRPr="000D01AC" w:rsidRDefault="000D01AC" w:rsidP="000D01AC">
      <w:pPr>
        <w:spacing w:line="240" w:lineRule="auto"/>
        <w:rPr>
          <w:rFonts w:eastAsia="Times New Roman" w:cs="Arial"/>
          <w:sz w:val="28"/>
          <w:szCs w:val="24"/>
        </w:rPr>
      </w:pPr>
      <w:r w:rsidRPr="000D01AC">
        <w:rPr>
          <w:rFonts w:eastAsia="Times New Roman" w:cs="Arial"/>
          <w:color w:val="000000"/>
          <w:szCs w:val="20"/>
          <w:lang w:eastAsia="bg-BG"/>
        </w:rPr>
        <w:t>Има ограничи данни за употребата на хидрохлоротиазид по време на бременност, особено през първия триместьр. Проучванията при животни са недостатъчни.</w:t>
      </w:r>
    </w:p>
    <w:p w14:paraId="1F8FDFFF" w14:textId="77777777" w:rsidR="000D01AC" w:rsidRPr="000D01AC" w:rsidRDefault="000D01AC" w:rsidP="000D01AC">
      <w:pPr>
        <w:spacing w:line="240" w:lineRule="auto"/>
        <w:rPr>
          <w:rFonts w:eastAsia="Times New Roman" w:cs="Arial"/>
          <w:sz w:val="28"/>
          <w:szCs w:val="24"/>
        </w:rPr>
      </w:pPr>
      <w:r w:rsidRPr="000D01AC">
        <w:rPr>
          <w:rFonts w:eastAsia="Times New Roman" w:cs="Arial"/>
          <w:color w:val="000000"/>
          <w:szCs w:val="20"/>
          <w:lang w:eastAsia="bg-BG"/>
        </w:rPr>
        <w:t>Хидрохлоротиазид преминава през плацентата- Въз основа на фармакологичния механизъм на действие на хидрохлоротиазид, употребата му по време на втория и третия триместьр може да компрометира фето-плацентарната перфузия и могат да предизвикат фетални и неонатални ефекти, като жълтеница, нарушение на електролитния баланс и тромбоцитопения.</w:t>
      </w:r>
    </w:p>
    <w:p w14:paraId="527C7B5A" w14:textId="0E409506" w:rsidR="000D01AC" w:rsidRDefault="000D01AC" w:rsidP="000D01AC">
      <w:pPr>
        <w:rPr>
          <w:rFonts w:eastAsia="Times New Roman" w:cs="Arial"/>
          <w:color w:val="000000"/>
          <w:szCs w:val="20"/>
          <w:lang w:eastAsia="bg-BG"/>
        </w:rPr>
      </w:pPr>
      <w:r w:rsidRPr="000D01AC">
        <w:rPr>
          <w:rFonts w:eastAsia="Times New Roman" w:cs="Arial"/>
          <w:color w:val="000000"/>
          <w:szCs w:val="20"/>
          <w:lang w:eastAsia="bg-BG"/>
        </w:rPr>
        <w:t>Хидрохлоротиазид не трябва да се използва за гестационнен оток, гестационна хипертония или прееклампсия поради риск от намаляване на плазмения обем и плацентариата хипоперфузия без благоприятен ефект върху хода на заболяването.</w:t>
      </w:r>
    </w:p>
    <w:p w14:paraId="5EA1BBED" w14:textId="7DB36E80" w:rsidR="000D01AC" w:rsidRDefault="000D01AC" w:rsidP="000D01AC">
      <w:pPr>
        <w:rPr>
          <w:rFonts w:eastAsia="Times New Roman" w:cs="Arial"/>
          <w:color w:val="000000"/>
          <w:szCs w:val="20"/>
          <w:lang w:eastAsia="bg-BG"/>
        </w:rPr>
      </w:pPr>
    </w:p>
    <w:p w14:paraId="7425CBDC" w14:textId="77777777" w:rsidR="000D01AC" w:rsidRPr="000D01AC" w:rsidRDefault="000D01AC" w:rsidP="000D01AC">
      <w:pPr>
        <w:spacing w:line="240" w:lineRule="auto"/>
        <w:rPr>
          <w:rFonts w:eastAsia="Times New Roman" w:cs="Arial"/>
          <w:sz w:val="28"/>
          <w:szCs w:val="24"/>
        </w:rPr>
      </w:pPr>
      <w:r w:rsidRPr="000D01AC">
        <w:rPr>
          <w:rFonts w:eastAsia="Times New Roman" w:cs="Arial"/>
          <w:color w:val="000000"/>
          <w:szCs w:val="20"/>
          <w:lang w:eastAsia="bg-BG"/>
        </w:rPr>
        <w:lastRenderedPageBreak/>
        <w:t>Хидрохлоротиазид не трябва да се използва за есенциална хипертония при бременни жени, освен в редки ситуации, когато няма друго лечение, което може да бъде използвано.</w:t>
      </w:r>
    </w:p>
    <w:p w14:paraId="26B45B44" w14:textId="77777777" w:rsidR="000D01AC" w:rsidRPr="000D01AC" w:rsidRDefault="000D01AC" w:rsidP="000D01AC">
      <w:pPr>
        <w:spacing w:line="240" w:lineRule="auto"/>
        <w:rPr>
          <w:rFonts w:eastAsia="Times New Roman" w:cs="Arial"/>
          <w:color w:val="000000"/>
          <w:szCs w:val="20"/>
          <w:u w:val="single"/>
          <w:lang w:eastAsia="bg-BG"/>
        </w:rPr>
      </w:pPr>
    </w:p>
    <w:p w14:paraId="690AA4B1" w14:textId="4A79335D" w:rsidR="000D01AC" w:rsidRPr="000D01AC" w:rsidRDefault="000D01AC" w:rsidP="000D01AC">
      <w:pPr>
        <w:pStyle w:val="Heading3"/>
        <w:rPr>
          <w:rFonts w:eastAsia="Times New Roman"/>
          <w:sz w:val="28"/>
          <w:u w:val="single"/>
        </w:rPr>
      </w:pPr>
      <w:r w:rsidRPr="000D01AC">
        <w:rPr>
          <w:rFonts w:eastAsia="Times New Roman"/>
          <w:u w:val="single"/>
          <w:lang w:eastAsia="bg-BG"/>
        </w:rPr>
        <w:t>Кърмене</w:t>
      </w:r>
    </w:p>
    <w:p w14:paraId="585CF82F" w14:textId="77777777" w:rsidR="000D01AC" w:rsidRPr="000D01AC" w:rsidRDefault="000D01AC" w:rsidP="000D01AC">
      <w:pPr>
        <w:spacing w:line="240" w:lineRule="auto"/>
        <w:rPr>
          <w:rFonts w:eastAsia="Times New Roman" w:cs="Arial"/>
          <w:sz w:val="28"/>
          <w:szCs w:val="24"/>
        </w:rPr>
      </w:pPr>
      <w:r w:rsidRPr="000D01AC">
        <w:rPr>
          <w:rFonts w:eastAsia="Times New Roman" w:cs="Arial"/>
          <w:color w:val="000000"/>
          <w:szCs w:val="20"/>
          <w:lang w:eastAsia="bg-BG"/>
        </w:rPr>
        <w:t>Скоприл плюс не се препоръчва, а за предпочитане са алтернативни лечения с по-добре установен профил на безопасност по време на кърмене, особено на новородено или недоносено бебе. Ако Скоприл плюс се използва по време на кърмене, необходимо е прилагане на най-ниската доза.</w:t>
      </w:r>
    </w:p>
    <w:p w14:paraId="4B5CB6F9" w14:textId="77777777" w:rsidR="000D01AC" w:rsidRPr="000D01AC" w:rsidRDefault="000D01AC" w:rsidP="000D01AC">
      <w:pPr>
        <w:spacing w:line="240" w:lineRule="auto"/>
        <w:rPr>
          <w:rFonts w:eastAsia="Times New Roman" w:cs="Arial"/>
          <w:i/>
          <w:iCs/>
          <w:color w:val="000000"/>
          <w:szCs w:val="20"/>
          <w:lang w:eastAsia="bg-BG"/>
        </w:rPr>
      </w:pPr>
    </w:p>
    <w:p w14:paraId="01AA13C5" w14:textId="701E096E" w:rsidR="000D01AC" w:rsidRPr="000D01AC" w:rsidRDefault="000D01AC" w:rsidP="000D01AC">
      <w:pPr>
        <w:spacing w:line="240" w:lineRule="auto"/>
        <w:rPr>
          <w:rFonts w:eastAsia="Times New Roman" w:cs="Arial"/>
          <w:sz w:val="28"/>
          <w:szCs w:val="24"/>
        </w:rPr>
      </w:pPr>
      <w:r w:rsidRPr="000D01AC">
        <w:rPr>
          <w:rFonts w:eastAsia="Times New Roman" w:cs="Arial"/>
          <w:i/>
          <w:iCs/>
          <w:color w:val="000000"/>
          <w:szCs w:val="20"/>
          <w:lang w:eastAsia="bg-BG"/>
        </w:rPr>
        <w:t>Лизиноприл</w:t>
      </w:r>
    </w:p>
    <w:p w14:paraId="74C5273B" w14:textId="77777777" w:rsidR="000D01AC" w:rsidRPr="000D01AC" w:rsidRDefault="000D01AC" w:rsidP="000D01AC">
      <w:pPr>
        <w:spacing w:line="240" w:lineRule="auto"/>
        <w:rPr>
          <w:rFonts w:eastAsia="Times New Roman" w:cs="Arial"/>
          <w:sz w:val="28"/>
          <w:szCs w:val="24"/>
        </w:rPr>
      </w:pPr>
      <w:r w:rsidRPr="000D01AC">
        <w:rPr>
          <w:rFonts w:eastAsia="Times New Roman" w:cs="Arial"/>
          <w:color w:val="000000"/>
          <w:szCs w:val="20"/>
          <w:lang w:eastAsia="bg-BG"/>
        </w:rPr>
        <w:t>Няма налична информация по отношение на употребата на лизиноприл по време на кърмене.</w:t>
      </w:r>
    </w:p>
    <w:p w14:paraId="5734D797" w14:textId="77777777" w:rsidR="000D01AC" w:rsidRPr="000D01AC" w:rsidRDefault="000D01AC" w:rsidP="000D01AC">
      <w:pPr>
        <w:spacing w:line="240" w:lineRule="auto"/>
        <w:rPr>
          <w:rFonts w:eastAsia="Times New Roman" w:cs="Arial"/>
          <w:i/>
          <w:iCs/>
          <w:color w:val="000000"/>
          <w:szCs w:val="20"/>
          <w:lang w:eastAsia="bg-BG"/>
        </w:rPr>
      </w:pPr>
    </w:p>
    <w:p w14:paraId="4A7F0B41" w14:textId="3EE44B98" w:rsidR="000D01AC" w:rsidRPr="000D01AC" w:rsidRDefault="000D01AC" w:rsidP="000D01AC">
      <w:pPr>
        <w:spacing w:line="240" w:lineRule="auto"/>
        <w:rPr>
          <w:rFonts w:eastAsia="Times New Roman" w:cs="Arial"/>
          <w:sz w:val="28"/>
          <w:szCs w:val="24"/>
        </w:rPr>
      </w:pPr>
      <w:r w:rsidRPr="000D01AC">
        <w:rPr>
          <w:rFonts w:eastAsia="Times New Roman" w:cs="Arial"/>
          <w:i/>
          <w:iCs/>
          <w:color w:val="000000"/>
          <w:szCs w:val="20"/>
          <w:lang w:eastAsia="bg-BG"/>
        </w:rPr>
        <w:t>Хидрохлоротиазид</w:t>
      </w:r>
    </w:p>
    <w:p w14:paraId="06DF958F" w14:textId="77777777" w:rsidR="000D01AC" w:rsidRPr="000D01AC" w:rsidRDefault="000D01AC" w:rsidP="000D01AC">
      <w:pPr>
        <w:spacing w:line="240" w:lineRule="auto"/>
        <w:rPr>
          <w:rFonts w:eastAsia="Times New Roman" w:cs="Arial"/>
          <w:sz w:val="28"/>
          <w:szCs w:val="24"/>
        </w:rPr>
      </w:pPr>
      <w:r w:rsidRPr="000D01AC">
        <w:rPr>
          <w:rFonts w:eastAsia="Times New Roman" w:cs="Arial"/>
          <w:color w:val="000000"/>
          <w:szCs w:val="20"/>
          <w:lang w:eastAsia="bg-BG"/>
        </w:rPr>
        <w:t>Хидрохлоротиазид се секретира в кърмата в малки количества. Тиазидни диуретици в големи дози, произвеждащи интензивна диуреза, могат да намалят кърмата.</w:t>
      </w:r>
    </w:p>
    <w:p w14:paraId="67A32AEB" w14:textId="77777777" w:rsidR="000D01AC" w:rsidRPr="000D01AC" w:rsidRDefault="000D01AC" w:rsidP="000D01AC">
      <w:pPr>
        <w:rPr>
          <w:rFonts w:cs="Arial"/>
          <w:sz w:val="24"/>
        </w:rPr>
      </w:pPr>
    </w:p>
    <w:p w14:paraId="128BA3A8" w14:textId="11E8DE77" w:rsidR="00DB32D3" w:rsidRDefault="002C50EE" w:rsidP="005726E3">
      <w:pPr>
        <w:pStyle w:val="Heading2"/>
      </w:pPr>
      <w:r>
        <w:t>4.7. Ефекти върху способността за шофиране и работа с машини</w:t>
      </w:r>
    </w:p>
    <w:p w14:paraId="2DAB4842" w14:textId="1EFFDB54" w:rsidR="000D01AC" w:rsidRDefault="000D01AC" w:rsidP="000D01AC"/>
    <w:p w14:paraId="46A51806" w14:textId="77777777" w:rsidR="000D01AC" w:rsidRPr="000D01AC" w:rsidRDefault="000D01AC" w:rsidP="000D01AC">
      <w:pPr>
        <w:rPr>
          <w:sz w:val="24"/>
          <w:szCs w:val="24"/>
        </w:rPr>
      </w:pPr>
      <w:r w:rsidRPr="000D01AC">
        <w:rPr>
          <w:lang w:eastAsia="bg-BG"/>
        </w:rPr>
        <w:t>Както и други антихипертензивни лекарствени продукти, Скоприл плюс повлиява в малка до умерена степен способността за шофиране и работа с машини.</w:t>
      </w:r>
    </w:p>
    <w:p w14:paraId="43772C53" w14:textId="77777777" w:rsidR="000D01AC" w:rsidRDefault="000D01AC" w:rsidP="000D01AC">
      <w:pPr>
        <w:rPr>
          <w:lang w:eastAsia="bg-BG"/>
        </w:rPr>
      </w:pPr>
    </w:p>
    <w:p w14:paraId="46977E2A" w14:textId="0DA664D6" w:rsidR="000D01AC" w:rsidRPr="000D01AC" w:rsidRDefault="000D01AC" w:rsidP="000D01AC">
      <w:pPr>
        <w:rPr>
          <w:sz w:val="24"/>
          <w:szCs w:val="24"/>
        </w:rPr>
      </w:pPr>
      <w:r w:rsidRPr="000D01AC">
        <w:rPr>
          <w:lang w:eastAsia="bg-BG"/>
        </w:rPr>
        <w:t>Особено в началото на лечението или при промяна на дозата, а също и когато се използва в комбинация с алкохол, но тези ефекти зависят от индивидуалната чувствителност.</w:t>
      </w:r>
    </w:p>
    <w:p w14:paraId="3CCFDEE2" w14:textId="77777777" w:rsidR="000D01AC" w:rsidRPr="000D01AC" w:rsidRDefault="000D01AC" w:rsidP="000D01AC">
      <w:pPr>
        <w:rPr>
          <w:sz w:val="24"/>
          <w:szCs w:val="24"/>
        </w:rPr>
      </w:pPr>
      <w:r w:rsidRPr="000D01AC">
        <w:rPr>
          <w:lang w:eastAsia="bg-BG"/>
        </w:rPr>
        <w:t>При шофиране или работа с машини трябва да се има в предвид че от понякога може да се появи замаяност или умора.</w:t>
      </w:r>
    </w:p>
    <w:p w14:paraId="588DE6B4" w14:textId="77777777" w:rsidR="000D01AC" w:rsidRPr="000D01AC" w:rsidRDefault="000D01AC" w:rsidP="000D01AC"/>
    <w:p w14:paraId="44CE30A3" w14:textId="4DEC4A09" w:rsidR="007122AD" w:rsidRDefault="002C50EE" w:rsidP="00936AD0">
      <w:pPr>
        <w:pStyle w:val="Heading2"/>
      </w:pPr>
      <w:r>
        <w:t>4.8. Нежелани лекарствени реакции</w:t>
      </w:r>
    </w:p>
    <w:p w14:paraId="7CE12BF5" w14:textId="65605D66" w:rsidR="000D01AC" w:rsidRDefault="000D01AC" w:rsidP="000D01AC"/>
    <w:p w14:paraId="10FC2099" w14:textId="77777777" w:rsidR="000D01AC" w:rsidRPr="000D01AC" w:rsidRDefault="000D01AC" w:rsidP="000D01AC">
      <w:pPr>
        <w:spacing w:line="240" w:lineRule="auto"/>
        <w:rPr>
          <w:rFonts w:eastAsia="Times New Roman" w:cs="Arial"/>
          <w:sz w:val="28"/>
          <w:szCs w:val="24"/>
        </w:rPr>
      </w:pPr>
      <w:r w:rsidRPr="000D01AC">
        <w:rPr>
          <w:rFonts w:eastAsia="Times New Roman" w:cs="Arial"/>
          <w:color w:val="000000"/>
          <w:szCs w:val="20"/>
          <w:lang w:eastAsia="bg-BG"/>
        </w:rPr>
        <w:t xml:space="preserve">Скоприл плюс обикновено се понася добре. В клинични проучвания, нежеланите лекарствени реакции </w:t>
      </w:r>
      <w:r w:rsidRPr="000D01AC">
        <w:rPr>
          <w:rFonts w:eastAsia="Times New Roman" w:cs="Arial"/>
          <w:i/>
          <w:iCs/>
          <w:color w:val="000000"/>
          <w:szCs w:val="20"/>
          <w:lang w:eastAsia="bg-BG"/>
        </w:rPr>
        <w:t>обикновено</w:t>
      </w:r>
      <w:r w:rsidRPr="000D01AC">
        <w:rPr>
          <w:rFonts w:eastAsia="Times New Roman" w:cs="Arial"/>
          <w:color w:val="000000"/>
          <w:szCs w:val="20"/>
          <w:lang w:eastAsia="bg-BG"/>
        </w:rPr>
        <w:t xml:space="preserve"> са били леки и преходни и в повечето случаи не е налагало прекъсване на лечението. Нежеланите лекарствени реакции които са наблюдавани са ограничени до тези, съобщени преди това с лизиноприл или хидрохлоротиазид.</w:t>
      </w:r>
    </w:p>
    <w:p w14:paraId="124DB35C" w14:textId="77777777" w:rsidR="000D01AC" w:rsidRPr="000D01AC" w:rsidRDefault="000D01AC" w:rsidP="000D01AC">
      <w:pPr>
        <w:spacing w:line="240" w:lineRule="auto"/>
        <w:rPr>
          <w:rFonts w:eastAsia="Times New Roman" w:cs="Arial"/>
          <w:color w:val="000000"/>
          <w:szCs w:val="20"/>
          <w:lang w:eastAsia="bg-BG"/>
        </w:rPr>
      </w:pPr>
    </w:p>
    <w:p w14:paraId="337B5883" w14:textId="7AEA8719" w:rsidR="000D01AC" w:rsidRPr="000D01AC" w:rsidRDefault="000D01AC" w:rsidP="000D01AC">
      <w:pPr>
        <w:spacing w:line="240" w:lineRule="auto"/>
        <w:rPr>
          <w:rFonts w:eastAsia="Times New Roman" w:cs="Arial"/>
          <w:sz w:val="28"/>
          <w:szCs w:val="24"/>
        </w:rPr>
      </w:pPr>
      <w:r w:rsidRPr="000D01AC">
        <w:rPr>
          <w:rFonts w:eastAsia="Times New Roman" w:cs="Arial"/>
          <w:color w:val="000000"/>
          <w:szCs w:val="20"/>
          <w:lang w:eastAsia="bg-BG"/>
        </w:rPr>
        <w:t>Следните нежелани реакции са наблюдавани и докладвани по време на лечение с лизиноприл и/или хидрохлоротиазид със следната честота: Много чести (≥1/10), чести (≥1/100 до &lt;1/10), нечести (≥1/1 000 до &lt;1/100), редки (≥1/10 000 до &lt;1/1 000), много редки (&lt;1/10 000), с неизвестна честота (честотата не може да бъде определена от наличните данни).</w:t>
      </w:r>
    </w:p>
    <w:p w14:paraId="0F564039" w14:textId="77777777" w:rsidR="000D01AC" w:rsidRPr="000D01AC" w:rsidRDefault="000D01AC" w:rsidP="000D01AC">
      <w:pPr>
        <w:spacing w:line="240" w:lineRule="auto"/>
        <w:rPr>
          <w:rFonts w:eastAsia="Times New Roman" w:cs="Arial"/>
          <w:color w:val="000000"/>
          <w:szCs w:val="20"/>
          <w:lang w:eastAsia="bg-BG"/>
        </w:rPr>
      </w:pPr>
    </w:p>
    <w:p w14:paraId="1DFF65A5" w14:textId="673C4CAC" w:rsidR="000D01AC" w:rsidRPr="000D01AC" w:rsidRDefault="000D01AC" w:rsidP="000D01AC">
      <w:pPr>
        <w:spacing w:line="240" w:lineRule="auto"/>
        <w:rPr>
          <w:rFonts w:eastAsia="Times New Roman" w:cs="Arial"/>
          <w:sz w:val="28"/>
          <w:szCs w:val="24"/>
        </w:rPr>
      </w:pPr>
      <w:r w:rsidRPr="000D01AC">
        <w:rPr>
          <w:rFonts w:eastAsia="Times New Roman" w:cs="Arial"/>
          <w:color w:val="000000"/>
          <w:szCs w:val="20"/>
          <w:lang w:eastAsia="bg-BG"/>
        </w:rPr>
        <w:t>Най-често докладваните нежелани лекарствени реакции са кашлица, световъртеж, хипотония и главоболие, които могат да възникнат при 1 до 10 % от лекуваните пациенти. В клиничните проучвания, нежеланите реакции обикновено са леки и преходни и в повечето случаи не се изисква прекъсване на лечението,</w:t>
      </w:r>
    </w:p>
    <w:p w14:paraId="79204D24" w14:textId="77777777" w:rsidR="000D01AC" w:rsidRPr="000D01AC" w:rsidRDefault="000D01AC" w:rsidP="000D01AC">
      <w:pPr>
        <w:spacing w:line="240" w:lineRule="auto"/>
        <w:rPr>
          <w:rFonts w:eastAsia="Times New Roman" w:cs="Arial"/>
          <w:b/>
          <w:bCs/>
          <w:color w:val="000000"/>
          <w:szCs w:val="20"/>
          <w:lang w:eastAsia="bg-BG"/>
        </w:rPr>
      </w:pPr>
    </w:p>
    <w:p w14:paraId="69EB2C6D" w14:textId="1AF4C2DF" w:rsidR="000D01AC" w:rsidRDefault="000D01AC" w:rsidP="000D01AC">
      <w:pPr>
        <w:spacing w:line="240" w:lineRule="auto"/>
        <w:rPr>
          <w:rFonts w:eastAsia="Times New Roman" w:cs="Arial"/>
          <w:b/>
          <w:bCs/>
          <w:color w:val="000000"/>
          <w:szCs w:val="20"/>
          <w:lang w:eastAsia="bg-BG"/>
        </w:rPr>
      </w:pPr>
      <w:r w:rsidRPr="000D01AC">
        <w:rPr>
          <w:rFonts w:eastAsia="Times New Roman" w:cs="Arial"/>
          <w:b/>
          <w:bCs/>
          <w:color w:val="000000"/>
          <w:szCs w:val="20"/>
          <w:lang w:eastAsia="bg-BG"/>
        </w:rPr>
        <w:t>Лизиноприл:</w:t>
      </w:r>
    </w:p>
    <w:tbl>
      <w:tblPr>
        <w:tblStyle w:val="TableGrid"/>
        <w:tblW w:w="0" w:type="auto"/>
        <w:tblLook w:val="04A0" w:firstRow="1" w:lastRow="0" w:firstColumn="1" w:lastColumn="0" w:noHBand="0" w:noVBand="1"/>
      </w:tblPr>
      <w:tblGrid>
        <w:gridCol w:w="4650"/>
        <w:gridCol w:w="4700"/>
      </w:tblGrid>
      <w:tr w:rsidR="000D01AC" w14:paraId="5AF5A20C" w14:textId="77777777" w:rsidTr="000D01AC">
        <w:tc>
          <w:tcPr>
            <w:tcW w:w="9576" w:type="dxa"/>
            <w:gridSpan w:val="2"/>
            <w:vAlign w:val="bottom"/>
          </w:tcPr>
          <w:p w14:paraId="0476C1CE" w14:textId="37A0DD40" w:rsidR="000D01AC" w:rsidRPr="000D01AC" w:rsidRDefault="000D01AC" w:rsidP="000D01AC">
            <w:pPr>
              <w:spacing w:line="240" w:lineRule="auto"/>
              <w:rPr>
                <w:rFonts w:eastAsia="Times New Roman" w:cs="Arial"/>
                <w:szCs w:val="24"/>
              </w:rPr>
            </w:pPr>
            <w:r w:rsidRPr="000D01AC">
              <w:rPr>
                <w:b/>
                <w:bCs/>
                <w:szCs w:val="20"/>
              </w:rPr>
              <w:lastRenderedPageBreak/>
              <w:t>Нарушения на кръвта и лимфната система</w:t>
            </w:r>
          </w:p>
        </w:tc>
      </w:tr>
      <w:tr w:rsidR="000D01AC" w14:paraId="051CB447" w14:textId="77777777" w:rsidTr="000D01AC">
        <w:tc>
          <w:tcPr>
            <w:tcW w:w="4788" w:type="dxa"/>
          </w:tcPr>
          <w:p w14:paraId="1C5698A1" w14:textId="4A3FEF3A" w:rsidR="000D01AC" w:rsidRPr="000D01AC" w:rsidRDefault="000D01AC" w:rsidP="000D01AC">
            <w:pPr>
              <w:spacing w:line="240" w:lineRule="auto"/>
              <w:rPr>
                <w:rFonts w:eastAsia="Times New Roman" w:cs="Arial"/>
                <w:szCs w:val="24"/>
              </w:rPr>
            </w:pPr>
            <w:r w:rsidRPr="000D01AC">
              <w:rPr>
                <w:szCs w:val="20"/>
              </w:rPr>
              <w:t>Редки</w:t>
            </w:r>
          </w:p>
        </w:tc>
        <w:tc>
          <w:tcPr>
            <w:tcW w:w="4788" w:type="dxa"/>
          </w:tcPr>
          <w:p w14:paraId="412A0C0A" w14:textId="11C96209" w:rsidR="000D01AC" w:rsidRPr="000D01AC" w:rsidRDefault="000D01AC" w:rsidP="000D01AC">
            <w:pPr>
              <w:spacing w:line="240" w:lineRule="auto"/>
              <w:rPr>
                <w:rFonts w:eastAsia="Times New Roman" w:cs="Arial"/>
                <w:szCs w:val="24"/>
              </w:rPr>
            </w:pPr>
            <w:r w:rsidRPr="000D01AC">
              <w:rPr>
                <w:szCs w:val="20"/>
              </w:rPr>
              <w:t>Понижение на хемоглобина, понижение на хематокрита.</w:t>
            </w:r>
          </w:p>
        </w:tc>
      </w:tr>
      <w:tr w:rsidR="000D01AC" w14:paraId="67794BB8" w14:textId="77777777" w:rsidTr="000D01AC">
        <w:tc>
          <w:tcPr>
            <w:tcW w:w="4788" w:type="dxa"/>
          </w:tcPr>
          <w:p w14:paraId="393CB6B3" w14:textId="75C29E33" w:rsidR="000D01AC" w:rsidRPr="000D01AC" w:rsidRDefault="000D01AC" w:rsidP="000D01AC">
            <w:pPr>
              <w:spacing w:line="240" w:lineRule="auto"/>
              <w:rPr>
                <w:rFonts w:eastAsia="Times New Roman" w:cs="Arial"/>
                <w:szCs w:val="24"/>
              </w:rPr>
            </w:pPr>
            <w:r w:rsidRPr="000D01AC">
              <w:rPr>
                <w:szCs w:val="20"/>
              </w:rPr>
              <w:t>Много редки</w:t>
            </w:r>
          </w:p>
        </w:tc>
        <w:tc>
          <w:tcPr>
            <w:tcW w:w="4788" w:type="dxa"/>
            <w:vAlign w:val="bottom"/>
          </w:tcPr>
          <w:p w14:paraId="6939BFA0" w14:textId="463C0DCD" w:rsidR="000D01AC" w:rsidRPr="000D01AC" w:rsidRDefault="000D01AC" w:rsidP="000D01AC">
            <w:pPr>
              <w:spacing w:line="240" w:lineRule="auto"/>
              <w:rPr>
                <w:rFonts w:eastAsia="Times New Roman" w:cs="Arial"/>
                <w:szCs w:val="24"/>
              </w:rPr>
            </w:pPr>
            <w:r w:rsidRPr="000D01AC">
              <w:rPr>
                <w:szCs w:val="20"/>
              </w:rPr>
              <w:t>Потискане на костния мозък, анемия, тромбоцитопения, левкопения, неутропения, агранулоцитоза (вж. точка 4.4), хемолитична анемия, лимфаденопатия, автоимунни заболявания</w:t>
            </w:r>
          </w:p>
        </w:tc>
      </w:tr>
      <w:tr w:rsidR="000D01AC" w14:paraId="01A40E98" w14:textId="77777777" w:rsidTr="000D01AC">
        <w:tc>
          <w:tcPr>
            <w:tcW w:w="9576" w:type="dxa"/>
            <w:gridSpan w:val="2"/>
            <w:vAlign w:val="bottom"/>
          </w:tcPr>
          <w:p w14:paraId="390EA386" w14:textId="6B351E9B" w:rsidR="000D01AC" w:rsidRPr="000D01AC" w:rsidRDefault="000D01AC" w:rsidP="000D01AC">
            <w:pPr>
              <w:spacing w:line="240" w:lineRule="auto"/>
              <w:rPr>
                <w:rFonts w:eastAsia="Times New Roman" w:cs="Arial"/>
                <w:szCs w:val="24"/>
              </w:rPr>
            </w:pPr>
            <w:r w:rsidRPr="000D01AC">
              <w:rPr>
                <w:b/>
                <w:bCs/>
                <w:szCs w:val="20"/>
              </w:rPr>
              <w:t>Нарушения на метаболизма и храненето</w:t>
            </w:r>
          </w:p>
        </w:tc>
      </w:tr>
      <w:tr w:rsidR="000D01AC" w14:paraId="53190CA7" w14:textId="77777777" w:rsidTr="000D01AC">
        <w:tc>
          <w:tcPr>
            <w:tcW w:w="4788" w:type="dxa"/>
            <w:vAlign w:val="bottom"/>
          </w:tcPr>
          <w:p w14:paraId="0DD09891" w14:textId="20B0FE38" w:rsidR="000D01AC" w:rsidRPr="000D01AC" w:rsidRDefault="000D01AC" w:rsidP="000D01AC">
            <w:pPr>
              <w:spacing w:line="240" w:lineRule="auto"/>
              <w:rPr>
                <w:rFonts w:eastAsia="Times New Roman" w:cs="Arial"/>
                <w:szCs w:val="24"/>
              </w:rPr>
            </w:pPr>
            <w:r w:rsidRPr="000D01AC">
              <w:rPr>
                <w:szCs w:val="20"/>
              </w:rPr>
              <w:t>Много редки</w:t>
            </w:r>
          </w:p>
        </w:tc>
        <w:tc>
          <w:tcPr>
            <w:tcW w:w="4788" w:type="dxa"/>
            <w:vAlign w:val="bottom"/>
          </w:tcPr>
          <w:p w14:paraId="1679A0C3" w14:textId="2B2B46DF" w:rsidR="000D01AC" w:rsidRPr="000D01AC" w:rsidRDefault="000D01AC" w:rsidP="000D01AC">
            <w:pPr>
              <w:spacing w:line="240" w:lineRule="auto"/>
              <w:rPr>
                <w:rFonts w:eastAsia="Times New Roman" w:cs="Arial"/>
                <w:szCs w:val="24"/>
              </w:rPr>
            </w:pPr>
            <w:r w:rsidRPr="000D01AC">
              <w:rPr>
                <w:szCs w:val="20"/>
              </w:rPr>
              <w:t xml:space="preserve"> Хипогликемия</w:t>
            </w:r>
          </w:p>
        </w:tc>
      </w:tr>
      <w:tr w:rsidR="000D01AC" w14:paraId="48E59A08" w14:textId="77777777" w:rsidTr="000D01AC">
        <w:tc>
          <w:tcPr>
            <w:tcW w:w="9576" w:type="dxa"/>
            <w:gridSpan w:val="2"/>
            <w:vAlign w:val="bottom"/>
          </w:tcPr>
          <w:p w14:paraId="4842E204" w14:textId="0EDA49C2" w:rsidR="000D01AC" w:rsidRPr="000D01AC" w:rsidRDefault="000D01AC" w:rsidP="000D01AC">
            <w:pPr>
              <w:spacing w:line="240" w:lineRule="auto"/>
              <w:rPr>
                <w:rFonts w:eastAsia="Times New Roman" w:cs="Arial"/>
                <w:szCs w:val="24"/>
              </w:rPr>
            </w:pPr>
            <w:r w:rsidRPr="000D01AC">
              <w:rPr>
                <w:b/>
                <w:bCs/>
                <w:szCs w:val="20"/>
              </w:rPr>
              <w:t>Психични нарушения</w:t>
            </w:r>
          </w:p>
        </w:tc>
      </w:tr>
      <w:tr w:rsidR="000D01AC" w14:paraId="00FAD4F9" w14:textId="77777777" w:rsidTr="000D01AC">
        <w:tc>
          <w:tcPr>
            <w:tcW w:w="4788" w:type="dxa"/>
          </w:tcPr>
          <w:p w14:paraId="2B5308F0" w14:textId="594DEF4A" w:rsidR="000D01AC" w:rsidRPr="000D01AC" w:rsidRDefault="000D01AC" w:rsidP="000D01AC">
            <w:pPr>
              <w:spacing w:line="240" w:lineRule="auto"/>
              <w:rPr>
                <w:rFonts w:eastAsia="Times New Roman" w:cs="Arial"/>
                <w:szCs w:val="24"/>
              </w:rPr>
            </w:pPr>
            <w:r w:rsidRPr="000D01AC">
              <w:rPr>
                <w:szCs w:val="20"/>
              </w:rPr>
              <w:t>Нечести</w:t>
            </w:r>
          </w:p>
        </w:tc>
        <w:tc>
          <w:tcPr>
            <w:tcW w:w="4788" w:type="dxa"/>
          </w:tcPr>
          <w:p w14:paraId="2B8AA579" w14:textId="1DE1CAEB" w:rsidR="000D01AC" w:rsidRPr="000D01AC" w:rsidRDefault="000D01AC" w:rsidP="000D01AC">
            <w:pPr>
              <w:spacing w:line="240" w:lineRule="auto"/>
              <w:rPr>
                <w:rFonts w:eastAsia="Times New Roman" w:cs="Arial"/>
                <w:szCs w:val="24"/>
              </w:rPr>
            </w:pPr>
            <w:r w:rsidRPr="000D01AC">
              <w:rPr>
                <w:szCs w:val="20"/>
              </w:rPr>
              <w:t>Промени в настроението</w:t>
            </w:r>
          </w:p>
        </w:tc>
      </w:tr>
      <w:tr w:rsidR="000D01AC" w14:paraId="076BA69C" w14:textId="77777777" w:rsidTr="000D01AC">
        <w:tc>
          <w:tcPr>
            <w:tcW w:w="4788" w:type="dxa"/>
            <w:vAlign w:val="center"/>
          </w:tcPr>
          <w:p w14:paraId="31C908E8" w14:textId="7A325576" w:rsidR="000D01AC" w:rsidRPr="000D01AC" w:rsidRDefault="000D01AC" w:rsidP="000D01AC">
            <w:pPr>
              <w:spacing w:line="240" w:lineRule="auto"/>
              <w:rPr>
                <w:rFonts w:eastAsia="Times New Roman" w:cs="Arial"/>
                <w:szCs w:val="24"/>
              </w:rPr>
            </w:pPr>
            <w:r w:rsidRPr="000D01AC">
              <w:rPr>
                <w:szCs w:val="20"/>
              </w:rPr>
              <w:t>Редки</w:t>
            </w:r>
          </w:p>
        </w:tc>
        <w:tc>
          <w:tcPr>
            <w:tcW w:w="4788" w:type="dxa"/>
            <w:vAlign w:val="center"/>
          </w:tcPr>
          <w:p w14:paraId="08678BD2" w14:textId="780583A1" w:rsidR="000D01AC" w:rsidRPr="000D01AC" w:rsidRDefault="000D01AC" w:rsidP="000D01AC">
            <w:pPr>
              <w:spacing w:line="240" w:lineRule="auto"/>
              <w:rPr>
                <w:rFonts w:eastAsia="Times New Roman" w:cs="Arial"/>
                <w:szCs w:val="24"/>
              </w:rPr>
            </w:pPr>
            <w:r w:rsidRPr="000D01AC">
              <w:rPr>
                <w:szCs w:val="20"/>
              </w:rPr>
              <w:t>Умствено объркване</w:t>
            </w:r>
          </w:p>
        </w:tc>
      </w:tr>
      <w:tr w:rsidR="000D01AC" w14:paraId="11314E24" w14:textId="77777777" w:rsidTr="000D01AC">
        <w:tc>
          <w:tcPr>
            <w:tcW w:w="4788" w:type="dxa"/>
            <w:vAlign w:val="bottom"/>
          </w:tcPr>
          <w:p w14:paraId="47E36A0D" w14:textId="0697A9C2" w:rsidR="000D01AC" w:rsidRPr="000D01AC" w:rsidRDefault="000D01AC" w:rsidP="000D01AC">
            <w:pPr>
              <w:spacing w:line="240" w:lineRule="auto"/>
              <w:rPr>
                <w:rFonts w:eastAsia="Times New Roman" w:cs="Arial"/>
                <w:szCs w:val="24"/>
              </w:rPr>
            </w:pPr>
            <w:r w:rsidRPr="000D01AC">
              <w:rPr>
                <w:szCs w:val="20"/>
              </w:rPr>
              <w:t>С неизвестна честота</w:t>
            </w:r>
          </w:p>
        </w:tc>
        <w:tc>
          <w:tcPr>
            <w:tcW w:w="4788" w:type="dxa"/>
          </w:tcPr>
          <w:p w14:paraId="7A685FD4" w14:textId="03582B1B" w:rsidR="000D01AC" w:rsidRPr="000D01AC" w:rsidRDefault="000D01AC" w:rsidP="000D01AC">
            <w:pPr>
              <w:spacing w:line="240" w:lineRule="auto"/>
              <w:rPr>
                <w:rFonts w:eastAsia="Times New Roman" w:cs="Arial"/>
                <w:szCs w:val="24"/>
              </w:rPr>
            </w:pPr>
            <w:r w:rsidRPr="000D01AC">
              <w:rPr>
                <w:szCs w:val="20"/>
              </w:rPr>
              <w:t>Депресивни симптоми</w:t>
            </w:r>
          </w:p>
        </w:tc>
      </w:tr>
      <w:tr w:rsidR="000D01AC" w14:paraId="33D0F87F" w14:textId="77777777" w:rsidTr="000D01AC">
        <w:tc>
          <w:tcPr>
            <w:tcW w:w="9576" w:type="dxa"/>
            <w:gridSpan w:val="2"/>
            <w:vAlign w:val="bottom"/>
          </w:tcPr>
          <w:p w14:paraId="396005F2" w14:textId="2E361AFE" w:rsidR="000D01AC" w:rsidRPr="000D01AC" w:rsidRDefault="000D01AC" w:rsidP="000D01AC">
            <w:pPr>
              <w:spacing w:line="240" w:lineRule="auto"/>
              <w:rPr>
                <w:rFonts w:eastAsia="Times New Roman" w:cs="Arial"/>
                <w:szCs w:val="24"/>
              </w:rPr>
            </w:pPr>
            <w:r w:rsidRPr="000D01AC">
              <w:rPr>
                <w:b/>
                <w:bCs/>
                <w:szCs w:val="20"/>
              </w:rPr>
              <w:t>Нарушения на нервната система</w:t>
            </w:r>
          </w:p>
        </w:tc>
      </w:tr>
      <w:tr w:rsidR="000D01AC" w14:paraId="159C67CF" w14:textId="77777777" w:rsidTr="000D01AC">
        <w:tc>
          <w:tcPr>
            <w:tcW w:w="4788" w:type="dxa"/>
          </w:tcPr>
          <w:p w14:paraId="72D9E2F8" w14:textId="3A5D3E3C" w:rsidR="000D01AC" w:rsidRPr="000D01AC" w:rsidRDefault="000D01AC" w:rsidP="000D01AC">
            <w:pPr>
              <w:spacing w:line="240" w:lineRule="auto"/>
              <w:rPr>
                <w:rFonts w:eastAsia="Times New Roman" w:cs="Arial"/>
                <w:szCs w:val="24"/>
              </w:rPr>
            </w:pPr>
            <w:r w:rsidRPr="000D01AC">
              <w:rPr>
                <w:szCs w:val="20"/>
              </w:rPr>
              <w:t>Чести</w:t>
            </w:r>
          </w:p>
        </w:tc>
        <w:tc>
          <w:tcPr>
            <w:tcW w:w="4788" w:type="dxa"/>
          </w:tcPr>
          <w:p w14:paraId="2BE54532" w14:textId="262952C6" w:rsidR="000D01AC" w:rsidRPr="000D01AC" w:rsidRDefault="000D01AC" w:rsidP="000D01AC">
            <w:pPr>
              <w:spacing w:line="240" w:lineRule="auto"/>
              <w:rPr>
                <w:rFonts w:eastAsia="Times New Roman" w:cs="Arial"/>
                <w:szCs w:val="24"/>
              </w:rPr>
            </w:pPr>
            <w:r w:rsidRPr="000D01AC">
              <w:rPr>
                <w:szCs w:val="20"/>
              </w:rPr>
              <w:t>Виене на свят, главоболие, синкоп</w:t>
            </w:r>
          </w:p>
        </w:tc>
      </w:tr>
      <w:tr w:rsidR="000D01AC" w14:paraId="57520D60" w14:textId="77777777" w:rsidTr="000D01AC">
        <w:tc>
          <w:tcPr>
            <w:tcW w:w="4788" w:type="dxa"/>
          </w:tcPr>
          <w:p w14:paraId="2C471F1B" w14:textId="1A593AA4" w:rsidR="000D01AC" w:rsidRPr="000D01AC" w:rsidRDefault="000D01AC" w:rsidP="000D01AC">
            <w:pPr>
              <w:spacing w:line="240" w:lineRule="auto"/>
              <w:rPr>
                <w:rFonts w:eastAsia="Times New Roman" w:cs="Arial"/>
                <w:szCs w:val="24"/>
              </w:rPr>
            </w:pPr>
            <w:r w:rsidRPr="000D01AC">
              <w:rPr>
                <w:szCs w:val="20"/>
              </w:rPr>
              <w:t>Нечести</w:t>
            </w:r>
          </w:p>
        </w:tc>
        <w:tc>
          <w:tcPr>
            <w:tcW w:w="4788" w:type="dxa"/>
            <w:vAlign w:val="center"/>
          </w:tcPr>
          <w:p w14:paraId="3F811D69" w14:textId="6C2B6EB5" w:rsidR="000D01AC" w:rsidRPr="000D01AC" w:rsidRDefault="000D01AC" w:rsidP="000D01AC">
            <w:pPr>
              <w:spacing w:line="240" w:lineRule="auto"/>
              <w:rPr>
                <w:rFonts w:eastAsia="Times New Roman" w:cs="Arial"/>
                <w:szCs w:val="24"/>
              </w:rPr>
            </w:pPr>
            <w:r w:rsidRPr="000D01AC">
              <w:rPr>
                <w:szCs w:val="20"/>
              </w:rPr>
              <w:t>Парестезия, световъртеж, нарушение на вкуса, нарушения на съня</w:t>
            </w:r>
          </w:p>
        </w:tc>
      </w:tr>
      <w:tr w:rsidR="000D01AC" w14:paraId="05A316E1" w14:textId="77777777" w:rsidTr="000D01AC">
        <w:tc>
          <w:tcPr>
            <w:tcW w:w="9576" w:type="dxa"/>
            <w:gridSpan w:val="2"/>
            <w:vAlign w:val="bottom"/>
          </w:tcPr>
          <w:p w14:paraId="558FB86D" w14:textId="20C882E0" w:rsidR="000D01AC" w:rsidRPr="000D01AC" w:rsidRDefault="000D01AC" w:rsidP="000D01AC">
            <w:pPr>
              <w:spacing w:line="240" w:lineRule="auto"/>
              <w:rPr>
                <w:rFonts w:eastAsia="Times New Roman" w:cs="Arial"/>
                <w:szCs w:val="24"/>
              </w:rPr>
            </w:pPr>
            <w:r w:rsidRPr="000D01AC">
              <w:rPr>
                <w:b/>
                <w:bCs/>
                <w:szCs w:val="20"/>
              </w:rPr>
              <w:t>Сърдечни нарушения</w:t>
            </w:r>
          </w:p>
        </w:tc>
      </w:tr>
      <w:tr w:rsidR="000D01AC" w14:paraId="175566FE" w14:textId="77777777" w:rsidTr="000D01AC">
        <w:tc>
          <w:tcPr>
            <w:tcW w:w="4788" w:type="dxa"/>
          </w:tcPr>
          <w:p w14:paraId="5CB161B8" w14:textId="798C5957" w:rsidR="000D01AC" w:rsidRPr="000D01AC" w:rsidRDefault="000D01AC" w:rsidP="000D01AC">
            <w:pPr>
              <w:spacing w:line="240" w:lineRule="auto"/>
              <w:rPr>
                <w:rFonts w:eastAsia="Times New Roman" w:cs="Arial"/>
                <w:szCs w:val="24"/>
              </w:rPr>
            </w:pPr>
            <w:r w:rsidRPr="000D01AC">
              <w:rPr>
                <w:szCs w:val="20"/>
              </w:rPr>
              <w:t>Нечести</w:t>
            </w:r>
          </w:p>
        </w:tc>
        <w:tc>
          <w:tcPr>
            <w:tcW w:w="4788" w:type="dxa"/>
            <w:vAlign w:val="bottom"/>
          </w:tcPr>
          <w:p w14:paraId="1BFEC196" w14:textId="184C5359" w:rsidR="000D01AC" w:rsidRPr="000D01AC" w:rsidRDefault="000D01AC" w:rsidP="000D01AC">
            <w:pPr>
              <w:spacing w:line="240" w:lineRule="auto"/>
              <w:rPr>
                <w:rFonts w:eastAsia="Times New Roman" w:cs="Arial"/>
                <w:szCs w:val="24"/>
              </w:rPr>
            </w:pPr>
            <w:r w:rsidRPr="000D01AC">
              <w:rPr>
                <w:szCs w:val="20"/>
              </w:rPr>
              <w:t>Инфаркт на миокарда или мозъчно-съдов инцидент, вероятно вследствие на ексцесивна хипотония при високорискови пациенти (вж. точка 4.4), сърцебиене, тахикардия.</w:t>
            </w:r>
          </w:p>
        </w:tc>
      </w:tr>
      <w:tr w:rsidR="000D01AC" w14:paraId="294E9E48" w14:textId="77777777" w:rsidTr="000D01AC">
        <w:tc>
          <w:tcPr>
            <w:tcW w:w="9576" w:type="dxa"/>
            <w:gridSpan w:val="2"/>
            <w:vAlign w:val="bottom"/>
          </w:tcPr>
          <w:p w14:paraId="020C34B4" w14:textId="5E7AC4FD" w:rsidR="000D01AC" w:rsidRPr="000D01AC" w:rsidRDefault="000D01AC" w:rsidP="000D01AC">
            <w:pPr>
              <w:spacing w:line="240" w:lineRule="auto"/>
              <w:rPr>
                <w:rFonts w:eastAsia="Times New Roman" w:cs="Arial"/>
                <w:szCs w:val="24"/>
              </w:rPr>
            </w:pPr>
            <w:r w:rsidRPr="000D01AC">
              <w:rPr>
                <w:b/>
                <w:bCs/>
                <w:szCs w:val="20"/>
              </w:rPr>
              <w:t>Съдови нарушения</w:t>
            </w:r>
          </w:p>
        </w:tc>
      </w:tr>
      <w:tr w:rsidR="000D01AC" w14:paraId="26AC0C88" w14:textId="77777777" w:rsidTr="000D01AC">
        <w:tc>
          <w:tcPr>
            <w:tcW w:w="4788" w:type="dxa"/>
          </w:tcPr>
          <w:p w14:paraId="481AEF2C" w14:textId="2EB52208" w:rsidR="000D01AC" w:rsidRPr="000D01AC" w:rsidRDefault="000D01AC" w:rsidP="000D01AC">
            <w:pPr>
              <w:spacing w:line="240" w:lineRule="auto"/>
              <w:rPr>
                <w:rFonts w:eastAsia="Times New Roman" w:cs="Arial"/>
                <w:szCs w:val="24"/>
              </w:rPr>
            </w:pPr>
            <w:r w:rsidRPr="000D01AC">
              <w:rPr>
                <w:szCs w:val="20"/>
              </w:rPr>
              <w:t>Чести</w:t>
            </w:r>
          </w:p>
        </w:tc>
        <w:tc>
          <w:tcPr>
            <w:tcW w:w="4788" w:type="dxa"/>
          </w:tcPr>
          <w:p w14:paraId="75E751EA" w14:textId="77777777" w:rsidR="000D01AC" w:rsidRPr="000D01AC" w:rsidRDefault="000D01AC" w:rsidP="000D01AC">
            <w:r w:rsidRPr="000D01AC">
              <w:rPr>
                <w:szCs w:val="20"/>
              </w:rPr>
              <w:t>Ортостатични</w:t>
            </w:r>
            <w:r w:rsidRPr="000D01AC">
              <w:rPr>
                <w:szCs w:val="20"/>
              </w:rPr>
              <w:tab/>
              <w:t>ефекти</w:t>
            </w:r>
            <w:r w:rsidRPr="000D01AC">
              <w:rPr>
                <w:szCs w:val="20"/>
              </w:rPr>
              <w:tab/>
              <w:t>(включително</w:t>
            </w:r>
          </w:p>
          <w:p w14:paraId="4C56529C" w14:textId="463E6303" w:rsidR="000D01AC" w:rsidRPr="000D01AC" w:rsidRDefault="000D01AC" w:rsidP="000D01AC">
            <w:pPr>
              <w:spacing w:line="240" w:lineRule="auto"/>
              <w:rPr>
                <w:rFonts w:eastAsia="Times New Roman" w:cs="Arial"/>
                <w:szCs w:val="24"/>
              </w:rPr>
            </w:pPr>
            <w:r w:rsidRPr="000D01AC">
              <w:rPr>
                <w:szCs w:val="20"/>
              </w:rPr>
              <w:t>ортостатична хипотония)</w:t>
            </w:r>
          </w:p>
        </w:tc>
      </w:tr>
      <w:tr w:rsidR="000D01AC" w14:paraId="37EE2FDB" w14:textId="77777777" w:rsidTr="000D01AC">
        <w:tc>
          <w:tcPr>
            <w:tcW w:w="4788" w:type="dxa"/>
            <w:vAlign w:val="center"/>
          </w:tcPr>
          <w:p w14:paraId="3169796D" w14:textId="62693E3C" w:rsidR="000D01AC" w:rsidRPr="000D01AC" w:rsidRDefault="000D01AC" w:rsidP="000D01AC">
            <w:pPr>
              <w:spacing w:line="240" w:lineRule="auto"/>
              <w:rPr>
                <w:rFonts w:eastAsia="Times New Roman" w:cs="Arial"/>
                <w:szCs w:val="24"/>
              </w:rPr>
            </w:pPr>
            <w:r w:rsidRPr="000D01AC">
              <w:rPr>
                <w:szCs w:val="20"/>
              </w:rPr>
              <w:t>Нечести</w:t>
            </w:r>
          </w:p>
        </w:tc>
        <w:tc>
          <w:tcPr>
            <w:tcW w:w="4788" w:type="dxa"/>
            <w:vAlign w:val="center"/>
          </w:tcPr>
          <w:p w14:paraId="36641108" w14:textId="7A855CF5" w:rsidR="000D01AC" w:rsidRPr="000D01AC" w:rsidRDefault="000D01AC" w:rsidP="000D01AC">
            <w:pPr>
              <w:spacing w:line="240" w:lineRule="auto"/>
              <w:rPr>
                <w:rFonts w:eastAsia="Times New Roman" w:cs="Arial"/>
                <w:szCs w:val="24"/>
              </w:rPr>
            </w:pPr>
            <w:r w:rsidRPr="000D01AC">
              <w:rPr>
                <w:szCs w:val="20"/>
              </w:rPr>
              <w:t>Синдром на Рейно.</w:t>
            </w:r>
          </w:p>
        </w:tc>
      </w:tr>
      <w:tr w:rsidR="000D01AC" w14:paraId="64053990" w14:textId="77777777" w:rsidTr="000D01AC">
        <w:tc>
          <w:tcPr>
            <w:tcW w:w="4788" w:type="dxa"/>
            <w:vAlign w:val="bottom"/>
          </w:tcPr>
          <w:p w14:paraId="47AEB721" w14:textId="694C290C" w:rsidR="000D01AC" w:rsidRPr="000D01AC" w:rsidRDefault="000D01AC" w:rsidP="000D01AC">
            <w:pPr>
              <w:spacing w:line="240" w:lineRule="auto"/>
              <w:rPr>
                <w:rFonts w:eastAsia="Times New Roman" w:cs="Arial"/>
                <w:szCs w:val="24"/>
              </w:rPr>
            </w:pPr>
            <w:r w:rsidRPr="000D01AC">
              <w:rPr>
                <w:szCs w:val="20"/>
              </w:rPr>
              <w:t>С неизвестна честота</w:t>
            </w:r>
          </w:p>
        </w:tc>
        <w:tc>
          <w:tcPr>
            <w:tcW w:w="4788" w:type="dxa"/>
            <w:vAlign w:val="bottom"/>
          </w:tcPr>
          <w:p w14:paraId="14B44D46" w14:textId="29CFAFEA" w:rsidR="000D01AC" w:rsidRPr="000D01AC" w:rsidRDefault="000D01AC" w:rsidP="000D01AC">
            <w:pPr>
              <w:spacing w:line="240" w:lineRule="auto"/>
              <w:rPr>
                <w:rFonts w:eastAsia="Times New Roman" w:cs="Arial"/>
                <w:szCs w:val="24"/>
              </w:rPr>
            </w:pPr>
            <w:r w:rsidRPr="000D01AC">
              <w:rPr>
                <w:szCs w:val="20"/>
              </w:rPr>
              <w:t>Зачервяне</w:t>
            </w:r>
          </w:p>
        </w:tc>
      </w:tr>
      <w:tr w:rsidR="000D01AC" w14:paraId="6E89C782" w14:textId="77777777" w:rsidTr="000D01AC">
        <w:tc>
          <w:tcPr>
            <w:tcW w:w="9576" w:type="dxa"/>
            <w:gridSpan w:val="2"/>
            <w:vAlign w:val="bottom"/>
          </w:tcPr>
          <w:p w14:paraId="01672F2F" w14:textId="4C91FE91" w:rsidR="000D01AC" w:rsidRPr="000D01AC" w:rsidRDefault="000D01AC" w:rsidP="000D01AC">
            <w:pPr>
              <w:spacing w:line="240" w:lineRule="auto"/>
              <w:rPr>
                <w:rFonts w:eastAsia="Times New Roman" w:cs="Arial"/>
                <w:szCs w:val="24"/>
              </w:rPr>
            </w:pPr>
            <w:r w:rsidRPr="000D01AC">
              <w:rPr>
                <w:b/>
                <w:bCs/>
                <w:szCs w:val="20"/>
              </w:rPr>
              <w:t>Респираторни, гръдни и медиастинални нарушения</w:t>
            </w:r>
          </w:p>
        </w:tc>
      </w:tr>
      <w:tr w:rsidR="000D01AC" w14:paraId="45942C44" w14:textId="77777777" w:rsidTr="000D01AC">
        <w:tc>
          <w:tcPr>
            <w:tcW w:w="4788" w:type="dxa"/>
          </w:tcPr>
          <w:p w14:paraId="36B7B13A" w14:textId="50612D57" w:rsidR="000D01AC" w:rsidRPr="000D01AC" w:rsidRDefault="000D01AC" w:rsidP="000D01AC">
            <w:pPr>
              <w:spacing w:line="240" w:lineRule="auto"/>
              <w:rPr>
                <w:rFonts w:eastAsia="Times New Roman" w:cs="Arial"/>
                <w:szCs w:val="24"/>
              </w:rPr>
            </w:pPr>
            <w:r w:rsidRPr="000D01AC">
              <w:rPr>
                <w:szCs w:val="20"/>
              </w:rPr>
              <w:t>Чести</w:t>
            </w:r>
          </w:p>
        </w:tc>
        <w:tc>
          <w:tcPr>
            <w:tcW w:w="4788" w:type="dxa"/>
          </w:tcPr>
          <w:p w14:paraId="4016CBC5" w14:textId="3B154EF4" w:rsidR="000D01AC" w:rsidRPr="000D01AC" w:rsidRDefault="000D01AC" w:rsidP="000D01AC">
            <w:pPr>
              <w:spacing w:line="240" w:lineRule="auto"/>
              <w:rPr>
                <w:rFonts w:eastAsia="Times New Roman" w:cs="Arial"/>
                <w:szCs w:val="24"/>
              </w:rPr>
            </w:pPr>
            <w:r w:rsidRPr="000D01AC">
              <w:rPr>
                <w:szCs w:val="20"/>
              </w:rPr>
              <w:t>Кашлица (вж. точка 4.4)</w:t>
            </w:r>
          </w:p>
        </w:tc>
      </w:tr>
      <w:tr w:rsidR="000D01AC" w14:paraId="3BB10925" w14:textId="77777777" w:rsidTr="000D01AC">
        <w:tc>
          <w:tcPr>
            <w:tcW w:w="4788" w:type="dxa"/>
            <w:vAlign w:val="center"/>
          </w:tcPr>
          <w:p w14:paraId="60731587" w14:textId="3B82B325" w:rsidR="000D01AC" w:rsidRPr="000D01AC" w:rsidRDefault="000D01AC" w:rsidP="000D01AC">
            <w:pPr>
              <w:spacing w:line="240" w:lineRule="auto"/>
              <w:rPr>
                <w:rFonts w:eastAsia="Times New Roman" w:cs="Arial"/>
                <w:szCs w:val="24"/>
              </w:rPr>
            </w:pPr>
            <w:r w:rsidRPr="000D01AC">
              <w:rPr>
                <w:szCs w:val="20"/>
              </w:rPr>
              <w:t>Нечести</w:t>
            </w:r>
          </w:p>
        </w:tc>
        <w:tc>
          <w:tcPr>
            <w:tcW w:w="4788" w:type="dxa"/>
            <w:vAlign w:val="center"/>
          </w:tcPr>
          <w:p w14:paraId="3A0DBA4E" w14:textId="201F5761" w:rsidR="000D01AC" w:rsidRPr="000D01AC" w:rsidRDefault="000D01AC" w:rsidP="000D01AC">
            <w:pPr>
              <w:spacing w:line="240" w:lineRule="auto"/>
              <w:rPr>
                <w:rFonts w:eastAsia="Times New Roman" w:cs="Arial"/>
                <w:szCs w:val="24"/>
              </w:rPr>
            </w:pPr>
            <w:r w:rsidRPr="000D01AC">
              <w:rPr>
                <w:szCs w:val="20"/>
              </w:rPr>
              <w:t>Ринит</w:t>
            </w:r>
          </w:p>
        </w:tc>
      </w:tr>
      <w:tr w:rsidR="000D01AC" w14:paraId="6E055CF9" w14:textId="77777777" w:rsidTr="000D01AC">
        <w:tc>
          <w:tcPr>
            <w:tcW w:w="4788" w:type="dxa"/>
            <w:vAlign w:val="center"/>
          </w:tcPr>
          <w:p w14:paraId="11B89CDF" w14:textId="6D67DBE8" w:rsidR="000D01AC" w:rsidRPr="000D01AC" w:rsidRDefault="000D01AC" w:rsidP="000D01AC">
            <w:pPr>
              <w:spacing w:line="240" w:lineRule="auto"/>
              <w:rPr>
                <w:rFonts w:eastAsia="Times New Roman" w:cs="Arial"/>
                <w:szCs w:val="24"/>
              </w:rPr>
            </w:pPr>
            <w:r w:rsidRPr="000D01AC">
              <w:rPr>
                <w:szCs w:val="20"/>
              </w:rPr>
              <w:t>Много редки</w:t>
            </w:r>
          </w:p>
        </w:tc>
        <w:tc>
          <w:tcPr>
            <w:tcW w:w="4788" w:type="dxa"/>
            <w:vAlign w:val="bottom"/>
          </w:tcPr>
          <w:p w14:paraId="446C51E9" w14:textId="77777777" w:rsidR="000D01AC" w:rsidRPr="000D01AC" w:rsidRDefault="000D01AC" w:rsidP="000D01AC">
            <w:r w:rsidRPr="000D01AC">
              <w:rPr>
                <w:szCs w:val="20"/>
              </w:rPr>
              <w:t>Бронхоспазъм,</w:t>
            </w:r>
            <w:r w:rsidRPr="000D01AC">
              <w:rPr>
                <w:szCs w:val="20"/>
              </w:rPr>
              <w:tab/>
              <w:t>синузит,</w:t>
            </w:r>
            <w:r w:rsidRPr="000D01AC">
              <w:rPr>
                <w:szCs w:val="20"/>
              </w:rPr>
              <w:tab/>
              <w:t>алергичен</w:t>
            </w:r>
          </w:p>
          <w:p w14:paraId="7266D4FA" w14:textId="0A8F3097" w:rsidR="000D01AC" w:rsidRPr="000D01AC" w:rsidRDefault="000D01AC" w:rsidP="000D01AC">
            <w:pPr>
              <w:spacing w:line="240" w:lineRule="auto"/>
              <w:rPr>
                <w:rFonts w:eastAsia="Times New Roman" w:cs="Arial"/>
                <w:szCs w:val="24"/>
              </w:rPr>
            </w:pPr>
            <w:r w:rsidRPr="000D01AC">
              <w:rPr>
                <w:szCs w:val="20"/>
              </w:rPr>
              <w:t>алвеолит/еозинофилна пневмония</w:t>
            </w:r>
          </w:p>
        </w:tc>
      </w:tr>
      <w:tr w:rsidR="000D01AC" w14:paraId="245D6510" w14:textId="77777777" w:rsidTr="000D01AC">
        <w:tc>
          <w:tcPr>
            <w:tcW w:w="9576" w:type="dxa"/>
            <w:gridSpan w:val="2"/>
            <w:vAlign w:val="bottom"/>
          </w:tcPr>
          <w:p w14:paraId="6F29743E" w14:textId="0CF59248" w:rsidR="000D01AC" w:rsidRPr="000D01AC" w:rsidRDefault="000D01AC" w:rsidP="000D01AC">
            <w:pPr>
              <w:spacing w:line="240" w:lineRule="auto"/>
              <w:rPr>
                <w:rFonts w:eastAsia="Times New Roman" w:cs="Arial"/>
                <w:szCs w:val="24"/>
              </w:rPr>
            </w:pPr>
            <w:r w:rsidRPr="000D01AC">
              <w:rPr>
                <w:b/>
                <w:bCs/>
                <w:szCs w:val="20"/>
              </w:rPr>
              <w:t>Стомашно-чревни нарушения</w:t>
            </w:r>
          </w:p>
        </w:tc>
      </w:tr>
      <w:tr w:rsidR="000D01AC" w14:paraId="38E81EDC" w14:textId="77777777" w:rsidTr="000D01AC">
        <w:tc>
          <w:tcPr>
            <w:tcW w:w="4788" w:type="dxa"/>
          </w:tcPr>
          <w:p w14:paraId="2DFAD814" w14:textId="0401FC8D" w:rsidR="000D01AC" w:rsidRPr="000D01AC" w:rsidRDefault="000D01AC" w:rsidP="000D01AC">
            <w:pPr>
              <w:spacing w:line="240" w:lineRule="auto"/>
              <w:rPr>
                <w:rFonts w:eastAsia="Times New Roman" w:cs="Arial"/>
                <w:szCs w:val="24"/>
              </w:rPr>
            </w:pPr>
            <w:r w:rsidRPr="000D01AC">
              <w:rPr>
                <w:szCs w:val="20"/>
              </w:rPr>
              <w:t>Чести</w:t>
            </w:r>
          </w:p>
        </w:tc>
        <w:tc>
          <w:tcPr>
            <w:tcW w:w="4788" w:type="dxa"/>
          </w:tcPr>
          <w:p w14:paraId="0B4032C3" w14:textId="5B425096" w:rsidR="000D01AC" w:rsidRPr="000D01AC" w:rsidRDefault="000D01AC" w:rsidP="000D01AC">
            <w:pPr>
              <w:spacing w:line="240" w:lineRule="auto"/>
              <w:rPr>
                <w:rFonts w:eastAsia="Times New Roman" w:cs="Arial"/>
                <w:szCs w:val="24"/>
              </w:rPr>
            </w:pPr>
            <w:r w:rsidRPr="000D01AC">
              <w:rPr>
                <w:szCs w:val="20"/>
              </w:rPr>
              <w:t>Диария, повръщане</w:t>
            </w:r>
          </w:p>
        </w:tc>
      </w:tr>
      <w:tr w:rsidR="000D01AC" w14:paraId="6CE3AA4C" w14:textId="77777777" w:rsidTr="000D01AC">
        <w:tc>
          <w:tcPr>
            <w:tcW w:w="4788" w:type="dxa"/>
            <w:vAlign w:val="bottom"/>
          </w:tcPr>
          <w:p w14:paraId="3BF4A45B" w14:textId="1A1A8082" w:rsidR="000D01AC" w:rsidRPr="000D01AC" w:rsidRDefault="000D01AC" w:rsidP="000D01AC">
            <w:pPr>
              <w:spacing w:line="240" w:lineRule="auto"/>
              <w:rPr>
                <w:rFonts w:eastAsia="Times New Roman" w:cs="Arial"/>
                <w:szCs w:val="24"/>
              </w:rPr>
            </w:pPr>
            <w:r w:rsidRPr="000D01AC">
              <w:rPr>
                <w:szCs w:val="20"/>
              </w:rPr>
              <w:t>Нечести</w:t>
            </w:r>
          </w:p>
        </w:tc>
        <w:tc>
          <w:tcPr>
            <w:tcW w:w="4788" w:type="dxa"/>
            <w:vAlign w:val="bottom"/>
          </w:tcPr>
          <w:p w14:paraId="33520702" w14:textId="5D24536A" w:rsidR="000D01AC" w:rsidRPr="000D01AC" w:rsidRDefault="000D01AC" w:rsidP="000D01AC">
            <w:pPr>
              <w:spacing w:line="240" w:lineRule="auto"/>
              <w:rPr>
                <w:rFonts w:eastAsia="Times New Roman" w:cs="Arial"/>
                <w:szCs w:val="24"/>
              </w:rPr>
            </w:pPr>
            <w:r w:rsidRPr="000D01AC">
              <w:rPr>
                <w:szCs w:val="20"/>
              </w:rPr>
              <w:t>Гадене, коремни болки и стомашно</w:t>
            </w:r>
            <w:r>
              <w:rPr>
                <w:szCs w:val="20"/>
              </w:rPr>
              <w:t xml:space="preserve"> </w:t>
            </w:r>
            <w:r>
              <w:rPr>
                <w:sz w:val="20"/>
                <w:szCs w:val="20"/>
              </w:rPr>
              <w:t>разстройство</w:t>
            </w:r>
          </w:p>
        </w:tc>
      </w:tr>
      <w:tr w:rsidR="000D01AC" w14:paraId="3FF477B6" w14:textId="77777777" w:rsidTr="000D01AC">
        <w:tc>
          <w:tcPr>
            <w:tcW w:w="4788" w:type="dxa"/>
          </w:tcPr>
          <w:p w14:paraId="750905E4" w14:textId="03642960" w:rsidR="000D01AC" w:rsidRPr="000D01AC" w:rsidRDefault="000D01AC" w:rsidP="000D01AC">
            <w:pPr>
              <w:spacing w:line="240" w:lineRule="auto"/>
              <w:rPr>
                <w:rFonts w:eastAsia="Times New Roman" w:cs="Arial"/>
                <w:szCs w:val="24"/>
              </w:rPr>
            </w:pPr>
            <w:r w:rsidRPr="000D01AC">
              <w:rPr>
                <w:szCs w:val="20"/>
              </w:rPr>
              <w:t>Редки</w:t>
            </w:r>
          </w:p>
        </w:tc>
        <w:tc>
          <w:tcPr>
            <w:tcW w:w="4788" w:type="dxa"/>
            <w:vAlign w:val="bottom"/>
          </w:tcPr>
          <w:p w14:paraId="7633E566" w14:textId="3493F55C" w:rsidR="000D01AC" w:rsidRPr="000D01AC" w:rsidRDefault="000D01AC" w:rsidP="000D01AC">
            <w:pPr>
              <w:spacing w:line="240" w:lineRule="auto"/>
              <w:rPr>
                <w:rFonts w:eastAsia="Times New Roman" w:cs="Arial"/>
                <w:szCs w:val="24"/>
              </w:rPr>
            </w:pPr>
            <w:r w:rsidRPr="000D01AC">
              <w:rPr>
                <w:szCs w:val="20"/>
              </w:rPr>
              <w:t>Пресъхване на устата</w:t>
            </w:r>
          </w:p>
        </w:tc>
      </w:tr>
      <w:tr w:rsidR="000D01AC" w14:paraId="7000F1E2" w14:textId="77777777" w:rsidTr="000D01AC">
        <w:tc>
          <w:tcPr>
            <w:tcW w:w="4788" w:type="dxa"/>
          </w:tcPr>
          <w:p w14:paraId="20A14C1F" w14:textId="2B3887B7" w:rsidR="000D01AC" w:rsidRPr="000D01AC" w:rsidRDefault="000D01AC" w:rsidP="000D01AC">
            <w:pPr>
              <w:spacing w:line="240" w:lineRule="auto"/>
              <w:rPr>
                <w:rFonts w:eastAsia="Times New Roman" w:cs="Arial"/>
                <w:szCs w:val="24"/>
              </w:rPr>
            </w:pPr>
            <w:r w:rsidRPr="000D01AC">
              <w:rPr>
                <w:szCs w:val="20"/>
              </w:rPr>
              <w:t>Много редки</w:t>
            </w:r>
          </w:p>
        </w:tc>
        <w:tc>
          <w:tcPr>
            <w:tcW w:w="4788" w:type="dxa"/>
            <w:vAlign w:val="bottom"/>
          </w:tcPr>
          <w:p w14:paraId="66F21448" w14:textId="32BB4149" w:rsidR="000D01AC" w:rsidRPr="000D01AC" w:rsidRDefault="000D01AC" w:rsidP="000D01AC">
            <w:pPr>
              <w:spacing w:line="240" w:lineRule="auto"/>
              <w:rPr>
                <w:rFonts w:eastAsia="Times New Roman" w:cs="Arial"/>
                <w:szCs w:val="24"/>
              </w:rPr>
            </w:pPr>
            <w:r w:rsidRPr="000D01AC">
              <w:rPr>
                <w:szCs w:val="20"/>
              </w:rPr>
              <w:t>Панкреатит, интестинален ангиоедем</w:t>
            </w:r>
          </w:p>
        </w:tc>
      </w:tr>
      <w:tr w:rsidR="000D01AC" w14:paraId="19FD162A" w14:textId="77777777" w:rsidTr="000D01AC">
        <w:tc>
          <w:tcPr>
            <w:tcW w:w="9576" w:type="dxa"/>
            <w:gridSpan w:val="2"/>
            <w:vAlign w:val="bottom"/>
          </w:tcPr>
          <w:p w14:paraId="606190CE" w14:textId="0A2FBB09" w:rsidR="000D01AC" w:rsidRPr="000D01AC" w:rsidRDefault="000D01AC" w:rsidP="000D01AC">
            <w:pPr>
              <w:spacing w:line="240" w:lineRule="auto"/>
              <w:rPr>
                <w:rFonts w:eastAsia="Times New Roman" w:cs="Arial"/>
                <w:szCs w:val="24"/>
              </w:rPr>
            </w:pPr>
            <w:r w:rsidRPr="000D01AC">
              <w:rPr>
                <w:b/>
                <w:bCs/>
                <w:szCs w:val="20"/>
              </w:rPr>
              <w:t>Хепатобилиарни нарушения</w:t>
            </w:r>
          </w:p>
        </w:tc>
      </w:tr>
      <w:tr w:rsidR="000D01AC" w14:paraId="1B24F37B" w14:textId="77777777" w:rsidTr="000D01AC">
        <w:tc>
          <w:tcPr>
            <w:tcW w:w="4788" w:type="dxa"/>
          </w:tcPr>
          <w:p w14:paraId="1D480F3E" w14:textId="0D426BA8" w:rsidR="000D01AC" w:rsidRPr="000D01AC" w:rsidRDefault="000D01AC" w:rsidP="000D01AC">
            <w:pPr>
              <w:spacing w:line="240" w:lineRule="auto"/>
              <w:rPr>
                <w:rFonts w:eastAsia="Times New Roman" w:cs="Arial"/>
                <w:szCs w:val="24"/>
              </w:rPr>
            </w:pPr>
            <w:r w:rsidRPr="000D01AC">
              <w:rPr>
                <w:szCs w:val="20"/>
              </w:rPr>
              <w:t>Нечести</w:t>
            </w:r>
          </w:p>
        </w:tc>
        <w:tc>
          <w:tcPr>
            <w:tcW w:w="4788" w:type="dxa"/>
          </w:tcPr>
          <w:p w14:paraId="707D8A06" w14:textId="4828D6CF" w:rsidR="000D01AC" w:rsidRPr="000D01AC" w:rsidRDefault="000D01AC" w:rsidP="000D01AC">
            <w:pPr>
              <w:spacing w:line="240" w:lineRule="auto"/>
              <w:rPr>
                <w:rFonts w:eastAsia="Times New Roman" w:cs="Arial"/>
                <w:szCs w:val="24"/>
              </w:rPr>
            </w:pPr>
            <w:r w:rsidRPr="000D01AC">
              <w:rPr>
                <w:szCs w:val="20"/>
              </w:rPr>
              <w:t>Повишени стойности на чернодробните ензими и билирубина.</w:t>
            </w:r>
          </w:p>
        </w:tc>
      </w:tr>
      <w:tr w:rsidR="000D01AC" w14:paraId="350D8D18" w14:textId="77777777" w:rsidTr="000D01AC">
        <w:tc>
          <w:tcPr>
            <w:tcW w:w="4788" w:type="dxa"/>
          </w:tcPr>
          <w:p w14:paraId="739D6D5A" w14:textId="61C5A7AD" w:rsidR="000D01AC" w:rsidRPr="000D01AC" w:rsidRDefault="000D01AC" w:rsidP="000D01AC">
            <w:pPr>
              <w:spacing w:line="240" w:lineRule="auto"/>
              <w:rPr>
                <w:rFonts w:eastAsia="Times New Roman" w:cs="Arial"/>
                <w:szCs w:val="24"/>
              </w:rPr>
            </w:pPr>
            <w:r w:rsidRPr="000D01AC">
              <w:rPr>
                <w:szCs w:val="20"/>
              </w:rPr>
              <w:t>Много редки</w:t>
            </w:r>
          </w:p>
        </w:tc>
        <w:tc>
          <w:tcPr>
            <w:tcW w:w="4788" w:type="dxa"/>
            <w:vAlign w:val="center"/>
          </w:tcPr>
          <w:p w14:paraId="79791452" w14:textId="76BE87F0" w:rsidR="000D01AC" w:rsidRPr="000D01AC" w:rsidRDefault="000D01AC" w:rsidP="000D01AC">
            <w:pPr>
              <w:spacing w:line="240" w:lineRule="auto"/>
              <w:rPr>
                <w:rFonts w:eastAsia="Times New Roman" w:cs="Arial"/>
                <w:szCs w:val="24"/>
              </w:rPr>
            </w:pPr>
            <w:r w:rsidRPr="000D01AC">
              <w:rPr>
                <w:szCs w:val="20"/>
              </w:rPr>
              <w:t>Хепатит - или хепатоцелуларен или холестатичен, жълтеница и чернодробна недостатъчност (вж. точка 4.4)*.</w:t>
            </w:r>
          </w:p>
        </w:tc>
      </w:tr>
      <w:tr w:rsidR="000D01AC" w14:paraId="2D6C1905" w14:textId="77777777" w:rsidTr="000D01AC">
        <w:tc>
          <w:tcPr>
            <w:tcW w:w="9576" w:type="dxa"/>
            <w:gridSpan w:val="2"/>
            <w:vAlign w:val="bottom"/>
          </w:tcPr>
          <w:p w14:paraId="3A85787D" w14:textId="0385978C" w:rsidR="000D01AC" w:rsidRPr="000D01AC" w:rsidRDefault="000D01AC" w:rsidP="000D01AC">
            <w:pPr>
              <w:spacing w:line="240" w:lineRule="auto"/>
              <w:rPr>
                <w:rFonts w:eastAsia="Times New Roman" w:cs="Arial"/>
                <w:szCs w:val="24"/>
              </w:rPr>
            </w:pPr>
            <w:r w:rsidRPr="000D01AC">
              <w:rPr>
                <w:b/>
                <w:bCs/>
                <w:szCs w:val="20"/>
              </w:rPr>
              <w:t>Нарушения на кожата и подкожната тъкан</w:t>
            </w:r>
          </w:p>
        </w:tc>
      </w:tr>
      <w:tr w:rsidR="000D01AC" w14:paraId="0DE7871B" w14:textId="77777777" w:rsidTr="000D01AC">
        <w:tc>
          <w:tcPr>
            <w:tcW w:w="4788" w:type="dxa"/>
          </w:tcPr>
          <w:p w14:paraId="5D4B99A9" w14:textId="77777777" w:rsidR="000D01AC" w:rsidRPr="000D01AC" w:rsidRDefault="000D01AC" w:rsidP="000D01AC">
            <w:r w:rsidRPr="000D01AC">
              <w:rPr>
                <w:szCs w:val="20"/>
              </w:rPr>
              <w:lastRenderedPageBreak/>
              <w:t>Нечести</w:t>
            </w:r>
          </w:p>
          <w:p w14:paraId="2708A4D7" w14:textId="77C3B897" w:rsidR="000D01AC" w:rsidRPr="000D01AC" w:rsidRDefault="000D01AC" w:rsidP="000D01AC">
            <w:pPr>
              <w:spacing w:line="240" w:lineRule="auto"/>
              <w:rPr>
                <w:rFonts w:eastAsia="Times New Roman" w:cs="Arial"/>
                <w:szCs w:val="24"/>
              </w:rPr>
            </w:pPr>
          </w:p>
        </w:tc>
        <w:tc>
          <w:tcPr>
            <w:tcW w:w="4788" w:type="dxa"/>
          </w:tcPr>
          <w:p w14:paraId="11A8A5A6" w14:textId="57DF24CC" w:rsidR="000D01AC" w:rsidRPr="000D01AC" w:rsidRDefault="000D01AC" w:rsidP="000D01AC">
            <w:pPr>
              <w:rPr>
                <w:szCs w:val="20"/>
              </w:rPr>
            </w:pPr>
            <w:r w:rsidRPr="000D01AC">
              <w:rPr>
                <w:szCs w:val="20"/>
              </w:rPr>
              <w:t>Обрив, сърбеж</w:t>
            </w:r>
          </w:p>
        </w:tc>
      </w:tr>
      <w:tr w:rsidR="000D01AC" w14:paraId="60E07879" w14:textId="77777777" w:rsidTr="000D01AC">
        <w:tc>
          <w:tcPr>
            <w:tcW w:w="4788" w:type="dxa"/>
          </w:tcPr>
          <w:p w14:paraId="2F69E05A" w14:textId="646452A7" w:rsidR="000D01AC" w:rsidRPr="000D01AC" w:rsidRDefault="000D01AC" w:rsidP="000D01AC">
            <w:pPr>
              <w:rPr>
                <w:szCs w:val="20"/>
              </w:rPr>
            </w:pPr>
            <w:r w:rsidRPr="000D01AC">
              <w:rPr>
                <w:szCs w:val="20"/>
              </w:rPr>
              <w:t>Редки</w:t>
            </w:r>
          </w:p>
        </w:tc>
        <w:tc>
          <w:tcPr>
            <w:tcW w:w="4788" w:type="dxa"/>
          </w:tcPr>
          <w:p w14:paraId="06C60A2D" w14:textId="77777777" w:rsidR="000D01AC" w:rsidRPr="000D01AC" w:rsidRDefault="000D01AC" w:rsidP="000D01AC">
            <w:r w:rsidRPr="000D01AC">
              <w:rPr>
                <w:szCs w:val="20"/>
              </w:rPr>
              <w:t>Свръхчувствителн</w:t>
            </w:r>
            <w:r>
              <w:rPr>
                <w:szCs w:val="20"/>
              </w:rPr>
              <w:t xml:space="preserve">ост/ </w:t>
            </w:r>
            <w:r w:rsidRPr="000D01AC">
              <w:rPr>
                <w:szCs w:val="20"/>
              </w:rPr>
              <w:t>ангионевротичен</w:t>
            </w:r>
          </w:p>
          <w:p w14:paraId="0BD0B5F0" w14:textId="76811AB7" w:rsidR="000D01AC" w:rsidRPr="000D01AC" w:rsidRDefault="000D01AC" w:rsidP="000D01AC">
            <w:pPr>
              <w:rPr>
                <w:szCs w:val="20"/>
              </w:rPr>
            </w:pPr>
            <w:r w:rsidRPr="000D01AC">
              <w:rPr>
                <w:szCs w:val="20"/>
              </w:rPr>
              <w:t>оток: ангионевротичен оток на лицето, крайниците, устните, езика, глотиса и/или ларинкса (вж. точка 4.4), уртикария, алопеция, псориазис.</w:t>
            </w:r>
          </w:p>
        </w:tc>
      </w:tr>
      <w:tr w:rsidR="000D01AC" w14:paraId="3284C9CB" w14:textId="77777777" w:rsidTr="000D01AC">
        <w:tc>
          <w:tcPr>
            <w:tcW w:w="4788" w:type="dxa"/>
          </w:tcPr>
          <w:p w14:paraId="0636DA53" w14:textId="423AB1E9" w:rsidR="000D01AC" w:rsidRPr="000D01AC" w:rsidRDefault="000D01AC" w:rsidP="000D01AC">
            <w:pPr>
              <w:spacing w:line="240" w:lineRule="auto"/>
              <w:rPr>
                <w:rFonts w:eastAsia="Times New Roman" w:cs="Arial"/>
                <w:szCs w:val="24"/>
              </w:rPr>
            </w:pPr>
            <w:r w:rsidRPr="000D01AC">
              <w:rPr>
                <w:szCs w:val="20"/>
              </w:rPr>
              <w:t>Много редки</w:t>
            </w:r>
          </w:p>
        </w:tc>
        <w:tc>
          <w:tcPr>
            <w:tcW w:w="4788" w:type="dxa"/>
            <w:vAlign w:val="center"/>
          </w:tcPr>
          <w:p w14:paraId="60C81E38" w14:textId="77777777" w:rsidR="000D01AC" w:rsidRPr="000D01AC" w:rsidRDefault="000D01AC" w:rsidP="000D01AC">
            <w:r w:rsidRPr="000D01AC">
              <w:rPr>
                <w:szCs w:val="20"/>
              </w:rPr>
              <w:t>Изпотяване,</w:t>
            </w:r>
            <w:r w:rsidRPr="000D01AC">
              <w:rPr>
                <w:szCs w:val="20"/>
              </w:rPr>
              <w:tab/>
              <w:t>пемфигус,</w:t>
            </w:r>
            <w:r w:rsidRPr="000D01AC">
              <w:rPr>
                <w:szCs w:val="20"/>
              </w:rPr>
              <w:tab/>
              <w:t>токсична</w:t>
            </w:r>
          </w:p>
          <w:p w14:paraId="01624885" w14:textId="783C3DBB" w:rsidR="000D01AC" w:rsidRPr="000D01AC" w:rsidRDefault="000D01AC" w:rsidP="000D01AC">
            <w:pPr>
              <w:spacing w:line="240" w:lineRule="auto"/>
              <w:rPr>
                <w:rFonts w:eastAsia="Times New Roman" w:cs="Arial"/>
                <w:szCs w:val="24"/>
              </w:rPr>
            </w:pPr>
            <w:r w:rsidRPr="000D01AC">
              <w:rPr>
                <w:szCs w:val="20"/>
              </w:rPr>
              <w:t>епидермална некролиза, синдром на Стивънс-Джонсън, еритема мултиформе, кожен псевдолимфом**.</w:t>
            </w:r>
          </w:p>
        </w:tc>
      </w:tr>
      <w:tr w:rsidR="000D01AC" w14:paraId="687600B6" w14:textId="77777777" w:rsidTr="000D01AC">
        <w:tc>
          <w:tcPr>
            <w:tcW w:w="9576" w:type="dxa"/>
            <w:gridSpan w:val="2"/>
            <w:vAlign w:val="bottom"/>
          </w:tcPr>
          <w:p w14:paraId="0E86E7C4" w14:textId="2C0CD35B" w:rsidR="000D01AC" w:rsidRPr="000D01AC" w:rsidRDefault="000D01AC" w:rsidP="000D01AC">
            <w:pPr>
              <w:spacing w:line="240" w:lineRule="auto"/>
              <w:rPr>
                <w:rFonts w:eastAsia="Times New Roman" w:cs="Arial"/>
                <w:szCs w:val="24"/>
              </w:rPr>
            </w:pPr>
            <w:r w:rsidRPr="000D01AC">
              <w:rPr>
                <w:b/>
                <w:bCs/>
                <w:szCs w:val="20"/>
              </w:rPr>
              <w:t>Нарушения на бъбреците и пикочните пътища</w:t>
            </w:r>
          </w:p>
        </w:tc>
      </w:tr>
      <w:tr w:rsidR="000D01AC" w14:paraId="12A94026" w14:textId="77777777" w:rsidTr="000D01AC">
        <w:tc>
          <w:tcPr>
            <w:tcW w:w="4788" w:type="dxa"/>
          </w:tcPr>
          <w:p w14:paraId="120638A6" w14:textId="123E7703" w:rsidR="000D01AC" w:rsidRPr="000D01AC" w:rsidRDefault="000D01AC" w:rsidP="000D01AC">
            <w:pPr>
              <w:spacing w:line="240" w:lineRule="auto"/>
              <w:rPr>
                <w:rFonts w:eastAsia="Times New Roman" w:cs="Arial"/>
                <w:szCs w:val="24"/>
              </w:rPr>
            </w:pPr>
            <w:r w:rsidRPr="000D01AC">
              <w:rPr>
                <w:szCs w:val="20"/>
              </w:rPr>
              <w:t>Чести</w:t>
            </w:r>
          </w:p>
        </w:tc>
        <w:tc>
          <w:tcPr>
            <w:tcW w:w="4788" w:type="dxa"/>
          </w:tcPr>
          <w:p w14:paraId="13B7F11A" w14:textId="01687ABF" w:rsidR="000D01AC" w:rsidRPr="000D01AC" w:rsidRDefault="000D01AC" w:rsidP="000D01AC">
            <w:pPr>
              <w:spacing w:line="240" w:lineRule="auto"/>
              <w:rPr>
                <w:rFonts w:eastAsia="Times New Roman" w:cs="Arial"/>
                <w:szCs w:val="24"/>
              </w:rPr>
            </w:pPr>
            <w:r w:rsidRPr="000D01AC">
              <w:rPr>
                <w:szCs w:val="20"/>
              </w:rPr>
              <w:t>Бъбречна дисфункция</w:t>
            </w:r>
          </w:p>
        </w:tc>
      </w:tr>
      <w:tr w:rsidR="000D01AC" w14:paraId="2CF5002E" w14:textId="77777777" w:rsidTr="000D01AC">
        <w:tc>
          <w:tcPr>
            <w:tcW w:w="4788" w:type="dxa"/>
            <w:vAlign w:val="center"/>
          </w:tcPr>
          <w:p w14:paraId="020EB325" w14:textId="20399DE5" w:rsidR="000D01AC" w:rsidRPr="000D01AC" w:rsidRDefault="000D01AC" w:rsidP="000D01AC">
            <w:pPr>
              <w:spacing w:line="240" w:lineRule="auto"/>
              <w:rPr>
                <w:rFonts w:eastAsia="Times New Roman" w:cs="Arial"/>
                <w:szCs w:val="24"/>
              </w:rPr>
            </w:pPr>
            <w:r w:rsidRPr="000D01AC">
              <w:rPr>
                <w:szCs w:val="20"/>
              </w:rPr>
              <w:t>Редки</w:t>
            </w:r>
          </w:p>
        </w:tc>
        <w:tc>
          <w:tcPr>
            <w:tcW w:w="4788" w:type="dxa"/>
            <w:vAlign w:val="center"/>
          </w:tcPr>
          <w:p w14:paraId="08FB54E8" w14:textId="5D6B2FFC" w:rsidR="000D01AC" w:rsidRPr="000D01AC" w:rsidRDefault="000D01AC" w:rsidP="000D01AC">
            <w:pPr>
              <w:spacing w:line="240" w:lineRule="auto"/>
              <w:rPr>
                <w:rFonts w:eastAsia="Times New Roman" w:cs="Arial"/>
                <w:szCs w:val="24"/>
              </w:rPr>
            </w:pPr>
            <w:r w:rsidRPr="000D01AC">
              <w:rPr>
                <w:szCs w:val="20"/>
              </w:rPr>
              <w:t>Уремия, остра бъбречна недостатъчност</w:t>
            </w:r>
          </w:p>
        </w:tc>
      </w:tr>
      <w:tr w:rsidR="000D01AC" w14:paraId="27CABD7F" w14:textId="77777777" w:rsidTr="000D01AC">
        <w:tc>
          <w:tcPr>
            <w:tcW w:w="4788" w:type="dxa"/>
            <w:vAlign w:val="bottom"/>
          </w:tcPr>
          <w:p w14:paraId="4E14C283" w14:textId="741CBB0F" w:rsidR="000D01AC" w:rsidRPr="000D01AC" w:rsidRDefault="000D01AC" w:rsidP="000D01AC">
            <w:pPr>
              <w:spacing w:line="240" w:lineRule="auto"/>
              <w:rPr>
                <w:rFonts w:eastAsia="Times New Roman" w:cs="Arial"/>
                <w:szCs w:val="24"/>
              </w:rPr>
            </w:pPr>
            <w:r w:rsidRPr="000D01AC">
              <w:rPr>
                <w:szCs w:val="20"/>
              </w:rPr>
              <w:t>Много редки</w:t>
            </w:r>
          </w:p>
        </w:tc>
        <w:tc>
          <w:tcPr>
            <w:tcW w:w="4788" w:type="dxa"/>
            <w:vAlign w:val="bottom"/>
          </w:tcPr>
          <w:p w14:paraId="0D76F612" w14:textId="0D41352C" w:rsidR="000D01AC" w:rsidRPr="000D01AC" w:rsidRDefault="000D01AC" w:rsidP="000D01AC">
            <w:pPr>
              <w:spacing w:line="240" w:lineRule="auto"/>
              <w:rPr>
                <w:rFonts w:eastAsia="Times New Roman" w:cs="Arial"/>
                <w:szCs w:val="24"/>
              </w:rPr>
            </w:pPr>
            <w:r w:rsidRPr="000D01AC">
              <w:rPr>
                <w:szCs w:val="20"/>
              </w:rPr>
              <w:t>Олигурия/анурия</w:t>
            </w:r>
          </w:p>
        </w:tc>
      </w:tr>
      <w:tr w:rsidR="000D01AC" w14:paraId="26A2EE0A" w14:textId="77777777" w:rsidTr="000D01AC">
        <w:tc>
          <w:tcPr>
            <w:tcW w:w="9576" w:type="dxa"/>
            <w:gridSpan w:val="2"/>
            <w:vAlign w:val="bottom"/>
          </w:tcPr>
          <w:p w14:paraId="1FCD6B87" w14:textId="1BB064A0" w:rsidR="000D01AC" w:rsidRPr="000D01AC" w:rsidRDefault="000D01AC" w:rsidP="000D01AC">
            <w:pPr>
              <w:spacing w:line="240" w:lineRule="auto"/>
              <w:rPr>
                <w:rFonts w:eastAsia="Times New Roman" w:cs="Arial"/>
                <w:szCs w:val="24"/>
              </w:rPr>
            </w:pPr>
            <w:r w:rsidRPr="000D01AC">
              <w:rPr>
                <w:b/>
                <w:bCs/>
                <w:szCs w:val="20"/>
              </w:rPr>
              <w:t>Нарушения на възпроизводителната система и гърдата</w:t>
            </w:r>
          </w:p>
        </w:tc>
      </w:tr>
      <w:tr w:rsidR="000D01AC" w14:paraId="7FEA1F32" w14:textId="77777777" w:rsidTr="000D01AC">
        <w:tc>
          <w:tcPr>
            <w:tcW w:w="4788" w:type="dxa"/>
          </w:tcPr>
          <w:p w14:paraId="5392C0DC" w14:textId="69003539" w:rsidR="000D01AC" w:rsidRPr="000D01AC" w:rsidRDefault="000D01AC" w:rsidP="000D01AC">
            <w:pPr>
              <w:spacing w:line="240" w:lineRule="auto"/>
              <w:rPr>
                <w:rFonts w:eastAsia="Times New Roman" w:cs="Arial"/>
                <w:szCs w:val="24"/>
              </w:rPr>
            </w:pPr>
            <w:r w:rsidRPr="000D01AC">
              <w:rPr>
                <w:szCs w:val="20"/>
              </w:rPr>
              <w:t>Нечести</w:t>
            </w:r>
          </w:p>
        </w:tc>
        <w:tc>
          <w:tcPr>
            <w:tcW w:w="4788" w:type="dxa"/>
          </w:tcPr>
          <w:p w14:paraId="3FFD9FD9" w14:textId="4806B249" w:rsidR="000D01AC" w:rsidRPr="000D01AC" w:rsidRDefault="000D01AC" w:rsidP="000D01AC">
            <w:pPr>
              <w:spacing w:line="240" w:lineRule="auto"/>
              <w:rPr>
                <w:rFonts w:eastAsia="Times New Roman" w:cs="Arial"/>
                <w:szCs w:val="24"/>
              </w:rPr>
            </w:pPr>
            <w:r w:rsidRPr="000D01AC">
              <w:rPr>
                <w:szCs w:val="20"/>
              </w:rPr>
              <w:t>Импотентност</w:t>
            </w:r>
          </w:p>
        </w:tc>
      </w:tr>
      <w:tr w:rsidR="000D01AC" w14:paraId="23FECD24" w14:textId="77777777" w:rsidTr="000D01AC">
        <w:tc>
          <w:tcPr>
            <w:tcW w:w="4788" w:type="dxa"/>
            <w:vAlign w:val="bottom"/>
          </w:tcPr>
          <w:p w14:paraId="53BBB96C" w14:textId="43F2678C" w:rsidR="000D01AC" w:rsidRPr="000D01AC" w:rsidRDefault="000D01AC" w:rsidP="000D01AC">
            <w:pPr>
              <w:spacing w:line="240" w:lineRule="auto"/>
              <w:rPr>
                <w:rFonts w:eastAsia="Times New Roman" w:cs="Arial"/>
                <w:szCs w:val="24"/>
              </w:rPr>
            </w:pPr>
            <w:r w:rsidRPr="000D01AC">
              <w:rPr>
                <w:szCs w:val="20"/>
              </w:rPr>
              <w:t>Редки</w:t>
            </w:r>
          </w:p>
        </w:tc>
        <w:tc>
          <w:tcPr>
            <w:tcW w:w="4788" w:type="dxa"/>
            <w:vAlign w:val="bottom"/>
          </w:tcPr>
          <w:p w14:paraId="63C5529A" w14:textId="457B3535" w:rsidR="000D01AC" w:rsidRPr="000D01AC" w:rsidRDefault="000D01AC" w:rsidP="000D01AC">
            <w:pPr>
              <w:spacing w:line="240" w:lineRule="auto"/>
              <w:rPr>
                <w:rFonts w:eastAsia="Times New Roman" w:cs="Arial"/>
                <w:szCs w:val="24"/>
              </w:rPr>
            </w:pPr>
            <w:r w:rsidRPr="000D01AC">
              <w:rPr>
                <w:szCs w:val="20"/>
              </w:rPr>
              <w:t>Гинекомастия</w:t>
            </w:r>
          </w:p>
        </w:tc>
      </w:tr>
      <w:tr w:rsidR="000D01AC" w14:paraId="1C5C2451" w14:textId="77777777" w:rsidTr="000D01AC">
        <w:tc>
          <w:tcPr>
            <w:tcW w:w="9576" w:type="dxa"/>
            <w:gridSpan w:val="2"/>
            <w:vAlign w:val="bottom"/>
          </w:tcPr>
          <w:p w14:paraId="76DD2187" w14:textId="36FF662F" w:rsidR="000D01AC" w:rsidRPr="000D01AC" w:rsidRDefault="000D01AC" w:rsidP="000D01AC">
            <w:pPr>
              <w:spacing w:line="240" w:lineRule="auto"/>
              <w:rPr>
                <w:rFonts w:eastAsia="Times New Roman" w:cs="Arial"/>
                <w:szCs w:val="24"/>
              </w:rPr>
            </w:pPr>
            <w:r w:rsidRPr="000D01AC">
              <w:rPr>
                <w:b/>
                <w:bCs/>
                <w:szCs w:val="20"/>
              </w:rPr>
              <w:t>Общи нарушения и ефекти на мястото на приложение</w:t>
            </w:r>
          </w:p>
        </w:tc>
      </w:tr>
      <w:tr w:rsidR="000D01AC" w14:paraId="172F53F3" w14:textId="77777777" w:rsidTr="000D01AC">
        <w:tc>
          <w:tcPr>
            <w:tcW w:w="9576" w:type="dxa"/>
            <w:gridSpan w:val="2"/>
            <w:vAlign w:val="bottom"/>
          </w:tcPr>
          <w:p w14:paraId="4E57BE60" w14:textId="0B8A331B" w:rsidR="000D01AC" w:rsidRPr="000D01AC" w:rsidRDefault="000D01AC" w:rsidP="000D01AC">
            <w:pPr>
              <w:spacing w:line="240" w:lineRule="auto"/>
              <w:rPr>
                <w:rFonts w:eastAsia="Times New Roman" w:cs="Arial"/>
                <w:szCs w:val="24"/>
              </w:rPr>
            </w:pPr>
            <w:r w:rsidRPr="000D01AC">
              <w:rPr>
                <w:b/>
                <w:bCs/>
                <w:szCs w:val="20"/>
              </w:rPr>
              <w:t>Нарушения на ендокринната система</w:t>
            </w:r>
          </w:p>
        </w:tc>
      </w:tr>
      <w:tr w:rsidR="000D01AC" w14:paraId="3D9D8FD0" w14:textId="77777777" w:rsidTr="000D01AC">
        <w:tc>
          <w:tcPr>
            <w:tcW w:w="4788" w:type="dxa"/>
          </w:tcPr>
          <w:p w14:paraId="0DB45A69" w14:textId="122675B6" w:rsidR="000D01AC" w:rsidRPr="000D01AC" w:rsidRDefault="000D01AC" w:rsidP="000D01AC">
            <w:pPr>
              <w:spacing w:line="240" w:lineRule="auto"/>
              <w:rPr>
                <w:rFonts w:eastAsia="Times New Roman" w:cs="Arial"/>
                <w:szCs w:val="24"/>
              </w:rPr>
            </w:pPr>
            <w:r w:rsidRPr="000D01AC">
              <w:rPr>
                <w:szCs w:val="20"/>
              </w:rPr>
              <w:t>Редки</w:t>
            </w:r>
          </w:p>
        </w:tc>
        <w:tc>
          <w:tcPr>
            <w:tcW w:w="4788" w:type="dxa"/>
            <w:vAlign w:val="bottom"/>
          </w:tcPr>
          <w:p w14:paraId="5AFD2C69" w14:textId="687E8D2C" w:rsidR="000D01AC" w:rsidRPr="000D01AC" w:rsidRDefault="000D01AC" w:rsidP="000D01AC">
            <w:pPr>
              <w:spacing w:line="240" w:lineRule="auto"/>
              <w:rPr>
                <w:rFonts w:eastAsia="Times New Roman" w:cs="Arial"/>
                <w:szCs w:val="24"/>
              </w:rPr>
            </w:pPr>
            <w:r w:rsidRPr="000D01AC">
              <w:rPr>
                <w:szCs w:val="20"/>
              </w:rPr>
              <w:t>Синдром на необичайна секреция на антидиуретичен хормон</w:t>
            </w:r>
          </w:p>
        </w:tc>
      </w:tr>
      <w:tr w:rsidR="000D01AC" w14:paraId="675CDFA4" w14:textId="77777777" w:rsidTr="000D01AC">
        <w:tc>
          <w:tcPr>
            <w:tcW w:w="4788" w:type="dxa"/>
            <w:vAlign w:val="bottom"/>
          </w:tcPr>
          <w:p w14:paraId="60A2E5F8" w14:textId="59FACAD1" w:rsidR="000D01AC" w:rsidRPr="000D01AC" w:rsidRDefault="000D01AC" w:rsidP="000D01AC">
            <w:pPr>
              <w:spacing w:line="240" w:lineRule="auto"/>
              <w:rPr>
                <w:rFonts w:eastAsia="Times New Roman" w:cs="Arial"/>
                <w:szCs w:val="24"/>
              </w:rPr>
            </w:pPr>
            <w:r w:rsidRPr="000D01AC">
              <w:rPr>
                <w:szCs w:val="20"/>
              </w:rPr>
              <w:t>Нечести</w:t>
            </w:r>
          </w:p>
        </w:tc>
        <w:tc>
          <w:tcPr>
            <w:tcW w:w="4788" w:type="dxa"/>
            <w:vAlign w:val="bottom"/>
          </w:tcPr>
          <w:p w14:paraId="645D38E7" w14:textId="05439B1B" w:rsidR="000D01AC" w:rsidRPr="000D01AC" w:rsidRDefault="000D01AC" w:rsidP="000D01AC">
            <w:pPr>
              <w:spacing w:line="240" w:lineRule="auto"/>
              <w:rPr>
                <w:rFonts w:eastAsia="Times New Roman" w:cs="Arial"/>
                <w:szCs w:val="24"/>
              </w:rPr>
            </w:pPr>
            <w:r w:rsidRPr="000D01AC">
              <w:rPr>
                <w:szCs w:val="20"/>
              </w:rPr>
              <w:t>Астения, умора</w:t>
            </w:r>
          </w:p>
        </w:tc>
      </w:tr>
      <w:tr w:rsidR="000D01AC" w14:paraId="6D654573" w14:textId="77777777" w:rsidTr="000D01AC">
        <w:tc>
          <w:tcPr>
            <w:tcW w:w="9576" w:type="dxa"/>
            <w:gridSpan w:val="2"/>
            <w:vAlign w:val="bottom"/>
          </w:tcPr>
          <w:p w14:paraId="21239704" w14:textId="22AA5C92" w:rsidR="000D01AC" w:rsidRPr="000D01AC" w:rsidRDefault="000D01AC" w:rsidP="000D01AC">
            <w:pPr>
              <w:spacing w:line="240" w:lineRule="auto"/>
              <w:rPr>
                <w:rFonts w:eastAsia="Times New Roman" w:cs="Arial"/>
                <w:szCs w:val="24"/>
              </w:rPr>
            </w:pPr>
            <w:r w:rsidRPr="000D01AC">
              <w:rPr>
                <w:b/>
                <w:bCs/>
                <w:szCs w:val="20"/>
              </w:rPr>
              <w:t>Изследвания</w:t>
            </w:r>
          </w:p>
        </w:tc>
      </w:tr>
      <w:tr w:rsidR="000D01AC" w14:paraId="24F66324" w14:textId="77777777" w:rsidTr="000D01AC">
        <w:tc>
          <w:tcPr>
            <w:tcW w:w="4788" w:type="dxa"/>
          </w:tcPr>
          <w:p w14:paraId="6126342D" w14:textId="1DBA304E" w:rsidR="000D01AC" w:rsidRPr="000D01AC" w:rsidRDefault="000D01AC" w:rsidP="000D01AC">
            <w:pPr>
              <w:spacing w:line="240" w:lineRule="auto"/>
              <w:rPr>
                <w:rFonts w:eastAsia="Times New Roman" w:cs="Arial"/>
                <w:szCs w:val="24"/>
              </w:rPr>
            </w:pPr>
            <w:r w:rsidRPr="000D01AC">
              <w:rPr>
                <w:szCs w:val="20"/>
              </w:rPr>
              <w:t>Нечести</w:t>
            </w:r>
          </w:p>
        </w:tc>
        <w:tc>
          <w:tcPr>
            <w:tcW w:w="4788" w:type="dxa"/>
          </w:tcPr>
          <w:p w14:paraId="11AC95AA" w14:textId="0ADBE486" w:rsidR="000D01AC" w:rsidRPr="000D01AC" w:rsidRDefault="000D01AC" w:rsidP="000D01AC">
            <w:pPr>
              <w:spacing w:line="240" w:lineRule="auto"/>
              <w:rPr>
                <w:rFonts w:eastAsia="Times New Roman" w:cs="Arial"/>
                <w:szCs w:val="24"/>
              </w:rPr>
            </w:pPr>
            <w:r w:rsidRPr="000D01AC">
              <w:rPr>
                <w:szCs w:val="20"/>
              </w:rPr>
              <w:t>Повишение на кръвната урея, повишение на серумния креатинин, хиперкалиемия</w:t>
            </w:r>
          </w:p>
        </w:tc>
      </w:tr>
      <w:tr w:rsidR="000D01AC" w14:paraId="5FBB0B58" w14:textId="77777777" w:rsidTr="000D01AC">
        <w:tc>
          <w:tcPr>
            <w:tcW w:w="4788" w:type="dxa"/>
            <w:vAlign w:val="bottom"/>
          </w:tcPr>
          <w:p w14:paraId="1B462164" w14:textId="30DAA765" w:rsidR="000D01AC" w:rsidRPr="000D01AC" w:rsidRDefault="000D01AC" w:rsidP="000D01AC">
            <w:pPr>
              <w:spacing w:line="240" w:lineRule="auto"/>
              <w:rPr>
                <w:rFonts w:eastAsia="Times New Roman" w:cs="Arial"/>
                <w:szCs w:val="24"/>
              </w:rPr>
            </w:pPr>
            <w:r w:rsidRPr="000D01AC">
              <w:rPr>
                <w:szCs w:val="20"/>
              </w:rPr>
              <w:t>Редки</w:t>
            </w:r>
          </w:p>
        </w:tc>
        <w:tc>
          <w:tcPr>
            <w:tcW w:w="4788" w:type="dxa"/>
            <w:vAlign w:val="bottom"/>
          </w:tcPr>
          <w:p w14:paraId="6C7BAD7A" w14:textId="4F54A8CE" w:rsidR="000D01AC" w:rsidRPr="000D01AC" w:rsidRDefault="000D01AC" w:rsidP="000D01AC">
            <w:pPr>
              <w:spacing w:line="240" w:lineRule="auto"/>
              <w:rPr>
                <w:rFonts w:eastAsia="Times New Roman" w:cs="Arial"/>
                <w:szCs w:val="24"/>
              </w:rPr>
            </w:pPr>
            <w:r w:rsidRPr="000D01AC">
              <w:rPr>
                <w:szCs w:val="20"/>
              </w:rPr>
              <w:t>Хипонатриемия</w:t>
            </w:r>
          </w:p>
        </w:tc>
      </w:tr>
    </w:tbl>
    <w:p w14:paraId="5769D1A5" w14:textId="77777777" w:rsidR="000D01AC" w:rsidRPr="000D01AC" w:rsidRDefault="000D01AC" w:rsidP="000D01AC">
      <w:pPr>
        <w:spacing w:line="240" w:lineRule="auto"/>
        <w:rPr>
          <w:rFonts w:eastAsia="Times New Roman" w:cs="Arial"/>
          <w:sz w:val="28"/>
          <w:szCs w:val="24"/>
        </w:rPr>
      </w:pPr>
      <w:r w:rsidRPr="000D01AC">
        <w:rPr>
          <w:rFonts w:eastAsia="Times New Roman" w:cs="Arial"/>
          <w:color w:val="000000"/>
          <w:szCs w:val="20"/>
          <w:lang w:eastAsia="bg-BG"/>
        </w:rPr>
        <w:t xml:space="preserve">* Много рядко е съобщавано, че при някои пациенти нежеланото развитие на хепатит прогресира до чернодробна недостатъчност. Пациенти, приемащи комбинацията лизиноприл-хидрохлоротиазид, които развият жълтеница или значително повишение на чернодробните ензими, трябва да преустановят приема на комбинацията лизиноприл- хидрохлоротиазид </w:t>
      </w:r>
      <w:r w:rsidRPr="000D01AC">
        <w:rPr>
          <w:rFonts w:eastAsia="Times New Roman" w:cs="Arial"/>
          <w:i/>
          <w:iCs/>
          <w:color w:val="000000"/>
          <w:szCs w:val="20"/>
          <w:lang w:eastAsia="bg-BG"/>
        </w:rPr>
        <w:t>и да</w:t>
      </w:r>
      <w:r w:rsidRPr="000D01AC">
        <w:rPr>
          <w:rFonts w:eastAsia="Times New Roman" w:cs="Arial"/>
          <w:color w:val="000000"/>
          <w:szCs w:val="20"/>
          <w:lang w:eastAsia="bg-BG"/>
        </w:rPr>
        <w:t xml:space="preserve"> получат подходящо медицинско проследяване.</w:t>
      </w:r>
    </w:p>
    <w:p w14:paraId="119C9324" w14:textId="77777777" w:rsidR="000D01AC" w:rsidRPr="000D01AC" w:rsidRDefault="000D01AC" w:rsidP="000D01AC">
      <w:pPr>
        <w:spacing w:line="240" w:lineRule="auto"/>
        <w:rPr>
          <w:rFonts w:eastAsia="Times New Roman" w:cs="Arial"/>
          <w:sz w:val="28"/>
          <w:szCs w:val="24"/>
        </w:rPr>
      </w:pPr>
      <w:r w:rsidRPr="000D01AC">
        <w:rPr>
          <w:rFonts w:eastAsia="Times New Roman" w:cs="Arial"/>
          <w:color w:val="000000"/>
          <w:szCs w:val="20"/>
          <w:lang w:eastAsia="bg-BG"/>
        </w:rPr>
        <w:t xml:space="preserve">** Комплекс от симптоми, които могат да включват един или повече от следните симптоми: треска, васкулит, миалгия, артралгия/артрит, позитивни антинуклеарни антитела </w:t>
      </w:r>
      <w:r w:rsidRPr="000D01AC">
        <w:rPr>
          <w:rFonts w:eastAsia="Times New Roman" w:cs="Arial"/>
          <w:color w:val="000000"/>
          <w:szCs w:val="20"/>
          <w:lang w:val="ru-RU"/>
        </w:rPr>
        <w:t>(</w:t>
      </w:r>
      <w:r w:rsidRPr="000D01AC">
        <w:rPr>
          <w:rFonts w:eastAsia="Times New Roman" w:cs="Arial"/>
          <w:color w:val="000000"/>
          <w:szCs w:val="20"/>
          <w:lang w:val="en-US"/>
        </w:rPr>
        <w:t>ANA</w:t>
      </w:r>
      <w:r w:rsidRPr="000D01AC">
        <w:rPr>
          <w:rFonts w:eastAsia="Times New Roman" w:cs="Arial"/>
          <w:color w:val="000000"/>
          <w:szCs w:val="20"/>
          <w:lang w:val="ru-RU"/>
        </w:rPr>
        <w:t xml:space="preserve">), </w:t>
      </w:r>
      <w:r w:rsidRPr="000D01AC">
        <w:rPr>
          <w:rFonts w:eastAsia="Times New Roman" w:cs="Arial"/>
          <w:color w:val="000000"/>
          <w:szCs w:val="20"/>
          <w:lang w:eastAsia="bg-BG"/>
        </w:rPr>
        <w:t>повишена скорост на утаяване на еритроцитите (СУЕ), еозинофилия и левкоцитоза, обрив, фоточувствителност или други дерматологични прояви могат да се появят.</w:t>
      </w:r>
    </w:p>
    <w:p w14:paraId="1FB8C130" w14:textId="77777777" w:rsidR="000D01AC" w:rsidRPr="000D01AC" w:rsidRDefault="000D01AC" w:rsidP="000D01AC">
      <w:pPr>
        <w:spacing w:line="240" w:lineRule="auto"/>
        <w:rPr>
          <w:rFonts w:eastAsia="Times New Roman" w:cs="Arial"/>
          <w:b/>
          <w:bCs/>
          <w:color w:val="000000"/>
          <w:szCs w:val="20"/>
          <w:lang w:eastAsia="bg-BG"/>
        </w:rPr>
      </w:pPr>
    </w:p>
    <w:p w14:paraId="3EC58AA5" w14:textId="3B64A91E" w:rsidR="000D01AC" w:rsidRPr="000D01AC" w:rsidRDefault="000D01AC" w:rsidP="000D01AC">
      <w:pPr>
        <w:spacing w:line="240" w:lineRule="auto"/>
        <w:rPr>
          <w:rFonts w:eastAsia="Times New Roman" w:cs="Arial"/>
          <w:sz w:val="28"/>
          <w:szCs w:val="24"/>
        </w:rPr>
      </w:pPr>
      <w:r w:rsidRPr="000D01AC">
        <w:rPr>
          <w:rFonts w:eastAsia="Times New Roman" w:cs="Arial"/>
          <w:b/>
          <w:bCs/>
          <w:color w:val="000000"/>
          <w:szCs w:val="20"/>
          <w:lang w:eastAsia="bg-BG"/>
        </w:rPr>
        <w:t>Хидрохлоротиазид:</w:t>
      </w:r>
    </w:p>
    <w:tbl>
      <w:tblPr>
        <w:tblStyle w:val="TableGrid"/>
        <w:tblW w:w="0" w:type="auto"/>
        <w:tblLook w:val="04A0" w:firstRow="1" w:lastRow="0" w:firstColumn="1" w:lastColumn="0" w:noHBand="0" w:noVBand="1"/>
      </w:tblPr>
      <w:tblGrid>
        <w:gridCol w:w="4632"/>
        <w:gridCol w:w="4718"/>
      </w:tblGrid>
      <w:tr w:rsidR="000D01AC" w14:paraId="32B09F55" w14:textId="77777777" w:rsidTr="000D01AC">
        <w:tc>
          <w:tcPr>
            <w:tcW w:w="9576" w:type="dxa"/>
            <w:gridSpan w:val="2"/>
            <w:vAlign w:val="bottom"/>
          </w:tcPr>
          <w:p w14:paraId="4776C6AC" w14:textId="5BA2E638" w:rsidR="000D01AC" w:rsidRPr="000D01AC" w:rsidRDefault="000D01AC" w:rsidP="000D01AC">
            <w:r w:rsidRPr="000D01AC">
              <w:rPr>
                <w:b/>
                <w:bCs/>
                <w:szCs w:val="20"/>
              </w:rPr>
              <w:t>Инфекции и инфестации</w:t>
            </w:r>
          </w:p>
        </w:tc>
      </w:tr>
      <w:tr w:rsidR="000D01AC" w14:paraId="61E4F93F" w14:textId="77777777" w:rsidTr="000D01AC">
        <w:tc>
          <w:tcPr>
            <w:tcW w:w="4788" w:type="dxa"/>
            <w:vAlign w:val="bottom"/>
          </w:tcPr>
          <w:p w14:paraId="3CDD5A78" w14:textId="48ACEFF8" w:rsidR="000D01AC" w:rsidRPr="000D01AC" w:rsidRDefault="000D01AC" w:rsidP="000D01AC">
            <w:r w:rsidRPr="000D01AC">
              <w:rPr>
                <w:szCs w:val="20"/>
              </w:rPr>
              <w:t>С неизвестна честота</w:t>
            </w:r>
          </w:p>
        </w:tc>
        <w:tc>
          <w:tcPr>
            <w:tcW w:w="4788" w:type="dxa"/>
            <w:vAlign w:val="bottom"/>
          </w:tcPr>
          <w:p w14:paraId="12E4783A" w14:textId="2D7ECD91" w:rsidR="000D01AC" w:rsidRPr="000D01AC" w:rsidRDefault="000D01AC" w:rsidP="000D01AC">
            <w:r w:rsidRPr="000D01AC">
              <w:rPr>
                <w:szCs w:val="20"/>
              </w:rPr>
              <w:t>Сиаладенит</w:t>
            </w:r>
          </w:p>
        </w:tc>
      </w:tr>
      <w:tr w:rsidR="000D01AC" w14:paraId="4B39C16A" w14:textId="77777777" w:rsidTr="000D01AC">
        <w:tc>
          <w:tcPr>
            <w:tcW w:w="9576" w:type="dxa"/>
            <w:gridSpan w:val="2"/>
          </w:tcPr>
          <w:p w14:paraId="756BFF9B" w14:textId="3A94C8EA" w:rsidR="000D01AC" w:rsidRPr="000D01AC" w:rsidRDefault="000D01AC" w:rsidP="000D01AC">
            <w:r w:rsidRPr="000D01AC">
              <w:rPr>
                <w:b/>
                <w:bCs/>
                <w:szCs w:val="20"/>
              </w:rPr>
              <w:t>Неоплазми — доброкачествени, злокачествени и неопределени (вкл. кисти и полипи)</w:t>
            </w:r>
          </w:p>
        </w:tc>
      </w:tr>
      <w:tr w:rsidR="000D01AC" w14:paraId="658C6B1F" w14:textId="77777777" w:rsidTr="000D01AC">
        <w:tc>
          <w:tcPr>
            <w:tcW w:w="4788" w:type="dxa"/>
          </w:tcPr>
          <w:p w14:paraId="01BDCCC3" w14:textId="62090D31" w:rsidR="000D01AC" w:rsidRPr="000D01AC" w:rsidRDefault="000D01AC" w:rsidP="000D01AC">
            <w:r w:rsidRPr="000D01AC">
              <w:rPr>
                <w:szCs w:val="20"/>
              </w:rPr>
              <w:t>С неизвестна честота</w:t>
            </w:r>
          </w:p>
        </w:tc>
        <w:tc>
          <w:tcPr>
            <w:tcW w:w="4788" w:type="dxa"/>
            <w:vAlign w:val="bottom"/>
          </w:tcPr>
          <w:p w14:paraId="696512BA" w14:textId="104BFCED" w:rsidR="000D01AC" w:rsidRPr="000D01AC" w:rsidRDefault="000D01AC" w:rsidP="000D01AC">
            <w:r w:rsidRPr="000D01AC">
              <w:rPr>
                <w:szCs w:val="20"/>
              </w:rPr>
              <w:t>Немеланомен рак на кожата (базалноклетъчен карцином и сквамозноклетьчен карцином)*</w:t>
            </w:r>
          </w:p>
        </w:tc>
      </w:tr>
      <w:tr w:rsidR="000D01AC" w14:paraId="748E9C8C" w14:textId="77777777" w:rsidTr="000D01AC">
        <w:tc>
          <w:tcPr>
            <w:tcW w:w="9576" w:type="dxa"/>
            <w:gridSpan w:val="2"/>
          </w:tcPr>
          <w:p w14:paraId="484AB1AA" w14:textId="3EC5E421" w:rsidR="000D01AC" w:rsidRPr="000D01AC" w:rsidRDefault="000D01AC" w:rsidP="000D01AC">
            <w:r w:rsidRPr="000D01AC">
              <w:rPr>
                <w:b/>
                <w:bCs/>
                <w:szCs w:val="20"/>
              </w:rPr>
              <w:t>Нарушения на кръвта и лимфната система</w:t>
            </w:r>
          </w:p>
        </w:tc>
      </w:tr>
      <w:tr w:rsidR="000D01AC" w14:paraId="626FFBA3" w14:textId="77777777" w:rsidTr="000D01AC">
        <w:tc>
          <w:tcPr>
            <w:tcW w:w="4788" w:type="dxa"/>
          </w:tcPr>
          <w:p w14:paraId="1E18A63D" w14:textId="0D23C8F7" w:rsidR="000D01AC" w:rsidRPr="000D01AC" w:rsidRDefault="000D01AC" w:rsidP="000D01AC">
            <w:r w:rsidRPr="000D01AC">
              <w:rPr>
                <w:szCs w:val="20"/>
              </w:rPr>
              <w:t>С неизвестна честота</w:t>
            </w:r>
          </w:p>
        </w:tc>
        <w:tc>
          <w:tcPr>
            <w:tcW w:w="4788" w:type="dxa"/>
            <w:vAlign w:val="bottom"/>
          </w:tcPr>
          <w:p w14:paraId="32AE43E8" w14:textId="30E16248" w:rsidR="000D01AC" w:rsidRPr="000D01AC" w:rsidRDefault="000D01AC" w:rsidP="000D01AC">
            <w:r w:rsidRPr="000D01AC">
              <w:rPr>
                <w:szCs w:val="20"/>
              </w:rPr>
              <w:t xml:space="preserve">Левкопения, неутропения/агранулоцитоза, тромбоцитопения, апластична анемия, </w:t>
            </w:r>
            <w:r w:rsidRPr="000D01AC">
              <w:rPr>
                <w:szCs w:val="20"/>
              </w:rPr>
              <w:lastRenderedPageBreak/>
              <w:t>хемолитична анемия, потискане на костния мозък.</w:t>
            </w:r>
          </w:p>
        </w:tc>
      </w:tr>
      <w:tr w:rsidR="000D01AC" w14:paraId="55597ED8" w14:textId="77777777" w:rsidTr="000D01AC">
        <w:tc>
          <w:tcPr>
            <w:tcW w:w="9576" w:type="dxa"/>
            <w:gridSpan w:val="2"/>
          </w:tcPr>
          <w:p w14:paraId="3EC2E1B4" w14:textId="498AF837" w:rsidR="000D01AC" w:rsidRPr="000D01AC" w:rsidRDefault="000D01AC" w:rsidP="000D01AC">
            <w:r w:rsidRPr="000D01AC">
              <w:rPr>
                <w:b/>
                <w:bCs/>
                <w:szCs w:val="20"/>
              </w:rPr>
              <w:lastRenderedPageBreak/>
              <w:t>Нарушения на метаболизма и храненето</w:t>
            </w:r>
          </w:p>
        </w:tc>
      </w:tr>
      <w:tr w:rsidR="000D01AC" w14:paraId="211375B6" w14:textId="77777777" w:rsidTr="000D01AC">
        <w:tc>
          <w:tcPr>
            <w:tcW w:w="4788" w:type="dxa"/>
          </w:tcPr>
          <w:p w14:paraId="6564171B" w14:textId="54E46401" w:rsidR="000D01AC" w:rsidRPr="000D01AC" w:rsidRDefault="000D01AC" w:rsidP="000D01AC">
            <w:r w:rsidRPr="000D01AC">
              <w:rPr>
                <w:szCs w:val="20"/>
              </w:rPr>
              <w:t>С неизвестна честота</w:t>
            </w:r>
          </w:p>
        </w:tc>
        <w:tc>
          <w:tcPr>
            <w:tcW w:w="4788" w:type="dxa"/>
            <w:vAlign w:val="bottom"/>
          </w:tcPr>
          <w:p w14:paraId="4BD76390" w14:textId="58DD57F3" w:rsidR="000D01AC" w:rsidRPr="000D01AC" w:rsidRDefault="000D01AC" w:rsidP="000D01AC">
            <w:r w:rsidRPr="000D01AC">
              <w:rPr>
                <w:szCs w:val="20"/>
              </w:rPr>
              <w:t>Анорексия, хипергликемия, глюкозурия, хиперурикемия, електролитен дисбаланс (включително хипонатриемия, хипокалиемия, хипохлорна алкалоза и хипомагнезиемия), увеличаване на холестерола и триглицеридите, подагра, загуба на апетит.</w:t>
            </w:r>
          </w:p>
        </w:tc>
      </w:tr>
      <w:tr w:rsidR="000D01AC" w14:paraId="2E9AEA2D" w14:textId="77777777" w:rsidTr="000D01AC">
        <w:tc>
          <w:tcPr>
            <w:tcW w:w="9576" w:type="dxa"/>
            <w:gridSpan w:val="2"/>
          </w:tcPr>
          <w:p w14:paraId="0D9F2D56" w14:textId="3575DD53" w:rsidR="000D01AC" w:rsidRPr="000D01AC" w:rsidRDefault="000D01AC" w:rsidP="000D01AC">
            <w:r w:rsidRPr="000D01AC">
              <w:rPr>
                <w:b/>
                <w:bCs/>
                <w:szCs w:val="20"/>
              </w:rPr>
              <w:t>Психични нарушения</w:t>
            </w:r>
          </w:p>
        </w:tc>
      </w:tr>
      <w:tr w:rsidR="000D01AC" w14:paraId="4985779F" w14:textId="77777777" w:rsidTr="000D01AC">
        <w:tc>
          <w:tcPr>
            <w:tcW w:w="4788" w:type="dxa"/>
            <w:vAlign w:val="bottom"/>
          </w:tcPr>
          <w:p w14:paraId="08169818" w14:textId="6352BC3C" w:rsidR="000D01AC" w:rsidRPr="000D01AC" w:rsidRDefault="000D01AC" w:rsidP="000D01AC">
            <w:r w:rsidRPr="000D01AC">
              <w:rPr>
                <w:szCs w:val="20"/>
              </w:rPr>
              <w:t>С неизвестна честота</w:t>
            </w:r>
          </w:p>
        </w:tc>
        <w:tc>
          <w:tcPr>
            <w:tcW w:w="4788" w:type="dxa"/>
            <w:vAlign w:val="bottom"/>
          </w:tcPr>
          <w:p w14:paraId="65D578BA" w14:textId="780C2AC0" w:rsidR="000D01AC" w:rsidRPr="000D01AC" w:rsidRDefault="000D01AC" w:rsidP="000D01AC">
            <w:r w:rsidRPr="000D01AC">
              <w:rPr>
                <w:szCs w:val="20"/>
              </w:rPr>
              <w:t>Безпокойство, депресия, нарушения на съня.</w:t>
            </w:r>
          </w:p>
        </w:tc>
      </w:tr>
      <w:tr w:rsidR="000D01AC" w14:paraId="04F4A211" w14:textId="77777777" w:rsidTr="000D01AC">
        <w:tc>
          <w:tcPr>
            <w:tcW w:w="9576" w:type="dxa"/>
            <w:gridSpan w:val="2"/>
          </w:tcPr>
          <w:p w14:paraId="7739F18D" w14:textId="114D5083" w:rsidR="000D01AC" w:rsidRPr="000D01AC" w:rsidRDefault="000D01AC" w:rsidP="000D01AC">
            <w:r w:rsidRPr="000D01AC">
              <w:rPr>
                <w:b/>
                <w:bCs/>
                <w:szCs w:val="20"/>
              </w:rPr>
              <w:t>Нарушения на нервната система</w:t>
            </w:r>
          </w:p>
        </w:tc>
      </w:tr>
      <w:tr w:rsidR="000D01AC" w14:paraId="336DEE0E" w14:textId="77777777" w:rsidTr="000D01AC">
        <w:tc>
          <w:tcPr>
            <w:tcW w:w="4788" w:type="dxa"/>
            <w:vAlign w:val="bottom"/>
          </w:tcPr>
          <w:p w14:paraId="37FA12C2" w14:textId="3F6A2A8B" w:rsidR="000D01AC" w:rsidRPr="000D01AC" w:rsidRDefault="000D01AC" w:rsidP="000D01AC">
            <w:r w:rsidRPr="000D01AC">
              <w:rPr>
                <w:szCs w:val="20"/>
              </w:rPr>
              <w:t>С неизвестна честота</w:t>
            </w:r>
          </w:p>
        </w:tc>
        <w:tc>
          <w:tcPr>
            <w:tcW w:w="4788" w:type="dxa"/>
            <w:vAlign w:val="bottom"/>
          </w:tcPr>
          <w:p w14:paraId="0FAE793E" w14:textId="66EEE8EA" w:rsidR="000D01AC" w:rsidRPr="000D01AC" w:rsidRDefault="000D01AC" w:rsidP="000D01AC">
            <w:r w:rsidRPr="000D01AC">
              <w:rPr>
                <w:szCs w:val="20"/>
              </w:rPr>
              <w:t>Парестезия, замаяност.</w:t>
            </w:r>
          </w:p>
        </w:tc>
      </w:tr>
      <w:tr w:rsidR="000D01AC" w14:paraId="2C7E4D38" w14:textId="77777777" w:rsidTr="000D01AC">
        <w:tc>
          <w:tcPr>
            <w:tcW w:w="9576" w:type="dxa"/>
            <w:gridSpan w:val="2"/>
          </w:tcPr>
          <w:p w14:paraId="42680B17" w14:textId="422873A0" w:rsidR="000D01AC" w:rsidRPr="000D01AC" w:rsidRDefault="000D01AC" w:rsidP="000D01AC">
            <w:r w:rsidRPr="000D01AC">
              <w:rPr>
                <w:b/>
                <w:bCs/>
                <w:szCs w:val="20"/>
              </w:rPr>
              <w:t>Нарушения на очите</w:t>
            </w:r>
          </w:p>
        </w:tc>
      </w:tr>
      <w:tr w:rsidR="000D01AC" w14:paraId="0AA6390E" w14:textId="77777777" w:rsidTr="000D01AC">
        <w:tc>
          <w:tcPr>
            <w:tcW w:w="4788" w:type="dxa"/>
          </w:tcPr>
          <w:p w14:paraId="04652B59" w14:textId="67CDCB38" w:rsidR="000D01AC" w:rsidRPr="000D01AC" w:rsidRDefault="000D01AC" w:rsidP="000D01AC">
            <w:r w:rsidRPr="000D01AC">
              <w:rPr>
                <w:szCs w:val="20"/>
              </w:rPr>
              <w:t>С неизвестна честота</w:t>
            </w:r>
          </w:p>
        </w:tc>
        <w:tc>
          <w:tcPr>
            <w:tcW w:w="4788" w:type="dxa"/>
            <w:vAlign w:val="bottom"/>
          </w:tcPr>
          <w:p w14:paraId="383CAC2E" w14:textId="5CFA195B" w:rsidR="000D01AC" w:rsidRPr="000D01AC" w:rsidRDefault="000D01AC" w:rsidP="000D01AC">
            <w:r w:rsidRPr="000D01AC">
              <w:rPr>
                <w:szCs w:val="20"/>
              </w:rPr>
              <w:t>Ксантопсия, временно замъгляване на зрението, остра миопия, остра закритоъгълна</w:t>
            </w:r>
            <w:r w:rsidRPr="000D01AC">
              <w:rPr>
                <w:szCs w:val="20"/>
                <w:u w:val="single"/>
              </w:rPr>
              <w:t xml:space="preserve"> </w:t>
            </w:r>
            <w:r w:rsidRPr="000D01AC">
              <w:rPr>
                <w:szCs w:val="20"/>
              </w:rPr>
              <w:t>глаукома, хороидален излив.</w:t>
            </w:r>
          </w:p>
        </w:tc>
      </w:tr>
      <w:tr w:rsidR="000D01AC" w14:paraId="056B444D" w14:textId="77777777" w:rsidTr="000D01AC">
        <w:tc>
          <w:tcPr>
            <w:tcW w:w="9576" w:type="dxa"/>
            <w:gridSpan w:val="2"/>
          </w:tcPr>
          <w:p w14:paraId="3E4558C5" w14:textId="6049286B" w:rsidR="000D01AC" w:rsidRPr="000D01AC" w:rsidRDefault="000D01AC" w:rsidP="000D01AC">
            <w:r w:rsidRPr="000D01AC">
              <w:rPr>
                <w:b/>
                <w:bCs/>
                <w:szCs w:val="20"/>
              </w:rPr>
              <w:t>Нарушения на ухото и лабиринта</w:t>
            </w:r>
          </w:p>
        </w:tc>
      </w:tr>
      <w:tr w:rsidR="000D01AC" w14:paraId="6F434D13" w14:textId="77777777" w:rsidTr="000D01AC">
        <w:tc>
          <w:tcPr>
            <w:tcW w:w="4788" w:type="dxa"/>
          </w:tcPr>
          <w:p w14:paraId="7F28036D" w14:textId="28835C3B" w:rsidR="000D01AC" w:rsidRPr="000D01AC" w:rsidRDefault="000D01AC" w:rsidP="000D01AC">
            <w:r w:rsidRPr="000D01AC">
              <w:rPr>
                <w:szCs w:val="20"/>
              </w:rPr>
              <w:t>С неизвестна честота</w:t>
            </w:r>
          </w:p>
        </w:tc>
        <w:tc>
          <w:tcPr>
            <w:tcW w:w="4788" w:type="dxa"/>
          </w:tcPr>
          <w:p w14:paraId="3D187B69" w14:textId="52760E49" w:rsidR="000D01AC" w:rsidRPr="000D01AC" w:rsidRDefault="000D01AC" w:rsidP="000D01AC">
            <w:r w:rsidRPr="000D01AC">
              <w:rPr>
                <w:szCs w:val="20"/>
              </w:rPr>
              <w:t>Световъртеж.</w:t>
            </w:r>
          </w:p>
        </w:tc>
      </w:tr>
      <w:tr w:rsidR="000D01AC" w14:paraId="204E0A2A" w14:textId="77777777" w:rsidTr="000D01AC">
        <w:tc>
          <w:tcPr>
            <w:tcW w:w="9576" w:type="dxa"/>
            <w:gridSpan w:val="2"/>
          </w:tcPr>
          <w:p w14:paraId="454C6F13" w14:textId="209FD91F" w:rsidR="000D01AC" w:rsidRPr="000D01AC" w:rsidRDefault="000D01AC" w:rsidP="000D01AC">
            <w:r w:rsidRPr="000D01AC">
              <w:rPr>
                <w:b/>
                <w:bCs/>
                <w:szCs w:val="20"/>
              </w:rPr>
              <w:t>Сърдечни нарушения</w:t>
            </w:r>
          </w:p>
        </w:tc>
      </w:tr>
      <w:tr w:rsidR="000D01AC" w14:paraId="52604446" w14:textId="77777777" w:rsidTr="000D01AC">
        <w:tc>
          <w:tcPr>
            <w:tcW w:w="4788" w:type="dxa"/>
          </w:tcPr>
          <w:p w14:paraId="6CE8B410" w14:textId="56657CB3" w:rsidR="000D01AC" w:rsidRPr="000D01AC" w:rsidRDefault="000D01AC" w:rsidP="000D01AC">
            <w:r w:rsidRPr="000D01AC">
              <w:rPr>
                <w:szCs w:val="20"/>
              </w:rPr>
              <w:t>С неизвестна честота</w:t>
            </w:r>
          </w:p>
        </w:tc>
        <w:tc>
          <w:tcPr>
            <w:tcW w:w="4788" w:type="dxa"/>
          </w:tcPr>
          <w:p w14:paraId="3650BC9B" w14:textId="0E6DD56B" w:rsidR="000D01AC" w:rsidRPr="000D01AC" w:rsidRDefault="000D01AC" w:rsidP="000D01AC">
            <w:r w:rsidRPr="000D01AC">
              <w:rPr>
                <w:szCs w:val="20"/>
              </w:rPr>
              <w:t>Ортостатична хипотония.</w:t>
            </w:r>
          </w:p>
        </w:tc>
      </w:tr>
      <w:tr w:rsidR="000D01AC" w14:paraId="799A40E9" w14:textId="77777777" w:rsidTr="000D01AC">
        <w:tc>
          <w:tcPr>
            <w:tcW w:w="9576" w:type="dxa"/>
            <w:gridSpan w:val="2"/>
          </w:tcPr>
          <w:p w14:paraId="66843962" w14:textId="7BC9B8F9" w:rsidR="000D01AC" w:rsidRPr="000D01AC" w:rsidRDefault="000D01AC" w:rsidP="000D01AC">
            <w:r w:rsidRPr="000D01AC">
              <w:rPr>
                <w:b/>
                <w:bCs/>
                <w:szCs w:val="20"/>
              </w:rPr>
              <w:t>Съдови нарушения</w:t>
            </w:r>
          </w:p>
        </w:tc>
      </w:tr>
      <w:tr w:rsidR="000D01AC" w14:paraId="66F4F25E" w14:textId="77777777" w:rsidTr="000D01AC">
        <w:tc>
          <w:tcPr>
            <w:tcW w:w="4788" w:type="dxa"/>
          </w:tcPr>
          <w:p w14:paraId="2DB92275" w14:textId="0DE43186" w:rsidR="000D01AC" w:rsidRPr="000D01AC" w:rsidRDefault="000D01AC" w:rsidP="000D01AC">
            <w:r w:rsidRPr="000D01AC">
              <w:rPr>
                <w:szCs w:val="20"/>
              </w:rPr>
              <w:t>С неизвестна честота</w:t>
            </w:r>
          </w:p>
        </w:tc>
        <w:tc>
          <w:tcPr>
            <w:tcW w:w="4788" w:type="dxa"/>
          </w:tcPr>
          <w:p w14:paraId="326BA710" w14:textId="064CA532" w:rsidR="000D01AC" w:rsidRPr="000D01AC" w:rsidRDefault="000D01AC" w:rsidP="000D01AC">
            <w:r w:rsidRPr="000D01AC">
              <w:rPr>
                <w:szCs w:val="20"/>
              </w:rPr>
              <w:t>Некротичен ангиит (васкулит, кожен васкулит).</w:t>
            </w:r>
          </w:p>
        </w:tc>
      </w:tr>
      <w:tr w:rsidR="000D01AC" w14:paraId="3FA18DBF" w14:textId="77777777" w:rsidTr="000D01AC">
        <w:tc>
          <w:tcPr>
            <w:tcW w:w="9576" w:type="dxa"/>
            <w:gridSpan w:val="2"/>
          </w:tcPr>
          <w:p w14:paraId="314BAFBC" w14:textId="25EA2D35" w:rsidR="000D01AC" w:rsidRPr="000D01AC" w:rsidRDefault="000D01AC" w:rsidP="000D01AC">
            <w:r w:rsidRPr="000D01AC">
              <w:rPr>
                <w:b/>
                <w:bCs/>
                <w:szCs w:val="20"/>
              </w:rPr>
              <w:t>Респираторни, гръдни и мед настиналия нарушения</w:t>
            </w:r>
          </w:p>
        </w:tc>
      </w:tr>
      <w:tr w:rsidR="000D01AC" w14:paraId="3A81F277" w14:textId="77777777" w:rsidTr="000D01AC">
        <w:tc>
          <w:tcPr>
            <w:tcW w:w="4788" w:type="dxa"/>
          </w:tcPr>
          <w:p w14:paraId="33C7B90C" w14:textId="11C8B5E3" w:rsidR="000D01AC" w:rsidRPr="000D01AC" w:rsidRDefault="000D01AC" w:rsidP="000D01AC">
            <w:r w:rsidRPr="000D01AC">
              <w:rPr>
                <w:szCs w:val="20"/>
              </w:rPr>
              <w:t>Много редки</w:t>
            </w:r>
          </w:p>
        </w:tc>
        <w:tc>
          <w:tcPr>
            <w:tcW w:w="4788" w:type="dxa"/>
          </w:tcPr>
          <w:p w14:paraId="1012C0FA" w14:textId="5BF670C6" w:rsidR="000D01AC" w:rsidRPr="000D01AC" w:rsidRDefault="000D01AC" w:rsidP="000D01AC">
            <w:r w:rsidRPr="000D01AC">
              <w:rPr>
                <w:szCs w:val="20"/>
              </w:rPr>
              <w:t xml:space="preserve">Остър респираторен дистрес синдром </w:t>
            </w:r>
            <w:r w:rsidRPr="000D01AC">
              <w:rPr>
                <w:szCs w:val="20"/>
                <w:lang w:val="ru-RU"/>
              </w:rPr>
              <w:t>(</w:t>
            </w:r>
            <w:r w:rsidRPr="000D01AC">
              <w:rPr>
                <w:szCs w:val="20"/>
                <w:lang w:val="en-US"/>
              </w:rPr>
              <w:t>ARDS</w:t>
            </w:r>
            <w:r w:rsidRPr="000D01AC">
              <w:rPr>
                <w:szCs w:val="20"/>
                <w:lang w:val="ru-RU"/>
              </w:rPr>
              <w:t xml:space="preserve">) </w:t>
            </w:r>
            <w:r w:rsidRPr="000D01AC">
              <w:rPr>
                <w:szCs w:val="20"/>
              </w:rPr>
              <w:t>(вж. точка 4.4)</w:t>
            </w:r>
          </w:p>
        </w:tc>
      </w:tr>
      <w:tr w:rsidR="000D01AC" w14:paraId="0DE45530" w14:textId="77777777" w:rsidTr="000D01AC">
        <w:tc>
          <w:tcPr>
            <w:tcW w:w="4788" w:type="dxa"/>
          </w:tcPr>
          <w:p w14:paraId="263F8930" w14:textId="18513552" w:rsidR="000D01AC" w:rsidRPr="000D01AC" w:rsidRDefault="000D01AC" w:rsidP="000D01AC">
            <w:r w:rsidRPr="000D01AC">
              <w:rPr>
                <w:szCs w:val="20"/>
              </w:rPr>
              <w:t>С неизвестна честота</w:t>
            </w:r>
          </w:p>
        </w:tc>
        <w:tc>
          <w:tcPr>
            <w:tcW w:w="4788" w:type="dxa"/>
          </w:tcPr>
          <w:p w14:paraId="6E7EB4A0" w14:textId="7E775903" w:rsidR="000D01AC" w:rsidRPr="000D01AC" w:rsidRDefault="000D01AC" w:rsidP="000D01AC">
            <w:r w:rsidRPr="000D01AC">
              <w:rPr>
                <w:szCs w:val="20"/>
              </w:rPr>
              <w:t>Респираторен дистрес (включително пневмонит и белодробен оток).</w:t>
            </w:r>
          </w:p>
        </w:tc>
      </w:tr>
      <w:tr w:rsidR="000D01AC" w14:paraId="1078E466" w14:textId="77777777" w:rsidTr="000D01AC">
        <w:tc>
          <w:tcPr>
            <w:tcW w:w="9576" w:type="dxa"/>
            <w:gridSpan w:val="2"/>
          </w:tcPr>
          <w:p w14:paraId="4EE70A09" w14:textId="6F37A9E1" w:rsidR="000D01AC" w:rsidRPr="000D01AC" w:rsidRDefault="000D01AC" w:rsidP="000D01AC">
            <w:r w:rsidRPr="000D01AC">
              <w:rPr>
                <w:b/>
                <w:bCs/>
                <w:szCs w:val="20"/>
              </w:rPr>
              <w:t>Стомашно-чревни нарушения</w:t>
            </w:r>
          </w:p>
        </w:tc>
      </w:tr>
      <w:tr w:rsidR="000D01AC" w14:paraId="25EB2E83" w14:textId="77777777" w:rsidTr="000D01AC">
        <w:tc>
          <w:tcPr>
            <w:tcW w:w="4788" w:type="dxa"/>
          </w:tcPr>
          <w:p w14:paraId="08DECA77" w14:textId="3B5A4F4F" w:rsidR="000D01AC" w:rsidRPr="000D01AC" w:rsidRDefault="000D01AC" w:rsidP="000D01AC">
            <w:r w:rsidRPr="000D01AC">
              <w:rPr>
                <w:szCs w:val="20"/>
              </w:rPr>
              <w:t>С неизвестна честота</w:t>
            </w:r>
          </w:p>
        </w:tc>
        <w:tc>
          <w:tcPr>
            <w:tcW w:w="4788" w:type="dxa"/>
          </w:tcPr>
          <w:p w14:paraId="6609ED8D" w14:textId="12A14B31" w:rsidR="000D01AC" w:rsidRPr="000D01AC" w:rsidRDefault="000D01AC" w:rsidP="000D01AC">
            <w:r w:rsidRPr="000D01AC">
              <w:rPr>
                <w:szCs w:val="20"/>
              </w:rPr>
              <w:t>Стомашно дразнене, диария, запек, панкреатит.</w:t>
            </w:r>
          </w:p>
        </w:tc>
      </w:tr>
      <w:tr w:rsidR="000D01AC" w14:paraId="10DBB77E" w14:textId="77777777" w:rsidTr="000D01AC">
        <w:tc>
          <w:tcPr>
            <w:tcW w:w="9576" w:type="dxa"/>
            <w:gridSpan w:val="2"/>
          </w:tcPr>
          <w:p w14:paraId="003F20D8" w14:textId="7CCA6685" w:rsidR="000D01AC" w:rsidRPr="000D01AC" w:rsidRDefault="000D01AC" w:rsidP="000D01AC">
            <w:r w:rsidRPr="000D01AC">
              <w:rPr>
                <w:b/>
                <w:bCs/>
                <w:szCs w:val="20"/>
              </w:rPr>
              <w:t>Хепатобилиарни нарушения</w:t>
            </w:r>
          </w:p>
        </w:tc>
      </w:tr>
      <w:tr w:rsidR="000D01AC" w14:paraId="4629238D" w14:textId="77777777" w:rsidTr="000D01AC">
        <w:tc>
          <w:tcPr>
            <w:tcW w:w="4788" w:type="dxa"/>
          </w:tcPr>
          <w:p w14:paraId="581B1904" w14:textId="139A27C3" w:rsidR="000D01AC" w:rsidRPr="000D01AC" w:rsidRDefault="000D01AC" w:rsidP="000D01AC">
            <w:r w:rsidRPr="000D01AC">
              <w:rPr>
                <w:szCs w:val="20"/>
              </w:rPr>
              <w:t>С неизвестна честота</w:t>
            </w:r>
          </w:p>
        </w:tc>
        <w:tc>
          <w:tcPr>
            <w:tcW w:w="4788" w:type="dxa"/>
          </w:tcPr>
          <w:p w14:paraId="229B9829" w14:textId="1BF42B66" w:rsidR="000D01AC" w:rsidRPr="000D01AC" w:rsidRDefault="000D01AC" w:rsidP="000D01AC">
            <w:r w:rsidRPr="000D01AC">
              <w:rPr>
                <w:szCs w:val="20"/>
              </w:rPr>
              <w:t>Жълтеница (интрахепатална холестатична жълтеница).</w:t>
            </w:r>
          </w:p>
        </w:tc>
      </w:tr>
      <w:tr w:rsidR="000D01AC" w14:paraId="0861F95E" w14:textId="77777777" w:rsidTr="000D01AC">
        <w:tc>
          <w:tcPr>
            <w:tcW w:w="9576" w:type="dxa"/>
            <w:gridSpan w:val="2"/>
          </w:tcPr>
          <w:p w14:paraId="15736E7A" w14:textId="1BAD11DA" w:rsidR="000D01AC" w:rsidRPr="000D01AC" w:rsidRDefault="000D01AC" w:rsidP="000D01AC">
            <w:r w:rsidRPr="000D01AC">
              <w:rPr>
                <w:b/>
                <w:bCs/>
                <w:szCs w:val="20"/>
              </w:rPr>
              <w:t>Нарушения на кожата и подкожната тъкан</w:t>
            </w:r>
          </w:p>
        </w:tc>
      </w:tr>
      <w:tr w:rsidR="000D01AC" w14:paraId="2D3DF911" w14:textId="77777777" w:rsidTr="000D01AC">
        <w:tc>
          <w:tcPr>
            <w:tcW w:w="4788" w:type="dxa"/>
          </w:tcPr>
          <w:p w14:paraId="31A843B8" w14:textId="69D7832B" w:rsidR="000D01AC" w:rsidRPr="000D01AC" w:rsidRDefault="000D01AC" w:rsidP="000D01AC">
            <w:r w:rsidRPr="000D01AC">
              <w:rPr>
                <w:szCs w:val="20"/>
              </w:rPr>
              <w:t>С неизвестна честота</w:t>
            </w:r>
          </w:p>
        </w:tc>
        <w:tc>
          <w:tcPr>
            <w:tcW w:w="4788" w:type="dxa"/>
          </w:tcPr>
          <w:p w14:paraId="1F3AC901" w14:textId="0BCFEE87" w:rsidR="000D01AC" w:rsidRPr="000D01AC" w:rsidRDefault="000D01AC" w:rsidP="000D01AC">
            <w:r w:rsidRPr="000D01AC">
              <w:rPr>
                <w:szCs w:val="20"/>
              </w:rPr>
              <w:t>Реакции на фоточувствителност, обрив, подобни на кожен лупус еритематодес реакции, реактивиране на кожен лупус еритематодес, уртикария, анафилактични реакции, токсична епидермална некролиза, пурпура.</w:t>
            </w:r>
          </w:p>
        </w:tc>
      </w:tr>
      <w:tr w:rsidR="000D01AC" w14:paraId="500534C4" w14:textId="77777777" w:rsidTr="000D01AC">
        <w:tc>
          <w:tcPr>
            <w:tcW w:w="9576" w:type="dxa"/>
            <w:gridSpan w:val="2"/>
          </w:tcPr>
          <w:p w14:paraId="429B046A" w14:textId="129B359D" w:rsidR="000D01AC" w:rsidRPr="000D01AC" w:rsidRDefault="000D01AC" w:rsidP="000D01AC">
            <w:r w:rsidRPr="000D01AC">
              <w:rPr>
                <w:b/>
                <w:bCs/>
                <w:szCs w:val="20"/>
              </w:rPr>
              <w:t>Нарушения на мускулно-скелетната система, съединителната тъкан и костите</w:t>
            </w:r>
          </w:p>
        </w:tc>
      </w:tr>
      <w:tr w:rsidR="000D01AC" w14:paraId="3BFE314D" w14:textId="77777777" w:rsidTr="000D01AC">
        <w:tc>
          <w:tcPr>
            <w:tcW w:w="4788" w:type="dxa"/>
          </w:tcPr>
          <w:p w14:paraId="72C6305F" w14:textId="3648DE22" w:rsidR="000D01AC" w:rsidRPr="000D01AC" w:rsidRDefault="000D01AC" w:rsidP="000D01AC">
            <w:r w:rsidRPr="000D01AC">
              <w:rPr>
                <w:szCs w:val="20"/>
              </w:rPr>
              <w:t>С неизвестна честота</w:t>
            </w:r>
          </w:p>
        </w:tc>
        <w:tc>
          <w:tcPr>
            <w:tcW w:w="4788" w:type="dxa"/>
          </w:tcPr>
          <w:p w14:paraId="383A9F4D" w14:textId="247E91D3" w:rsidR="000D01AC" w:rsidRPr="000D01AC" w:rsidRDefault="000D01AC" w:rsidP="000D01AC">
            <w:r w:rsidRPr="000D01AC">
              <w:rPr>
                <w:szCs w:val="20"/>
              </w:rPr>
              <w:t>Мускулни спазми, мускулна слабост.</w:t>
            </w:r>
          </w:p>
        </w:tc>
      </w:tr>
      <w:tr w:rsidR="000D01AC" w14:paraId="1BA25A0D" w14:textId="77777777" w:rsidTr="000D01AC">
        <w:tc>
          <w:tcPr>
            <w:tcW w:w="9576" w:type="dxa"/>
            <w:gridSpan w:val="2"/>
          </w:tcPr>
          <w:p w14:paraId="66BA7EE1" w14:textId="6BED3ADD" w:rsidR="000D01AC" w:rsidRPr="000D01AC" w:rsidRDefault="000D01AC" w:rsidP="000D01AC">
            <w:r w:rsidRPr="000D01AC">
              <w:rPr>
                <w:b/>
                <w:bCs/>
                <w:szCs w:val="20"/>
              </w:rPr>
              <w:lastRenderedPageBreak/>
              <w:t>Нарушения на бъбреците и пикочните пътища</w:t>
            </w:r>
          </w:p>
        </w:tc>
      </w:tr>
      <w:tr w:rsidR="000D01AC" w14:paraId="4096E82F" w14:textId="77777777" w:rsidTr="000D01AC">
        <w:tc>
          <w:tcPr>
            <w:tcW w:w="4788" w:type="dxa"/>
          </w:tcPr>
          <w:p w14:paraId="3E65762C" w14:textId="57C40FA4" w:rsidR="000D01AC" w:rsidRPr="000D01AC" w:rsidRDefault="000D01AC" w:rsidP="000D01AC">
            <w:r w:rsidRPr="000D01AC">
              <w:rPr>
                <w:szCs w:val="20"/>
              </w:rPr>
              <w:t>С неизвестна честота</w:t>
            </w:r>
          </w:p>
        </w:tc>
        <w:tc>
          <w:tcPr>
            <w:tcW w:w="4788" w:type="dxa"/>
          </w:tcPr>
          <w:p w14:paraId="55733A78" w14:textId="1798DB53" w:rsidR="000D01AC" w:rsidRPr="000D01AC" w:rsidRDefault="000D01AC" w:rsidP="000D01AC">
            <w:r w:rsidRPr="000D01AC">
              <w:rPr>
                <w:szCs w:val="20"/>
              </w:rPr>
              <w:t>Бъбречна дисфункция, интерстициален нефрит.</w:t>
            </w:r>
          </w:p>
        </w:tc>
      </w:tr>
      <w:tr w:rsidR="000D01AC" w14:paraId="13669AE0" w14:textId="77777777" w:rsidTr="000D01AC">
        <w:tc>
          <w:tcPr>
            <w:tcW w:w="9576" w:type="dxa"/>
            <w:gridSpan w:val="2"/>
          </w:tcPr>
          <w:p w14:paraId="1ABE58EF" w14:textId="0272DE4E" w:rsidR="000D01AC" w:rsidRPr="000D01AC" w:rsidRDefault="000D01AC" w:rsidP="000D01AC">
            <w:r w:rsidRPr="000D01AC">
              <w:rPr>
                <w:b/>
                <w:bCs/>
                <w:szCs w:val="20"/>
              </w:rPr>
              <w:t>Общи нарушения</w:t>
            </w:r>
          </w:p>
        </w:tc>
      </w:tr>
      <w:tr w:rsidR="000D01AC" w14:paraId="1960A3D6" w14:textId="77777777" w:rsidTr="000D01AC">
        <w:tc>
          <w:tcPr>
            <w:tcW w:w="4788" w:type="dxa"/>
          </w:tcPr>
          <w:p w14:paraId="625032E1" w14:textId="76AC9F51" w:rsidR="000D01AC" w:rsidRPr="000D01AC" w:rsidRDefault="000D01AC" w:rsidP="000D01AC">
            <w:r w:rsidRPr="000D01AC">
              <w:rPr>
                <w:szCs w:val="20"/>
              </w:rPr>
              <w:t>С неизвестна честота</w:t>
            </w:r>
          </w:p>
        </w:tc>
        <w:tc>
          <w:tcPr>
            <w:tcW w:w="4788" w:type="dxa"/>
          </w:tcPr>
          <w:p w14:paraId="39BCC1B9" w14:textId="5768E7E7" w:rsidR="000D01AC" w:rsidRPr="000D01AC" w:rsidRDefault="000D01AC" w:rsidP="000D01AC">
            <w:r w:rsidRPr="000D01AC">
              <w:rPr>
                <w:szCs w:val="20"/>
              </w:rPr>
              <w:t>Треска, слабост.</w:t>
            </w:r>
          </w:p>
        </w:tc>
      </w:tr>
    </w:tbl>
    <w:p w14:paraId="4AC1C687" w14:textId="5CF5CD52" w:rsidR="00C66C9E" w:rsidRPr="00C66C9E" w:rsidRDefault="00C66C9E" w:rsidP="00C66C9E">
      <w:pPr>
        <w:spacing w:line="240" w:lineRule="auto"/>
        <w:rPr>
          <w:rFonts w:eastAsia="Times New Roman" w:cs="Arial"/>
        </w:rPr>
      </w:pPr>
      <w:r w:rsidRPr="00C66C9E">
        <w:rPr>
          <w:rFonts w:eastAsia="Times New Roman" w:cs="Arial"/>
          <w:color w:val="000000"/>
          <w:lang w:eastAsia="bg-BG"/>
        </w:rPr>
        <w:t>*Немеланомен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(вж. също точки 4.4 и 5.1).</w:t>
      </w:r>
    </w:p>
    <w:p w14:paraId="18DAC6A0" w14:textId="77777777" w:rsidR="00C66C9E" w:rsidRPr="00C66C9E" w:rsidRDefault="00C66C9E" w:rsidP="00C66C9E">
      <w:pPr>
        <w:spacing w:line="240" w:lineRule="auto"/>
        <w:rPr>
          <w:rFonts w:eastAsia="Times New Roman" w:cs="Arial"/>
          <w:color w:val="000000"/>
          <w:u w:val="single"/>
          <w:lang w:eastAsia="bg-BG"/>
        </w:rPr>
      </w:pPr>
    </w:p>
    <w:p w14:paraId="06EA135F" w14:textId="5CD2AA43" w:rsidR="00C66C9E" w:rsidRPr="00C66C9E" w:rsidRDefault="00C66C9E" w:rsidP="00C66C9E">
      <w:pPr>
        <w:spacing w:line="240" w:lineRule="auto"/>
        <w:rPr>
          <w:rFonts w:eastAsia="Times New Roman" w:cs="Arial"/>
        </w:rPr>
      </w:pPr>
      <w:r w:rsidRPr="00C66C9E">
        <w:rPr>
          <w:rFonts w:eastAsia="Times New Roman" w:cs="Arial"/>
          <w:color w:val="000000"/>
          <w:u w:val="single"/>
          <w:lang w:eastAsia="bg-BG"/>
        </w:rPr>
        <w:t>Съобщаване на подозирани нежелани реакции</w:t>
      </w:r>
    </w:p>
    <w:p w14:paraId="0D5BCAFC" w14:textId="77777777" w:rsidR="00C66C9E" w:rsidRPr="00C66C9E" w:rsidRDefault="00C66C9E" w:rsidP="00C66C9E">
      <w:pPr>
        <w:spacing w:line="240" w:lineRule="auto"/>
        <w:rPr>
          <w:rFonts w:eastAsia="Times New Roman" w:cs="Arial"/>
          <w:color w:val="000000"/>
          <w:lang w:eastAsia="bg-BG"/>
        </w:rPr>
      </w:pPr>
      <w:r w:rsidRPr="00C66C9E">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w:t>
      </w:r>
    </w:p>
    <w:p w14:paraId="741AAC00" w14:textId="77777777" w:rsidR="00C66C9E" w:rsidRPr="00C66C9E" w:rsidRDefault="00C66C9E" w:rsidP="00C66C9E">
      <w:pPr>
        <w:spacing w:line="240" w:lineRule="auto"/>
        <w:rPr>
          <w:rFonts w:eastAsia="Times New Roman" w:cs="Arial"/>
          <w:color w:val="000000"/>
          <w:lang w:eastAsia="bg-BG"/>
        </w:rPr>
      </w:pPr>
      <w:r w:rsidRPr="00C66C9E">
        <w:rPr>
          <w:rFonts w:eastAsia="Times New Roman" w:cs="Arial"/>
          <w:color w:val="000000"/>
          <w:lang w:eastAsia="bg-BG"/>
        </w:rPr>
        <w:t xml:space="preserve">ул. „Дамян Груев” № 8 </w:t>
      </w:r>
    </w:p>
    <w:p w14:paraId="06D4DB93" w14:textId="1586EC0F" w:rsidR="00C66C9E" w:rsidRPr="00C66C9E" w:rsidRDefault="00C66C9E" w:rsidP="00C66C9E">
      <w:pPr>
        <w:spacing w:line="240" w:lineRule="auto"/>
        <w:rPr>
          <w:rFonts w:eastAsia="Times New Roman" w:cs="Arial"/>
        </w:rPr>
      </w:pPr>
      <w:r w:rsidRPr="00C66C9E">
        <w:rPr>
          <w:rFonts w:eastAsia="Times New Roman" w:cs="Arial"/>
          <w:color w:val="000000"/>
          <w:lang w:eastAsia="bg-BG"/>
        </w:rPr>
        <w:t>1303 София</w:t>
      </w:r>
    </w:p>
    <w:p w14:paraId="0905BC4C" w14:textId="77777777" w:rsidR="00C66C9E" w:rsidRPr="00C66C9E" w:rsidRDefault="00C66C9E" w:rsidP="00C66C9E">
      <w:pPr>
        <w:rPr>
          <w:rFonts w:eastAsia="Times New Roman" w:cs="Arial"/>
          <w:color w:val="000000"/>
          <w:lang w:eastAsia="bg-BG"/>
        </w:rPr>
      </w:pPr>
      <w:r w:rsidRPr="00C66C9E">
        <w:rPr>
          <w:rFonts w:eastAsia="Times New Roman" w:cs="Arial"/>
          <w:color w:val="000000"/>
          <w:lang w:eastAsia="bg-BG"/>
        </w:rPr>
        <w:t xml:space="preserve">Тел.:+359 2 8903417 </w:t>
      </w:r>
    </w:p>
    <w:p w14:paraId="0D03D39C" w14:textId="3C157631" w:rsidR="00C66C9E" w:rsidRPr="00C66C9E" w:rsidRDefault="00C66C9E" w:rsidP="00C66C9E">
      <w:pPr>
        <w:rPr>
          <w:rFonts w:eastAsia="Times New Roman" w:cs="Arial"/>
        </w:rPr>
      </w:pPr>
      <w:r w:rsidRPr="00C66C9E">
        <w:rPr>
          <w:rFonts w:eastAsia="Times New Roman" w:cs="Arial"/>
          <w:color w:val="000000"/>
          <w:lang w:eastAsia="bg-BG"/>
        </w:rPr>
        <w:t xml:space="preserve">уебсайт: </w:t>
      </w:r>
      <w:r w:rsidRPr="00C66C9E">
        <w:rPr>
          <w:rFonts w:eastAsia="Times New Roman" w:cs="Arial"/>
        </w:rPr>
        <w:fldChar w:fldCharType="begin"/>
      </w:r>
      <w:r w:rsidRPr="00C66C9E">
        <w:rPr>
          <w:rFonts w:eastAsia="Times New Roman" w:cs="Arial"/>
        </w:rPr>
        <w:instrText xml:space="preserve"> HYPERLINK "http://www.bda.bg" </w:instrText>
      </w:r>
      <w:r w:rsidRPr="00C66C9E">
        <w:rPr>
          <w:rFonts w:eastAsia="Times New Roman" w:cs="Arial"/>
        </w:rPr>
      </w:r>
      <w:r w:rsidRPr="00C66C9E">
        <w:rPr>
          <w:rFonts w:eastAsia="Times New Roman" w:cs="Arial"/>
        </w:rPr>
        <w:fldChar w:fldCharType="separate"/>
      </w:r>
      <w:r w:rsidRPr="00C66C9E">
        <w:rPr>
          <w:rFonts w:eastAsia="Times New Roman" w:cs="Arial"/>
          <w:color w:val="000000"/>
          <w:lang w:val="en-US"/>
        </w:rPr>
        <w:t>www</w:t>
      </w:r>
      <w:r w:rsidRPr="00C66C9E">
        <w:rPr>
          <w:rFonts w:eastAsia="Times New Roman" w:cs="Arial"/>
          <w:color w:val="000000"/>
          <w:lang w:val="ru-RU"/>
        </w:rPr>
        <w:t>.</w:t>
      </w:r>
      <w:proofErr w:type="spellStart"/>
      <w:r w:rsidRPr="00C66C9E">
        <w:rPr>
          <w:rFonts w:eastAsia="Times New Roman" w:cs="Arial"/>
          <w:color w:val="000000"/>
          <w:lang w:val="en-US"/>
        </w:rPr>
        <w:t>bda</w:t>
      </w:r>
      <w:proofErr w:type="spellEnd"/>
      <w:r w:rsidRPr="00C66C9E">
        <w:rPr>
          <w:rFonts w:eastAsia="Times New Roman" w:cs="Arial"/>
          <w:color w:val="000000"/>
          <w:lang w:val="ru-RU"/>
        </w:rPr>
        <w:t>.</w:t>
      </w:r>
      <w:proofErr w:type="spellStart"/>
      <w:r w:rsidRPr="00C66C9E">
        <w:rPr>
          <w:rFonts w:eastAsia="Times New Roman" w:cs="Arial"/>
          <w:color w:val="000000"/>
          <w:lang w:val="en-US"/>
        </w:rPr>
        <w:t>bg</w:t>
      </w:r>
      <w:proofErr w:type="spellEnd"/>
      <w:r w:rsidRPr="00C66C9E">
        <w:rPr>
          <w:rFonts w:eastAsia="Times New Roman" w:cs="Arial"/>
        </w:rPr>
        <w:fldChar w:fldCharType="end"/>
      </w:r>
    </w:p>
    <w:p w14:paraId="1E6413B0" w14:textId="77777777" w:rsidR="00C66C9E" w:rsidRPr="000D01AC" w:rsidRDefault="00C66C9E" w:rsidP="00C66C9E"/>
    <w:p w14:paraId="5A87DBA3" w14:textId="1D83B2A4" w:rsidR="007122AD" w:rsidRDefault="002C50EE" w:rsidP="00936AD0">
      <w:pPr>
        <w:pStyle w:val="Heading2"/>
      </w:pPr>
      <w:r>
        <w:t>4.9. Предозиране</w:t>
      </w:r>
    </w:p>
    <w:p w14:paraId="6068FAA5" w14:textId="36646734" w:rsidR="00C66C9E" w:rsidRDefault="00C66C9E" w:rsidP="00C66C9E"/>
    <w:p w14:paraId="5081B0D2" w14:textId="77777777" w:rsidR="00C66C9E" w:rsidRPr="00C66C9E" w:rsidRDefault="00C66C9E" w:rsidP="00C66C9E">
      <w:pPr>
        <w:spacing w:line="240" w:lineRule="auto"/>
        <w:rPr>
          <w:rFonts w:eastAsia="Times New Roman" w:cs="Arial"/>
          <w:sz w:val="28"/>
          <w:szCs w:val="24"/>
        </w:rPr>
      </w:pPr>
      <w:r w:rsidRPr="00C66C9E">
        <w:rPr>
          <w:rFonts w:eastAsia="Times New Roman" w:cs="Arial"/>
          <w:color w:val="000000"/>
          <w:szCs w:val="20"/>
          <w:lang w:eastAsia="bg-BG"/>
        </w:rPr>
        <w:t>Налични са ограничени данни за предозиране при хора. Симптомите, свързани с предозиране на АСЕ-инхибитори, могат да включват хипотония, циркулаторен шок, електролитни нарушения, бъбречна недостатъчност, хипервентилация, тахикардия, палпитации, брадикардия, замаяност, тревожност и кашлица.</w:t>
      </w:r>
    </w:p>
    <w:p w14:paraId="4CA6FA4B" w14:textId="77777777" w:rsidR="00C66C9E" w:rsidRPr="00C66C9E" w:rsidRDefault="00C66C9E" w:rsidP="00C66C9E">
      <w:pPr>
        <w:spacing w:line="240" w:lineRule="auto"/>
        <w:rPr>
          <w:rFonts w:eastAsia="Times New Roman" w:cs="Arial"/>
          <w:color w:val="000000"/>
          <w:szCs w:val="20"/>
          <w:lang w:eastAsia="bg-BG"/>
        </w:rPr>
      </w:pPr>
    </w:p>
    <w:p w14:paraId="1A69565D" w14:textId="7421B844" w:rsidR="00C66C9E" w:rsidRPr="00C66C9E" w:rsidRDefault="00C66C9E" w:rsidP="00C66C9E">
      <w:pPr>
        <w:spacing w:line="240" w:lineRule="auto"/>
        <w:rPr>
          <w:rFonts w:eastAsia="Times New Roman" w:cs="Arial"/>
          <w:sz w:val="28"/>
          <w:szCs w:val="24"/>
        </w:rPr>
      </w:pPr>
      <w:r w:rsidRPr="00C66C9E">
        <w:rPr>
          <w:rFonts w:eastAsia="Times New Roman" w:cs="Arial"/>
          <w:color w:val="000000"/>
          <w:szCs w:val="20"/>
          <w:lang w:eastAsia="bg-BG"/>
        </w:rPr>
        <w:t>Препоръчителното лечение при предозиране е интравенозиа инфузия на нормален физиологичен разтвор. При поява на хипотония, пациентът трябва да се постави в легнало положение. Ако е възможно, може да се обмисли лечение с инфузия на ангиотензин II и/или интравенозно приложение на катехоламини. Ако продуктът е погълнат наскоро, предприемете мерки, насочени към елиминиране на лизиноприл (напр. повръщане, стомашна промивка, прилагане на абсорбенти и натриев сулфат). Лизиноприл може да бъде изведен от общото кръвообращение чрез хемодиализа (вж. точка 4.4). Лечение с пейсмейкър е показано за резистентна на лечение брадикардия. Жизнените показатели, серумните електролити и креатининът трябва да се следят често.</w:t>
      </w:r>
    </w:p>
    <w:p w14:paraId="04032A5B" w14:textId="77777777" w:rsidR="00C66C9E" w:rsidRPr="00C66C9E" w:rsidRDefault="00C66C9E" w:rsidP="00C66C9E">
      <w:pPr>
        <w:spacing w:line="240" w:lineRule="auto"/>
        <w:rPr>
          <w:rFonts w:eastAsia="Times New Roman" w:cs="Arial"/>
          <w:color w:val="000000"/>
          <w:szCs w:val="20"/>
          <w:lang w:eastAsia="bg-BG"/>
        </w:rPr>
      </w:pPr>
    </w:p>
    <w:p w14:paraId="5622DABE" w14:textId="3CDCF72C" w:rsidR="00C66C9E" w:rsidRPr="00C66C9E" w:rsidRDefault="00C66C9E" w:rsidP="00C66C9E">
      <w:pPr>
        <w:spacing w:line="240" w:lineRule="auto"/>
        <w:rPr>
          <w:rFonts w:eastAsia="Times New Roman" w:cs="Arial"/>
          <w:sz w:val="28"/>
          <w:szCs w:val="24"/>
        </w:rPr>
      </w:pPr>
      <w:r w:rsidRPr="00C66C9E">
        <w:rPr>
          <w:rFonts w:eastAsia="Times New Roman" w:cs="Arial"/>
          <w:color w:val="000000"/>
          <w:szCs w:val="20"/>
          <w:lang w:eastAsia="bg-BG"/>
        </w:rPr>
        <w:t>Допълнителни симптоми на предозиране на хидрохлоротиазид са увеличена диуреза, депресия на съзнанието (вкл. кома), конвулсии, парези, сърдечни аритмии и бъбречна недостатъчност.</w:t>
      </w:r>
    </w:p>
    <w:p w14:paraId="122E8444" w14:textId="77777777" w:rsidR="00C66C9E" w:rsidRPr="00C66C9E" w:rsidRDefault="00C66C9E" w:rsidP="00C66C9E">
      <w:pPr>
        <w:spacing w:line="240" w:lineRule="auto"/>
        <w:rPr>
          <w:rFonts w:eastAsia="Times New Roman" w:cs="Arial"/>
          <w:sz w:val="28"/>
          <w:szCs w:val="24"/>
        </w:rPr>
      </w:pPr>
      <w:r w:rsidRPr="00C66C9E">
        <w:rPr>
          <w:rFonts w:eastAsia="Times New Roman" w:cs="Arial"/>
          <w:color w:val="000000"/>
          <w:szCs w:val="20"/>
          <w:lang w:eastAsia="bg-BG"/>
        </w:rPr>
        <w:t>Брадикардия или обширни вагусови реакции трябва да бъдат лекувани чрез приложение на атропин.</w:t>
      </w:r>
    </w:p>
    <w:p w14:paraId="1D94E4FE" w14:textId="77777777" w:rsidR="00C66C9E" w:rsidRPr="00C66C9E" w:rsidRDefault="00C66C9E" w:rsidP="00C66C9E">
      <w:pPr>
        <w:spacing w:line="240" w:lineRule="auto"/>
        <w:rPr>
          <w:rFonts w:eastAsia="Times New Roman" w:cs="Arial"/>
          <w:sz w:val="28"/>
          <w:szCs w:val="24"/>
        </w:rPr>
      </w:pPr>
      <w:r w:rsidRPr="00C66C9E">
        <w:rPr>
          <w:rFonts w:eastAsia="Times New Roman" w:cs="Arial"/>
          <w:color w:val="000000"/>
          <w:szCs w:val="20"/>
          <w:lang w:eastAsia="bg-BG"/>
        </w:rPr>
        <w:t>Ако са приложени и дигиталисови препарати, хипокалиемията може да изостри някои сърдечни аритмии.</w:t>
      </w:r>
    </w:p>
    <w:p w14:paraId="44D818DF" w14:textId="77777777" w:rsidR="00C66C9E" w:rsidRPr="00C66C9E" w:rsidRDefault="00C66C9E" w:rsidP="00C66C9E"/>
    <w:p w14:paraId="02081B24" w14:textId="36FE76F4" w:rsidR="00395555" w:rsidRPr="00395555" w:rsidRDefault="002C50EE" w:rsidP="008A6AF2">
      <w:pPr>
        <w:pStyle w:val="Heading1"/>
      </w:pPr>
      <w:r>
        <w:lastRenderedPageBreak/>
        <w:t>5. ФАРМАКОЛОГИЧНИ СВОЙСТВА</w:t>
      </w:r>
    </w:p>
    <w:p w14:paraId="6339E404" w14:textId="3082AD41" w:rsidR="00875EEC" w:rsidRDefault="002C50EE" w:rsidP="005726E3">
      <w:pPr>
        <w:pStyle w:val="Heading2"/>
      </w:pPr>
      <w:r>
        <w:t>5.1. Фармакодинамични свойства</w:t>
      </w:r>
    </w:p>
    <w:p w14:paraId="203D5DCC" w14:textId="6D442403" w:rsidR="00C66C9E" w:rsidRDefault="00C66C9E" w:rsidP="00C66C9E"/>
    <w:p w14:paraId="16D77BB3" w14:textId="77777777" w:rsidR="00C66C9E" w:rsidRPr="00C66C9E" w:rsidRDefault="00C66C9E" w:rsidP="00C66C9E">
      <w:pPr>
        <w:spacing w:line="240" w:lineRule="auto"/>
        <w:rPr>
          <w:rFonts w:eastAsia="Times New Roman" w:cs="Arial"/>
        </w:rPr>
      </w:pPr>
      <w:r w:rsidRPr="00C66C9E">
        <w:rPr>
          <w:rFonts w:eastAsia="Times New Roman" w:cs="Arial"/>
          <w:color w:val="000000"/>
          <w:lang w:eastAsia="bg-BG"/>
        </w:rPr>
        <w:t xml:space="preserve">Фармакотерапевтична група: Средства, повлияващи ренин-ангиотензиновата система, АСЕ </w:t>
      </w:r>
      <w:r w:rsidRPr="00C66C9E">
        <w:rPr>
          <w:rFonts w:eastAsia="Times New Roman" w:cs="Arial"/>
          <w:color w:val="000000"/>
          <w:lang w:val="en-US"/>
        </w:rPr>
        <w:t>inhibitors</w:t>
      </w:r>
      <w:r w:rsidRPr="00C66C9E">
        <w:rPr>
          <w:rFonts w:eastAsia="Times New Roman" w:cs="Arial"/>
          <w:color w:val="000000"/>
          <w:lang w:val="ru-RU"/>
        </w:rPr>
        <w:t xml:space="preserve">, </w:t>
      </w:r>
      <w:r w:rsidRPr="00C66C9E">
        <w:rPr>
          <w:rFonts w:eastAsia="Times New Roman" w:cs="Arial"/>
          <w:color w:val="000000"/>
          <w:lang w:val="en-US"/>
        </w:rPr>
        <w:t>combinations</w:t>
      </w:r>
      <w:r w:rsidRPr="00C66C9E">
        <w:rPr>
          <w:rFonts w:eastAsia="Times New Roman" w:cs="Arial"/>
          <w:color w:val="000000"/>
          <w:lang w:val="ru-RU"/>
        </w:rPr>
        <w:t xml:space="preserve">, </w:t>
      </w:r>
      <w:r w:rsidRPr="00C66C9E">
        <w:rPr>
          <w:rFonts w:eastAsia="Times New Roman" w:cs="Arial"/>
          <w:color w:val="000000"/>
          <w:lang w:eastAsia="bg-BG"/>
        </w:rPr>
        <w:t>АТС код: С09ВА03.</w:t>
      </w:r>
    </w:p>
    <w:p w14:paraId="5507DC09" w14:textId="77777777" w:rsidR="00C66C9E" w:rsidRPr="00C66C9E" w:rsidRDefault="00C66C9E" w:rsidP="00C66C9E">
      <w:pPr>
        <w:spacing w:line="240" w:lineRule="auto"/>
        <w:rPr>
          <w:rFonts w:eastAsia="Times New Roman" w:cs="Arial"/>
          <w:color w:val="000000"/>
          <w:lang w:eastAsia="bg-BG"/>
        </w:rPr>
      </w:pPr>
    </w:p>
    <w:p w14:paraId="63B13859" w14:textId="5D16F6D3" w:rsidR="00C66C9E" w:rsidRPr="00C66C9E" w:rsidRDefault="00C66C9E" w:rsidP="00C66C9E">
      <w:pPr>
        <w:spacing w:line="240" w:lineRule="auto"/>
        <w:rPr>
          <w:rFonts w:eastAsia="Times New Roman" w:cs="Arial"/>
        </w:rPr>
      </w:pPr>
      <w:r w:rsidRPr="00C66C9E">
        <w:rPr>
          <w:rFonts w:eastAsia="Times New Roman" w:cs="Arial"/>
          <w:color w:val="000000"/>
          <w:lang w:eastAsia="bg-BG"/>
        </w:rPr>
        <w:t>Скоприл плюс има антихипертензивно и диуретично действие. Лизиноприл и хидрохлоротиазид самостоятелно и едновременно са използвани за лечение на хипертония, когато тяхното въздействие приблизително се допълва.</w:t>
      </w:r>
    </w:p>
    <w:p w14:paraId="40B397B6" w14:textId="77777777" w:rsidR="00C66C9E" w:rsidRPr="00C66C9E" w:rsidRDefault="00C66C9E" w:rsidP="00C66C9E">
      <w:pPr>
        <w:spacing w:line="240" w:lineRule="auto"/>
        <w:rPr>
          <w:rFonts w:eastAsia="Times New Roman" w:cs="Arial"/>
          <w:color w:val="000000"/>
          <w:lang w:eastAsia="bg-BG"/>
        </w:rPr>
      </w:pPr>
    </w:p>
    <w:p w14:paraId="20CBA29F" w14:textId="299127E0" w:rsidR="00C66C9E" w:rsidRPr="00C66C9E" w:rsidRDefault="00C66C9E" w:rsidP="00C66C9E">
      <w:pPr>
        <w:spacing w:line="240" w:lineRule="auto"/>
        <w:rPr>
          <w:rFonts w:eastAsia="Times New Roman" w:cs="Arial"/>
        </w:rPr>
      </w:pPr>
      <w:r w:rsidRPr="00C66C9E">
        <w:rPr>
          <w:rFonts w:eastAsia="Times New Roman" w:cs="Arial"/>
          <w:color w:val="000000"/>
          <w:lang w:eastAsia="bg-BG"/>
        </w:rPr>
        <w:t>Лизиноприл е инхибитор на ангиотензин-конвертиращия ензим (АСЕ). Инхибиране на</w:t>
      </w:r>
    </w:p>
    <w:p w14:paraId="6A267D2D" w14:textId="7C455EDE" w:rsidR="00C66C9E" w:rsidRPr="00C66C9E" w:rsidRDefault="00C66C9E" w:rsidP="00C66C9E">
      <w:pPr>
        <w:rPr>
          <w:rFonts w:eastAsia="Times New Roman" w:cs="Arial"/>
          <w:color w:val="000000"/>
          <w:lang w:eastAsia="bg-BG"/>
        </w:rPr>
      </w:pPr>
      <w:r w:rsidRPr="00C66C9E">
        <w:rPr>
          <w:rFonts w:eastAsia="Times New Roman" w:cs="Arial"/>
          <w:color w:val="000000"/>
          <w:lang w:eastAsia="bg-BG"/>
        </w:rPr>
        <w:t>образуването на ангиотензин II води до вазодилатация и спад на кръвното налягане.</w:t>
      </w:r>
    </w:p>
    <w:p w14:paraId="0C5566BC" w14:textId="4352E5FB" w:rsidR="00C66C9E" w:rsidRPr="00C66C9E" w:rsidRDefault="00C66C9E" w:rsidP="00C66C9E">
      <w:pPr>
        <w:rPr>
          <w:rFonts w:eastAsia="Times New Roman" w:cs="Arial"/>
          <w:color w:val="000000"/>
          <w:lang w:eastAsia="bg-BG"/>
        </w:rPr>
      </w:pPr>
    </w:p>
    <w:p w14:paraId="5112737D" w14:textId="77777777" w:rsidR="00C66C9E" w:rsidRPr="00C66C9E" w:rsidRDefault="00C66C9E" w:rsidP="00C66C9E">
      <w:pPr>
        <w:spacing w:line="240" w:lineRule="auto"/>
        <w:rPr>
          <w:rFonts w:eastAsia="Times New Roman" w:cs="Arial"/>
        </w:rPr>
      </w:pPr>
      <w:r w:rsidRPr="00C66C9E">
        <w:rPr>
          <w:rFonts w:eastAsia="Times New Roman" w:cs="Arial"/>
          <w:color w:val="000000"/>
          <w:lang w:eastAsia="bg-BG"/>
        </w:rPr>
        <w:t>Хидрохлоротиазид е диуретично и антихипертензивно средство. Използването само на това средство води до повишена секреция на ренин. Въпреки че лизиноприл сам по себе си е антихипертензивен, дори и при пациенти с нискоренинова хипертония, едновременно прилагане с хидрохлоротиазид води до по-голямо намаляване на кръвното налягане. Лизиноприл намалява загубата на калий, свързана с хидрохлоротиазид.</w:t>
      </w:r>
    </w:p>
    <w:p w14:paraId="32724CD1" w14:textId="77777777" w:rsidR="00C66C9E" w:rsidRPr="00C66C9E" w:rsidRDefault="00C66C9E" w:rsidP="00C66C9E">
      <w:pPr>
        <w:spacing w:line="240" w:lineRule="auto"/>
        <w:rPr>
          <w:rFonts w:eastAsia="Times New Roman" w:cs="Arial"/>
          <w:color w:val="000000"/>
          <w:lang w:eastAsia="bg-BG"/>
        </w:rPr>
      </w:pPr>
    </w:p>
    <w:p w14:paraId="4BE568C3" w14:textId="27F6644B" w:rsidR="00C66C9E" w:rsidRPr="00C66C9E" w:rsidRDefault="00C66C9E" w:rsidP="00C66C9E">
      <w:pPr>
        <w:spacing w:line="240" w:lineRule="auto"/>
        <w:rPr>
          <w:rFonts w:eastAsia="Times New Roman" w:cs="Arial"/>
        </w:rPr>
      </w:pPr>
      <w:r w:rsidRPr="00C66C9E">
        <w:rPr>
          <w:rFonts w:eastAsia="Times New Roman" w:cs="Arial"/>
          <w:color w:val="000000"/>
          <w:lang w:eastAsia="bg-BG"/>
        </w:rPr>
        <w:t xml:space="preserve">Две големи рандомизирани контролирани проучвания - </w:t>
      </w:r>
      <w:r w:rsidRPr="00C66C9E">
        <w:rPr>
          <w:rFonts w:eastAsia="Times New Roman" w:cs="Arial"/>
          <w:color w:val="000000"/>
          <w:lang w:val="en-US"/>
        </w:rPr>
        <w:t>ONTARGET</w:t>
      </w:r>
      <w:r w:rsidRPr="00C66C9E">
        <w:rPr>
          <w:rFonts w:eastAsia="Times New Roman" w:cs="Arial"/>
          <w:color w:val="000000"/>
        </w:rPr>
        <w:t xml:space="preserve"> (</w:t>
      </w:r>
      <w:proofErr w:type="spellStart"/>
      <w:r w:rsidRPr="00C66C9E">
        <w:rPr>
          <w:rFonts w:eastAsia="Times New Roman" w:cs="Arial"/>
          <w:color w:val="000000"/>
          <w:lang w:val="en-US"/>
        </w:rPr>
        <w:t>ONgoing</w:t>
      </w:r>
      <w:proofErr w:type="spellEnd"/>
      <w:r w:rsidRPr="00C66C9E">
        <w:rPr>
          <w:rFonts w:eastAsia="Times New Roman" w:cs="Arial"/>
          <w:color w:val="000000"/>
        </w:rPr>
        <w:t xml:space="preserve"> </w:t>
      </w:r>
      <w:proofErr w:type="spellStart"/>
      <w:r w:rsidRPr="00C66C9E">
        <w:rPr>
          <w:rFonts w:eastAsia="Times New Roman" w:cs="Arial"/>
          <w:color w:val="000000"/>
          <w:lang w:val="en-US"/>
        </w:rPr>
        <w:t>Telmisartan</w:t>
      </w:r>
      <w:proofErr w:type="spellEnd"/>
      <w:r w:rsidRPr="00C66C9E">
        <w:rPr>
          <w:rFonts w:eastAsia="Times New Roman" w:cs="Arial"/>
          <w:color w:val="000000"/>
        </w:rPr>
        <w:t xml:space="preserve"> </w:t>
      </w:r>
      <w:r w:rsidRPr="00C66C9E">
        <w:rPr>
          <w:rFonts w:eastAsia="Times New Roman" w:cs="Arial"/>
          <w:color w:val="000000"/>
          <w:lang w:val="en-US"/>
        </w:rPr>
        <w:t>Alone</w:t>
      </w:r>
      <w:r w:rsidRPr="00C66C9E">
        <w:rPr>
          <w:rFonts w:eastAsia="Times New Roman" w:cs="Arial"/>
          <w:color w:val="000000"/>
        </w:rPr>
        <w:t xml:space="preserve"> </w:t>
      </w:r>
      <w:r w:rsidRPr="00C66C9E">
        <w:rPr>
          <w:rFonts w:eastAsia="Times New Roman" w:cs="Arial"/>
          <w:color w:val="000000"/>
          <w:lang w:val="en-US"/>
        </w:rPr>
        <w:t>and</w:t>
      </w:r>
      <w:r w:rsidRPr="00C66C9E">
        <w:rPr>
          <w:rFonts w:eastAsia="Times New Roman" w:cs="Arial"/>
          <w:color w:val="000000"/>
        </w:rPr>
        <w:t xml:space="preserve"> </w:t>
      </w:r>
      <w:r w:rsidRPr="00C66C9E">
        <w:rPr>
          <w:rFonts w:eastAsia="Times New Roman" w:cs="Arial"/>
          <w:color w:val="000000"/>
          <w:lang w:val="en-US"/>
        </w:rPr>
        <w:t>in</w:t>
      </w:r>
      <w:r w:rsidRPr="00C66C9E">
        <w:rPr>
          <w:rFonts w:eastAsia="Times New Roman" w:cs="Arial"/>
          <w:color w:val="000000"/>
        </w:rPr>
        <w:t xml:space="preserve"> </w:t>
      </w:r>
      <w:r w:rsidRPr="00C66C9E">
        <w:rPr>
          <w:rFonts w:eastAsia="Times New Roman" w:cs="Arial"/>
          <w:color w:val="000000"/>
          <w:lang w:val="en-US"/>
        </w:rPr>
        <w:t>combination</w:t>
      </w:r>
      <w:r w:rsidRPr="00C66C9E">
        <w:rPr>
          <w:rFonts w:eastAsia="Times New Roman" w:cs="Arial"/>
          <w:color w:val="000000"/>
        </w:rPr>
        <w:t xml:space="preserve"> </w:t>
      </w:r>
      <w:r w:rsidRPr="00C66C9E">
        <w:rPr>
          <w:rFonts w:eastAsia="Times New Roman" w:cs="Arial"/>
          <w:color w:val="000000"/>
          <w:lang w:val="en-US"/>
        </w:rPr>
        <w:t>with</w:t>
      </w:r>
      <w:r w:rsidRPr="00C66C9E">
        <w:rPr>
          <w:rFonts w:eastAsia="Times New Roman" w:cs="Arial"/>
          <w:color w:val="000000"/>
        </w:rPr>
        <w:t xml:space="preserve"> </w:t>
      </w:r>
      <w:r w:rsidRPr="00C66C9E">
        <w:rPr>
          <w:rFonts w:eastAsia="Times New Roman" w:cs="Arial"/>
          <w:color w:val="000000"/>
          <w:lang w:val="en-US"/>
        </w:rPr>
        <w:t>Ramipril</w:t>
      </w:r>
      <w:r w:rsidRPr="00C66C9E">
        <w:rPr>
          <w:rFonts w:eastAsia="Times New Roman" w:cs="Arial"/>
          <w:color w:val="000000"/>
        </w:rPr>
        <w:t xml:space="preserve"> </w:t>
      </w:r>
      <w:r w:rsidRPr="00C66C9E">
        <w:rPr>
          <w:rFonts w:eastAsia="Times New Roman" w:cs="Arial"/>
          <w:color w:val="000000"/>
          <w:lang w:val="en-US"/>
        </w:rPr>
        <w:t>Global</w:t>
      </w:r>
      <w:r w:rsidRPr="00C66C9E">
        <w:rPr>
          <w:rFonts w:eastAsia="Times New Roman" w:cs="Arial"/>
          <w:color w:val="000000"/>
        </w:rPr>
        <w:t xml:space="preserve"> </w:t>
      </w:r>
      <w:r w:rsidRPr="00C66C9E">
        <w:rPr>
          <w:rFonts w:eastAsia="Times New Roman" w:cs="Arial"/>
          <w:color w:val="000000"/>
          <w:lang w:val="en-US"/>
        </w:rPr>
        <w:t>Endpoint</w:t>
      </w:r>
      <w:r w:rsidRPr="00C66C9E">
        <w:rPr>
          <w:rFonts w:eastAsia="Times New Roman" w:cs="Arial"/>
          <w:color w:val="000000"/>
        </w:rPr>
        <w:t xml:space="preserve"> </w:t>
      </w:r>
      <w:r w:rsidRPr="00C66C9E">
        <w:rPr>
          <w:rFonts w:eastAsia="Times New Roman" w:cs="Arial"/>
          <w:color w:val="000000"/>
          <w:lang w:val="en-US"/>
        </w:rPr>
        <w:t>Trial</w:t>
      </w:r>
      <w:r w:rsidRPr="00C66C9E">
        <w:rPr>
          <w:rFonts w:eastAsia="Times New Roman" w:cs="Arial"/>
          <w:color w:val="000000"/>
        </w:rPr>
        <w:t xml:space="preserve"> - </w:t>
      </w:r>
      <w:r w:rsidRPr="00C66C9E">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C66C9E">
        <w:rPr>
          <w:rFonts w:eastAsia="Times New Roman" w:cs="Arial"/>
          <w:color w:val="000000"/>
          <w:lang w:val="en-US"/>
        </w:rPr>
        <w:t>VA</w:t>
      </w:r>
      <w:r w:rsidRPr="00C66C9E">
        <w:rPr>
          <w:rFonts w:eastAsia="Times New Roman" w:cs="Arial"/>
          <w:color w:val="000000"/>
        </w:rPr>
        <w:t xml:space="preserve"> </w:t>
      </w:r>
      <w:r w:rsidRPr="00C66C9E">
        <w:rPr>
          <w:rFonts w:eastAsia="Times New Roman" w:cs="Arial"/>
          <w:color w:val="000000"/>
          <w:lang w:val="en-US"/>
        </w:rPr>
        <w:t>NEPHRON</w:t>
      </w:r>
      <w:r w:rsidRPr="00C66C9E">
        <w:rPr>
          <w:rFonts w:eastAsia="Times New Roman" w:cs="Arial"/>
          <w:color w:val="000000"/>
        </w:rPr>
        <w:t>-</w:t>
      </w:r>
      <w:r w:rsidRPr="00C66C9E">
        <w:rPr>
          <w:rFonts w:eastAsia="Times New Roman" w:cs="Arial"/>
          <w:color w:val="000000"/>
          <w:lang w:val="en-US"/>
        </w:rPr>
        <w:t>D</w:t>
      </w:r>
      <w:r w:rsidRPr="00C66C9E">
        <w:rPr>
          <w:rFonts w:eastAsia="Times New Roman" w:cs="Arial"/>
          <w:color w:val="000000"/>
        </w:rPr>
        <w:t xml:space="preserve"> </w:t>
      </w:r>
      <w:r w:rsidRPr="00C66C9E">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w:t>
      </w:r>
      <w:r w:rsidRPr="00C66C9E">
        <w:rPr>
          <w:rFonts w:eastAsia="Times New Roman" w:cs="Arial"/>
          <w:color w:val="000000"/>
          <w:lang w:val="en-US"/>
        </w:rPr>
        <w:t>II</w:t>
      </w:r>
      <w:r w:rsidRPr="00C66C9E">
        <w:rPr>
          <w:rFonts w:eastAsia="Times New Roman" w:cs="Arial"/>
          <w:color w:val="000000"/>
          <w:lang w:eastAsia="bg-BG"/>
        </w:rPr>
        <w:t>-рецепторен блокер.</w:t>
      </w:r>
    </w:p>
    <w:p w14:paraId="3704C352" w14:textId="77777777" w:rsidR="00C66C9E" w:rsidRPr="00C66C9E" w:rsidRDefault="00C66C9E" w:rsidP="00C66C9E">
      <w:pPr>
        <w:spacing w:line="240" w:lineRule="auto"/>
        <w:rPr>
          <w:rFonts w:eastAsia="Times New Roman" w:cs="Arial"/>
          <w:color w:val="000000"/>
          <w:lang w:val="en-US"/>
        </w:rPr>
      </w:pPr>
    </w:p>
    <w:p w14:paraId="3AF0DF53" w14:textId="65F9B0E9" w:rsidR="00C66C9E" w:rsidRPr="00C66C9E" w:rsidRDefault="00C66C9E" w:rsidP="00C66C9E">
      <w:pPr>
        <w:spacing w:line="240" w:lineRule="auto"/>
        <w:rPr>
          <w:rFonts w:eastAsia="Times New Roman" w:cs="Arial"/>
        </w:rPr>
      </w:pPr>
      <w:r w:rsidRPr="00C66C9E">
        <w:rPr>
          <w:rFonts w:eastAsia="Times New Roman" w:cs="Arial"/>
          <w:color w:val="000000"/>
          <w:lang w:val="en-US"/>
        </w:rPr>
        <w:t>ONTARGET</w:t>
      </w:r>
      <w:r w:rsidRPr="00C66C9E">
        <w:rPr>
          <w:rFonts w:eastAsia="Times New Roman" w:cs="Arial"/>
          <w:color w:val="000000"/>
          <w:lang w:val="ru-RU"/>
        </w:rPr>
        <w:t xml:space="preserve"> </w:t>
      </w:r>
      <w:r w:rsidRPr="00C66C9E">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C66C9E">
        <w:rPr>
          <w:rFonts w:eastAsia="Times New Roman" w:cs="Arial"/>
          <w:color w:val="000000"/>
          <w:lang w:val="en-US"/>
        </w:rPr>
        <w:t>VA</w:t>
      </w:r>
      <w:r w:rsidRPr="00C66C9E">
        <w:rPr>
          <w:rFonts w:eastAsia="Times New Roman" w:cs="Arial"/>
          <w:color w:val="000000"/>
          <w:lang w:val="ru-RU"/>
        </w:rPr>
        <w:t xml:space="preserve"> </w:t>
      </w:r>
      <w:r w:rsidRPr="00C66C9E">
        <w:rPr>
          <w:rFonts w:eastAsia="Times New Roman" w:cs="Arial"/>
          <w:color w:val="000000"/>
          <w:lang w:val="en-US"/>
        </w:rPr>
        <w:t>NEPHRON</w:t>
      </w:r>
      <w:r w:rsidRPr="00C66C9E">
        <w:rPr>
          <w:rFonts w:eastAsia="Times New Roman" w:cs="Arial"/>
          <w:color w:val="000000"/>
          <w:lang w:val="ru-RU"/>
        </w:rPr>
        <w:t>-</w:t>
      </w:r>
      <w:r w:rsidRPr="00C66C9E">
        <w:rPr>
          <w:rFonts w:eastAsia="Times New Roman" w:cs="Arial"/>
          <w:color w:val="000000"/>
          <w:lang w:val="en-US"/>
        </w:rPr>
        <w:t>D</w:t>
      </w:r>
      <w:r w:rsidRPr="00C66C9E">
        <w:rPr>
          <w:rFonts w:eastAsia="Times New Roman" w:cs="Arial"/>
          <w:color w:val="000000"/>
          <w:lang w:val="ru-RU"/>
        </w:rPr>
        <w:t xml:space="preserve"> </w:t>
      </w:r>
      <w:r w:rsidRPr="00C66C9E">
        <w:rPr>
          <w:rFonts w:eastAsia="Times New Roman" w:cs="Arial"/>
          <w:color w:val="000000"/>
          <w:lang w:eastAsia="bg-BG"/>
        </w:rPr>
        <w:t>е проучване при пациенти със захарен диабет тип 2 и диабетна нефропатия.</w:t>
      </w:r>
    </w:p>
    <w:p w14:paraId="60BFB495" w14:textId="77777777" w:rsidR="00C66C9E" w:rsidRPr="00C66C9E" w:rsidRDefault="00C66C9E" w:rsidP="00C66C9E">
      <w:pPr>
        <w:spacing w:line="240" w:lineRule="auto"/>
        <w:rPr>
          <w:rFonts w:eastAsia="Times New Roman" w:cs="Arial"/>
          <w:color w:val="000000"/>
          <w:lang w:eastAsia="bg-BG"/>
        </w:rPr>
      </w:pPr>
    </w:p>
    <w:p w14:paraId="45B44EDD" w14:textId="4CC5F11D" w:rsidR="00C66C9E" w:rsidRPr="00C66C9E" w:rsidRDefault="00C66C9E" w:rsidP="00C66C9E">
      <w:pPr>
        <w:spacing w:line="240" w:lineRule="auto"/>
        <w:rPr>
          <w:rFonts w:eastAsia="Times New Roman" w:cs="Arial"/>
        </w:rPr>
      </w:pPr>
      <w:r w:rsidRPr="00C66C9E">
        <w:rPr>
          <w:rFonts w:eastAsia="Times New Roman" w:cs="Arial"/>
          <w:color w:val="000000"/>
          <w:lang w:eastAsia="bg-BG"/>
        </w:rPr>
        <w:t>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 перкалиемия, остро увреждане на бъбреците и/или хипотония в сравнение с монотерапията.Като се имат предвид сходните им фармакодинамични свойства, тези резултати са приложими и за други АСЕ инхибитори и ангиотензин П-рецепторни блокери.</w:t>
      </w:r>
    </w:p>
    <w:p w14:paraId="7DB01EFD" w14:textId="77777777" w:rsidR="00C66C9E" w:rsidRPr="00C66C9E" w:rsidRDefault="00C66C9E" w:rsidP="00C66C9E">
      <w:pPr>
        <w:spacing w:line="240" w:lineRule="auto"/>
        <w:rPr>
          <w:rFonts w:eastAsia="Times New Roman" w:cs="Arial"/>
          <w:color w:val="000000"/>
          <w:lang w:eastAsia="bg-BG"/>
        </w:rPr>
      </w:pPr>
    </w:p>
    <w:p w14:paraId="31425AB7" w14:textId="357FAA2C" w:rsidR="00C66C9E" w:rsidRPr="00C66C9E" w:rsidRDefault="00C66C9E" w:rsidP="00C66C9E">
      <w:pPr>
        <w:spacing w:line="240" w:lineRule="auto"/>
        <w:rPr>
          <w:rFonts w:eastAsia="Times New Roman" w:cs="Arial"/>
        </w:rPr>
      </w:pPr>
      <w:r w:rsidRPr="00C66C9E">
        <w:rPr>
          <w:rFonts w:eastAsia="Times New Roman" w:cs="Arial"/>
          <w:color w:val="000000"/>
          <w:lang w:eastAsia="bg-BG"/>
        </w:rPr>
        <w:t xml:space="preserve">АСЕ инхибитори и ангиотензин </w:t>
      </w:r>
      <w:r w:rsidRPr="00C66C9E">
        <w:rPr>
          <w:rFonts w:eastAsia="Times New Roman" w:cs="Arial"/>
          <w:color w:val="000000"/>
          <w:lang w:val="en-US"/>
        </w:rPr>
        <w:t>II</w:t>
      </w:r>
      <w:r w:rsidRPr="00C66C9E">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246606F0" w14:textId="77777777" w:rsidR="00C66C9E" w:rsidRPr="00C66C9E" w:rsidRDefault="00C66C9E" w:rsidP="00C66C9E">
      <w:pPr>
        <w:spacing w:line="240" w:lineRule="auto"/>
        <w:rPr>
          <w:rFonts w:eastAsia="Times New Roman" w:cs="Arial"/>
          <w:color w:val="000000"/>
          <w:lang w:val="en-US"/>
        </w:rPr>
      </w:pPr>
    </w:p>
    <w:p w14:paraId="599EDD92" w14:textId="68A1DB46" w:rsidR="00C66C9E" w:rsidRPr="00C66C9E" w:rsidRDefault="00C66C9E" w:rsidP="00C66C9E">
      <w:pPr>
        <w:spacing w:line="240" w:lineRule="auto"/>
        <w:rPr>
          <w:rFonts w:eastAsia="Times New Roman" w:cs="Arial"/>
        </w:rPr>
      </w:pPr>
      <w:r w:rsidRPr="00C66C9E">
        <w:rPr>
          <w:rFonts w:eastAsia="Times New Roman" w:cs="Arial"/>
          <w:color w:val="000000"/>
          <w:lang w:val="en-US"/>
        </w:rPr>
        <w:t>ALTITUDE</w:t>
      </w:r>
      <w:r w:rsidRPr="00C66C9E">
        <w:rPr>
          <w:rFonts w:eastAsia="Times New Roman" w:cs="Arial"/>
          <w:color w:val="000000"/>
          <w:lang w:val="ru-RU"/>
        </w:rPr>
        <w:t xml:space="preserve"> </w:t>
      </w:r>
      <w:r w:rsidRPr="00C66C9E">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C66C9E">
        <w:rPr>
          <w:rFonts w:eastAsia="Times New Roman" w:cs="Arial"/>
          <w:color w:val="000000"/>
          <w:lang w:val="en-US"/>
        </w:rPr>
        <w:t>II</w:t>
      </w:r>
      <w:r w:rsidRPr="00C66C9E">
        <w:rPr>
          <w:rFonts w:eastAsia="Times New Roman" w:cs="Arial"/>
          <w:color w:val="000000"/>
          <w:lang w:eastAsia="bg-BG"/>
        </w:rPr>
        <w:t xml:space="preserve">-рецепторен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w:t>
      </w:r>
      <w:r w:rsidRPr="00C66C9E">
        <w:rPr>
          <w:rFonts w:eastAsia="Times New Roman" w:cs="Arial"/>
          <w:color w:val="000000"/>
          <w:lang w:eastAsia="bg-BG"/>
        </w:rPr>
        <w:lastRenderedPageBreak/>
        <w:t>дисфункция) се съобщават по-често в групата на алискирен, отколкото в групата на плацебо.</w:t>
      </w:r>
    </w:p>
    <w:p w14:paraId="1B3EA262" w14:textId="77777777" w:rsidR="00C66C9E" w:rsidRPr="00C66C9E" w:rsidRDefault="00C66C9E" w:rsidP="00C66C9E">
      <w:pPr>
        <w:rPr>
          <w:rFonts w:eastAsia="Times New Roman" w:cs="Arial"/>
          <w:color w:val="000000"/>
          <w:lang w:eastAsia="bg-BG"/>
        </w:rPr>
      </w:pPr>
    </w:p>
    <w:p w14:paraId="5E4DA40D" w14:textId="0B664FE2" w:rsidR="00C66C9E" w:rsidRPr="00C66C9E" w:rsidRDefault="00C66C9E" w:rsidP="00C66C9E">
      <w:pPr>
        <w:rPr>
          <w:rFonts w:cs="Arial"/>
        </w:rPr>
      </w:pPr>
      <w:r w:rsidRPr="00C66C9E">
        <w:rPr>
          <w:rFonts w:eastAsia="Times New Roman" w:cs="Arial"/>
          <w:color w:val="000000"/>
          <w:lang w:eastAsia="bg-BG"/>
        </w:rPr>
        <w:t xml:space="preserve">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 на БКК и 8 629 случаи на СКК, и популация от съответно 1 430 833 и 172 462 подходящи контроли. Високата употреба на ХХТЗ (кумулативно ≥50 000 </w:t>
      </w:r>
      <w:r w:rsidRPr="00C66C9E">
        <w:rPr>
          <w:rFonts w:eastAsia="Times New Roman" w:cs="Arial"/>
          <w:color w:val="000000"/>
          <w:lang w:val="en-US"/>
        </w:rPr>
        <w:t>mg</w:t>
      </w:r>
      <w:r w:rsidRPr="00C66C9E">
        <w:rPr>
          <w:rFonts w:eastAsia="Times New Roman" w:cs="Arial"/>
          <w:color w:val="000000"/>
          <w:lang w:val="ru-RU"/>
        </w:rPr>
        <w:t xml:space="preserve">) </w:t>
      </w:r>
      <w:r w:rsidRPr="00C66C9E">
        <w:rPr>
          <w:rFonts w:eastAsia="Times New Roman" w:cs="Arial"/>
          <w:color w:val="000000"/>
          <w:lang w:eastAsia="bg-BG"/>
        </w:rPr>
        <w:t xml:space="preserve">е свързана с коригиран </w:t>
      </w:r>
      <w:r w:rsidRPr="00C66C9E">
        <w:rPr>
          <w:rFonts w:eastAsia="Times New Roman" w:cs="Arial"/>
          <w:color w:val="000000"/>
          <w:lang w:val="en-US"/>
        </w:rPr>
        <w:t>OR</w:t>
      </w:r>
      <w:r w:rsidRPr="00C66C9E">
        <w:rPr>
          <w:rFonts w:eastAsia="Times New Roman" w:cs="Arial"/>
          <w:color w:val="000000"/>
          <w:lang w:val="ru-RU"/>
        </w:rPr>
        <w:t xml:space="preserve"> </w:t>
      </w:r>
      <w:r w:rsidRPr="00C66C9E">
        <w:rPr>
          <w:rFonts w:eastAsia="Times New Roman" w:cs="Arial"/>
          <w:color w:val="000000"/>
          <w:lang w:eastAsia="bg-BG"/>
        </w:rPr>
        <w:t>1,29 (95% ДИ: 1,23-1,35) за БКК и 3,98 (95% ДИ: 3,68-4,31) за СКК. Наблюдавана е ясна връзка кумулативна доза-отговор както за БКК, така и за СКК. Друго проучване показва възможна връзка между рака на устните (СКК) и експозицията на ХХТЗ: за 633 случаи на рак на устните е подбрана популация от 63</w:t>
      </w:r>
      <w:r w:rsidRPr="00C66C9E">
        <w:rPr>
          <w:rFonts w:eastAsia="Times New Roman" w:cs="Arial"/>
          <w:color w:val="000000"/>
          <w:u w:val="single"/>
          <w:lang w:eastAsia="bg-BG"/>
        </w:rPr>
        <w:t xml:space="preserve"> </w:t>
      </w:r>
      <w:r w:rsidRPr="00C66C9E">
        <w:rPr>
          <w:rFonts w:eastAsia="Times New Roman" w:cs="Arial"/>
          <w:color w:val="000000"/>
          <w:lang w:eastAsia="bg-BG"/>
        </w:rPr>
        <w:t xml:space="preserve">067 подходящи контроли, като се използва стратегия за вземане на проби </w:t>
      </w:r>
      <w:r w:rsidRPr="00C66C9E">
        <w:rPr>
          <w:rFonts w:cs="Arial"/>
        </w:rPr>
        <w:t xml:space="preserve">определена от риска. Демонстрирана е връзка кумулативна доза-отговор с коригиран </w:t>
      </w:r>
      <w:r w:rsidRPr="00C66C9E">
        <w:rPr>
          <w:rFonts w:cs="Arial"/>
          <w:lang w:val="en-US"/>
        </w:rPr>
        <w:t>OR</w:t>
      </w:r>
      <w:r w:rsidRPr="00C66C9E">
        <w:rPr>
          <w:rFonts w:cs="Arial"/>
          <w:lang w:val="ru-RU"/>
        </w:rPr>
        <w:t xml:space="preserve"> </w:t>
      </w:r>
      <w:r w:rsidRPr="00C66C9E">
        <w:rPr>
          <w:rFonts w:cs="Arial"/>
        </w:rPr>
        <w:t xml:space="preserve">2,1 (95% ДИ: 1,7-2,6), нарастващ до </w:t>
      </w:r>
      <w:r w:rsidRPr="00C66C9E">
        <w:rPr>
          <w:rFonts w:cs="Arial"/>
          <w:lang w:val="en-US"/>
        </w:rPr>
        <w:t>OR</w:t>
      </w:r>
      <w:r w:rsidRPr="00C66C9E">
        <w:rPr>
          <w:rFonts w:cs="Arial"/>
          <w:lang w:val="ru-RU"/>
        </w:rPr>
        <w:t xml:space="preserve"> </w:t>
      </w:r>
      <w:r w:rsidRPr="00C66C9E">
        <w:rPr>
          <w:rFonts w:cs="Arial"/>
        </w:rPr>
        <w:t xml:space="preserve">3,9 (3,0-4,9) за висока употреба (~ 25 000 </w:t>
      </w:r>
      <w:r w:rsidRPr="00C66C9E">
        <w:rPr>
          <w:rFonts w:cs="Arial"/>
          <w:lang w:val="en-US"/>
        </w:rPr>
        <w:t>mg</w:t>
      </w:r>
      <w:r w:rsidRPr="00C66C9E">
        <w:rPr>
          <w:rFonts w:cs="Arial"/>
          <w:lang w:val="ru-RU"/>
        </w:rPr>
        <w:t xml:space="preserve">) </w:t>
      </w:r>
      <w:r w:rsidRPr="00C66C9E">
        <w:rPr>
          <w:rFonts w:cs="Arial"/>
        </w:rPr>
        <w:t xml:space="preserve">и </w:t>
      </w:r>
      <w:r w:rsidRPr="00C66C9E">
        <w:rPr>
          <w:rFonts w:cs="Arial"/>
          <w:lang w:val="en-US"/>
        </w:rPr>
        <w:t>OR</w:t>
      </w:r>
      <w:r w:rsidRPr="00C66C9E">
        <w:rPr>
          <w:rFonts w:cs="Arial"/>
          <w:lang w:val="ru-RU"/>
        </w:rPr>
        <w:t xml:space="preserve"> </w:t>
      </w:r>
      <w:r w:rsidRPr="00C66C9E">
        <w:rPr>
          <w:rFonts w:cs="Arial"/>
        </w:rPr>
        <w:t xml:space="preserve">7,7 (5,7-10,5) за най-високата кумулативна доза (~ 100 000 </w:t>
      </w:r>
      <w:r w:rsidRPr="00C66C9E">
        <w:rPr>
          <w:rFonts w:cs="Arial"/>
          <w:lang w:val="en-US"/>
        </w:rPr>
        <w:t>mg</w:t>
      </w:r>
      <w:r w:rsidRPr="00C66C9E">
        <w:rPr>
          <w:rFonts w:cs="Arial"/>
          <w:lang w:val="ru-RU"/>
        </w:rPr>
        <w:t xml:space="preserve">) </w:t>
      </w:r>
      <w:r w:rsidRPr="00C66C9E">
        <w:rPr>
          <w:rFonts w:cs="Arial"/>
        </w:rPr>
        <w:t>(вж. също точка 4.4).</w:t>
      </w:r>
    </w:p>
    <w:p w14:paraId="6F135343" w14:textId="77777777" w:rsidR="00C66C9E" w:rsidRPr="00C66C9E" w:rsidRDefault="00C66C9E" w:rsidP="00C66C9E"/>
    <w:p w14:paraId="346B622B" w14:textId="6F7B645C" w:rsidR="00875EEC" w:rsidRDefault="002C50EE" w:rsidP="005726E3">
      <w:pPr>
        <w:pStyle w:val="Heading2"/>
      </w:pPr>
      <w:r>
        <w:t>5.2. Фармакокинетични свойства</w:t>
      </w:r>
    </w:p>
    <w:p w14:paraId="6BC6160E" w14:textId="29490203" w:rsidR="00C66C9E" w:rsidRDefault="00C66C9E" w:rsidP="00C66C9E"/>
    <w:p w14:paraId="08CF068B" w14:textId="77777777" w:rsidR="00C66C9E" w:rsidRPr="00C66C9E" w:rsidRDefault="00C66C9E" w:rsidP="00C66C9E">
      <w:pPr>
        <w:spacing w:line="240" w:lineRule="auto"/>
        <w:rPr>
          <w:rFonts w:eastAsia="Times New Roman" w:cs="Arial"/>
          <w:sz w:val="28"/>
          <w:szCs w:val="24"/>
        </w:rPr>
      </w:pPr>
      <w:r w:rsidRPr="00C66C9E">
        <w:rPr>
          <w:rFonts w:eastAsia="Times New Roman" w:cs="Arial"/>
          <w:b/>
          <w:bCs/>
          <w:color w:val="000000"/>
          <w:szCs w:val="20"/>
          <w:lang w:eastAsia="bg-BG"/>
        </w:rPr>
        <w:t>Лизиноприл</w:t>
      </w:r>
    </w:p>
    <w:p w14:paraId="6F4D4304" w14:textId="77777777" w:rsidR="00C66C9E" w:rsidRPr="00C66C9E" w:rsidRDefault="00C66C9E" w:rsidP="00C66C9E">
      <w:pPr>
        <w:spacing w:line="240" w:lineRule="auto"/>
        <w:rPr>
          <w:rFonts w:eastAsia="Times New Roman" w:cs="Arial"/>
          <w:color w:val="000000"/>
          <w:szCs w:val="20"/>
          <w:u w:val="single"/>
          <w:lang w:eastAsia="bg-BG"/>
        </w:rPr>
      </w:pPr>
    </w:p>
    <w:p w14:paraId="093AB9DF" w14:textId="07E53ACF" w:rsidR="00C66C9E" w:rsidRPr="00C66C9E" w:rsidRDefault="00C66C9E" w:rsidP="00C66C9E">
      <w:pPr>
        <w:pStyle w:val="Heading3"/>
        <w:rPr>
          <w:rFonts w:eastAsia="Times New Roman"/>
          <w:sz w:val="28"/>
          <w:u w:val="single"/>
        </w:rPr>
      </w:pPr>
      <w:r w:rsidRPr="00C66C9E">
        <w:rPr>
          <w:rFonts w:eastAsia="Times New Roman"/>
          <w:u w:val="single"/>
          <w:lang w:eastAsia="bg-BG"/>
        </w:rPr>
        <w:t>Абсорбция</w:t>
      </w:r>
    </w:p>
    <w:p w14:paraId="2CF95C68" w14:textId="77777777" w:rsidR="00C66C9E" w:rsidRPr="00C66C9E" w:rsidRDefault="00C66C9E" w:rsidP="00C66C9E">
      <w:pPr>
        <w:spacing w:line="240" w:lineRule="auto"/>
        <w:rPr>
          <w:rFonts w:eastAsia="Times New Roman" w:cs="Arial"/>
          <w:sz w:val="28"/>
          <w:szCs w:val="24"/>
        </w:rPr>
      </w:pPr>
      <w:r w:rsidRPr="00C66C9E">
        <w:rPr>
          <w:rFonts w:eastAsia="Times New Roman" w:cs="Arial"/>
          <w:color w:val="000000"/>
          <w:szCs w:val="20"/>
          <w:lang w:eastAsia="bg-BG"/>
        </w:rPr>
        <w:t>При клинични проучвания пиковите серумни концентрации на лизиноприл са настъпили в рамките на около 6 до 8 часа след перорално приложение. Намаляващите серумни концентрации показват продължителна крайна фаза, но това не води до кумулиране на лекарството. Тази крайна фаза вероятно представлява насищаемото свързване с АСЕ и не е пропорционална на дозата.</w:t>
      </w:r>
    </w:p>
    <w:p w14:paraId="5AF67C81" w14:textId="77777777" w:rsidR="00C66C9E" w:rsidRPr="00C66C9E" w:rsidRDefault="00C66C9E" w:rsidP="00C66C9E">
      <w:pPr>
        <w:spacing w:line="240" w:lineRule="auto"/>
        <w:rPr>
          <w:rFonts w:eastAsia="Times New Roman" w:cs="Arial"/>
          <w:color w:val="000000"/>
          <w:szCs w:val="20"/>
          <w:lang w:eastAsia="bg-BG"/>
        </w:rPr>
      </w:pPr>
    </w:p>
    <w:p w14:paraId="755AC4B0" w14:textId="0210D636" w:rsidR="00C66C9E" w:rsidRPr="00C66C9E" w:rsidRDefault="00C66C9E" w:rsidP="00C66C9E">
      <w:pPr>
        <w:spacing w:line="240" w:lineRule="auto"/>
        <w:rPr>
          <w:rFonts w:eastAsia="Times New Roman" w:cs="Arial"/>
          <w:sz w:val="28"/>
          <w:szCs w:val="24"/>
        </w:rPr>
      </w:pPr>
      <w:r w:rsidRPr="00C66C9E">
        <w:rPr>
          <w:rFonts w:eastAsia="Times New Roman" w:cs="Arial"/>
          <w:color w:val="000000"/>
          <w:szCs w:val="20"/>
          <w:lang w:eastAsia="bg-BG"/>
        </w:rPr>
        <w:t>Степента на абсорбция на лизиноприл е приблизително 25%, базирано на уринарна екскреция в клинични проучвания. Абсорбцията на лизиноприл не се влияе от наличието на храна в стомашно-чревния тракт.</w:t>
      </w:r>
    </w:p>
    <w:p w14:paraId="274F8217" w14:textId="77777777" w:rsidR="00C66C9E" w:rsidRPr="00C66C9E" w:rsidRDefault="00C66C9E" w:rsidP="00C66C9E">
      <w:pPr>
        <w:spacing w:line="240" w:lineRule="auto"/>
        <w:rPr>
          <w:rFonts w:eastAsia="Times New Roman" w:cs="Arial"/>
          <w:color w:val="000000"/>
          <w:szCs w:val="20"/>
          <w:u w:val="single"/>
          <w:lang w:eastAsia="bg-BG"/>
        </w:rPr>
      </w:pPr>
    </w:p>
    <w:p w14:paraId="36389C02" w14:textId="3D13451F" w:rsidR="00C66C9E" w:rsidRPr="00C66C9E" w:rsidRDefault="00C66C9E" w:rsidP="00C66C9E">
      <w:pPr>
        <w:pStyle w:val="Heading3"/>
        <w:rPr>
          <w:rFonts w:eastAsia="Times New Roman"/>
          <w:sz w:val="28"/>
          <w:u w:val="single"/>
        </w:rPr>
      </w:pPr>
      <w:r w:rsidRPr="00C66C9E">
        <w:rPr>
          <w:rFonts w:eastAsia="Times New Roman"/>
          <w:u w:val="single"/>
          <w:lang w:eastAsia="bg-BG"/>
        </w:rPr>
        <w:t>Разпределение</w:t>
      </w:r>
    </w:p>
    <w:p w14:paraId="34C5CD2C" w14:textId="77777777" w:rsidR="00C66C9E" w:rsidRPr="00C66C9E" w:rsidRDefault="00C66C9E" w:rsidP="00C66C9E">
      <w:pPr>
        <w:spacing w:line="240" w:lineRule="auto"/>
        <w:rPr>
          <w:rFonts w:eastAsia="Times New Roman" w:cs="Arial"/>
          <w:sz w:val="28"/>
          <w:szCs w:val="24"/>
        </w:rPr>
      </w:pPr>
      <w:r w:rsidRPr="00C66C9E">
        <w:rPr>
          <w:rFonts w:eastAsia="Times New Roman" w:cs="Arial"/>
          <w:color w:val="000000"/>
          <w:szCs w:val="20"/>
          <w:lang w:eastAsia="bg-BG"/>
        </w:rPr>
        <w:t>Лизиноприл не се свързва с други плазмени протеини. Проучвания върху животни са показали, че лизиноприл преминава кръвно-мозочната бариера в малка степен.</w:t>
      </w:r>
    </w:p>
    <w:p w14:paraId="68A689BB" w14:textId="77777777" w:rsidR="00C66C9E" w:rsidRPr="00C66C9E" w:rsidRDefault="00C66C9E" w:rsidP="00C66C9E">
      <w:pPr>
        <w:spacing w:line="240" w:lineRule="auto"/>
        <w:rPr>
          <w:rFonts w:eastAsia="Times New Roman" w:cs="Arial"/>
          <w:color w:val="000000"/>
          <w:szCs w:val="20"/>
          <w:u w:val="single"/>
          <w:lang w:eastAsia="bg-BG"/>
        </w:rPr>
      </w:pPr>
    </w:p>
    <w:p w14:paraId="235CDFA9" w14:textId="303E7F4D" w:rsidR="00C66C9E" w:rsidRPr="00C66C9E" w:rsidRDefault="00C66C9E" w:rsidP="00C66C9E">
      <w:pPr>
        <w:pStyle w:val="Heading3"/>
        <w:rPr>
          <w:rFonts w:eastAsia="Times New Roman"/>
          <w:sz w:val="28"/>
          <w:u w:val="single"/>
        </w:rPr>
      </w:pPr>
      <w:r w:rsidRPr="00C66C9E">
        <w:rPr>
          <w:rFonts w:eastAsia="Times New Roman"/>
          <w:u w:val="single"/>
          <w:lang w:eastAsia="bg-BG"/>
        </w:rPr>
        <w:t>Биотрансформация</w:t>
      </w:r>
    </w:p>
    <w:p w14:paraId="3CFD2598" w14:textId="77777777" w:rsidR="00C66C9E" w:rsidRPr="00C66C9E" w:rsidRDefault="00C66C9E" w:rsidP="00C66C9E">
      <w:pPr>
        <w:spacing w:line="240" w:lineRule="auto"/>
        <w:rPr>
          <w:rFonts w:eastAsia="Times New Roman" w:cs="Arial"/>
          <w:sz w:val="28"/>
          <w:szCs w:val="24"/>
        </w:rPr>
      </w:pPr>
      <w:r w:rsidRPr="00C66C9E">
        <w:rPr>
          <w:rFonts w:eastAsia="Times New Roman" w:cs="Arial"/>
          <w:color w:val="000000"/>
          <w:szCs w:val="20"/>
          <w:lang w:eastAsia="bg-BG"/>
        </w:rPr>
        <w:t>Лизиноприл не претърпява значим метаболизъм.</w:t>
      </w:r>
    </w:p>
    <w:p w14:paraId="640617EC" w14:textId="77777777" w:rsidR="00C66C9E" w:rsidRPr="00C66C9E" w:rsidRDefault="00C66C9E" w:rsidP="00C66C9E">
      <w:pPr>
        <w:spacing w:line="240" w:lineRule="auto"/>
        <w:rPr>
          <w:rFonts w:eastAsia="Times New Roman" w:cs="Arial"/>
          <w:color w:val="000000"/>
          <w:szCs w:val="20"/>
          <w:u w:val="single"/>
          <w:lang w:eastAsia="bg-BG"/>
        </w:rPr>
      </w:pPr>
    </w:p>
    <w:p w14:paraId="569811D5" w14:textId="57FEC631" w:rsidR="00C66C9E" w:rsidRPr="00C66C9E" w:rsidRDefault="00C66C9E" w:rsidP="00C66C9E">
      <w:pPr>
        <w:pStyle w:val="Heading3"/>
        <w:rPr>
          <w:rFonts w:eastAsia="Times New Roman"/>
          <w:sz w:val="28"/>
          <w:u w:val="single"/>
        </w:rPr>
      </w:pPr>
      <w:r w:rsidRPr="00C66C9E">
        <w:rPr>
          <w:rFonts w:eastAsia="Times New Roman"/>
          <w:u w:val="single"/>
          <w:lang w:eastAsia="bg-BG"/>
        </w:rPr>
        <w:t>Елиминиране</w:t>
      </w:r>
    </w:p>
    <w:p w14:paraId="22F0FB83" w14:textId="77777777" w:rsidR="00C66C9E" w:rsidRPr="00C66C9E" w:rsidRDefault="00C66C9E" w:rsidP="00C66C9E">
      <w:pPr>
        <w:spacing w:line="240" w:lineRule="auto"/>
        <w:rPr>
          <w:rFonts w:eastAsia="Times New Roman" w:cs="Arial"/>
          <w:sz w:val="28"/>
          <w:szCs w:val="24"/>
        </w:rPr>
      </w:pPr>
      <w:r w:rsidRPr="00C66C9E">
        <w:rPr>
          <w:rFonts w:eastAsia="Times New Roman" w:cs="Arial"/>
          <w:color w:val="000000"/>
          <w:szCs w:val="20"/>
          <w:lang w:eastAsia="bg-BG"/>
        </w:rPr>
        <w:t>Лизиноприл се екскретира непроменен предимно с урината. При многократен прием, лизиноприл има ефективен плазмен полуживот от 12 часа.</w:t>
      </w:r>
    </w:p>
    <w:p w14:paraId="11ED8FFB" w14:textId="77777777" w:rsidR="00C66C9E" w:rsidRPr="00C66C9E" w:rsidRDefault="00C66C9E" w:rsidP="00C66C9E">
      <w:pPr>
        <w:spacing w:line="240" w:lineRule="auto"/>
        <w:rPr>
          <w:rFonts w:eastAsia="Times New Roman" w:cs="Arial"/>
          <w:sz w:val="28"/>
          <w:szCs w:val="24"/>
        </w:rPr>
      </w:pPr>
      <w:r w:rsidRPr="00C66C9E">
        <w:rPr>
          <w:rFonts w:eastAsia="Times New Roman" w:cs="Arial"/>
          <w:color w:val="000000"/>
          <w:szCs w:val="20"/>
          <w:lang w:eastAsia="bg-BG"/>
        </w:rPr>
        <w:t xml:space="preserve">При пациенти с бъбречна недостатъчност, разпределението на лизиноприл е подобно на това при пациенти с нормална бъбречна функция, като скоростта на гломерулна филтрация достигна 30 </w:t>
      </w:r>
      <w:r w:rsidRPr="00C66C9E">
        <w:rPr>
          <w:rFonts w:eastAsia="Times New Roman" w:cs="Arial"/>
          <w:color w:val="000000"/>
          <w:szCs w:val="20"/>
          <w:lang w:val="en-US"/>
        </w:rPr>
        <w:t>ml</w:t>
      </w:r>
      <w:r w:rsidRPr="00C66C9E">
        <w:rPr>
          <w:rFonts w:eastAsia="Times New Roman" w:cs="Arial"/>
          <w:color w:val="000000"/>
          <w:szCs w:val="20"/>
          <w:lang w:val="ru-RU"/>
        </w:rPr>
        <w:t>/</w:t>
      </w:r>
      <w:r w:rsidRPr="00C66C9E">
        <w:rPr>
          <w:rFonts w:eastAsia="Times New Roman" w:cs="Arial"/>
          <w:color w:val="000000"/>
          <w:szCs w:val="20"/>
          <w:lang w:val="en-US"/>
        </w:rPr>
        <w:t>min</w:t>
      </w:r>
      <w:r w:rsidRPr="00C66C9E">
        <w:rPr>
          <w:rFonts w:eastAsia="Times New Roman" w:cs="Arial"/>
          <w:color w:val="000000"/>
          <w:szCs w:val="20"/>
          <w:lang w:val="ru-RU"/>
        </w:rPr>
        <w:t xml:space="preserve"> </w:t>
      </w:r>
      <w:r w:rsidRPr="00C66C9E">
        <w:rPr>
          <w:rFonts w:eastAsia="Times New Roman" w:cs="Arial"/>
          <w:color w:val="000000"/>
          <w:szCs w:val="20"/>
          <w:lang w:eastAsia="bg-BG"/>
        </w:rPr>
        <w:t xml:space="preserve">или по-малко; пикови и минималните нива на лизиноприл и времето за достигане на пикова концентрация се увеличават, а времето за равновесно състояние понякога е удължено. Няма клинично значими фармакокинетични </w:t>
      </w:r>
      <w:r w:rsidRPr="00C66C9E">
        <w:rPr>
          <w:rFonts w:eastAsia="Times New Roman" w:cs="Arial"/>
          <w:color w:val="000000"/>
          <w:szCs w:val="20"/>
          <w:lang w:eastAsia="bg-BG"/>
        </w:rPr>
        <w:lastRenderedPageBreak/>
        <w:t>взаимодействия, когато лизиноприл се прилага едновременно с пропранолол, дигоксин или хидрохлоротиазид.</w:t>
      </w:r>
    </w:p>
    <w:p w14:paraId="5506DDE6" w14:textId="77777777" w:rsidR="00C66C9E" w:rsidRPr="00C66C9E" w:rsidRDefault="00C66C9E" w:rsidP="00C66C9E">
      <w:pPr>
        <w:spacing w:line="240" w:lineRule="auto"/>
        <w:rPr>
          <w:rFonts w:eastAsia="Times New Roman" w:cs="Arial"/>
          <w:b/>
          <w:bCs/>
          <w:color w:val="000000"/>
          <w:szCs w:val="20"/>
          <w:lang w:eastAsia="bg-BG"/>
        </w:rPr>
      </w:pPr>
    </w:p>
    <w:p w14:paraId="61B95D48" w14:textId="58D09592" w:rsidR="00C66C9E" w:rsidRPr="00C66C9E" w:rsidRDefault="00C66C9E" w:rsidP="00C66C9E">
      <w:pPr>
        <w:spacing w:line="240" w:lineRule="auto"/>
        <w:rPr>
          <w:rFonts w:eastAsia="Times New Roman" w:cs="Arial"/>
          <w:sz w:val="28"/>
          <w:szCs w:val="24"/>
        </w:rPr>
      </w:pPr>
      <w:r w:rsidRPr="00C66C9E">
        <w:rPr>
          <w:rFonts w:eastAsia="Times New Roman" w:cs="Arial"/>
          <w:b/>
          <w:bCs/>
          <w:color w:val="000000"/>
          <w:szCs w:val="20"/>
          <w:lang w:eastAsia="bg-BG"/>
        </w:rPr>
        <w:t>Хидрохлоротиазид</w:t>
      </w:r>
    </w:p>
    <w:p w14:paraId="3BD87895" w14:textId="77777777" w:rsidR="00C66C9E" w:rsidRPr="00C66C9E" w:rsidRDefault="00C66C9E" w:rsidP="00C66C9E">
      <w:pPr>
        <w:spacing w:line="240" w:lineRule="auto"/>
        <w:rPr>
          <w:rFonts w:eastAsia="Times New Roman" w:cs="Arial"/>
          <w:color w:val="000000"/>
          <w:szCs w:val="20"/>
          <w:lang w:eastAsia="bg-BG"/>
        </w:rPr>
      </w:pPr>
    </w:p>
    <w:p w14:paraId="1F3C8FD7" w14:textId="037BB4EC" w:rsidR="00C66C9E" w:rsidRPr="00C66C9E" w:rsidRDefault="00C66C9E" w:rsidP="00C66C9E">
      <w:pPr>
        <w:spacing w:line="240" w:lineRule="auto"/>
        <w:rPr>
          <w:rFonts w:eastAsia="Times New Roman" w:cs="Arial"/>
          <w:sz w:val="28"/>
          <w:szCs w:val="24"/>
        </w:rPr>
      </w:pPr>
      <w:r w:rsidRPr="00C66C9E">
        <w:rPr>
          <w:rFonts w:eastAsia="Times New Roman" w:cs="Arial"/>
          <w:color w:val="000000"/>
          <w:szCs w:val="20"/>
          <w:lang w:eastAsia="bg-BG"/>
        </w:rPr>
        <w:t>При проследяване на плазмените нива на хидрохлоротиазид в продължение най-малко 24 часа, наблюдаваният плазмен полуживот варира между 5,6 и 14,8 часа. Хидрохлоротиазид не се метаболизира, а бързо се елиминира чрез бъбреците. Най-малко 61% от пероралната доза се елиминира непроменена в рамките на 24 часа. Хидрохлоротиазид преминава плацентарната бариера, но не и кръвно-мозъчната бариера.</w:t>
      </w:r>
    </w:p>
    <w:p w14:paraId="04FC0F5B" w14:textId="77777777" w:rsidR="00C66C9E" w:rsidRPr="00C66C9E" w:rsidRDefault="00C66C9E" w:rsidP="00C66C9E">
      <w:pPr>
        <w:rPr>
          <w:rFonts w:eastAsia="Times New Roman" w:cs="Arial"/>
          <w:color w:val="000000"/>
          <w:szCs w:val="20"/>
          <w:lang w:eastAsia="bg-BG"/>
        </w:rPr>
      </w:pPr>
    </w:p>
    <w:p w14:paraId="0F405522" w14:textId="0EE0891E" w:rsidR="00C66C9E" w:rsidRDefault="00C66C9E" w:rsidP="00C66C9E">
      <w:pPr>
        <w:rPr>
          <w:rFonts w:ascii="Times New Roman" w:eastAsia="Times New Roman" w:hAnsi="Times New Roman" w:cs="Times New Roman"/>
          <w:color w:val="000000"/>
          <w:sz w:val="20"/>
          <w:szCs w:val="20"/>
          <w:lang w:eastAsia="bg-BG"/>
        </w:rPr>
      </w:pPr>
      <w:r w:rsidRPr="00C66C9E">
        <w:rPr>
          <w:rFonts w:eastAsia="Times New Roman" w:cs="Arial"/>
          <w:color w:val="000000"/>
          <w:szCs w:val="20"/>
          <w:lang w:eastAsia="bg-BG"/>
        </w:rPr>
        <w:t>Съпътстващи многократни дози лизиноприл и хидрохлоротиазид имат малък или никакъв ефект върху бионаличността на тези лекарства. Комбинираната таблетка е биоеквивалент на едновременното приложение на отделните съставки.</w:t>
      </w:r>
    </w:p>
    <w:p w14:paraId="56F8F62D" w14:textId="77777777" w:rsidR="00C66C9E" w:rsidRPr="00C66C9E" w:rsidRDefault="00C66C9E" w:rsidP="00C66C9E">
      <w:pPr>
        <w:rPr>
          <w:rFonts w:ascii="Times New Roman" w:eastAsia="Times New Roman" w:hAnsi="Times New Roman" w:cs="Times New Roman"/>
          <w:color w:val="000000"/>
          <w:sz w:val="20"/>
          <w:szCs w:val="20"/>
          <w:lang w:eastAsia="bg-BG"/>
        </w:rPr>
      </w:pPr>
    </w:p>
    <w:p w14:paraId="4F31844C" w14:textId="39A80D3B" w:rsidR="00875EEC" w:rsidRDefault="002C50EE" w:rsidP="005726E3">
      <w:pPr>
        <w:pStyle w:val="Heading2"/>
      </w:pPr>
      <w:r>
        <w:t>5.3. Предклинични данни за безопасност</w:t>
      </w:r>
    </w:p>
    <w:p w14:paraId="7F106E2A" w14:textId="345F4A61" w:rsidR="00C66C9E" w:rsidRDefault="00C66C9E" w:rsidP="00C66C9E"/>
    <w:p w14:paraId="3D566E8C" w14:textId="7E85883A" w:rsidR="00C66C9E" w:rsidRPr="00C66C9E" w:rsidRDefault="00C66C9E" w:rsidP="00C66C9E">
      <w:pPr>
        <w:rPr>
          <w:sz w:val="24"/>
          <w:szCs w:val="24"/>
        </w:rPr>
      </w:pPr>
      <w:r w:rsidRPr="00C66C9E">
        <w:rPr>
          <w:lang w:eastAsia="bg-BG"/>
        </w:rPr>
        <w:t>Неклиничните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генотоксичност, карциногенен потенциал, репродуктивна токсичн</w:t>
      </w:r>
      <w:r>
        <w:rPr>
          <w:lang w:eastAsia="bg-BG"/>
        </w:rPr>
        <w:t>ост и токсичност за развитието.</w:t>
      </w:r>
    </w:p>
    <w:p w14:paraId="1BA6531D" w14:textId="000DD8C4" w:rsidR="00B6672E" w:rsidRDefault="002C50EE" w:rsidP="00936AD0">
      <w:pPr>
        <w:pStyle w:val="Heading1"/>
      </w:pPr>
      <w:r>
        <w:t>7. ПРИТЕЖАТЕЛ НА РАЗРЕШЕНИЕТО ЗА УПОТРЕБА</w:t>
      </w:r>
    </w:p>
    <w:p w14:paraId="2E418835" w14:textId="23132B27" w:rsidR="00C66C9E" w:rsidRDefault="00C66C9E" w:rsidP="00C66C9E"/>
    <w:p w14:paraId="0950E596" w14:textId="77777777" w:rsidR="00C66C9E" w:rsidRPr="00C66C9E" w:rsidRDefault="00C66C9E" w:rsidP="00C66C9E">
      <w:pPr>
        <w:rPr>
          <w:sz w:val="24"/>
          <w:szCs w:val="24"/>
          <w:lang w:val="en-US"/>
        </w:rPr>
      </w:pPr>
      <w:r w:rsidRPr="00C66C9E">
        <w:rPr>
          <w:lang w:val="en-US"/>
        </w:rPr>
        <w:t xml:space="preserve">Alkaloid-LNT </w:t>
      </w:r>
      <w:proofErr w:type="spellStart"/>
      <w:r w:rsidRPr="00C66C9E">
        <w:rPr>
          <w:lang w:val="en-US"/>
        </w:rPr>
        <w:t>d.o.o</w:t>
      </w:r>
      <w:proofErr w:type="spellEnd"/>
      <w:r w:rsidRPr="00C66C9E">
        <w:rPr>
          <w:lang w:val="en-US"/>
        </w:rPr>
        <w:t>.</w:t>
      </w:r>
    </w:p>
    <w:p w14:paraId="316B4CBD" w14:textId="0D1E4C3C" w:rsidR="00C66C9E" w:rsidRPr="00C66C9E" w:rsidRDefault="00C66C9E" w:rsidP="00C66C9E">
      <w:pPr>
        <w:rPr>
          <w:lang w:val="ru-RU"/>
        </w:rPr>
      </w:pPr>
      <w:proofErr w:type="spellStart"/>
      <w:r w:rsidRPr="00C66C9E">
        <w:rPr>
          <w:lang w:val="en-US"/>
        </w:rPr>
        <w:t>Slandrova</w:t>
      </w:r>
      <w:proofErr w:type="spellEnd"/>
      <w:r w:rsidRPr="00C66C9E">
        <w:rPr>
          <w:lang w:val="ru-RU"/>
        </w:rPr>
        <w:t xml:space="preserve"> </w:t>
      </w:r>
      <w:proofErr w:type="spellStart"/>
      <w:r w:rsidRPr="00C66C9E">
        <w:rPr>
          <w:lang w:val="en-US"/>
        </w:rPr>
        <w:t>ulica</w:t>
      </w:r>
      <w:proofErr w:type="spellEnd"/>
      <w:r w:rsidRPr="00C66C9E">
        <w:rPr>
          <w:lang w:val="ru-RU"/>
        </w:rPr>
        <w:t xml:space="preserve"> 4</w:t>
      </w:r>
    </w:p>
    <w:p w14:paraId="29391196" w14:textId="77777777" w:rsidR="00C66C9E" w:rsidRPr="00C66C9E" w:rsidRDefault="00C66C9E" w:rsidP="00C66C9E">
      <w:pPr>
        <w:rPr>
          <w:sz w:val="24"/>
          <w:szCs w:val="24"/>
          <w:lang w:val="ru-RU"/>
        </w:rPr>
      </w:pPr>
      <w:r w:rsidRPr="00C66C9E">
        <w:rPr>
          <w:lang w:eastAsia="bg-BG"/>
        </w:rPr>
        <w:t xml:space="preserve">1231 </w:t>
      </w:r>
      <w:r w:rsidRPr="00C66C9E">
        <w:rPr>
          <w:lang w:val="en-US"/>
        </w:rPr>
        <w:t>Ljubljana</w:t>
      </w:r>
      <w:r w:rsidRPr="00C66C9E">
        <w:rPr>
          <w:lang w:val="ru-RU"/>
        </w:rPr>
        <w:t>-</w:t>
      </w:r>
      <w:proofErr w:type="spellStart"/>
      <w:r w:rsidRPr="00C66C9E">
        <w:rPr>
          <w:lang w:val="en-US"/>
        </w:rPr>
        <w:t>Cmuce</w:t>
      </w:r>
      <w:proofErr w:type="spellEnd"/>
    </w:p>
    <w:p w14:paraId="5E5F5B0F" w14:textId="0D6482AF" w:rsidR="00C66C9E" w:rsidRPr="00C66C9E" w:rsidRDefault="00C66C9E" w:rsidP="00C66C9E">
      <w:pPr>
        <w:rPr>
          <w:lang w:val="ru-RU"/>
        </w:rPr>
      </w:pPr>
      <w:r w:rsidRPr="00C66C9E">
        <w:rPr>
          <w:lang w:eastAsia="bg-BG"/>
        </w:rPr>
        <w:t>Словения</w:t>
      </w:r>
    </w:p>
    <w:p w14:paraId="508F3A54" w14:textId="63F62939" w:rsidR="00B6672E" w:rsidRDefault="00936AD0" w:rsidP="00936AD0">
      <w:pPr>
        <w:pStyle w:val="Heading1"/>
      </w:pPr>
      <w:r>
        <w:t>8.</w:t>
      </w:r>
      <w:r w:rsidR="002C50EE">
        <w:t>НОМЕР НА РАЗРЕШЕНИЕТО ЗА УПОТРЕБА</w:t>
      </w:r>
    </w:p>
    <w:p w14:paraId="75984BA4" w14:textId="6E9ACDE8" w:rsidR="00C66C9E" w:rsidRDefault="00C66C9E" w:rsidP="00C66C9E"/>
    <w:p w14:paraId="43DA3CE2" w14:textId="4BADC8BC" w:rsidR="00C66C9E" w:rsidRPr="00C66C9E" w:rsidRDefault="00C66C9E" w:rsidP="00C66C9E">
      <w:r>
        <w:rPr>
          <w:lang w:val="en-US"/>
        </w:rPr>
        <w:t>Per</w:t>
      </w:r>
      <w:r w:rsidRPr="00C66C9E">
        <w:rPr>
          <w:lang w:val="ru-RU"/>
        </w:rPr>
        <w:t xml:space="preserve">. </w:t>
      </w:r>
      <w:r>
        <w:t>№ 20120311</w:t>
      </w:r>
    </w:p>
    <w:p w14:paraId="3BC5EC53" w14:textId="64FAB926" w:rsidR="00875EEC" w:rsidRDefault="002C50EE" w:rsidP="005726E3">
      <w:pPr>
        <w:pStyle w:val="Heading1"/>
      </w:pPr>
      <w:r>
        <w:t>9. ДАТА НА ПЪРВО РАЗРЕШАВАНЕ/ПОДНОВЯВАНЕ НА РАЗРЕШЕНИЕТО ЗА УПОТРЕБА</w:t>
      </w:r>
    </w:p>
    <w:p w14:paraId="019DD361" w14:textId="1EC2EB49" w:rsidR="00C66C9E" w:rsidRDefault="00C66C9E" w:rsidP="00C66C9E"/>
    <w:p w14:paraId="4AC5C7C5" w14:textId="77777777" w:rsidR="00C66C9E" w:rsidRPr="00C66C9E" w:rsidRDefault="00C66C9E" w:rsidP="00C66C9E">
      <w:pPr>
        <w:rPr>
          <w:sz w:val="24"/>
          <w:szCs w:val="24"/>
        </w:rPr>
      </w:pPr>
      <w:r w:rsidRPr="00C66C9E">
        <w:rPr>
          <w:lang w:eastAsia="bg-BG"/>
        </w:rPr>
        <w:t>Дата на първо разрешаване: 25 Юни 2012</w:t>
      </w:r>
    </w:p>
    <w:p w14:paraId="36C90818" w14:textId="208DB7BF" w:rsidR="00C66C9E" w:rsidRPr="00C66C9E" w:rsidRDefault="00C66C9E" w:rsidP="00C66C9E">
      <w:r w:rsidRPr="00C66C9E">
        <w:rPr>
          <w:lang w:eastAsia="bg-BG"/>
        </w:rPr>
        <w:t>Дата на последно подновяване: 09 Ноември 2016</w:t>
      </w:r>
    </w:p>
    <w:p w14:paraId="43FB38A2" w14:textId="50AC539E" w:rsidR="007C605B" w:rsidRDefault="002C50EE" w:rsidP="005726E3">
      <w:pPr>
        <w:pStyle w:val="Heading1"/>
      </w:pPr>
      <w:r>
        <w:t>10. ДАТА НА АКТУАЛИЗИРАНЕ НА ТЕКСТА</w:t>
      </w:r>
      <w:bookmarkEnd w:id="0"/>
    </w:p>
    <w:p w14:paraId="7E10BAD2" w14:textId="565BDB93" w:rsidR="00C66C9E" w:rsidRPr="00C66C9E" w:rsidRDefault="00C66C9E" w:rsidP="00C66C9E">
      <w:r>
        <w:t>12/2021</w:t>
      </w:r>
      <w:bookmarkStart w:id="14" w:name="_GoBack"/>
      <w:bookmarkEnd w:id="14"/>
    </w:p>
    <w:sectPr w:rsidR="00C66C9E" w:rsidRPr="00C66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8474F"/>
    <w:multiLevelType w:val="hybridMultilevel"/>
    <w:tmpl w:val="E184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4"/>
  </w:num>
  <w:num w:numId="15">
    <w:abstractNumId w:val="31"/>
  </w:num>
  <w:num w:numId="16">
    <w:abstractNumId w:val="12"/>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10"/>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D01AC"/>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5221A"/>
    <w:rsid w:val="00A65A81"/>
    <w:rsid w:val="00AA23EC"/>
    <w:rsid w:val="00AC63CE"/>
    <w:rsid w:val="00AE2107"/>
    <w:rsid w:val="00B275A8"/>
    <w:rsid w:val="00B6672E"/>
    <w:rsid w:val="00BF2600"/>
    <w:rsid w:val="00C0049F"/>
    <w:rsid w:val="00C07B84"/>
    <w:rsid w:val="00C33464"/>
    <w:rsid w:val="00C40420"/>
    <w:rsid w:val="00C66C9E"/>
    <w:rsid w:val="00C809A7"/>
    <w:rsid w:val="00C83063"/>
    <w:rsid w:val="00C87E90"/>
    <w:rsid w:val="00CA1B57"/>
    <w:rsid w:val="00CF77F7"/>
    <w:rsid w:val="00D86297"/>
    <w:rsid w:val="00DB32D3"/>
    <w:rsid w:val="00DD466D"/>
    <w:rsid w:val="00EB6364"/>
    <w:rsid w:val="00EF2809"/>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7195</Words>
  <Characters>41016</Characters>
  <Application>Microsoft Office Word</Application>
  <DocSecurity>0</DocSecurity>
  <Lines>341</Lines>
  <Paragraphs>96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2022-11-24T21:42:00Z</dcterms:created>
  <dcterms:modified xsi:type="dcterms:W3CDTF">2022-11-24T21:42:00Z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