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7D1A1310"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Солкогин вагинален разтвор</w:t>
      </w:r>
    </w:p>
    <w:p w14:paraId="5D029E1E" w14:textId="77777777" w:rsidR="002C4E68" w:rsidRPr="002C4E68" w:rsidRDefault="002C4E68" w:rsidP="002C4E68">
      <w:pPr>
        <w:rPr>
          <w:rFonts w:eastAsia="Times New Roman" w:cs="Arial"/>
          <w:color w:val="000000"/>
          <w:lang w:val="en-US"/>
        </w:rPr>
      </w:pPr>
    </w:p>
    <w:p w14:paraId="69AC8148" w14:textId="5CE51FD2" w:rsidR="00EC41ED" w:rsidRPr="002C4E68" w:rsidRDefault="002C4E68" w:rsidP="002C4E68">
      <w:pPr>
        <w:rPr>
          <w:rFonts w:cs="Arial"/>
        </w:rPr>
      </w:pPr>
      <w:proofErr w:type="spellStart"/>
      <w:r w:rsidRPr="002C4E68">
        <w:rPr>
          <w:rFonts w:eastAsia="Times New Roman" w:cs="Arial"/>
          <w:color w:val="000000"/>
          <w:lang w:val="en-US"/>
        </w:rPr>
        <w:t>Solcogyn</w:t>
      </w:r>
      <w:proofErr w:type="spellEnd"/>
      <w:r w:rsidRPr="002C4E68">
        <w:rPr>
          <w:rFonts w:eastAsia="Times New Roman" w:cs="Arial"/>
          <w:color w:val="000000"/>
          <w:lang w:val="en-US"/>
        </w:rPr>
        <w:t xml:space="preserve"> vaginal solution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497415CB"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1 </w:t>
      </w:r>
      <w:r w:rsidRPr="002C4E68">
        <w:rPr>
          <w:rFonts w:eastAsia="Times New Roman" w:cs="Arial"/>
          <w:color w:val="000000"/>
          <w:lang w:val="en-US"/>
        </w:rPr>
        <w:t xml:space="preserve">ml </w:t>
      </w:r>
      <w:r w:rsidRPr="002C4E68">
        <w:rPr>
          <w:rFonts w:eastAsia="Times New Roman" w:cs="Arial"/>
          <w:color w:val="000000"/>
          <w:lang w:eastAsia="bg-BG"/>
        </w:rPr>
        <w:t>от разтвора съдържа:</w:t>
      </w:r>
    </w:p>
    <w:p w14:paraId="0574E1DE" w14:textId="4E4B7E65"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Азотна киселина 70% </w:t>
      </w:r>
      <w:r w:rsidRPr="002C4E68">
        <w:rPr>
          <w:rFonts w:eastAsia="Times New Roman" w:cs="Arial"/>
          <w:color w:val="000000"/>
          <w:lang w:val="en-US"/>
        </w:rPr>
        <w:t xml:space="preserve">(Nitric acid </w:t>
      </w:r>
      <w:r w:rsidRPr="002C4E68">
        <w:rPr>
          <w:rFonts w:eastAsia="Times New Roman" w:cs="Arial"/>
          <w:color w:val="000000"/>
          <w:lang w:eastAsia="bg-BG"/>
        </w:rPr>
        <w:t>70%)</w:t>
      </w:r>
      <w:r w:rsidRPr="002C4E68">
        <w:rPr>
          <w:rFonts w:eastAsia="Times New Roman" w:cs="Arial"/>
          <w:color w:val="000000"/>
          <w:lang w:val="en-US"/>
        </w:rPr>
        <w:t>…</w:t>
      </w:r>
      <w:r w:rsidRPr="002C4E68">
        <w:rPr>
          <w:rFonts w:eastAsia="Times New Roman" w:cs="Arial"/>
          <w:color w:val="000000"/>
        </w:rPr>
        <w:t>.......</w:t>
      </w:r>
      <w:r w:rsidRPr="002C4E68">
        <w:rPr>
          <w:rFonts w:eastAsia="Times New Roman" w:cs="Arial"/>
          <w:color w:val="000000"/>
          <w:lang w:eastAsia="bg-BG"/>
        </w:rPr>
        <w:t xml:space="preserve">537,0 </w:t>
      </w:r>
      <w:r w:rsidRPr="002C4E68">
        <w:rPr>
          <w:rFonts w:eastAsia="Times New Roman" w:cs="Arial"/>
          <w:color w:val="000000"/>
          <w:lang w:val="en-US"/>
        </w:rPr>
        <w:t>mg</w:t>
      </w:r>
    </w:p>
    <w:p w14:paraId="7009C24F" w14:textId="297329D3"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Оцетна киселина, ледена </w:t>
      </w:r>
      <w:r w:rsidRPr="002C4E68">
        <w:rPr>
          <w:rFonts w:eastAsia="Times New Roman" w:cs="Arial"/>
          <w:color w:val="000000"/>
          <w:lang w:val="en-US"/>
        </w:rPr>
        <w:t xml:space="preserve">(Acetic acid, glacial) </w:t>
      </w:r>
      <w:r w:rsidRPr="002C4E68">
        <w:rPr>
          <w:rFonts w:eastAsia="Times New Roman" w:cs="Arial"/>
          <w:color w:val="000000"/>
          <w:lang w:val="en-US"/>
        </w:rPr>
        <w:t>…</w:t>
      </w:r>
      <w:r w:rsidRPr="002C4E68">
        <w:rPr>
          <w:rFonts w:eastAsia="Times New Roman" w:cs="Arial"/>
          <w:color w:val="000000"/>
        </w:rPr>
        <w:t>.......</w:t>
      </w:r>
      <w:r w:rsidRPr="002C4E68">
        <w:rPr>
          <w:rFonts w:eastAsia="Times New Roman" w:cs="Arial"/>
          <w:color w:val="000000"/>
          <w:lang w:eastAsia="bg-BG"/>
        </w:rPr>
        <w:t xml:space="preserve">20,4 </w:t>
      </w:r>
      <w:r w:rsidRPr="002C4E68">
        <w:rPr>
          <w:rFonts w:eastAsia="Times New Roman" w:cs="Arial"/>
          <w:color w:val="000000"/>
          <w:lang w:val="en-US"/>
        </w:rPr>
        <w:t>mg</w:t>
      </w:r>
    </w:p>
    <w:p w14:paraId="41704789" w14:textId="61396F73"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Оксалова киселина, дихидрат </w:t>
      </w:r>
      <w:r w:rsidRPr="002C4E68">
        <w:rPr>
          <w:rFonts w:eastAsia="Times New Roman" w:cs="Arial"/>
          <w:color w:val="000000"/>
          <w:lang w:val="en-US"/>
        </w:rPr>
        <w:t xml:space="preserve">(Oxalic acid </w:t>
      </w:r>
      <w:proofErr w:type="spellStart"/>
      <w:r w:rsidRPr="002C4E68">
        <w:rPr>
          <w:rFonts w:eastAsia="Times New Roman" w:cs="Arial"/>
          <w:color w:val="000000"/>
          <w:lang w:val="en-US"/>
        </w:rPr>
        <w:t>dihydrate</w:t>
      </w:r>
      <w:proofErr w:type="spellEnd"/>
      <w:r w:rsidRPr="002C4E68">
        <w:rPr>
          <w:rFonts w:eastAsia="Times New Roman" w:cs="Arial"/>
          <w:color w:val="000000"/>
          <w:lang w:val="en-US"/>
        </w:rPr>
        <w:t xml:space="preserve">) </w:t>
      </w:r>
      <w:r w:rsidRPr="002C4E68">
        <w:rPr>
          <w:rFonts w:eastAsia="Times New Roman" w:cs="Arial"/>
          <w:color w:val="000000"/>
          <w:lang w:val="en-US"/>
        </w:rPr>
        <w:t>…</w:t>
      </w:r>
      <w:r w:rsidRPr="002C4E68">
        <w:rPr>
          <w:rFonts w:eastAsia="Times New Roman" w:cs="Arial"/>
          <w:color w:val="000000"/>
        </w:rPr>
        <w:t>.......</w:t>
      </w:r>
      <w:r w:rsidRPr="002C4E68">
        <w:rPr>
          <w:rFonts w:eastAsia="Times New Roman" w:cs="Arial"/>
          <w:color w:val="000000"/>
          <w:lang w:val="en-US"/>
        </w:rPr>
        <w:t>58</w:t>
      </w:r>
      <w:proofErr w:type="gramStart"/>
      <w:r w:rsidRPr="002C4E68">
        <w:rPr>
          <w:rFonts w:eastAsia="Times New Roman" w:cs="Arial"/>
          <w:color w:val="000000"/>
          <w:lang w:val="en-US"/>
        </w:rPr>
        <w:t>,6</w:t>
      </w:r>
      <w:proofErr w:type="gramEnd"/>
      <w:r w:rsidRPr="002C4E68">
        <w:rPr>
          <w:rFonts w:eastAsia="Times New Roman" w:cs="Arial"/>
          <w:color w:val="000000"/>
          <w:lang w:val="en-US"/>
        </w:rPr>
        <w:t xml:space="preserve"> mg</w:t>
      </w:r>
    </w:p>
    <w:p w14:paraId="0B752FE9" w14:textId="51481B11"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Цинков нитрат, хексахидрат </w:t>
      </w:r>
      <w:r w:rsidRPr="002C4E68">
        <w:rPr>
          <w:rFonts w:eastAsia="Times New Roman" w:cs="Arial"/>
          <w:color w:val="000000"/>
          <w:lang w:val="en-US"/>
        </w:rPr>
        <w:t xml:space="preserve">(Zinc nitrate </w:t>
      </w:r>
      <w:proofErr w:type="spellStart"/>
      <w:r w:rsidRPr="002C4E68">
        <w:rPr>
          <w:rFonts w:eastAsia="Times New Roman" w:cs="Arial"/>
          <w:color w:val="000000"/>
          <w:lang w:val="en-US"/>
        </w:rPr>
        <w:t>hexahydrate</w:t>
      </w:r>
      <w:proofErr w:type="spellEnd"/>
      <w:r w:rsidRPr="002C4E68">
        <w:rPr>
          <w:rFonts w:eastAsia="Times New Roman" w:cs="Arial"/>
          <w:color w:val="000000"/>
          <w:lang w:val="en-US"/>
        </w:rPr>
        <w:t>)…</w:t>
      </w:r>
      <w:r w:rsidRPr="002C4E68">
        <w:rPr>
          <w:rFonts w:eastAsia="Times New Roman" w:cs="Arial"/>
          <w:color w:val="000000"/>
        </w:rPr>
        <w:t>.......</w:t>
      </w:r>
      <w:r w:rsidRPr="002C4E68">
        <w:rPr>
          <w:rFonts w:eastAsia="Times New Roman" w:cs="Arial"/>
          <w:color w:val="000000"/>
          <w:lang w:val="en-US"/>
        </w:rPr>
        <w:t>6</w:t>
      </w:r>
      <w:proofErr w:type="gramStart"/>
      <w:r w:rsidRPr="002C4E68">
        <w:rPr>
          <w:rFonts w:eastAsia="Times New Roman" w:cs="Arial"/>
          <w:color w:val="000000"/>
          <w:lang w:val="en-US"/>
        </w:rPr>
        <w:t>,0</w:t>
      </w:r>
      <w:proofErr w:type="gramEnd"/>
      <w:r w:rsidRPr="002C4E68">
        <w:rPr>
          <w:rFonts w:eastAsia="Times New Roman" w:cs="Arial"/>
          <w:color w:val="000000"/>
          <w:lang w:val="en-US"/>
        </w:rPr>
        <w:t xml:space="preserve"> mg</w:t>
      </w:r>
    </w:p>
    <w:p w14:paraId="1E4CE1C5" w14:textId="77777777" w:rsidR="002C4E68" w:rsidRPr="002C4E68" w:rsidRDefault="002C4E68" w:rsidP="002C4E68">
      <w:pPr>
        <w:rPr>
          <w:rFonts w:eastAsia="Times New Roman" w:cs="Arial"/>
          <w:color w:val="000000"/>
          <w:lang w:eastAsia="bg-BG"/>
        </w:rPr>
      </w:pPr>
    </w:p>
    <w:p w14:paraId="54632B43" w14:textId="1692F1A4" w:rsidR="00EC41ED" w:rsidRPr="002C4E68" w:rsidRDefault="002C4E68" w:rsidP="002C4E68">
      <w:pPr>
        <w:rPr>
          <w:rFonts w:cs="Arial"/>
        </w:rPr>
      </w:pPr>
      <w:r w:rsidRPr="002C4E6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339149B8"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Вагинален разтвор.</w:t>
      </w:r>
    </w:p>
    <w:p w14:paraId="743244F0" w14:textId="67C5EDC9" w:rsidR="00EC41ED" w:rsidRPr="002C4E68" w:rsidRDefault="002C4E68" w:rsidP="002C4E68">
      <w:pPr>
        <w:rPr>
          <w:rFonts w:cs="Arial"/>
        </w:rPr>
      </w:pPr>
      <w:r w:rsidRPr="002C4E68">
        <w:rPr>
          <w:rFonts w:eastAsia="Times New Roman" w:cs="Arial"/>
          <w:color w:val="000000"/>
          <w:lang w:eastAsia="bg-BG"/>
        </w:rPr>
        <w:t>Бистър, безцветен разтвор.</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766466A"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Доброкачествени лезии на маточната шийка като:</w:t>
      </w:r>
    </w:p>
    <w:p w14:paraId="397A1705" w14:textId="77777777" w:rsidR="002C4E68" w:rsidRPr="002C4E68" w:rsidRDefault="002C4E68" w:rsidP="002C4E68">
      <w:pPr>
        <w:pStyle w:val="ListParagraph"/>
        <w:numPr>
          <w:ilvl w:val="0"/>
          <w:numId w:val="36"/>
        </w:numPr>
        <w:spacing w:line="240" w:lineRule="auto"/>
        <w:rPr>
          <w:rFonts w:eastAsia="Times New Roman" w:cs="Arial"/>
          <w:color w:val="000000"/>
          <w:lang w:eastAsia="bg-BG"/>
        </w:rPr>
      </w:pPr>
      <w:r w:rsidRPr="002C4E68">
        <w:rPr>
          <w:rFonts w:eastAsia="Times New Roman" w:cs="Arial"/>
          <w:color w:val="000000"/>
          <w:lang w:eastAsia="bg-BG"/>
        </w:rPr>
        <w:t>ектопия на влагалищната част на маточната шийка (екгопия, еритроплакия, псевдоерозии),</w:t>
      </w:r>
    </w:p>
    <w:p w14:paraId="5462B11F" w14:textId="77777777" w:rsidR="002C4E68" w:rsidRPr="002C4E68" w:rsidRDefault="002C4E68" w:rsidP="002C4E68">
      <w:pPr>
        <w:pStyle w:val="ListParagraph"/>
        <w:numPr>
          <w:ilvl w:val="0"/>
          <w:numId w:val="36"/>
        </w:numPr>
        <w:spacing w:line="240" w:lineRule="auto"/>
        <w:rPr>
          <w:rFonts w:eastAsia="Times New Roman" w:cs="Arial"/>
          <w:color w:val="000000"/>
          <w:lang w:eastAsia="bg-BG"/>
        </w:rPr>
      </w:pPr>
      <w:r w:rsidRPr="002C4E68">
        <w:rPr>
          <w:rFonts w:eastAsia="Times New Roman" w:cs="Arial"/>
          <w:color w:val="000000"/>
          <w:lang w:eastAsia="bg-BG"/>
        </w:rPr>
        <w:t>зона на трансформация,</w:t>
      </w:r>
    </w:p>
    <w:p w14:paraId="5B7B6F55" w14:textId="77777777" w:rsidR="002C4E68" w:rsidRPr="002C4E68" w:rsidRDefault="002C4E68" w:rsidP="002C4E68">
      <w:pPr>
        <w:pStyle w:val="ListParagraph"/>
        <w:numPr>
          <w:ilvl w:val="0"/>
          <w:numId w:val="36"/>
        </w:numPr>
        <w:spacing w:line="240" w:lineRule="auto"/>
        <w:rPr>
          <w:rFonts w:eastAsia="Times New Roman" w:cs="Arial"/>
          <w:color w:val="000000"/>
          <w:lang w:eastAsia="bg-BG"/>
        </w:rPr>
      </w:pPr>
      <w:proofErr w:type="spellStart"/>
      <w:r w:rsidRPr="002C4E68">
        <w:rPr>
          <w:rFonts w:eastAsia="Times New Roman" w:cs="Arial"/>
          <w:i/>
          <w:iCs/>
          <w:color w:val="000000"/>
          <w:lang w:val="en-US"/>
        </w:rPr>
        <w:t>ovula</w:t>
      </w:r>
      <w:proofErr w:type="spellEnd"/>
      <w:r w:rsidRPr="002C4E68">
        <w:rPr>
          <w:rFonts w:eastAsia="Times New Roman" w:cs="Arial"/>
          <w:i/>
          <w:iCs/>
          <w:color w:val="000000"/>
          <w:lang w:val="en-US"/>
        </w:rPr>
        <w:t xml:space="preserve"> </w:t>
      </w:r>
      <w:proofErr w:type="spellStart"/>
      <w:r w:rsidRPr="002C4E68">
        <w:rPr>
          <w:rFonts w:eastAsia="Times New Roman" w:cs="Arial"/>
          <w:i/>
          <w:iCs/>
          <w:color w:val="000000"/>
          <w:lang w:val="en-US"/>
        </w:rPr>
        <w:t>Nabothi</w:t>
      </w:r>
      <w:proofErr w:type="spellEnd"/>
      <w:r w:rsidRPr="002C4E68">
        <w:rPr>
          <w:rFonts w:eastAsia="Times New Roman" w:cs="Arial"/>
          <w:color w:val="000000"/>
          <w:lang w:val="en-US"/>
        </w:rPr>
        <w:t xml:space="preserve"> </w:t>
      </w:r>
      <w:r w:rsidRPr="002C4E68">
        <w:rPr>
          <w:rFonts w:eastAsia="Times New Roman" w:cs="Arial"/>
          <w:color w:val="000000"/>
          <w:lang w:eastAsia="bg-BG"/>
        </w:rPr>
        <w:t>(след инцизии),</w:t>
      </w:r>
    </w:p>
    <w:p w14:paraId="1FB7D4F9" w14:textId="77777777" w:rsidR="002C4E68" w:rsidRPr="002C4E68" w:rsidRDefault="002C4E68" w:rsidP="002C4E68">
      <w:pPr>
        <w:pStyle w:val="ListParagraph"/>
        <w:numPr>
          <w:ilvl w:val="0"/>
          <w:numId w:val="36"/>
        </w:numPr>
        <w:spacing w:line="240" w:lineRule="auto"/>
        <w:rPr>
          <w:rFonts w:eastAsia="Times New Roman" w:cs="Arial"/>
          <w:color w:val="000000"/>
          <w:lang w:eastAsia="bg-BG"/>
        </w:rPr>
      </w:pPr>
      <w:r w:rsidRPr="002C4E68">
        <w:rPr>
          <w:rFonts w:eastAsia="Times New Roman" w:cs="Arial"/>
          <w:color w:val="000000"/>
          <w:lang w:eastAsia="bg-BG"/>
        </w:rPr>
        <w:t>полипи (без патология на ендометриума)</w:t>
      </w:r>
    </w:p>
    <w:p w14:paraId="70784CAB" w14:textId="6F0EA409" w:rsidR="002C4E68" w:rsidRPr="002C4E68" w:rsidRDefault="002C4E68" w:rsidP="002C4E68">
      <w:pPr>
        <w:pStyle w:val="ListParagraph"/>
        <w:numPr>
          <w:ilvl w:val="0"/>
          <w:numId w:val="36"/>
        </w:numPr>
        <w:spacing w:line="240" w:lineRule="auto"/>
        <w:rPr>
          <w:rFonts w:eastAsia="Times New Roman" w:cs="Arial"/>
          <w:color w:val="000000"/>
          <w:lang w:eastAsia="bg-BG"/>
        </w:rPr>
      </w:pPr>
      <w:r w:rsidRPr="002C4E68">
        <w:rPr>
          <w:rFonts w:eastAsia="Times New Roman" w:cs="Arial"/>
          <w:color w:val="000000"/>
          <w:lang w:eastAsia="bg-BG"/>
        </w:rPr>
        <w:t>следоперативни грануломи на маточната шийка (след хистеректомия).</w:t>
      </w:r>
    </w:p>
    <w:p w14:paraId="5D85FFE5" w14:textId="77777777" w:rsidR="002C4E68" w:rsidRPr="002C4E68" w:rsidRDefault="002C4E68" w:rsidP="002C4E68">
      <w:pPr>
        <w:rPr>
          <w:rFonts w:eastAsia="Times New Roman" w:cs="Arial"/>
          <w:color w:val="000000"/>
          <w:lang w:eastAsia="bg-BG"/>
        </w:rPr>
      </w:pPr>
    </w:p>
    <w:p w14:paraId="6DFA4B9D" w14:textId="072625D5" w:rsidR="0091385D" w:rsidRPr="002C4E68" w:rsidRDefault="002C4E68" w:rsidP="002C4E68">
      <w:pPr>
        <w:rPr>
          <w:rFonts w:cs="Arial"/>
        </w:rPr>
      </w:pPr>
      <w:r w:rsidRPr="002C4E68">
        <w:rPr>
          <w:rFonts w:eastAsia="Times New Roman" w:cs="Arial"/>
          <w:color w:val="000000"/>
          <w:lang w:eastAsia="bg-BG"/>
        </w:rPr>
        <w:t>Солкогин е показан за всички възрастови групи.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7428B46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Солкогин е предназначен за местно приложение върху повърхността на маточната шийка и може да бъде нанасян единствено от акушер-гинеколог.</w:t>
      </w:r>
    </w:p>
    <w:p w14:paraId="6E65823D" w14:textId="77777777" w:rsidR="002C4E68" w:rsidRPr="002C4E68" w:rsidRDefault="002C4E68" w:rsidP="002C4E68">
      <w:pPr>
        <w:spacing w:line="240" w:lineRule="auto"/>
        <w:rPr>
          <w:rFonts w:eastAsia="Times New Roman" w:cs="Arial"/>
          <w:color w:val="000000"/>
          <w:u w:val="single"/>
          <w:lang w:eastAsia="bg-BG"/>
        </w:rPr>
      </w:pPr>
    </w:p>
    <w:p w14:paraId="589D8099" w14:textId="34EFCBAD" w:rsidR="002C4E68" w:rsidRPr="002C4E68" w:rsidRDefault="002C4E68" w:rsidP="002C4E68">
      <w:pPr>
        <w:pStyle w:val="Heading3"/>
        <w:rPr>
          <w:rFonts w:eastAsia="Times New Roman"/>
          <w:u w:val="single"/>
          <w:lang w:eastAsia="bg-BG"/>
        </w:rPr>
      </w:pPr>
      <w:r w:rsidRPr="002C4E68">
        <w:rPr>
          <w:rFonts w:eastAsia="Times New Roman"/>
          <w:u w:val="single"/>
          <w:lang w:eastAsia="bg-BG"/>
        </w:rPr>
        <w:t>Дозировка</w:t>
      </w:r>
    </w:p>
    <w:p w14:paraId="54E66D17" w14:textId="77777777" w:rsidR="002C4E68" w:rsidRPr="002C4E68" w:rsidRDefault="002C4E68" w:rsidP="002C4E68">
      <w:pPr>
        <w:spacing w:line="240" w:lineRule="auto"/>
        <w:rPr>
          <w:rFonts w:eastAsia="Times New Roman" w:cs="Arial"/>
          <w:i/>
          <w:iCs/>
          <w:color w:val="000000"/>
          <w:lang w:eastAsia="bg-BG"/>
        </w:rPr>
      </w:pPr>
    </w:p>
    <w:p w14:paraId="2D5B5BCE" w14:textId="4742488F" w:rsidR="002C4E68" w:rsidRPr="002C4E68" w:rsidRDefault="002C4E68" w:rsidP="002C4E68">
      <w:pPr>
        <w:spacing w:line="240" w:lineRule="auto"/>
        <w:rPr>
          <w:rFonts w:eastAsia="Times New Roman" w:cs="Arial"/>
          <w:lang w:eastAsia="bg-BG"/>
        </w:rPr>
      </w:pPr>
      <w:r w:rsidRPr="002C4E68">
        <w:rPr>
          <w:rFonts w:eastAsia="Times New Roman" w:cs="Arial"/>
          <w:i/>
          <w:iCs/>
          <w:color w:val="000000"/>
          <w:lang w:eastAsia="bg-BG"/>
        </w:rPr>
        <w:t>Възрастни</w:t>
      </w:r>
    </w:p>
    <w:p w14:paraId="669EDEEE" w14:textId="39746552"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При еднократно лечение със Солкогин се препоръчва лезията да се третира леко с памучен</w:t>
      </w:r>
      <w:r>
        <w:rPr>
          <w:rFonts w:eastAsia="Times New Roman" w:cs="Arial"/>
          <w:lang w:eastAsia="bg-BG"/>
        </w:rPr>
        <w:t xml:space="preserve"> </w:t>
      </w:r>
      <w:r w:rsidRPr="002C4E68">
        <w:rPr>
          <w:rFonts w:eastAsia="Times New Roman" w:cs="Arial"/>
          <w:color w:val="000000"/>
          <w:lang w:eastAsia="bg-BG"/>
        </w:rPr>
        <w:t>тампон, напоен с лекарството и отново да се приложи след 1-2 минути.</w:t>
      </w:r>
    </w:p>
    <w:p w14:paraId="475F7A9E" w14:textId="77777777" w:rsidR="002C4E68" w:rsidRPr="002C4E68" w:rsidRDefault="002C4E68" w:rsidP="002C4E68">
      <w:pPr>
        <w:rPr>
          <w:rFonts w:eastAsia="Times New Roman" w:cs="Arial"/>
          <w:i/>
          <w:iCs/>
          <w:color w:val="000000"/>
          <w:lang w:eastAsia="bg-BG"/>
        </w:rPr>
      </w:pPr>
    </w:p>
    <w:p w14:paraId="7FBF1BCE" w14:textId="26F3EEB6" w:rsidR="00EC41ED" w:rsidRPr="002C4E68" w:rsidRDefault="002C4E68" w:rsidP="002C4E68">
      <w:pPr>
        <w:rPr>
          <w:rFonts w:eastAsia="Times New Roman" w:cs="Arial"/>
          <w:i/>
          <w:iCs/>
          <w:color w:val="000000"/>
          <w:lang w:eastAsia="bg-BG"/>
        </w:rPr>
      </w:pPr>
      <w:r w:rsidRPr="002C4E68">
        <w:rPr>
          <w:rFonts w:eastAsia="Times New Roman" w:cs="Arial"/>
          <w:i/>
          <w:iCs/>
          <w:color w:val="000000"/>
          <w:lang w:eastAsia="bg-BG"/>
        </w:rPr>
        <w:t>Педиатрична популация</w:t>
      </w:r>
    </w:p>
    <w:p w14:paraId="068D6903"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При деца и юноши, при еднократно лечение със Солкогин се препоръчва лезията да се третира леко с памучен тампон, напоен с лекарството и отново да се приложи след 1-2 минути.</w:t>
      </w:r>
    </w:p>
    <w:p w14:paraId="3BFEA1E1" w14:textId="77777777" w:rsidR="002C4E68" w:rsidRPr="002C4E68" w:rsidRDefault="002C4E68" w:rsidP="002C4E68">
      <w:pPr>
        <w:spacing w:line="240" w:lineRule="auto"/>
        <w:rPr>
          <w:rFonts w:eastAsia="Times New Roman" w:cs="Arial"/>
          <w:color w:val="000000"/>
          <w:u w:val="single"/>
          <w:lang w:eastAsia="bg-BG"/>
        </w:rPr>
      </w:pPr>
    </w:p>
    <w:p w14:paraId="7A024591" w14:textId="0B14E76B" w:rsidR="002C4E68" w:rsidRPr="002C4E68" w:rsidRDefault="002C4E68" w:rsidP="002C4E68">
      <w:pPr>
        <w:pStyle w:val="Heading3"/>
        <w:rPr>
          <w:rFonts w:eastAsia="Times New Roman"/>
          <w:u w:val="single"/>
          <w:lang w:eastAsia="bg-BG"/>
        </w:rPr>
      </w:pPr>
      <w:r w:rsidRPr="002C4E68">
        <w:rPr>
          <w:rFonts w:eastAsia="Times New Roman"/>
          <w:u w:val="single"/>
          <w:lang w:eastAsia="bg-BG"/>
        </w:rPr>
        <w:t>Начин на приложение</w:t>
      </w:r>
    </w:p>
    <w:p w14:paraId="4433D5B2" w14:textId="3294FC72" w:rsidR="002C4E68" w:rsidRPr="002C4E68" w:rsidRDefault="002C4E68" w:rsidP="002C4E68">
      <w:pPr>
        <w:spacing w:line="240" w:lineRule="auto"/>
        <w:rPr>
          <w:rFonts w:eastAsia="Times New Roman" w:cs="Arial"/>
          <w:color w:val="000000"/>
          <w:lang w:eastAsia="bg-BG"/>
        </w:rPr>
      </w:pPr>
      <w:r w:rsidRPr="002C4E68">
        <w:rPr>
          <w:rFonts w:eastAsia="Times New Roman" w:cs="Arial"/>
          <w:color w:val="000000"/>
          <w:lang w:eastAsia="bg-BG"/>
        </w:rPr>
        <w:t>Солкогин е предназначен за местно приложение върху повърхността на маточната шийка.</w:t>
      </w:r>
    </w:p>
    <w:p w14:paraId="18A574BD" w14:textId="77777777" w:rsidR="002C4E68" w:rsidRPr="002C4E68" w:rsidRDefault="002C4E68" w:rsidP="002C4E68">
      <w:pPr>
        <w:spacing w:line="240" w:lineRule="auto"/>
        <w:rPr>
          <w:rFonts w:eastAsia="Times New Roman" w:cs="Arial"/>
          <w:lang w:eastAsia="bg-BG"/>
        </w:rPr>
      </w:pPr>
    </w:p>
    <w:p w14:paraId="1399D79F"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Отстранете цервикалната слуз с памучен тампон. Чрез оцветяване на цервикса с 3% оцетен разтвор големината на цервикалната лезия става ясно забележима.</w:t>
      </w:r>
    </w:p>
    <w:p w14:paraId="0FF1ACF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Третирайте лезията с напоен тампон със Солкогин с леки потупващи движения.</w:t>
      </w:r>
    </w:p>
    <w:p w14:paraId="4584DD57"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След 1-2 минути повторете процедурата с нов памучен тампон, напоен със Солкогин. Двойната апликация е доказала ефикасността си.</w:t>
      </w:r>
    </w:p>
    <w:p w14:paraId="152C1E23"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След лечението пациентът може да се прибере в къщи без някакви специални инструкции или ограничения за къпане, плуване или осъществяване на полов акт.</w:t>
      </w:r>
    </w:p>
    <w:p w14:paraId="588CDBC9"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В случай на дълбока ектопия с фисури, в който Солкогин не може да проникне достатъчно добре, след първо третиране се препоръчва преглед и повторно лечение след 4 до 6 дни.</w:t>
      </w:r>
    </w:p>
    <w:p w14:paraId="2ED89B44"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Контролен прегледа се препоръчва 4 седмици след лечението.</w:t>
      </w:r>
    </w:p>
    <w:p w14:paraId="46C95319"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Ако до този момент лезията не е напълно зараснала, лечението със Солкогин заедно с контролния преглед се повтаря.</w:t>
      </w:r>
    </w:p>
    <w:p w14:paraId="1C52536C" w14:textId="77777777" w:rsidR="002C4E68" w:rsidRPr="002C4E68" w:rsidRDefault="002C4E68" w:rsidP="002C4E68">
      <w:pPr>
        <w:rPr>
          <w:rFonts w:eastAsia="Times New Roman" w:cs="Arial"/>
          <w:color w:val="000000"/>
          <w:lang w:eastAsia="bg-BG"/>
        </w:rPr>
      </w:pPr>
    </w:p>
    <w:p w14:paraId="77199069" w14:textId="1E7C298A" w:rsidR="002C4E68" w:rsidRPr="002C4E68" w:rsidRDefault="002C4E68" w:rsidP="002C4E68">
      <w:pPr>
        <w:rPr>
          <w:rFonts w:cs="Arial"/>
        </w:rPr>
      </w:pPr>
      <w:r w:rsidRPr="002C4E68">
        <w:rPr>
          <w:rFonts w:eastAsia="Times New Roman" w:cs="Arial"/>
          <w:color w:val="000000"/>
          <w:lang w:eastAsia="bg-BG"/>
        </w:rPr>
        <w:t>Лечението със Солкогин може да предизвика отделяне на малки тъканни фрагменти. Това обаче се смята като резултат от успешно лечение.</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4A749C0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Солкогин е противопоказан при:</w:t>
      </w:r>
    </w:p>
    <w:p w14:paraId="769240DB"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злокачествени изменения на влагалищната част на маточната шийка,</w:t>
      </w:r>
    </w:p>
    <w:p w14:paraId="63CF17FA"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клетъчна дисплазия</w:t>
      </w:r>
    </w:p>
    <w:p w14:paraId="1AD7CCEE"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w:t>
      </w:r>
      <w:r w:rsidRPr="002C4E68">
        <w:rPr>
          <w:rFonts w:eastAsia="Times New Roman" w:cs="Arial"/>
          <w:color w:val="000000"/>
          <w:lang w:eastAsia="bg-BG"/>
        </w:rPr>
        <w:tab/>
        <w:t>свръхчувствителност към активните вещества или към някои от помощните вещества изброени в точка 6.1.</w:t>
      </w:r>
    </w:p>
    <w:p w14:paraId="030B6A4D" w14:textId="63DD8AA5" w:rsidR="00EC41ED" w:rsidRPr="002C4E68" w:rsidRDefault="002C4E68" w:rsidP="002C4E68">
      <w:pPr>
        <w:rPr>
          <w:rFonts w:cs="Arial"/>
        </w:rPr>
      </w:pPr>
      <w:r w:rsidRPr="002C4E68">
        <w:rPr>
          <w:rFonts w:eastAsia="Times New Roman" w:cs="Arial"/>
          <w:color w:val="000000"/>
          <w:lang w:eastAsia="bg-BG"/>
        </w:rPr>
        <w:t>-</w:t>
      </w:r>
      <w:r w:rsidRPr="002C4E68">
        <w:rPr>
          <w:rFonts w:eastAsia="Times New Roman" w:cs="Arial"/>
          <w:color w:val="000000"/>
          <w:lang w:eastAsia="bg-BG"/>
        </w:rPr>
        <w:tab/>
        <w:t xml:space="preserve">всяка лезия с подозрение за злокачествено заболяване. Трябва да се изключи злокачествено заболяване, преди да използвате </w:t>
      </w:r>
      <w:proofErr w:type="spellStart"/>
      <w:r w:rsidRPr="002C4E68">
        <w:rPr>
          <w:rFonts w:eastAsia="Times New Roman" w:cs="Arial"/>
          <w:color w:val="000000"/>
          <w:lang w:val="en-US"/>
        </w:rPr>
        <w:t>Solcogyn</w:t>
      </w:r>
      <w:proofErr w:type="spellEnd"/>
      <w:r w:rsidRPr="002C4E68">
        <w:rPr>
          <w:rFonts w:eastAsia="Times New Roman" w:cs="Arial"/>
          <w:color w:val="000000"/>
          <w:lang w:val="en-US"/>
        </w:rPr>
        <w:t>.</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7109E8CF"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Да се избягва контакта на Солкогин с външните гениталии или влагалищната лигавица и не бива да се прилага върху възпалени участъци. При поява на болка, използването на лекарството трябва да се преустанови.</w:t>
      </w:r>
    </w:p>
    <w:p w14:paraId="60173258" w14:textId="77777777" w:rsidR="002C4E68" w:rsidRPr="002C4E68" w:rsidRDefault="002C4E68" w:rsidP="002C4E68">
      <w:pPr>
        <w:spacing w:line="240" w:lineRule="auto"/>
        <w:rPr>
          <w:rFonts w:eastAsia="Times New Roman" w:cs="Arial"/>
          <w:b/>
          <w:bCs/>
          <w:color w:val="000000"/>
          <w:lang w:eastAsia="bg-BG"/>
        </w:rPr>
      </w:pPr>
    </w:p>
    <w:p w14:paraId="243553FF" w14:textId="48E3A3FE" w:rsidR="002C4E68" w:rsidRPr="002C4E68" w:rsidRDefault="002C4E68" w:rsidP="002C4E68">
      <w:pPr>
        <w:spacing w:line="240" w:lineRule="auto"/>
        <w:rPr>
          <w:rFonts w:eastAsia="Times New Roman" w:cs="Arial"/>
          <w:lang w:eastAsia="bg-BG"/>
        </w:rPr>
      </w:pPr>
      <w:r w:rsidRPr="002C4E68">
        <w:rPr>
          <w:rFonts w:eastAsia="Times New Roman" w:cs="Arial"/>
          <w:b/>
          <w:bCs/>
          <w:color w:val="000000"/>
          <w:lang w:eastAsia="bg-BG"/>
        </w:rPr>
        <w:lastRenderedPageBreak/>
        <w:t xml:space="preserve">Внимание! </w:t>
      </w:r>
      <w:r w:rsidRPr="002C4E68">
        <w:rPr>
          <w:rFonts w:eastAsia="Times New Roman" w:cs="Arial"/>
          <w:color w:val="000000"/>
          <w:lang w:eastAsia="bg-BG"/>
        </w:rPr>
        <w:t>Неправилното използване на Солкогин (например, използването на твърде голямо количество, предозиране) може да доведе до увреждане на лигавицата и подлежащите тъкани (вж.също точка 4.9).</w:t>
      </w:r>
    </w:p>
    <w:p w14:paraId="3456187F" w14:textId="77777777" w:rsidR="002C4E68" w:rsidRPr="002C4E68" w:rsidRDefault="002C4E68" w:rsidP="002C4E68">
      <w:pPr>
        <w:rPr>
          <w:rFonts w:eastAsia="Times New Roman" w:cs="Arial"/>
          <w:color w:val="000000"/>
          <w:lang w:eastAsia="bg-BG"/>
        </w:rPr>
      </w:pPr>
    </w:p>
    <w:p w14:paraId="0E28BBDE" w14:textId="74F34976" w:rsidR="007A2185" w:rsidRPr="002C4E68" w:rsidRDefault="002C4E68" w:rsidP="002C4E68">
      <w:pPr>
        <w:rPr>
          <w:rFonts w:cs="Arial"/>
        </w:rPr>
      </w:pPr>
      <w:r w:rsidRPr="002C4E68">
        <w:rPr>
          <w:rFonts w:eastAsia="Times New Roman" w:cs="Arial"/>
          <w:color w:val="000000"/>
          <w:lang w:eastAsia="bg-BG"/>
        </w:rPr>
        <w:t>Солкогин съдържа киселини. Трябва да се внимава, за да се избегне контакт с дрехите, кожата и особено с очите. В случай на неправилно използване, засегнатото място трябва незабавно да се почисти с памучен тампон, напоен с вода. Ако разтворът попадне в очите, трябва незабавно да се изплакнете с много вода или разредена основа, например като 1%</w:t>
      </w:r>
      <w:r w:rsidRPr="002C4E68">
        <w:rPr>
          <w:rFonts w:eastAsia="Times New Roman" w:cs="Arial"/>
          <w:i/>
          <w:iCs/>
          <w:color w:val="000000"/>
          <w:lang w:eastAsia="bg-BG"/>
        </w:rPr>
        <w:t xml:space="preserve"> </w:t>
      </w:r>
      <w:r w:rsidRPr="002C4E68">
        <w:rPr>
          <w:rFonts w:eastAsia="Times New Roman" w:cs="Arial"/>
          <w:color w:val="000000"/>
          <w:lang w:eastAsia="bg-BG"/>
        </w:rPr>
        <w:t>разтвор на натриев бикарбонат; задължителна е незабавна консултация с офталмолог.</w:t>
      </w:r>
    </w:p>
    <w:p w14:paraId="24E3E82F" w14:textId="65F697E0" w:rsidR="0091385D" w:rsidRPr="002C4E68" w:rsidRDefault="0091385D" w:rsidP="0091385D">
      <w:pPr>
        <w:rPr>
          <w:rFonts w:cs="Arial"/>
        </w:rPr>
      </w:pPr>
    </w:p>
    <w:p w14:paraId="402D611D" w14:textId="3DF85678" w:rsidR="002C4E68" w:rsidRPr="002C4E68" w:rsidRDefault="002C4E68" w:rsidP="0091385D">
      <w:pPr>
        <w:rPr>
          <w:rFonts w:cs="Arial"/>
        </w:rPr>
      </w:pPr>
      <w:r w:rsidRPr="002C4E68">
        <w:rPr>
          <w:rFonts w:cs="Arial"/>
        </w:rPr>
        <w:t>При случайно поглъщане, лечението съответства на общите правила за лечение на киселинна интоксикация: незабавно пиене на големи количества вода и постъпване в болница.</w:t>
      </w:r>
    </w:p>
    <w:p w14:paraId="40FEC7CE" w14:textId="77777777" w:rsidR="002C4E68" w:rsidRPr="0091385D" w:rsidRDefault="002C4E68"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373D122A" w:rsidR="0091385D" w:rsidRPr="002C4E68" w:rsidRDefault="002C4E68" w:rsidP="0091385D">
      <w:pPr>
        <w:rPr>
          <w:rFonts w:cs="Arial"/>
        </w:rPr>
      </w:pPr>
      <w:r w:rsidRPr="002C4E68">
        <w:rPr>
          <w:rFonts w:cs="Arial"/>
        </w:rPr>
        <w:t>Не са провеждани проучвания за взаимодействията.</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3A131A0B" w14:textId="77777777" w:rsidR="002C4E68" w:rsidRPr="00C578AD" w:rsidRDefault="002C4E68" w:rsidP="00C578AD">
      <w:pPr>
        <w:pStyle w:val="Heading3"/>
        <w:rPr>
          <w:rFonts w:eastAsia="Times New Roman"/>
          <w:u w:val="single"/>
          <w:lang w:eastAsia="bg-BG"/>
        </w:rPr>
      </w:pPr>
      <w:r w:rsidRPr="00C578AD">
        <w:rPr>
          <w:rFonts w:eastAsia="Times New Roman"/>
          <w:u w:val="single"/>
          <w:lang w:eastAsia="bg-BG"/>
        </w:rPr>
        <w:t>Фертилитет</w:t>
      </w:r>
    </w:p>
    <w:p w14:paraId="09DAF5E3"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Липсват данни за фертилитета от употребата на Солкогин при жени.</w:t>
      </w:r>
    </w:p>
    <w:p w14:paraId="29410E7D" w14:textId="77777777" w:rsidR="002C4E68" w:rsidRPr="002C4E68" w:rsidRDefault="002C4E68" w:rsidP="002C4E68">
      <w:pPr>
        <w:spacing w:line="240" w:lineRule="auto"/>
        <w:rPr>
          <w:rFonts w:eastAsia="Times New Roman" w:cs="Arial"/>
          <w:i/>
          <w:iCs/>
          <w:color w:val="000000"/>
          <w:lang w:eastAsia="bg-BG"/>
        </w:rPr>
      </w:pPr>
    </w:p>
    <w:p w14:paraId="3017A96F" w14:textId="41AD1D12" w:rsidR="002C4E68" w:rsidRPr="00C578AD" w:rsidRDefault="002C4E68" w:rsidP="00C578AD">
      <w:pPr>
        <w:pStyle w:val="Heading3"/>
        <w:rPr>
          <w:rFonts w:eastAsia="Times New Roman"/>
          <w:u w:val="single"/>
          <w:lang w:eastAsia="bg-BG"/>
        </w:rPr>
      </w:pPr>
      <w:r w:rsidRPr="00C578AD">
        <w:rPr>
          <w:rFonts w:eastAsia="Times New Roman"/>
          <w:u w:val="single"/>
          <w:lang w:eastAsia="bg-BG"/>
        </w:rPr>
        <w:t>Бременност</w:t>
      </w:r>
    </w:p>
    <w:p w14:paraId="16CBC1FF"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Лечението със Солкогин по време на бременност трябва да се избягва. Проучванията при животни са недостатъчни по отношение на репродуктивната токсичност (вж. точка 5.3).Потенциалният риск при хора не е известен.</w:t>
      </w:r>
    </w:p>
    <w:p w14:paraId="7DC7E517" w14:textId="77777777" w:rsidR="002C4E68" w:rsidRPr="002C4E68" w:rsidRDefault="002C4E68" w:rsidP="002C4E68">
      <w:pPr>
        <w:spacing w:line="240" w:lineRule="auto"/>
        <w:rPr>
          <w:rFonts w:eastAsia="Times New Roman" w:cs="Arial"/>
          <w:i/>
          <w:iCs/>
          <w:color w:val="000000"/>
          <w:lang w:eastAsia="bg-BG"/>
        </w:rPr>
      </w:pPr>
    </w:p>
    <w:p w14:paraId="21DE0FBB" w14:textId="3FD587CF" w:rsidR="002C4E68" w:rsidRPr="00C578AD" w:rsidRDefault="002C4E68" w:rsidP="00C578AD">
      <w:pPr>
        <w:pStyle w:val="Heading3"/>
        <w:rPr>
          <w:rFonts w:eastAsia="Times New Roman"/>
          <w:u w:val="single"/>
          <w:lang w:eastAsia="bg-BG"/>
        </w:rPr>
      </w:pPr>
      <w:r w:rsidRPr="00C578AD">
        <w:rPr>
          <w:rFonts w:eastAsia="Times New Roman"/>
          <w:u w:val="single"/>
          <w:lang w:eastAsia="bg-BG"/>
        </w:rPr>
        <w:t>Кърмене</w:t>
      </w:r>
    </w:p>
    <w:p w14:paraId="102F0D07" w14:textId="5F0E4655" w:rsidR="007A2185" w:rsidRPr="002C4E68" w:rsidRDefault="002C4E68" w:rsidP="002C4E68">
      <w:pPr>
        <w:rPr>
          <w:rFonts w:cs="Arial"/>
        </w:rPr>
      </w:pPr>
      <w:r w:rsidRPr="002C4E68">
        <w:rPr>
          <w:rFonts w:eastAsia="Times New Roman" w:cs="Arial"/>
          <w:color w:val="000000"/>
          <w:lang w:eastAsia="bg-BG"/>
        </w:rPr>
        <w:t>Не се очакват ефекти при кърмени новородени/кърмачета, тъй като системната експозиция на кърмачката на Солкогин е незначителна. Солкогин може да се използва в периода на кърмене.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716EDC3D" w:rsidR="007A2185" w:rsidRDefault="002C4E68" w:rsidP="0091385D">
      <w:r>
        <w:t>Солкогин не повлиява способността за шофиране и работа с машини, тъй като има незначителен системен ефект.</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467FF858" w:rsidR="007A2185" w:rsidRDefault="002C4E68" w:rsidP="0091385D">
      <w:r>
        <w:t xml:space="preserve">Въз основа на </w:t>
      </w:r>
      <w:proofErr w:type="spellStart"/>
      <w:r>
        <w:rPr>
          <w:lang w:val="en-US"/>
        </w:rPr>
        <w:t>MedDRA</w:t>
      </w:r>
      <w:proofErr w:type="spellEnd"/>
      <w:r>
        <w:rPr>
          <w:lang w:val="en-US"/>
        </w:rPr>
        <w:t xml:space="preserve"> </w:t>
      </w:r>
      <w:r>
        <w:t>конвенцията, честотата на нежеланите реакции се класифицират както следва:</w:t>
      </w:r>
    </w:p>
    <w:p w14:paraId="366726D4" w14:textId="2E496B35" w:rsidR="002C4E68" w:rsidRDefault="002C4E68" w:rsidP="0091385D"/>
    <w:tbl>
      <w:tblPr>
        <w:tblStyle w:val="TableGrid"/>
        <w:tblW w:w="0" w:type="auto"/>
        <w:tblLook w:val="04A0" w:firstRow="1" w:lastRow="0" w:firstColumn="1" w:lastColumn="0" w:noHBand="0" w:noVBand="1"/>
      </w:tblPr>
      <w:tblGrid>
        <w:gridCol w:w="4675"/>
        <w:gridCol w:w="4675"/>
      </w:tblGrid>
      <w:tr w:rsidR="002C4E68" w14:paraId="5885394E" w14:textId="77777777" w:rsidTr="002C4E68">
        <w:tc>
          <w:tcPr>
            <w:tcW w:w="4675" w:type="dxa"/>
          </w:tcPr>
          <w:p w14:paraId="0876F722" w14:textId="1A4A77EB" w:rsidR="002C4E68" w:rsidRDefault="002C4E68" w:rsidP="002C4E68">
            <w:r>
              <w:t>Много чести</w:t>
            </w:r>
          </w:p>
        </w:tc>
        <w:tc>
          <w:tcPr>
            <w:tcW w:w="4675" w:type="dxa"/>
          </w:tcPr>
          <w:p w14:paraId="56F38D6B" w14:textId="35E73343" w:rsidR="002C4E68" w:rsidRDefault="002C4E68" w:rsidP="002C4E68">
            <w:r>
              <w:t>(≥1/10)</w:t>
            </w:r>
          </w:p>
        </w:tc>
      </w:tr>
      <w:tr w:rsidR="002C4E68" w14:paraId="042EB640" w14:textId="77777777" w:rsidTr="002C4E68">
        <w:tc>
          <w:tcPr>
            <w:tcW w:w="4675" w:type="dxa"/>
          </w:tcPr>
          <w:p w14:paraId="09F453B5" w14:textId="01A6505C" w:rsidR="002C4E68" w:rsidRDefault="002C4E68" w:rsidP="002C4E68">
            <w:r>
              <w:lastRenderedPageBreak/>
              <w:t>Чести</w:t>
            </w:r>
          </w:p>
        </w:tc>
        <w:tc>
          <w:tcPr>
            <w:tcW w:w="4675" w:type="dxa"/>
          </w:tcPr>
          <w:p w14:paraId="7D3C0F95" w14:textId="646583AE" w:rsidR="002C4E68" w:rsidRDefault="002C4E68" w:rsidP="002C4E68">
            <w:r>
              <w:t>(≥1/100 до &lt;1/10)</w:t>
            </w:r>
          </w:p>
        </w:tc>
      </w:tr>
      <w:tr w:rsidR="002C4E68" w14:paraId="3C2F83EC" w14:textId="77777777" w:rsidTr="002C4E68">
        <w:tc>
          <w:tcPr>
            <w:tcW w:w="4675" w:type="dxa"/>
          </w:tcPr>
          <w:p w14:paraId="0F12771E" w14:textId="25799523" w:rsidR="002C4E68" w:rsidRDefault="002C4E68" w:rsidP="002C4E68">
            <w:r>
              <w:t>Нечести</w:t>
            </w:r>
          </w:p>
        </w:tc>
        <w:tc>
          <w:tcPr>
            <w:tcW w:w="4675" w:type="dxa"/>
          </w:tcPr>
          <w:p w14:paraId="52706069" w14:textId="445B265F" w:rsidR="002C4E68" w:rsidRDefault="002C4E68" w:rsidP="002C4E68">
            <w:r>
              <w:t>(≥1/1 000 до &lt;1/100)</w:t>
            </w:r>
          </w:p>
        </w:tc>
      </w:tr>
      <w:tr w:rsidR="002C4E68" w14:paraId="0B6DAF3D" w14:textId="77777777" w:rsidTr="002C4E68">
        <w:tc>
          <w:tcPr>
            <w:tcW w:w="4675" w:type="dxa"/>
          </w:tcPr>
          <w:p w14:paraId="05E4BE2B" w14:textId="77DBEF5D" w:rsidR="002C4E68" w:rsidRDefault="002C4E68" w:rsidP="002C4E68">
            <w:r>
              <w:t>Редки</w:t>
            </w:r>
          </w:p>
        </w:tc>
        <w:tc>
          <w:tcPr>
            <w:tcW w:w="4675" w:type="dxa"/>
          </w:tcPr>
          <w:p w14:paraId="33602B66" w14:textId="4B7AAF5B" w:rsidR="002C4E68" w:rsidRDefault="002C4E68" w:rsidP="002C4E68">
            <w:r>
              <w:t>(≥1/10 000 до &lt;1/1 000)</w:t>
            </w:r>
          </w:p>
        </w:tc>
      </w:tr>
      <w:tr w:rsidR="002C4E68" w14:paraId="2551EA96" w14:textId="77777777" w:rsidTr="002C4E68">
        <w:tc>
          <w:tcPr>
            <w:tcW w:w="4675" w:type="dxa"/>
          </w:tcPr>
          <w:p w14:paraId="09E88012" w14:textId="3CA6178A" w:rsidR="002C4E68" w:rsidRDefault="002C4E68" w:rsidP="002C4E68">
            <w:r>
              <w:t>Много редки</w:t>
            </w:r>
          </w:p>
        </w:tc>
        <w:tc>
          <w:tcPr>
            <w:tcW w:w="4675" w:type="dxa"/>
          </w:tcPr>
          <w:p w14:paraId="3785DBE6" w14:textId="4AE1EF09" w:rsidR="002C4E68" w:rsidRDefault="002C4E68" w:rsidP="002C4E68">
            <w:r>
              <w:t>(&lt;1/10 000), с неизвестна честота (от наличните данни не може да бъде направена оценка)</w:t>
            </w:r>
          </w:p>
        </w:tc>
      </w:tr>
    </w:tbl>
    <w:p w14:paraId="51A2A213" w14:textId="589C074E" w:rsidR="002C4E68" w:rsidRDefault="002C4E68" w:rsidP="0091385D"/>
    <w:p w14:paraId="3DAC7697" w14:textId="77777777" w:rsidR="002C4E68" w:rsidRPr="002C4E68" w:rsidRDefault="002C4E68" w:rsidP="002C4E68">
      <w:pPr>
        <w:spacing w:line="240" w:lineRule="auto"/>
        <w:rPr>
          <w:rFonts w:eastAsia="Times New Roman" w:cs="Arial"/>
          <w:lang w:eastAsia="bg-BG"/>
        </w:rPr>
      </w:pPr>
      <w:bookmarkStart w:id="1" w:name="bookmark0"/>
      <w:r w:rsidRPr="002C4E68">
        <w:rPr>
          <w:rFonts w:eastAsia="Times New Roman" w:cs="Arial"/>
          <w:b/>
          <w:bCs/>
          <w:color w:val="000000"/>
          <w:lang w:eastAsia="bg-BG"/>
        </w:rPr>
        <w:t>Наблюдавани са следните нежелани реакции с неизвестна честота:</w:t>
      </w:r>
      <w:bookmarkEnd w:id="1"/>
    </w:p>
    <w:p w14:paraId="742AD66A" w14:textId="77777777" w:rsidR="002C4E68" w:rsidRPr="002C4E68" w:rsidRDefault="002C4E68" w:rsidP="002C4E68">
      <w:pPr>
        <w:spacing w:line="240" w:lineRule="auto"/>
        <w:rPr>
          <w:rFonts w:eastAsia="Times New Roman" w:cs="Arial"/>
          <w:color w:val="000000"/>
          <w:lang w:eastAsia="bg-BG"/>
        </w:rPr>
      </w:pPr>
    </w:p>
    <w:p w14:paraId="1C4E46B7" w14:textId="2B9E54E0"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Общи нарушения и ефекти на мястото на приложение</w:t>
      </w:r>
    </w:p>
    <w:p w14:paraId="399688B2" w14:textId="77777777" w:rsidR="002C4E68" w:rsidRPr="002C4E68" w:rsidRDefault="002C4E68" w:rsidP="002C4E68">
      <w:pPr>
        <w:rPr>
          <w:rFonts w:eastAsia="Times New Roman" w:cs="Arial"/>
          <w:color w:val="000000"/>
          <w:lang w:eastAsia="bg-BG"/>
        </w:rPr>
      </w:pPr>
    </w:p>
    <w:p w14:paraId="74D12FC6" w14:textId="3E038C82" w:rsidR="002C4E68" w:rsidRPr="002C4E68" w:rsidRDefault="002C4E68" w:rsidP="002C4E68">
      <w:pPr>
        <w:pStyle w:val="ListParagraph"/>
        <w:numPr>
          <w:ilvl w:val="0"/>
          <w:numId w:val="37"/>
        </w:numPr>
        <w:rPr>
          <w:rFonts w:cs="Arial"/>
        </w:rPr>
      </w:pPr>
      <w:r w:rsidRPr="002C4E68">
        <w:rPr>
          <w:rFonts w:eastAsia="Times New Roman" w:cs="Arial"/>
          <w:color w:val="000000"/>
          <w:lang w:eastAsia="bg-BG"/>
        </w:rPr>
        <w:t>В случай на неправилно провеждане на лечението, например при случаен контакт с външните гениталии или влагалището - парене, сърбеж, болка.</w:t>
      </w:r>
    </w:p>
    <w:p w14:paraId="443BC107" w14:textId="5BE30D1C" w:rsidR="005B0F27" w:rsidRPr="002C4E68" w:rsidRDefault="005B0F27" w:rsidP="0091385D">
      <w:pPr>
        <w:rPr>
          <w:rFonts w:cs="Arial"/>
        </w:rPr>
      </w:pPr>
    </w:p>
    <w:p w14:paraId="706808A6" w14:textId="56D2B576"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В случай на неправилно използване (при нанасяне на твърде голямо количество) подлежащата тъкан на мястото на приложение може да се увреди - раздразнение на кожата и язва.Съобщаване на подозирани нежелани реакции</w:t>
      </w:r>
      <w:r w:rsidR="00C578AD">
        <w:rPr>
          <w:rFonts w:eastAsia="Times New Roman" w:cs="Arial"/>
          <w:color w:val="000000"/>
          <w:lang w:eastAsia="bg-BG"/>
        </w:rPr>
        <w:t>.</w:t>
      </w:r>
      <w:bookmarkStart w:id="2" w:name="_GoBack"/>
      <w:bookmarkEnd w:id="2"/>
    </w:p>
    <w:p w14:paraId="6220CBA7"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F31AF8B"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Изпълнителна агенция по лекарствата</w:t>
      </w:r>
    </w:p>
    <w:p w14:paraId="50283439"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ул. „Дамян Груев” № 8</w:t>
      </w:r>
    </w:p>
    <w:p w14:paraId="3168488C"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1303 София</w:t>
      </w:r>
    </w:p>
    <w:p w14:paraId="08B3F489"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Тел.:+359 2 8903417</w:t>
      </w:r>
    </w:p>
    <w:p w14:paraId="307AC5C3" w14:textId="7AB8DECB" w:rsidR="002C4E68" w:rsidRPr="002C4E68" w:rsidRDefault="002C4E68" w:rsidP="002C4E68">
      <w:pPr>
        <w:rPr>
          <w:rFonts w:cs="Arial"/>
        </w:rPr>
      </w:pPr>
      <w:r w:rsidRPr="002C4E68">
        <w:rPr>
          <w:rFonts w:eastAsia="Times New Roman" w:cs="Arial"/>
          <w:color w:val="000000"/>
          <w:lang w:eastAsia="bg-BG"/>
        </w:rPr>
        <w:t xml:space="preserve">уебсайт: </w:t>
      </w:r>
      <w:hyperlink r:id="rId5" w:history="1">
        <w:r w:rsidRPr="002C4E68">
          <w:rPr>
            <w:rFonts w:eastAsia="Times New Roman" w:cs="Arial"/>
            <w:color w:val="000000"/>
            <w:lang w:val="en-US"/>
          </w:rPr>
          <w:t>www.bda.bg</w:t>
        </w:r>
      </w:hyperlink>
    </w:p>
    <w:p w14:paraId="64A99622" w14:textId="77777777" w:rsidR="002C4E68" w:rsidRPr="0091385D" w:rsidRDefault="002C4E68"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07A9566E"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При използване на по-голямо количество от лекарството (предозиране), може да се появи парене и сърбеж (виж 4.8). Ако се появи бурна реакция около мястото на нанасяне или в случай на сърбеж, може да се нанесе кортикостероид съдържащ или обезболяващ крем.</w:t>
      </w:r>
    </w:p>
    <w:p w14:paraId="7BE87314" w14:textId="77777777" w:rsidR="002C4E68" w:rsidRPr="002C4E68" w:rsidRDefault="002C4E68" w:rsidP="002C4E68">
      <w:pPr>
        <w:rPr>
          <w:rFonts w:eastAsia="Times New Roman" w:cs="Arial"/>
          <w:color w:val="000000"/>
          <w:lang w:eastAsia="bg-BG"/>
        </w:rPr>
      </w:pPr>
    </w:p>
    <w:p w14:paraId="6A43B8F3" w14:textId="7DDBFF92" w:rsidR="007A2185" w:rsidRPr="002C4E68" w:rsidRDefault="002C4E68" w:rsidP="002C4E68">
      <w:pPr>
        <w:rPr>
          <w:rFonts w:cs="Arial"/>
        </w:rPr>
      </w:pPr>
      <w:r w:rsidRPr="002C4E68">
        <w:rPr>
          <w:rFonts w:eastAsia="Times New Roman" w:cs="Arial"/>
          <w:color w:val="000000"/>
          <w:lang w:eastAsia="bg-BG"/>
        </w:rPr>
        <w:t>Използването на прекомерно количество от лекарството може да предизвика язви (вж.точка 4.4).</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CB1AF8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 xml:space="preserve">Фармакотерапевтична група: органични киселини, АТС код: </w:t>
      </w:r>
      <w:r w:rsidRPr="002C4E68">
        <w:rPr>
          <w:rFonts w:eastAsia="Times New Roman" w:cs="Arial"/>
          <w:color w:val="000000"/>
          <w:lang w:val="en-US"/>
        </w:rPr>
        <w:t xml:space="preserve">G02CX </w:t>
      </w:r>
      <w:r w:rsidRPr="002C4E68">
        <w:rPr>
          <w:rFonts w:eastAsia="Times New Roman" w:cs="Arial"/>
          <w:color w:val="000000"/>
          <w:lang w:eastAsia="bg-BG"/>
        </w:rPr>
        <w:t>00</w:t>
      </w:r>
    </w:p>
    <w:p w14:paraId="30BE1722" w14:textId="77777777" w:rsidR="002C4E68" w:rsidRPr="002C4E68" w:rsidRDefault="002C4E68" w:rsidP="002C4E68">
      <w:pPr>
        <w:rPr>
          <w:rFonts w:eastAsia="Times New Roman" w:cs="Arial"/>
          <w:color w:val="000000"/>
          <w:lang w:eastAsia="bg-BG"/>
        </w:rPr>
      </w:pPr>
    </w:p>
    <w:p w14:paraId="038F692B" w14:textId="03D22ABC" w:rsidR="007A2185" w:rsidRPr="002C4E68" w:rsidRDefault="002C4E68" w:rsidP="002C4E68">
      <w:pPr>
        <w:rPr>
          <w:rFonts w:cs="Arial"/>
        </w:rPr>
      </w:pPr>
      <w:r w:rsidRPr="002C4E68">
        <w:rPr>
          <w:rFonts w:eastAsia="Times New Roman" w:cs="Arial"/>
          <w:color w:val="000000"/>
          <w:lang w:eastAsia="bg-BG"/>
        </w:rPr>
        <w:t xml:space="preserve">В резултат на особения си състав, Солкогин оказва влияние върху различните епителни тъкани на маточната шийка. Когато лекарството е в контакт с ектопични и трансформирани повърхности на маточната шийка, се наблюдава незабавна </w:t>
      </w:r>
      <w:r w:rsidRPr="002C4E68">
        <w:rPr>
          <w:rFonts w:eastAsia="Times New Roman" w:cs="Arial"/>
          <w:color w:val="000000"/>
          <w:lang w:eastAsia="bg-BG"/>
        </w:rPr>
        <w:lastRenderedPageBreak/>
        <w:t xml:space="preserve">девитализация и фиксиране </w:t>
      </w:r>
      <w:r w:rsidRPr="002C4E68">
        <w:rPr>
          <w:rFonts w:eastAsia="Times New Roman" w:cs="Arial"/>
          <w:i/>
          <w:iCs/>
          <w:color w:val="000000"/>
          <w:lang w:val="en-US"/>
        </w:rPr>
        <w:t>in vivo</w:t>
      </w:r>
      <w:r w:rsidRPr="002C4E68">
        <w:rPr>
          <w:rFonts w:eastAsia="Times New Roman" w:cs="Arial"/>
          <w:color w:val="000000"/>
          <w:lang w:val="en-US"/>
        </w:rPr>
        <w:t xml:space="preserve"> </w:t>
      </w:r>
      <w:r w:rsidRPr="002C4E68">
        <w:rPr>
          <w:rFonts w:eastAsia="Times New Roman" w:cs="Arial"/>
          <w:color w:val="000000"/>
          <w:lang w:eastAsia="bg-BG"/>
        </w:rPr>
        <w:t>на ектопичния цилиндричен епител и субепителната строма (в случай на ерозио). Многослойният плосък епител на порциото и на вагината, който е по- резистентен, практически не се засяга. Девитализацията става за няколко минути и може да бъде разпозната по бледожълтото или сивото оцветяване на тъканите. Реакцията не е киселинно изгаряне в буквалния смисъл, тъй като девитализираната тъкан се запазва на място и образува защитна покривка, която отпада след няколко дни в следствие на реепителизацията с идиопатичен плосък епител.</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45551830" w14:textId="643BAD9B" w:rsidR="007A2185" w:rsidRPr="002C4E68" w:rsidRDefault="002C4E68" w:rsidP="007A2185">
      <w:pPr>
        <w:rPr>
          <w:rFonts w:cs="Arial"/>
        </w:rPr>
      </w:pPr>
      <w:r w:rsidRPr="002C4E68">
        <w:rPr>
          <w:rFonts w:cs="Arial"/>
        </w:rPr>
        <w:t>Фармакокинетичните свойства на Солкогин не са изследвани. Активните съставки на Солкогин, нитрати, нитрити, ацетат и оксалат, присъстват физиологично в човешкото тяло. Препаратът действа локално. Киселинните йони и азот редуциращите продукти, които се съдържат в Солкогин водят до бърза патологична девитализация и фиксация на тъканите. Абсорбцията по време на този процес изглежда незначителна и като се има предвид малкото количество на прилаганото лекарство, не може да се очаква системно действие.</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9D43934"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прилагане, генотоксичност, карциногенен потенциал, репродуктивна токсичност.</w:t>
      </w:r>
    </w:p>
    <w:p w14:paraId="2B3275B2" w14:textId="77777777" w:rsidR="002C4E68" w:rsidRPr="002C4E68" w:rsidRDefault="002C4E68" w:rsidP="002C4E68">
      <w:pPr>
        <w:spacing w:line="240" w:lineRule="auto"/>
        <w:rPr>
          <w:rFonts w:eastAsia="Times New Roman" w:cs="Arial"/>
          <w:i/>
          <w:iCs/>
          <w:color w:val="000000"/>
          <w:lang w:eastAsia="bg-BG"/>
        </w:rPr>
      </w:pPr>
    </w:p>
    <w:p w14:paraId="2DA337DD" w14:textId="3707396A" w:rsidR="002C4E68" w:rsidRPr="002C4E68" w:rsidRDefault="002C4E68" w:rsidP="002C4E68">
      <w:pPr>
        <w:spacing w:line="240" w:lineRule="auto"/>
        <w:rPr>
          <w:rFonts w:eastAsia="Times New Roman" w:cs="Arial"/>
          <w:lang w:eastAsia="bg-BG"/>
        </w:rPr>
      </w:pPr>
      <w:r w:rsidRPr="002C4E68">
        <w:rPr>
          <w:rFonts w:eastAsia="Times New Roman" w:cs="Arial"/>
          <w:i/>
          <w:iCs/>
          <w:color w:val="000000"/>
          <w:lang w:eastAsia="bg-BG"/>
        </w:rPr>
        <w:t>Единична дозова токсичност:</w:t>
      </w:r>
    </w:p>
    <w:p w14:paraId="69A2E70F"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Не са наблюдавани токсични признаци или симптоми при зайци, третирани еднократно върху влагалищната лигавица. Извън очакваното леко до умерено изразено раздразнение или корозивен ефект, не са били установени други локални ефекти върху вулвата.</w:t>
      </w:r>
    </w:p>
    <w:p w14:paraId="48793E69" w14:textId="77777777" w:rsidR="002C4E68" w:rsidRPr="002C4E68" w:rsidRDefault="002C4E68" w:rsidP="002C4E68">
      <w:pPr>
        <w:spacing w:line="240" w:lineRule="auto"/>
        <w:rPr>
          <w:rFonts w:eastAsia="Times New Roman" w:cs="Arial"/>
          <w:i/>
          <w:iCs/>
          <w:color w:val="000000"/>
          <w:lang w:eastAsia="bg-BG"/>
        </w:rPr>
      </w:pPr>
    </w:p>
    <w:p w14:paraId="2987191F" w14:textId="49D9ED81" w:rsidR="002C4E68" w:rsidRPr="002C4E68" w:rsidRDefault="002C4E68" w:rsidP="002C4E68">
      <w:pPr>
        <w:spacing w:line="240" w:lineRule="auto"/>
        <w:rPr>
          <w:rFonts w:eastAsia="Times New Roman" w:cs="Arial"/>
          <w:lang w:eastAsia="bg-BG"/>
        </w:rPr>
      </w:pPr>
      <w:r w:rsidRPr="002C4E68">
        <w:rPr>
          <w:rFonts w:eastAsia="Times New Roman" w:cs="Arial"/>
          <w:i/>
          <w:iCs/>
          <w:color w:val="000000"/>
          <w:lang w:eastAsia="bg-BG"/>
        </w:rPr>
        <w:t>Удвоена дозова токсичност:</w:t>
      </w:r>
    </w:p>
    <w:p w14:paraId="3EDB789A"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Не са наблюдавани системни ефекти у зайци, третирани трикратно през интервал от 10 дни в областта на влагалищната лигавица. Наблюдавани са били леко до умерено раздразнение, включително и еритем, едем и улцерация на външната част на влагалището. Повторното приложение е довело до добре изразено възпаление, до степен на улцерация и хронично цикатризиране с последващи констриктивни промени на вагината.</w:t>
      </w:r>
    </w:p>
    <w:p w14:paraId="602E72C2" w14:textId="77777777" w:rsidR="002C4E68" w:rsidRPr="002C4E68" w:rsidRDefault="002C4E68" w:rsidP="002C4E68">
      <w:pPr>
        <w:rPr>
          <w:rFonts w:eastAsia="Times New Roman" w:cs="Arial"/>
          <w:color w:val="000000"/>
          <w:lang w:eastAsia="bg-BG"/>
        </w:rPr>
      </w:pPr>
    </w:p>
    <w:p w14:paraId="13A7B62A" w14:textId="6E5C2619" w:rsidR="007A2185" w:rsidRPr="002C4E68" w:rsidRDefault="002C4E68" w:rsidP="002C4E68">
      <w:pPr>
        <w:rPr>
          <w:rFonts w:cs="Arial"/>
        </w:rPr>
      </w:pPr>
      <w:r w:rsidRPr="002C4E68">
        <w:rPr>
          <w:rFonts w:eastAsia="Times New Roman" w:cs="Arial"/>
          <w:color w:val="000000"/>
          <w:lang w:eastAsia="bg-BG"/>
        </w:rPr>
        <w:t>При правилно използване, лекарството може да се счита за безопасно. Нещо повече, количеството на абсорбираните вещества при локално приложение е минимално.</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53104E2A"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Майлан ЕООД</w:t>
      </w:r>
    </w:p>
    <w:p w14:paraId="33938A7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Офис сграда „Сердика офиси“</w:t>
      </w:r>
    </w:p>
    <w:p w14:paraId="3E33853E"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бул. Ситняково № 48, ет. 7</w:t>
      </w:r>
    </w:p>
    <w:p w14:paraId="598B7416"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1505 София</w:t>
      </w:r>
    </w:p>
    <w:p w14:paraId="4F02909F" w14:textId="55F164A8" w:rsidR="007A2185" w:rsidRPr="002C4E68" w:rsidRDefault="002C4E68" w:rsidP="002C4E68">
      <w:pPr>
        <w:rPr>
          <w:rFonts w:cs="Arial"/>
        </w:rPr>
      </w:pPr>
      <w:r w:rsidRPr="002C4E68">
        <w:rPr>
          <w:rFonts w:eastAsia="Times New Roman" w:cs="Arial"/>
          <w:color w:val="000000"/>
          <w:lang w:eastAsia="bg-BG"/>
        </w:rPr>
        <w:lastRenderedPageBreak/>
        <w:t>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735C45D7" w:rsidR="007A2185" w:rsidRPr="002C4E68" w:rsidRDefault="002C4E68" w:rsidP="0091385D">
      <w:pPr>
        <w:rPr>
          <w:rFonts w:cs="Arial"/>
        </w:rPr>
      </w:pPr>
      <w:r w:rsidRPr="002C4E68">
        <w:rPr>
          <w:rFonts w:cs="Arial"/>
          <w:lang w:val="en-US"/>
        </w:rPr>
        <w:t xml:space="preserve">Per. </w:t>
      </w:r>
      <w:r w:rsidRPr="002C4E68">
        <w:rPr>
          <w:rFonts w:cs="Arial"/>
        </w:rPr>
        <w:t>№20050257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11564A5" w14:textId="77777777" w:rsidR="002C4E68" w:rsidRPr="002C4E68" w:rsidRDefault="002C4E68" w:rsidP="002C4E68">
      <w:pPr>
        <w:spacing w:line="240" w:lineRule="auto"/>
        <w:rPr>
          <w:rFonts w:eastAsia="Times New Roman" w:cs="Arial"/>
          <w:lang w:eastAsia="bg-BG"/>
        </w:rPr>
      </w:pPr>
      <w:r w:rsidRPr="002C4E68">
        <w:rPr>
          <w:rFonts w:eastAsia="Times New Roman" w:cs="Arial"/>
          <w:color w:val="000000"/>
          <w:lang w:eastAsia="bg-BG"/>
        </w:rPr>
        <w:t>Дата на първо разрешаване: 03/05/2005 г.</w:t>
      </w:r>
    </w:p>
    <w:p w14:paraId="6C57D8B6" w14:textId="0CC2F951" w:rsidR="007A2185" w:rsidRPr="002C4E68" w:rsidRDefault="002C4E68" w:rsidP="002C4E68">
      <w:pPr>
        <w:rPr>
          <w:rFonts w:cs="Arial"/>
        </w:rPr>
      </w:pPr>
      <w:r w:rsidRPr="002C4E68">
        <w:rPr>
          <w:rFonts w:eastAsia="Times New Roman" w:cs="Arial"/>
          <w:color w:val="000000"/>
          <w:lang w:eastAsia="bg-BG"/>
        </w:rPr>
        <w:t>Дата на последно подновяване: 21/12/2010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3585D45" w:rsidR="007A2185" w:rsidRPr="002C4E68" w:rsidRDefault="002C4E68" w:rsidP="0091385D">
      <w:pPr>
        <w:rPr>
          <w:rFonts w:cs="Arial"/>
        </w:rPr>
      </w:pPr>
      <w:r w:rsidRPr="002C4E68">
        <w:rPr>
          <w:rFonts w:cs="Arial"/>
        </w:rPr>
        <w:t>12/2018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3103D9"/>
    <w:multiLevelType w:val="hybridMultilevel"/>
    <w:tmpl w:val="8A1E3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5189A"/>
    <w:multiLevelType w:val="hybridMultilevel"/>
    <w:tmpl w:val="FA5EB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14"/>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4E68"/>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578AD"/>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2023-04-06T00:40:00Z</dcterms:created>
  <dcterms:modified xsi:type="dcterms:W3CDTF">2023-04-06T00:40:00Z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