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1"/>
        <w:jc w:val="center"/>
      </w:pPr>
      <w:bookmarkStart w:id="0" w:name="_Hlk63124480"/>
      <w:r>
        <w:t>КРАТКА ХАРАКТЕРИСТИКА НА ПРОДУКТА</w:t>
      </w:r>
    </w:p>
    <w:p w14:paraId="3B239815" w14:textId="33A7FDD7" w:rsidR="00AA23EC" w:rsidRDefault="00DD466D" w:rsidP="00DD466D">
      <w:pPr>
        <w:pStyle w:val="1"/>
      </w:pPr>
      <w:r>
        <w:t>1.ИМЕ НА ЛЕКАРСТВЕНИЯ ПРОДУКТ</w:t>
      </w:r>
    </w:p>
    <w:p w14:paraId="56E34851" w14:textId="77777777" w:rsidR="009B3915" w:rsidRDefault="009B3915" w:rsidP="009B3915">
      <w:pPr>
        <w:rPr>
          <w:lang w:eastAsia="bg-BG"/>
        </w:rPr>
      </w:pPr>
    </w:p>
    <w:p w14:paraId="687819DB" w14:textId="58E7FD0A" w:rsidR="009B3915" w:rsidRPr="009B3915" w:rsidRDefault="009B3915" w:rsidP="009B3915">
      <w:pPr>
        <w:rPr>
          <w:sz w:val="24"/>
          <w:szCs w:val="24"/>
          <w:lang w:val="en-US"/>
        </w:rPr>
      </w:pPr>
      <w:proofErr w:type="spellStart"/>
      <w:r w:rsidRPr="009B3915">
        <w:rPr>
          <w:lang w:eastAsia="bg-BG"/>
        </w:rPr>
        <w:t>Солифенацин</w:t>
      </w:r>
      <w:proofErr w:type="spellEnd"/>
      <w:r w:rsidRPr="009B3915">
        <w:rPr>
          <w:lang w:eastAsia="bg-BG"/>
        </w:rPr>
        <w:t xml:space="preserve"> Софарма </w:t>
      </w:r>
      <w:r w:rsidRPr="009B3915">
        <w:rPr>
          <w:lang w:val="en-US"/>
        </w:rPr>
        <w:t xml:space="preserve">5mg </w:t>
      </w:r>
      <w:r w:rsidRPr="009B3915">
        <w:rPr>
          <w:lang w:eastAsia="bg-BG"/>
        </w:rPr>
        <w:t>филмирани таблетки</w:t>
      </w:r>
    </w:p>
    <w:p w14:paraId="6284D1EE" w14:textId="77777777" w:rsidR="009B3915" w:rsidRPr="009B3915" w:rsidRDefault="009B3915" w:rsidP="009B3915">
      <w:pPr>
        <w:rPr>
          <w:sz w:val="24"/>
          <w:szCs w:val="24"/>
          <w:lang w:val="en-US"/>
        </w:rPr>
      </w:pPr>
      <w:proofErr w:type="spellStart"/>
      <w:r w:rsidRPr="009B3915">
        <w:rPr>
          <w:lang w:eastAsia="bg-BG"/>
        </w:rPr>
        <w:t>Солифенацин</w:t>
      </w:r>
      <w:proofErr w:type="spellEnd"/>
      <w:r w:rsidRPr="009B3915">
        <w:rPr>
          <w:lang w:eastAsia="bg-BG"/>
        </w:rPr>
        <w:t xml:space="preserve"> Софарма 10 </w:t>
      </w:r>
      <w:r w:rsidRPr="009B3915">
        <w:rPr>
          <w:lang w:val="en-US"/>
        </w:rPr>
        <w:t xml:space="preserve">mg </w:t>
      </w:r>
      <w:r w:rsidRPr="009B3915">
        <w:rPr>
          <w:lang w:eastAsia="bg-BG"/>
        </w:rPr>
        <w:t>филмирани таблетки</w:t>
      </w:r>
    </w:p>
    <w:p w14:paraId="1C767C77" w14:textId="77777777" w:rsidR="009B3915" w:rsidRPr="009B3915" w:rsidRDefault="009B3915" w:rsidP="009B3915">
      <w:pPr>
        <w:rPr>
          <w:sz w:val="24"/>
          <w:szCs w:val="24"/>
          <w:lang w:val="en-US"/>
        </w:rPr>
      </w:pPr>
      <w:proofErr w:type="spellStart"/>
      <w:r w:rsidRPr="009B3915">
        <w:rPr>
          <w:lang w:val="en-US"/>
        </w:rPr>
        <w:t>Solifenacin</w:t>
      </w:r>
      <w:proofErr w:type="spellEnd"/>
      <w:r w:rsidRPr="009B3915">
        <w:rPr>
          <w:lang w:val="en-US"/>
        </w:rPr>
        <w:t xml:space="preserve"> </w:t>
      </w:r>
      <w:proofErr w:type="spellStart"/>
      <w:r w:rsidRPr="009B3915">
        <w:rPr>
          <w:lang w:val="en-US"/>
        </w:rPr>
        <w:t>Sopharma</w:t>
      </w:r>
      <w:proofErr w:type="spellEnd"/>
      <w:r w:rsidRPr="009B3915">
        <w:rPr>
          <w:lang w:val="en-US"/>
        </w:rPr>
        <w:t xml:space="preserve"> 5mg film-coated tablets</w:t>
      </w:r>
    </w:p>
    <w:p w14:paraId="0891B561" w14:textId="77777777" w:rsidR="009B3915" w:rsidRPr="009B3915" w:rsidRDefault="009B3915" w:rsidP="009B3915">
      <w:pPr>
        <w:rPr>
          <w:sz w:val="24"/>
          <w:szCs w:val="24"/>
          <w:lang w:val="en-US"/>
        </w:rPr>
      </w:pPr>
      <w:proofErr w:type="spellStart"/>
      <w:r w:rsidRPr="009B3915">
        <w:rPr>
          <w:lang w:val="en-US"/>
        </w:rPr>
        <w:t>Solifenacin</w:t>
      </w:r>
      <w:proofErr w:type="spellEnd"/>
      <w:r w:rsidRPr="009B3915">
        <w:rPr>
          <w:lang w:val="en-US"/>
        </w:rPr>
        <w:t xml:space="preserve"> </w:t>
      </w:r>
      <w:proofErr w:type="spellStart"/>
      <w:r w:rsidRPr="009B3915">
        <w:rPr>
          <w:lang w:val="en-US"/>
        </w:rPr>
        <w:t>Sopharma</w:t>
      </w:r>
      <w:proofErr w:type="spellEnd"/>
      <w:r w:rsidRPr="009B3915">
        <w:rPr>
          <w:lang w:val="en-US"/>
        </w:rPr>
        <w:t xml:space="preserve"> 10 mg film-coated tablets</w:t>
      </w:r>
    </w:p>
    <w:p w14:paraId="4EC1FEEA" w14:textId="77777777" w:rsidR="009B3915" w:rsidRPr="009B3915" w:rsidRDefault="009B3915" w:rsidP="009B3915"/>
    <w:p w14:paraId="0A368469" w14:textId="685A238A" w:rsidR="00C0049F" w:rsidRDefault="00DD466D" w:rsidP="009F1313">
      <w:pPr>
        <w:pStyle w:val="1"/>
      </w:pPr>
      <w:r>
        <w:t>2. КАЧЕСТВЕН И КОЛИЧЕСТВЕН СЪСТАВ</w:t>
      </w:r>
    </w:p>
    <w:p w14:paraId="65125659" w14:textId="0B877FC8" w:rsidR="009B3915" w:rsidRDefault="009B3915" w:rsidP="009B3915"/>
    <w:p w14:paraId="12C1CAEC" w14:textId="77777777" w:rsidR="009B3915" w:rsidRPr="009B3915" w:rsidRDefault="009B3915" w:rsidP="009B3915">
      <w:pPr>
        <w:rPr>
          <w:sz w:val="24"/>
          <w:szCs w:val="24"/>
        </w:rPr>
      </w:pPr>
      <w:r w:rsidRPr="009B3915">
        <w:rPr>
          <w:lang w:eastAsia="bg-BG"/>
        </w:rPr>
        <w:t xml:space="preserve">Всяка таблетка съдържа 5 </w:t>
      </w:r>
      <w:r w:rsidRPr="009B3915">
        <w:rPr>
          <w:lang w:val="en-US"/>
        </w:rPr>
        <w:t xml:space="preserve">mg </w:t>
      </w:r>
      <w:proofErr w:type="spellStart"/>
      <w:r w:rsidRPr="009B3915">
        <w:rPr>
          <w:lang w:eastAsia="bg-BG"/>
        </w:rPr>
        <w:t>солифенацинов</w:t>
      </w:r>
      <w:proofErr w:type="spellEnd"/>
      <w:r w:rsidRPr="009B3915">
        <w:rPr>
          <w:lang w:eastAsia="bg-BG"/>
        </w:rPr>
        <w:t xml:space="preserve"> </w:t>
      </w:r>
      <w:proofErr w:type="spellStart"/>
      <w:r w:rsidRPr="009B3915">
        <w:rPr>
          <w:lang w:eastAsia="bg-BG"/>
        </w:rPr>
        <w:t>сукцинат</w:t>
      </w:r>
      <w:proofErr w:type="spellEnd"/>
      <w:r w:rsidRPr="009B3915">
        <w:rPr>
          <w:lang w:eastAsia="bg-BG"/>
        </w:rPr>
        <w:t xml:space="preserve"> </w:t>
      </w:r>
      <w:r w:rsidRPr="009B3915">
        <w:rPr>
          <w:lang w:val="en-US"/>
        </w:rPr>
        <w:t>(</w:t>
      </w:r>
      <w:proofErr w:type="spellStart"/>
      <w:r w:rsidRPr="009B3915">
        <w:rPr>
          <w:lang w:val="en-US"/>
        </w:rPr>
        <w:t>solifenacin</w:t>
      </w:r>
      <w:proofErr w:type="spellEnd"/>
      <w:r w:rsidRPr="009B3915">
        <w:rPr>
          <w:lang w:val="en-US"/>
        </w:rPr>
        <w:t xml:space="preserve"> succinate), </w:t>
      </w:r>
      <w:r w:rsidRPr="009B3915">
        <w:rPr>
          <w:lang w:eastAsia="bg-BG"/>
        </w:rPr>
        <w:t>съответстващо на</w:t>
      </w:r>
    </w:p>
    <w:p w14:paraId="2F927C94" w14:textId="77777777" w:rsidR="009B3915" w:rsidRPr="009B3915" w:rsidRDefault="009B3915" w:rsidP="009B3915">
      <w:pPr>
        <w:rPr>
          <w:sz w:val="24"/>
          <w:szCs w:val="24"/>
        </w:rPr>
      </w:pPr>
      <w:r w:rsidRPr="009B3915">
        <w:rPr>
          <w:lang w:eastAsia="bg-BG"/>
        </w:rPr>
        <w:t xml:space="preserve">3,8 </w:t>
      </w:r>
      <w:r w:rsidRPr="009B3915">
        <w:rPr>
          <w:lang w:val="en-US"/>
        </w:rPr>
        <w:t xml:space="preserve">mg </w:t>
      </w:r>
      <w:proofErr w:type="spellStart"/>
      <w:r w:rsidRPr="009B3915">
        <w:rPr>
          <w:lang w:eastAsia="bg-BG"/>
        </w:rPr>
        <w:t>солифенацин</w:t>
      </w:r>
      <w:proofErr w:type="spellEnd"/>
      <w:r w:rsidRPr="009B3915">
        <w:rPr>
          <w:lang w:eastAsia="bg-BG"/>
        </w:rPr>
        <w:t xml:space="preserve"> </w:t>
      </w:r>
      <w:r w:rsidRPr="009B3915">
        <w:rPr>
          <w:lang w:val="en-US"/>
        </w:rPr>
        <w:t>(</w:t>
      </w:r>
      <w:proofErr w:type="spellStart"/>
      <w:r w:rsidRPr="009B3915">
        <w:rPr>
          <w:lang w:val="en-US"/>
        </w:rPr>
        <w:t>solifenacin</w:t>
      </w:r>
      <w:proofErr w:type="spellEnd"/>
      <w:r w:rsidRPr="009B3915">
        <w:rPr>
          <w:lang w:val="en-US"/>
        </w:rPr>
        <w:t>).</w:t>
      </w:r>
    </w:p>
    <w:p w14:paraId="21C20020" w14:textId="77777777" w:rsidR="009B3915" w:rsidRPr="009B3915" w:rsidRDefault="009B3915" w:rsidP="009B3915">
      <w:pPr>
        <w:rPr>
          <w:sz w:val="24"/>
          <w:szCs w:val="24"/>
        </w:rPr>
      </w:pPr>
      <w:r w:rsidRPr="009B3915">
        <w:rPr>
          <w:lang w:eastAsia="bg-BG"/>
        </w:rPr>
        <w:t xml:space="preserve">Помощно(и) вещество(а) с известно действие: лактоза </w:t>
      </w:r>
      <w:proofErr w:type="spellStart"/>
      <w:r w:rsidRPr="009B3915">
        <w:rPr>
          <w:lang w:eastAsia="bg-BG"/>
        </w:rPr>
        <w:t>монохидрат</w:t>
      </w:r>
      <w:proofErr w:type="spellEnd"/>
      <w:r w:rsidRPr="009B3915">
        <w:rPr>
          <w:lang w:eastAsia="bg-BG"/>
        </w:rPr>
        <w:t xml:space="preserve"> </w:t>
      </w:r>
      <w:r w:rsidRPr="009B3915">
        <w:rPr>
          <w:lang w:val="en-US"/>
        </w:rPr>
        <w:t>(54,25mg)</w:t>
      </w:r>
    </w:p>
    <w:p w14:paraId="2A8B949B" w14:textId="77777777" w:rsidR="009B3915" w:rsidRPr="009B3915" w:rsidRDefault="009B3915" w:rsidP="009B3915">
      <w:pPr>
        <w:rPr>
          <w:sz w:val="24"/>
          <w:szCs w:val="24"/>
        </w:rPr>
      </w:pPr>
      <w:r w:rsidRPr="009B3915">
        <w:rPr>
          <w:lang w:eastAsia="bg-BG"/>
        </w:rPr>
        <w:t xml:space="preserve">Всяка таблетка съдържа 10 </w:t>
      </w:r>
      <w:r w:rsidRPr="009B3915">
        <w:rPr>
          <w:lang w:val="en-US"/>
        </w:rPr>
        <w:t xml:space="preserve">mg </w:t>
      </w:r>
      <w:proofErr w:type="spellStart"/>
      <w:r w:rsidRPr="009B3915">
        <w:rPr>
          <w:lang w:eastAsia="bg-BG"/>
        </w:rPr>
        <w:t>солифенацинов</w:t>
      </w:r>
      <w:proofErr w:type="spellEnd"/>
      <w:r w:rsidRPr="009B3915">
        <w:rPr>
          <w:lang w:eastAsia="bg-BG"/>
        </w:rPr>
        <w:t xml:space="preserve"> </w:t>
      </w:r>
      <w:proofErr w:type="spellStart"/>
      <w:r w:rsidRPr="009B3915">
        <w:rPr>
          <w:lang w:eastAsia="bg-BG"/>
        </w:rPr>
        <w:t>сукцинат</w:t>
      </w:r>
      <w:proofErr w:type="spellEnd"/>
      <w:r w:rsidRPr="009B3915">
        <w:rPr>
          <w:lang w:eastAsia="bg-BG"/>
        </w:rPr>
        <w:t xml:space="preserve"> </w:t>
      </w:r>
      <w:r w:rsidRPr="009B3915">
        <w:rPr>
          <w:lang w:val="en-US"/>
        </w:rPr>
        <w:t>(</w:t>
      </w:r>
      <w:proofErr w:type="spellStart"/>
      <w:r w:rsidRPr="009B3915">
        <w:rPr>
          <w:lang w:val="en-US"/>
        </w:rPr>
        <w:t>solifenacin</w:t>
      </w:r>
      <w:proofErr w:type="spellEnd"/>
      <w:r w:rsidRPr="009B3915">
        <w:rPr>
          <w:lang w:val="en-US"/>
        </w:rPr>
        <w:t xml:space="preserve"> succinate) </w:t>
      </w:r>
      <w:r w:rsidRPr="009B3915">
        <w:rPr>
          <w:lang w:eastAsia="bg-BG"/>
        </w:rPr>
        <w:t>съответстващо на</w:t>
      </w:r>
    </w:p>
    <w:p w14:paraId="47D0D500" w14:textId="77777777" w:rsidR="009B3915" w:rsidRPr="009B3915" w:rsidRDefault="009B3915" w:rsidP="009B3915">
      <w:pPr>
        <w:rPr>
          <w:sz w:val="24"/>
          <w:szCs w:val="24"/>
        </w:rPr>
      </w:pPr>
      <w:r w:rsidRPr="009B3915">
        <w:rPr>
          <w:lang w:eastAsia="bg-BG"/>
        </w:rPr>
        <w:t xml:space="preserve">7,5 </w:t>
      </w:r>
      <w:r w:rsidRPr="009B3915">
        <w:rPr>
          <w:lang w:val="en-US"/>
        </w:rPr>
        <w:t xml:space="preserve">mg </w:t>
      </w:r>
      <w:proofErr w:type="spellStart"/>
      <w:r w:rsidRPr="009B3915">
        <w:rPr>
          <w:lang w:eastAsia="bg-BG"/>
        </w:rPr>
        <w:t>солифенацин</w:t>
      </w:r>
      <w:proofErr w:type="spellEnd"/>
      <w:r w:rsidRPr="009B3915">
        <w:rPr>
          <w:lang w:eastAsia="bg-BG"/>
        </w:rPr>
        <w:t xml:space="preserve"> </w:t>
      </w:r>
      <w:r w:rsidRPr="009B3915">
        <w:rPr>
          <w:lang w:val="en-US"/>
        </w:rPr>
        <w:t>(</w:t>
      </w:r>
      <w:proofErr w:type="spellStart"/>
      <w:r w:rsidRPr="009B3915">
        <w:rPr>
          <w:lang w:val="en-US"/>
        </w:rPr>
        <w:t>solifenacin</w:t>
      </w:r>
      <w:proofErr w:type="spellEnd"/>
      <w:r w:rsidRPr="009B3915">
        <w:rPr>
          <w:lang w:val="en-US"/>
        </w:rPr>
        <w:t>)</w:t>
      </w:r>
    </w:p>
    <w:p w14:paraId="683DE143" w14:textId="318840E9" w:rsidR="009B3915" w:rsidRPr="009B3915" w:rsidRDefault="009B3915" w:rsidP="009B3915">
      <w:r w:rsidRPr="009B3915">
        <w:rPr>
          <w:lang w:eastAsia="bg-BG"/>
        </w:rPr>
        <w:t xml:space="preserve">Помощно(и) вещество(а) с известно действие: лактоза </w:t>
      </w:r>
      <w:proofErr w:type="spellStart"/>
      <w:r w:rsidRPr="009B3915">
        <w:rPr>
          <w:lang w:eastAsia="bg-BG"/>
        </w:rPr>
        <w:t>монохидрат</w:t>
      </w:r>
      <w:proofErr w:type="spellEnd"/>
      <w:r w:rsidRPr="009B3915">
        <w:rPr>
          <w:lang w:eastAsia="bg-BG"/>
        </w:rPr>
        <w:t xml:space="preserve"> </w:t>
      </w:r>
      <w:r w:rsidRPr="009B3915">
        <w:rPr>
          <w:lang w:val="en-US"/>
        </w:rPr>
        <w:t>(108,5mg)</w:t>
      </w:r>
    </w:p>
    <w:p w14:paraId="614984C4" w14:textId="532EF14D" w:rsidR="008A6AF2" w:rsidRDefault="00DD466D" w:rsidP="002C50EE">
      <w:pPr>
        <w:pStyle w:val="1"/>
      </w:pPr>
      <w:r>
        <w:t>3. ЛЕКАРСТВЕНА ФОРМА</w:t>
      </w:r>
    </w:p>
    <w:p w14:paraId="4AEBFBD3" w14:textId="5A28BA39" w:rsidR="009B3915" w:rsidRDefault="009B3915" w:rsidP="009B3915"/>
    <w:p w14:paraId="3DD62241" w14:textId="77777777" w:rsidR="009B3915" w:rsidRPr="009B3915" w:rsidRDefault="009B3915" w:rsidP="009B3915">
      <w:pPr>
        <w:rPr>
          <w:sz w:val="24"/>
          <w:szCs w:val="24"/>
        </w:rPr>
      </w:pPr>
      <w:r w:rsidRPr="009B3915">
        <w:rPr>
          <w:lang w:eastAsia="bg-BG"/>
        </w:rPr>
        <w:t>Филмирана таблетка.</w:t>
      </w:r>
    </w:p>
    <w:p w14:paraId="5AECED7B" w14:textId="77777777" w:rsidR="009B3915" w:rsidRPr="009B3915" w:rsidRDefault="009B3915" w:rsidP="009B3915">
      <w:pPr>
        <w:rPr>
          <w:sz w:val="24"/>
          <w:szCs w:val="24"/>
        </w:rPr>
      </w:pPr>
      <w:r w:rsidRPr="009B3915">
        <w:rPr>
          <w:lang w:eastAsia="bg-BG"/>
        </w:rPr>
        <w:t xml:space="preserve">Всяка таблетка от 5 </w:t>
      </w:r>
      <w:r w:rsidRPr="009B3915">
        <w:rPr>
          <w:lang w:val="en-US"/>
        </w:rPr>
        <w:t xml:space="preserve">mg </w:t>
      </w:r>
      <w:r w:rsidRPr="009B3915">
        <w:rPr>
          <w:lang w:eastAsia="bg-BG"/>
        </w:rPr>
        <w:t xml:space="preserve">е кръгла, светло жълта, двойно изпъкнала филмирана таблетка с диаметър 5,8 </w:t>
      </w:r>
      <w:r w:rsidRPr="009B3915">
        <w:rPr>
          <w:lang w:val="en-US"/>
        </w:rPr>
        <w:t>mm.</w:t>
      </w:r>
    </w:p>
    <w:p w14:paraId="4E5F67AB" w14:textId="77777777" w:rsidR="009B3915" w:rsidRPr="009B3915" w:rsidRDefault="009B3915" w:rsidP="009B3915">
      <w:pPr>
        <w:rPr>
          <w:sz w:val="24"/>
          <w:szCs w:val="24"/>
        </w:rPr>
      </w:pPr>
      <w:r w:rsidRPr="009B3915">
        <w:rPr>
          <w:lang w:eastAsia="bg-BG"/>
        </w:rPr>
        <w:t>Всяка таблетка от 10</w:t>
      </w:r>
      <w:r w:rsidRPr="009B3915">
        <w:rPr>
          <w:lang w:val="en-US"/>
        </w:rPr>
        <w:t xml:space="preserve">mg </w:t>
      </w:r>
      <w:r w:rsidRPr="009B3915">
        <w:rPr>
          <w:lang w:eastAsia="bg-BG"/>
        </w:rPr>
        <w:t xml:space="preserve">е кръгла, светло розова, двойно изпъкнала филмирана таблетка, с разделителна линия от едната страна и гладка от другата с диаметър 7,9 </w:t>
      </w:r>
      <w:r w:rsidRPr="009B3915">
        <w:rPr>
          <w:lang w:val="en-US"/>
        </w:rPr>
        <w:t>mm.</w:t>
      </w:r>
    </w:p>
    <w:p w14:paraId="1A1E83D9" w14:textId="77777777" w:rsidR="009B3915" w:rsidRDefault="009B3915" w:rsidP="009B3915">
      <w:pPr>
        <w:rPr>
          <w:lang w:eastAsia="bg-BG"/>
        </w:rPr>
      </w:pPr>
    </w:p>
    <w:p w14:paraId="3D18D8BF" w14:textId="7D3FF81E" w:rsidR="009B3915" w:rsidRPr="009B3915" w:rsidRDefault="009B3915" w:rsidP="009B3915">
      <w:pPr>
        <w:rPr>
          <w:sz w:val="24"/>
          <w:szCs w:val="24"/>
        </w:rPr>
      </w:pPr>
      <w:r w:rsidRPr="009B3915">
        <w:rPr>
          <w:lang w:eastAsia="bg-BG"/>
        </w:rPr>
        <w:t>Таблетката може да бъде разделяна на две равни дози.</w:t>
      </w:r>
    </w:p>
    <w:p w14:paraId="677CFE1D" w14:textId="77777777" w:rsidR="009B3915" w:rsidRPr="009B3915" w:rsidRDefault="009B3915" w:rsidP="009B3915"/>
    <w:p w14:paraId="490FC2C4" w14:textId="32682B15" w:rsidR="002C50EE" w:rsidRDefault="002C50EE" w:rsidP="002C50EE">
      <w:pPr>
        <w:pStyle w:val="1"/>
      </w:pPr>
      <w:r>
        <w:t>4. КЛИНИЧНИ ДАННИ</w:t>
      </w:r>
    </w:p>
    <w:p w14:paraId="754A29C8" w14:textId="34304510" w:rsidR="00C0049F" w:rsidRDefault="002C50EE" w:rsidP="009F1313">
      <w:pPr>
        <w:pStyle w:val="2"/>
      </w:pPr>
      <w:r>
        <w:t>4.1. Терапевтични показания</w:t>
      </w:r>
    </w:p>
    <w:p w14:paraId="1A864943" w14:textId="1FB4D382" w:rsidR="00395555" w:rsidRDefault="00395555" w:rsidP="00395555"/>
    <w:p w14:paraId="7722D420" w14:textId="19E0DA5C" w:rsidR="009B3915" w:rsidRDefault="009B3915" w:rsidP="009B3915">
      <w:r>
        <w:t>Симптоматично лечение на инконтиненция на урина и/или увеличена честота на уриниране и позиви за уриниране, срещащи се при пациенти със синдром на свръхактивен пикочен мехур.</w:t>
      </w:r>
    </w:p>
    <w:p w14:paraId="6225AADA" w14:textId="77777777" w:rsidR="009B3915" w:rsidRPr="00395555" w:rsidRDefault="009B3915" w:rsidP="009B3915"/>
    <w:p w14:paraId="7C0CA5EB" w14:textId="0CD13C6F" w:rsidR="00C0049F" w:rsidRDefault="002C50EE" w:rsidP="009F1313">
      <w:pPr>
        <w:pStyle w:val="2"/>
      </w:pPr>
      <w:r>
        <w:t>4.2. Дозировка и начин на приложение</w:t>
      </w:r>
    </w:p>
    <w:p w14:paraId="52081B0E" w14:textId="1C02D2C9" w:rsidR="009B3915" w:rsidRDefault="009B3915" w:rsidP="009B3915"/>
    <w:p w14:paraId="021AD640" w14:textId="77777777" w:rsidR="009B3915" w:rsidRPr="009B3915" w:rsidRDefault="009B3915" w:rsidP="009B3915">
      <w:pPr>
        <w:pStyle w:val="3"/>
        <w:rPr>
          <w:rFonts w:eastAsia="Times New Roman"/>
          <w:u w:val="single"/>
        </w:rPr>
      </w:pPr>
      <w:r w:rsidRPr="009B3915">
        <w:rPr>
          <w:rFonts w:eastAsia="Times New Roman"/>
          <w:u w:val="single"/>
          <w:lang w:eastAsia="bg-BG"/>
        </w:rPr>
        <w:t>Дозировка</w:t>
      </w:r>
    </w:p>
    <w:p w14:paraId="5A99FFE2" w14:textId="77777777" w:rsidR="009B3915" w:rsidRPr="009B3915" w:rsidRDefault="009B3915" w:rsidP="009B3915">
      <w:pPr>
        <w:spacing w:line="240" w:lineRule="auto"/>
        <w:rPr>
          <w:rFonts w:eastAsia="Times New Roman" w:cs="Arial"/>
        </w:rPr>
      </w:pPr>
      <w:r w:rsidRPr="009B3915">
        <w:rPr>
          <w:rFonts w:eastAsia="Times New Roman" w:cs="Arial"/>
          <w:i/>
          <w:iCs/>
          <w:color w:val="000000"/>
          <w:lang w:eastAsia="bg-BG"/>
        </w:rPr>
        <w:t>Възрастни, включително в старческа възраст</w:t>
      </w:r>
    </w:p>
    <w:p w14:paraId="60FA6881"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lastRenderedPageBreak/>
        <w:t xml:space="preserve">Препоръчваната доза е 5 </w:t>
      </w:r>
      <w:r w:rsidRPr="009B3915">
        <w:rPr>
          <w:rFonts w:eastAsia="Times New Roman" w:cs="Arial"/>
          <w:color w:val="000000"/>
          <w:lang w:val="en-US"/>
        </w:rPr>
        <w:t xml:space="preserve">mg </w:t>
      </w:r>
      <w:proofErr w:type="spellStart"/>
      <w:r w:rsidRPr="009B3915">
        <w:rPr>
          <w:rFonts w:eastAsia="Times New Roman" w:cs="Arial"/>
          <w:color w:val="000000"/>
          <w:lang w:eastAsia="bg-BG"/>
        </w:rPr>
        <w:t>солифенацинов</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сукцинат</w:t>
      </w:r>
      <w:proofErr w:type="spellEnd"/>
      <w:r w:rsidRPr="009B3915">
        <w:rPr>
          <w:rFonts w:eastAsia="Times New Roman" w:cs="Arial"/>
          <w:color w:val="000000"/>
          <w:lang w:eastAsia="bg-BG"/>
        </w:rPr>
        <w:t xml:space="preserve"> веднъж дневно. При необходимост дозата може да се увеличи до 10 </w:t>
      </w:r>
      <w:r w:rsidRPr="009B3915">
        <w:rPr>
          <w:rFonts w:eastAsia="Times New Roman" w:cs="Arial"/>
          <w:color w:val="000000"/>
          <w:lang w:val="en-US"/>
        </w:rPr>
        <w:t xml:space="preserve">mg </w:t>
      </w:r>
      <w:proofErr w:type="spellStart"/>
      <w:r w:rsidRPr="009B3915">
        <w:rPr>
          <w:rFonts w:eastAsia="Times New Roman" w:cs="Arial"/>
          <w:color w:val="000000"/>
          <w:lang w:eastAsia="bg-BG"/>
        </w:rPr>
        <w:t>солифенацинов</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сукцинат</w:t>
      </w:r>
      <w:proofErr w:type="spellEnd"/>
      <w:r w:rsidRPr="009B3915">
        <w:rPr>
          <w:rFonts w:eastAsia="Times New Roman" w:cs="Arial"/>
          <w:color w:val="000000"/>
          <w:lang w:eastAsia="bg-BG"/>
        </w:rPr>
        <w:t xml:space="preserve"> веднъж дневно.</w:t>
      </w:r>
    </w:p>
    <w:p w14:paraId="018800D2" w14:textId="77777777" w:rsidR="009B3915" w:rsidRPr="009B3915" w:rsidRDefault="009B3915" w:rsidP="009B3915">
      <w:pPr>
        <w:spacing w:line="240" w:lineRule="auto"/>
        <w:rPr>
          <w:rFonts w:eastAsia="Times New Roman" w:cs="Arial"/>
        </w:rPr>
      </w:pPr>
      <w:r w:rsidRPr="009B3915">
        <w:rPr>
          <w:rFonts w:eastAsia="Times New Roman" w:cs="Arial"/>
          <w:i/>
          <w:iCs/>
          <w:color w:val="000000"/>
          <w:lang w:eastAsia="bg-BG"/>
        </w:rPr>
        <w:t>Педиатрична популация</w:t>
      </w:r>
    </w:p>
    <w:p w14:paraId="5994379A"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 xml:space="preserve">Безопасността и ефективността на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Софарма при деца не е установена. Поради това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Софарма не трябва да се прилага при деца.</w:t>
      </w:r>
    </w:p>
    <w:p w14:paraId="2625FB72" w14:textId="77777777" w:rsidR="009B3915" w:rsidRPr="009B3915" w:rsidRDefault="009B3915" w:rsidP="009B3915">
      <w:pPr>
        <w:spacing w:line="240" w:lineRule="auto"/>
        <w:rPr>
          <w:rFonts w:eastAsia="Times New Roman" w:cs="Arial"/>
        </w:rPr>
      </w:pPr>
      <w:r w:rsidRPr="009B3915">
        <w:rPr>
          <w:rFonts w:eastAsia="Times New Roman" w:cs="Arial"/>
          <w:i/>
          <w:iCs/>
          <w:color w:val="000000"/>
          <w:lang w:eastAsia="bg-BG"/>
        </w:rPr>
        <w:t>Пациенти с бъбречна недостатъчност</w:t>
      </w:r>
    </w:p>
    <w:p w14:paraId="1A2C03F5"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При пациенти с лека до умерена бъбречна недостатъчност (</w:t>
      </w:r>
      <w:proofErr w:type="spellStart"/>
      <w:r w:rsidRPr="009B3915">
        <w:rPr>
          <w:rFonts w:eastAsia="Times New Roman" w:cs="Arial"/>
          <w:color w:val="000000"/>
          <w:lang w:eastAsia="bg-BG"/>
        </w:rPr>
        <w:t>креатенинов</w:t>
      </w:r>
      <w:proofErr w:type="spellEnd"/>
      <w:r w:rsidRPr="009B3915">
        <w:rPr>
          <w:rFonts w:eastAsia="Times New Roman" w:cs="Arial"/>
          <w:color w:val="000000"/>
          <w:lang w:eastAsia="bg-BG"/>
        </w:rPr>
        <w:t xml:space="preserve"> клирънс </w:t>
      </w:r>
      <w:r w:rsidRPr="009B3915">
        <w:rPr>
          <w:rFonts w:eastAsia="Times New Roman" w:cs="Arial"/>
          <w:color w:val="000000"/>
          <w:lang w:val="en-US"/>
        </w:rPr>
        <w:t xml:space="preserve">&gt;30ml/min) </w:t>
      </w:r>
      <w:r w:rsidRPr="009B3915">
        <w:rPr>
          <w:rFonts w:eastAsia="Times New Roman" w:cs="Arial"/>
          <w:color w:val="000000"/>
          <w:lang w:eastAsia="bg-BG"/>
        </w:rPr>
        <w:t>не се налага адаптиране на дозата. При пациенти с тежка бъбречна недостатъчност (</w:t>
      </w:r>
      <w:proofErr w:type="spellStart"/>
      <w:r w:rsidRPr="009B3915">
        <w:rPr>
          <w:rFonts w:eastAsia="Times New Roman" w:cs="Arial"/>
          <w:color w:val="000000"/>
          <w:lang w:eastAsia="bg-BG"/>
        </w:rPr>
        <w:t>креатенинов</w:t>
      </w:r>
      <w:proofErr w:type="spellEnd"/>
      <w:r w:rsidRPr="009B3915">
        <w:rPr>
          <w:rFonts w:eastAsia="Times New Roman" w:cs="Arial"/>
          <w:color w:val="000000"/>
          <w:lang w:eastAsia="bg-BG"/>
        </w:rPr>
        <w:t xml:space="preserve"> клирънс </w:t>
      </w:r>
      <w:r w:rsidRPr="009B3915">
        <w:rPr>
          <w:rFonts w:eastAsia="Times New Roman" w:cs="Arial"/>
          <w:color w:val="000000"/>
          <w:lang w:val="en-US"/>
        </w:rPr>
        <w:t xml:space="preserve">≤30ml/min) </w:t>
      </w:r>
      <w:r w:rsidRPr="009B3915">
        <w:rPr>
          <w:rFonts w:eastAsia="Times New Roman" w:cs="Arial"/>
          <w:color w:val="000000"/>
          <w:lang w:eastAsia="bg-BG"/>
        </w:rPr>
        <w:t xml:space="preserve">трябва да се лекува внимателно и дневната доза да не надвишава </w:t>
      </w:r>
      <w:r w:rsidRPr="009B3915">
        <w:rPr>
          <w:rFonts w:eastAsia="Times New Roman" w:cs="Arial"/>
          <w:color w:val="000000"/>
          <w:lang w:val="en-US"/>
        </w:rPr>
        <w:t xml:space="preserve">5mg </w:t>
      </w:r>
      <w:r w:rsidRPr="009B3915">
        <w:rPr>
          <w:rFonts w:eastAsia="Times New Roman" w:cs="Arial"/>
          <w:color w:val="000000"/>
          <w:lang w:eastAsia="bg-BG"/>
        </w:rPr>
        <w:t>(виж точка 5.2)</w:t>
      </w:r>
    </w:p>
    <w:p w14:paraId="335D35AC" w14:textId="25A082AE" w:rsidR="009B3915" w:rsidRPr="009B3915" w:rsidRDefault="009B3915" w:rsidP="009B3915">
      <w:pPr>
        <w:rPr>
          <w:rFonts w:cs="Arial"/>
        </w:rPr>
      </w:pPr>
    </w:p>
    <w:p w14:paraId="169E2323" w14:textId="77777777" w:rsidR="009B3915" w:rsidRPr="009B3915" w:rsidRDefault="009B3915" w:rsidP="009B3915">
      <w:pPr>
        <w:spacing w:line="240" w:lineRule="auto"/>
        <w:rPr>
          <w:rFonts w:eastAsia="Times New Roman" w:cs="Arial"/>
        </w:rPr>
      </w:pPr>
      <w:r w:rsidRPr="009B3915">
        <w:rPr>
          <w:rFonts w:eastAsia="Times New Roman" w:cs="Arial"/>
          <w:i/>
          <w:iCs/>
          <w:color w:val="000000"/>
          <w:lang w:eastAsia="bg-BG"/>
        </w:rPr>
        <w:t>Пациенти с чернодробна недостатъчност</w:t>
      </w:r>
    </w:p>
    <w:p w14:paraId="4BB6BF72"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 xml:space="preserve">При пациенти с лека степен на чернодробна недостатъчност не се налага адаптиране на дозата. При пациенти с умерена чернодробна недостатъчност (точки по </w:t>
      </w:r>
      <w:r w:rsidRPr="009B3915">
        <w:rPr>
          <w:rFonts w:eastAsia="Times New Roman" w:cs="Arial"/>
          <w:color w:val="000000"/>
          <w:lang w:val="en-US"/>
        </w:rPr>
        <w:t xml:space="preserve">Child- Pugh </w:t>
      </w:r>
      <w:r w:rsidRPr="009B3915">
        <w:rPr>
          <w:rFonts w:eastAsia="Times New Roman" w:cs="Arial"/>
          <w:color w:val="000000"/>
          <w:lang w:eastAsia="bg-BG"/>
        </w:rPr>
        <w:t xml:space="preserve">7 до 9) лечението трябва да се провежда предпазливо и дневната доза да не надвишава 5 </w:t>
      </w:r>
      <w:r w:rsidRPr="009B3915">
        <w:rPr>
          <w:rFonts w:eastAsia="Times New Roman" w:cs="Arial"/>
          <w:color w:val="000000"/>
          <w:lang w:val="en-US"/>
        </w:rPr>
        <w:t xml:space="preserve">mg </w:t>
      </w:r>
      <w:r w:rsidRPr="009B3915">
        <w:rPr>
          <w:rFonts w:eastAsia="Times New Roman" w:cs="Arial"/>
          <w:color w:val="000000"/>
          <w:lang w:eastAsia="bg-BG"/>
        </w:rPr>
        <w:t xml:space="preserve">(виж точка 5.2) </w:t>
      </w:r>
      <w:r w:rsidRPr="009B3915">
        <w:rPr>
          <w:rFonts w:eastAsia="Times New Roman" w:cs="Arial"/>
          <w:i/>
          <w:iCs/>
          <w:color w:val="000000"/>
          <w:lang w:eastAsia="bg-BG"/>
        </w:rPr>
        <w:t xml:space="preserve">Пациенти лекувани с мощни инхибитори на </w:t>
      </w:r>
      <w:proofErr w:type="spellStart"/>
      <w:r w:rsidRPr="009B3915">
        <w:rPr>
          <w:rFonts w:eastAsia="Times New Roman" w:cs="Arial"/>
          <w:i/>
          <w:iCs/>
          <w:color w:val="000000"/>
          <w:lang w:eastAsia="bg-BG"/>
        </w:rPr>
        <w:t>цитохром</w:t>
      </w:r>
      <w:proofErr w:type="spellEnd"/>
      <w:r w:rsidRPr="009B3915">
        <w:rPr>
          <w:rFonts w:eastAsia="Times New Roman" w:cs="Arial"/>
          <w:i/>
          <w:iCs/>
          <w:color w:val="000000"/>
          <w:lang w:eastAsia="bg-BG"/>
        </w:rPr>
        <w:t xml:space="preserve"> Р450 ЗА4</w:t>
      </w:r>
    </w:p>
    <w:p w14:paraId="3CDB4810"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 xml:space="preserve">Максималната доза на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Софарма трябва да бъде ограничена до 5 </w:t>
      </w:r>
      <w:r w:rsidRPr="009B3915">
        <w:rPr>
          <w:rFonts w:eastAsia="Times New Roman" w:cs="Arial"/>
          <w:color w:val="000000"/>
          <w:lang w:val="en-US"/>
        </w:rPr>
        <w:t xml:space="preserve">mg, </w:t>
      </w:r>
      <w:r w:rsidRPr="009B3915">
        <w:rPr>
          <w:rFonts w:eastAsia="Times New Roman" w:cs="Arial"/>
          <w:color w:val="000000"/>
          <w:lang w:eastAsia="bg-BG"/>
        </w:rPr>
        <w:t xml:space="preserve">когато пациентите се лекуват едновременно с </w:t>
      </w:r>
      <w:proofErr w:type="spellStart"/>
      <w:r w:rsidRPr="009B3915">
        <w:rPr>
          <w:rFonts w:eastAsia="Times New Roman" w:cs="Arial"/>
          <w:color w:val="000000"/>
          <w:lang w:eastAsia="bg-BG"/>
        </w:rPr>
        <w:t>кетоконазол</w:t>
      </w:r>
      <w:proofErr w:type="spellEnd"/>
      <w:r w:rsidRPr="009B3915">
        <w:rPr>
          <w:rFonts w:eastAsia="Times New Roman" w:cs="Arial"/>
          <w:color w:val="000000"/>
          <w:lang w:eastAsia="bg-BG"/>
        </w:rPr>
        <w:t xml:space="preserve"> или други мощни инхибитори на </w:t>
      </w:r>
      <w:r w:rsidRPr="009B3915">
        <w:rPr>
          <w:rFonts w:eastAsia="Times New Roman" w:cs="Arial"/>
          <w:color w:val="000000"/>
          <w:lang w:val="en-US"/>
        </w:rPr>
        <w:t xml:space="preserve">CYP3A4 </w:t>
      </w:r>
      <w:r w:rsidRPr="009B3915">
        <w:rPr>
          <w:rFonts w:eastAsia="Times New Roman" w:cs="Arial"/>
          <w:color w:val="000000"/>
          <w:lang w:eastAsia="bg-BG"/>
        </w:rPr>
        <w:t xml:space="preserve">в терапевтични дози като: ритонавир, </w:t>
      </w:r>
      <w:proofErr w:type="spellStart"/>
      <w:r w:rsidRPr="009B3915">
        <w:rPr>
          <w:rFonts w:eastAsia="Times New Roman" w:cs="Arial"/>
          <w:color w:val="000000"/>
          <w:lang w:eastAsia="bg-BG"/>
        </w:rPr>
        <w:t>нелдинавир</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итраконазол</w:t>
      </w:r>
      <w:proofErr w:type="spellEnd"/>
      <w:r w:rsidRPr="009B3915">
        <w:rPr>
          <w:rFonts w:eastAsia="Times New Roman" w:cs="Arial"/>
          <w:color w:val="000000"/>
          <w:lang w:eastAsia="bg-BG"/>
        </w:rPr>
        <w:t xml:space="preserve"> (виж точка 4.5)</w:t>
      </w:r>
    </w:p>
    <w:p w14:paraId="7D52FAA5" w14:textId="77777777" w:rsidR="009B3915" w:rsidRDefault="009B3915" w:rsidP="009B3915">
      <w:pPr>
        <w:spacing w:line="240" w:lineRule="auto"/>
        <w:rPr>
          <w:rFonts w:eastAsia="Times New Roman" w:cs="Arial"/>
          <w:b/>
          <w:bCs/>
          <w:color w:val="000000"/>
          <w:lang w:eastAsia="bg-BG"/>
        </w:rPr>
      </w:pPr>
    </w:p>
    <w:p w14:paraId="43686AE0" w14:textId="7DCEB06B" w:rsidR="009B3915" w:rsidRPr="009B3915" w:rsidRDefault="009B3915" w:rsidP="009B3915">
      <w:pPr>
        <w:pStyle w:val="3"/>
        <w:rPr>
          <w:rFonts w:eastAsia="Times New Roman"/>
          <w:u w:val="single"/>
        </w:rPr>
      </w:pPr>
      <w:r w:rsidRPr="009B3915">
        <w:rPr>
          <w:rFonts w:eastAsia="Times New Roman"/>
          <w:u w:val="single"/>
          <w:lang w:eastAsia="bg-BG"/>
        </w:rPr>
        <w:t>Начин на приложение</w:t>
      </w:r>
    </w:p>
    <w:p w14:paraId="17D8DDC8" w14:textId="77777777" w:rsidR="009B3915" w:rsidRPr="009B3915" w:rsidRDefault="009B3915" w:rsidP="009B3915">
      <w:pPr>
        <w:spacing w:line="240" w:lineRule="auto"/>
        <w:rPr>
          <w:rFonts w:eastAsia="Times New Roman" w:cs="Arial"/>
          <w:lang w:val="en-US"/>
        </w:rPr>
      </w:pP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Софарма се приема перорално като таблетките се поглъщат цели с течност. Може да се приема с или без храна.</w:t>
      </w:r>
    </w:p>
    <w:p w14:paraId="19C21B4A" w14:textId="77777777" w:rsidR="009B3915" w:rsidRPr="009B3915" w:rsidRDefault="009B3915" w:rsidP="009B3915"/>
    <w:p w14:paraId="62B13D0B" w14:textId="73667CDB" w:rsidR="00395555" w:rsidRDefault="002C50EE" w:rsidP="008A6AF2">
      <w:pPr>
        <w:pStyle w:val="2"/>
      </w:pPr>
      <w:r>
        <w:t>4.3. Противопоказания</w:t>
      </w:r>
    </w:p>
    <w:p w14:paraId="3DD0D392" w14:textId="0F51652E" w:rsidR="009B3915" w:rsidRDefault="009B3915" w:rsidP="009B3915"/>
    <w:p w14:paraId="3577FE34" w14:textId="77777777" w:rsidR="009B3915" w:rsidRPr="009B3915" w:rsidRDefault="009B3915" w:rsidP="009B3915">
      <w:pPr>
        <w:spacing w:line="240" w:lineRule="auto"/>
        <w:rPr>
          <w:rFonts w:eastAsia="Times New Roman" w:cs="Arial"/>
        </w:rPr>
      </w:pP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е противопоказан при пациенти със задръжка на урина, с тежки стомашно - чревни оплаквания (включително токсичен </w:t>
      </w:r>
      <w:proofErr w:type="spellStart"/>
      <w:r w:rsidRPr="009B3915">
        <w:rPr>
          <w:rFonts w:eastAsia="Times New Roman" w:cs="Arial"/>
          <w:color w:val="000000"/>
          <w:lang w:eastAsia="bg-BG"/>
        </w:rPr>
        <w:t>мегаколон</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миастения</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гравис</w:t>
      </w:r>
      <w:proofErr w:type="spellEnd"/>
      <w:r w:rsidRPr="009B3915">
        <w:rPr>
          <w:rFonts w:eastAsia="Times New Roman" w:cs="Arial"/>
          <w:color w:val="000000"/>
          <w:lang w:eastAsia="bg-BG"/>
        </w:rPr>
        <w:t xml:space="preserve"> или </w:t>
      </w:r>
      <w:proofErr w:type="spellStart"/>
      <w:r w:rsidRPr="009B3915">
        <w:rPr>
          <w:rFonts w:eastAsia="Times New Roman" w:cs="Arial"/>
          <w:color w:val="000000"/>
          <w:lang w:eastAsia="bg-BG"/>
        </w:rPr>
        <w:t>тясноъгълна</w:t>
      </w:r>
      <w:proofErr w:type="spellEnd"/>
      <w:r w:rsidRPr="009B3915">
        <w:rPr>
          <w:rFonts w:eastAsia="Times New Roman" w:cs="Arial"/>
          <w:color w:val="000000"/>
          <w:lang w:eastAsia="bg-BG"/>
        </w:rPr>
        <w:t xml:space="preserve"> глаукома и при пациенти с риск за следните състояния:</w:t>
      </w:r>
    </w:p>
    <w:p w14:paraId="575FD752" w14:textId="328985DF" w:rsidR="009B3915" w:rsidRPr="009B3915" w:rsidRDefault="009B3915" w:rsidP="009B3915">
      <w:pPr>
        <w:pStyle w:val="a3"/>
        <w:numPr>
          <w:ilvl w:val="0"/>
          <w:numId w:val="32"/>
        </w:numPr>
        <w:spacing w:line="240" w:lineRule="auto"/>
        <w:rPr>
          <w:rFonts w:eastAsia="Times New Roman" w:cs="Arial"/>
        </w:rPr>
      </w:pPr>
      <w:r w:rsidRPr="009B3915">
        <w:rPr>
          <w:rFonts w:eastAsia="Times New Roman" w:cs="Arial"/>
          <w:color w:val="000000"/>
          <w:lang w:eastAsia="bg-BG"/>
        </w:rPr>
        <w:t>Пациенти, свръхчувствителни към активното вещество или което и да е от помощните вещества, изброени в точка 6.1</w:t>
      </w:r>
    </w:p>
    <w:p w14:paraId="12D45B1B" w14:textId="7E1D20B0" w:rsidR="009B3915" w:rsidRPr="009B3915" w:rsidRDefault="009B3915" w:rsidP="009B3915">
      <w:pPr>
        <w:pStyle w:val="a3"/>
        <w:numPr>
          <w:ilvl w:val="0"/>
          <w:numId w:val="32"/>
        </w:numPr>
      </w:pPr>
      <w:r w:rsidRPr="009B3915">
        <w:rPr>
          <w:lang w:eastAsia="bg-BG"/>
        </w:rPr>
        <w:t>Пациенти подложени на хемодиализа( виж точка 5.2)</w:t>
      </w:r>
    </w:p>
    <w:p w14:paraId="77B7C703" w14:textId="374C092C" w:rsidR="009B3915" w:rsidRPr="009B3915" w:rsidRDefault="009B3915" w:rsidP="009B3915">
      <w:pPr>
        <w:pStyle w:val="a3"/>
        <w:numPr>
          <w:ilvl w:val="0"/>
          <w:numId w:val="32"/>
        </w:numPr>
      </w:pPr>
      <w:r w:rsidRPr="009B3915">
        <w:rPr>
          <w:lang w:eastAsia="bg-BG"/>
        </w:rPr>
        <w:t>Пациенти с тежко чернодробно увреждане (виж точка 5.2)</w:t>
      </w:r>
    </w:p>
    <w:p w14:paraId="40A340B8" w14:textId="74C58C44" w:rsidR="009B3915" w:rsidRDefault="009B3915" w:rsidP="009B3915">
      <w:pPr>
        <w:pStyle w:val="a3"/>
        <w:numPr>
          <w:ilvl w:val="0"/>
          <w:numId w:val="32"/>
        </w:numPr>
      </w:pPr>
      <w:r w:rsidRPr="009B3915">
        <w:rPr>
          <w:lang w:eastAsia="bg-BG"/>
        </w:rPr>
        <w:t xml:space="preserve">Пациенти с тежка бъбречна или умерена чернодробна недостатъчност и пациенти, които в момента се лекуват с мощен инхибитор на </w:t>
      </w:r>
      <w:r w:rsidRPr="009B3915">
        <w:rPr>
          <w:lang w:val="en-US"/>
        </w:rPr>
        <w:t xml:space="preserve">CYP3A4, </w:t>
      </w:r>
      <w:r w:rsidRPr="009B3915">
        <w:rPr>
          <w:lang w:eastAsia="bg-BG"/>
        </w:rPr>
        <w:t xml:space="preserve">например </w:t>
      </w:r>
      <w:proofErr w:type="spellStart"/>
      <w:r w:rsidRPr="009B3915">
        <w:rPr>
          <w:lang w:eastAsia="bg-BG"/>
        </w:rPr>
        <w:t>кетоконазол</w:t>
      </w:r>
      <w:proofErr w:type="spellEnd"/>
      <w:r w:rsidRPr="009B3915">
        <w:rPr>
          <w:lang w:eastAsia="bg-BG"/>
        </w:rPr>
        <w:t xml:space="preserve"> (виж точка </w:t>
      </w:r>
      <w:r w:rsidRPr="009B3915">
        <w:t>4.5)</w:t>
      </w:r>
    </w:p>
    <w:p w14:paraId="59A2FE5E" w14:textId="77777777" w:rsidR="009B3915" w:rsidRPr="009B3915" w:rsidRDefault="009B3915" w:rsidP="009B3915"/>
    <w:p w14:paraId="5A4AC413" w14:textId="5FF5DE8E" w:rsidR="00395555" w:rsidRDefault="002C50EE" w:rsidP="008A6AF2">
      <w:pPr>
        <w:pStyle w:val="2"/>
      </w:pPr>
      <w:r>
        <w:t>4.4. Специални предупреждения и предпазни мерки при употреба</w:t>
      </w:r>
    </w:p>
    <w:p w14:paraId="7667CEB1" w14:textId="077145BB" w:rsidR="009B3915" w:rsidRDefault="009B3915" w:rsidP="009B3915"/>
    <w:p w14:paraId="4D27ADB7"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 xml:space="preserve">Преди да започне лечението със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Софарма трябва да се установи дали честото уриниране не се дължи на други фактори (сърдечна недостатъчност или бъбречно заболяване). Ако има инфекция на пикочните пътища, трябва да започне подходящо антибактериално лечение.</w:t>
      </w:r>
    </w:p>
    <w:p w14:paraId="0640113D" w14:textId="77777777" w:rsidR="009B3915" w:rsidRPr="009B3915" w:rsidRDefault="009B3915" w:rsidP="009B3915">
      <w:pPr>
        <w:spacing w:line="240" w:lineRule="auto"/>
        <w:rPr>
          <w:rFonts w:eastAsia="Times New Roman" w:cs="Arial"/>
        </w:rPr>
      </w:pP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Софарма трябва да се използва с повишено внимание при пациенти с:</w:t>
      </w:r>
    </w:p>
    <w:p w14:paraId="62E1F6C6" w14:textId="4DF3B829" w:rsidR="009B3915" w:rsidRPr="009B3915" w:rsidRDefault="009B3915" w:rsidP="009B3915">
      <w:pPr>
        <w:pStyle w:val="a3"/>
        <w:numPr>
          <w:ilvl w:val="0"/>
          <w:numId w:val="32"/>
        </w:numPr>
        <w:spacing w:line="240" w:lineRule="auto"/>
        <w:rPr>
          <w:rFonts w:eastAsia="Times New Roman" w:cs="Arial"/>
        </w:rPr>
      </w:pPr>
      <w:r w:rsidRPr="009B3915">
        <w:rPr>
          <w:rFonts w:eastAsia="Times New Roman" w:cs="Arial"/>
          <w:color w:val="000000"/>
          <w:lang w:eastAsia="bg-BG"/>
        </w:rPr>
        <w:t>клинично значима обструкция на оттока на пикочния мехур с риск за задръжка на урина</w:t>
      </w:r>
    </w:p>
    <w:p w14:paraId="11C4EAD1" w14:textId="41DAF0D9" w:rsidR="009B3915" w:rsidRPr="009B3915" w:rsidRDefault="009B3915" w:rsidP="009B3915">
      <w:pPr>
        <w:pStyle w:val="a3"/>
        <w:numPr>
          <w:ilvl w:val="0"/>
          <w:numId w:val="32"/>
        </w:numPr>
        <w:spacing w:line="240" w:lineRule="auto"/>
        <w:rPr>
          <w:rFonts w:eastAsia="Times New Roman" w:cs="Arial"/>
        </w:rPr>
      </w:pPr>
      <w:proofErr w:type="spellStart"/>
      <w:r w:rsidRPr="009B3915">
        <w:rPr>
          <w:rFonts w:eastAsia="Times New Roman" w:cs="Arial"/>
          <w:color w:val="000000"/>
          <w:lang w:eastAsia="bg-BG"/>
        </w:rPr>
        <w:t>обструкгивни</w:t>
      </w:r>
      <w:proofErr w:type="spellEnd"/>
      <w:r w:rsidRPr="009B3915">
        <w:rPr>
          <w:rFonts w:eastAsia="Times New Roman" w:cs="Arial"/>
          <w:color w:val="000000"/>
          <w:lang w:eastAsia="bg-BG"/>
        </w:rPr>
        <w:t xml:space="preserve"> нарушения на стомашно-чревния тракт</w:t>
      </w:r>
    </w:p>
    <w:p w14:paraId="4A710215" w14:textId="2A96C5F4" w:rsidR="009B3915" w:rsidRPr="009B3915" w:rsidRDefault="009B3915" w:rsidP="009B3915">
      <w:pPr>
        <w:pStyle w:val="a3"/>
        <w:numPr>
          <w:ilvl w:val="0"/>
          <w:numId w:val="32"/>
        </w:numPr>
        <w:spacing w:line="240" w:lineRule="auto"/>
        <w:rPr>
          <w:rFonts w:eastAsia="Times New Roman" w:cs="Arial"/>
        </w:rPr>
      </w:pPr>
      <w:r w:rsidRPr="009B3915">
        <w:rPr>
          <w:rFonts w:eastAsia="Times New Roman" w:cs="Arial"/>
          <w:color w:val="000000"/>
          <w:lang w:eastAsia="bg-BG"/>
        </w:rPr>
        <w:t xml:space="preserve">риск от намален стомашно-чревен </w:t>
      </w:r>
      <w:proofErr w:type="spellStart"/>
      <w:r w:rsidRPr="009B3915">
        <w:rPr>
          <w:rFonts w:eastAsia="Times New Roman" w:cs="Arial"/>
          <w:color w:val="000000"/>
          <w:lang w:eastAsia="bg-BG"/>
        </w:rPr>
        <w:t>мотилитет</w:t>
      </w:r>
      <w:proofErr w:type="spellEnd"/>
    </w:p>
    <w:p w14:paraId="6C69B545" w14:textId="118E42EB" w:rsidR="009B3915" w:rsidRPr="009B3915" w:rsidRDefault="009B3915" w:rsidP="009B3915">
      <w:pPr>
        <w:pStyle w:val="a3"/>
        <w:numPr>
          <w:ilvl w:val="0"/>
          <w:numId w:val="32"/>
        </w:numPr>
        <w:spacing w:line="240" w:lineRule="auto"/>
        <w:rPr>
          <w:rFonts w:eastAsia="Times New Roman" w:cs="Arial"/>
        </w:rPr>
      </w:pPr>
      <w:r w:rsidRPr="009B3915">
        <w:rPr>
          <w:rFonts w:eastAsia="Times New Roman" w:cs="Arial"/>
          <w:color w:val="000000"/>
          <w:lang w:eastAsia="bg-BG"/>
        </w:rPr>
        <w:lastRenderedPageBreak/>
        <w:t>тежка бъбречна недостатъчност (</w:t>
      </w:r>
      <w:proofErr w:type="spellStart"/>
      <w:r w:rsidRPr="009B3915">
        <w:rPr>
          <w:rFonts w:eastAsia="Times New Roman" w:cs="Arial"/>
          <w:color w:val="000000"/>
          <w:lang w:eastAsia="bg-BG"/>
        </w:rPr>
        <w:t>креатининов</w:t>
      </w:r>
      <w:proofErr w:type="spellEnd"/>
      <w:r w:rsidRPr="009B3915">
        <w:rPr>
          <w:rFonts w:eastAsia="Times New Roman" w:cs="Arial"/>
          <w:color w:val="000000"/>
          <w:lang w:eastAsia="bg-BG"/>
        </w:rPr>
        <w:t xml:space="preserve"> клирънс </w:t>
      </w:r>
      <w:r w:rsidRPr="009B3915">
        <w:rPr>
          <w:rFonts w:eastAsia="Times New Roman" w:cs="Arial"/>
          <w:color w:val="000000"/>
          <w:lang w:val="en-US"/>
        </w:rPr>
        <w:t>≤</w:t>
      </w:r>
      <w:r w:rsidRPr="009B3915">
        <w:rPr>
          <w:rFonts w:eastAsia="Times New Roman" w:cs="Arial"/>
          <w:color w:val="000000"/>
          <w:lang w:eastAsia="bg-BG"/>
        </w:rPr>
        <w:t xml:space="preserve">30 </w:t>
      </w:r>
      <w:r w:rsidRPr="009B3915">
        <w:rPr>
          <w:rFonts w:eastAsia="Times New Roman" w:cs="Arial"/>
          <w:color w:val="000000"/>
          <w:lang w:val="en-US"/>
        </w:rPr>
        <w:t xml:space="preserve">ml/min; </w:t>
      </w:r>
      <w:r w:rsidRPr="009B3915">
        <w:rPr>
          <w:rFonts w:eastAsia="Times New Roman" w:cs="Arial"/>
          <w:color w:val="000000"/>
          <w:lang w:eastAsia="bg-BG"/>
        </w:rPr>
        <w:t xml:space="preserve">виж точка 4.2 и 5.2), като дозата за тези пациенти не трябва да надвишава 5 </w:t>
      </w:r>
      <w:r w:rsidRPr="009B3915">
        <w:rPr>
          <w:rFonts w:eastAsia="Times New Roman" w:cs="Arial"/>
          <w:color w:val="000000"/>
          <w:lang w:val="en-US"/>
        </w:rPr>
        <w:t>mg</w:t>
      </w:r>
    </w:p>
    <w:p w14:paraId="2E5C0982" w14:textId="1E7AA1B1" w:rsidR="009B3915" w:rsidRPr="009B3915" w:rsidRDefault="009B3915" w:rsidP="009B3915">
      <w:pPr>
        <w:pStyle w:val="a3"/>
        <w:numPr>
          <w:ilvl w:val="0"/>
          <w:numId w:val="32"/>
        </w:numPr>
        <w:spacing w:line="240" w:lineRule="auto"/>
        <w:rPr>
          <w:rFonts w:eastAsia="Times New Roman" w:cs="Arial"/>
        </w:rPr>
      </w:pPr>
      <w:r w:rsidRPr="009B3915">
        <w:rPr>
          <w:rFonts w:eastAsia="Times New Roman" w:cs="Arial"/>
          <w:color w:val="000000"/>
          <w:lang w:eastAsia="bg-BG"/>
        </w:rPr>
        <w:t xml:space="preserve">умерена чернодробна недостатъчност (точки по </w:t>
      </w:r>
      <w:r w:rsidRPr="009B3915">
        <w:rPr>
          <w:rFonts w:eastAsia="Times New Roman" w:cs="Arial"/>
          <w:color w:val="000000"/>
          <w:lang w:val="en-US"/>
        </w:rPr>
        <w:t xml:space="preserve">Child-Pugh </w:t>
      </w:r>
      <w:r w:rsidRPr="009B3915">
        <w:rPr>
          <w:rFonts w:eastAsia="Times New Roman" w:cs="Arial"/>
          <w:color w:val="000000"/>
          <w:lang w:eastAsia="bg-BG"/>
        </w:rPr>
        <w:t xml:space="preserve">7 до 9; виж точка 4.2 и 5.2) и дозата не трябва да надвишава 5 </w:t>
      </w:r>
      <w:r w:rsidRPr="009B3915">
        <w:rPr>
          <w:rFonts w:eastAsia="Times New Roman" w:cs="Arial"/>
          <w:color w:val="000000"/>
          <w:lang w:val="en-US"/>
        </w:rPr>
        <w:t>mg</w:t>
      </w:r>
    </w:p>
    <w:p w14:paraId="1BE59A5E" w14:textId="228C0E3F" w:rsidR="009B3915" w:rsidRPr="009B3915" w:rsidRDefault="009B3915" w:rsidP="009B3915">
      <w:pPr>
        <w:pStyle w:val="a3"/>
        <w:numPr>
          <w:ilvl w:val="0"/>
          <w:numId w:val="32"/>
        </w:numPr>
        <w:spacing w:line="240" w:lineRule="auto"/>
        <w:rPr>
          <w:rFonts w:eastAsia="Times New Roman" w:cs="Arial"/>
        </w:rPr>
      </w:pPr>
      <w:r w:rsidRPr="009B3915">
        <w:rPr>
          <w:rFonts w:eastAsia="Times New Roman" w:cs="Arial"/>
          <w:color w:val="000000"/>
          <w:lang w:eastAsia="bg-BG"/>
        </w:rPr>
        <w:t xml:space="preserve">едновременна употреба на мощен </w:t>
      </w:r>
      <w:r w:rsidRPr="009B3915">
        <w:rPr>
          <w:rFonts w:eastAsia="Times New Roman" w:cs="Arial"/>
          <w:color w:val="000000"/>
          <w:lang w:val="en-US"/>
        </w:rPr>
        <w:t xml:space="preserve">CYP3A4 </w:t>
      </w:r>
      <w:r w:rsidRPr="009B3915">
        <w:rPr>
          <w:rFonts w:eastAsia="Times New Roman" w:cs="Arial"/>
          <w:color w:val="000000"/>
          <w:lang w:eastAsia="bg-BG"/>
        </w:rPr>
        <w:t xml:space="preserve">инхибитор, </w:t>
      </w:r>
      <w:proofErr w:type="spellStart"/>
      <w:r w:rsidRPr="009B3915">
        <w:rPr>
          <w:rFonts w:eastAsia="Times New Roman" w:cs="Arial"/>
          <w:color w:val="000000"/>
          <w:lang w:eastAsia="bg-BG"/>
        </w:rPr>
        <w:t>напр</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кетоконазол</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виж.точка</w:t>
      </w:r>
      <w:proofErr w:type="spellEnd"/>
      <w:r w:rsidRPr="009B3915">
        <w:rPr>
          <w:rFonts w:eastAsia="Times New Roman" w:cs="Arial"/>
          <w:color w:val="000000"/>
          <w:lang w:eastAsia="bg-BG"/>
        </w:rPr>
        <w:t xml:space="preserve"> 4.2 и 4.5)</w:t>
      </w:r>
    </w:p>
    <w:p w14:paraId="76259582" w14:textId="7A7F802C" w:rsidR="009B3915" w:rsidRPr="009B3915" w:rsidRDefault="009B3915" w:rsidP="009B3915">
      <w:pPr>
        <w:pStyle w:val="a3"/>
        <w:numPr>
          <w:ilvl w:val="0"/>
          <w:numId w:val="32"/>
        </w:numPr>
        <w:spacing w:line="240" w:lineRule="auto"/>
        <w:rPr>
          <w:rFonts w:eastAsia="Times New Roman" w:cs="Arial"/>
          <w:color w:val="000000"/>
          <w:lang w:eastAsia="bg-BG"/>
        </w:rPr>
      </w:pPr>
      <w:proofErr w:type="spellStart"/>
      <w:r w:rsidRPr="009B3915">
        <w:rPr>
          <w:rFonts w:eastAsia="Times New Roman" w:cs="Arial"/>
          <w:color w:val="000000"/>
          <w:lang w:eastAsia="bg-BG"/>
        </w:rPr>
        <w:t>хиатусна</w:t>
      </w:r>
      <w:proofErr w:type="spellEnd"/>
      <w:r w:rsidRPr="009B3915">
        <w:rPr>
          <w:rFonts w:eastAsia="Times New Roman" w:cs="Arial"/>
          <w:color w:val="000000"/>
          <w:lang w:eastAsia="bg-BG"/>
        </w:rPr>
        <w:t xml:space="preserve"> херния/</w:t>
      </w:r>
      <w:proofErr w:type="spellStart"/>
      <w:r w:rsidRPr="009B3915">
        <w:rPr>
          <w:rFonts w:eastAsia="Times New Roman" w:cs="Arial"/>
          <w:color w:val="000000"/>
          <w:lang w:eastAsia="bg-BG"/>
        </w:rPr>
        <w:t>гастроезофагиален</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рефлукс</w:t>
      </w:r>
      <w:proofErr w:type="spellEnd"/>
      <w:r w:rsidRPr="009B3915">
        <w:rPr>
          <w:rFonts w:eastAsia="Times New Roman" w:cs="Arial"/>
          <w:color w:val="000000"/>
          <w:lang w:eastAsia="bg-BG"/>
        </w:rPr>
        <w:t xml:space="preserve"> и/или такива, които към момента приемат лекарствени продукти (като </w:t>
      </w:r>
      <w:proofErr w:type="spellStart"/>
      <w:r w:rsidRPr="009B3915">
        <w:rPr>
          <w:rFonts w:eastAsia="Times New Roman" w:cs="Arial"/>
          <w:color w:val="000000"/>
          <w:lang w:eastAsia="bg-BG"/>
        </w:rPr>
        <w:t>бифосфонати</w:t>
      </w:r>
      <w:proofErr w:type="spellEnd"/>
      <w:r w:rsidRPr="009B3915">
        <w:rPr>
          <w:rFonts w:eastAsia="Times New Roman" w:cs="Arial"/>
          <w:color w:val="000000"/>
          <w:lang w:eastAsia="bg-BG"/>
        </w:rPr>
        <w:t xml:space="preserve">), които могат да предизвикат или обострят </w:t>
      </w:r>
      <w:proofErr w:type="spellStart"/>
      <w:r w:rsidRPr="009B3915">
        <w:rPr>
          <w:rFonts w:eastAsia="Times New Roman" w:cs="Arial"/>
          <w:color w:val="000000"/>
          <w:lang w:eastAsia="bg-BG"/>
        </w:rPr>
        <w:t>езофагит</w:t>
      </w:r>
      <w:proofErr w:type="spellEnd"/>
      <w:r w:rsidRPr="009B3915">
        <w:rPr>
          <w:rFonts w:eastAsia="Times New Roman" w:cs="Arial"/>
          <w:color w:val="000000"/>
          <w:lang w:eastAsia="bg-BG"/>
        </w:rPr>
        <w:t xml:space="preserve"> </w:t>
      </w:r>
    </w:p>
    <w:p w14:paraId="525FCF54" w14:textId="43213673" w:rsidR="009B3915" w:rsidRPr="009B3915" w:rsidRDefault="009B3915" w:rsidP="009B3915">
      <w:pPr>
        <w:pStyle w:val="a3"/>
        <w:numPr>
          <w:ilvl w:val="0"/>
          <w:numId w:val="32"/>
        </w:numPr>
        <w:spacing w:line="240" w:lineRule="auto"/>
        <w:rPr>
          <w:rFonts w:eastAsia="Times New Roman" w:cs="Arial"/>
        </w:rPr>
      </w:pPr>
      <w:r w:rsidRPr="009B3915">
        <w:rPr>
          <w:rFonts w:eastAsia="Times New Roman" w:cs="Arial"/>
          <w:color w:val="000000"/>
          <w:lang w:eastAsia="bg-BG"/>
        </w:rPr>
        <w:t>вегетативна невропатия</w:t>
      </w:r>
    </w:p>
    <w:p w14:paraId="40A1B8C9"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 xml:space="preserve">Наблюдавани са удължаване на </w:t>
      </w:r>
      <w:r w:rsidRPr="009B3915">
        <w:rPr>
          <w:rFonts w:eastAsia="Times New Roman" w:cs="Arial"/>
          <w:color w:val="000000"/>
          <w:lang w:val="en-US"/>
        </w:rPr>
        <w:t xml:space="preserve">QT </w:t>
      </w:r>
      <w:r w:rsidRPr="009B3915">
        <w:rPr>
          <w:rFonts w:eastAsia="Times New Roman" w:cs="Arial"/>
          <w:color w:val="000000"/>
          <w:lang w:eastAsia="bg-BG"/>
        </w:rPr>
        <w:t xml:space="preserve">и </w:t>
      </w:r>
      <w:r w:rsidRPr="009B3915">
        <w:rPr>
          <w:rFonts w:eastAsia="Times New Roman" w:cs="Arial"/>
          <w:color w:val="000000"/>
          <w:lang w:val="en-US"/>
        </w:rPr>
        <w:t xml:space="preserve">Torsade de Pointes </w:t>
      </w:r>
      <w:r w:rsidRPr="009B3915">
        <w:rPr>
          <w:rFonts w:eastAsia="Times New Roman" w:cs="Arial"/>
          <w:color w:val="000000"/>
          <w:lang w:eastAsia="bg-BG"/>
        </w:rPr>
        <w:t xml:space="preserve">при пациенти с рискови фактори като вече наличен синдром на удължен </w:t>
      </w:r>
      <w:r w:rsidRPr="009B3915">
        <w:rPr>
          <w:rFonts w:eastAsia="Times New Roman" w:cs="Arial"/>
          <w:color w:val="000000"/>
          <w:lang w:val="en-US"/>
        </w:rPr>
        <w:t xml:space="preserve">QT </w:t>
      </w:r>
      <w:r w:rsidRPr="009B3915">
        <w:rPr>
          <w:rFonts w:eastAsia="Times New Roman" w:cs="Arial"/>
          <w:color w:val="000000"/>
          <w:lang w:eastAsia="bg-BG"/>
        </w:rPr>
        <w:t>и хипокалиемия.</w:t>
      </w:r>
    </w:p>
    <w:p w14:paraId="173AC6BF"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 xml:space="preserve">Безопасността и ефективността при пациенти с </w:t>
      </w:r>
      <w:proofErr w:type="spellStart"/>
      <w:r w:rsidRPr="009B3915">
        <w:rPr>
          <w:rFonts w:eastAsia="Times New Roman" w:cs="Arial"/>
          <w:color w:val="000000"/>
          <w:lang w:eastAsia="bg-BG"/>
        </w:rPr>
        <w:t>неврогенна</w:t>
      </w:r>
      <w:proofErr w:type="spellEnd"/>
      <w:r w:rsidRPr="009B3915">
        <w:rPr>
          <w:rFonts w:eastAsia="Times New Roman" w:cs="Arial"/>
          <w:color w:val="000000"/>
          <w:lang w:eastAsia="bg-BG"/>
        </w:rPr>
        <w:t xml:space="preserve"> причина за свръхактивността на </w:t>
      </w:r>
      <w:proofErr w:type="spellStart"/>
      <w:r w:rsidRPr="009B3915">
        <w:rPr>
          <w:rFonts w:eastAsia="Times New Roman" w:cs="Arial"/>
          <w:color w:val="000000"/>
          <w:lang w:eastAsia="bg-BG"/>
        </w:rPr>
        <w:t>детрузора</w:t>
      </w:r>
      <w:proofErr w:type="spellEnd"/>
      <w:r w:rsidRPr="009B3915">
        <w:rPr>
          <w:rFonts w:eastAsia="Times New Roman" w:cs="Arial"/>
          <w:color w:val="000000"/>
          <w:lang w:eastAsia="bg-BG"/>
        </w:rPr>
        <w:t xml:space="preserve"> все още не е установена.</w:t>
      </w:r>
    </w:p>
    <w:p w14:paraId="3A7F8983" w14:textId="1A636ED6" w:rsidR="009B3915" w:rsidRDefault="009B3915" w:rsidP="009B3915">
      <w:pPr>
        <w:rPr>
          <w:rFonts w:eastAsia="Times New Roman" w:cs="Arial"/>
          <w:color w:val="000000"/>
          <w:lang w:eastAsia="bg-BG"/>
        </w:rPr>
      </w:pPr>
      <w:r w:rsidRPr="009B3915">
        <w:rPr>
          <w:rFonts w:eastAsia="Times New Roman" w:cs="Arial"/>
          <w:color w:val="000000"/>
          <w:lang w:eastAsia="bg-BG"/>
        </w:rPr>
        <w:t xml:space="preserve">Пациенти с редки вродени проблеми на непоносимост към </w:t>
      </w:r>
      <w:proofErr w:type="spellStart"/>
      <w:r w:rsidRPr="009B3915">
        <w:rPr>
          <w:rFonts w:eastAsia="Times New Roman" w:cs="Arial"/>
          <w:color w:val="000000"/>
          <w:lang w:eastAsia="bg-BG"/>
        </w:rPr>
        <w:t>галактоза</w:t>
      </w:r>
      <w:proofErr w:type="spellEnd"/>
      <w:r w:rsidRPr="009B3915">
        <w:rPr>
          <w:rFonts w:eastAsia="Times New Roman" w:cs="Arial"/>
          <w:color w:val="000000"/>
          <w:lang w:eastAsia="bg-BG"/>
        </w:rPr>
        <w:t xml:space="preserve"> и недостиг на </w:t>
      </w:r>
      <w:r w:rsidRPr="009B3915">
        <w:rPr>
          <w:rFonts w:eastAsia="Times New Roman" w:cs="Arial"/>
          <w:color w:val="000000"/>
          <w:lang w:val="en-US"/>
        </w:rPr>
        <w:t xml:space="preserve">Lapp </w:t>
      </w:r>
      <w:proofErr w:type="spellStart"/>
      <w:r w:rsidRPr="009B3915">
        <w:rPr>
          <w:rFonts w:eastAsia="Times New Roman" w:cs="Arial"/>
          <w:color w:val="000000"/>
          <w:lang w:eastAsia="bg-BG"/>
        </w:rPr>
        <w:t>лактаза</w:t>
      </w:r>
      <w:proofErr w:type="spellEnd"/>
      <w:r w:rsidRPr="009B3915">
        <w:rPr>
          <w:rFonts w:eastAsia="Times New Roman" w:cs="Arial"/>
          <w:color w:val="000000"/>
          <w:lang w:eastAsia="bg-BG"/>
        </w:rPr>
        <w:t xml:space="preserve"> или малабсорбция на глюкоза-</w:t>
      </w:r>
      <w:proofErr w:type="spellStart"/>
      <w:r w:rsidRPr="009B3915">
        <w:rPr>
          <w:rFonts w:eastAsia="Times New Roman" w:cs="Arial"/>
          <w:color w:val="000000"/>
          <w:lang w:eastAsia="bg-BG"/>
        </w:rPr>
        <w:t>галактоза</w:t>
      </w:r>
      <w:proofErr w:type="spellEnd"/>
      <w:r w:rsidRPr="009B3915">
        <w:rPr>
          <w:rFonts w:eastAsia="Times New Roman" w:cs="Arial"/>
          <w:color w:val="000000"/>
          <w:lang w:eastAsia="bg-BG"/>
        </w:rPr>
        <w:t xml:space="preserve"> не трябва да приемат този продукт. При някои пациенти на лечение със </w:t>
      </w:r>
      <w:proofErr w:type="spellStart"/>
      <w:r w:rsidRPr="009B3915">
        <w:rPr>
          <w:rFonts w:eastAsia="Times New Roman" w:cs="Arial"/>
          <w:color w:val="000000"/>
          <w:lang w:eastAsia="bg-BG"/>
        </w:rPr>
        <w:t>солифенацинов</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сукцинат</w:t>
      </w:r>
      <w:proofErr w:type="spellEnd"/>
      <w:r w:rsidRPr="009B3915">
        <w:rPr>
          <w:rFonts w:eastAsia="Times New Roman" w:cs="Arial"/>
          <w:color w:val="000000"/>
          <w:lang w:eastAsia="bg-BG"/>
        </w:rPr>
        <w:t xml:space="preserve"> е съобщен ангиоедем обструкция на дихателните пътища. В такива случаи трябва да се спре </w:t>
      </w:r>
      <w:proofErr w:type="spellStart"/>
      <w:r w:rsidRPr="009B3915">
        <w:rPr>
          <w:rFonts w:eastAsia="Times New Roman" w:cs="Arial"/>
          <w:color w:val="000000"/>
          <w:lang w:eastAsia="bg-BG"/>
        </w:rPr>
        <w:t>солифенацинов</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сукцинат</w:t>
      </w:r>
      <w:proofErr w:type="spellEnd"/>
      <w:r w:rsidRPr="009B3915">
        <w:rPr>
          <w:rFonts w:eastAsia="Times New Roman" w:cs="Arial"/>
          <w:color w:val="000000"/>
          <w:lang w:eastAsia="bg-BG"/>
        </w:rPr>
        <w:t xml:space="preserve"> и да се назначи подходящо лечение и/или съответни мерки.</w:t>
      </w:r>
    </w:p>
    <w:p w14:paraId="739FC182" w14:textId="52CF9A27" w:rsidR="009B3915" w:rsidRDefault="009B3915" w:rsidP="009B3915">
      <w:pPr>
        <w:rPr>
          <w:rFonts w:eastAsia="Times New Roman" w:cs="Arial"/>
          <w:color w:val="000000"/>
          <w:lang w:eastAsia="bg-BG"/>
        </w:rPr>
      </w:pPr>
    </w:p>
    <w:p w14:paraId="1986434A" w14:textId="77777777" w:rsidR="009B3915" w:rsidRPr="009B3915" w:rsidRDefault="009B3915" w:rsidP="009B3915">
      <w:pPr>
        <w:rPr>
          <w:sz w:val="24"/>
          <w:szCs w:val="24"/>
        </w:rPr>
      </w:pPr>
      <w:r w:rsidRPr="009B3915">
        <w:rPr>
          <w:lang w:eastAsia="bg-BG"/>
        </w:rPr>
        <w:t xml:space="preserve">При някои пациенти на лечение със </w:t>
      </w:r>
      <w:proofErr w:type="spellStart"/>
      <w:r w:rsidRPr="009B3915">
        <w:rPr>
          <w:lang w:eastAsia="bg-BG"/>
        </w:rPr>
        <w:t>солифенацинов</w:t>
      </w:r>
      <w:proofErr w:type="spellEnd"/>
      <w:r w:rsidRPr="009B3915">
        <w:rPr>
          <w:lang w:eastAsia="bg-BG"/>
        </w:rPr>
        <w:t xml:space="preserve"> </w:t>
      </w:r>
      <w:proofErr w:type="spellStart"/>
      <w:r w:rsidRPr="009B3915">
        <w:rPr>
          <w:lang w:eastAsia="bg-BG"/>
        </w:rPr>
        <w:t>сукцинат</w:t>
      </w:r>
      <w:proofErr w:type="spellEnd"/>
      <w:r w:rsidRPr="009B3915">
        <w:rPr>
          <w:lang w:eastAsia="bg-BG"/>
        </w:rPr>
        <w:t xml:space="preserve"> са докладвани </w:t>
      </w:r>
      <w:proofErr w:type="spellStart"/>
      <w:r w:rsidRPr="009B3915">
        <w:rPr>
          <w:lang w:eastAsia="bg-BG"/>
        </w:rPr>
        <w:t>анафилактични</w:t>
      </w:r>
      <w:proofErr w:type="spellEnd"/>
      <w:r w:rsidRPr="009B3915">
        <w:rPr>
          <w:lang w:eastAsia="bg-BG"/>
        </w:rPr>
        <w:t xml:space="preserve"> реакции. При пациенти, които проявяват </w:t>
      </w:r>
      <w:proofErr w:type="spellStart"/>
      <w:r w:rsidRPr="009B3915">
        <w:rPr>
          <w:lang w:eastAsia="bg-BG"/>
        </w:rPr>
        <w:t>анафилактични</w:t>
      </w:r>
      <w:proofErr w:type="spellEnd"/>
      <w:r w:rsidRPr="009B3915">
        <w:rPr>
          <w:lang w:eastAsia="bg-BG"/>
        </w:rPr>
        <w:t xml:space="preserve"> реакции, лечението със </w:t>
      </w:r>
      <w:proofErr w:type="spellStart"/>
      <w:r w:rsidRPr="009B3915">
        <w:rPr>
          <w:lang w:eastAsia="bg-BG"/>
        </w:rPr>
        <w:t>солифенацинов</w:t>
      </w:r>
      <w:proofErr w:type="spellEnd"/>
      <w:r w:rsidRPr="009B3915">
        <w:rPr>
          <w:lang w:eastAsia="bg-BG"/>
        </w:rPr>
        <w:t xml:space="preserve"> </w:t>
      </w:r>
      <w:proofErr w:type="spellStart"/>
      <w:r w:rsidRPr="009B3915">
        <w:rPr>
          <w:lang w:eastAsia="bg-BG"/>
        </w:rPr>
        <w:t>сукцинат</w:t>
      </w:r>
      <w:proofErr w:type="spellEnd"/>
      <w:r w:rsidRPr="009B3915">
        <w:rPr>
          <w:lang w:eastAsia="bg-BG"/>
        </w:rPr>
        <w:t xml:space="preserve"> трябва да спре и да се назначи подходящо лечение и/или съответни мерки.</w:t>
      </w:r>
    </w:p>
    <w:p w14:paraId="0159A2D0" w14:textId="0D152D0D" w:rsidR="009B3915" w:rsidRDefault="009B3915" w:rsidP="009B3915">
      <w:pPr>
        <w:rPr>
          <w:lang w:eastAsia="bg-BG"/>
        </w:rPr>
      </w:pPr>
      <w:r w:rsidRPr="009B3915">
        <w:rPr>
          <w:lang w:eastAsia="bg-BG"/>
        </w:rPr>
        <w:t xml:space="preserve">Максималният ефект на </w:t>
      </w:r>
      <w:proofErr w:type="spellStart"/>
      <w:r w:rsidRPr="009B3915">
        <w:rPr>
          <w:lang w:eastAsia="bg-BG"/>
        </w:rPr>
        <w:t>Солифенацин</w:t>
      </w:r>
      <w:proofErr w:type="spellEnd"/>
      <w:r w:rsidRPr="009B3915">
        <w:rPr>
          <w:lang w:eastAsia="bg-BG"/>
        </w:rPr>
        <w:t xml:space="preserve"> Софарма може да се установи най-рано след 4 седмици.</w:t>
      </w:r>
    </w:p>
    <w:p w14:paraId="006E0725" w14:textId="77777777" w:rsidR="009B3915" w:rsidRPr="009B3915" w:rsidRDefault="009B3915" w:rsidP="009B3915">
      <w:pPr>
        <w:rPr>
          <w:rFonts w:cs="Arial"/>
          <w:lang w:val="en-US"/>
        </w:rPr>
      </w:pPr>
    </w:p>
    <w:p w14:paraId="1244F76A" w14:textId="21631AAF" w:rsidR="00395555" w:rsidRDefault="002C50EE" w:rsidP="008A6AF2">
      <w:pPr>
        <w:pStyle w:val="2"/>
      </w:pPr>
      <w:r>
        <w:t>4.5. Взаимодействие с други лекарствени продукти и други форми на взаимодействие</w:t>
      </w:r>
    </w:p>
    <w:p w14:paraId="70CF6B53" w14:textId="60555097" w:rsidR="009B3915" w:rsidRDefault="009B3915" w:rsidP="009B3915"/>
    <w:p w14:paraId="6E4BF9C1"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 xml:space="preserve">Едновременното приложение с други лекарствени продукти с </w:t>
      </w:r>
      <w:proofErr w:type="spellStart"/>
      <w:r w:rsidRPr="009B3915">
        <w:rPr>
          <w:rFonts w:eastAsia="Times New Roman" w:cs="Arial"/>
          <w:color w:val="000000"/>
          <w:lang w:eastAsia="bg-BG"/>
        </w:rPr>
        <w:t>антихолинергични</w:t>
      </w:r>
      <w:proofErr w:type="spellEnd"/>
      <w:r w:rsidRPr="009B3915">
        <w:rPr>
          <w:rFonts w:eastAsia="Times New Roman" w:cs="Arial"/>
          <w:color w:val="000000"/>
          <w:lang w:eastAsia="bg-BG"/>
        </w:rPr>
        <w:t xml:space="preserve"> свойства може да засили терапевтичния ефект и нежеланите реакции. Трябва да мине около една седмица след спиране на лечението с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Софарма преди да се започне приема на друго </w:t>
      </w:r>
      <w:proofErr w:type="spellStart"/>
      <w:r w:rsidRPr="009B3915">
        <w:rPr>
          <w:rFonts w:eastAsia="Times New Roman" w:cs="Arial"/>
          <w:color w:val="000000"/>
          <w:lang w:eastAsia="bg-BG"/>
        </w:rPr>
        <w:t>антихолинергично</w:t>
      </w:r>
      <w:proofErr w:type="spellEnd"/>
      <w:r w:rsidRPr="009B3915">
        <w:rPr>
          <w:rFonts w:eastAsia="Times New Roman" w:cs="Arial"/>
          <w:color w:val="000000"/>
          <w:lang w:eastAsia="bg-BG"/>
        </w:rPr>
        <w:t xml:space="preserve"> средство. Лечебният ефект на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може да се понижи при едновременно прилагане на </w:t>
      </w:r>
      <w:proofErr w:type="spellStart"/>
      <w:r w:rsidRPr="009B3915">
        <w:rPr>
          <w:rFonts w:eastAsia="Times New Roman" w:cs="Arial"/>
          <w:color w:val="000000"/>
          <w:lang w:eastAsia="bg-BG"/>
        </w:rPr>
        <w:t>агонисти</w:t>
      </w:r>
      <w:proofErr w:type="spellEnd"/>
      <w:r w:rsidRPr="009B3915">
        <w:rPr>
          <w:rFonts w:eastAsia="Times New Roman" w:cs="Arial"/>
          <w:color w:val="000000"/>
          <w:lang w:eastAsia="bg-BG"/>
        </w:rPr>
        <w:t xml:space="preserve"> на </w:t>
      </w:r>
      <w:proofErr w:type="spellStart"/>
      <w:r w:rsidRPr="009B3915">
        <w:rPr>
          <w:rFonts w:eastAsia="Times New Roman" w:cs="Arial"/>
          <w:color w:val="000000"/>
          <w:lang w:eastAsia="bg-BG"/>
        </w:rPr>
        <w:t>холинергичните</w:t>
      </w:r>
      <w:proofErr w:type="spellEnd"/>
      <w:r w:rsidRPr="009B3915">
        <w:rPr>
          <w:rFonts w:eastAsia="Times New Roman" w:cs="Arial"/>
          <w:color w:val="000000"/>
          <w:lang w:eastAsia="bg-BG"/>
        </w:rPr>
        <w:t xml:space="preserve"> рецептори.</w:t>
      </w:r>
    </w:p>
    <w:p w14:paraId="73B9552D" w14:textId="77777777" w:rsidR="009B3915" w:rsidRPr="009B3915" w:rsidRDefault="009B3915" w:rsidP="009B3915">
      <w:pPr>
        <w:spacing w:line="240" w:lineRule="auto"/>
        <w:rPr>
          <w:rFonts w:eastAsia="Times New Roman" w:cs="Arial"/>
        </w:rPr>
      </w:pP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може да намали ефекта на лекарствени продукти, които стимулират </w:t>
      </w:r>
      <w:proofErr w:type="spellStart"/>
      <w:r w:rsidRPr="009B3915">
        <w:rPr>
          <w:rFonts w:eastAsia="Times New Roman" w:cs="Arial"/>
          <w:color w:val="000000"/>
          <w:lang w:eastAsia="bg-BG"/>
        </w:rPr>
        <w:t>мотилитета</w:t>
      </w:r>
      <w:proofErr w:type="spellEnd"/>
      <w:r w:rsidRPr="009B3915">
        <w:rPr>
          <w:rFonts w:eastAsia="Times New Roman" w:cs="Arial"/>
          <w:color w:val="000000"/>
          <w:lang w:eastAsia="bg-BG"/>
        </w:rPr>
        <w:t xml:space="preserve"> на стомашно-чревния тракт, напр. </w:t>
      </w:r>
      <w:proofErr w:type="spellStart"/>
      <w:r w:rsidRPr="009B3915">
        <w:rPr>
          <w:rFonts w:eastAsia="Times New Roman" w:cs="Arial"/>
          <w:color w:val="000000"/>
          <w:lang w:eastAsia="bg-BG"/>
        </w:rPr>
        <w:t>метоклопрамид</w:t>
      </w:r>
      <w:proofErr w:type="spellEnd"/>
      <w:r w:rsidRPr="009B3915">
        <w:rPr>
          <w:rFonts w:eastAsia="Times New Roman" w:cs="Arial"/>
          <w:color w:val="000000"/>
          <w:lang w:eastAsia="bg-BG"/>
        </w:rPr>
        <w:t xml:space="preserve"> и </w:t>
      </w:r>
      <w:proofErr w:type="spellStart"/>
      <w:r w:rsidRPr="009B3915">
        <w:rPr>
          <w:rFonts w:eastAsia="Times New Roman" w:cs="Arial"/>
          <w:color w:val="000000"/>
          <w:lang w:eastAsia="bg-BG"/>
        </w:rPr>
        <w:t>цизаприд</w:t>
      </w:r>
      <w:proofErr w:type="spellEnd"/>
      <w:r w:rsidRPr="009B3915">
        <w:rPr>
          <w:rFonts w:eastAsia="Times New Roman" w:cs="Arial"/>
          <w:color w:val="000000"/>
          <w:lang w:eastAsia="bg-BG"/>
        </w:rPr>
        <w:t>.</w:t>
      </w:r>
    </w:p>
    <w:p w14:paraId="10154191" w14:textId="77777777" w:rsidR="009B3915" w:rsidRDefault="009B3915" w:rsidP="009B3915">
      <w:pPr>
        <w:spacing w:line="240" w:lineRule="auto"/>
        <w:rPr>
          <w:rFonts w:eastAsia="Times New Roman" w:cs="Arial"/>
          <w:b/>
          <w:bCs/>
          <w:color w:val="000000"/>
          <w:lang w:eastAsia="bg-BG"/>
        </w:rPr>
      </w:pPr>
    </w:p>
    <w:p w14:paraId="28058720" w14:textId="5A41242A" w:rsidR="009B3915" w:rsidRPr="009B3915" w:rsidRDefault="009B3915" w:rsidP="009B3915">
      <w:pPr>
        <w:spacing w:line="240" w:lineRule="auto"/>
        <w:rPr>
          <w:rFonts w:eastAsia="Times New Roman" w:cs="Arial"/>
        </w:rPr>
      </w:pPr>
      <w:proofErr w:type="spellStart"/>
      <w:r w:rsidRPr="009B3915">
        <w:rPr>
          <w:rFonts w:eastAsia="Times New Roman" w:cs="Arial"/>
          <w:b/>
          <w:bCs/>
          <w:color w:val="000000"/>
          <w:lang w:eastAsia="bg-BG"/>
        </w:rPr>
        <w:t>Фармакокинетични</w:t>
      </w:r>
      <w:proofErr w:type="spellEnd"/>
      <w:r w:rsidRPr="009B3915">
        <w:rPr>
          <w:rFonts w:eastAsia="Times New Roman" w:cs="Arial"/>
          <w:b/>
          <w:bCs/>
          <w:color w:val="000000"/>
          <w:lang w:eastAsia="bg-BG"/>
        </w:rPr>
        <w:t xml:space="preserve"> взаимодействия</w:t>
      </w:r>
    </w:p>
    <w:p w14:paraId="771DA020"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 xml:space="preserve">Изследванията </w:t>
      </w:r>
      <w:r w:rsidRPr="009B3915">
        <w:rPr>
          <w:rFonts w:eastAsia="Times New Roman" w:cs="Arial"/>
          <w:i/>
          <w:iCs/>
          <w:color w:val="000000"/>
          <w:lang w:val="en-US"/>
        </w:rPr>
        <w:t>in vitro</w:t>
      </w:r>
      <w:r w:rsidRPr="009B3915">
        <w:rPr>
          <w:rFonts w:eastAsia="Times New Roman" w:cs="Arial"/>
          <w:color w:val="000000"/>
          <w:lang w:val="en-US"/>
        </w:rPr>
        <w:t xml:space="preserve"> </w:t>
      </w:r>
      <w:r w:rsidRPr="009B3915">
        <w:rPr>
          <w:rFonts w:eastAsia="Times New Roman" w:cs="Arial"/>
          <w:color w:val="000000"/>
          <w:lang w:eastAsia="bg-BG"/>
        </w:rPr>
        <w:t xml:space="preserve">показват, че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в терапевтични концентрации не инхибира </w:t>
      </w:r>
      <w:r w:rsidRPr="009B3915">
        <w:rPr>
          <w:rFonts w:eastAsia="Times New Roman" w:cs="Arial"/>
          <w:color w:val="000000"/>
          <w:lang w:val="en-US"/>
        </w:rPr>
        <w:t xml:space="preserve">CYP1A1/2, </w:t>
      </w:r>
      <w:r w:rsidRPr="009B3915">
        <w:rPr>
          <w:rFonts w:eastAsia="Times New Roman" w:cs="Arial"/>
          <w:color w:val="000000"/>
          <w:lang w:eastAsia="bg-BG"/>
        </w:rPr>
        <w:t xml:space="preserve">2С9, 2С19, </w:t>
      </w:r>
      <w:r w:rsidRPr="009B3915">
        <w:rPr>
          <w:rFonts w:eastAsia="Times New Roman" w:cs="Arial"/>
          <w:color w:val="000000"/>
          <w:lang w:val="en-US"/>
        </w:rPr>
        <w:t xml:space="preserve">2D6 </w:t>
      </w:r>
      <w:r w:rsidRPr="009B3915">
        <w:rPr>
          <w:rFonts w:eastAsia="Times New Roman" w:cs="Arial"/>
          <w:color w:val="000000"/>
          <w:lang w:eastAsia="bg-BG"/>
        </w:rPr>
        <w:t xml:space="preserve">или ЗА4, получени от човешки чернодробни </w:t>
      </w:r>
      <w:proofErr w:type="spellStart"/>
      <w:r w:rsidRPr="009B3915">
        <w:rPr>
          <w:rFonts w:eastAsia="Times New Roman" w:cs="Arial"/>
          <w:color w:val="000000"/>
          <w:lang w:eastAsia="bg-BG"/>
        </w:rPr>
        <w:t>микрозоми</w:t>
      </w:r>
      <w:proofErr w:type="spellEnd"/>
      <w:r w:rsidRPr="009B3915">
        <w:rPr>
          <w:rFonts w:eastAsia="Times New Roman" w:cs="Arial"/>
          <w:color w:val="000000"/>
          <w:lang w:eastAsia="bg-BG"/>
        </w:rPr>
        <w:t xml:space="preserve">. Затова не се очаква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да променя </w:t>
      </w:r>
      <w:proofErr w:type="spellStart"/>
      <w:r w:rsidRPr="009B3915">
        <w:rPr>
          <w:rFonts w:eastAsia="Times New Roman" w:cs="Arial"/>
          <w:color w:val="000000"/>
          <w:lang w:eastAsia="bg-BG"/>
        </w:rPr>
        <w:t>клирънса</w:t>
      </w:r>
      <w:proofErr w:type="spellEnd"/>
      <w:r w:rsidRPr="009B3915">
        <w:rPr>
          <w:rFonts w:eastAsia="Times New Roman" w:cs="Arial"/>
          <w:color w:val="000000"/>
          <w:lang w:eastAsia="bg-BG"/>
        </w:rPr>
        <w:t xml:space="preserve"> на лекарствени продукти, </w:t>
      </w:r>
      <w:proofErr w:type="spellStart"/>
      <w:r w:rsidRPr="009B3915">
        <w:rPr>
          <w:rFonts w:eastAsia="Times New Roman" w:cs="Arial"/>
          <w:color w:val="000000"/>
          <w:lang w:eastAsia="bg-BG"/>
        </w:rPr>
        <w:t>метаболизирани</w:t>
      </w:r>
      <w:proofErr w:type="spellEnd"/>
      <w:r w:rsidRPr="009B3915">
        <w:rPr>
          <w:rFonts w:eastAsia="Times New Roman" w:cs="Arial"/>
          <w:color w:val="000000"/>
          <w:lang w:eastAsia="bg-BG"/>
        </w:rPr>
        <w:t xml:space="preserve"> от тези </w:t>
      </w:r>
      <w:r w:rsidRPr="009B3915">
        <w:rPr>
          <w:rFonts w:eastAsia="Times New Roman" w:cs="Arial"/>
          <w:color w:val="000000"/>
          <w:lang w:val="en-US"/>
        </w:rPr>
        <w:t xml:space="preserve">CYP </w:t>
      </w:r>
      <w:r w:rsidRPr="009B3915">
        <w:rPr>
          <w:rFonts w:eastAsia="Times New Roman" w:cs="Arial"/>
          <w:color w:val="000000"/>
          <w:lang w:eastAsia="bg-BG"/>
        </w:rPr>
        <w:t>ензими.</w:t>
      </w:r>
    </w:p>
    <w:p w14:paraId="65619425" w14:textId="77777777" w:rsidR="009B3915" w:rsidRDefault="009B3915" w:rsidP="009B3915">
      <w:pPr>
        <w:spacing w:line="240" w:lineRule="auto"/>
        <w:rPr>
          <w:rFonts w:eastAsia="Times New Roman" w:cs="Arial"/>
          <w:b/>
          <w:bCs/>
          <w:color w:val="000000"/>
          <w:lang w:eastAsia="bg-BG"/>
        </w:rPr>
      </w:pPr>
    </w:p>
    <w:p w14:paraId="4694F318" w14:textId="1A811725" w:rsidR="009B3915" w:rsidRPr="009B3915" w:rsidRDefault="009B3915" w:rsidP="009B3915">
      <w:pPr>
        <w:spacing w:line="240" w:lineRule="auto"/>
        <w:rPr>
          <w:rFonts w:eastAsia="Times New Roman" w:cs="Arial"/>
        </w:rPr>
      </w:pPr>
      <w:r w:rsidRPr="009B3915">
        <w:rPr>
          <w:rFonts w:eastAsia="Times New Roman" w:cs="Arial"/>
          <w:b/>
          <w:bCs/>
          <w:color w:val="000000"/>
          <w:lang w:eastAsia="bg-BG"/>
        </w:rPr>
        <w:t xml:space="preserve">Ефект на други лекарствени продукти върху фармакокинетиката на </w:t>
      </w:r>
      <w:proofErr w:type="spellStart"/>
      <w:r w:rsidRPr="009B3915">
        <w:rPr>
          <w:rFonts w:eastAsia="Times New Roman" w:cs="Arial"/>
          <w:b/>
          <w:bCs/>
          <w:color w:val="000000"/>
          <w:lang w:eastAsia="bg-BG"/>
        </w:rPr>
        <w:t>солифенацин</w:t>
      </w:r>
      <w:proofErr w:type="spellEnd"/>
      <w:r w:rsidRPr="009B3915">
        <w:rPr>
          <w:rFonts w:eastAsia="Times New Roman" w:cs="Arial"/>
          <w:b/>
          <w:bCs/>
          <w:color w:val="000000"/>
          <w:lang w:eastAsia="bg-BG"/>
        </w:rPr>
        <w:t xml:space="preserve">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се </w:t>
      </w:r>
      <w:proofErr w:type="spellStart"/>
      <w:r w:rsidRPr="009B3915">
        <w:rPr>
          <w:rFonts w:eastAsia="Times New Roman" w:cs="Arial"/>
          <w:color w:val="000000"/>
          <w:lang w:eastAsia="bg-BG"/>
        </w:rPr>
        <w:t>метаболизира</w:t>
      </w:r>
      <w:proofErr w:type="spellEnd"/>
      <w:r w:rsidRPr="009B3915">
        <w:rPr>
          <w:rFonts w:eastAsia="Times New Roman" w:cs="Arial"/>
          <w:color w:val="000000"/>
          <w:lang w:eastAsia="bg-BG"/>
        </w:rPr>
        <w:t xml:space="preserve"> от </w:t>
      </w:r>
      <w:r w:rsidRPr="009B3915">
        <w:rPr>
          <w:rFonts w:eastAsia="Times New Roman" w:cs="Arial"/>
          <w:color w:val="000000"/>
          <w:lang w:val="en-US"/>
        </w:rPr>
        <w:t xml:space="preserve">CYP3A4. </w:t>
      </w:r>
      <w:r w:rsidRPr="009B3915">
        <w:rPr>
          <w:rFonts w:eastAsia="Times New Roman" w:cs="Arial"/>
          <w:color w:val="000000"/>
          <w:lang w:eastAsia="bg-BG"/>
        </w:rPr>
        <w:t xml:space="preserve">Едновременният прием на </w:t>
      </w:r>
      <w:proofErr w:type="spellStart"/>
      <w:r w:rsidRPr="009B3915">
        <w:rPr>
          <w:rFonts w:eastAsia="Times New Roman" w:cs="Arial"/>
          <w:color w:val="000000"/>
          <w:lang w:eastAsia="bg-BG"/>
        </w:rPr>
        <w:t>кетоконазол</w:t>
      </w:r>
      <w:proofErr w:type="spellEnd"/>
      <w:r w:rsidRPr="009B3915">
        <w:rPr>
          <w:rFonts w:eastAsia="Times New Roman" w:cs="Arial"/>
          <w:color w:val="000000"/>
          <w:lang w:eastAsia="bg-BG"/>
        </w:rPr>
        <w:t xml:space="preserve"> (200 </w:t>
      </w:r>
      <w:r w:rsidRPr="009B3915">
        <w:rPr>
          <w:rFonts w:eastAsia="Times New Roman" w:cs="Arial"/>
          <w:color w:val="000000"/>
          <w:lang w:val="en-US"/>
        </w:rPr>
        <w:t xml:space="preserve">mg </w:t>
      </w:r>
      <w:r w:rsidRPr="009B3915">
        <w:rPr>
          <w:rFonts w:eastAsia="Times New Roman" w:cs="Arial"/>
          <w:color w:val="000000"/>
          <w:lang w:eastAsia="bg-BG"/>
        </w:rPr>
        <w:t xml:space="preserve">дневно), мощен инхибитор на </w:t>
      </w:r>
      <w:r w:rsidRPr="009B3915">
        <w:rPr>
          <w:rFonts w:eastAsia="Times New Roman" w:cs="Arial"/>
          <w:color w:val="000000"/>
          <w:lang w:val="en-US"/>
        </w:rPr>
        <w:t xml:space="preserve">CYP3A4, </w:t>
      </w:r>
      <w:r w:rsidRPr="009B3915">
        <w:rPr>
          <w:rFonts w:eastAsia="Times New Roman" w:cs="Arial"/>
          <w:color w:val="000000"/>
          <w:lang w:eastAsia="bg-BG"/>
        </w:rPr>
        <w:t xml:space="preserve">предизвиква двукратно увеличаване на </w:t>
      </w:r>
      <w:r w:rsidRPr="009B3915">
        <w:rPr>
          <w:rFonts w:eastAsia="Times New Roman" w:cs="Arial"/>
          <w:color w:val="000000"/>
          <w:lang w:val="en-US"/>
        </w:rPr>
        <w:t xml:space="preserve">AUC </w:t>
      </w:r>
      <w:r w:rsidRPr="009B3915">
        <w:rPr>
          <w:rFonts w:eastAsia="Times New Roman" w:cs="Arial"/>
          <w:color w:val="000000"/>
          <w:lang w:eastAsia="bg-BG"/>
        </w:rPr>
        <w:t xml:space="preserve">на </w:t>
      </w:r>
      <w:proofErr w:type="spellStart"/>
      <w:r w:rsidRPr="009B3915">
        <w:rPr>
          <w:rFonts w:eastAsia="Times New Roman" w:cs="Arial"/>
          <w:color w:val="000000"/>
          <w:lang w:eastAsia="bg-BG"/>
        </w:rPr>
        <w:t>солифенацина</w:t>
      </w:r>
      <w:proofErr w:type="spellEnd"/>
      <w:r w:rsidRPr="009B3915">
        <w:rPr>
          <w:rFonts w:eastAsia="Times New Roman" w:cs="Arial"/>
          <w:color w:val="000000"/>
          <w:lang w:eastAsia="bg-BG"/>
        </w:rPr>
        <w:t xml:space="preserve">, а </w:t>
      </w:r>
      <w:proofErr w:type="spellStart"/>
      <w:r w:rsidRPr="009B3915">
        <w:rPr>
          <w:rFonts w:eastAsia="Times New Roman" w:cs="Arial"/>
          <w:color w:val="000000"/>
          <w:lang w:eastAsia="bg-BG"/>
        </w:rPr>
        <w:t>кетоконазол</w:t>
      </w:r>
      <w:proofErr w:type="spellEnd"/>
      <w:r w:rsidRPr="009B3915">
        <w:rPr>
          <w:rFonts w:eastAsia="Times New Roman" w:cs="Arial"/>
          <w:color w:val="000000"/>
          <w:lang w:eastAsia="bg-BG"/>
        </w:rPr>
        <w:t xml:space="preserve"> в дневна доза 400 </w:t>
      </w:r>
      <w:r w:rsidRPr="009B3915">
        <w:rPr>
          <w:rFonts w:eastAsia="Times New Roman" w:cs="Arial"/>
          <w:color w:val="000000"/>
          <w:lang w:val="en-US"/>
        </w:rPr>
        <w:t xml:space="preserve">mg </w:t>
      </w:r>
      <w:r w:rsidRPr="009B3915">
        <w:rPr>
          <w:rFonts w:eastAsia="Times New Roman" w:cs="Arial"/>
          <w:color w:val="000000"/>
          <w:lang w:eastAsia="bg-BG"/>
        </w:rPr>
        <w:t xml:space="preserve">предизвиква трикратно увеличение на </w:t>
      </w:r>
      <w:r w:rsidRPr="009B3915">
        <w:rPr>
          <w:rFonts w:eastAsia="Times New Roman" w:cs="Arial"/>
          <w:color w:val="000000"/>
          <w:lang w:val="en-US"/>
        </w:rPr>
        <w:t xml:space="preserve">AUC </w:t>
      </w:r>
      <w:r w:rsidRPr="009B3915">
        <w:rPr>
          <w:rFonts w:eastAsia="Times New Roman" w:cs="Arial"/>
          <w:color w:val="000000"/>
          <w:lang w:eastAsia="bg-BG"/>
        </w:rPr>
        <w:t xml:space="preserve">на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Затова максималната доза на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w:t>
      </w:r>
      <w:r w:rsidRPr="009B3915">
        <w:rPr>
          <w:rFonts w:eastAsia="Times New Roman" w:cs="Arial"/>
          <w:color w:val="000000"/>
          <w:lang w:eastAsia="bg-BG"/>
        </w:rPr>
        <w:lastRenderedPageBreak/>
        <w:t xml:space="preserve">Софарма трябва да се ограничи до 5 </w:t>
      </w:r>
      <w:r w:rsidRPr="009B3915">
        <w:rPr>
          <w:rFonts w:eastAsia="Times New Roman" w:cs="Arial"/>
          <w:color w:val="000000"/>
          <w:lang w:val="en-US"/>
        </w:rPr>
        <w:t xml:space="preserve">mg, </w:t>
      </w:r>
      <w:r w:rsidRPr="009B3915">
        <w:rPr>
          <w:rFonts w:eastAsia="Times New Roman" w:cs="Arial"/>
          <w:color w:val="000000"/>
          <w:lang w:eastAsia="bg-BG"/>
        </w:rPr>
        <w:t xml:space="preserve">когато се използва едновременно с </w:t>
      </w:r>
      <w:proofErr w:type="spellStart"/>
      <w:r w:rsidRPr="009B3915">
        <w:rPr>
          <w:rFonts w:eastAsia="Times New Roman" w:cs="Arial"/>
          <w:color w:val="000000"/>
          <w:lang w:eastAsia="bg-BG"/>
        </w:rPr>
        <w:t>кетоконазол</w:t>
      </w:r>
      <w:proofErr w:type="spellEnd"/>
      <w:r w:rsidRPr="009B3915">
        <w:rPr>
          <w:rFonts w:eastAsia="Times New Roman" w:cs="Arial"/>
          <w:color w:val="000000"/>
          <w:lang w:eastAsia="bg-BG"/>
        </w:rPr>
        <w:t xml:space="preserve"> или с други мощни инхибитори на </w:t>
      </w:r>
      <w:r w:rsidRPr="009B3915">
        <w:rPr>
          <w:rFonts w:eastAsia="Times New Roman" w:cs="Arial"/>
          <w:color w:val="000000"/>
          <w:lang w:val="en-US"/>
        </w:rPr>
        <w:t xml:space="preserve">CYP3 </w:t>
      </w:r>
      <w:r w:rsidRPr="009B3915">
        <w:rPr>
          <w:rFonts w:eastAsia="Times New Roman" w:cs="Arial"/>
          <w:color w:val="000000"/>
          <w:lang w:eastAsia="bg-BG"/>
        </w:rPr>
        <w:t xml:space="preserve">А4 в терапевтични дози, като ритонавир, </w:t>
      </w:r>
      <w:proofErr w:type="spellStart"/>
      <w:r w:rsidRPr="009B3915">
        <w:rPr>
          <w:rFonts w:eastAsia="Times New Roman" w:cs="Arial"/>
          <w:color w:val="000000"/>
          <w:lang w:eastAsia="bg-BG"/>
        </w:rPr>
        <w:t>нелфинавир</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итраконазол</w:t>
      </w:r>
      <w:proofErr w:type="spellEnd"/>
      <w:r w:rsidRPr="009B3915">
        <w:rPr>
          <w:rFonts w:eastAsia="Times New Roman" w:cs="Arial"/>
          <w:color w:val="000000"/>
          <w:lang w:eastAsia="bg-BG"/>
        </w:rPr>
        <w:t xml:space="preserve"> (виж точка 4.2) Едновременното лечение със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и мощен инхибитор на </w:t>
      </w:r>
      <w:r w:rsidRPr="009B3915">
        <w:rPr>
          <w:rFonts w:eastAsia="Times New Roman" w:cs="Arial"/>
          <w:color w:val="000000"/>
          <w:lang w:val="en-US"/>
        </w:rPr>
        <w:t xml:space="preserve">CYP3A4 </w:t>
      </w:r>
      <w:r w:rsidRPr="009B3915">
        <w:rPr>
          <w:rFonts w:eastAsia="Times New Roman" w:cs="Arial"/>
          <w:color w:val="000000"/>
          <w:lang w:eastAsia="bg-BG"/>
        </w:rPr>
        <w:t xml:space="preserve">е противопоказано при пациенти с тежка бъбречна недостатъчност или умерена чернодробна недостатъчност. Ефектите на ензимна индукция върху фармакокинетиката на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и метаболитите му не е изследвана така добре както ефектът на субстратите с по-висок афинитет на </w:t>
      </w:r>
      <w:r w:rsidRPr="009B3915">
        <w:rPr>
          <w:rFonts w:eastAsia="Times New Roman" w:cs="Arial"/>
          <w:color w:val="000000"/>
          <w:lang w:val="en-US"/>
        </w:rPr>
        <w:t xml:space="preserve">CYP3 </w:t>
      </w:r>
      <w:r w:rsidRPr="009B3915">
        <w:rPr>
          <w:rFonts w:eastAsia="Times New Roman" w:cs="Arial"/>
          <w:color w:val="000000"/>
          <w:lang w:eastAsia="bg-BG"/>
        </w:rPr>
        <w:t xml:space="preserve">А4 върху експозицията на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Тъй като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се </w:t>
      </w:r>
      <w:proofErr w:type="spellStart"/>
      <w:r w:rsidRPr="009B3915">
        <w:rPr>
          <w:rFonts w:eastAsia="Times New Roman" w:cs="Arial"/>
          <w:color w:val="000000"/>
          <w:lang w:eastAsia="bg-BG"/>
        </w:rPr>
        <w:t>метаболизира</w:t>
      </w:r>
      <w:proofErr w:type="spellEnd"/>
      <w:r w:rsidRPr="009B3915">
        <w:rPr>
          <w:rFonts w:eastAsia="Times New Roman" w:cs="Arial"/>
          <w:color w:val="000000"/>
          <w:lang w:eastAsia="bg-BG"/>
        </w:rPr>
        <w:t xml:space="preserve"> от </w:t>
      </w:r>
      <w:r w:rsidRPr="009B3915">
        <w:rPr>
          <w:rFonts w:eastAsia="Times New Roman" w:cs="Arial"/>
          <w:color w:val="000000"/>
          <w:lang w:val="en-US"/>
        </w:rPr>
        <w:t xml:space="preserve">CYP3A4 </w:t>
      </w:r>
      <w:r w:rsidRPr="009B3915">
        <w:rPr>
          <w:rFonts w:eastAsia="Times New Roman" w:cs="Arial"/>
          <w:color w:val="000000"/>
          <w:lang w:eastAsia="bg-BG"/>
        </w:rPr>
        <w:t xml:space="preserve">са възможни </w:t>
      </w:r>
      <w:proofErr w:type="spellStart"/>
      <w:r w:rsidRPr="009B3915">
        <w:rPr>
          <w:rFonts w:eastAsia="Times New Roman" w:cs="Arial"/>
          <w:color w:val="000000"/>
          <w:lang w:eastAsia="bg-BG"/>
        </w:rPr>
        <w:t>фармакокинетични</w:t>
      </w:r>
      <w:proofErr w:type="spellEnd"/>
      <w:r w:rsidRPr="009B3915">
        <w:rPr>
          <w:rFonts w:eastAsia="Times New Roman" w:cs="Arial"/>
          <w:color w:val="000000"/>
          <w:lang w:eastAsia="bg-BG"/>
        </w:rPr>
        <w:t xml:space="preserve"> взаимодействия с други субстрати на </w:t>
      </w:r>
      <w:r w:rsidRPr="009B3915">
        <w:rPr>
          <w:rFonts w:eastAsia="Times New Roman" w:cs="Arial"/>
          <w:color w:val="000000"/>
          <w:lang w:val="en-US"/>
        </w:rPr>
        <w:t xml:space="preserve">CYP3A4 </w:t>
      </w:r>
      <w:r w:rsidRPr="009B3915">
        <w:rPr>
          <w:rFonts w:eastAsia="Times New Roman" w:cs="Arial"/>
          <w:color w:val="000000"/>
          <w:lang w:eastAsia="bg-BG"/>
        </w:rPr>
        <w:t xml:space="preserve">с по-висок афинитет (напр. </w:t>
      </w:r>
      <w:proofErr w:type="spellStart"/>
      <w:r w:rsidRPr="009B3915">
        <w:rPr>
          <w:rFonts w:eastAsia="Times New Roman" w:cs="Arial"/>
          <w:color w:val="000000"/>
          <w:lang w:eastAsia="bg-BG"/>
        </w:rPr>
        <w:t>верапамил</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дилтиазем</w:t>
      </w:r>
      <w:proofErr w:type="spellEnd"/>
      <w:r w:rsidRPr="009B3915">
        <w:rPr>
          <w:rFonts w:eastAsia="Times New Roman" w:cs="Arial"/>
          <w:color w:val="000000"/>
          <w:lang w:eastAsia="bg-BG"/>
        </w:rPr>
        <w:t xml:space="preserve">) и индуктори на </w:t>
      </w:r>
      <w:r w:rsidRPr="009B3915">
        <w:rPr>
          <w:rFonts w:eastAsia="Times New Roman" w:cs="Arial"/>
          <w:color w:val="000000"/>
          <w:lang w:val="en-US"/>
        </w:rPr>
        <w:t xml:space="preserve">CYP3A4 </w:t>
      </w:r>
      <w:r w:rsidRPr="009B3915">
        <w:rPr>
          <w:rFonts w:eastAsia="Times New Roman" w:cs="Arial"/>
          <w:color w:val="000000"/>
          <w:lang w:eastAsia="bg-BG"/>
        </w:rPr>
        <w:t xml:space="preserve">(напр. </w:t>
      </w:r>
      <w:proofErr w:type="spellStart"/>
      <w:r w:rsidRPr="009B3915">
        <w:rPr>
          <w:rFonts w:eastAsia="Times New Roman" w:cs="Arial"/>
          <w:color w:val="000000"/>
          <w:lang w:eastAsia="bg-BG"/>
        </w:rPr>
        <w:t>рифампицин</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фенитоин</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карбамазепин</w:t>
      </w:r>
      <w:proofErr w:type="spellEnd"/>
      <w:r w:rsidRPr="009B3915">
        <w:rPr>
          <w:rFonts w:eastAsia="Times New Roman" w:cs="Arial"/>
          <w:color w:val="000000"/>
          <w:lang w:eastAsia="bg-BG"/>
        </w:rPr>
        <w:t>).</w:t>
      </w:r>
    </w:p>
    <w:p w14:paraId="2AC72363" w14:textId="77777777" w:rsidR="009B3915" w:rsidRDefault="009B3915" w:rsidP="009B3915">
      <w:pPr>
        <w:spacing w:line="240" w:lineRule="auto"/>
        <w:rPr>
          <w:rFonts w:eastAsia="Times New Roman" w:cs="Arial"/>
          <w:b/>
          <w:bCs/>
          <w:color w:val="000000"/>
          <w:lang w:eastAsia="bg-BG"/>
        </w:rPr>
      </w:pPr>
    </w:p>
    <w:p w14:paraId="5B3EC924" w14:textId="1548F40C" w:rsidR="009B3915" w:rsidRPr="009B3915" w:rsidRDefault="009B3915" w:rsidP="009B3915">
      <w:pPr>
        <w:spacing w:line="240" w:lineRule="auto"/>
        <w:rPr>
          <w:rFonts w:eastAsia="Times New Roman" w:cs="Arial"/>
          <w:b/>
          <w:bCs/>
          <w:color w:val="000000"/>
          <w:lang w:eastAsia="bg-BG"/>
        </w:rPr>
      </w:pPr>
      <w:r w:rsidRPr="009B3915">
        <w:rPr>
          <w:rFonts w:eastAsia="Times New Roman" w:cs="Arial"/>
          <w:b/>
          <w:bCs/>
          <w:color w:val="000000"/>
          <w:lang w:eastAsia="bg-BG"/>
        </w:rPr>
        <w:t xml:space="preserve">Ефект на </w:t>
      </w:r>
      <w:proofErr w:type="spellStart"/>
      <w:r w:rsidRPr="009B3915">
        <w:rPr>
          <w:rFonts w:eastAsia="Times New Roman" w:cs="Arial"/>
          <w:b/>
          <w:bCs/>
          <w:color w:val="000000"/>
          <w:lang w:eastAsia="bg-BG"/>
        </w:rPr>
        <w:t>солифенацин</w:t>
      </w:r>
      <w:proofErr w:type="spellEnd"/>
      <w:r w:rsidRPr="009B3915">
        <w:rPr>
          <w:rFonts w:eastAsia="Times New Roman" w:cs="Arial"/>
          <w:b/>
          <w:bCs/>
          <w:color w:val="000000"/>
          <w:lang w:eastAsia="bg-BG"/>
        </w:rPr>
        <w:t xml:space="preserve"> върху фармакокинетиката на други лекарствени продукти</w:t>
      </w:r>
    </w:p>
    <w:p w14:paraId="12B759B9" w14:textId="666FBD23" w:rsidR="009B3915" w:rsidRPr="009B3915" w:rsidRDefault="009B3915" w:rsidP="009B3915">
      <w:pPr>
        <w:spacing w:line="240" w:lineRule="auto"/>
        <w:rPr>
          <w:rFonts w:eastAsia="Times New Roman" w:cs="Arial"/>
        </w:rPr>
      </w:pPr>
      <w:proofErr w:type="spellStart"/>
      <w:r w:rsidRPr="009B3915">
        <w:rPr>
          <w:rFonts w:eastAsia="Times New Roman" w:cs="Arial"/>
          <w:i/>
          <w:iCs/>
          <w:color w:val="000000"/>
          <w:lang w:eastAsia="bg-BG"/>
        </w:rPr>
        <w:t>Перорачни</w:t>
      </w:r>
      <w:proofErr w:type="spellEnd"/>
      <w:r w:rsidRPr="009B3915">
        <w:rPr>
          <w:rFonts w:eastAsia="Times New Roman" w:cs="Arial"/>
          <w:i/>
          <w:iCs/>
          <w:color w:val="000000"/>
          <w:lang w:eastAsia="bg-BG"/>
        </w:rPr>
        <w:t xml:space="preserve"> контрацептиви</w:t>
      </w:r>
    </w:p>
    <w:p w14:paraId="1EF9DA69"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 xml:space="preserve">Приемът на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не показва </w:t>
      </w:r>
      <w:proofErr w:type="spellStart"/>
      <w:r w:rsidRPr="009B3915">
        <w:rPr>
          <w:rFonts w:eastAsia="Times New Roman" w:cs="Arial"/>
          <w:color w:val="000000"/>
          <w:lang w:eastAsia="bg-BG"/>
        </w:rPr>
        <w:t>фармакокинетично</w:t>
      </w:r>
      <w:proofErr w:type="spellEnd"/>
      <w:r w:rsidRPr="009B3915">
        <w:rPr>
          <w:rFonts w:eastAsia="Times New Roman" w:cs="Arial"/>
          <w:color w:val="000000"/>
          <w:lang w:eastAsia="bg-BG"/>
        </w:rPr>
        <w:t xml:space="preserve"> взаимодействие с комбинирани перорални контрацептиви (</w:t>
      </w:r>
      <w:proofErr w:type="spellStart"/>
      <w:r w:rsidRPr="009B3915">
        <w:rPr>
          <w:rFonts w:eastAsia="Times New Roman" w:cs="Arial"/>
          <w:color w:val="000000"/>
          <w:lang w:eastAsia="bg-BG"/>
        </w:rPr>
        <w:t>етинилестрадиол</w:t>
      </w:r>
      <w:proofErr w:type="spellEnd"/>
      <w:r w:rsidRPr="009B3915">
        <w:rPr>
          <w:rFonts w:eastAsia="Times New Roman" w:cs="Arial"/>
          <w:color w:val="000000"/>
          <w:lang w:eastAsia="bg-BG"/>
        </w:rPr>
        <w:t>/</w:t>
      </w:r>
      <w:proofErr w:type="spellStart"/>
      <w:r w:rsidRPr="009B3915">
        <w:rPr>
          <w:rFonts w:eastAsia="Times New Roman" w:cs="Arial"/>
          <w:color w:val="000000"/>
          <w:lang w:eastAsia="bg-BG"/>
        </w:rPr>
        <w:t>левоноргестрел</w:t>
      </w:r>
      <w:proofErr w:type="spellEnd"/>
      <w:r w:rsidRPr="009B3915">
        <w:rPr>
          <w:rFonts w:eastAsia="Times New Roman" w:cs="Arial"/>
          <w:color w:val="000000"/>
          <w:lang w:eastAsia="bg-BG"/>
        </w:rPr>
        <w:t>).</w:t>
      </w:r>
    </w:p>
    <w:p w14:paraId="7A4E9E31" w14:textId="77777777" w:rsidR="009B3915" w:rsidRDefault="009B3915" w:rsidP="009B3915">
      <w:pPr>
        <w:spacing w:line="240" w:lineRule="auto"/>
        <w:rPr>
          <w:rFonts w:eastAsia="Times New Roman" w:cs="Arial"/>
          <w:i/>
          <w:iCs/>
          <w:color w:val="000000"/>
          <w:lang w:eastAsia="bg-BG"/>
        </w:rPr>
      </w:pPr>
    </w:p>
    <w:p w14:paraId="723CBD91" w14:textId="3DA83D90" w:rsidR="009B3915" w:rsidRPr="009B3915" w:rsidRDefault="009B3915" w:rsidP="009B3915">
      <w:pPr>
        <w:spacing w:line="240" w:lineRule="auto"/>
        <w:rPr>
          <w:rFonts w:eastAsia="Times New Roman" w:cs="Arial"/>
        </w:rPr>
      </w:pPr>
      <w:proofErr w:type="spellStart"/>
      <w:r w:rsidRPr="009B3915">
        <w:rPr>
          <w:rFonts w:eastAsia="Times New Roman" w:cs="Arial"/>
          <w:i/>
          <w:iCs/>
          <w:color w:val="000000"/>
          <w:lang w:eastAsia="bg-BG"/>
        </w:rPr>
        <w:t>Варфарин</w:t>
      </w:r>
      <w:proofErr w:type="spellEnd"/>
    </w:p>
    <w:p w14:paraId="1F415233"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 xml:space="preserve">Употребата на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не променя фармакокинетиката на </w:t>
      </w:r>
      <w:r w:rsidRPr="009B3915">
        <w:rPr>
          <w:rFonts w:eastAsia="Times New Roman" w:cs="Arial"/>
          <w:color w:val="000000"/>
          <w:lang w:val="en-US"/>
        </w:rPr>
        <w:t>R</w:t>
      </w:r>
      <w:r w:rsidRPr="009B3915">
        <w:rPr>
          <w:rFonts w:eastAsia="Times New Roman" w:cs="Arial"/>
          <w:color w:val="000000"/>
          <w:lang w:eastAsia="bg-BG"/>
        </w:rPr>
        <w:t>-</w:t>
      </w:r>
      <w:proofErr w:type="spellStart"/>
      <w:r w:rsidRPr="009B3915">
        <w:rPr>
          <w:rFonts w:eastAsia="Times New Roman" w:cs="Arial"/>
          <w:color w:val="000000"/>
          <w:lang w:eastAsia="bg-BG"/>
        </w:rPr>
        <w:t>варфарин</w:t>
      </w:r>
      <w:proofErr w:type="spellEnd"/>
      <w:r w:rsidRPr="009B3915">
        <w:rPr>
          <w:rFonts w:eastAsia="Times New Roman" w:cs="Arial"/>
          <w:color w:val="000000"/>
          <w:lang w:eastAsia="bg-BG"/>
        </w:rPr>
        <w:t xml:space="preserve"> или </w:t>
      </w:r>
      <w:r w:rsidRPr="009B3915">
        <w:rPr>
          <w:rFonts w:eastAsia="Times New Roman" w:cs="Arial"/>
          <w:color w:val="000000"/>
          <w:lang w:val="en-US"/>
        </w:rPr>
        <w:t>S</w:t>
      </w:r>
      <w:r w:rsidRPr="009B3915">
        <w:rPr>
          <w:rFonts w:eastAsia="Times New Roman" w:cs="Arial"/>
          <w:color w:val="000000"/>
          <w:lang w:eastAsia="bg-BG"/>
        </w:rPr>
        <w:t>-</w:t>
      </w:r>
      <w:proofErr w:type="spellStart"/>
      <w:r w:rsidRPr="009B3915">
        <w:rPr>
          <w:rFonts w:eastAsia="Times New Roman" w:cs="Arial"/>
          <w:color w:val="000000"/>
          <w:lang w:eastAsia="bg-BG"/>
        </w:rPr>
        <w:t>варфарин</w:t>
      </w:r>
      <w:proofErr w:type="spellEnd"/>
      <w:r w:rsidRPr="009B3915">
        <w:rPr>
          <w:rFonts w:eastAsia="Times New Roman" w:cs="Arial"/>
          <w:color w:val="000000"/>
          <w:lang w:eastAsia="bg-BG"/>
        </w:rPr>
        <w:t xml:space="preserve">, както и техния ефект върху </w:t>
      </w:r>
      <w:proofErr w:type="spellStart"/>
      <w:r w:rsidRPr="009B3915">
        <w:rPr>
          <w:rFonts w:eastAsia="Times New Roman" w:cs="Arial"/>
          <w:color w:val="000000"/>
          <w:lang w:eastAsia="bg-BG"/>
        </w:rPr>
        <w:t>протромбиновото</w:t>
      </w:r>
      <w:proofErr w:type="spellEnd"/>
      <w:r w:rsidRPr="009B3915">
        <w:rPr>
          <w:rFonts w:eastAsia="Times New Roman" w:cs="Arial"/>
          <w:color w:val="000000"/>
          <w:lang w:eastAsia="bg-BG"/>
        </w:rPr>
        <w:t xml:space="preserve"> време.</w:t>
      </w:r>
    </w:p>
    <w:p w14:paraId="46A8328E" w14:textId="77777777" w:rsidR="009B3915" w:rsidRDefault="009B3915" w:rsidP="009B3915">
      <w:pPr>
        <w:spacing w:line="240" w:lineRule="auto"/>
        <w:rPr>
          <w:rFonts w:eastAsia="Times New Roman" w:cs="Arial"/>
          <w:i/>
          <w:iCs/>
          <w:color w:val="000000"/>
          <w:lang w:eastAsia="bg-BG"/>
        </w:rPr>
      </w:pPr>
    </w:p>
    <w:p w14:paraId="27FB1F02" w14:textId="34A55B31" w:rsidR="009B3915" w:rsidRPr="009B3915" w:rsidRDefault="009B3915" w:rsidP="009B3915">
      <w:pPr>
        <w:spacing w:line="240" w:lineRule="auto"/>
        <w:rPr>
          <w:rFonts w:eastAsia="Times New Roman" w:cs="Arial"/>
        </w:rPr>
      </w:pPr>
      <w:proofErr w:type="spellStart"/>
      <w:r w:rsidRPr="009B3915">
        <w:rPr>
          <w:rFonts w:eastAsia="Times New Roman" w:cs="Arial"/>
          <w:i/>
          <w:iCs/>
          <w:color w:val="000000"/>
          <w:lang w:eastAsia="bg-BG"/>
        </w:rPr>
        <w:t>Дигоксин</w:t>
      </w:r>
      <w:proofErr w:type="spellEnd"/>
    </w:p>
    <w:p w14:paraId="440195A2" w14:textId="3517B8AF" w:rsidR="009B3915" w:rsidRDefault="009B3915" w:rsidP="009B3915">
      <w:pPr>
        <w:rPr>
          <w:rFonts w:eastAsia="Times New Roman" w:cs="Arial"/>
          <w:color w:val="000000"/>
          <w:lang w:eastAsia="bg-BG"/>
        </w:rPr>
      </w:pPr>
      <w:r w:rsidRPr="009B3915">
        <w:rPr>
          <w:rFonts w:eastAsia="Times New Roman" w:cs="Arial"/>
          <w:color w:val="000000"/>
          <w:lang w:eastAsia="bg-BG"/>
        </w:rPr>
        <w:t xml:space="preserve">Приемът на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не оказва влияние върху фармакокинетиката на </w:t>
      </w:r>
      <w:proofErr w:type="spellStart"/>
      <w:r w:rsidRPr="009B3915">
        <w:rPr>
          <w:rFonts w:eastAsia="Times New Roman" w:cs="Arial"/>
          <w:color w:val="000000"/>
          <w:lang w:eastAsia="bg-BG"/>
        </w:rPr>
        <w:t>дигоксин</w:t>
      </w:r>
      <w:proofErr w:type="spellEnd"/>
      <w:r w:rsidRPr="009B3915">
        <w:rPr>
          <w:rFonts w:eastAsia="Times New Roman" w:cs="Arial"/>
          <w:color w:val="000000"/>
          <w:lang w:eastAsia="bg-BG"/>
        </w:rPr>
        <w:t>.</w:t>
      </w:r>
    </w:p>
    <w:p w14:paraId="28BD7B3A" w14:textId="77777777" w:rsidR="009B3915" w:rsidRPr="009B3915" w:rsidRDefault="009B3915" w:rsidP="009B3915">
      <w:pPr>
        <w:rPr>
          <w:rFonts w:cs="Arial"/>
        </w:rPr>
      </w:pPr>
    </w:p>
    <w:p w14:paraId="6EADE4D6" w14:textId="082D1952" w:rsidR="00395555" w:rsidRDefault="002C50EE" w:rsidP="008A6AF2">
      <w:pPr>
        <w:pStyle w:val="2"/>
      </w:pPr>
      <w:r>
        <w:t xml:space="preserve">4.6. </w:t>
      </w:r>
      <w:proofErr w:type="spellStart"/>
      <w:r>
        <w:t>Фертилитет</w:t>
      </w:r>
      <w:proofErr w:type="spellEnd"/>
      <w:r>
        <w:t>, бременност и кърмене</w:t>
      </w:r>
    </w:p>
    <w:p w14:paraId="45310993" w14:textId="05491B61" w:rsidR="009B3915" w:rsidRDefault="009B3915" w:rsidP="009B3915"/>
    <w:p w14:paraId="69D4B53C" w14:textId="77777777" w:rsidR="009B3915" w:rsidRPr="009B3915" w:rsidRDefault="009B3915" w:rsidP="009B3915">
      <w:pPr>
        <w:pStyle w:val="3"/>
        <w:rPr>
          <w:rFonts w:eastAsia="Times New Roman"/>
          <w:i/>
          <w:iCs/>
        </w:rPr>
      </w:pPr>
      <w:r w:rsidRPr="009B3915">
        <w:rPr>
          <w:rFonts w:eastAsia="Times New Roman"/>
          <w:i/>
          <w:iCs/>
          <w:lang w:eastAsia="bg-BG"/>
        </w:rPr>
        <w:t>Бременност</w:t>
      </w:r>
    </w:p>
    <w:p w14:paraId="60AC1CF2" w14:textId="6141C19A" w:rsidR="009B3915" w:rsidRPr="009B3915" w:rsidRDefault="009B3915" w:rsidP="009B3915">
      <w:pPr>
        <w:rPr>
          <w:rFonts w:eastAsia="Times New Roman" w:cs="Arial"/>
          <w:color w:val="000000"/>
          <w:lang w:eastAsia="bg-BG"/>
        </w:rPr>
      </w:pPr>
      <w:r w:rsidRPr="009B3915">
        <w:rPr>
          <w:rFonts w:eastAsia="Times New Roman" w:cs="Arial"/>
          <w:color w:val="000000"/>
          <w:lang w:eastAsia="bg-BG"/>
        </w:rPr>
        <w:t xml:space="preserve">Липсват данни от употребата на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при бременни жени. Проучванията при животни не показват пряко въздействие върху </w:t>
      </w:r>
      <w:proofErr w:type="spellStart"/>
      <w:r w:rsidRPr="009B3915">
        <w:rPr>
          <w:rFonts w:eastAsia="Times New Roman" w:cs="Arial"/>
          <w:color w:val="000000"/>
          <w:lang w:eastAsia="bg-BG"/>
        </w:rPr>
        <w:t>фертилитета</w:t>
      </w:r>
      <w:proofErr w:type="spellEnd"/>
      <w:r w:rsidRPr="009B3915">
        <w:rPr>
          <w:rFonts w:eastAsia="Times New Roman" w:cs="Arial"/>
          <w:color w:val="000000"/>
          <w:lang w:eastAsia="bg-BG"/>
        </w:rPr>
        <w:t>, ембрионалното/феталното развитие и върху раждането (виж точка 5.3). Потенциалният риск при хора не е известен. На бременни жени трябва да се предписва с повишено внимание.</w:t>
      </w:r>
    </w:p>
    <w:p w14:paraId="32AD26CF" w14:textId="37B6A253" w:rsidR="009B3915" w:rsidRPr="009B3915" w:rsidRDefault="009B3915" w:rsidP="009B3915">
      <w:pPr>
        <w:rPr>
          <w:rFonts w:eastAsia="Times New Roman" w:cs="Arial"/>
          <w:color w:val="000000"/>
          <w:lang w:eastAsia="bg-BG"/>
        </w:rPr>
      </w:pPr>
    </w:p>
    <w:p w14:paraId="551E5DB7" w14:textId="77777777" w:rsidR="009B3915" w:rsidRPr="009B3915" w:rsidRDefault="009B3915" w:rsidP="009B3915">
      <w:pPr>
        <w:pStyle w:val="3"/>
        <w:rPr>
          <w:rFonts w:eastAsia="Times New Roman"/>
          <w:i/>
          <w:iCs/>
        </w:rPr>
      </w:pPr>
      <w:r w:rsidRPr="009B3915">
        <w:rPr>
          <w:rFonts w:eastAsia="Times New Roman"/>
          <w:i/>
          <w:iCs/>
          <w:lang w:eastAsia="bg-BG"/>
        </w:rPr>
        <w:t>Кърмене</w:t>
      </w:r>
    </w:p>
    <w:p w14:paraId="08FE1F5C"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 xml:space="preserve">Няма данни за екскрецията на </w:t>
      </w:r>
      <w:proofErr w:type="spellStart"/>
      <w:r w:rsidRPr="009B3915">
        <w:rPr>
          <w:rFonts w:eastAsia="Times New Roman" w:cs="Arial"/>
          <w:color w:val="000000"/>
          <w:lang w:eastAsia="bg-BG"/>
        </w:rPr>
        <w:t>солифинацин</w:t>
      </w:r>
      <w:proofErr w:type="spellEnd"/>
      <w:r w:rsidRPr="009B3915">
        <w:rPr>
          <w:rFonts w:eastAsia="Times New Roman" w:cs="Arial"/>
          <w:color w:val="000000"/>
          <w:lang w:eastAsia="bg-BG"/>
        </w:rPr>
        <w:t xml:space="preserve"> в кърмата при хора. При мишки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и/или метаболитите му се </w:t>
      </w:r>
      <w:proofErr w:type="spellStart"/>
      <w:r w:rsidRPr="009B3915">
        <w:rPr>
          <w:rFonts w:eastAsia="Times New Roman" w:cs="Arial"/>
          <w:color w:val="000000"/>
          <w:lang w:eastAsia="bg-BG"/>
        </w:rPr>
        <w:t>екскретират</w:t>
      </w:r>
      <w:proofErr w:type="spellEnd"/>
      <w:r w:rsidRPr="009B3915">
        <w:rPr>
          <w:rFonts w:eastAsia="Times New Roman" w:cs="Arial"/>
          <w:color w:val="000000"/>
          <w:lang w:eastAsia="bg-BG"/>
        </w:rPr>
        <w:t xml:space="preserve"> в кърмата и предизвикват </w:t>
      </w:r>
      <w:proofErr w:type="spellStart"/>
      <w:r w:rsidRPr="009B3915">
        <w:rPr>
          <w:rFonts w:eastAsia="Times New Roman" w:cs="Arial"/>
          <w:color w:val="000000"/>
          <w:lang w:eastAsia="bg-BG"/>
        </w:rPr>
        <w:t>дозозависимо</w:t>
      </w:r>
      <w:proofErr w:type="spellEnd"/>
      <w:r w:rsidRPr="009B3915">
        <w:rPr>
          <w:rFonts w:eastAsia="Times New Roman" w:cs="Arial"/>
          <w:color w:val="000000"/>
          <w:lang w:eastAsia="bg-BG"/>
        </w:rPr>
        <w:t xml:space="preserve"> забавяне на растежа на новородените мишки (виж точка 5.3). По тази причина употребата на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Софарма трябва да се избягва в периода на кърмене.</w:t>
      </w:r>
    </w:p>
    <w:p w14:paraId="747E1CCC" w14:textId="77777777" w:rsidR="009B3915" w:rsidRPr="009B3915" w:rsidRDefault="009B3915" w:rsidP="009B3915"/>
    <w:p w14:paraId="5766770B" w14:textId="300E954B" w:rsidR="00395555" w:rsidRDefault="002C50EE" w:rsidP="008A6AF2">
      <w:pPr>
        <w:pStyle w:val="2"/>
      </w:pPr>
      <w:r>
        <w:t>4.7. Ефекти върху способността за шофиране и работа с машини</w:t>
      </w:r>
    </w:p>
    <w:p w14:paraId="3A8220B5" w14:textId="2D2D9E04" w:rsidR="009B3915" w:rsidRDefault="009B3915" w:rsidP="009B3915"/>
    <w:p w14:paraId="1E1E7641" w14:textId="77777777" w:rsidR="009B3915" w:rsidRPr="009B3915" w:rsidRDefault="009B3915" w:rsidP="009B3915">
      <w:pPr>
        <w:rPr>
          <w:sz w:val="24"/>
          <w:szCs w:val="24"/>
        </w:rPr>
      </w:pPr>
      <w:r w:rsidRPr="009B3915">
        <w:rPr>
          <w:lang w:eastAsia="bg-BG"/>
        </w:rPr>
        <w:t xml:space="preserve">Тъй като </w:t>
      </w:r>
      <w:proofErr w:type="spellStart"/>
      <w:r w:rsidRPr="009B3915">
        <w:rPr>
          <w:lang w:eastAsia="bg-BG"/>
        </w:rPr>
        <w:t>солифенацин</w:t>
      </w:r>
      <w:proofErr w:type="spellEnd"/>
      <w:r w:rsidRPr="009B3915">
        <w:rPr>
          <w:lang w:eastAsia="bg-BG"/>
        </w:rPr>
        <w:t xml:space="preserve">, както и другите </w:t>
      </w:r>
      <w:proofErr w:type="spellStart"/>
      <w:r w:rsidRPr="009B3915">
        <w:rPr>
          <w:lang w:eastAsia="bg-BG"/>
        </w:rPr>
        <w:t>антихолинергични</w:t>
      </w:r>
      <w:proofErr w:type="spellEnd"/>
      <w:r w:rsidRPr="009B3915">
        <w:rPr>
          <w:lang w:eastAsia="bg-BG"/>
        </w:rPr>
        <w:t xml:space="preserve"> средства, може да предизвика замъглено зрение и по- рядко сънливост и умора (виж точка 4.8 Нежелани реакции), ефектите върху способността за шофиране и работа с машини могат да бъдат нарушени.</w:t>
      </w:r>
    </w:p>
    <w:p w14:paraId="4A13C643" w14:textId="77777777" w:rsidR="009B3915" w:rsidRPr="009B3915" w:rsidRDefault="009B3915" w:rsidP="009B3915"/>
    <w:p w14:paraId="4FE16E21" w14:textId="11AB64E5" w:rsidR="00395555" w:rsidRDefault="002C50EE" w:rsidP="008A6AF2">
      <w:pPr>
        <w:pStyle w:val="2"/>
      </w:pPr>
      <w:r>
        <w:t>4.8. Нежелани лекарствени реакции</w:t>
      </w:r>
    </w:p>
    <w:p w14:paraId="774A7164" w14:textId="7DECFF1D" w:rsidR="009B3915" w:rsidRDefault="009B3915" w:rsidP="009B3915"/>
    <w:p w14:paraId="376FC0CE" w14:textId="77777777" w:rsidR="009B3915" w:rsidRPr="009B3915" w:rsidRDefault="009B3915" w:rsidP="009B3915">
      <w:pPr>
        <w:spacing w:line="240" w:lineRule="auto"/>
        <w:rPr>
          <w:rFonts w:eastAsia="Times New Roman" w:cs="Arial"/>
        </w:rPr>
      </w:pPr>
      <w:r w:rsidRPr="009B3915">
        <w:rPr>
          <w:rFonts w:eastAsia="Times New Roman" w:cs="Arial"/>
          <w:i/>
          <w:iCs/>
          <w:color w:val="000000"/>
          <w:lang w:eastAsia="bg-BG"/>
        </w:rPr>
        <w:t>Резюме на профила на безопасност</w:t>
      </w:r>
    </w:p>
    <w:p w14:paraId="554473A7" w14:textId="77777777" w:rsidR="009B3915" w:rsidRPr="009B3915" w:rsidRDefault="009B3915" w:rsidP="009B3915">
      <w:pPr>
        <w:spacing w:line="240" w:lineRule="auto"/>
        <w:rPr>
          <w:rFonts w:eastAsia="Times New Roman" w:cs="Arial"/>
        </w:rPr>
      </w:pPr>
      <w:proofErr w:type="spellStart"/>
      <w:r w:rsidRPr="009B3915">
        <w:rPr>
          <w:rFonts w:eastAsia="Times New Roman" w:cs="Arial"/>
          <w:color w:val="000000"/>
          <w:lang w:eastAsia="bg-BG"/>
        </w:rPr>
        <w:lastRenderedPageBreak/>
        <w:t>Солифенацин</w:t>
      </w:r>
      <w:proofErr w:type="spellEnd"/>
      <w:r w:rsidRPr="009B3915">
        <w:rPr>
          <w:rFonts w:eastAsia="Times New Roman" w:cs="Arial"/>
          <w:color w:val="000000"/>
          <w:lang w:eastAsia="bg-BG"/>
        </w:rPr>
        <w:t xml:space="preserve"> може да предизвика леки или умерени по тежест </w:t>
      </w:r>
      <w:proofErr w:type="spellStart"/>
      <w:r w:rsidRPr="009B3915">
        <w:rPr>
          <w:rFonts w:eastAsia="Times New Roman" w:cs="Arial"/>
          <w:color w:val="000000"/>
          <w:lang w:eastAsia="bg-BG"/>
        </w:rPr>
        <w:t>антихолинергични</w:t>
      </w:r>
      <w:proofErr w:type="spellEnd"/>
      <w:r w:rsidRPr="009B3915">
        <w:rPr>
          <w:rFonts w:eastAsia="Times New Roman" w:cs="Arial"/>
          <w:color w:val="000000"/>
          <w:lang w:eastAsia="bg-BG"/>
        </w:rPr>
        <w:t xml:space="preserve"> нежелани реакции. Честотата на </w:t>
      </w:r>
      <w:proofErr w:type="spellStart"/>
      <w:r w:rsidRPr="009B3915">
        <w:rPr>
          <w:rFonts w:eastAsia="Times New Roman" w:cs="Arial"/>
          <w:color w:val="000000"/>
          <w:lang w:eastAsia="bg-BG"/>
        </w:rPr>
        <w:t>антихолинергичните</w:t>
      </w:r>
      <w:proofErr w:type="spellEnd"/>
      <w:r w:rsidRPr="009B3915">
        <w:rPr>
          <w:rFonts w:eastAsia="Times New Roman" w:cs="Arial"/>
          <w:color w:val="000000"/>
          <w:lang w:eastAsia="bg-BG"/>
        </w:rPr>
        <w:t xml:space="preserve"> реакции е свързана с дозата.</w:t>
      </w:r>
    </w:p>
    <w:p w14:paraId="3E15BF2F"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 xml:space="preserve">Най-често съобщавана нежелана реакция на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е сухота в устата. Тя се появява при 11% от пациентите лекувани с дневна доза 5 </w:t>
      </w:r>
      <w:r w:rsidRPr="009B3915">
        <w:rPr>
          <w:rFonts w:eastAsia="Times New Roman" w:cs="Arial"/>
          <w:color w:val="000000"/>
          <w:lang w:val="en-US"/>
        </w:rPr>
        <w:t xml:space="preserve">mg, </w:t>
      </w:r>
      <w:r w:rsidRPr="009B3915">
        <w:rPr>
          <w:rFonts w:eastAsia="Times New Roman" w:cs="Arial"/>
          <w:color w:val="000000"/>
          <w:lang w:eastAsia="bg-BG"/>
        </w:rPr>
        <w:t xml:space="preserve">при 22% лекувани с доза 10 </w:t>
      </w:r>
      <w:r w:rsidRPr="009B3915">
        <w:rPr>
          <w:rFonts w:eastAsia="Times New Roman" w:cs="Arial"/>
          <w:color w:val="000000"/>
          <w:lang w:val="en-US"/>
        </w:rPr>
        <w:t xml:space="preserve">mg </w:t>
      </w:r>
      <w:r w:rsidRPr="009B3915">
        <w:rPr>
          <w:rFonts w:eastAsia="Times New Roman" w:cs="Arial"/>
          <w:color w:val="000000"/>
          <w:lang w:eastAsia="bg-BG"/>
        </w:rPr>
        <w:t>и при 4% от контролите с плацебо. Обичайно сухотата в устата е лека и само в редки случаи се е наложило прекратяване на лечението. Като цяло лекарственият продукт се приема много добре (при 99%) и приблизително 90% от пациентите са провели целия период от 12 седмично лечение по време на клиничното изпитване.</w:t>
      </w:r>
    </w:p>
    <w:p w14:paraId="790216CA" w14:textId="77777777" w:rsidR="009B3915" w:rsidRDefault="009B3915" w:rsidP="009B3915">
      <w:pPr>
        <w:spacing w:line="240" w:lineRule="auto"/>
        <w:rPr>
          <w:rFonts w:eastAsia="Times New Roman" w:cs="Arial"/>
          <w:b/>
          <w:bCs/>
          <w:i/>
          <w:iCs/>
          <w:color w:val="000000"/>
          <w:lang w:eastAsia="bg-BG"/>
        </w:rPr>
      </w:pPr>
    </w:p>
    <w:p w14:paraId="63544F08" w14:textId="603134BF" w:rsidR="009B3915" w:rsidRDefault="009B3915" w:rsidP="009B3915">
      <w:pPr>
        <w:spacing w:line="240" w:lineRule="auto"/>
        <w:rPr>
          <w:rFonts w:eastAsia="Times New Roman" w:cs="Arial"/>
          <w:b/>
          <w:bCs/>
          <w:i/>
          <w:iCs/>
          <w:color w:val="000000"/>
          <w:lang w:eastAsia="bg-BG"/>
        </w:rPr>
      </w:pPr>
      <w:r w:rsidRPr="009B3915">
        <w:rPr>
          <w:rFonts w:eastAsia="Times New Roman" w:cs="Arial"/>
          <w:b/>
          <w:bCs/>
          <w:i/>
          <w:iCs/>
          <w:color w:val="000000"/>
          <w:lang w:eastAsia="bg-BG"/>
        </w:rPr>
        <w:t>Списък на нежеланите реакции в табличен вид</w:t>
      </w:r>
    </w:p>
    <w:tbl>
      <w:tblPr>
        <w:tblStyle w:val="a4"/>
        <w:tblW w:w="0" w:type="auto"/>
        <w:tblLayout w:type="fixed"/>
        <w:tblLook w:val="04A0" w:firstRow="1" w:lastRow="0" w:firstColumn="1" w:lastColumn="0" w:noHBand="0" w:noVBand="1"/>
      </w:tblPr>
      <w:tblGrid>
        <w:gridCol w:w="1368"/>
        <w:gridCol w:w="1022"/>
        <w:gridCol w:w="1052"/>
        <w:gridCol w:w="1749"/>
        <w:gridCol w:w="1270"/>
        <w:gridCol w:w="1346"/>
        <w:gridCol w:w="1769"/>
      </w:tblGrid>
      <w:tr w:rsidR="009B3915" w14:paraId="08D80AB9" w14:textId="77777777" w:rsidTr="009B3915">
        <w:tc>
          <w:tcPr>
            <w:tcW w:w="1368" w:type="dxa"/>
          </w:tcPr>
          <w:p w14:paraId="79CC8818" w14:textId="2D523C4D" w:rsidR="009B3915" w:rsidRPr="009B3915" w:rsidRDefault="009B3915" w:rsidP="009B3915">
            <w:pPr>
              <w:spacing w:line="240" w:lineRule="auto"/>
              <w:rPr>
                <w:rFonts w:eastAsia="Times New Roman" w:cs="Arial"/>
              </w:rPr>
            </w:pPr>
            <w:proofErr w:type="spellStart"/>
            <w:r w:rsidRPr="009B3915">
              <w:rPr>
                <w:b/>
                <w:bCs/>
              </w:rPr>
              <w:t>Системо</w:t>
            </w:r>
            <w:proofErr w:type="spellEnd"/>
            <w:r w:rsidRPr="009B3915">
              <w:rPr>
                <w:b/>
                <w:bCs/>
              </w:rPr>
              <w:t xml:space="preserve">- органен клас по </w:t>
            </w:r>
            <w:proofErr w:type="spellStart"/>
            <w:r w:rsidRPr="009B3915">
              <w:rPr>
                <w:b/>
                <w:bCs/>
                <w:lang w:val="en-US"/>
              </w:rPr>
              <w:t>MedDra</w:t>
            </w:r>
            <w:proofErr w:type="spellEnd"/>
          </w:p>
        </w:tc>
        <w:tc>
          <w:tcPr>
            <w:tcW w:w="1022" w:type="dxa"/>
          </w:tcPr>
          <w:p w14:paraId="46E01D87" w14:textId="77777777" w:rsidR="009B3915" w:rsidRPr="009B3915" w:rsidRDefault="009B3915" w:rsidP="009B3915">
            <w:r w:rsidRPr="009B3915">
              <w:rPr>
                <w:b/>
                <w:bCs/>
              </w:rPr>
              <w:t>Много чести</w:t>
            </w:r>
          </w:p>
          <w:p w14:paraId="368DE739" w14:textId="1ED9AFCB" w:rsidR="009B3915" w:rsidRPr="009B3915" w:rsidRDefault="009B3915" w:rsidP="009B3915">
            <w:pPr>
              <w:spacing w:line="240" w:lineRule="auto"/>
              <w:rPr>
                <w:rFonts w:eastAsia="Times New Roman" w:cs="Arial"/>
              </w:rPr>
            </w:pPr>
            <w:r w:rsidRPr="009B3915">
              <w:rPr>
                <w:b/>
                <w:bCs/>
                <w:lang w:val="en-US"/>
              </w:rPr>
              <w:t>≥</w:t>
            </w:r>
            <w:r w:rsidRPr="009B3915">
              <w:rPr>
                <w:b/>
                <w:bCs/>
              </w:rPr>
              <w:t>1/10</w:t>
            </w:r>
          </w:p>
        </w:tc>
        <w:tc>
          <w:tcPr>
            <w:tcW w:w="1052" w:type="dxa"/>
          </w:tcPr>
          <w:p w14:paraId="2039B9DE" w14:textId="77777777" w:rsidR="009B3915" w:rsidRPr="009B3915" w:rsidRDefault="009B3915" w:rsidP="009B3915">
            <w:r w:rsidRPr="009B3915">
              <w:rPr>
                <w:b/>
                <w:bCs/>
              </w:rPr>
              <w:t>Чести</w:t>
            </w:r>
          </w:p>
          <w:p w14:paraId="7CEC3BC3" w14:textId="619C3930" w:rsidR="009B3915" w:rsidRPr="009B3915" w:rsidRDefault="009B3915" w:rsidP="009B3915">
            <w:pPr>
              <w:spacing w:line="240" w:lineRule="auto"/>
              <w:rPr>
                <w:rFonts w:eastAsia="Times New Roman" w:cs="Arial"/>
              </w:rPr>
            </w:pPr>
            <w:r w:rsidRPr="009B3915">
              <w:rPr>
                <w:b/>
                <w:bCs/>
                <w:lang w:val="en-US"/>
              </w:rPr>
              <w:t>≥</w:t>
            </w:r>
            <w:r w:rsidRPr="009B3915">
              <w:rPr>
                <w:b/>
                <w:bCs/>
              </w:rPr>
              <w:t>1/100, &lt;1/10</w:t>
            </w:r>
          </w:p>
        </w:tc>
        <w:tc>
          <w:tcPr>
            <w:tcW w:w="1749" w:type="dxa"/>
          </w:tcPr>
          <w:p w14:paraId="0DBDA1AD" w14:textId="414AC17A" w:rsidR="009B3915" w:rsidRPr="009B3915" w:rsidRDefault="009B3915" w:rsidP="009B3915">
            <w:pPr>
              <w:spacing w:line="240" w:lineRule="auto"/>
              <w:rPr>
                <w:rFonts w:eastAsia="Times New Roman" w:cs="Arial"/>
              </w:rPr>
            </w:pPr>
            <w:r w:rsidRPr="009B3915">
              <w:rPr>
                <w:b/>
                <w:bCs/>
              </w:rPr>
              <w:t xml:space="preserve">Нечести </w:t>
            </w:r>
            <w:r w:rsidRPr="009B3915">
              <w:rPr>
                <w:b/>
                <w:bCs/>
                <w:lang w:val="en-US"/>
              </w:rPr>
              <w:t>≥</w:t>
            </w:r>
            <w:r w:rsidRPr="009B3915">
              <w:rPr>
                <w:b/>
                <w:bCs/>
              </w:rPr>
              <w:t>1/1000, &lt;1/100</w:t>
            </w:r>
          </w:p>
        </w:tc>
        <w:tc>
          <w:tcPr>
            <w:tcW w:w="1270" w:type="dxa"/>
          </w:tcPr>
          <w:p w14:paraId="3EF02AD0" w14:textId="6BED3365" w:rsidR="009B3915" w:rsidRPr="009B3915" w:rsidRDefault="009B3915" w:rsidP="009B3915">
            <w:pPr>
              <w:spacing w:line="240" w:lineRule="auto"/>
              <w:rPr>
                <w:rFonts w:eastAsia="Times New Roman" w:cs="Arial"/>
              </w:rPr>
            </w:pPr>
            <w:r w:rsidRPr="009B3915">
              <w:rPr>
                <w:b/>
                <w:bCs/>
              </w:rPr>
              <w:t xml:space="preserve">Редки </w:t>
            </w:r>
            <w:r w:rsidRPr="009B3915">
              <w:rPr>
                <w:b/>
                <w:bCs/>
                <w:lang w:val="en-US"/>
              </w:rPr>
              <w:t>≥</w:t>
            </w:r>
            <w:r w:rsidRPr="009B3915">
              <w:rPr>
                <w:b/>
                <w:bCs/>
              </w:rPr>
              <w:t>1/10000, &lt;1/1000</w:t>
            </w:r>
          </w:p>
        </w:tc>
        <w:tc>
          <w:tcPr>
            <w:tcW w:w="1346" w:type="dxa"/>
          </w:tcPr>
          <w:p w14:paraId="1EA7338C" w14:textId="05D98DE0" w:rsidR="009B3915" w:rsidRPr="009B3915" w:rsidRDefault="009B3915" w:rsidP="009B3915">
            <w:pPr>
              <w:spacing w:line="240" w:lineRule="auto"/>
              <w:rPr>
                <w:rFonts w:eastAsia="Times New Roman" w:cs="Arial"/>
              </w:rPr>
            </w:pPr>
            <w:r w:rsidRPr="009B3915">
              <w:rPr>
                <w:b/>
                <w:bCs/>
              </w:rPr>
              <w:t>Много редки &lt;1/10000</w:t>
            </w:r>
          </w:p>
        </w:tc>
        <w:tc>
          <w:tcPr>
            <w:tcW w:w="1769" w:type="dxa"/>
          </w:tcPr>
          <w:p w14:paraId="0F714E5D" w14:textId="0624784F" w:rsidR="009B3915" w:rsidRPr="009B3915" w:rsidRDefault="009B3915" w:rsidP="009B3915">
            <w:pPr>
              <w:spacing w:line="240" w:lineRule="auto"/>
              <w:rPr>
                <w:rFonts w:eastAsia="Times New Roman" w:cs="Arial"/>
              </w:rPr>
            </w:pPr>
            <w:r w:rsidRPr="009B3915">
              <w:rPr>
                <w:b/>
                <w:bCs/>
              </w:rPr>
              <w:t>С неизвестна честота (от наличните данни не може да се направи оценка)</w:t>
            </w:r>
          </w:p>
        </w:tc>
      </w:tr>
      <w:tr w:rsidR="009B3915" w14:paraId="2A0CF646" w14:textId="77777777" w:rsidTr="009B3915">
        <w:tc>
          <w:tcPr>
            <w:tcW w:w="1368" w:type="dxa"/>
          </w:tcPr>
          <w:p w14:paraId="632012E0" w14:textId="40282F70" w:rsidR="009B3915" w:rsidRPr="009B3915" w:rsidRDefault="009B3915" w:rsidP="009B3915">
            <w:pPr>
              <w:spacing w:line="240" w:lineRule="auto"/>
              <w:rPr>
                <w:rFonts w:eastAsia="Times New Roman" w:cs="Arial"/>
              </w:rPr>
            </w:pPr>
            <w:r w:rsidRPr="009B3915">
              <w:t xml:space="preserve">Инфекции и </w:t>
            </w:r>
            <w:proofErr w:type="spellStart"/>
            <w:r w:rsidRPr="009B3915">
              <w:t>инфестации</w:t>
            </w:r>
            <w:proofErr w:type="spellEnd"/>
          </w:p>
        </w:tc>
        <w:tc>
          <w:tcPr>
            <w:tcW w:w="1022" w:type="dxa"/>
          </w:tcPr>
          <w:p w14:paraId="60811A01" w14:textId="77777777" w:rsidR="009B3915" w:rsidRPr="009B3915" w:rsidRDefault="009B3915" w:rsidP="009B3915">
            <w:pPr>
              <w:spacing w:line="240" w:lineRule="auto"/>
              <w:rPr>
                <w:rFonts w:eastAsia="Times New Roman" w:cs="Arial"/>
              </w:rPr>
            </w:pPr>
          </w:p>
        </w:tc>
        <w:tc>
          <w:tcPr>
            <w:tcW w:w="1052" w:type="dxa"/>
          </w:tcPr>
          <w:p w14:paraId="53CF7127" w14:textId="77777777" w:rsidR="009B3915" w:rsidRPr="009B3915" w:rsidRDefault="009B3915" w:rsidP="009B3915">
            <w:pPr>
              <w:spacing w:line="240" w:lineRule="auto"/>
              <w:rPr>
                <w:rFonts w:eastAsia="Times New Roman" w:cs="Arial"/>
              </w:rPr>
            </w:pPr>
          </w:p>
        </w:tc>
        <w:tc>
          <w:tcPr>
            <w:tcW w:w="1749" w:type="dxa"/>
          </w:tcPr>
          <w:p w14:paraId="5834C85F" w14:textId="60B0B321" w:rsidR="009B3915" w:rsidRPr="009B3915" w:rsidRDefault="009B3915" w:rsidP="009B3915">
            <w:pPr>
              <w:spacing w:line="240" w:lineRule="auto"/>
              <w:rPr>
                <w:rFonts w:eastAsia="Times New Roman" w:cs="Arial"/>
              </w:rPr>
            </w:pPr>
            <w:r w:rsidRPr="009B3915">
              <w:t>Инфекции на пикочните пътища Цистит</w:t>
            </w:r>
          </w:p>
        </w:tc>
        <w:tc>
          <w:tcPr>
            <w:tcW w:w="1270" w:type="dxa"/>
          </w:tcPr>
          <w:p w14:paraId="7BF7D13B" w14:textId="77777777" w:rsidR="009B3915" w:rsidRPr="009B3915" w:rsidRDefault="009B3915" w:rsidP="009B3915">
            <w:pPr>
              <w:spacing w:line="240" w:lineRule="auto"/>
              <w:rPr>
                <w:rFonts w:eastAsia="Times New Roman" w:cs="Arial"/>
              </w:rPr>
            </w:pPr>
          </w:p>
        </w:tc>
        <w:tc>
          <w:tcPr>
            <w:tcW w:w="1346" w:type="dxa"/>
          </w:tcPr>
          <w:p w14:paraId="6D22B3C6" w14:textId="77777777" w:rsidR="009B3915" w:rsidRPr="009B3915" w:rsidRDefault="009B3915" w:rsidP="009B3915">
            <w:pPr>
              <w:spacing w:line="240" w:lineRule="auto"/>
              <w:rPr>
                <w:rFonts w:eastAsia="Times New Roman" w:cs="Arial"/>
              </w:rPr>
            </w:pPr>
          </w:p>
        </w:tc>
        <w:tc>
          <w:tcPr>
            <w:tcW w:w="1769" w:type="dxa"/>
          </w:tcPr>
          <w:p w14:paraId="6757B022" w14:textId="75D4D1DA" w:rsidR="009B3915" w:rsidRPr="009B3915" w:rsidRDefault="009B3915" w:rsidP="009B3915">
            <w:pPr>
              <w:spacing w:line="240" w:lineRule="auto"/>
              <w:rPr>
                <w:rFonts w:eastAsia="Times New Roman" w:cs="Arial"/>
              </w:rPr>
            </w:pPr>
            <w:proofErr w:type="spellStart"/>
            <w:r w:rsidRPr="009B3915">
              <w:t>Анафилактични</w:t>
            </w:r>
            <w:proofErr w:type="spellEnd"/>
            <w:r w:rsidRPr="009B3915">
              <w:t xml:space="preserve"> реакции*</w:t>
            </w:r>
          </w:p>
        </w:tc>
      </w:tr>
      <w:tr w:rsidR="009B3915" w14:paraId="5247EF0F" w14:textId="77777777" w:rsidTr="009B3915">
        <w:tc>
          <w:tcPr>
            <w:tcW w:w="1368" w:type="dxa"/>
          </w:tcPr>
          <w:p w14:paraId="4E50A0D0" w14:textId="0083825F" w:rsidR="009B3915" w:rsidRPr="009B3915" w:rsidRDefault="009B3915" w:rsidP="009B3915">
            <w:pPr>
              <w:spacing w:line="240" w:lineRule="auto"/>
              <w:rPr>
                <w:rFonts w:eastAsia="Times New Roman" w:cs="Arial"/>
              </w:rPr>
            </w:pPr>
            <w:r w:rsidRPr="009B3915">
              <w:t>Нарушения на имунната система</w:t>
            </w:r>
          </w:p>
        </w:tc>
        <w:tc>
          <w:tcPr>
            <w:tcW w:w="1022" w:type="dxa"/>
          </w:tcPr>
          <w:p w14:paraId="06362D0C" w14:textId="77777777" w:rsidR="009B3915" w:rsidRPr="009B3915" w:rsidRDefault="009B3915" w:rsidP="009B3915">
            <w:pPr>
              <w:spacing w:line="240" w:lineRule="auto"/>
              <w:rPr>
                <w:rFonts w:eastAsia="Times New Roman" w:cs="Arial"/>
              </w:rPr>
            </w:pPr>
          </w:p>
        </w:tc>
        <w:tc>
          <w:tcPr>
            <w:tcW w:w="1052" w:type="dxa"/>
          </w:tcPr>
          <w:p w14:paraId="676AE4E6" w14:textId="77777777" w:rsidR="009B3915" w:rsidRPr="009B3915" w:rsidRDefault="009B3915" w:rsidP="009B3915">
            <w:pPr>
              <w:spacing w:line="240" w:lineRule="auto"/>
              <w:rPr>
                <w:rFonts w:eastAsia="Times New Roman" w:cs="Arial"/>
              </w:rPr>
            </w:pPr>
          </w:p>
        </w:tc>
        <w:tc>
          <w:tcPr>
            <w:tcW w:w="1749" w:type="dxa"/>
          </w:tcPr>
          <w:p w14:paraId="0ADC2699" w14:textId="77777777" w:rsidR="009B3915" w:rsidRPr="009B3915" w:rsidRDefault="009B3915" w:rsidP="009B3915">
            <w:pPr>
              <w:spacing w:line="240" w:lineRule="auto"/>
              <w:rPr>
                <w:rFonts w:eastAsia="Times New Roman" w:cs="Arial"/>
              </w:rPr>
            </w:pPr>
          </w:p>
        </w:tc>
        <w:tc>
          <w:tcPr>
            <w:tcW w:w="1270" w:type="dxa"/>
          </w:tcPr>
          <w:p w14:paraId="3AC1634B" w14:textId="77777777" w:rsidR="009B3915" w:rsidRPr="009B3915" w:rsidRDefault="009B3915" w:rsidP="009B3915">
            <w:pPr>
              <w:spacing w:line="240" w:lineRule="auto"/>
              <w:rPr>
                <w:rFonts w:eastAsia="Times New Roman" w:cs="Arial"/>
              </w:rPr>
            </w:pPr>
          </w:p>
        </w:tc>
        <w:tc>
          <w:tcPr>
            <w:tcW w:w="1346" w:type="dxa"/>
          </w:tcPr>
          <w:p w14:paraId="280B186D" w14:textId="77777777" w:rsidR="009B3915" w:rsidRPr="009B3915" w:rsidRDefault="009B3915" w:rsidP="009B3915">
            <w:pPr>
              <w:spacing w:line="240" w:lineRule="auto"/>
              <w:rPr>
                <w:rFonts w:eastAsia="Times New Roman" w:cs="Arial"/>
              </w:rPr>
            </w:pPr>
          </w:p>
        </w:tc>
        <w:tc>
          <w:tcPr>
            <w:tcW w:w="1769" w:type="dxa"/>
          </w:tcPr>
          <w:p w14:paraId="4CB4E1D1" w14:textId="77777777" w:rsidR="009B3915" w:rsidRPr="009B3915" w:rsidRDefault="009B3915" w:rsidP="009B3915">
            <w:pPr>
              <w:spacing w:line="240" w:lineRule="auto"/>
              <w:rPr>
                <w:rFonts w:eastAsia="Times New Roman" w:cs="Arial"/>
              </w:rPr>
            </w:pPr>
          </w:p>
        </w:tc>
      </w:tr>
      <w:tr w:rsidR="009B3915" w14:paraId="0048EEB6" w14:textId="77777777" w:rsidTr="009B3915">
        <w:tc>
          <w:tcPr>
            <w:tcW w:w="1368" w:type="dxa"/>
          </w:tcPr>
          <w:p w14:paraId="2CAAEE03" w14:textId="502D38D3" w:rsidR="009B3915" w:rsidRPr="009B3915" w:rsidRDefault="009B3915" w:rsidP="009B3915">
            <w:pPr>
              <w:spacing w:line="240" w:lineRule="auto"/>
              <w:rPr>
                <w:rFonts w:eastAsia="Times New Roman" w:cs="Arial"/>
              </w:rPr>
            </w:pPr>
            <w:r w:rsidRPr="009B3915">
              <w:t>Нарушения на метаболизма и храненето</w:t>
            </w:r>
          </w:p>
        </w:tc>
        <w:tc>
          <w:tcPr>
            <w:tcW w:w="1022" w:type="dxa"/>
          </w:tcPr>
          <w:p w14:paraId="3479C195" w14:textId="77777777" w:rsidR="009B3915" w:rsidRPr="009B3915" w:rsidRDefault="009B3915" w:rsidP="009B3915">
            <w:pPr>
              <w:spacing w:line="240" w:lineRule="auto"/>
              <w:rPr>
                <w:rFonts w:eastAsia="Times New Roman" w:cs="Arial"/>
              </w:rPr>
            </w:pPr>
          </w:p>
        </w:tc>
        <w:tc>
          <w:tcPr>
            <w:tcW w:w="1052" w:type="dxa"/>
          </w:tcPr>
          <w:p w14:paraId="3E043876" w14:textId="77777777" w:rsidR="009B3915" w:rsidRPr="009B3915" w:rsidRDefault="009B3915" w:rsidP="009B3915">
            <w:pPr>
              <w:spacing w:line="240" w:lineRule="auto"/>
              <w:rPr>
                <w:rFonts w:eastAsia="Times New Roman" w:cs="Arial"/>
              </w:rPr>
            </w:pPr>
          </w:p>
        </w:tc>
        <w:tc>
          <w:tcPr>
            <w:tcW w:w="1749" w:type="dxa"/>
          </w:tcPr>
          <w:p w14:paraId="42F6DDB6" w14:textId="77777777" w:rsidR="009B3915" w:rsidRPr="009B3915" w:rsidRDefault="009B3915" w:rsidP="009B3915">
            <w:pPr>
              <w:spacing w:line="240" w:lineRule="auto"/>
              <w:rPr>
                <w:rFonts w:eastAsia="Times New Roman" w:cs="Arial"/>
              </w:rPr>
            </w:pPr>
          </w:p>
        </w:tc>
        <w:tc>
          <w:tcPr>
            <w:tcW w:w="1270" w:type="dxa"/>
          </w:tcPr>
          <w:p w14:paraId="13A4569A" w14:textId="77777777" w:rsidR="009B3915" w:rsidRPr="009B3915" w:rsidRDefault="009B3915" w:rsidP="009B3915">
            <w:pPr>
              <w:spacing w:line="240" w:lineRule="auto"/>
              <w:rPr>
                <w:rFonts w:eastAsia="Times New Roman" w:cs="Arial"/>
              </w:rPr>
            </w:pPr>
          </w:p>
        </w:tc>
        <w:tc>
          <w:tcPr>
            <w:tcW w:w="1346" w:type="dxa"/>
          </w:tcPr>
          <w:p w14:paraId="229B105D" w14:textId="77777777" w:rsidR="009B3915" w:rsidRPr="009B3915" w:rsidRDefault="009B3915" w:rsidP="009B3915">
            <w:pPr>
              <w:spacing w:line="240" w:lineRule="auto"/>
              <w:rPr>
                <w:rFonts w:eastAsia="Times New Roman" w:cs="Arial"/>
              </w:rPr>
            </w:pPr>
          </w:p>
        </w:tc>
        <w:tc>
          <w:tcPr>
            <w:tcW w:w="1769" w:type="dxa"/>
          </w:tcPr>
          <w:p w14:paraId="31CF7F07" w14:textId="71E9C6F9" w:rsidR="009B3915" w:rsidRPr="009B3915" w:rsidRDefault="009B3915" w:rsidP="009B3915">
            <w:pPr>
              <w:spacing w:line="240" w:lineRule="auto"/>
              <w:rPr>
                <w:rFonts w:eastAsia="Times New Roman" w:cs="Arial"/>
              </w:rPr>
            </w:pPr>
            <w:r w:rsidRPr="009B3915">
              <w:t xml:space="preserve">Понижен апетит* </w:t>
            </w:r>
            <w:proofErr w:type="spellStart"/>
            <w:r w:rsidRPr="009B3915">
              <w:t>Хиперкалиемия</w:t>
            </w:r>
            <w:proofErr w:type="spellEnd"/>
            <w:r w:rsidRPr="009B3915">
              <w:t xml:space="preserve"> *</w:t>
            </w:r>
          </w:p>
        </w:tc>
      </w:tr>
      <w:tr w:rsidR="009B3915" w14:paraId="6FD5BABA" w14:textId="77777777" w:rsidTr="009B3915">
        <w:tc>
          <w:tcPr>
            <w:tcW w:w="1368" w:type="dxa"/>
          </w:tcPr>
          <w:p w14:paraId="08FA7451" w14:textId="30833F56" w:rsidR="009B3915" w:rsidRPr="009B3915" w:rsidRDefault="009B3915" w:rsidP="009B3915">
            <w:pPr>
              <w:spacing w:line="240" w:lineRule="auto"/>
              <w:rPr>
                <w:rFonts w:eastAsia="Times New Roman" w:cs="Arial"/>
              </w:rPr>
            </w:pPr>
            <w:r w:rsidRPr="009B3915">
              <w:t>Психични нарушения</w:t>
            </w:r>
          </w:p>
        </w:tc>
        <w:tc>
          <w:tcPr>
            <w:tcW w:w="1022" w:type="dxa"/>
          </w:tcPr>
          <w:p w14:paraId="0B4D03C0" w14:textId="77777777" w:rsidR="009B3915" w:rsidRPr="009B3915" w:rsidRDefault="009B3915" w:rsidP="009B3915">
            <w:pPr>
              <w:spacing w:line="240" w:lineRule="auto"/>
              <w:rPr>
                <w:rFonts w:eastAsia="Times New Roman" w:cs="Arial"/>
              </w:rPr>
            </w:pPr>
          </w:p>
        </w:tc>
        <w:tc>
          <w:tcPr>
            <w:tcW w:w="1052" w:type="dxa"/>
          </w:tcPr>
          <w:p w14:paraId="249580B5" w14:textId="77777777" w:rsidR="009B3915" w:rsidRPr="009B3915" w:rsidRDefault="009B3915" w:rsidP="009B3915">
            <w:pPr>
              <w:spacing w:line="240" w:lineRule="auto"/>
              <w:rPr>
                <w:rFonts w:eastAsia="Times New Roman" w:cs="Arial"/>
              </w:rPr>
            </w:pPr>
          </w:p>
        </w:tc>
        <w:tc>
          <w:tcPr>
            <w:tcW w:w="1749" w:type="dxa"/>
          </w:tcPr>
          <w:p w14:paraId="16777188" w14:textId="77777777" w:rsidR="009B3915" w:rsidRPr="009B3915" w:rsidRDefault="009B3915" w:rsidP="009B3915">
            <w:pPr>
              <w:spacing w:line="240" w:lineRule="auto"/>
              <w:rPr>
                <w:rFonts w:eastAsia="Times New Roman" w:cs="Arial"/>
              </w:rPr>
            </w:pPr>
          </w:p>
        </w:tc>
        <w:tc>
          <w:tcPr>
            <w:tcW w:w="1270" w:type="dxa"/>
          </w:tcPr>
          <w:p w14:paraId="7F4B2FD1" w14:textId="77777777" w:rsidR="009B3915" w:rsidRPr="009B3915" w:rsidRDefault="009B3915" w:rsidP="009B3915">
            <w:pPr>
              <w:spacing w:line="240" w:lineRule="auto"/>
              <w:rPr>
                <w:rFonts w:eastAsia="Times New Roman" w:cs="Arial"/>
              </w:rPr>
            </w:pPr>
          </w:p>
        </w:tc>
        <w:tc>
          <w:tcPr>
            <w:tcW w:w="1346" w:type="dxa"/>
          </w:tcPr>
          <w:p w14:paraId="027654B9" w14:textId="362189E7" w:rsidR="009B3915" w:rsidRPr="009B3915" w:rsidRDefault="009B3915" w:rsidP="009B3915">
            <w:pPr>
              <w:spacing w:line="240" w:lineRule="auto"/>
              <w:rPr>
                <w:rFonts w:eastAsia="Times New Roman" w:cs="Arial"/>
              </w:rPr>
            </w:pPr>
            <w:proofErr w:type="spellStart"/>
            <w:r w:rsidRPr="009B3915">
              <w:t>Халюцинац</w:t>
            </w:r>
            <w:proofErr w:type="spellEnd"/>
            <w:r w:rsidRPr="009B3915">
              <w:t xml:space="preserve"> </w:t>
            </w:r>
            <w:proofErr w:type="spellStart"/>
            <w:r w:rsidRPr="009B3915">
              <w:t>ии</w:t>
            </w:r>
            <w:proofErr w:type="spellEnd"/>
            <w:r w:rsidRPr="009B3915">
              <w:t>* Състояния на обърканост *</w:t>
            </w:r>
          </w:p>
        </w:tc>
        <w:tc>
          <w:tcPr>
            <w:tcW w:w="1769" w:type="dxa"/>
          </w:tcPr>
          <w:p w14:paraId="109CF0FC" w14:textId="3FB43D95" w:rsidR="009B3915" w:rsidRPr="009B3915" w:rsidRDefault="009B3915" w:rsidP="009B3915">
            <w:pPr>
              <w:spacing w:line="240" w:lineRule="auto"/>
              <w:rPr>
                <w:rFonts w:eastAsia="Times New Roman" w:cs="Arial"/>
              </w:rPr>
            </w:pPr>
            <w:r w:rsidRPr="009B3915">
              <w:t>Делириум*</w:t>
            </w:r>
          </w:p>
        </w:tc>
      </w:tr>
      <w:tr w:rsidR="009B3915" w14:paraId="270E9654" w14:textId="77777777" w:rsidTr="009B3915">
        <w:tc>
          <w:tcPr>
            <w:tcW w:w="1368" w:type="dxa"/>
          </w:tcPr>
          <w:p w14:paraId="756977D7" w14:textId="7F561461" w:rsidR="009B3915" w:rsidRPr="009B3915" w:rsidRDefault="009B3915" w:rsidP="009B3915">
            <w:pPr>
              <w:spacing w:line="240" w:lineRule="auto"/>
              <w:rPr>
                <w:rFonts w:eastAsia="Times New Roman" w:cs="Arial"/>
              </w:rPr>
            </w:pPr>
            <w:r w:rsidRPr="009B3915">
              <w:t>Нарушения на нервната система</w:t>
            </w:r>
          </w:p>
        </w:tc>
        <w:tc>
          <w:tcPr>
            <w:tcW w:w="1022" w:type="dxa"/>
          </w:tcPr>
          <w:p w14:paraId="6A276020" w14:textId="77777777" w:rsidR="009B3915" w:rsidRPr="009B3915" w:rsidRDefault="009B3915" w:rsidP="009B3915">
            <w:pPr>
              <w:spacing w:line="240" w:lineRule="auto"/>
              <w:rPr>
                <w:rFonts w:eastAsia="Times New Roman" w:cs="Arial"/>
              </w:rPr>
            </w:pPr>
          </w:p>
        </w:tc>
        <w:tc>
          <w:tcPr>
            <w:tcW w:w="1052" w:type="dxa"/>
          </w:tcPr>
          <w:p w14:paraId="039F908F" w14:textId="77777777" w:rsidR="009B3915" w:rsidRPr="009B3915" w:rsidRDefault="009B3915" w:rsidP="009B3915">
            <w:pPr>
              <w:spacing w:line="240" w:lineRule="auto"/>
              <w:rPr>
                <w:rFonts w:eastAsia="Times New Roman" w:cs="Arial"/>
              </w:rPr>
            </w:pPr>
          </w:p>
        </w:tc>
        <w:tc>
          <w:tcPr>
            <w:tcW w:w="1749" w:type="dxa"/>
          </w:tcPr>
          <w:p w14:paraId="1B7964C4" w14:textId="4F6352F9" w:rsidR="009B3915" w:rsidRPr="009B3915" w:rsidRDefault="009B3915" w:rsidP="009B3915">
            <w:proofErr w:type="spellStart"/>
            <w:r w:rsidRPr="009B3915">
              <w:t>Сомнолентност</w:t>
            </w:r>
            <w:proofErr w:type="spellEnd"/>
            <w:r>
              <w:rPr>
                <w:lang w:val="en-US"/>
              </w:rPr>
              <w:t xml:space="preserve"> </w:t>
            </w:r>
            <w:proofErr w:type="spellStart"/>
            <w:r w:rsidRPr="009B3915">
              <w:t>Дисгуезия</w:t>
            </w:r>
            <w:proofErr w:type="spellEnd"/>
          </w:p>
        </w:tc>
        <w:tc>
          <w:tcPr>
            <w:tcW w:w="1270" w:type="dxa"/>
          </w:tcPr>
          <w:p w14:paraId="543D0246" w14:textId="77777777" w:rsidR="009B3915" w:rsidRPr="009B3915" w:rsidRDefault="009B3915" w:rsidP="009B3915">
            <w:r w:rsidRPr="009B3915">
              <w:t>Замаяност</w:t>
            </w:r>
          </w:p>
          <w:p w14:paraId="438D0DF9" w14:textId="77777777" w:rsidR="009B3915" w:rsidRPr="009B3915" w:rsidRDefault="009B3915" w:rsidP="009B3915">
            <w:r w:rsidRPr="009B3915">
              <w:t>*</w:t>
            </w:r>
          </w:p>
          <w:p w14:paraId="1B1B6A21" w14:textId="155DDB6E" w:rsidR="009B3915" w:rsidRPr="009B3915" w:rsidRDefault="009B3915" w:rsidP="009B3915">
            <w:pPr>
              <w:spacing w:line="240" w:lineRule="auto"/>
              <w:rPr>
                <w:rFonts w:eastAsia="Times New Roman" w:cs="Arial"/>
              </w:rPr>
            </w:pPr>
            <w:r w:rsidRPr="009B3915">
              <w:t xml:space="preserve">Главобол </w:t>
            </w:r>
            <w:proofErr w:type="spellStart"/>
            <w:r w:rsidRPr="009B3915">
              <w:t>ие</w:t>
            </w:r>
            <w:proofErr w:type="spellEnd"/>
            <w:r w:rsidRPr="009B3915">
              <w:t>*</w:t>
            </w:r>
          </w:p>
        </w:tc>
        <w:tc>
          <w:tcPr>
            <w:tcW w:w="1346" w:type="dxa"/>
          </w:tcPr>
          <w:p w14:paraId="05C32CF0" w14:textId="77777777" w:rsidR="009B3915" w:rsidRPr="009B3915" w:rsidRDefault="009B3915" w:rsidP="009B3915">
            <w:pPr>
              <w:spacing w:line="240" w:lineRule="auto"/>
              <w:rPr>
                <w:rFonts w:eastAsia="Times New Roman" w:cs="Arial"/>
              </w:rPr>
            </w:pPr>
          </w:p>
        </w:tc>
        <w:tc>
          <w:tcPr>
            <w:tcW w:w="1769" w:type="dxa"/>
          </w:tcPr>
          <w:p w14:paraId="2B9FA877" w14:textId="77777777" w:rsidR="009B3915" w:rsidRPr="009B3915" w:rsidRDefault="009B3915" w:rsidP="009B3915">
            <w:pPr>
              <w:spacing w:line="240" w:lineRule="auto"/>
              <w:rPr>
                <w:rFonts w:eastAsia="Times New Roman" w:cs="Arial"/>
              </w:rPr>
            </w:pPr>
          </w:p>
        </w:tc>
      </w:tr>
      <w:tr w:rsidR="009B3915" w14:paraId="2570D118" w14:textId="77777777" w:rsidTr="009B3915">
        <w:tc>
          <w:tcPr>
            <w:tcW w:w="1368" w:type="dxa"/>
          </w:tcPr>
          <w:p w14:paraId="75A9D7B9" w14:textId="4CB7D9DC" w:rsidR="009B3915" w:rsidRPr="009B3915" w:rsidRDefault="009B3915" w:rsidP="009B3915">
            <w:pPr>
              <w:spacing w:line="240" w:lineRule="auto"/>
              <w:rPr>
                <w:rFonts w:eastAsia="Times New Roman" w:cs="Arial"/>
              </w:rPr>
            </w:pPr>
            <w:r w:rsidRPr="009B3915">
              <w:t>Нарушения на очите</w:t>
            </w:r>
          </w:p>
        </w:tc>
        <w:tc>
          <w:tcPr>
            <w:tcW w:w="1022" w:type="dxa"/>
          </w:tcPr>
          <w:p w14:paraId="0FC5D1CA" w14:textId="77777777" w:rsidR="009B3915" w:rsidRPr="009B3915" w:rsidRDefault="009B3915" w:rsidP="009B3915">
            <w:pPr>
              <w:spacing w:line="240" w:lineRule="auto"/>
              <w:rPr>
                <w:rFonts w:eastAsia="Times New Roman" w:cs="Arial"/>
              </w:rPr>
            </w:pPr>
          </w:p>
        </w:tc>
        <w:tc>
          <w:tcPr>
            <w:tcW w:w="1052" w:type="dxa"/>
          </w:tcPr>
          <w:p w14:paraId="330DF658" w14:textId="442DB107" w:rsidR="009B3915" w:rsidRPr="009B3915" w:rsidRDefault="009B3915" w:rsidP="009B3915">
            <w:pPr>
              <w:spacing w:line="240" w:lineRule="auto"/>
              <w:rPr>
                <w:rFonts w:eastAsia="Times New Roman" w:cs="Arial"/>
              </w:rPr>
            </w:pPr>
            <w:proofErr w:type="spellStart"/>
            <w:r w:rsidRPr="009B3915">
              <w:t>Замъгле</w:t>
            </w:r>
            <w:proofErr w:type="spellEnd"/>
            <w:r w:rsidRPr="009B3915">
              <w:t xml:space="preserve"> но зрение</w:t>
            </w:r>
          </w:p>
        </w:tc>
        <w:tc>
          <w:tcPr>
            <w:tcW w:w="1749" w:type="dxa"/>
          </w:tcPr>
          <w:p w14:paraId="39B05E25" w14:textId="27ED26CC" w:rsidR="009B3915" w:rsidRPr="009B3915" w:rsidRDefault="009B3915" w:rsidP="009B3915">
            <w:pPr>
              <w:spacing w:line="240" w:lineRule="auto"/>
              <w:rPr>
                <w:rFonts w:eastAsia="Times New Roman" w:cs="Arial"/>
              </w:rPr>
            </w:pPr>
            <w:r w:rsidRPr="009B3915">
              <w:t>Сухота в очите</w:t>
            </w:r>
          </w:p>
        </w:tc>
        <w:tc>
          <w:tcPr>
            <w:tcW w:w="1270" w:type="dxa"/>
          </w:tcPr>
          <w:p w14:paraId="3E18728E" w14:textId="77777777" w:rsidR="009B3915" w:rsidRPr="009B3915" w:rsidRDefault="009B3915" w:rsidP="009B3915">
            <w:pPr>
              <w:spacing w:line="240" w:lineRule="auto"/>
              <w:rPr>
                <w:rFonts w:eastAsia="Times New Roman" w:cs="Arial"/>
              </w:rPr>
            </w:pPr>
          </w:p>
        </w:tc>
        <w:tc>
          <w:tcPr>
            <w:tcW w:w="1346" w:type="dxa"/>
          </w:tcPr>
          <w:p w14:paraId="4AEF8581" w14:textId="77777777" w:rsidR="009B3915" w:rsidRPr="009B3915" w:rsidRDefault="009B3915" w:rsidP="009B3915">
            <w:pPr>
              <w:spacing w:line="240" w:lineRule="auto"/>
              <w:rPr>
                <w:rFonts w:eastAsia="Times New Roman" w:cs="Arial"/>
              </w:rPr>
            </w:pPr>
          </w:p>
        </w:tc>
        <w:tc>
          <w:tcPr>
            <w:tcW w:w="1769" w:type="dxa"/>
          </w:tcPr>
          <w:p w14:paraId="61E1907C" w14:textId="4FF61E00" w:rsidR="009B3915" w:rsidRPr="009B3915" w:rsidRDefault="009B3915" w:rsidP="009B3915">
            <w:pPr>
              <w:spacing w:line="240" w:lineRule="auto"/>
              <w:rPr>
                <w:rFonts w:eastAsia="Times New Roman" w:cs="Arial"/>
              </w:rPr>
            </w:pPr>
            <w:r w:rsidRPr="009B3915">
              <w:t>Глаукома</w:t>
            </w:r>
          </w:p>
        </w:tc>
      </w:tr>
      <w:tr w:rsidR="009B3915" w14:paraId="784C0514" w14:textId="77777777" w:rsidTr="001570B6">
        <w:tc>
          <w:tcPr>
            <w:tcW w:w="1368" w:type="dxa"/>
          </w:tcPr>
          <w:p w14:paraId="74125CB5" w14:textId="4008A505" w:rsidR="009B3915" w:rsidRPr="009B3915" w:rsidRDefault="009B3915" w:rsidP="009B3915">
            <w:pPr>
              <w:spacing w:line="240" w:lineRule="auto"/>
              <w:rPr>
                <w:rFonts w:eastAsia="Times New Roman" w:cs="Arial"/>
              </w:rPr>
            </w:pPr>
            <w:r w:rsidRPr="009B3915">
              <w:t>Сърдечни нарушения</w:t>
            </w:r>
          </w:p>
        </w:tc>
        <w:tc>
          <w:tcPr>
            <w:tcW w:w="1022" w:type="dxa"/>
          </w:tcPr>
          <w:p w14:paraId="7F7B8788" w14:textId="77777777" w:rsidR="009B3915" w:rsidRPr="009B3915" w:rsidRDefault="009B3915" w:rsidP="009B3915">
            <w:pPr>
              <w:spacing w:line="240" w:lineRule="auto"/>
              <w:rPr>
                <w:rFonts w:eastAsia="Times New Roman" w:cs="Arial"/>
              </w:rPr>
            </w:pPr>
          </w:p>
        </w:tc>
        <w:tc>
          <w:tcPr>
            <w:tcW w:w="1052" w:type="dxa"/>
          </w:tcPr>
          <w:p w14:paraId="410B6F4E" w14:textId="77777777" w:rsidR="009B3915" w:rsidRPr="009B3915" w:rsidRDefault="009B3915" w:rsidP="009B3915">
            <w:pPr>
              <w:spacing w:line="240" w:lineRule="auto"/>
              <w:rPr>
                <w:rFonts w:eastAsia="Times New Roman" w:cs="Arial"/>
              </w:rPr>
            </w:pPr>
          </w:p>
        </w:tc>
        <w:tc>
          <w:tcPr>
            <w:tcW w:w="1749" w:type="dxa"/>
            <w:vAlign w:val="bottom"/>
          </w:tcPr>
          <w:p w14:paraId="6EB9E9C3" w14:textId="77777777" w:rsidR="009B3915" w:rsidRPr="009B3915" w:rsidRDefault="009B3915" w:rsidP="009B3915">
            <w:pPr>
              <w:spacing w:line="240" w:lineRule="auto"/>
              <w:rPr>
                <w:rFonts w:eastAsia="Times New Roman" w:cs="Arial"/>
              </w:rPr>
            </w:pPr>
          </w:p>
        </w:tc>
        <w:tc>
          <w:tcPr>
            <w:tcW w:w="1270" w:type="dxa"/>
          </w:tcPr>
          <w:p w14:paraId="6D49C34A" w14:textId="77777777" w:rsidR="009B3915" w:rsidRPr="009B3915" w:rsidRDefault="009B3915" w:rsidP="009B3915">
            <w:pPr>
              <w:spacing w:line="240" w:lineRule="auto"/>
              <w:rPr>
                <w:rFonts w:eastAsia="Times New Roman" w:cs="Arial"/>
              </w:rPr>
            </w:pPr>
          </w:p>
        </w:tc>
        <w:tc>
          <w:tcPr>
            <w:tcW w:w="1346" w:type="dxa"/>
          </w:tcPr>
          <w:p w14:paraId="41D5EBFD" w14:textId="77777777" w:rsidR="009B3915" w:rsidRPr="009B3915" w:rsidRDefault="009B3915" w:rsidP="009B3915">
            <w:pPr>
              <w:spacing w:line="240" w:lineRule="auto"/>
              <w:rPr>
                <w:rFonts w:eastAsia="Times New Roman" w:cs="Arial"/>
              </w:rPr>
            </w:pPr>
          </w:p>
        </w:tc>
        <w:tc>
          <w:tcPr>
            <w:tcW w:w="1769" w:type="dxa"/>
            <w:vAlign w:val="bottom"/>
          </w:tcPr>
          <w:p w14:paraId="46CB175C" w14:textId="26AF7C1F" w:rsidR="009B3915" w:rsidRPr="009B3915" w:rsidRDefault="009B3915" w:rsidP="009B3915">
            <w:pPr>
              <w:spacing w:line="240" w:lineRule="auto"/>
              <w:rPr>
                <w:rFonts w:eastAsia="Times New Roman" w:cs="Arial"/>
              </w:rPr>
            </w:pPr>
            <w:r w:rsidRPr="009B3915">
              <w:rPr>
                <w:lang w:val="en-US"/>
              </w:rPr>
              <w:t xml:space="preserve">Torsade de Pointes* </w:t>
            </w:r>
            <w:r w:rsidRPr="009B3915">
              <w:t xml:space="preserve">Удължаване на </w:t>
            </w:r>
            <w:r w:rsidRPr="009B3915">
              <w:rPr>
                <w:lang w:val="en-US"/>
              </w:rPr>
              <w:t xml:space="preserve">QT </w:t>
            </w:r>
            <w:r w:rsidRPr="009B3915">
              <w:t xml:space="preserve">в </w:t>
            </w:r>
            <w:proofErr w:type="spellStart"/>
            <w:r w:rsidRPr="009B3915">
              <w:t>електокардиогра</w:t>
            </w:r>
            <w:proofErr w:type="spellEnd"/>
            <w:r w:rsidRPr="009B3915">
              <w:t xml:space="preserve"> мата </w:t>
            </w:r>
            <w:proofErr w:type="spellStart"/>
            <w:r w:rsidRPr="009B3915">
              <w:lastRenderedPageBreak/>
              <w:t>предсърди</w:t>
            </w:r>
            <w:proofErr w:type="spellEnd"/>
            <w:r w:rsidRPr="009B3915">
              <w:t xml:space="preserve"> </w:t>
            </w:r>
            <w:proofErr w:type="spellStart"/>
            <w:r w:rsidRPr="009B3915">
              <w:t>фибрилации</w:t>
            </w:r>
            <w:proofErr w:type="spellEnd"/>
            <w:r w:rsidRPr="009B3915">
              <w:t xml:space="preserve">* </w:t>
            </w:r>
            <w:proofErr w:type="spellStart"/>
            <w:r w:rsidRPr="009B3915">
              <w:t>Палпитации</w:t>
            </w:r>
            <w:proofErr w:type="spellEnd"/>
            <w:r w:rsidRPr="009B3915">
              <w:t>* Тахикардия *</w:t>
            </w:r>
          </w:p>
        </w:tc>
      </w:tr>
      <w:tr w:rsidR="009B3915" w14:paraId="5E0FF498" w14:textId="77777777" w:rsidTr="001570B6">
        <w:tc>
          <w:tcPr>
            <w:tcW w:w="1368" w:type="dxa"/>
            <w:vAlign w:val="bottom"/>
          </w:tcPr>
          <w:p w14:paraId="176BB63F" w14:textId="353979CB" w:rsidR="009B3915" w:rsidRPr="009B3915" w:rsidRDefault="009B3915" w:rsidP="009B3915">
            <w:pPr>
              <w:spacing w:line="240" w:lineRule="auto"/>
              <w:rPr>
                <w:rFonts w:eastAsia="Times New Roman" w:cs="Arial"/>
              </w:rPr>
            </w:pPr>
            <w:proofErr w:type="spellStart"/>
            <w:r w:rsidRPr="009B3915">
              <w:lastRenderedPageBreak/>
              <w:t>Респираторн</w:t>
            </w:r>
            <w:proofErr w:type="spellEnd"/>
            <w:r w:rsidRPr="009B3915">
              <w:t xml:space="preserve"> и, гръдни и </w:t>
            </w:r>
            <w:proofErr w:type="spellStart"/>
            <w:r w:rsidRPr="009B3915">
              <w:t>медиастинал</w:t>
            </w:r>
            <w:proofErr w:type="spellEnd"/>
            <w:r w:rsidRPr="009B3915">
              <w:t xml:space="preserve"> ни нарушения</w:t>
            </w:r>
          </w:p>
        </w:tc>
        <w:tc>
          <w:tcPr>
            <w:tcW w:w="1022" w:type="dxa"/>
          </w:tcPr>
          <w:p w14:paraId="1A3B4A9B" w14:textId="77777777" w:rsidR="009B3915" w:rsidRPr="009B3915" w:rsidRDefault="009B3915" w:rsidP="009B3915">
            <w:pPr>
              <w:spacing w:line="240" w:lineRule="auto"/>
              <w:rPr>
                <w:rFonts w:eastAsia="Times New Roman" w:cs="Arial"/>
              </w:rPr>
            </w:pPr>
          </w:p>
        </w:tc>
        <w:tc>
          <w:tcPr>
            <w:tcW w:w="1052" w:type="dxa"/>
          </w:tcPr>
          <w:p w14:paraId="6FA9ED3B" w14:textId="77777777" w:rsidR="009B3915" w:rsidRPr="009B3915" w:rsidRDefault="009B3915" w:rsidP="009B3915">
            <w:pPr>
              <w:spacing w:line="240" w:lineRule="auto"/>
              <w:rPr>
                <w:rFonts w:eastAsia="Times New Roman" w:cs="Arial"/>
              </w:rPr>
            </w:pPr>
          </w:p>
        </w:tc>
        <w:tc>
          <w:tcPr>
            <w:tcW w:w="1749" w:type="dxa"/>
          </w:tcPr>
          <w:p w14:paraId="64FED0DD" w14:textId="790233FD" w:rsidR="009B3915" w:rsidRPr="009B3915" w:rsidRDefault="009B3915" w:rsidP="009B3915">
            <w:pPr>
              <w:spacing w:line="240" w:lineRule="auto"/>
              <w:rPr>
                <w:rFonts w:eastAsia="Times New Roman" w:cs="Arial"/>
              </w:rPr>
            </w:pPr>
            <w:r w:rsidRPr="009B3915">
              <w:t>Сухота в носа</w:t>
            </w:r>
          </w:p>
        </w:tc>
        <w:tc>
          <w:tcPr>
            <w:tcW w:w="1270" w:type="dxa"/>
            <w:vAlign w:val="bottom"/>
          </w:tcPr>
          <w:p w14:paraId="1E9FA5CC" w14:textId="77777777" w:rsidR="009B3915" w:rsidRPr="009B3915" w:rsidRDefault="009B3915" w:rsidP="009B3915">
            <w:pPr>
              <w:spacing w:line="240" w:lineRule="auto"/>
              <w:rPr>
                <w:rFonts w:eastAsia="Times New Roman" w:cs="Arial"/>
              </w:rPr>
            </w:pPr>
          </w:p>
        </w:tc>
        <w:tc>
          <w:tcPr>
            <w:tcW w:w="1346" w:type="dxa"/>
          </w:tcPr>
          <w:p w14:paraId="6DA85215" w14:textId="77777777" w:rsidR="009B3915" w:rsidRPr="009B3915" w:rsidRDefault="009B3915" w:rsidP="009B3915">
            <w:pPr>
              <w:spacing w:line="240" w:lineRule="auto"/>
              <w:rPr>
                <w:rFonts w:eastAsia="Times New Roman" w:cs="Arial"/>
              </w:rPr>
            </w:pPr>
          </w:p>
        </w:tc>
        <w:tc>
          <w:tcPr>
            <w:tcW w:w="1769" w:type="dxa"/>
          </w:tcPr>
          <w:p w14:paraId="6D61DAB3" w14:textId="6491698B" w:rsidR="009B3915" w:rsidRPr="009B3915" w:rsidRDefault="009B3915" w:rsidP="009B3915">
            <w:pPr>
              <w:spacing w:line="240" w:lineRule="auto"/>
              <w:rPr>
                <w:rFonts w:eastAsia="Times New Roman" w:cs="Arial"/>
              </w:rPr>
            </w:pPr>
            <w:proofErr w:type="spellStart"/>
            <w:r w:rsidRPr="009B3915">
              <w:t>Дисфония</w:t>
            </w:r>
            <w:proofErr w:type="spellEnd"/>
            <w:r w:rsidRPr="009B3915">
              <w:t>*</w:t>
            </w:r>
          </w:p>
        </w:tc>
      </w:tr>
      <w:tr w:rsidR="009B3915" w14:paraId="1EBBC75C" w14:textId="77777777" w:rsidTr="009B3915">
        <w:tc>
          <w:tcPr>
            <w:tcW w:w="1368" w:type="dxa"/>
          </w:tcPr>
          <w:p w14:paraId="398AE46B" w14:textId="77777777" w:rsidR="009B3915" w:rsidRPr="009B3915" w:rsidRDefault="009B3915" w:rsidP="009B3915">
            <w:r w:rsidRPr="009B3915">
              <w:t>Стомашно-</w:t>
            </w:r>
          </w:p>
          <w:p w14:paraId="252756E5" w14:textId="2069BE6E" w:rsidR="009B3915" w:rsidRPr="009B3915" w:rsidRDefault="009B3915" w:rsidP="009B3915">
            <w:pPr>
              <w:spacing w:line="240" w:lineRule="auto"/>
              <w:rPr>
                <w:rFonts w:eastAsia="Times New Roman" w:cs="Arial"/>
              </w:rPr>
            </w:pPr>
            <w:r w:rsidRPr="009B3915">
              <w:t>чревни нарушения</w:t>
            </w:r>
          </w:p>
        </w:tc>
        <w:tc>
          <w:tcPr>
            <w:tcW w:w="1022" w:type="dxa"/>
          </w:tcPr>
          <w:p w14:paraId="713D4357" w14:textId="13BB4879" w:rsidR="009B3915" w:rsidRPr="009B3915" w:rsidRDefault="009B3915" w:rsidP="009B3915">
            <w:pPr>
              <w:spacing w:line="240" w:lineRule="auto"/>
              <w:rPr>
                <w:rFonts w:eastAsia="Times New Roman" w:cs="Arial"/>
              </w:rPr>
            </w:pPr>
            <w:r w:rsidRPr="009B3915">
              <w:t>Сухота в устата</w:t>
            </w:r>
          </w:p>
        </w:tc>
        <w:tc>
          <w:tcPr>
            <w:tcW w:w="1052" w:type="dxa"/>
          </w:tcPr>
          <w:p w14:paraId="564D4AA1" w14:textId="12D7FA83" w:rsidR="009B3915" w:rsidRPr="009B3915" w:rsidRDefault="009B3915" w:rsidP="009B3915">
            <w:pPr>
              <w:spacing w:line="240" w:lineRule="auto"/>
              <w:rPr>
                <w:rFonts w:eastAsia="Times New Roman" w:cs="Arial"/>
              </w:rPr>
            </w:pPr>
            <w:r w:rsidRPr="009B3915">
              <w:t xml:space="preserve">Запек гадене </w:t>
            </w:r>
            <w:proofErr w:type="spellStart"/>
            <w:r w:rsidRPr="009B3915">
              <w:t>диспепс</w:t>
            </w:r>
            <w:proofErr w:type="spellEnd"/>
            <w:r w:rsidRPr="009B3915">
              <w:t xml:space="preserve"> </w:t>
            </w:r>
            <w:proofErr w:type="spellStart"/>
            <w:r w:rsidRPr="009B3915">
              <w:t>ия</w:t>
            </w:r>
            <w:proofErr w:type="spellEnd"/>
            <w:r w:rsidRPr="009B3915">
              <w:t xml:space="preserve"> болки в корема</w:t>
            </w:r>
          </w:p>
        </w:tc>
        <w:tc>
          <w:tcPr>
            <w:tcW w:w="1749" w:type="dxa"/>
          </w:tcPr>
          <w:p w14:paraId="02B2420B" w14:textId="77777777" w:rsidR="009B3915" w:rsidRPr="009B3915" w:rsidRDefault="009B3915" w:rsidP="009B3915">
            <w:r w:rsidRPr="009B3915">
              <w:t xml:space="preserve">Г </w:t>
            </w:r>
            <w:proofErr w:type="spellStart"/>
            <w:r w:rsidRPr="009B3915">
              <w:t>астроезофагиа</w:t>
            </w:r>
            <w:proofErr w:type="spellEnd"/>
            <w:r w:rsidRPr="009B3915">
              <w:t xml:space="preserve"> </w:t>
            </w:r>
            <w:proofErr w:type="spellStart"/>
            <w:r w:rsidRPr="009B3915">
              <w:t>лна</w:t>
            </w:r>
            <w:proofErr w:type="spellEnd"/>
            <w:r w:rsidRPr="009B3915">
              <w:t xml:space="preserve"> </w:t>
            </w:r>
            <w:proofErr w:type="spellStart"/>
            <w:r w:rsidRPr="009B3915">
              <w:t>рефлукса</w:t>
            </w:r>
            <w:proofErr w:type="spellEnd"/>
            <w:r w:rsidRPr="009B3915">
              <w:t xml:space="preserve"> болест</w:t>
            </w:r>
          </w:p>
          <w:p w14:paraId="6E34DD39" w14:textId="0B9C5A4B" w:rsidR="009B3915" w:rsidRPr="009B3915" w:rsidRDefault="009B3915" w:rsidP="009B3915">
            <w:pPr>
              <w:spacing w:line="240" w:lineRule="auto"/>
              <w:rPr>
                <w:rFonts w:eastAsia="Times New Roman" w:cs="Arial"/>
              </w:rPr>
            </w:pPr>
            <w:r w:rsidRPr="009B3915">
              <w:t>Сухота в гърлото</w:t>
            </w:r>
          </w:p>
        </w:tc>
        <w:tc>
          <w:tcPr>
            <w:tcW w:w="1270" w:type="dxa"/>
          </w:tcPr>
          <w:p w14:paraId="7D17D2A2" w14:textId="0840AEDE" w:rsidR="009B3915" w:rsidRPr="009B3915" w:rsidRDefault="009B3915" w:rsidP="009B3915">
            <w:pPr>
              <w:spacing w:line="240" w:lineRule="auto"/>
              <w:rPr>
                <w:rFonts w:eastAsia="Times New Roman" w:cs="Arial"/>
              </w:rPr>
            </w:pPr>
            <w:r w:rsidRPr="009B3915">
              <w:t>Запушван е на дебелото черво, фекално задръства не, повръщан е*</w:t>
            </w:r>
          </w:p>
        </w:tc>
        <w:tc>
          <w:tcPr>
            <w:tcW w:w="1346" w:type="dxa"/>
          </w:tcPr>
          <w:p w14:paraId="15F885AB" w14:textId="77777777" w:rsidR="009B3915" w:rsidRPr="009B3915" w:rsidRDefault="009B3915" w:rsidP="009B3915">
            <w:pPr>
              <w:spacing w:line="240" w:lineRule="auto"/>
              <w:rPr>
                <w:rFonts w:eastAsia="Times New Roman" w:cs="Arial"/>
              </w:rPr>
            </w:pPr>
          </w:p>
        </w:tc>
        <w:tc>
          <w:tcPr>
            <w:tcW w:w="1769" w:type="dxa"/>
          </w:tcPr>
          <w:p w14:paraId="7A2CAB7D" w14:textId="348126EC" w:rsidR="009B3915" w:rsidRPr="009B3915" w:rsidRDefault="009B3915" w:rsidP="009B3915">
            <w:pPr>
              <w:spacing w:line="240" w:lineRule="auto"/>
              <w:rPr>
                <w:rFonts w:eastAsia="Times New Roman" w:cs="Arial"/>
              </w:rPr>
            </w:pPr>
            <w:proofErr w:type="spellStart"/>
            <w:r w:rsidRPr="009B3915">
              <w:t>Илеус</w:t>
            </w:r>
            <w:proofErr w:type="spellEnd"/>
            <w:r w:rsidRPr="009B3915">
              <w:t>* Абдоминален дискомфорт*</w:t>
            </w:r>
          </w:p>
        </w:tc>
      </w:tr>
      <w:tr w:rsidR="009B3915" w14:paraId="6715610A" w14:textId="77777777" w:rsidTr="001570B6">
        <w:tc>
          <w:tcPr>
            <w:tcW w:w="1368" w:type="dxa"/>
          </w:tcPr>
          <w:p w14:paraId="59BF03BA" w14:textId="77777777" w:rsidR="009B3915" w:rsidRPr="009B3915" w:rsidRDefault="009B3915" w:rsidP="009B3915">
            <w:proofErr w:type="spellStart"/>
            <w:r w:rsidRPr="009B3915">
              <w:t>Хепатобилиа</w:t>
            </w:r>
            <w:proofErr w:type="spellEnd"/>
          </w:p>
          <w:p w14:paraId="24DBCC18" w14:textId="0FFEE145" w:rsidR="009B3915" w:rsidRPr="009B3915" w:rsidRDefault="009B3915" w:rsidP="009B3915">
            <w:pPr>
              <w:spacing w:line="240" w:lineRule="auto"/>
              <w:rPr>
                <w:rFonts w:eastAsia="Times New Roman" w:cs="Arial"/>
              </w:rPr>
            </w:pPr>
            <w:proofErr w:type="spellStart"/>
            <w:r w:rsidRPr="009B3915">
              <w:t>рни</w:t>
            </w:r>
            <w:proofErr w:type="spellEnd"/>
            <w:r w:rsidRPr="009B3915">
              <w:t xml:space="preserve"> нарушения</w:t>
            </w:r>
          </w:p>
        </w:tc>
        <w:tc>
          <w:tcPr>
            <w:tcW w:w="1022" w:type="dxa"/>
          </w:tcPr>
          <w:p w14:paraId="1F318CFD" w14:textId="77777777" w:rsidR="009B3915" w:rsidRPr="009B3915" w:rsidRDefault="009B3915" w:rsidP="009B3915">
            <w:pPr>
              <w:spacing w:line="240" w:lineRule="auto"/>
              <w:rPr>
                <w:rFonts w:eastAsia="Times New Roman" w:cs="Arial"/>
              </w:rPr>
            </w:pPr>
          </w:p>
        </w:tc>
        <w:tc>
          <w:tcPr>
            <w:tcW w:w="1052" w:type="dxa"/>
          </w:tcPr>
          <w:p w14:paraId="4AFA7856" w14:textId="77777777" w:rsidR="009B3915" w:rsidRPr="009B3915" w:rsidRDefault="009B3915" w:rsidP="009B3915">
            <w:pPr>
              <w:spacing w:line="240" w:lineRule="auto"/>
              <w:rPr>
                <w:rFonts w:eastAsia="Times New Roman" w:cs="Arial"/>
              </w:rPr>
            </w:pPr>
          </w:p>
        </w:tc>
        <w:tc>
          <w:tcPr>
            <w:tcW w:w="1749" w:type="dxa"/>
          </w:tcPr>
          <w:p w14:paraId="05E75E73" w14:textId="77777777" w:rsidR="009B3915" w:rsidRPr="009B3915" w:rsidRDefault="009B3915" w:rsidP="009B3915">
            <w:pPr>
              <w:spacing w:line="240" w:lineRule="auto"/>
              <w:rPr>
                <w:rFonts w:eastAsia="Times New Roman" w:cs="Arial"/>
              </w:rPr>
            </w:pPr>
          </w:p>
        </w:tc>
        <w:tc>
          <w:tcPr>
            <w:tcW w:w="1270" w:type="dxa"/>
          </w:tcPr>
          <w:p w14:paraId="181F2823" w14:textId="77777777" w:rsidR="009B3915" w:rsidRPr="009B3915" w:rsidRDefault="009B3915" w:rsidP="009B3915">
            <w:pPr>
              <w:spacing w:line="240" w:lineRule="auto"/>
              <w:rPr>
                <w:rFonts w:eastAsia="Times New Roman" w:cs="Arial"/>
              </w:rPr>
            </w:pPr>
          </w:p>
        </w:tc>
        <w:tc>
          <w:tcPr>
            <w:tcW w:w="1346" w:type="dxa"/>
          </w:tcPr>
          <w:p w14:paraId="7E538FB1" w14:textId="77777777" w:rsidR="009B3915" w:rsidRPr="009B3915" w:rsidRDefault="009B3915" w:rsidP="009B3915">
            <w:pPr>
              <w:spacing w:line="240" w:lineRule="auto"/>
              <w:rPr>
                <w:rFonts w:eastAsia="Times New Roman" w:cs="Arial"/>
              </w:rPr>
            </w:pPr>
          </w:p>
        </w:tc>
        <w:tc>
          <w:tcPr>
            <w:tcW w:w="1769" w:type="dxa"/>
            <w:vAlign w:val="bottom"/>
          </w:tcPr>
          <w:p w14:paraId="4014E0B8" w14:textId="531AFF24" w:rsidR="009B3915" w:rsidRPr="009B3915" w:rsidRDefault="009B3915" w:rsidP="009B3915">
            <w:r>
              <w:rPr>
                <w:lang w:val="en-US"/>
              </w:rPr>
              <w:t xml:space="preserve">- </w:t>
            </w:r>
            <w:r w:rsidRPr="009B3915">
              <w:t>Чернодробно нарушение*</w:t>
            </w:r>
          </w:p>
          <w:p w14:paraId="66BC765B" w14:textId="7BFDC5B6" w:rsidR="009B3915" w:rsidRPr="009B3915" w:rsidRDefault="009B3915" w:rsidP="009B3915">
            <w:pPr>
              <w:spacing w:line="240" w:lineRule="auto"/>
              <w:rPr>
                <w:rFonts w:eastAsia="Times New Roman" w:cs="Arial"/>
              </w:rPr>
            </w:pPr>
            <w:r w:rsidRPr="009B3915">
              <w:t>- Отклонение в изследванията за чернодробна функция*</w:t>
            </w:r>
          </w:p>
        </w:tc>
      </w:tr>
      <w:tr w:rsidR="009B3915" w14:paraId="08E29A80" w14:textId="77777777" w:rsidTr="009B3915">
        <w:tc>
          <w:tcPr>
            <w:tcW w:w="1368" w:type="dxa"/>
          </w:tcPr>
          <w:p w14:paraId="3A38B09F" w14:textId="7A46F733" w:rsidR="009B3915" w:rsidRPr="009B3915" w:rsidRDefault="009B3915" w:rsidP="009B3915">
            <w:pPr>
              <w:spacing w:line="240" w:lineRule="auto"/>
              <w:rPr>
                <w:rFonts w:eastAsia="Times New Roman" w:cs="Arial"/>
              </w:rPr>
            </w:pPr>
            <w:r w:rsidRPr="009B3915">
              <w:t>Нарушения на кожата и подкожната тъкан</w:t>
            </w:r>
          </w:p>
        </w:tc>
        <w:tc>
          <w:tcPr>
            <w:tcW w:w="1022" w:type="dxa"/>
          </w:tcPr>
          <w:p w14:paraId="2BDCA47F" w14:textId="77777777" w:rsidR="009B3915" w:rsidRPr="009B3915" w:rsidRDefault="009B3915" w:rsidP="009B3915">
            <w:pPr>
              <w:spacing w:line="240" w:lineRule="auto"/>
              <w:rPr>
                <w:rFonts w:eastAsia="Times New Roman" w:cs="Arial"/>
              </w:rPr>
            </w:pPr>
          </w:p>
        </w:tc>
        <w:tc>
          <w:tcPr>
            <w:tcW w:w="1052" w:type="dxa"/>
          </w:tcPr>
          <w:p w14:paraId="4A9F62B8" w14:textId="77777777" w:rsidR="009B3915" w:rsidRPr="009B3915" w:rsidRDefault="009B3915" w:rsidP="009B3915">
            <w:pPr>
              <w:spacing w:line="240" w:lineRule="auto"/>
              <w:rPr>
                <w:rFonts w:eastAsia="Times New Roman" w:cs="Arial"/>
              </w:rPr>
            </w:pPr>
          </w:p>
        </w:tc>
        <w:tc>
          <w:tcPr>
            <w:tcW w:w="1749" w:type="dxa"/>
          </w:tcPr>
          <w:p w14:paraId="5F9B0ABA" w14:textId="0F86673A" w:rsidR="009B3915" w:rsidRPr="009B3915" w:rsidRDefault="009B3915" w:rsidP="009B3915">
            <w:pPr>
              <w:spacing w:line="240" w:lineRule="auto"/>
              <w:rPr>
                <w:rFonts w:eastAsia="Times New Roman" w:cs="Arial"/>
              </w:rPr>
            </w:pPr>
            <w:r w:rsidRPr="009B3915">
              <w:t>Сухота на кожата</w:t>
            </w:r>
          </w:p>
        </w:tc>
        <w:tc>
          <w:tcPr>
            <w:tcW w:w="1270" w:type="dxa"/>
          </w:tcPr>
          <w:p w14:paraId="3232CDC0" w14:textId="77777777" w:rsidR="009B3915" w:rsidRPr="009B3915" w:rsidRDefault="009B3915" w:rsidP="009B3915">
            <w:r w:rsidRPr="009B3915">
              <w:t>Сърбеж*</w:t>
            </w:r>
          </w:p>
          <w:p w14:paraId="59F77243" w14:textId="620C02A2" w:rsidR="009B3915" w:rsidRPr="009B3915" w:rsidRDefault="009B3915" w:rsidP="009B3915">
            <w:pPr>
              <w:spacing w:line="240" w:lineRule="auto"/>
              <w:rPr>
                <w:rFonts w:eastAsia="Times New Roman" w:cs="Arial"/>
              </w:rPr>
            </w:pPr>
            <w:r w:rsidRPr="009B3915">
              <w:t>Обрив*</w:t>
            </w:r>
          </w:p>
        </w:tc>
        <w:tc>
          <w:tcPr>
            <w:tcW w:w="1346" w:type="dxa"/>
          </w:tcPr>
          <w:p w14:paraId="04E75560" w14:textId="01CDF06D" w:rsidR="009B3915" w:rsidRPr="009B3915" w:rsidRDefault="009B3915" w:rsidP="009B3915">
            <w:pPr>
              <w:spacing w:line="240" w:lineRule="auto"/>
              <w:rPr>
                <w:rFonts w:eastAsia="Times New Roman" w:cs="Arial"/>
              </w:rPr>
            </w:pPr>
            <w:r w:rsidRPr="009B3915">
              <w:t xml:space="preserve">Еритема </w:t>
            </w:r>
            <w:proofErr w:type="spellStart"/>
            <w:r w:rsidRPr="009B3915">
              <w:t>мултифоме</w:t>
            </w:r>
            <w:proofErr w:type="spellEnd"/>
            <w:r w:rsidRPr="009B3915">
              <w:t>* уртикария *ангиоедем *</w:t>
            </w:r>
          </w:p>
        </w:tc>
        <w:tc>
          <w:tcPr>
            <w:tcW w:w="1769" w:type="dxa"/>
          </w:tcPr>
          <w:p w14:paraId="39C2FFF8" w14:textId="548D2478" w:rsidR="009B3915" w:rsidRPr="009B3915" w:rsidRDefault="009B3915" w:rsidP="009B3915">
            <w:pPr>
              <w:spacing w:line="240" w:lineRule="auto"/>
              <w:rPr>
                <w:rFonts w:eastAsia="Times New Roman" w:cs="Arial"/>
              </w:rPr>
            </w:pPr>
            <w:proofErr w:type="spellStart"/>
            <w:r w:rsidRPr="009B3915">
              <w:t>Ексфолиативен</w:t>
            </w:r>
            <w:proofErr w:type="spellEnd"/>
            <w:r w:rsidRPr="009B3915">
              <w:t xml:space="preserve"> дерматит*</w:t>
            </w:r>
          </w:p>
        </w:tc>
      </w:tr>
      <w:tr w:rsidR="009B3915" w14:paraId="37AFA933" w14:textId="77777777" w:rsidTr="009B3915">
        <w:tc>
          <w:tcPr>
            <w:tcW w:w="1368" w:type="dxa"/>
          </w:tcPr>
          <w:p w14:paraId="784DC5F6" w14:textId="45BCE324" w:rsidR="009B3915" w:rsidRPr="009B3915" w:rsidRDefault="009B3915" w:rsidP="009B3915">
            <w:pPr>
              <w:spacing w:line="240" w:lineRule="auto"/>
              <w:rPr>
                <w:rFonts w:eastAsia="Times New Roman" w:cs="Arial"/>
              </w:rPr>
            </w:pPr>
            <w:r w:rsidRPr="009B3915">
              <w:t>Нарушения на мускулно- скелетната система и съединители а тикан</w:t>
            </w:r>
          </w:p>
        </w:tc>
        <w:tc>
          <w:tcPr>
            <w:tcW w:w="1022" w:type="dxa"/>
          </w:tcPr>
          <w:p w14:paraId="5AB067AD" w14:textId="77777777" w:rsidR="009B3915" w:rsidRPr="009B3915" w:rsidRDefault="009B3915" w:rsidP="009B3915">
            <w:pPr>
              <w:spacing w:line="240" w:lineRule="auto"/>
              <w:rPr>
                <w:rFonts w:eastAsia="Times New Roman" w:cs="Arial"/>
              </w:rPr>
            </w:pPr>
          </w:p>
        </w:tc>
        <w:tc>
          <w:tcPr>
            <w:tcW w:w="1052" w:type="dxa"/>
          </w:tcPr>
          <w:p w14:paraId="3C8634AF" w14:textId="77777777" w:rsidR="009B3915" w:rsidRPr="009B3915" w:rsidRDefault="009B3915" w:rsidP="009B3915">
            <w:pPr>
              <w:spacing w:line="240" w:lineRule="auto"/>
              <w:rPr>
                <w:rFonts w:eastAsia="Times New Roman" w:cs="Arial"/>
              </w:rPr>
            </w:pPr>
          </w:p>
        </w:tc>
        <w:tc>
          <w:tcPr>
            <w:tcW w:w="1749" w:type="dxa"/>
          </w:tcPr>
          <w:p w14:paraId="039FF971" w14:textId="77777777" w:rsidR="009B3915" w:rsidRPr="009B3915" w:rsidRDefault="009B3915" w:rsidP="009B3915">
            <w:pPr>
              <w:spacing w:line="240" w:lineRule="auto"/>
              <w:rPr>
                <w:rFonts w:eastAsia="Times New Roman" w:cs="Arial"/>
              </w:rPr>
            </w:pPr>
          </w:p>
        </w:tc>
        <w:tc>
          <w:tcPr>
            <w:tcW w:w="1270" w:type="dxa"/>
          </w:tcPr>
          <w:p w14:paraId="2B310BB0" w14:textId="77777777" w:rsidR="009B3915" w:rsidRPr="009B3915" w:rsidRDefault="009B3915" w:rsidP="009B3915">
            <w:pPr>
              <w:spacing w:line="240" w:lineRule="auto"/>
              <w:rPr>
                <w:rFonts w:eastAsia="Times New Roman" w:cs="Arial"/>
              </w:rPr>
            </w:pPr>
          </w:p>
        </w:tc>
        <w:tc>
          <w:tcPr>
            <w:tcW w:w="1346" w:type="dxa"/>
          </w:tcPr>
          <w:p w14:paraId="139A3C27" w14:textId="77777777" w:rsidR="009B3915" w:rsidRPr="009B3915" w:rsidRDefault="009B3915" w:rsidP="009B3915">
            <w:pPr>
              <w:spacing w:line="240" w:lineRule="auto"/>
              <w:rPr>
                <w:rFonts w:eastAsia="Times New Roman" w:cs="Arial"/>
              </w:rPr>
            </w:pPr>
          </w:p>
        </w:tc>
        <w:tc>
          <w:tcPr>
            <w:tcW w:w="1769" w:type="dxa"/>
          </w:tcPr>
          <w:p w14:paraId="1F025626" w14:textId="7A62BADC" w:rsidR="009B3915" w:rsidRPr="009B3915" w:rsidRDefault="009B3915" w:rsidP="009B3915">
            <w:pPr>
              <w:spacing w:line="240" w:lineRule="auto"/>
              <w:rPr>
                <w:rFonts w:eastAsia="Times New Roman" w:cs="Arial"/>
              </w:rPr>
            </w:pPr>
            <w:r w:rsidRPr="009B3915">
              <w:t>Мускулна слабост*</w:t>
            </w:r>
          </w:p>
        </w:tc>
      </w:tr>
      <w:tr w:rsidR="009B3915" w14:paraId="2C9901A5" w14:textId="77777777" w:rsidTr="009B3915">
        <w:tc>
          <w:tcPr>
            <w:tcW w:w="1368" w:type="dxa"/>
          </w:tcPr>
          <w:p w14:paraId="68FAE89C" w14:textId="38A78182" w:rsidR="009B3915" w:rsidRPr="009B3915" w:rsidRDefault="009B3915" w:rsidP="009B3915">
            <w:pPr>
              <w:spacing w:line="240" w:lineRule="auto"/>
              <w:rPr>
                <w:rFonts w:eastAsia="Times New Roman" w:cs="Arial"/>
              </w:rPr>
            </w:pPr>
            <w:r w:rsidRPr="009B3915">
              <w:t>Нарушения на бъбреците и пикочните пътища</w:t>
            </w:r>
          </w:p>
        </w:tc>
        <w:tc>
          <w:tcPr>
            <w:tcW w:w="1022" w:type="dxa"/>
          </w:tcPr>
          <w:p w14:paraId="7CBA95C4" w14:textId="77777777" w:rsidR="009B3915" w:rsidRPr="009B3915" w:rsidRDefault="009B3915" w:rsidP="009B3915">
            <w:pPr>
              <w:spacing w:line="240" w:lineRule="auto"/>
              <w:rPr>
                <w:rFonts w:eastAsia="Times New Roman" w:cs="Arial"/>
              </w:rPr>
            </w:pPr>
          </w:p>
        </w:tc>
        <w:tc>
          <w:tcPr>
            <w:tcW w:w="1052" w:type="dxa"/>
          </w:tcPr>
          <w:p w14:paraId="1D106C07" w14:textId="77777777" w:rsidR="009B3915" w:rsidRPr="009B3915" w:rsidRDefault="009B3915" w:rsidP="009B3915">
            <w:pPr>
              <w:spacing w:line="240" w:lineRule="auto"/>
              <w:rPr>
                <w:rFonts w:eastAsia="Times New Roman" w:cs="Arial"/>
              </w:rPr>
            </w:pPr>
          </w:p>
        </w:tc>
        <w:tc>
          <w:tcPr>
            <w:tcW w:w="1749" w:type="dxa"/>
          </w:tcPr>
          <w:p w14:paraId="1A0D0AB5" w14:textId="0D202E2C" w:rsidR="009B3915" w:rsidRPr="009B3915" w:rsidRDefault="009B3915" w:rsidP="009B3915">
            <w:pPr>
              <w:spacing w:line="240" w:lineRule="auto"/>
              <w:rPr>
                <w:rFonts w:eastAsia="Times New Roman" w:cs="Arial"/>
              </w:rPr>
            </w:pPr>
            <w:r w:rsidRPr="009B3915">
              <w:t>Затруднено уриниране</w:t>
            </w:r>
          </w:p>
        </w:tc>
        <w:tc>
          <w:tcPr>
            <w:tcW w:w="1270" w:type="dxa"/>
          </w:tcPr>
          <w:p w14:paraId="01608425" w14:textId="26980E93" w:rsidR="009B3915" w:rsidRPr="009B3915" w:rsidRDefault="009B3915" w:rsidP="009B3915">
            <w:pPr>
              <w:spacing w:line="240" w:lineRule="auto"/>
              <w:rPr>
                <w:rFonts w:eastAsia="Times New Roman" w:cs="Arial"/>
              </w:rPr>
            </w:pPr>
            <w:proofErr w:type="spellStart"/>
            <w:r w:rsidRPr="009B3915">
              <w:t>Ретенция</w:t>
            </w:r>
            <w:proofErr w:type="spellEnd"/>
            <w:r w:rsidRPr="009B3915">
              <w:t xml:space="preserve"> на урина</w:t>
            </w:r>
          </w:p>
        </w:tc>
        <w:tc>
          <w:tcPr>
            <w:tcW w:w="1346" w:type="dxa"/>
          </w:tcPr>
          <w:p w14:paraId="6EBA305E" w14:textId="77777777" w:rsidR="009B3915" w:rsidRPr="009B3915" w:rsidRDefault="009B3915" w:rsidP="009B3915">
            <w:pPr>
              <w:spacing w:line="240" w:lineRule="auto"/>
              <w:rPr>
                <w:rFonts w:eastAsia="Times New Roman" w:cs="Arial"/>
              </w:rPr>
            </w:pPr>
          </w:p>
        </w:tc>
        <w:tc>
          <w:tcPr>
            <w:tcW w:w="1769" w:type="dxa"/>
          </w:tcPr>
          <w:p w14:paraId="77DE7770" w14:textId="3273E6E8" w:rsidR="009B3915" w:rsidRPr="009B3915" w:rsidRDefault="009B3915" w:rsidP="009B3915">
            <w:pPr>
              <w:spacing w:line="240" w:lineRule="auto"/>
              <w:rPr>
                <w:rFonts w:eastAsia="Times New Roman" w:cs="Arial"/>
              </w:rPr>
            </w:pPr>
            <w:r w:rsidRPr="009B3915">
              <w:t>Бъбречно увреждане*</w:t>
            </w:r>
          </w:p>
        </w:tc>
      </w:tr>
      <w:tr w:rsidR="009B3915" w14:paraId="7BFF55E0" w14:textId="77777777" w:rsidTr="009B3915">
        <w:tc>
          <w:tcPr>
            <w:tcW w:w="1368" w:type="dxa"/>
          </w:tcPr>
          <w:p w14:paraId="04E0D775" w14:textId="236E3364" w:rsidR="009B3915" w:rsidRPr="009B3915" w:rsidRDefault="009B3915" w:rsidP="009B3915">
            <w:pPr>
              <w:spacing w:line="240" w:lineRule="auto"/>
              <w:rPr>
                <w:rFonts w:eastAsia="Times New Roman" w:cs="Arial"/>
              </w:rPr>
            </w:pPr>
            <w:r w:rsidRPr="009B3915">
              <w:t xml:space="preserve">Общи нарушения и ефекти на мястото на </w:t>
            </w:r>
            <w:r w:rsidRPr="009B3915">
              <w:lastRenderedPageBreak/>
              <w:t>приложение</w:t>
            </w:r>
          </w:p>
        </w:tc>
        <w:tc>
          <w:tcPr>
            <w:tcW w:w="1022" w:type="dxa"/>
          </w:tcPr>
          <w:p w14:paraId="40B6660A" w14:textId="77777777" w:rsidR="009B3915" w:rsidRPr="009B3915" w:rsidRDefault="009B3915" w:rsidP="009B3915">
            <w:pPr>
              <w:spacing w:line="240" w:lineRule="auto"/>
              <w:rPr>
                <w:rFonts w:eastAsia="Times New Roman" w:cs="Arial"/>
              </w:rPr>
            </w:pPr>
          </w:p>
        </w:tc>
        <w:tc>
          <w:tcPr>
            <w:tcW w:w="1052" w:type="dxa"/>
          </w:tcPr>
          <w:p w14:paraId="307572DD" w14:textId="77777777" w:rsidR="009B3915" w:rsidRPr="009B3915" w:rsidRDefault="009B3915" w:rsidP="009B3915">
            <w:pPr>
              <w:spacing w:line="240" w:lineRule="auto"/>
              <w:rPr>
                <w:rFonts w:eastAsia="Times New Roman" w:cs="Arial"/>
              </w:rPr>
            </w:pPr>
          </w:p>
        </w:tc>
        <w:tc>
          <w:tcPr>
            <w:tcW w:w="1749" w:type="dxa"/>
          </w:tcPr>
          <w:p w14:paraId="24C44AF9" w14:textId="55B64663" w:rsidR="009B3915" w:rsidRPr="009B3915" w:rsidRDefault="009B3915" w:rsidP="009B3915">
            <w:pPr>
              <w:spacing w:line="240" w:lineRule="auto"/>
              <w:rPr>
                <w:rFonts w:eastAsia="Times New Roman" w:cs="Arial"/>
              </w:rPr>
            </w:pPr>
            <w:r w:rsidRPr="009B3915">
              <w:t>Умора Периферен оток</w:t>
            </w:r>
          </w:p>
        </w:tc>
        <w:tc>
          <w:tcPr>
            <w:tcW w:w="1270" w:type="dxa"/>
          </w:tcPr>
          <w:p w14:paraId="197CFF43" w14:textId="77777777" w:rsidR="009B3915" w:rsidRPr="009B3915" w:rsidRDefault="009B3915" w:rsidP="009B3915">
            <w:pPr>
              <w:spacing w:line="240" w:lineRule="auto"/>
              <w:rPr>
                <w:rFonts w:eastAsia="Times New Roman" w:cs="Arial"/>
              </w:rPr>
            </w:pPr>
          </w:p>
        </w:tc>
        <w:tc>
          <w:tcPr>
            <w:tcW w:w="1346" w:type="dxa"/>
          </w:tcPr>
          <w:p w14:paraId="6B5967C8" w14:textId="77777777" w:rsidR="009B3915" w:rsidRPr="009B3915" w:rsidRDefault="009B3915" w:rsidP="009B3915">
            <w:pPr>
              <w:spacing w:line="240" w:lineRule="auto"/>
              <w:rPr>
                <w:rFonts w:eastAsia="Times New Roman" w:cs="Arial"/>
              </w:rPr>
            </w:pPr>
          </w:p>
        </w:tc>
        <w:tc>
          <w:tcPr>
            <w:tcW w:w="1769" w:type="dxa"/>
          </w:tcPr>
          <w:p w14:paraId="5FEF5792" w14:textId="77777777" w:rsidR="009B3915" w:rsidRPr="009B3915" w:rsidRDefault="009B3915" w:rsidP="009B3915">
            <w:pPr>
              <w:spacing w:line="240" w:lineRule="auto"/>
              <w:rPr>
                <w:rFonts w:eastAsia="Times New Roman" w:cs="Arial"/>
              </w:rPr>
            </w:pPr>
          </w:p>
        </w:tc>
      </w:tr>
    </w:tbl>
    <w:p w14:paraId="5AC17CD8" w14:textId="7C90E5E4" w:rsidR="009B3915" w:rsidRDefault="009B3915" w:rsidP="009B3915">
      <w:r>
        <w:t xml:space="preserve">*Наблюдавани в </w:t>
      </w:r>
      <w:proofErr w:type="spellStart"/>
      <w:r>
        <w:t>постмаркетинговия</w:t>
      </w:r>
      <w:proofErr w:type="spellEnd"/>
      <w:r>
        <w:t xml:space="preserve"> период</w:t>
      </w:r>
    </w:p>
    <w:p w14:paraId="5DD06193" w14:textId="1E3C2716" w:rsidR="009B3915" w:rsidRDefault="009B3915" w:rsidP="009B3915"/>
    <w:p w14:paraId="2A5062F4" w14:textId="77777777" w:rsidR="009B3915" w:rsidRPr="009B3915" w:rsidRDefault="009B3915" w:rsidP="009B3915">
      <w:pPr>
        <w:spacing w:line="240" w:lineRule="auto"/>
        <w:rPr>
          <w:rFonts w:eastAsia="Times New Roman" w:cs="Arial"/>
        </w:rPr>
      </w:pPr>
      <w:r w:rsidRPr="009B3915">
        <w:rPr>
          <w:rFonts w:eastAsia="Times New Roman" w:cs="Arial"/>
          <w:color w:val="000000"/>
          <w:u w:val="single"/>
          <w:lang w:eastAsia="bg-BG"/>
        </w:rPr>
        <w:t>Съобщаване на подозирани нежелани реакции</w:t>
      </w:r>
    </w:p>
    <w:p w14:paraId="04B432F0" w14:textId="68F0EFCC" w:rsidR="009B3915" w:rsidRPr="009B3915" w:rsidRDefault="009B3915" w:rsidP="009B3915">
      <w:pPr>
        <w:rPr>
          <w:rFonts w:eastAsia="Times New Roman" w:cs="Arial"/>
        </w:rPr>
      </w:pPr>
      <w:r w:rsidRPr="009B3915">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w:t>
      </w:r>
      <w:proofErr w:type="spellStart"/>
      <w:r w:rsidRPr="009B3915">
        <w:rPr>
          <w:rFonts w:eastAsia="Times New Roman" w:cs="Arial"/>
          <w:color w:val="000000"/>
          <w:lang w:eastAsia="bg-BG"/>
        </w:rPr>
        <w:t>ул</w:t>
      </w:r>
      <w:proofErr w:type="spellEnd"/>
      <w:r w:rsidRPr="009B3915">
        <w:rPr>
          <w:rFonts w:eastAsia="Times New Roman" w:cs="Arial"/>
          <w:color w:val="000000"/>
          <w:lang w:eastAsia="bg-BG"/>
        </w:rPr>
        <w:t xml:space="preserve">.,Дамян Груев” № 8, 1303 София, Тел.: +35 928903417, уебсайт: </w:t>
      </w:r>
      <w:hyperlink r:id="rId5" w:history="1">
        <w:r w:rsidRPr="009B3915">
          <w:rPr>
            <w:rFonts w:eastAsia="Times New Roman" w:cs="Arial"/>
            <w:color w:val="000000"/>
            <w:lang w:val="en-US"/>
          </w:rPr>
          <w:t>www.bda.bg</w:t>
        </w:r>
      </w:hyperlink>
    </w:p>
    <w:p w14:paraId="0803EA0F" w14:textId="77777777" w:rsidR="009B3915" w:rsidRPr="009B3915" w:rsidRDefault="009B3915" w:rsidP="009B3915"/>
    <w:p w14:paraId="4ED30546" w14:textId="2A67B697" w:rsidR="007C605B" w:rsidRDefault="002C50EE" w:rsidP="009F1313">
      <w:pPr>
        <w:pStyle w:val="2"/>
      </w:pPr>
      <w:r>
        <w:t>4.9. Предозиране</w:t>
      </w:r>
    </w:p>
    <w:p w14:paraId="67D48DE7" w14:textId="6054C8F5" w:rsidR="009B3915" w:rsidRDefault="009B3915" w:rsidP="009B3915"/>
    <w:p w14:paraId="62AA4AA0" w14:textId="77777777" w:rsidR="009B3915" w:rsidRPr="009B3915" w:rsidRDefault="009B3915" w:rsidP="009B3915">
      <w:pPr>
        <w:pStyle w:val="3"/>
        <w:rPr>
          <w:rFonts w:eastAsia="Times New Roman"/>
          <w:i/>
          <w:iCs/>
        </w:rPr>
      </w:pPr>
      <w:r w:rsidRPr="009B3915">
        <w:rPr>
          <w:rFonts w:eastAsia="Times New Roman"/>
          <w:i/>
          <w:iCs/>
          <w:lang w:eastAsia="bg-BG"/>
        </w:rPr>
        <w:t>Симптоми</w:t>
      </w:r>
    </w:p>
    <w:p w14:paraId="39FDC6D3"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 xml:space="preserve">Предозирането на </w:t>
      </w:r>
      <w:proofErr w:type="spellStart"/>
      <w:r w:rsidRPr="009B3915">
        <w:rPr>
          <w:rFonts w:eastAsia="Times New Roman" w:cs="Arial"/>
          <w:color w:val="000000"/>
          <w:lang w:eastAsia="bg-BG"/>
        </w:rPr>
        <w:t>солифенацинов</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сукцинат</w:t>
      </w:r>
      <w:proofErr w:type="spellEnd"/>
      <w:r w:rsidRPr="009B3915">
        <w:rPr>
          <w:rFonts w:eastAsia="Times New Roman" w:cs="Arial"/>
          <w:color w:val="000000"/>
          <w:lang w:eastAsia="bg-BG"/>
        </w:rPr>
        <w:t xml:space="preserve"> може потенциално да доведе до тежки </w:t>
      </w:r>
      <w:proofErr w:type="spellStart"/>
      <w:r w:rsidRPr="009B3915">
        <w:rPr>
          <w:rFonts w:eastAsia="Times New Roman" w:cs="Arial"/>
          <w:color w:val="000000"/>
          <w:lang w:eastAsia="bg-BG"/>
        </w:rPr>
        <w:t>антихолинергични</w:t>
      </w:r>
      <w:proofErr w:type="spellEnd"/>
      <w:r w:rsidRPr="009B3915">
        <w:rPr>
          <w:rFonts w:eastAsia="Times New Roman" w:cs="Arial"/>
          <w:color w:val="000000"/>
          <w:lang w:eastAsia="bg-BG"/>
        </w:rPr>
        <w:t xml:space="preserve"> реакции. Най- високата доза </w:t>
      </w:r>
      <w:proofErr w:type="spellStart"/>
      <w:r w:rsidRPr="009B3915">
        <w:rPr>
          <w:rFonts w:eastAsia="Times New Roman" w:cs="Arial"/>
          <w:color w:val="000000"/>
          <w:lang w:eastAsia="bg-BG"/>
        </w:rPr>
        <w:t>солифенацинов</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сукцинат</w:t>
      </w:r>
      <w:proofErr w:type="spellEnd"/>
      <w:r w:rsidRPr="009B3915">
        <w:rPr>
          <w:rFonts w:eastAsia="Times New Roman" w:cs="Arial"/>
          <w:color w:val="000000"/>
          <w:lang w:eastAsia="bg-BG"/>
        </w:rPr>
        <w:t xml:space="preserve">, приложена случайно на един пациент е била 280 </w:t>
      </w:r>
      <w:r w:rsidRPr="009B3915">
        <w:rPr>
          <w:rFonts w:eastAsia="Times New Roman" w:cs="Arial"/>
          <w:color w:val="000000"/>
          <w:lang w:val="en-US"/>
        </w:rPr>
        <w:t xml:space="preserve">mg </w:t>
      </w:r>
      <w:r w:rsidRPr="009B3915">
        <w:rPr>
          <w:rFonts w:eastAsia="Times New Roman" w:cs="Arial"/>
          <w:color w:val="000000"/>
          <w:lang w:eastAsia="bg-BG"/>
        </w:rPr>
        <w:t>за период от 5 часа и е довела до промени в психичното състояние, не изискващи хоспитализация.</w:t>
      </w:r>
    </w:p>
    <w:p w14:paraId="6956FE58" w14:textId="77777777" w:rsidR="009B3915" w:rsidRDefault="009B3915" w:rsidP="009B3915">
      <w:pPr>
        <w:spacing w:line="240" w:lineRule="auto"/>
        <w:rPr>
          <w:rFonts w:eastAsia="Times New Roman" w:cs="Arial"/>
          <w:i/>
          <w:iCs/>
          <w:color w:val="000000"/>
          <w:lang w:eastAsia="bg-BG"/>
        </w:rPr>
      </w:pPr>
    </w:p>
    <w:p w14:paraId="57C1594E" w14:textId="1C89B0F9" w:rsidR="009B3915" w:rsidRPr="009B3915" w:rsidRDefault="009B3915" w:rsidP="009B3915">
      <w:pPr>
        <w:pStyle w:val="3"/>
        <w:rPr>
          <w:rFonts w:eastAsia="Times New Roman"/>
          <w:i/>
          <w:iCs/>
        </w:rPr>
      </w:pPr>
      <w:r w:rsidRPr="009B3915">
        <w:rPr>
          <w:rFonts w:eastAsia="Times New Roman"/>
          <w:i/>
          <w:iCs/>
          <w:lang w:eastAsia="bg-BG"/>
        </w:rPr>
        <w:t>Лечение</w:t>
      </w:r>
    </w:p>
    <w:p w14:paraId="2F8BD835"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 xml:space="preserve">В случай на предозиране на </w:t>
      </w:r>
      <w:proofErr w:type="spellStart"/>
      <w:r w:rsidRPr="009B3915">
        <w:rPr>
          <w:rFonts w:eastAsia="Times New Roman" w:cs="Arial"/>
          <w:color w:val="000000"/>
          <w:lang w:eastAsia="bg-BG"/>
        </w:rPr>
        <w:t>солифенацинов</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сукцинат</w:t>
      </w:r>
      <w:proofErr w:type="spellEnd"/>
      <w:r w:rsidRPr="009B3915">
        <w:rPr>
          <w:rFonts w:eastAsia="Times New Roman" w:cs="Arial"/>
          <w:color w:val="000000"/>
          <w:lang w:eastAsia="bg-BG"/>
        </w:rPr>
        <w:t xml:space="preserve"> трябва да се даде активен въглен на пациента. Стомашна промивка е целесъобразна ако се направи до 1 час, но не трябва да се предизвиква повръщане.</w:t>
      </w:r>
    </w:p>
    <w:p w14:paraId="22F23F0D"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 xml:space="preserve">Както и при другите </w:t>
      </w:r>
      <w:proofErr w:type="spellStart"/>
      <w:r w:rsidRPr="009B3915">
        <w:rPr>
          <w:rFonts w:eastAsia="Times New Roman" w:cs="Arial"/>
          <w:color w:val="000000"/>
          <w:lang w:eastAsia="bg-BG"/>
        </w:rPr>
        <w:t>антихолинергични</w:t>
      </w:r>
      <w:proofErr w:type="spellEnd"/>
      <w:r w:rsidRPr="009B3915">
        <w:rPr>
          <w:rFonts w:eastAsia="Times New Roman" w:cs="Arial"/>
          <w:color w:val="000000"/>
          <w:lang w:eastAsia="bg-BG"/>
        </w:rPr>
        <w:t xml:space="preserve"> средства, симптомите могат да се лекуват по следния начин:</w:t>
      </w:r>
    </w:p>
    <w:p w14:paraId="42698860" w14:textId="77777777" w:rsidR="009B3915" w:rsidRPr="009B3915" w:rsidRDefault="009B3915" w:rsidP="009B3915">
      <w:pPr>
        <w:pStyle w:val="a3"/>
        <w:numPr>
          <w:ilvl w:val="0"/>
          <w:numId w:val="34"/>
        </w:numPr>
        <w:spacing w:line="240" w:lineRule="auto"/>
        <w:rPr>
          <w:rFonts w:eastAsia="Times New Roman" w:cs="Arial"/>
        </w:rPr>
      </w:pPr>
      <w:r w:rsidRPr="009B3915">
        <w:rPr>
          <w:rFonts w:eastAsia="Times New Roman" w:cs="Arial"/>
          <w:color w:val="000000"/>
          <w:lang w:eastAsia="bg-BG"/>
        </w:rPr>
        <w:t xml:space="preserve">При тежки централни </w:t>
      </w:r>
      <w:proofErr w:type="spellStart"/>
      <w:r w:rsidRPr="009B3915">
        <w:rPr>
          <w:rFonts w:eastAsia="Times New Roman" w:cs="Arial"/>
          <w:color w:val="000000"/>
          <w:lang w:eastAsia="bg-BG"/>
        </w:rPr>
        <w:t>антихолинергични</w:t>
      </w:r>
      <w:proofErr w:type="spellEnd"/>
      <w:r w:rsidRPr="009B3915">
        <w:rPr>
          <w:rFonts w:eastAsia="Times New Roman" w:cs="Arial"/>
          <w:color w:val="000000"/>
          <w:lang w:eastAsia="bg-BG"/>
        </w:rPr>
        <w:t xml:space="preserve"> ефекти, като халюцинации или силна възбуда: се прилага </w:t>
      </w:r>
      <w:proofErr w:type="spellStart"/>
      <w:r w:rsidRPr="009B3915">
        <w:rPr>
          <w:rFonts w:eastAsia="Times New Roman" w:cs="Arial"/>
          <w:color w:val="000000"/>
          <w:lang w:eastAsia="bg-BG"/>
        </w:rPr>
        <w:t>физостигмин</w:t>
      </w:r>
      <w:proofErr w:type="spellEnd"/>
      <w:r w:rsidRPr="009B3915">
        <w:rPr>
          <w:rFonts w:eastAsia="Times New Roman" w:cs="Arial"/>
          <w:color w:val="000000"/>
          <w:lang w:eastAsia="bg-BG"/>
        </w:rPr>
        <w:t xml:space="preserve"> или </w:t>
      </w:r>
      <w:proofErr w:type="spellStart"/>
      <w:r w:rsidRPr="009B3915">
        <w:rPr>
          <w:rFonts w:eastAsia="Times New Roman" w:cs="Arial"/>
          <w:color w:val="000000"/>
          <w:lang w:eastAsia="bg-BG"/>
        </w:rPr>
        <w:t>карбахол</w:t>
      </w:r>
      <w:proofErr w:type="spellEnd"/>
      <w:r w:rsidRPr="009B3915">
        <w:rPr>
          <w:rFonts w:eastAsia="Times New Roman" w:cs="Arial"/>
          <w:color w:val="000000"/>
          <w:lang w:eastAsia="bg-BG"/>
        </w:rPr>
        <w:t>.</w:t>
      </w:r>
    </w:p>
    <w:p w14:paraId="65A19C9F" w14:textId="77777777" w:rsidR="009B3915" w:rsidRPr="009B3915" w:rsidRDefault="009B3915" w:rsidP="009B3915">
      <w:pPr>
        <w:pStyle w:val="a3"/>
        <w:numPr>
          <w:ilvl w:val="0"/>
          <w:numId w:val="34"/>
        </w:numPr>
        <w:spacing w:line="240" w:lineRule="auto"/>
        <w:rPr>
          <w:rFonts w:eastAsia="Times New Roman" w:cs="Arial"/>
        </w:rPr>
      </w:pPr>
      <w:r w:rsidRPr="009B3915">
        <w:rPr>
          <w:rFonts w:eastAsia="Times New Roman" w:cs="Arial"/>
          <w:color w:val="000000"/>
          <w:lang w:eastAsia="bg-BG"/>
        </w:rPr>
        <w:t>Конвулсии или силно изразена възбуда: лечение с бензодиазепини.</w:t>
      </w:r>
    </w:p>
    <w:p w14:paraId="04026020" w14:textId="77777777" w:rsidR="009B3915" w:rsidRPr="009B3915" w:rsidRDefault="009B3915" w:rsidP="009B3915">
      <w:pPr>
        <w:pStyle w:val="a3"/>
        <w:numPr>
          <w:ilvl w:val="0"/>
          <w:numId w:val="34"/>
        </w:numPr>
        <w:spacing w:line="240" w:lineRule="auto"/>
        <w:rPr>
          <w:rFonts w:eastAsia="Times New Roman" w:cs="Arial"/>
        </w:rPr>
      </w:pPr>
      <w:r w:rsidRPr="009B3915">
        <w:rPr>
          <w:rFonts w:eastAsia="Times New Roman" w:cs="Arial"/>
          <w:color w:val="000000"/>
          <w:lang w:eastAsia="bg-BG"/>
        </w:rPr>
        <w:t>Дихателна недостатъчност: изкуствено дишане.</w:t>
      </w:r>
    </w:p>
    <w:p w14:paraId="6A2E4F5D" w14:textId="77777777" w:rsidR="009B3915" w:rsidRPr="009B3915" w:rsidRDefault="009B3915" w:rsidP="009B3915">
      <w:pPr>
        <w:pStyle w:val="a3"/>
        <w:numPr>
          <w:ilvl w:val="0"/>
          <w:numId w:val="34"/>
        </w:numPr>
        <w:spacing w:line="240" w:lineRule="auto"/>
        <w:rPr>
          <w:rFonts w:eastAsia="Times New Roman" w:cs="Arial"/>
        </w:rPr>
      </w:pPr>
      <w:r w:rsidRPr="009B3915">
        <w:rPr>
          <w:rFonts w:eastAsia="Times New Roman" w:cs="Arial"/>
          <w:color w:val="000000"/>
          <w:lang w:eastAsia="bg-BG"/>
        </w:rPr>
        <w:t xml:space="preserve">Тахикардия: лечение с бета </w:t>
      </w:r>
      <w:proofErr w:type="spellStart"/>
      <w:r w:rsidRPr="009B3915">
        <w:rPr>
          <w:rFonts w:eastAsia="Times New Roman" w:cs="Arial"/>
          <w:color w:val="000000"/>
          <w:lang w:eastAsia="bg-BG"/>
        </w:rPr>
        <w:t>блокери</w:t>
      </w:r>
      <w:proofErr w:type="spellEnd"/>
      <w:r w:rsidRPr="009B3915">
        <w:rPr>
          <w:rFonts w:eastAsia="Times New Roman" w:cs="Arial"/>
          <w:color w:val="000000"/>
          <w:lang w:eastAsia="bg-BG"/>
        </w:rPr>
        <w:t>.</w:t>
      </w:r>
    </w:p>
    <w:p w14:paraId="0DA79547" w14:textId="77777777" w:rsidR="009B3915" w:rsidRPr="009B3915" w:rsidRDefault="009B3915" w:rsidP="009B3915">
      <w:pPr>
        <w:pStyle w:val="a3"/>
        <w:numPr>
          <w:ilvl w:val="0"/>
          <w:numId w:val="34"/>
        </w:numPr>
        <w:spacing w:line="240" w:lineRule="auto"/>
        <w:rPr>
          <w:rFonts w:eastAsia="Times New Roman" w:cs="Arial"/>
        </w:rPr>
      </w:pPr>
      <w:r w:rsidRPr="009B3915">
        <w:rPr>
          <w:rFonts w:eastAsia="Times New Roman" w:cs="Arial"/>
          <w:color w:val="000000"/>
          <w:lang w:eastAsia="bg-BG"/>
        </w:rPr>
        <w:t xml:space="preserve">Задръжка на урина: </w:t>
      </w:r>
      <w:proofErr w:type="spellStart"/>
      <w:r w:rsidRPr="009B3915">
        <w:rPr>
          <w:rFonts w:eastAsia="Times New Roman" w:cs="Arial"/>
          <w:color w:val="000000"/>
          <w:lang w:eastAsia="bg-BG"/>
        </w:rPr>
        <w:t>катетиризация</w:t>
      </w:r>
      <w:proofErr w:type="spellEnd"/>
    </w:p>
    <w:p w14:paraId="71168D3F" w14:textId="77777777" w:rsidR="009B3915" w:rsidRPr="009B3915" w:rsidRDefault="009B3915" w:rsidP="009B3915">
      <w:pPr>
        <w:pStyle w:val="a3"/>
        <w:numPr>
          <w:ilvl w:val="0"/>
          <w:numId w:val="34"/>
        </w:numPr>
        <w:spacing w:line="240" w:lineRule="auto"/>
        <w:rPr>
          <w:rFonts w:eastAsia="Times New Roman" w:cs="Arial"/>
        </w:rPr>
      </w:pPr>
      <w:proofErr w:type="spellStart"/>
      <w:r w:rsidRPr="009B3915">
        <w:rPr>
          <w:rFonts w:eastAsia="Times New Roman" w:cs="Arial"/>
          <w:color w:val="000000"/>
          <w:lang w:eastAsia="bg-BG"/>
        </w:rPr>
        <w:t>Мидриаза</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пилокарпин</w:t>
      </w:r>
      <w:proofErr w:type="spellEnd"/>
      <w:r w:rsidRPr="009B3915">
        <w:rPr>
          <w:rFonts w:eastAsia="Times New Roman" w:cs="Arial"/>
          <w:color w:val="000000"/>
          <w:lang w:eastAsia="bg-BG"/>
        </w:rPr>
        <w:t xml:space="preserve"> капки за очи и/или поставяне на пациента в тъмна стая.</w:t>
      </w:r>
    </w:p>
    <w:p w14:paraId="2FAE4A61" w14:textId="09359C88" w:rsidR="009B3915" w:rsidRPr="009B3915" w:rsidRDefault="009B3915" w:rsidP="009B3915">
      <w:pPr>
        <w:rPr>
          <w:rFonts w:cs="Arial"/>
        </w:rPr>
      </w:pPr>
      <w:r w:rsidRPr="009B3915">
        <w:rPr>
          <w:rFonts w:eastAsia="Times New Roman" w:cs="Arial"/>
          <w:color w:val="000000"/>
          <w:lang w:eastAsia="bg-BG"/>
        </w:rPr>
        <w:t xml:space="preserve">Както и при други </w:t>
      </w:r>
      <w:proofErr w:type="spellStart"/>
      <w:r w:rsidRPr="009B3915">
        <w:rPr>
          <w:rFonts w:eastAsia="Times New Roman" w:cs="Arial"/>
          <w:color w:val="000000"/>
          <w:lang w:eastAsia="bg-BG"/>
        </w:rPr>
        <w:t>антимускаринови</w:t>
      </w:r>
      <w:proofErr w:type="spellEnd"/>
      <w:r w:rsidRPr="009B3915">
        <w:rPr>
          <w:rFonts w:eastAsia="Times New Roman" w:cs="Arial"/>
          <w:color w:val="000000"/>
          <w:lang w:eastAsia="bg-BG"/>
        </w:rPr>
        <w:t xml:space="preserve"> средства, в случай на предозиране, трябва да се обърне специално внимание на пациенти с риск от удължаване на </w:t>
      </w:r>
      <w:r w:rsidRPr="009B3915">
        <w:rPr>
          <w:rFonts w:eastAsia="Times New Roman" w:cs="Arial"/>
          <w:color w:val="000000"/>
          <w:lang w:val="en-US"/>
        </w:rPr>
        <w:t xml:space="preserve">QT- </w:t>
      </w:r>
      <w:r w:rsidRPr="009B3915">
        <w:rPr>
          <w:rFonts w:eastAsia="Times New Roman" w:cs="Arial"/>
          <w:color w:val="000000"/>
          <w:lang w:eastAsia="bg-BG"/>
        </w:rPr>
        <w:t xml:space="preserve">интервала (например- хипокалиемия, брадикардия и едновременно прилагане на лекарствени продукти, за които е известно, че удължават </w:t>
      </w:r>
      <w:r w:rsidRPr="009B3915">
        <w:rPr>
          <w:rFonts w:eastAsia="Times New Roman" w:cs="Arial"/>
          <w:color w:val="000000"/>
          <w:lang w:val="en-US"/>
        </w:rPr>
        <w:t>QT</w:t>
      </w:r>
      <w:r w:rsidRPr="009B3915">
        <w:rPr>
          <w:rFonts w:eastAsia="Times New Roman" w:cs="Arial"/>
          <w:color w:val="000000"/>
          <w:lang w:eastAsia="bg-BG"/>
        </w:rPr>
        <w:t xml:space="preserve">-интервала) и при такива със съпътстващи сърдечни заболявания (например - исхемия на миокарда, аритмия, </w:t>
      </w:r>
      <w:proofErr w:type="spellStart"/>
      <w:r w:rsidRPr="009B3915">
        <w:rPr>
          <w:rFonts w:eastAsia="Times New Roman" w:cs="Arial"/>
          <w:color w:val="000000"/>
          <w:lang w:eastAsia="bg-BG"/>
        </w:rPr>
        <w:t>конгестивна</w:t>
      </w:r>
      <w:proofErr w:type="spellEnd"/>
      <w:r w:rsidRPr="009B3915">
        <w:rPr>
          <w:rFonts w:eastAsia="Times New Roman" w:cs="Arial"/>
          <w:color w:val="000000"/>
          <w:lang w:eastAsia="bg-BG"/>
        </w:rPr>
        <w:t xml:space="preserve"> сърдечна недостатъчност).</w:t>
      </w:r>
    </w:p>
    <w:p w14:paraId="02081B24" w14:textId="1F46E296" w:rsidR="00395555" w:rsidRPr="00395555" w:rsidRDefault="002C50EE" w:rsidP="008A6AF2">
      <w:pPr>
        <w:pStyle w:val="1"/>
      </w:pPr>
      <w:r>
        <w:t>5. ФАРМАКОЛОГИЧНИ СВОЙСТВА</w:t>
      </w:r>
    </w:p>
    <w:p w14:paraId="5350637D" w14:textId="5589FAD0" w:rsidR="00395555" w:rsidRDefault="002C50EE" w:rsidP="008A6AF2">
      <w:pPr>
        <w:pStyle w:val="2"/>
      </w:pPr>
      <w:r>
        <w:t xml:space="preserve">5.1. </w:t>
      </w:r>
      <w:proofErr w:type="spellStart"/>
      <w:r>
        <w:t>Фармакодинамични</w:t>
      </w:r>
      <w:proofErr w:type="spellEnd"/>
      <w:r>
        <w:t xml:space="preserve"> свойства</w:t>
      </w:r>
    </w:p>
    <w:p w14:paraId="2967D36F" w14:textId="0F2702F3" w:rsidR="009B3915" w:rsidRDefault="009B3915" w:rsidP="009B3915"/>
    <w:p w14:paraId="18D15E46" w14:textId="77777777" w:rsidR="009B3915" w:rsidRPr="009B3915" w:rsidRDefault="009B3915" w:rsidP="009B3915">
      <w:pPr>
        <w:spacing w:line="240" w:lineRule="auto"/>
        <w:rPr>
          <w:rFonts w:eastAsia="Times New Roman" w:cs="Arial"/>
        </w:rPr>
      </w:pPr>
      <w:proofErr w:type="spellStart"/>
      <w:r w:rsidRPr="009B3915">
        <w:rPr>
          <w:rFonts w:eastAsia="Times New Roman" w:cs="Arial"/>
          <w:color w:val="000000"/>
          <w:lang w:eastAsia="bg-BG"/>
        </w:rPr>
        <w:t>Фармакотерапевтична</w:t>
      </w:r>
      <w:proofErr w:type="spellEnd"/>
      <w:r w:rsidRPr="009B3915">
        <w:rPr>
          <w:rFonts w:eastAsia="Times New Roman" w:cs="Arial"/>
          <w:color w:val="000000"/>
          <w:lang w:eastAsia="bg-BG"/>
        </w:rPr>
        <w:t xml:space="preserve"> група: Пикочни антиспазматични средства, АТС код </w:t>
      </w:r>
      <w:r w:rsidRPr="009B3915">
        <w:rPr>
          <w:rFonts w:eastAsia="Times New Roman" w:cs="Arial"/>
          <w:color w:val="000000"/>
          <w:lang w:val="en-US"/>
        </w:rPr>
        <w:t xml:space="preserve">G04B D08 </w:t>
      </w:r>
      <w:r w:rsidRPr="009B3915">
        <w:rPr>
          <w:rFonts w:eastAsia="Times New Roman" w:cs="Arial"/>
          <w:b/>
          <w:bCs/>
          <w:color w:val="000000"/>
          <w:lang w:eastAsia="bg-BG"/>
        </w:rPr>
        <w:t>Механизъм на действие:</w:t>
      </w:r>
    </w:p>
    <w:p w14:paraId="331A64B1" w14:textId="77777777" w:rsidR="009B3915" w:rsidRPr="009B3915" w:rsidRDefault="009B3915" w:rsidP="009B3915">
      <w:pPr>
        <w:spacing w:line="240" w:lineRule="auto"/>
        <w:rPr>
          <w:rFonts w:eastAsia="Times New Roman" w:cs="Arial"/>
        </w:rPr>
      </w:pP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е </w:t>
      </w:r>
      <w:proofErr w:type="spellStart"/>
      <w:r w:rsidRPr="009B3915">
        <w:rPr>
          <w:rFonts w:eastAsia="Times New Roman" w:cs="Arial"/>
          <w:color w:val="000000"/>
          <w:lang w:eastAsia="bg-BG"/>
        </w:rPr>
        <w:t>компетитивен</w:t>
      </w:r>
      <w:proofErr w:type="spellEnd"/>
      <w:r w:rsidRPr="009B3915">
        <w:rPr>
          <w:rFonts w:eastAsia="Times New Roman" w:cs="Arial"/>
          <w:color w:val="000000"/>
          <w:lang w:eastAsia="bg-BG"/>
        </w:rPr>
        <w:t xml:space="preserve"> специфичен антагонист на </w:t>
      </w:r>
      <w:proofErr w:type="spellStart"/>
      <w:r w:rsidRPr="009B3915">
        <w:rPr>
          <w:rFonts w:eastAsia="Times New Roman" w:cs="Arial"/>
          <w:color w:val="000000"/>
          <w:lang w:eastAsia="bg-BG"/>
        </w:rPr>
        <w:t>холинергичните</w:t>
      </w:r>
      <w:proofErr w:type="spellEnd"/>
      <w:r w:rsidRPr="009B3915">
        <w:rPr>
          <w:rFonts w:eastAsia="Times New Roman" w:cs="Arial"/>
          <w:color w:val="000000"/>
          <w:lang w:eastAsia="bg-BG"/>
        </w:rPr>
        <w:t xml:space="preserve"> рецептори.</w:t>
      </w:r>
    </w:p>
    <w:p w14:paraId="1695BC29"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lastRenderedPageBreak/>
        <w:t xml:space="preserve">Пикочният мехур се </w:t>
      </w:r>
      <w:proofErr w:type="spellStart"/>
      <w:r w:rsidRPr="009B3915">
        <w:rPr>
          <w:rFonts w:eastAsia="Times New Roman" w:cs="Arial"/>
          <w:color w:val="000000"/>
          <w:lang w:eastAsia="bg-BG"/>
        </w:rPr>
        <w:t>инервира</w:t>
      </w:r>
      <w:proofErr w:type="spellEnd"/>
      <w:r w:rsidRPr="009B3915">
        <w:rPr>
          <w:rFonts w:eastAsia="Times New Roman" w:cs="Arial"/>
          <w:color w:val="000000"/>
          <w:lang w:eastAsia="bg-BG"/>
        </w:rPr>
        <w:t xml:space="preserve"> от </w:t>
      </w:r>
      <w:proofErr w:type="spellStart"/>
      <w:r w:rsidRPr="009B3915">
        <w:rPr>
          <w:rFonts w:eastAsia="Times New Roman" w:cs="Arial"/>
          <w:color w:val="000000"/>
          <w:lang w:eastAsia="bg-BG"/>
        </w:rPr>
        <w:t>парасимпатиковите</w:t>
      </w:r>
      <w:proofErr w:type="spellEnd"/>
      <w:r w:rsidRPr="009B3915">
        <w:rPr>
          <w:rFonts w:eastAsia="Times New Roman" w:cs="Arial"/>
          <w:color w:val="000000"/>
          <w:lang w:eastAsia="bg-BG"/>
        </w:rPr>
        <w:t xml:space="preserve"> </w:t>
      </w:r>
      <w:proofErr w:type="spellStart"/>
      <w:r w:rsidRPr="009B3915">
        <w:rPr>
          <w:rFonts w:eastAsia="Times New Roman" w:cs="Arial"/>
          <w:color w:val="000000"/>
          <w:lang w:eastAsia="bg-BG"/>
        </w:rPr>
        <w:t>холинергични</w:t>
      </w:r>
      <w:proofErr w:type="spellEnd"/>
      <w:r w:rsidRPr="009B3915">
        <w:rPr>
          <w:rFonts w:eastAsia="Times New Roman" w:cs="Arial"/>
          <w:color w:val="000000"/>
          <w:lang w:eastAsia="bg-BG"/>
        </w:rPr>
        <w:t xml:space="preserve"> нерви. </w:t>
      </w:r>
      <w:proofErr w:type="spellStart"/>
      <w:r w:rsidRPr="009B3915">
        <w:rPr>
          <w:rFonts w:eastAsia="Times New Roman" w:cs="Arial"/>
          <w:color w:val="000000"/>
          <w:lang w:eastAsia="bg-BG"/>
        </w:rPr>
        <w:t>Ацетилхолинът</w:t>
      </w:r>
      <w:proofErr w:type="spellEnd"/>
      <w:r w:rsidRPr="009B3915">
        <w:rPr>
          <w:rFonts w:eastAsia="Times New Roman" w:cs="Arial"/>
          <w:color w:val="000000"/>
          <w:lang w:eastAsia="bg-BG"/>
        </w:rPr>
        <w:t xml:space="preserve"> предизвиква свиване на гладкия мускул на </w:t>
      </w:r>
      <w:proofErr w:type="spellStart"/>
      <w:r w:rsidRPr="009B3915">
        <w:rPr>
          <w:rFonts w:eastAsia="Times New Roman" w:cs="Arial"/>
          <w:color w:val="000000"/>
          <w:lang w:eastAsia="bg-BG"/>
        </w:rPr>
        <w:t>детрузора</w:t>
      </w:r>
      <w:proofErr w:type="spellEnd"/>
      <w:r w:rsidRPr="009B3915">
        <w:rPr>
          <w:rFonts w:eastAsia="Times New Roman" w:cs="Arial"/>
          <w:color w:val="000000"/>
          <w:lang w:eastAsia="bg-BG"/>
        </w:rPr>
        <w:t xml:space="preserve"> чрез </w:t>
      </w:r>
      <w:proofErr w:type="spellStart"/>
      <w:r w:rsidRPr="009B3915">
        <w:rPr>
          <w:rFonts w:eastAsia="Times New Roman" w:cs="Arial"/>
          <w:color w:val="000000"/>
          <w:lang w:eastAsia="bg-BG"/>
        </w:rPr>
        <w:t>мускаринавите</w:t>
      </w:r>
      <w:proofErr w:type="spellEnd"/>
      <w:r w:rsidRPr="009B3915">
        <w:rPr>
          <w:rFonts w:eastAsia="Times New Roman" w:cs="Arial"/>
          <w:color w:val="000000"/>
          <w:lang w:eastAsia="bg-BG"/>
        </w:rPr>
        <w:t xml:space="preserve"> рецептори, преимуществено от M3 подтип. Фармакологичните изследвания </w:t>
      </w:r>
      <w:r w:rsidRPr="009B3915">
        <w:rPr>
          <w:rFonts w:eastAsia="Times New Roman" w:cs="Arial"/>
          <w:i/>
          <w:iCs/>
          <w:color w:val="000000"/>
          <w:lang w:val="en-US"/>
        </w:rPr>
        <w:t>in vitro</w:t>
      </w:r>
      <w:r w:rsidRPr="009B3915">
        <w:rPr>
          <w:rFonts w:eastAsia="Times New Roman" w:cs="Arial"/>
          <w:color w:val="000000"/>
          <w:lang w:val="en-US"/>
        </w:rPr>
        <w:t xml:space="preserve"> </w:t>
      </w:r>
      <w:r w:rsidRPr="009B3915">
        <w:rPr>
          <w:rFonts w:eastAsia="Times New Roman" w:cs="Arial"/>
          <w:color w:val="000000"/>
          <w:lang w:eastAsia="bg-BG"/>
        </w:rPr>
        <w:t xml:space="preserve">и </w:t>
      </w:r>
      <w:r w:rsidRPr="009B3915">
        <w:rPr>
          <w:rFonts w:eastAsia="Times New Roman" w:cs="Arial"/>
          <w:i/>
          <w:iCs/>
          <w:color w:val="000000"/>
          <w:lang w:val="en-US"/>
        </w:rPr>
        <w:t>in vivo</w:t>
      </w:r>
      <w:r w:rsidRPr="009B3915">
        <w:rPr>
          <w:rFonts w:eastAsia="Times New Roman" w:cs="Arial"/>
          <w:color w:val="000000"/>
          <w:lang w:val="en-US"/>
        </w:rPr>
        <w:t xml:space="preserve"> </w:t>
      </w:r>
      <w:r w:rsidRPr="009B3915">
        <w:rPr>
          <w:rFonts w:eastAsia="Times New Roman" w:cs="Arial"/>
          <w:color w:val="000000"/>
          <w:lang w:eastAsia="bg-BG"/>
        </w:rPr>
        <w:t xml:space="preserve">показват, че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е </w:t>
      </w:r>
      <w:proofErr w:type="spellStart"/>
      <w:r w:rsidRPr="009B3915">
        <w:rPr>
          <w:rFonts w:eastAsia="Times New Roman" w:cs="Arial"/>
          <w:color w:val="000000"/>
          <w:lang w:eastAsia="bg-BG"/>
        </w:rPr>
        <w:t>компететивен</w:t>
      </w:r>
      <w:proofErr w:type="spellEnd"/>
      <w:r w:rsidRPr="009B3915">
        <w:rPr>
          <w:rFonts w:eastAsia="Times New Roman" w:cs="Arial"/>
          <w:color w:val="000000"/>
          <w:lang w:eastAsia="bg-BG"/>
        </w:rPr>
        <w:t xml:space="preserve"> инхибитор на </w:t>
      </w:r>
      <w:proofErr w:type="spellStart"/>
      <w:r w:rsidRPr="009B3915">
        <w:rPr>
          <w:rFonts w:eastAsia="Times New Roman" w:cs="Arial"/>
          <w:color w:val="000000"/>
          <w:lang w:eastAsia="bg-BG"/>
        </w:rPr>
        <w:t>мускариновия</w:t>
      </w:r>
      <w:proofErr w:type="spellEnd"/>
      <w:r w:rsidRPr="009B3915">
        <w:rPr>
          <w:rFonts w:eastAsia="Times New Roman" w:cs="Arial"/>
          <w:color w:val="000000"/>
          <w:lang w:eastAsia="bg-BG"/>
        </w:rPr>
        <w:t xml:space="preserve"> M3 рецептор. Освен това той е специфичен антагонист на </w:t>
      </w:r>
      <w:proofErr w:type="spellStart"/>
      <w:r w:rsidRPr="009B3915">
        <w:rPr>
          <w:rFonts w:eastAsia="Times New Roman" w:cs="Arial"/>
          <w:color w:val="000000"/>
          <w:lang w:eastAsia="bg-BG"/>
        </w:rPr>
        <w:t>мускариновите</w:t>
      </w:r>
      <w:proofErr w:type="spellEnd"/>
      <w:r w:rsidRPr="009B3915">
        <w:rPr>
          <w:rFonts w:eastAsia="Times New Roman" w:cs="Arial"/>
          <w:color w:val="000000"/>
          <w:lang w:eastAsia="bg-BG"/>
        </w:rPr>
        <w:t xml:space="preserve"> рецептори, като е с малък или без афинитет към други рецептори и йонни канали, които са изследвани.</w:t>
      </w:r>
    </w:p>
    <w:p w14:paraId="7197211F" w14:textId="77777777" w:rsidR="009B3915" w:rsidRPr="009B3915" w:rsidRDefault="009B3915" w:rsidP="009B3915">
      <w:pPr>
        <w:spacing w:line="240" w:lineRule="auto"/>
        <w:rPr>
          <w:rFonts w:eastAsia="Times New Roman" w:cs="Arial"/>
          <w:b/>
          <w:bCs/>
          <w:color w:val="000000"/>
          <w:lang w:eastAsia="bg-BG"/>
        </w:rPr>
      </w:pPr>
      <w:bookmarkStart w:id="1" w:name="bookmark0"/>
    </w:p>
    <w:p w14:paraId="09602CEA" w14:textId="1D877B6F" w:rsidR="009B3915" w:rsidRPr="009B3915" w:rsidRDefault="009B3915" w:rsidP="009B3915">
      <w:pPr>
        <w:spacing w:line="240" w:lineRule="auto"/>
        <w:rPr>
          <w:rFonts w:eastAsia="Times New Roman" w:cs="Arial"/>
        </w:rPr>
      </w:pPr>
      <w:proofErr w:type="spellStart"/>
      <w:r w:rsidRPr="009B3915">
        <w:rPr>
          <w:rFonts w:eastAsia="Times New Roman" w:cs="Arial"/>
          <w:b/>
          <w:bCs/>
          <w:color w:val="000000"/>
          <w:lang w:eastAsia="bg-BG"/>
        </w:rPr>
        <w:t>Фармакодинамични</w:t>
      </w:r>
      <w:proofErr w:type="spellEnd"/>
      <w:r w:rsidRPr="009B3915">
        <w:rPr>
          <w:rFonts w:eastAsia="Times New Roman" w:cs="Arial"/>
          <w:b/>
          <w:bCs/>
          <w:color w:val="000000"/>
          <w:lang w:eastAsia="bg-BG"/>
        </w:rPr>
        <w:t xml:space="preserve"> ефекти</w:t>
      </w:r>
      <w:bookmarkEnd w:id="1"/>
    </w:p>
    <w:p w14:paraId="49A7D371"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 xml:space="preserve">Лечението със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в дози 5 </w:t>
      </w:r>
      <w:r w:rsidRPr="009B3915">
        <w:rPr>
          <w:rFonts w:eastAsia="Times New Roman" w:cs="Arial"/>
          <w:color w:val="000000"/>
          <w:lang w:val="en-US"/>
        </w:rPr>
        <w:t xml:space="preserve">mg </w:t>
      </w:r>
      <w:r w:rsidRPr="009B3915">
        <w:rPr>
          <w:rFonts w:eastAsia="Times New Roman" w:cs="Arial"/>
          <w:color w:val="000000"/>
          <w:lang w:eastAsia="bg-BG"/>
        </w:rPr>
        <w:t>и 10</w:t>
      </w:r>
      <w:r w:rsidRPr="009B3915">
        <w:rPr>
          <w:rFonts w:eastAsia="Times New Roman" w:cs="Arial"/>
          <w:color w:val="000000"/>
          <w:lang w:val="en-US"/>
        </w:rPr>
        <w:t xml:space="preserve">mg </w:t>
      </w:r>
      <w:r w:rsidRPr="009B3915">
        <w:rPr>
          <w:rFonts w:eastAsia="Times New Roman" w:cs="Arial"/>
          <w:color w:val="000000"/>
          <w:lang w:eastAsia="bg-BG"/>
        </w:rPr>
        <w:t>дневно е проучено в няколко двойно слепи рандомизирани, контролирани клинични изпитвания при мъже и жени със свръхактивен</w:t>
      </w:r>
    </w:p>
    <w:p w14:paraId="46676600" w14:textId="4DDE8D42" w:rsidR="009B3915" w:rsidRPr="009B3915" w:rsidRDefault="009B3915" w:rsidP="009B3915">
      <w:pPr>
        <w:spacing w:line="240" w:lineRule="auto"/>
        <w:rPr>
          <w:rFonts w:eastAsia="Times New Roman" w:cs="Arial"/>
          <w:color w:val="000000"/>
          <w:lang w:eastAsia="bg-BG"/>
        </w:rPr>
      </w:pPr>
      <w:r w:rsidRPr="009B3915">
        <w:rPr>
          <w:rFonts w:eastAsia="Times New Roman" w:cs="Arial"/>
          <w:color w:val="000000"/>
          <w:lang w:eastAsia="bg-BG"/>
        </w:rPr>
        <w:t>пикочен мехур.</w:t>
      </w:r>
    </w:p>
    <w:p w14:paraId="6DDE0580" w14:textId="7985E83F" w:rsidR="009B3915" w:rsidRPr="009B3915" w:rsidRDefault="009B3915" w:rsidP="009B3915">
      <w:pPr>
        <w:spacing w:line="240" w:lineRule="auto"/>
        <w:rPr>
          <w:rFonts w:eastAsia="Times New Roman" w:cs="Arial"/>
          <w:color w:val="000000"/>
          <w:lang w:eastAsia="bg-BG"/>
        </w:rPr>
      </w:pPr>
    </w:p>
    <w:p w14:paraId="0825F87C" w14:textId="77777777" w:rsidR="009B3915" w:rsidRPr="009B3915" w:rsidRDefault="009B3915" w:rsidP="009B3915">
      <w:pPr>
        <w:spacing w:line="240" w:lineRule="auto"/>
        <w:rPr>
          <w:rFonts w:eastAsia="Times New Roman" w:cs="Arial"/>
        </w:rPr>
      </w:pPr>
      <w:r w:rsidRPr="009B3915">
        <w:rPr>
          <w:rFonts w:eastAsia="Times New Roman" w:cs="Arial"/>
          <w:color w:val="000000"/>
          <w:lang w:eastAsia="bg-BG"/>
        </w:rPr>
        <w:t xml:space="preserve">Както е показано в таблицата по- долу и в двете дози от 5 и 10 </w:t>
      </w:r>
      <w:r w:rsidRPr="009B3915">
        <w:rPr>
          <w:rFonts w:eastAsia="Times New Roman" w:cs="Arial"/>
          <w:color w:val="000000"/>
          <w:lang w:val="en-US"/>
        </w:rPr>
        <w:t xml:space="preserve">mg </w:t>
      </w:r>
      <w:proofErr w:type="spellStart"/>
      <w:r w:rsidRPr="009B3915">
        <w:rPr>
          <w:rFonts w:eastAsia="Times New Roman" w:cs="Arial"/>
          <w:color w:val="000000"/>
          <w:lang w:eastAsia="bg-BG"/>
        </w:rPr>
        <w:t>солифенацин</w:t>
      </w:r>
      <w:proofErr w:type="spellEnd"/>
      <w:r w:rsidRPr="009B3915">
        <w:rPr>
          <w:rFonts w:eastAsia="Times New Roman" w:cs="Arial"/>
          <w:color w:val="000000"/>
          <w:lang w:eastAsia="bg-BG"/>
        </w:rPr>
        <w:t xml:space="preserve"> предизвикват статистически значими подобрения в първичните и вторични крайни точки в сравнение с плацебо. Резултатите за ефикасност се получават след една седмица от началото на лечението и се стабилизират за период от 12 седмици. Дългосрочно открито проучване показва, че ефикасността се подържа поне 12 месеца. След 12-седмично лечение приблизително 50% от пациентите, страдащи от </w:t>
      </w:r>
      <w:proofErr w:type="spellStart"/>
      <w:r w:rsidRPr="009B3915">
        <w:rPr>
          <w:rFonts w:eastAsia="Times New Roman" w:cs="Arial"/>
          <w:color w:val="000000"/>
          <w:lang w:eastAsia="bg-BG"/>
        </w:rPr>
        <w:t>инконтинрнция</w:t>
      </w:r>
      <w:proofErr w:type="spellEnd"/>
      <w:r w:rsidRPr="009B3915">
        <w:rPr>
          <w:rFonts w:eastAsia="Times New Roman" w:cs="Arial"/>
          <w:color w:val="000000"/>
          <w:lang w:eastAsia="bg-BG"/>
        </w:rPr>
        <w:t xml:space="preserve"> преди лечението, нямат епизоди на инконтиненция, а други 35% от пациентите постигат честота на уриниране по- малко от 8 пъти дневно. Лечението на симптомите на свръхактивния пикочен мехур се отразява благоприятно върху няколко показателя за качество на живот, например цялостно усещане за добро здраве, като намалява епизодите на инконтиненция, физическите и социални ограничения, неприятните емоции, тежестта на симптомите, стриктните ограничения и нарушението на сън/ будност.</w:t>
      </w:r>
    </w:p>
    <w:p w14:paraId="43B4E82F" w14:textId="77777777" w:rsidR="009B3915" w:rsidRDefault="009B3915" w:rsidP="009B3915">
      <w:pPr>
        <w:spacing w:line="240" w:lineRule="auto"/>
        <w:rPr>
          <w:rFonts w:eastAsia="Times New Roman" w:cs="Arial"/>
          <w:b/>
          <w:bCs/>
          <w:i/>
          <w:iCs/>
          <w:color w:val="000000"/>
          <w:lang w:eastAsia="bg-BG"/>
        </w:rPr>
      </w:pPr>
    </w:p>
    <w:p w14:paraId="33BA6B8A" w14:textId="53962FCF" w:rsidR="009B3915" w:rsidRPr="009B3915" w:rsidRDefault="009B3915" w:rsidP="009B3915">
      <w:pPr>
        <w:spacing w:line="240" w:lineRule="auto"/>
        <w:rPr>
          <w:rFonts w:eastAsia="Times New Roman" w:cs="Arial"/>
        </w:rPr>
      </w:pPr>
      <w:r w:rsidRPr="009B3915">
        <w:rPr>
          <w:rFonts w:eastAsia="Times New Roman" w:cs="Arial"/>
          <w:b/>
          <w:bCs/>
          <w:i/>
          <w:iCs/>
          <w:color w:val="000000"/>
          <w:lang w:eastAsia="bg-BG"/>
        </w:rPr>
        <w:t>Резултати (обобщени данни) от четири контролирани (фаза 3) проучвания с продължителност 12 седмици</w:t>
      </w:r>
    </w:p>
    <w:tbl>
      <w:tblPr>
        <w:tblStyle w:val="a4"/>
        <w:tblW w:w="0" w:type="auto"/>
        <w:tblLook w:val="04A0" w:firstRow="1" w:lastRow="0" w:firstColumn="1" w:lastColumn="0" w:noHBand="0" w:noVBand="1"/>
      </w:tblPr>
      <w:tblGrid>
        <w:gridCol w:w="1849"/>
        <w:gridCol w:w="1827"/>
        <w:gridCol w:w="1897"/>
        <w:gridCol w:w="1897"/>
        <w:gridCol w:w="1880"/>
      </w:tblGrid>
      <w:tr w:rsidR="0034416A" w14:paraId="551D4168" w14:textId="77777777" w:rsidTr="0034416A">
        <w:trPr>
          <w:trHeight w:val="647"/>
        </w:trPr>
        <w:tc>
          <w:tcPr>
            <w:tcW w:w="1915" w:type="dxa"/>
          </w:tcPr>
          <w:p w14:paraId="7477D3A2" w14:textId="77777777" w:rsidR="0034416A" w:rsidRPr="0034416A" w:rsidRDefault="0034416A" w:rsidP="0034416A">
            <w:pPr>
              <w:spacing w:line="240" w:lineRule="auto"/>
              <w:rPr>
                <w:rFonts w:ascii="Times New Roman" w:eastAsia="Times New Roman" w:hAnsi="Times New Roman" w:cs="Times New Roman"/>
              </w:rPr>
            </w:pPr>
          </w:p>
        </w:tc>
        <w:tc>
          <w:tcPr>
            <w:tcW w:w="1915" w:type="dxa"/>
          </w:tcPr>
          <w:p w14:paraId="33FEE2BE" w14:textId="56AA7E21" w:rsidR="0034416A" w:rsidRPr="0034416A" w:rsidRDefault="0034416A" w:rsidP="0034416A">
            <w:pPr>
              <w:spacing w:line="240" w:lineRule="auto"/>
              <w:rPr>
                <w:rFonts w:ascii="Times New Roman" w:eastAsia="Times New Roman" w:hAnsi="Times New Roman" w:cs="Times New Roman"/>
              </w:rPr>
            </w:pPr>
            <w:r w:rsidRPr="0034416A">
              <w:rPr>
                <w:b/>
                <w:bCs/>
                <w:i/>
                <w:iCs/>
              </w:rPr>
              <w:t>Плацебо</w:t>
            </w:r>
          </w:p>
        </w:tc>
        <w:tc>
          <w:tcPr>
            <w:tcW w:w="1915" w:type="dxa"/>
          </w:tcPr>
          <w:p w14:paraId="544D5449" w14:textId="65B58D41" w:rsidR="0034416A" w:rsidRPr="0034416A" w:rsidRDefault="0034416A" w:rsidP="0034416A">
            <w:pPr>
              <w:spacing w:line="240" w:lineRule="auto"/>
              <w:rPr>
                <w:rFonts w:ascii="Times New Roman" w:eastAsia="Times New Roman" w:hAnsi="Times New Roman" w:cs="Times New Roman"/>
              </w:rPr>
            </w:pPr>
            <w:proofErr w:type="spellStart"/>
            <w:r w:rsidRPr="0034416A">
              <w:rPr>
                <w:b/>
                <w:bCs/>
                <w:i/>
                <w:iCs/>
              </w:rPr>
              <w:t>Солифенацин</w:t>
            </w:r>
            <w:proofErr w:type="spellEnd"/>
            <w:r w:rsidRPr="0034416A">
              <w:rPr>
                <w:b/>
                <w:bCs/>
                <w:i/>
                <w:iCs/>
              </w:rPr>
              <w:t xml:space="preserve"> </w:t>
            </w:r>
            <w:r w:rsidRPr="0034416A">
              <w:rPr>
                <w:b/>
                <w:bCs/>
              </w:rPr>
              <w:t xml:space="preserve">5 </w:t>
            </w:r>
            <w:r w:rsidRPr="0034416A">
              <w:rPr>
                <w:b/>
                <w:bCs/>
                <w:i/>
                <w:iCs/>
                <w:lang w:val="en-US"/>
              </w:rPr>
              <w:t xml:space="preserve">mg </w:t>
            </w:r>
            <w:r w:rsidRPr="0034416A">
              <w:rPr>
                <w:b/>
                <w:bCs/>
                <w:i/>
                <w:iCs/>
              </w:rPr>
              <w:t>дневно</w:t>
            </w:r>
          </w:p>
        </w:tc>
        <w:tc>
          <w:tcPr>
            <w:tcW w:w="1915" w:type="dxa"/>
          </w:tcPr>
          <w:p w14:paraId="35A75660" w14:textId="00F8EB95" w:rsidR="0034416A" w:rsidRPr="0034416A" w:rsidRDefault="0034416A" w:rsidP="0034416A">
            <w:pPr>
              <w:spacing w:line="240" w:lineRule="auto"/>
              <w:rPr>
                <w:rFonts w:ascii="Times New Roman" w:eastAsia="Times New Roman" w:hAnsi="Times New Roman" w:cs="Times New Roman"/>
              </w:rPr>
            </w:pPr>
            <w:proofErr w:type="spellStart"/>
            <w:r w:rsidRPr="0034416A">
              <w:rPr>
                <w:b/>
                <w:bCs/>
                <w:i/>
                <w:iCs/>
              </w:rPr>
              <w:t>Солифенацин</w:t>
            </w:r>
            <w:proofErr w:type="spellEnd"/>
            <w:r w:rsidRPr="0034416A">
              <w:rPr>
                <w:b/>
                <w:bCs/>
                <w:i/>
                <w:iCs/>
              </w:rPr>
              <w:t xml:space="preserve"> 10 </w:t>
            </w:r>
            <w:r w:rsidRPr="0034416A">
              <w:rPr>
                <w:b/>
                <w:bCs/>
                <w:i/>
                <w:iCs/>
                <w:lang w:val="en-US"/>
              </w:rPr>
              <w:t xml:space="preserve">mg </w:t>
            </w:r>
            <w:r w:rsidRPr="0034416A">
              <w:rPr>
                <w:b/>
                <w:bCs/>
                <w:i/>
                <w:iCs/>
              </w:rPr>
              <w:t>дневно</w:t>
            </w:r>
          </w:p>
        </w:tc>
        <w:tc>
          <w:tcPr>
            <w:tcW w:w="1916" w:type="dxa"/>
            <w:vAlign w:val="bottom"/>
          </w:tcPr>
          <w:p w14:paraId="6FA98341" w14:textId="687254FF" w:rsidR="0034416A" w:rsidRPr="0034416A" w:rsidRDefault="0034416A" w:rsidP="0034416A">
            <w:pPr>
              <w:spacing w:line="240" w:lineRule="auto"/>
              <w:rPr>
                <w:rFonts w:ascii="Times New Roman" w:eastAsia="Times New Roman" w:hAnsi="Times New Roman" w:cs="Times New Roman"/>
              </w:rPr>
            </w:pPr>
            <w:proofErr w:type="spellStart"/>
            <w:r w:rsidRPr="0034416A">
              <w:rPr>
                <w:b/>
                <w:bCs/>
                <w:i/>
                <w:iCs/>
              </w:rPr>
              <w:t>Толтеродин</w:t>
            </w:r>
            <w:proofErr w:type="spellEnd"/>
            <w:r w:rsidRPr="0034416A">
              <w:rPr>
                <w:b/>
                <w:bCs/>
                <w:i/>
                <w:iCs/>
              </w:rPr>
              <w:t xml:space="preserve"> </w:t>
            </w:r>
            <w:r w:rsidRPr="0034416A">
              <w:rPr>
                <w:b/>
                <w:bCs/>
                <w:i/>
                <w:iCs/>
                <w:lang w:val="en-US"/>
              </w:rPr>
              <w:t xml:space="preserve">2mg </w:t>
            </w:r>
            <w:r w:rsidRPr="0034416A">
              <w:rPr>
                <w:b/>
                <w:bCs/>
                <w:i/>
                <w:iCs/>
              </w:rPr>
              <w:t>два пъти дневно</w:t>
            </w:r>
          </w:p>
        </w:tc>
      </w:tr>
      <w:tr w:rsidR="0034416A" w14:paraId="6730B8A6" w14:textId="77777777" w:rsidTr="00417F16">
        <w:tc>
          <w:tcPr>
            <w:tcW w:w="9576" w:type="dxa"/>
            <w:gridSpan w:val="5"/>
          </w:tcPr>
          <w:p w14:paraId="2B6545BA" w14:textId="3FF1C43C" w:rsidR="0034416A" w:rsidRPr="0034416A" w:rsidRDefault="0034416A" w:rsidP="0034416A">
            <w:pPr>
              <w:rPr>
                <w:rFonts w:ascii="Times New Roman" w:eastAsia="Times New Roman" w:hAnsi="Times New Roman" w:cs="Times New Roman"/>
                <w:b/>
                <w:bCs/>
                <w:sz w:val="24"/>
                <w:szCs w:val="24"/>
              </w:rPr>
            </w:pPr>
            <w:r w:rsidRPr="0034416A">
              <w:rPr>
                <w:b/>
                <w:bCs/>
              </w:rPr>
              <w:t xml:space="preserve">Брой </w:t>
            </w:r>
            <w:proofErr w:type="spellStart"/>
            <w:r w:rsidRPr="0034416A">
              <w:rPr>
                <w:b/>
                <w:bCs/>
              </w:rPr>
              <w:t>науринирания</w:t>
            </w:r>
            <w:proofErr w:type="spellEnd"/>
            <w:r w:rsidRPr="0034416A">
              <w:rPr>
                <w:b/>
                <w:bCs/>
              </w:rPr>
              <w:t xml:space="preserve"> за 24часа</w:t>
            </w:r>
          </w:p>
        </w:tc>
      </w:tr>
      <w:tr w:rsidR="0034416A" w14:paraId="466337E5" w14:textId="77777777" w:rsidTr="0034416A">
        <w:tc>
          <w:tcPr>
            <w:tcW w:w="1915" w:type="dxa"/>
          </w:tcPr>
          <w:p w14:paraId="5328AE77" w14:textId="6EAB507A" w:rsidR="0034416A" w:rsidRPr="0034416A" w:rsidRDefault="0034416A" w:rsidP="0034416A">
            <w:pPr>
              <w:spacing w:line="240" w:lineRule="auto"/>
              <w:rPr>
                <w:rFonts w:ascii="Times New Roman" w:eastAsia="Times New Roman" w:hAnsi="Times New Roman" w:cs="Times New Roman"/>
              </w:rPr>
            </w:pPr>
            <w:r w:rsidRPr="0034416A">
              <w:t>Средна базова линия</w:t>
            </w:r>
          </w:p>
        </w:tc>
        <w:tc>
          <w:tcPr>
            <w:tcW w:w="1915" w:type="dxa"/>
          </w:tcPr>
          <w:p w14:paraId="5AB9F63A" w14:textId="3D3B415F" w:rsidR="0034416A" w:rsidRPr="0034416A" w:rsidRDefault="0034416A" w:rsidP="0034416A">
            <w:pPr>
              <w:spacing w:line="240" w:lineRule="auto"/>
              <w:rPr>
                <w:rFonts w:ascii="Times New Roman" w:eastAsia="Times New Roman" w:hAnsi="Times New Roman" w:cs="Times New Roman"/>
              </w:rPr>
            </w:pPr>
            <w:r w:rsidRPr="0034416A">
              <w:rPr>
                <w:b/>
                <w:bCs/>
                <w:i/>
                <w:iCs/>
              </w:rPr>
              <w:t>11,9</w:t>
            </w:r>
          </w:p>
        </w:tc>
        <w:tc>
          <w:tcPr>
            <w:tcW w:w="1915" w:type="dxa"/>
          </w:tcPr>
          <w:p w14:paraId="2B27F799" w14:textId="2547A677" w:rsidR="0034416A" w:rsidRPr="0034416A" w:rsidRDefault="0034416A" w:rsidP="0034416A">
            <w:pPr>
              <w:spacing w:line="240" w:lineRule="auto"/>
              <w:rPr>
                <w:rFonts w:ascii="Times New Roman" w:eastAsia="Times New Roman" w:hAnsi="Times New Roman" w:cs="Times New Roman"/>
              </w:rPr>
            </w:pPr>
            <w:r w:rsidRPr="0034416A">
              <w:rPr>
                <w:b/>
                <w:bCs/>
                <w:i/>
                <w:iCs/>
              </w:rPr>
              <w:t>12,1</w:t>
            </w:r>
          </w:p>
        </w:tc>
        <w:tc>
          <w:tcPr>
            <w:tcW w:w="1915" w:type="dxa"/>
          </w:tcPr>
          <w:p w14:paraId="37526AF8" w14:textId="48C9EB9C" w:rsidR="0034416A" w:rsidRPr="0034416A" w:rsidRDefault="0034416A" w:rsidP="0034416A">
            <w:pPr>
              <w:spacing w:line="240" w:lineRule="auto"/>
              <w:rPr>
                <w:rFonts w:ascii="Times New Roman" w:eastAsia="Times New Roman" w:hAnsi="Times New Roman" w:cs="Times New Roman"/>
              </w:rPr>
            </w:pPr>
            <w:r w:rsidRPr="0034416A">
              <w:rPr>
                <w:b/>
                <w:bCs/>
                <w:i/>
                <w:iCs/>
              </w:rPr>
              <w:t>11.9</w:t>
            </w:r>
          </w:p>
        </w:tc>
        <w:tc>
          <w:tcPr>
            <w:tcW w:w="1916" w:type="dxa"/>
          </w:tcPr>
          <w:p w14:paraId="6FDE8362" w14:textId="0560AB59" w:rsidR="0034416A" w:rsidRPr="0034416A" w:rsidRDefault="0034416A" w:rsidP="0034416A">
            <w:pPr>
              <w:spacing w:line="240" w:lineRule="auto"/>
              <w:rPr>
                <w:rFonts w:ascii="Times New Roman" w:eastAsia="Times New Roman" w:hAnsi="Times New Roman" w:cs="Times New Roman"/>
              </w:rPr>
            </w:pPr>
            <w:r w:rsidRPr="0034416A">
              <w:rPr>
                <w:b/>
                <w:bCs/>
                <w:i/>
                <w:iCs/>
              </w:rPr>
              <w:t>12,1</w:t>
            </w:r>
          </w:p>
        </w:tc>
      </w:tr>
      <w:tr w:rsidR="0034416A" w14:paraId="78F0F3B3" w14:textId="77777777" w:rsidTr="00AF4C72">
        <w:tc>
          <w:tcPr>
            <w:tcW w:w="1915" w:type="dxa"/>
            <w:vAlign w:val="bottom"/>
          </w:tcPr>
          <w:p w14:paraId="6764183E" w14:textId="689A297B" w:rsidR="0034416A" w:rsidRPr="0034416A" w:rsidRDefault="0034416A" w:rsidP="0034416A">
            <w:pPr>
              <w:spacing w:line="240" w:lineRule="auto"/>
              <w:rPr>
                <w:rFonts w:ascii="Times New Roman" w:eastAsia="Times New Roman" w:hAnsi="Times New Roman" w:cs="Times New Roman"/>
              </w:rPr>
            </w:pPr>
            <w:r w:rsidRPr="0034416A">
              <w:t>Средно намаление спрямо базовата линия</w:t>
            </w:r>
          </w:p>
        </w:tc>
        <w:tc>
          <w:tcPr>
            <w:tcW w:w="1915" w:type="dxa"/>
          </w:tcPr>
          <w:p w14:paraId="0602EA61" w14:textId="7D363DB4" w:rsidR="0034416A" w:rsidRPr="0034416A" w:rsidRDefault="0034416A" w:rsidP="0034416A">
            <w:pPr>
              <w:spacing w:line="240" w:lineRule="auto"/>
              <w:rPr>
                <w:rFonts w:ascii="Times New Roman" w:eastAsia="Times New Roman" w:hAnsi="Times New Roman" w:cs="Times New Roman"/>
              </w:rPr>
            </w:pPr>
            <w:r w:rsidRPr="0034416A">
              <w:rPr>
                <w:b/>
                <w:bCs/>
                <w:i/>
                <w:iCs/>
              </w:rPr>
              <w:t>1,4</w:t>
            </w:r>
          </w:p>
        </w:tc>
        <w:tc>
          <w:tcPr>
            <w:tcW w:w="1915" w:type="dxa"/>
          </w:tcPr>
          <w:p w14:paraId="38E63546" w14:textId="24EA236B" w:rsidR="0034416A" w:rsidRPr="0034416A" w:rsidRDefault="0034416A" w:rsidP="0034416A">
            <w:pPr>
              <w:spacing w:line="240" w:lineRule="auto"/>
              <w:rPr>
                <w:rFonts w:ascii="Times New Roman" w:eastAsia="Times New Roman" w:hAnsi="Times New Roman" w:cs="Times New Roman"/>
              </w:rPr>
            </w:pPr>
            <w:r w:rsidRPr="0034416A">
              <w:rPr>
                <w:b/>
                <w:bCs/>
                <w:i/>
                <w:iCs/>
              </w:rPr>
              <w:t>2,3</w:t>
            </w:r>
          </w:p>
        </w:tc>
        <w:tc>
          <w:tcPr>
            <w:tcW w:w="1915" w:type="dxa"/>
          </w:tcPr>
          <w:p w14:paraId="72969472" w14:textId="455D919E" w:rsidR="0034416A" w:rsidRPr="0034416A" w:rsidRDefault="0034416A" w:rsidP="0034416A">
            <w:pPr>
              <w:spacing w:line="240" w:lineRule="auto"/>
              <w:rPr>
                <w:rFonts w:ascii="Times New Roman" w:eastAsia="Times New Roman" w:hAnsi="Times New Roman" w:cs="Times New Roman"/>
              </w:rPr>
            </w:pPr>
            <w:r w:rsidRPr="0034416A">
              <w:rPr>
                <w:b/>
                <w:bCs/>
                <w:i/>
                <w:iCs/>
              </w:rPr>
              <w:t>2.7</w:t>
            </w:r>
          </w:p>
        </w:tc>
        <w:tc>
          <w:tcPr>
            <w:tcW w:w="1916" w:type="dxa"/>
          </w:tcPr>
          <w:p w14:paraId="15C9C756" w14:textId="31A83AC2" w:rsidR="0034416A" w:rsidRPr="0034416A" w:rsidRDefault="0034416A" w:rsidP="0034416A">
            <w:pPr>
              <w:spacing w:line="240" w:lineRule="auto"/>
              <w:rPr>
                <w:rFonts w:ascii="Times New Roman" w:eastAsia="Times New Roman" w:hAnsi="Times New Roman" w:cs="Times New Roman"/>
              </w:rPr>
            </w:pPr>
            <w:r w:rsidRPr="0034416A">
              <w:rPr>
                <w:b/>
                <w:bCs/>
                <w:i/>
                <w:iCs/>
              </w:rPr>
              <w:t>1,9</w:t>
            </w:r>
          </w:p>
        </w:tc>
      </w:tr>
      <w:tr w:rsidR="0034416A" w14:paraId="080C6707" w14:textId="77777777" w:rsidTr="00AF4C72">
        <w:tc>
          <w:tcPr>
            <w:tcW w:w="1915" w:type="dxa"/>
            <w:vAlign w:val="bottom"/>
          </w:tcPr>
          <w:p w14:paraId="1DE2EE95" w14:textId="77777777" w:rsidR="0034416A" w:rsidRPr="0034416A" w:rsidRDefault="0034416A" w:rsidP="0034416A">
            <w:r w:rsidRPr="0034416A">
              <w:t>% промяна спрямо базовата линия</w:t>
            </w:r>
          </w:p>
          <w:p w14:paraId="4EC2027A" w14:textId="713CF624" w:rsidR="0034416A" w:rsidRPr="0034416A" w:rsidRDefault="0034416A" w:rsidP="0034416A">
            <w:pPr>
              <w:spacing w:line="240" w:lineRule="auto"/>
              <w:rPr>
                <w:rFonts w:ascii="Times New Roman" w:eastAsia="Times New Roman" w:hAnsi="Times New Roman" w:cs="Times New Roman"/>
                <w:lang w:val="en-US"/>
              </w:rPr>
            </w:pPr>
            <w:r>
              <w:rPr>
                <w:rFonts w:eastAsia="Times New Roman" w:cs="Times New Roman"/>
                <w:lang w:val="en-US"/>
              </w:rPr>
              <w:t>n</w:t>
            </w:r>
          </w:p>
        </w:tc>
        <w:tc>
          <w:tcPr>
            <w:tcW w:w="1915" w:type="dxa"/>
            <w:vAlign w:val="bottom"/>
          </w:tcPr>
          <w:p w14:paraId="407C2A6F" w14:textId="77777777" w:rsidR="0034416A" w:rsidRPr="0034416A" w:rsidRDefault="0034416A" w:rsidP="0034416A">
            <w:r w:rsidRPr="0034416A">
              <w:rPr>
                <w:b/>
                <w:bCs/>
                <w:i/>
                <w:iCs/>
              </w:rPr>
              <w:t>(12%)</w:t>
            </w:r>
          </w:p>
          <w:p w14:paraId="03E5E441" w14:textId="7674B099" w:rsidR="0034416A" w:rsidRPr="0034416A" w:rsidRDefault="0034416A" w:rsidP="0034416A">
            <w:pPr>
              <w:spacing w:line="240" w:lineRule="auto"/>
              <w:rPr>
                <w:rFonts w:ascii="Times New Roman" w:eastAsia="Times New Roman" w:hAnsi="Times New Roman" w:cs="Times New Roman"/>
              </w:rPr>
            </w:pPr>
            <w:r w:rsidRPr="0034416A">
              <w:rPr>
                <w:b/>
                <w:bCs/>
                <w:i/>
                <w:iCs/>
              </w:rPr>
              <w:t>1138</w:t>
            </w:r>
          </w:p>
        </w:tc>
        <w:tc>
          <w:tcPr>
            <w:tcW w:w="1915" w:type="dxa"/>
            <w:vAlign w:val="bottom"/>
          </w:tcPr>
          <w:p w14:paraId="75A7DA56" w14:textId="77777777" w:rsidR="0034416A" w:rsidRPr="0034416A" w:rsidRDefault="0034416A" w:rsidP="0034416A">
            <w:r w:rsidRPr="0034416A">
              <w:rPr>
                <w:b/>
                <w:bCs/>
                <w:i/>
                <w:iCs/>
              </w:rPr>
              <w:t>(19%)</w:t>
            </w:r>
          </w:p>
          <w:p w14:paraId="2572549A" w14:textId="436FFFB7" w:rsidR="0034416A" w:rsidRPr="0034416A" w:rsidRDefault="0034416A" w:rsidP="0034416A">
            <w:pPr>
              <w:spacing w:line="240" w:lineRule="auto"/>
              <w:rPr>
                <w:rFonts w:ascii="Times New Roman" w:eastAsia="Times New Roman" w:hAnsi="Times New Roman" w:cs="Times New Roman"/>
              </w:rPr>
            </w:pPr>
            <w:r w:rsidRPr="0034416A">
              <w:rPr>
                <w:b/>
                <w:bCs/>
                <w:i/>
                <w:iCs/>
              </w:rPr>
              <w:t>552</w:t>
            </w:r>
          </w:p>
        </w:tc>
        <w:tc>
          <w:tcPr>
            <w:tcW w:w="1915" w:type="dxa"/>
            <w:vAlign w:val="bottom"/>
          </w:tcPr>
          <w:p w14:paraId="3AB1EDAA" w14:textId="77777777" w:rsidR="0034416A" w:rsidRPr="0034416A" w:rsidRDefault="0034416A" w:rsidP="0034416A">
            <w:r w:rsidRPr="0034416A">
              <w:rPr>
                <w:b/>
                <w:bCs/>
                <w:i/>
                <w:iCs/>
              </w:rPr>
              <w:t>(23%,)</w:t>
            </w:r>
          </w:p>
          <w:p w14:paraId="2E245A42" w14:textId="56F778F5" w:rsidR="0034416A" w:rsidRPr="0034416A" w:rsidRDefault="0034416A" w:rsidP="0034416A">
            <w:pPr>
              <w:spacing w:line="240" w:lineRule="auto"/>
              <w:rPr>
                <w:rFonts w:ascii="Times New Roman" w:eastAsia="Times New Roman" w:hAnsi="Times New Roman" w:cs="Times New Roman"/>
              </w:rPr>
            </w:pPr>
            <w:r w:rsidRPr="0034416A">
              <w:rPr>
                <w:b/>
                <w:bCs/>
                <w:i/>
                <w:iCs/>
              </w:rPr>
              <w:t>1158</w:t>
            </w:r>
          </w:p>
        </w:tc>
        <w:tc>
          <w:tcPr>
            <w:tcW w:w="1916" w:type="dxa"/>
            <w:vAlign w:val="bottom"/>
          </w:tcPr>
          <w:p w14:paraId="6EE845EA" w14:textId="77777777" w:rsidR="0034416A" w:rsidRPr="0034416A" w:rsidRDefault="0034416A" w:rsidP="0034416A">
            <w:r w:rsidRPr="0034416A">
              <w:rPr>
                <w:b/>
                <w:bCs/>
                <w:i/>
                <w:iCs/>
              </w:rPr>
              <w:t>(16%)</w:t>
            </w:r>
          </w:p>
          <w:p w14:paraId="43A7664D" w14:textId="5FCF05F6" w:rsidR="0034416A" w:rsidRPr="0034416A" w:rsidRDefault="0034416A" w:rsidP="0034416A">
            <w:pPr>
              <w:spacing w:line="240" w:lineRule="auto"/>
              <w:rPr>
                <w:rFonts w:ascii="Times New Roman" w:eastAsia="Times New Roman" w:hAnsi="Times New Roman" w:cs="Times New Roman"/>
              </w:rPr>
            </w:pPr>
            <w:r w:rsidRPr="0034416A">
              <w:rPr>
                <w:b/>
                <w:bCs/>
                <w:i/>
                <w:iCs/>
              </w:rPr>
              <w:t>250</w:t>
            </w:r>
          </w:p>
        </w:tc>
      </w:tr>
      <w:tr w:rsidR="0034416A" w14:paraId="36E9EF30" w14:textId="77777777" w:rsidTr="0034416A">
        <w:tc>
          <w:tcPr>
            <w:tcW w:w="1915" w:type="dxa"/>
          </w:tcPr>
          <w:p w14:paraId="5ED91CDB" w14:textId="24249432" w:rsidR="0034416A" w:rsidRPr="0034416A" w:rsidRDefault="0034416A" w:rsidP="0034416A">
            <w:pPr>
              <w:spacing w:line="240" w:lineRule="auto"/>
              <w:rPr>
                <w:rFonts w:ascii="Times New Roman" w:eastAsia="Times New Roman" w:hAnsi="Times New Roman" w:cs="Times New Roman"/>
              </w:rPr>
            </w:pPr>
            <w:r w:rsidRPr="0034416A">
              <w:t>Р-стойности</w:t>
            </w:r>
          </w:p>
        </w:tc>
        <w:tc>
          <w:tcPr>
            <w:tcW w:w="1915" w:type="dxa"/>
          </w:tcPr>
          <w:p w14:paraId="4A34E8EE" w14:textId="77777777" w:rsidR="0034416A" w:rsidRPr="0034416A" w:rsidRDefault="0034416A" w:rsidP="0034416A">
            <w:pPr>
              <w:spacing w:line="240" w:lineRule="auto"/>
              <w:rPr>
                <w:rFonts w:ascii="Times New Roman" w:eastAsia="Times New Roman" w:hAnsi="Times New Roman" w:cs="Times New Roman"/>
              </w:rPr>
            </w:pPr>
          </w:p>
        </w:tc>
        <w:tc>
          <w:tcPr>
            <w:tcW w:w="1915" w:type="dxa"/>
          </w:tcPr>
          <w:p w14:paraId="6AD8D776" w14:textId="2A56163C" w:rsidR="0034416A" w:rsidRPr="0034416A" w:rsidRDefault="0034416A" w:rsidP="0034416A">
            <w:pPr>
              <w:spacing w:line="240" w:lineRule="auto"/>
              <w:rPr>
                <w:rFonts w:ascii="Times New Roman" w:eastAsia="Times New Roman" w:hAnsi="Times New Roman" w:cs="Times New Roman"/>
              </w:rPr>
            </w:pPr>
            <w:r w:rsidRPr="0034416A">
              <w:rPr>
                <w:b/>
                <w:bCs/>
                <w:i/>
                <w:iCs/>
              </w:rPr>
              <w:t>&lt;0,001</w:t>
            </w:r>
          </w:p>
        </w:tc>
        <w:tc>
          <w:tcPr>
            <w:tcW w:w="1915" w:type="dxa"/>
          </w:tcPr>
          <w:p w14:paraId="1BCEC461" w14:textId="439FCDFE" w:rsidR="0034416A" w:rsidRPr="0034416A" w:rsidRDefault="0034416A" w:rsidP="0034416A">
            <w:pPr>
              <w:spacing w:line="240" w:lineRule="auto"/>
              <w:rPr>
                <w:rFonts w:ascii="Times New Roman" w:eastAsia="Times New Roman" w:hAnsi="Times New Roman" w:cs="Times New Roman"/>
              </w:rPr>
            </w:pPr>
            <w:r w:rsidRPr="0034416A">
              <w:rPr>
                <w:b/>
                <w:bCs/>
                <w:i/>
                <w:iCs/>
              </w:rPr>
              <w:t>&lt;0,001</w:t>
            </w:r>
          </w:p>
        </w:tc>
        <w:tc>
          <w:tcPr>
            <w:tcW w:w="1916" w:type="dxa"/>
          </w:tcPr>
          <w:p w14:paraId="6650701D" w14:textId="64AE6D13" w:rsidR="0034416A" w:rsidRPr="0034416A" w:rsidRDefault="0034416A" w:rsidP="0034416A">
            <w:pPr>
              <w:spacing w:line="240" w:lineRule="auto"/>
              <w:rPr>
                <w:rFonts w:ascii="Times New Roman" w:eastAsia="Times New Roman" w:hAnsi="Times New Roman" w:cs="Times New Roman"/>
              </w:rPr>
            </w:pPr>
            <w:r w:rsidRPr="0034416A">
              <w:rPr>
                <w:b/>
                <w:bCs/>
                <w:i/>
                <w:iCs/>
              </w:rPr>
              <w:t>0,004</w:t>
            </w:r>
          </w:p>
        </w:tc>
      </w:tr>
      <w:tr w:rsidR="0034416A" w14:paraId="63547E1B" w14:textId="77777777" w:rsidTr="008F1843">
        <w:tc>
          <w:tcPr>
            <w:tcW w:w="9576" w:type="dxa"/>
            <w:gridSpan w:val="5"/>
          </w:tcPr>
          <w:p w14:paraId="0FAFB8E2" w14:textId="1DE0E2B0" w:rsidR="0034416A" w:rsidRPr="0034416A" w:rsidRDefault="0034416A" w:rsidP="0034416A">
            <w:pPr>
              <w:rPr>
                <w:b/>
                <w:bCs/>
                <w:sz w:val="24"/>
                <w:szCs w:val="24"/>
              </w:rPr>
            </w:pPr>
            <w:r w:rsidRPr="0034416A">
              <w:rPr>
                <w:b/>
                <w:bCs/>
                <w:lang w:eastAsia="bg-BG"/>
              </w:rPr>
              <w:t>Брой на неудържими позиви за 24 часа</w:t>
            </w:r>
          </w:p>
        </w:tc>
      </w:tr>
      <w:tr w:rsidR="0034416A" w14:paraId="7AF34204" w14:textId="77777777" w:rsidTr="009355A7">
        <w:tc>
          <w:tcPr>
            <w:tcW w:w="1915" w:type="dxa"/>
            <w:vAlign w:val="bottom"/>
          </w:tcPr>
          <w:p w14:paraId="3B76C101" w14:textId="29769764" w:rsidR="0034416A" w:rsidRPr="0034416A" w:rsidRDefault="0034416A" w:rsidP="0034416A">
            <w:pPr>
              <w:spacing w:line="240" w:lineRule="auto"/>
              <w:rPr>
                <w:rFonts w:ascii="Times New Roman" w:eastAsia="Times New Roman" w:hAnsi="Times New Roman" w:cs="Times New Roman"/>
              </w:rPr>
            </w:pPr>
            <w:r w:rsidRPr="0034416A">
              <w:t>Средна базова линия</w:t>
            </w:r>
          </w:p>
        </w:tc>
        <w:tc>
          <w:tcPr>
            <w:tcW w:w="1915" w:type="dxa"/>
            <w:vAlign w:val="bottom"/>
          </w:tcPr>
          <w:p w14:paraId="55D70C1E" w14:textId="459AABB3" w:rsidR="0034416A" w:rsidRPr="0034416A" w:rsidRDefault="0034416A" w:rsidP="0034416A">
            <w:pPr>
              <w:spacing w:line="240" w:lineRule="auto"/>
              <w:rPr>
                <w:rFonts w:ascii="Times New Roman" w:eastAsia="Times New Roman" w:hAnsi="Times New Roman" w:cs="Times New Roman"/>
              </w:rPr>
            </w:pPr>
            <w:r w:rsidRPr="0034416A">
              <w:rPr>
                <w:b/>
                <w:bCs/>
                <w:i/>
                <w:iCs/>
              </w:rPr>
              <w:t>6,3</w:t>
            </w:r>
          </w:p>
        </w:tc>
        <w:tc>
          <w:tcPr>
            <w:tcW w:w="1915" w:type="dxa"/>
            <w:vAlign w:val="bottom"/>
          </w:tcPr>
          <w:p w14:paraId="35F8C30D" w14:textId="59B9B9BC" w:rsidR="0034416A" w:rsidRPr="0034416A" w:rsidRDefault="0034416A" w:rsidP="0034416A">
            <w:pPr>
              <w:spacing w:line="240" w:lineRule="auto"/>
              <w:rPr>
                <w:rFonts w:ascii="Times New Roman" w:eastAsia="Times New Roman" w:hAnsi="Times New Roman" w:cs="Times New Roman"/>
              </w:rPr>
            </w:pPr>
            <w:r w:rsidRPr="0034416A">
              <w:rPr>
                <w:b/>
                <w:bCs/>
                <w:i/>
                <w:iCs/>
              </w:rPr>
              <w:t>5,9</w:t>
            </w:r>
          </w:p>
        </w:tc>
        <w:tc>
          <w:tcPr>
            <w:tcW w:w="1915" w:type="dxa"/>
            <w:vAlign w:val="bottom"/>
          </w:tcPr>
          <w:p w14:paraId="235F8FA2" w14:textId="4517349E" w:rsidR="0034416A" w:rsidRPr="0034416A" w:rsidRDefault="0034416A" w:rsidP="0034416A">
            <w:pPr>
              <w:spacing w:line="240" w:lineRule="auto"/>
              <w:rPr>
                <w:rFonts w:ascii="Times New Roman" w:eastAsia="Times New Roman" w:hAnsi="Times New Roman" w:cs="Times New Roman"/>
              </w:rPr>
            </w:pPr>
            <w:r w:rsidRPr="0034416A">
              <w:rPr>
                <w:b/>
                <w:bCs/>
                <w:i/>
                <w:iCs/>
              </w:rPr>
              <w:t>6,2</w:t>
            </w:r>
          </w:p>
        </w:tc>
        <w:tc>
          <w:tcPr>
            <w:tcW w:w="1916" w:type="dxa"/>
            <w:vAlign w:val="bottom"/>
          </w:tcPr>
          <w:p w14:paraId="2415FF63" w14:textId="264A6AA4" w:rsidR="0034416A" w:rsidRPr="0034416A" w:rsidRDefault="0034416A" w:rsidP="0034416A">
            <w:pPr>
              <w:spacing w:line="240" w:lineRule="auto"/>
              <w:rPr>
                <w:rFonts w:ascii="Times New Roman" w:eastAsia="Times New Roman" w:hAnsi="Times New Roman" w:cs="Times New Roman"/>
              </w:rPr>
            </w:pPr>
            <w:r w:rsidRPr="0034416A">
              <w:rPr>
                <w:b/>
                <w:bCs/>
                <w:i/>
                <w:iCs/>
              </w:rPr>
              <w:t>5,4</w:t>
            </w:r>
          </w:p>
        </w:tc>
      </w:tr>
      <w:tr w:rsidR="0034416A" w14:paraId="68FD0A80" w14:textId="77777777" w:rsidTr="009355A7">
        <w:tc>
          <w:tcPr>
            <w:tcW w:w="1915" w:type="dxa"/>
            <w:vAlign w:val="bottom"/>
          </w:tcPr>
          <w:p w14:paraId="6138977A" w14:textId="0FE9D5DF" w:rsidR="0034416A" w:rsidRPr="0034416A" w:rsidRDefault="0034416A" w:rsidP="0034416A">
            <w:pPr>
              <w:spacing w:line="240" w:lineRule="auto"/>
              <w:rPr>
                <w:rFonts w:ascii="Times New Roman" w:eastAsia="Times New Roman" w:hAnsi="Times New Roman" w:cs="Times New Roman"/>
              </w:rPr>
            </w:pPr>
            <w:r w:rsidRPr="0034416A">
              <w:t>Средно намаление спрямо базовата линия</w:t>
            </w:r>
          </w:p>
        </w:tc>
        <w:tc>
          <w:tcPr>
            <w:tcW w:w="1915" w:type="dxa"/>
          </w:tcPr>
          <w:p w14:paraId="5317FF42" w14:textId="18BE79A5" w:rsidR="0034416A" w:rsidRPr="0034416A" w:rsidRDefault="0034416A" w:rsidP="0034416A">
            <w:pPr>
              <w:spacing w:line="240" w:lineRule="auto"/>
              <w:rPr>
                <w:rFonts w:ascii="Times New Roman" w:eastAsia="Times New Roman" w:hAnsi="Times New Roman" w:cs="Times New Roman"/>
              </w:rPr>
            </w:pPr>
            <w:r w:rsidRPr="0034416A">
              <w:rPr>
                <w:b/>
                <w:bCs/>
                <w:i/>
                <w:iCs/>
              </w:rPr>
              <w:t>2,0</w:t>
            </w:r>
          </w:p>
        </w:tc>
        <w:tc>
          <w:tcPr>
            <w:tcW w:w="1915" w:type="dxa"/>
          </w:tcPr>
          <w:p w14:paraId="5AA85BF2" w14:textId="5E4D7A2B" w:rsidR="0034416A" w:rsidRPr="0034416A" w:rsidRDefault="0034416A" w:rsidP="0034416A">
            <w:pPr>
              <w:spacing w:line="240" w:lineRule="auto"/>
              <w:rPr>
                <w:rFonts w:ascii="Times New Roman" w:eastAsia="Times New Roman" w:hAnsi="Times New Roman" w:cs="Times New Roman"/>
              </w:rPr>
            </w:pPr>
            <w:r w:rsidRPr="0034416A">
              <w:rPr>
                <w:b/>
                <w:bCs/>
                <w:i/>
                <w:iCs/>
              </w:rPr>
              <w:t>2,9</w:t>
            </w:r>
          </w:p>
        </w:tc>
        <w:tc>
          <w:tcPr>
            <w:tcW w:w="1915" w:type="dxa"/>
          </w:tcPr>
          <w:p w14:paraId="07DC2C02" w14:textId="5D54AB8C" w:rsidR="0034416A" w:rsidRPr="0034416A" w:rsidRDefault="0034416A" w:rsidP="0034416A">
            <w:pPr>
              <w:spacing w:line="240" w:lineRule="auto"/>
              <w:rPr>
                <w:rFonts w:ascii="Times New Roman" w:eastAsia="Times New Roman" w:hAnsi="Times New Roman" w:cs="Times New Roman"/>
              </w:rPr>
            </w:pPr>
            <w:r w:rsidRPr="0034416A">
              <w:rPr>
                <w:b/>
                <w:bCs/>
                <w:i/>
                <w:iCs/>
              </w:rPr>
              <w:t>3,4</w:t>
            </w:r>
          </w:p>
        </w:tc>
        <w:tc>
          <w:tcPr>
            <w:tcW w:w="1916" w:type="dxa"/>
          </w:tcPr>
          <w:p w14:paraId="2490FB15" w14:textId="1445F13B" w:rsidR="0034416A" w:rsidRPr="0034416A" w:rsidRDefault="0034416A" w:rsidP="0034416A">
            <w:pPr>
              <w:spacing w:line="240" w:lineRule="auto"/>
              <w:rPr>
                <w:rFonts w:ascii="Times New Roman" w:eastAsia="Times New Roman" w:hAnsi="Times New Roman" w:cs="Times New Roman"/>
              </w:rPr>
            </w:pPr>
            <w:r w:rsidRPr="0034416A">
              <w:rPr>
                <w:b/>
                <w:bCs/>
                <w:i/>
                <w:iCs/>
              </w:rPr>
              <w:t>2,1</w:t>
            </w:r>
          </w:p>
        </w:tc>
      </w:tr>
      <w:tr w:rsidR="0034416A" w14:paraId="1FC0A7B3" w14:textId="77777777" w:rsidTr="009355A7">
        <w:tc>
          <w:tcPr>
            <w:tcW w:w="1915" w:type="dxa"/>
            <w:vAlign w:val="bottom"/>
          </w:tcPr>
          <w:p w14:paraId="5A440FF7" w14:textId="77777777" w:rsidR="0034416A" w:rsidRPr="0034416A" w:rsidRDefault="0034416A" w:rsidP="0034416A">
            <w:r w:rsidRPr="0034416A">
              <w:lastRenderedPageBreak/>
              <w:t>% промяна на базовата линия</w:t>
            </w:r>
          </w:p>
          <w:p w14:paraId="4E88C157" w14:textId="1DBE6FAC" w:rsidR="0034416A" w:rsidRPr="0034416A" w:rsidRDefault="0034416A" w:rsidP="0034416A">
            <w:pPr>
              <w:spacing w:line="240" w:lineRule="auto"/>
              <w:rPr>
                <w:rFonts w:ascii="Times New Roman" w:eastAsia="Times New Roman" w:hAnsi="Times New Roman" w:cs="Times New Roman"/>
                <w:lang w:val="en-US"/>
              </w:rPr>
            </w:pPr>
            <w:r>
              <w:rPr>
                <w:rFonts w:eastAsia="Times New Roman" w:cs="Times New Roman"/>
                <w:lang w:val="en-US"/>
              </w:rPr>
              <w:t>n</w:t>
            </w:r>
          </w:p>
        </w:tc>
        <w:tc>
          <w:tcPr>
            <w:tcW w:w="1915" w:type="dxa"/>
            <w:vAlign w:val="bottom"/>
          </w:tcPr>
          <w:p w14:paraId="35A17F68" w14:textId="77777777" w:rsidR="0034416A" w:rsidRPr="0034416A" w:rsidRDefault="0034416A" w:rsidP="0034416A">
            <w:r w:rsidRPr="0034416A">
              <w:rPr>
                <w:b/>
                <w:bCs/>
                <w:i/>
                <w:iCs/>
              </w:rPr>
              <w:t>32%</w:t>
            </w:r>
          </w:p>
          <w:p w14:paraId="6F6E1592" w14:textId="0FA185AA" w:rsidR="0034416A" w:rsidRPr="0034416A" w:rsidRDefault="0034416A" w:rsidP="0034416A">
            <w:pPr>
              <w:spacing w:line="240" w:lineRule="auto"/>
              <w:rPr>
                <w:rFonts w:ascii="Times New Roman" w:eastAsia="Times New Roman" w:hAnsi="Times New Roman" w:cs="Times New Roman"/>
              </w:rPr>
            </w:pPr>
            <w:r w:rsidRPr="0034416A">
              <w:rPr>
                <w:b/>
                <w:bCs/>
                <w:i/>
                <w:iCs/>
              </w:rPr>
              <w:t>1124</w:t>
            </w:r>
          </w:p>
        </w:tc>
        <w:tc>
          <w:tcPr>
            <w:tcW w:w="1915" w:type="dxa"/>
            <w:vAlign w:val="bottom"/>
          </w:tcPr>
          <w:p w14:paraId="42917431" w14:textId="77777777" w:rsidR="0034416A" w:rsidRPr="0034416A" w:rsidRDefault="0034416A" w:rsidP="0034416A">
            <w:r w:rsidRPr="0034416A">
              <w:rPr>
                <w:b/>
                <w:bCs/>
                <w:i/>
                <w:iCs/>
              </w:rPr>
              <w:t>49%</w:t>
            </w:r>
          </w:p>
          <w:p w14:paraId="6D3E829D" w14:textId="612366CC" w:rsidR="0034416A" w:rsidRPr="0034416A" w:rsidRDefault="0034416A" w:rsidP="0034416A">
            <w:pPr>
              <w:spacing w:line="240" w:lineRule="auto"/>
              <w:rPr>
                <w:rFonts w:ascii="Times New Roman" w:eastAsia="Times New Roman" w:hAnsi="Times New Roman" w:cs="Times New Roman"/>
              </w:rPr>
            </w:pPr>
            <w:r w:rsidRPr="0034416A">
              <w:rPr>
                <w:b/>
                <w:bCs/>
                <w:i/>
                <w:iCs/>
              </w:rPr>
              <w:t>548</w:t>
            </w:r>
          </w:p>
        </w:tc>
        <w:tc>
          <w:tcPr>
            <w:tcW w:w="1915" w:type="dxa"/>
            <w:vAlign w:val="bottom"/>
          </w:tcPr>
          <w:p w14:paraId="262B88A3" w14:textId="77777777" w:rsidR="0034416A" w:rsidRPr="0034416A" w:rsidRDefault="0034416A" w:rsidP="0034416A">
            <w:r w:rsidRPr="0034416A">
              <w:rPr>
                <w:b/>
                <w:bCs/>
                <w:i/>
                <w:iCs/>
              </w:rPr>
              <w:t>55%</w:t>
            </w:r>
          </w:p>
          <w:p w14:paraId="1225B58D" w14:textId="6F259799" w:rsidR="0034416A" w:rsidRPr="0034416A" w:rsidRDefault="0034416A" w:rsidP="0034416A">
            <w:pPr>
              <w:spacing w:line="240" w:lineRule="auto"/>
              <w:rPr>
                <w:rFonts w:ascii="Times New Roman" w:eastAsia="Times New Roman" w:hAnsi="Times New Roman" w:cs="Times New Roman"/>
              </w:rPr>
            </w:pPr>
            <w:r w:rsidRPr="0034416A">
              <w:rPr>
                <w:b/>
                <w:bCs/>
                <w:i/>
                <w:iCs/>
              </w:rPr>
              <w:t>1151</w:t>
            </w:r>
          </w:p>
        </w:tc>
        <w:tc>
          <w:tcPr>
            <w:tcW w:w="1916" w:type="dxa"/>
            <w:vAlign w:val="bottom"/>
          </w:tcPr>
          <w:p w14:paraId="1035C63D" w14:textId="77777777" w:rsidR="0034416A" w:rsidRPr="0034416A" w:rsidRDefault="0034416A" w:rsidP="0034416A">
            <w:r w:rsidRPr="0034416A">
              <w:rPr>
                <w:b/>
                <w:bCs/>
                <w:i/>
                <w:iCs/>
              </w:rPr>
              <w:t>39%</w:t>
            </w:r>
          </w:p>
          <w:p w14:paraId="4BB2A715" w14:textId="7A02DD29" w:rsidR="0034416A" w:rsidRPr="0034416A" w:rsidRDefault="0034416A" w:rsidP="0034416A">
            <w:pPr>
              <w:spacing w:line="240" w:lineRule="auto"/>
              <w:rPr>
                <w:rFonts w:ascii="Times New Roman" w:eastAsia="Times New Roman" w:hAnsi="Times New Roman" w:cs="Times New Roman"/>
              </w:rPr>
            </w:pPr>
            <w:r w:rsidRPr="0034416A">
              <w:rPr>
                <w:b/>
                <w:bCs/>
                <w:i/>
                <w:iCs/>
              </w:rPr>
              <w:t>250</w:t>
            </w:r>
          </w:p>
        </w:tc>
      </w:tr>
      <w:tr w:rsidR="0034416A" w14:paraId="367D6840" w14:textId="77777777" w:rsidTr="0034416A">
        <w:tc>
          <w:tcPr>
            <w:tcW w:w="1915" w:type="dxa"/>
          </w:tcPr>
          <w:p w14:paraId="3CEE340D" w14:textId="5AEB6747" w:rsidR="0034416A" w:rsidRPr="0034416A" w:rsidRDefault="0034416A" w:rsidP="0034416A">
            <w:pPr>
              <w:spacing w:line="240" w:lineRule="auto"/>
              <w:rPr>
                <w:rFonts w:ascii="Times New Roman" w:eastAsia="Times New Roman" w:hAnsi="Times New Roman" w:cs="Times New Roman"/>
              </w:rPr>
            </w:pPr>
            <w:r w:rsidRPr="0034416A">
              <w:t>Р-стойности</w:t>
            </w:r>
          </w:p>
        </w:tc>
        <w:tc>
          <w:tcPr>
            <w:tcW w:w="1915" w:type="dxa"/>
          </w:tcPr>
          <w:p w14:paraId="194FAF24" w14:textId="77777777" w:rsidR="0034416A" w:rsidRPr="0034416A" w:rsidRDefault="0034416A" w:rsidP="0034416A">
            <w:pPr>
              <w:spacing w:line="240" w:lineRule="auto"/>
              <w:rPr>
                <w:rFonts w:ascii="Times New Roman" w:eastAsia="Times New Roman" w:hAnsi="Times New Roman" w:cs="Times New Roman"/>
              </w:rPr>
            </w:pPr>
          </w:p>
        </w:tc>
        <w:tc>
          <w:tcPr>
            <w:tcW w:w="1915" w:type="dxa"/>
          </w:tcPr>
          <w:p w14:paraId="20FEB872" w14:textId="13E5F287" w:rsidR="0034416A" w:rsidRPr="0034416A" w:rsidRDefault="0034416A" w:rsidP="0034416A">
            <w:pPr>
              <w:spacing w:line="240" w:lineRule="auto"/>
              <w:rPr>
                <w:rFonts w:ascii="Times New Roman" w:eastAsia="Times New Roman" w:hAnsi="Times New Roman" w:cs="Times New Roman"/>
              </w:rPr>
            </w:pPr>
            <w:r w:rsidRPr="0034416A">
              <w:rPr>
                <w:b/>
                <w:bCs/>
                <w:i/>
                <w:iCs/>
              </w:rPr>
              <w:t>&lt;0,001</w:t>
            </w:r>
          </w:p>
        </w:tc>
        <w:tc>
          <w:tcPr>
            <w:tcW w:w="1915" w:type="dxa"/>
          </w:tcPr>
          <w:p w14:paraId="66F6A203" w14:textId="7795CF73" w:rsidR="0034416A" w:rsidRPr="0034416A" w:rsidRDefault="0034416A" w:rsidP="0034416A">
            <w:pPr>
              <w:spacing w:line="240" w:lineRule="auto"/>
              <w:rPr>
                <w:rFonts w:ascii="Times New Roman" w:eastAsia="Times New Roman" w:hAnsi="Times New Roman" w:cs="Times New Roman"/>
              </w:rPr>
            </w:pPr>
            <w:r w:rsidRPr="0034416A">
              <w:rPr>
                <w:b/>
                <w:bCs/>
                <w:i/>
                <w:iCs/>
              </w:rPr>
              <w:t>&lt;0,001</w:t>
            </w:r>
          </w:p>
        </w:tc>
        <w:tc>
          <w:tcPr>
            <w:tcW w:w="1916" w:type="dxa"/>
          </w:tcPr>
          <w:p w14:paraId="1EB23A90" w14:textId="494467A3" w:rsidR="0034416A" w:rsidRPr="0034416A" w:rsidRDefault="0034416A" w:rsidP="0034416A">
            <w:pPr>
              <w:spacing w:line="240" w:lineRule="auto"/>
              <w:rPr>
                <w:rFonts w:ascii="Times New Roman" w:eastAsia="Times New Roman" w:hAnsi="Times New Roman" w:cs="Times New Roman"/>
              </w:rPr>
            </w:pPr>
            <w:r w:rsidRPr="0034416A">
              <w:rPr>
                <w:b/>
                <w:bCs/>
                <w:i/>
                <w:iCs/>
              </w:rPr>
              <w:t>0,009</w:t>
            </w:r>
          </w:p>
        </w:tc>
      </w:tr>
      <w:tr w:rsidR="0034416A" w14:paraId="3F9BCAC8" w14:textId="77777777" w:rsidTr="00275873">
        <w:tc>
          <w:tcPr>
            <w:tcW w:w="9576" w:type="dxa"/>
            <w:gridSpan w:val="5"/>
          </w:tcPr>
          <w:p w14:paraId="43BCDDF5" w14:textId="2B209741" w:rsidR="0034416A" w:rsidRDefault="0034416A" w:rsidP="009B3915">
            <w:pPr>
              <w:spacing w:line="240" w:lineRule="auto"/>
              <w:rPr>
                <w:rFonts w:ascii="Times New Roman" w:eastAsia="Times New Roman" w:hAnsi="Times New Roman" w:cs="Times New Roman"/>
                <w:sz w:val="24"/>
                <w:szCs w:val="24"/>
              </w:rPr>
            </w:pPr>
            <w:r w:rsidRPr="0034416A">
              <w:rPr>
                <w:b/>
                <w:bCs/>
              </w:rPr>
              <w:t>Брой на случаите на инконтиненция за 24 часа</w:t>
            </w:r>
          </w:p>
        </w:tc>
      </w:tr>
      <w:tr w:rsidR="0034416A" w14:paraId="306D478A" w14:textId="77777777" w:rsidTr="0034416A">
        <w:tc>
          <w:tcPr>
            <w:tcW w:w="1915" w:type="dxa"/>
          </w:tcPr>
          <w:p w14:paraId="56BF3F22" w14:textId="137F2BDB" w:rsidR="0034416A" w:rsidRPr="0034416A" w:rsidRDefault="0034416A" w:rsidP="0034416A">
            <w:pPr>
              <w:spacing w:line="240" w:lineRule="auto"/>
              <w:rPr>
                <w:rFonts w:ascii="Times New Roman" w:eastAsia="Times New Roman" w:hAnsi="Times New Roman" w:cs="Times New Roman"/>
              </w:rPr>
            </w:pPr>
            <w:r w:rsidRPr="0034416A">
              <w:t>Средна базова линия</w:t>
            </w:r>
          </w:p>
        </w:tc>
        <w:tc>
          <w:tcPr>
            <w:tcW w:w="1915" w:type="dxa"/>
          </w:tcPr>
          <w:p w14:paraId="01E5EB73" w14:textId="10C21BA5" w:rsidR="0034416A" w:rsidRPr="0034416A" w:rsidRDefault="0034416A" w:rsidP="0034416A">
            <w:pPr>
              <w:spacing w:line="240" w:lineRule="auto"/>
              <w:rPr>
                <w:rFonts w:ascii="Times New Roman" w:eastAsia="Times New Roman" w:hAnsi="Times New Roman" w:cs="Times New Roman"/>
              </w:rPr>
            </w:pPr>
            <w:r w:rsidRPr="0034416A">
              <w:rPr>
                <w:b/>
                <w:bCs/>
                <w:i/>
                <w:iCs/>
              </w:rPr>
              <w:t>2,9</w:t>
            </w:r>
          </w:p>
        </w:tc>
        <w:tc>
          <w:tcPr>
            <w:tcW w:w="1915" w:type="dxa"/>
          </w:tcPr>
          <w:p w14:paraId="6C86440F" w14:textId="01AB4D6E" w:rsidR="0034416A" w:rsidRPr="0034416A" w:rsidRDefault="0034416A" w:rsidP="0034416A">
            <w:pPr>
              <w:spacing w:line="240" w:lineRule="auto"/>
              <w:rPr>
                <w:rFonts w:ascii="Times New Roman" w:eastAsia="Times New Roman" w:hAnsi="Times New Roman" w:cs="Times New Roman"/>
              </w:rPr>
            </w:pPr>
            <w:r w:rsidRPr="0034416A">
              <w:rPr>
                <w:b/>
                <w:bCs/>
                <w:i/>
                <w:iCs/>
              </w:rPr>
              <w:t>2,6</w:t>
            </w:r>
          </w:p>
        </w:tc>
        <w:tc>
          <w:tcPr>
            <w:tcW w:w="1915" w:type="dxa"/>
          </w:tcPr>
          <w:p w14:paraId="75EDF6DF" w14:textId="23C62930" w:rsidR="0034416A" w:rsidRPr="0034416A" w:rsidRDefault="0034416A" w:rsidP="0034416A">
            <w:pPr>
              <w:spacing w:line="240" w:lineRule="auto"/>
              <w:rPr>
                <w:rFonts w:ascii="Times New Roman" w:eastAsia="Times New Roman" w:hAnsi="Times New Roman" w:cs="Times New Roman"/>
              </w:rPr>
            </w:pPr>
            <w:r w:rsidRPr="0034416A">
              <w:rPr>
                <w:b/>
                <w:bCs/>
                <w:i/>
                <w:iCs/>
              </w:rPr>
              <w:t>2,9</w:t>
            </w:r>
          </w:p>
        </w:tc>
        <w:tc>
          <w:tcPr>
            <w:tcW w:w="1916" w:type="dxa"/>
          </w:tcPr>
          <w:p w14:paraId="4524D0DB" w14:textId="0426E113" w:rsidR="0034416A" w:rsidRPr="0034416A" w:rsidRDefault="0034416A" w:rsidP="0034416A">
            <w:pPr>
              <w:spacing w:line="240" w:lineRule="auto"/>
              <w:rPr>
                <w:rFonts w:ascii="Times New Roman" w:eastAsia="Times New Roman" w:hAnsi="Times New Roman" w:cs="Times New Roman"/>
              </w:rPr>
            </w:pPr>
            <w:r w:rsidRPr="0034416A">
              <w:rPr>
                <w:b/>
                <w:bCs/>
                <w:i/>
                <w:iCs/>
              </w:rPr>
              <w:t>2,3</w:t>
            </w:r>
          </w:p>
        </w:tc>
      </w:tr>
      <w:tr w:rsidR="0034416A" w14:paraId="31325E40" w14:textId="77777777" w:rsidTr="00EB772F">
        <w:tc>
          <w:tcPr>
            <w:tcW w:w="1915" w:type="dxa"/>
            <w:vAlign w:val="bottom"/>
          </w:tcPr>
          <w:p w14:paraId="6B5E34C6" w14:textId="629536B8" w:rsidR="0034416A" w:rsidRPr="0034416A" w:rsidRDefault="0034416A" w:rsidP="0034416A">
            <w:pPr>
              <w:spacing w:line="240" w:lineRule="auto"/>
              <w:rPr>
                <w:rFonts w:ascii="Times New Roman" w:eastAsia="Times New Roman" w:hAnsi="Times New Roman" w:cs="Times New Roman"/>
              </w:rPr>
            </w:pPr>
            <w:r w:rsidRPr="0034416A">
              <w:t>Средно намаление спрямо базовата линия</w:t>
            </w:r>
          </w:p>
        </w:tc>
        <w:tc>
          <w:tcPr>
            <w:tcW w:w="1915" w:type="dxa"/>
          </w:tcPr>
          <w:p w14:paraId="181B8040" w14:textId="1161201E" w:rsidR="0034416A" w:rsidRPr="0034416A" w:rsidRDefault="0034416A" w:rsidP="0034416A">
            <w:pPr>
              <w:spacing w:line="240" w:lineRule="auto"/>
              <w:rPr>
                <w:rFonts w:ascii="Times New Roman" w:eastAsia="Times New Roman" w:hAnsi="Times New Roman" w:cs="Times New Roman"/>
              </w:rPr>
            </w:pPr>
            <w:r w:rsidRPr="0034416A">
              <w:rPr>
                <w:b/>
                <w:bCs/>
                <w:i/>
                <w:iCs/>
              </w:rPr>
              <w:t>1,1</w:t>
            </w:r>
          </w:p>
        </w:tc>
        <w:tc>
          <w:tcPr>
            <w:tcW w:w="1915" w:type="dxa"/>
          </w:tcPr>
          <w:p w14:paraId="7213D583" w14:textId="5619C842" w:rsidR="0034416A" w:rsidRPr="0034416A" w:rsidRDefault="0034416A" w:rsidP="0034416A">
            <w:pPr>
              <w:spacing w:line="240" w:lineRule="auto"/>
              <w:rPr>
                <w:rFonts w:ascii="Times New Roman" w:eastAsia="Times New Roman" w:hAnsi="Times New Roman" w:cs="Times New Roman"/>
              </w:rPr>
            </w:pPr>
            <w:r w:rsidRPr="0034416A">
              <w:rPr>
                <w:b/>
                <w:bCs/>
                <w:i/>
                <w:iCs/>
              </w:rPr>
              <w:t>1,5</w:t>
            </w:r>
          </w:p>
        </w:tc>
        <w:tc>
          <w:tcPr>
            <w:tcW w:w="1915" w:type="dxa"/>
          </w:tcPr>
          <w:p w14:paraId="7DF3009E" w14:textId="36247002" w:rsidR="0034416A" w:rsidRPr="0034416A" w:rsidRDefault="0034416A" w:rsidP="0034416A">
            <w:pPr>
              <w:spacing w:line="240" w:lineRule="auto"/>
              <w:rPr>
                <w:rFonts w:ascii="Times New Roman" w:eastAsia="Times New Roman" w:hAnsi="Times New Roman" w:cs="Times New Roman"/>
              </w:rPr>
            </w:pPr>
            <w:r w:rsidRPr="0034416A">
              <w:rPr>
                <w:b/>
                <w:bCs/>
                <w:i/>
                <w:iCs/>
              </w:rPr>
              <w:t>1,8</w:t>
            </w:r>
          </w:p>
        </w:tc>
        <w:tc>
          <w:tcPr>
            <w:tcW w:w="1916" w:type="dxa"/>
          </w:tcPr>
          <w:p w14:paraId="6E6B9B51" w14:textId="2EE9C303" w:rsidR="0034416A" w:rsidRPr="0034416A" w:rsidRDefault="0034416A" w:rsidP="0034416A">
            <w:pPr>
              <w:spacing w:line="240" w:lineRule="auto"/>
              <w:rPr>
                <w:rFonts w:ascii="Times New Roman" w:eastAsia="Times New Roman" w:hAnsi="Times New Roman" w:cs="Times New Roman"/>
              </w:rPr>
            </w:pPr>
            <w:r w:rsidRPr="0034416A">
              <w:rPr>
                <w:b/>
                <w:bCs/>
                <w:i/>
                <w:iCs/>
              </w:rPr>
              <w:t>1,1</w:t>
            </w:r>
          </w:p>
        </w:tc>
      </w:tr>
      <w:tr w:rsidR="0034416A" w14:paraId="597AC344" w14:textId="77777777" w:rsidTr="00EB772F">
        <w:tc>
          <w:tcPr>
            <w:tcW w:w="1915" w:type="dxa"/>
            <w:vAlign w:val="bottom"/>
          </w:tcPr>
          <w:p w14:paraId="58EB0C1A" w14:textId="77777777" w:rsidR="0034416A" w:rsidRPr="0034416A" w:rsidRDefault="0034416A" w:rsidP="0034416A">
            <w:r w:rsidRPr="0034416A">
              <w:t>% промяна на базовата линия</w:t>
            </w:r>
          </w:p>
          <w:p w14:paraId="74567F69" w14:textId="0EF5CA36" w:rsidR="0034416A" w:rsidRPr="0034416A" w:rsidRDefault="0034416A" w:rsidP="0034416A">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n</w:t>
            </w:r>
          </w:p>
        </w:tc>
        <w:tc>
          <w:tcPr>
            <w:tcW w:w="1915" w:type="dxa"/>
            <w:vAlign w:val="bottom"/>
          </w:tcPr>
          <w:p w14:paraId="4C3C1C42" w14:textId="77777777" w:rsidR="0034416A" w:rsidRPr="0034416A" w:rsidRDefault="0034416A" w:rsidP="0034416A">
            <w:r w:rsidRPr="0034416A">
              <w:rPr>
                <w:b/>
                <w:bCs/>
                <w:i/>
                <w:iCs/>
              </w:rPr>
              <w:t>38%</w:t>
            </w:r>
          </w:p>
          <w:p w14:paraId="3562C7E5" w14:textId="3914EF83" w:rsidR="0034416A" w:rsidRPr="0034416A" w:rsidRDefault="0034416A" w:rsidP="0034416A">
            <w:pPr>
              <w:spacing w:line="240" w:lineRule="auto"/>
              <w:rPr>
                <w:rFonts w:ascii="Times New Roman" w:eastAsia="Times New Roman" w:hAnsi="Times New Roman" w:cs="Times New Roman"/>
              </w:rPr>
            </w:pPr>
            <w:r w:rsidRPr="0034416A">
              <w:rPr>
                <w:b/>
                <w:bCs/>
                <w:i/>
                <w:iCs/>
              </w:rPr>
              <w:t>781</w:t>
            </w:r>
          </w:p>
        </w:tc>
        <w:tc>
          <w:tcPr>
            <w:tcW w:w="1915" w:type="dxa"/>
            <w:vAlign w:val="bottom"/>
          </w:tcPr>
          <w:p w14:paraId="73353EC4" w14:textId="77777777" w:rsidR="0034416A" w:rsidRPr="0034416A" w:rsidRDefault="0034416A" w:rsidP="0034416A">
            <w:r w:rsidRPr="0034416A">
              <w:rPr>
                <w:b/>
                <w:bCs/>
                <w:i/>
                <w:iCs/>
              </w:rPr>
              <w:t>58%</w:t>
            </w:r>
          </w:p>
          <w:p w14:paraId="299B73A2" w14:textId="5CB5DEA9" w:rsidR="0034416A" w:rsidRPr="0034416A" w:rsidRDefault="0034416A" w:rsidP="0034416A">
            <w:pPr>
              <w:spacing w:line="240" w:lineRule="auto"/>
              <w:rPr>
                <w:rFonts w:ascii="Times New Roman" w:eastAsia="Times New Roman" w:hAnsi="Times New Roman" w:cs="Times New Roman"/>
              </w:rPr>
            </w:pPr>
            <w:r w:rsidRPr="0034416A">
              <w:rPr>
                <w:b/>
                <w:bCs/>
                <w:i/>
                <w:iCs/>
              </w:rPr>
              <w:t>314</w:t>
            </w:r>
          </w:p>
        </w:tc>
        <w:tc>
          <w:tcPr>
            <w:tcW w:w="1915" w:type="dxa"/>
            <w:vAlign w:val="bottom"/>
          </w:tcPr>
          <w:p w14:paraId="482BE42B" w14:textId="77777777" w:rsidR="0034416A" w:rsidRPr="0034416A" w:rsidRDefault="0034416A" w:rsidP="0034416A">
            <w:r w:rsidRPr="0034416A">
              <w:rPr>
                <w:b/>
                <w:bCs/>
                <w:i/>
                <w:iCs/>
              </w:rPr>
              <w:t>62%</w:t>
            </w:r>
          </w:p>
          <w:p w14:paraId="4BAFE6B7" w14:textId="56DD193D" w:rsidR="0034416A" w:rsidRPr="0034416A" w:rsidRDefault="0034416A" w:rsidP="0034416A">
            <w:pPr>
              <w:spacing w:line="240" w:lineRule="auto"/>
              <w:rPr>
                <w:rFonts w:ascii="Times New Roman" w:eastAsia="Times New Roman" w:hAnsi="Times New Roman" w:cs="Times New Roman"/>
              </w:rPr>
            </w:pPr>
            <w:r w:rsidRPr="0034416A">
              <w:rPr>
                <w:b/>
                <w:bCs/>
                <w:i/>
                <w:iCs/>
              </w:rPr>
              <w:t>778</w:t>
            </w:r>
          </w:p>
        </w:tc>
        <w:tc>
          <w:tcPr>
            <w:tcW w:w="1916" w:type="dxa"/>
            <w:vAlign w:val="bottom"/>
          </w:tcPr>
          <w:p w14:paraId="7B1E2E45" w14:textId="77777777" w:rsidR="0034416A" w:rsidRPr="0034416A" w:rsidRDefault="0034416A" w:rsidP="0034416A">
            <w:r w:rsidRPr="0034416A">
              <w:rPr>
                <w:b/>
                <w:bCs/>
                <w:i/>
                <w:iCs/>
              </w:rPr>
              <w:t>48%</w:t>
            </w:r>
          </w:p>
          <w:p w14:paraId="3632E4A8" w14:textId="4FE20999" w:rsidR="0034416A" w:rsidRPr="0034416A" w:rsidRDefault="0034416A" w:rsidP="0034416A">
            <w:pPr>
              <w:spacing w:line="240" w:lineRule="auto"/>
              <w:rPr>
                <w:rFonts w:ascii="Times New Roman" w:eastAsia="Times New Roman" w:hAnsi="Times New Roman" w:cs="Times New Roman"/>
              </w:rPr>
            </w:pPr>
            <w:r w:rsidRPr="0034416A">
              <w:rPr>
                <w:b/>
                <w:bCs/>
                <w:i/>
                <w:iCs/>
              </w:rPr>
              <w:t>157</w:t>
            </w:r>
          </w:p>
        </w:tc>
      </w:tr>
      <w:tr w:rsidR="0034416A" w14:paraId="31FA275F" w14:textId="77777777" w:rsidTr="0034416A">
        <w:tc>
          <w:tcPr>
            <w:tcW w:w="1915" w:type="dxa"/>
          </w:tcPr>
          <w:p w14:paraId="55A1F76C" w14:textId="2D97083A" w:rsidR="0034416A" w:rsidRPr="0034416A" w:rsidRDefault="0034416A" w:rsidP="0034416A">
            <w:pPr>
              <w:spacing w:line="240" w:lineRule="auto"/>
              <w:rPr>
                <w:rFonts w:ascii="Times New Roman" w:eastAsia="Times New Roman" w:hAnsi="Times New Roman" w:cs="Times New Roman"/>
              </w:rPr>
            </w:pPr>
            <w:r w:rsidRPr="0034416A">
              <w:t>Р- стойности</w:t>
            </w:r>
          </w:p>
        </w:tc>
        <w:tc>
          <w:tcPr>
            <w:tcW w:w="1915" w:type="dxa"/>
          </w:tcPr>
          <w:p w14:paraId="419DBD68" w14:textId="77777777" w:rsidR="0034416A" w:rsidRPr="0034416A" w:rsidRDefault="0034416A" w:rsidP="0034416A">
            <w:pPr>
              <w:spacing w:line="240" w:lineRule="auto"/>
              <w:rPr>
                <w:rFonts w:ascii="Times New Roman" w:eastAsia="Times New Roman" w:hAnsi="Times New Roman" w:cs="Times New Roman"/>
              </w:rPr>
            </w:pPr>
          </w:p>
        </w:tc>
        <w:tc>
          <w:tcPr>
            <w:tcW w:w="1915" w:type="dxa"/>
          </w:tcPr>
          <w:p w14:paraId="5B780A15" w14:textId="16236427" w:rsidR="0034416A" w:rsidRPr="0034416A" w:rsidRDefault="0034416A" w:rsidP="0034416A">
            <w:pPr>
              <w:spacing w:line="240" w:lineRule="auto"/>
              <w:rPr>
                <w:rFonts w:ascii="Times New Roman" w:eastAsia="Times New Roman" w:hAnsi="Times New Roman" w:cs="Times New Roman"/>
              </w:rPr>
            </w:pPr>
            <w:r w:rsidRPr="0034416A">
              <w:rPr>
                <w:b/>
                <w:bCs/>
                <w:i/>
                <w:iCs/>
              </w:rPr>
              <w:t>&lt;0,001</w:t>
            </w:r>
          </w:p>
        </w:tc>
        <w:tc>
          <w:tcPr>
            <w:tcW w:w="1915" w:type="dxa"/>
          </w:tcPr>
          <w:p w14:paraId="2727B686" w14:textId="66C5DFCB" w:rsidR="0034416A" w:rsidRPr="0034416A" w:rsidRDefault="0034416A" w:rsidP="0034416A">
            <w:pPr>
              <w:spacing w:line="240" w:lineRule="auto"/>
              <w:rPr>
                <w:rFonts w:ascii="Times New Roman" w:eastAsia="Times New Roman" w:hAnsi="Times New Roman" w:cs="Times New Roman"/>
              </w:rPr>
            </w:pPr>
            <w:r w:rsidRPr="0034416A">
              <w:rPr>
                <w:b/>
                <w:bCs/>
                <w:i/>
                <w:iCs/>
              </w:rPr>
              <w:t>0,001</w:t>
            </w:r>
          </w:p>
        </w:tc>
        <w:tc>
          <w:tcPr>
            <w:tcW w:w="1916" w:type="dxa"/>
          </w:tcPr>
          <w:p w14:paraId="399205ED" w14:textId="50274E5B" w:rsidR="0034416A" w:rsidRPr="0034416A" w:rsidRDefault="0034416A" w:rsidP="0034416A">
            <w:pPr>
              <w:spacing w:line="240" w:lineRule="auto"/>
              <w:rPr>
                <w:rFonts w:ascii="Times New Roman" w:eastAsia="Times New Roman" w:hAnsi="Times New Roman" w:cs="Times New Roman"/>
              </w:rPr>
            </w:pPr>
            <w:r w:rsidRPr="0034416A">
              <w:rPr>
                <w:b/>
                <w:bCs/>
                <w:i/>
                <w:iCs/>
              </w:rPr>
              <w:t>0,009</w:t>
            </w:r>
          </w:p>
        </w:tc>
      </w:tr>
      <w:tr w:rsidR="0034416A" w14:paraId="552B37F9" w14:textId="77777777" w:rsidTr="00146273">
        <w:tc>
          <w:tcPr>
            <w:tcW w:w="9576" w:type="dxa"/>
            <w:gridSpan w:val="5"/>
          </w:tcPr>
          <w:p w14:paraId="233C2384" w14:textId="281D037C" w:rsidR="0034416A" w:rsidRPr="0034416A" w:rsidRDefault="0034416A" w:rsidP="009B3915">
            <w:pPr>
              <w:spacing w:line="240" w:lineRule="auto"/>
              <w:rPr>
                <w:rFonts w:eastAsia="Times New Roman" w:cs="Arial"/>
              </w:rPr>
            </w:pPr>
            <w:r w:rsidRPr="0034416A">
              <w:rPr>
                <w:rFonts w:eastAsia="Times New Roman" w:cs="Arial"/>
                <w:b/>
                <w:bCs/>
                <w:color w:val="000000"/>
                <w:lang w:eastAsia="bg-BG"/>
              </w:rPr>
              <w:t xml:space="preserve">Брой на случаите на </w:t>
            </w:r>
            <w:proofErr w:type="spellStart"/>
            <w:r w:rsidRPr="0034416A">
              <w:rPr>
                <w:rFonts w:eastAsia="Times New Roman" w:cs="Arial"/>
                <w:b/>
                <w:bCs/>
                <w:color w:val="000000"/>
                <w:lang w:eastAsia="bg-BG"/>
              </w:rPr>
              <w:t>никтурия</w:t>
            </w:r>
            <w:proofErr w:type="spellEnd"/>
            <w:r w:rsidRPr="0034416A">
              <w:rPr>
                <w:rFonts w:eastAsia="Times New Roman" w:cs="Arial"/>
                <w:b/>
                <w:bCs/>
                <w:color w:val="000000"/>
                <w:lang w:eastAsia="bg-BG"/>
              </w:rPr>
              <w:t>/24 часа</w:t>
            </w:r>
          </w:p>
        </w:tc>
      </w:tr>
      <w:tr w:rsidR="0034416A" w14:paraId="087BF05E" w14:textId="77777777" w:rsidTr="0034416A">
        <w:tc>
          <w:tcPr>
            <w:tcW w:w="1915" w:type="dxa"/>
          </w:tcPr>
          <w:p w14:paraId="760F2E0F" w14:textId="1CEEB4BD" w:rsidR="0034416A" w:rsidRPr="0034416A" w:rsidRDefault="0034416A" w:rsidP="0034416A">
            <w:pPr>
              <w:spacing w:line="240" w:lineRule="auto"/>
              <w:rPr>
                <w:rFonts w:ascii="Times New Roman" w:eastAsia="Times New Roman" w:hAnsi="Times New Roman" w:cs="Times New Roman"/>
              </w:rPr>
            </w:pPr>
            <w:r w:rsidRPr="0034416A">
              <w:t>Средна базова линия</w:t>
            </w:r>
          </w:p>
        </w:tc>
        <w:tc>
          <w:tcPr>
            <w:tcW w:w="1915" w:type="dxa"/>
          </w:tcPr>
          <w:p w14:paraId="3F66F727" w14:textId="0C986831" w:rsidR="0034416A" w:rsidRPr="0034416A" w:rsidRDefault="0034416A" w:rsidP="0034416A">
            <w:pPr>
              <w:spacing w:line="240" w:lineRule="auto"/>
              <w:rPr>
                <w:rFonts w:ascii="Times New Roman" w:eastAsia="Times New Roman" w:hAnsi="Times New Roman" w:cs="Times New Roman"/>
              </w:rPr>
            </w:pPr>
            <w:r w:rsidRPr="0034416A">
              <w:rPr>
                <w:b/>
                <w:bCs/>
                <w:i/>
                <w:iCs/>
              </w:rPr>
              <w:t>1,8</w:t>
            </w:r>
          </w:p>
        </w:tc>
        <w:tc>
          <w:tcPr>
            <w:tcW w:w="1915" w:type="dxa"/>
          </w:tcPr>
          <w:p w14:paraId="6C2456D3" w14:textId="4DE1D5C0" w:rsidR="0034416A" w:rsidRPr="0034416A" w:rsidRDefault="0034416A" w:rsidP="0034416A">
            <w:pPr>
              <w:spacing w:line="240" w:lineRule="auto"/>
              <w:rPr>
                <w:rFonts w:ascii="Times New Roman" w:eastAsia="Times New Roman" w:hAnsi="Times New Roman" w:cs="Times New Roman"/>
              </w:rPr>
            </w:pPr>
            <w:r w:rsidRPr="0034416A">
              <w:rPr>
                <w:b/>
                <w:bCs/>
                <w:i/>
                <w:iCs/>
              </w:rPr>
              <w:t>2,0</w:t>
            </w:r>
          </w:p>
        </w:tc>
        <w:tc>
          <w:tcPr>
            <w:tcW w:w="1915" w:type="dxa"/>
          </w:tcPr>
          <w:p w14:paraId="4923DDAE" w14:textId="6BD1F832" w:rsidR="0034416A" w:rsidRPr="0034416A" w:rsidRDefault="0034416A" w:rsidP="0034416A">
            <w:pPr>
              <w:spacing w:line="240" w:lineRule="auto"/>
              <w:rPr>
                <w:rFonts w:ascii="Times New Roman" w:eastAsia="Times New Roman" w:hAnsi="Times New Roman" w:cs="Times New Roman"/>
              </w:rPr>
            </w:pPr>
            <w:r w:rsidRPr="0034416A">
              <w:rPr>
                <w:b/>
                <w:bCs/>
                <w:i/>
                <w:iCs/>
              </w:rPr>
              <w:t>1,8</w:t>
            </w:r>
          </w:p>
        </w:tc>
        <w:tc>
          <w:tcPr>
            <w:tcW w:w="1916" w:type="dxa"/>
          </w:tcPr>
          <w:p w14:paraId="7FFC2DF4" w14:textId="712B8102" w:rsidR="0034416A" w:rsidRPr="0034416A" w:rsidRDefault="0034416A" w:rsidP="0034416A">
            <w:pPr>
              <w:spacing w:line="240" w:lineRule="auto"/>
              <w:rPr>
                <w:rFonts w:ascii="Times New Roman" w:eastAsia="Times New Roman" w:hAnsi="Times New Roman" w:cs="Times New Roman"/>
              </w:rPr>
            </w:pPr>
            <w:r w:rsidRPr="0034416A">
              <w:rPr>
                <w:b/>
                <w:bCs/>
                <w:i/>
                <w:iCs/>
              </w:rPr>
              <w:t>1,9</w:t>
            </w:r>
          </w:p>
        </w:tc>
      </w:tr>
      <w:tr w:rsidR="0034416A" w14:paraId="2FFE3197" w14:textId="77777777" w:rsidTr="0034416A">
        <w:tc>
          <w:tcPr>
            <w:tcW w:w="1915" w:type="dxa"/>
          </w:tcPr>
          <w:p w14:paraId="15C0EA0B" w14:textId="629E343C" w:rsidR="0034416A" w:rsidRPr="0034416A" w:rsidRDefault="0034416A" w:rsidP="0034416A">
            <w:pPr>
              <w:spacing w:line="240" w:lineRule="auto"/>
              <w:rPr>
                <w:rFonts w:ascii="Times New Roman" w:eastAsia="Times New Roman" w:hAnsi="Times New Roman" w:cs="Times New Roman"/>
              </w:rPr>
            </w:pPr>
            <w:r w:rsidRPr="0034416A">
              <w:t>Средно намаление спрямо базовата линия</w:t>
            </w:r>
          </w:p>
        </w:tc>
        <w:tc>
          <w:tcPr>
            <w:tcW w:w="1915" w:type="dxa"/>
          </w:tcPr>
          <w:p w14:paraId="24DF5BB3" w14:textId="6A46C167" w:rsidR="0034416A" w:rsidRPr="0034416A" w:rsidRDefault="0034416A" w:rsidP="0034416A">
            <w:pPr>
              <w:spacing w:line="240" w:lineRule="auto"/>
              <w:rPr>
                <w:rFonts w:ascii="Times New Roman" w:eastAsia="Times New Roman" w:hAnsi="Times New Roman" w:cs="Times New Roman"/>
              </w:rPr>
            </w:pPr>
            <w:r w:rsidRPr="0034416A">
              <w:rPr>
                <w:b/>
                <w:bCs/>
                <w:i/>
                <w:iCs/>
              </w:rPr>
              <w:t>0,4</w:t>
            </w:r>
          </w:p>
        </w:tc>
        <w:tc>
          <w:tcPr>
            <w:tcW w:w="1915" w:type="dxa"/>
          </w:tcPr>
          <w:p w14:paraId="27CDA23E" w14:textId="377683EE" w:rsidR="0034416A" w:rsidRPr="0034416A" w:rsidRDefault="0034416A" w:rsidP="0034416A">
            <w:pPr>
              <w:spacing w:line="240" w:lineRule="auto"/>
              <w:rPr>
                <w:rFonts w:ascii="Times New Roman" w:eastAsia="Times New Roman" w:hAnsi="Times New Roman" w:cs="Times New Roman"/>
              </w:rPr>
            </w:pPr>
            <w:r w:rsidRPr="0034416A">
              <w:rPr>
                <w:b/>
                <w:bCs/>
                <w:i/>
                <w:iCs/>
              </w:rPr>
              <w:t>0,6</w:t>
            </w:r>
          </w:p>
        </w:tc>
        <w:tc>
          <w:tcPr>
            <w:tcW w:w="1915" w:type="dxa"/>
          </w:tcPr>
          <w:p w14:paraId="16D5F18D" w14:textId="58B0106F" w:rsidR="0034416A" w:rsidRPr="0034416A" w:rsidRDefault="0034416A" w:rsidP="0034416A">
            <w:pPr>
              <w:spacing w:line="240" w:lineRule="auto"/>
              <w:rPr>
                <w:rFonts w:ascii="Times New Roman" w:eastAsia="Times New Roman" w:hAnsi="Times New Roman" w:cs="Times New Roman"/>
              </w:rPr>
            </w:pPr>
            <w:r w:rsidRPr="0034416A">
              <w:rPr>
                <w:b/>
                <w:bCs/>
                <w:i/>
                <w:iCs/>
              </w:rPr>
              <w:t>0,6</w:t>
            </w:r>
          </w:p>
        </w:tc>
        <w:tc>
          <w:tcPr>
            <w:tcW w:w="1916" w:type="dxa"/>
          </w:tcPr>
          <w:p w14:paraId="28A07D93" w14:textId="75735D65" w:rsidR="0034416A" w:rsidRPr="0034416A" w:rsidRDefault="0034416A" w:rsidP="0034416A">
            <w:pPr>
              <w:spacing w:line="240" w:lineRule="auto"/>
              <w:rPr>
                <w:rFonts w:ascii="Times New Roman" w:eastAsia="Times New Roman" w:hAnsi="Times New Roman" w:cs="Times New Roman"/>
              </w:rPr>
            </w:pPr>
            <w:r w:rsidRPr="0034416A">
              <w:rPr>
                <w:b/>
                <w:bCs/>
                <w:i/>
                <w:iCs/>
                <w:lang w:val="en-US"/>
              </w:rPr>
              <w:t>0,5</w:t>
            </w:r>
          </w:p>
        </w:tc>
      </w:tr>
      <w:tr w:rsidR="0034416A" w14:paraId="4485B57C" w14:textId="77777777" w:rsidTr="0034416A">
        <w:tc>
          <w:tcPr>
            <w:tcW w:w="1915" w:type="dxa"/>
          </w:tcPr>
          <w:p w14:paraId="65D2DB2F" w14:textId="77777777" w:rsidR="0034416A" w:rsidRPr="0034416A" w:rsidRDefault="0034416A" w:rsidP="0034416A">
            <w:r w:rsidRPr="0034416A">
              <w:t>% промяна на базовата линия</w:t>
            </w:r>
          </w:p>
          <w:p w14:paraId="45C148BE" w14:textId="76724068" w:rsidR="0034416A" w:rsidRPr="0034416A" w:rsidRDefault="0034416A" w:rsidP="0034416A">
            <w:pPr>
              <w:spacing w:line="240" w:lineRule="auto"/>
              <w:rPr>
                <w:rFonts w:ascii="Times New Roman" w:eastAsia="Times New Roman" w:hAnsi="Times New Roman" w:cs="Times New Roman"/>
                <w:lang w:val="en-US"/>
              </w:rPr>
            </w:pPr>
            <w:r>
              <w:rPr>
                <w:rFonts w:eastAsia="Times New Roman" w:cs="Times New Roman"/>
                <w:lang w:val="en-US"/>
              </w:rPr>
              <w:t>n</w:t>
            </w:r>
          </w:p>
        </w:tc>
        <w:tc>
          <w:tcPr>
            <w:tcW w:w="1915" w:type="dxa"/>
          </w:tcPr>
          <w:p w14:paraId="6A1C970E" w14:textId="77777777" w:rsidR="0034416A" w:rsidRPr="0034416A" w:rsidRDefault="0034416A" w:rsidP="0034416A">
            <w:r w:rsidRPr="0034416A">
              <w:rPr>
                <w:b/>
                <w:bCs/>
                <w:i/>
                <w:iCs/>
              </w:rPr>
              <w:t>22%</w:t>
            </w:r>
          </w:p>
          <w:p w14:paraId="23108787" w14:textId="65DBE1DB" w:rsidR="0034416A" w:rsidRPr="0034416A" w:rsidRDefault="0034416A" w:rsidP="0034416A">
            <w:pPr>
              <w:spacing w:line="240" w:lineRule="auto"/>
              <w:rPr>
                <w:rFonts w:ascii="Times New Roman" w:eastAsia="Times New Roman" w:hAnsi="Times New Roman" w:cs="Times New Roman"/>
              </w:rPr>
            </w:pPr>
            <w:r w:rsidRPr="0034416A">
              <w:rPr>
                <w:b/>
                <w:bCs/>
                <w:i/>
                <w:iCs/>
              </w:rPr>
              <w:t>1005</w:t>
            </w:r>
          </w:p>
        </w:tc>
        <w:tc>
          <w:tcPr>
            <w:tcW w:w="1915" w:type="dxa"/>
          </w:tcPr>
          <w:p w14:paraId="3F746C5F" w14:textId="77777777" w:rsidR="0034416A" w:rsidRPr="0034416A" w:rsidRDefault="0034416A" w:rsidP="0034416A">
            <w:r w:rsidRPr="0034416A">
              <w:rPr>
                <w:b/>
                <w:bCs/>
                <w:i/>
                <w:iCs/>
              </w:rPr>
              <w:t>30%</w:t>
            </w:r>
          </w:p>
          <w:p w14:paraId="4C2C0C1A" w14:textId="706E3BDF" w:rsidR="0034416A" w:rsidRPr="0034416A" w:rsidRDefault="0034416A" w:rsidP="0034416A">
            <w:pPr>
              <w:spacing w:line="240" w:lineRule="auto"/>
              <w:rPr>
                <w:rFonts w:ascii="Times New Roman" w:eastAsia="Times New Roman" w:hAnsi="Times New Roman" w:cs="Times New Roman"/>
              </w:rPr>
            </w:pPr>
            <w:r w:rsidRPr="0034416A">
              <w:rPr>
                <w:b/>
                <w:bCs/>
                <w:i/>
                <w:iCs/>
              </w:rPr>
              <w:t>494</w:t>
            </w:r>
          </w:p>
        </w:tc>
        <w:tc>
          <w:tcPr>
            <w:tcW w:w="1915" w:type="dxa"/>
          </w:tcPr>
          <w:p w14:paraId="4FFBBF2A" w14:textId="77777777" w:rsidR="0034416A" w:rsidRPr="0034416A" w:rsidRDefault="0034416A" w:rsidP="0034416A">
            <w:r w:rsidRPr="0034416A">
              <w:rPr>
                <w:b/>
                <w:bCs/>
                <w:i/>
                <w:iCs/>
              </w:rPr>
              <w:t>33%</w:t>
            </w:r>
          </w:p>
          <w:p w14:paraId="50D914EA" w14:textId="07E1907E" w:rsidR="0034416A" w:rsidRPr="0034416A" w:rsidRDefault="0034416A" w:rsidP="0034416A">
            <w:pPr>
              <w:spacing w:line="240" w:lineRule="auto"/>
              <w:rPr>
                <w:rFonts w:ascii="Times New Roman" w:eastAsia="Times New Roman" w:hAnsi="Times New Roman" w:cs="Times New Roman"/>
              </w:rPr>
            </w:pPr>
            <w:r w:rsidRPr="0034416A">
              <w:rPr>
                <w:b/>
                <w:bCs/>
                <w:i/>
                <w:iCs/>
              </w:rPr>
              <w:t>1035</w:t>
            </w:r>
          </w:p>
        </w:tc>
        <w:tc>
          <w:tcPr>
            <w:tcW w:w="1916" w:type="dxa"/>
          </w:tcPr>
          <w:p w14:paraId="7370EA44" w14:textId="77777777" w:rsidR="0034416A" w:rsidRPr="0034416A" w:rsidRDefault="0034416A" w:rsidP="0034416A">
            <w:r w:rsidRPr="0034416A">
              <w:rPr>
                <w:b/>
                <w:bCs/>
                <w:i/>
                <w:iCs/>
                <w:lang w:val="en-US"/>
              </w:rPr>
              <w:t>26%</w:t>
            </w:r>
          </w:p>
          <w:p w14:paraId="33043C2F" w14:textId="4DD83142" w:rsidR="0034416A" w:rsidRPr="0034416A" w:rsidRDefault="0034416A" w:rsidP="0034416A">
            <w:pPr>
              <w:spacing w:line="240" w:lineRule="auto"/>
              <w:rPr>
                <w:rFonts w:ascii="Times New Roman" w:eastAsia="Times New Roman" w:hAnsi="Times New Roman" w:cs="Times New Roman"/>
              </w:rPr>
            </w:pPr>
            <w:r w:rsidRPr="0034416A">
              <w:rPr>
                <w:b/>
                <w:bCs/>
                <w:i/>
                <w:iCs/>
                <w:lang w:val="en-US"/>
              </w:rPr>
              <w:t>232</w:t>
            </w:r>
          </w:p>
        </w:tc>
      </w:tr>
      <w:tr w:rsidR="0034416A" w14:paraId="32233898" w14:textId="77777777" w:rsidTr="00283762">
        <w:tc>
          <w:tcPr>
            <w:tcW w:w="1915" w:type="dxa"/>
            <w:vAlign w:val="center"/>
          </w:tcPr>
          <w:p w14:paraId="58902ACA" w14:textId="79E682DF" w:rsidR="0034416A" w:rsidRPr="0034416A" w:rsidRDefault="0034416A" w:rsidP="0034416A">
            <w:pPr>
              <w:spacing w:line="240" w:lineRule="auto"/>
              <w:rPr>
                <w:rFonts w:ascii="Times New Roman" w:eastAsia="Times New Roman" w:hAnsi="Times New Roman" w:cs="Times New Roman"/>
              </w:rPr>
            </w:pPr>
            <w:r w:rsidRPr="0034416A">
              <w:t>Р-стойности</w:t>
            </w:r>
          </w:p>
        </w:tc>
        <w:tc>
          <w:tcPr>
            <w:tcW w:w="1915" w:type="dxa"/>
          </w:tcPr>
          <w:p w14:paraId="2DC671EF" w14:textId="77777777" w:rsidR="0034416A" w:rsidRPr="0034416A" w:rsidRDefault="0034416A" w:rsidP="0034416A">
            <w:pPr>
              <w:spacing w:line="240" w:lineRule="auto"/>
              <w:rPr>
                <w:rFonts w:ascii="Times New Roman" w:eastAsia="Times New Roman" w:hAnsi="Times New Roman" w:cs="Times New Roman"/>
              </w:rPr>
            </w:pPr>
          </w:p>
        </w:tc>
        <w:tc>
          <w:tcPr>
            <w:tcW w:w="1915" w:type="dxa"/>
            <w:vAlign w:val="center"/>
          </w:tcPr>
          <w:p w14:paraId="310D9C8A" w14:textId="1B37934F" w:rsidR="0034416A" w:rsidRPr="0034416A" w:rsidRDefault="0034416A" w:rsidP="0034416A">
            <w:pPr>
              <w:spacing w:line="240" w:lineRule="auto"/>
              <w:rPr>
                <w:rFonts w:ascii="Times New Roman" w:eastAsia="Times New Roman" w:hAnsi="Times New Roman" w:cs="Times New Roman"/>
              </w:rPr>
            </w:pPr>
            <w:r w:rsidRPr="0034416A">
              <w:rPr>
                <w:b/>
                <w:bCs/>
                <w:i/>
                <w:iCs/>
              </w:rPr>
              <w:t>0.025</w:t>
            </w:r>
          </w:p>
        </w:tc>
        <w:tc>
          <w:tcPr>
            <w:tcW w:w="1915" w:type="dxa"/>
            <w:vAlign w:val="center"/>
          </w:tcPr>
          <w:p w14:paraId="723B353E" w14:textId="3E1AFF90" w:rsidR="0034416A" w:rsidRPr="0034416A" w:rsidRDefault="0034416A" w:rsidP="0034416A">
            <w:pPr>
              <w:spacing w:line="240" w:lineRule="auto"/>
              <w:rPr>
                <w:rFonts w:ascii="Times New Roman" w:eastAsia="Times New Roman" w:hAnsi="Times New Roman" w:cs="Times New Roman"/>
              </w:rPr>
            </w:pPr>
            <w:r w:rsidRPr="0034416A">
              <w:rPr>
                <w:b/>
                <w:bCs/>
                <w:i/>
                <w:iCs/>
              </w:rPr>
              <w:t>&lt;0.001</w:t>
            </w:r>
          </w:p>
        </w:tc>
        <w:tc>
          <w:tcPr>
            <w:tcW w:w="1916" w:type="dxa"/>
            <w:vAlign w:val="center"/>
          </w:tcPr>
          <w:p w14:paraId="647686EE" w14:textId="2CCB0431" w:rsidR="0034416A" w:rsidRPr="0034416A" w:rsidRDefault="0034416A" w:rsidP="0034416A">
            <w:pPr>
              <w:spacing w:line="240" w:lineRule="auto"/>
              <w:rPr>
                <w:rFonts w:ascii="Times New Roman" w:eastAsia="Times New Roman" w:hAnsi="Times New Roman" w:cs="Times New Roman"/>
              </w:rPr>
            </w:pPr>
            <w:r w:rsidRPr="0034416A">
              <w:rPr>
                <w:b/>
                <w:bCs/>
                <w:i/>
                <w:iCs/>
                <w:lang w:val="en-US"/>
              </w:rPr>
              <w:t>0.199</w:t>
            </w:r>
          </w:p>
        </w:tc>
      </w:tr>
      <w:tr w:rsidR="0034416A" w14:paraId="0AF46E9D" w14:textId="77777777" w:rsidTr="005C481A">
        <w:tc>
          <w:tcPr>
            <w:tcW w:w="9576" w:type="dxa"/>
            <w:gridSpan w:val="5"/>
          </w:tcPr>
          <w:p w14:paraId="1FC60682" w14:textId="211A73DD" w:rsidR="0034416A" w:rsidRPr="0034416A" w:rsidRDefault="0034416A" w:rsidP="009B3915">
            <w:pPr>
              <w:spacing w:line="240" w:lineRule="auto"/>
              <w:rPr>
                <w:rFonts w:eastAsia="Times New Roman" w:cs="Arial"/>
                <w:sz w:val="24"/>
                <w:szCs w:val="24"/>
              </w:rPr>
            </w:pPr>
            <w:r w:rsidRPr="0034416A">
              <w:rPr>
                <w:rFonts w:eastAsia="Times New Roman" w:cs="Arial"/>
                <w:b/>
                <w:bCs/>
                <w:color w:val="000000"/>
                <w:lang w:eastAsia="bg-BG"/>
              </w:rPr>
              <w:t>Отделен обем / уриниране</w:t>
            </w:r>
          </w:p>
        </w:tc>
      </w:tr>
      <w:tr w:rsidR="0034416A" w14:paraId="392C24A1" w14:textId="77777777" w:rsidTr="0034416A">
        <w:tc>
          <w:tcPr>
            <w:tcW w:w="1915" w:type="dxa"/>
          </w:tcPr>
          <w:p w14:paraId="5E443827" w14:textId="6DA2280F" w:rsidR="0034416A" w:rsidRPr="0034416A" w:rsidRDefault="0034416A" w:rsidP="0034416A">
            <w:pPr>
              <w:spacing w:line="240" w:lineRule="auto"/>
              <w:rPr>
                <w:rFonts w:ascii="Times New Roman" w:eastAsia="Times New Roman" w:hAnsi="Times New Roman" w:cs="Times New Roman"/>
              </w:rPr>
            </w:pPr>
            <w:r w:rsidRPr="0034416A">
              <w:t>Средна базова линия</w:t>
            </w:r>
          </w:p>
        </w:tc>
        <w:tc>
          <w:tcPr>
            <w:tcW w:w="1915" w:type="dxa"/>
          </w:tcPr>
          <w:p w14:paraId="7A2B1611" w14:textId="00E7BE5D" w:rsidR="0034416A" w:rsidRPr="0034416A" w:rsidRDefault="0034416A" w:rsidP="0034416A">
            <w:pPr>
              <w:spacing w:line="240" w:lineRule="auto"/>
              <w:rPr>
                <w:rFonts w:ascii="Times New Roman" w:eastAsia="Times New Roman" w:hAnsi="Times New Roman" w:cs="Times New Roman"/>
              </w:rPr>
            </w:pPr>
            <w:r w:rsidRPr="0034416A">
              <w:rPr>
                <w:b/>
                <w:bCs/>
                <w:i/>
                <w:iCs/>
              </w:rPr>
              <w:t xml:space="preserve">166 </w:t>
            </w:r>
            <w:r w:rsidRPr="0034416A">
              <w:rPr>
                <w:b/>
                <w:bCs/>
                <w:i/>
                <w:iCs/>
                <w:lang w:val="en-US"/>
              </w:rPr>
              <w:t>ml</w:t>
            </w:r>
          </w:p>
        </w:tc>
        <w:tc>
          <w:tcPr>
            <w:tcW w:w="1915" w:type="dxa"/>
          </w:tcPr>
          <w:p w14:paraId="61FA8B93" w14:textId="557EB373" w:rsidR="0034416A" w:rsidRPr="0034416A" w:rsidRDefault="0034416A" w:rsidP="0034416A">
            <w:pPr>
              <w:spacing w:line="240" w:lineRule="auto"/>
              <w:rPr>
                <w:rFonts w:ascii="Times New Roman" w:eastAsia="Times New Roman" w:hAnsi="Times New Roman" w:cs="Times New Roman"/>
              </w:rPr>
            </w:pPr>
            <w:r w:rsidRPr="0034416A">
              <w:rPr>
                <w:b/>
                <w:bCs/>
                <w:i/>
                <w:iCs/>
              </w:rPr>
              <w:t xml:space="preserve">146 </w:t>
            </w:r>
            <w:r w:rsidRPr="0034416A">
              <w:rPr>
                <w:b/>
                <w:bCs/>
                <w:i/>
                <w:iCs/>
                <w:lang w:val="en-US"/>
              </w:rPr>
              <w:t>ml</w:t>
            </w:r>
          </w:p>
        </w:tc>
        <w:tc>
          <w:tcPr>
            <w:tcW w:w="1915" w:type="dxa"/>
          </w:tcPr>
          <w:p w14:paraId="63C97AEA" w14:textId="78B72F6C" w:rsidR="0034416A" w:rsidRPr="0034416A" w:rsidRDefault="0034416A" w:rsidP="0034416A">
            <w:pPr>
              <w:spacing w:line="240" w:lineRule="auto"/>
              <w:rPr>
                <w:rFonts w:ascii="Times New Roman" w:eastAsia="Times New Roman" w:hAnsi="Times New Roman" w:cs="Times New Roman"/>
              </w:rPr>
            </w:pPr>
            <w:r w:rsidRPr="0034416A">
              <w:rPr>
                <w:b/>
                <w:bCs/>
                <w:i/>
                <w:iCs/>
              </w:rPr>
              <w:t xml:space="preserve">163 </w:t>
            </w:r>
            <w:r w:rsidRPr="0034416A">
              <w:rPr>
                <w:b/>
                <w:bCs/>
                <w:i/>
                <w:iCs/>
                <w:lang w:val="en-US"/>
              </w:rPr>
              <w:t>ml</w:t>
            </w:r>
          </w:p>
        </w:tc>
        <w:tc>
          <w:tcPr>
            <w:tcW w:w="1916" w:type="dxa"/>
          </w:tcPr>
          <w:p w14:paraId="437D4E28" w14:textId="26A33613" w:rsidR="0034416A" w:rsidRPr="0034416A" w:rsidRDefault="0034416A" w:rsidP="0034416A">
            <w:pPr>
              <w:spacing w:line="240" w:lineRule="auto"/>
              <w:rPr>
                <w:rFonts w:ascii="Times New Roman" w:eastAsia="Times New Roman" w:hAnsi="Times New Roman" w:cs="Times New Roman"/>
              </w:rPr>
            </w:pPr>
            <w:r w:rsidRPr="0034416A">
              <w:rPr>
                <w:b/>
                <w:bCs/>
                <w:i/>
                <w:iCs/>
                <w:lang w:val="en-US"/>
              </w:rPr>
              <w:t>147 ml</w:t>
            </w:r>
          </w:p>
        </w:tc>
      </w:tr>
      <w:tr w:rsidR="0034416A" w14:paraId="74F43B62" w14:textId="77777777" w:rsidTr="002C190E">
        <w:tc>
          <w:tcPr>
            <w:tcW w:w="1915" w:type="dxa"/>
            <w:vAlign w:val="bottom"/>
          </w:tcPr>
          <w:p w14:paraId="6D8614FE" w14:textId="5E5E49D9" w:rsidR="0034416A" w:rsidRPr="0034416A" w:rsidRDefault="0034416A" w:rsidP="0034416A">
            <w:pPr>
              <w:spacing w:line="240" w:lineRule="auto"/>
              <w:rPr>
                <w:rFonts w:ascii="Times New Roman" w:eastAsia="Times New Roman" w:hAnsi="Times New Roman" w:cs="Times New Roman"/>
              </w:rPr>
            </w:pPr>
            <w:r w:rsidRPr="0034416A">
              <w:t>Средно намаление от базовата линия</w:t>
            </w:r>
          </w:p>
        </w:tc>
        <w:tc>
          <w:tcPr>
            <w:tcW w:w="1915" w:type="dxa"/>
            <w:vAlign w:val="center"/>
          </w:tcPr>
          <w:p w14:paraId="4BE052AD" w14:textId="6243E697" w:rsidR="0034416A" w:rsidRPr="0034416A" w:rsidRDefault="0034416A" w:rsidP="0034416A">
            <w:pPr>
              <w:spacing w:line="240" w:lineRule="auto"/>
              <w:rPr>
                <w:rFonts w:ascii="Times New Roman" w:eastAsia="Times New Roman" w:hAnsi="Times New Roman" w:cs="Times New Roman"/>
              </w:rPr>
            </w:pPr>
            <w:r w:rsidRPr="0034416A">
              <w:rPr>
                <w:b/>
                <w:bCs/>
                <w:i/>
                <w:iCs/>
                <w:lang w:val="en-US"/>
              </w:rPr>
              <w:t>9 ml</w:t>
            </w:r>
          </w:p>
        </w:tc>
        <w:tc>
          <w:tcPr>
            <w:tcW w:w="1915" w:type="dxa"/>
            <w:vAlign w:val="center"/>
          </w:tcPr>
          <w:p w14:paraId="77D0A12B" w14:textId="61F22A1C" w:rsidR="0034416A" w:rsidRPr="0034416A" w:rsidRDefault="0034416A" w:rsidP="0034416A">
            <w:pPr>
              <w:spacing w:line="240" w:lineRule="auto"/>
              <w:rPr>
                <w:rFonts w:ascii="Times New Roman" w:eastAsia="Times New Roman" w:hAnsi="Times New Roman" w:cs="Times New Roman"/>
              </w:rPr>
            </w:pPr>
            <w:r w:rsidRPr="0034416A">
              <w:rPr>
                <w:b/>
                <w:bCs/>
                <w:i/>
                <w:iCs/>
              </w:rPr>
              <w:t xml:space="preserve">32 </w:t>
            </w:r>
            <w:r w:rsidRPr="0034416A">
              <w:rPr>
                <w:b/>
                <w:bCs/>
                <w:i/>
                <w:iCs/>
                <w:lang w:val="en-US"/>
              </w:rPr>
              <w:t>ml</w:t>
            </w:r>
          </w:p>
        </w:tc>
        <w:tc>
          <w:tcPr>
            <w:tcW w:w="1915" w:type="dxa"/>
            <w:vAlign w:val="center"/>
          </w:tcPr>
          <w:p w14:paraId="19C3E529" w14:textId="22466CA9" w:rsidR="0034416A" w:rsidRPr="0034416A" w:rsidRDefault="0034416A" w:rsidP="0034416A">
            <w:pPr>
              <w:spacing w:line="240" w:lineRule="auto"/>
              <w:rPr>
                <w:rFonts w:ascii="Times New Roman" w:eastAsia="Times New Roman" w:hAnsi="Times New Roman" w:cs="Times New Roman"/>
              </w:rPr>
            </w:pPr>
            <w:r w:rsidRPr="0034416A">
              <w:rPr>
                <w:b/>
                <w:bCs/>
                <w:i/>
                <w:iCs/>
                <w:lang w:val="en-US"/>
              </w:rPr>
              <w:t>43 ml</w:t>
            </w:r>
          </w:p>
        </w:tc>
        <w:tc>
          <w:tcPr>
            <w:tcW w:w="1916" w:type="dxa"/>
            <w:vAlign w:val="center"/>
          </w:tcPr>
          <w:p w14:paraId="0B3B1729" w14:textId="02C345DF" w:rsidR="0034416A" w:rsidRPr="0034416A" w:rsidRDefault="0034416A" w:rsidP="0034416A">
            <w:pPr>
              <w:spacing w:line="240" w:lineRule="auto"/>
              <w:rPr>
                <w:rFonts w:ascii="Times New Roman" w:eastAsia="Times New Roman" w:hAnsi="Times New Roman" w:cs="Times New Roman"/>
              </w:rPr>
            </w:pPr>
            <w:r w:rsidRPr="0034416A">
              <w:rPr>
                <w:b/>
                <w:bCs/>
                <w:i/>
                <w:iCs/>
                <w:lang w:val="en-US"/>
              </w:rPr>
              <w:t>24 ml</w:t>
            </w:r>
          </w:p>
        </w:tc>
      </w:tr>
      <w:tr w:rsidR="0034416A" w14:paraId="5E11646B" w14:textId="77777777" w:rsidTr="0034416A">
        <w:tc>
          <w:tcPr>
            <w:tcW w:w="1915" w:type="dxa"/>
          </w:tcPr>
          <w:p w14:paraId="185C3183" w14:textId="77777777" w:rsidR="0034416A" w:rsidRPr="0034416A" w:rsidRDefault="0034416A" w:rsidP="0034416A">
            <w:r w:rsidRPr="0034416A">
              <w:t>% промяна на базовата линия</w:t>
            </w:r>
          </w:p>
          <w:p w14:paraId="58972758" w14:textId="4D83C4CB" w:rsidR="0034416A" w:rsidRPr="0034416A" w:rsidRDefault="0034416A" w:rsidP="0034416A">
            <w:pPr>
              <w:spacing w:line="240" w:lineRule="auto"/>
              <w:rPr>
                <w:rFonts w:ascii="Times New Roman" w:eastAsia="Times New Roman" w:hAnsi="Times New Roman" w:cs="Times New Roman"/>
                <w:lang w:val="en-US"/>
              </w:rPr>
            </w:pPr>
            <w:r>
              <w:rPr>
                <w:rFonts w:eastAsia="Times New Roman" w:cs="Times New Roman"/>
                <w:lang w:val="en-US"/>
              </w:rPr>
              <w:t>n</w:t>
            </w:r>
          </w:p>
        </w:tc>
        <w:tc>
          <w:tcPr>
            <w:tcW w:w="1915" w:type="dxa"/>
          </w:tcPr>
          <w:p w14:paraId="05F56113" w14:textId="77777777" w:rsidR="0034416A" w:rsidRPr="0034416A" w:rsidRDefault="0034416A" w:rsidP="0034416A">
            <w:r w:rsidRPr="0034416A">
              <w:rPr>
                <w:b/>
                <w:bCs/>
                <w:i/>
                <w:iCs/>
              </w:rPr>
              <w:t>(5%)</w:t>
            </w:r>
          </w:p>
          <w:p w14:paraId="39CD47D7" w14:textId="3199BED0" w:rsidR="0034416A" w:rsidRPr="0034416A" w:rsidRDefault="0034416A" w:rsidP="0034416A">
            <w:pPr>
              <w:spacing w:line="240" w:lineRule="auto"/>
              <w:rPr>
                <w:rFonts w:ascii="Times New Roman" w:eastAsia="Times New Roman" w:hAnsi="Times New Roman" w:cs="Times New Roman"/>
              </w:rPr>
            </w:pPr>
            <w:r w:rsidRPr="0034416A">
              <w:rPr>
                <w:b/>
                <w:bCs/>
                <w:i/>
                <w:iCs/>
              </w:rPr>
              <w:t>1135</w:t>
            </w:r>
          </w:p>
        </w:tc>
        <w:tc>
          <w:tcPr>
            <w:tcW w:w="1915" w:type="dxa"/>
          </w:tcPr>
          <w:p w14:paraId="723A1224" w14:textId="77777777" w:rsidR="0034416A" w:rsidRPr="0034416A" w:rsidRDefault="0034416A" w:rsidP="0034416A">
            <w:r w:rsidRPr="0034416A">
              <w:rPr>
                <w:b/>
                <w:bCs/>
                <w:i/>
                <w:iCs/>
              </w:rPr>
              <w:t>(21%)</w:t>
            </w:r>
          </w:p>
          <w:p w14:paraId="1349DA06" w14:textId="38D6F474" w:rsidR="0034416A" w:rsidRPr="0034416A" w:rsidRDefault="0034416A" w:rsidP="0034416A">
            <w:pPr>
              <w:spacing w:line="240" w:lineRule="auto"/>
              <w:rPr>
                <w:rFonts w:ascii="Times New Roman" w:eastAsia="Times New Roman" w:hAnsi="Times New Roman" w:cs="Times New Roman"/>
              </w:rPr>
            </w:pPr>
            <w:r w:rsidRPr="0034416A">
              <w:rPr>
                <w:b/>
                <w:bCs/>
                <w:i/>
                <w:iCs/>
              </w:rPr>
              <w:t>552</w:t>
            </w:r>
          </w:p>
        </w:tc>
        <w:tc>
          <w:tcPr>
            <w:tcW w:w="1915" w:type="dxa"/>
          </w:tcPr>
          <w:p w14:paraId="296CC5E8" w14:textId="77777777" w:rsidR="0034416A" w:rsidRPr="0034416A" w:rsidRDefault="0034416A" w:rsidP="0034416A">
            <w:r w:rsidRPr="0034416A">
              <w:rPr>
                <w:b/>
                <w:bCs/>
                <w:i/>
                <w:iCs/>
                <w:lang w:val="en-US"/>
              </w:rPr>
              <w:t>(26%)</w:t>
            </w:r>
          </w:p>
          <w:p w14:paraId="133DE6A2" w14:textId="4CF11EDC" w:rsidR="0034416A" w:rsidRPr="0034416A" w:rsidRDefault="0034416A" w:rsidP="0034416A">
            <w:pPr>
              <w:spacing w:line="240" w:lineRule="auto"/>
              <w:rPr>
                <w:rFonts w:ascii="Times New Roman" w:eastAsia="Times New Roman" w:hAnsi="Times New Roman" w:cs="Times New Roman"/>
              </w:rPr>
            </w:pPr>
            <w:r w:rsidRPr="0034416A">
              <w:rPr>
                <w:b/>
                <w:bCs/>
                <w:i/>
                <w:iCs/>
                <w:lang w:val="en-US"/>
              </w:rPr>
              <w:t>1156</w:t>
            </w:r>
          </w:p>
        </w:tc>
        <w:tc>
          <w:tcPr>
            <w:tcW w:w="1916" w:type="dxa"/>
          </w:tcPr>
          <w:p w14:paraId="5939C5FF" w14:textId="77777777" w:rsidR="0034416A" w:rsidRPr="0034416A" w:rsidRDefault="0034416A" w:rsidP="0034416A">
            <w:r w:rsidRPr="0034416A">
              <w:rPr>
                <w:b/>
                <w:bCs/>
                <w:i/>
                <w:iCs/>
                <w:lang w:val="en-US"/>
              </w:rPr>
              <w:t>(16%)</w:t>
            </w:r>
          </w:p>
          <w:p w14:paraId="48C58F25" w14:textId="186DACF1" w:rsidR="0034416A" w:rsidRPr="0034416A" w:rsidRDefault="0034416A" w:rsidP="0034416A">
            <w:pPr>
              <w:spacing w:line="240" w:lineRule="auto"/>
              <w:rPr>
                <w:rFonts w:ascii="Times New Roman" w:eastAsia="Times New Roman" w:hAnsi="Times New Roman" w:cs="Times New Roman"/>
              </w:rPr>
            </w:pPr>
            <w:r w:rsidRPr="0034416A">
              <w:rPr>
                <w:b/>
                <w:bCs/>
                <w:i/>
                <w:iCs/>
                <w:lang w:val="en-US"/>
              </w:rPr>
              <w:t>250</w:t>
            </w:r>
          </w:p>
        </w:tc>
      </w:tr>
      <w:tr w:rsidR="0034416A" w14:paraId="13CBA02C" w14:textId="77777777" w:rsidTr="0034416A">
        <w:trPr>
          <w:trHeight w:val="197"/>
        </w:trPr>
        <w:tc>
          <w:tcPr>
            <w:tcW w:w="1915" w:type="dxa"/>
          </w:tcPr>
          <w:p w14:paraId="5C463EE0" w14:textId="42906335" w:rsidR="0034416A" w:rsidRPr="0034416A" w:rsidRDefault="0034416A" w:rsidP="0034416A">
            <w:pPr>
              <w:spacing w:line="240" w:lineRule="auto"/>
              <w:rPr>
                <w:rFonts w:ascii="Times New Roman" w:eastAsia="Times New Roman" w:hAnsi="Times New Roman" w:cs="Times New Roman"/>
              </w:rPr>
            </w:pPr>
            <w:r w:rsidRPr="0034416A">
              <w:t>Р-стойност*</w:t>
            </w:r>
          </w:p>
        </w:tc>
        <w:tc>
          <w:tcPr>
            <w:tcW w:w="1915" w:type="dxa"/>
          </w:tcPr>
          <w:p w14:paraId="0DE707B2" w14:textId="77777777" w:rsidR="0034416A" w:rsidRPr="0034416A" w:rsidRDefault="0034416A" w:rsidP="0034416A">
            <w:pPr>
              <w:spacing w:line="240" w:lineRule="auto"/>
              <w:rPr>
                <w:rFonts w:ascii="Times New Roman" w:eastAsia="Times New Roman" w:hAnsi="Times New Roman" w:cs="Times New Roman"/>
              </w:rPr>
            </w:pPr>
          </w:p>
        </w:tc>
        <w:tc>
          <w:tcPr>
            <w:tcW w:w="1915" w:type="dxa"/>
          </w:tcPr>
          <w:p w14:paraId="731EF5DA" w14:textId="383AB0EF" w:rsidR="0034416A" w:rsidRPr="0034416A" w:rsidRDefault="0034416A" w:rsidP="0034416A">
            <w:pPr>
              <w:spacing w:line="240" w:lineRule="auto"/>
              <w:rPr>
                <w:rFonts w:ascii="Times New Roman" w:eastAsia="Times New Roman" w:hAnsi="Times New Roman" w:cs="Times New Roman"/>
              </w:rPr>
            </w:pPr>
            <w:r w:rsidRPr="0034416A">
              <w:rPr>
                <w:b/>
                <w:bCs/>
                <w:i/>
                <w:iCs/>
              </w:rPr>
              <w:t>&lt;0.001</w:t>
            </w:r>
          </w:p>
        </w:tc>
        <w:tc>
          <w:tcPr>
            <w:tcW w:w="1915" w:type="dxa"/>
          </w:tcPr>
          <w:p w14:paraId="05CAA343" w14:textId="3EA2A202" w:rsidR="0034416A" w:rsidRPr="0034416A" w:rsidRDefault="0034416A" w:rsidP="0034416A">
            <w:pPr>
              <w:spacing w:line="240" w:lineRule="auto"/>
              <w:rPr>
                <w:rFonts w:ascii="Times New Roman" w:eastAsia="Times New Roman" w:hAnsi="Times New Roman" w:cs="Times New Roman"/>
              </w:rPr>
            </w:pPr>
            <w:r w:rsidRPr="0034416A">
              <w:rPr>
                <w:b/>
                <w:bCs/>
                <w:i/>
                <w:iCs/>
                <w:lang w:val="en-US"/>
              </w:rPr>
              <w:t>&lt;0.001</w:t>
            </w:r>
          </w:p>
        </w:tc>
        <w:tc>
          <w:tcPr>
            <w:tcW w:w="1916" w:type="dxa"/>
          </w:tcPr>
          <w:p w14:paraId="49E5E694" w14:textId="002DF0C3" w:rsidR="0034416A" w:rsidRPr="0034416A" w:rsidRDefault="0034416A" w:rsidP="0034416A">
            <w:pPr>
              <w:spacing w:line="240" w:lineRule="auto"/>
              <w:rPr>
                <w:rFonts w:ascii="Times New Roman" w:eastAsia="Times New Roman" w:hAnsi="Times New Roman" w:cs="Times New Roman"/>
              </w:rPr>
            </w:pPr>
            <w:r w:rsidRPr="0034416A">
              <w:rPr>
                <w:b/>
                <w:bCs/>
                <w:i/>
                <w:iCs/>
                <w:lang w:val="en-US"/>
              </w:rPr>
              <w:t>&lt;0.001</w:t>
            </w:r>
          </w:p>
        </w:tc>
      </w:tr>
      <w:tr w:rsidR="0034416A" w14:paraId="0C376A2A" w14:textId="77777777" w:rsidTr="00FE4954">
        <w:tc>
          <w:tcPr>
            <w:tcW w:w="9576" w:type="dxa"/>
            <w:gridSpan w:val="5"/>
          </w:tcPr>
          <w:p w14:paraId="1D602350" w14:textId="127CA2AA" w:rsidR="0034416A" w:rsidRPr="0034416A" w:rsidRDefault="0034416A" w:rsidP="009B3915">
            <w:pPr>
              <w:spacing w:line="240" w:lineRule="auto"/>
              <w:rPr>
                <w:rFonts w:eastAsia="Times New Roman" w:cs="Arial"/>
                <w:b/>
                <w:bCs/>
                <w:sz w:val="24"/>
                <w:szCs w:val="24"/>
              </w:rPr>
            </w:pPr>
            <w:r w:rsidRPr="0034416A">
              <w:rPr>
                <w:rFonts w:eastAsia="Times New Roman" w:cs="Arial"/>
                <w:b/>
                <w:bCs/>
              </w:rPr>
              <w:t>Брой поставени памперси/24 часа</w:t>
            </w:r>
          </w:p>
        </w:tc>
      </w:tr>
      <w:tr w:rsidR="0034416A" w14:paraId="77E48A33" w14:textId="77777777" w:rsidTr="0034416A">
        <w:tc>
          <w:tcPr>
            <w:tcW w:w="1915" w:type="dxa"/>
          </w:tcPr>
          <w:p w14:paraId="44F08647" w14:textId="78AE29CC" w:rsidR="0034416A" w:rsidRPr="0034416A" w:rsidRDefault="0034416A" w:rsidP="0034416A">
            <w:pPr>
              <w:spacing w:line="240" w:lineRule="auto"/>
              <w:rPr>
                <w:rFonts w:eastAsia="Times New Roman" w:cs="Arial"/>
              </w:rPr>
            </w:pPr>
            <w:r w:rsidRPr="0034416A">
              <w:rPr>
                <w:rFonts w:cs="Arial"/>
              </w:rPr>
              <w:t>Средна базова линия</w:t>
            </w:r>
          </w:p>
        </w:tc>
        <w:tc>
          <w:tcPr>
            <w:tcW w:w="1915" w:type="dxa"/>
          </w:tcPr>
          <w:p w14:paraId="5A5C3466" w14:textId="4C867523" w:rsidR="0034416A" w:rsidRPr="0034416A" w:rsidRDefault="0034416A" w:rsidP="0034416A">
            <w:pPr>
              <w:spacing w:line="240" w:lineRule="auto"/>
              <w:rPr>
                <w:rFonts w:eastAsia="Times New Roman" w:cs="Arial"/>
              </w:rPr>
            </w:pPr>
            <w:r w:rsidRPr="0034416A">
              <w:rPr>
                <w:rFonts w:cs="Arial"/>
                <w:b/>
                <w:bCs/>
                <w:i/>
                <w:iCs/>
              </w:rPr>
              <w:t>3,0</w:t>
            </w:r>
          </w:p>
        </w:tc>
        <w:tc>
          <w:tcPr>
            <w:tcW w:w="1915" w:type="dxa"/>
          </w:tcPr>
          <w:p w14:paraId="1E530865" w14:textId="5D48ADA2" w:rsidR="0034416A" w:rsidRPr="0034416A" w:rsidRDefault="0034416A" w:rsidP="0034416A">
            <w:pPr>
              <w:spacing w:line="240" w:lineRule="auto"/>
              <w:rPr>
                <w:rFonts w:eastAsia="Times New Roman" w:cs="Arial"/>
              </w:rPr>
            </w:pPr>
            <w:r w:rsidRPr="0034416A">
              <w:rPr>
                <w:rFonts w:cs="Arial"/>
                <w:b/>
                <w:bCs/>
                <w:i/>
                <w:iCs/>
              </w:rPr>
              <w:t>28</w:t>
            </w:r>
          </w:p>
        </w:tc>
        <w:tc>
          <w:tcPr>
            <w:tcW w:w="1915" w:type="dxa"/>
          </w:tcPr>
          <w:p w14:paraId="7275CE46" w14:textId="483A0B99" w:rsidR="0034416A" w:rsidRPr="0034416A" w:rsidRDefault="0034416A" w:rsidP="0034416A">
            <w:pPr>
              <w:spacing w:line="240" w:lineRule="auto"/>
              <w:rPr>
                <w:rFonts w:eastAsia="Times New Roman" w:cs="Arial"/>
              </w:rPr>
            </w:pPr>
            <w:r w:rsidRPr="0034416A">
              <w:rPr>
                <w:rFonts w:cs="Arial"/>
                <w:b/>
                <w:bCs/>
                <w:i/>
                <w:iCs/>
                <w:lang w:val="en-US"/>
              </w:rPr>
              <w:t>2,7</w:t>
            </w:r>
          </w:p>
        </w:tc>
        <w:tc>
          <w:tcPr>
            <w:tcW w:w="1916" w:type="dxa"/>
          </w:tcPr>
          <w:p w14:paraId="2C774D7D" w14:textId="75DBCE10" w:rsidR="0034416A" w:rsidRPr="0034416A" w:rsidRDefault="0034416A" w:rsidP="0034416A">
            <w:pPr>
              <w:spacing w:line="240" w:lineRule="auto"/>
              <w:rPr>
                <w:rFonts w:eastAsia="Times New Roman" w:cs="Arial"/>
              </w:rPr>
            </w:pPr>
            <w:r w:rsidRPr="0034416A">
              <w:rPr>
                <w:rFonts w:cs="Arial"/>
                <w:b/>
                <w:bCs/>
                <w:i/>
                <w:iCs/>
                <w:lang w:val="en-US"/>
              </w:rPr>
              <w:t>2,7</w:t>
            </w:r>
          </w:p>
        </w:tc>
      </w:tr>
      <w:tr w:rsidR="0034416A" w14:paraId="05986429" w14:textId="77777777" w:rsidTr="009663B9">
        <w:tc>
          <w:tcPr>
            <w:tcW w:w="1915" w:type="dxa"/>
            <w:vAlign w:val="bottom"/>
          </w:tcPr>
          <w:p w14:paraId="1596C5E9" w14:textId="0C7D21B8" w:rsidR="0034416A" w:rsidRPr="0034416A" w:rsidRDefault="0034416A" w:rsidP="0034416A">
            <w:pPr>
              <w:spacing w:line="240" w:lineRule="auto"/>
              <w:rPr>
                <w:rFonts w:eastAsia="Times New Roman" w:cs="Arial"/>
              </w:rPr>
            </w:pPr>
            <w:r w:rsidRPr="0034416A">
              <w:rPr>
                <w:rFonts w:cs="Arial"/>
              </w:rPr>
              <w:t>Средно намаление от базовата линия</w:t>
            </w:r>
          </w:p>
        </w:tc>
        <w:tc>
          <w:tcPr>
            <w:tcW w:w="1915" w:type="dxa"/>
          </w:tcPr>
          <w:p w14:paraId="54332707" w14:textId="37834485" w:rsidR="0034416A" w:rsidRPr="0034416A" w:rsidRDefault="0034416A" w:rsidP="0034416A">
            <w:pPr>
              <w:spacing w:line="240" w:lineRule="auto"/>
              <w:rPr>
                <w:rFonts w:eastAsia="Times New Roman" w:cs="Arial"/>
              </w:rPr>
            </w:pPr>
            <w:r w:rsidRPr="0034416A">
              <w:rPr>
                <w:rFonts w:cs="Arial"/>
                <w:b/>
                <w:bCs/>
                <w:i/>
                <w:iCs/>
              </w:rPr>
              <w:t>0,8</w:t>
            </w:r>
          </w:p>
        </w:tc>
        <w:tc>
          <w:tcPr>
            <w:tcW w:w="1915" w:type="dxa"/>
          </w:tcPr>
          <w:p w14:paraId="496D17E7" w14:textId="41E87064" w:rsidR="0034416A" w:rsidRPr="0034416A" w:rsidRDefault="0034416A" w:rsidP="0034416A">
            <w:pPr>
              <w:spacing w:line="240" w:lineRule="auto"/>
              <w:rPr>
                <w:rFonts w:eastAsia="Times New Roman" w:cs="Arial"/>
                <w:b/>
                <w:bCs/>
              </w:rPr>
            </w:pPr>
            <w:r w:rsidRPr="0034416A">
              <w:rPr>
                <w:rFonts w:cs="Arial"/>
                <w:b/>
                <w:bCs/>
                <w:lang w:val="en-US"/>
              </w:rPr>
              <w:t>1,3</w:t>
            </w:r>
          </w:p>
        </w:tc>
        <w:tc>
          <w:tcPr>
            <w:tcW w:w="1915" w:type="dxa"/>
          </w:tcPr>
          <w:p w14:paraId="793AC305" w14:textId="0D2C9083" w:rsidR="0034416A" w:rsidRPr="0034416A" w:rsidRDefault="0034416A" w:rsidP="0034416A">
            <w:pPr>
              <w:spacing w:line="240" w:lineRule="auto"/>
              <w:rPr>
                <w:rFonts w:eastAsia="Times New Roman" w:cs="Arial"/>
              </w:rPr>
            </w:pPr>
            <w:r w:rsidRPr="0034416A">
              <w:rPr>
                <w:rFonts w:cs="Arial"/>
                <w:b/>
                <w:bCs/>
                <w:i/>
                <w:iCs/>
                <w:lang w:val="en-US"/>
              </w:rPr>
              <w:t>1,3</w:t>
            </w:r>
          </w:p>
        </w:tc>
        <w:tc>
          <w:tcPr>
            <w:tcW w:w="1916" w:type="dxa"/>
          </w:tcPr>
          <w:p w14:paraId="5E58894E" w14:textId="01B09F73" w:rsidR="0034416A" w:rsidRPr="0034416A" w:rsidRDefault="0034416A" w:rsidP="0034416A">
            <w:pPr>
              <w:spacing w:line="240" w:lineRule="auto"/>
              <w:rPr>
                <w:rFonts w:eastAsia="Times New Roman" w:cs="Arial"/>
              </w:rPr>
            </w:pPr>
            <w:r w:rsidRPr="0034416A">
              <w:rPr>
                <w:rFonts w:cs="Arial"/>
                <w:b/>
                <w:bCs/>
                <w:i/>
                <w:iCs/>
                <w:lang w:val="en-US"/>
              </w:rPr>
              <w:t>1,0</w:t>
            </w:r>
          </w:p>
        </w:tc>
      </w:tr>
      <w:tr w:rsidR="0034416A" w14:paraId="151A7F0A" w14:textId="77777777" w:rsidTr="0034416A">
        <w:tc>
          <w:tcPr>
            <w:tcW w:w="1915" w:type="dxa"/>
          </w:tcPr>
          <w:p w14:paraId="6FE1B88B" w14:textId="77777777" w:rsidR="0034416A" w:rsidRPr="0034416A" w:rsidRDefault="0034416A" w:rsidP="0034416A">
            <w:pPr>
              <w:rPr>
                <w:rFonts w:cs="Arial"/>
              </w:rPr>
            </w:pPr>
            <w:r w:rsidRPr="0034416A">
              <w:rPr>
                <w:rFonts w:cs="Arial"/>
              </w:rPr>
              <w:t>% промяна на базовата линия</w:t>
            </w:r>
          </w:p>
          <w:p w14:paraId="42471ECF" w14:textId="6C32300B" w:rsidR="0034416A" w:rsidRPr="0034416A" w:rsidRDefault="0034416A" w:rsidP="0034416A">
            <w:pPr>
              <w:spacing w:line="240" w:lineRule="auto"/>
              <w:rPr>
                <w:rFonts w:eastAsia="Times New Roman" w:cs="Arial"/>
                <w:lang w:val="en-US"/>
              </w:rPr>
            </w:pPr>
            <w:r>
              <w:rPr>
                <w:rFonts w:eastAsia="Times New Roman" w:cs="Arial"/>
                <w:lang w:val="en-US"/>
              </w:rPr>
              <w:t>n</w:t>
            </w:r>
          </w:p>
        </w:tc>
        <w:tc>
          <w:tcPr>
            <w:tcW w:w="1915" w:type="dxa"/>
          </w:tcPr>
          <w:p w14:paraId="413D54CE" w14:textId="77777777" w:rsidR="0034416A" w:rsidRPr="0034416A" w:rsidRDefault="0034416A" w:rsidP="0034416A">
            <w:pPr>
              <w:rPr>
                <w:rFonts w:cs="Arial"/>
              </w:rPr>
            </w:pPr>
            <w:r w:rsidRPr="0034416A">
              <w:rPr>
                <w:rFonts w:cs="Arial"/>
                <w:b/>
                <w:bCs/>
                <w:i/>
                <w:iCs/>
              </w:rPr>
              <w:t>27 %</w:t>
            </w:r>
          </w:p>
          <w:p w14:paraId="3D75C198" w14:textId="68EB2811" w:rsidR="0034416A" w:rsidRPr="0034416A" w:rsidRDefault="0034416A" w:rsidP="0034416A">
            <w:pPr>
              <w:spacing w:line="240" w:lineRule="auto"/>
              <w:rPr>
                <w:rFonts w:eastAsia="Times New Roman" w:cs="Arial"/>
              </w:rPr>
            </w:pPr>
            <w:r w:rsidRPr="0034416A">
              <w:rPr>
                <w:rFonts w:cs="Arial"/>
                <w:b/>
                <w:bCs/>
                <w:i/>
                <w:iCs/>
              </w:rPr>
              <w:t>238</w:t>
            </w:r>
          </w:p>
        </w:tc>
        <w:tc>
          <w:tcPr>
            <w:tcW w:w="1915" w:type="dxa"/>
          </w:tcPr>
          <w:p w14:paraId="206D0E16" w14:textId="77777777" w:rsidR="0034416A" w:rsidRPr="0034416A" w:rsidRDefault="0034416A" w:rsidP="0034416A">
            <w:pPr>
              <w:rPr>
                <w:rFonts w:cs="Arial"/>
              </w:rPr>
            </w:pPr>
            <w:r w:rsidRPr="0034416A">
              <w:rPr>
                <w:rFonts w:cs="Arial"/>
                <w:b/>
                <w:bCs/>
                <w:i/>
                <w:iCs/>
              </w:rPr>
              <w:t>46%</w:t>
            </w:r>
          </w:p>
          <w:p w14:paraId="6990A840" w14:textId="12C229C7" w:rsidR="0034416A" w:rsidRPr="0034416A" w:rsidRDefault="0034416A" w:rsidP="0034416A">
            <w:pPr>
              <w:spacing w:line="240" w:lineRule="auto"/>
              <w:rPr>
                <w:rFonts w:eastAsia="Times New Roman" w:cs="Arial"/>
              </w:rPr>
            </w:pPr>
            <w:r w:rsidRPr="0034416A">
              <w:rPr>
                <w:rFonts w:cs="Arial"/>
                <w:b/>
                <w:bCs/>
                <w:i/>
                <w:iCs/>
              </w:rPr>
              <w:t>236</w:t>
            </w:r>
          </w:p>
        </w:tc>
        <w:tc>
          <w:tcPr>
            <w:tcW w:w="1915" w:type="dxa"/>
          </w:tcPr>
          <w:p w14:paraId="3DC96B38" w14:textId="77777777" w:rsidR="0034416A" w:rsidRPr="0034416A" w:rsidRDefault="0034416A" w:rsidP="0034416A">
            <w:pPr>
              <w:rPr>
                <w:rFonts w:cs="Arial"/>
              </w:rPr>
            </w:pPr>
            <w:r w:rsidRPr="0034416A">
              <w:rPr>
                <w:rFonts w:cs="Arial"/>
                <w:b/>
                <w:bCs/>
                <w:i/>
                <w:iCs/>
                <w:lang w:val="en-US"/>
              </w:rPr>
              <w:t>48%</w:t>
            </w:r>
          </w:p>
          <w:p w14:paraId="6D939CC1" w14:textId="73231876" w:rsidR="0034416A" w:rsidRPr="0034416A" w:rsidRDefault="0034416A" w:rsidP="0034416A">
            <w:pPr>
              <w:spacing w:line="240" w:lineRule="auto"/>
              <w:rPr>
                <w:rFonts w:eastAsia="Times New Roman" w:cs="Arial"/>
              </w:rPr>
            </w:pPr>
            <w:r w:rsidRPr="0034416A">
              <w:rPr>
                <w:rFonts w:cs="Arial"/>
                <w:b/>
                <w:bCs/>
                <w:i/>
                <w:iCs/>
                <w:lang w:val="en-US"/>
              </w:rPr>
              <w:t>242</w:t>
            </w:r>
          </w:p>
        </w:tc>
        <w:tc>
          <w:tcPr>
            <w:tcW w:w="1916" w:type="dxa"/>
          </w:tcPr>
          <w:p w14:paraId="246E4DE5" w14:textId="77777777" w:rsidR="0034416A" w:rsidRPr="0034416A" w:rsidRDefault="0034416A" w:rsidP="0034416A">
            <w:pPr>
              <w:rPr>
                <w:rFonts w:cs="Arial"/>
              </w:rPr>
            </w:pPr>
            <w:r w:rsidRPr="0034416A">
              <w:rPr>
                <w:rFonts w:cs="Arial"/>
                <w:b/>
                <w:bCs/>
                <w:i/>
                <w:iCs/>
                <w:lang w:val="en-US"/>
              </w:rPr>
              <w:t>37%</w:t>
            </w:r>
          </w:p>
          <w:p w14:paraId="52F17B78" w14:textId="36AF1ABD" w:rsidR="0034416A" w:rsidRPr="0034416A" w:rsidRDefault="0034416A" w:rsidP="0034416A">
            <w:pPr>
              <w:spacing w:line="240" w:lineRule="auto"/>
              <w:rPr>
                <w:rFonts w:eastAsia="Times New Roman" w:cs="Arial"/>
              </w:rPr>
            </w:pPr>
            <w:r w:rsidRPr="0034416A">
              <w:rPr>
                <w:rFonts w:cs="Arial"/>
                <w:b/>
                <w:bCs/>
                <w:i/>
                <w:iCs/>
                <w:lang w:val="en-US"/>
              </w:rPr>
              <w:t>250</w:t>
            </w:r>
          </w:p>
        </w:tc>
      </w:tr>
      <w:tr w:rsidR="0034416A" w14:paraId="6AD91BF6" w14:textId="77777777" w:rsidTr="0034416A">
        <w:tc>
          <w:tcPr>
            <w:tcW w:w="1915" w:type="dxa"/>
          </w:tcPr>
          <w:p w14:paraId="3488714F" w14:textId="76A1A89D" w:rsidR="0034416A" w:rsidRPr="0034416A" w:rsidRDefault="0034416A" w:rsidP="0034416A">
            <w:pPr>
              <w:spacing w:line="240" w:lineRule="auto"/>
              <w:rPr>
                <w:rFonts w:eastAsia="Times New Roman" w:cs="Arial"/>
              </w:rPr>
            </w:pPr>
            <w:r w:rsidRPr="0034416A">
              <w:rPr>
                <w:rFonts w:cs="Arial"/>
              </w:rPr>
              <w:t>Р- стойност*</w:t>
            </w:r>
          </w:p>
        </w:tc>
        <w:tc>
          <w:tcPr>
            <w:tcW w:w="1915" w:type="dxa"/>
          </w:tcPr>
          <w:p w14:paraId="716FB2E5" w14:textId="77777777" w:rsidR="0034416A" w:rsidRPr="0034416A" w:rsidRDefault="0034416A" w:rsidP="0034416A">
            <w:pPr>
              <w:spacing w:line="240" w:lineRule="auto"/>
              <w:rPr>
                <w:rFonts w:eastAsia="Times New Roman" w:cs="Arial"/>
              </w:rPr>
            </w:pPr>
          </w:p>
        </w:tc>
        <w:tc>
          <w:tcPr>
            <w:tcW w:w="1915" w:type="dxa"/>
          </w:tcPr>
          <w:p w14:paraId="652EFB2B" w14:textId="32CE74B7" w:rsidR="0034416A" w:rsidRPr="0034416A" w:rsidRDefault="0034416A" w:rsidP="0034416A">
            <w:pPr>
              <w:spacing w:line="240" w:lineRule="auto"/>
              <w:rPr>
                <w:rFonts w:eastAsia="Times New Roman" w:cs="Arial"/>
              </w:rPr>
            </w:pPr>
            <w:r w:rsidRPr="0034416A">
              <w:rPr>
                <w:rFonts w:cs="Arial"/>
                <w:b/>
                <w:bCs/>
                <w:i/>
                <w:iCs/>
              </w:rPr>
              <w:t>&lt;0.001</w:t>
            </w:r>
          </w:p>
        </w:tc>
        <w:tc>
          <w:tcPr>
            <w:tcW w:w="1915" w:type="dxa"/>
          </w:tcPr>
          <w:p w14:paraId="566683C0" w14:textId="356056B0" w:rsidR="0034416A" w:rsidRPr="0034416A" w:rsidRDefault="0034416A" w:rsidP="0034416A">
            <w:pPr>
              <w:spacing w:line="240" w:lineRule="auto"/>
              <w:rPr>
                <w:rFonts w:eastAsia="Times New Roman" w:cs="Arial"/>
              </w:rPr>
            </w:pPr>
            <w:r w:rsidRPr="0034416A">
              <w:rPr>
                <w:rFonts w:cs="Arial"/>
                <w:b/>
                <w:bCs/>
                <w:i/>
                <w:iCs/>
                <w:lang w:val="en-US"/>
              </w:rPr>
              <w:t>&lt;0.001</w:t>
            </w:r>
          </w:p>
        </w:tc>
        <w:tc>
          <w:tcPr>
            <w:tcW w:w="1916" w:type="dxa"/>
          </w:tcPr>
          <w:p w14:paraId="35D94281" w14:textId="4BEA7F58" w:rsidR="0034416A" w:rsidRPr="0034416A" w:rsidRDefault="0034416A" w:rsidP="0034416A">
            <w:pPr>
              <w:spacing w:line="240" w:lineRule="auto"/>
              <w:rPr>
                <w:rFonts w:eastAsia="Times New Roman" w:cs="Arial"/>
              </w:rPr>
            </w:pPr>
            <w:r w:rsidRPr="0034416A">
              <w:rPr>
                <w:rFonts w:cs="Arial"/>
                <w:b/>
                <w:bCs/>
                <w:i/>
                <w:iCs/>
                <w:lang w:val="en-US"/>
              </w:rPr>
              <w:t>&lt;0.010</w:t>
            </w:r>
          </w:p>
        </w:tc>
      </w:tr>
    </w:tbl>
    <w:p w14:paraId="04AD4CB6" w14:textId="77777777" w:rsidR="0034416A" w:rsidRDefault="0034416A" w:rsidP="0034416A">
      <w:pPr>
        <w:spacing w:line="240" w:lineRule="auto"/>
        <w:rPr>
          <w:rFonts w:eastAsia="Times New Roman" w:cs="Arial"/>
          <w:color w:val="000000"/>
          <w:u w:val="single"/>
          <w:lang w:eastAsia="bg-BG"/>
        </w:rPr>
      </w:pPr>
    </w:p>
    <w:p w14:paraId="124EB833" w14:textId="6735593C" w:rsidR="0034416A" w:rsidRPr="0034416A" w:rsidRDefault="0034416A" w:rsidP="0034416A">
      <w:pPr>
        <w:spacing w:line="240" w:lineRule="auto"/>
        <w:rPr>
          <w:rFonts w:eastAsia="Times New Roman" w:cs="Arial"/>
        </w:rPr>
      </w:pPr>
      <w:r w:rsidRPr="0034416A">
        <w:rPr>
          <w:rFonts w:eastAsia="Times New Roman" w:cs="Arial"/>
          <w:color w:val="000000"/>
          <w:u w:val="single"/>
          <w:lang w:eastAsia="bg-BG"/>
        </w:rPr>
        <w:lastRenderedPageBreak/>
        <w:t>Забележка:</w:t>
      </w:r>
      <w:r w:rsidRPr="0034416A">
        <w:rPr>
          <w:rFonts w:eastAsia="Times New Roman" w:cs="Arial"/>
          <w:color w:val="000000"/>
          <w:lang w:eastAsia="bg-BG"/>
        </w:rPr>
        <w:t xml:space="preserve"> В 4 от основните проучвания са ползвани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 xml:space="preserve"> </w:t>
      </w:r>
      <w:r w:rsidRPr="0034416A">
        <w:rPr>
          <w:rFonts w:eastAsia="Times New Roman" w:cs="Arial"/>
          <w:color w:val="000000"/>
          <w:lang w:val="en-US"/>
        </w:rPr>
        <w:t xml:space="preserve">10mg </w:t>
      </w:r>
      <w:r w:rsidRPr="0034416A">
        <w:rPr>
          <w:rFonts w:eastAsia="Times New Roman" w:cs="Arial"/>
          <w:color w:val="000000"/>
          <w:lang w:eastAsia="bg-BG"/>
        </w:rPr>
        <w:t xml:space="preserve">и плацебо. В 2 от 4-те проучвания е използван също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 xml:space="preserve"> 5 </w:t>
      </w:r>
      <w:r w:rsidRPr="0034416A">
        <w:rPr>
          <w:rFonts w:eastAsia="Times New Roman" w:cs="Arial"/>
          <w:color w:val="000000"/>
          <w:lang w:val="en-US"/>
        </w:rPr>
        <w:t xml:space="preserve">mg, </w:t>
      </w:r>
      <w:r w:rsidRPr="0034416A">
        <w:rPr>
          <w:rFonts w:eastAsia="Times New Roman" w:cs="Arial"/>
          <w:color w:val="000000"/>
          <w:lang w:eastAsia="bg-BG"/>
        </w:rPr>
        <w:t xml:space="preserve">а едно от проучванията се включва </w:t>
      </w:r>
      <w:proofErr w:type="spellStart"/>
      <w:r w:rsidRPr="0034416A">
        <w:rPr>
          <w:rFonts w:eastAsia="Times New Roman" w:cs="Arial"/>
          <w:color w:val="000000"/>
          <w:lang w:eastAsia="bg-BG"/>
        </w:rPr>
        <w:t>толтеродин</w:t>
      </w:r>
      <w:proofErr w:type="spellEnd"/>
      <w:r w:rsidRPr="0034416A">
        <w:rPr>
          <w:rFonts w:eastAsia="Times New Roman" w:cs="Arial"/>
          <w:color w:val="000000"/>
          <w:lang w:eastAsia="bg-BG"/>
        </w:rPr>
        <w:t xml:space="preserve"> 2 </w:t>
      </w:r>
      <w:r w:rsidRPr="0034416A">
        <w:rPr>
          <w:rFonts w:eastAsia="Times New Roman" w:cs="Arial"/>
          <w:color w:val="000000"/>
          <w:lang w:val="en-US"/>
        </w:rPr>
        <w:t xml:space="preserve">mg </w:t>
      </w:r>
      <w:r w:rsidRPr="0034416A">
        <w:rPr>
          <w:rFonts w:eastAsia="Times New Roman" w:cs="Arial"/>
          <w:color w:val="000000"/>
          <w:lang w:eastAsia="bg-BG"/>
        </w:rPr>
        <w:t>2 пъти дневно.</w:t>
      </w:r>
    </w:p>
    <w:p w14:paraId="212BB6B2" w14:textId="7E33EE6F" w:rsidR="009B3915" w:rsidRPr="009B3915" w:rsidRDefault="0034416A" w:rsidP="009B3915">
      <w:pPr>
        <w:spacing w:line="240" w:lineRule="auto"/>
        <w:rPr>
          <w:rFonts w:eastAsia="Times New Roman" w:cs="Arial"/>
          <w:lang w:val="en-US"/>
        </w:rPr>
      </w:pPr>
      <w:r w:rsidRPr="0034416A">
        <w:rPr>
          <w:rFonts w:eastAsia="Times New Roman" w:cs="Arial"/>
          <w:color w:val="000000"/>
          <w:lang w:eastAsia="bg-BG"/>
        </w:rPr>
        <w:t>Не всички показатели и групи за лечение са оценявани във всяко отделно проучване. Затова броят на пациентите може да се различава по отношение на показателите и групите за лечение. Р- стойността е за сравнение с плацебо</w:t>
      </w:r>
      <w:r>
        <w:rPr>
          <w:rFonts w:eastAsia="Times New Roman" w:cs="Arial"/>
          <w:color w:val="000000"/>
          <w:lang w:val="en-US" w:eastAsia="bg-BG"/>
        </w:rPr>
        <w:t>.</w:t>
      </w:r>
    </w:p>
    <w:p w14:paraId="66A8CB8A" w14:textId="77777777" w:rsidR="009B3915" w:rsidRPr="009B3915" w:rsidRDefault="009B3915" w:rsidP="009B3915"/>
    <w:p w14:paraId="26535098" w14:textId="294F1AA0" w:rsidR="00395555" w:rsidRDefault="002C50EE" w:rsidP="008A6AF2">
      <w:pPr>
        <w:pStyle w:val="2"/>
      </w:pPr>
      <w:r>
        <w:t xml:space="preserve">5.2. </w:t>
      </w:r>
      <w:proofErr w:type="spellStart"/>
      <w:r>
        <w:t>Фармакокинетични</w:t>
      </w:r>
      <w:proofErr w:type="spellEnd"/>
      <w:r>
        <w:t xml:space="preserve"> свойства</w:t>
      </w:r>
    </w:p>
    <w:p w14:paraId="5ABD412B" w14:textId="2979EEAE" w:rsidR="0034416A" w:rsidRDefault="0034416A" w:rsidP="0034416A"/>
    <w:p w14:paraId="2A5586AB" w14:textId="77777777" w:rsidR="0034416A" w:rsidRPr="0034416A" w:rsidRDefault="0034416A" w:rsidP="0034416A">
      <w:pPr>
        <w:spacing w:line="240" w:lineRule="auto"/>
        <w:rPr>
          <w:rFonts w:eastAsia="Times New Roman" w:cs="Arial"/>
        </w:rPr>
      </w:pPr>
      <w:r w:rsidRPr="0034416A">
        <w:rPr>
          <w:rFonts w:eastAsia="Times New Roman" w:cs="Arial"/>
          <w:b/>
          <w:bCs/>
          <w:color w:val="000000"/>
          <w:lang w:eastAsia="bg-BG"/>
        </w:rPr>
        <w:t>Обща характеристика</w:t>
      </w:r>
    </w:p>
    <w:p w14:paraId="2E1C106F" w14:textId="77777777" w:rsidR="0034416A" w:rsidRPr="00C757C3" w:rsidRDefault="0034416A" w:rsidP="00C757C3">
      <w:pPr>
        <w:pStyle w:val="3"/>
        <w:rPr>
          <w:rFonts w:eastAsia="Times New Roman"/>
          <w:b/>
          <w:bCs/>
          <w:i/>
          <w:iCs/>
        </w:rPr>
      </w:pPr>
      <w:r w:rsidRPr="00C757C3">
        <w:rPr>
          <w:rFonts w:eastAsia="Times New Roman"/>
          <w:b/>
          <w:bCs/>
          <w:i/>
          <w:iCs/>
          <w:lang w:eastAsia="bg-BG"/>
        </w:rPr>
        <w:t>Абсорбция</w:t>
      </w:r>
    </w:p>
    <w:p w14:paraId="05AF42A7" w14:textId="77777777" w:rsidR="0034416A" w:rsidRPr="0034416A" w:rsidRDefault="0034416A" w:rsidP="0034416A">
      <w:pPr>
        <w:spacing w:line="240" w:lineRule="auto"/>
        <w:rPr>
          <w:rFonts w:eastAsia="Times New Roman" w:cs="Arial"/>
        </w:rPr>
      </w:pPr>
      <w:r w:rsidRPr="0034416A">
        <w:rPr>
          <w:rFonts w:eastAsia="Times New Roman" w:cs="Arial"/>
          <w:color w:val="000000"/>
          <w:lang w:eastAsia="bg-BG"/>
        </w:rPr>
        <w:t xml:space="preserve">След прием на таблетки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 xml:space="preserve"> максималните плазмени концентрации на </w:t>
      </w:r>
      <w:proofErr w:type="spellStart"/>
      <w:r w:rsidRPr="0034416A">
        <w:rPr>
          <w:rFonts w:eastAsia="Times New Roman" w:cs="Arial"/>
          <w:color w:val="000000"/>
          <w:lang w:eastAsia="bg-BG"/>
        </w:rPr>
        <w:t>солифинацин</w:t>
      </w:r>
      <w:proofErr w:type="spellEnd"/>
      <w:r w:rsidRPr="0034416A">
        <w:rPr>
          <w:rFonts w:eastAsia="Times New Roman" w:cs="Arial"/>
          <w:color w:val="000000"/>
          <w:lang w:eastAsia="bg-BG"/>
        </w:rPr>
        <w:t xml:space="preserve"> (</w:t>
      </w:r>
      <w:proofErr w:type="spellStart"/>
      <w:r w:rsidRPr="0034416A">
        <w:rPr>
          <w:rFonts w:eastAsia="Times New Roman" w:cs="Arial"/>
          <w:color w:val="000000"/>
          <w:lang w:val="en-US"/>
        </w:rPr>
        <w:t>C</w:t>
      </w:r>
      <w:r w:rsidRPr="0034416A">
        <w:rPr>
          <w:rFonts w:eastAsia="Times New Roman" w:cs="Arial"/>
          <w:color w:val="000000"/>
          <w:vertAlign w:val="subscript"/>
          <w:lang w:val="en-US"/>
        </w:rPr>
        <w:t>max</w:t>
      </w:r>
      <w:proofErr w:type="spellEnd"/>
      <w:r w:rsidRPr="0034416A">
        <w:rPr>
          <w:rFonts w:eastAsia="Times New Roman" w:cs="Arial"/>
          <w:color w:val="000000"/>
          <w:lang w:eastAsia="bg-BG"/>
        </w:rPr>
        <w:t>)се достигат след 3 до 8 часа. Т</w:t>
      </w:r>
      <w:r w:rsidRPr="0034416A">
        <w:rPr>
          <w:rFonts w:eastAsia="Times New Roman" w:cs="Arial"/>
          <w:color w:val="000000"/>
          <w:vertAlign w:val="subscript"/>
          <w:lang w:val="en-US"/>
        </w:rPr>
        <w:t>max</w:t>
      </w:r>
      <w:r w:rsidRPr="0034416A">
        <w:rPr>
          <w:rFonts w:eastAsia="Times New Roman" w:cs="Arial"/>
          <w:color w:val="000000"/>
          <w:lang w:eastAsia="bg-BG"/>
        </w:rPr>
        <w:t xml:space="preserve"> не зависи от дозата. С</w:t>
      </w:r>
      <w:r w:rsidRPr="0034416A">
        <w:rPr>
          <w:rFonts w:eastAsia="Times New Roman" w:cs="Arial"/>
          <w:color w:val="000000"/>
          <w:vertAlign w:val="subscript"/>
          <w:lang w:val="en-US"/>
        </w:rPr>
        <w:t>max</w:t>
      </w:r>
      <w:r w:rsidRPr="0034416A">
        <w:rPr>
          <w:rFonts w:eastAsia="Times New Roman" w:cs="Arial"/>
          <w:color w:val="000000"/>
          <w:lang w:eastAsia="bg-BG"/>
        </w:rPr>
        <w:t xml:space="preserve"> и площта под кривата </w:t>
      </w:r>
      <w:r w:rsidRPr="0034416A">
        <w:rPr>
          <w:rFonts w:eastAsia="Times New Roman" w:cs="Arial"/>
          <w:color w:val="000000"/>
          <w:lang w:val="en-US"/>
        </w:rPr>
        <w:t xml:space="preserve">(AUC) </w:t>
      </w:r>
      <w:r w:rsidRPr="0034416A">
        <w:rPr>
          <w:rFonts w:eastAsia="Times New Roman" w:cs="Arial"/>
          <w:color w:val="000000"/>
          <w:lang w:eastAsia="bg-BG"/>
        </w:rPr>
        <w:t xml:space="preserve">нарастват пропорционално на дозата между 5 </w:t>
      </w:r>
      <w:r w:rsidRPr="0034416A">
        <w:rPr>
          <w:rFonts w:eastAsia="Times New Roman" w:cs="Arial"/>
          <w:color w:val="000000"/>
          <w:lang w:val="en-US"/>
        </w:rPr>
        <w:t xml:space="preserve">mg </w:t>
      </w:r>
      <w:r w:rsidRPr="0034416A">
        <w:rPr>
          <w:rFonts w:eastAsia="Times New Roman" w:cs="Arial"/>
          <w:color w:val="000000"/>
          <w:lang w:eastAsia="bg-BG"/>
        </w:rPr>
        <w:t xml:space="preserve">и 40 </w:t>
      </w:r>
      <w:r w:rsidRPr="0034416A">
        <w:rPr>
          <w:rFonts w:eastAsia="Times New Roman" w:cs="Arial"/>
          <w:color w:val="000000"/>
          <w:lang w:val="en-US"/>
        </w:rPr>
        <w:t xml:space="preserve">mg. </w:t>
      </w:r>
      <w:r w:rsidRPr="0034416A">
        <w:rPr>
          <w:rFonts w:eastAsia="Times New Roman" w:cs="Arial"/>
          <w:color w:val="000000"/>
          <w:lang w:eastAsia="bg-BG"/>
        </w:rPr>
        <w:t>Абсолютната бионаличност е около 90%. Приемът на храна не променя С</w:t>
      </w:r>
      <w:r w:rsidRPr="0034416A">
        <w:rPr>
          <w:rFonts w:eastAsia="Times New Roman" w:cs="Arial"/>
          <w:color w:val="000000"/>
          <w:vertAlign w:val="subscript"/>
          <w:lang w:val="en-US"/>
        </w:rPr>
        <w:t>max</w:t>
      </w:r>
      <w:r w:rsidRPr="0034416A">
        <w:rPr>
          <w:rFonts w:eastAsia="Times New Roman" w:cs="Arial"/>
          <w:color w:val="000000"/>
          <w:lang w:eastAsia="bg-BG"/>
        </w:rPr>
        <w:t xml:space="preserve"> и </w:t>
      </w:r>
      <w:r w:rsidRPr="0034416A">
        <w:rPr>
          <w:rFonts w:eastAsia="Times New Roman" w:cs="Arial"/>
          <w:color w:val="000000"/>
          <w:lang w:val="en-US"/>
        </w:rPr>
        <w:t xml:space="preserve">AUC </w:t>
      </w:r>
      <w:r w:rsidRPr="0034416A">
        <w:rPr>
          <w:rFonts w:eastAsia="Times New Roman" w:cs="Arial"/>
          <w:color w:val="000000"/>
          <w:lang w:eastAsia="bg-BG"/>
        </w:rPr>
        <w:t xml:space="preserve">на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w:t>
      </w:r>
    </w:p>
    <w:p w14:paraId="0420AB71" w14:textId="77777777" w:rsidR="0034416A" w:rsidRPr="0034416A" w:rsidRDefault="0034416A" w:rsidP="0034416A">
      <w:pPr>
        <w:spacing w:line="240" w:lineRule="auto"/>
        <w:rPr>
          <w:rFonts w:eastAsia="Times New Roman" w:cs="Arial"/>
          <w:b/>
          <w:bCs/>
          <w:i/>
          <w:iCs/>
          <w:color w:val="000000"/>
          <w:lang w:eastAsia="bg-BG"/>
        </w:rPr>
      </w:pPr>
    </w:p>
    <w:p w14:paraId="2F9CA95B" w14:textId="79F34165" w:rsidR="0034416A" w:rsidRPr="00C757C3" w:rsidRDefault="0034416A" w:rsidP="00C757C3">
      <w:pPr>
        <w:pStyle w:val="3"/>
        <w:rPr>
          <w:rFonts w:eastAsia="Times New Roman"/>
          <w:b/>
          <w:bCs/>
          <w:i/>
          <w:iCs/>
        </w:rPr>
      </w:pPr>
      <w:r w:rsidRPr="00C757C3">
        <w:rPr>
          <w:rFonts w:eastAsia="Times New Roman"/>
          <w:b/>
          <w:bCs/>
          <w:i/>
          <w:iCs/>
          <w:lang w:eastAsia="bg-BG"/>
        </w:rPr>
        <w:t>Разпределение</w:t>
      </w:r>
    </w:p>
    <w:p w14:paraId="2819D3BD" w14:textId="77777777" w:rsidR="0034416A" w:rsidRPr="0034416A" w:rsidRDefault="0034416A" w:rsidP="0034416A">
      <w:pPr>
        <w:spacing w:line="240" w:lineRule="auto"/>
        <w:rPr>
          <w:rFonts w:eastAsia="Times New Roman" w:cs="Arial"/>
        </w:rPr>
      </w:pPr>
      <w:r w:rsidRPr="0034416A">
        <w:rPr>
          <w:rFonts w:eastAsia="Times New Roman" w:cs="Arial"/>
          <w:color w:val="000000"/>
          <w:lang w:eastAsia="bg-BG"/>
        </w:rPr>
        <w:t xml:space="preserve">Привидният обем на разпределение на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 xml:space="preserve"> след интравенозно приложение е около 600 </w:t>
      </w:r>
      <w:r w:rsidRPr="0034416A">
        <w:rPr>
          <w:rFonts w:eastAsia="Times New Roman" w:cs="Arial"/>
          <w:color w:val="000000"/>
          <w:lang w:val="en-US"/>
        </w:rPr>
        <w:t xml:space="preserve">L. </w:t>
      </w:r>
      <w:r w:rsidRPr="0034416A">
        <w:rPr>
          <w:rFonts w:eastAsia="Times New Roman" w:cs="Arial"/>
          <w:color w:val="000000"/>
          <w:lang w:eastAsia="bg-BG"/>
        </w:rPr>
        <w:t>Той до голяма степен ( приблизително 98%) е свързан с плазмените протеини, предимно</w:t>
      </w:r>
    </w:p>
    <w:p w14:paraId="01DCBEAC" w14:textId="77777777" w:rsidR="0034416A" w:rsidRPr="0034416A" w:rsidRDefault="0034416A" w:rsidP="0034416A">
      <w:pPr>
        <w:spacing w:line="240" w:lineRule="auto"/>
        <w:rPr>
          <w:rFonts w:eastAsia="Times New Roman" w:cs="Arial"/>
        </w:rPr>
      </w:pPr>
      <w:r w:rsidRPr="0034416A">
        <w:rPr>
          <w:rFonts w:eastAsia="Times New Roman" w:cs="Arial"/>
          <w:color w:val="000000"/>
          <w:lang w:val="en-US"/>
        </w:rPr>
        <w:t>α</w:t>
      </w:r>
      <w:r w:rsidRPr="0034416A">
        <w:rPr>
          <w:rFonts w:eastAsia="Times New Roman" w:cs="Arial"/>
          <w:color w:val="000000"/>
          <w:vertAlign w:val="subscript"/>
          <w:lang w:val="en-US"/>
        </w:rPr>
        <w:t>1</w:t>
      </w:r>
      <w:r w:rsidRPr="0034416A">
        <w:rPr>
          <w:rFonts w:eastAsia="Times New Roman" w:cs="Arial"/>
          <w:color w:val="000000"/>
          <w:lang w:eastAsia="bg-BG"/>
        </w:rPr>
        <w:t xml:space="preserve">-кисел </w:t>
      </w:r>
      <w:proofErr w:type="spellStart"/>
      <w:r w:rsidRPr="0034416A">
        <w:rPr>
          <w:rFonts w:eastAsia="Times New Roman" w:cs="Arial"/>
          <w:color w:val="000000"/>
          <w:lang w:eastAsia="bg-BG"/>
        </w:rPr>
        <w:t>гликопротеин</w:t>
      </w:r>
      <w:proofErr w:type="spellEnd"/>
      <w:r w:rsidRPr="0034416A">
        <w:rPr>
          <w:rFonts w:eastAsia="Times New Roman" w:cs="Arial"/>
          <w:color w:val="000000"/>
          <w:lang w:eastAsia="bg-BG"/>
        </w:rPr>
        <w:t>.</w:t>
      </w:r>
    </w:p>
    <w:p w14:paraId="14B835C3" w14:textId="77777777" w:rsidR="0034416A" w:rsidRPr="0034416A" w:rsidRDefault="0034416A" w:rsidP="0034416A">
      <w:pPr>
        <w:spacing w:line="240" w:lineRule="auto"/>
        <w:rPr>
          <w:rFonts w:eastAsia="Times New Roman" w:cs="Arial"/>
          <w:b/>
          <w:bCs/>
          <w:i/>
          <w:iCs/>
          <w:color w:val="000000"/>
          <w:lang w:eastAsia="bg-BG"/>
        </w:rPr>
      </w:pPr>
    </w:p>
    <w:p w14:paraId="0C8B8B21" w14:textId="7F7DB5E6" w:rsidR="0034416A" w:rsidRPr="00C757C3" w:rsidRDefault="0034416A" w:rsidP="00C757C3">
      <w:pPr>
        <w:pStyle w:val="3"/>
        <w:rPr>
          <w:rFonts w:eastAsia="Times New Roman"/>
          <w:b/>
          <w:bCs/>
          <w:i/>
          <w:iCs/>
        </w:rPr>
      </w:pPr>
      <w:r w:rsidRPr="00C757C3">
        <w:rPr>
          <w:rFonts w:eastAsia="Times New Roman"/>
          <w:b/>
          <w:bCs/>
          <w:i/>
          <w:iCs/>
          <w:lang w:eastAsia="bg-BG"/>
        </w:rPr>
        <w:t>Биотрансформация</w:t>
      </w:r>
    </w:p>
    <w:p w14:paraId="60651EC5" w14:textId="77777777" w:rsidR="0034416A" w:rsidRPr="0034416A" w:rsidRDefault="0034416A" w:rsidP="0034416A">
      <w:pPr>
        <w:spacing w:line="240" w:lineRule="auto"/>
        <w:rPr>
          <w:rFonts w:eastAsia="Times New Roman" w:cs="Arial"/>
        </w:rPr>
      </w:pP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 xml:space="preserve"> се </w:t>
      </w:r>
      <w:proofErr w:type="spellStart"/>
      <w:r w:rsidRPr="0034416A">
        <w:rPr>
          <w:rFonts w:eastAsia="Times New Roman" w:cs="Arial"/>
          <w:color w:val="000000"/>
          <w:lang w:eastAsia="bg-BG"/>
        </w:rPr>
        <w:t>метаболизира</w:t>
      </w:r>
      <w:proofErr w:type="spellEnd"/>
      <w:r w:rsidRPr="0034416A">
        <w:rPr>
          <w:rFonts w:eastAsia="Times New Roman" w:cs="Arial"/>
          <w:color w:val="000000"/>
          <w:lang w:eastAsia="bg-BG"/>
        </w:rPr>
        <w:t xml:space="preserve"> основно в черния дроб, главно чрез </w:t>
      </w:r>
      <w:proofErr w:type="spellStart"/>
      <w:r w:rsidRPr="0034416A">
        <w:rPr>
          <w:rFonts w:eastAsia="Times New Roman" w:cs="Arial"/>
          <w:color w:val="000000"/>
          <w:lang w:eastAsia="bg-BG"/>
        </w:rPr>
        <w:t>цитохром</w:t>
      </w:r>
      <w:proofErr w:type="spellEnd"/>
      <w:r w:rsidRPr="0034416A">
        <w:rPr>
          <w:rFonts w:eastAsia="Times New Roman" w:cs="Arial"/>
          <w:color w:val="000000"/>
          <w:lang w:eastAsia="bg-BG"/>
        </w:rPr>
        <w:t xml:space="preserve"> Р4503А4. Освен това съществуват и алтернативни пътища на метаболизъм, които допринасят за </w:t>
      </w:r>
      <w:proofErr w:type="spellStart"/>
      <w:r w:rsidRPr="0034416A">
        <w:rPr>
          <w:rFonts w:eastAsia="Times New Roman" w:cs="Arial"/>
          <w:color w:val="000000"/>
          <w:lang w:eastAsia="bg-BG"/>
        </w:rPr>
        <w:t>метаболизирането</w:t>
      </w:r>
      <w:proofErr w:type="spellEnd"/>
      <w:r w:rsidRPr="0034416A">
        <w:rPr>
          <w:rFonts w:eastAsia="Times New Roman" w:cs="Arial"/>
          <w:color w:val="000000"/>
          <w:lang w:eastAsia="bg-BG"/>
        </w:rPr>
        <w:t xml:space="preserve"> му. Системният му клирънс е около 9,5 </w:t>
      </w:r>
      <w:r w:rsidRPr="0034416A">
        <w:rPr>
          <w:rFonts w:eastAsia="Times New Roman" w:cs="Arial"/>
          <w:color w:val="000000"/>
          <w:lang w:val="en-US"/>
        </w:rPr>
        <w:t xml:space="preserve">1/h </w:t>
      </w:r>
      <w:r w:rsidRPr="0034416A">
        <w:rPr>
          <w:rFonts w:eastAsia="Times New Roman" w:cs="Arial"/>
          <w:color w:val="000000"/>
          <w:lang w:eastAsia="bg-BG"/>
        </w:rPr>
        <w:t>и времето на полуживот е 45-68</w:t>
      </w:r>
    </w:p>
    <w:p w14:paraId="65FB692C" w14:textId="77777777" w:rsidR="0034416A" w:rsidRPr="0034416A" w:rsidRDefault="0034416A" w:rsidP="0034416A">
      <w:pPr>
        <w:rPr>
          <w:rFonts w:eastAsia="Times New Roman" w:cs="Arial"/>
        </w:rPr>
      </w:pPr>
      <w:r w:rsidRPr="0034416A">
        <w:rPr>
          <w:rFonts w:eastAsia="Times New Roman" w:cs="Arial"/>
          <w:color w:val="000000"/>
          <w:lang w:eastAsia="bg-BG"/>
        </w:rPr>
        <w:t>часа. След перорален прием в плазмата са идентифицирани един фармакологично активен (</w:t>
      </w:r>
      <w:r w:rsidRPr="0034416A">
        <w:rPr>
          <w:rFonts w:eastAsia="Times New Roman" w:cs="Arial"/>
          <w:color w:val="000000"/>
          <w:lang w:val="en-US"/>
        </w:rPr>
        <w:t>AR-</w:t>
      </w:r>
      <w:proofErr w:type="spellStart"/>
      <w:r w:rsidRPr="0034416A">
        <w:rPr>
          <w:rFonts w:eastAsia="Times New Roman" w:cs="Arial"/>
          <w:color w:val="000000"/>
          <w:lang w:eastAsia="bg-BG"/>
        </w:rPr>
        <w:t>хидрокси</w:t>
      </w:r>
      <w:proofErr w:type="spellEnd"/>
      <w:r w:rsidRPr="0034416A">
        <w:rPr>
          <w:rFonts w:eastAsia="Times New Roman" w:cs="Arial"/>
          <w:color w:val="000000"/>
          <w:lang w:eastAsia="bg-BG"/>
        </w:rPr>
        <w:t xml:space="preserve">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 xml:space="preserve">) и 3 неактивни метаболита </w:t>
      </w:r>
      <w:r w:rsidRPr="0034416A">
        <w:rPr>
          <w:rFonts w:eastAsia="Times New Roman" w:cs="Arial"/>
          <w:color w:val="000000"/>
          <w:lang w:val="en-US"/>
        </w:rPr>
        <w:t>(N</w:t>
      </w:r>
      <w:r w:rsidRPr="0034416A">
        <w:rPr>
          <w:rFonts w:eastAsia="Times New Roman" w:cs="Arial"/>
          <w:color w:val="000000"/>
          <w:lang w:eastAsia="bg-BG"/>
        </w:rPr>
        <w:t>-</w:t>
      </w:r>
      <w:proofErr w:type="spellStart"/>
      <w:r w:rsidRPr="0034416A">
        <w:rPr>
          <w:rFonts w:eastAsia="Times New Roman" w:cs="Arial"/>
          <w:color w:val="000000"/>
          <w:lang w:eastAsia="bg-BG"/>
        </w:rPr>
        <w:t>глюкоронид</w:t>
      </w:r>
      <w:proofErr w:type="spellEnd"/>
      <w:r w:rsidRPr="0034416A">
        <w:rPr>
          <w:rFonts w:eastAsia="Times New Roman" w:cs="Arial"/>
          <w:color w:val="000000"/>
          <w:lang w:eastAsia="bg-BG"/>
        </w:rPr>
        <w:t xml:space="preserve">, </w:t>
      </w:r>
      <w:r w:rsidRPr="0034416A">
        <w:rPr>
          <w:rFonts w:eastAsia="Times New Roman" w:cs="Arial"/>
          <w:color w:val="000000"/>
          <w:lang w:val="en-US"/>
        </w:rPr>
        <w:t xml:space="preserve">N </w:t>
      </w:r>
      <w:r w:rsidRPr="0034416A">
        <w:rPr>
          <w:rFonts w:eastAsia="Times New Roman" w:cs="Arial"/>
          <w:color w:val="000000"/>
          <w:lang w:eastAsia="bg-BG"/>
        </w:rPr>
        <w:t>-оксид и 4</w:t>
      </w:r>
      <w:r w:rsidRPr="0034416A">
        <w:rPr>
          <w:rFonts w:eastAsia="Times New Roman" w:cs="Arial"/>
          <w:color w:val="000000"/>
          <w:lang w:val="en-US"/>
        </w:rPr>
        <w:t>R</w:t>
      </w:r>
      <w:r w:rsidRPr="0034416A">
        <w:rPr>
          <w:rFonts w:eastAsia="Times New Roman" w:cs="Arial"/>
          <w:color w:val="000000"/>
          <w:lang w:eastAsia="bg-BG"/>
        </w:rPr>
        <w:t>-</w:t>
      </w:r>
      <w:proofErr w:type="spellStart"/>
      <w:r w:rsidRPr="0034416A">
        <w:rPr>
          <w:rFonts w:eastAsia="Times New Roman" w:cs="Arial"/>
          <w:color w:val="000000"/>
          <w:lang w:eastAsia="bg-BG"/>
        </w:rPr>
        <w:t>хидрокси</w:t>
      </w:r>
      <w:proofErr w:type="spellEnd"/>
      <w:r w:rsidRPr="0034416A">
        <w:rPr>
          <w:rFonts w:eastAsia="Times New Roman" w:cs="Arial"/>
          <w:color w:val="000000"/>
          <w:lang w:eastAsia="bg-BG"/>
        </w:rPr>
        <w:t xml:space="preserve">- </w:t>
      </w:r>
      <w:r w:rsidRPr="0034416A">
        <w:rPr>
          <w:rFonts w:eastAsia="Times New Roman" w:cs="Arial"/>
          <w:color w:val="000000"/>
          <w:lang w:val="en-US"/>
        </w:rPr>
        <w:t xml:space="preserve">N- </w:t>
      </w:r>
      <w:r w:rsidRPr="0034416A">
        <w:rPr>
          <w:rFonts w:eastAsia="Times New Roman" w:cs="Arial"/>
          <w:color w:val="000000"/>
          <w:lang w:eastAsia="bg-BG"/>
        </w:rPr>
        <w:t xml:space="preserve">оксид на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 xml:space="preserve">) в допълнение към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w:t>
      </w:r>
    </w:p>
    <w:p w14:paraId="7A4EA1D0" w14:textId="77777777" w:rsidR="0034416A" w:rsidRDefault="0034416A" w:rsidP="0034416A">
      <w:pPr>
        <w:spacing w:line="240" w:lineRule="auto"/>
        <w:rPr>
          <w:rFonts w:eastAsia="Times New Roman" w:cs="Arial"/>
          <w:b/>
          <w:bCs/>
          <w:i/>
          <w:iCs/>
          <w:color w:val="000000"/>
          <w:lang w:eastAsia="bg-BG"/>
        </w:rPr>
      </w:pPr>
    </w:p>
    <w:p w14:paraId="78FEAFEC" w14:textId="513F0925" w:rsidR="0034416A" w:rsidRPr="00C757C3" w:rsidRDefault="0034416A" w:rsidP="00C757C3">
      <w:pPr>
        <w:pStyle w:val="3"/>
        <w:rPr>
          <w:rFonts w:eastAsia="Times New Roman"/>
          <w:b/>
          <w:bCs/>
          <w:i/>
          <w:iCs/>
        </w:rPr>
      </w:pPr>
      <w:r w:rsidRPr="00C757C3">
        <w:rPr>
          <w:rFonts w:eastAsia="Times New Roman"/>
          <w:b/>
          <w:bCs/>
          <w:i/>
          <w:iCs/>
          <w:lang w:eastAsia="bg-BG"/>
        </w:rPr>
        <w:t>Елиминиране</w:t>
      </w:r>
    </w:p>
    <w:p w14:paraId="5DAFE300" w14:textId="77777777" w:rsidR="0034416A" w:rsidRPr="0034416A" w:rsidRDefault="0034416A" w:rsidP="0034416A">
      <w:pPr>
        <w:spacing w:line="240" w:lineRule="auto"/>
        <w:rPr>
          <w:rFonts w:eastAsia="Times New Roman" w:cs="Arial"/>
        </w:rPr>
      </w:pPr>
      <w:r w:rsidRPr="0034416A">
        <w:rPr>
          <w:rFonts w:eastAsia="Times New Roman" w:cs="Arial"/>
          <w:color w:val="000000"/>
          <w:lang w:eastAsia="bg-BG"/>
        </w:rPr>
        <w:t xml:space="preserve">След единично прилагане на 10 </w:t>
      </w:r>
      <w:r w:rsidRPr="0034416A">
        <w:rPr>
          <w:rFonts w:eastAsia="Times New Roman" w:cs="Arial"/>
          <w:color w:val="000000"/>
          <w:lang w:val="en-US"/>
        </w:rPr>
        <w:t xml:space="preserve">mg </w:t>
      </w:r>
      <w:r w:rsidRPr="0034416A">
        <w:rPr>
          <w:rFonts w:eastAsia="Times New Roman" w:cs="Arial"/>
          <w:color w:val="000000"/>
          <w:lang w:eastAsia="bg-BG"/>
        </w:rPr>
        <w:t>(белязан с С</w:t>
      </w:r>
      <w:r w:rsidRPr="0034416A">
        <w:rPr>
          <w:rFonts w:eastAsia="Times New Roman" w:cs="Arial"/>
          <w:color w:val="000000"/>
          <w:vertAlign w:val="subscript"/>
          <w:lang w:eastAsia="bg-BG"/>
        </w:rPr>
        <w:t>14</w:t>
      </w:r>
      <w:r w:rsidRPr="0034416A">
        <w:rPr>
          <w:rFonts w:eastAsia="Times New Roman" w:cs="Arial"/>
          <w:color w:val="000000"/>
          <w:lang w:eastAsia="bg-BG"/>
        </w:rPr>
        <w:t xml:space="preserve">)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 xml:space="preserve"> около 70% от радиоактивността се наблюдава в урината, а 23% във </w:t>
      </w:r>
      <w:proofErr w:type="spellStart"/>
      <w:r w:rsidRPr="0034416A">
        <w:rPr>
          <w:rFonts w:eastAsia="Times New Roman" w:cs="Arial"/>
          <w:color w:val="000000"/>
          <w:lang w:eastAsia="bg-BG"/>
        </w:rPr>
        <w:t>фекалите</w:t>
      </w:r>
      <w:proofErr w:type="spellEnd"/>
      <w:r w:rsidRPr="0034416A">
        <w:rPr>
          <w:rFonts w:eastAsia="Times New Roman" w:cs="Arial"/>
          <w:color w:val="000000"/>
          <w:lang w:eastAsia="bg-BG"/>
        </w:rPr>
        <w:t xml:space="preserve"> след 26 дни. В урината около 11% от радиоактивността се открива като непроменено активно вещество; около! 8% като </w:t>
      </w:r>
      <w:r w:rsidRPr="0034416A">
        <w:rPr>
          <w:rFonts w:eastAsia="Times New Roman" w:cs="Arial"/>
          <w:color w:val="000000"/>
          <w:lang w:val="en-US"/>
        </w:rPr>
        <w:t xml:space="preserve">N- </w:t>
      </w:r>
      <w:r w:rsidRPr="0034416A">
        <w:rPr>
          <w:rFonts w:eastAsia="Times New Roman" w:cs="Arial"/>
          <w:color w:val="000000"/>
          <w:lang w:eastAsia="bg-BG"/>
        </w:rPr>
        <w:t>оксид метаболит, 9% като 4</w:t>
      </w:r>
      <w:r w:rsidRPr="0034416A">
        <w:rPr>
          <w:rFonts w:eastAsia="Times New Roman" w:cs="Arial"/>
          <w:color w:val="000000"/>
          <w:lang w:val="en-US"/>
        </w:rPr>
        <w:t>R</w:t>
      </w:r>
      <w:r w:rsidRPr="0034416A">
        <w:rPr>
          <w:rFonts w:eastAsia="Times New Roman" w:cs="Arial"/>
          <w:color w:val="000000"/>
          <w:lang w:eastAsia="bg-BG"/>
        </w:rPr>
        <w:t>-</w:t>
      </w:r>
      <w:proofErr w:type="spellStart"/>
      <w:r w:rsidRPr="0034416A">
        <w:rPr>
          <w:rFonts w:eastAsia="Times New Roman" w:cs="Arial"/>
          <w:color w:val="000000"/>
          <w:lang w:eastAsia="bg-BG"/>
        </w:rPr>
        <w:t>хидрокси</w:t>
      </w:r>
      <w:proofErr w:type="spellEnd"/>
      <w:r w:rsidRPr="0034416A">
        <w:rPr>
          <w:rFonts w:eastAsia="Times New Roman" w:cs="Arial"/>
          <w:color w:val="000000"/>
          <w:lang w:eastAsia="bg-BG"/>
        </w:rPr>
        <w:t xml:space="preserve">- </w:t>
      </w:r>
      <w:r w:rsidRPr="0034416A">
        <w:rPr>
          <w:rFonts w:eastAsia="Times New Roman" w:cs="Arial"/>
          <w:color w:val="000000"/>
          <w:lang w:val="en-US"/>
        </w:rPr>
        <w:t xml:space="preserve">N </w:t>
      </w:r>
      <w:r w:rsidRPr="0034416A">
        <w:rPr>
          <w:rFonts w:eastAsia="Times New Roman" w:cs="Arial"/>
          <w:color w:val="000000"/>
          <w:lang w:eastAsia="bg-BG"/>
        </w:rPr>
        <w:t xml:space="preserve">-оксид метаболит и 8% като </w:t>
      </w:r>
      <w:r w:rsidRPr="0034416A">
        <w:rPr>
          <w:rFonts w:eastAsia="Times New Roman" w:cs="Arial"/>
          <w:color w:val="000000"/>
          <w:lang w:val="en-US"/>
        </w:rPr>
        <w:t xml:space="preserve">4R </w:t>
      </w:r>
      <w:r w:rsidRPr="0034416A">
        <w:rPr>
          <w:rFonts w:eastAsia="Times New Roman" w:cs="Arial"/>
          <w:color w:val="000000"/>
          <w:lang w:eastAsia="bg-BG"/>
        </w:rPr>
        <w:t>-</w:t>
      </w:r>
      <w:proofErr w:type="spellStart"/>
      <w:r w:rsidRPr="0034416A">
        <w:rPr>
          <w:rFonts w:eastAsia="Times New Roman" w:cs="Arial"/>
          <w:color w:val="000000"/>
          <w:lang w:eastAsia="bg-BG"/>
        </w:rPr>
        <w:t>хидрокси</w:t>
      </w:r>
      <w:proofErr w:type="spellEnd"/>
      <w:r w:rsidRPr="0034416A">
        <w:rPr>
          <w:rFonts w:eastAsia="Times New Roman" w:cs="Arial"/>
          <w:color w:val="000000"/>
          <w:lang w:eastAsia="bg-BG"/>
        </w:rPr>
        <w:t xml:space="preserve"> метаболит(активен метаболит).</w:t>
      </w:r>
    </w:p>
    <w:p w14:paraId="3B65220F" w14:textId="77777777" w:rsidR="0034416A" w:rsidRDefault="0034416A" w:rsidP="0034416A">
      <w:pPr>
        <w:spacing w:line="240" w:lineRule="auto"/>
        <w:rPr>
          <w:rFonts w:eastAsia="Times New Roman" w:cs="Arial"/>
          <w:b/>
          <w:bCs/>
          <w:i/>
          <w:iCs/>
          <w:color w:val="000000"/>
          <w:lang w:eastAsia="bg-BG"/>
        </w:rPr>
      </w:pPr>
    </w:p>
    <w:p w14:paraId="3FA450FD" w14:textId="35A2A372" w:rsidR="0034416A" w:rsidRPr="0034416A" w:rsidRDefault="0034416A" w:rsidP="0034416A">
      <w:pPr>
        <w:spacing w:line="240" w:lineRule="auto"/>
        <w:rPr>
          <w:rFonts w:eastAsia="Times New Roman" w:cs="Arial"/>
        </w:rPr>
      </w:pPr>
      <w:r w:rsidRPr="0034416A">
        <w:rPr>
          <w:rFonts w:eastAsia="Times New Roman" w:cs="Arial"/>
          <w:b/>
          <w:bCs/>
          <w:i/>
          <w:iCs/>
          <w:color w:val="000000"/>
          <w:lang w:eastAsia="bg-BG"/>
        </w:rPr>
        <w:t>Линейност/нелинейност</w:t>
      </w:r>
    </w:p>
    <w:p w14:paraId="1DC3D985" w14:textId="77777777" w:rsidR="0034416A" w:rsidRPr="0034416A" w:rsidRDefault="0034416A" w:rsidP="0034416A">
      <w:pPr>
        <w:spacing w:line="240" w:lineRule="auto"/>
        <w:rPr>
          <w:rFonts w:eastAsia="Times New Roman" w:cs="Arial"/>
        </w:rPr>
      </w:pPr>
      <w:r w:rsidRPr="0034416A">
        <w:rPr>
          <w:rFonts w:eastAsia="Times New Roman" w:cs="Arial"/>
          <w:color w:val="000000"/>
          <w:lang w:eastAsia="bg-BG"/>
        </w:rPr>
        <w:t>Фармакокинетиката е линейна в терапевтичния диапазон на дозата.</w:t>
      </w:r>
    </w:p>
    <w:p w14:paraId="55956908" w14:textId="77777777" w:rsidR="0034416A" w:rsidRDefault="0034416A" w:rsidP="0034416A">
      <w:pPr>
        <w:spacing w:line="240" w:lineRule="auto"/>
        <w:rPr>
          <w:rFonts w:eastAsia="Times New Roman" w:cs="Arial"/>
          <w:b/>
          <w:bCs/>
          <w:i/>
          <w:iCs/>
          <w:color w:val="000000"/>
          <w:lang w:eastAsia="bg-BG"/>
        </w:rPr>
      </w:pPr>
    </w:p>
    <w:p w14:paraId="7D7C9476" w14:textId="31D86487" w:rsidR="0034416A" w:rsidRPr="0034416A" w:rsidRDefault="0034416A" w:rsidP="0034416A">
      <w:pPr>
        <w:spacing w:line="240" w:lineRule="auto"/>
        <w:rPr>
          <w:rFonts w:eastAsia="Times New Roman" w:cs="Arial"/>
        </w:rPr>
      </w:pPr>
      <w:r w:rsidRPr="0034416A">
        <w:rPr>
          <w:rFonts w:eastAsia="Times New Roman" w:cs="Arial"/>
          <w:b/>
          <w:bCs/>
          <w:i/>
          <w:iCs/>
          <w:color w:val="000000"/>
          <w:lang w:eastAsia="bg-BG"/>
        </w:rPr>
        <w:t>Други специални популации</w:t>
      </w:r>
    </w:p>
    <w:p w14:paraId="2F586835" w14:textId="77777777" w:rsidR="0034416A" w:rsidRPr="0034416A" w:rsidRDefault="0034416A" w:rsidP="0034416A">
      <w:pPr>
        <w:spacing w:line="240" w:lineRule="auto"/>
        <w:rPr>
          <w:rFonts w:eastAsia="Times New Roman" w:cs="Arial"/>
        </w:rPr>
      </w:pPr>
      <w:r w:rsidRPr="0034416A">
        <w:rPr>
          <w:rFonts w:eastAsia="Times New Roman" w:cs="Arial"/>
          <w:i/>
          <w:iCs/>
          <w:color w:val="000000"/>
          <w:lang w:eastAsia="bg-BG"/>
        </w:rPr>
        <w:t>Напреднала възраст</w:t>
      </w:r>
    </w:p>
    <w:p w14:paraId="6DA27E1C" w14:textId="77777777" w:rsidR="0034416A" w:rsidRPr="0034416A" w:rsidRDefault="0034416A" w:rsidP="0034416A">
      <w:pPr>
        <w:spacing w:line="240" w:lineRule="auto"/>
        <w:rPr>
          <w:rFonts w:eastAsia="Times New Roman" w:cs="Arial"/>
        </w:rPr>
      </w:pPr>
      <w:r w:rsidRPr="0034416A">
        <w:rPr>
          <w:rFonts w:eastAsia="Times New Roman" w:cs="Arial"/>
          <w:color w:val="000000"/>
          <w:lang w:eastAsia="bg-BG"/>
        </w:rPr>
        <w:t xml:space="preserve">Не се налага адаптиране на дозата в зависимост от възрастта. Изпитванията при пациенти в напреднала възраст показва, че наличието на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 xml:space="preserve">, изразено чрез </w:t>
      </w:r>
      <w:r w:rsidRPr="0034416A">
        <w:rPr>
          <w:rFonts w:eastAsia="Times New Roman" w:cs="Arial"/>
          <w:color w:val="000000"/>
          <w:lang w:val="en-US"/>
        </w:rPr>
        <w:t xml:space="preserve">AUC </w:t>
      </w:r>
      <w:r w:rsidRPr="0034416A">
        <w:rPr>
          <w:rFonts w:eastAsia="Times New Roman" w:cs="Arial"/>
          <w:color w:val="000000"/>
          <w:lang w:eastAsia="bg-BG"/>
        </w:rPr>
        <w:t xml:space="preserve">след прилагане на </w:t>
      </w:r>
      <w:proofErr w:type="spellStart"/>
      <w:r w:rsidRPr="0034416A">
        <w:rPr>
          <w:rFonts w:eastAsia="Times New Roman" w:cs="Arial"/>
          <w:color w:val="000000"/>
          <w:lang w:eastAsia="bg-BG"/>
        </w:rPr>
        <w:t>солифенацинов</w:t>
      </w:r>
      <w:proofErr w:type="spellEnd"/>
      <w:r w:rsidRPr="0034416A">
        <w:rPr>
          <w:rFonts w:eastAsia="Times New Roman" w:cs="Arial"/>
          <w:color w:val="000000"/>
          <w:lang w:eastAsia="bg-BG"/>
        </w:rPr>
        <w:t xml:space="preserve"> </w:t>
      </w:r>
      <w:proofErr w:type="spellStart"/>
      <w:r w:rsidRPr="0034416A">
        <w:rPr>
          <w:rFonts w:eastAsia="Times New Roman" w:cs="Arial"/>
          <w:color w:val="000000"/>
          <w:lang w:eastAsia="bg-BG"/>
        </w:rPr>
        <w:t>сукцинат</w:t>
      </w:r>
      <w:proofErr w:type="spellEnd"/>
      <w:r w:rsidRPr="0034416A">
        <w:rPr>
          <w:rFonts w:eastAsia="Times New Roman" w:cs="Arial"/>
          <w:color w:val="000000"/>
          <w:lang w:eastAsia="bg-BG"/>
        </w:rPr>
        <w:t xml:space="preserve"> (5 и 10 </w:t>
      </w:r>
      <w:r w:rsidRPr="0034416A">
        <w:rPr>
          <w:rFonts w:eastAsia="Times New Roman" w:cs="Arial"/>
          <w:color w:val="000000"/>
          <w:lang w:val="en-US"/>
        </w:rPr>
        <w:t xml:space="preserve">mg </w:t>
      </w:r>
      <w:r w:rsidRPr="0034416A">
        <w:rPr>
          <w:rFonts w:eastAsia="Times New Roman" w:cs="Arial"/>
          <w:color w:val="000000"/>
          <w:lang w:eastAsia="bg-BG"/>
        </w:rPr>
        <w:t xml:space="preserve">дневно), е подобна при здрави пациенти в напреднала възраст (65 до 80години) и при здрави по- млади индивиди (под 55 години). Средната скорост на резорбция, изразена в </w:t>
      </w:r>
      <w:proofErr w:type="spellStart"/>
      <w:r w:rsidRPr="0034416A">
        <w:rPr>
          <w:rFonts w:eastAsia="Times New Roman" w:cs="Arial"/>
          <w:color w:val="000000"/>
          <w:lang w:val="en-US"/>
        </w:rPr>
        <w:t>t</w:t>
      </w:r>
      <w:r w:rsidRPr="0034416A">
        <w:rPr>
          <w:rFonts w:eastAsia="Times New Roman" w:cs="Arial"/>
          <w:color w:val="000000"/>
          <w:vertAlign w:val="subscript"/>
          <w:lang w:val="en-US"/>
        </w:rPr>
        <w:t>max</w:t>
      </w:r>
      <w:proofErr w:type="spellEnd"/>
      <w:r w:rsidRPr="0034416A">
        <w:rPr>
          <w:rFonts w:eastAsia="Times New Roman" w:cs="Arial"/>
          <w:color w:val="000000"/>
          <w:lang w:val="en-US"/>
        </w:rPr>
        <w:t xml:space="preserve">, </w:t>
      </w:r>
      <w:r w:rsidRPr="0034416A">
        <w:rPr>
          <w:rFonts w:eastAsia="Times New Roman" w:cs="Arial"/>
          <w:color w:val="000000"/>
          <w:lang w:eastAsia="bg-BG"/>
        </w:rPr>
        <w:t xml:space="preserve">е по- малко по- </w:t>
      </w:r>
      <w:r w:rsidRPr="0034416A">
        <w:rPr>
          <w:rFonts w:eastAsia="Times New Roman" w:cs="Arial"/>
          <w:color w:val="000000"/>
          <w:lang w:eastAsia="bg-BG"/>
        </w:rPr>
        <w:lastRenderedPageBreak/>
        <w:t>бавна при тези в напреднала възраст и времето за полуживот е около 20% по- дълго при пациенти в напреднала възраст. Тези малки разлики не се считат за клинично значими.</w:t>
      </w:r>
    </w:p>
    <w:p w14:paraId="0DCCF59B" w14:textId="77777777" w:rsidR="0034416A" w:rsidRPr="0034416A" w:rsidRDefault="0034416A" w:rsidP="0034416A">
      <w:pPr>
        <w:spacing w:line="240" w:lineRule="auto"/>
        <w:rPr>
          <w:rFonts w:eastAsia="Times New Roman" w:cs="Arial"/>
        </w:rPr>
      </w:pPr>
      <w:r w:rsidRPr="0034416A">
        <w:rPr>
          <w:rFonts w:eastAsia="Times New Roman" w:cs="Arial"/>
          <w:color w:val="000000"/>
          <w:lang w:eastAsia="bg-BG"/>
        </w:rPr>
        <w:t xml:space="preserve">Фармакокинетиката на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 xml:space="preserve"> при деца и юноши не е установена.</w:t>
      </w:r>
    </w:p>
    <w:p w14:paraId="7835669F" w14:textId="77777777" w:rsidR="0034416A" w:rsidRDefault="0034416A" w:rsidP="0034416A">
      <w:pPr>
        <w:spacing w:line="240" w:lineRule="auto"/>
        <w:rPr>
          <w:rFonts w:eastAsia="Times New Roman" w:cs="Arial"/>
          <w:i/>
          <w:iCs/>
          <w:color w:val="000000"/>
          <w:lang w:eastAsia="bg-BG"/>
        </w:rPr>
      </w:pPr>
    </w:p>
    <w:p w14:paraId="0AF6F17C" w14:textId="0E1C8C0C" w:rsidR="0034416A" w:rsidRPr="0034416A" w:rsidRDefault="0034416A" w:rsidP="0034416A">
      <w:pPr>
        <w:spacing w:line="240" w:lineRule="auto"/>
        <w:rPr>
          <w:rFonts w:eastAsia="Times New Roman" w:cs="Arial"/>
        </w:rPr>
      </w:pPr>
      <w:r w:rsidRPr="0034416A">
        <w:rPr>
          <w:rFonts w:eastAsia="Times New Roman" w:cs="Arial"/>
          <w:i/>
          <w:iCs/>
          <w:color w:val="000000"/>
          <w:lang w:eastAsia="bg-BG"/>
        </w:rPr>
        <w:t>Пол</w:t>
      </w:r>
    </w:p>
    <w:p w14:paraId="3E9AE209" w14:textId="4CE7786B" w:rsidR="0034416A" w:rsidRPr="0034416A" w:rsidRDefault="0034416A" w:rsidP="0034416A">
      <w:pPr>
        <w:spacing w:line="240" w:lineRule="auto"/>
        <w:rPr>
          <w:rFonts w:eastAsia="Times New Roman" w:cs="Arial"/>
        </w:rPr>
      </w:pPr>
      <w:r w:rsidRPr="0034416A">
        <w:rPr>
          <w:rFonts w:eastAsia="Times New Roman" w:cs="Arial"/>
          <w:color w:val="000000"/>
          <w:lang w:eastAsia="bg-BG"/>
        </w:rPr>
        <w:t xml:space="preserve">Фармакокинетиката на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 xml:space="preserve"> не се влияе от пола.</w:t>
      </w:r>
    </w:p>
    <w:p w14:paraId="5DBD9419" w14:textId="77777777" w:rsidR="0034416A" w:rsidRDefault="0034416A" w:rsidP="0034416A">
      <w:pPr>
        <w:spacing w:line="240" w:lineRule="auto"/>
        <w:rPr>
          <w:rFonts w:eastAsia="Times New Roman" w:cs="Arial"/>
          <w:i/>
          <w:iCs/>
          <w:color w:val="000000"/>
          <w:lang w:eastAsia="bg-BG"/>
        </w:rPr>
      </w:pPr>
    </w:p>
    <w:p w14:paraId="56DE51C1" w14:textId="5FEB3783" w:rsidR="0034416A" w:rsidRPr="0034416A" w:rsidRDefault="0034416A" w:rsidP="0034416A">
      <w:pPr>
        <w:spacing w:line="240" w:lineRule="auto"/>
        <w:rPr>
          <w:rFonts w:eastAsia="Times New Roman" w:cs="Arial"/>
        </w:rPr>
      </w:pPr>
      <w:r w:rsidRPr="0034416A">
        <w:rPr>
          <w:rFonts w:eastAsia="Times New Roman" w:cs="Arial"/>
          <w:i/>
          <w:iCs/>
          <w:color w:val="000000"/>
          <w:lang w:eastAsia="bg-BG"/>
        </w:rPr>
        <w:t>Раса</w:t>
      </w:r>
    </w:p>
    <w:p w14:paraId="29F334D4" w14:textId="77777777" w:rsidR="0034416A" w:rsidRPr="0034416A" w:rsidRDefault="0034416A" w:rsidP="0034416A">
      <w:pPr>
        <w:spacing w:line="240" w:lineRule="auto"/>
        <w:rPr>
          <w:rFonts w:eastAsia="Times New Roman" w:cs="Arial"/>
        </w:rPr>
      </w:pPr>
      <w:r w:rsidRPr="0034416A">
        <w:rPr>
          <w:rFonts w:eastAsia="Times New Roman" w:cs="Arial"/>
          <w:color w:val="000000"/>
          <w:lang w:eastAsia="bg-BG"/>
        </w:rPr>
        <w:t xml:space="preserve">Фармакокинетиката на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 xml:space="preserve"> не се влияе от расата</w:t>
      </w:r>
    </w:p>
    <w:p w14:paraId="56CC364D" w14:textId="77777777" w:rsidR="0034416A" w:rsidRDefault="0034416A" w:rsidP="0034416A">
      <w:pPr>
        <w:spacing w:line="240" w:lineRule="auto"/>
        <w:rPr>
          <w:rFonts w:eastAsia="Times New Roman" w:cs="Arial"/>
          <w:i/>
          <w:iCs/>
          <w:color w:val="000000"/>
          <w:lang w:eastAsia="bg-BG"/>
        </w:rPr>
      </w:pPr>
    </w:p>
    <w:p w14:paraId="723E6914" w14:textId="33AEDFCB" w:rsidR="0034416A" w:rsidRPr="0034416A" w:rsidRDefault="0034416A" w:rsidP="0034416A">
      <w:pPr>
        <w:spacing w:line="240" w:lineRule="auto"/>
        <w:rPr>
          <w:rFonts w:eastAsia="Times New Roman" w:cs="Arial"/>
        </w:rPr>
      </w:pPr>
      <w:r w:rsidRPr="0034416A">
        <w:rPr>
          <w:rFonts w:eastAsia="Times New Roman" w:cs="Arial"/>
          <w:i/>
          <w:iCs/>
          <w:color w:val="000000"/>
          <w:lang w:eastAsia="bg-BG"/>
        </w:rPr>
        <w:t>Бъбречна недостатъчност</w:t>
      </w:r>
    </w:p>
    <w:p w14:paraId="5F5209B8" w14:textId="77777777" w:rsidR="0034416A" w:rsidRPr="0034416A" w:rsidRDefault="0034416A" w:rsidP="0034416A">
      <w:pPr>
        <w:spacing w:line="240" w:lineRule="auto"/>
        <w:rPr>
          <w:rFonts w:eastAsia="Times New Roman" w:cs="Arial"/>
        </w:rPr>
      </w:pPr>
      <w:r w:rsidRPr="0034416A">
        <w:rPr>
          <w:rFonts w:eastAsia="Times New Roman" w:cs="Arial"/>
          <w:color w:val="000000"/>
          <w:lang w:val="en-US"/>
        </w:rPr>
        <w:t xml:space="preserve">AUC </w:t>
      </w:r>
      <w:r w:rsidRPr="0034416A">
        <w:rPr>
          <w:rFonts w:eastAsia="Times New Roman" w:cs="Arial"/>
          <w:color w:val="000000"/>
          <w:lang w:eastAsia="bg-BG"/>
        </w:rPr>
        <w:t>и С</w:t>
      </w:r>
      <w:r w:rsidRPr="0034416A">
        <w:rPr>
          <w:rFonts w:eastAsia="Times New Roman" w:cs="Arial"/>
          <w:color w:val="000000"/>
          <w:vertAlign w:val="subscript"/>
          <w:lang w:val="en-US"/>
        </w:rPr>
        <w:t>max</w:t>
      </w:r>
      <w:r w:rsidRPr="0034416A">
        <w:rPr>
          <w:rFonts w:eastAsia="Times New Roman" w:cs="Arial"/>
          <w:color w:val="000000"/>
          <w:lang w:eastAsia="bg-BG"/>
        </w:rPr>
        <w:t xml:space="preserve"> на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 xml:space="preserve"> при пациенти с лека и умерена бъбречна недостатъчност не се различават значимо от установените при здрави доброволци. При пациенти с тежка бъбречна недостатъчност (</w:t>
      </w:r>
      <w:proofErr w:type="spellStart"/>
      <w:r w:rsidRPr="0034416A">
        <w:rPr>
          <w:rFonts w:eastAsia="Times New Roman" w:cs="Arial"/>
          <w:color w:val="000000"/>
          <w:lang w:eastAsia="bg-BG"/>
        </w:rPr>
        <w:t>креатининов</w:t>
      </w:r>
      <w:proofErr w:type="spellEnd"/>
      <w:r w:rsidRPr="0034416A">
        <w:rPr>
          <w:rFonts w:eastAsia="Times New Roman" w:cs="Arial"/>
          <w:color w:val="000000"/>
          <w:lang w:eastAsia="bg-BG"/>
        </w:rPr>
        <w:t xml:space="preserve"> клирънс </w:t>
      </w:r>
      <w:r w:rsidRPr="0034416A">
        <w:rPr>
          <w:rFonts w:eastAsia="Times New Roman" w:cs="Arial"/>
          <w:color w:val="000000"/>
          <w:lang w:val="en-US"/>
        </w:rPr>
        <w:t>≤</w:t>
      </w:r>
      <w:r w:rsidRPr="0034416A">
        <w:rPr>
          <w:rFonts w:eastAsia="Times New Roman" w:cs="Arial"/>
          <w:color w:val="000000"/>
          <w:lang w:eastAsia="bg-BG"/>
        </w:rPr>
        <w:t xml:space="preserve">30 </w:t>
      </w:r>
      <w:r w:rsidRPr="0034416A">
        <w:rPr>
          <w:rFonts w:eastAsia="Times New Roman" w:cs="Arial"/>
          <w:color w:val="000000"/>
          <w:lang w:val="en-US"/>
        </w:rPr>
        <w:t xml:space="preserve">ml/min) </w:t>
      </w:r>
      <w:r w:rsidRPr="0034416A">
        <w:rPr>
          <w:rFonts w:eastAsia="Times New Roman" w:cs="Arial"/>
          <w:color w:val="000000"/>
          <w:lang w:eastAsia="bg-BG"/>
        </w:rPr>
        <w:t xml:space="preserve">експозицията на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 xml:space="preserve"> е значително по- голяма отколкото при контролите като С</w:t>
      </w:r>
      <w:r w:rsidRPr="0034416A">
        <w:rPr>
          <w:rFonts w:eastAsia="Times New Roman" w:cs="Arial"/>
          <w:color w:val="000000"/>
          <w:vertAlign w:val="subscript"/>
          <w:lang w:val="en-US"/>
        </w:rPr>
        <w:t>max</w:t>
      </w:r>
      <w:r w:rsidRPr="0034416A">
        <w:rPr>
          <w:rFonts w:eastAsia="Times New Roman" w:cs="Arial"/>
          <w:color w:val="000000"/>
          <w:lang w:eastAsia="bg-BG"/>
        </w:rPr>
        <w:t xml:space="preserve"> на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 xml:space="preserve"> се увеличава с около 30% спрямо контролите, </w:t>
      </w:r>
      <w:r w:rsidRPr="0034416A">
        <w:rPr>
          <w:rFonts w:eastAsia="Times New Roman" w:cs="Arial"/>
          <w:color w:val="000000"/>
          <w:lang w:val="en-US"/>
        </w:rPr>
        <w:t xml:space="preserve">AUC </w:t>
      </w:r>
      <w:r w:rsidRPr="0034416A">
        <w:rPr>
          <w:rFonts w:eastAsia="Times New Roman" w:cs="Arial"/>
          <w:color w:val="000000"/>
          <w:lang w:eastAsia="bg-BG"/>
        </w:rPr>
        <w:t xml:space="preserve">с повече от 100% и </w:t>
      </w:r>
      <w:r w:rsidRPr="0034416A">
        <w:rPr>
          <w:rFonts w:eastAsia="Times New Roman" w:cs="Arial"/>
          <w:color w:val="000000"/>
          <w:lang w:val="en-US"/>
        </w:rPr>
        <w:t>t</w:t>
      </w:r>
      <w:r w:rsidRPr="0034416A">
        <w:rPr>
          <w:rFonts w:eastAsia="Times New Roman" w:cs="Arial"/>
          <w:color w:val="000000"/>
          <w:vertAlign w:val="subscript"/>
          <w:lang w:val="en-US"/>
        </w:rPr>
        <w:t>1/2</w:t>
      </w:r>
      <w:r w:rsidRPr="0034416A">
        <w:rPr>
          <w:rFonts w:eastAsia="Times New Roman" w:cs="Arial"/>
          <w:color w:val="000000"/>
          <w:lang w:eastAsia="bg-BG"/>
        </w:rPr>
        <w:t xml:space="preserve"> -с повече от 60%. Наблюдава се статистически значима връзка между </w:t>
      </w:r>
      <w:proofErr w:type="spellStart"/>
      <w:r w:rsidRPr="0034416A">
        <w:rPr>
          <w:rFonts w:eastAsia="Times New Roman" w:cs="Arial"/>
          <w:color w:val="000000"/>
          <w:lang w:eastAsia="bg-BG"/>
        </w:rPr>
        <w:t>креатининов</w:t>
      </w:r>
      <w:proofErr w:type="spellEnd"/>
      <w:r w:rsidRPr="0034416A">
        <w:rPr>
          <w:rFonts w:eastAsia="Times New Roman" w:cs="Arial"/>
          <w:color w:val="000000"/>
          <w:lang w:eastAsia="bg-BG"/>
        </w:rPr>
        <w:t xml:space="preserve"> клирънс и </w:t>
      </w:r>
      <w:proofErr w:type="spellStart"/>
      <w:r w:rsidRPr="0034416A">
        <w:rPr>
          <w:rFonts w:eastAsia="Times New Roman" w:cs="Arial"/>
          <w:color w:val="000000"/>
          <w:lang w:eastAsia="bg-BG"/>
        </w:rPr>
        <w:t>клирънса</w:t>
      </w:r>
      <w:proofErr w:type="spellEnd"/>
      <w:r w:rsidRPr="0034416A">
        <w:rPr>
          <w:rFonts w:eastAsia="Times New Roman" w:cs="Arial"/>
          <w:color w:val="000000"/>
          <w:lang w:eastAsia="bg-BG"/>
        </w:rPr>
        <w:t xml:space="preserve"> на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w:t>
      </w:r>
    </w:p>
    <w:p w14:paraId="694BAF95" w14:textId="77777777" w:rsidR="0034416A" w:rsidRPr="0034416A" w:rsidRDefault="0034416A" w:rsidP="0034416A">
      <w:pPr>
        <w:spacing w:line="240" w:lineRule="auto"/>
        <w:rPr>
          <w:rFonts w:eastAsia="Times New Roman" w:cs="Arial"/>
        </w:rPr>
      </w:pPr>
      <w:r w:rsidRPr="0034416A">
        <w:rPr>
          <w:rFonts w:eastAsia="Times New Roman" w:cs="Arial"/>
          <w:color w:val="000000"/>
          <w:lang w:eastAsia="bg-BG"/>
        </w:rPr>
        <w:t>Фармакокинетиката при пациенти на хемодиализа не е изследвана.</w:t>
      </w:r>
    </w:p>
    <w:p w14:paraId="489D5B53" w14:textId="77777777" w:rsidR="0034416A" w:rsidRDefault="0034416A" w:rsidP="0034416A">
      <w:pPr>
        <w:spacing w:line="240" w:lineRule="auto"/>
        <w:rPr>
          <w:rFonts w:eastAsia="Times New Roman" w:cs="Arial"/>
          <w:i/>
          <w:iCs/>
          <w:color w:val="000000"/>
          <w:lang w:eastAsia="bg-BG"/>
        </w:rPr>
      </w:pPr>
    </w:p>
    <w:p w14:paraId="179BDBDF" w14:textId="734C13B7" w:rsidR="0034416A" w:rsidRPr="0034416A" w:rsidRDefault="0034416A" w:rsidP="0034416A">
      <w:pPr>
        <w:spacing w:line="240" w:lineRule="auto"/>
        <w:rPr>
          <w:rFonts w:eastAsia="Times New Roman" w:cs="Arial"/>
        </w:rPr>
      </w:pPr>
      <w:r w:rsidRPr="0034416A">
        <w:rPr>
          <w:rFonts w:eastAsia="Times New Roman" w:cs="Arial"/>
          <w:i/>
          <w:iCs/>
          <w:color w:val="000000"/>
          <w:lang w:eastAsia="bg-BG"/>
        </w:rPr>
        <w:t>Чернодробна недостатъчност</w:t>
      </w:r>
    </w:p>
    <w:p w14:paraId="514EAD56" w14:textId="77777777" w:rsidR="0034416A" w:rsidRPr="0034416A" w:rsidRDefault="0034416A" w:rsidP="0034416A">
      <w:pPr>
        <w:spacing w:line="240" w:lineRule="auto"/>
        <w:rPr>
          <w:rFonts w:eastAsia="Times New Roman" w:cs="Arial"/>
        </w:rPr>
      </w:pPr>
      <w:r w:rsidRPr="0034416A">
        <w:rPr>
          <w:rFonts w:eastAsia="Times New Roman" w:cs="Arial"/>
          <w:color w:val="000000"/>
          <w:lang w:eastAsia="bg-BG"/>
        </w:rPr>
        <w:t xml:space="preserve">При пациенти с умерена чернодробна недостатъчност </w:t>
      </w:r>
      <w:r w:rsidRPr="0034416A">
        <w:rPr>
          <w:rFonts w:eastAsia="Times New Roman" w:cs="Arial"/>
          <w:color w:val="000000"/>
          <w:lang w:val="en-US"/>
        </w:rPr>
        <w:t xml:space="preserve">(Child-Pugh </w:t>
      </w:r>
      <w:r w:rsidRPr="0034416A">
        <w:rPr>
          <w:rFonts w:eastAsia="Times New Roman" w:cs="Arial"/>
          <w:color w:val="000000"/>
          <w:lang w:eastAsia="bg-BG"/>
        </w:rPr>
        <w:t>от 7 до 9) С</w:t>
      </w:r>
      <w:r w:rsidRPr="0034416A">
        <w:rPr>
          <w:rFonts w:eastAsia="Times New Roman" w:cs="Arial"/>
          <w:color w:val="000000"/>
          <w:vertAlign w:val="subscript"/>
          <w:lang w:val="en-US"/>
        </w:rPr>
        <w:t>max</w:t>
      </w:r>
      <w:r w:rsidRPr="0034416A">
        <w:rPr>
          <w:rFonts w:eastAsia="Times New Roman" w:cs="Arial"/>
          <w:color w:val="000000"/>
          <w:lang w:eastAsia="bg-BG"/>
        </w:rPr>
        <w:t xml:space="preserve"> не се променя , </w:t>
      </w:r>
      <w:proofErr w:type="spellStart"/>
      <w:r w:rsidRPr="0034416A">
        <w:rPr>
          <w:rFonts w:eastAsia="Times New Roman" w:cs="Arial"/>
          <w:color w:val="000000"/>
          <w:lang w:val="en-US"/>
        </w:rPr>
        <w:t>AUCce</w:t>
      </w:r>
      <w:proofErr w:type="spellEnd"/>
      <w:r w:rsidRPr="0034416A">
        <w:rPr>
          <w:rFonts w:eastAsia="Times New Roman" w:cs="Arial"/>
          <w:color w:val="000000"/>
          <w:lang w:val="en-US"/>
        </w:rPr>
        <w:t xml:space="preserve"> </w:t>
      </w:r>
      <w:r w:rsidRPr="0034416A">
        <w:rPr>
          <w:rFonts w:eastAsia="Times New Roman" w:cs="Arial"/>
          <w:color w:val="000000"/>
          <w:lang w:eastAsia="bg-BG"/>
        </w:rPr>
        <w:t xml:space="preserve">увеличава с 60% и </w:t>
      </w:r>
      <w:r w:rsidRPr="0034416A">
        <w:rPr>
          <w:rFonts w:eastAsia="Times New Roman" w:cs="Arial"/>
          <w:color w:val="000000"/>
          <w:lang w:val="en-US"/>
        </w:rPr>
        <w:t>t</w:t>
      </w:r>
      <w:r w:rsidRPr="0034416A">
        <w:rPr>
          <w:rFonts w:eastAsia="Times New Roman" w:cs="Arial"/>
          <w:color w:val="000000"/>
          <w:vertAlign w:val="subscript"/>
          <w:lang w:val="en-US"/>
        </w:rPr>
        <w:t>1/2</w:t>
      </w:r>
      <w:r w:rsidRPr="0034416A">
        <w:rPr>
          <w:rFonts w:eastAsia="Times New Roman" w:cs="Arial"/>
          <w:color w:val="000000"/>
          <w:lang w:eastAsia="bg-BG"/>
        </w:rPr>
        <w:t xml:space="preserve"> се удвоява, Фармакокинетиката на </w:t>
      </w:r>
      <w:proofErr w:type="spellStart"/>
      <w:r w:rsidRPr="0034416A">
        <w:rPr>
          <w:rFonts w:eastAsia="Times New Roman" w:cs="Arial"/>
          <w:color w:val="000000"/>
          <w:lang w:eastAsia="bg-BG"/>
        </w:rPr>
        <w:t>солифенацин</w:t>
      </w:r>
      <w:proofErr w:type="spellEnd"/>
      <w:r w:rsidRPr="0034416A">
        <w:rPr>
          <w:rFonts w:eastAsia="Times New Roman" w:cs="Arial"/>
          <w:color w:val="000000"/>
          <w:lang w:eastAsia="bg-BG"/>
        </w:rPr>
        <w:t xml:space="preserve"> при пациенти с тежка чернодробна недостатъчност не е проучена.</w:t>
      </w:r>
    </w:p>
    <w:p w14:paraId="45C65DCE" w14:textId="525CA657" w:rsidR="0034416A" w:rsidRPr="0034416A" w:rsidRDefault="0034416A" w:rsidP="0034416A"/>
    <w:p w14:paraId="028E658A" w14:textId="1D7EB213" w:rsidR="00395555" w:rsidRDefault="002C50EE" w:rsidP="008A6AF2">
      <w:pPr>
        <w:pStyle w:val="2"/>
      </w:pPr>
      <w:r>
        <w:t>5.3. Предклинични данни за безопасност</w:t>
      </w:r>
    </w:p>
    <w:p w14:paraId="57C62055" w14:textId="77777777" w:rsidR="00C757C3" w:rsidRDefault="00C757C3" w:rsidP="00C757C3"/>
    <w:p w14:paraId="4381FA58" w14:textId="7FA0D2DB" w:rsidR="00C757C3" w:rsidRPr="00C757C3" w:rsidRDefault="00C757C3" w:rsidP="00C757C3">
      <w:pPr>
        <w:rPr>
          <w:sz w:val="24"/>
          <w:szCs w:val="24"/>
        </w:rPr>
      </w:pPr>
      <w:r w:rsidRPr="00C757C3">
        <w:rPr>
          <w:lang w:eastAsia="bg-BG"/>
        </w:rPr>
        <w:t xml:space="preserve">Неклиничните данни не показват особен риск за хората на база на конвенционалните фармакологични проучвания за безопасност, токсичност при многократно прилагане, </w:t>
      </w:r>
      <w:proofErr w:type="spellStart"/>
      <w:r w:rsidRPr="00C757C3">
        <w:rPr>
          <w:lang w:eastAsia="bg-BG"/>
        </w:rPr>
        <w:t>фертилитет</w:t>
      </w:r>
      <w:proofErr w:type="spellEnd"/>
      <w:r w:rsidRPr="00C757C3">
        <w:rPr>
          <w:lang w:eastAsia="bg-BG"/>
        </w:rPr>
        <w:t xml:space="preserve">, ембрионалното/феталното развитие, </w:t>
      </w:r>
      <w:proofErr w:type="spellStart"/>
      <w:r w:rsidRPr="00C757C3">
        <w:rPr>
          <w:lang w:eastAsia="bg-BG"/>
        </w:rPr>
        <w:t>генотоксичност</w:t>
      </w:r>
      <w:proofErr w:type="spellEnd"/>
      <w:r w:rsidRPr="00C757C3">
        <w:rPr>
          <w:lang w:eastAsia="bg-BG"/>
        </w:rPr>
        <w:t xml:space="preserve"> и </w:t>
      </w:r>
      <w:proofErr w:type="spellStart"/>
      <w:r w:rsidRPr="00C757C3">
        <w:rPr>
          <w:lang w:eastAsia="bg-BG"/>
        </w:rPr>
        <w:t>канцирогенен</w:t>
      </w:r>
      <w:proofErr w:type="spellEnd"/>
      <w:r w:rsidRPr="00C757C3">
        <w:rPr>
          <w:lang w:eastAsia="bg-BG"/>
        </w:rPr>
        <w:t xml:space="preserve"> потенциал. В проучването в </w:t>
      </w:r>
      <w:proofErr w:type="spellStart"/>
      <w:r w:rsidRPr="00C757C3">
        <w:rPr>
          <w:lang w:eastAsia="bg-BG"/>
        </w:rPr>
        <w:t>пре</w:t>
      </w:r>
      <w:proofErr w:type="spellEnd"/>
      <w:r w:rsidRPr="00C757C3">
        <w:rPr>
          <w:lang w:eastAsia="bg-BG"/>
        </w:rPr>
        <w:t xml:space="preserve">- и </w:t>
      </w:r>
      <w:proofErr w:type="spellStart"/>
      <w:r w:rsidRPr="00C757C3">
        <w:rPr>
          <w:lang w:eastAsia="bg-BG"/>
        </w:rPr>
        <w:t>постнаталното</w:t>
      </w:r>
      <w:proofErr w:type="spellEnd"/>
      <w:r w:rsidRPr="00C757C3">
        <w:rPr>
          <w:lang w:eastAsia="bg-BG"/>
        </w:rPr>
        <w:t xml:space="preserve"> развитие на мишки прилагането на </w:t>
      </w:r>
      <w:proofErr w:type="spellStart"/>
      <w:r w:rsidRPr="00C757C3">
        <w:rPr>
          <w:lang w:eastAsia="bg-BG"/>
        </w:rPr>
        <w:t>солифенацин</w:t>
      </w:r>
      <w:proofErr w:type="spellEnd"/>
      <w:r w:rsidRPr="00C757C3">
        <w:rPr>
          <w:lang w:eastAsia="bg-BG"/>
        </w:rPr>
        <w:t xml:space="preserve"> при майки в периода на кърмене предизвиква </w:t>
      </w:r>
      <w:proofErr w:type="spellStart"/>
      <w:r w:rsidRPr="00C757C3">
        <w:rPr>
          <w:lang w:eastAsia="bg-BG"/>
        </w:rPr>
        <w:t>дозозависима</w:t>
      </w:r>
      <w:proofErr w:type="spellEnd"/>
      <w:r w:rsidRPr="00C757C3">
        <w:rPr>
          <w:lang w:eastAsia="bg-BG"/>
        </w:rPr>
        <w:t xml:space="preserve"> по-малка преживяемост след раждане, намалено тегло на малките и клинично значими нива на по-бавно физическо развитие.</w:t>
      </w:r>
    </w:p>
    <w:p w14:paraId="06D2FDB8" w14:textId="77777777" w:rsidR="00C757C3" w:rsidRPr="00C757C3" w:rsidRDefault="00C757C3" w:rsidP="00C757C3"/>
    <w:p w14:paraId="6A7820AB" w14:textId="66D3319F" w:rsidR="008A6AF2" w:rsidRDefault="002C50EE" w:rsidP="00395555">
      <w:pPr>
        <w:pStyle w:val="1"/>
      </w:pPr>
      <w:r>
        <w:t>7. ПРИТЕЖАТЕЛ НА РАЗРЕШЕНИЕТО ЗА УПОТРЕБА</w:t>
      </w:r>
    </w:p>
    <w:p w14:paraId="0A824CA6" w14:textId="77777777" w:rsidR="00C757C3" w:rsidRPr="00C757C3" w:rsidRDefault="00C757C3" w:rsidP="00C757C3">
      <w:pPr>
        <w:rPr>
          <w:sz w:val="24"/>
          <w:szCs w:val="24"/>
        </w:rPr>
      </w:pPr>
      <w:r w:rsidRPr="00C757C3">
        <w:rPr>
          <w:lang w:eastAsia="bg-BG"/>
        </w:rPr>
        <w:t>СОФАРМА АД</w:t>
      </w:r>
    </w:p>
    <w:p w14:paraId="346FBF68" w14:textId="345D02B0" w:rsidR="00C757C3" w:rsidRPr="00C757C3" w:rsidRDefault="00C757C3" w:rsidP="00C757C3">
      <w:pPr>
        <w:rPr>
          <w:sz w:val="24"/>
          <w:szCs w:val="24"/>
        </w:rPr>
      </w:pPr>
      <w:r w:rsidRPr="00C757C3">
        <w:rPr>
          <w:lang w:eastAsia="bg-BG"/>
        </w:rPr>
        <w:t xml:space="preserve">ул. </w:t>
      </w:r>
      <w:proofErr w:type="spellStart"/>
      <w:r w:rsidRPr="00C757C3">
        <w:rPr>
          <w:lang w:eastAsia="bg-BG"/>
        </w:rPr>
        <w:t>Илиенско</w:t>
      </w:r>
      <w:proofErr w:type="spellEnd"/>
      <w:r w:rsidRPr="00C757C3">
        <w:rPr>
          <w:lang w:eastAsia="bg-BG"/>
        </w:rPr>
        <w:t xml:space="preserve"> шосе 16, 1220 София, България</w:t>
      </w:r>
    </w:p>
    <w:p w14:paraId="04840D59" w14:textId="6F3CEE61" w:rsidR="002C50EE" w:rsidRDefault="002C50EE" w:rsidP="00395555">
      <w:pPr>
        <w:pStyle w:val="1"/>
      </w:pPr>
      <w:r>
        <w:t>8. НОМЕР НА РАЗРЕШЕНИЕТО ЗА УПОТРЕБА</w:t>
      </w:r>
    </w:p>
    <w:p w14:paraId="1A72F77F" w14:textId="77777777" w:rsidR="00C757C3" w:rsidRPr="00C757C3" w:rsidRDefault="00C757C3" w:rsidP="00C757C3">
      <w:pPr>
        <w:rPr>
          <w:sz w:val="24"/>
          <w:szCs w:val="24"/>
        </w:rPr>
      </w:pPr>
      <w:r w:rsidRPr="00C757C3">
        <w:rPr>
          <w:lang w:eastAsia="bg-BG"/>
        </w:rPr>
        <w:t>№20150064</w:t>
      </w:r>
    </w:p>
    <w:p w14:paraId="7465A7A0" w14:textId="75530B2F" w:rsidR="00C757C3" w:rsidRPr="00C757C3" w:rsidRDefault="00C757C3" w:rsidP="00C757C3">
      <w:pPr>
        <w:rPr>
          <w:sz w:val="24"/>
          <w:szCs w:val="24"/>
        </w:rPr>
      </w:pPr>
      <w:r w:rsidRPr="00C757C3">
        <w:rPr>
          <w:lang w:eastAsia="bg-BG"/>
        </w:rPr>
        <w:t>№20150065</w:t>
      </w:r>
    </w:p>
    <w:p w14:paraId="2CCB5832" w14:textId="1A28C9E8" w:rsidR="007C605B" w:rsidRDefault="002C50EE" w:rsidP="007C605B">
      <w:pPr>
        <w:pStyle w:val="1"/>
      </w:pPr>
      <w:r>
        <w:t>9. ДАТА НА ПЪРВО РАЗРЕШАВАНЕ/ПОДНОВЯВАНЕ НА РАЗРЕШЕНИЕТО ЗА УПОТРЕБА</w:t>
      </w:r>
    </w:p>
    <w:p w14:paraId="5FDE9967" w14:textId="754050B0" w:rsidR="00C757C3" w:rsidRPr="00C757C3" w:rsidRDefault="00C757C3" w:rsidP="00C757C3">
      <w:r>
        <w:t>26.02.2015</w:t>
      </w:r>
    </w:p>
    <w:p w14:paraId="0E9D0119" w14:textId="0245C6D7" w:rsidR="002C50EE" w:rsidRDefault="002C50EE" w:rsidP="002C50EE">
      <w:pPr>
        <w:pStyle w:val="1"/>
      </w:pPr>
      <w:r>
        <w:lastRenderedPageBreak/>
        <w:t>10. ДАТА НА АКТУАЛИЗИРАНЕ НА ТЕКСТА</w:t>
      </w:r>
    </w:p>
    <w:bookmarkEnd w:id="0"/>
    <w:p w14:paraId="43FB38A2" w14:textId="36BC6A9E" w:rsidR="007C605B" w:rsidRPr="003E3126" w:rsidRDefault="00C757C3" w:rsidP="00C757C3">
      <w:r>
        <w:t>Септември 2017</w:t>
      </w:r>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57638"/>
    <w:multiLevelType w:val="hybridMultilevel"/>
    <w:tmpl w:val="03C4C43A"/>
    <w:lvl w:ilvl="0" w:tplc="9CBC850A">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747BD"/>
    <w:multiLevelType w:val="hybridMultilevel"/>
    <w:tmpl w:val="BFBC2656"/>
    <w:lvl w:ilvl="0" w:tplc="9CBC850A">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04763"/>
    <w:multiLevelType w:val="hybridMultilevel"/>
    <w:tmpl w:val="C7D6081E"/>
    <w:lvl w:ilvl="0" w:tplc="9CBC850A">
      <w:start w:val="4"/>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1"/>
  </w:num>
  <w:num w:numId="12">
    <w:abstractNumId w:val="14"/>
  </w:num>
  <w:num w:numId="13">
    <w:abstractNumId w:val="19"/>
  </w:num>
  <w:num w:numId="14">
    <w:abstractNumId w:val="12"/>
  </w:num>
  <w:num w:numId="15">
    <w:abstractNumId w:val="30"/>
  </w:num>
  <w:num w:numId="16">
    <w:abstractNumId w:val="10"/>
  </w:num>
  <w:num w:numId="17">
    <w:abstractNumId w:val="25"/>
  </w:num>
  <w:num w:numId="18">
    <w:abstractNumId w:val="7"/>
  </w:num>
  <w:num w:numId="19">
    <w:abstractNumId w:val="27"/>
  </w:num>
  <w:num w:numId="20">
    <w:abstractNumId w:val="24"/>
  </w:num>
  <w:num w:numId="21">
    <w:abstractNumId w:val="17"/>
  </w:num>
  <w:num w:numId="22">
    <w:abstractNumId w:val="26"/>
  </w:num>
  <w:num w:numId="23">
    <w:abstractNumId w:val="18"/>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3"/>
  </w:num>
  <w:num w:numId="31">
    <w:abstractNumId w:val="5"/>
  </w:num>
  <w:num w:numId="32">
    <w:abstractNumId w:val="29"/>
  </w:num>
  <w:num w:numId="33">
    <w:abstractNumId w:val="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D1B23"/>
    <w:rsid w:val="002B3C38"/>
    <w:rsid w:val="002B4DBB"/>
    <w:rsid w:val="002C50EE"/>
    <w:rsid w:val="00340A0A"/>
    <w:rsid w:val="0034416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B3915"/>
    <w:rsid w:val="009F1313"/>
    <w:rsid w:val="00A20351"/>
    <w:rsid w:val="00AA23EC"/>
    <w:rsid w:val="00AC63CE"/>
    <w:rsid w:val="00AE2107"/>
    <w:rsid w:val="00B275A8"/>
    <w:rsid w:val="00BF2600"/>
    <w:rsid w:val="00C0049F"/>
    <w:rsid w:val="00C07B84"/>
    <w:rsid w:val="00C33464"/>
    <w:rsid w:val="00C757C3"/>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364"/>
    <w:pPr>
      <w:spacing w:after="0" w:line="256" w:lineRule="auto"/>
    </w:pPr>
    <w:rPr>
      <w:rFonts w:ascii="Arial" w:hAnsi="Arial"/>
      <w:lang w:val="bg-BG"/>
    </w:rPr>
  </w:style>
  <w:style w:type="paragraph" w:styleId="1">
    <w:name w:val="heading 1"/>
    <w:basedOn w:val="a"/>
    <w:next w:val="a"/>
    <w:link w:val="10"/>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2">
    <w:name w:val="heading 2"/>
    <w:basedOn w:val="a"/>
    <w:next w:val="a"/>
    <w:link w:val="20"/>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3">
    <w:name w:val="heading 3"/>
    <w:basedOn w:val="a"/>
    <w:next w:val="a"/>
    <w:link w:val="30"/>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4">
    <w:name w:val="heading 4"/>
    <w:basedOn w:val="a"/>
    <w:next w:val="a"/>
    <w:link w:val="40"/>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1"/>
    <w:basedOn w:val="3"/>
    <w:next w:val="a"/>
    <w:link w:val="12"/>
    <w:qFormat/>
    <w:rsid w:val="00C87E90"/>
    <w:pPr>
      <w:widowControl w:val="0"/>
      <w:spacing w:after="1080" w:line="240" w:lineRule="auto"/>
      <w:ind w:left="4400"/>
      <w:jc w:val="center"/>
    </w:pPr>
    <w:rPr>
      <w:b/>
      <w:sz w:val="22"/>
      <w:szCs w:val="22"/>
    </w:rPr>
  </w:style>
  <w:style w:type="character" w:customStyle="1" w:styleId="12">
    <w:name w:val="Стил1 Знак"/>
    <w:basedOn w:val="30"/>
    <w:link w:val="11"/>
    <w:rsid w:val="00C87E90"/>
    <w:rPr>
      <w:rFonts w:ascii="Arial" w:eastAsiaTheme="majorEastAsia" w:hAnsi="Arial" w:cstheme="majorBidi"/>
      <w:b/>
      <w:color w:val="000000" w:themeColor="text1"/>
      <w:sz w:val="24"/>
      <w:szCs w:val="24"/>
    </w:rPr>
  </w:style>
  <w:style w:type="character" w:customStyle="1" w:styleId="30">
    <w:name w:val="Заглавие 3 Знак"/>
    <w:basedOn w:val="a0"/>
    <w:link w:val="3"/>
    <w:uiPriority w:val="9"/>
    <w:rsid w:val="00681D4A"/>
    <w:rPr>
      <w:rFonts w:ascii="Arial" w:eastAsiaTheme="majorEastAsia" w:hAnsi="Arial" w:cstheme="majorBidi"/>
      <w:color w:val="000000" w:themeColor="text1"/>
      <w:sz w:val="24"/>
      <w:szCs w:val="24"/>
    </w:rPr>
  </w:style>
  <w:style w:type="paragraph" w:styleId="a3">
    <w:name w:val="List Paragraph"/>
    <w:basedOn w:val="a"/>
    <w:uiPriority w:val="34"/>
    <w:qFormat/>
    <w:rsid w:val="00685882"/>
    <w:pPr>
      <w:spacing w:line="259" w:lineRule="auto"/>
      <w:ind w:left="720"/>
      <w:contextualSpacing/>
    </w:pPr>
  </w:style>
  <w:style w:type="character" w:customStyle="1" w:styleId="10">
    <w:name w:val="Заглавие 1 Знак"/>
    <w:basedOn w:val="a0"/>
    <w:link w:val="1"/>
    <w:uiPriority w:val="9"/>
    <w:rsid w:val="00681D4A"/>
    <w:rPr>
      <w:rFonts w:ascii="Arial" w:eastAsiaTheme="majorEastAsia" w:hAnsi="Arial" w:cstheme="majorBidi"/>
      <w:color w:val="000000" w:themeColor="text1"/>
      <w:sz w:val="32"/>
      <w:szCs w:val="32"/>
    </w:rPr>
  </w:style>
  <w:style w:type="character" w:customStyle="1" w:styleId="20">
    <w:name w:val="Заглавие 2 Знак"/>
    <w:basedOn w:val="a0"/>
    <w:link w:val="2"/>
    <w:uiPriority w:val="9"/>
    <w:rsid w:val="00681D4A"/>
    <w:rPr>
      <w:rFonts w:ascii="Arial" w:eastAsiaTheme="majorEastAsia" w:hAnsi="Arial" w:cstheme="majorBidi"/>
      <w:color w:val="000000" w:themeColor="text1"/>
      <w:sz w:val="26"/>
      <w:szCs w:val="26"/>
    </w:rPr>
  </w:style>
  <w:style w:type="character" w:customStyle="1" w:styleId="40">
    <w:name w:val="Заглавие 4 Знак"/>
    <w:basedOn w:val="a0"/>
    <w:link w:val="4"/>
    <w:uiPriority w:val="9"/>
    <w:rsid w:val="00681D4A"/>
    <w:rPr>
      <w:rFonts w:asciiTheme="majorHAnsi" w:eastAsiaTheme="majorEastAsia" w:hAnsiTheme="majorHAnsi" w:cstheme="majorBidi"/>
      <w:i/>
      <w:iCs/>
      <w:color w:val="2F5496" w:themeColor="accent1" w:themeShade="BF"/>
    </w:rPr>
  </w:style>
  <w:style w:type="table" w:styleId="a4">
    <w:name w:val="Table Grid"/>
    <w:basedOn w:val="a1"/>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3187</Words>
  <Characters>18168</Characters>
  <Application>Microsoft Office Word</Application>
  <DocSecurity>0</DocSecurity>
  <Lines>151</Lines>
  <Paragraphs>42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ВАСИЛЕВ</cp:lastModifiedBy>
  <cp:revision>2</cp:revision>
  <dcterms:created xsi:type="dcterms:W3CDTF">2021-11-03T16:15:00Z</dcterms:created>
  <dcterms:modified xsi:type="dcterms:W3CDTF">2021-11-03T16:15:00Z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