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482ED0D3" w14:textId="6E63E151" w:rsidR="00F53FB7" w:rsidRDefault="00DD466D" w:rsidP="00A93499">
      <w:pPr>
        <w:pStyle w:val="Heading1"/>
      </w:pPr>
      <w:r>
        <w:t>1.ИМЕ НА ЛЕКАРСТВЕНИЯ ПРОДУКТ</w:t>
      </w:r>
    </w:p>
    <w:p w14:paraId="08C7CC7A" w14:textId="73FC1519" w:rsidR="005F0014" w:rsidRDefault="005F0014" w:rsidP="005F0014"/>
    <w:p w14:paraId="744E49DC" w14:textId="77777777" w:rsidR="005F0014" w:rsidRPr="005F0014" w:rsidRDefault="005F0014" w:rsidP="005F0014">
      <w:pPr>
        <w:rPr>
          <w:sz w:val="24"/>
          <w:szCs w:val="24"/>
          <w:lang w:val="en-US" w:eastAsia="bg-BG"/>
        </w:rPr>
      </w:pPr>
      <w:r w:rsidRPr="005F0014">
        <w:rPr>
          <w:lang w:eastAsia="bg-BG"/>
        </w:rPr>
        <w:t xml:space="preserve">Солифенакон 5 </w:t>
      </w:r>
      <w:r w:rsidRPr="005F0014">
        <w:rPr>
          <w:lang w:val="en-US"/>
        </w:rPr>
        <w:t xml:space="preserve">mg </w:t>
      </w:r>
      <w:r w:rsidRPr="005F0014">
        <w:rPr>
          <w:lang w:eastAsia="bg-BG"/>
        </w:rPr>
        <w:t>филмирани таблетки</w:t>
      </w:r>
    </w:p>
    <w:p w14:paraId="7A748596" w14:textId="77777777" w:rsidR="005F0014" w:rsidRPr="005F0014" w:rsidRDefault="005F0014" w:rsidP="005F0014">
      <w:pPr>
        <w:rPr>
          <w:sz w:val="24"/>
          <w:szCs w:val="24"/>
          <w:lang w:val="en-US" w:eastAsia="bg-BG"/>
        </w:rPr>
      </w:pPr>
      <w:proofErr w:type="spellStart"/>
      <w:r w:rsidRPr="005F0014">
        <w:rPr>
          <w:lang w:val="en-US"/>
        </w:rPr>
        <w:t>Solifenacon</w:t>
      </w:r>
      <w:proofErr w:type="spellEnd"/>
      <w:r w:rsidRPr="005F0014">
        <w:rPr>
          <w:lang w:val="en-US"/>
        </w:rPr>
        <w:t xml:space="preserve"> </w:t>
      </w:r>
      <w:r w:rsidRPr="005F0014">
        <w:rPr>
          <w:lang w:eastAsia="bg-BG"/>
        </w:rPr>
        <w:t xml:space="preserve">5 </w:t>
      </w:r>
      <w:r w:rsidRPr="005F0014">
        <w:rPr>
          <w:lang w:val="en-US"/>
        </w:rPr>
        <w:t>mg film-coated tablets</w:t>
      </w:r>
    </w:p>
    <w:p w14:paraId="28C24370" w14:textId="77777777" w:rsidR="005F0014" w:rsidRPr="005F0014" w:rsidRDefault="005F0014" w:rsidP="005F0014"/>
    <w:p w14:paraId="0DF202EC" w14:textId="383618E7" w:rsidR="00F53FB7" w:rsidRDefault="00DD466D" w:rsidP="00A93499">
      <w:pPr>
        <w:pStyle w:val="Heading1"/>
      </w:pPr>
      <w:r>
        <w:t>2. КАЧЕСТВЕН И КОЛИЧЕСТВЕН СЪСТАВ</w:t>
      </w:r>
    </w:p>
    <w:p w14:paraId="0E66383A" w14:textId="0287C88A" w:rsidR="005F0014" w:rsidRDefault="005F0014" w:rsidP="005F0014"/>
    <w:p w14:paraId="0D032C91" w14:textId="77777777" w:rsidR="005F0014" w:rsidRPr="005F0014" w:rsidRDefault="005F0014" w:rsidP="005F0014">
      <w:pPr>
        <w:rPr>
          <w:sz w:val="24"/>
          <w:szCs w:val="24"/>
          <w:lang w:eastAsia="bg-BG"/>
        </w:rPr>
      </w:pPr>
      <w:r w:rsidRPr="005F0014">
        <w:rPr>
          <w:lang w:eastAsia="bg-BG"/>
        </w:rPr>
        <w:t xml:space="preserve">Всяка филмирана таблетка съдържа 5 </w:t>
      </w:r>
      <w:r w:rsidRPr="005F0014">
        <w:rPr>
          <w:lang w:val="en-US"/>
        </w:rPr>
        <w:t xml:space="preserve">mg </w:t>
      </w:r>
      <w:r w:rsidRPr="005F0014">
        <w:rPr>
          <w:lang w:eastAsia="bg-BG"/>
        </w:rPr>
        <w:t xml:space="preserve">солифенацинов сукцинат </w:t>
      </w:r>
      <w:r w:rsidRPr="005F0014">
        <w:rPr>
          <w:i/>
          <w:iCs/>
          <w:lang w:val="en-US"/>
        </w:rPr>
        <w:t>(</w:t>
      </w:r>
      <w:proofErr w:type="spellStart"/>
      <w:r w:rsidRPr="005F0014">
        <w:rPr>
          <w:i/>
          <w:iCs/>
          <w:lang w:val="en-US"/>
        </w:rPr>
        <w:t>solifenacin</w:t>
      </w:r>
      <w:proofErr w:type="spellEnd"/>
      <w:r w:rsidRPr="005F0014">
        <w:rPr>
          <w:i/>
          <w:iCs/>
          <w:lang w:val="en-US"/>
        </w:rPr>
        <w:t xml:space="preserve"> succinate), </w:t>
      </w:r>
      <w:r w:rsidRPr="005F0014">
        <w:rPr>
          <w:lang w:eastAsia="bg-BG"/>
        </w:rPr>
        <w:t xml:space="preserve">съответстващи на 3,8 </w:t>
      </w:r>
      <w:r w:rsidRPr="005F0014">
        <w:rPr>
          <w:lang w:val="en-US"/>
        </w:rPr>
        <w:t xml:space="preserve">mg </w:t>
      </w:r>
      <w:r w:rsidRPr="005F0014">
        <w:rPr>
          <w:lang w:eastAsia="bg-BG"/>
        </w:rPr>
        <w:t xml:space="preserve">солифенацин </w:t>
      </w:r>
      <w:r w:rsidRPr="005F0014">
        <w:rPr>
          <w:i/>
          <w:iCs/>
          <w:lang w:val="en-US"/>
        </w:rPr>
        <w:t>(</w:t>
      </w:r>
      <w:proofErr w:type="spellStart"/>
      <w:r w:rsidRPr="005F0014">
        <w:rPr>
          <w:i/>
          <w:iCs/>
          <w:lang w:val="en-US"/>
        </w:rPr>
        <w:t>solifenacin</w:t>
      </w:r>
      <w:proofErr w:type="spellEnd"/>
      <w:r w:rsidRPr="005F0014">
        <w:rPr>
          <w:i/>
          <w:iCs/>
          <w:lang w:val="en-US"/>
        </w:rPr>
        <w:t>).</w:t>
      </w:r>
    </w:p>
    <w:p w14:paraId="2628FBA0" w14:textId="77777777" w:rsidR="005F0014" w:rsidRDefault="005F0014" w:rsidP="005F0014">
      <w:pPr>
        <w:rPr>
          <w:lang w:eastAsia="bg-BG"/>
        </w:rPr>
      </w:pPr>
    </w:p>
    <w:p w14:paraId="4DD15B9D" w14:textId="0E59CD63" w:rsidR="005F0014" w:rsidRPr="005F0014" w:rsidRDefault="005F0014" w:rsidP="005F0014">
      <w:pPr>
        <w:rPr>
          <w:sz w:val="24"/>
          <w:szCs w:val="24"/>
          <w:lang w:eastAsia="bg-BG"/>
        </w:rPr>
      </w:pPr>
      <w:r w:rsidRPr="005F0014">
        <w:rPr>
          <w:lang w:eastAsia="bg-BG"/>
        </w:rPr>
        <w:t xml:space="preserve">Помощно вещество с известно действие: 54,25 </w:t>
      </w:r>
      <w:r w:rsidRPr="005F0014">
        <w:rPr>
          <w:lang w:val="en-US"/>
        </w:rPr>
        <w:t xml:space="preserve">mg </w:t>
      </w:r>
      <w:r w:rsidRPr="005F0014">
        <w:rPr>
          <w:lang w:eastAsia="bg-BG"/>
        </w:rPr>
        <w:t>лактоза монохидрат.</w:t>
      </w:r>
    </w:p>
    <w:p w14:paraId="2E2503D7" w14:textId="77777777" w:rsidR="005F0014" w:rsidRPr="005F0014" w:rsidRDefault="005F0014" w:rsidP="005F0014"/>
    <w:p w14:paraId="4CABB9ED" w14:textId="0C40223F" w:rsidR="00F53FB7" w:rsidRDefault="00DD466D" w:rsidP="00A93499">
      <w:pPr>
        <w:pStyle w:val="Heading1"/>
      </w:pPr>
      <w:r>
        <w:t>3. ЛЕКАРСТВЕНА ФОРМА</w:t>
      </w:r>
    </w:p>
    <w:p w14:paraId="136E70E1" w14:textId="0EED1EBD" w:rsidR="005F0014" w:rsidRDefault="005F0014" w:rsidP="005F0014"/>
    <w:p w14:paraId="49066CB0" w14:textId="77777777" w:rsidR="005F0014" w:rsidRPr="005F0014" w:rsidRDefault="005F0014" w:rsidP="005F0014">
      <w:pPr>
        <w:rPr>
          <w:sz w:val="24"/>
          <w:szCs w:val="24"/>
          <w:lang w:eastAsia="bg-BG"/>
        </w:rPr>
      </w:pPr>
      <w:r w:rsidRPr="005F0014">
        <w:rPr>
          <w:lang w:eastAsia="bg-BG"/>
        </w:rPr>
        <w:t>Филмирана таблетка.</w:t>
      </w:r>
    </w:p>
    <w:p w14:paraId="427F7F1C" w14:textId="77777777" w:rsidR="005F0014" w:rsidRDefault="005F0014" w:rsidP="005F0014">
      <w:pPr>
        <w:rPr>
          <w:lang w:eastAsia="bg-BG"/>
        </w:rPr>
      </w:pPr>
    </w:p>
    <w:p w14:paraId="16847DA6" w14:textId="136FC905" w:rsidR="005F0014" w:rsidRPr="005F0014" w:rsidRDefault="005F0014" w:rsidP="005F0014">
      <w:pPr>
        <w:rPr>
          <w:sz w:val="24"/>
          <w:szCs w:val="24"/>
          <w:lang w:eastAsia="bg-BG"/>
        </w:rPr>
      </w:pPr>
      <w:r w:rsidRPr="005F0014">
        <w:rPr>
          <w:lang w:eastAsia="bg-BG"/>
        </w:rPr>
        <w:t xml:space="preserve">Солифенакон 5 </w:t>
      </w:r>
      <w:r w:rsidRPr="005F0014">
        <w:rPr>
          <w:lang w:val="en-US"/>
        </w:rPr>
        <w:t xml:space="preserve">mg </w:t>
      </w:r>
      <w:r w:rsidRPr="005F0014">
        <w:rPr>
          <w:lang w:eastAsia="bg-BG"/>
        </w:rPr>
        <w:t xml:space="preserve">филмирани таблетки: светложълти, кръгли, двойноизпъкнали филмирани таблетки с диаметър 5,8 </w:t>
      </w:r>
      <w:r w:rsidRPr="005F0014">
        <w:rPr>
          <w:lang w:val="en-US"/>
        </w:rPr>
        <w:t>mm.</w:t>
      </w:r>
    </w:p>
    <w:p w14:paraId="39C0F893" w14:textId="77777777" w:rsidR="005F0014" w:rsidRPr="005F0014" w:rsidRDefault="005F0014" w:rsidP="005F0014"/>
    <w:p w14:paraId="490FC2C4" w14:textId="6899DE43" w:rsidR="002C50EE" w:rsidRDefault="002C50EE" w:rsidP="002C50EE">
      <w:pPr>
        <w:pStyle w:val="Heading1"/>
      </w:pPr>
      <w:r>
        <w:t>4. КЛИНИЧНИ ДАННИ</w:t>
      </w:r>
    </w:p>
    <w:p w14:paraId="1A37D275" w14:textId="3547A209" w:rsidR="00F53FB7" w:rsidRDefault="002C50EE" w:rsidP="00A93499">
      <w:pPr>
        <w:pStyle w:val="Heading2"/>
      </w:pPr>
      <w:r>
        <w:t>4.1. Терапевтични показания</w:t>
      </w:r>
    </w:p>
    <w:p w14:paraId="18200E89" w14:textId="20DA5A64" w:rsidR="005F0014" w:rsidRDefault="005F0014" w:rsidP="005F0014"/>
    <w:p w14:paraId="73CA5FC7" w14:textId="634E684F" w:rsidR="005F0014" w:rsidRDefault="005F0014" w:rsidP="005F0014">
      <w:r>
        <w:t>Солифенакон е показан за симптоматично лечение на инконтиненция на урина и/или увеличена честота и неотложност на уринирането, които могат да се появят при пациенти със синдром на свръхактивен пикочен мехур.</w:t>
      </w:r>
    </w:p>
    <w:p w14:paraId="520481FA" w14:textId="77777777" w:rsidR="005F0014" w:rsidRPr="005F0014" w:rsidRDefault="005F0014" w:rsidP="005F0014"/>
    <w:p w14:paraId="05D17336" w14:textId="0C6F5240" w:rsidR="00F53FB7" w:rsidRDefault="002C50EE" w:rsidP="00A93499">
      <w:pPr>
        <w:pStyle w:val="Heading2"/>
      </w:pPr>
      <w:r>
        <w:t>4.2. Дозировка и начин на приложение</w:t>
      </w:r>
    </w:p>
    <w:p w14:paraId="25B31C38" w14:textId="11FB4783" w:rsidR="005F0014" w:rsidRDefault="005F0014" w:rsidP="005F0014"/>
    <w:p w14:paraId="0F4CEFA0" w14:textId="77777777" w:rsidR="005F0014" w:rsidRPr="005F0014" w:rsidRDefault="005F0014" w:rsidP="005F0014">
      <w:pPr>
        <w:pStyle w:val="Heading3"/>
        <w:rPr>
          <w:rFonts w:eastAsia="Times New Roman"/>
          <w:sz w:val="28"/>
          <w:szCs w:val="28"/>
          <w:u w:val="single"/>
          <w:lang w:eastAsia="bg-BG"/>
        </w:rPr>
      </w:pPr>
      <w:r w:rsidRPr="005F0014">
        <w:rPr>
          <w:rFonts w:eastAsia="Times New Roman"/>
          <w:u w:val="single"/>
          <w:lang w:eastAsia="bg-BG"/>
        </w:rPr>
        <w:t>Дозировка</w:t>
      </w:r>
    </w:p>
    <w:p w14:paraId="15917E35" w14:textId="77777777" w:rsidR="005F0014" w:rsidRPr="005F0014" w:rsidRDefault="005F0014" w:rsidP="005F0014">
      <w:pPr>
        <w:spacing w:line="240" w:lineRule="auto"/>
        <w:rPr>
          <w:rFonts w:eastAsia="Times New Roman" w:cs="Arial"/>
          <w:sz w:val="28"/>
          <w:szCs w:val="28"/>
          <w:lang w:eastAsia="bg-BG"/>
        </w:rPr>
      </w:pPr>
      <w:r w:rsidRPr="005F0014">
        <w:rPr>
          <w:rFonts w:eastAsia="Times New Roman" w:cs="Arial"/>
          <w:i/>
          <w:iCs/>
          <w:color w:val="000000"/>
          <w:lang w:eastAsia="bg-BG"/>
        </w:rPr>
        <w:t>Възрастни, включително пациенти в старческа възраст</w:t>
      </w:r>
    </w:p>
    <w:p w14:paraId="09A369C2" w14:textId="77777777" w:rsidR="005F0014" w:rsidRPr="005F0014" w:rsidRDefault="005F0014" w:rsidP="005F0014">
      <w:pPr>
        <w:spacing w:line="240" w:lineRule="auto"/>
        <w:rPr>
          <w:rFonts w:eastAsia="Times New Roman" w:cs="Arial"/>
          <w:sz w:val="28"/>
          <w:szCs w:val="28"/>
          <w:lang w:eastAsia="bg-BG"/>
        </w:rPr>
      </w:pPr>
      <w:r w:rsidRPr="005F0014">
        <w:rPr>
          <w:rFonts w:eastAsia="Times New Roman" w:cs="Arial"/>
          <w:color w:val="000000"/>
          <w:lang w:eastAsia="bg-BG"/>
        </w:rPr>
        <w:t xml:space="preserve">Препоръчителната доза е 5 </w:t>
      </w:r>
      <w:r w:rsidRPr="005F0014">
        <w:rPr>
          <w:rFonts w:eastAsia="Times New Roman" w:cs="Arial"/>
          <w:color w:val="000000"/>
          <w:lang w:val="en-US"/>
        </w:rPr>
        <w:t xml:space="preserve">mg </w:t>
      </w:r>
      <w:r w:rsidRPr="005F0014">
        <w:rPr>
          <w:rFonts w:eastAsia="Times New Roman" w:cs="Arial"/>
          <w:color w:val="000000"/>
          <w:lang w:eastAsia="bg-BG"/>
        </w:rPr>
        <w:t xml:space="preserve">Солифенакон един път дневно. Ако е необходимо, дозата може да се увеличи до 10 </w:t>
      </w:r>
      <w:r w:rsidRPr="005F0014">
        <w:rPr>
          <w:rFonts w:eastAsia="Times New Roman" w:cs="Arial"/>
          <w:color w:val="000000"/>
          <w:lang w:val="en-US"/>
        </w:rPr>
        <w:t xml:space="preserve">mg </w:t>
      </w:r>
      <w:r w:rsidRPr="005F0014">
        <w:rPr>
          <w:rFonts w:eastAsia="Times New Roman" w:cs="Arial"/>
          <w:color w:val="000000"/>
          <w:lang w:eastAsia="bg-BG"/>
        </w:rPr>
        <w:t>солифенацинов сукцинат един път дневно.</w:t>
      </w:r>
    </w:p>
    <w:p w14:paraId="3CE9C58E" w14:textId="77777777" w:rsidR="005F0014" w:rsidRPr="005F0014" w:rsidRDefault="005F0014" w:rsidP="005F0014">
      <w:pPr>
        <w:spacing w:line="240" w:lineRule="auto"/>
        <w:rPr>
          <w:rFonts w:eastAsia="Times New Roman" w:cs="Arial"/>
          <w:color w:val="000000"/>
          <w:lang w:eastAsia="bg-BG"/>
        </w:rPr>
      </w:pPr>
    </w:p>
    <w:p w14:paraId="5D1CFB49" w14:textId="5331E9F9" w:rsidR="005F0014" w:rsidRPr="005F0014" w:rsidRDefault="005F0014" w:rsidP="005F0014">
      <w:pPr>
        <w:spacing w:line="240" w:lineRule="auto"/>
        <w:rPr>
          <w:rFonts w:eastAsia="Times New Roman" w:cs="Arial"/>
          <w:sz w:val="28"/>
          <w:szCs w:val="28"/>
          <w:lang w:eastAsia="bg-BG"/>
        </w:rPr>
      </w:pPr>
      <w:r w:rsidRPr="005F0014">
        <w:rPr>
          <w:rFonts w:eastAsia="Times New Roman" w:cs="Arial"/>
          <w:color w:val="000000"/>
          <w:lang w:eastAsia="bg-BG"/>
        </w:rPr>
        <w:t>Специални популации</w:t>
      </w:r>
    </w:p>
    <w:p w14:paraId="6D65A5C2" w14:textId="77777777" w:rsidR="005F0014" w:rsidRPr="005F0014" w:rsidRDefault="005F0014" w:rsidP="005F0014">
      <w:pPr>
        <w:spacing w:line="240" w:lineRule="auto"/>
        <w:rPr>
          <w:rFonts w:eastAsia="Times New Roman" w:cs="Arial"/>
          <w:i/>
          <w:iCs/>
          <w:color w:val="000000"/>
          <w:lang w:eastAsia="bg-BG"/>
        </w:rPr>
      </w:pPr>
    </w:p>
    <w:p w14:paraId="3BE1081F" w14:textId="6F4CB917" w:rsidR="005F0014" w:rsidRPr="005F0014" w:rsidRDefault="005F0014" w:rsidP="005F0014">
      <w:pPr>
        <w:spacing w:line="240" w:lineRule="auto"/>
        <w:rPr>
          <w:rFonts w:eastAsia="Times New Roman" w:cs="Arial"/>
          <w:sz w:val="28"/>
          <w:szCs w:val="28"/>
          <w:lang w:eastAsia="bg-BG"/>
        </w:rPr>
      </w:pPr>
      <w:r w:rsidRPr="005F0014">
        <w:rPr>
          <w:rFonts w:eastAsia="Times New Roman" w:cs="Arial"/>
          <w:i/>
          <w:iCs/>
          <w:color w:val="000000"/>
          <w:lang w:eastAsia="bg-BG"/>
        </w:rPr>
        <w:t>Пациенти в напреднала възраст</w:t>
      </w:r>
    </w:p>
    <w:p w14:paraId="4301569E" w14:textId="77777777" w:rsidR="005F0014" w:rsidRPr="005F0014" w:rsidRDefault="005F0014" w:rsidP="005F0014">
      <w:pPr>
        <w:spacing w:line="240" w:lineRule="auto"/>
        <w:rPr>
          <w:rFonts w:eastAsia="Times New Roman" w:cs="Arial"/>
          <w:sz w:val="28"/>
          <w:szCs w:val="28"/>
          <w:lang w:eastAsia="bg-BG"/>
        </w:rPr>
      </w:pPr>
      <w:r w:rsidRPr="005F0014">
        <w:rPr>
          <w:rFonts w:eastAsia="Times New Roman" w:cs="Arial"/>
          <w:color w:val="000000"/>
          <w:lang w:eastAsia="bg-BG"/>
        </w:rPr>
        <w:t>Не се налага корекция на дозата при пациенти в напреднала възраст.</w:t>
      </w:r>
    </w:p>
    <w:p w14:paraId="3F73A1B9" w14:textId="77777777" w:rsidR="005F0014" w:rsidRPr="005F0014" w:rsidRDefault="005F0014" w:rsidP="005F0014">
      <w:pPr>
        <w:spacing w:line="240" w:lineRule="auto"/>
        <w:rPr>
          <w:rFonts w:eastAsia="Times New Roman" w:cs="Arial"/>
          <w:i/>
          <w:iCs/>
          <w:color w:val="000000"/>
          <w:lang w:eastAsia="bg-BG"/>
        </w:rPr>
      </w:pPr>
    </w:p>
    <w:p w14:paraId="2564BE92" w14:textId="6F94EDCC" w:rsidR="005F0014" w:rsidRPr="005F0014" w:rsidRDefault="005F0014" w:rsidP="005F0014">
      <w:pPr>
        <w:spacing w:line="240" w:lineRule="auto"/>
        <w:rPr>
          <w:rFonts w:eastAsia="Times New Roman" w:cs="Arial"/>
          <w:sz w:val="28"/>
          <w:szCs w:val="28"/>
          <w:lang w:eastAsia="bg-BG"/>
        </w:rPr>
      </w:pPr>
      <w:r w:rsidRPr="005F0014">
        <w:rPr>
          <w:rFonts w:eastAsia="Times New Roman" w:cs="Arial"/>
          <w:i/>
          <w:iCs/>
          <w:color w:val="000000"/>
          <w:lang w:eastAsia="bg-BG"/>
        </w:rPr>
        <w:t>Пациенти с бъбречно увреждане</w:t>
      </w:r>
    </w:p>
    <w:p w14:paraId="24EFB258" w14:textId="77777777" w:rsidR="005F0014" w:rsidRPr="005F0014" w:rsidRDefault="005F0014" w:rsidP="005F0014">
      <w:pPr>
        <w:spacing w:line="240" w:lineRule="auto"/>
        <w:rPr>
          <w:rFonts w:eastAsia="Times New Roman" w:cs="Arial"/>
          <w:sz w:val="28"/>
          <w:szCs w:val="28"/>
          <w:lang w:eastAsia="bg-BG"/>
        </w:rPr>
      </w:pPr>
      <w:r w:rsidRPr="005F0014">
        <w:rPr>
          <w:rFonts w:eastAsia="Times New Roman" w:cs="Arial"/>
          <w:color w:val="000000"/>
          <w:lang w:eastAsia="bg-BG"/>
        </w:rPr>
        <w:lastRenderedPageBreak/>
        <w:t xml:space="preserve">Не се налага коригиране на дозата при пациенти с леко до умерено бъбречно увреждане (креатининов клирънс &gt;30 </w:t>
      </w:r>
      <w:r w:rsidRPr="005F0014">
        <w:rPr>
          <w:rFonts w:eastAsia="Times New Roman" w:cs="Arial"/>
          <w:color w:val="000000"/>
          <w:lang w:val="en-US"/>
        </w:rPr>
        <w:t xml:space="preserve">ml/min). </w:t>
      </w:r>
      <w:r w:rsidRPr="005F0014">
        <w:rPr>
          <w:rFonts w:eastAsia="Times New Roman" w:cs="Arial"/>
          <w:color w:val="000000"/>
          <w:lang w:eastAsia="bg-BG"/>
        </w:rPr>
        <w:t xml:space="preserve">При пациенти с тежко бъбречно увреждане (креатининов клирънс ≤30 </w:t>
      </w:r>
      <w:r w:rsidRPr="005F0014">
        <w:rPr>
          <w:rFonts w:eastAsia="Times New Roman" w:cs="Arial"/>
          <w:color w:val="000000"/>
          <w:lang w:val="en-US"/>
        </w:rPr>
        <w:t xml:space="preserve">ml/min) </w:t>
      </w:r>
      <w:r w:rsidRPr="005F0014">
        <w:rPr>
          <w:rFonts w:eastAsia="Times New Roman" w:cs="Arial"/>
          <w:color w:val="000000"/>
          <w:lang w:eastAsia="bg-BG"/>
        </w:rPr>
        <w:t xml:space="preserve">лекарството трябва да се прилага внимателно и пациентът да не приема повече от 5 </w:t>
      </w:r>
      <w:r w:rsidRPr="005F0014">
        <w:rPr>
          <w:rFonts w:eastAsia="Times New Roman" w:cs="Arial"/>
          <w:color w:val="000000"/>
          <w:lang w:val="en-US"/>
        </w:rPr>
        <w:t xml:space="preserve">mg </w:t>
      </w:r>
      <w:r w:rsidRPr="005F0014">
        <w:rPr>
          <w:rFonts w:eastAsia="Times New Roman" w:cs="Arial"/>
          <w:color w:val="000000"/>
          <w:lang w:eastAsia="bg-BG"/>
        </w:rPr>
        <w:t>един път дневно (вж. точка 5.2).</w:t>
      </w:r>
    </w:p>
    <w:p w14:paraId="4A9E0C8D" w14:textId="77777777" w:rsidR="005F0014" w:rsidRPr="005F0014" w:rsidRDefault="005F0014" w:rsidP="005F0014">
      <w:pPr>
        <w:spacing w:line="240" w:lineRule="auto"/>
        <w:rPr>
          <w:rFonts w:eastAsia="Times New Roman" w:cs="Arial"/>
          <w:i/>
          <w:iCs/>
          <w:color w:val="000000"/>
          <w:lang w:eastAsia="bg-BG"/>
        </w:rPr>
      </w:pPr>
    </w:p>
    <w:p w14:paraId="1A99A280" w14:textId="520FFE5D" w:rsidR="005F0014" w:rsidRPr="005F0014" w:rsidRDefault="005F0014" w:rsidP="005F0014">
      <w:pPr>
        <w:spacing w:line="240" w:lineRule="auto"/>
        <w:rPr>
          <w:rFonts w:eastAsia="Times New Roman" w:cs="Arial"/>
          <w:sz w:val="28"/>
          <w:szCs w:val="28"/>
          <w:lang w:eastAsia="bg-BG"/>
        </w:rPr>
      </w:pPr>
      <w:r w:rsidRPr="005F0014">
        <w:rPr>
          <w:rFonts w:eastAsia="Times New Roman" w:cs="Arial"/>
          <w:i/>
          <w:iCs/>
          <w:color w:val="000000"/>
          <w:lang w:eastAsia="bg-BG"/>
        </w:rPr>
        <w:t>Пациенти с чернодробно увреждане</w:t>
      </w:r>
    </w:p>
    <w:p w14:paraId="12FBDBC0" w14:textId="77777777" w:rsidR="005F0014" w:rsidRPr="005F0014" w:rsidRDefault="005F0014" w:rsidP="005F0014">
      <w:pPr>
        <w:spacing w:line="240" w:lineRule="auto"/>
        <w:rPr>
          <w:rFonts w:eastAsia="Times New Roman" w:cs="Arial"/>
          <w:sz w:val="28"/>
          <w:szCs w:val="28"/>
          <w:lang w:eastAsia="bg-BG"/>
        </w:rPr>
      </w:pPr>
      <w:r w:rsidRPr="005F0014">
        <w:rPr>
          <w:rFonts w:eastAsia="Times New Roman" w:cs="Arial"/>
          <w:color w:val="000000"/>
          <w:lang w:eastAsia="bg-BG"/>
        </w:rPr>
        <w:t xml:space="preserve">Не се налага коригиране на дозата при пациенти с леко чернодробно увреждане. Пациенти с умерено чернодробно увреждане (скор по </w:t>
      </w:r>
      <w:r w:rsidRPr="005F0014">
        <w:rPr>
          <w:rFonts w:eastAsia="Times New Roman" w:cs="Arial"/>
          <w:color w:val="000000"/>
          <w:lang w:val="en-US"/>
        </w:rPr>
        <w:t xml:space="preserve">Child-Pugh </w:t>
      </w:r>
      <w:r w:rsidRPr="005F0014">
        <w:rPr>
          <w:rFonts w:eastAsia="Times New Roman" w:cs="Arial"/>
          <w:color w:val="000000"/>
          <w:lang w:eastAsia="bg-BG"/>
        </w:rPr>
        <w:t>от 7 до 9) лекарството трябва да се прилага</w:t>
      </w:r>
    </w:p>
    <w:p w14:paraId="632A00A8" w14:textId="77777777" w:rsidR="005F0014" w:rsidRPr="005F0014" w:rsidRDefault="005F0014" w:rsidP="005F0014">
      <w:pPr>
        <w:spacing w:line="240" w:lineRule="auto"/>
        <w:rPr>
          <w:rFonts w:eastAsia="Times New Roman" w:cs="Arial"/>
          <w:sz w:val="28"/>
          <w:szCs w:val="28"/>
          <w:lang w:eastAsia="bg-BG"/>
        </w:rPr>
      </w:pPr>
      <w:r w:rsidRPr="005F0014">
        <w:rPr>
          <w:rFonts w:eastAsia="Times New Roman" w:cs="Arial"/>
          <w:color w:val="000000"/>
          <w:lang w:eastAsia="bg-BG"/>
        </w:rPr>
        <w:t xml:space="preserve">внимателно и пациентът не трябва да приема повече от 5 </w:t>
      </w:r>
      <w:r w:rsidRPr="005F0014">
        <w:rPr>
          <w:rFonts w:eastAsia="Times New Roman" w:cs="Arial"/>
          <w:color w:val="000000"/>
          <w:lang w:val="en-US"/>
        </w:rPr>
        <w:t xml:space="preserve">mg </w:t>
      </w:r>
      <w:r w:rsidRPr="005F0014">
        <w:rPr>
          <w:rFonts w:eastAsia="Times New Roman" w:cs="Arial"/>
          <w:color w:val="000000"/>
          <w:lang w:eastAsia="bg-BG"/>
        </w:rPr>
        <w:t>един път дневно дневно (вж. точка 5.2).</w:t>
      </w:r>
    </w:p>
    <w:p w14:paraId="2B8934F8" w14:textId="77777777" w:rsidR="005F0014" w:rsidRPr="005F0014" w:rsidRDefault="005F0014" w:rsidP="005F0014">
      <w:pPr>
        <w:rPr>
          <w:rFonts w:eastAsia="Times New Roman" w:cs="Arial"/>
          <w:i/>
          <w:iCs/>
          <w:color w:val="000000"/>
          <w:lang w:eastAsia="bg-BG"/>
        </w:rPr>
      </w:pPr>
    </w:p>
    <w:p w14:paraId="6FF33172" w14:textId="49C1C88A" w:rsidR="005F0014" w:rsidRPr="005F0014" w:rsidRDefault="005F0014" w:rsidP="005F0014">
      <w:pPr>
        <w:rPr>
          <w:rFonts w:eastAsia="Times New Roman" w:cs="Arial"/>
          <w:i/>
          <w:iCs/>
          <w:color w:val="000000"/>
          <w:lang w:eastAsia="bg-BG"/>
        </w:rPr>
      </w:pPr>
      <w:r w:rsidRPr="005F0014">
        <w:rPr>
          <w:rFonts w:eastAsia="Times New Roman" w:cs="Arial"/>
          <w:i/>
          <w:iCs/>
          <w:color w:val="000000"/>
          <w:lang w:eastAsia="bg-BG"/>
        </w:rPr>
        <w:t>Пациенти, лекувани с мощни инхибшпори на цитохром Р450 ЗА4</w:t>
      </w:r>
    </w:p>
    <w:p w14:paraId="4F05CECD" w14:textId="77777777" w:rsidR="005F0014" w:rsidRPr="005F0014" w:rsidRDefault="005F0014" w:rsidP="005F0014">
      <w:pPr>
        <w:spacing w:line="240" w:lineRule="auto"/>
        <w:rPr>
          <w:rFonts w:eastAsia="Times New Roman" w:cs="Arial"/>
          <w:sz w:val="28"/>
          <w:szCs w:val="28"/>
          <w:lang w:eastAsia="bg-BG"/>
        </w:rPr>
      </w:pPr>
      <w:r w:rsidRPr="005F0014">
        <w:rPr>
          <w:rFonts w:eastAsia="Times New Roman" w:cs="Arial"/>
          <w:color w:val="000000"/>
          <w:lang w:eastAsia="bg-BG"/>
        </w:rPr>
        <w:t xml:space="preserve">Максималната доза Солифенакон трябва да бъде ограничена до 5 </w:t>
      </w:r>
      <w:r w:rsidRPr="005F0014">
        <w:rPr>
          <w:rFonts w:eastAsia="Times New Roman" w:cs="Arial"/>
          <w:color w:val="000000"/>
          <w:lang w:val="en-US"/>
        </w:rPr>
        <w:t xml:space="preserve">mg, </w:t>
      </w:r>
      <w:r w:rsidRPr="005F0014">
        <w:rPr>
          <w:rFonts w:eastAsia="Times New Roman" w:cs="Arial"/>
          <w:color w:val="000000"/>
          <w:lang w:eastAsia="bg-BG"/>
        </w:rPr>
        <w:t xml:space="preserve">когато се приема заедно с кетоконазол или с терапевтични дози от други мощни инхибитори на </w:t>
      </w:r>
      <w:r w:rsidRPr="005F0014">
        <w:rPr>
          <w:rFonts w:eastAsia="Times New Roman" w:cs="Arial"/>
          <w:color w:val="000000"/>
          <w:lang w:val="en-US"/>
        </w:rPr>
        <w:t>CYP3</w:t>
      </w:r>
      <w:r w:rsidRPr="005F0014">
        <w:rPr>
          <w:rFonts w:eastAsia="Times New Roman" w:cs="Arial"/>
          <w:color w:val="000000"/>
          <w:lang w:eastAsia="bg-BG"/>
        </w:rPr>
        <w:t>А4, напр. ритонавир, нелфинавир, итраконазол (вж. точка 4.5).</w:t>
      </w:r>
    </w:p>
    <w:p w14:paraId="3C1301B7" w14:textId="77777777" w:rsidR="005F0014" w:rsidRPr="005F0014" w:rsidRDefault="005F0014" w:rsidP="005F0014">
      <w:pPr>
        <w:spacing w:line="240" w:lineRule="auto"/>
        <w:rPr>
          <w:rFonts w:eastAsia="Times New Roman" w:cs="Arial"/>
          <w:i/>
          <w:iCs/>
          <w:color w:val="000000"/>
          <w:lang w:eastAsia="bg-BG"/>
        </w:rPr>
      </w:pPr>
    </w:p>
    <w:p w14:paraId="2CDB5C06" w14:textId="07EA217A" w:rsidR="005F0014" w:rsidRPr="005F0014" w:rsidRDefault="005F0014" w:rsidP="005F0014">
      <w:pPr>
        <w:spacing w:line="240" w:lineRule="auto"/>
        <w:rPr>
          <w:rFonts w:eastAsia="Times New Roman" w:cs="Arial"/>
          <w:sz w:val="28"/>
          <w:szCs w:val="28"/>
          <w:lang w:eastAsia="bg-BG"/>
        </w:rPr>
      </w:pPr>
      <w:r w:rsidRPr="005F0014">
        <w:rPr>
          <w:rFonts w:eastAsia="Times New Roman" w:cs="Arial"/>
          <w:i/>
          <w:iCs/>
          <w:color w:val="000000"/>
          <w:lang w:eastAsia="bg-BG"/>
        </w:rPr>
        <w:t>Педиатрична популация</w:t>
      </w:r>
    </w:p>
    <w:p w14:paraId="76662BF1" w14:textId="77777777" w:rsidR="005F0014" w:rsidRPr="005F0014" w:rsidRDefault="005F0014" w:rsidP="005F0014">
      <w:pPr>
        <w:spacing w:line="240" w:lineRule="auto"/>
        <w:rPr>
          <w:rFonts w:eastAsia="Times New Roman" w:cs="Arial"/>
          <w:sz w:val="28"/>
          <w:szCs w:val="28"/>
          <w:lang w:eastAsia="bg-BG"/>
        </w:rPr>
      </w:pPr>
      <w:r w:rsidRPr="005F0014">
        <w:rPr>
          <w:rFonts w:eastAsia="Times New Roman" w:cs="Arial"/>
          <w:color w:val="000000"/>
          <w:lang w:eastAsia="bg-BG"/>
        </w:rPr>
        <w:t>Безопасността и ефикасността на солифенацин при деца и юноши под 18-годишна възраст все още не са установени. Поради тази причина Солифенакон не трябва да се прилага при деца и юноши.</w:t>
      </w:r>
    </w:p>
    <w:p w14:paraId="6157BA08" w14:textId="77777777" w:rsidR="005F0014" w:rsidRPr="005F0014" w:rsidRDefault="005F0014" w:rsidP="005F0014">
      <w:pPr>
        <w:spacing w:line="240" w:lineRule="auto"/>
        <w:rPr>
          <w:rFonts w:eastAsia="Times New Roman" w:cs="Arial"/>
          <w:color w:val="000000"/>
          <w:u w:val="single"/>
          <w:lang w:eastAsia="bg-BG"/>
        </w:rPr>
      </w:pPr>
    </w:p>
    <w:p w14:paraId="48B0AD9E" w14:textId="40358C64" w:rsidR="005F0014" w:rsidRPr="005F0014" w:rsidRDefault="005F0014" w:rsidP="005F0014">
      <w:pPr>
        <w:pStyle w:val="Heading3"/>
        <w:rPr>
          <w:rFonts w:eastAsia="Times New Roman"/>
          <w:sz w:val="28"/>
          <w:szCs w:val="28"/>
          <w:u w:val="single"/>
          <w:lang w:eastAsia="bg-BG"/>
        </w:rPr>
      </w:pPr>
      <w:r w:rsidRPr="005F0014">
        <w:rPr>
          <w:rFonts w:eastAsia="Times New Roman"/>
          <w:u w:val="single"/>
          <w:lang w:eastAsia="bg-BG"/>
        </w:rPr>
        <w:t>Начин на приложение</w:t>
      </w:r>
    </w:p>
    <w:p w14:paraId="3D0163FC" w14:textId="77777777" w:rsidR="005F0014" w:rsidRPr="005F0014" w:rsidRDefault="005F0014" w:rsidP="005F0014">
      <w:pPr>
        <w:spacing w:line="240" w:lineRule="auto"/>
        <w:rPr>
          <w:rFonts w:eastAsia="Times New Roman" w:cs="Arial"/>
          <w:sz w:val="28"/>
          <w:szCs w:val="28"/>
          <w:lang w:eastAsia="bg-BG"/>
        </w:rPr>
      </w:pPr>
      <w:r w:rsidRPr="005F0014">
        <w:rPr>
          <w:rFonts w:eastAsia="Times New Roman" w:cs="Arial"/>
          <w:color w:val="000000"/>
          <w:lang w:eastAsia="bg-BG"/>
        </w:rPr>
        <w:t>Солифенацин трябва да се приема перорално и таблетките да се поглъщат цели с течности. Може да се приема със или без храна.</w:t>
      </w:r>
    </w:p>
    <w:p w14:paraId="2A3723AF" w14:textId="77777777" w:rsidR="005F0014" w:rsidRPr="005F0014" w:rsidRDefault="005F0014" w:rsidP="005F0014">
      <w:pPr>
        <w:rPr>
          <w:rFonts w:ascii="Times New Roman" w:eastAsia="Times New Roman" w:hAnsi="Times New Roman" w:cs="Times New Roman"/>
          <w:i/>
          <w:iCs/>
          <w:color w:val="000000"/>
          <w:sz w:val="20"/>
          <w:szCs w:val="20"/>
          <w:lang w:eastAsia="bg-BG"/>
        </w:rPr>
      </w:pPr>
    </w:p>
    <w:p w14:paraId="1BF2EFF4" w14:textId="1D97AE1D" w:rsidR="001A6EBD" w:rsidRDefault="002C50EE" w:rsidP="00471F10">
      <w:pPr>
        <w:pStyle w:val="Heading2"/>
      </w:pPr>
      <w:r>
        <w:t>4.3. Противопоказания</w:t>
      </w:r>
    </w:p>
    <w:p w14:paraId="5EFF5F15" w14:textId="05EF8C96" w:rsidR="005F0014" w:rsidRDefault="005F0014" w:rsidP="005F0014"/>
    <w:p w14:paraId="0BC022DC" w14:textId="77777777" w:rsidR="005F0014" w:rsidRPr="005F0014" w:rsidRDefault="005F0014" w:rsidP="005F0014">
      <w:pPr>
        <w:pStyle w:val="ListParagraph"/>
        <w:numPr>
          <w:ilvl w:val="0"/>
          <w:numId w:val="40"/>
        </w:numPr>
        <w:spacing w:line="240" w:lineRule="auto"/>
        <w:rPr>
          <w:rFonts w:eastAsia="Times New Roman" w:cs="Arial"/>
          <w:sz w:val="28"/>
          <w:szCs w:val="28"/>
          <w:lang w:eastAsia="bg-BG"/>
        </w:rPr>
      </w:pPr>
      <w:r w:rsidRPr="005F0014">
        <w:rPr>
          <w:rFonts w:eastAsia="Times New Roman" w:cs="Arial"/>
          <w:color w:val="000000"/>
          <w:lang w:eastAsia="bg-BG"/>
        </w:rPr>
        <w:t>Свръхчувствителност към активното вещество или към някое от помощните вещества, изброени в точка 6.1.</w:t>
      </w:r>
    </w:p>
    <w:p w14:paraId="1C82202B" w14:textId="77777777" w:rsidR="005F0014" w:rsidRPr="005F0014" w:rsidRDefault="005F0014" w:rsidP="005F0014">
      <w:pPr>
        <w:pStyle w:val="ListParagraph"/>
        <w:numPr>
          <w:ilvl w:val="0"/>
          <w:numId w:val="40"/>
        </w:numPr>
        <w:spacing w:line="240" w:lineRule="auto"/>
        <w:rPr>
          <w:rFonts w:eastAsia="Times New Roman" w:cs="Arial"/>
          <w:sz w:val="28"/>
          <w:szCs w:val="28"/>
          <w:lang w:eastAsia="bg-BG"/>
        </w:rPr>
      </w:pPr>
      <w:r w:rsidRPr="005F0014">
        <w:rPr>
          <w:rFonts w:eastAsia="Times New Roman" w:cs="Arial"/>
          <w:color w:val="000000"/>
          <w:lang w:eastAsia="bg-BG"/>
        </w:rPr>
        <w:t>Солифенацин е противопоказан при пациенти: със задържане на урина, тежко стомашно- чревно заболяване (включително токсичен мегаколон), миастения гравис или тясноъгълна глаукома и при пациенти с риск от тези заболявания;</w:t>
      </w:r>
    </w:p>
    <w:p w14:paraId="026FCD14" w14:textId="77777777" w:rsidR="005F0014" w:rsidRPr="005F0014" w:rsidRDefault="005F0014" w:rsidP="005F0014">
      <w:pPr>
        <w:pStyle w:val="ListParagraph"/>
        <w:numPr>
          <w:ilvl w:val="0"/>
          <w:numId w:val="40"/>
        </w:numPr>
        <w:spacing w:line="240" w:lineRule="auto"/>
        <w:rPr>
          <w:rFonts w:eastAsia="Times New Roman" w:cs="Arial"/>
          <w:sz w:val="28"/>
          <w:szCs w:val="28"/>
          <w:lang w:eastAsia="bg-BG"/>
        </w:rPr>
      </w:pPr>
      <w:r w:rsidRPr="005F0014">
        <w:rPr>
          <w:rFonts w:eastAsia="Times New Roman" w:cs="Arial"/>
          <w:color w:val="000000"/>
          <w:lang w:eastAsia="bg-BG"/>
        </w:rPr>
        <w:t>Пациенти, подложени на хемодиализа (вж. точка 5.2);</w:t>
      </w:r>
    </w:p>
    <w:p w14:paraId="5A41A86A" w14:textId="77777777" w:rsidR="005F0014" w:rsidRPr="005F0014" w:rsidRDefault="005F0014" w:rsidP="005F0014">
      <w:pPr>
        <w:pStyle w:val="ListParagraph"/>
        <w:numPr>
          <w:ilvl w:val="0"/>
          <w:numId w:val="40"/>
        </w:numPr>
        <w:spacing w:line="240" w:lineRule="auto"/>
        <w:rPr>
          <w:rFonts w:eastAsia="Times New Roman" w:cs="Arial"/>
          <w:sz w:val="28"/>
          <w:szCs w:val="28"/>
          <w:lang w:eastAsia="bg-BG"/>
        </w:rPr>
      </w:pPr>
      <w:r w:rsidRPr="005F0014">
        <w:rPr>
          <w:rFonts w:eastAsia="Times New Roman" w:cs="Arial"/>
          <w:color w:val="000000"/>
          <w:lang w:eastAsia="bg-BG"/>
        </w:rPr>
        <w:t>Пациенти с тежко чернодробно увреждане (вж. точка 5.2)</w:t>
      </w:r>
    </w:p>
    <w:p w14:paraId="1DE1FE64" w14:textId="05604B9E" w:rsidR="005F0014" w:rsidRPr="005F0014" w:rsidRDefault="005F0014" w:rsidP="005F0014">
      <w:pPr>
        <w:pStyle w:val="ListParagraph"/>
        <w:numPr>
          <w:ilvl w:val="0"/>
          <w:numId w:val="40"/>
        </w:numPr>
        <w:spacing w:line="240" w:lineRule="auto"/>
        <w:rPr>
          <w:rFonts w:eastAsia="Times New Roman" w:cs="Arial"/>
          <w:sz w:val="28"/>
          <w:szCs w:val="28"/>
          <w:lang w:eastAsia="bg-BG"/>
        </w:rPr>
      </w:pPr>
      <w:r w:rsidRPr="005F0014">
        <w:rPr>
          <w:rFonts w:eastAsia="Times New Roman" w:cs="Arial"/>
          <w:color w:val="000000"/>
          <w:lang w:eastAsia="bg-BG"/>
        </w:rPr>
        <w:t xml:space="preserve">Пациенти с тежко бъбречно увреждане или умерено чернодробно увреждане и които са на лечение с мощен </w:t>
      </w:r>
      <w:r w:rsidRPr="005F0014">
        <w:rPr>
          <w:rFonts w:eastAsia="Times New Roman" w:cs="Arial"/>
          <w:color w:val="000000"/>
          <w:lang w:val="en-US"/>
        </w:rPr>
        <w:t xml:space="preserve">CYP3A4 </w:t>
      </w:r>
      <w:r w:rsidRPr="005F0014">
        <w:rPr>
          <w:rFonts w:eastAsia="Times New Roman" w:cs="Arial"/>
          <w:color w:val="000000"/>
          <w:lang w:eastAsia="bg-BG"/>
        </w:rPr>
        <w:t>инхибитор, напр. кетоконазол (вж. точка 4.5).</w:t>
      </w:r>
    </w:p>
    <w:p w14:paraId="51F115CE" w14:textId="77777777" w:rsidR="005F0014" w:rsidRPr="005F0014" w:rsidRDefault="005F0014" w:rsidP="005F0014"/>
    <w:p w14:paraId="0C106098" w14:textId="72000612" w:rsidR="001A6EBD" w:rsidRDefault="002C50EE" w:rsidP="00471F10">
      <w:pPr>
        <w:pStyle w:val="Heading2"/>
      </w:pPr>
      <w:r>
        <w:t>4.4. Специални предупреждения и предпазни мерки при употреба</w:t>
      </w:r>
    </w:p>
    <w:p w14:paraId="05F5E2FE" w14:textId="4511E6E4" w:rsidR="005F0014" w:rsidRDefault="005F0014" w:rsidP="005F0014"/>
    <w:p w14:paraId="2D945E22" w14:textId="77777777" w:rsidR="005F0014" w:rsidRPr="005F0014" w:rsidRDefault="005F0014" w:rsidP="005F0014">
      <w:pPr>
        <w:spacing w:line="240" w:lineRule="auto"/>
        <w:rPr>
          <w:rFonts w:eastAsia="Times New Roman" w:cs="Arial"/>
          <w:sz w:val="28"/>
          <w:szCs w:val="28"/>
          <w:lang w:eastAsia="bg-BG"/>
        </w:rPr>
      </w:pPr>
      <w:r w:rsidRPr="005F0014">
        <w:rPr>
          <w:rFonts w:eastAsia="Times New Roman" w:cs="Arial"/>
          <w:color w:val="000000"/>
          <w:lang w:eastAsia="bg-BG"/>
        </w:rPr>
        <w:t>Преди лечението със солифенацин трябва да се направи оценка на другите причини за често уриниране (сърдечна недостатъчност или бъбречно заболяване). При наличие на инфекция на пикочните пътища трябва да се започне подходяща антибактериална терапия.</w:t>
      </w:r>
    </w:p>
    <w:p w14:paraId="14E5A07B" w14:textId="77777777" w:rsidR="005F0014" w:rsidRPr="005F0014" w:rsidRDefault="005F0014" w:rsidP="005F0014">
      <w:pPr>
        <w:spacing w:line="240" w:lineRule="auto"/>
        <w:rPr>
          <w:rFonts w:eastAsia="Times New Roman" w:cs="Arial"/>
          <w:color w:val="000000"/>
          <w:lang w:eastAsia="bg-BG"/>
        </w:rPr>
      </w:pPr>
    </w:p>
    <w:p w14:paraId="2FEC1186" w14:textId="2F48BF74" w:rsidR="005F0014" w:rsidRPr="005F0014" w:rsidRDefault="005F0014" w:rsidP="005F0014">
      <w:pPr>
        <w:spacing w:line="240" w:lineRule="auto"/>
        <w:rPr>
          <w:rFonts w:eastAsia="Times New Roman" w:cs="Arial"/>
          <w:sz w:val="28"/>
          <w:szCs w:val="28"/>
          <w:lang w:eastAsia="bg-BG"/>
        </w:rPr>
      </w:pPr>
      <w:r w:rsidRPr="005F0014">
        <w:rPr>
          <w:rFonts w:eastAsia="Times New Roman" w:cs="Arial"/>
          <w:color w:val="000000"/>
          <w:lang w:eastAsia="bg-BG"/>
        </w:rPr>
        <w:t>Солифенакон трябва да се прилага внимателно при пациенти с:</w:t>
      </w:r>
    </w:p>
    <w:p w14:paraId="6236553F" w14:textId="77777777" w:rsidR="005F0014" w:rsidRPr="005F0014" w:rsidRDefault="005F0014" w:rsidP="005F0014">
      <w:pPr>
        <w:pStyle w:val="ListParagraph"/>
        <w:numPr>
          <w:ilvl w:val="0"/>
          <w:numId w:val="40"/>
        </w:numPr>
        <w:spacing w:line="240" w:lineRule="auto"/>
        <w:rPr>
          <w:rFonts w:eastAsia="Times New Roman" w:cs="Arial"/>
          <w:sz w:val="28"/>
          <w:szCs w:val="28"/>
          <w:lang w:eastAsia="bg-BG"/>
        </w:rPr>
      </w:pPr>
      <w:r w:rsidRPr="005F0014">
        <w:rPr>
          <w:rFonts w:eastAsia="Times New Roman" w:cs="Arial"/>
          <w:color w:val="000000"/>
          <w:lang w:eastAsia="bg-BG"/>
        </w:rPr>
        <w:t>клинично значима обструкция на оттичането на пикочния мехур, с риск от задържане на урина;</w:t>
      </w:r>
    </w:p>
    <w:p w14:paraId="014A496A" w14:textId="77777777" w:rsidR="005F0014" w:rsidRPr="005F0014" w:rsidRDefault="005F0014" w:rsidP="005F0014">
      <w:pPr>
        <w:pStyle w:val="ListParagraph"/>
        <w:numPr>
          <w:ilvl w:val="0"/>
          <w:numId w:val="40"/>
        </w:numPr>
        <w:spacing w:line="240" w:lineRule="auto"/>
        <w:rPr>
          <w:rFonts w:eastAsia="Times New Roman" w:cs="Arial"/>
          <w:sz w:val="28"/>
          <w:szCs w:val="28"/>
          <w:lang w:eastAsia="bg-BG"/>
        </w:rPr>
      </w:pPr>
      <w:r w:rsidRPr="005F0014">
        <w:rPr>
          <w:rFonts w:eastAsia="Times New Roman" w:cs="Arial"/>
          <w:color w:val="000000"/>
          <w:lang w:eastAsia="bg-BG"/>
        </w:rPr>
        <w:t>обструктивни стомашно-чревни нарушения;</w:t>
      </w:r>
    </w:p>
    <w:p w14:paraId="04BD78E2" w14:textId="77777777" w:rsidR="005F0014" w:rsidRPr="005F0014" w:rsidRDefault="005F0014" w:rsidP="005F0014">
      <w:pPr>
        <w:pStyle w:val="ListParagraph"/>
        <w:numPr>
          <w:ilvl w:val="0"/>
          <w:numId w:val="40"/>
        </w:numPr>
        <w:spacing w:line="240" w:lineRule="auto"/>
        <w:rPr>
          <w:rFonts w:eastAsia="Times New Roman" w:cs="Arial"/>
          <w:sz w:val="28"/>
          <w:szCs w:val="28"/>
          <w:lang w:eastAsia="bg-BG"/>
        </w:rPr>
      </w:pPr>
      <w:r w:rsidRPr="005F0014">
        <w:rPr>
          <w:rFonts w:eastAsia="Times New Roman" w:cs="Arial"/>
          <w:color w:val="000000"/>
          <w:lang w:eastAsia="bg-BG"/>
        </w:rPr>
        <w:lastRenderedPageBreak/>
        <w:t>риск от понижен стомашно-чревен мотилитет;</w:t>
      </w:r>
    </w:p>
    <w:p w14:paraId="0E62AA9C" w14:textId="77777777" w:rsidR="005F0014" w:rsidRPr="005F0014" w:rsidRDefault="005F0014" w:rsidP="005F0014">
      <w:pPr>
        <w:pStyle w:val="ListParagraph"/>
        <w:numPr>
          <w:ilvl w:val="0"/>
          <w:numId w:val="40"/>
        </w:numPr>
        <w:spacing w:line="240" w:lineRule="auto"/>
        <w:rPr>
          <w:rFonts w:eastAsia="Times New Roman" w:cs="Arial"/>
          <w:sz w:val="28"/>
          <w:szCs w:val="28"/>
          <w:lang w:eastAsia="bg-BG"/>
        </w:rPr>
      </w:pPr>
      <w:r w:rsidRPr="005F0014">
        <w:rPr>
          <w:rFonts w:eastAsia="Times New Roman" w:cs="Arial"/>
          <w:color w:val="000000"/>
          <w:lang w:eastAsia="bg-BG"/>
        </w:rPr>
        <w:t xml:space="preserve">тежко бъбречно увреждане (креатининов клирънс &lt;30 </w:t>
      </w:r>
      <w:r w:rsidRPr="005F0014">
        <w:rPr>
          <w:rFonts w:eastAsia="Times New Roman" w:cs="Arial"/>
          <w:color w:val="000000"/>
          <w:lang w:val="en-US"/>
        </w:rPr>
        <w:t xml:space="preserve">ml/min; </w:t>
      </w:r>
      <w:r w:rsidRPr="005F0014">
        <w:rPr>
          <w:rFonts w:eastAsia="Times New Roman" w:cs="Arial"/>
          <w:color w:val="000000"/>
          <w:lang w:eastAsia="bg-BG"/>
        </w:rPr>
        <w:t xml:space="preserve">вж. точки 4.2 и 5.2), като дозите за тези пациенти не трябва да надвишават 5 </w:t>
      </w:r>
      <w:r w:rsidRPr="005F0014">
        <w:rPr>
          <w:rFonts w:eastAsia="Times New Roman" w:cs="Arial"/>
          <w:color w:val="000000"/>
          <w:lang w:val="en-US"/>
        </w:rPr>
        <w:t>mg;</w:t>
      </w:r>
    </w:p>
    <w:p w14:paraId="71358AD2" w14:textId="77777777" w:rsidR="005F0014" w:rsidRPr="005F0014" w:rsidRDefault="005F0014" w:rsidP="005F0014">
      <w:pPr>
        <w:pStyle w:val="ListParagraph"/>
        <w:numPr>
          <w:ilvl w:val="0"/>
          <w:numId w:val="40"/>
        </w:numPr>
        <w:spacing w:line="240" w:lineRule="auto"/>
        <w:rPr>
          <w:rFonts w:eastAsia="Times New Roman" w:cs="Arial"/>
          <w:sz w:val="28"/>
          <w:szCs w:val="28"/>
          <w:lang w:eastAsia="bg-BG"/>
        </w:rPr>
      </w:pPr>
      <w:r w:rsidRPr="005F0014">
        <w:rPr>
          <w:rFonts w:eastAsia="Times New Roman" w:cs="Arial"/>
          <w:color w:val="000000"/>
          <w:lang w:eastAsia="bg-BG"/>
        </w:rPr>
        <w:t xml:space="preserve">умерено чернодробно увреждане (скор по </w:t>
      </w:r>
      <w:r w:rsidRPr="005F0014">
        <w:rPr>
          <w:rFonts w:eastAsia="Times New Roman" w:cs="Arial"/>
          <w:color w:val="000000"/>
          <w:lang w:val="en-US"/>
        </w:rPr>
        <w:t xml:space="preserve">Child-Pugh </w:t>
      </w:r>
      <w:r w:rsidRPr="005F0014">
        <w:rPr>
          <w:rFonts w:eastAsia="Times New Roman" w:cs="Arial"/>
          <w:color w:val="000000"/>
          <w:lang w:eastAsia="bg-BG"/>
        </w:rPr>
        <w:t xml:space="preserve">от 7 до 9; вж.точки 4.2 и 5.2), като дозите за тези пациенти не трябва да надвишава 5 </w:t>
      </w:r>
      <w:r w:rsidRPr="005F0014">
        <w:rPr>
          <w:rFonts w:eastAsia="Times New Roman" w:cs="Arial"/>
          <w:color w:val="000000"/>
          <w:lang w:val="en-US"/>
        </w:rPr>
        <w:t>mg;</w:t>
      </w:r>
    </w:p>
    <w:p w14:paraId="1A5BB95F" w14:textId="77777777" w:rsidR="005F0014" w:rsidRPr="005F0014" w:rsidRDefault="005F0014" w:rsidP="005F0014">
      <w:pPr>
        <w:pStyle w:val="ListParagraph"/>
        <w:numPr>
          <w:ilvl w:val="0"/>
          <w:numId w:val="40"/>
        </w:numPr>
        <w:spacing w:line="240" w:lineRule="auto"/>
        <w:rPr>
          <w:rFonts w:eastAsia="Times New Roman" w:cs="Arial"/>
          <w:sz w:val="28"/>
          <w:szCs w:val="28"/>
          <w:lang w:eastAsia="bg-BG"/>
        </w:rPr>
      </w:pPr>
      <w:r w:rsidRPr="005F0014">
        <w:rPr>
          <w:rFonts w:eastAsia="Times New Roman" w:cs="Arial"/>
          <w:color w:val="000000"/>
          <w:lang w:eastAsia="bg-BG"/>
        </w:rPr>
        <w:t xml:space="preserve">едновременна употреба на мощен </w:t>
      </w:r>
      <w:r w:rsidRPr="005F0014">
        <w:rPr>
          <w:rFonts w:eastAsia="Times New Roman" w:cs="Arial"/>
          <w:color w:val="000000"/>
          <w:lang w:val="en-US"/>
        </w:rPr>
        <w:t xml:space="preserve">CYP3A4 </w:t>
      </w:r>
      <w:r w:rsidRPr="005F0014">
        <w:rPr>
          <w:rFonts w:eastAsia="Times New Roman" w:cs="Arial"/>
          <w:color w:val="000000"/>
          <w:lang w:eastAsia="bg-BG"/>
        </w:rPr>
        <w:t>инхибитор, напр. кетоконазол (вж. точки 4.2 и 4.5);</w:t>
      </w:r>
    </w:p>
    <w:p w14:paraId="5EC0C579" w14:textId="77777777" w:rsidR="005F0014" w:rsidRPr="005F0014" w:rsidRDefault="005F0014" w:rsidP="005F0014">
      <w:pPr>
        <w:pStyle w:val="ListParagraph"/>
        <w:numPr>
          <w:ilvl w:val="0"/>
          <w:numId w:val="40"/>
        </w:numPr>
        <w:spacing w:line="240" w:lineRule="auto"/>
        <w:rPr>
          <w:rFonts w:eastAsia="Times New Roman" w:cs="Arial"/>
          <w:sz w:val="28"/>
          <w:szCs w:val="28"/>
          <w:lang w:eastAsia="bg-BG"/>
        </w:rPr>
      </w:pPr>
      <w:r w:rsidRPr="005F0014">
        <w:rPr>
          <w:rFonts w:eastAsia="Times New Roman" w:cs="Arial"/>
          <w:color w:val="000000"/>
          <w:lang w:eastAsia="bg-BG"/>
        </w:rPr>
        <w:t>хиатусова херния/гастроезофагеален рефлукс и/или пациенти, приемащи едновременно лекарствени продукти (като бифосфонати), които могат да причинят или да обострят езофагит;</w:t>
      </w:r>
    </w:p>
    <w:p w14:paraId="2C4D469B" w14:textId="0B5BE083" w:rsidR="005F0014" w:rsidRPr="005F0014" w:rsidRDefault="005F0014" w:rsidP="005F0014">
      <w:pPr>
        <w:pStyle w:val="ListParagraph"/>
        <w:numPr>
          <w:ilvl w:val="0"/>
          <w:numId w:val="40"/>
        </w:numPr>
        <w:spacing w:line="240" w:lineRule="auto"/>
        <w:rPr>
          <w:rFonts w:eastAsia="Times New Roman" w:cs="Arial"/>
          <w:sz w:val="28"/>
          <w:szCs w:val="28"/>
          <w:lang w:eastAsia="bg-BG"/>
        </w:rPr>
      </w:pPr>
      <w:r w:rsidRPr="005F0014">
        <w:rPr>
          <w:rFonts w:eastAsia="Times New Roman" w:cs="Arial"/>
          <w:color w:val="000000"/>
          <w:lang w:eastAsia="bg-BG"/>
        </w:rPr>
        <w:t>автономна невропатия.</w:t>
      </w:r>
    </w:p>
    <w:p w14:paraId="43BBDA47" w14:textId="77777777" w:rsidR="005F0014" w:rsidRPr="005F0014" w:rsidRDefault="005F0014" w:rsidP="005F0014">
      <w:pPr>
        <w:spacing w:line="240" w:lineRule="auto"/>
        <w:rPr>
          <w:rFonts w:eastAsia="Times New Roman" w:cs="Arial"/>
          <w:color w:val="000000"/>
          <w:lang w:eastAsia="bg-BG"/>
        </w:rPr>
      </w:pPr>
    </w:p>
    <w:p w14:paraId="2B9A6933" w14:textId="2464A287" w:rsidR="005F0014" w:rsidRPr="005F0014" w:rsidRDefault="005F0014" w:rsidP="005F0014">
      <w:pPr>
        <w:spacing w:line="240" w:lineRule="auto"/>
        <w:rPr>
          <w:rFonts w:eastAsia="Times New Roman" w:cs="Arial"/>
          <w:sz w:val="28"/>
          <w:szCs w:val="28"/>
          <w:lang w:eastAsia="bg-BG"/>
        </w:rPr>
      </w:pPr>
      <w:r w:rsidRPr="005F0014">
        <w:rPr>
          <w:rFonts w:eastAsia="Times New Roman" w:cs="Arial"/>
          <w:color w:val="000000"/>
          <w:lang w:eastAsia="bg-BG"/>
        </w:rPr>
        <w:t xml:space="preserve">Удължаване на </w:t>
      </w:r>
      <w:r w:rsidRPr="005F0014">
        <w:rPr>
          <w:rFonts w:eastAsia="Times New Roman" w:cs="Arial"/>
          <w:color w:val="000000"/>
          <w:lang w:val="en-US"/>
        </w:rPr>
        <w:t xml:space="preserve">QT </w:t>
      </w:r>
      <w:r w:rsidRPr="005F0014">
        <w:rPr>
          <w:rFonts w:eastAsia="Times New Roman" w:cs="Arial"/>
          <w:color w:val="000000"/>
          <w:lang w:eastAsia="bg-BG"/>
        </w:rPr>
        <w:t xml:space="preserve">интервала и </w:t>
      </w:r>
      <w:r w:rsidRPr="005F0014">
        <w:rPr>
          <w:rFonts w:eastAsia="Times New Roman" w:cs="Arial"/>
          <w:color w:val="000000"/>
          <w:lang w:val="en-US"/>
        </w:rPr>
        <w:t xml:space="preserve">Torsade de Pointes </w:t>
      </w:r>
      <w:r w:rsidRPr="005F0014">
        <w:rPr>
          <w:rFonts w:eastAsia="Times New Roman" w:cs="Arial"/>
          <w:color w:val="000000"/>
          <w:lang w:eastAsia="bg-BG"/>
        </w:rPr>
        <w:t xml:space="preserve">са наблюдавани при пациенти с рискови фактори като съществуващ синдром на удължен </w:t>
      </w:r>
      <w:r w:rsidRPr="005F0014">
        <w:rPr>
          <w:rFonts w:eastAsia="Times New Roman" w:cs="Arial"/>
          <w:color w:val="000000"/>
          <w:lang w:val="en-US"/>
        </w:rPr>
        <w:t xml:space="preserve">QT </w:t>
      </w:r>
      <w:r w:rsidRPr="005F0014">
        <w:rPr>
          <w:rFonts w:eastAsia="Times New Roman" w:cs="Arial"/>
          <w:color w:val="000000"/>
          <w:lang w:eastAsia="bg-BG"/>
        </w:rPr>
        <w:t>интервал и хипокалиемия.</w:t>
      </w:r>
    </w:p>
    <w:p w14:paraId="72BA3662" w14:textId="77777777" w:rsidR="005F0014" w:rsidRPr="005F0014" w:rsidRDefault="005F0014" w:rsidP="005F0014">
      <w:pPr>
        <w:spacing w:line="240" w:lineRule="auto"/>
        <w:rPr>
          <w:rFonts w:eastAsia="Times New Roman" w:cs="Arial"/>
          <w:color w:val="000000"/>
          <w:lang w:eastAsia="bg-BG"/>
        </w:rPr>
      </w:pPr>
    </w:p>
    <w:p w14:paraId="5DC296ED" w14:textId="18B1A957" w:rsidR="005F0014" w:rsidRPr="005F0014" w:rsidRDefault="005F0014" w:rsidP="005F0014">
      <w:pPr>
        <w:spacing w:line="240" w:lineRule="auto"/>
        <w:rPr>
          <w:rFonts w:eastAsia="Times New Roman" w:cs="Arial"/>
          <w:sz w:val="28"/>
          <w:szCs w:val="28"/>
          <w:lang w:eastAsia="bg-BG"/>
        </w:rPr>
      </w:pPr>
      <w:r w:rsidRPr="005F0014">
        <w:rPr>
          <w:rFonts w:eastAsia="Times New Roman" w:cs="Arial"/>
          <w:color w:val="000000"/>
          <w:lang w:eastAsia="bg-BG"/>
        </w:rPr>
        <w:t>Безопасността и ефикасността при пациенти с неврогенна причина за свръхактивност на детрузора все още не са установени.</w:t>
      </w:r>
    </w:p>
    <w:p w14:paraId="6857E8CE" w14:textId="77777777" w:rsidR="005F0014" w:rsidRPr="005F0014" w:rsidRDefault="005F0014" w:rsidP="005F0014">
      <w:pPr>
        <w:rPr>
          <w:rFonts w:eastAsia="Times New Roman" w:cs="Arial"/>
          <w:color w:val="000000"/>
          <w:lang w:eastAsia="bg-BG"/>
        </w:rPr>
      </w:pPr>
    </w:p>
    <w:p w14:paraId="5AD390A5" w14:textId="0F8B14E9" w:rsidR="005F0014" w:rsidRPr="005F0014" w:rsidRDefault="005F0014" w:rsidP="005F0014">
      <w:pPr>
        <w:rPr>
          <w:rFonts w:eastAsia="Times New Roman" w:cs="Arial"/>
          <w:color w:val="000000"/>
          <w:lang w:eastAsia="bg-BG"/>
        </w:rPr>
      </w:pPr>
      <w:r w:rsidRPr="005F0014">
        <w:rPr>
          <w:rFonts w:eastAsia="Times New Roman" w:cs="Arial"/>
          <w:color w:val="000000"/>
          <w:lang w:eastAsia="bg-BG"/>
        </w:rPr>
        <w:t xml:space="preserve">Пациенти с редки наследствени проблеми на галактозна непоносимост, </w:t>
      </w:r>
      <w:r w:rsidRPr="005F0014">
        <w:rPr>
          <w:rFonts w:eastAsia="Times New Roman" w:cs="Arial"/>
          <w:color w:val="000000"/>
          <w:lang w:val="en-US"/>
        </w:rPr>
        <w:t>Lapp</w:t>
      </w:r>
      <w:r w:rsidRPr="005F0014">
        <w:rPr>
          <w:rFonts w:eastAsia="Times New Roman" w:cs="Arial"/>
          <w:color w:val="000000"/>
          <w:lang w:eastAsia="bg-BG"/>
        </w:rPr>
        <w:t xml:space="preserve"> лактазен дефицит или глюкозо-галактозна малабсорбция не трябва да приемат това лекарство.</w:t>
      </w:r>
    </w:p>
    <w:p w14:paraId="65ADDB99" w14:textId="59CE7C2F" w:rsidR="005F0014" w:rsidRPr="005F0014" w:rsidRDefault="005F0014" w:rsidP="005F0014">
      <w:pPr>
        <w:rPr>
          <w:rFonts w:eastAsia="Times New Roman" w:cs="Arial"/>
          <w:color w:val="000000"/>
          <w:lang w:eastAsia="bg-BG"/>
        </w:rPr>
      </w:pPr>
    </w:p>
    <w:p w14:paraId="6680CEC0" w14:textId="77777777" w:rsidR="005F0014" w:rsidRPr="005F0014" w:rsidRDefault="005F0014" w:rsidP="005F0014">
      <w:pPr>
        <w:spacing w:line="240" w:lineRule="auto"/>
        <w:rPr>
          <w:rFonts w:eastAsia="Times New Roman" w:cs="Arial"/>
          <w:sz w:val="28"/>
          <w:szCs w:val="28"/>
          <w:lang w:eastAsia="bg-BG"/>
        </w:rPr>
      </w:pPr>
      <w:r w:rsidRPr="005F0014">
        <w:rPr>
          <w:rFonts w:eastAsia="Times New Roman" w:cs="Arial"/>
          <w:color w:val="000000"/>
          <w:lang w:eastAsia="bg-BG"/>
        </w:rPr>
        <w:t>Има съобщения за ангиоедем с обструкция на дихателните пътища при някои пациенти приемащи солифенацин. При поява на аигиоедем, лечението със солифенацин трябва да се преустанови и да се предприемат подходяща терапия и/или мерки.</w:t>
      </w:r>
    </w:p>
    <w:p w14:paraId="235B8FB9" w14:textId="77777777" w:rsidR="005F0014" w:rsidRPr="005F0014" w:rsidRDefault="005F0014" w:rsidP="005F0014">
      <w:pPr>
        <w:spacing w:line="240" w:lineRule="auto"/>
        <w:rPr>
          <w:rFonts w:eastAsia="Times New Roman" w:cs="Arial"/>
          <w:color w:val="000000"/>
          <w:lang w:eastAsia="bg-BG"/>
        </w:rPr>
      </w:pPr>
    </w:p>
    <w:p w14:paraId="7688877E" w14:textId="6C0BFFA7" w:rsidR="005F0014" w:rsidRPr="005F0014" w:rsidRDefault="005F0014" w:rsidP="005F0014">
      <w:pPr>
        <w:spacing w:line="240" w:lineRule="auto"/>
        <w:rPr>
          <w:rFonts w:eastAsia="Times New Roman" w:cs="Arial"/>
          <w:sz w:val="28"/>
          <w:szCs w:val="28"/>
          <w:lang w:eastAsia="bg-BG"/>
        </w:rPr>
      </w:pPr>
      <w:r w:rsidRPr="005F0014">
        <w:rPr>
          <w:rFonts w:eastAsia="Times New Roman" w:cs="Arial"/>
          <w:color w:val="000000"/>
          <w:lang w:eastAsia="bg-BG"/>
        </w:rPr>
        <w:t>Има съобщения за анафилактична реакция при някои пациенти, лекувани със солифенацинов суксинат. При пациентите, развили анафилактични реакции, лечението със солифенацинов суксинат трябва да се преустанови и да се предприемат подходяща терапия и/или мерки.</w:t>
      </w:r>
    </w:p>
    <w:p w14:paraId="5033BDFA" w14:textId="77777777" w:rsidR="005F0014" w:rsidRPr="005F0014" w:rsidRDefault="005F0014" w:rsidP="005F0014">
      <w:pPr>
        <w:rPr>
          <w:rFonts w:eastAsia="Times New Roman" w:cs="Arial"/>
          <w:color w:val="000000"/>
          <w:lang w:eastAsia="bg-BG"/>
        </w:rPr>
      </w:pPr>
    </w:p>
    <w:p w14:paraId="617EFDB9" w14:textId="0AA56EF9" w:rsidR="005F0014" w:rsidRPr="005F0014" w:rsidRDefault="005F0014" w:rsidP="005F0014">
      <w:pPr>
        <w:rPr>
          <w:rFonts w:eastAsia="Times New Roman" w:cs="Arial"/>
          <w:color w:val="000000"/>
          <w:lang w:eastAsia="bg-BG"/>
        </w:rPr>
      </w:pPr>
      <w:r w:rsidRPr="005F0014">
        <w:rPr>
          <w:rFonts w:eastAsia="Times New Roman" w:cs="Arial"/>
          <w:color w:val="000000"/>
          <w:lang w:eastAsia="bg-BG"/>
        </w:rPr>
        <w:t>Максималният ефект от Солифенакон може да бъде определен най-рано след 4 седмици.</w:t>
      </w:r>
    </w:p>
    <w:p w14:paraId="079EF3DE" w14:textId="77777777" w:rsidR="005F0014" w:rsidRPr="005F0014" w:rsidRDefault="005F0014" w:rsidP="005F0014"/>
    <w:p w14:paraId="7ABEA351" w14:textId="45F0EEC3" w:rsidR="00A71DCF" w:rsidRDefault="002C50EE" w:rsidP="00A93499">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470485D5" w14:textId="138F11CD" w:rsidR="005F0014" w:rsidRDefault="005F0014" w:rsidP="005F0014"/>
    <w:p w14:paraId="11781376" w14:textId="77777777" w:rsidR="005F0014" w:rsidRPr="005F0014" w:rsidRDefault="005F0014" w:rsidP="005F0014">
      <w:pPr>
        <w:spacing w:line="240" w:lineRule="auto"/>
        <w:rPr>
          <w:rFonts w:eastAsia="Times New Roman" w:cs="Arial"/>
          <w:sz w:val="28"/>
          <w:szCs w:val="28"/>
          <w:lang w:eastAsia="bg-BG"/>
        </w:rPr>
      </w:pPr>
      <w:r w:rsidRPr="005F0014">
        <w:rPr>
          <w:rFonts w:eastAsia="Times New Roman" w:cs="Arial"/>
          <w:color w:val="000000"/>
          <w:u w:val="single"/>
          <w:lang w:eastAsia="bg-BG"/>
        </w:rPr>
        <w:t>Фармакологични взаимодействия</w:t>
      </w:r>
    </w:p>
    <w:p w14:paraId="468F546F" w14:textId="77777777" w:rsidR="005F0014" w:rsidRPr="005F0014" w:rsidRDefault="005F0014" w:rsidP="005F0014">
      <w:pPr>
        <w:spacing w:line="240" w:lineRule="auto"/>
        <w:rPr>
          <w:rFonts w:eastAsia="Times New Roman" w:cs="Arial"/>
          <w:sz w:val="28"/>
          <w:szCs w:val="28"/>
          <w:lang w:eastAsia="bg-BG"/>
        </w:rPr>
      </w:pPr>
      <w:r w:rsidRPr="005F0014">
        <w:rPr>
          <w:rFonts w:eastAsia="Times New Roman" w:cs="Arial"/>
          <w:color w:val="000000"/>
          <w:lang w:eastAsia="bg-BG"/>
        </w:rPr>
        <w:t>Едновременното лечение с други лекарствени продукти с антихолинергични свойства може да доведе до по-изразени терапевтични ефекти и нежелани реакции. След спиране на лечението със Солифенакон е необходим интервал от приблизително една седмица преди да се започне лечение с друго антихолинергично средство. Терапевтичният ефект на солифенацин може да бъде понижен при едновременно приложение на агонисти на холинергичните рецептори.</w:t>
      </w:r>
    </w:p>
    <w:p w14:paraId="5F841543" w14:textId="77777777" w:rsidR="005F0014" w:rsidRPr="005F0014" w:rsidRDefault="005F0014" w:rsidP="005F0014">
      <w:pPr>
        <w:spacing w:line="240" w:lineRule="auto"/>
        <w:rPr>
          <w:rFonts w:eastAsia="Times New Roman" w:cs="Arial"/>
          <w:color w:val="000000"/>
          <w:lang w:eastAsia="bg-BG"/>
        </w:rPr>
      </w:pPr>
    </w:p>
    <w:p w14:paraId="03A6F381" w14:textId="34C4086D" w:rsidR="005F0014" w:rsidRPr="005F0014" w:rsidRDefault="005F0014" w:rsidP="005F0014">
      <w:pPr>
        <w:spacing w:line="240" w:lineRule="auto"/>
        <w:rPr>
          <w:rFonts w:eastAsia="Times New Roman" w:cs="Arial"/>
          <w:sz w:val="28"/>
          <w:szCs w:val="28"/>
          <w:lang w:eastAsia="bg-BG"/>
        </w:rPr>
      </w:pPr>
      <w:r w:rsidRPr="005F0014">
        <w:rPr>
          <w:rFonts w:eastAsia="Times New Roman" w:cs="Arial"/>
          <w:color w:val="000000"/>
          <w:lang w:eastAsia="bg-BG"/>
        </w:rPr>
        <w:t>Солифенацин може да понижи ефекта на лекарствените продукти, които стимулират мотилитета на стомашно-чревния тракт като метоклопрамид и цизаприд.</w:t>
      </w:r>
    </w:p>
    <w:p w14:paraId="086EA4FC" w14:textId="77777777" w:rsidR="005F0014" w:rsidRPr="005F0014" w:rsidRDefault="005F0014" w:rsidP="005F0014">
      <w:pPr>
        <w:spacing w:line="240" w:lineRule="auto"/>
        <w:rPr>
          <w:rFonts w:eastAsia="Times New Roman" w:cs="Arial"/>
          <w:color w:val="000000"/>
          <w:u w:val="single"/>
          <w:lang w:eastAsia="bg-BG"/>
        </w:rPr>
      </w:pPr>
    </w:p>
    <w:p w14:paraId="36D852C9" w14:textId="6930991C" w:rsidR="005F0014" w:rsidRPr="005F0014" w:rsidRDefault="005F0014" w:rsidP="005F0014">
      <w:pPr>
        <w:spacing w:line="240" w:lineRule="auto"/>
        <w:rPr>
          <w:rFonts w:eastAsia="Times New Roman" w:cs="Arial"/>
          <w:sz w:val="28"/>
          <w:szCs w:val="28"/>
          <w:lang w:eastAsia="bg-BG"/>
        </w:rPr>
      </w:pPr>
      <w:r w:rsidRPr="005F0014">
        <w:rPr>
          <w:rFonts w:eastAsia="Times New Roman" w:cs="Arial"/>
          <w:color w:val="000000"/>
          <w:u w:val="single"/>
          <w:lang w:eastAsia="bg-BG"/>
        </w:rPr>
        <w:t>Фармакокинетични взаимодействия</w:t>
      </w:r>
    </w:p>
    <w:p w14:paraId="23ECC855" w14:textId="77777777" w:rsidR="005F0014" w:rsidRPr="005F0014" w:rsidRDefault="005F0014" w:rsidP="005F0014">
      <w:pPr>
        <w:spacing w:line="240" w:lineRule="auto"/>
        <w:rPr>
          <w:rFonts w:eastAsia="Times New Roman" w:cs="Arial"/>
          <w:sz w:val="28"/>
          <w:szCs w:val="28"/>
          <w:lang w:eastAsia="bg-BG"/>
        </w:rPr>
      </w:pPr>
      <w:r w:rsidRPr="005F0014">
        <w:rPr>
          <w:rFonts w:eastAsia="Times New Roman" w:cs="Arial"/>
          <w:i/>
          <w:iCs/>
          <w:color w:val="000000"/>
          <w:lang w:val="en-US"/>
        </w:rPr>
        <w:t>In vitro</w:t>
      </w:r>
      <w:r w:rsidRPr="005F0014">
        <w:rPr>
          <w:rFonts w:eastAsia="Times New Roman" w:cs="Arial"/>
          <w:color w:val="000000"/>
          <w:lang w:val="en-US"/>
        </w:rPr>
        <w:t xml:space="preserve"> </w:t>
      </w:r>
      <w:r w:rsidRPr="005F0014">
        <w:rPr>
          <w:rFonts w:eastAsia="Times New Roman" w:cs="Arial"/>
          <w:color w:val="000000"/>
          <w:lang w:eastAsia="bg-BG"/>
        </w:rPr>
        <w:t xml:space="preserve">проучвания показват, че при терапевтични концентрации солифенацин не инхибира </w:t>
      </w:r>
      <w:r w:rsidRPr="005F0014">
        <w:rPr>
          <w:rFonts w:eastAsia="Times New Roman" w:cs="Arial"/>
          <w:color w:val="000000"/>
          <w:lang w:val="en-US"/>
        </w:rPr>
        <w:t xml:space="preserve">CYP1AV2, </w:t>
      </w:r>
      <w:r w:rsidRPr="005F0014">
        <w:rPr>
          <w:rFonts w:eastAsia="Times New Roman" w:cs="Arial"/>
          <w:color w:val="000000"/>
          <w:lang w:eastAsia="bg-BG"/>
        </w:rPr>
        <w:t xml:space="preserve">2С9, 2С19, </w:t>
      </w:r>
      <w:r w:rsidRPr="005F0014">
        <w:rPr>
          <w:rFonts w:eastAsia="Times New Roman" w:cs="Arial"/>
          <w:color w:val="000000"/>
          <w:lang w:val="en-US"/>
        </w:rPr>
        <w:t xml:space="preserve">2D6, </w:t>
      </w:r>
      <w:r w:rsidRPr="005F0014">
        <w:rPr>
          <w:rFonts w:eastAsia="Times New Roman" w:cs="Arial"/>
          <w:color w:val="000000"/>
          <w:lang w:eastAsia="bg-BG"/>
        </w:rPr>
        <w:t xml:space="preserve">или ЗА4 получени от човешки чернодробни </w:t>
      </w:r>
      <w:r w:rsidRPr="005F0014">
        <w:rPr>
          <w:rFonts w:eastAsia="Times New Roman" w:cs="Arial"/>
          <w:color w:val="000000"/>
          <w:lang w:eastAsia="bg-BG"/>
        </w:rPr>
        <w:lastRenderedPageBreak/>
        <w:t xml:space="preserve">микрозоми. Следователно, малко вероятно е солифенацин да промени клирънса на лекарства метаболизирани от тези </w:t>
      </w:r>
      <w:r w:rsidRPr="005F0014">
        <w:rPr>
          <w:rFonts w:eastAsia="Times New Roman" w:cs="Arial"/>
          <w:color w:val="000000"/>
          <w:lang w:val="en-US"/>
        </w:rPr>
        <w:t xml:space="preserve">CYP </w:t>
      </w:r>
      <w:r w:rsidRPr="005F0014">
        <w:rPr>
          <w:rFonts w:eastAsia="Times New Roman" w:cs="Arial"/>
          <w:color w:val="000000"/>
          <w:lang w:eastAsia="bg-BG"/>
        </w:rPr>
        <w:t>ензими.</w:t>
      </w:r>
    </w:p>
    <w:p w14:paraId="26611B70" w14:textId="77777777" w:rsidR="005F0014" w:rsidRPr="005F0014" w:rsidRDefault="005F0014" w:rsidP="005F0014">
      <w:pPr>
        <w:spacing w:line="240" w:lineRule="auto"/>
        <w:rPr>
          <w:rFonts w:eastAsia="Times New Roman" w:cs="Arial"/>
          <w:color w:val="000000"/>
          <w:u w:val="single"/>
          <w:lang w:eastAsia="bg-BG"/>
        </w:rPr>
      </w:pPr>
    </w:p>
    <w:p w14:paraId="4DCE1A27" w14:textId="17BC1AE9" w:rsidR="005F0014" w:rsidRPr="005F0014" w:rsidRDefault="005F0014" w:rsidP="005F0014">
      <w:pPr>
        <w:spacing w:line="240" w:lineRule="auto"/>
        <w:rPr>
          <w:rFonts w:eastAsia="Times New Roman" w:cs="Arial"/>
          <w:sz w:val="28"/>
          <w:szCs w:val="28"/>
          <w:lang w:eastAsia="bg-BG"/>
        </w:rPr>
      </w:pPr>
      <w:r w:rsidRPr="005F0014">
        <w:rPr>
          <w:rFonts w:eastAsia="Times New Roman" w:cs="Arial"/>
          <w:color w:val="000000"/>
          <w:u w:val="single"/>
          <w:lang w:eastAsia="bg-BG"/>
        </w:rPr>
        <w:t xml:space="preserve">Влияние на други лекарствени продукти върху фармакокинетичните свойства на солифенацин </w:t>
      </w:r>
      <w:r w:rsidRPr="005F0014">
        <w:rPr>
          <w:rFonts w:eastAsia="Times New Roman" w:cs="Arial"/>
          <w:color w:val="000000"/>
          <w:lang w:eastAsia="bg-BG"/>
        </w:rPr>
        <w:t xml:space="preserve">Солифенацин се метаболизира от </w:t>
      </w:r>
      <w:r w:rsidRPr="005F0014">
        <w:rPr>
          <w:rFonts w:eastAsia="Times New Roman" w:cs="Arial"/>
          <w:color w:val="000000"/>
          <w:lang w:val="en-US"/>
        </w:rPr>
        <w:t xml:space="preserve">CYP3A4. </w:t>
      </w:r>
      <w:r w:rsidRPr="005F0014">
        <w:rPr>
          <w:rFonts w:eastAsia="Times New Roman" w:cs="Arial"/>
          <w:color w:val="000000"/>
          <w:lang w:eastAsia="bg-BG"/>
        </w:rPr>
        <w:t xml:space="preserve">Едновременното приложение на кетоконазол (200 </w:t>
      </w:r>
      <w:r w:rsidRPr="005F0014">
        <w:rPr>
          <w:rFonts w:eastAsia="Times New Roman" w:cs="Arial"/>
          <w:color w:val="000000"/>
          <w:lang w:val="en-US"/>
        </w:rPr>
        <w:t>mg</w:t>
      </w:r>
      <w:r w:rsidRPr="005F0014">
        <w:rPr>
          <w:rFonts w:eastAsia="Times New Roman" w:cs="Arial"/>
          <w:color w:val="000000"/>
          <w:lang w:eastAsia="bg-BG"/>
        </w:rPr>
        <w:t xml:space="preserve">/ден), мощен </w:t>
      </w:r>
      <w:r w:rsidRPr="005F0014">
        <w:rPr>
          <w:rFonts w:eastAsia="Times New Roman" w:cs="Arial"/>
          <w:color w:val="000000"/>
          <w:lang w:val="en-US"/>
        </w:rPr>
        <w:t xml:space="preserve">CYP3A4 </w:t>
      </w:r>
      <w:r w:rsidRPr="005F0014">
        <w:rPr>
          <w:rFonts w:eastAsia="Times New Roman" w:cs="Arial"/>
          <w:color w:val="000000"/>
          <w:lang w:eastAsia="bg-BG"/>
        </w:rPr>
        <w:t xml:space="preserve">инхибитор, води до двукратно увеличение на </w:t>
      </w:r>
      <w:r w:rsidRPr="005F0014">
        <w:rPr>
          <w:rFonts w:eastAsia="Times New Roman" w:cs="Arial"/>
          <w:color w:val="000000"/>
          <w:lang w:val="en-US"/>
        </w:rPr>
        <w:t xml:space="preserve">AUC </w:t>
      </w:r>
      <w:r w:rsidRPr="005F0014">
        <w:rPr>
          <w:rFonts w:eastAsia="Times New Roman" w:cs="Arial"/>
          <w:color w:val="000000"/>
          <w:lang w:eastAsia="bg-BG"/>
        </w:rPr>
        <w:t xml:space="preserve">на солифенацин, докато едновременното приложение на кетоконазол в доза 400 </w:t>
      </w:r>
      <w:r w:rsidRPr="005F0014">
        <w:rPr>
          <w:rFonts w:eastAsia="Times New Roman" w:cs="Arial"/>
          <w:color w:val="000000"/>
          <w:lang w:val="en-US"/>
        </w:rPr>
        <w:t>mg</w:t>
      </w:r>
      <w:r w:rsidRPr="005F0014">
        <w:rPr>
          <w:rFonts w:eastAsia="Times New Roman" w:cs="Arial"/>
          <w:color w:val="000000"/>
          <w:lang w:eastAsia="bg-BG"/>
        </w:rPr>
        <w:t xml:space="preserve">/ден води до трикратно увеличаване на </w:t>
      </w:r>
      <w:r w:rsidRPr="005F0014">
        <w:rPr>
          <w:rFonts w:eastAsia="Times New Roman" w:cs="Arial"/>
          <w:color w:val="000000"/>
          <w:lang w:val="en-US"/>
        </w:rPr>
        <w:t xml:space="preserve">AUC </w:t>
      </w:r>
      <w:r w:rsidRPr="005F0014">
        <w:rPr>
          <w:rFonts w:eastAsia="Times New Roman" w:cs="Arial"/>
          <w:color w:val="000000"/>
          <w:lang w:eastAsia="bg-BG"/>
        </w:rPr>
        <w:t xml:space="preserve">на солифенацин. Следователно, максималната доза Солифенакон трябва да бъде ограничена до 5 </w:t>
      </w:r>
      <w:r w:rsidRPr="005F0014">
        <w:rPr>
          <w:rFonts w:eastAsia="Times New Roman" w:cs="Arial"/>
          <w:color w:val="000000"/>
          <w:lang w:val="en-US"/>
        </w:rPr>
        <w:t xml:space="preserve">mg, </w:t>
      </w:r>
      <w:r w:rsidRPr="005F0014">
        <w:rPr>
          <w:rFonts w:eastAsia="Times New Roman" w:cs="Arial"/>
          <w:color w:val="000000"/>
          <w:lang w:eastAsia="bg-BG"/>
        </w:rPr>
        <w:t xml:space="preserve">когато се използва едновременно с кетоконазол или терапевтични дози на други мощни </w:t>
      </w:r>
      <w:r w:rsidRPr="005F0014">
        <w:rPr>
          <w:rFonts w:eastAsia="Times New Roman" w:cs="Arial"/>
          <w:color w:val="000000"/>
          <w:lang w:val="en-US"/>
        </w:rPr>
        <w:t xml:space="preserve">CYP3A4 </w:t>
      </w:r>
      <w:r w:rsidRPr="005F0014">
        <w:rPr>
          <w:rFonts w:eastAsia="Times New Roman" w:cs="Arial"/>
          <w:color w:val="000000"/>
          <w:lang w:eastAsia="bg-BG"/>
        </w:rPr>
        <w:t>инхибитори (напр. ритонавир, нелфинавир, итраконазол (вж. точка 4.2).</w:t>
      </w:r>
    </w:p>
    <w:p w14:paraId="4E9A8DB4" w14:textId="77777777" w:rsidR="005F0014" w:rsidRPr="005F0014" w:rsidRDefault="005F0014" w:rsidP="005F0014">
      <w:pPr>
        <w:spacing w:line="240" w:lineRule="auto"/>
        <w:rPr>
          <w:rFonts w:eastAsia="Times New Roman" w:cs="Arial"/>
          <w:color w:val="000000"/>
          <w:lang w:eastAsia="bg-BG"/>
        </w:rPr>
      </w:pPr>
    </w:p>
    <w:p w14:paraId="76CE29A0" w14:textId="76665367" w:rsidR="005F0014" w:rsidRPr="005F0014" w:rsidRDefault="005F0014" w:rsidP="005F0014">
      <w:pPr>
        <w:spacing w:line="240" w:lineRule="auto"/>
        <w:rPr>
          <w:rFonts w:eastAsia="Times New Roman" w:cs="Arial"/>
          <w:sz w:val="28"/>
          <w:szCs w:val="28"/>
          <w:lang w:eastAsia="bg-BG"/>
        </w:rPr>
      </w:pPr>
      <w:r w:rsidRPr="005F0014">
        <w:rPr>
          <w:rFonts w:eastAsia="Times New Roman" w:cs="Arial"/>
          <w:color w:val="000000"/>
          <w:lang w:eastAsia="bg-BG"/>
        </w:rPr>
        <w:t xml:space="preserve">Едновременното лечение със солифенацин и мощни </w:t>
      </w:r>
      <w:r w:rsidRPr="005F0014">
        <w:rPr>
          <w:rFonts w:eastAsia="Times New Roman" w:cs="Arial"/>
          <w:color w:val="000000"/>
          <w:lang w:val="en-US"/>
        </w:rPr>
        <w:t>CYP3</w:t>
      </w:r>
      <w:r w:rsidRPr="005F0014">
        <w:rPr>
          <w:rFonts w:eastAsia="Times New Roman" w:cs="Arial"/>
          <w:color w:val="000000"/>
          <w:lang w:eastAsia="bg-BG"/>
        </w:rPr>
        <w:t>А4 инхибитори е противопоказано при пациенти с тежко бъбречно или умерено чернодробно увреждане.</w:t>
      </w:r>
    </w:p>
    <w:p w14:paraId="674DF9B9" w14:textId="77777777" w:rsidR="005F0014" w:rsidRPr="005F0014" w:rsidRDefault="005F0014" w:rsidP="005F0014">
      <w:pPr>
        <w:spacing w:line="240" w:lineRule="auto"/>
        <w:rPr>
          <w:rFonts w:eastAsia="Times New Roman" w:cs="Arial"/>
          <w:color w:val="000000"/>
          <w:lang w:eastAsia="bg-BG"/>
        </w:rPr>
      </w:pPr>
    </w:p>
    <w:p w14:paraId="5E1FC8B3" w14:textId="1A3B12D3" w:rsidR="005F0014" w:rsidRPr="005F0014" w:rsidRDefault="005F0014" w:rsidP="005F0014">
      <w:pPr>
        <w:spacing w:line="240" w:lineRule="auto"/>
        <w:rPr>
          <w:rFonts w:eastAsia="Times New Roman" w:cs="Arial"/>
          <w:sz w:val="28"/>
          <w:szCs w:val="28"/>
          <w:lang w:eastAsia="bg-BG"/>
        </w:rPr>
      </w:pPr>
      <w:r w:rsidRPr="005F0014">
        <w:rPr>
          <w:rFonts w:eastAsia="Times New Roman" w:cs="Arial"/>
          <w:color w:val="000000"/>
          <w:lang w:eastAsia="bg-BG"/>
        </w:rPr>
        <w:t xml:space="preserve">Не са проучени ефектите на ензимната индукция върху фармакокинетиката на солифенацин и неговите метаболити, както и ефектите на </w:t>
      </w:r>
      <w:r w:rsidRPr="005F0014">
        <w:rPr>
          <w:rFonts w:eastAsia="Times New Roman" w:cs="Arial"/>
          <w:color w:val="000000"/>
          <w:lang w:val="en-US"/>
        </w:rPr>
        <w:t xml:space="preserve">CYP3A4 </w:t>
      </w:r>
      <w:r w:rsidRPr="005F0014">
        <w:rPr>
          <w:rFonts w:eastAsia="Times New Roman" w:cs="Arial"/>
          <w:color w:val="000000"/>
          <w:lang w:eastAsia="bg-BG"/>
        </w:rPr>
        <w:t xml:space="preserve">субстратите с по-висок афинитет върху експозицията на солифенацин. Тъй като солифенацин се метаболизира от </w:t>
      </w:r>
      <w:r w:rsidRPr="005F0014">
        <w:rPr>
          <w:rFonts w:eastAsia="Times New Roman" w:cs="Arial"/>
          <w:color w:val="000000"/>
          <w:lang w:val="en-US"/>
        </w:rPr>
        <w:t xml:space="preserve">CYP3A4, </w:t>
      </w:r>
      <w:r w:rsidRPr="005F0014">
        <w:rPr>
          <w:rFonts w:eastAsia="Times New Roman" w:cs="Arial"/>
          <w:color w:val="000000"/>
          <w:lang w:eastAsia="bg-BG"/>
        </w:rPr>
        <w:t xml:space="preserve">възможни са фармакокинетични взаимодействия с други </w:t>
      </w:r>
      <w:r w:rsidRPr="005F0014">
        <w:rPr>
          <w:rFonts w:eastAsia="Times New Roman" w:cs="Arial"/>
          <w:color w:val="000000"/>
          <w:lang w:val="en-US"/>
        </w:rPr>
        <w:t xml:space="preserve">CYP3A4 </w:t>
      </w:r>
      <w:r w:rsidRPr="005F0014">
        <w:rPr>
          <w:rFonts w:eastAsia="Times New Roman" w:cs="Arial"/>
          <w:color w:val="000000"/>
          <w:lang w:eastAsia="bg-BG"/>
        </w:rPr>
        <w:t xml:space="preserve">субстрати с по-висок афинитет (напр. верапамил, дилтиазем) и </w:t>
      </w:r>
      <w:r w:rsidRPr="005F0014">
        <w:rPr>
          <w:rFonts w:eastAsia="Times New Roman" w:cs="Arial"/>
          <w:color w:val="000000"/>
          <w:lang w:val="en-US"/>
        </w:rPr>
        <w:t xml:space="preserve">CYP3A4 </w:t>
      </w:r>
      <w:r w:rsidRPr="005F0014">
        <w:rPr>
          <w:rFonts w:eastAsia="Times New Roman" w:cs="Arial"/>
          <w:color w:val="000000"/>
          <w:lang w:eastAsia="bg-BG"/>
        </w:rPr>
        <w:t>индукгори (напр. рифампицин, фенитоин, карбамазепин).</w:t>
      </w:r>
    </w:p>
    <w:p w14:paraId="75BF2298" w14:textId="77777777" w:rsidR="005F0014" w:rsidRPr="005F0014" w:rsidRDefault="005F0014" w:rsidP="005F0014">
      <w:pPr>
        <w:spacing w:line="240" w:lineRule="auto"/>
        <w:rPr>
          <w:rFonts w:eastAsia="Times New Roman" w:cs="Arial"/>
          <w:color w:val="000000"/>
          <w:u w:val="single"/>
          <w:lang w:eastAsia="bg-BG"/>
        </w:rPr>
      </w:pPr>
    </w:p>
    <w:p w14:paraId="04635253" w14:textId="35721C94" w:rsidR="005F0014" w:rsidRPr="005F0014" w:rsidRDefault="005F0014" w:rsidP="005F0014">
      <w:pPr>
        <w:spacing w:line="240" w:lineRule="auto"/>
        <w:rPr>
          <w:rFonts w:eastAsia="Times New Roman" w:cs="Arial"/>
          <w:sz w:val="28"/>
          <w:szCs w:val="28"/>
          <w:lang w:eastAsia="bg-BG"/>
        </w:rPr>
      </w:pPr>
      <w:r w:rsidRPr="005F0014">
        <w:rPr>
          <w:rFonts w:eastAsia="Times New Roman" w:cs="Arial"/>
          <w:color w:val="000000"/>
          <w:u w:val="single"/>
          <w:lang w:eastAsia="bg-BG"/>
        </w:rPr>
        <w:t>Влияние на солифенацин върху фармакокинетиката на други лекарствени продукти</w:t>
      </w:r>
    </w:p>
    <w:p w14:paraId="7159DEB7" w14:textId="409F1056" w:rsidR="005F0014" w:rsidRPr="005F0014" w:rsidRDefault="005F0014" w:rsidP="005F0014">
      <w:pPr>
        <w:spacing w:line="240" w:lineRule="auto"/>
        <w:rPr>
          <w:rFonts w:eastAsia="Times New Roman" w:cs="Arial"/>
          <w:sz w:val="28"/>
          <w:szCs w:val="28"/>
          <w:lang w:eastAsia="bg-BG"/>
        </w:rPr>
      </w:pPr>
      <w:r w:rsidRPr="005F0014">
        <w:rPr>
          <w:rFonts w:eastAsia="Times New Roman" w:cs="Arial"/>
          <w:i/>
          <w:iCs/>
          <w:color w:val="000000"/>
          <w:lang w:eastAsia="bg-BG"/>
        </w:rPr>
        <w:t>Перорални контрацепптиви</w:t>
      </w:r>
    </w:p>
    <w:p w14:paraId="1FC204E6" w14:textId="77777777" w:rsidR="005F0014" w:rsidRPr="005F0014" w:rsidRDefault="005F0014" w:rsidP="005F0014">
      <w:pPr>
        <w:spacing w:line="240" w:lineRule="auto"/>
        <w:rPr>
          <w:rFonts w:eastAsia="Times New Roman" w:cs="Arial"/>
          <w:sz w:val="28"/>
          <w:szCs w:val="28"/>
          <w:lang w:eastAsia="bg-BG"/>
        </w:rPr>
      </w:pPr>
      <w:r w:rsidRPr="005F0014">
        <w:rPr>
          <w:rFonts w:eastAsia="Times New Roman" w:cs="Arial"/>
          <w:color w:val="000000"/>
          <w:lang w:eastAsia="bg-BG"/>
        </w:rPr>
        <w:t>Приемът на солифенацин не показва фармакокинетично взаимодействие на солифенацин с комбинирани орални контрацептиви (етинилестрадиол/левоноргестрел).</w:t>
      </w:r>
    </w:p>
    <w:p w14:paraId="05B83E60" w14:textId="77777777" w:rsidR="005F0014" w:rsidRPr="005F0014" w:rsidRDefault="005F0014" w:rsidP="005F0014">
      <w:pPr>
        <w:spacing w:line="240" w:lineRule="auto"/>
        <w:rPr>
          <w:rFonts w:eastAsia="Times New Roman" w:cs="Arial"/>
          <w:i/>
          <w:iCs/>
          <w:color w:val="000000"/>
          <w:lang w:eastAsia="bg-BG"/>
        </w:rPr>
      </w:pPr>
    </w:p>
    <w:p w14:paraId="7142AD1D" w14:textId="63531778" w:rsidR="005F0014" w:rsidRPr="005F0014" w:rsidRDefault="005F0014" w:rsidP="005F0014">
      <w:pPr>
        <w:spacing w:line="240" w:lineRule="auto"/>
        <w:rPr>
          <w:rFonts w:eastAsia="Times New Roman" w:cs="Arial"/>
          <w:sz w:val="28"/>
          <w:szCs w:val="28"/>
          <w:lang w:eastAsia="bg-BG"/>
        </w:rPr>
      </w:pPr>
      <w:r w:rsidRPr="005F0014">
        <w:rPr>
          <w:rFonts w:eastAsia="Times New Roman" w:cs="Arial"/>
          <w:i/>
          <w:iCs/>
          <w:color w:val="000000"/>
          <w:lang w:eastAsia="bg-BG"/>
        </w:rPr>
        <w:t>Варфарин</w:t>
      </w:r>
    </w:p>
    <w:p w14:paraId="25F82F44" w14:textId="77777777" w:rsidR="005F0014" w:rsidRPr="005F0014" w:rsidRDefault="005F0014" w:rsidP="005F0014">
      <w:pPr>
        <w:spacing w:line="240" w:lineRule="auto"/>
        <w:rPr>
          <w:rFonts w:eastAsia="Times New Roman" w:cs="Arial"/>
          <w:sz w:val="28"/>
          <w:szCs w:val="28"/>
          <w:lang w:eastAsia="bg-BG"/>
        </w:rPr>
      </w:pPr>
      <w:r w:rsidRPr="005F0014">
        <w:rPr>
          <w:rFonts w:eastAsia="Times New Roman" w:cs="Arial"/>
          <w:color w:val="000000"/>
          <w:lang w:eastAsia="bg-BG"/>
        </w:rPr>
        <w:t xml:space="preserve">Приемът на солифенацин не променя фармакокинетиката на </w:t>
      </w:r>
      <w:r w:rsidRPr="005F0014">
        <w:rPr>
          <w:rFonts w:eastAsia="Times New Roman" w:cs="Arial"/>
          <w:color w:val="000000"/>
          <w:lang w:val="en-US"/>
        </w:rPr>
        <w:t>R</w:t>
      </w:r>
      <w:r w:rsidRPr="005F0014">
        <w:rPr>
          <w:rFonts w:eastAsia="Times New Roman" w:cs="Arial"/>
          <w:color w:val="000000"/>
          <w:lang w:eastAsia="bg-BG"/>
        </w:rPr>
        <w:t xml:space="preserve">-варфарин или </w:t>
      </w:r>
      <w:r w:rsidRPr="005F0014">
        <w:rPr>
          <w:rFonts w:eastAsia="Times New Roman" w:cs="Arial"/>
          <w:color w:val="000000"/>
          <w:lang w:val="en-US"/>
        </w:rPr>
        <w:t>S-</w:t>
      </w:r>
      <w:r w:rsidRPr="005F0014">
        <w:rPr>
          <w:rFonts w:eastAsia="Times New Roman" w:cs="Arial"/>
          <w:color w:val="000000"/>
          <w:lang w:eastAsia="bg-BG"/>
        </w:rPr>
        <w:t>варфарин или техния ефект върху протромбиновото време.</w:t>
      </w:r>
    </w:p>
    <w:p w14:paraId="3C2E76B1" w14:textId="77777777" w:rsidR="005F0014" w:rsidRPr="005F0014" w:rsidRDefault="005F0014" w:rsidP="005F0014">
      <w:pPr>
        <w:spacing w:line="240" w:lineRule="auto"/>
        <w:rPr>
          <w:rFonts w:eastAsia="Times New Roman" w:cs="Arial"/>
          <w:i/>
          <w:iCs/>
          <w:color w:val="000000"/>
          <w:lang w:eastAsia="bg-BG"/>
        </w:rPr>
      </w:pPr>
    </w:p>
    <w:p w14:paraId="3D3A15C0" w14:textId="083D8BF2" w:rsidR="005F0014" w:rsidRPr="005F0014" w:rsidRDefault="005F0014" w:rsidP="005F0014">
      <w:pPr>
        <w:spacing w:line="240" w:lineRule="auto"/>
        <w:rPr>
          <w:rFonts w:eastAsia="Times New Roman" w:cs="Arial"/>
          <w:sz w:val="28"/>
          <w:szCs w:val="28"/>
          <w:lang w:eastAsia="bg-BG"/>
        </w:rPr>
      </w:pPr>
      <w:r w:rsidRPr="005F0014">
        <w:rPr>
          <w:rFonts w:eastAsia="Times New Roman" w:cs="Arial"/>
          <w:i/>
          <w:iCs/>
          <w:color w:val="000000"/>
          <w:lang w:eastAsia="bg-BG"/>
        </w:rPr>
        <w:t>Дигоксин</w:t>
      </w:r>
    </w:p>
    <w:p w14:paraId="72AA9BA5" w14:textId="5F7CE414" w:rsidR="005F0014" w:rsidRDefault="005F0014" w:rsidP="005F0014">
      <w:pPr>
        <w:rPr>
          <w:sz w:val="20"/>
          <w:szCs w:val="20"/>
        </w:rPr>
      </w:pPr>
      <w:r w:rsidRPr="005F0014">
        <w:rPr>
          <w:rFonts w:cs="Arial"/>
        </w:rPr>
        <w:t>Приемът на солифенацин не показва ефект върху фармакокинетиката на дигоксин</w:t>
      </w:r>
    </w:p>
    <w:p w14:paraId="5546C90D" w14:textId="77777777" w:rsidR="005F0014" w:rsidRPr="005F0014" w:rsidRDefault="005F0014" w:rsidP="005F0014"/>
    <w:p w14:paraId="15A75A66" w14:textId="14ECAA17" w:rsidR="00A71DCF" w:rsidRDefault="002C50EE" w:rsidP="00A93499">
      <w:pPr>
        <w:pStyle w:val="Heading2"/>
      </w:pPr>
      <w:r>
        <w:t>4.6. Фертилитет, бременност и кърмене</w:t>
      </w:r>
    </w:p>
    <w:p w14:paraId="5645F924" w14:textId="5573C12E" w:rsidR="005F0014" w:rsidRDefault="005F0014" w:rsidP="005F0014"/>
    <w:p w14:paraId="51436E3D" w14:textId="77777777" w:rsidR="005F0014" w:rsidRPr="005F0014" w:rsidRDefault="005F0014" w:rsidP="005F0014">
      <w:pPr>
        <w:pStyle w:val="Heading3"/>
        <w:rPr>
          <w:rFonts w:eastAsia="Times New Roman"/>
          <w:sz w:val="28"/>
          <w:szCs w:val="28"/>
          <w:u w:val="single"/>
          <w:lang w:eastAsia="bg-BG"/>
        </w:rPr>
      </w:pPr>
      <w:r w:rsidRPr="005F0014">
        <w:rPr>
          <w:rFonts w:eastAsia="Times New Roman"/>
          <w:u w:val="single"/>
          <w:lang w:eastAsia="bg-BG"/>
        </w:rPr>
        <w:t>Бременност</w:t>
      </w:r>
    </w:p>
    <w:p w14:paraId="22E8F1AE" w14:textId="77777777" w:rsidR="005F0014" w:rsidRPr="005F0014" w:rsidRDefault="005F0014" w:rsidP="005F0014">
      <w:pPr>
        <w:spacing w:line="240" w:lineRule="auto"/>
        <w:rPr>
          <w:rFonts w:eastAsia="Times New Roman" w:cs="Arial"/>
          <w:sz w:val="28"/>
          <w:szCs w:val="28"/>
          <w:lang w:eastAsia="bg-BG"/>
        </w:rPr>
      </w:pPr>
      <w:r w:rsidRPr="005F0014">
        <w:rPr>
          <w:rFonts w:eastAsia="Times New Roman" w:cs="Arial"/>
          <w:color w:val="000000"/>
          <w:lang w:eastAsia="bg-BG"/>
        </w:rPr>
        <w:t>Няма налични клинични данни за жени, които са забременели, докато са приемали солифенацин. Проучванията върху животни не показват преки вредни ефекти върху фертилитета, ембрионалното/феталното развитие или раждането (вж. точка 5.3). Потенциалният риск за хора не е известен. Необходима е предпазливост при предписване на бременни жени.</w:t>
      </w:r>
    </w:p>
    <w:p w14:paraId="4AF5BF3C" w14:textId="77777777" w:rsidR="005F0014" w:rsidRPr="005F0014" w:rsidRDefault="005F0014" w:rsidP="005F0014">
      <w:pPr>
        <w:spacing w:line="240" w:lineRule="auto"/>
        <w:rPr>
          <w:rFonts w:eastAsia="Times New Roman" w:cs="Arial"/>
          <w:color w:val="000000"/>
          <w:u w:val="single"/>
          <w:lang w:eastAsia="bg-BG"/>
        </w:rPr>
      </w:pPr>
    </w:p>
    <w:p w14:paraId="5D8C59AE" w14:textId="3EB899EC" w:rsidR="005F0014" w:rsidRPr="005F0014" w:rsidRDefault="005F0014" w:rsidP="005F0014">
      <w:pPr>
        <w:pStyle w:val="Heading3"/>
        <w:rPr>
          <w:rFonts w:eastAsia="Times New Roman"/>
          <w:sz w:val="28"/>
          <w:szCs w:val="28"/>
          <w:u w:val="single"/>
          <w:lang w:eastAsia="bg-BG"/>
        </w:rPr>
      </w:pPr>
      <w:r w:rsidRPr="005F0014">
        <w:rPr>
          <w:rFonts w:eastAsia="Times New Roman"/>
          <w:u w:val="single"/>
          <w:lang w:eastAsia="bg-BG"/>
        </w:rPr>
        <w:t>Кърмене</w:t>
      </w:r>
    </w:p>
    <w:p w14:paraId="6C594E43" w14:textId="77777777" w:rsidR="005F0014" w:rsidRPr="005F0014" w:rsidRDefault="005F0014" w:rsidP="005F0014">
      <w:pPr>
        <w:spacing w:line="240" w:lineRule="auto"/>
        <w:rPr>
          <w:rFonts w:eastAsia="Times New Roman" w:cs="Arial"/>
          <w:sz w:val="28"/>
          <w:szCs w:val="28"/>
          <w:lang w:eastAsia="bg-BG"/>
        </w:rPr>
      </w:pPr>
      <w:r w:rsidRPr="005F0014">
        <w:rPr>
          <w:rFonts w:eastAsia="Times New Roman" w:cs="Arial"/>
          <w:color w:val="000000"/>
          <w:lang w:eastAsia="bg-BG"/>
        </w:rPr>
        <w:t>Няма налични данни за екскрецията на солифенацин в човешката кърма. При мишки солифенацин и/или неговите метаболити се екскретират в млякото и причиняват дозозависима забавяне на растежа на новородени мишки (вж. точка 5.3). Следователно, употребата на Солифенакон трябва да се избягва по време на кърмене.</w:t>
      </w:r>
    </w:p>
    <w:p w14:paraId="0F5804B0" w14:textId="77777777" w:rsidR="005F0014" w:rsidRPr="005F0014" w:rsidRDefault="005F0014" w:rsidP="005F0014">
      <w:pPr>
        <w:spacing w:line="240" w:lineRule="auto"/>
        <w:rPr>
          <w:rFonts w:eastAsia="Times New Roman" w:cs="Arial"/>
          <w:color w:val="000000"/>
          <w:u w:val="single"/>
          <w:lang w:eastAsia="bg-BG"/>
        </w:rPr>
      </w:pPr>
    </w:p>
    <w:p w14:paraId="391C4951" w14:textId="1ACB9677" w:rsidR="005F0014" w:rsidRPr="005F0014" w:rsidRDefault="005F0014" w:rsidP="005F0014">
      <w:pPr>
        <w:pStyle w:val="Heading3"/>
        <w:rPr>
          <w:rFonts w:eastAsia="Times New Roman"/>
          <w:sz w:val="28"/>
          <w:szCs w:val="28"/>
          <w:u w:val="single"/>
          <w:lang w:eastAsia="bg-BG"/>
        </w:rPr>
      </w:pPr>
      <w:r w:rsidRPr="005F0014">
        <w:rPr>
          <w:rFonts w:eastAsia="Times New Roman"/>
          <w:u w:val="single"/>
          <w:lang w:eastAsia="bg-BG"/>
        </w:rPr>
        <w:lastRenderedPageBreak/>
        <w:t>Фертилитет</w:t>
      </w:r>
    </w:p>
    <w:p w14:paraId="0D356E56" w14:textId="77777777" w:rsidR="005F0014" w:rsidRPr="005F0014" w:rsidRDefault="005F0014" w:rsidP="005F0014">
      <w:pPr>
        <w:spacing w:line="240" w:lineRule="auto"/>
        <w:rPr>
          <w:rFonts w:eastAsia="Times New Roman" w:cs="Arial"/>
          <w:sz w:val="28"/>
          <w:szCs w:val="28"/>
          <w:lang w:eastAsia="bg-BG"/>
        </w:rPr>
      </w:pPr>
      <w:r w:rsidRPr="005F0014">
        <w:rPr>
          <w:rFonts w:eastAsia="Times New Roman" w:cs="Arial"/>
          <w:color w:val="000000"/>
          <w:lang w:eastAsia="bg-BG"/>
        </w:rPr>
        <w:t>Не са налични данни по отношение на фертилитета.</w:t>
      </w:r>
    </w:p>
    <w:p w14:paraId="54C6D927" w14:textId="77777777" w:rsidR="005F0014" w:rsidRPr="005F0014" w:rsidRDefault="005F0014" w:rsidP="005F0014"/>
    <w:p w14:paraId="6201597D" w14:textId="6187BEAA" w:rsidR="00EE6C97" w:rsidRDefault="002C50EE" w:rsidP="00A93499">
      <w:pPr>
        <w:pStyle w:val="Heading2"/>
      </w:pPr>
      <w:r>
        <w:t>4.7. Ефекти върху способността за шофиране и работа с машини</w:t>
      </w:r>
    </w:p>
    <w:p w14:paraId="2FAA5F38" w14:textId="3613AA8E" w:rsidR="005F0014" w:rsidRDefault="005F0014" w:rsidP="005F0014"/>
    <w:p w14:paraId="2B82E0CE" w14:textId="65701818" w:rsidR="005F0014" w:rsidRDefault="005F0014" w:rsidP="005F0014">
      <w:r>
        <w:t>Тъй като солифенацин, подобно на други антихолинергични средства може да причини замъглено виждане и по-рядко сънливост и отпадналост (вж. точка 4.8), способността за шофиране и работа с машини може да бъде повлияна отрицателно.</w:t>
      </w:r>
    </w:p>
    <w:p w14:paraId="18594AEE" w14:textId="77777777" w:rsidR="005F0014" w:rsidRPr="005F0014" w:rsidRDefault="005F0014" w:rsidP="005F0014"/>
    <w:p w14:paraId="389A90F4" w14:textId="2D6A4C2A" w:rsidR="00BA5B74" w:rsidRDefault="002C50EE" w:rsidP="00A93499">
      <w:pPr>
        <w:pStyle w:val="Heading2"/>
      </w:pPr>
      <w:r>
        <w:t>4.8. Нежелани лекарствени реакции</w:t>
      </w:r>
    </w:p>
    <w:p w14:paraId="61F8C0CC" w14:textId="1F092E46" w:rsidR="005F0014" w:rsidRDefault="005F0014" w:rsidP="005F0014"/>
    <w:p w14:paraId="2B224F6E" w14:textId="77777777" w:rsidR="005F0014" w:rsidRPr="005F0014" w:rsidRDefault="005F0014" w:rsidP="005F0014">
      <w:pPr>
        <w:spacing w:line="240" w:lineRule="auto"/>
        <w:rPr>
          <w:rFonts w:eastAsia="Times New Roman" w:cs="Arial"/>
          <w:sz w:val="28"/>
          <w:szCs w:val="28"/>
          <w:lang w:eastAsia="bg-BG"/>
        </w:rPr>
      </w:pPr>
      <w:r w:rsidRPr="005F0014">
        <w:rPr>
          <w:rFonts w:eastAsia="Times New Roman" w:cs="Arial"/>
          <w:color w:val="000000"/>
          <w:u w:val="single"/>
          <w:lang w:eastAsia="bg-BG"/>
        </w:rPr>
        <w:t>Обобщение на профила на безопасност</w:t>
      </w:r>
    </w:p>
    <w:p w14:paraId="5E4DEA01" w14:textId="77777777" w:rsidR="005F0014" w:rsidRPr="005F0014" w:rsidRDefault="005F0014" w:rsidP="005F0014">
      <w:pPr>
        <w:spacing w:line="240" w:lineRule="auto"/>
        <w:rPr>
          <w:rFonts w:eastAsia="Times New Roman" w:cs="Arial"/>
          <w:sz w:val="28"/>
          <w:szCs w:val="28"/>
          <w:lang w:eastAsia="bg-BG"/>
        </w:rPr>
      </w:pPr>
      <w:r w:rsidRPr="005F0014">
        <w:rPr>
          <w:rFonts w:eastAsia="Times New Roman" w:cs="Arial"/>
          <w:color w:val="000000"/>
          <w:lang w:eastAsia="bg-BG"/>
        </w:rPr>
        <w:t>Поради фармакологичния ефект на солифенацин, Солифенакон може да причини (най-общо) леки до умерени антихолинергични нежелани реакции. Честотата на антихолинергичните нежелани реакции е свързана с дозата.</w:t>
      </w:r>
    </w:p>
    <w:p w14:paraId="7DF69C4D" w14:textId="77777777" w:rsidR="005F0014" w:rsidRPr="005F0014" w:rsidRDefault="005F0014" w:rsidP="005F0014">
      <w:pPr>
        <w:spacing w:line="240" w:lineRule="auto"/>
        <w:rPr>
          <w:rFonts w:eastAsia="Times New Roman" w:cs="Arial"/>
          <w:color w:val="000000"/>
          <w:lang w:eastAsia="bg-BG"/>
        </w:rPr>
      </w:pPr>
    </w:p>
    <w:p w14:paraId="6E17074C" w14:textId="05A3F4E5" w:rsidR="005F0014" w:rsidRPr="005F0014" w:rsidRDefault="005F0014" w:rsidP="005F0014">
      <w:pPr>
        <w:spacing w:line="240" w:lineRule="auto"/>
        <w:rPr>
          <w:rFonts w:eastAsia="Times New Roman" w:cs="Arial"/>
          <w:sz w:val="28"/>
          <w:szCs w:val="28"/>
          <w:lang w:eastAsia="bg-BG"/>
        </w:rPr>
      </w:pPr>
      <w:r w:rsidRPr="005F0014">
        <w:rPr>
          <w:rFonts w:eastAsia="Times New Roman" w:cs="Arial"/>
          <w:color w:val="000000"/>
          <w:lang w:eastAsia="bg-BG"/>
        </w:rPr>
        <w:t xml:space="preserve">Най-често съобщаваната нежелана реакция при прием на солифенацин е сухота в устата. Тя се появява при 11% от пациентите, лекувани с 5 </w:t>
      </w:r>
      <w:r w:rsidRPr="005F0014">
        <w:rPr>
          <w:rFonts w:eastAsia="Times New Roman" w:cs="Arial"/>
          <w:color w:val="000000"/>
          <w:lang w:val="en-US"/>
        </w:rPr>
        <w:t xml:space="preserve">mg </w:t>
      </w:r>
      <w:r w:rsidRPr="005F0014">
        <w:rPr>
          <w:rFonts w:eastAsia="Times New Roman" w:cs="Arial"/>
          <w:color w:val="000000"/>
          <w:lang w:eastAsia="bg-BG"/>
        </w:rPr>
        <w:t xml:space="preserve">един път дневно, 22% от пациентите, лекувани с 10 </w:t>
      </w:r>
      <w:r w:rsidRPr="005F0014">
        <w:rPr>
          <w:rFonts w:eastAsia="Times New Roman" w:cs="Arial"/>
          <w:color w:val="000000"/>
          <w:lang w:val="en-US"/>
        </w:rPr>
        <w:t xml:space="preserve">mg </w:t>
      </w:r>
      <w:r w:rsidRPr="005F0014">
        <w:rPr>
          <w:rFonts w:eastAsia="Times New Roman" w:cs="Arial"/>
          <w:color w:val="000000"/>
          <w:lang w:eastAsia="bg-BG"/>
        </w:rPr>
        <w:t>един път дневно и 4% от пациентите, лекувани с плацебо. Тежестта на сухотата в устата обикновено е умерена и само в редки случаи води до спиране на лечението. Като цяло, комплайънсът при прием на лекарствения продукт е било много висок (приблизително 99%) като приблизително 90% от пациентите лекувани със солифенацин са завършили целия 12-седмичен курс на лечение.</w:t>
      </w:r>
    </w:p>
    <w:p w14:paraId="7237FA40" w14:textId="77777777" w:rsidR="005F0014" w:rsidRPr="005F0014" w:rsidRDefault="005F0014" w:rsidP="005F0014">
      <w:pPr>
        <w:spacing w:line="240" w:lineRule="auto"/>
        <w:rPr>
          <w:rFonts w:eastAsia="Times New Roman" w:cs="Arial"/>
          <w:color w:val="000000"/>
          <w:u w:val="single"/>
          <w:lang w:eastAsia="bg-BG"/>
        </w:rPr>
      </w:pPr>
    </w:p>
    <w:p w14:paraId="047FCDC6" w14:textId="78D72F21" w:rsidR="005F0014" w:rsidRPr="005F0014" w:rsidRDefault="005F0014" w:rsidP="005F0014">
      <w:pPr>
        <w:spacing w:line="240" w:lineRule="auto"/>
        <w:rPr>
          <w:rFonts w:eastAsia="Times New Roman" w:cs="Arial"/>
          <w:sz w:val="28"/>
          <w:szCs w:val="28"/>
          <w:lang w:eastAsia="bg-BG"/>
        </w:rPr>
      </w:pPr>
      <w:r w:rsidRPr="005F0014">
        <w:rPr>
          <w:rFonts w:eastAsia="Times New Roman" w:cs="Arial"/>
          <w:color w:val="000000"/>
          <w:u w:val="single"/>
          <w:lang w:eastAsia="bg-BG"/>
        </w:rPr>
        <w:t>Табличен списък на нежеланите лекарствени реакции</w:t>
      </w:r>
    </w:p>
    <w:tbl>
      <w:tblPr>
        <w:tblStyle w:val="TableGrid"/>
        <w:tblW w:w="0" w:type="auto"/>
        <w:tblLook w:val="04A0" w:firstRow="1" w:lastRow="0" w:firstColumn="1" w:lastColumn="0" w:noHBand="0" w:noVBand="1"/>
      </w:tblPr>
      <w:tblGrid>
        <w:gridCol w:w="1579"/>
        <w:gridCol w:w="790"/>
        <w:gridCol w:w="1243"/>
        <w:gridCol w:w="1501"/>
        <w:gridCol w:w="1258"/>
        <w:gridCol w:w="1414"/>
        <w:gridCol w:w="1565"/>
      </w:tblGrid>
      <w:tr w:rsidR="005F0014" w14:paraId="2280DA35" w14:textId="77777777" w:rsidTr="005F0014">
        <w:tc>
          <w:tcPr>
            <w:tcW w:w="1620" w:type="dxa"/>
          </w:tcPr>
          <w:p w14:paraId="3C69932A" w14:textId="5FE8F7F1" w:rsidR="005F0014" w:rsidRPr="005F0014" w:rsidRDefault="005F0014" w:rsidP="005F0014">
            <w:r w:rsidRPr="005F0014">
              <w:rPr>
                <w:b/>
                <w:bCs/>
              </w:rPr>
              <w:t>С</w:t>
            </w:r>
            <w:r>
              <w:rPr>
                <w:b/>
                <w:bCs/>
              </w:rPr>
              <w:t>и</w:t>
            </w:r>
            <w:r w:rsidRPr="005F0014">
              <w:rPr>
                <w:b/>
                <w:bCs/>
              </w:rPr>
              <w:t xml:space="preserve">стемно- органен клас по </w:t>
            </w:r>
            <w:r w:rsidRPr="005F0014">
              <w:rPr>
                <w:b/>
                <w:bCs/>
                <w:lang w:val="en-US"/>
              </w:rPr>
              <w:t>MedDRA</w:t>
            </w:r>
          </w:p>
        </w:tc>
        <w:tc>
          <w:tcPr>
            <w:tcW w:w="806" w:type="dxa"/>
          </w:tcPr>
          <w:p w14:paraId="393F7685" w14:textId="6CD7208C" w:rsidR="005F0014" w:rsidRPr="005F0014" w:rsidRDefault="005F0014" w:rsidP="005F0014">
            <w:r w:rsidRPr="005F0014">
              <w:rPr>
                <w:b/>
                <w:bCs/>
              </w:rPr>
              <w:t>Много чести (≥1/10)</w:t>
            </w:r>
          </w:p>
        </w:tc>
        <w:tc>
          <w:tcPr>
            <w:tcW w:w="1272" w:type="dxa"/>
          </w:tcPr>
          <w:p w14:paraId="52B29200" w14:textId="14088B68" w:rsidR="005F0014" w:rsidRPr="005F0014" w:rsidRDefault="005F0014" w:rsidP="005F0014">
            <w:r w:rsidRPr="005F0014">
              <w:rPr>
                <w:b/>
                <w:bCs/>
              </w:rPr>
              <w:t>Чести (≥1/100 до &lt;1/10)</w:t>
            </w:r>
          </w:p>
        </w:tc>
        <w:tc>
          <w:tcPr>
            <w:tcW w:w="1538" w:type="dxa"/>
          </w:tcPr>
          <w:p w14:paraId="26D8C1AA" w14:textId="77777777" w:rsidR="005F0014" w:rsidRPr="005F0014" w:rsidRDefault="005F0014" w:rsidP="005F0014">
            <w:r w:rsidRPr="005F0014">
              <w:rPr>
                <w:b/>
                <w:bCs/>
              </w:rPr>
              <w:t>Нечести (≥1/1 000 до</w:t>
            </w:r>
          </w:p>
          <w:p w14:paraId="2797E0FE" w14:textId="648A6907" w:rsidR="005F0014" w:rsidRPr="005F0014" w:rsidRDefault="005F0014" w:rsidP="005F0014">
            <w:r w:rsidRPr="005F0014">
              <w:rPr>
                <w:b/>
                <w:bCs/>
              </w:rPr>
              <w:t>&lt;1/100)</w:t>
            </w:r>
          </w:p>
        </w:tc>
        <w:tc>
          <w:tcPr>
            <w:tcW w:w="1288" w:type="dxa"/>
          </w:tcPr>
          <w:p w14:paraId="089F45B2" w14:textId="2CEC1C51" w:rsidR="005F0014" w:rsidRPr="005F0014" w:rsidRDefault="005F0014" w:rsidP="005F0014">
            <w:r w:rsidRPr="005F0014">
              <w:rPr>
                <w:b/>
                <w:bCs/>
              </w:rPr>
              <w:t>Редки (≥1/10 000 до &lt;1/1 000)</w:t>
            </w:r>
          </w:p>
        </w:tc>
        <w:tc>
          <w:tcPr>
            <w:tcW w:w="1448" w:type="dxa"/>
          </w:tcPr>
          <w:p w14:paraId="614173D6" w14:textId="7907230B" w:rsidR="005F0014" w:rsidRPr="005F0014" w:rsidRDefault="005F0014" w:rsidP="005F0014">
            <w:r w:rsidRPr="005F0014">
              <w:rPr>
                <w:b/>
                <w:bCs/>
              </w:rPr>
              <w:t>Много редки (&lt;1/10 000)</w:t>
            </w:r>
          </w:p>
        </w:tc>
        <w:tc>
          <w:tcPr>
            <w:tcW w:w="1604" w:type="dxa"/>
          </w:tcPr>
          <w:p w14:paraId="2705BF19" w14:textId="1EE950CD" w:rsidR="005F0014" w:rsidRPr="005F0014" w:rsidRDefault="005F0014" w:rsidP="005F0014">
            <w:r w:rsidRPr="005F0014">
              <w:rPr>
                <w:b/>
                <w:bCs/>
              </w:rPr>
              <w:t>С неизвестна честота (от наличните данни не може да бъде направена оценка</w:t>
            </w:r>
          </w:p>
        </w:tc>
      </w:tr>
      <w:tr w:rsidR="005F0014" w14:paraId="4B7862F9" w14:textId="77777777" w:rsidTr="005F0014">
        <w:tc>
          <w:tcPr>
            <w:tcW w:w="1620" w:type="dxa"/>
          </w:tcPr>
          <w:p w14:paraId="443FD89A" w14:textId="02D2D26B" w:rsidR="005F0014" w:rsidRPr="005F0014" w:rsidRDefault="005F0014" w:rsidP="005F0014">
            <w:r w:rsidRPr="005F0014">
              <w:t>Инфекции и инфестации</w:t>
            </w:r>
          </w:p>
        </w:tc>
        <w:tc>
          <w:tcPr>
            <w:tcW w:w="806" w:type="dxa"/>
          </w:tcPr>
          <w:p w14:paraId="6065725F" w14:textId="77777777" w:rsidR="005F0014" w:rsidRPr="005F0014" w:rsidRDefault="005F0014" w:rsidP="005F0014"/>
        </w:tc>
        <w:tc>
          <w:tcPr>
            <w:tcW w:w="1272" w:type="dxa"/>
          </w:tcPr>
          <w:p w14:paraId="2EE18BF7" w14:textId="77777777" w:rsidR="005F0014" w:rsidRPr="005F0014" w:rsidRDefault="005F0014" w:rsidP="005F0014"/>
        </w:tc>
        <w:tc>
          <w:tcPr>
            <w:tcW w:w="1538" w:type="dxa"/>
            <w:vAlign w:val="bottom"/>
          </w:tcPr>
          <w:p w14:paraId="1DC35A53" w14:textId="6CDF08F8" w:rsidR="005F0014" w:rsidRPr="005F0014" w:rsidRDefault="005F0014" w:rsidP="005F0014">
            <w:r w:rsidRPr="005F0014">
              <w:t>Инфекция на пикочните пътища Цистит</w:t>
            </w:r>
          </w:p>
        </w:tc>
        <w:tc>
          <w:tcPr>
            <w:tcW w:w="1288" w:type="dxa"/>
          </w:tcPr>
          <w:p w14:paraId="6A6CE297" w14:textId="77777777" w:rsidR="005F0014" w:rsidRPr="005F0014" w:rsidRDefault="005F0014" w:rsidP="005F0014"/>
        </w:tc>
        <w:tc>
          <w:tcPr>
            <w:tcW w:w="1448" w:type="dxa"/>
            <w:vAlign w:val="bottom"/>
          </w:tcPr>
          <w:p w14:paraId="6E3D9CC9" w14:textId="77777777" w:rsidR="005F0014" w:rsidRPr="005F0014" w:rsidRDefault="005F0014" w:rsidP="005F0014"/>
        </w:tc>
        <w:tc>
          <w:tcPr>
            <w:tcW w:w="1604" w:type="dxa"/>
          </w:tcPr>
          <w:p w14:paraId="4CB4B45E" w14:textId="77777777" w:rsidR="005F0014" w:rsidRPr="005F0014" w:rsidRDefault="005F0014" w:rsidP="005F0014"/>
        </w:tc>
      </w:tr>
      <w:tr w:rsidR="005F0014" w14:paraId="4D6FA60C" w14:textId="77777777" w:rsidTr="005F0014">
        <w:tc>
          <w:tcPr>
            <w:tcW w:w="1620" w:type="dxa"/>
          </w:tcPr>
          <w:p w14:paraId="6479C8B7" w14:textId="163713B2" w:rsidR="005F0014" w:rsidRPr="005F0014" w:rsidRDefault="005F0014" w:rsidP="005F0014">
            <w:r w:rsidRPr="005F0014">
              <w:t>Нарушения на имунната система</w:t>
            </w:r>
          </w:p>
        </w:tc>
        <w:tc>
          <w:tcPr>
            <w:tcW w:w="806" w:type="dxa"/>
          </w:tcPr>
          <w:p w14:paraId="2F1601A7" w14:textId="77777777" w:rsidR="005F0014" w:rsidRPr="005F0014" w:rsidRDefault="005F0014" w:rsidP="005F0014"/>
        </w:tc>
        <w:tc>
          <w:tcPr>
            <w:tcW w:w="1272" w:type="dxa"/>
          </w:tcPr>
          <w:p w14:paraId="7A4A3017" w14:textId="77777777" w:rsidR="005F0014" w:rsidRPr="005F0014" w:rsidRDefault="005F0014" w:rsidP="005F0014"/>
        </w:tc>
        <w:tc>
          <w:tcPr>
            <w:tcW w:w="1538" w:type="dxa"/>
          </w:tcPr>
          <w:p w14:paraId="0B23ED0D" w14:textId="77777777" w:rsidR="005F0014" w:rsidRPr="005F0014" w:rsidRDefault="005F0014" w:rsidP="005F0014"/>
        </w:tc>
        <w:tc>
          <w:tcPr>
            <w:tcW w:w="1288" w:type="dxa"/>
          </w:tcPr>
          <w:p w14:paraId="7C49C796" w14:textId="77777777" w:rsidR="005F0014" w:rsidRPr="005F0014" w:rsidRDefault="005F0014" w:rsidP="005F0014"/>
        </w:tc>
        <w:tc>
          <w:tcPr>
            <w:tcW w:w="1448" w:type="dxa"/>
          </w:tcPr>
          <w:p w14:paraId="357ACAB7" w14:textId="77777777" w:rsidR="005F0014" w:rsidRPr="005F0014" w:rsidRDefault="005F0014" w:rsidP="005F0014"/>
        </w:tc>
        <w:tc>
          <w:tcPr>
            <w:tcW w:w="1604" w:type="dxa"/>
          </w:tcPr>
          <w:p w14:paraId="42BFA6D2" w14:textId="59FB42F1" w:rsidR="005F0014" w:rsidRPr="005F0014" w:rsidRDefault="005F0014" w:rsidP="005F0014">
            <w:r w:rsidRPr="005F0014">
              <w:t>Анафилактична реакция*</w:t>
            </w:r>
          </w:p>
        </w:tc>
      </w:tr>
      <w:tr w:rsidR="005F0014" w14:paraId="6DC4A518" w14:textId="77777777" w:rsidTr="005F0014">
        <w:tc>
          <w:tcPr>
            <w:tcW w:w="1620" w:type="dxa"/>
          </w:tcPr>
          <w:p w14:paraId="4F41F971" w14:textId="174408FF" w:rsidR="005F0014" w:rsidRPr="005F0014" w:rsidRDefault="005F0014" w:rsidP="005F0014">
            <w:r w:rsidRPr="005F0014">
              <w:t>Нарушения на метаболизма и храненето</w:t>
            </w:r>
          </w:p>
        </w:tc>
        <w:tc>
          <w:tcPr>
            <w:tcW w:w="806" w:type="dxa"/>
          </w:tcPr>
          <w:p w14:paraId="310B5126" w14:textId="77777777" w:rsidR="005F0014" w:rsidRPr="005F0014" w:rsidRDefault="005F0014" w:rsidP="005F0014"/>
        </w:tc>
        <w:tc>
          <w:tcPr>
            <w:tcW w:w="1272" w:type="dxa"/>
          </w:tcPr>
          <w:p w14:paraId="1A34E444" w14:textId="77777777" w:rsidR="005F0014" w:rsidRPr="005F0014" w:rsidRDefault="005F0014" w:rsidP="005F0014"/>
        </w:tc>
        <w:tc>
          <w:tcPr>
            <w:tcW w:w="1538" w:type="dxa"/>
          </w:tcPr>
          <w:p w14:paraId="7A25C6C9" w14:textId="77777777" w:rsidR="005F0014" w:rsidRPr="005F0014" w:rsidRDefault="005F0014" w:rsidP="005F0014"/>
        </w:tc>
        <w:tc>
          <w:tcPr>
            <w:tcW w:w="1288" w:type="dxa"/>
          </w:tcPr>
          <w:p w14:paraId="1648152B" w14:textId="77777777" w:rsidR="005F0014" w:rsidRPr="005F0014" w:rsidRDefault="005F0014" w:rsidP="005F0014"/>
        </w:tc>
        <w:tc>
          <w:tcPr>
            <w:tcW w:w="1448" w:type="dxa"/>
          </w:tcPr>
          <w:p w14:paraId="6660C7BE" w14:textId="77777777" w:rsidR="005F0014" w:rsidRPr="005F0014" w:rsidRDefault="005F0014" w:rsidP="005F0014"/>
        </w:tc>
        <w:tc>
          <w:tcPr>
            <w:tcW w:w="1604" w:type="dxa"/>
          </w:tcPr>
          <w:p w14:paraId="29DBBBE9" w14:textId="2819D244" w:rsidR="005F0014" w:rsidRPr="005F0014" w:rsidRDefault="005F0014" w:rsidP="005F0014">
            <w:r w:rsidRPr="005F0014">
              <w:t>Намален апетит* Хиперкалиемия*</w:t>
            </w:r>
          </w:p>
        </w:tc>
      </w:tr>
      <w:tr w:rsidR="005F0014" w14:paraId="0C15BCBE" w14:textId="77777777" w:rsidTr="005F0014">
        <w:tc>
          <w:tcPr>
            <w:tcW w:w="1620" w:type="dxa"/>
          </w:tcPr>
          <w:p w14:paraId="2BFE868D" w14:textId="01A433F4" w:rsidR="005F0014" w:rsidRPr="005F0014" w:rsidRDefault="005F0014" w:rsidP="005F0014">
            <w:r w:rsidRPr="005F0014">
              <w:t xml:space="preserve">Психични </w:t>
            </w:r>
            <w:r w:rsidRPr="005F0014">
              <w:lastRenderedPageBreak/>
              <w:t>нарушения</w:t>
            </w:r>
          </w:p>
        </w:tc>
        <w:tc>
          <w:tcPr>
            <w:tcW w:w="806" w:type="dxa"/>
          </w:tcPr>
          <w:p w14:paraId="5E7C9A60" w14:textId="77777777" w:rsidR="005F0014" w:rsidRPr="005F0014" w:rsidRDefault="005F0014" w:rsidP="005F0014"/>
        </w:tc>
        <w:tc>
          <w:tcPr>
            <w:tcW w:w="1272" w:type="dxa"/>
          </w:tcPr>
          <w:p w14:paraId="6D3B35D4" w14:textId="77777777" w:rsidR="005F0014" w:rsidRPr="005F0014" w:rsidRDefault="005F0014" w:rsidP="005F0014"/>
        </w:tc>
        <w:tc>
          <w:tcPr>
            <w:tcW w:w="1538" w:type="dxa"/>
          </w:tcPr>
          <w:p w14:paraId="138D07DF" w14:textId="77777777" w:rsidR="005F0014" w:rsidRPr="005F0014" w:rsidRDefault="005F0014" w:rsidP="005F0014"/>
        </w:tc>
        <w:tc>
          <w:tcPr>
            <w:tcW w:w="1288" w:type="dxa"/>
          </w:tcPr>
          <w:p w14:paraId="2473A13F" w14:textId="77777777" w:rsidR="005F0014" w:rsidRPr="005F0014" w:rsidRDefault="005F0014" w:rsidP="005F0014"/>
        </w:tc>
        <w:tc>
          <w:tcPr>
            <w:tcW w:w="1448" w:type="dxa"/>
          </w:tcPr>
          <w:p w14:paraId="1369C26D" w14:textId="77777777" w:rsidR="005F0014" w:rsidRPr="005F0014" w:rsidRDefault="005F0014" w:rsidP="005F0014">
            <w:r w:rsidRPr="005F0014">
              <w:t>Халюцинац</w:t>
            </w:r>
            <w:r w:rsidRPr="005F0014">
              <w:lastRenderedPageBreak/>
              <w:t>ии*</w:t>
            </w:r>
          </w:p>
          <w:p w14:paraId="02FDC050" w14:textId="5B549E92" w:rsidR="005F0014" w:rsidRPr="005F0014" w:rsidRDefault="005F0014" w:rsidP="005F0014">
            <w:r w:rsidRPr="005F0014">
              <w:t>Обърканост*</w:t>
            </w:r>
          </w:p>
        </w:tc>
        <w:tc>
          <w:tcPr>
            <w:tcW w:w="1604" w:type="dxa"/>
          </w:tcPr>
          <w:p w14:paraId="5BC7690B" w14:textId="58543D9D" w:rsidR="005F0014" w:rsidRPr="005F0014" w:rsidRDefault="005F0014" w:rsidP="005F0014">
            <w:r w:rsidRPr="005F0014">
              <w:lastRenderedPageBreak/>
              <w:t>Делириум*</w:t>
            </w:r>
          </w:p>
        </w:tc>
      </w:tr>
      <w:tr w:rsidR="005F0014" w14:paraId="64C47FFC" w14:textId="77777777" w:rsidTr="005F0014">
        <w:tc>
          <w:tcPr>
            <w:tcW w:w="1620" w:type="dxa"/>
          </w:tcPr>
          <w:p w14:paraId="38F6852A" w14:textId="32CC87DA" w:rsidR="005F0014" w:rsidRPr="005F0014" w:rsidRDefault="005F0014" w:rsidP="005F0014">
            <w:r w:rsidRPr="005F0014">
              <w:t>Нарушения на нервната система</w:t>
            </w:r>
          </w:p>
        </w:tc>
        <w:tc>
          <w:tcPr>
            <w:tcW w:w="806" w:type="dxa"/>
          </w:tcPr>
          <w:p w14:paraId="645F6250" w14:textId="77777777" w:rsidR="005F0014" w:rsidRPr="005F0014" w:rsidRDefault="005F0014" w:rsidP="005F0014"/>
        </w:tc>
        <w:tc>
          <w:tcPr>
            <w:tcW w:w="1272" w:type="dxa"/>
          </w:tcPr>
          <w:p w14:paraId="3A4B90E6" w14:textId="77777777" w:rsidR="005F0014" w:rsidRPr="005F0014" w:rsidRDefault="005F0014" w:rsidP="005F0014"/>
        </w:tc>
        <w:tc>
          <w:tcPr>
            <w:tcW w:w="1538" w:type="dxa"/>
          </w:tcPr>
          <w:p w14:paraId="6B848B89" w14:textId="77777777" w:rsidR="005F0014" w:rsidRPr="005F0014" w:rsidRDefault="005F0014" w:rsidP="005F0014">
            <w:r w:rsidRPr="005F0014">
              <w:t>Сомнолентност</w:t>
            </w:r>
          </w:p>
          <w:p w14:paraId="0002885F" w14:textId="56EA02B3" w:rsidR="005F0014" w:rsidRPr="005F0014" w:rsidRDefault="005F0014" w:rsidP="005F0014">
            <w:r w:rsidRPr="005F0014">
              <w:t>Дисгеузия</w:t>
            </w:r>
          </w:p>
        </w:tc>
        <w:tc>
          <w:tcPr>
            <w:tcW w:w="1288" w:type="dxa"/>
          </w:tcPr>
          <w:p w14:paraId="7C365C8E" w14:textId="6A7677A6" w:rsidR="005F0014" w:rsidRPr="005F0014" w:rsidRDefault="005F0014" w:rsidP="005F0014">
            <w:r w:rsidRPr="005F0014">
              <w:t>Замаяност* Главоболие*</w:t>
            </w:r>
          </w:p>
        </w:tc>
        <w:tc>
          <w:tcPr>
            <w:tcW w:w="1448" w:type="dxa"/>
          </w:tcPr>
          <w:p w14:paraId="4C89AEB2" w14:textId="77777777" w:rsidR="005F0014" w:rsidRPr="005F0014" w:rsidRDefault="005F0014" w:rsidP="005F0014"/>
        </w:tc>
        <w:tc>
          <w:tcPr>
            <w:tcW w:w="1604" w:type="dxa"/>
          </w:tcPr>
          <w:p w14:paraId="58FFB4B6" w14:textId="77777777" w:rsidR="005F0014" w:rsidRPr="005F0014" w:rsidRDefault="005F0014" w:rsidP="005F0014"/>
        </w:tc>
      </w:tr>
      <w:tr w:rsidR="005F0014" w14:paraId="238ABD98" w14:textId="77777777" w:rsidTr="005F0014">
        <w:tc>
          <w:tcPr>
            <w:tcW w:w="1620" w:type="dxa"/>
          </w:tcPr>
          <w:p w14:paraId="616EC687" w14:textId="5DD9075A" w:rsidR="005F0014" w:rsidRPr="005F0014" w:rsidRDefault="005F0014" w:rsidP="005F0014">
            <w:r w:rsidRPr="005F0014">
              <w:t>Нарушения на очите</w:t>
            </w:r>
          </w:p>
        </w:tc>
        <w:tc>
          <w:tcPr>
            <w:tcW w:w="806" w:type="dxa"/>
          </w:tcPr>
          <w:p w14:paraId="71C31D07" w14:textId="77777777" w:rsidR="005F0014" w:rsidRPr="005F0014" w:rsidRDefault="005F0014" w:rsidP="005F0014"/>
        </w:tc>
        <w:tc>
          <w:tcPr>
            <w:tcW w:w="1272" w:type="dxa"/>
          </w:tcPr>
          <w:p w14:paraId="653D9CA3" w14:textId="69FBDEAF" w:rsidR="005F0014" w:rsidRPr="005F0014" w:rsidRDefault="005F0014" w:rsidP="005F0014">
            <w:r w:rsidRPr="005F0014">
              <w:t>Замъглено виждане</w:t>
            </w:r>
          </w:p>
        </w:tc>
        <w:tc>
          <w:tcPr>
            <w:tcW w:w="1538" w:type="dxa"/>
          </w:tcPr>
          <w:p w14:paraId="07AF063D" w14:textId="7E9ADB5A" w:rsidR="005F0014" w:rsidRPr="005F0014" w:rsidRDefault="005F0014" w:rsidP="005F0014">
            <w:r w:rsidRPr="005F0014">
              <w:t>Сухота в очите</w:t>
            </w:r>
          </w:p>
        </w:tc>
        <w:tc>
          <w:tcPr>
            <w:tcW w:w="1288" w:type="dxa"/>
          </w:tcPr>
          <w:p w14:paraId="608F10A6" w14:textId="77777777" w:rsidR="005F0014" w:rsidRPr="005F0014" w:rsidRDefault="005F0014" w:rsidP="005F0014"/>
        </w:tc>
        <w:tc>
          <w:tcPr>
            <w:tcW w:w="1448" w:type="dxa"/>
          </w:tcPr>
          <w:p w14:paraId="6B7E9CE0" w14:textId="77777777" w:rsidR="005F0014" w:rsidRPr="005F0014" w:rsidRDefault="005F0014" w:rsidP="005F0014"/>
        </w:tc>
        <w:tc>
          <w:tcPr>
            <w:tcW w:w="1604" w:type="dxa"/>
          </w:tcPr>
          <w:p w14:paraId="73551EC7" w14:textId="15DE0E99" w:rsidR="005F0014" w:rsidRPr="005F0014" w:rsidRDefault="005F0014" w:rsidP="005F0014">
            <w:r w:rsidRPr="005F0014">
              <w:t>Глаукома*</w:t>
            </w:r>
          </w:p>
        </w:tc>
      </w:tr>
      <w:tr w:rsidR="005F0014" w14:paraId="0B1E155D" w14:textId="77777777" w:rsidTr="005F0014">
        <w:tc>
          <w:tcPr>
            <w:tcW w:w="1620" w:type="dxa"/>
          </w:tcPr>
          <w:p w14:paraId="1C982918" w14:textId="02E2C3A6" w:rsidR="005F0014" w:rsidRPr="005F0014" w:rsidRDefault="005F0014" w:rsidP="005F0014">
            <w:r w:rsidRPr="005F0014">
              <w:t>Сърдечни нарушения</w:t>
            </w:r>
          </w:p>
        </w:tc>
        <w:tc>
          <w:tcPr>
            <w:tcW w:w="806" w:type="dxa"/>
          </w:tcPr>
          <w:p w14:paraId="146D2C07" w14:textId="77777777" w:rsidR="005F0014" w:rsidRPr="005F0014" w:rsidRDefault="005F0014" w:rsidP="005F0014"/>
        </w:tc>
        <w:tc>
          <w:tcPr>
            <w:tcW w:w="1272" w:type="dxa"/>
          </w:tcPr>
          <w:p w14:paraId="3B3EC5C3" w14:textId="77777777" w:rsidR="005F0014" w:rsidRPr="005F0014" w:rsidRDefault="005F0014" w:rsidP="005F0014"/>
        </w:tc>
        <w:tc>
          <w:tcPr>
            <w:tcW w:w="1538" w:type="dxa"/>
          </w:tcPr>
          <w:p w14:paraId="72358CAC" w14:textId="77777777" w:rsidR="005F0014" w:rsidRPr="005F0014" w:rsidRDefault="005F0014" w:rsidP="005F0014"/>
        </w:tc>
        <w:tc>
          <w:tcPr>
            <w:tcW w:w="1288" w:type="dxa"/>
          </w:tcPr>
          <w:p w14:paraId="0B62A397" w14:textId="77777777" w:rsidR="005F0014" w:rsidRPr="005F0014" w:rsidRDefault="005F0014" w:rsidP="005F0014"/>
        </w:tc>
        <w:tc>
          <w:tcPr>
            <w:tcW w:w="1448" w:type="dxa"/>
          </w:tcPr>
          <w:p w14:paraId="622A8A21" w14:textId="77777777" w:rsidR="005F0014" w:rsidRPr="005F0014" w:rsidRDefault="005F0014" w:rsidP="005F0014"/>
        </w:tc>
        <w:tc>
          <w:tcPr>
            <w:tcW w:w="1604" w:type="dxa"/>
          </w:tcPr>
          <w:p w14:paraId="15020F9F" w14:textId="50787665" w:rsidR="005F0014" w:rsidRPr="005F0014" w:rsidRDefault="005F0014" w:rsidP="005F0014">
            <w:r w:rsidRPr="005F0014">
              <w:rPr>
                <w:lang w:val="en-US"/>
              </w:rPr>
              <w:t xml:space="preserve">Torsade de Pointes* </w:t>
            </w:r>
            <w:r w:rsidRPr="005F0014">
              <w:t xml:space="preserve">Удължен </w:t>
            </w:r>
            <w:r w:rsidRPr="005F0014">
              <w:rPr>
                <w:lang w:val="en-US"/>
              </w:rPr>
              <w:t xml:space="preserve">QT </w:t>
            </w:r>
            <w:r w:rsidRPr="005F0014">
              <w:t>интервал в ЕКГ Предсърдно мъждене* Палпитации* Тахикардия*</w:t>
            </w:r>
          </w:p>
        </w:tc>
      </w:tr>
      <w:tr w:rsidR="005F0014" w14:paraId="0C9A8F9B" w14:textId="77777777" w:rsidTr="005F0014">
        <w:tc>
          <w:tcPr>
            <w:tcW w:w="1620" w:type="dxa"/>
          </w:tcPr>
          <w:p w14:paraId="1C265905" w14:textId="606C8466" w:rsidR="005F0014" w:rsidRPr="005F0014" w:rsidRDefault="005F0014" w:rsidP="005F0014">
            <w:r w:rsidRPr="005F0014">
              <w:t>Респираторни, гръдни и медиастинални нарушения</w:t>
            </w:r>
          </w:p>
        </w:tc>
        <w:tc>
          <w:tcPr>
            <w:tcW w:w="806" w:type="dxa"/>
          </w:tcPr>
          <w:p w14:paraId="0631CC31" w14:textId="77777777" w:rsidR="005F0014" w:rsidRPr="005F0014" w:rsidRDefault="005F0014" w:rsidP="005F0014"/>
        </w:tc>
        <w:tc>
          <w:tcPr>
            <w:tcW w:w="1272" w:type="dxa"/>
          </w:tcPr>
          <w:p w14:paraId="3F733031" w14:textId="77777777" w:rsidR="005F0014" w:rsidRPr="005F0014" w:rsidRDefault="005F0014" w:rsidP="005F0014"/>
        </w:tc>
        <w:tc>
          <w:tcPr>
            <w:tcW w:w="1538" w:type="dxa"/>
          </w:tcPr>
          <w:p w14:paraId="410CB113" w14:textId="3E2032FE" w:rsidR="005F0014" w:rsidRPr="005F0014" w:rsidRDefault="005F0014" w:rsidP="005F0014">
            <w:r w:rsidRPr="005F0014">
              <w:t>Сухота в носа</w:t>
            </w:r>
          </w:p>
        </w:tc>
        <w:tc>
          <w:tcPr>
            <w:tcW w:w="1288" w:type="dxa"/>
          </w:tcPr>
          <w:p w14:paraId="1EF2079C" w14:textId="77777777" w:rsidR="005F0014" w:rsidRPr="005F0014" w:rsidRDefault="005F0014" w:rsidP="005F0014"/>
        </w:tc>
        <w:tc>
          <w:tcPr>
            <w:tcW w:w="1448" w:type="dxa"/>
          </w:tcPr>
          <w:p w14:paraId="461AC01E" w14:textId="77777777" w:rsidR="005F0014" w:rsidRPr="005F0014" w:rsidRDefault="005F0014" w:rsidP="005F0014"/>
        </w:tc>
        <w:tc>
          <w:tcPr>
            <w:tcW w:w="1604" w:type="dxa"/>
          </w:tcPr>
          <w:p w14:paraId="0B490D94" w14:textId="7451105D" w:rsidR="005F0014" w:rsidRPr="005F0014" w:rsidRDefault="005F0014" w:rsidP="005F0014">
            <w:r w:rsidRPr="005F0014">
              <w:t>Дисфония*</w:t>
            </w:r>
          </w:p>
        </w:tc>
      </w:tr>
      <w:tr w:rsidR="005F0014" w14:paraId="78B52CBB" w14:textId="77777777" w:rsidTr="005F0014">
        <w:tc>
          <w:tcPr>
            <w:tcW w:w="1620" w:type="dxa"/>
          </w:tcPr>
          <w:p w14:paraId="2083E090" w14:textId="64EDB4AC" w:rsidR="005F0014" w:rsidRPr="005F0014" w:rsidRDefault="005F0014" w:rsidP="005F0014">
            <w:r w:rsidRPr="005F0014">
              <w:t>Стомашно- чревни нарушения</w:t>
            </w:r>
          </w:p>
        </w:tc>
        <w:tc>
          <w:tcPr>
            <w:tcW w:w="806" w:type="dxa"/>
          </w:tcPr>
          <w:p w14:paraId="7E4AB113" w14:textId="0E39121D" w:rsidR="005F0014" w:rsidRPr="005F0014" w:rsidRDefault="005F0014" w:rsidP="005F0014">
            <w:r w:rsidRPr="005F0014">
              <w:t>Сухота в устата</w:t>
            </w:r>
          </w:p>
        </w:tc>
        <w:tc>
          <w:tcPr>
            <w:tcW w:w="1272" w:type="dxa"/>
          </w:tcPr>
          <w:p w14:paraId="12783205" w14:textId="3E789E07" w:rsidR="005F0014" w:rsidRPr="005F0014" w:rsidRDefault="005F0014" w:rsidP="005F0014">
            <w:r w:rsidRPr="005F0014">
              <w:t>Констатация Гадене Диспепсия Абдоми- нална болка</w:t>
            </w:r>
          </w:p>
        </w:tc>
        <w:tc>
          <w:tcPr>
            <w:tcW w:w="1538" w:type="dxa"/>
          </w:tcPr>
          <w:p w14:paraId="2823B712" w14:textId="345354ED" w:rsidR="005F0014" w:rsidRPr="005F0014" w:rsidRDefault="005F0014" w:rsidP="005F0014">
            <w:r w:rsidRPr="005F0014">
              <w:t>Гастроезофаги- ална рефлуксна болест Сухотав гърлото</w:t>
            </w:r>
          </w:p>
        </w:tc>
        <w:tc>
          <w:tcPr>
            <w:tcW w:w="1288" w:type="dxa"/>
          </w:tcPr>
          <w:p w14:paraId="7D32EB6D" w14:textId="7BEDCE87" w:rsidR="005F0014" w:rsidRPr="005F0014" w:rsidRDefault="005F0014" w:rsidP="005F0014">
            <w:r w:rsidRPr="005F0014">
              <w:t>Обструкция на колона Фекално задръстване Повръщане*</w:t>
            </w:r>
          </w:p>
        </w:tc>
        <w:tc>
          <w:tcPr>
            <w:tcW w:w="1448" w:type="dxa"/>
          </w:tcPr>
          <w:p w14:paraId="257EB627" w14:textId="77777777" w:rsidR="005F0014" w:rsidRPr="005F0014" w:rsidRDefault="005F0014" w:rsidP="005F0014"/>
        </w:tc>
        <w:tc>
          <w:tcPr>
            <w:tcW w:w="1604" w:type="dxa"/>
          </w:tcPr>
          <w:p w14:paraId="091EABE5" w14:textId="6D19075A" w:rsidR="005F0014" w:rsidRPr="005F0014" w:rsidRDefault="005F0014" w:rsidP="005F0014">
            <w:r w:rsidRPr="005F0014">
              <w:t>Илеус* Абдоминален дискомфорт*</w:t>
            </w:r>
          </w:p>
        </w:tc>
      </w:tr>
      <w:tr w:rsidR="005F0014" w14:paraId="487ED8A9" w14:textId="77777777" w:rsidTr="005F0014">
        <w:tc>
          <w:tcPr>
            <w:tcW w:w="1620" w:type="dxa"/>
          </w:tcPr>
          <w:p w14:paraId="5981F925" w14:textId="743C00B4" w:rsidR="005F0014" w:rsidRPr="005F0014" w:rsidRDefault="005F0014" w:rsidP="005F0014">
            <w:r w:rsidRPr="005F0014">
              <w:t>Хепатобилиарни нарушения</w:t>
            </w:r>
          </w:p>
        </w:tc>
        <w:tc>
          <w:tcPr>
            <w:tcW w:w="806" w:type="dxa"/>
          </w:tcPr>
          <w:p w14:paraId="6A3FD9FA" w14:textId="77777777" w:rsidR="005F0014" w:rsidRPr="005F0014" w:rsidRDefault="005F0014" w:rsidP="005F0014"/>
        </w:tc>
        <w:tc>
          <w:tcPr>
            <w:tcW w:w="1272" w:type="dxa"/>
          </w:tcPr>
          <w:p w14:paraId="2E9A4E59" w14:textId="77777777" w:rsidR="005F0014" w:rsidRPr="005F0014" w:rsidRDefault="005F0014" w:rsidP="005F0014"/>
        </w:tc>
        <w:tc>
          <w:tcPr>
            <w:tcW w:w="1538" w:type="dxa"/>
          </w:tcPr>
          <w:p w14:paraId="70BC6FD7" w14:textId="77777777" w:rsidR="005F0014" w:rsidRPr="005F0014" w:rsidRDefault="005F0014" w:rsidP="005F0014"/>
        </w:tc>
        <w:tc>
          <w:tcPr>
            <w:tcW w:w="1288" w:type="dxa"/>
          </w:tcPr>
          <w:p w14:paraId="081B7E33" w14:textId="77777777" w:rsidR="005F0014" w:rsidRPr="005F0014" w:rsidRDefault="005F0014" w:rsidP="005F0014"/>
        </w:tc>
        <w:tc>
          <w:tcPr>
            <w:tcW w:w="1448" w:type="dxa"/>
          </w:tcPr>
          <w:p w14:paraId="21C51E01" w14:textId="77777777" w:rsidR="005F0014" w:rsidRPr="005F0014" w:rsidRDefault="005F0014" w:rsidP="005F0014"/>
        </w:tc>
        <w:tc>
          <w:tcPr>
            <w:tcW w:w="1604" w:type="dxa"/>
          </w:tcPr>
          <w:p w14:paraId="221CDE0A" w14:textId="3CF3E0B8" w:rsidR="005F0014" w:rsidRPr="005F0014" w:rsidRDefault="005F0014" w:rsidP="005F0014">
            <w:r w:rsidRPr="005F0014">
              <w:t>Чернодробни нарушения* Аномалии в резулатите от изследванията на чернодробната функция</w:t>
            </w:r>
          </w:p>
        </w:tc>
      </w:tr>
      <w:tr w:rsidR="005F0014" w14:paraId="5D02048B" w14:textId="77777777" w:rsidTr="005F0014">
        <w:tc>
          <w:tcPr>
            <w:tcW w:w="1620" w:type="dxa"/>
          </w:tcPr>
          <w:p w14:paraId="454A999F" w14:textId="7300B8E6" w:rsidR="005F0014" w:rsidRPr="005F0014" w:rsidRDefault="005F0014" w:rsidP="005F0014">
            <w:r w:rsidRPr="005F0014">
              <w:t>Нарушения на кожата и подкожната тъкан</w:t>
            </w:r>
          </w:p>
        </w:tc>
        <w:tc>
          <w:tcPr>
            <w:tcW w:w="806" w:type="dxa"/>
          </w:tcPr>
          <w:p w14:paraId="59F43483" w14:textId="77777777" w:rsidR="005F0014" w:rsidRPr="005F0014" w:rsidRDefault="005F0014" w:rsidP="005F0014"/>
        </w:tc>
        <w:tc>
          <w:tcPr>
            <w:tcW w:w="1272" w:type="dxa"/>
          </w:tcPr>
          <w:p w14:paraId="088F77EF" w14:textId="77777777" w:rsidR="005F0014" w:rsidRPr="005F0014" w:rsidRDefault="005F0014" w:rsidP="005F0014"/>
        </w:tc>
        <w:tc>
          <w:tcPr>
            <w:tcW w:w="1538" w:type="dxa"/>
          </w:tcPr>
          <w:p w14:paraId="02F8C659" w14:textId="7DC24962" w:rsidR="005F0014" w:rsidRPr="005F0014" w:rsidRDefault="005F0014" w:rsidP="005F0014">
            <w:r w:rsidRPr="005F0014">
              <w:t>Суха кожа</w:t>
            </w:r>
          </w:p>
        </w:tc>
        <w:tc>
          <w:tcPr>
            <w:tcW w:w="1288" w:type="dxa"/>
          </w:tcPr>
          <w:p w14:paraId="1CDDF27E" w14:textId="2186424B" w:rsidR="005F0014" w:rsidRPr="005F0014" w:rsidRDefault="005F0014" w:rsidP="005F0014">
            <w:r w:rsidRPr="005F0014">
              <w:t>Сърбеж* Обрив*</w:t>
            </w:r>
          </w:p>
        </w:tc>
        <w:tc>
          <w:tcPr>
            <w:tcW w:w="1448" w:type="dxa"/>
          </w:tcPr>
          <w:p w14:paraId="36A9FD4E" w14:textId="77777777" w:rsidR="005F0014" w:rsidRPr="005F0014" w:rsidRDefault="005F0014" w:rsidP="005F0014">
            <w:r w:rsidRPr="005F0014">
              <w:t>Еритема мултиформе*</w:t>
            </w:r>
          </w:p>
          <w:p w14:paraId="09AC7B0F" w14:textId="32676CCF" w:rsidR="005F0014" w:rsidRPr="005F0014" w:rsidRDefault="005F0014" w:rsidP="005F0014">
            <w:r w:rsidRPr="005F0014">
              <w:t>Уртикария* Ангиоедем</w:t>
            </w:r>
          </w:p>
        </w:tc>
        <w:tc>
          <w:tcPr>
            <w:tcW w:w="1604" w:type="dxa"/>
          </w:tcPr>
          <w:p w14:paraId="38F9AA2B" w14:textId="44C60203" w:rsidR="005F0014" w:rsidRPr="005F0014" w:rsidRDefault="005F0014" w:rsidP="005F0014">
            <w:r w:rsidRPr="005F0014">
              <w:t>Ексфолиативен дерматит*</w:t>
            </w:r>
          </w:p>
        </w:tc>
      </w:tr>
      <w:tr w:rsidR="005F0014" w14:paraId="532BB0EF" w14:textId="77777777" w:rsidTr="005F0014">
        <w:tc>
          <w:tcPr>
            <w:tcW w:w="1620" w:type="dxa"/>
          </w:tcPr>
          <w:p w14:paraId="317528EE" w14:textId="7B480B7F" w:rsidR="005F0014" w:rsidRPr="005F0014" w:rsidRDefault="005F0014" w:rsidP="005F0014">
            <w:r w:rsidRPr="005F0014">
              <w:t xml:space="preserve">Нарушения </w:t>
            </w:r>
            <w:r w:rsidRPr="005F0014">
              <w:lastRenderedPageBreak/>
              <w:t>на мускулно- скелетната система и съединителната тъкан</w:t>
            </w:r>
          </w:p>
        </w:tc>
        <w:tc>
          <w:tcPr>
            <w:tcW w:w="806" w:type="dxa"/>
          </w:tcPr>
          <w:p w14:paraId="76B00388" w14:textId="77777777" w:rsidR="005F0014" w:rsidRPr="005F0014" w:rsidRDefault="005F0014" w:rsidP="005F0014"/>
        </w:tc>
        <w:tc>
          <w:tcPr>
            <w:tcW w:w="1272" w:type="dxa"/>
          </w:tcPr>
          <w:p w14:paraId="598466C6" w14:textId="77777777" w:rsidR="005F0014" w:rsidRPr="005F0014" w:rsidRDefault="005F0014" w:rsidP="005F0014"/>
        </w:tc>
        <w:tc>
          <w:tcPr>
            <w:tcW w:w="1538" w:type="dxa"/>
          </w:tcPr>
          <w:p w14:paraId="4767A933" w14:textId="77777777" w:rsidR="005F0014" w:rsidRPr="005F0014" w:rsidRDefault="005F0014" w:rsidP="005F0014"/>
        </w:tc>
        <w:tc>
          <w:tcPr>
            <w:tcW w:w="1288" w:type="dxa"/>
          </w:tcPr>
          <w:p w14:paraId="6ED2D940" w14:textId="77777777" w:rsidR="005F0014" w:rsidRPr="005F0014" w:rsidRDefault="005F0014" w:rsidP="005F0014"/>
        </w:tc>
        <w:tc>
          <w:tcPr>
            <w:tcW w:w="1448" w:type="dxa"/>
          </w:tcPr>
          <w:p w14:paraId="29E55048" w14:textId="77777777" w:rsidR="005F0014" w:rsidRPr="005F0014" w:rsidRDefault="005F0014" w:rsidP="005F0014"/>
        </w:tc>
        <w:tc>
          <w:tcPr>
            <w:tcW w:w="1604" w:type="dxa"/>
          </w:tcPr>
          <w:p w14:paraId="5D45A083" w14:textId="15EE023F" w:rsidR="005F0014" w:rsidRPr="005F0014" w:rsidRDefault="005F0014" w:rsidP="005F0014">
            <w:r w:rsidRPr="005F0014">
              <w:t xml:space="preserve">Мускулна </w:t>
            </w:r>
            <w:r w:rsidRPr="005F0014">
              <w:lastRenderedPageBreak/>
              <w:t>слабост*</w:t>
            </w:r>
          </w:p>
        </w:tc>
      </w:tr>
      <w:tr w:rsidR="005F0014" w14:paraId="27DEFEE1" w14:textId="77777777" w:rsidTr="005F0014">
        <w:tc>
          <w:tcPr>
            <w:tcW w:w="1620" w:type="dxa"/>
          </w:tcPr>
          <w:p w14:paraId="4E2F9784" w14:textId="66D8EF25" w:rsidR="005F0014" w:rsidRPr="005F0014" w:rsidRDefault="005F0014" w:rsidP="005F0014">
            <w:r w:rsidRPr="005F0014">
              <w:lastRenderedPageBreak/>
              <w:t>Нарушения на бъбреците и пикочните пътища</w:t>
            </w:r>
          </w:p>
        </w:tc>
        <w:tc>
          <w:tcPr>
            <w:tcW w:w="806" w:type="dxa"/>
          </w:tcPr>
          <w:p w14:paraId="12D482DD" w14:textId="77777777" w:rsidR="005F0014" w:rsidRPr="005F0014" w:rsidRDefault="005F0014" w:rsidP="005F0014"/>
        </w:tc>
        <w:tc>
          <w:tcPr>
            <w:tcW w:w="1272" w:type="dxa"/>
          </w:tcPr>
          <w:p w14:paraId="7DAD1EF0" w14:textId="77777777" w:rsidR="005F0014" w:rsidRPr="005F0014" w:rsidRDefault="005F0014" w:rsidP="005F0014"/>
        </w:tc>
        <w:tc>
          <w:tcPr>
            <w:tcW w:w="1538" w:type="dxa"/>
          </w:tcPr>
          <w:p w14:paraId="7588E867" w14:textId="2B5B4A7D" w:rsidR="005F0014" w:rsidRPr="005F0014" w:rsidRDefault="005F0014" w:rsidP="005F0014">
            <w:r w:rsidRPr="005F0014">
              <w:t>Затруднения в уринирането</w:t>
            </w:r>
          </w:p>
        </w:tc>
        <w:tc>
          <w:tcPr>
            <w:tcW w:w="1288" w:type="dxa"/>
          </w:tcPr>
          <w:p w14:paraId="2048A424" w14:textId="68457466" w:rsidR="005F0014" w:rsidRPr="005F0014" w:rsidRDefault="005F0014" w:rsidP="005F0014">
            <w:r w:rsidRPr="005F0014">
              <w:t>Задръжка на урина</w:t>
            </w:r>
          </w:p>
        </w:tc>
        <w:tc>
          <w:tcPr>
            <w:tcW w:w="1448" w:type="dxa"/>
          </w:tcPr>
          <w:p w14:paraId="1DCDC223" w14:textId="77777777" w:rsidR="005F0014" w:rsidRPr="005F0014" w:rsidRDefault="005F0014" w:rsidP="005F0014"/>
        </w:tc>
        <w:tc>
          <w:tcPr>
            <w:tcW w:w="1604" w:type="dxa"/>
          </w:tcPr>
          <w:p w14:paraId="799D7002" w14:textId="4B8F68D6" w:rsidR="005F0014" w:rsidRPr="005F0014" w:rsidRDefault="005F0014" w:rsidP="005F0014">
            <w:r w:rsidRPr="005F0014">
              <w:t>Бъбречно увреждане*</w:t>
            </w:r>
          </w:p>
        </w:tc>
      </w:tr>
      <w:tr w:rsidR="005F0014" w14:paraId="1A3413AA" w14:textId="77777777" w:rsidTr="005F0014">
        <w:tc>
          <w:tcPr>
            <w:tcW w:w="1620" w:type="dxa"/>
          </w:tcPr>
          <w:p w14:paraId="30E4C4D9" w14:textId="57B5B647" w:rsidR="005F0014" w:rsidRPr="005F0014" w:rsidRDefault="005F0014" w:rsidP="005F0014">
            <w:r w:rsidRPr="005F0014">
              <w:t>Общи нарушения и ефекти на мястото на приложение</w:t>
            </w:r>
          </w:p>
        </w:tc>
        <w:tc>
          <w:tcPr>
            <w:tcW w:w="806" w:type="dxa"/>
          </w:tcPr>
          <w:p w14:paraId="53607AC5" w14:textId="77777777" w:rsidR="005F0014" w:rsidRPr="005F0014" w:rsidRDefault="005F0014" w:rsidP="005F0014"/>
        </w:tc>
        <w:tc>
          <w:tcPr>
            <w:tcW w:w="1272" w:type="dxa"/>
          </w:tcPr>
          <w:p w14:paraId="3752AB69" w14:textId="77777777" w:rsidR="005F0014" w:rsidRPr="005F0014" w:rsidRDefault="005F0014" w:rsidP="005F0014"/>
        </w:tc>
        <w:tc>
          <w:tcPr>
            <w:tcW w:w="1538" w:type="dxa"/>
          </w:tcPr>
          <w:p w14:paraId="7986BECC" w14:textId="711EA824" w:rsidR="005F0014" w:rsidRPr="005F0014" w:rsidRDefault="005F0014" w:rsidP="005F0014">
            <w:r w:rsidRPr="005F0014">
              <w:t>Отпадналост Периферен оток</w:t>
            </w:r>
          </w:p>
        </w:tc>
        <w:tc>
          <w:tcPr>
            <w:tcW w:w="1288" w:type="dxa"/>
          </w:tcPr>
          <w:p w14:paraId="41528847" w14:textId="77777777" w:rsidR="005F0014" w:rsidRPr="005F0014" w:rsidRDefault="005F0014" w:rsidP="005F0014"/>
        </w:tc>
        <w:tc>
          <w:tcPr>
            <w:tcW w:w="1448" w:type="dxa"/>
          </w:tcPr>
          <w:p w14:paraId="1642E27D" w14:textId="77777777" w:rsidR="005F0014" w:rsidRPr="005F0014" w:rsidRDefault="005F0014" w:rsidP="005F0014"/>
        </w:tc>
        <w:tc>
          <w:tcPr>
            <w:tcW w:w="1604" w:type="dxa"/>
          </w:tcPr>
          <w:p w14:paraId="1EF78EF5" w14:textId="77777777" w:rsidR="005F0014" w:rsidRPr="005F0014" w:rsidRDefault="005F0014" w:rsidP="005F0014"/>
        </w:tc>
      </w:tr>
    </w:tbl>
    <w:p w14:paraId="4D614DD9" w14:textId="0B0D4D3E" w:rsidR="005F0014" w:rsidRPr="005F0014" w:rsidRDefault="005F0014" w:rsidP="005F0014">
      <w:pPr>
        <w:spacing w:line="240" w:lineRule="auto"/>
        <w:rPr>
          <w:rFonts w:eastAsia="Times New Roman" w:cs="Arial"/>
          <w:lang w:eastAsia="bg-BG"/>
        </w:rPr>
      </w:pPr>
      <w:r w:rsidRPr="005F0014">
        <w:rPr>
          <w:rFonts w:eastAsia="Times New Roman" w:cs="Arial"/>
          <w:color w:val="000000"/>
          <w:lang w:eastAsia="bg-BG"/>
        </w:rPr>
        <w:t>*Наблюдавани в постмаркетинговия период</w:t>
      </w:r>
    </w:p>
    <w:p w14:paraId="40E42286" w14:textId="77777777" w:rsidR="005F0014" w:rsidRPr="005F0014" w:rsidRDefault="005F0014" w:rsidP="005F0014">
      <w:pPr>
        <w:rPr>
          <w:rFonts w:eastAsia="Times New Roman" w:cs="Arial"/>
          <w:color w:val="000000"/>
          <w:u w:val="single"/>
          <w:lang w:eastAsia="bg-BG"/>
        </w:rPr>
      </w:pPr>
    </w:p>
    <w:p w14:paraId="3E40F6F1" w14:textId="295BBD6A" w:rsidR="005F0014" w:rsidRPr="005F0014" w:rsidRDefault="005F0014" w:rsidP="005F0014">
      <w:pPr>
        <w:rPr>
          <w:rFonts w:eastAsia="Times New Roman" w:cs="Arial"/>
          <w:color w:val="000000"/>
          <w:u w:val="single"/>
          <w:lang w:eastAsia="bg-BG"/>
        </w:rPr>
      </w:pPr>
      <w:r w:rsidRPr="005F0014">
        <w:rPr>
          <w:rFonts w:eastAsia="Times New Roman" w:cs="Arial"/>
          <w:color w:val="000000"/>
          <w:u w:val="single"/>
          <w:lang w:eastAsia="bg-BG"/>
        </w:rPr>
        <w:t>Съобщаване на подозирани нежелани реакции</w:t>
      </w:r>
    </w:p>
    <w:p w14:paraId="65299585" w14:textId="77777777" w:rsidR="005F0014" w:rsidRPr="005F0014" w:rsidRDefault="005F0014" w:rsidP="005F0014">
      <w:pPr>
        <w:spacing w:line="240" w:lineRule="auto"/>
        <w:rPr>
          <w:rFonts w:eastAsia="Times New Roman" w:cs="Arial"/>
          <w:lang w:eastAsia="bg-BG"/>
        </w:rPr>
      </w:pPr>
      <w:r w:rsidRPr="005F0014">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w:t>
      </w:r>
    </w:p>
    <w:p w14:paraId="61247BFE" w14:textId="77777777" w:rsidR="005F0014" w:rsidRPr="005F0014" w:rsidRDefault="005F0014" w:rsidP="005F0014">
      <w:pPr>
        <w:spacing w:line="240" w:lineRule="auto"/>
        <w:rPr>
          <w:rFonts w:eastAsia="Times New Roman" w:cs="Arial"/>
          <w:color w:val="000000"/>
          <w:lang w:eastAsia="bg-BG"/>
        </w:rPr>
      </w:pPr>
    </w:p>
    <w:p w14:paraId="075A09AE" w14:textId="436DAA21" w:rsidR="005F0014" w:rsidRPr="005F0014" w:rsidRDefault="005F0014" w:rsidP="005F0014">
      <w:pPr>
        <w:spacing w:line="240" w:lineRule="auto"/>
        <w:rPr>
          <w:rFonts w:eastAsia="Times New Roman" w:cs="Arial"/>
          <w:lang w:eastAsia="bg-BG"/>
        </w:rPr>
      </w:pPr>
      <w:r w:rsidRPr="005F0014">
        <w:rPr>
          <w:rFonts w:eastAsia="Times New Roman" w:cs="Arial"/>
          <w:color w:val="000000"/>
          <w:lang w:eastAsia="bg-BG"/>
        </w:rPr>
        <w:t>Изпълнителна агенция по лекарствата</w:t>
      </w:r>
    </w:p>
    <w:p w14:paraId="2431FD14" w14:textId="77777777" w:rsidR="005F0014" w:rsidRPr="005F0014" w:rsidRDefault="005F0014" w:rsidP="005F0014">
      <w:pPr>
        <w:spacing w:line="240" w:lineRule="auto"/>
        <w:rPr>
          <w:rFonts w:eastAsia="Times New Roman" w:cs="Arial"/>
          <w:lang w:eastAsia="bg-BG"/>
        </w:rPr>
      </w:pPr>
      <w:r w:rsidRPr="005F0014">
        <w:rPr>
          <w:rFonts w:eastAsia="Times New Roman" w:cs="Arial"/>
          <w:color w:val="000000"/>
          <w:lang w:eastAsia="bg-BG"/>
        </w:rPr>
        <w:t>ул. „Дамян Груев” № 8</w:t>
      </w:r>
    </w:p>
    <w:p w14:paraId="2CC6A9D4" w14:textId="77777777" w:rsidR="005F0014" w:rsidRPr="005F0014" w:rsidRDefault="005F0014" w:rsidP="005F0014">
      <w:pPr>
        <w:spacing w:line="240" w:lineRule="auto"/>
        <w:rPr>
          <w:rFonts w:eastAsia="Times New Roman" w:cs="Arial"/>
          <w:lang w:eastAsia="bg-BG"/>
        </w:rPr>
      </w:pPr>
      <w:r w:rsidRPr="005F0014">
        <w:rPr>
          <w:rFonts w:eastAsia="Times New Roman" w:cs="Arial"/>
          <w:color w:val="000000"/>
          <w:lang w:eastAsia="bg-BG"/>
        </w:rPr>
        <w:t>1303 София</w:t>
      </w:r>
    </w:p>
    <w:p w14:paraId="5C6E0161" w14:textId="77777777" w:rsidR="005F0014" w:rsidRPr="005F0014" w:rsidRDefault="005F0014" w:rsidP="005F0014">
      <w:pPr>
        <w:spacing w:line="240" w:lineRule="auto"/>
        <w:rPr>
          <w:rFonts w:eastAsia="Times New Roman" w:cs="Arial"/>
          <w:lang w:eastAsia="bg-BG"/>
        </w:rPr>
      </w:pPr>
      <w:r w:rsidRPr="005F0014">
        <w:rPr>
          <w:rFonts w:eastAsia="Times New Roman" w:cs="Arial"/>
          <w:color w:val="000000"/>
          <w:lang w:eastAsia="bg-BG"/>
        </w:rPr>
        <w:t>Тел.:+359 2 «903417</w:t>
      </w:r>
    </w:p>
    <w:p w14:paraId="0337DE81" w14:textId="77777777" w:rsidR="005F0014" w:rsidRPr="005F0014" w:rsidRDefault="005F0014" w:rsidP="005F0014">
      <w:pPr>
        <w:spacing w:line="240" w:lineRule="auto"/>
        <w:rPr>
          <w:rFonts w:eastAsia="Times New Roman" w:cs="Arial"/>
          <w:lang w:eastAsia="bg-BG"/>
        </w:rPr>
      </w:pPr>
      <w:r w:rsidRPr="005F0014">
        <w:rPr>
          <w:rFonts w:eastAsia="Times New Roman" w:cs="Arial"/>
          <w:color w:val="000000"/>
          <w:lang w:eastAsia="bg-BG"/>
        </w:rPr>
        <w:t xml:space="preserve">уебсайт: </w:t>
      </w:r>
      <w:hyperlink r:id="rId5" w:history="1">
        <w:r w:rsidRPr="005F0014">
          <w:rPr>
            <w:rFonts w:eastAsia="Times New Roman" w:cs="Arial"/>
            <w:color w:val="000000"/>
            <w:u w:val="single"/>
            <w:lang w:val="en-US"/>
          </w:rPr>
          <w:t>www.bda.bg</w:t>
        </w:r>
      </w:hyperlink>
    </w:p>
    <w:p w14:paraId="3F7E4AF9" w14:textId="77777777" w:rsidR="005F0014" w:rsidRPr="005F0014" w:rsidRDefault="005F0014" w:rsidP="005F0014"/>
    <w:p w14:paraId="4A5904B1" w14:textId="0C9E5CE3" w:rsidR="00EE6C97" w:rsidRDefault="002C50EE" w:rsidP="00A93499">
      <w:pPr>
        <w:pStyle w:val="Heading2"/>
      </w:pPr>
      <w:r>
        <w:t>4.9. Предозиране</w:t>
      </w:r>
    </w:p>
    <w:p w14:paraId="325E18C7" w14:textId="5EE9597E" w:rsidR="005F0014" w:rsidRDefault="005F0014" w:rsidP="005F0014"/>
    <w:p w14:paraId="48A0A676" w14:textId="77777777" w:rsidR="005F0014" w:rsidRPr="005F0014" w:rsidRDefault="005F0014" w:rsidP="005F0014">
      <w:pPr>
        <w:spacing w:line="240" w:lineRule="auto"/>
        <w:rPr>
          <w:rFonts w:eastAsia="Times New Roman" w:cs="Arial"/>
          <w:sz w:val="28"/>
          <w:szCs w:val="28"/>
          <w:lang w:eastAsia="bg-BG"/>
        </w:rPr>
      </w:pPr>
      <w:r w:rsidRPr="005F0014">
        <w:rPr>
          <w:rFonts w:eastAsia="Times New Roman" w:cs="Arial"/>
          <w:color w:val="000000"/>
          <w:u w:val="single"/>
          <w:lang w:eastAsia="bg-BG"/>
        </w:rPr>
        <w:t>Симптоми</w:t>
      </w:r>
    </w:p>
    <w:p w14:paraId="561EDFFF" w14:textId="77777777" w:rsidR="005F0014" w:rsidRPr="005F0014" w:rsidRDefault="005F0014" w:rsidP="005F0014">
      <w:pPr>
        <w:spacing w:line="240" w:lineRule="auto"/>
        <w:rPr>
          <w:rFonts w:eastAsia="Times New Roman" w:cs="Arial"/>
          <w:sz w:val="28"/>
          <w:szCs w:val="28"/>
          <w:lang w:eastAsia="bg-BG"/>
        </w:rPr>
      </w:pPr>
      <w:r w:rsidRPr="005F0014">
        <w:rPr>
          <w:rFonts w:eastAsia="Times New Roman" w:cs="Arial"/>
          <w:color w:val="000000"/>
          <w:lang w:eastAsia="bg-BG"/>
        </w:rPr>
        <w:t xml:space="preserve">Предозирането на солифенацинов сукцинат може потенциално да доведе до тежки антихолинергични ефекти. Най-високата доза солифенацинов сукцинат, приложена случайно на един пациент е била 280 </w:t>
      </w:r>
      <w:r w:rsidRPr="005F0014">
        <w:rPr>
          <w:rFonts w:eastAsia="Times New Roman" w:cs="Arial"/>
          <w:color w:val="000000"/>
          <w:lang w:val="en-US"/>
        </w:rPr>
        <w:t xml:space="preserve">mg </w:t>
      </w:r>
      <w:r w:rsidRPr="005F0014">
        <w:rPr>
          <w:rFonts w:eastAsia="Times New Roman" w:cs="Arial"/>
          <w:color w:val="000000"/>
          <w:lang w:eastAsia="bg-BG"/>
        </w:rPr>
        <w:t>за период от 5 часа и е довела до промени на менталния статус, неизискващи хоспитализация.</w:t>
      </w:r>
    </w:p>
    <w:p w14:paraId="28DFA85A" w14:textId="77777777" w:rsidR="005F0014" w:rsidRPr="005F0014" w:rsidRDefault="005F0014" w:rsidP="005F0014">
      <w:pPr>
        <w:spacing w:line="240" w:lineRule="auto"/>
        <w:rPr>
          <w:rFonts w:eastAsia="Times New Roman" w:cs="Arial"/>
          <w:color w:val="000000"/>
          <w:u w:val="single"/>
          <w:lang w:eastAsia="bg-BG"/>
        </w:rPr>
      </w:pPr>
    </w:p>
    <w:p w14:paraId="79841F63" w14:textId="04255FFA" w:rsidR="005F0014" w:rsidRPr="005F0014" w:rsidRDefault="005F0014" w:rsidP="005F0014">
      <w:pPr>
        <w:spacing w:line="240" w:lineRule="auto"/>
        <w:rPr>
          <w:rFonts w:eastAsia="Times New Roman" w:cs="Arial"/>
          <w:sz w:val="28"/>
          <w:szCs w:val="28"/>
          <w:lang w:eastAsia="bg-BG"/>
        </w:rPr>
      </w:pPr>
      <w:r w:rsidRPr="005F0014">
        <w:rPr>
          <w:rFonts w:eastAsia="Times New Roman" w:cs="Arial"/>
          <w:color w:val="000000"/>
          <w:u w:val="single"/>
          <w:lang w:eastAsia="bg-BG"/>
        </w:rPr>
        <w:t>Лечение</w:t>
      </w:r>
    </w:p>
    <w:p w14:paraId="5CB50C6E" w14:textId="77777777" w:rsidR="005F0014" w:rsidRPr="005F0014" w:rsidRDefault="005F0014" w:rsidP="005F0014">
      <w:pPr>
        <w:spacing w:line="240" w:lineRule="auto"/>
        <w:rPr>
          <w:rFonts w:eastAsia="Times New Roman" w:cs="Arial"/>
          <w:sz w:val="28"/>
          <w:szCs w:val="28"/>
          <w:lang w:eastAsia="bg-BG"/>
        </w:rPr>
      </w:pPr>
      <w:r w:rsidRPr="005F0014">
        <w:rPr>
          <w:rFonts w:eastAsia="Times New Roman" w:cs="Arial"/>
          <w:color w:val="000000"/>
          <w:lang w:eastAsia="bg-BG"/>
        </w:rPr>
        <w:t>В случай на предозиране на солифенацинов сукцинат на пациента трябва да се даде активен въглен. Стомашната промивка е от полза, ако се направи до 1 час, но не трябва да се предизвиква повръщане.</w:t>
      </w:r>
    </w:p>
    <w:p w14:paraId="28AAAE5B" w14:textId="77777777" w:rsidR="005F0014" w:rsidRPr="005F0014" w:rsidRDefault="005F0014" w:rsidP="005F0014">
      <w:pPr>
        <w:spacing w:line="240" w:lineRule="auto"/>
        <w:rPr>
          <w:rFonts w:eastAsia="Times New Roman" w:cs="Arial"/>
          <w:sz w:val="28"/>
          <w:szCs w:val="28"/>
          <w:lang w:eastAsia="bg-BG"/>
        </w:rPr>
      </w:pPr>
      <w:r w:rsidRPr="005F0014">
        <w:rPr>
          <w:rFonts w:eastAsia="Times New Roman" w:cs="Arial"/>
          <w:color w:val="000000"/>
          <w:lang w:eastAsia="bg-BG"/>
        </w:rPr>
        <w:t>Както и при други антихолинергични средства, симптомите могат да бъдат лекувани както следва:</w:t>
      </w:r>
    </w:p>
    <w:p w14:paraId="49B84C29" w14:textId="77777777" w:rsidR="005F0014" w:rsidRPr="005F0014" w:rsidRDefault="005F0014" w:rsidP="005F0014">
      <w:pPr>
        <w:pStyle w:val="ListParagraph"/>
        <w:numPr>
          <w:ilvl w:val="0"/>
          <w:numId w:val="40"/>
        </w:numPr>
        <w:spacing w:line="240" w:lineRule="auto"/>
        <w:rPr>
          <w:rFonts w:eastAsia="Times New Roman" w:cs="Arial"/>
          <w:sz w:val="28"/>
          <w:szCs w:val="28"/>
          <w:lang w:eastAsia="bg-BG"/>
        </w:rPr>
      </w:pPr>
      <w:r w:rsidRPr="005F0014">
        <w:rPr>
          <w:rFonts w:eastAsia="Times New Roman" w:cs="Arial"/>
          <w:color w:val="000000"/>
          <w:lang w:eastAsia="bg-BG"/>
        </w:rPr>
        <w:t>Остри централни антихолинергични ефекти като халюцинации или изразена възбуда:провежда се лечение с физостигмин или карбахол.</w:t>
      </w:r>
    </w:p>
    <w:p w14:paraId="23EE91AC" w14:textId="77777777" w:rsidR="005F0014" w:rsidRPr="005F0014" w:rsidRDefault="005F0014" w:rsidP="005F0014">
      <w:pPr>
        <w:pStyle w:val="ListParagraph"/>
        <w:numPr>
          <w:ilvl w:val="0"/>
          <w:numId w:val="40"/>
        </w:numPr>
        <w:spacing w:line="240" w:lineRule="auto"/>
        <w:rPr>
          <w:rFonts w:eastAsia="Times New Roman" w:cs="Arial"/>
          <w:sz w:val="28"/>
          <w:szCs w:val="28"/>
          <w:lang w:eastAsia="bg-BG"/>
        </w:rPr>
      </w:pPr>
      <w:r w:rsidRPr="005F0014">
        <w:rPr>
          <w:rFonts w:eastAsia="Times New Roman" w:cs="Arial"/>
          <w:color w:val="000000"/>
          <w:lang w:eastAsia="bg-BG"/>
        </w:rPr>
        <w:t>Конвулсии или изразена възбуда: провежда се лечение с бензодиазепини.</w:t>
      </w:r>
    </w:p>
    <w:p w14:paraId="78F56D4C" w14:textId="77777777" w:rsidR="005F0014" w:rsidRPr="005F0014" w:rsidRDefault="005F0014" w:rsidP="005F0014">
      <w:pPr>
        <w:pStyle w:val="ListParagraph"/>
        <w:numPr>
          <w:ilvl w:val="0"/>
          <w:numId w:val="40"/>
        </w:numPr>
        <w:spacing w:line="240" w:lineRule="auto"/>
        <w:rPr>
          <w:rFonts w:eastAsia="Times New Roman" w:cs="Arial"/>
          <w:sz w:val="28"/>
          <w:szCs w:val="28"/>
          <w:lang w:eastAsia="bg-BG"/>
        </w:rPr>
      </w:pPr>
      <w:r w:rsidRPr="005F0014">
        <w:rPr>
          <w:rFonts w:eastAsia="Times New Roman" w:cs="Arial"/>
          <w:color w:val="000000"/>
          <w:lang w:eastAsia="bg-BG"/>
        </w:rPr>
        <w:t>Дихателна недостатъчност: провежда се изкуствена респирация.</w:t>
      </w:r>
    </w:p>
    <w:p w14:paraId="02E3BC52" w14:textId="77777777" w:rsidR="005F0014" w:rsidRPr="005F0014" w:rsidRDefault="005F0014" w:rsidP="005F0014">
      <w:pPr>
        <w:pStyle w:val="ListParagraph"/>
        <w:numPr>
          <w:ilvl w:val="0"/>
          <w:numId w:val="40"/>
        </w:numPr>
        <w:spacing w:line="240" w:lineRule="auto"/>
        <w:rPr>
          <w:rFonts w:eastAsia="Times New Roman" w:cs="Arial"/>
          <w:sz w:val="28"/>
          <w:szCs w:val="28"/>
          <w:lang w:eastAsia="bg-BG"/>
        </w:rPr>
      </w:pPr>
      <w:r w:rsidRPr="005F0014">
        <w:rPr>
          <w:rFonts w:eastAsia="Times New Roman" w:cs="Arial"/>
          <w:color w:val="000000"/>
          <w:lang w:eastAsia="bg-BG"/>
        </w:rPr>
        <w:t>Тахикардия: провежда се лечение с бета-блокери.</w:t>
      </w:r>
    </w:p>
    <w:p w14:paraId="663A9676" w14:textId="77777777" w:rsidR="005F0014" w:rsidRPr="005F0014" w:rsidRDefault="005F0014" w:rsidP="005F0014">
      <w:pPr>
        <w:pStyle w:val="ListParagraph"/>
        <w:numPr>
          <w:ilvl w:val="0"/>
          <w:numId w:val="40"/>
        </w:numPr>
        <w:spacing w:line="240" w:lineRule="auto"/>
        <w:rPr>
          <w:rFonts w:eastAsia="Times New Roman" w:cs="Arial"/>
          <w:sz w:val="28"/>
          <w:szCs w:val="28"/>
          <w:lang w:eastAsia="bg-BG"/>
        </w:rPr>
      </w:pPr>
      <w:r w:rsidRPr="005F0014">
        <w:rPr>
          <w:rFonts w:eastAsia="Times New Roman" w:cs="Arial"/>
          <w:color w:val="000000"/>
          <w:lang w:eastAsia="bg-BG"/>
        </w:rPr>
        <w:lastRenderedPageBreak/>
        <w:t>Задържане на урина: прави се категоризация.</w:t>
      </w:r>
    </w:p>
    <w:p w14:paraId="72BB6E28" w14:textId="2E03E37A" w:rsidR="005F0014" w:rsidRPr="005F0014" w:rsidRDefault="005F0014" w:rsidP="005F0014">
      <w:pPr>
        <w:pStyle w:val="ListParagraph"/>
        <w:numPr>
          <w:ilvl w:val="0"/>
          <w:numId w:val="40"/>
        </w:numPr>
        <w:spacing w:line="240" w:lineRule="auto"/>
        <w:rPr>
          <w:rFonts w:eastAsia="Times New Roman" w:cs="Arial"/>
          <w:sz w:val="28"/>
          <w:szCs w:val="28"/>
          <w:lang w:eastAsia="bg-BG"/>
        </w:rPr>
      </w:pPr>
      <w:r w:rsidRPr="005F0014">
        <w:rPr>
          <w:rFonts w:eastAsia="Times New Roman" w:cs="Arial"/>
          <w:color w:val="000000"/>
          <w:lang w:eastAsia="bg-BG"/>
        </w:rPr>
        <w:t>Мидриаза: провежда се лечение с пилокарпин капки за очи и/или пациентът се поставя в тъмна стая.</w:t>
      </w:r>
    </w:p>
    <w:p w14:paraId="6D9A2F00" w14:textId="77777777" w:rsidR="005F0014" w:rsidRPr="005F0014" w:rsidRDefault="005F0014" w:rsidP="005F0014">
      <w:pPr>
        <w:rPr>
          <w:rFonts w:eastAsia="Times New Roman" w:cs="Arial"/>
          <w:color w:val="000000"/>
          <w:lang w:eastAsia="bg-BG"/>
        </w:rPr>
      </w:pPr>
    </w:p>
    <w:p w14:paraId="391B1063" w14:textId="70AB1038" w:rsidR="005F0014" w:rsidRPr="005F0014" w:rsidRDefault="005F0014" w:rsidP="005F0014">
      <w:r w:rsidRPr="005F0014">
        <w:rPr>
          <w:rFonts w:eastAsia="Times New Roman" w:cs="Arial"/>
          <w:color w:val="000000"/>
          <w:lang w:eastAsia="bg-BG"/>
        </w:rPr>
        <w:t xml:space="preserve">Както и при други антимускаринови средства, в случай на предозиране, трябва да се обърне специално внимание на пациенти с известен риск от удължаване на </w:t>
      </w:r>
      <w:r w:rsidRPr="005F0014">
        <w:rPr>
          <w:rFonts w:eastAsia="Times New Roman" w:cs="Arial"/>
          <w:color w:val="000000"/>
          <w:lang w:val="en-US"/>
        </w:rPr>
        <w:t>QT</w:t>
      </w:r>
      <w:r w:rsidRPr="005F0014">
        <w:rPr>
          <w:rFonts w:eastAsia="Times New Roman" w:cs="Arial"/>
          <w:color w:val="000000"/>
          <w:lang w:eastAsia="bg-BG"/>
        </w:rPr>
        <w:t xml:space="preserve">-интервала (напр. хипокалиемия, брадикардия и едновременно прилагане на лекарствени продукти, за които е известно, че удължават </w:t>
      </w:r>
      <w:r w:rsidRPr="005F0014">
        <w:rPr>
          <w:rFonts w:eastAsia="Times New Roman" w:cs="Arial"/>
          <w:color w:val="000000"/>
          <w:lang w:val="en-US"/>
        </w:rPr>
        <w:t>QT</w:t>
      </w:r>
      <w:r w:rsidRPr="005F0014">
        <w:rPr>
          <w:rFonts w:eastAsia="Times New Roman" w:cs="Arial"/>
          <w:color w:val="000000"/>
          <w:lang w:eastAsia="bg-BG"/>
        </w:rPr>
        <w:t>-интервала) и съответно предшестващи сърдечни заболявания (напр. миокардна исхемия, аритмия, конгестивна сърдечна недостатъчност).</w:t>
      </w:r>
    </w:p>
    <w:p w14:paraId="02081B24" w14:textId="36FE76F4" w:rsidR="00395555" w:rsidRPr="00395555" w:rsidRDefault="002C50EE" w:rsidP="008A6AF2">
      <w:pPr>
        <w:pStyle w:val="Heading1"/>
      </w:pPr>
      <w:r>
        <w:t>5. ФАРМАКОЛОГИЧНИ СВОЙСТВА</w:t>
      </w:r>
    </w:p>
    <w:p w14:paraId="3B9FA2B5" w14:textId="780D03CC" w:rsidR="00EE6C97" w:rsidRDefault="002C50EE" w:rsidP="00A93499">
      <w:pPr>
        <w:pStyle w:val="Heading2"/>
      </w:pPr>
      <w:r>
        <w:t>5.1. Фармакодинамични свойства</w:t>
      </w:r>
    </w:p>
    <w:p w14:paraId="2657A8CA" w14:textId="0BF314A5" w:rsidR="005F0014" w:rsidRDefault="005F0014" w:rsidP="005F0014"/>
    <w:p w14:paraId="6BF10128" w14:textId="77777777" w:rsidR="005F0014" w:rsidRPr="005F0014" w:rsidRDefault="005F0014" w:rsidP="005F0014">
      <w:pPr>
        <w:spacing w:line="240" w:lineRule="auto"/>
        <w:rPr>
          <w:rFonts w:eastAsia="Times New Roman" w:cs="Arial"/>
          <w:sz w:val="28"/>
          <w:szCs w:val="28"/>
          <w:lang w:eastAsia="bg-BG"/>
        </w:rPr>
      </w:pPr>
      <w:r w:rsidRPr="005F0014">
        <w:rPr>
          <w:rFonts w:eastAsia="Times New Roman" w:cs="Arial"/>
          <w:color w:val="000000"/>
          <w:lang w:eastAsia="bg-BG"/>
        </w:rPr>
        <w:t xml:space="preserve">Фармакотерапевтична група: Урологични лекарствени продукти, спазмолитици на пикочните пътища, АТС код: </w:t>
      </w:r>
      <w:r w:rsidRPr="005F0014">
        <w:rPr>
          <w:rFonts w:eastAsia="Times New Roman" w:cs="Arial"/>
          <w:color w:val="000000"/>
          <w:lang w:val="en-US"/>
        </w:rPr>
        <w:t>G04B D08.</w:t>
      </w:r>
    </w:p>
    <w:p w14:paraId="4B2B6C29" w14:textId="77777777" w:rsidR="005F0014" w:rsidRPr="005F0014" w:rsidRDefault="005F0014" w:rsidP="005F0014">
      <w:pPr>
        <w:spacing w:line="240" w:lineRule="auto"/>
        <w:rPr>
          <w:rFonts w:eastAsia="Times New Roman" w:cs="Arial"/>
          <w:color w:val="000000"/>
          <w:u w:val="single"/>
          <w:lang w:eastAsia="bg-BG"/>
        </w:rPr>
      </w:pPr>
    </w:p>
    <w:p w14:paraId="17C65452" w14:textId="71BBC2C1" w:rsidR="005F0014" w:rsidRPr="005F0014" w:rsidRDefault="005F0014" w:rsidP="005F0014">
      <w:pPr>
        <w:spacing w:line="240" w:lineRule="auto"/>
        <w:rPr>
          <w:rFonts w:eastAsia="Times New Roman" w:cs="Arial"/>
          <w:sz w:val="28"/>
          <w:szCs w:val="28"/>
          <w:lang w:eastAsia="bg-BG"/>
        </w:rPr>
      </w:pPr>
      <w:r w:rsidRPr="005F0014">
        <w:rPr>
          <w:rFonts w:eastAsia="Times New Roman" w:cs="Arial"/>
          <w:color w:val="000000"/>
          <w:u w:val="single"/>
          <w:lang w:eastAsia="bg-BG"/>
        </w:rPr>
        <w:t>Механизъм на действие</w:t>
      </w:r>
    </w:p>
    <w:p w14:paraId="2E9D79C6" w14:textId="77777777" w:rsidR="005F0014" w:rsidRPr="005F0014" w:rsidRDefault="005F0014" w:rsidP="005F0014">
      <w:pPr>
        <w:spacing w:line="240" w:lineRule="auto"/>
        <w:rPr>
          <w:rFonts w:eastAsia="Times New Roman" w:cs="Arial"/>
          <w:sz w:val="28"/>
          <w:szCs w:val="28"/>
          <w:lang w:eastAsia="bg-BG"/>
        </w:rPr>
      </w:pPr>
      <w:r w:rsidRPr="005F0014">
        <w:rPr>
          <w:rFonts w:eastAsia="Times New Roman" w:cs="Arial"/>
          <w:color w:val="000000"/>
          <w:lang w:eastAsia="bg-BG"/>
        </w:rPr>
        <w:t>Солифенацин е конкурентен, специфичен антагонист на холинергичните рецептори.</w:t>
      </w:r>
    </w:p>
    <w:p w14:paraId="6A556C4E" w14:textId="77777777" w:rsidR="005F0014" w:rsidRPr="005F0014" w:rsidRDefault="005F0014" w:rsidP="005F0014">
      <w:pPr>
        <w:spacing w:line="240" w:lineRule="auto"/>
        <w:rPr>
          <w:rFonts w:eastAsia="Times New Roman" w:cs="Arial"/>
          <w:sz w:val="28"/>
          <w:szCs w:val="28"/>
          <w:lang w:eastAsia="bg-BG"/>
        </w:rPr>
      </w:pPr>
    </w:p>
    <w:p w14:paraId="6A28E232" w14:textId="77777777" w:rsidR="005F0014" w:rsidRPr="005F0014" w:rsidRDefault="005F0014" w:rsidP="005F0014">
      <w:pPr>
        <w:spacing w:line="240" w:lineRule="auto"/>
        <w:rPr>
          <w:rFonts w:eastAsia="Times New Roman" w:cs="Arial"/>
          <w:sz w:val="28"/>
          <w:szCs w:val="28"/>
          <w:lang w:eastAsia="bg-BG"/>
        </w:rPr>
      </w:pPr>
      <w:r w:rsidRPr="005F0014">
        <w:rPr>
          <w:rFonts w:eastAsia="Times New Roman" w:cs="Arial"/>
          <w:color w:val="000000"/>
          <w:u w:val="single"/>
          <w:lang w:eastAsia="bg-BG"/>
        </w:rPr>
        <w:t>Фармакодинамични ефекти</w:t>
      </w:r>
    </w:p>
    <w:p w14:paraId="3D7A8DA7" w14:textId="77777777" w:rsidR="005F0014" w:rsidRPr="005F0014" w:rsidRDefault="005F0014" w:rsidP="005F0014">
      <w:pPr>
        <w:spacing w:line="240" w:lineRule="auto"/>
        <w:rPr>
          <w:rFonts w:eastAsia="Times New Roman" w:cs="Arial"/>
          <w:sz w:val="28"/>
          <w:szCs w:val="28"/>
          <w:lang w:eastAsia="bg-BG"/>
        </w:rPr>
      </w:pPr>
      <w:r w:rsidRPr="005F0014">
        <w:rPr>
          <w:rFonts w:eastAsia="Times New Roman" w:cs="Arial"/>
          <w:color w:val="000000"/>
          <w:lang w:eastAsia="bg-BG"/>
        </w:rPr>
        <w:t>Пикочният мехур се инервира от парасимпагккови холинергични нерви. Ацетилхолинът</w:t>
      </w:r>
    </w:p>
    <w:p w14:paraId="7CE98738" w14:textId="77777777" w:rsidR="005F0014" w:rsidRPr="005F0014" w:rsidRDefault="005F0014" w:rsidP="005F0014">
      <w:pPr>
        <w:rPr>
          <w:rFonts w:eastAsia="Times New Roman" w:cs="Arial"/>
          <w:sz w:val="28"/>
          <w:szCs w:val="28"/>
          <w:lang w:eastAsia="bg-BG"/>
        </w:rPr>
      </w:pPr>
      <w:r w:rsidRPr="005F0014">
        <w:rPr>
          <w:rFonts w:eastAsia="Times New Roman" w:cs="Arial"/>
          <w:color w:val="000000"/>
          <w:lang w:eastAsia="bg-BG"/>
        </w:rPr>
        <w:t xml:space="preserve">контрахира гладкия мускул на детрузора чрез мускаринови рецептори, предимно подтип </w:t>
      </w:r>
      <w:r w:rsidRPr="005F0014">
        <w:rPr>
          <w:rFonts w:eastAsia="Times New Roman" w:cs="Arial"/>
          <w:color w:val="000000"/>
          <w:lang w:val="en-US"/>
        </w:rPr>
        <w:t xml:space="preserve">M3. In </w:t>
      </w:r>
      <w:r w:rsidRPr="005F0014">
        <w:rPr>
          <w:rFonts w:eastAsia="Times New Roman" w:cs="Arial"/>
          <w:i/>
          <w:iCs/>
          <w:color w:val="000000"/>
          <w:lang w:val="en-US"/>
        </w:rPr>
        <w:t>vitro</w:t>
      </w:r>
      <w:r w:rsidRPr="005F0014">
        <w:rPr>
          <w:rFonts w:eastAsia="Times New Roman" w:cs="Arial"/>
          <w:color w:val="000000"/>
          <w:lang w:val="en-US"/>
        </w:rPr>
        <w:t xml:space="preserve"> </w:t>
      </w:r>
      <w:r w:rsidRPr="005F0014">
        <w:rPr>
          <w:rFonts w:eastAsia="Times New Roman" w:cs="Arial"/>
          <w:color w:val="000000"/>
          <w:lang w:eastAsia="bg-BG"/>
        </w:rPr>
        <w:t xml:space="preserve">и </w:t>
      </w:r>
      <w:r w:rsidRPr="005F0014">
        <w:rPr>
          <w:rFonts w:eastAsia="Times New Roman" w:cs="Arial"/>
          <w:i/>
          <w:iCs/>
          <w:color w:val="000000"/>
          <w:lang w:val="en-US"/>
        </w:rPr>
        <w:t>in vivo</w:t>
      </w:r>
      <w:r w:rsidRPr="005F0014">
        <w:rPr>
          <w:rFonts w:eastAsia="Times New Roman" w:cs="Arial"/>
          <w:color w:val="000000"/>
          <w:lang w:val="en-US"/>
        </w:rPr>
        <w:t xml:space="preserve"> </w:t>
      </w:r>
      <w:r w:rsidRPr="005F0014">
        <w:rPr>
          <w:rFonts w:eastAsia="Times New Roman" w:cs="Arial"/>
          <w:color w:val="000000"/>
          <w:lang w:eastAsia="bg-BG"/>
        </w:rPr>
        <w:t>фармакологични изпитвания показват, че солифенацин е конкурентен инхибитор</w:t>
      </w:r>
      <w:r w:rsidRPr="005F0014">
        <w:rPr>
          <w:rFonts w:eastAsia="Times New Roman" w:cs="Arial"/>
          <w:color w:val="000000"/>
          <w:lang w:eastAsia="bg-BG"/>
        </w:rPr>
        <w:t xml:space="preserve"> </w:t>
      </w:r>
      <w:r w:rsidRPr="005F0014">
        <w:rPr>
          <w:rFonts w:eastAsia="Times New Roman" w:cs="Arial"/>
          <w:color w:val="000000"/>
          <w:lang w:eastAsia="bg-BG"/>
        </w:rPr>
        <w:t>на мускариновите рецептори, подтип M3. Освен това, солифенацин е показал, че е специфичен антагонист на мускариновите рецептори, като проявява слаб афинитет или не проявява никакъв афинитет към различни други рецептори и йонни канали, които са изследвани.</w:t>
      </w:r>
    </w:p>
    <w:p w14:paraId="7B031431" w14:textId="77777777" w:rsidR="005F0014" w:rsidRPr="005F0014" w:rsidRDefault="005F0014" w:rsidP="005F0014">
      <w:pPr>
        <w:spacing w:line="240" w:lineRule="auto"/>
        <w:rPr>
          <w:rFonts w:eastAsia="Times New Roman" w:cs="Arial"/>
          <w:color w:val="000000"/>
          <w:u w:val="single"/>
          <w:lang w:eastAsia="bg-BG"/>
        </w:rPr>
      </w:pPr>
    </w:p>
    <w:p w14:paraId="25F575FE" w14:textId="445B3B69" w:rsidR="005F0014" w:rsidRPr="005F0014" w:rsidRDefault="005F0014" w:rsidP="005F0014">
      <w:pPr>
        <w:spacing w:line="240" w:lineRule="auto"/>
        <w:rPr>
          <w:rFonts w:eastAsia="Times New Roman" w:cs="Arial"/>
          <w:sz w:val="28"/>
          <w:szCs w:val="28"/>
          <w:lang w:eastAsia="bg-BG"/>
        </w:rPr>
      </w:pPr>
      <w:r w:rsidRPr="005F0014">
        <w:rPr>
          <w:rFonts w:eastAsia="Times New Roman" w:cs="Arial"/>
          <w:color w:val="000000"/>
          <w:u w:val="single"/>
          <w:lang w:eastAsia="bg-BG"/>
        </w:rPr>
        <w:t>Клинична ефикасност и безопасност</w:t>
      </w:r>
    </w:p>
    <w:p w14:paraId="54BC547C" w14:textId="77777777" w:rsidR="005F0014" w:rsidRPr="005F0014" w:rsidRDefault="005F0014" w:rsidP="005F0014">
      <w:pPr>
        <w:spacing w:line="240" w:lineRule="auto"/>
        <w:rPr>
          <w:rFonts w:eastAsia="Times New Roman" w:cs="Arial"/>
          <w:sz w:val="28"/>
          <w:szCs w:val="28"/>
          <w:lang w:eastAsia="bg-BG"/>
        </w:rPr>
      </w:pPr>
      <w:r w:rsidRPr="005F0014">
        <w:rPr>
          <w:rFonts w:eastAsia="Times New Roman" w:cs="Arial"/>
          <w:color w:val="000000"/>
          <w:lang w:eastAsia="bg-BG"/>
        </w:rPr>
        <w:t xml:space="preserve">Лечението със солифенацин в дози 5 </w:t>
      </w:r>
      <w:r w:rsidRPr="005F0014">
        <w:rPr>
          <w:rFonts w:eastAsia="Times New Roman" w:cs="Arial"/>
          <w:color w:val="000000"/>
          <w:lang w:val="en-US"/>
        </w:rPr>
        <w:t xml:space="preserve">mg </w:t>
      </w:r>
      <w:r w:rsidRPr="005F0014">
        <w:rPr>
          <w:rFonts w:eastAsia="Times New Roman" w:cs="Arial"/>
          <w:color w:val="000000"/>
          <w:lang w:eastAsia="bg-BG"/>
        </w:rPr>
        <w:t xml:space="preserve">и 10 </w:t>
      </w:r>
      <w:r w:rsidRPr="005F0014">
        <w:rPr>
          <w:rFonts w:eastAsia="Times New Roman" w:cs="Arial"/>
          <w:color w:val="000000"/>
          <w:lang w:val="en-US"/>
        </w:rPr>
        <w:t xml:space="preserve">mg </w:t>
      </w:r>
      <w:r w:rsidRPr="005F0014">
        <w:rPr>
          <w:rFonts w:eastAsia="Times New Roman" w:cs="Arial"/>
          <w:color w:val="000000"/>
          <w:lang w:eastAsia="bg-BG"/>
        </w:rPr>
        <w:t>дневно е проучено в няколко двойно-слепи, рандомизирани, контролирани клинични проучвания при мъже и жени със свръхактивен пикочен мехур.</w:t>
      </w:r>
    </w:p>
    <w:p w14:paraId="5801F043" w14:textId="77777777" w:rsidR="005F0014" w:rsidRPr="005F0014" w:rsidRDefault="005F0014" w:rsidP="005F0014">
      <w:pPr>
        <w:spacing w:line="240" w:lineRule="auto"/>
        <w:rPr>
          <w:rFonts w:eastAsia="Times New Roman" w:cs="Arial"/>
          <w:sz w:val="28"/>
          <w:szCs w:val="28"/>
          <w:lang w:eastAsia="bg-BG"/>
        </w:rPr>
      </w:pPr>
      <w:r w:rsidRPr="005F0014">
        <w:rPr>
          <w:rFonts w:eastAsia="Times New Roman" w:cs="Arial"/>
          <w:color w:val="000000"/>
          <w:lang w:eastAsia="bg-BG"/>
        </w:rPr>
        <w:t xml:space="preserve">Както е показано в таблицата по-долу, и двете дози, 5 </w:t>
      </w:r>
      <w:r w:rsidRPr="005F0014">
        <w:rPr>
          <w:rFonts w:eastAsia="Times New Roman" w:cs="Arial"/>
          <w:color w:val="000000"/>
          <w:lang w:val="en-US"/>
        </w:rPr>
        <w:t xml:space="preserve">mg </w:t>
      </w:r>
      <w:r w:rsidRPr="005F0014">
        <w:rPr>
          <w:rFonts w:eastAsia="Times New Roman" w:cs="Arial"/>
          <w:color w:val="000000"/>
          <w:lang w:eastAsia="bg-BG"/>
        </w:rPr>
        <w:t xml:space="preserve">и 10 </w:t>
      </w:r>
      <w:r w:rsidRPr="005F0014">
        <w:rPr>
          <w:rFonts w:eastAsia="Times New Roman" w:cs="Arial"/>
          <w:color w:val="000000"/>
          <w:lang w:val="en-US"/>
        </w:rPr>
        <w:t xml:space="preserve">mg </w:t>
      </w:r>
      <w:r w:rsidRPr="005F0014">
        <w:rPr>
          <w:rFonts w:eastAsia="Times New Roman" w:cs="Arial"/>
          <w:color w:val="000000"/>
          <w:lang w:eastAsia="bg-BG"/>
        </w:rPr>
        <w:t>солифенацин предизвикват статистически значими подобрения в първичните и вторичните крайни точки в сравнение с плацебо. Ефикасност се наблюдава една седмица след началото на лечението и остава стабилна за период от 12 седмици. Продължително отворено проучване показва, че ефикасността се запазва в продължение на най-малко 12 месеца. След 12-седмично лечение, приблизително 50% от пациентите, страдащи от инконтиненция преди лечението, нямат епизоди на инконтиненция. Освен това, при 35% от пациентите е постигната честота на уриниране по-малка от 8 пъти дневно. Лечението на симптомите на свръхактивен пикочен мехур се отразява благоприятно върху редица критерии за качеството на живот, като например: цялостното усещане за здраве, влиянието на епизодите на инконтиненция, ограниченията в действията, физическите ограничения, социалните ограничения, емоциите, тежестта на симптомите, тежестта на предприеманите мерки и нарушението на съня/жизненостга.</w:t>
      </w:r>
    </w:p>
    <w:p w14:paraId="3BBB7A9D" w14:textId="77777777" w:rsidR="005F0014" w:rsidRPr="005F0014" w:rsidRDefault="005F0014" w:rsidP="005F0014">
      <w:pPr>
        <w:rPr>
          <w:rFonts w:eastAsia="Times New Roman" w:cs="Arial"/>
          <w:i/>
          <w:iCs/>
          <w:color w:val="000000"/>
          <w:lang w:eastAsia="bg-BG"/>
        </w:rPr>
      </w:pPr>
    </w:p>
    <w:p w14:paraId="076BA775" w14:textId="23022C46" w:rsidR="005F0014" w:rsidRDefault="005F0014" w:rsidP="005F0014">
      <w:pPr>
        <w:rPr>
          <w:rFonts w:eastAsia="Times New Roman" w:cs="Arial"/>
          <w:i/>
          <w:iCs/>
          <w:color w:val="000000"/>
          <w:lang w:eastAsia="bg-BG"/>
        </w:rPr>
      </w:pPr>
      <w:r w:rsidRPr="005F0014">
        <w:rPr>
          <w:rFonts w:eastAsia="Times New Roman" w:cs="Arial"/>
          <w:i/>
          <w:iCs/>
          <w:color w:val="000000"/>
          <w:lang w:eastAsia="bg-BG"/>
        </w:rPr>
        <w:lastRenderedPageBreak/>
        <w:t>Резултати (обобщени данни) от четири контролирани (фаза 3) проучвания е продължителност 12 седмици</w:t>
      </w:r>
      <w:r w:rsidRPr="005F0014">
        <w:rPr>
          <w:rFonts w:eastAsia="Times New Roman" w:cs="Arial"/>
          <w:i/>
          <w:iCs/>
          <w:color w:val="000000"/>
          <w:lang w:eastAsia="bg-BG"/>
        </w:rPr>
        <w:tab/>
      </w:r>
    </w:p>
    <w:tbl>
      <w:tblPr>
        <w:tblStyle w:val="TableGrid"/>
        <w:tblW w:w="0" w:type="auto"/>
        <w:tblLook w:val="04A0" w:firstRow="1" w:lastRow="0" w:firstColumn="1" w:lastColumn="0" w:noHBand="0" w:noVBand="1"/>
      </w:tblPr>
      <w:tblGrid>
        <w:gridCol w:w="2200"/>
        <w:gridCol w:w="1686"/>
        <w:gridCol w:w="1835"/>
        <w:gridCol w:w="1835"/>
        <w:gridCol w:w="1794"/>
      </w:tblGrid>
      <w:tr w:rsidR="005F0014" w14:paraId="126502C4" w14:textId="77777777" w:rsidTr="005F0014">
        <w:tc>
          <w:tcPr>
            <w:tcW w:w="2294" w:type="dxa"/>
          </w:tcPr>
          <w:p w14:paraId="37FFDDBA" w14:textId="77777777" w:rsidR="005F0014" w:rsidRPr="00843285" w:rsidRDefault="005F0014" w:rsidP="005F0014">
            <w:pPr>
              <w:rPr>
                <w:rFonts w:cs="Arial"/>
              </w:rPr>
            </w:pPr>
          </w:p>
        </w:tc>
        <w:tc>
          <w:tcPr>
            <w:tcW w:w="1749" w:type="dxa"/>
          </w:tcPr>
          <w:p w14:paraId="6DE9F1D9" w14:textId="1A2D9223" w:rsidR="005F0014" w:rsidRPr="00843285" w:rsidRDefault="005F0014" w:rsidP="005F0014">
            <w:pPr>
              <w:rPr>
                <w:rFonts w:cs="Arial"/>
              </w:rPr>
            </w:pPr>
            <w:r w:rsidRPr="00843285">
              <w:rPr>
                <w:rFonts w:cs="Arial"/>
                <w:i/>
                <w:iCs/>
              </w:rPr>
              <w:t>Плацебо</w:t>
            </w:r>
          </w:p>
        </w:tc>
        <w:tc>
          <w:tcPr>
            <w:tcW w:w="1854" w:type="dxa"/>
          </w:tcPr>
          <w:p w14:paraId="42F00466" w14:textId="614C0435" w:rsidR="005F0014" w:rsidRPr="00843285" w:rsidRDefault="005F0014" w:rsidP="005F0014">
            <w:pPr>
              <w:rPr>
                <w:rFonts w:cs="Arial"/>
              </w:rPr>
            </w:pPr>
            <w:r w:rsidRPr="00843285">
              <w:rPr>
                <w:rFonts w:cs="Arial"/>
                <w:i/>
                <w:iCs/>
              </w:rPr>
              <w:t xml:space="preserve">Солифенацин сукцинат 5 </w:t>
            </w:r>
            <w:r w:rsidRPr="00843285">
              <w:rPr>
                <w:rFonts w:cs="Arial"/>
                <w:i/>
                <w:iCs/>
                <w:lang w:val="en-US"/>
              </w:rPr>
              <w:t xml:space="preserve">mg </w:t>
            </w:r>
            <w:r w:rsidRPr="00843285">
              <w:rPr>
                <w:rFonts w:cs="Arial"/>
                <w:i/>
                <w:iCs/>
              </w:rPr>
              <w:t>веднъж дневно</w:t>
            </w:r>
          </w:p>
        </w:tc>
        <w:tc>
          <w:tcPr>
            <w:tcW w:w="1854" w:type="dxa"/>
          </w:tcPr>
          <w:p w14:paraId="0CE58C8F" w14:textId="3C4A47A3" w:rsidR="005F0014" w:rsidRPr="00843285" w:rsidRDefault="005F0014" w:rsidP="005F0014">
            <w:pPr>
              <w:rPr>
                <w:rFonts w:cs="Arial"/>
              </w:rPr>
            </w:pPr>
            <w:r w:rsidRPr="00843285">
              <w:rPr>
                <w:rFonts w:cs="Arial"/>
                <w:i/>
                <w:iCs/>
              </w:rPr>
              <w:t xml:space="preserve">Солифенацин сукцинат 10 </w:t>
            </w:r>
            <w:r w:rsidRPr="00843285">
              <w:rPr>
                <w:rFonts w:cs="Arial"/>
                <w:i/>
                <w:iCs/>
                <w:lang w:val="en-US"/>
              </w:rPr>
              <w:t xml:space="preserve">mg </w:t>
            </w:r>
            <w:r w:rsidRPr="00843285">
              <w:rPr>
                <w:rFonts w:cs="Arial"/>
                <w:i/>
                <w:iCs/>
              </w:rPr>
              <w:t>веднъж дневно</w:t>
            </w:r>
          </w:p>
        </w:tc>
        <w:tc>
          <w:tcPr>
            <w:tcW w:w="1825" w:type="dxa"/>
          </w:tcPr>
          <w:p w14:paraId="5D4DF2B5" w14:textId="08AAFEA7" w:rsidR="005F0014" w:rsidRPr="00843285" w:rsidRDefault="005F0014" w:rsidP="005F0014">
            <w:pPr>
              <w:rPr>
                <w:rFonts w:cs="Arial"/>
              </w:rPr>
            </w:pPr>
            <w:r w:rsidRPr="00843285">
              <w:rPr>
                <w:rFonts w:cs="Arial"/>
                <w:i/>
                <w:iCs/>
              </w:rPr>
              <w:t xml:space="preserve">Толтеродин 2 </w:t>
            </w:r>
            <w:r w:rsidRPr="00843285">
              <w:rPr>
                <w:rFonts w:cs="Arial"/>
                <w:i/>
                <w:iCs/>
                <w:lang w:val="en-US"/>
              </w:rPr>
              <w:t xml:space="preserve">mg </w:t>
            </w:r>
            <w:r w:rsidRPr="00843285">
              <w:rPr>
                <w:rFonts w:cs="Arial"/>
                <w:i/>
                <w:iCs/>
              </w:rPr>
              <w:t>2 пъти дневно</w:t>
            </w:r>
          </w:p>
        </w:tc>
      </w:tr>
      <w:tr w:rsidR="005F0014" w14:paraId="50490258" w14:textId="77777777" w:rsidTr="004C40FC">
        <w:tc>
          <w:tcPr>
            <w:tcW w:w="9576" w:type="dxa"/>
            <w:gridSpan w:val="5"/>
          </w:tcPr>
          <w:p w14:paraId="6B6301CD" w14:textId="40CC1FB5" w:rsidR="005F0014" w:rsidRPr="00843285" w:rsidRDefault="005F0014" w:rsidP="005F0014">
            <w:pPr>
              <w:rPr>
                <w:rFonts w:cs="Arial"/>
              </w:rPr>
            </w:pPr>
            <w:r w:rsidRPr="00843285">
              <w:rPr>
                <w:rFonts w:cs="Arial"/>
                <w:b/>
                <w:bCs/>
                <w:i/>
                <w:iCs/>
              </w:rPr>
              <w:t>Брой уринирания/24 часа</w:t>
            </w:r>
          </w:p>
        </w:tc>
      </w:tr>
      <w:tr w:rsidR="005F0014" w14:paraId="4E7490CA" w14:textId="77777777" w:rsidTr="005F0014">
        <w:tc>
          <w:tcPr>
            <w:tcW w:w="2294" w:type="dxa"/>
          </w:tcPr>
          <w:p w14:paraId="589D1221" w14:textId="77777777" w:rsidR="005F0014" w:rsidRPr="00843285" w:rsidRDefault="005F0014" w:rsidP="005F0014">
            <w:pPr>
              <w:rPr>
                <w:rFonts w:cs="Arial"/>
              </w:rPr>
            </w:pPr>
            <w:r w:rsidRPr="00843285">
              <w:rPr>
                <w:rFonts w:cs="Arial"/>
              </w:rPr>
              <w:t xml:space="preserve">Средно изход но ниво </w:t>
            </w:r>
          </w:p>
          <w:p w14:paraId="0D009094" w14:textId="77777777" w:rsidR="005F0014" w:rsidRPr="00843285" w:rsidRDefault="005F0014" w:rsidP="005F0014">
            <w:pPr>
              <w:rPr>
                <w:rFonts w:cs="Arial"/>
              </w:rPr>
            </w:pPr>
          </w:p>
          <w:p w14:paraId="3C86C41D" w14:textId="1CCD59F3" w:rsidR="005F0014" w:rsidRPr="00843285" w:rsidRDefault="005F0014" w:rsidP="005F0014">
            <w:pPr>
              <w:rPr>
                <w:rFonts w:cs="Arial"/>
              </w:rPr>
            </w:pPr>
            <w:r w:rsidRPr="00843285">
              <w:rPr>
                <w:rFonts w:cs="Arial"/>
              </w:rPr>
              <w:t xml:space="preserve">Средно намаление ог изходно ниво </w:t>
            </w:r>
          </w:p>
          <w:p w14:paraId="3CE2F2B7" w14:textId="77777777" w:rsidR="005F0014" w:rsidRPr="00843285" w:rsidRDefault="005F0014" w:rsidP="005F0014">
            <w:pPr>
              <w:rPr>
                <w:rFonts w:cs="Arial"/>
              </w:rPr>
            </w:pPr>
          </w:p>
          <w:p w14:paraId="1DAEEE30" w14:textId="191E5D03" w:rsidR="005F0014" w:rsidRPr="00843285" w:rsidRDefault="005F0014" w:rsidP="005F0014">
            <w:pPr>
              <w:rPr>
                <w:rFonts w:cs="Arial"/>
              </w:rPr>
            </w:pPr>
            <w:r w:rsidRPr="00843285">
              <w:rPr>
                <w:rFonts w:cs="Arial"/>
              </w:rPr>
              <w:t>% промяна от изход ното ниво</w:t>
            </w:r>
          </w:p>
          <w:p w14:paraId="71B109D1" w14:textId="77777777" w:rsidR="005F0014" w:rsidRPr="00843285" w:rsidRDefault="005F0014" w:rsidP="005F0014">
            <w:pPr>
              <w:rPr>
                <w:rFonts w:cs="Arial"/>
              </w:rPr>
            </w:pPr>
          </w:p>
          <w:p w14:paraId="1BEBCC81" w14:textId="0C4C99B2" w:rsidR="005F0014" w:rsidRPr="00843285" w:rsidRDefault="005F0014" w:rsidP="005F0014">
            <w:pPr>
              <w:rPr>
                <w:rFonts w:cs="Arial"/>
              </w:rPr>
            </w:pPr>
            <w:r w:rsidRPr="00843285">
              <w:rPr>
                <w:rFonts w:cs="Arial"/>
              </w:rPr>
              <w:t>Брой пациенти р-стойност*</w:t>
            </w:r>
          </w:p>
        </w:tc>
        <w:tc>
          <w:tcPr>
            <w:tcW w:w="1749" w:type="dxa"/>
          </w:tcPr>
          <w:p w14:paraId="6C47C98E" w14:textId="77777777" w:rsidR="005F0014" w:rsidRPr="00843285" w:rsidRDefault="005F0014" w:rsidP="005F0014">
            <w:pPr>
              <w:rPr>
                <w:rFonts w:cs="Arial"/>
              </w:rPr>
            </w:pPr>
            <w:r w:rsidRPr="00843285">
              <w:rPr>
                <w:rFonts w:cs="Arial"/>
              </w:rPr>
              <w:t>11.9</w:t>
            </w:r>
          </w:p>
          <w:p w14:paraId="345EC3E5" w14:textId="77777777" w:rsidR="005F0014" w:rsidRPr="00843285" w:rsidRDefault="005F0014" w:rsidP="005F0014">
            <w:pPr>
              <w:rPr>
                <w:rFonts w:cs="Arial"/>
              </w:rPr>
            </w:pPr>
          </w:p>
          <w:p w14:paraId="190C4333" w14:textId="69B73450" w:rsidR="005F0014" w:rsidRPr="00843285" w:rsidRDefault="005F0014" w:rsidP="005F0014">
            <w:pPr>
              <w:rPr>
                <w:rFonts w:cs="Arial"/>
              </w:rPr>
            </w:pPr>
            <w:r w:rsidRPr="00843285">
              <w:rPr>
                <w:rFonts w:cs="Arial"/>
              </w:rPr>
              <w:t>1.4</w:t>
            </w:r>
          </w:p>
          <w:p w14:paraId="0A8C7A21" w14:textId="77777777" w:rsidR="005F0014" w:rsidRPr="00843285" w:rsidRDefault="005F0014" w:rsidP="005F0014">
            <w:pPr>
              <w:rPr>
                <w:rFonts w:cs="Arial"/>
              </w:rPr>
            </w:pPr>
          </w:p>
          <w:p w14:paraId="067AC3B0" w14:textId="328DF212" w:rsidR="005F0014" w:rsidRPr="00843285" w:rsidRDefault="005F0014" w:rsidP="005F0014">
            <w:pPr>
              <w:rPr>
                <w:rFonts w:cs="Arial"/>
              </w:rPr>
            </w:pPr>
            <w:r w:rsidRPr="00843285">
              <w:rPr>
                <w:rFonts w:cs="Arial"/>
              </w:rPr>
              <w:t>(12%)</w:t>
            </w:r>
          </w:p>
          <w:p w14:paraId="12A2CA92" w14:textId="77777777" w:rsidR="005F0014" w:rsidRPr="00843285" w:rsidRDefault="005F0014" w:rsidP="005F0014">
            <w:pPr>
              <w:rPr>
                <w:rFonts w:cs="Arial"/>
              </w:rPr>
            </w:pPr>
          </w:p>
          <w:p w14:paraId="40111EDF" w14:textId="4A35F272" w:rsidR="005F0014" w:rsidRPr="00843285" w:rsidRDefault="005F0014" w:rsidP="005F0014">
            <w:pPr>
              <w:rPr>
                <w:rFonts w:cs="Arial"/>
              </w:rPr>
            </w:pPr>
            <w:r w:rsidRPr="00843285">
              <w:rPr>
                <w:rFonts w:cs="Arial"/>
              </w:rPr>
              <w:t>1138</w:t>
            </w:r>
          </w:p>
        </w:tc>
        <w:tc>
          <w:tcPr>
            <w:tcW w:w="1854" w:type="dxa"/>
          </w:tcPr>
          <w:p w14:paraId="7A04DB7B" w14:textId="77777777" w:rsidR="005F0014" w:rsidRPr="00843285" w:rsidRDefault="005F0014" w:rsidP="005F0014">
            <w:pPr>
              <w:rPr>
                <w:rFonts w:cs="Arial"/>
              </w:rPr>
            </w:pPr>
            <w:r w:rsidRPr="00843285">
              <w:rPr>
                <w:rFonts w:cs="Arial"/>
              </w:rPr>
              <w:t>12.1</w:t>
            </w:r>
          </w:p>
          <w:p w14:paraId="20AC0B57" w14:textId="77777777" w:rsidR="005F0014" w:rsidRPr="00843285" w:rsidRDefault="005F0014" w:rsidP="005F0014">
            <w:pPr>
              <w:rPr>
                <w:rFonts w:cs="Arial"/>
              </w:rPr>
            </w:pPr>
          </w:p>
          <w:p w14:paraId="2764E696" w14:textId="0A41FDA3" w:rsidR="005F0014" w:rsidRPr="00843285" w:rsidRDefault="005F0014" w:rsidP="005F0014">
            <w:pPr>
              <w:rPr>
                <w:rFonts w:cs="Arial"/>
              </w:rPr>
            </w:pPr>
            <w:r w:rsidRPr="00843285">
              <w:rPr>
                <w:rFonts w:cs="Arial"/>
              </w:rPr>
              <w:t>2.3</w:t>
            </w:r>
          </w:p>
          <w:p w14:paraId="2A2BEF71" w14:textId="77777777" w:rsidR="005F0014" w:rsidRPr="00843285" w:rsidRDefault="005F0014" w:rsidP="005F0014">
            <w:pPr>
              <w:rPr>
                <w:rFonts w:cs="Arial"/>
              </w:rPr>
            </w:pPr>
          </w:p>
          <w:p w14:paraId="64EEC75B" w14:textId="033BDA22" w:rsidR="005F0014" w:rsidRPr="00843285" w:rsidRDefault="005F0014" w:rsidP="005F0014">
            <w:pPr>
              <w:rPr>
                <w:rFonts w:cs="Arial"/>
              </w:rPr>
            </w:pPr>
            <w:r w:rsidRPr="00843285">
              <w:rPr>
                <w:rFonts w:cs="Arial"/>
              </w:rPr>
              <w:t>(19%)</w:t>
            </w:r>
          </w:p>
          <w:p w14:paraId="3D210853" w14:textId="77777777" w:rsidR="005F0014" w:rsidRPr="00843285" w:rsidRDefault="005F0014" w:rsidP="005F0014">
            <w:pPr>
              <w:rPr>
                <w:rFonts w:cs="Arial"/>
              </w:rPr>
            </w:pPr>
          </w:p>
          <w:p w14:paraId="3762D71C" w14:textId="728D9885" w:rsidR="005F0014" w:rsidRPr="00843285" w:rsidRDefault="005F0014" w:rsidP="005F0014">
            <w:pPr>
              <w:rPr>
                <w:rFonts w:cs="Arial"/>
              </w:rPr>
            </w:pPr>
            <w:r w:rsidRPr="00843285">
              <w:rPr>
                <w:rFonts w:cs="Arial"/>
              </w:rPr>
              <w:t>552</w:t>
            </w:r>
          </w:p>
          <w:p w14:paraId="0BAE4A5E" w14:textId="77777777" w:rsidR="005F0014" w:rsidRPr="00843285" w:rsidRDefault="005F0014" w:rsidP="005F0014">
            <w:pPr>
              <w:rPr>
                <w:rFonts w:cs="Arial"/>
              </w:rPr>
            </w:pPr>
          </w:p>
          <w:p w14:paraId="6BDA18B7" w14:textId="3749221C" w:rsidR="005F0014" w:rsidRPr="00843285" w:rsidRDefault="005F0014" w:rsidP="005F0014">
            <w:pPr>
              <w:rPr>
                <w:rFonts w:cs="Arial"/>
              </w:rPr>
            </w:pPr>
            <w:r w:rsidRPr="00843285">
              <w:rPr>
                <w:rFonts w:cs="Arial"/>
              </w:rPr>
              <w:t>&lt;0.001</w:t>
            </w:r>
          </w:p>
        </w:tc>
        <w:tc>
          <w:tcPr>
            <w:tcW w:w="1854" w:type="dxa"/>
          </w:tcPr>
          <w:p w14:paraId="54684643" w14:textId="77777777" w:rsidR="005F0014" w:rsidRPr="00843285" w:rsidRDefault="005F0014" w:rsidP="005F0014">
            <w:pPr>
              <w:rPr>
                <w:rFonts w:cs="Arial"/>
              </w:rPr>
            </w:pPr>
            <w:r w:rsidRPr="00843285">
              <w:rPr>
                <w:rFonts w:cs="Arial"/>
              </w:rPr>
              <w:t>11.9</w:t>
            </w:r>
          </w:p>
          <w:p w14:paraId="7AD13A92" w14:textId="77777777" w:rsidR="005F0014" w:rsidRPr="00843285" w:rsidRDefault="005F0014" w:rsidP="005F0014">
            <w:pPr>
              <w:rPr>
                <w:rFonts w:cs="Arial"/>
              </w:rPr>
            </w:pPr>
          </w:p>
          <w:p w14:paraId="3F5C6C41" w14:textId="3867A27C" w:rsidR="005F0014" w:rsidRPr="00843285" w:rsidRDefault="005F0014" w:rsidP="005F0014">
            <w:pPr>
              <w:rPr>
                <w:rFonts w:cs="Arial"/>
              </w:rPr>
            </w:pPr>
            <w:r w:rsidRPr="00843285">
              <w:rPr>
                <w:rFonts w:cs="Arial"/>
              </w:rPr>
              <w:t>2.7</w:t>
            </w:r>
          </w:p>
          <w:p w14:paraId="50CA5D10" w14:textId="77777777" w:rsidR="005F0014" w:rsidRPr="00843285" w:rsidRDefault="005F0014" w:rsidP="005F0014">
            <w:pPr>
              <w:rPr>
                <w:rFonts w:cs="Arial"/>
              </w:rPr>
            </w:pPr>
          </w:p>
          <w:p w14:paraId="57B1D360" w14:textId="47C0F6D6" w:rsidR="005F0014" w:rsidRPr="00843285" w:rsidRDefault="005F0014" w:rsidP="005F0014">
            <w:pPr>
              <w:rPr>
                <w:rFonts w:cs="Arial"/>
              </w:rPr>
            </w:pPr>
            <w:r w:rsidRPr="00843285">
              <w:rPr>
                <w:rFonts w:cs="Arial"/>
              </w:rPr>
              <w:t>(23%)</w:t>
            </w:r>
          </w:p>
          <w:p w14:paraId="6BA9DF6F" w14:textId="77777777" w:rsidR="005F0014" w:rsidRPr="00843285" w:rsidRDefault="005F0014" w:rsidP="005F0014">
            <w:pPr>
              <w:rPr>
                <w:rFonts w:cs="Arial"/>
              </w:rPr>
            </w:pPr>
          </w:p>
          <w:p w14:paraId="28F31E2A" w14:textId="7E61092C" w:rsidR="005F0014" w:rsidRPr="00843285" w:rsidRDefault="005F0014" w:rsidP="005F0014">
            <w:pPr>
              <w:rPr>
                <w:rFonts w:cs="Arial"/>
              </w:rPr>
            </w:pPr>
            <w:r w:rsidRPr="00843285">
              <w:rPr>
                <w:rFonts w:cs="Arial"/>
              </w:rPr>
              <w:t>1158 &lt;0.001</w:t>
            </w:r>
          </w:p>
        </w:tc>
        <w:tc>
          <w:tcPr>
            <w:tcW w:w="1825" w:type="dxa"/>
          </w:tcPr>
          <w:p w14:paraId="12D5CD10" w14:textId="77777777" w:rsidR="005F0014" w:rsidRPr="00843285" w:rsidRDefault="005F0014" w:rsidP="005F0014">
            <w:pPr>
              <w:rPr>
                <w:rFonts w:cs="Arial"/>
              </w:rPr>
            </w:pPr>
            <w:r w:rsidRPr="00843285">
              <w:rPr>
                <w:rFonts w:cs="Arial"/>
              </w:rPr>
              <w:t>12.1</w:t>
            </w:r>
          </w:p>
          <w:p w14:paraId="546F09EB" w14:textId="77777777" w:rsidR="005F0014" w:rsidRPr="00843285" w:rsidRDefault="005F0014" w:rsidP="005F0014">
            <w:pPr>
              <w:rPr>
                <w:rFonts w:cs="Arial"/>
              </w:rPr>
            </w:pPr>
          </w:p>
          <w:p w14:paraId="2F28ACAA" w14:textId="0516BD76" w:rsidR="005F0014" w:rsidRPr="00843285" w:rsidRDefault="005F0014" w:rsidP="005F0014">
            <w:pPr>
              <w:rPr>
                <w:rFonts w:cs="Arial"/>
              </w:rPr>
            </w:pPr>
            <w:r w:rsidRPr="00843285">
              <w:rPr>
                <w:rFonts w:cs="Arial"/>
              </w:rPr>
              <w:t>1.9</w:t>
            </w:r>
          </w:p>
          <w:p w14:paraId="2992F03B" w14:textId="77777777" w:rsidR="005F0014" w:rsidRPr="00843285" w:rsidRDefault="005F0014" w:rsidP="005F0014">
            <w:pPr>
              <w:rPr>
                <w:rFonts w:cs="Arial"/>
              </w:rPr>
            </w:pPr>
          </w:p>
          <w:p w14:paraId="4674C508" w14:textId="6EED884D" w:rsidR="005F0014" w:rsidRPr="00843285" w:rsidRDefault="005F0014" w:rsidP="005F0014">
            <w:pPr>
              <w:rPr>
                <w:rFonts w:cs="Arial"/>
              </w:rPr>
            </w:pPr>
            <w:r w:rsidRPr="00843285">
              <w:rPr>
                <w:rFonts w:cs="Arial"/>
              </w:rPr>
              <w:t>(16%)</w:t>
            </w:r>
          </w:p>
          <w:p w14:paraId="1BD2910C" w14:textId="77777777" w:rsidR="005F0014" w:rsidRPr="00843285" w:rsidRDefault="005F0014" w:rsidP="005F0014">
            <w:pPr>
              <w:rPr>
                <w:rFonts w:cs="Arial"/>
              </w:rPr>
            </w:pPr>
          </w:p>
          <w:p w14:paraId="08B7A47E" w14:textId="42DC6319" w:rsidR="005F0014" w:rsidRPr="00843285" w:rsidRDefault="005F0014" w:rsidP="005F0014">
            <w:pPr>
              <w:rPr>
                <w:rFonts w:cs="Arial"/>
              </w:rPr>
            </w:pPr>
            <w:r w:rsidRPr="00843285">
              <w:rPr>
                <w:rFonts w:cs="Arial"/>
              </w:rPr>
              <w:t>250</w:t>
            </w:r>
          </w:p>
          <w:p w14:paraId="159CFD89" w14:textId="77777777" w:rsidR="005F0014" w:rsidRPr="00843285" w:rsidRDefault="005F0014" w:rsidP="005F0014">
            <w:pPr>
              <w:rPr>
                <w:rFonts w:cs="Arial"/>
              </w:rPr>
            </w:pPr>
          </w:p>
          <w:p w14:paraId="11D90A80" w14:textId="78134077" w:rsidR="005F0014" w:rsidRPr="00843285" w:rsidRDefault="005F0014" w:rsidP="005F0014">
            <w:pPr>
              <w:rPr>
                <w:rFonts w:cs="Arial"/>
              </w:rPr>
            </w:pPr>
            <w:r w:rsidRPr="00843285">
              <w:rPr>
                <w:rFonts w:cs="Arial"/>
              </w:rPr>
              <w:t>0.004</w:t>
            </w:r>
          </w:p>
        </w:tc>
      </w:tr>
      <w:tr w:rsidR="005F0014" w14:paraId="6E73CFF6" w14:textId="77777777" w:rsidTr="00EA5A68">
        <w:tc>
          <w:tcPr>
            <w:tcW w:w="9576" w:type="dxa"/>
            <w:gridSpan w:val="5"/>
          </w:tcPr>
          <w:p w14:paraId="1A634C53" w14:textId="06059146" w:rsidR="005F0014" w:rsidRPr="00843285" w:rsidRDefault="005F0014" w:rsidP="005F0014">
            <w:pPr>
              <w:rPr>
                <w:rFonts w:cs="Arial"/>
              </w:rPr>
            </w:pPr>
            <w:r w:rsidRPr="00843285">
              <w:rPr>
                <w:rFonts w:cs="Arial"/>
                <w:b/>
                <w:bCs/>
                <w:i/>
                <w:iCs/>
              </w:rPr>
              <w:t>Брой на спешните позиви/24 часа</w:t>
            </w:r>
          </w:p>
        </w:tc>
      </w:tr>
      <w:tr w:rsidR="005F0014" w14:paraId="2E7080D8" w14:textId="77777777" w:rsidTr="005F0014">
        <w:tc>
          <w:tcPr>
            <w:tcW w:w="2294" w:type="dxa"/>
          </w:tcPr>
          <w:p w14:paraId="45635E41" w14:textId="77777777" w:rsidR="005F0014" w:rsidRPr="00843285" w:rsidRDefault="005F0014" w:rsidP="005F0014">
            <w:pPr>
              <w:rPr>
                <w:rFonts w:cs="Arial"/>
              </w:rPr>
            </w:pPr>
            <w:r w:rsidRPr="00843285">
              <w:rPr>
                <w:rFonts w:cs="Arial"/>
              </w:rPr>
              <w:t xml:space="preserve">Средно изход но ниво </w:t>
            </w:r>
          </w:p>
          <w:p w14:paraId="44AC6DE2" w14:textId="77777777" w:rsidR="005F0014" w:rsidRPr="00843285" w:rsidRDefault="005F0014" w:rsidP="005F0014">
            <w:pPr>
              <w:rPr>
                <w:rFonts w:cs="Arial"/>
              </w:rPr>
            </w:pPr>
          </w:p>
          <w:p w14:paraId="0F12C016" w14:textId="1023B391" w:rsidR="005F0014" w:rsidRPr="00843285" w:rsidRDefault="005F0014" w:rsidP="005F0014">
            <w:pPr>
              <w:rPr>
                <w:rFonts w:cs="Arial"/>
              </w:rPr>
            </w:pPr>
            <w:r w:rsidRPr="00843285">
              <w:rPr>
                <w:rFonts w:cs="Arial"/>
              </w:rPr>
              <w:t xml:space="preserve">Средно намаление от изходно ниво </w:t>
            </w:r>
          </w:p>
          <w:p w14:paraId="3F521878" w14:textId="77777777" w:rsidR="005F0014" w:rsidRPr="00843285" w:rsidRDefault="005F0014" w:rsidP="005F0014">
            <w:pPr>
              <w:rPr>
                <w:rFonts w:cs="Arial"/>
              </w:rPr>
            </w:pPr>
          </w:p>
          <w:p w14:paraId="1641BA95" w14:textId="5D5FCD41" w:rsidR="005F0014" w:rsidRPr="00843285" w:rsidRDefault="005F0014" w:rsidP="005F0014">
            <w:pPr>
              <w:rPr>
                <w:rFonts w:cs="Arial"/>
              </w:rPr>
            </w:pPr>
            <w:r w:rsidRPr="00843285">
              <w:rPr>
                <w:rFonts w:cs="Arial"/>
              </w:rPr>
              <w:t>% промяна от изходното ниво</w:t>
            </w:r>
          </w:p>
          <w:p w14:paraId="17D163A0" w14:textId="77777777" w:rsidR="005F0014" w:rsidRPr="00843285" w:rsidRDefault="005F0014" w:rsidP="005F0014">
            <w:pPr>
              <w:rPr>
                <w:rFonts w:cs="Arial"/>
              </w:rPr>
            </w:pPr>
          </w:p>
          <w:p w14:paraId="6BFDF8F7" w14:textId="1E7C0B7C" w:rsidR="005F0014" w:rsidRPr="00843285" w:rsidRDefault="005F0014" w:rsidP="005F0014">
            <w:pPr>
              <w:rPr>
                <w:rFonts w:cs="Arial"/>
              </w:rPr>
            </w:pPr>
            <w:r w:rsidRPr="00843285">
              <w:rPr>
                <w:rFonts w:cs="Arial"/>
              </w:rPr>
              <w:t>Брой пац иенти р-стойност*</w:t>
            </w:r>
          </w:p>
        </w:tc>
        <w:tc>
          <w:tcPr>
            <w:tcW w:w="1749" w:type="dxa"/>
          </w:tcPr>
          <w:p w14:paraId="71FC8826" w14:textId="77777777" w:rsidR="005F0014" w:rsidRPr="00843285" w:rsidRDefault="005F0014" w:rsidP="005F0014">
            <w:pPr>
              <w:rPr>
                <w:rFonts w:cs="Arial"/>
              </w:rPr>
            </w:pPr>
            <w:r w:rsidRPr="00843285">
              <w:rPr>
                <w:rFonts w:cs="Arial"/>
              </w:rPr>
              <w:t>6.3</w:t>
            </w:r>
          </w:p>
          <w:p w14:paraId="061060E9" w14:textId="77777777" w:rsidR="005F0014" w:rsidRPr="00843285" w:rsidRDefault="005F0014" w:rsidP="005F0014">
            <w:pPr>
              <w:rPr>
                <w:rFonts w:cs="Arial"/>
              </w:rPr>
            </w:pPr>
          </w:p>
          <w:p w14:paraId="000001BC" w14:textId="42B71E40" w:rsidR="005F0014" w:rsidRPr="00843285" w:rsidRDefault="005F0014" w:rsidP="005F0014">
            <w:pPr>
              <w:rPr>
                <w:rFonts w:cs="Arial"/>
              </w:rPr>
            </w:pPr>
            <w:r w:rsidRPr="00843285">
              <w:rPr>
                <w:rFonts w:cs="Arial"/>
              </w:rPr>
              <w:t>2.0</w:t>
            </w:r>
          </w:p>
          <w:p w14:paraId="0426189D" w14:textId="77777777" w:rsidR="005F0014" w:rsidRPr="00843285" w:rsidRDefault="005F0014" w:rsidP="005F0014">
            <w:pPr>
              <w:rPr>
                <w:rFonts w:cs="Arial"/>
              </w:rPr>
            </w:pPr>
          </w:p>
          <w:p w14:paraId="1B4F3A61" w14:textId="3D626E16" w:rsidR="005F0014" w:rsidRPr="00843285" w:rsidRDefault="005F0014" w:rsidP="005F0014">
            <w:pPr>
              <w:rPr>
                <w:rFonts w:cs="Arial"/>
              </w:rPr>
            </w:pPr>
            <w:r w:rsidRPr="00843285">
              <w:rPr>
                <w:rFonts w:cs="Arial"/>
              </w:rPr>
              <w:t>(32%)</w:t>
            </w:r>
          </w:p>
          <w:p w14:paraId="2163DED1" w14:textId="77777777" w:rsidR="005F0014" w:rsidRPr="00843285" w:rsidRDefault="005F0014" w:rsidP="005F0014">
            <w:pPr>
              <w:rPr>
                <w:rFonts w:cs="Arial"/>
              </w:rPr>
            </w:pPr>
          </w:p>
          <w:p w14:paraId="09450B74" w14:textId="448AF19D" w:rsidR="005F0014" w:rsidRPr="00843285" w:rsidRDefault="005F0014" w:rsidP="005F0014">
            <w:pPr>
              <w:rPr>
                <w:rFonts w:cs="Arial"/>
              </w:rPr>
            </w:pPr>
            <w:r w:rsidRPr="00843285">
              <w:rPr>
                <w:rFonts w:cs="Arial"/>
              </w:rPr>
              <w:t>1124</w:t>
            </w:r>
          </w:p>
        </w:tc>
        <w:tc>
          <w:tcPr>
            <w:tcW w:w="1854" w:type="dxa"/>
          </w:tcPr>
          <w:p w14:paraId="33D6439F" w14:textId="77777777" w:rsidR="005F0014" w:rsidRPr="00843285" w:rsidRDefault="005F0014" w:rsidP="005F0014">
            <w:pPr>
              <w:rPr>
                <w:rFonts w:cs="Arial"/>
              </w:rPr>
            </w:pPr>
            <w:r w:rsidRPr="00843285">
              <w:rPr>
                <w:rFonts w:cs="Arial"/>
              </w:rPr>
              <w:t>5.9</w:t>
            </w:r>
          </w:p>
          <w:p w14:paraId="0F558968" w14:textId="77777777" w:rsidR="005F0014" w:rsidRPr="00843285" w:rsidRDefault="005F0014" w:rsidP="005F0014">
            <w:pPr>
              <w:rPr>
                <w:rFonts w:cs="Arial"/>
              </w:rPr>
            </w:pPr>
          </w:p>
          <w:p w14:paraId="3DECFD2F" w14:textId="07ACE839" w:rsidR="005F0014" w:rsidRPr="00843285" w:rsidRDefault="005F0014" w:rsidP="005F0014">
            <w:pPr>
              <w:rPr>
                <w:rFonts w:cs="Arial"/>
              </w:rPr>
            </w:pPr>
            <w:r w:rsidRPr="00843285">
              <w:rPr>
                <w:rFonts w:cs="Arial"/>
              </w:rPr>
              <w:t>2.9</w:t>
            </w:r>
          </w:p>
          <w:p w14:paraId="18BF8DBA" w14:textId="77777777" w:rsidR="005F0014" w:rsidRPr="00843285" w:rsidRDefault="005F0014" w:rsidP="005F0014">
            <w:pPr>
              <w:rPr>
                <w:rFonts w:cs="Arial"/>
              </w:rPr>
            </w:pPr>
          </w:p>
          <w:p w14:paraId="47B9C66C" w14:textId="0F67B60B" w:rsidR="005F0014" w:rsidRPr="00843285" w:rsidRDefault="005F0014" w:rsidP="005F0014">
            <w:pPr>
              <w:rPr>
                <w:rFonts w:cs="Arial"/>
              </w:rPr>
            </w:pPr>
            <w:r w:rsidRPr="00843285">
              <w:rPr>
                <w:rFonts w:cs="Arial"/>
              </w:rPr>
              <w:t>(49%)</w:t>
            </w:r>
          </w:p>
          <w:p w14:paraId="11F06414" w14:textId="77777777" w:rsidR="005F0014" w:rsidRPr="00843285" w:rsidRDefault="005F0014" w:rsidP="005F0014">
            <w:pPr>
              <w:rPr>
                <w:rFonts w:cs="Arial"/>
              </w:rPr>
            </w:pPr>
          </w:p>
          <w:p w14:paraId="7087F0EF" w14:textId="77777777" w:rsidR="005F0014" w:rsidRPr="00843285" w:rsidRDefault="005F0014" w:rsidP="005F0014">
            <w:pPr>
              <w:rPr>
                <w:rFonts w:cs="Arial"/>
              </w:rPr>
            </w:pPr>
            <w:r w:rsidRPr="00843285">
              <w:rPr>
                <w:rFonts w:cs="Arial"/>
              </w:rPr>
              <w:t xml:space="preserve">548 </w:t>
            </w:r>
          </w:p>
          <w:p w14:paraId="7F1A998C" w14:textId="77777777" w:rsidR="005F0014" w:rsidRPr="00843285" w:rsidRDefault="005F0014" w:rsidP="005F0014">
            <w:pPr>
              <w:rPr>
                <w:rFonts w:cs="Arial"/>
              </w:rPr>
            </w:pPr>
          </w:p>
          <w:p w14:paraId="38D50E06" w14:textId="2A32EF7F" w:rsidR="005F0014" w:rsidRPr="00843285" w:rsidRDefault="005F0014" w:rsidP="005F0014">
            <w:pPr>
              <w:rPr>
                <w:rFonts w:cs="Arial"/>
              </w:rPr>
            </w:pPr>
            <w:r w:rsidRPr="00843285">
              <w:rPr>
                <w:rFonts w:cs="Arial"/>
              </w:rPr>
              <w:t>&lt;0.001</w:t>
            </w:r>
          </w:p>
        </w:tc>
        <w:tc>
          <w:tcPr>
            <w:tcW w:w="1854" w:type="dxa"/>
          </w:tcPr>
          <w:p w14:paraId="73D19E88" w14:textId="77777777" w:rsidR="005F0014" w:rsidRPr="00843285" w:rsidRDefault="005F0014" w:rsidP="005F0014">
            <w:pPr>
              <w:rPr>
                <w:rFonts w:cs="Arial"/>
              </w:rPr>
            </w:pPr>
            <w:r w:rsidRPr="00843285">
              <w:rPr>
                <w:rFonts w:cs="Arial"/>
              </w:rPr>
              <w:t>6.2</w:t>
            </w:r>
          </w:p>
          <w:p w14:paraId="019CCCC0" w14:textId="77777777" w:rsidR="005F0014" w:rsidRPr="00843285" w:rsidRDefault="005F0014" w:rsidP="005F0014">
            <w:pPr>
              <w:rPr>
                <w:rFonts w:cs="Arial"/>
              </w:rPr>
            </w:pPr>
          </w:p>
          <w:p w14:paraId="4BBBBCE5" w14:textId="42A2FBA5" w:rsidR="005F0014" w:rsidRPr="00843285" w:rsidRDefault="005F0014" w:rsidP="005F0014">
            <w:pPr>
              <w:rPr>
                <w:rFonts w:cs="Arial"/>
              </w:rPr>
            </w:pPr>
            <w:r w:rsidRPr="00843285">
              <w:rPr>
                <w:rFonts w:cs="Arial"/>
              </w:rPr>
              <w:t>3.4</w:t>
            </w:r>
          </w:p>
          <w:p w14:paraId="5B84275D" w14:textId="77777777" w:rsidR="005F0014" w:rsidRPr="00843285" w:rsidRDefault="005F0014" w:rsidP="005F0014">
            <w:pPr>
              <w:rPr>
                <w:rFonts w:cs="Arial"/>
              </w:rPr>
            </w:pPr>
          </w:p>
          <w:p w14:paraId="7C4A6FD5" w14:textId="77679320" w:rsidR="005F0014" w:rsidRPr="00843285" w:rsidRDefault="005F0014" w:rsidP="005F0014">
            <w:pPr>
              <w:rPr>
                <w:rFonts w:cs="Arial"/>
              </w:rPr>
            </w:pPr>
            <w:r w:rsidRPr="00843285">
              <w:rPr>
                <w:rFonts w:cs="Arial"/>
              </w:rPr>
              <w:t>(55%)</w:t>
            </w:r>
          </w:p>
          <w:p w14:paraId="73F85C23" w14:textId="77777777" w:rsidR="005F0014" w:rsidRPr="00843285" w:rsidRDefault="005F0014" w:rsidP="005F0014">
            <w:pPr>
              <w:rPr>
                <w:rFonts w:cs="Arial"/>
              </w:rPr>
            </w:pPr>
          </w:p>
          <w:p w14:paraId="3202615D" w14:textId="77777777" w:rsidR="005F0014" w:rsidRPr="00843285" w:rsidRDefault="005F0014" w:rsidP="005F0014">
            <w:pPr>
              <w:rPr>
                <w:rFonts w:cs="Arial"/>
              </w:rPr>
            </w:pPr>
            <w:r w:rsidRPr="00843285">
              <w:rPr>
                <w:rFonts w:cs="Arial"/>
              </w:rPr>
              <w:t xml:space="preserve">1151 </w:t>
            </w:r>
          </w:p>
          <w:p w14:paraId="5028B134" w14:textId="77777777" w:rsidR="005F0014" w:rsidRPr="00843285" w:rsidRDefault="005F0014" w:rsidP="005F0014">
            <w:pPr>
              <w:rPr>
                <w:rFonts w:cs="Arial"/>
              </w:rPr>
            </w:pPr>
          </w:p>
          <w:p w14:paraId="6087CE73" w14:textId="205DF910" w:rsidR="005F0014" w:rsidRPr="00843285" w:rsidRDefault="005F0014" w:rsidP="005F0014">
            <w:pPr>
              <w:rPr>
                <w:rFonts w:cs="Arial"/>
              </w:rPr>
            </w:pPr>
            <w:r w:rsidRPr="00843285">
              <w:rPr>
                <w:rFonts w:cs="Arial"/>
              </w:rPr>
              <w:t>&lt;0.001</w:t>
            </w:r>
          </w:p>
        </w:tc>
        <w:tc>
          <w:tcPr>
            <w:tcW w:w="1825" w:type="dxa"/>
          </w:tcPr>
          <w:p w14:paraId="02BD34CE" w14:textId="77777777" w:rsidR="005F0014" w:rsidRPr="00843285" w:rsidRDefault="005F0014" w:rsidP="005F0014">
            <w:pPr>
              <w:rPr>
                <w:rFonts w:cs="Arial"/>
              </w:rPr>
            </w:pPr>
            <w:r w:rsidRPr="00843285">
              <w:rPr>
                <w:rFonts w:cs="Arial"/>
              </w:rPr>
              <w:t>5.4</w:t>
            </w:r>
          </w:p>
          <w:p w14:paraId="0E1BA807" w14:textId="77777777" w:rsidR="005F0014" w:rsidRPr="00843285" w:rsidRDefault="005F0014" w:rsidP="005F0014">
            <w:pPr>
              <w:rPr>
                <w:rFonts w:cs="Arial"/>
              </w:rPr>
            </w:pPr>
          </w:p>
          <w:p w14:paraId="2F9F7B09" w14:textId="4423024A" w:rsidR="005F0014" w:rsidRPr="00843285" w:rsidRDefault="005F0014" w:rsidP="005F0014">
            <w:pPr>
              <w:rPr>
                <w:rFonts w:cs="Arial"/>
              </w:rPr>
            </w:pPr>
            <w:r w:rsidRPr="00843285">
              <w:rPr>
                <w:rFonts w:cs="Arial"/>
              </w:rPr>
              <w:t>2.1</w:t>
            </w:r>
          </w:p>
          <w:p w14:paraId="51B84910" w14:textId="77777777" w:rsidR="005F0014" w:rsidRPr="00843285" w:rsidRDefault="005F0014" w:rsidP="005F0014">
            <w:pPr>
              <w:rPr>
                <w:rFonts w:cs="Arial"/>
              </w:rPr>
            </w:pPr>
          </w:p>
          <w:p w14:paraId="143FC498" w14:textId="5609D189" w:rsidR="005F0014" w:rsidRPr="00843285" w:rsidRDefault="005F0014" w:rsidP="005F0014">
            <w:pPr>
              <w:rPr>
                <w:rFonts w:cs="Arial"/>
              </w:rPr>
            </w:pPr>
            <w:r w:rsidRPr="00843285">
              <w:rPr>
                <w:rFonts w:cs="Arial"/>
              </w:rPr>
              <w:t>(39%)</w:t>
            </w:r>
          </w:p>
          <w:p w14:paraId="639CD573" w14:textId="77777777" w:rsidR="005F0014" w:rsidRPr="00843285" w:rsidRDefault="005F0014" w:rsidP="005F0014">
            <w:pPr>
              <w:rPr>
                <w:rFonts w:cs="Arial"/>
              </w:rPr>
            </w:pPr>
          </w:p>
          <w:p w14:paraId="6D65A7CC" w14:textId="25D7D1EA" w:rsidR="005F0014" w:rsidRPr="00843285" w:rsidRDefault="005F0014" w:rsidP="005F0014">
            <w:pPr>
              <w:rPr>
                <w:rFonts w:cs="Arial"/>
              </w:rPr>
            </w:pPr>
            <w:r w:rsidRPr="00843285">
              <w:rPr>
                <w:rFonts w:cs="Arial"/>
              </w:rPr>
              <w:t>250</w:t>
            </w:r>
          </w:p>
          <w:p w14:paraId="566EFEC0" w14:textId="77777777" w:rsidR="005F0014" w:rsidRPr="00843285" w:rsidRDefault="005F0014" w:rsidP="005F0014">
            <w:pPr>
              <w:rPr>
                <w:rFonts w:cs="Arial"/>
              </w:rPr>
            </w:pPr>
          </w:p>
          <w:p w14:paraId="5507FC8D" w14:textId="12B575A5" w:rsidR="005F0014" w:rsidRPr="00843285" w:rsidRDefault="005F0014" w:rsidP="005F0014">
            <w:pPr>
              <w:rPr>
                <w:rFonts w:cs="Arial"/>
              </w:rPr>
            </w:pPr>
            <w:r w:rsidRPr="00843285">
              <w:rPr>
                <w:rFonts w:cs="Arial"/>
              </w:rPr>
              <w:t>0.031</w:t>
            </w:r>
          </w:p>
        </w:tc>
      </w:tr>
      <w:tr w:rsidR="005F0014" w14:paraId="2622EBFD" w14:textId="77777777" w:rsidTr="00747CD4">
        <w:tc>
          <w:tcPr>
            <w:tcW w:w="9576" w:type="dxa"/>
            <w:gridSpan w:val="5"/>
          </w:tcPr>
          <w:p w14:paraId="62710D95" w14:textId="2F765736" w:rsidR="005F0014" w:rsidRPr="00843285" w:rsidRDefault="005F0014" w:rsidP="005F0014">
            <w:pPr>
              <w:rPr>
                <w:rFonts w:cs="Arial"/>
              </w:rPr>
            </w:pPr>
            <w:r w:rsidRPr="00843285">
              <w:rPr>
                <w:rFonts w:cs="Arial"/>
                <w:b/>
                <w:bCs/>
                <w:i/>
                <w:iCs/>
              </w:rPr>
              <w:t>Брой на епизодите на инконтиненция/24 часа</w:t>
            </w:r>
          </w:p>
        </w:tc>
      </w:tr>
      <w:tr w:rsidR="005F0014" w14:paraId="162B60D1" w14:textId="77777777" w:rsidTr="005F0014">
        <w:tc>
          <w:tcPr>
            <w:tcW w:w="2294" w:type="dxa"/>
          </w:tcPr>
          <w:p w14:paraId="55180D14" w14:textId="77777777" w:rsidR="005F0014" w:rsidRPr="00843285" w:rsidRDefault="005F0014" w:rsidP="005F0014">
            <w:pPr>
              <w:rPr>
                <w:rFonts w:cs="Arial"/>
              </w:rPr>
            </w:pPr>
            <w:r w:rsidRPr="00843285">
              <w:rPr>
                <w:rFonts w:cs="Arial"/>
              </w:rPr>
              <w:t xml:space="preserve">Средно изходно ниво </w:t>
            </w:r>
          </w:p>
          <w:p w14:paraId="0FB499C6" w14:textId="77777777" w:rsidR="005F0014" w:rsidRPr="00843285" w:rsidRDefault="005F0014" w:rsidP="005F0014">
            <w:pPr>
              <w:rPr>
                <w:rFonts w:cs="Arial"/>
              </w:rPr>
            </w:pPr>
          </w:p>
          <w:p w14:paraId="0E6A028E" w14:textId="16BA9A0D" w:rsidR="005F0014" w:rsidRPr="00843285" w:rsidRDefault="005F0014" w:rsidP="005F0014">
            <w:pPr>
              <w:rPr>
                <w:rFonts w:cs="Arial"/>
              </w:rPr>
            </w:pPr>
            <w:r w:rsidRPr="00843285">
              <w:rPr>
                <w:rFonts w:cs="Arial"/>
              </w:rPr>
              <w:t xml:space="preserve">Средно намаление от изходно ниво </w:t>
            </w:r>
          </w:p>
          <w:p w14:paraId="177B34AA" w14:textId="77777777" w:rsidR="005F0014" w:rsidRPr="00843285" w:rsidRDefault="005F0014" w:rsidP="005F0014">
            <w:pPr>
              <w:rPr>
                <w:rFonts w:cs="Arial"/>
              </w:rPr>
            </w:pPr>
          </w:p>
          <w:p w14:paraId="0EF3A23E" w14:textId="13F0C9D2" w:rsidR="005F0014" w:rsidRPr="00843285" w:rsidRDefault="005F0014" w:rsidP="005F0014">
            <w:pPr>
              <w:rPr>
                <w:rFonts w:cs="Arial"/>
              </w:rPr>
            </w:pPr>
            <w:r w:rsidRPr="00843285">
              <w:rPr>
                <w:rFonts w:cs="Arial"/>
              </w:rPr>
              <w:t>% премяна ог изход ното ниво</w:t>
            </w:r>
          </w:p>
          <w:p w14:paraId="1DB0D24C" w14:textId="77777777" w:rsidR="005F0014" w:rsidRPr="00843285" w:rsidRDefault="005F0014" w:rsidP="005F0014">
            <w:pPr>
              <w:rPr>
                <w:rFonts w:cs="Arial"/>
              </w:rPr>
            </w:pPr>
          </w:p>
          <w:p w14:paraId="24C4211A" w14:textId="263A17D3" w:rsidR="005F0014" w:rsidRPr="00843285" w:rsidRDefault="005F0014" w:rsidP="005F0014">
            <w:pPr>
              <w:rPr>
                <w:rFonts w:cs="Arial"/>
              </w:rPr>
            </w:pPr>
            <w:r w:rsidRPr="00843285">
              <w:rPr>
                <w:rFonts w:cs="Arial"/>
              </w:rPr>
              <w:t>Брой пациенти р-стойносг*</w:t>
            </w:r>
          </w:p>
        </w:tc>
        <w:tc>
          <w:tcPr>
            <w:tcW w:w="1749" w:type="dxa"/>
          </w:tcPr>
          <w:p w14:paraId="2FE74692" w14:textId="77777777" w:rsidR="005F0014" w:rsidRPr="00843285" w:rsidRDefault="005F0014" w:rsidP="005F0014">
            <w:pPr>
              <w:rPr>
                <w:rFonts w:cs="Arial"/>
              </w:rPr>
            </w:pPr>
            <w:r w:rsidRPr="00843285">
              <w:rPr>
                <w:rFonts w:cs="Arial"/>
              </w:rPr>
              <w:t>2.9</w:t>
            </w:r>
          </w:p>
          <w:p w14:paraId="79BDEA0C" w14:textId="77777777" w:rsidR="005F0014" w:rsidRPr="00843285" w:rsidRDefault="005F0014" w:rsidP="005F0014">
            <w:pPr>
              <w:rPr>
                <w:rFonts w:cs="Arial"/>
              </w:rPr>
            </w:pPr>
          </w:p>
          <w:p w14:paraId="568B1240" w14:textId="7B2FF459" w:rsidR="005F0014" w:rsidRPr="00843285" w:rsidRDefault="005F0014" w:rsidP="005F0014">
            <w:pPr>
              <w:rPr>
                <w:rFonts w:cs="Arial"/>
              </w:rPr>
            </w:pPr>
            <w:r w:rsidRPr="00843285">
              <w:rPr>
                <w:rFonts w:cs="Arial"/>
              </w:rPr>
              <w:t>1.1</w:t>
            </w:r>
          </w:p>
          <w:p w14:paraId="02AC4772" w14:textId="77777777" w:rsidR="005F0014" w:rsidRPr="00843285" w:rsidRDefault="005F0014" w:rsidP="005F0014">
            <w:pPr>
              <w:rPr>
                <w:rFonts w:cs="Arial"/>
              </w:rPr>
            </w:pPr>
          </w:p>
          <w:p w14:paraId="3047F878" w14:textId="05C8C7F9" w:rsidR="005F0014" w:rsidRPr="00843285" w:rsidRDefault="005F0014" w:rsidP="005F0014">
            <w:pPr>
              <w:rPr>
                <w:rFonts w:cs="Arial"/>
              </w:rPr>
            </w:pPr>
            <w:r w:rsidRPr="00843285">
              <w:rPr>
                <w:rFonts w:cs="Arial"/>
              </w:rPr>
              <w:t>(38%)</w:t>
            </w:r>
          </w:p>
          <w:p w14:paraId="21349C77" w14:textId="77777777" w:rsidR="005F0014" w:rsidRPr="00843285" w:rsidRDefault="005F0014" w:rsidP="005F0014">
            <w:pPr>
              <w:rPr>
                <w:rFonts w:cs="Arial"/>
              </w:rPr>
            </w:pPr>
          </w:p>
          <w:p w14:paraId="1336B445" w14:textId="263D856E" w:rsidR="005F0014" w:rsidRPr="00843285" w:rsidRDefault="005F0014" w:rsidP="005F0014">
            <w:pPr>
              <w:rPr>
                <w:rFonts w:cs="Arial"/>
              </w:rPr>
            </w:pPr>
            <w:r w:rsidRPr="00843285">
              <w:rPr>
                <w:rFonts w:cs="Arial"/>
              </w:rPr>
              <w:t>781</w:t>
            </w:r>
          </w:p>
        </w:tc>
        <w:tc>
          <w:tcPr>
            <w:tcW w:w="1854" w:type="dxa"/>
          </w:tcPr>
          <w:p w14:paraId="184132C3" w14:textId="77777777" w:rsidR="005F0014" w:rsidRPr="00843285" w:rsidRDefault="005F0014" w:rsidP="005F0014">
            <w:pPr>
              <w:rPr>
                <w:rFonts w:cs="Arial"/>
              </w:rPr>
            </w:pPr>
            <w:r w:rsidRPr="00843285">
              <w:rPr>
                <w:rFonts w:cs="Arial"/>
              </w:rPr>
              <w:t>2.6</w:t>
            </w:r>
          </w:p>
          <w:p w14:paraId="4CC14037" w14:textId="77777777" w:rsidR="005F0014" w:rsidRPr="00843285" w:rsidRDefault="005F0014" w:rsidP="005F0014">
            <w:pPr>
              <w:rPr>
                <w:rFonts w:cs="Arial"/>
              </w:rPr>
            </w:pPr>
          </w:p>
          <w:p w14:paraId="184523F5" w14:textId="7A6340FE" w:rsidR="005F0014" w:rsidRPr="00843285" w:rsidRDefault="005F0014" w:rsidP="005F0014">
            <w:pPr>
              <w:rPr>
                <w:rFonts w:cs="Arial"/>
              </w:rPr>
            </w:pPr>
            <w:r w:rsidRPr="00843285">
              <w:rPr>
                <w:rFonts w:cs="Arial"/>
              </w:rPr>
              <w:t>1.5</w:t>
            </w:r>
          </w:p>
          <w:p w14:paraId="4562CC21" w14:textId="77777777" w:rsidR="005F0014" w:rsidRPr="00843285" w:rsidRDefault="005F0014" w:rsidP="005F0014">
            <w:pPr>
              <w:rPr>
                <w:rFonts w:cs="Arial"/>
              </w:rPr>
            </w:pPr>
          </w:p>
          <w:p w14:paraId="2F811B90" w14:textId="2CC96635" w:rsidR="005F0014" w:rsidRPr="00843285" w:rsidRDefault="005F0014" w:rsidP="005F0014">
            <w:pPr>
              <w:rPr>
                <w:rFonts w:cs="Arial"/>
              </w:rPr>
            </w:pPr>
            <w:r w:rsidRPr="00843285">
              <w:rPr>
                <w:rFonts w:cs="Arial"/>
              </w:rPr>
              <w:t>(58%)</w:t>
            </w:r>
          </w:p>
          <w:p w14:paraId="360A29A2" w14:textId="77777777" w:rsidR="005F0014" w:rsidRPr="00843285" w:rsidRDefault="005F0014" w:rsidP="005F0014">
            <w:pPr>
              <w:rPr>
                <w:rFonts w:cs="Arial"/>
              </w:rPr>
            </w:pPr>
          </w:p>
          <w:p w14:paraId="7FAEA874" w14:textId="77777777" w:rsidR="005F0014" w:rsidRPr="00843285" w:rsidRDefault="005F0014" w:rsidP="005F0014">
            <w:pPr>
              <w:rPr>
                <w:rFonts w:cs="Arial"/>
              </w:rPr>
            </w:pPr>
            <w:r w:rsidRPr="00843285">
              <w:rPr>
                <w:rFonts w:cs="Arial"/>
              </w:rPr>
              <w:t xml:space="preserve">314 </w:t>
            </w:r>
          </w:p>
          <w:p w14:paraId="7F4FE0F1" w14:textId="77777777" w:rsidR="005F0014" w:rsidRPr="00843285" w:rsidRDefault="005F0014" w:rsidP="005F0014">
            <w:pPr>
              <w:rPr>
                <w:rFonts w:cs="Arial"/>
              </w:rPr>
            </w:pPr>
          </w:p>
          <w:p w14:paraId="34AE7C08" w14:textId="6A815968" w:rsidR="005F0014" w:rsidRPr="00843285" w:rsidRDefault="005F0014" w:rsidP="005F0014">
            <w:pPr>
              <w:rPr>
                <w:rFonts w:cs="Arial"/>
              </w:rPr>
            </w:pPr>
            <w:r w:rsidRPr="00843285">
              <w:rPr>
                <w:rFonts w:cs="Arial"/>
              </w:rPr>
              <w:t>&lt;0.001</w:t>
            </w:r>
          </w:p>
        </w:tc>
        <w:tc>
          <w:tcPr>
            <w:tcW w:w="1854" w:type="dxa"/>
          </w:tcPr>
          <w:p w14:paraId="51F9F816" w14:textId="77777777" w:rsidR="005F0014" w:rsidRPr="00843285" w:rsidRDefault="005F0014" w:rsidP="005F0014">
            <w:pPr>
              <w:rPr>
                <w:rFonts w:cs="Arial"/>
              </w:rPr>
            </w:pPr>
            <w:r w:rsidRPr="00843285">
              <w:rPr>
                <w:rFonts w:cs="Arial"/>
              </w:rPr>
              <w:t>2.9</w:t>
            </w:r>
          </w:p>
          <w:p w14:paraId="5138AB62" w14:textId="77777777" w:rsidR="005F0014" w:rsidRPr="00843285" w:rsidRDefault="005F0014" w:rsidP="005F0014">
            <w:pPr>
              <w:rPr>
                <w:rFonts w:cs="Arial"/>
              </w:rPr>
            </w:pPr>
          </w:p>
          <w:p w14:paraId="7DAF3AFB" w14:textId="3675688D" w:rsidR="005F0014" w:rsidRPr="00843285" w:rsidRDefault="005F0014" w:rsidP="005F0014">
            <w:pPr>
              <w:rPr>
                <w:rFonts w:cs="Arial"/>
              </w:rPr>
            </w:pPr>
            <w:r w:rsidRPr="00843285">
              <w:rPr>
                <w:rFonts w:cs="Arial"/>
              </w:rPr>
              <w:t>1.8</w:t>
            </w:r>
          </w:p>
          <w:p w14:paraId="3D6DCEFD" w14:textId="77777777" w:rsidR="005F0014" w:rsidRPr="00843285" w:rsidRDefault="005F0014" w:rsidP="005F0014">
            <w:pPr>
              <w:rPr>
                <w:rFonts w:cs="Arial"/>
              </w:rPr>
            </w:pPr>
          </w:p>
          <w:p w14:paraId="4676AAF7" w14:textId="0613B75B" w:rsidR="005F0014" w:rsidRPr="00843285" w:rsidRDefault="005F0014" w:rsidP="005F0014">
            <w:pPr>
              <w:rPr>
                <w:rFonts w:cs="Arial"/>
              </w:rPr>
            </w:pPr>
            <w:r w:rsidRPr="00843285">
              <w:rPr>
                <w:rFonts w:cs="Arial"/>
              </w:rPr>
              <w:t>(62%)</w:t>
            </w:r>
          </w:p>
          <w:p w14:paraId="019D2629" w14:textId="77777777" w:rsidR="005F0014" w:rsidRPr="00843285" w:rsidRDefault="005F0014" w:rsidP="005F0014">
            <w:pPr>
              <w:rPr>
                <w:rFonts w:cs="Arial"/>
              </w:rPr>
            </w:pPr>
          </w:p>
          <w:p w14:paraId="628DE400" w14:textId="77777777" w:rsidR="005F0014" w:rsidRPr="00843285" w:rsidRDefault="005F0014" w:rsidP="005F0014">
            <w:pPr>
              <w:rPr>
                <w:rFonts w:cs="Arial"/>
              </w:rPr>
            </w:pPr>
            <w:r w:rsidRPr="00843285">
              <w:rPr>
                <w:rFonts w:cs="Arial"/>
              </w:rPr>
              <w:t xml:space="preserve">778 </w:t>
            </w:r>
          </w:p>
          <w:p w14:paraId="16F0578E" w14:textId="77777777" w:rsidR="005F0014" w:rsidRPr="00843285" w:rsidRDefault="005F0014" w:rsidP="005F0014">
            <w:pPr>
              <w:rPr>
                <w:rFonts w:cs="Arial"/>
              </w:rPr>
            </w:pPr>
          </w:p>
          <w:p w14:paraId="24D904E4" w14:textId="7870B583" w:rsidR="005F0014" w:rsidRPr="00843285" w:rsidRDefault="005F0014" w:rsidP="005F0014">
            <w:pPr>
              <w:rPr>
                <w:rFonts w:cs="Arial"/>
              </w:rPr>
            </w:pPr>
            <w:r w:rsidRPr="00843285">
              <w:rPr>
                <w:rFonts w:cs="Arial"/>
              </w:rPr>
              <w:t>&lt;0.001</w:t>
            </w:r>
          </w:p>
        </w:tc>
        <w:tc>
          <w:tcPr>
            <w:tcW w:w="1825" w:type="dxa"/>
          </w:tcPr>
          <w:p w14:paraId="2822F10F" w14:textId="77777777" w:rsidR="005F0014" w:rsidRPr="00843285" w:rsidRDefault="005F0014" w:rsidP="005F0014">
            <w:pPr>
              <w:rPr>
                <w:rFonts w:cs="Arial"/>
              </w:rPr>
            </w:pPr>
            <w:r w:rsidRPr="00843285">
              <w:rPr>
                <w:rFonts w:cs="Arial"/>
              </w:rPr>
              <w:t>2.3</w:t>
            </w:r>
          </w:p>
          <w:p w14:paraId="60B7D188" w14:textId="77777777" w:rsidR="005F0014" w:rsidRPr="00843285" w:rsidRDefault="005F0014" w:rsidP="005F0014">
            <w:pPr>
              <w:rPr>
                <w:rFonts w:cs="Arial"/>
              </w:rPr>
            </w:pPr>
          </w:p>
          <w:p w14:paraId="5F868492" w14:textId="1D5BAAE5" w:rsidR="005F0014" w:rsidRPr="00843285" w:rsidRDefault="005F0014" w:rsidP="005F0014">
            <w:pPr>
              <w:rPr>
                <w:rFonts w:cs="Arial"/>
              </w:rPr>
            </w:pPr>
            <w:r w:rsidRPr="00843285">
              <w:rPr>
                <w:rFonts w:cs="Arial"/>
              </w:rPr>
              <w:t>1.1</w:t>
            </w:r>
          </w:p>
          <w:p w14:paraId="7A42C247" w14:textId="77777777" w:rsidR="005F0014" w:rsidRPr="00843285" w:rsidRDefault="005F0014" w:rsidP="005F0014">
            <w:pPr>
              <w:rPr>
                <w:rFonts w:cs="Arial"/>
              </w:rPr>
            </w:pPr>
          </w:p>
          <w:p w14:paraId="4698B0C0" w14:textId="06EE2D0B" w:rsidR="005F0014" w:rsidRPr="00843285" w:rsidRDefault="005F0014" w:rsidP="005F0014">
            <w:pPr>
              <w:rPr>
                <w:rFonts w:cs="Arial"/>
              </w:rPr>
            </w:pPr>
            <w:r w:rsidRPr="00843285">
              <w:rPr>
                <w:rFonts w:cs="Arial"/>
              </w:rPr>
              <w:t>(48%)</w:t>
            </w:r>
          </w:p>
          <w:p w14:paraId="7B4649E1" w14:textId="77777777" w:rsidR="005F0014" w:rsidRPr="00843285" w:rsidRDefault="005F0014" w:rsidP="005F0014">
            <w:pPr>
              <w:rPr>
                <w:rFonts w:cs="Arial"/>
              </w:rPr>
            </w:pPr>
          </w:p>
          <w:p w14:paraId="6AC19C2D" w14:textId="6E242257" w:rsidR="005F0014" w:rsidRPr="00843285" w:rsidRDefault="005F0014" w:rsidP="005F0014">
            <w:pPr>
              <w:rPr>
                <w:rFonts w:cs="Arial"/>
              </w:rPr>
            </w:pPr>
            <w:r w:rsidRPr="00843285">
              <w:rPr>
                <w:rFonts w:cs="Arial"/>
              </w:rPr>
              <w:t>157</w:t>
            </w:r>
          </w:p>
          <w:p w14:paraId="0F117F2E" w14:textId="77777777" w:rsidR="005F0014" w:rsidRPr="00843285" w:rsidRDefault="005F0014" w:rsidP="005F0014">
            <w:pPr>
              <w:rPr>
                <w:rFonts w:cs="Arial"/>
              </w:rPr>
            </w:pPr>
          </w:p>
          <w:p w14:paraId="349D6B55" w14:textId="528D3AB1" w:rsidR="005F0014" w:rsidRPr="00843285" w:rsidRDefault="005F0014" w:rsidP="005F0014">
            <w:pPr>
              <w:rPr>
                <w:rFonts w:cs="Arial"/>
              </w:rPr>
            </w:pPr>
            <w:r w:rsidRPr="00843285">
              <w:rPr>
                <w:rFonts w:cs="Arial"/>
              </w:rPr>
              <w:t>0.009</w:t>
            </w:r>
          </w:p>
        </w:tc>
      </w:tr>
      <w:tr w:rsidR="005F0014" w14:paraId="4AB19C1F" w14:textId="77777777" w:rsidTr="00812B0B">
        <w:tc>
          <w:tcPr>
            <w:tcW w:w="9576" w:type="dxa"/>
            <w:gridSpan w:val="5"/>
          </w:tcPr>
          <w:p w14:paraId="21A82574" w14:textId="6F33831E" w:rsidR="005F0014" w:rsidRPr="00843285" w:rsidRDefault="005F0014" w:rsidP="005F0014">
            <w:pPr>
              <w:rPr>
                <w:rFonts w:cs="Arial"/>
              </w:rPr>
            </w:pPr>
            <w:r w:rsidRPr="00843285">
              <w:rPr>
                <w:rFonts w:cs="Arial"/>
                <w:b/>
                <w:bCs/>
                <w:i/>
                <w:iCs/>
              </w:rPr>
              <w:t>Брой на епизодите на никтурия/24 часа</w:t>
            </w:r>
          </w:p>
        </w:tc>
      </w:tr>
      <w:tr w:rsidR="00843285" w14:paraId="08E2FA02" w14:textId="77777777" w:rsidTr="005F0014">
        <w:tc>
          <w:tcPr>
            <w:tcW w:w="2294" w:type="dxa"/>
          </w:tcPr>
          <w:p w14:paraId="5B2C05F5" w14:textId="77777777" w:rsidR="00843285" w:rsidRPr="00843285" w:rsidRDefault="00843285" w:rsidP="00843285">
            <w:pPr>
              <w:rPr>
                <w:rFonts w:cs="Arial"/>
              </w:rPr>
            </w:pPr>
            <w:r w:rsidRPr="00843285">
              <w:rPr>
                <w:rFonts w:cs="Arial"/>
              </w:rPr>
              <w:t xml:space="preserve">Средно изходно ниво </w:t>
            </w:r>
          </w:p>
          <w:p w14:paraId="2A700EE1" w14:textId="77777777" w:rsidR="00843285" w:rsidRPr="00843285" w:rsidRDefault="00843285" w:rsidP="00843285">
            <w:pPr>
              <w:rPr>
                <w:rFonts w:cs="Arial"/>
              </w:rPr>
            </w:pPr>
          </w:p>
          <w:p w14:paraId="519911A7" w14:textId="42ED7360" w:rsidR="00843285" w:rsidRPr="00843285" w:rsidRDefault="00843285" w:rsidP="00843285">
            <w:pPr>
              <w:rPr>
                <w:rFonts w:cs="Arial"/>
              </w:rPr>
            </w:pPr>
            <w:r w:rsidRPr="00843285">
              <w:rPr>
                <w:rFonts w:cs="Arial"/>
              </w:rPr>
              <w:t xml:space="preserve">Средно намаление </w:t>
            </w:r>
            <w:r w:rsidRPr="00843285">
              <w:rPr>
                <w:rFonts w:cs="Arial"/>
              </w:rPr>
              <w:lastRenderedPageBreak/>
              <w:t xml:space="preserve">от изходно ниво </w:t>
            </w:r>
          </w:p>
          <w:p w14:paraId="585F8B96" w14:textId="77777777" w:rsidR="00843285" w:rsidRPr="00843285" w:rsidRDefault="00843285" w:rsidP="00843285">
            <w:pPr>
              <w:rPr>
                <w:rFonts w:cs="Arial"/>
              </w:rPr>
            </w:pPr>
          </w:p>
          <w:p w14:paraId="58F6CD50" w14:textId="78470A35" w:rsidR="00843285" w:rsidRPr="00843285" w:rsidRDefault="00843285" w:rsidP="00843285">
            <w:pPr>
              <w:rPr>
                <w:rFonts w:cs="Arial"/>
              </w:rPr>
            </w:pPr>
            <w:r w:rsidRPr="00843285">
              <w:rPr>
                <w:rFonts w:cs="Arial"/>
              </w:rPr>
              <w:t>% промяна от изходното ниво</w:t>
            </w:r>
          </w:p>
          <w:p w14:paraId="6AAA8C52" w14:textId="77777777" w:rsidR="00843285" w:rsidRPr="00843285" w:rsidRDefault="00843285" w:rsidP="00843285">
            <w:pPr>
              <w:rPr>
                <w:rFonts w:cs="Arial"/>
              </w:rPr>
            </w:pPr>
          </w:p>
          <w:p w14:paraId="1ABF27F5" w14:textId="407BDBC3" w:rsidR="00843285" w:rsidRPr="00843285" w:rsidRDefault="00843285" w:rsidP="00843285">
            <w:pPr>
              <w:rPr>
                <w:rFonts w:cs="Arial"/>
              </w:rPr>
            </w:pPr>
            <w:r w:rsidRPr="00843285">
              <w:rPr>
                <w:rFonts w:cs="Arial"/>
              </w:rPr>
              <w:t>Брой пациенти р-стойност*</w:t>
            </w:r>
          </w:p>
        </w:tc>
        <w:tc>
          <w:tcPr>
            <w:tcW w:w="1749" w:type="dxa"/>
          </w:tcPr>
          <w:p w14:paraId="25FC3860" w14:textId="77777777" w:rsidR="00843285" w:rsidRPr="00843285" w:rsidRDefault="00843285" w:rsidP="00843285">
            <w:pPr>
              <w:rPr>
                <w:rFonts w:cs="Arial"/>
              </w:rPr>
            </w:pPr>
            <w:r w:rsidRPr="00843285">
              <w:rPr>
                <w:rFonts w:cs="Arial"/>
              </w:rPr>
              <w:lastRenderedPageBreak/>
              <w:t>1.8</w:t>
            </w:r>
          </w:p>
          <w:p w14:paraId="127A20A5" w14:textId="77777777" w:rsidR="00843285" w:rsidRPr="00843285" w:rsidRDefault="00843285" w:rsidP="00843285">
            <w:pPr>
              <w:rPr>
                <w:rFonts w:cs="Arial"/>
              </w:rPr>
            </w:pPr>
          </w:p>
          <w:p w14:paraId="580B819B" w14:textId="41CA8C6E" w:rsidR="00843285" w:rsidRPr="00843285" w:rsidRDefault="00843285" w:rsidP="00843285">
            <w:pPr>
              <w:rPr>
                <w:rFonts w:cs="Arial"/>
              </w:rPr>
            </w:pPr>
            <w:r w:rsidRPr="00843285">
              <w:rPr>
                <w:rFonts w:cs="Arial"/>
              </w:rPr>
              <w:t>0.4</w:t>
            </w:r>
          </w:p>
          <w:p w14:paraId="128046DF" w14:textId="77777777" w:rsidR="00843285" w:rsidRPr="00843285" w:rsidRDefault="00843285" w:rsidP="00843285">
            <w:pPr>
              <w:rPr>
                <w:rFonts w:cs="Arial"/>
              </w:rPr>
            </w:pPr>
          </w:p>
          <w:p w14:paraId="4C780321" w14:textId="724314C2" w:rsidR="00843285" w:rsidRPr="00843285" w:rsidRDefault="00843285" w:rsidP="00843285">
            <w:pPr>
              <w:rPr>
                <w:rFonts w:cs="Arial"/>
              </w:rPr>
            </w:pPr>
            <w:r w:rsidRPr="00843285">
              <w:rPr>
                <w:rFonts w:cs="Arial"/>
              </w:rPr>
              <w:lastRenderedPageBreak/>
              <w:t>(22%)</w:t>
            </w:r>
          </w:p>
          <w:p w14:paraId="4A5FCA90" w14:textId="77777777" w:rsidR="00843285" w:rsidRPr="00843285" w:rsidRDefault="00843285" w:rsidP="00843285">
            <w:pPr>
              <w:rPr>
                <w:rFonts w:cs="Arial"/>
              </w:rPr>
            </w:pPr>
          </w:p>
          <w:p w14:paraId="326C9B8D" w14:textId="5E2B9E2B" w:rsidR="00843285" w:rsidRPr="00843285" w:rsidRDefault="00843285" w:rsidP="00843285">
            <w:pPr>
              <w:rPr>
                <w:rFonts w:cs="Arial"/>
              </w:rPr>
            </w:pPr>
            <w:r w:rsidRPr="00843285">
              <w:rPr>
                <w:rFonts w:cs="Arial"/>
              </w:rPr>
              <w:t>1005</w:t>
            </w:r>
          </w:p>
        </w:tc>
        <w:tc>
          <w:tcPr>
            <w:tcW w:w="1854" w:type="dxa"/>
          </w:tcPr>
          <w:p w14:paraId="642991E4" w14:textId="77777777" w:rsidR="00843285" w:rsidRPr="00843285" w:rsidRDefault="00843285" w:rsidP="00843285">
            <w:pPr>
              <w:rPr>
                <w:rFonts w:cs="Arial"/>
              </w:rPr>
            </w:pPr>
            <w:r w:rsidRPr="00843285">
              <w:rPr>
                <w:rFonts w:cs="Arial"/>
              </w:rPr>
              <w:lastRenderedPageBreak/>
              <w:t xml:space="preserve">2.0 </w:t>
            </w:r>
          </w:p>
          <w:p w14:paraId="7F147EA5" w14:textId="77777777" w:rsidR="00843285" w:rsidRPr="00843285" w:rsidRDefault="00843285" w:rsidP="00843285">
            <w:pPr>
              <w:rPr>
                <w:rFonts w:cs="Arial"/>
              </w:rPr>
            </w:pPr>
          </w:p>
          <w:p w14:paraId="78673777" w14:textId="29CED6D5" w:rsidR="00843285" w:rsidRPr="00843285" w:rsidRDefault="00843285" w:rsidP="00843285">
            <w:pPr>
              <w:rPr>
                <w:rFonts w:cs="Arial"/>
              </w:rPr>
            </w:pPr>
            <w:r w:rsidRPr="00843285">
              <w:rPr>
                <w:rFonts w:cs="Arial"/>
              </w:rPr>
              <w:t>0.6</w:t>
            </w:r>
          </w:p>
          <w:p w14:paraId="79D0B095" w14:textId="77777777" w:rsidR="00843285" w:rsidRPr="00843285" w:rsidRDefault="00843285" w:rsidP="00843285">
            <w:pPr>
              <w:rPr>
                <w:rFonts w:cs="Arial"/>
              </w:rPr>
            </w:pPr>
          </w:p>
          <w:p w14:paraId="2AC7D202" w14:textId="504B74E7" w:rsidR="00843285" w:rsidRPr="00843285" w:rsidRDefault="00843285" w:rsidP="00843285">
            <w:pPr>
              <w:rPr>
                <w:rFonts w:cs="Arial"/>
              </w:rPr>
            </w:pPr>
            <w:r w:rsidRPr="00843285">
              <w:rPr>
                <w:rFonts w:cs="Arial"/>
              </w:rPr>
              <w:lastRenderedPageBreak/>
              <w:t>(30%)</w:t>
            </w:r>
          </w:p>
          <w:p w14:paraId="3DD20FCD" w14:textId="77777777" w:rsidR="00843285" w:rsidRPr="00843285" w:rsidRDefault="00843285" w:rsidP="00843285">
            <w:pPr>
              <w:rPr>
                <w:rFonts w:cs="Arial"/>
              </w:rPr>
            </w:pPr>
          </w:p>
          <w:p w14:paraId="3E3866A9" w14:textId="77777777" w:rsidR="00843285" w:rsidRPr="00843285" w:rsidRDefault="00843285" w:rsidP="00843285">
            <w:pPr>
              <w:rPr>
                <w:rFonts w:cs="Arial"/>
              </w:rPr>
            </w:pPr>
            <w:r w:rsidRPr="00843285">
              <w:rPr>
                <w:rFonts w:cs="Arial"/>
              </w:rPr>
              <w:t xml:space="preserve">494 </w:t>
            </w:r>
          </w:p>
          <w:p w14:paraId="3C128921" w14:textId="77777777" w:rsidR="00843285" w:rsidRPr="00843285" w:rsidRDefault="00843285" w:rsidP="00843285">
            <w:pPr>
              <w:rPr>
                <w:rFonts w:cs="Arial"/>
              </w:rPr>
            </w:pPr>
          </w:p>
          <w:p w14:paraId="0B9836E2" w14:textId="14C7479A" w:rsidR="00843285" w:rsidRPr="00843285" w:rsidRDefault="00843285" w:rsidP="00843285">
            <w:pPr>
              <w:rPr>
                <w:rFonts w:cs="Arial"/>
              </w:rPr>
            </w:pPr>
            <w:r w:rsidRPr="00843285">
              <w:rPr>
                <w:rFonts w:cs="Arial"/>
              </w:rPr>
              <w:t>0.025</w:t>
            </w:r>
          </w:p>
        </w:tc>
        <w:tc>
          <w:tcPr>
            <w:tcW w:w="1854" w:type="dxa"/>
          </w:tcPr>
          <w:p w14:paraId="2B30D6BB" w14:textId="77777777" w:rsidR="00843285" w:rsidRPr="00843285" w:rsidRDefault="00843285" w:rsidP="00843285">
            <w:pPr>
              <w:rPr>
                <w:rFonts w:cs="Arial"/>
              </w:rPr>
            </w:pPr>
            <w:r w:rsidRPr="00843285">
              <w:rPr>
                <w:rFonts w:cs="Arial"/>
                <w:lang w:val="en-US"/>
              </w:rPr>
              <w:lastRenderedPageBreak/>
              <w:t>1.8</w:t>
            </w:r>
          </w:p>
          <w:p w14:paraId="26FBF53B" w14:textId="77777777" w:rsidR="00843285" w:rsidRPr="00843285" w:rsidRDefault="00843285" w:rsidP="00843285">
            <w:pPr>
              <w:rPr>
                <w:rFonts w:cs="Arial"/>
                <w:lang w:val="en-US"/>
              </w:rPr>
            </w:pPr>
          </w:p>
          <w:p w14:paraId="0BAA9A08" w14:textId="2E239AF2" w:rsidR="00843285" w:rsidRPr="00843285" w:rsidRDefault="00843285" w:rsidP="00843285">
            <w:pPr>
              <w:rPr>
                <w:rFonts w:cs="Arial"/>
              </w:rPr>
            </w:pPr>
            <w:r w:rsidRPr="00843285">
              <w:rPr>
                <w:rFonts w:cs="Arial"/>
                <w:lang w:val="en-US"/>
              </w:rPr>
              <w:t>0.6</w:t>
            </w:r>
          </w:p>
          <w:p w14:paraId="11FEFB1E" w14:textId="77777777" w:rsidR="00843285" w:rsidRPr="00843285" w:rsidRDefault="00843285" w:rsidP="00843285">
            <w:pPr>
              <w:rPr>
                <w:rFonts w:cs="Arial"/>
                <w:lang w:val="en-US"/>
              </w:rPr>
            </w:pPr>
          </w:p>
          <w:p w14:paraId="2AE3CD12" w14:textId="2AFB9E91" w:rsidR="00843285" w:rsidRPr="00843285" w:rsidRDefault="00843285" w:rsidP="00843285">
            <w:pPr>
              <w:rPr>
                <w:rFonts w:cs="Arial"/>
              </w:rPr>
            </w:pPr>
            <w:r w:rsidRPr="00843285">
              <w:rPr>
                <w:rFonts w:cs="Arial"/>
                <w:lang w:val="en-US"/>
              </w:rPr>
              <w:lastRenderedPageBreak/>
              <w:t>(33%)</w:t>
            </w:r>
          </w:p>
          <w:p w14:paraId="24AA01A4" w14:textId="77777777" w:rsidR="00843285" w:rsidRPr="00843285" w:rsidRDefault="00843285" w:rsidP="00843285">
            <w:pPr>
              <w:rPr>
                <w:rFonts w:cs="Arial"/>
                <w:lang w:val="en-US"/>
              </w:rPr>
            </w:pPr>
          </w:p>
          <w:p w14:paraId="0FD38B4A" w14:textId="77777777" w:rsidR="00843285" w:rsidRPr="00843285" w:rsidRDefault="00843285" w:rsidP="00843285">
            <w:pPr>
              <w:rPr>
                <w:rFonts w:cs="Arial"/>
                <w:lang w:val="en-US"/>
              </w:rPr>
            </w:pPr>
            <w:r w:rsidRPr="00843285">
              <w:rPr>
                <w:rFonts w:cs="Arial"/>
                <w:lang w:val="en-US"/>
              </w:rPr>
              <w:t>1035</w:t>
            </w:r>
          </w:p>
          <w:p w14:paraId="4847B4FD" w14:textId="77777777" w:rsidR="00843285" w:rsidRPr="00843285" w:rsidRDefault="00843285" w:rsidP="00843285">
            <w:pPr>
              <w:rPr>
                <w:rFonts w:cs="Arial"/>
                <w:lang w:val="en-US"/>
              </w:rPr>
            </w:pPr>
          </w:p>
          <w:p w14:paraId="697E3A97" w14:textId="4BCB1093" w:rsidR="00843285" w:rsidRPr="00843285" w:rsidRDefault="00843285" w:rsidP="00843285">
            <w:pPr>
              <w:rPr>
                <w:rFonts w:cs="Arial"/>
              </w:rPr>
            </w:pPr>
            <w:r w:rsidRPr="00843285">
              <w:rPr>
                <w:rFonts w:cs="Arial"/>
                <w:lang w:val="en-US"/>
              </w:rPr>
              <w:t>&lt;0.001</w:t>
            </w:r>
          </w:p>
        </w:tc>
        <w:tc>
          <w:tcPr>
            <w:tcW w:w="1825" w:type="dxa"/>
          </w:tcPr>
          <w:p w14:paraId="090F5655" w14:textId="77777777" w:rsidR="00843285" w:rsidRPr="00843285" w:rsidRDefault="00843285" w:rsidP="00843285">
            <w:pPr>
              <w:rPr>
                <w:rFonts w:cs="Arial"/>
              </w:rPr>
            </w:pPr>
            <w:r w:rsidRPr="00843285">
              <w:rPr>
                <w:rFonts w:cs="Arial"/>
                <w:lang w:val="en-US"/>
              </w:rPr>
              <w:lastRenderedPageBreak/>
              <w:t>1.9</w:t>
            </w:r>
          </w:p>
          <w:p w14:paraId="00FC2B17" w14:textId="77777777" w:rsidR="00843285" w:rsidRPr="00843285" w:rsidRDefault="00843285" w:rsidP="00843285">
            <w:pPr>
              <w:rPr>
                <w:rFonts w:cs="Arial"/>
                <w:lang w:val="en-US"/>
              </w:rPr>
            </w:pPr>
          </w:p>
          <w:p w14:paraId="2C6FB6E6" w14:textId="01F722BC" w:rsidR="00843285" w:rsidRPr="00843285" w:rsidRDefault="00843285" w:rsidP="00843285">
            <w:pPr>
              <w:rPr>
                <w:rFonts w:cs="Arial"/>
              </w:rPr>
            </w:pPr>
            <w:r w:rsidRPr="00843285">
              <w:rPr>
                <w:rFonts w:cs="Arial"/>
                <w:lang w:val="en-US"/>
              </w:rPr>
              <w:t>0.5</w:t>
            </w:r>
          </w:p>
          <w:p w14:paraId="5D561BC3" w14:textId="77777777" w:rsidR="00843285" w:rsidRPr="00843285" w:rsidRDefault="00843285" w:rsidP="00843285">
            <w:pPr>
              <w:rPr>
                <w:rFonts w:cs="Arial"/>
                <w:lang w:val="en-US"/>
              </w:rPr>
            </w:pPr>
          </w:p>
          <w:p w14:paraId="54C86A5D" w14:textId="650DCBF3" w:rsidR="00843285" w:rsidRPr="00843285" w:rsidRDefault="00843285" w:rsidP="00843285">
            <w:pPr>
              <w:rPr>
                <w:rFonts w:cs="Arial"/>
              </w:rPr>
            </w:pPr>
            <w:r w:rsidRPr="00843285">
              <w:rPr>
                <w:rFonts w:cs="Arial"/>
                <w:lang w:val="en-US"/>
              </w:rPr>
              <w:lastRenderedPageBreak/>
              <w:t>(26%)</w:t>
            </w:r>
          </w:p>
          <w:p w14:paraId="37ED7EA7" w14:textId="77777777" w:rsidR="00843285" w:rsidRPr="00843285" w:rsidRDefault="00843285" w:rsidP="00843285">
            <w:pPr>
              <w:rPr>
                <w:rFonts w:cs="Arial"/>
                <w:lang w:val="en-US"/>
              </w:rPr>
            </w:pPr>
          </w:p>
          <w:p w14:paraId="27A5540E" w14:textId="4B73E38D" w:rsidR="00843285" w:rsidRPr="00843285" w:rsidRDefault="00843285" w:rsidP="00843285">
            <w:pPr>
              <w:rPr>
                <w:rFonts w:cs="Arial"/>
              </w:rPr>
            </w:pPr>
            <w:r w:rsidRPr="00843285">
              <w:rPr>
                <w:rFonts w:cs="Arial"/>
                <w:lang w:val="en-US"/>
              </w:rPr>
              <w:t>232</w:t>
            </w:r>
          </w:p>
          <w:p w14:paraId="549E6911" w14:textId="77777777" w:rsidR="00843285" w:rsidRPr="00843285" w:rsidRDefault="00843285" w:rsidP="00843285">
            <w:pPr>
              <w:rPr>
                <w:rFonts w:cs="Arial"/>
                <w:lang w:val="en-US"/>
              </w:rPr>
            </w:pPr>
          </w:p>
          <w:p w14:paraId="2A9A9F6E" w14:textId="2D208BC2" w:rsidR="00843285" w:rsidRPr="00843285" w:rsidRDefault="00843285" w:rsidP="00843285">
            <w:pPr>
              <w:rPr>
                <w:rFonts w:cs="Arial"/>
              </w:rPr>
            </w:pPr>
            <w:r w:rsidRPr="00843285">
              <w:rPr>
                <w:rFonts w:cs="Arial"/>
                <w:lang w:val="en-US"/>
              </w:rPr>
              <w:t>0.199</w:t>
            </w:r>
          </w:p>
        </w:tc>
      </w:tr>
      <w:tr w:rsidR="00843285" w14:paraId="209DEEAD" w14:textId="77777777" w:rsidTr="00CF440D">
        <w:tc>
          <w:tcPr>
            <w:tcW w:w="9576" w:type="dxa"/>
            <w:gridSpan w:val="5"/>
          </w:tcPr>
          <w:p w14:paraId="09FBEC1E" w14:textId="6259D846" w:rsidR="00843285" w:rsidRPr="00843285" w:rsidRDefault="00843285" w:rsidP="00843285">
            <w:pPr>
              <w:rPr>
                <w:rFonts w:cs="Arial"/>
              </w:rPr>
            </w:pPr>
            <w:r w:rsidRPr="00843285">
              <w:rPr>
                <w:rFonts w:cs="Arial"/>
                <w:b/>
                <w:bCs/>
                <w:i/>
                <w:iCs/>
              </w:rPr>
              <w:t>Обем на отделената урина</w:t>
            </w:r>
          </w:p>
        </w:tc>
      </w:tr>
      <w:tr w:rsidR="00843285" w14:paraId="7120503C" w14:textId="77777777" w:rsidTr="005F0014">
        <w:tc>
          <w:tcPr>
            <w:tcW w:w="2294" w:type="dxa"/>
          </w:tcPr>
          <w:p w14:paraId="6BA8C39E" w14:textId="77777777" w:rsidR="00843285" w:rsidRPr="00843285" w:rsidRDefault="00843285" w:rsidP="00843285">
            <w:pPr>
              <w:rPr>
                <w:rFonts w:cs="Arial"/>
              </w:rPr>
            </w:pPr>
            <w:r w:rsidRPr="00843285">
              <w:rPr>
                <w:rFonts w:cs="Arial"/>
              </w:rPr>
              <w:t xml:space="preserve">Средно изход но ниво </w:t>
            </w:r>
          </w:p>
          <w:p w14:paraId="04552870" w14:textId="77777777" w:rsidR="00843285" w:rsidRPr="00843285" w:rsidRDefault="00843285" w:rsidP="00843285">
            <w:pPr>
              <w:rPr>
                <w:rFonts w:cs="Arial"/>
              </w:rPr>
            </w:pPr>
          </w:p>
          <w:p w14:paraId="069102EF" w14:textId="44657C0F" w:rsidR="00843285" w:rsidRPr="00843285" w:rsidRDefault="00843285" w:rsidP="00843285">
            <w:pPr>
              <w:rPr>
                <w:rFonts w:cs="Arial"/>
              </w:rPr>
            </w:pPr>
            <w:r w:rsidRPr="00843285">
              <w:rPr>
                <w:rFonts w:cs="Arial"/>
              </w:rPr>
              <w:t xml:space="preserve">Средно намаление от изходно ниво </w:t>
            </w:r>
          </w:p>
          <w:p w14:paraId="641D9C36" w14:textId="77777777" w:rsidR="00843285" w:rsidRPr="00843285" w:rsidRDefault="00843285" w:rsidP="00843285">
            <w:pPr>
              <w:rPr>
                <w:rFonts w:cs="Arial"/>
              </w:rPr>
            </w:pPr>
          </w:p>
          <w:p w14:paraId="1042BF98" w14:textId="042A4173" w:rsidR="00843285" w:rsidRPr="00843285" w:rsidRDefault="00843285" w:rsidP="00843285">
            <w:pPr>
              <w:rPr>
                <w:rFonts w:cs="Arial"/>
              </w:rPr>
            </w:pPr>
            <w:r w:rsidRPr="00843285">
              <w:rPr>
                <w:rFonts w:cs="Arial"/>
              </w:rPr>
              <w:t>% промяна от изходното ниво</w:t>
            </w:r>
          </w:p>
          <w:p w14:paraId="65DF91C6" w14:textId="77777777" w:rsidR="00843285" w:rsidRPr="00843285" w:rsidRDefault="00843285" w:rsidP="00843285">
            <w:pPr>
              <w:rPr>
                <w:rFonts w:cs="Arial"/>
              </w:rPr>
            </w:pPr>
          </w:p>
          <w:p w14:paraId="65DA2A07" w14:textId="0148EE03" w:rsidR="00843285" w:rsidRPr="00843285" w:rsidRDefault="00843285" w:rsidP="00843285">
            <w:pPr>
              <w:rPr>
                <w:rFonts w:cs="Arial"/>
              </w:rPr>
            </w:pPr>
            <w:r w:rsidRPr="00843285">
              <w:rPr>
                <w:rFonts w:cs="Arial"/>
              </w:rPr>
              <w:t>Брой пациенти р-стойност*</w:t>
            </w:r>
          </w:p>
        </w:tc>
        <w:tc>
          <w:tcPr>
            <w:tcW w:w="1749" w:type="dxa"/>
          </w:tcPr>
          <w:p w14:paraId="75A033C0" w14:textId="77777777" w:rsidR="00843285" w:rsidRPr="00843285" w:rsidRDefault="00843285" w:rsidP="00843285">
            <w:pPr>
              <w:rPr>
                <w:rFonts w:cs="Arial"/>
                <w:lang w:val="en-US"/>
              </w:rPr>
            </w:pPr>
            <w:r w:rsidRPr="00843285">
              <w:rPr>
                <w:rFonts w:cs="Arial"/>
              </w:rPr>
              <w:t xml:space="preserve">166 </w:t>
            </w:r>
            <w:r w:rsidRPr="00843285">
              <w:rPr>
                <w:rFonts w:cs="Arial"/>
                <w:lang w:val="en-US"/>
              </w:rPr>
              <w:t xml:space="preserve">ml </w:t>
            </w:r>
          </w:p>
          <w:p w14:paraId="569E45E8" w14:textId="77777777" w:rsidR="00843285" w:rsidRPr="00843285" w:rsidRDefault="00843285" w:rsidP="00843285">
            <w:pPr>
              <w:rPr>
                <w:rFonts w:cs="Arial"/>
                <w:lang w:val="en-US"/>
              </w:rPr>
            </w:pPr>
          </w:p>
          <w:p w14:paraId="494C8A6C" w14:textId="1DEE361A" w:rsidR="00843285" w:rsidRPr="00843285" w:rsidRDefault="00843285" w:rsidP="00843285">
            <w:pPr>
              <w:rPr>
                <w:rFonts w:cs="Arial"/>
              </w:rPr>
            </w:pPr>
            <w:r w:rsidRPr="00843285">
              <w:rPr>
                <w:rFonts w:cs="Arial"/>
                <w:lang w:val="en-US"/>
              </w:rPr>
              <w:t>9 ml</w:t>
            </w:r>
          </w:p>
          <w:p w14:paraId="63B0A24D" w14:textId="77777777" w:rsidR="00843285" w:rsidRPr="00843285" w:rsidRDefault="00843285" w:rsidP="00843285">
            <w:pPr>
              <w:rPr>
                <w:rFonts w:cs="Arial"/>
              </w:rPr>
            </w:pPr>
          </w:p>
          <w:p w14:paraId="1867332B" w14:textId="10ECB38B" w:rsidR="00843285" w:rsidRPr="00843285" w:rsidRDefault="00843285" w:rsidP="00843285">
            <w:pPr>
              <w:rPr>
                <w:rFonts w:cs="Arial"/>
              </w:rPr>
            </w:pPr>
            <w:r w:rsidRPr="00843285">
              <w:rPr>
                <w:rFonts w:cs="Arial"/>
              </w:rPr>
              <w:t>(5%)</w:t>
            </w:r>
          </w:p>
          <w:p w14:paraId="20C05B2C" w14:textId="77777777" w:rsidR="00843285" w:rsidRPr="00843285" w:rsidRDefault="00843285" w:rsidP="00843285">
            <w:pPr>
              <w:rPr>
                <w:rFonts w:cs="Arial"/>
              </w:rPr>
            </w:pPr>
          </w:p>
          <w:p w14:paraId="7D8B3DCF" w14:textId="0A4F56C4" w:rsidR="00843285" w:rsidRPr="00843285" w:rsidRDefault="00843285" w:rsidP="00843285">
            <w:pPr>
              <w:rPr>
                <w:rFonts w:cs="Arial"/>
              </w:rPr>
            </w:pPr>
            <w:r w:rsidRPr="00843285">
              <w:rPr>
                <w:rFonts w:cs="Arial"/>
              </w:rPr>
              <w:t>1135</w:t>
            </w:r>
          </w:p>
        </w:tc>
        <w:tc>
          <w:tcPr>
            <w:tcW w:w="1854" w:type="dxa"/>
          </w:tcPr>
          <w:p w14:paraId="318411FC" w14:textId="77777777" w:rsidR="00843285" w:rsidRPr="00843285" w:rsidRDefault="00843285" w:rsidP="00843285">
            <w:pPr>
              <w:rPr>
                <w:rFonts w:cs="Arial"/>
              </w:rPr>
            </w:pPr>
            <w:r w:rsidRPr="00843285">
              <w:rPr>
                <w:rFonts w:cs="Arial"/>
              </w:rPr>
              <w:t xml:space="preserve">146 </w:t>
            </w:r>
            <w:r w:rsidRPr="00843285">
              <w:rPr>
                <w:rFonts w:cs="Arial"/>
                <w:lang w:val="en-US"/>
              </w:rPr>
              <w:t>ml</w:t>
            </w:r>
          </w:p>
          <w:p w14:paraId="6EB8442E" w14:textId="77777777" w:rsidR="00843285" w:rsidRPr="00843285" w:rsidRDefault="00843285" w:rsidP="00843285">
            <w:pPr>
              <w:rPr>
                <w:rFonts w:cs="Arial"/>
                <w:lang w:val="en-US"/>
              </w:rPr>
            </w:pPr>
          </w:p>
          <w:p w14:paraId="32B2C0DF" w14:textId="0E7662C8" w:rsidR="00843285" w:rsidRPr="00843285" w:rsidRDefault="00843285" w:rsidP="00843285">
            <w:pPr>
              <w:rPr>
                <w:rFonts w:cs="Arial"/>
              </w:rPr>
            </w:pPr>
            <w:r w:rsidRPr="00843285">
              <w:rPr>
                <w:rFonts w:cs="Arial"/>
                <w:lang w:val="en-US"/>
              </w:rPr>
              <w:t>32 ml</w:t>
            </w:r>
          </w:p>
          <w:p w14:paraId="1A81F66A" w14:textId="77777777" w:rsidR="00843285" w:rsidRPr="00843285" w:rsidRDefault="00843285" w:rsidP="00843285">
            <w:pPr>
              <w:rPr>
                <w:rFonts w:cs="Arial"/>
                <w:lang w:val="en-US"/>
              </w:rPr>
            </w:pPr>
          </w:p>
          <w:p w14:paraId="0E9DFA10" w14:textId="2E1C9B63" w:rsidR="00843285" w:rsidRPr="00843285" w:rsidRDefault="00843285" w:rsidP="00843285">
            <w:pPr>
              <w:rPr>
                <w:rFonts w:cs="Arial"/>
              </w:rPr>
            </w:pPr>
            <w:r w:rsidRPr="00843285">
              <w:rPr>
                <w:rFonts w:cs="Arial"/>
                <w:lang w:val="en-US"/>
              </w:rPr>
              <w:t>(21%)</w:t>
            </w:r>
          </w:p>
          <w:p w14:paraId="01E75EDE" w14:textId="77777777" w:rsidR="00843285" w:rsidRPr="00843285" w:rsidRDefault="00843285" w:rsidP="00843285">
            <w:pPr>
              <w:rPr>
                <w:rFonts w:cs="Arial"/>
                <w:lang w:val="en-US"/>
              </w:rPr>
            </w:pPr>
          </w:p>
          <w:p w14:paraId="3C5BFD8E" w14:textId="77777777" w:rsidR="00843285" w:rsidRPr="00843285" w:rsidRDefault="00843285" w:rsidP="00843285">
            <w:pPr>
              <w:rPr>
                <w:rFonts w:cs="Arial"/>
                <w:lang w:val="en-US"/>
              </w:rPr>
            </w:pPr>
            <w:r w:rsidRPr="00843285">
              <w:rPr>
                <w:rFonts w:cs="Arial"/>
                <w:lang w:val="en-US"/>
              </w:rPr>
              <w:t xml:space="preserve">552 </w:t>
            </w:r>
          </w:p>
          <w:p w14:paraId="14F0B15D" w14:textId="77777777" w:rsidR="00843285" w:rsidRPr="00843285" w:rsidRDefault="00843285" w:rsidP="00843285">
            <w:pPr>
              <w:rPr>
                <w:rFonts w:cs="Arial"/>
                <w:lang w:val="en-US"/>
              </w:rPr>
            </w:pPr>
          </w:p>
          <w:p w14:paraId="61CF2449" w14:textId="301AF333" w:rsidR="00843285" w:rsidRPr="00843285" w:rsidRDefault="00843285" w:rsidP="00843285">
            <w:pPr>
              <w:rPr>
                <w:rFonts w:cs="Arial"/>
              </w:rPr>
            </w:pPr>
            <w:r w:rsidRPr="00843285">
              <w:rPr>
                <w:rFonts w:cs="Arial"/>
                <w:lang w:val="en-US"/>
              </w:rPr>
              <w:t>&lt;0.001</w:t>
            </w:r>
          </w:p>
        </w:tc>
        <w:tc>
          <w:tcPr>
            <w:tcW w:w="1854" w:type="dxa"/>
          </w:tcPr>
          <w:p w14:paraId="5285BDC8" w14:textId="77777777" w:rsidR="00843285" w:rsidRPr="00843285" w:rsidRDefault="00843285" w:rsidP="00843285">
            <w:pPr>
              <w:rPr>
                <w:rFonts w:cs="Arial"/>
              </w:rPr>
            </w:pPr>
            <w:r w:rsidRPr="00843285">
              <w:rPr>
                <w:rFonts w:cs="Arial"/>
                <w:lang w:val="en-US"/>
              </w:rPr>
              <w:t>163 ml</w:t>
            </w:r>
          </w:p>
          <w:p w14:paraId="1C4778E0" w14:textId="77777777" w:rsidR="00843285" w:rsidRPr="00843285" w:rsidRDefault="00843285" w:rsidP="00843285">
            <w:pPr>
              <w:rPr>
                <w:rFonts w:cs="Arial"/>
                <w:lang w:val="en-US"/>
              </w:rPr>
            </w:pPr>
          </w:p>
          <w:p w14:paraId="6FCE86A8" w14:textId="70D0FB59" w:rsidR="00843285" w:rsidRPr="00843285" w:rsidRDefault="00843285" w:rsidP="00843285">
            <w:pPr>
              <w:rPr>
                <w:rFonts w:cs="Arial"/>
              </w:rPr>
            </w:pPr>
            <w:r w:rsidRPr="00843285">
              <w:rPr>
                <w:rFonts w:cs="Arial"/>
                <w:lang w:val="en-US"/>
              </w:rPr>
              <w:t>43 ml</w:t>
            </w:r>
          </w:p>
          <w:p w14:paraId="595362A9" w14:textId="77777777" w:rsidR="00843285" w:rsidRPr="00843285" w:rsidRDefault="00843285" w:rsidP="00843285">
            <w:pPr>
              <w:rPr>
                <w:rFonts w:cs="Arial"/>
                <w:lang w:val="en-US"/>
              </w:rPr>
            </w:pPr>
          </w:p>
          <w:p w14:paraId="6110D58A" w14:textId="7CF4E072" w:rsidR="00843285" w:rsidRPr="00843285" w:rsidRDefault="00843285" w:rsidP="00843285">
            <w:pPr>
              <w:rPr>
                <w:rFonts w:cs="Arial"/>
              </w:rPr>
            </w:pPr>
            <w:r w:rsidRPr="00843285">
              <w:rPr>
                <w:rFonts w:cs="Arial"/>
                <w:lang w:val="en-US"/>
              </w:rPr>
              <w:t>(26%)</w:t>
            </w:r>
          </w:p>
          <w:p w14:paraId="7182A554" w14:textId="77777777" w:rsidR="00843285" w:rsidRPr="00843285" w:rsidRDefault="00843285" w:rsidP="00843285">
            <w:pPr>
              <w:rPr>
                <w:rFonts w:cs="Arial"/>
                <w:lang w:val="en-US"/>
              </w:rPr>
            </w:pPr>
          </w:p>
          <w:p w14:paraId="6E336E8E" w14:textId="77777777" w:rsidR="00843285" w:rsidRPr="00843285" w:rsidRDefault="00843285" w:rsidP="00843285">
            <w:pPr>
              <w:rPr>
                <w:rFonts w:cs="Arial"/>
                <w:lang w:val="en-US"/>
              </w:rPr>
            </w:pPr>
            <w:r w:rsidRPr="00843285">
              <w:rPr>
                <w:rFonts w:cs="Arial"/>
                <w:lang w:val="en-US"/>
              </w:rPr>
              <w:t xml:space="preserve">1156 </w:t>
            </w:r>
          </w:p>
          <w:p w14:paraId="19C98DDC" w14:textId="77777777" w:rsidR="00843285" w:rsidRPr="00843285" w:rsidRDefault="00843285" w:rsidP="00843285">
            <w:pPr>
              <w:rPr>
                <w:rFonts w:cs="Arial"/>
                <w:lang w:val="en-US"/>
              </w:rPr>
            </w:pPr>
          </w:p>
          <w:p w14:paraId="62AFE88C" w14:textId="46252357" w:rsidR="00843285" w:rsidRPr="00843285" w:rsidRDefault="00843285" w:rsidP="00843285">
            <w:pPr>
              <w:rPr>
                <w:rFonts w:cs="Arial"/>
              </w:rPr>
            </w:pPr>
            <w:r w:rsidRPr="00843285">
              <w:rPr>
                <w:rFonts w:cs="Arial"/>
                <w:lang w:val="en-US"/>
              </w:rPr>
              <w:t>&lt;0.001</w:t>
            </w:r>
          </w:p>
        </w:tc>
        <w:tc>
          <w:tcPr>
            <w:tcW w:w="1825" w:type="dxa"/>
          </w:tcPr>
          <w:p w14:paraId="7ECB6B29" w14:textId="77777777" w:rsidR="00843285" w:rsidRPr="00843285" w:rsidRDefault="00843285" w:rsidP="00843285">
            <w:pPr>
              <w:rPr>
                <w:rFonts w:cs="Arial"/>
              </w:rPr>
            </w:pPr>
            <w:r w:rsidRPr="00843285">
              <w:rPr>
                <w:rFonts w:cs="Arial"/>
                <w:lang w:val="en-US"/>
              </w:rPr>
              <w:t>147 ml</w:t>
            </w:r>
          </w:p>
          <w:p w14:paraId="02FD7CC1" w14:textId="77777777" w:rsidR="00843285" w:rsidRPr="00843285" w:rsidRDefault="00843285" w:rsidP="00843285">
            <w:pPr>
              <w:rPr>
                <w:rFonts w:cs="Arial"/>
                <w:lang w:val="en-US"/>
              </w:rPr>
            </w:pPr>
          </w:p>
          <w:p w14:paraId="5CDAFE40" w14:textId="6453EED0" w:rsidR="00843285" w:rsidRPr="00843285" w:rsidRDefault="00843285" w:rsidP="00843285">
            <w:pPr>
              <w:rPr>
                <w:rFonts w:cs="Arial"/>
              </w:rPr>
            </w:pPr>
            <w:r w:rsidRPr="00843285">
              <w:rPr>
                <w:rFonts w:cs="Arial"/>
                <w:lang w:val="en-US"/>
              </w:rPr>
              <w:t>24 ml</w:t>
            </w:r>
          </w:p>
          <w:p w14:paraId="28C1EDC8" w14:textId="77777777" w:rsidR="00843285" w:rsidRPr="00843285" w:rsidRDefault="00843285" w:rsidP="00843285">
            <w:pPr>
              <w:rPr>
                <w:rFonts w:cs="Arial"/>
                <w:lang w:val="en-US"/>
              </w:rPr>
            </w:pPr>
          </w:p>
          <w:p w14:paraId="5858CEEA" w14:textId="51A7ADC3" w:rsidR="00843285" w:rsidRPr="00843285" w:rsidRDefault="00843285" w:rsidP="00843285">
            <w:pPr>
              <w:rPr>
                <w:rFonts w:cs="Arial"/>
              </w:rPr>
            </w:pPr>
            <w:r w:rsidRPr="00843285">
              <w:rPr>
                <w:rFonts w:cs="Arial"/>
                <w:lang w:val="en-US"/>
              </w:rPr>
              <w:t>(16%)</w:t>
            </w:r>
          </w:p>
          <w:p w14:paraId="510E1BBA" w14:textId="77777777" w:rsidR="00843285" w:rsidRPr="00843285" w:rsidRDefault="00843285" w:rsidP="00843285">
            <w:pPr>
              <w:rPr>
                <w:rFonts w:cs="Arial"/>
                <w:lang w:val="en-US"/>
              </w:rPr>
            </w:pPr>
          </w:p>
          <w:p w14:paraId="37547656" w14:textId="77777777" w:rsidR="00843285" w:rsidRPr="00843285" w:rsidRDefault="00843285" w:rsidP="00843285">
            <w:pPr>
              <w:rPr>
                <w:rFonts w:cs="Arial"/>
                <w:lang w:val="en-US"/>
              </w:rPr>
            </w:pPr>
            <w:r w:rsidRPr="00843285">
              <w:rPr>
                <w:rFonts w:cs="Arial"/>
                <w:lang w:val="en-US"/>
              </w:rPr>
              <w:t xml:space="preserve">250 </w:t>
            </w:r>
          </w:p>
          <w:p w14:paraId="188DACD8" w14:textId="77777777" w:rsidR="00843285" w:rsidRPr="00843285" w:rsidRDefault="00843285" w:rsidP="00843285">
            <w:pPr>
              <w:rPr>
                <w:rFonts w:cs="Arial"/>
                <w:lang w:val="en-US"/>
              </w:rPr>
            </w:pPr>
          </w:p>
          <w:p w14:paraId="11792F82" w14:textId="3E4C84C1" w:rsidR="00843285" w:rsidRPr="00843285" w:rsidRDefault="00843285" w:rsidP="00843285">
            <w:pPr>
              <w:rPr>
                <w:rFonts w:cs="Arial"/>
              </w:rPr>
            </w:pPr>
            <w:r w:rsidRPr="00843285">
              <w:rPr>
                <w:rFonts w:cs="Arial"/>
                <w:lang w:val="en-US"/>
              </w:rPr>
              <w:t>&lt;0.001</w:t>
            </w:r>
          </w:p>
        </w:tc>
      </w:tr>
      <w:tr w:rsidR="00843285" w14:paraId="48E5A111" w14:textId="77777777" w:rsidTr="008C1881">
        <w:tc>
          <w:tcPr>
            <w:tcW w:w="9576" w:type="dxa"/>
            <w:gridSpan w:val="5"/>
          </w:tcPr>
          <w:p w14:paraId="70961662" w14:textId="46C6557E" w:rsidR="00843285" w:rsidRPr="00843285" w:rsidRDefault="00843285" w:rsidP="00843285">
            <w:pPr>
              <w:rPr>
                <w:rFonts w:cs="Arial"/>
              </w:rPr>
            </w:pPr>
            <w:r w:rsidRPr="00843285">
              <w:rPr>
                <w:rFonts w:cs="Arial"/>
                <w:b/>
                <w:bCs/>
                <w:i/>
                <w:iCs/>
              </w:rPr>
              <w:t>Брой на поставените памперси/24 часа</w:t>
            </w:r>
          </w:p>
        </w:tc>
      </w:tr>
      <w:tr w:rsidR="00843285" w14:paraId="5B288E7C" w14:textId="77777777" w:rsidTr="005F0014">
        <w:tc>
          <w:tcPr>
            <w:tcW w:w="2294" w:type="dxa"/>
          </w:tcPr>
          <w:p w14:paraId="0D2D0350" w14:textId="77777777" w:rsidR="00843285" w:rsidRPr="00843285" w:rsidRDefault="00843285" w:rsidP="00843285">
            <w:pPr>
              <w:rPr>
                <w:rFonts w:cs="Arial"/>
              </w:rPr>
            </w:pPr>
            <w:r w:rsidRPr="00843285">
              <w:rPr>
                <w:rFonts w:cs="Arial"/>
              </w:rPr>
              <w:t xml:space="preserve">Средно изход но ниво </w:t>
            </w:r>
          </w:p>
          <w:p w14:paraId="6DCD8A8B" w14:textId="77777777" w:rsidR="00843285" w:rsidRPr="00843285" w:rsidRDefault="00843285" w:rsidP="00843285">
            <w:pPr>
              <w:rPr>
                <w:rFonts w:cs="Arial"/>
              </w:rPr>
            </w:pPr>
          </w:p>
          <w:p w14:paraId="02E403E2" w14:textId="12E4C7B1" w:rsidR="00843285" w:rsidRPr="00843285" w:rsidRDefault="00843285" w:rsidP="00843285">
            <w:pPr>
              <w:rPr>
                <w:rFonts w:cs="Arial"/>
              </w:rPr>
            </w:pPr>
            <w:r w:rsidRPr="00843285">
              <w:rPr>
                <w:rFonts w:cs="Arial"/>
              </w:rPr>
              <w:t xml:space="preserve">Средно намаление от изходно ниво </w:t>
            </w:r>
          </w:p>
          <w:p w14:paraId="3D975E84" w14:textId="77777777" w:rsidR="00843285" w:rsidRPr="00843285" w:rsidRDefault="00843285" w:rsidP="00843285">
            <w:pPr>
              <w:rPr>
                <w:rFonts w:cs="Arial"/>
              </w:rPr>
            </w:pPr>
          </w:p>
          <w:p w14:paraId="73B36787" w14:textId="0075ADC0" w:rsidR="00843285" w:rsidRPr="00843285" w:rsidRDefault="00843285" w:rsidP="00843285">
            <w:pPr>
              <w:rPr>
                <w:rFonts w:cs="Arial"/>
              </w:rPr>
            </w:pPr>
            <w:r w:rsidRPr="00843285">
              <w:rPr>
                <w:rFonts w:cs="Arial"/>
              </w:rPr>
              <w:t>% промяна от изходното ниво</w:t>
            </w:r>
          </w:p>
          <w:p w14:paraId="4239F2EE" w14:textId="77777777" w:rsidR="00843285" w:rsidRPr="00843285" w:rsidRDefault="00843285" w:rsidP="00843285">
            <w:pPr>
              <w:rPr>
                <w:rFonts w:cs="Arial"/>
              </w:rPr>
            </w:pPr>
          </w:p>
          <w:p w14:paraId="2B775544" w14:textId="2A560CE8" w:rsidR="00843285" w:rsidRPr="00843285" w:rsidRDefault="00843285" w:rsidP="00843285">
            <w:pPr>
              <w:rPr>
                <w:rFonts w:cs="Arial"/>
              </w:rPr>
            </w:pPr>
            <w:r w:rsidRPr="00843285">
              <w:rPr>
                <w:rFonts w:cs="Arial"/>
              </w:rPr>
              <w:t>Брой пациенти р-стойност*</w:t>
            </w:r>
          </w:p>
        </w:tc>
        <w:tc>
          <w:tcPr>
            <w:tcW w:w="1749" w:type="dxa"/>
          </w:tcPr>
          <w:p w14:paraId="059B75A0" w14:textId="77777777" w:rsidR="00843285" w:rsidRPr="00843285" w:rsidRDefault="00843285" w:rsidP="00843285">
            <w:pPr>
              <w:rPr>
                <w:rFonts w:cs="Arial"/>
              </w:rPr>
            </w:pPr>
            <w:r w:rsidRPr="00843285">
              <w:rPr>
                <w:rFonts w:cs="Arial"/>
              </w:rPr>
              <w:t>3.0</w:t>
            </w:r>
          </w:p>
          <w:p w14:paraId="5E4E4E96" w14:textId="77777777" w:rsidR="00843285" w:rsidRPr="00843285" w:rsidRDefault="00843285" w:rsidP="00843285">
            <w:pPr>
              <w:rPr>
                <w:rFonts w:cs="Arial"/>
              </w:rPr>
            </w:pPr>
          </w:p>
          <w:p w14:paraId="37FC2A7B" w14:textId="0E2C8DF3" w:rsidR="00843285" w:rsidRPr="00843285" w:rsidRDefault="00843285" w:rsidP="00843285">
            <w:pPr>
              <w:rPr>
                <w:rFonts w:cs="Arial"/>
              </w:rPr>
            </w:pPr>
            <w:r w:rsidRPr="00843285">
              <w:rPr>
                <w:rFonts w:cs="Arial"/>
              </w:rPr>
              <w:t>0.8</w:t>
            </w:r>
          </w:p>
          <w:p w14:paraId="42671154" w14:textId="77777777" w:rsidR="00843285" w:rsidRPr="00843285" w:rsidRDefault="00843285" w:rsidP="00843285">
            <w:pPr>
              <w:rPr>
                <w:rFonts w:cs="Arial"/>
              </w:rPr>
            </w:pPr>
          </w:p>
          <w:p w14:paraId="5FF682BA" w14:textId="7D29A9E1" w:rsidR="00843285" w:rsidRPr="00843285" w:rsidRDefault="00843285" w:rsidP="00843285">
            <w:pPr>
              <w:rPr>
                <w:rFonts w:cs="Arial"/>
              </w:rPr>
            </w:pPr>
            <w:r w:rsidRPr="00843285">
              <w:rPr>
                <w:rFonts w:cs="Arial"/>
              </w:rPr>
              <w:t>(27%)</w:t>
            </w:r>
          </w:p>
          <w:p w14:paraId="2155160C" w14:textId="77777777" w:rsidR="00843285" w:rsidRPr="00843285" w:rsidRDefault="00843285" w:rsidP="00843285">
            <w:pPr>
              <w:rPr>
                <w:rFonts w:cs="Arial"/>
              </w:rPr>
            </w:pPr>
          </w:p>
          <w:p w14:paraId="1C0EE314" w14:textId="07108F46" w:rsidR="00843285" w:rsidRPr="00843285" w:rsidRDefault="00843285" w:rsidP="00843285">
            <w:pPr>
              <w:rPr>
                <w:rFonts w:cs="Arial"/>
              </w:rPr>
            </w:pPr>
            <w:r w:rsidRPr="00843285">
              <w:rPr>
                <w:rFonts w:cs="Arial"/>
              </w:rPr>
              <w:t>238</w:t>
            </w:r>
          </w:p>
        </w:tc>
        <w:tc>
          <w:tcPr>
            <w:tcW w:w="1854" w:type="dxa"/>
          </w:tcPr>
          <w:p w14:paraId="5E0B3974" w14:textId="77777777" w:rsidR="00843285" w:rsidRPr="00843285" w:rsidRDefault="00843285" w:rsidP="00843285">
            <w:pPr>
              <w:rPr>
                <w:rFonts w:cs="Arial"/>
              </w:rPr>
            </w:pPr>
            <w:r w:rsidRPr="00843285">
              <w:rPr>
                <w:rFonts w:cs="Arial"/>
                <w:lang w:val="en-US"/>
              </w:rPr>
              <w:t>2.8</w:t>
            </w:r>
          </w:p>
          <w:p w14:paraId="7E658041" w14:textId="77777777" w:rsidR="00843285" w:rsidRPr="00843285" w:rsidRDefault="00843285" w:rsidP="00843285">
            <w:pPr>
              <w:rPr>
                <w:rFonts w:cs="Arial"/>
                <w:lang w:val="en-US"/>
              </w:rPr>
            </w:pPr>
          </w:p>
          <w:p w14:paraId="6FA80B21" w14:textId="583B84E1" w:rsidR="00843285" w:rsidRPr="00843285" w:rsidRDefault="00843285" w:rsidP="00843285">
            <w:pPr>
              <w:rPr>
                <w:rFonts w:cs="Arial"/>
              </w:rPr>
            </w:pPr>
            <w:r w:rsidRPr="00843285">
              <w:rPr>
                <w:rFonts w:cs="Arial"/>
                <w:lang w:val="en-US"/>
              </w:rPr>
              <w:t>1.3</w:t>
            </w:r>
          </w:p>
          <w:p w14:paraId="7F0D53E9" w14:textId="77777777" w:rsidR="00843285" w:rsidRPr="00843285" w:rsidRDefault="00843285" w:rsidP="00843285">
            <w:pPr>
              <w:rPr>
                <w:rFonts w:cs="Arial"/>
                <w:lang w:val="en-US"/>
              </w:rPr>
            </w:pPr>
          </w:p>
          <w:p w14:paraId="1CBFD1B9" w14:textId="16F6399F" w:rsidR="00843285" w:rsidRPr="00843285" w:rsidRDefault="00843285" w:rsidP="00843285">
            <w:pPr>
              <w:rPr>
                <w:rFonts w:cs="Arial"/>
              </w:rPr>
            </w:pPr>
            <w:r w:rsidRPr="00843285">
              <w:rPr>
                <w:rFonts w:cs="Arial"/>
                <w:lang w:val="en-US"/>
              </w:rPr>
              <w:t>(46%)</w:t>
            </w:r>
          </w:p>
          <w:p w14:paraId="1E1F975F" w14:textId="77777777" w:rsidR="00843285" w:rsidRPr="00843285" w:rsidRDefault="00843285" w:rsidP="00843285">
            <w:pPr>
              <w:rPr>
                <w:rFonts w:cs="Arial"/>
                <w:lang w:val="en-US"/>
              </w:rPr>
            </w:pPr>
          </w:p>
          <w:p w14:paraId="05DD6CDE" w14:textId="3D5918F7" w:rsidR="00843285" w:rsidRPr="00843285" w:rsidRDefault="00843285" w:rsidP="00843285">
            <w:pPr>
              <w:rPr>
                <w:rFonts w:cs="Arial"/>
              </w:rPr>
            </w:pPr>
            <w:r w:rsidRPr="00843285">
              <w:rPr>
                <w:rFonts w:cs="Arial"/>
                <w:lang w:val="en-US"/>
              </w:rPr>
              <w:t>236</w:t>
            </w:r>
          </w:p>
          <w:p w14:paraId="1695B3E3" w14:textId="77777777" w:rsidR="00843285" w:rsidRPr="00843285" w:rsidRDefault="00843285" w:rsidP="00843285">
            <w:pPr>
              <w:rPr>
                <w:rFonts w:cs="Arial"/>
                <w:lang w:val="en-US"/>
              </w:rPr>
            </w:pPr>
          </w:p>
          <w:p w14:paraId="022A33C9" w14:textId="3CFED09C" w:rsidR="00843285" w:rsidRPr="00843285" w:rsidRDefault="00843285" w:rsidP="00843285">
            <w:pPr>
              <w:rPr>
                <w:rFonts w:cs="Arial"/>
              </w:rPr>
            </w:pPr>
            <w:r w:rsidRPr="00843285">
              <w:rPr>
                <w:rFonts w:cs="Arial"/>
                <w:lang w:val="en-US"/>
              </w:rPr>
              <w:t>&lt;0.001</w:t>
            </w:r>
          </w:p>
        </w:tc>
        <w:tc>
          <w:tcPr>
            <w:tcW w:w="1854" w:type="dxa"/>
          </w:tcPr>
          <w:p w14:paraId="76D10E48" w14:textId="77777777" w:rsidR="00843285" w:rsidRPr="00843285" w:rsidRDefault="00843285" w:rsidP="00843285">
            <w:pPr>
              <w:rPr>
                <w:rFonts w:cs="Arial"/>
              </w:rPr>
            </w:pPr>
            <w:r w:rsidRPr="00843285">
              <w:rPr>
                <w:rFonts w:cs="Arial"/>
                <w:lang w:val="en-US"/>
              </w:rPr>
              <w:t>2.7</w:t>
            </w:r>
          </w:p>
          <w:p w14:paraId="379F59C0" w14:textId="77777777" w:rsidR="00843285" w:rsidRPr="00843285" w:rsidRDefault="00843285" w:rsidP="00843285">
            <w:pPr>
              <w:rPr>
                <w:rFonts w:cs="Arial"/>
                <w:lang w:val="en-US"/>
              </w:rPr>
            </w:pPr>
          </w:p>
          <w:p w14:paraId="4D1DE7ED" w14:textId="0822BC52" w:rsidR="00843285" w:rsidRPr="00843285" w:rsidRDefault="00843285" w:rsidP="00843285">
            <w:pPr>
              <w:rPr>
                <w:rFonts w:cs="Arial"/>
              </w:rPr>
            </w:pPr>
            <w:r w:rsidRPr="00843285">
              <w:rPr>
                <w:rFonts w:cs="Arial"/>
                <w:lang w:val="en-US"/>
              </w:rPr>
              <w:t>1.3</w:t>
            </w:r>
          </w:p>
          <w:p w14:paraId="5D3B4735" w14:textId="77777777" w:rsidR="00843285" w:rsidRPr="00843285" w:rsidRDefault="00843285" w:rsidP="00843285">
            <w:pPr>
              <w:rPr>
                <w:rFonts w:cs="Arial"/>
                <w:lang w:val="en-US"/>
              </w:rPr>
            </w:pPr>
          </w:p>
          <w:p w14:paraId="0F574E09" w14:textId="7742EAEC" w:rsidR="00843285" w:rsidRPr="00843285" w:rsidRDefault="00843285" w:rsidP="00843285">
            <w:pPr>
              <w:rPr>
                <w:rFonts w:cs="Arial"/>
              </w:rPr>
            </w:pPr>
            <w:r w:rsidRPr="00843285">
              <w:rPr>
                <w:rFonts w:cs="Arial"/>
                <w:lang w:val="en-US"/>
              </w:rPr>
              <w:t>(48%)</w:t>
            </w:r>
          </w:p>
          <w:p w14:paraId="7C957043" w14:textId="77777777" w:rsidR="00843285" w:rsidRPr="00843285" w:rsidRDefault="00843285" w:rsidP="00843285">
            <w:pPr>
              <w:rPr>
                <w:rFonts w:cs="Arial"/>
                <w:lang w:val="en-US"/>
              </w:rPr>
            </w:pPr>
          </w:p>
          <w:p w14:paraId="23596811" w14:textId="4627B69D" w:rsidR="00843285" w:rsidRPr="00843285" w:rsidRDefault="00843285" w:rsidP="00843285">
            <w:pPr>
              <w:rPr>
                <w:rFonts w:cs="Arial"/>
              </w:rPr>
            </w:pPr>
            <w:r w:rsidRPr="00843285">
              <w:rPr>
                <w:rFonts w:cs="Arial"/>
                <w:lang w:val="en-US"/>
              </w:rPr>
              <w:t>242</w:t>
            </w:r>
          </w:p>
          <w:p w14:paraId="0F5DE226" w14:textId="77777777" w:rsidR="00843285" w:rsidRPr="00843285" w:rsidRDefault="00843285" w:rsidP="00843285">
            <w:pPr>
              <w:rPr>
                <w:rFonts w:cs="Arial"/>
                <w:lang w:val="en-US"/>
              </w:rPr>
            </w:pPr>
          </w:p>
          <w:p w14:paraId="28115E5E" w14:textId="0C00A245" w:rsidR="00843285" w:rsidRPr="00843285" w:rsidRDefault="00843285" w:rsidP="00843285">
            <w:pPr>
              <w:rPr>
                <w:rFonts w:cs="Arial"/>
              </w:rPr>
            </w:pPr>
            <w:r w:rsidRPr="00843285">
              <w:rPr>
                <w:rFonts w:cs="Arial"/>
                <w:lang w:val="en-US"/>
              </w:rPr>
              <w:t>&lt;0.001</w:t>
            </w:r>
          </w:p>
        </w:tc>
        <w:tc>
          <w:tcPr>
            <w:tcW w:w="1825" w:type="dxa"/>
          </w:tcPr>
          <w:p w14:paraId="11F27614" w14:textId="77777777" w:rsidR="00843285" w:rsidRPr="00843285" w:rsidRDefault="00843285" w:rsidP="00843285">
            <w:pPr>
              <w:rPr>
                <w:rFonts w:cs="Arial"/>
              </w:rPr>
            </w:pPr>
            <w:r w:rsidRPr="00843285">
              <w:rPr>
                <w:rFonts w:cs="Arial"/>
                <w:lang w:val="en-US"/>
              </w:rPr>
              <w:t>2.7</w:t>
            </w:r>
          </w:p>
          <w:p w14:paraId="2A2F6083" w14:textId="77777777" w:rsidR="00843285" w:rsidRPr="00843285" w:rsidRDefault="00843285" w:rsidP="00843285">
            <w:pPr>
              <w:rPr>
                <w:rFonts w:cs="Arial"/>
                <w:lang w:val="en-US"/>
              </w:rPr>
            </w:pPr>
          </w:p>
          <w:p w14:paraId="1DA89FBB" w14:textId="1FB97E4F" w:rsidR="00843285" w:rsidRPr="00843285" w:rsidRDefault="00843285" w:rsidP="00843285">
            <w:pPr>
              <w:rPr>
                <w:rFonts w:cs="Arial"/>
              </w:rPr>
            </w:pPr>
            <w:r w:rsidRPr="00843285">
              <w:rPr>
                <w:rFonts w:cs="Arial"/>
                <w:lang w:val="en-US"/>
              </w:rPr>
              <w:t>1.0</w:t>
            </w:r>
          </w:p>
          <w:p w14:paraId="7DB4E55E" w14:textId="77777777" w:rsidR="00843285" w:rsidRPr="00843285" w:rsidRDefault="00843285" w:rsidP="00843285">
            <w:pPr>
              <w:rPr>
                <w:rFonts w:cs="Arial"/>
                <w:lang w:val="en-US"/>
              </w:rPr>
            </w:pPr>
          </w:p>
          <w:p w14:paraId="690480D4" w14:textId="769643D3" w:rsidR="00843285" w:rsidRPr="00843285" w:rsidRDefault="00843285" w:rsidP="00843285">
            <w:pPr>
              <w:rPr>
                <w:rFonts w:cs="Arial"/>
              </w:rPr>
            </w:pPr>
            <w:r w:rsidRPr="00843285">
              <w:rPr>
                <w:rFonts w:cs="Arial"/>
                <w:lang w:val="en-US"/>
              </w:rPr>
              <w:t>(37%)</w:t>
            </w:r>
          </w:p>
          <w:p w14:paraId="135124D3" w14:textId="77777777" w:rsidR="00843285" w:rsidRPr="00843285" w:rsidRDefault="00843285" w:rsidP="00843285">
            <w:pPr>
              <w:rPr>
                <w:rFonts w:cs="Arial"/>
                <w:lang w:val="en-US"/>
              </w:rPr>
            </w:pPr>
          </w:p>
          <w:p w14:paraId="6CCF322F" w14:textId="1FD040C2" w:rsidR="00843285" w:rsidRPr="00843285" w:rsidRDefault="00843285" w:rsidP="00843285">
            <w:pPr>
              <w:rPr>
                <w:rFonts w:cs="Arial"/>
              </w:rPr>
            </w:pPr>
            <w:r w:rsidRPr="00843285">
              <w:rPr>
                <w:rFonts w:cs="Arial"/>
                <w:lang w:val="en-US"/>
              </w:rPr>
              <w:t>250</w:t>
            </w:r>
          </w:p>
          <w:p w14:paraId="0035C869" w14:textId="77777777" w:rsidR="00843285" w:rsidRPr="00843285" w:rsidRDefault="00843285" w:rsidP="00843285">
            <w:pPr>
              <w:rPr>
                <w:rFonts w:cs="Arial"/>
                <w:lang w:val="en-US"/>
              </w:rPr>
            </w:pPr>
          </w:p>
          <w:p w14:paraId="3D5E0668" w14:textId="2AFE7E08" w:rsidR="00843285" w:rsidRPr="00843285" w:rsidRDefault="00843285" w:rsidP="00843285">
            <w:pPr>
              <w:rPr>
                <w:rFonts w:cs="Arial"/>
              </w:rPr>
            </w:pPr>
            <w:r w:rsidRPr="00843285">
              <w:rPr>
                <w:rFonts w:cs="Arial"/>
                <w:lang w:val="en-US"/>
              </w:rPr>
              <w:t>0.010</w:t>
            </w:r>
          </w:p>
        </w:tc>
      </w:tr>
    </w:tbl>
    <w:p w14:paraId="5B1C1CB2" w14:textId="77777777" w:rsidR="00843285" w:rsidRPr="00843285" w:rsidRDefault="00843285" w:rsidP="00843285">
      <w:pPr>
        <w:rPr>
          <w:sz w:val="24"/>
          <w:szCs w:val="24"/>
          <w:lang w:eastAsia="bg-BG"/>
        </w:rPr>
      </w:pPr>
      <w:r w:rsidRPr="00843285">
        <w:rPr>
          <w:lang w:eastAsia="bg-BG"/>
        </w:rPr>
        <w:t xml:space="preserve">Забележка: В 4 от пилотните проучвания са използвани солифенацин 10 </w:t>
      </w:r>
      <w:r w:rsidRPr="00843285">
        <w:rPr>
          <w:lang w:val="en-US"/>
        </w:rPr>
        <w:t xml:space="preserve">mg </w:t>
      </w:r>
      <w:r w:rsidRPr="00843285">
        <w:rPr>
          <w:lang w:eastAsia="bg-BG"/>
        </w:rPr>
        <w:t xml:space="preserve">и плацебо. В 2 от 4- те проучвания е използван и солифенацин 5 </w:t>
      </w:r>
      <w:r w:rsidRPr="00843285">
        <w:rPr>
          <w:lang w:val="en-US"/>
        </w:rPr>
        <w:t xml:space="preserve">mg, </w:t>
      </w:r>
      <w:r w:rsidRPr="00843285">
        <w:rPr>
          <w:lang w:eastAsia="bg-BG"/>
        </w:rPr>
        <w:t xml:space="preserve">а в едно от проучванията е включен толтеродин 2 </w:t>
      </w:r>
      <w:r w:rsidRPr="00843285">
        <w:rPr>
          <w:lang w:val="en-US"/>
        </w:rPr>
        <w:t xml:space="preserve">mg </w:t>
      </w:r>
      <w:r w:rsidRPr="00843285">
        <w:rPr>
          <w:lang w:eastAsia="bg-BG"/>
        </w:rPr>
        <w:t>два пъти дневно.</w:t>
      </w:r>
    </w:p>
    <w:p w14:paraId="6BCEF8AF" w14:textId="77777777" w:rsidR="00843285" w:rsidRDefault="00843285" w:rsidP="00843285">
      <w:pPr>
        <w:rPr>
          <w:lang w:eastAsia="bg-BG"/>
        </w:rPr>
      </w:pPr>
    </w:p>
    <w:p w14:paraId="6085BC04" w14:textId="3E8ABF05" w:rsidR="00843285" w:rsidRPr="00843285" w:rsidRDefault="00843285" w:rsidP="00843285">
      <w:pPr>
        <w:rPr>
          <w:sz w:val="24"/>
          <w:szCs w:val="24"/>
          <w:lang w:eastAsia="bg-BG"/>
        </w:rPr>
      </w:pPr>
      <w:r w:rsidRPr="00843285">
        <w:rPr>
          <w:lang w:eastAsia="bg-BG"/>
        </w:rPr>
        <w:t>Не всички параметри и групи за лечение са оценявани във всяко индивидуално проучване. Следователно, броят на пациентите, поместен в таблицата може да варира според параметъра и лечебната група.</w:t>
      </w:r>
    </w:p>
    <w:p w14:paraId="2EEFBF4D" w14:textId="77777777" w:rsidR="00843285" w:rsidRDefault="00843285" w:rsidP="00843285">
      <w:pPr>
        <w:rPr>
          <w:lang w:eastAsia="bg-BG"/>
        </w:rPr>
      </w:pPr>
    </w:p>
    <w:p w14:paraId="058AE01D" w14:textId="06C42C9A" w:rsidR="00843285" w:rsidRPr="00843285" w:rsidRDefault="00843285" w:rsidP="00843285">
      <w:pPr>
        <w:rPr>
          <w:sz w:val="24"/>
          <w:szCs w:val="24"/>
          <w:lang w:eastAsia="bg-BG"/>
        </w:rPr>
      </w:pPr>
      <w:r w:rsidRPr="00843285">
        <w:rPr>
          <w:lang w:eastAsia="bg-BG"/>
        </w:rPr>
        <w:t>*Р-стойността се отнася за сравнение по двойки с плацебо.</w:t>
      </w:r>
    </w:p>
    <w:p w14:paraId="272515CF" w14:textId="77777777" w:rsidR="005F0014" w:rsidRPr="005F0014" w:rsidRDefault="005F0014" w:rsidP="005F0014">
      <w:pPr>
        <w:rPr>
          <w:rFonts w:cs="Arial"/>
          <w:sz w:val="24"/>
          <w:szCs w:val="24"/>
        </w:rPr>
      </w:pPr>
    </w:p>
    <w:p w14:paraId="173D7F1D" w14:textId="068F0354" w:rsidR="00EE6C97" w:rsidRDefault="002C50EE" w:rsidP="00A93499">
      <w:pPr>
        <w:pStyle w:val="Heading2"/>
      </w:pPr>
      <w:r>
        <w:t>5.2. Фармакокинетични свойства</w:t>
      </w:r>
    </w:p>
    <w:p w14:paraId="377F70E1" w14:textId="2F1A3D86" w:rsidR="00843285" w:rsidRDefault="00843285" w:rsidP="00843285"/>
    <w:p w14:paraId="1EC61969" w14:textId="77777777" w:rsidR="00843285" w:rsidRPr="00843285" w:rsidRDefault="00843285" w:rsidP="00843285">
      <w:pPr>
        <w:pStyle w:val="Heading3"/>
        <w:rPr>
          <w:rFonts w:eastAsia="Times New Roman"/>
          <w:sz w:val="28"/>
          <w:szCs w:val="28"/>
          <w:u w:val="single"/>
          <w:lang w:eastAsia="bg-BG"/>
        </w:rPr>
      </w:pPr>
      <w:r w:rsidRPr="00843285">
        <w:rPr>
          <w:rFonts w:eastAsia="Times New Roman"/>
          <w:u w:val="single"/>
          <w:lang w:eastAsia="bg-BG"/>
        </w:rPr>
        <w:t>Абсорбция</w:t>
      </w:r>
    </w:p>
    <w:p w14:paraId="30C98D50" w14:textId="77777777" w:rsidR="00843285" w:rsidRPr="00843285" w:rsidRDefault="00843285" w:rsidP="00843285">
      <w:pPr>
        <w:spacing w:line="240" w:lineRule="auto"/>
        <w:rPr>
          <w:rFonts w:eastAsia="Times New Roman" w:cs="Arial"/>
          <w:sz w:val="28"/>
          <w:szCs w:val="28"/>
          <w:lang w:eastAsia="bg-BG"/>
        </w:rPr>
      </w:pPr>
      <w:r w:rsidRPr="00843285">
        <w:rPr>
          <w:rFonts w:eastAsia="Times New Roman" w:cs="Arial"/>
          <w:color w:val="000000"/>
          <w:lang w:eastAsia="bg-BG"/>
        </w:rPr>
        <w:t>След прием на солифенацин таблетки, максимална плазмена концентрация (С</w:t>
      </w:r>
      <w:r w:rsidRPr="00843285">
        <w:rPr>
          <w:rFonts w:eastAsia="Times New Roman" w:cs="Arial"/>
          <w:color w:val="000000"/>
          <w:lang w:val="en-US"/>
        </w:rPr>
        <w:t>max</w:t>
      </w:r>
      <w:r w:rsidRPr="00843285">
        <w:rPr>
          <w:rFonts w:eastAsia="Times New Roman" w:cs="Arial"/>
          <w:color w:val="000000"/>
          <w:lang w:eastAsia="bg-BG"/>
        </w:rPr>
        <w:t>) на солифенацин се достига след 3 до 8 часа. Т</w:t>
      </w:r>
      <w:r w:rsidRPr="00843285">
        <w:rPr>
          <w:rFonts w:eastAsia="Times New Roman" w:cs="Arial"/>
          <w:color w:val="000000"/>
          <w:lang w:val="en-US"/>
        </w:rPr>
        <w:t>max</w:t>
      </w:r>
      <w:r w:rsidRPr="00843285">
        <w:rPr>
          <w:rFonts w:eastAsia="Times New Roman" w:cs="Arial"/>
          <w:color w:val="000000"/>
          <w:lang w:eastAsia="bg-BG"/>
        </w:rPr>
        <w:t xml:space="preserve"> не зависи от дозата. С</w:t>
      </w:r>
      <w:r w:rsidRPr="00843285">
        <w:rPr>
          <w:rFonts w:eastAsia="Times New Roman" w:cs="Arial"/>
          <w:color w:val="000000"/>
          <w:vertAlign w:val="subscript"/>
          <w:lang w:val="en-US"/>
        </w:rPr>
        <w:t>max</w:t>
      </w:r>
      <w:r w:rsidRPr="00843285">
        <w:rPr>
          <w:rFonts w:eastAsia="Times New Roman" w:cs="Arial"/>
          <w:color w:val="000000"/>
          <w:lang w:eastAsia="bg-BG"/>
        </w:rPr>
        <w:t xml:space="preserve"> и площта под кривата </w:t>
      </w:r>
      <w:r w:rsidRPr="00843285">
        <w:rPr>
          <w:rFonts w:eastAsia="Times New Roman" w:cs="Arial"/>
          <w:color w:val="000000"/>
          <w:lang w:val="en-US"/>
        </w:rPr>
        <w:t xml:space="preserve">(AUC) </w:t>
      </w:r>
      <w:r w:rsidRPr="00843285">
        <w:rPr>
          <w:rFonts w:eastAsia="Times New Roman" w:cs="Arial"/>
          <w:color w:val="000000"/>
          <w:lang w:eastAsia="bg-BG"/>
        </w:rPr>
        <w:t xml:space="preserve">се увеличават пропорционално на дозата между 5 и 40 </w:t>
      </w:r>
      <w:r w:rsidRPr="00843285">
        <w:rPr>
          <w:rFonts w:eastAsia="Times New Roman" w:cs="Arial"/>
          <w:color w:val="000000"/>
          <w:lang w:val="en-US"/>
        </w:rPr>
        <w:t xml:space="preserve">mg. </w:t>
      </w:r>
      <w:r w:rsidRPr="00843285">
        <w:rPr>
          <w:rFonts w:eastAsia="Times New Roman" w:cs="Arial"/>
          <w:color w:val="000000"/>
          <w:lang w:eastAsia="bg-BG"/>
        </w:rPr>
        <w:t xml:space="preserve">Абсолютната </w:t>
      </w:r>
      <w:r w:rsidRPr="00843285">
        <w:rPr>
          <w:rFonts w:eastAsia="Times New Roman" w:cs="Arial"/>
          <w:color w:val="000000"/>
          <w:lang w:eastAsia="bg-BG"/>
        </w:rPr>
        <w:lastRenderedPageBreak/>
        <w:t>бионаличност е приблизително 90%. Приемът на храна не оказва влияние върху С</w:t>
      </w:r>
      <w:r w:rsidRPr="00843285">
        <w:rPr>
          <w:rFonts w:eastAsia="Times New Roman" w:cs="Arial"/>
          <w:color w:val="000000"/>
          <w:lang w:val="en-US"/>
        </w:rPr>
        <w:t>max</w:t>
      </w:r>
      <w:r w:rsidRPr="00843285">
        <w:rPr>
          <w:rFonts w:eastAsia="Times New Roman" w:cs="Arial"/>
          <w:color w:val="000000"/>
          <w:lang w:eastAsia="bg-BG"/>
        </w:rPr>
        <w:t xml:space="preserve"> и </w:t>
      </w:r>
      <w:r w:rsidRPr="00843285">
        <w:rPr>
          <w:rFonts w:eastAsia="Times New Roman" w:cs="Arial"/>
          <w:color w:val="000000"/>
          <w:lang w:val="en-US"/>
        </w:rPr>
        <w:t xml:space="preserve">AUC </w:t>
      </w:r>
      <w:r w:rsidRPr="00843285">
        <w:rPr>
          <w:rFonts w:eastAsia="Times New Roman" w:cs="Arial"/>
          <w:color w:val="000000"/>
          <w:lang w:eastAsia="bg-BG"/>
        </w:rPr>
        <w:t>на солифенацин.</w:t>
      </w:r>
    </w:p>
    <w:p w14:paraId="315FB442" w14:textId="77777777" w:rsidR="00843285" w:rsidRPr="00843285" w:rsidRDefault="00843285" w:rsidP="00843285">
      <w:pPr>
        <w:spacing w:line="240" w:lineRule="auto"/>
        <w:rPr>
          <w:rFonts w:eastAsia="Times New Roman" w:cs="Arial"/>
          <w:color w:val="000000"/>
          <w:u w:val="single"/>
          <w:lang w:eastAsia="bg-BG"/>
        </w:rPr>
      </w:pPr>
    </w:p>
    <w:p w14:paraId="3F3F0A6F" w14:textId="7535F0B1" w:rsidR="00843285" w:rsidRPr="00843285" w:rsidRDefault="00843285" w:rsidP="00843285">
      <w:pPr>
        <w:pStyle w:val="Heading3"/>
        <w:rPr>
          <w:rFonts w:eastAsia="Times New Roman"/>
          <w:sz w:val="28"/>
          <w:szCs w:val="28"/>
          <w:u w:val="single"/>
          <w:lang w:eastAsia="bg-BG"/>
        </w:rPr>
      </w:pPr>
      <w:r w:rsidRPr="00843285">
        <w:rPr>
          <w:rFonts w:eastAsia="Times New Roman"/>
          <w:u w:val="single"/>
          <w:lang w:eastAsia="bg-BG"/>
        </w:rPr>
        <w:t>Разпределение</w:t>
      </w:r>
    </w:p>
    <w:p w14:paraId="70800C07" w14:textId="77777777" w:rsidR="00843285" w:rsidRPr="00843285" w:rsidRDefault="00843285" w:rsidP="00843285">
      <w:pPr>
        <w:spacing w:line="240" w:lineRule="auto"/>
        <w:rPr>
          <w:rFonts w:eastAsia="Times New Roman" w:cs="Arial"/>
          <w:sz w:val="28"/>
          <w:szCs w:val="28"/>
          <w:lang w:eastAsia="bg-BG"/>
        </w:rPr>
      </w:pPr>
      <w:r w:rsidRPr="00843285">
        <w:rPr>
          <w:rFonts w:eastAsia="Times New Roman" w:cs="Arial"/>
          <w:color w:val="000000"/>
          <w:lang w:eastAsia="bg-BG"/>
        </w:rPr>
        <w:t>Привидният обем на разпределение на солифенацин след интравенозно приложение е около 600 1. Солифенацин се свързва в голяма степен (около 98%) със плазмените протеини, главно α1- киселинен гликопротеин.</w:t>
      </w:r>
    </w:p>
    <w:p w14:paraId="337A4857" w14:textId="77777777" w:rsidR="00843285" w:rsidRPr="00843285" w:rsidRDefault="00843285" w:rsidP="00843285">
      <w:pPr>
        <w:spacing w:line="240" w:lineRule="auto"/>
        <w:rPr>
          <w:rFonts w:eastAsia="Times New Roman" w:cs="Arial"/>
          <w:color w:val="000000"/>
          <w:u w:val="single"/>
          <w:lang w:eastAsia="bg-BG"/>
        </w:rPr>
      </w:pPr>
    </w:p>
    <w:p w14:paraId="7B5A6239" w14:textId="66FDD8FD" w:rsidR="00843285" w:rsidRPr="00843285" w:rsidRDefault="00843285" w:rsidP="00843285">
      <w:pPr>
        <w:pStyle w:val="Heading3"/>
        <w:rPr>
          <w:rFonts w:eastAsia="Times New Roman"/>
          <w:sz w:val="28"/>
          <w:szCs w:val="28"/>
          <w:u w:val="single"/>
          <w:lang w:eastAsia="bg-BG"/>
        </w:rPr>
      </w:pPr>
      <w:r w:rsidRPr="00843285">
        <w:rPr>
          <w:rFonts w:eastAsia="Times New Roman"/>
          <w:u w:val="single"/>
          <w:lang w:eastAsia="bg-BG"/>
        </w:rPr>
        <w:t>Биотрансформация</w:t>
      </w:r>
    </w:p>
    <w:p w14:paraId="1584767D" w14:textId="77777777" w:rsidR="00843285" w:rsidRPr="00843285" w:rsidRDefault="00843285" w:rsidP="00843285">
      <w:pPr>
        <w:rPr>
          <w:rFonts w:eastAsia="Times New Roman" w:cs="Arial"/>
          <w:sz w:val="28"/>
          <w:szCs w:val="28"/>
          <w:lang w:eastAsia="bg-BG"/>
        </w:rPr>
      </w:pPr>
      <w:r w:rsidRPr="00843285">
        <w:rPr>
          <w:rFonts w:eastAsia="Times New Roman" w:cs="Arial"/>
          <w:color w:val="000000"/>
          <w:lang w:eastAsia="bg-BG"/>
        </w:rPr>
        <w:t xml:space="preserve">Солифенацин се метаболизира екстензивно от черния дроб, най-вече чрез цитохром </w:t>
      </w:r>
      <w:r w:rsidRPr="00843285">
        <w:rPr>
          <w:rFonts w:eastAsia="Times New Roman" w:cs="Arial"/>
          <w:color w:val="000000"/>
          <w:lang w:val="en-US"/>
        </w:rPr>
        <w:t xml:space="preserve">P450 3A4 (CYP3A4). </w:t>
      </w:r>
      <w:r w:rsidRPr="00843285">
        <w:rPr>
          <w:rFonts w:eastAsia="Times New Roman" w:cs="Arial"/>
          <w:color w:val="000000"/>
          <w:lang w:eastAsia="bg-BG"/>
        </w:rPr>
        <w:t>Въпреки това, съществуват алтернативни метаболитни пътища,</w:t>
      </w:r>
      <w:r w:rsidRPr="00843285">
        <w:rPr>
          <w:rFonts w:eastAsia="Times New Roman" w:cs="Arial"/>
          <w:color w:val="000000"/>
          <w:lang w:val="en-US"/>
        </w:rPr>
        <w:t xml:space="preserve"> </w:t>
      </w:r>
      <w:r w:rsidRPr="00843285">
        <w:rPr>
          <w:rFonts w:eastAsia="Times New Roman" w:cs="Arial"/>
          <w:color w:val="000000"/>
          <w:lang w:eastAsia="bg-BG"/>
        </w:rPr>
        <w:t>които могат да допринесат за метаболизма на солифенацин. Системният клирънс на солифенацин е около 9,5 1/час, а терминалният му полуживот е 45-68 часа. След перорален прием освен солифенацин</w:t>
      </w:r>
      <w:r w:rsidRPr="00843285">
        <w:rPr>
          <w:rFonts w:eastAsia="Times New Roman" w:cs="Arial"/>
          <w:color w:val="000000"/>
          <w:lang w:eastAsia="bg-BG"/>
        </w:rPr>
        <w:t xml:space="preserve"> </w:t>
      </w:r>
      <w:r w:rsidRPr="00843285">
        <w:rPr>
          <w:rFonts w:eastAsia="Times New Roman" w:cs="Arial"/>
          <w:color w:val="000000"/>
          <w:lang w:eastAsia="bg-BG"/>
        </w:rPr>
        <w:t>в плазмата са идентифицирани един фармакологично активен (4</w:t>
      </w:r>
      <w:r w:rsidRPr="00843285">
        <w:rPr>
          <w:rFonts w:eastAsia="Times New Roman" w:cs="Arial"/>
          <w:color w:val="000000"/>
          <w:lang w:val="en-US"/>
        </w:rPr>
        <w:t>R</w:t>
      </w:r>
      <w:r w:rsidRPr="00843285">
        <w:rPr>
          <w:rFonts w:eastAsia="Times New Roman" w:cs="Arial"/>
          <w:color w:val="000000"/>
          <w:lang w:eastAsia="bg-BG"/>
        </w:rPr>
        <w:t xml:space="preserve">-хидроксисолифенацин) и три неактивни метаболита </w:t>
      </w:r>
      <w:r w:rsidRPr="00843285">
        <w:rPr>
          <w:rFonts w:eastAsia="Times New Roman" w:cs="Arial"/>
          <w:color w:val="000000"/>
          <w:lang w:val="en-US"/>
        </w:rPr>
        <w:t>(N</w:t>
      </w:r>
      <w:r w:rsidRPr="00843285">
        <w:rPr>
          <w:rFonts w:eastAsia="Times New Roman" w:cs="Arial"/>
          <w:color w:val="000000"/>
          <w:lang w:eastAsia="bg-BG"/>
        </w:rPr>
        <w:t xml:space="preserve">-глюкуронид, </w:t>
      </w:r>
      <w:r w:rsidRPr="00843285">
        <w:rPr>
          <w:rFonts w:eastAsia="Times New Roman" w:cs="Arial"/>
          <w:color w:val="000000"/>
          <w:lang w:val="en-US"/>
        </w:rPr>
        <w:t>N</w:t>
      </w:r>
      <w:r w:rsidRPr="00843285">
        <w:rPr>
          <w:rFonts w:eastAsia="Times New Roman" w:cs="Arial"/>
          <w:color w:val="000000"/>
          <w:lang w:eastAsia="bg-BG"/>
        </w:rPr>
        <w:t>-оксид и 4</w:t>
      </w:r>
      <w:r w:rsidRPr="00843285">
        <w:rPr>
          <w:rFonts w:eastAsia="Times New Roman" w:cs="Arial"/>
          <w:color w:val="000000"/>
          <w:lang w:val="en-US"/>
        </w:rPr>
        <w:t>R</w:t>
      </w:r>
      <w:r w:rsidRPr="00843285">
        <w:rPr>
          <w:rFonts w:eastAsia="Times New Roman" w:cs="Arial"/>
          <w:color w:val="000000"/>
          <w:lang w:eastAsia="bg-BG"/>
        </w:rPr>
        <w:t xml:space="preserve">-хидрокси- </w:t>
      </w:r>
      <w:r w:rsidRPr="00843285">
        <w:rPr>
          <w:rFonts w:eastAsia="Times New Roman" w:cs="Arial"/>
          <w:color w:val="000000"/>
          <w:lang w:val="en-US"/>
        </w:rPr>
        <w:t xml:space="preserve">N </w:t>
      </w:r>
      <w:r w:rsidRPr="00843285">
        <w:rPr>
          <w:rFonts w:eastAsia="Times New Roman" w:cs="Arial"/>
          <w:color w:val="000000"/>
          <w:lang w:eastAsia="bg-BG"/>
        </w:rPr>
        <w:t>-оксид на солифенацин).</w:t>
      </w:r>
    </w:p>
    <w:p w14:paraId="5A71C1CC" w14:textId="77777777" w:rsidR="00843285" w:rsidRPr="00843285" w:rsidRDefault="00843285" w:rsidP="00843285">
      <w:pPr>
        <w:spacing w:line="240" w:lineRule="auto"/>
        <w:rPr>
          <w:rFonts w:eastAsia="Times New Roman" w:cs="Arial"/>
          <w:color w:val="000000"/>
          <w:u w:val="single"/>
          <w:lang w:eastAsia="bg-BG"/>
        </w:rPr>
      </w:pPr>
    </w:p>
    <w:p w14:paraId="15C24CF7" w14:textId="7186C649" w:rsidR="00843285" w:rsidRPr="00843285" w:rsidRDefault="00843285" w:rsidP="00843285">
      <w:pPr>
        <w:pStyle w:val="Heading3"/>
        <w:rPr>
          <w:rFonts w:eastAsia="Times New Roman"/>
          <w:sz w:val="28"/>
          <w:szCs w:val="28"/>
          <w:u w:val="single"/>
          <w:lang w:eastAsia="bg-BG"/>
        </w:rPr>
      </w:pPr>
      <w:r w:rsidRPr="00843285">
        <w:rPr>
          <w:rFonts w:eastAsia="Times New Roman"/>
          <w:u w:val="single"/>
          <w:lang w:eastAsia="bg-BG"/>
        </w:rPr>
        <w:t>Елиминиране</w:t>
      </w:r>
    </w:p>
    <w:p w14:paraId="5A0F5202" w14:textId="77777777" w:rsidR="00843285" w:rsidRPr="00843285" w:rsidRDefault="00843285" w:rsidP="00843285">
      <w:pPr>
        <w:spacing w:line="240" w:lineRule="auto"/>
        <w:rPr>
          <w:rFonts w:eastAsia="Times New Roman" w:cs="Arial"/>
          <w:sz w:val="28"/>
          <w:szCs w:val="28"/>
          <w:lang w:eastAsia="bg-BG"/>
        </w:rPr>
      </w:pPr>
      <w:r w:rsidRPr="00843285">
        <w:rPr>
          <w:rFonts w:eastAsia="Times New Roman" w:cs="Arial"/>
          <w:color w:val="000000"/>
          <w:lang w:eastAsia="bg-BG"/>
        </w:rPr>
        <w:t xml:space="preserve">След единичен прием на 10 </w:t>
      </w:r>
      <w:r w:rsidRPr="00843285">
        <w:rPr>
          <w:rFonts w:eastAsia="Times New Roman" w:cs="Arial"/>
          <w:color w:val="000000"/>
          <w:lang w:val="en-US"/>
        </w:rPr>
        <w:t xml:space="preserve">mg </w:t>
      </w:r>
      <w:r w:rsidRPr="00843285">
        <w:rPr>
          <w:rFonts w:eastAsia="Times New Roman" w:cs="Arial"/>
          <w:color w:val="000000"/>
          <w:lang w:eastAsia="bg-BG"/>
        </w:rPr>
        <w:t>[</w:t>
      </w:r>
      <w:r w:rsidRPr="00843285">
        <w:rPr>
          <w:rFonts w:eastAsia="Times New Roman" w:cs="Arial"/>
          <w:color w:val="000000"/>
          <w:vertAlign w:val="superscript"/>
          <w:lang w:eastAsia="bg-BG"/>
        </w:rPr>
        <w:t>14</w:t>
      </w:r>
      <w:r w:rsidRPr="00843285">
        <w:rPr>
          <w:rFonts w:eastAsia="Times New Roman" w:cs="Arial"/>
          <w:color w:val="000000"/>
          <w:lang w:eastAsia="bg-BG"/>
        </w:rPr>
        <w:t xml:space="preserve">С-белязан]-солифенацин, около 70% от радиоактивността се наблюдава в урината и 23% във фекалиите след 26 дни. В урината около 11% от радиоактивността се открива като непроменено активно вещество; около 18% като </w:t>
      </w:r>
      <w:r w:rsidRPr="00843285">
        <w:rPr>
          <w:rFonts w:eastAsia="Times New Roman" w:cs="Arial"/>
          <w:color w:val="000000"/>
          <w:lang w:val="en-US"/>
        </w:rPr>
        <w:t>N</w:t>
      </w:r>
      <w:r w:rsidRPr="00843285">
        <w:rPr>
          <w:rFonts w:eastAsia="Times New Roman" w:cs="Arial"/>
          <w:color w:val="000000"/>
          <w:lang w:eastAsia="bg-BG"/>
        </w:rPr>
        <w:t>-оксид метаболит, 9% като 4</w:t>
      </w:r>
      <w:r w:rsidRPr="00843285">
        <w:rPr>
          <w:rFonts w:eastAsia="Times New Roman" w:cs="Arial"/>
          <w:color w:val="000000"/>
          <w:lang w:val="en-US"/>
        </w:rPr>
        <w:t>R</w:t>
      </w:r>
      <w:r w:rsidRPr="00843285">
        <w:rPr>
          <w:rFonts w:eastAsia="Times New Roman" w:cs="Arial"/>
          <w:color w:val="000000"/>
          <w:lang w:eastAsia="bg-BG"/>
        </w:rPr>
        <w:t>-хидрокси-</w:t>
      </w:r>
      <w:r w:rsidRPr="00843285">
        <w:rPr>
          <w:rFonts w:eastAsia="Times New Roman" w:cs="Arial"/>
          <w:color w:val="000000"/>
          <w:lang w:val="en-US"/>
        </w:rPr>
        <w:t>N</w:t>
      </w:r>
      <w:r w:rsidRPr="00843285">
        <w:rPr>
          <w:rFonts w:eastAsia="Times New Roman" w:cs="Arial"/>
          <w:color w:val="000000"/>
          <w:lang w:eastAsia="bg-BG"/>
        </w:rPr>
        <w:t>-оксид метаболит и 8% като 4</w:t>
      </w:r>
      <w:r w:rsidRPr="00843285">
        <w:rPr>
          <w:rFonts w:eastAsia="Times New Roman" w:cs="Arial"/>
          <w:color w:val="000000"/>
          <w:lang w:val="en-US"/>
        </w:rPr>
        <w:t>R</w:t>
      </w:r>
      <w:r w:rsidRPr="00843285">
        <w:rPr>
          <w:rFonts w:eastAsia="Times New Roman" w:cs="Arial"/>
          <w:color w:val="000000"/>
          <w:lang w:eastAsia="bg-BG"/>
        </w:rPr>
        <w:t>-хидрокси метаболит (активен метаболит).</w:t>
      </w:r>
    </w:p>
    <w:p w14:paraId="6D893733" w14:textId="77777777" w:rsidR="00843285" w:rsidRPr="00843285" w:rsidRDefault="00843285" w:rsidP="00843285">
      <w:pPr>
        <w:spacing w:line="240" w:lineRule="auto"/>
        <w:rPr>
          <w:rFonts w:eastAsia="Times New Roman" w:cs="Arial"/>
          <w:color w:val="000000"/>
          <w:u w:val="single"/>
          <w:lang w:eastAsia="bg-BG"/>
        </w:rPr>
      </w:pPr>
    </w:p>
    <w:p w14:paraId="18C9EBFF" w14:textId="5924A2DF" w:rsidR="00843285" w:rsidRPr="00843285" w:rsidRDefault="00843285" w:rsidP="00843285">
      <w:pPr>
        <w:pStyle w:val="Heading3"/>
        <w:rPr>
          <w:rFonts w:eastAsia="Times New Roman"/>
          <w:sz w:val="28"/>
          <w:szCs w:val="28"/>
          <w:u w:val="single"/>
          <w:lang w:eastAsia="bg-BG"/>
        </w:rPr>
      </w:pPr>
      <w:r w:rsidRPr="00843285">
        <w:rPr>
          <w:rFonts w:eastAsia="Times New Roman"/>
          <w:u w:val="single"/>
          <w:lang w:eastAsia="bg-BG"/>
        </w:rPr>
        <w:t>Линейност/нелинейност</w:t>
      </w:r>
    </w:p>
    <w:p w14:paraId="156F643D" w14:textId="77777777" w:rsidR="00843285" w:rsidRPr="00843285" w:rsidRDefault="00843285" w:rsidP="00843285">
      <w:pPr>
        <w:spacing w:line="240" w:lineRule="auto"/>
        <w:rPr>
          <w:rFonts w:eastAsia="Times New Roman" w:cs="Arial"/>
          <w:sz w:val="28"/>
          <w:szCs w:val="28"/>
          <w:lang w:eastAsia="bg-BG"/>
        </w:rPr>
      </w:pPr>
      <w:r w:rsidRPr="00843285">
        <w:rPr>
          <w:rFonts w:eastAsia="Times New Roman" w:cs="Arial"/>
          <w:color w:val="000000"/>
          <w:lang w:eastAsia="bg-BG"/>
        </w:rPr>
        <w:t>Фармакокинетиката е линейна в терапевтичния дозов диапазон.</w:t>
      </w:r>
    </w:p>
    <w:p w14:paraId="584F2694" w14:textId="77777777" w:rsidR="00843285" w:rsidRPr="00843285" w:rsidRDefault="00843285" w:rsidP="00843285">
      <w:pPr>
        <w:spacing w:line="240" w:lineRule="auto"/>
        <w:rPr>
          <w:rFonts w:eastAsia="Times New Roman" w:cs="Arial"/>
          <w:color w:val="000000"/>
          <w:u w:val="single"/>
          <w:lang w:eastAsia="bg-BG"/>
        </w:rPr>
      </w:pPr>
    </w:p>
    <w:p w14:paraId="6D654063" w14:textId="441798D6" w:rsidR="00843285" w:rsidRPr="00843285" w:rsidRDefault="00843285" w:rsidP="00843285">
      <w:pPr>
        <w:pStyle w:val="Heading3"/>
        <w:rPr>
          <w:rFonts w:eastAsia="Times New Roman"/>
          <w:sz w:val="28"/>
          <w:szCs w:val="28"/>
          <w:u w:val="single"/>
          <w:lang w:eastAsia="bg-BG"/>
        </w:rPr>
      </w:pPr>
      <w:r w:rsidRPr="00843285">
        <w:rPr>
          <w:rFonts w:eastAsia="Times New Roman"/>
          <w:u w:val="single"/>
          <w:lang w:eastAsia="bg-BG"/>
        </w:rPr>
        <w:t>Други специални популации</w:t>
      </w:r>
    </w:p>
    <w:p w14:paraId="60641A10" w14:textId="6F87D7A0" w:rsidR="00843285" w:rsidRPr="00843285" w:rsidRDefault="00843285" w:rsidP="00843285">
      <w:pPr>
        <w:spacing w:line="240" w:lineRule="auto"/>
        <w:rPr>
          <w:rFonts w:eastAsia="Times New Roman" w:cs="Arial"/>
          <w:sz w:val="28"/>
          <w:szCs w:val="28"/>
          <w:lang w:eastAsia="bg-BG"/>
        </w:rPr>
      </w:pPr>
      <w:r w:rsidRPr="00843285">
        <w:rPr>
          <w:rFonts w:eastAsia="Times New Roman" w:cs="Arial"/>
          <w:color w:val="000000"/>
          <w:u w:val="single"/>
          <w:lang w:eastAsia="bg-BG"/>
        </w:rPr>
        <w:t>Напреднала възраст</w:t>
      </w:r>
    </w:p>
    <w:p w14:paraId="7B48BAA4" w14:textId="77777777" w:rsidR="00843285" w:rsidRPr="00843285" w:rsidRDefault="00843285" w:rsidP="00843285">
      <w:pPr>
        <w:spacing w:line="240" w:lineRule="auto"/>
        <w:rPr>
          <w:rFonts w:eastAsia="Times New Roman" w:cs="Arial"/>
          <w:sz w:val="28"/>
          <w:szCs w:val="28"/>
          <w:lang w:eastAsia="bg-BG"/>
        </w:rPr>
      </w:pPr>
      <w:r w:rsidRPr="00843285">
        <w:rPr>
          <w:rFonts w:eastAsia="Times New Roman" w:cs="Arial"/>
          <w:color w:val="000000"/>
          <w:lang w:eastAsia="bg-BG"/>
        </w:rPr>
        <w:t xml:space="preserve">Не се налага адаптиране на дозата в зависимост от възрастта. Проучванията при хора в напреднала възраст показват, че наличието на солифенацин, изразено чрез </w:t>
      </w:r>
      <w:r w:rsidRPr="00843285">
        <w:rPr>
          <w:rFonts w:eastAsia="Times New Roman" w:cs="Arial"/>
          <w:color w:val="000000"/>
          <w:lang w:val="en-US"/>
        </w:rPr>
        <w:t xml:space="preserve">AUC, </w:t>
      </w:r>
      <w:r w:rsidRPr="00843285">
        <w:rPr>
          <w:rFonts w:eastAsia="Times New Roman" w:cs="Arial"/>
          <w:color w:val="000000"/>
          <w:lang w:eastAsia="bg-BG"/>
        </w:rPr>
        <w:t xml:space="preserve">след приложение на солифенацинов сукцинат (5 </w:t>
      </w:r>
      <w:r w:rsidRPr="00843285">
        <w:rPr>
          <w:rFonts w:eastAsia="Times New Roman" w:cs="Arial"/>
          <w:color w:val="000000"/>
          <w:lang w:val="en-US"/>
        </w:rPr>
        <w:t xml:space="preserve">mg </w:t>
      </w:r>
      <w:r w:rsidRPr="00843285">
        <w:rPr>
          <w:rFonts w:eastAsia="Times New Roman" w:cs="Arial"/>
          <w:color w:val="000000"/>
          <w:lang w:eastAsia="bg-BG"/>
        </w:rPr>
        <w:t xml:space="preserve">и 10 </w:t>
      </w:r>
      <w:r w:rsidRPr="00843285">
        <w:rPr>
          <w:rFonts w:eastAsia="Times New Roman" w:cs="Arial"/>
          <w:color w:val="000000"/>
          <w:lang w:val="en-US"/>
        </w:rPr>
        <w:t xml:space="preserve">mg </w:t>
      </w:r>
      <w:r w:rsidRPr="00843285">
        <w:rPr>
          <w:rFonts w:eastAsia="Times New Roman" w:cs="Arial"/>
          <w:color w:val="000000"/>
          <w:lang w:eastAsia="bg-BG"/>
        </w:rPr>
        <w:t xml:space="preserve">веднъж дневно) е подобно при здрави хора в напреднала възраст (65 до 80 години) и здрави по-млади хора под 55 години. Средната скорост на абсорбция, изразена като </w:t>
      </w:r>
      <w:proofErr w:type="spellStart"/>
      <w:r w:rsidRPr="00843285">
        <w:rPr>
          <w:rFonts w:eastAsia="Times New Roman" w:cs="Arial"/>
          <w:color w:val="000000"/>
          <w:lang w:val="en-US"/>
        </w:rPr>
        <w:t>tmax,e</w:t>
      </w:r>
      <w:proofErr w:type="spellEnd"/>
      <w:r w:rsidRPr="00843285">
        <w:rPr>
          <w:rFonts w:eastAsia="Times New Roman" w:cs="Arial"/>
          <w:color w:val="000000"/>
          <w:lang w:val="en-US"/>
        </w:rPr>
        <w:t xml:space="preserve"> </w:t>
      </w:r>
      <w:r w:rsidRPr="00843285">
        <w:rPr>
          <w:rFonts w:eastAsia="Times New Roman" w:cs="Arial"/>
          <w:color w:val="000000"/>
          <w:lang w:eastAsia="bg-BG"/>
        </w:rPr>
        <w:t>малко по-малка при хора в напреднала възраст, а времето на полуживот е приблизително 20% по-дълго при хора в напреднала възраст. Тези минимални разлики не се считат за клинично значими.</w:t>
      </w:r>
    </w:p>
    <w:p w14:paraId="302D15D2" w14:textId="77777777" w:rsidR="00843285" w:rsidRPr="00843285" w:rsidRDefault="00843285" w:rsidP="00843285">
      <w:pPr>
        <w:spacing w:line="240" w:lineRule="auto"/>
        <w:rPr>
          <w:rFonts w:eastAsia="Times New Roman" w:cs="Arial"/>
          <w:sz w:val="28"/>
          <w:szCs w:val="28"/>
          <w:lang w:eastAsia="bg-BG"/>
        </w:rPr>
      </w:pPr>
      <w:r w:rsidRPr="00843285">
        <w:rPr>
          <w:rFonts w:eastAsia="Times New Roman" w:cs="Arial"/>
          <w:color w:val="000000"/>
          <w:lang w:eastAsia="bg-BG"/>
        </w:rPr>
        <w:t>Фармакокинетиката на солифенацин при деца и юноши не е установена.</w:t>
      </w:r>
    </w:p>
    <w:p w14:paraId="4E85D4F9" w14:textId="77777777" w:rsidR="00843285" w:rsidRPr="00843285" w:rsidRDefault="00843285" w:rsidP="00843285">
      <w:pPr>
        <w:spacing w:line="240" w:lineRule="auto"/>
        <w:rPr>
          <w:rFonts w:eastAsia="Times New Roman" w:cs="Arial"/>
          <w:color w:val="000000"/>
          <w:u w:val="single"/>
          <w:lang w:eastAsia="bg-BG"/>
        </w:rPr>
      </w:pPr>
    </w:p>
    <w:p w14:paraId="4CAAF706" w14:textId="3740DDB2" w:rsidR="00843285" w:rsidRPr="00843285" w:rsidRDefault="00843285" w:rsidP="00843285">
      <w:pPr>
        <w:spacing w:line="240" w:lineRule="auto"/>
        <w:rPr>
          <w:rFonts w:eastAsia="Times New Roman" w:cs="Arial"/>
          <w:sz w:val="28"/>
          <w:szCs w:val="28"/>
          <w:lang w:eastAsia="bg-BG"/>
        </w:rPr>
      </w:pPr>
      <w:r w:rsidRPr="00843285">
        <w:rPr>
          <w:rFonts w:eastAsia="Times New Roman" w:cs="Arial"/>
          <w:color w:val="000000"/>
          <w:u w:val="single"/>
          <w:lang w:eastAsia="bg-BG"/>
        </w:rPr>
        <w:t>Пол</w:t>
      </w:r>
    </w:p>
    <w:p w14:paraId="55D383EF" w14:textId="77777777" w:rsidR="00843285" w:rsidRPr="00843285" w:rsidRDefault="00843285" w:rsidP="00843285">
      <w:pPr>
        <w:spacing w:line="240" w:lineRule="auto"/>
        <w:rPr>
          <w:rFonts w:eastAsia="Times New Roman" w:cs="Arial"/>
          <w:sz w:val="28"/>
          <w:szCs w:val="28"/>
          <w:lang w:eastAsia="bg-BG"/>
        </w:rPr>
      </w:pPr>
      <w:r w:rsidRPr="00843285">
        <w:rPr>
          <w:rFonts w:eastAsia="Times New Roman" w:cs="Arial"/>
          <w:color w:val="000000"/>
          <w:lang w:eastAsia="bg-BG"/>
        </w:rPr>
        <w:t>Фармакокинетиката на солифенацин не се влияе от пола.</w:t>
      </w:r>
    </w:p>
    <w:p w14:paraId="0F69E82E" w14:textId="77777777" w:rsidR="00843285" w:rsidRPr="00843285" w:rsidRDefault="00843285" w:rsidP="00843285">
      <w:pPr>
        <w:spacing w:line="240" w:lineRule="auto"/>
        <w:rPr>
          <w:rFonts w:eastAsia="Times New Roman" w:cs="Arial"/>
          <w:color w:val="000000"/>
          <w:u w:val="single"/>
          <w:lang w:eastAsia="bg-BG"/>
        </w:rPr>
      </w:pPr>
    </w:p>
    <w:p w14:paraId="2E79511A" w14:textId="7F483017" w:rsidR="00843285" w:rsidRPr="00843285" w:rsidRDefault="00843285" w:rsidP="00843285">
      <w:pPr>
        <w:spacing w:line="240" w:lineRule="auto"/>
        <w:rPr>
          <w:rFonts w:eastAsia="Times New Roman" w:cs="Arial"/>
          <w:sz w:val="28"/>
          <w:szCs w:val="28"/>
          <w:lang w:eastAsia="bg-BG"/>
        </w:rPr>
      </w:pPr>
      <w:r w:rsidRPr="00843285">
        <w:rPr>
          <w:rFonts w:eastAsia="Times New Roman" w:cs="Arial"/>
          <w:color w:val="000000"/>
          <w:u w:val="single"/>
          <w:lang w:eastAsia="bg-BG"/>
        </w:rPr>
        <w:t>Раса</w:t>
      </w:r>
    </w:p>
    <w:p w14:paraId="7F290DC9" w14:textId="77777777" w:rsidR="00843285" w:rsidRPr="00843285" w:rsidRDefault="00843285" w:rsidP="00843285">
      <w:pPr>
        <w:spacing w:line="240" w:lineRule="auto"/>
        <w:rPr>
          <w:rFonts w:eastAsia="Times New Roman" w:cs="Arial"/>
          <w:sz w:val="28"/>
          <w:szCs w:val="28"/>
          <w:lang w:eastAsia="bg-BG"/>
        </w:rPr>
      </w:pPr>
      <w:r w:rsidRPr="00843285">
        <w:rPr>
          <w:rFonts w:eastAsia="Times New Roman" w:cs="Arial"/>
          <w:color w:val="000000"/>
          <w:lang w:eastAsia="bg-BG"/>
        </w:rPr>
        <w:t>Фармакокинетиката на солифенацин не се влияе от расата.</w:t>
      </w:r>
    </w:p>
    <w:p w14:paraId="3E92C7B1" w14:textId="77777777" w:rsidR="00843285" w:rsidRPr="00843285" w:rsidRDefault="00843285" w:rsidP="00843285">
      <w:pPr>
        <w:spacing w:line="240" w:lineRule="auto"/>
        <w:rPr>
          <w:rFonts w:eastAsia="Times New Roman" w:cs="Arial"/>
          <w:color w:val="000000"/>
          <w:u w:val="single"/>
          <w:lang w:eastAsia="bg-BG"/>
        </w:rPr>
      </w:pPr>
    </w:p>
    <w:p w14:paraId="6502D2D3" w14:textId="6CFCF012" w:rsidR="00843285" w:rsidRPr="00843285" w:rsidRDefault="00843285" w:rsidP="00843285">
      <w:pPr>
        <w:spacing w:line="240" w:lineRule="auto"/>
        <w:rPr>
          <w:rFonts w:eastAsia="Times New Roman" w:cs="Arial"/>
          <w:sz w:val="28"/>
          <w:szCs w:val="28"/>
          <w:lang w:eastAsia="bg-BG"/>
        </w:rPr>
      </w:pPr>
      <w:r w:rsidRPr="00843285">
        <w:rPr>
          <w:rFonts w:eastAsia="Times New Roman" w:cs="Arial"/>
          <w:color w:val="000000"/>
          <w:u w:val="single"/>
          <w:lang w:eastAsia="bg-BG"/>
        </w:rPr>
        <w:t>Бъбречна недостатъчност</w:t>
      </w:r>
    </w:p>
    <w:p w14:paraId="385EDDC4" w14:textId="77777777" w:rsidR="00843285" w:rsidRPr="00843285" w:rsidRDefault="00843285" w:rsidP="00843285">
      <w:pPr>
        <w:spacing w:line="240" w:lineRule="auto"/>
        <w:rPr>
          <w:rFonts w:eastAsia="Times New Roman" w:cs="Arial"/>
          <w:sz w:val="28"/>
          <w:szCs w:val="28"/>
          <w:lang w:eastAsia="bg-BG"/>
        </w:rPr>
      </w:pPr>
      <w:r w:rsidRPr="00843285">
        <w:rPr>
          <w:rFonts w:eastAsia="Times New Roman" w:cs="Arial"/>
          <w:color w:val="000000"/>
          <w:lang w:val="en-US"/>
        </w:rPr>
        <w:t xml:space="preserve">AUC </w:t>
      </w:r>
      <w:r w:rsidRPr="00843285">
        <w:rPr>
          <w:rFonts w:eastAsia="Times New Roman" w:cs="Arial"/>
          <w:color w:val="000000"/>
          <w:lang w:eastAsia="bg-BG"/>
        </w:rPr>
        <w:t>и С</w:t>
      </w:r>
      <w:r w:rsidRPr="00843285">
        <w:rPr>
          <w:rFonts w:eastAsia="Times New Roman" w:cs="Arial"/>
          <w:color w:val="000000"/>
          <w:vertAlign w:val="subscript"/>
          <w:lang w:val="en-US"/>
        </w:rPr>
        <w:t>max</w:t>
      </w:r>
      <w:r w:rsidRPr="00843285">
        <w:rPr>
          <w:rFonts w:eastAsia="Times New Roman" w:cs="Arial"/>
          <w:color w:val="000000"/>
          <w:lang w:eastAsia="bg-BG"/>
        </w:rPr>
        <w:t xml:space="preserve"> на солифенацин при пациенти с лека и умерена бъбречна недостатъчност не се различават значително от тези при здравите доброволци. При пациенти с тежка бъбречна недостатъчност (креатининов клирънс &lt;30 </w:t>
      </w:r>
      <w:r w:rsidRPr="00843285">
        <w:rPr>
          <w:rFonts w:eastAsia="Times New Roman" w:cs="Arial"/>
          <w:color w:val="000000"/>
          <w:lang w:val="en-US"/>
        </w:rPr>
        <w:t xml:space="preserve">ml/min), </w:t>
      </w:r>
      <w:r w:rsidRPr="00843285">
        <w:rPr>
          <w:rFonts w:eastAsia="Times New Roman" w:cs="Arial"/>
          <w:color w:val="000000"/>
          <w:lang w:eastAsia="bg-BG"/>
        </w:rPr>
        <w:t>експозицията на солифенацин е значително по-голяма отколкото при контролите, като С</w:t>
      </w:r>
      <w:r w:rsidRPr="00843285">
        <w:rPr>
          <w:rFonts w:eastAsia="Times New Roman" w:cs="Arial"/>
          <w:color w:val="000000"/>
          <w:lang w:val="en-US"/>
        </w:rPr>
        <w:t>max</w:t>
      </w:r>
      <w:r w:rsidRPr="00843285">
        <w:rPr>
          <w:rFonts w:eastAsia="Times New Roman" w:cs="Arial"/>
          <w:color w:val="000000"/>
          <w:lang w:eastAsia="bg-BG"/>
        </w:rPr>
        <w:t xml:space="preserve"> на </w:t>
      </w:r>
      <w:r w:rsidRPr="00843285">
        <w:rPr>
          <w:rFonts w:eastAsia="Times New Roman" w:cs="Arial"/>
          <w:color w:val="000000"/>
          <w:lang w:eastAsia="bg-BG"/>
        </w:rPr>
        <w:lastRenderedPageBreak/>
        <w:t xml:space="preserve">солифенацин се увеличава с около 30% спрямо контролите, </w:t>
      </w:r>
      <w:r w:rsidRPr="00843285">
        <w:rPr>
          <w:rFonts w:eastAsia="Times New Roman" w:cs="Arial"/>
          <w:color w:val="000000"/>
          <w:lang w:val="en-US"/>
        </w:rPr>
        <w:t xml:space="preserve">AUC </w:t>
      </w:r>
      <w:r w:rsidRPr="00843285">
        <w:rPr>
          <w:rFonts w:eastAsia="Times New Roman" w:cs="Arial"/>
          <w:color w:val="000000"/>
          <w:lang w:eastAsia="bg-BG"/>
        </w:rPr>
        <w:t xml:space="preserve">с повече от 100% и </w:t>
      </w:r>
      <w:r w:rsidRPr="00843285">
        <w:rPr>
          <w:rFonts w:eastAsia="Times New Roman" w:cs="Arial"/>
          <w:color w:val="000000"/>
          <w:lang w:val="en-US"/>
        </w:rPr>
        <w:t>t</w:t>
      </w:r>
      <w:r w:rsidRPr="00843285">
        <w:rPr>
          <w:rFonts w:eastAsia="Times New Roman" w:cs="Arial"/>
          <w:color w:val="000000"/>
          <w:vertAlign w:val="subscript"/>
          <w:lang w:val="en-US"/>
        </w:rPr>
        <w:t>1/2</w:t>
      </w:r>
      <w:r w:rsidRPr="00843285">
        <w:rPr>
          <w:rFonts w:eastAsia="Times New Roman" w:cs="Arial"/>
          <w:color w:val="000000"/>
          <w:lang w:val="en-US"/>
        </w:rPr>
        <w:t xml:space="preserve"> </w:t>
      </w:r>
      <w:r w:rsidRPr="00843285">
        <w:rPr>
          <w:rFonts w:eastAsia="Times New Roman" w:cs="Arial"/>
          <w:color w:val="000000"/>
          <w:lang w:eastAsia="bg-BG"/>
        </w:rPr>
        <w:t>- с повече от 60%. Наблюдавана е статистически значима връзка между креатининовия клирънс и клирънса на солифенацин. Фармакокинетиката при пациенти, подложени на хемодиализа не е изследвана.</w:t>
      </w:r>
    </w:p>
    <w:p w14:paraId="490B4744" w14:textId="77777777" w:rsidR="00843285" w:rsidRPr="00843285" w:rsidRDefault="00843285" w:rsidP="00843285">
      <w:pPr>
        <w:spacing w:line="240" w:lineRule="auto"/>
        <w:rPr>
          <w:rFonts w:eastAsia="Times New Roman" w:cs="Arial"/>
          <w:color w:val="000000"/>
          <w:u w:val="single"/>
          <w:lang w:eastAsia="bg-BG"/>
        </w:rPr>
      </w:pPr>
    </w:p>
    <w:p w14:paraId="2A6E7E5F" w14:textId="2003B389" w:rsidR="00843285" w:rsidRPr="00843285" w:rsidRDefault="00843285" w:rsidP="00843285">
      <w:pPr>
        <w:spacing w:line="240" w:lineRule="auto"/>
        <w:rPr>
          <w:rFonts w:eastAsia="Times New Roman" w:cs="Arial"/>
          <w:sz w:val="28"/>
          <w:szCs w:val="28"/>
          <w:lang w:eastAsia="bg-BG"/>
        </w:rPr>
      </w:pPr>
      <w:r w:rsidRPr="00843285">
        <w:rPr>
          <w:rFonts w:eastAsia="Times New Roman" w:cs="Arial"/>
          <w:color w:val="000000"/>
          <w:u w:val="single"/>
          <w:lang w:eastAsia="bg-BG"/>
        </w:rPr>
        <w:t>Чернодробна недостатъчност</w:t>
      </w:r>
    </w:p>
    <w:p w14:paraId="1CB70769" w14:textId="21F75BA4" w:rsidR="00843285" w:rsidRDefault="00843285" w:rsidP="00843285">
      <w:pPr>
        <w:rPr>
          <w:rFonts w:eastAsia="Times New Roman" w:cs="Arial"/>
          <w:color w:val="000000"/>
          <w:lang w:eastAsia="bg-BG"/>
        </w:rPr>
      </w:pPr>
      <w:r w:rsidRPr="00843285">
        <w:rPr>
          <w:rFonts w:eastAsia="Times New Roman" w:cs="Arial"/>
          <w:color w:val="000000"/>
          <w:lang w:eastAsia="bg-BG"/>
        </w:rPr>
        <w:t xml:space="preserve">При пациенти с умерена чернодробна недостатъчност (скор по </w:t>
      </w:r>
      <w:r w:rsidRPr="00843285">
        <w:rPr>
          <w:rFonts w:eastAsia="Times New Roman" w:cs="Arial"/>
          <w:color w:val="000000"/>
          <w:lang w:val="en-US"/>
        </w:rPr>
        <w:t xml:space="preserve">Child-Pugh </w:t>
      </w:r>
      <w:r w:rsidRPr="00843285">
        <w:rPr>
          <w:rFonts w:eastAsia="Times New Roman" w:cs="Arial"/>
          <w:color w:val="000000"/>
          <w:lang w:eastAsia="bg-BG"/>
        </w:rPr>
        <w:t>от 7 до 9) С</w:t>
      </w:r>
      <w:r w:rsidRPr="00843285">
        <w:rPr>
          <w:rFonts w:eastAsia="Times New Roman" w:cs="Arial"/>
          <w:color w:val="000000"/>
          <w:vertAlign w:val="subscript"/>
          <w:lang w:val="en-US"/>
        </w:rPr>
        <w:t>max</w:t>
      </w:r>
      <w:r w:rsidRPr="00843285">
        <w:rPr>
          <w:rFonts w:eastAsia="Times New Roman" w:cs="Arial"/>
          <w:color w:val="000000"/>
          <w:lang w:val="en-US"/>
        </w:rPr>
        <w:t xml:space="preserve"> </w:t>
      </w:r>
      <w:r w:rsidRPr="00843285">
        <w:rPr>
          <w:rFonts w:eastAsia="Times New Roman" w:cs="Arial"/>
          <w:color w:val="000000"/>
          <w:lang w:eastAsia="bg-BG"/>
        </w:rPr>
        <w:t xml:space="preserve">не се променя, </w:t>
      </w:r>
      <w:r w:rsidRPr="00843285">
        <w:rPr>
          <w:rFonts w:eastAsia="Times New Roman" w:cs="Arial"/>
          <w:color w:val="000000"/>
          <w:lang w:val="en-US"/>
        </w:rPr>
        <w:t xml:space="preserve">AUC </w:t>
      </w:r>
      <w:r w:rsidRPr="00843285">
        <w:rPr>
          <w:rFonts w:eastAsia="Times New Roman" w:cs="Arial"/>
          <w:color w:val="000000"/>
          <w:lang w:eastAsia="bg-BG"/>
        </w:rPr>
        <w:t xml:space="preserve">се увеличава с 60% и </w:t>
      </w:r>
      <w:r w:rsidRPr="00843285">
        <w:rPr>
          <w:rFonts w:eastAsia="Times New Roman" w:cs="Arial"/>
          <w:color w:val="000000"/>
          <w:lang w:val="en-US"/>
        </w:rPr>
        <w:t>t</w:t>
      </w:r>
      <w:r w:rsidRPr="00843285">
        <w:rPr>
          <w:rFonts w:eastAsia="Times New Roman" w:cs="Arial"/>
          <w:color w:val="000000"/>
          <w:vertAlign w:val="subscript"/>
          <w:lang w:val="en-US"/>
        </w:rPr>
        <w:t>1/1</w:t>
      </w:r>
      <w:r w:rsidRPr="00843285">
        <w:rPr>
          <w:rFonts w:eastAsia="Times New Roman" w:cs="Arial"/>
          <w:color w:val="000000"/>
          <w:lang w:val="en-US"/>
        </w:rPr>
        <w:t xml:space="preserve"> </w:t>
      </w:r>
      <w:r w:rsidRPr="00843285">
        <w:rPr>
          <w:rFonts w:eastAsia="Times New Roman" w:cs="Arial"/>
          <w:i/>
          <w:iCs/>
          <w:color w:val="000000"/>
          <w:lang w:eastAsia="bg-BG"/>
        </w:rPr>
        <w:t>се</w:t>
      </w:r>
      <w:r w:rsidRPr="00843285">
        <w:rPr>
          <w:rFonts w:eastAsia="Times New Roman" w:cs="Arial"/>
          <w:color w:val="000000"/>
          <w:lang w:eastAsia="bg-BG"/>
        </w:rPr>
        <w:t xml:space="preserve"> удвоява. Фармакокинетиката на солифенацин при пациенти с тежка чернодробна недостатъчност не е проучена.</w:t>
      </w:r>
    </w:p>
    <w:p w14:paraId="29835C20" w14:textId="77777777" w:rsidR="00843285" w:rsidRPr="00843285" w:rsidRDefault="00843285" w:rsidP="00843285">
      <w:pPr>
        <w:rPr>
          <w:rFonts w:cs="Arial"/>
          <w:sz w:val="24"/>
          <w:szCs w:val="24"/>
        </w:rPr>
      </w:pPr>
    </w:p>
    <w:p w14:paraId="0CC65FE3" w14:textId="2F71FE49" w:rsidR="00EE6C97" w:rsidRDefault="002C50EE" w:rsidP="00A93499">
      <w:pPr>
        <w:pStyle w:val="Heading2"/>
      </w:pPr>
      <w:r>
        <w:t>5.3. Предклинични данни за безопасност</w:t>
      </w:r>
    </w:p>
    <w:p w14:paraId="4334F503" w14:textId="61A83A4C" w:rsidR="00843285" w:rsidRDefault="00843285" w:rsidP="00843285"/>
    <w:p w14:paraId="51EE9A7A" w14:textId="77777777" w:rsidR="00843285" w:rsidRPr="00843285" w:rsidRDefault="00843285" w:rsidP="00843285">
      <w:pPr>
        <w:rPr>
          <w:sz w:val="24"/>
          <w:szCs w:val="24"/>
          <w:lang w:eastAsia="bg-BG"/>
        </w:rPr>
      </w:pPr>
      <w:r w:rsidRPr="00843285">
        <w:rPr>
          <w:lang w:eastAsia="bg-BG"/>
        </w:rPr>
        <w:t>Неклиничните данни не показват особен риск за хора на базата на конвенц</w:t>
      </w:r>
      <w:r w:rsidRPr="00843285">
        <w:rPr>
          <w:u w:val="single"/>
          <w:lang w:eastAsia="bg-BG"/>
        </w:rPr>
        <w:t xml:space="preserve">ионални </w:t>
      </w:r>
      <w:r w:rsidRPr="00843285">
        <w:rPr>
          <w:lang w:eastAsia="bg-BG"/>
        </w:rPr>
        <w:t>фармакологични проучвания за безопасност, токсичност при многократно</w:t>
      </w:r>
      <w:r w:rsidRPr="00843285">
        <w:rPr>
          <w:lang w:val="en-US"/>
        </w:rPr>
        <w:t xml:space="preserve"> </w:t>
      </w:r>
      <w:r w:rsidRPr="00843285">
        <w:rPr>
          <w:lang w:eastAsia="bg-BG"/>
        </w:rPr>
        <w:t>прилагане, фертилитет, ембриофетално развитие, генотоксичност и карциногенен потенциал. В проучването</w:t>
      </w:r>
    </w:p>
    <w:p w14:paraId="49A923BF" w14:textId="77777777" w:rsidR="00843285" w:rsidRPr="00843285" w:rsidRDefault="00843285" w:rsidP="00843285">
      <w:pPr>
        <w:rPr>
          <w:sz w:val="24"/>
          <w:szCs w:val="24"/>
          <w:lang w:eastAsia="bg-BG"/>
        </w:rPr>
      </w:pPr>
      <w:r w:rsidRPr="00843285">
        <w:rPr>
          <w:lang w:eastAsia="bg-BG"/>
        </w:rPr>
        <w:t>на пре- и постнаталното развитие на мишки, лечението на майките със солифенацин в периода на кърмене предизвиква дозозависима по-малка преживяемост след раждане, намалено тегло на</w:t>
      </w:r>
    </w:p>
    <w:p w14:paraId="78CD1FAA" w14:textId="77777777" w:rsidR="00843285" w:rsidRPr="00843285" w:rsidRDefault="00843285" w:rsidP="00843285">
      <w:pPr>
        <w:rPr>
          <w:sz w:val="24"/>
          <w:szCs w:val="24"/>
          <w:lang w:eastAsia="bg-BG"/>
        </w:rPr>
      </w:pPr>
      <w:r w:rsidRPr="00843285">
        <w:rPr>
          <w:lang w:eastAsia="bg-BG"/>
        </w:rPr>
        <w:t>малките и клинично значимо забавено развитие.</w:t>
      </w:r>
    </w:p>
    <w:p w14:paraId="7044AF52" w14:textId="56855E24" w:rsidR="00843285" w:rsidRPr="00843285" w:rsidRDefault="00843285" w:rsidP="00843285">
      <w:pPr>
        <w:rPr>
          <w:sz w:val="24"/>
          <w:szCs w:val="24"/>
          <w:lang w:eastAsia="bg-BG"/>
        </w:rPr>
      </w:pPr>
      <w:r w:rsidRPr="00843285">
        <w:rPr>
          <w:lang w:eastAsia="bg-BG"/>
        </w:rPr>
        <w:t>Дозозависимо повишение на смъртността без предшестващи клинични симптоми е било наблюдавано при млади мишки, лекувани от 10-ия или 21-вия ден след раждането във фармакологично ефективни дози. И в двете групи е имало по-висока смъртност, в сравнение с</w:t>
      </w:r>
      <w:r>
        <w:rPr>
          <w:lang w:eastAsia="bg-BG"/>
        </w:rPr>
        <w:t xml:space="preserve"> </w:t>
      </w:r>
      <w:r w:rsidRPr="00843285">
        <w:rPr>
          <w:lang w:eastAsia="bg-BG"/>
        </w:rPr>
        <w:t>възрастни мишки. При млади мишки, лекувани от 10-ия постнатален ден, плазмената експозиция е била по-висока, отколкото при възрастни мишки след 21-вия постнатален ден, системната експозиция е била сравнима с тази на възрастни мишки. Клиничните последици от повишената смъртност при млади мишки не са известни.</w:t>
      </w:r>
    </w:p>
    <w:p w14:paraId="0DD15705" w14:textId="77777777" w:rsidR="00843285" w:rsidRPr="00843285" w:rsidRDefault="00843285" w:rsidP="00843285"/>
    <w:p w14:paraId="357049A8" w14:textId="39562D54" w:rsidR="00BB22B4" w:rsidRDefault="002C50EE" w:rsidP="00471F10">
      <w:pPr>
        <w:pStyle w:val="Heading1"/>
      </w:pPr>
      <w:r>
        <w:t>7. ПРИТЕЖАТЕЛ НА РАЗРЕШЕНИЕТО ЗА УПОТРЕБА</w:t>
      </w:r>
    </w:p>
    <w:p w14:paraId="3A15BEA4" w14:textId="6F3F6C39" w:rsidR="00843285" w:rsidRDefault="00843285" w:rsidP="00843285"/>
    <w:p w14:paraId="72A90107" w14:textId="77777777" w:rsidR="00843285" w:rsidRPr="00843285" w:rsidRDefault="00843285" w:rsidP="00843285">
      <w:pPr>
        <w:rPr>
          <w:sz w:val="24"/>
          <w:szCs w:val="24"/>
          <w:lang w:eastAsia="bg-BG"/>
        </w:rPr>
      </w:pPr>
      <w:r w:rsidRPr="00843285">
        <w:rPr>
          <w:lang w:eastAsia="bg-BG"/>
        </w:rPr>
        <w:t>ФАРМАКОНС АД</w:t>
      </w:r>
    </w:p>
    <w:p w14:paraId="58995F54" w14:textId="77777777" w:rsidR="00843285" w:rsidRPr="00843285" w:rsidRDefault="00843285" w:rsidP="00843285">
      <w:pPr>
        <w:rPr>
          <w:sz w:val="24"/>
          <w:szCs w:val="24"/>
          <w:lang w:eastAsia="bg-BG"/>
        </w:rPr>
      </w:pPr>
      <w:r w:rsidRPr="00843285">
        <w:rPr>
          <w:lang w:eastAsia="bg-BG"/>
        </w:rPr>
        <w:t>бул.”Пейо К. Яворов” №44, ет.1,</w:t>
      </w:r>
    </w:p>
    <w:p w14:paraId="0EEB080A" w14:textId="77777777" w:rsidR="00843285" w:rsidRPr="00843285" w:rsidRDefault="00843285" w:rsidP="00843285">
      <w:pPr>
        <w:rPr>
          <w:sz w:val="24"/>
          <w:szCs w:val="24"/>
          <w:lang w:eastAsia="bg-BG"/>
        </w:rPr>
      </w:pPr>
      <w:r w:rsidRPr="00843285">
        <w:rPr>
          <w:lang w:eastAsia="bg-BG"/>
        </w:rPr>
        <w:t>София 1164</w:t>
      </w:r>
    </w:p>
    <w:p w14:paraId="6F27ADF5" w14:textId="34B0381F" w:rsidR="00843285" w:rsidRPr="00843285" w:rsidRDefault="00843285" w:rsidP="00843285">
      <w:pPr>
        <w:rPr>
          <w:sz w:val="24"/>
          <w:szCs w:val="24"/>
          <w:lang w:eastAsia="bg-BG"/>
        </w:rPr>
      </w:pPr>
      <w:r w:rsidRPr="00843285">
        <w:rPr>
          <w:lang w:eastAsia="bg-BG"/>
        </w:rPr>
        <w:t>България</w:t>
      </w:r>
    </w:p>
    <w:p w14:paraId="41A87B4F" w14:textId="778F4F0D" w:rsidR="00843285" w:rsidRPr="00843285" w:rsidRDefault="00936AD0" w:rsidP="00843285">
      <w:pPr>
        <w:pStyle w:val="Heading1"/>
      </w:pPr>
      <w:r>
        <w:t>8.</w:t>
      </w:r>
      <w:r w:rsidR="002C50EE">
        <w:t>НОМЕР НА РАЗРЕШЕНИЕТО ЗА УПОТРЕБА</w:t>
      </w:r>
    </w:p>
    <w:p w14:paraId="3715C10B" w14:textId="39909055" w:rsidR="00BB22B4" w:rsidRDefault="002C50EE" w:rsidP="00471F10">
      <w:pPr>
        <w:pStyle w:val="Heading1"/>
      </w:pPr>
      <w:r>
        <w:t>9. ДАТА НА ПЪРВО РАЗРЕШАВАНЕ/ПОДНОВЯВАНЕ НА РАЗРЕШЕНИЕТО ЗА УПОТРЕБА</w:t>
      </w:r>
    </w:p>
    <w:p w14:paraId="43FB38A2" w14:textId="0C18A683" w:rsidR="007C605B" w:rsidRDefault="002C50EE" w:rsidP="005726E3">
      <w:pPr>
        <w:pStyle w:val="Heading1"/>
      </w:pPr>
      <w:r>
        <w:t>10. ДАТА НА АКТУАЛИЗИРАНЕ НА ТЕКСТА</w:t>
      </w:r>
      <w:bookmarkEnd w:id="0"/>
    </w:p>
    <w:p w14:paraId="472617BD" w14:textId="3BA44A42" w:rsidR="00BB22B4" w:rsidRPr="00BB22B4" w:rsidRDefault="00BB22B4" w:rsidP="00EE6C97"/>
    <w:sectPr w:rsidR="00BB22B4" w:rsidRPr="00BB2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1B31BF"/>
    <w:multiLevelType w:val="hybridMultilevel"/>
    <w:tmpl w:val="63BA2E68"/>
    <w:lvl w:ilvl="0" w:tplc="7B749F22">
      <w:start w:val="4"/>
      <w:numFmt w:val="bullet"/>
      <w:lvlText w:val="-"/>
      <w:lvlJc w:val="left"/>
      <w:pPr>
        <w:ind w:left="720" w:hanging="360"/>
      </w:pPr>
      <w:rPr>
        <w:rFonts w:ascii="Times New Roman" w:eastAsia="Times New Roman" w:hAnsi="Times New Roman" w:cs="Times New Roman" w:hint="default"/>
        <w:color w:val="000000"/>
        <w:sz w:val="2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9304D31"/>
    <w:multiLevelType w:val="hybridMultilevel"/>
    <w:tmpl w:val="558E93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6D37A7"/>
    <w:multiLevelType w:val="hybridMultilevel"/>
    <w:tmpl w:val="46CC86F0"/>
    <w:lvl w:ilvl="0" w:tplc="D1263D34">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5"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E06251"/>
    <w:multiLevelType w:val="hybridMultilevel"/>
    <w:tmpl w:val="1090AE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1574118384">
    <w:abstractNumId w:val="31"/>
  </w:num>
  <w:num w:numId="2" w16cid:durableId="1612932146">
    <w:abstractNumId w:val="0"/>
  </w:num>
  <w:num w:numId="3" w16cid:durableId="1810323821">
    <w:abstractNumId w:val="16"/>
  </w:num>
  <w:num w:numId="4" w16cid:durableId="2135319613">
    <w:abstractNumId w:val="3"/>
  </w:num>
  <w:num w:numId="5" w16cid:durableId="740105516">
    <w:abstractNumId w:val="1"/>
  </w:num>
  <w:num w:numId="6" w16cid:durableId="1668363208">
    <w:abstractNumId w:val="20"/>
  </w:num>
  <w:num w:numId="7" w16cid:durableId="1241988161">
    <w:abstractNumId w:val="13"/>
  </w:num>
  <w:num w:numId="8" w16cid:durableId="2102022361">
    <w:abstractNumId w:val="19"/>
  </w:num>
  <w:num w:numId="9" w16cid:durableId="1154613663">
    <w:abstractNumId w:val="2"/>
  </w:num>
  <w:num w:numId="10" w16cid:durableId="1733848127">
    <w:abstractNumId w:val="4"/>
  </w:num>
  <w:num w:numId="11" w16cid:durableId="1861704680">
    <w:abstractNumId w:val="34"/>
  </w:num>
  <w:num w:numId="12" w16cid:durableId="1434934028">
    <w:abstractNumId w:val="17"/>
  </w:num>
  <w:num w:numId="13" w16cid:durableId="479157895">
    <w:abstractNumId w:val="23"/>
  </w:num>
  <w:num w:numId="14" w16cid:durableId="1670476636">
    <w:abstractNumId w:val="15"/>
  </w:num>
  <w:num w:numId="15" w16cid:durableId="1000155783">
    <w:abstractNumId w:val="33"/>
  </w:num>
  <w:num w:numId="16" w16cid:durableId="2056420707">
    <w:abstractNumId w:val="12"/>
  </w:num>
  <w:num w:numId="17" w16cid:durableId="1787119182">
    <w:abstractNumId w:val="28"/>
  </w:num>
  <w:num w:numId="18" w16cid:durableId="722945139">
    <w:abstractNumId w:val="8"/>
  </w:num>
  <w:num w:numId="19" w16cid:durableId="1678728408">
    <w:abstractNumId w:val="30"/>
  </w:num>
  <w:num w:numId="20" w16cid:durableId="1970816657">
    <w:abstractNumId w:val="27"/>
  </w:num>
  <w:num w:numId="21" w16cid:durableId="1531146514">
    <w:abstractNumId w:val="21"/>
  </w:num>
  <w:num w:numId="22" w16cid:durableId="1276465">
    <w:abstractNumId w:val="29"/>
  </w:num>
  <w:num w:numId="23" w16cid:durableId="1624310558">
    <w:abstractNumId w:val="22"/>
  </w:num>
  <w:num w:numId="24" w16cid:durableId="1692877547">
    <w:abstractNumId w:val="9"/>
  </w:num>
  <w:num w:numId="25" w16cid:durableId="50930855">
    <w:abstractNumId w:val="26"/>
  </w:num>
  <w:num w:numId="26" w16cid:durableId="176701536">
    <w:abstractNumId w:val="25"/>
  </w:num>
  <w:num w:numId="27" w16cid:durableId="2050564750">
    <w:abstractNumId w:val="35"/>
  </w:num>
  <w:num w:numId="28" w16cid:durableId="1820733422">
    <w:abstractNumId w:val="6"/>
  </w:num>
  <w:num w:numId="29" w16cid:durableId="973678124">
    <w:abstractNumId w:val="24"/>
  </w:num>
  <w:num w:numId="30" w16cid:durableId="154884452">
    <w:abstractNumId w:val="39"/>
  </w:num>
  <w:num w:numId="31" w16cid:durableId="1053964910">
    <w:abstractNumId w:val="5"/>
  </w:num>
  <w:num w:numId="32" w16cid:durableId="2073575793">
    <w:abstractNumId w:val="37"/>
  </w:num>
  <w:num w:numId="33" w16cid:durableId="1566643170">
    <w:abstractNumId w:val="32"/>
  </w:num>
  <w:num w:numId="34" w16cid:durableId="2060787732">
    <w:abstractNumId w:val="36"/>
  </w:num>
  <w:num w:numId="35" w16cid:durableId="34161354">
    <w:abstractNumId w:val="7"/>
  </w:num>
  <w:num w:numId="36" w16cid:durableId="1976908676">
    <w:abstractNumId w:val="10"/>
  </w:num>
  <w:num w:numId="37" w16cid:durableId="758528303">
    <w:abstractNumId w:val="18"/>
  </w:num>
  <w:num w:numId="38" w16cid:durableId="178396561">
    <w:abstractNumId w:val="38"/>
  </w:num>
  <w:num w:numId="39" w16cid:durableId="934825996">
    <w:abstractNumId w:val="14"/>
  </w:num>
  <w:num w:numId="40" w16cid:durableId="21362139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00"/>
    <w:rsid w:val="00185A46"/>
    <w:rsid w:val="001915B6"/>
    <w:rsid w:val="001A6EBD"/>
    <w:rsid w:val="001D1B23"/>
    <w:rsid w:val="002B3C38"/>
    <w:rsid w:val="002B4DBB"/>
    <w:rsid w:val="002C50EE"/>
    <w:rsid w:val="00340A0A"/>
    <w:rsid w:val="003765DC"/>
    <w:rsid w:val="00395555"/>
    <w:rsid w:val="003E3126"/>
    <w:rsid w:val="00426E5F"/>
    <w:rsid w:val="00471F10"/>
    <w:rsid w:val="004A448E"/>
    <w:rsid w:val="004D4D6B"/>
    <w:rsid w:val="004F1CE7"/>
    <w:rsid w:val="004F498A"/>
    <w:rsid w:val="00517A5B"/>
    <w:rsid w:val="005726E3"/>
    <w:rsid w:val="00593A00"/>
    <w:rsid w:val="005A66D9"/>
    <w:rsid w:val="005F0014"/>
    <w:rsid w:val="00605BCA"/>
    <w:rsid w:val="006158A1"/>
    <w:rsid w:val="00617B1F"/>
    <w:rsid w:val="00672487"/>
    <w:rsid w:val="00672600"/>
    <w:rsid w:val="00681D4A"/>
    <w:rsid w:val="00685882"/>
    <w:rsid w:val="007122AD"/>
    <w:rsid w:val="0075649D"/>
    <w:rsid w:val="007C605B"/>
    <w:rsid w:val="008134C8"/>
    <w:rsid w:val="00814073"/>
    <w:rsid w:val="00826F0D"/>
    <w:rsid w:val="00843285"/>
    <w:rsid w:val="00875EEC"/>
    <w:rsid w:val="00893B92"/>
    <w:rsid w:val="008A6AF2"/>
    <w:rsid w:val="008C70A2"/>
    <w:rsid w:val="00936AD0"/>
    <w:rsid w:val="00954129"/>
    <w:rsid w:val="009773E4"/>
    <w:rsid w:val="009B171C"/>
    <w:rsid w:val="009F1313"/>
    <w:rsid w:val="00A20351"/>
    <w:rsid w:val="00A65A81"/>
    <w:rsid w:val="00A71DCF"/>
    <w:rsid w:val="00A93499"/>
    <w:rsid w:val="00AA23EC"/>
    <w:rsid w:val="00AC63CE"/>
    <w:rsid w:val="00AE2107"/>
    <w:rsid w:val="00B275A8"/>
    <w:rsid w:val="00B6672E"/>
    <w:rsid w:val="00BA5B74"/>
    <w:rsid w:val="00BB22B4"/>
    <w:rsid w:val="00BF2600"/>
    <w:rsid w:val="00C0049F"/>
    <w:rsid w:val="00C07B84"/>
    <w:rsid w:val="00C33464"/>
    <w:rsid w:val="00C40420"/>
    <w:rsid w:val="00C809A7"/>
    <w:rsid w:val="00C83063"/>
    <w:rsid w:val="00C87E90"/>
    <w:rsid w:val="00CA1B57"/>
    <w:rsid w:val="00CF77F7"/>
    <w:rsid w:val="00D86297"/>
    <w:rsid w:val="00DB32D3"/>
    <w:rsid w:val="00DD466D"/>
    <w:rsid w:val="00EB6364"/>
    <w:rsid w:val="00EE6C97"/>
    <w:rsid w:val="00F37B64"/>
    <w:rsid w:val="00F53FB7"/>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3331</Words>
  <Characters>18991</Characters>
  <Application>Microsoft Office Word</Application>
  <DocSecurity>0</DocSecurity>
  <Lines>158</Lines>
  <Paragraphs>44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2023-01-19T18:51:00Z</dcterms:created>
  <dcterms:modified xsi:type="dcterms:W3CDTF">2023-01-19T18:51:00Z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