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7B7F9CBA" w:rsidR="0091385D" w:rsidRDefault="0091385D" w:rsidP="0091385D"/>
    <w:p w14:paraId="3801B87F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 xml:space="preserve">СОМАЗИНА 100 </w:t>
      </w:r>
      <w:r w:rsidRPr="00DA736C">
        <w:rPr>
          <w:rFonts w:eastAsia="Times New Roman" w:cs="Arial"/>
          <w:color w:val="000000"/>
          <w:lang w:val="en-US"/>
        </w:rPr>
        <w:t xml:space="preserve">mg/ml </w:t>
      </w:r>
      <w:r w:rsidRPr="00DA736C">
        <w:rPr>
          <w:rFonts w:eastAsia="Times New Roman" w:cs="Arial"/>
          <w:color w:val="000000"/>
          <w:lang w:eastAsia="bg-BG"/>
        </w:rPr>
        <w:t>перорален разтвор</w:t>
      </w:r>
    </w:p>
    <w:p w14:paraId="69AC8148" w14:textId="350FBD6C" w:rsidR="00EC41ED" w:rsidRPr="00DA736C" w:rsidRDefault="00DA736C" w:rsidP="00DA736C">
      <w:pPr>
        <w:rPr>
          <w:rFonts w:cs="Arial"/>
        </w:rPr>
      </w:pPr>
      <w:r w:rsidRPr="00DA736C">
        <w:rPr>
          <w:rFonts w:eastAsia="Times New Roman" w:cs="Arial"/>
          <w:color w:val="000000"/>
          <w:lang w:val="en-US"/>
        </w:rPr>
        <w:t>SOMAZIN</w:t>
      </w:r>
      <w:r w:rsidRPr="00DA736C">
        <w:rPr>
          <w:rFonts w:eastAsia="Times New Roman" w:cs="Arial"/>
          <w:color w:val="000000"/>
          <w:lang w:eastAsia="bg-BG"/>
        </w:rPr>
        <w:t xml:space="preserve">А 100 </w:t>
      </w:r>
      <w:r w:rsidRPr="00DA736C">
        <w:rPr>
          <w:rFonts w:eastAsia="Times New Roman" w:cs="Arial"/>
          <w:color w:val="000000"/>
          <w:lang w:val="en-US"/>
        </w:rPr>
        <w:t>mg/ml oral solution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478BAC70" w:rsidR="0091385D" w:rsidRDefault="0091385D" w:rsidP="0091385D"/>
    <w:p w14:paraId="7AEE9F0F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 xml:space="preserve">Всеки милилитър съдържа 100 </w:t>
      </w:r>
      <w:r w:rsidRPr="00DA736C">
        <w:rPr>
          <w:rFonts w:eastAsia="Times New Roman" w:cs="Arial"/>
          <w:color w:val="000000"/>
          <w:lang w:val="en-US"/>
        </w:rPr>
        <w:t xml:space="preserve">mg </w:t>
      </w:r>
      <w:r w:rsidRPr="00DA736C">
        <w:rPr>
          <w:rFonts w:eastAsia="Times New Roman" w:cs="Arial"/>
          <w:color w:val="000000"/>
          <w:lang w:eastAsia="bg-BG"/>
        </w:rPr>
        <w:t xml:space="preserve">ситиколин </w:t>
      </w:r>
      <w:r w:rsidRPr="00DA736C">
        <w:rPr>
          <w:rFonts w:eastAsia="Times New Roman" w:cs="Arial"/>
          <w:i/>
          <w:iCs/>
          <w:color w:val="000000"/>
          <w:lang w:val="en-US"/>
        </w:rPr>
        <w:t>(</w:t>
      </w:r>
      <w:proofErr w:type="spellStart"/>
      <w:r w:rsidRPr="00DA736C">
        <w:rPr>
          <w:rFonts w:eastAsia="Times New Roman" w:cs="Arial"/>
          <w:i/>
          <w:iCs/>
          <w:color w:val="000000"/>
          <w:lang w:val="en-US"/>
        </w:rPr>
        <w:t>citicoline</w:t>
      </w:r>
      <w:proofErr w:type="spellEnd"/>
      <w:r w:rsidRPr="00DA736C">
        <w:rPr>
          <w:rFonts w:eastAsia="Times New Roman" w:cs="Arial"/>
          <w:i/>
          <w:iCs/>
          <w:color w:val="000000"/>
          <w:lang w:val="en-US"/>
        </w:rPr>
        <w:t>)</w:t>
      </w:r>
      <w:r w:rsidRPr="00DA736C">
        <w:rPr>
          <w:rFonts w:eastAsia="Times New Roman" w:cs="Arial"/>
          <w:color w:val="000000"/>
          <w:lang w:val="en-US"/>
        </w:rPr>
        <w:t xml:space="preserve"> </w:t>
      </w:r>
      <w:r w:rsidRPr="00DA736C">
        <w:rPr>
          <w:rFonts w:eastAsia="Times New Roman" w:cs="Arial"/>
          <w:color w:val="000000"/>
          <w:lang w:eastAsia="bg-BG"/>
        </w:rPr>
        <w:t xml:space="preserve">като ситиколин натрий </w:t>
      </w:r>
      <w:r w:rsidRPr="00DA736C">
        <w:rPr>
          <w:rFonts w:eastAsia="Times New Roman" w:cs="Arial"/>
          <w:color w:val="000000"/>
          <w:lang w:val="en-US"/>
        </w:rPr>
        <w:t xml:space="preserve">(as </w:t>
      </w:r>
      <w:proofErr w:type="spellStart"/>
      <w:r w:rsidRPr="00DA736C">
        <w:rPr>
          <w:rFonts w:eastAsia="Times New Roman" w:cs="Arial"/>
          <w:i/>
          <w:iCs/>
          <w:color w:val="000000"/>
          <w:lang w:val="en-US"/>
        </w:rPr>
        <w:t>citicoline</w:t>
      </w:r>
      <w:proofErr w:type="spellEnd"/>
      <w:r w:rsidRPr="00DA736C">
        <w:rPr>
          <w:rFonts w:eastAsia="Times New Roman" w:cs="Arial"/>
          <w:i/>
          <w:iCs/>
          <w:color w:val="000000"/>
          <w:lang w:val="en-US"/>
        </w:rPr>
        <w:t xml:space="preserve"> sodium).</w:t>
      </w:r>
    </w:p>
    <w:p w14:paraId="4F4781B0" w14:textId="77777777" w:rsidR="00DA736C" w:rsidRPr="00DA736C" w:rsidRDefault="00DA736C" w:rsidP="00DA736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F590C8B" w14:textId="75B8D81B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Помощни вещества с известно действие:</w:t>
      </w:r>
    </w:p>
    <w:p w14:paraId="06430159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Всеки милилитър съдържа:</w:t>
      </w:r>
    </w:p>
    <w:p w14:paraId="5397666F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Кохинил червено А (Е 124)</w:t>
      </w:r>
    </w:p>
    <w:p w14:paraId="72418584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Пропилпарахидроксибензоат (Е 217)</w:t>
      </w:r>
    </w:p>
    <w:p w14:paraId="56AC06F2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Метилпарахидроксибензоат (Е 218)</w:t>
      </w:r>
    </w:p>
    <w:p w14:paraId="209364A2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Сорбитол (Е 420)</w:t>
      </w:r>
    </w:p>
    <w:p w14:paraId="54632B43" w14:textId="518851D9" w:rsidR="00EC41ED" w:rsidRPr="00DA736C" w:rsidRDefault="00DA736C" w:rsidP="00DA736C">
      <w:pPr>
        <w:rPr>
          <w:rFonts w:cs="Arial"/>
        </w:rPr>
      </w:pPr>
      <w:r w:rsidRPr="00DA736C">
        <w:rPr>
          <w:rFonts w:eastAsia="Times New Roman" w:cs="Arial"/>
          <w:color w:val="000000"/>
          <w:lang w:eastAsia="bg-BG"/>
        </w:rPr>
        <w:t>За пълния списък на помощните вещества вижте точка 6.1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67F9C61D" w:rsidR="0091385D" w:rsidRDefault="0091385D" w:rsidP="0091385D"/>
    <w:p w14:paraId="302FD09B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Перорален разтвор.</w:t>
      </w:r>
    </w:p>
    <w:p w14:paraId="743244F0" w14:textId="35628B59" w:rsidR="00EC41ED" w:rsidRPr="00DA736C" w:rsidRDefault="00DA736C" w:rsidP="00DA736C">
      <w:pPr>
        <w:rPr>
          <w:rFonts w:cs="Arial"/>
        </w:rPr>
      </w:pPr>
      <w:r w:rsidRPr="00DA736C">
        <w:rPr>
          <w:rFonts w:eastAsia="Times New Roman" w:cs="Arial"/>
          <w:color w:val="000000"/>
          <w:lang w:eastAsia="bg-BG"/>
        </w:rPr>
        <w:t xml:space="preserve">Стъклени бутилки съдържащи 30 </w:t>
      </w:r>
      <w:r w:rsidRPr="00DA736C">
        <w:rPr>
          <w:rFonts w:eastAsia="Times New Roman" w:cs="Arial"/>
          <w:color w:val="000000"/>
          <w:lang w:val="en-US"/>
        </w:rPr>
        <w:t xml:space="preserve">ml </w:t>
      </w:r>
      <w:r w:rsidRPr="00DA736C">
        <w:rPr>
          <w:rFonts w:eastAsia="Times New Roman" w:cs="Arial"/>
          <w:color w:val="000000"/>
          <w:lang w:eastAsia="bg-BG"/>
        </w:rPr>
        <w:t xml:space="preserve">прозрачен, бледорозов разтвор, с мирис и вкус на ягода или кафяви стъклени бутилки съдържащи 50 </w:t>
      </w:r>
      <w:r w:rsidRPr="00DA736C">
        <w:rPr>
          <w:rFonts w:eastAsia="Times New Roman" w:cs="Arial"/>
          <w:color w:val="000000"/>
          <w:lang w:val="en-US"/>
        </w:rPr>
        <w:t xml:space="preserve">ml </w:t>
      </w:r>
      <w:r w:rsidRPr="00DA736C">
        <w:rPr>
          <w:rFonts w:eastAsia="Times New Roman" w:cs="Arial"/>
          <w:color w:val="000000"/>
          <w:lang w:eastAsia="bg-BG"/>
        </w:rPr>
        <w:t>прозрачен, бледорозов разтвор, с мирис и вкус на ягода.</w:t>
      </w:r>
    </w:p>
    <w:p w14:paraId="7D287A22" w14:textId="77777777" w:rsidR="00A73575" w:rsidRPr="0091385D" w:rsidRDefault="00A73575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7A537228" w14:textId="77777777" w:rsidR="00DA736C" w:rsidRPr="00DA736C" w:rsidRDefault="00DA736C" w:rsidP="00DA736C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Лечение на инсулт в остра фаза и неврологични последствия</w:t>
      </w:r>
    </w:p>
    <w:p w14:paraId="49C2F94E" w14:textId="77777777" w:rsidR="00DA736C" w:rsidRPr="00DA736C" w:rsidRDefault="00DA736C" w:rsidP="00DA736C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Лечение на мозъчна травма и неврологични последствия</w:t>
      </w:r>
    </w:p>
    <w:p w14:paraId="6DFA4B9D" w14:textId="7967BED0" w:rsidR="0091385D" w:rsidRPr="00DA736C" w:rsidRDefault="00DA736C" w:rsidP="00DA736C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Лечение на когнитивни и поведенчески нарушения вследствие на хронични съдови</w:t>
      </w:r>
      <w:r w:rsidRPr="00DA736C">
        <w:rPr>
          <w:rFonts w:eastAsia="Times New Roman" w:cs="Arial"/>
          <w:color w:val="000000"/>
          <w:lang w:val="en-US" w:eastAsia="bg-BG"/>
        </w:rPr>
        <w:t xml:space="preserve"> </w:t>
      </w:r>
      <w:r w:rsidRPr="00DA736C">
        <w:rPr>
          <w:rFonts w:eastAsia="Times New Roman" w:cs="Arial"/>
          <w:color w:val="000000"/>
          <w:lang w:eastAsia="bg-BG"/>
        </w:rPr>
        <w:t>и</w:t>
      </w:r>
      <w:r>
        <w:rPr>
          <w:rFonts w:eastAsia="Times New Roman" w:cs="Arial"/>
          <w:color w:val="000000"/>
          <w:lang w:eastAsia="bg-BG"/>
        </w:rPr>
        <w:t xml:space="preserve"> дегенеративни мозъчни заболяван</w:t>
      </w:r>
      <w:r w:rsidRPr="00DA736C">
        <w:rPr>
          <w:rFonts w:eastAsia="Times New Roman" w:cs="Arial"/>
          <w:color w:val="000000"/>
          <w:lang w:eastAsia="bg-BG"/>
        </w:rPr>
        <w:t>ия</w:t>
      </w:r>
    </w:p>
    <w:p w14:paraId="642F56D9" w14:textId="77777777" w:rsidR="00EC41ED" w:rsidRPr="0091385D" w:rsidRDefault="00EC41E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0723B40D" w:rsidR="0091385D" w:rsidRDefault="0091385D" w:rsidP="0091385D"/>
    <w:p w14:paraId="319032A5" w14:textId="77777777" w:rsidR="00DA736C" w:rsidRPr="00DA736C" w:rsidRDefault="00DA736C" w:rsidP="00DA736C">
      <w:pPr>
        <w:pStyle w:val="Heading3"/>
        <w:rPr>
          <w:rFonts w:eastAsia="Times New Roman"/>
          <w:u w:val="single"/>
          <w:lang w:eastAsia="bg-BG"/>
        </w:rPr>
      </w:pPr>
      <w:r w:rsidRPr="00DA736C">
        <w:rPr>
          <w:rFonts w:eastAsia="Times New Roman"/>
          <w:u w:val="single"/>
          <w:lang w:eastAsia="bg-BG"/>
        </w:rPr>
        <w:t>Дозировка</w:t>
      </w:r>
    </w:p>
    <w:p w14:paraId="03F3A043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b/>
          <w:bCs/>
          <w:i/>
          <w:iCs/>
          <w:color w:val="000000"/>
          <w:lang w:eastAsia="bg-BG"/>
        </w:rPr>
        <w:t>Възрастни:</w:t>
      </w:r>
    </w:p>
    <w:p w14:paraId="3457E649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lastRenderedPageBreak/>
        <w:t xml:space="preserve">Препоръчителната доза е от 500 до 2000 </w:t>
      </w:r>
      <w:r w:rsidRPr="00DA736C">
        <w:rPr>
          <w:rFonts w:eastAsia="Times New Roman" w:cs="Arial"/>
          <w:color w:val="000000"/>
          <w:lang w:val="en-US"/>
        </w:rPr>
        <w:t>mg</w:t>
      </w:r>
      <w:r w:rsidRPr="00DA736C">
        <w:rPr>
          <w:rFonts w:eastAsia="Times New Roman" w:cs="Arial"/>
          <w:color w:val="000000"/>
          <w:lang w:eastAsia="bg-BG"/>
        </w:rPr>
        <w:t>/ден в зависимост от тежестта на клиничната картина.</w:t>
      </w:r>
    </w:p>
    <w:p w14:paraId="2B2A3DFC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 xml:space="preserve">Може да се приема директно или разтворен в половин чаша вода (120 </w:t>
      </w:r>
      <w:r w:rsidRPr="00DA736C">
        <w:rPr>
          <w:rFonts w:eastAsia="Times New Roman" w:cs="Arial"/>
          <w:color w:val="000000"/>
          <w:lang w:val="en-US"/>
        </w:rPr>
        <w:t>ml).</w:t>
      </w:r>
    </w:p>
    <w:p w14:paraId="6A0A95B7" w14:textId="77777777" w:rsidR="00DA736C" w:rsidRPr="00DA736C" w:rsidRDefault="00DA736C" w:rsidP="00DA736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E98C09F" w14:textId="4A66EFCE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Дозата трябва да е съобразена с историята на заболяването и клиничния статус на болния.</w:t>
      </w:r>
    </w:p>
    <w:p w14:paraId="5A13F33A" w14:textId="77777777" w:rsidR="00DA736C" w:rsidRPr="00DA736C" w:rsidRDefault="00DA736C" w:rsidP="00DA736C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15223F99" w14:textId="22F2DCF9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b/>
          <w:bCs/>
          <w:i/>
          <w:iCs/>
          <w:color w:val="000000"/>
          <w:lang w:eastAsia="bg-BG"/>
        </w:rPr>
        <w:t>Пациенти в напреднала възраст</w:t>
      </w:r>
    </w:p>
    <w:p w14:paraId="5DEE8E06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При лица в напреднала възраст не се налага корекция на дозата.</w:t>
      </w:r>
    </w:p>
    <w:p w14:paraId="16E67A69" w14:textId="77777777" w:rsidR="00DA736C" w:rsidRPr="00DA736C" w:rsidRDefault="00DA736C" w:rsidP="00DA736C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23CB53EC" w14:textId="24FCF241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b/>
          <w:bCs/>
          <w:i/>
          <w:iCs/>
          <w:color w:val="000000"/>
          <w:lang w:eastAsia="bg-BG"/>
        </w:rPr>
        <w:t>Педиатрична популация</w:t>
      </w:r>
    </w:p>
    <w:p w14:paraId="4A5F531C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СОМАЗИНА не е достатъчно изследван при деца, поради което трябва да се прилага само в случай, че очакваната терапевтична полза е по-голяма от който и да е възможен риск.</w:t>
      </w:r>
    </w:p>
    <w:p w14:paraId="2A79FD73" w14:textId="77777777" w:rsidR="00DA736C" w:rsidRPr="00DA736C" w:rsidRDefault="00DA736C" w:rsidP="00DA736C">
      <w:pPr>
        <w:rPr>
          <w:rFonts w:eastAsia="Times New Roman" w:cs="Arial"/>
          <w:color w:val="000000"/>
          <w:lang w:eastAsia="bg-BG"/>
        </w:rPr>
      </w:pPr>
    </w:p>
    <w:p w14:paraId="7FBF1BCE" w14:textId="2A200C06" w:rsidR="00EC41ED" w:rsidRPr="00DA736C" w:rsidRDefault="00DA736C" w:rsidP="00DA736C">
      <w:pPr>
        <w:rPr>
          <w:rFonts w:cs="Arial"/>
        </w:rPr>
      </w:pPr>
      <w:r w:rsidRPr="00DA736C">
        <w:rPr>
          <w:rFonts w:eastAsia="Times New Roman" w:cs="Arial"/>
          <w:color w:val="000000"/>
          <w:lang w:eastAsia="bg-BG"/>
        </w:rPr>
        <w:t>За указания относно инструкциите за употреба на лекарствения продукт, вижте точка 6.6</w:t>
      </w:r>
    </w:p>
    <w:p w14:paraId="132F3111" w14:textId="77777777" w:rsidR="005B0F27" w:rsidRPr="0091385D" w:rsidRDefault="005B0F27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619A99CE" w:rsidR="0091385D" w:rsidRDefault="0091385D" w:rsidP="0091385D"/>
    <w:p w14:paraId="788C694F" w14:textId="77777777" w:rsidR="00DA736C" w:rsidRPr="00DA736C" w:rsidRDefault="00DA736C" w:rsidP="00DA736C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Свръхчувствителност към ситиколин или към някое от помощните вещества.</w:t>
      </w:r>
    </w:p>
    <w:p w14:paraId="030B6A4D" w14:textId="453E0D2E" w:rsidR="00EC41ED" w:rsidRPr="00DA736C" w:rsidRDefault="00DA736C" w:rsidP="00DA736C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Противопоказна е употребата му при пациенти с хипертонус на парасимпатикуса.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1E0703C7" w:rsidR="0091385D" w:rsidRDefault="0091385D" w:rsidP="0091385D"/>
    <w:p w14:paraId="11CF004B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Този лекарствен продукт съдържа като помощни вещества:</w:t>
      </w:r>
    </w:p>
    <w:p w14:paraId="4D4AEE06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Кохинил червено А (Е-124), може да причини алергични реакции, астма, по-специално при пациенти, алергични към ацетилсалицилова киселина.</w:t>
      </w:r>
    </w:p>
    <w:p w14:paraId="4E9A3F89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Сорбитол (Е 420): Пациенти с редки наследствени проблеми на непоносимост към фруктоза не трябва да приемат този лекарствен продукт.</w:t>
      </w:r>
    </w:p>
    <w:p w14:paraId="0E28BBDE" w14:textId="0E843F11" w:rsidR="007A2185" w:rsidRPr="00DA736C" w:rsidRDefault="00DA736C" w:rsidP="00DA736C">
      <w:pPr>
        <w:rPr>
          <w:rFonts w:cs="Arial"/>
        </w:rPr>
      </w:pPr>
      <w:r w:rsidRPr="00DA736C">
        <w:rPr>
          <w:rFonts w:eastAsia="Times New Roman" w:cs="Arial"/>
          <w:color w:val="000000"/>
          <w:lang w:eastAsia="bg-BG"/>
        </w:rPr>
        <w:t>Парахидроксибензоати под формата на пропилови (Е-217) и метилови (Е-218) естери, поради което могат да предизвикат алергични реакции (възможно е да са от забавен тип) и много рядко бронхоспазъм.</w:t>
      </w:r>
    </w:p>
    <w:p w14:paraId="24E3E82F" w14:textId="77777777" w:rsidR="0091385D" w:rsidRPr="0091385D" w:rsidRDefault="0091385D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475C8883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 xml:space="preserve">Ситиколин засилва ефектите на лекарствени продукти, които съдържат </w:t>
      </w:r>
      <w:r w:rsidRPr="00DA736C">
        <w:rPr>
          <w:rFonts w:eastAsia="Times New Roman" w:cs="Arial"/>
          <w:color w:val="000000"/>
          <w:lang w:val="en-US"/>
        </w:rPr>
        <w:t>L-Dopa.</w:t>
      </w:r>
    </w:p>
    <w:p w14:paraId="5B2761C5" w14:textId="43EDDD49" w:rsidR="0091385D" w:rsidRPr="00DA736C" w:rsidRDefault="00DA736C" w:rsidP="00DA736C">
      <w:pPr>
        <w:rPr>
          <w:rFonts w:cs="Arial"/>
        </w:rPr>
      </w:pPr>
      <w:r w:rsidRPr="00DA736C">
        <w:rPr>
          <w:rFonts w:eastAsia="Times New Roman" w:cs="Arial"/>
          <w:color w:val="000000"/>
          <w:lang w:eastAsia="bg-BG"/>
        </w:rPr>
        <w:t xml:space="preserve">Ситиколин не трябва да се приема заедно с лекарствени продукти, които съдържат </w:t>
      </w:r>
      <w:proofErr w:type="spellStart"/>
      <w:r w:rsidRPr="00DA736C">
        <w:rPr>
          <w:rFonts w:eastAsia="Times New Roman" w:cs="Arial"/>
          <w:color w:val="000000"/>
          <w:lang w:val="en-US"/>
        </w:rPr>
        <w:t>meclophenoxate</w:t>
      </w:r>
      <w:proofErr w:type="spellEnd"/>
      <w:r w:rsidRPr="00DA736C">
        <w:rPr>
          <w:rFonts w:eastAsia="Times New Roman" w:cs="Arial"/>
          <w:color w:val="000000"/>
          <w:lang w:val="en-US"/>
        </w:rPr>
        <w:t xml:space="preserve"> (</w:t>
      </w:r>
      <w:proofErr w:type="spellStart"/>
      <w:r w:rsidRPr="00DA736C">
        <w:rPr>
          <w:rFonts w:eastAsia="Times New Roman" w:cs="Arial"/>
          <w:color w:val="000000"/>
          <w:lang w:val="en-US"/>
        </w:rPr>
        <w:t>centrophenoxine</w:t>
      </w:r>
      <w:proofErr w:type="spellEnd"/>
      <w:r w:rsidRPr="00DA736C">
        <w:rPr>
          <w:rFonts w:eastAsia="Times New Roman" w:cs="Arial"/>
          <w:color w:val="000000"/>
          <w:lang w:val="en-US"/>
        </w:rPr>
        <w:t>).</w:t>
      </w:r>
    </w:p>
    <w:p w14:paraId="0395BD2E" w14:textId="77777777" w:rsidR="007A2185" w:rsidRPr="0091385D" w:rsidRDefault="007A2185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0528FAED" w:rsidR="0091385D" w:rsidRDefault="0091385D" w:rsidP="0091385D"/>
    <w:p w14:paraId="152EDB96" w14:textId="77777777" w:rsidR="00DA736C" w:rsidRPr="00DA736C" w:rsidRDefault="00DA736C" w:rsidP="00DA736C">
      <w:pPr>
        <w:pStyle w:val="Heading3"/>
        <w:rPr>
          <w:rFonts w:eastAsia="Times New Roman"/>
          <w:u w:val="single"/>
          <w:lang w:eastAsia="bg-BG"/>
        </w:rPr>
      </w:pPr>
      <w:r w:rsidRPr="00DA736C">
        <w:rPr>
          <w:rFonts w:eastAsia="Times New Roman"/>
          <w:u w:val="single"/>
          <w:lang w:eastAsia="bg-BG"/>
        </w:rPr>
        <w:t>Бременно</w:t>
      </w:r>
      <w:bookmarkStart w:id="1" w:name="_GoBack"/>
      <w:bookmarkEnd w:id="1"/>
      <w:r w:rsidRPr="00DA736C">
        <w:rPr>
          <w:rFonts w:eastAsia="Times New Roman"/>
          <w:u w:val="single"/>
          <w:lang w:eastAsia="bg-BG"/>
        </w:rPr>
        <w:t>ст и кърмене</w:t>
      </w:r>
    </w:p>
    <w:p w14:paraId="41AAC775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Не е установена безопасността на лекарствения продукт по време на бременност и кърмене. При бременни пациентки или с вероятна бременност, или в период на кърмене, трябва да се прилага само в случай, че очакваната терапевтична полза е по-голяма от всеки възможен риск (виж т. 5.3).</w:t>
      </w:r>
    </w:p>
    <w:p w14:paraId="102F0D07" w14:textId="4FB2B5A9" w:rsidR="007A2185" w:rsidRPr="00DA736C" w:rsidRDefault="00DA736C" w:rsidP="00DA736C">
      <w:pPr>
        <w:rPr>
          <w:rFonts w:cs="Arial"/>
        </w:rPr>
      </w:pPr>
      <w:r w:rsidRPr="00DA736C">
        <w:rPr>
          <w:rStyle w:val="Heading3Char"/>
          <w:u w:val="single"/>
          <w:lang w:eastAsia="bg-BG"/>
        </w:rPr>
        <w:lastRenderedPageBreak/>
        <w:t>Фертилитет:</w:t>
      </w:r>
      <w:r w:rsidRPr="00DA736C">
        <w:rPr>
          <w:rFonts w:eastAsia="Times New Roman" w:cs="Arial"/>
          <w:color w:val="000000"/>
          <w:lang w:eastAsia="bg-BG"/>
        </w:rPr>
        <w:t xml:space="preserve"> Липсват данни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78136F1E" w:rsidR="0091385D" w:rsidRDefault="0091385D" w:rsidP="0091385D"/>
    <w:p w14:paraId="1C9ABB96" w14:textId="78B94729" w:rsidR="007A2185" w:rsidRPr="00DA736C" w:rsidRDefault="00DA736C" w:rsidP="0091385D">
      <w:pPr>
        <w:rPr>
          <w:rFonts w:cs="Arial"/>
        </w:rPr>
      </w:pPr>
      <w:r w:rsidRPr="00DA736C">
        <w:rPr>
          <w:rFonts w:cs="Arial"/>
        </w:rPr>
        <w:t>Сомазина не повлиява способността за шофиране и работа с машини.</w:t>
      </w:r>
    </w:p>
    <w:p w14:paraId="35801A15" w14:textId="77777777" w:rsidR="0091385D" w:rsidRPr="0091385D" w:rsidRDefault="0091385D" w:rsidP="0091385D"/>
    <w:p w14:paraId="4838F52A" w14:textId="058F0B9C" w:rsidR="0091385D" w:rsidRDefault="002C50EE" w:rsidP="007A2185">
      <w:pPr>
        <w:pStyle w:val="Heading2"/>
      </w:pPr>
      <w:r>
        <w:t>4.8. Нежелани лекарствени реакции</w:t>
      </w:r>
    </w:p>
    <w:p w14:paraId="76E0B7A2" w14:textId="5BBD2581" w:rsidR="005B0F27" w:rsidRDefault="005B0F27" w:rsidP="0091385D"/>
    <w:p w14:paraId="0BB4F35A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 xml:space="preserve">Честотата на нежеланите лекарствени реакции е класифицирана по </w:t>
      </w:r>
      <w:proofErr w:type="spellStart"/>
      <w:r w:rsidRPr="00DA736C">
        <w:rPr>
          <w:rFonts w:eastAsia="Times New Roman" w:cs="Arial"/>
          <w:color w:val="000000"/>
          <w:lang w:val="en-US"/>
        </w:rPr>
        <w:t>MedDRA</w:t>
      </w:r>
      <w:proofErr w:type="spellEnd"/>
      <w:r w:rsidRPr="00DA736C">
        <w:rPr>
          <w:rFonts w:eastAsia="Times New Roman" w:cs="Arial"/>
          <w:color w:val="000000"/>
          <w:lang w:val="en-US"/>
        </w:rPr>
        <w:t xml:space="preserve"> </w:t>
      </w:r>
      <w:r w:rsidRPr="00DA736C">
        <w:rPr>
          <w:rFonts w:eastAsia="Times New Roman" w:cs="Arial"/>
          <w:color w:val="000000"/>
          <w:lang w:eastAsia="bg-BG"/>
        </w:rPr>
        <w:t>конвенцията</w:t>
      </w:r>
    </w:p>
    <w:p w14:paraId="37E8893B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Много чести (≥1/10)</w:t>
      </w:r>
    </w:p>
    <w:p w14:paraId="6EE5657C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Чести (≥1/100 до &lt;1/10)</w:t>
      </w:r>
    </w:p>
    <w:p w14:paraId="71734A11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Нечести (≥1/1 000 до &lt;1/100)</w:t>
      </w:r>
    </w:p>
    <w:p w14:paraId="6EED7079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Редки (≥1/10 000 до &lt;1/1 000)</w:t>
      </w:r>
    </w:p>
    <w:p w14:paraId="0254AACC" w14:textId="2600CD5E" w:rsidR="007A2185" w:rsidRPr="00DA736C" w:rsidRDefault="00DA736C" w:rsidP="00DA736C">
      <w:pPr>
        <w:rPr>
          <w:rFonts w:cs="Arial"/>
        </w:rPr>
      </w:pPr>
      <w:r w:rsidRPr="00DA736C">
        <w:rPr>
          <w:rFonts w:eastAsia="Times New Roman" w:cs="Arial"/>
          <w:color w:val="000000"/>
          <w:lang w:eastAsia="bg-BG"/>
        </w:rPr>
        <w:t>Много редки (&lt;1/10 000)&gt;</w:t>
      </w:r>
    </w:p>
    <w:p w14:paraId="7C60A845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С неизвестна честота (от наличните данни не може да бъде направена оценка)</w:t>
      </w:r>
    </w:p>
    <w:p w14:paraId="70788347" w14:textId="77777777" w:rsidR="00DA736C" w:rsidRPr="00DA736C" w:rsidRDefault="00DA736C" w:rsidP="00DA736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3246258" w14:textId="09933C2F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u w:val="single"/>
          <w:lang w:eastAsia="bg-BG"/>
        </w:rPr>
        <w:t>Психични нарушения</w:t>
      </w:r>
    </w:p>
    <w:p w14:paraId="45DD8670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DA736C">
        <w:rPr>
          <w:rFonts w:eastAsia="Times New Roman" w:cs="Arial"/>
          <w:color w:val="000000"/>
          <w:lang w:eastAsia="bg-BG"/>
        </w:rPr>
        <w:t xml:space="preserve"> халюцинации</w:t>
      </w:r>
    </w:p>
    <w:p w14:paraId="7A484F42" w14:textId="77777777" w:rsidR="00DA736C" w:rsidRPr="00DA736C" w:rsidRDefault="00DA736C" w:rsidP="00DA736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E7B4091" w14:textId="5A514170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u w:val="single"/>
          <w:lang w:eastAsia="bg-BG"/>
        </w:rPr>
        <w:t>Нарушения на нервната система</w:t>
      </w:r>
    </w:p>
    <w:p w14:paraId="3968D843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DA736C">
        <w:rPr>
          <w:rFonts w:eastAsia="Times New Roman" w:cs="Arial"/>
          <w:color w:val="000000"/>
          <w:lang w:eastAsia="bg-BG"/>
        </w:rPr>
        <w:t xml:space="preserve"> главоболие, световъртеж</w:t>
      </w:r>
    </w:p>
    <w:p w14:paraId="2DF0F5E9" w14:textId="77777777" w:rsidR="00DA736C" w:rsidRPr="00DA736C" w:rsidRDefault="00DA736C" w:rsidP="00DA736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63D572A" w14:textId="4315948E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u w:val="single"/>
          <w:lang w:eastAsia="bg-BG"/>
        </w:rPr>
        <w:t>Съдови нарушения</w:t>
      </w:r>
    </w:p>
    <w:p w14:paraId="7A458B0B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DA736C">
        <w:rPr>
          <w:rFonts w:eastAsia="Times New Roman" w:cs="Arial"/>
          <w:color w:val="000000"/>
          <w:lang w:eastAsia="bg-BG"/>
        </w:rPr>
        <w:t xml:space="preserve"> високо кръвно налягане, ниско кръвно налягане</w:t>
      </w:r>
    </w:p>
    <w:p w14:paraId="53302867" w14:textId="77777777" w:rsidR="00DA736C" w:rsidRPr="00DA736C" w:rsidRDefault="00DA736C" w:rsidP="00DA736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8F42C51" w14:textId="1016BBD2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u w:val="single"/>
          <w:lang w:eastAsia="bg-BG"/>
        </w:rPr>
        <w:t>Респираторни, гръдни и медиастинални нарушения</w:t>
      </w:r>
    </w:p>
    <w:p w14:paraId="2A54FB11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DA736C">
        <w:rPr>
          <w:rFonts w:eastAsia="Times New Roman" w:cs="Arial"/>
          <w:color w:val="000000"/>
          <w:lang w:eastAsia="bg-BG"/>
        </w:rPr>
        <w:t xml:space="preserve"> задух</w:t>
      </w:r>
    </w:p>
    <w:p w14:paraId="5CA78CDD" w14:textId="77777777" w:rsidR="00DA736C" w:rsidRPr="00DA736C" w:rsidRDefault="00DA736C" w:rsidP="00DA736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9307446" w14:textId="798ACB56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u w:val="single"/>
          <w:lang w:eastAsia="bg-BG"/>
        </w:rPr>
        <w:t>Стомашно-чревни нарушения</w:t>
      </w:r>
    </w:p>
    <w:p w14:paraId="72E964A3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DA736C">
        <w:rPr>
          <w:rFonts w:eastAsia="Times New Roman" w:cs="Arial"/>
          <w:color w:val="000000"/>
          <w:lang w:eastAsia="bg-BG"/>
        </w:rPr>
        <w:t xml:space="preserve"> гадене, повръщане, случайна диария</w:t>
      </w:r>
    </w:p>
    <w:p w14:paraId="363B01BE" w14:textId="77777777" w:rsidR="00DA736C" w:rsidRPr="00DA736C" w:rsidRDefault="00DA736C" w:rsidP="00DA736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EC6BECB" w14:textId="22D3E669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u w:val="single"/>
          <w:lang w:eastAsia="bg-BG"/>
        </w:rPr>
        <w:t>Нарушения на кожата и подкожната тъкан</w:t>
      </w:r>
    </w:p>
    <w:p w14:paraId="29925C12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DA736C">
        <w:rPr>
          <w:rFonts w:eastAsia="Times New Roman" w:cs="Arial"/>
          <w:color w:val="000000"/>
          <w:lang w:eastAsia="bg-BG"/>
        </w:rPr>
        <w:t xml:space="preserve"> зачервяване, сърбеж, обрив</w:t>
      </w:r>
    </w:p>
    <w:p w14:paraId="7D25D1B2" w14:textId="77777777" w:rsidR="00DA736C" w:rsidRPr="00DA736C" w:rsidRDefault="00DA736C" w:rsidP="00DA736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EE2EEC9" w14:textId="10BEA753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u w:val="single"/>
          <w:lang w:eastAsia="bg-BG"/>
        </w:rPr>
        <w:t>Общи нарушения и ефекти на мястото на приложение</w:t>
      </w:r>
    </w:p>
    <w:p w14:paraId="443BC107" w14:textId="12EF8378" w:rsidR="005B0F27" w:rsidRPr="00DA736C" w:rsidRDefault="00DA736C" w:rsidP="00DA736C">
      <w:pPr>
        <w:rPr>
          <w:rFonts w:cs="Arial"/>
        </w:rPr>
      </w:pPr>
      <w:r w:rsidRPr="00DA736C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DA736C">
        <w:rPr>
          <w:rFonts w:eastAsia="Times New Roman" w:cs="Arial"/>
          <w:color w:val="000000"/>
          <w:lang w:eastAsia="bg-BG"/>
        </w:rPr>
        <w:t xml:space="preserve"> потръпване, оток</w:t>
      </w:r>
    </w:p>
    <w:p w14:paraId="4FA13AEF" w14:textId="77777777" w:rsidR="00DA736C" w:rsidRPr="0091385D" w:rsidRDefault="00DA736C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771B3817" w:rsidR="0091385D" w:rsidRDefault="0091385D" w:rsidP="0091385D"/>
    <w:p w14:paraId="500F46C2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Предвид ниската токсичност на този лекарствен продукт, не се предвижда появата на интоксикации, дори и в случаите, при които случайно са превишени терапевтичните дози.</w:t>
      </w:r>
    </w:p>
    <w:p w14:paraId="6A43B8F3" w14:textId="751A716D" w:rsidR="007A2185" w:rsidRPr="00DA736C" w:rsidRDefault="00DA736C" w:rsidP="00DA736C">
      <w:pPr>
        <w:rPr>
          <w:rFonts w:cs="Arial"/>
        </w:rPr>
      </w:pPr>
      <w:r w:rsidRPr="00DA736C">
        <w:rPr>
          <w:rFonts w:eastAsia="Times New Roman" w:cs="Arial"/>
          <w:color w:val="000000"/>
          <w:lang w:eastAsia="bg-BG"/>
        </w:rPr>
        <w:t>В случай на предозиране, започнете симптоматично лечение.</w:t>
      </w:r>
    </w:p>
    <w:p w14:paraId="48FF1584" w14:textId="77777777" w:rsidR="0091385D" w:rsidRPr="0091385D" w:rsidRDefault="0091385D" w:rsidP="0091385D"/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lastRenderedPageBreak/>
        <w:t>5.1. Фармакодинамични свойства</w:t>
      </w:r>
    </w:p>
    <w:p w14:paraId="58DD7DEA" w14:textId="73F11A6B" w:rsidR="0091385D" w:rsidRDefault="0091385D" w:rsidP="0091385D"/>
    <w:p w14:paraId="6EC359EB" w14:textId="77777777" w:rsidR="00DA736C" w:rsidRDefault="00DA736C" w:rsidP="00DA736C">
      <w:r>
        <w:t>Фармакотерапевтична група: Други психостимуланти и ноотропни средства</w:t>
      </w:r>
    </w:p>
    <w:p w14:paraId="575D78B7" w14:textId="77777777" w:rsidR="00DA736C" w:rsidRDefault="00DA736C" w:rsidP="00DA736C">
      <w:r>
        <w:t xml:space="preserve">АТС код: </w:t>
      </w:r>
      <w:r>
        <w:rPr>
          <w:lang w:val="en-US"/>
        </w:rPr>
        <w:t>N06BX06</w:t>
      </w:r>
    </w:p>
    <w:p w14:paraId="5216FE85" w14:textId="77777777" w:rsidR="00DA736C" w:rsidRDefault="00DA736C" w:rsidP="00DA736C"/>
    <w:p w14:paraId="37ECF77F" w14:textId="6F274F38" w:rsidR="00DA736C" w:rsidRDefault="00DA736C" w:rsidP="00DA736C">
      <w:r>
        <w:t>Ситиколин стимулира биосинтеза на структурните фосфолипиди на мембраната на неврона, както се показва в изследванията, направени със спектроскопия с магнитен резонанс. Ситиколин, посредством това действие, подобрява функцията на механизмите на мембраната, както и функционирането на помпите на йонната обмяна и рецепторите, въведени в нея, чийто модулиране е крайно необходимо за правилното предаване на импулси по невроните.</w:t>
      </w:r>
    </w:p>
    <w:p w14:paraId="18DF9603" w14:textId="77777777" w:rsidR="00DA736C" w:rsidRDefault="00DA736C" w:rsidP="00DA736C">
      <w:r>
        <w:t>Благодарение на своето стабилизиращо действие върху мембраната, Ситиколин притежава свойства, които благоприятстват реабсорбцията на мозъчния отток.</w:t>
      </w:r>
    </w:p>
    <w:p w14:paraId="548AA085" w14:textId="77777777" w:rsidR="00DA736C" w:rsidRDefault="00DA736C" w:rsidP="00DA736C">
      <w:r>
        <w:t xml:space="preserve">Експерименталните изследвания са показали, че Ситиколин възпира активирането на определени фосфолипиди </w:t>
      </w:r>
      <w:r>
        <w:rPr>
          <w:lang w:val="en-US"/>
        </w:rPr>
        <w:t xml:space="preserve">(A1, </w:t>
      </w:r>
      <w:r>
        <w:t xml:space="preserve">А2, С и </w:t>
      </w:r>
      <w:r>
        <w:rPr>
          <w:lang w:val="en-US"/>
        </w:rPr>
        <w:t xml:space="preserve">D), </w:t>
      </w:r>
      <w:r>
        <w:t>като намалява образуването на свободни радикали и избягва унищожаването на мембранни системи и предпазва системите за антиоксидантна защита, като глутиране.</w:t>
      </w:r>
    </w:p>
    <w:p w14:paraId="038F692B" w14:textId="653CE754" w:rsidR="007A2185" w:rsidRDefault="00DA736C" w:rsidP="00DA736C">
      <w:r>
        <w:t>Ситиколин предпазва енергетичния резерв на неврона, задържа апоптозата и стимулира</w:t>
      </w:r>
    </w:p>
    <w:p w14:paraId="36152471" w14:textId="77777777" w:rsidR="0091385D" w:rsidRPr="0091385D" w:rsidRDefault="0091385D" w:rsidP="0091385D"/>
    <w:p w14:paraId="5031193D" w14:textId="408B9A83" w:rsidR="0091385D" w:rsidRDefault="002C50EE" w:rsidP="007A2185">
      <w:pPr>
        <w:pStyle w:val="Heading2"/>
      </w:pPr>
      <w:r>
        <w:t>5.2. Фармакокинетични свойства</w:t>
      </w:r>
    </w:p>
    <w:p w14:paraId="46B35D05" w14:textId="6A0462F4" w:rsidR="007A2185" w:rsidRDefault="007A2185" w:rsidP="007A2185"/>
    <w:p w14:paraId="6F1C6536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Ситиколин се абсорбира добре след прилагане през устата, мускулно или интравенозно. Нивата на холин в плазмата се увеличават значително посредством споменатите пътища. Абсорбирането през устата е на практика пълно и неговото бионаличност е приблизително същата като при венозното поемане. Лекарството се метаболизира в стената на червата и в черния дроб, в холин и цитидин. Поетият Ситиколин се разпределя обширно в мозъчните структури, с бързо присъединяване на фракцията холин в структурните фосфолипиди и фракцията цитидин в цитидиновите нуклеотиди и нуклеиновите киселини. Ситиколин достига мозъка и се присъединява активно в клетъчната, цитоплазмената и митохондриалната мембрани, като съставя част от фракцията на структурните фосфолипиди.</w:t>
      </w:r>
    </w:p>
    <w:p w14:paraId="45551830" w14:textId="2F63BA6F" w:rsidR="007A2185" w:rsidRPr="00DA736C" w:rsidRDefault="00DA736C" w:rsidP="00DA736C">
      <w:pPr>
        <w:rPr>
          <w:rFonts w:cs="Arial"/>
        </w:rPr>
      </w:pPr>
      <w:r w:rsidRPr="00DA736C">
        <w:rPr>
          <w:rFonts w:eastAsia="Times New Roman" w:cs="Arial"/>
          <w:color w:val="000000"/>
          <w:lang w:eastAsia="bg-BG"/>
        </w:rPr>
        <w:t>Само малко количество от дозата се появява в урина и утайка (по-малко от 3 %). Приблизително 12% от дозата се елиминира посредством отделения С</w:t>
      </w:r>
      <w:r w:rsidRPr="00DA736C">
        <w:rPr>
          <w:rFonts w:eastAsia="Times New Roman" w:cs="Arial"/>
          <w:color w:val="000000"/>
          <w:lang w:val="en-US"/>
        </w:rPr>
        <w:t>O</w:t>
      </w:r>
      <w:r w:rsidRPr="00DA736C">
        <w:rPr>
          <w:rFonts w:eastAsia="Times New Roman" w:cs="Arial"/>
          <w:color w:val="000000"/>
          <w:vertAlign w:val="subscript"/>
          <w:lang w:eastAsia="bg-BG"/>
        </w:rPr>
        <w:t>2</w:t>
      </w:r>
      <w:r w:rsidRPr="00DA736C">
        <w:rPr>
          <w:rFonts w:eastAsia="Times New Roman" w:cs="Arial"/>
          <w:color w:val="000000"/>
          <w:lang w:eastAsia="bg-BG"/>
        </w:rPr>
        <w:t>. В елиминирането на медикамента в урината се отличават две фази: първа фаза, от 36 часа, през който скоростта на секретиране се намалява бързо и втора фаза, в която скоростта на секретиране се намалява много по-бавно. Същото става с отделения СО</w:t>
      </w:r>
      <w:r w:rsidRPr="00DA736C">
        <w:rPr>
          <w:rFonts w:eastAsia="Times New Roman" w:cs="Arial"/>
          <w:color w:val="000000"/>
          <w:vertAlign w:val="subscript"/>
          <w:lang w:eastAsia="bg-BG"/>
        </w:rPr>
        <w:t>2</w:t>
      </w:r>
      <w:r w:rsidRPr="00DA736C">
        <w:rPr>
          <w:rFonts w:eastAsia="Times New Roman" w:cs="Arial"/>
          <w:color w:val="000000"/>
          <w:lang w:eastAsia="bg-BG"/>
        </w:rPr>
        <w:t>, чиято скорост на елиминиране намалява бързо приблизително през първите петнадесет и след това по-бавно.</w:t>
      </w:r>
    </w:p>
    <w:p w14:paraId="4EE1BB0B" w14:textId="77777777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20E967BE" w14:textId="751DCF54" w:rsidR="0091385D" w:rsidRDefault="0091385D" w:rsidP="0091385D"/>
    <w:p w14:paraId="499F0337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36C">
        <w:rPr>
          <w:rFonts w:eastAsia="Times New Roman" w:cs="Arial"/>
          <w:color w:val="000000"/>
          <w:lang w:eastAsia="bg-BG"/>
        </w:rPr>
        <w:t>Изследванията за хронична токсичност през устата (1</w:t>
      </w:r>
      <w:r w:rsidRPr="00DA736C">
        <w:rPr>
          <w:rFonts w:eastAsia="Times New Roman" w:cs="Arial"/>
          <w:color w:val="000000"/>
          <w:lang w:val="en-US"/>
        </w:rPr>
        <w:t xml:space="preserve">.5g/Kg/d </w:t>
      </w:r>
      <w:r w:rsidRPr="00DA736C">
        <w:rPr>
          <w:rFonts w:eastAsia="Times New Roman" w:cs="Arial"/>
          <w:color w:val="000000"/>
          <w:lang w:eastAsia="bg-BG"/>
        </w:rPr>
        <w:t xml:space="preserve">в продължение на 6 месеца за кучета) и интраперитонеално (1 </w:t>
      </w:r>
      <w:r w:rsidRPr="00DA736C">
        <w:rPr>
          <w:rFonts w:eastAsia="Times New Roman" w:cs="Arial"/>
          <w:color w:val="000000"/>
          <w:lang w:val="en-US"/>
        </w:rPr>
        <w:t xml:space="preserve">g/Kg/d </w:t>
      </w:r>
      <w:r w:rsidRPr="00DA736C">
        <w:rPr>
          <w:rFonts w:eastAsia="Times New Roman" w:cs="Arial"/>
          <w:color w:val="000000"/>
          <w:lang w:eastAsia="bg-BG"/>
        </w:rPr>
        <w:t xml:space="preserve">в продължение на 12 седмици за мишки) не показаха също значителни аномалии във връзка с поемането на медикамента. Интравенозното поемане от 300-500 </w:t>
      </w:r>
      <w:r w:rsidRPr="00DA736C">
        <w:rPr>
          <w:rFonts w:eastAsia="Times New Roman" w:cs="Arial"/>
          <w:color w:val="000000"/>
          <w:lang w:val="en-US"/>
        </w:rPr>
        <w:t xml:space="preserve">mg/Kg/d </w:t>
      </w:r>
      <w:r w:rsidRPr="00DA736C">
        <w:rPr>
          <w:rFonts w:eastAsia="Times New Roman" w:cs="Arial"/>
          <w:color w:val="000000"/>
          <w:lang w:eastAsia="bg-BG"/>
        </w:rPr>
        <w:t>Ситиколин в продължение на 3 месеца при кучета само причини токсични прояви, веднага след инжектирането, като повръщане и диарии и случайна сиалорея.</w:t>
      </w:r>
    </w:p>
    <w:p w14:paraId="13A7B62A" w14:textId="744B24ED" w:rsidR="007A2185" w:rsidRPr="00DA736C" w:rsidRDefault="00DA736C" w:rsidP="00DA736C">
      <w:pPr>
        <w:rPr>
          <w:rFonts w:cs="Arial"/>
        </w:rPr>
      </w:pPr>
      <w:r w:rsidRPr="00DA736C">
        <w:rPr>
          <w:rFonts w:eastAsia="Times New Roman" w:cs="Arial"/>
          <w:color w:val="000000"/>
          <w:lang w:eastAsia="bg-BG"/>
        </w:rPr>
        <w:lastRenderedPageBreak/>
        <w:t xml:space="preserve">Ситиколин бе даван и на бели зайци с доза от 800 </w:t>
      </w:r>
      <w:r w:rsidRPr="00DA736C">
        <w:rPr>
          <w:rFonts w:eastAsia="Times New Roman" w:cs="Arial"/>
          <w:color w:val="000000"/>
          <w:lang w:val="en-US"/>
        </w:rPr>
        <w:t xml:space="preserve">mg/Kg </w:t>
      </w:r>
      <w:r w:rsidRPr="00DA736C">
        <w:rPr>
          <w:rFonts w:eastAsia="Times New Roman" w:cs="Arial"/>
          <w:color w:val="000000"/>
          <w:lang w:eastAsia="bg-BG"/>
        </w:rPr>
        <w:t>по време на фазата на органогенезата, тоест от 7° до 18° ден на бременността. Животните бяха пожертвани на 29 ден и се направи щателен преглед на зародишите и на техните майки. Не се наблюдаваха признаци на майчина, нито ембриозародишна токсичност. Ефектите върху органогенезата бяха неоценими като се наблюдава само в 10 % от изследваните зародиши леко забавяне в мозъчната остеогенеза.</w:t>
      </w:r>
    </w:p>
    <w:p w14:paraId="12FFA9B2" w14:textId="77777777" w:rsidR="007A2185" w:rsidRPr="0091385D" w:rsidRDefault="007A2185" w:rsidP="0091385D"/>
    <w:p w14:paraId="6A7820AB" w14:textId="353DB6D2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B9B651E" w14:textId="24042B6C" w:rsidR="0091385D" w:rsidRDefault="0091385D" w:rsidP="0091385D"/>
    <w:p w14:paraId="26DC6677" w14:textId="5DED2EBF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>
        <w:rPr>
          <w:rFonts w:eastAsia="Times New Roman" w:cs="Arial"/>
          <w:color w:val="000000"/>
          <w:lang w:val="en-US"/>
        </w:rPr>
        <w:t xml:space="preserve">Ferrer </w:t>
      </w:r>
      <w:proofErr w:type="spellStart"/>
      <w:r>
        <w:rPr>
          <w:rFonts w:eastAsia="Times New Roman" w:cs="Arial"/>
          <w:color w:val="000000"/>
          <w:lang w:val="en-US"/>
        </w:rPr>
        <w:t>Intern</w:t>
      </w:r>
      <w:r w:rsidRPr="00DA736C">
        <w:rPr>
          <w:rFonts w:eastAsia="Times New Roman" w:cs="Arial"/>
          <w:color w:val="000000"/>
          <w:lang w:val="en-US"/>
        </w:rPr>
        <w:t>acional</w:t>
      </w:r>
      <w:proofErr w:type="spellEnd"/>
      <w:r w:rsidRPr="00DA736C">
        <w:rPr>
          <w:rFonts w:eastAsia="Times New Roman" w:cs="Arial"/>
          <w:color w:val="000000"/>
          <w:lang w:val="en-US"/>
        </w:rPr>
        <w:t>, S.A.</w:t>
      </w:r>
    </w:p>
    <w:p w14:paraId="70539B20" w14:textId="77777777" w:rsidR="00DA736C" w:rsidRPr="00DA736C" w:rsidRDefault="00DA736C" w:rsidP="00DA736C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DA736C">
        <w:rPr>
          <w:rFonts w:eastAsia="Times New Roman" w:cs="Arial"/>
          <w:color w:val="000000"/>
          <w:lang w:val="en-US"/>
        </w:rPr>
        <w:t xml:space="preserve">Gran </w:t>
      </w:r>
      <w:proofErr w:type="gramStart"/>
      <w:r w:rsidRPr="00DA736C">
        <w:rPr>
          <w:rFonts w:eastAsia="Times New Roman" w:cs="Arial"/>
          <w:color w:val="000000"/>
          <w:lang w:val="en-US"/>
        </w:rPr>
        <w:t>Via</w:t>
      </w:r>
      <w:proofErr w:type="gramEnd"/>
      <w:r w:rsidRPr="00DA736C">
        <w:rPr>
          <w:rFonts w:eastAsia="Times New Roman" w:cs="Arial"/>
          <w:color w:val="000000"/>
          <w:lang w:val="en-US"/>
        </w:rPr>
        <w:t xml:space="preserve"> Carlos III, 94</w:t>
      </w:r>
    </w:p>
    <w:p w14:paraId="4F02909F" w14:textId="527307CB" w:rsidR="007A2185" w:rsidRPr="00DA736C" w:rsidRDefault="00DA736C" w:rsidP="00DA736C">
      <w:pPr>
        <w:rPr>
          <w:rFonts w:cs="Arial"/>
        </w:rPr>
      </w:pPr>
      <w:r w:rsidRPr="00DA736C">
        <w:rPr>
          <w:rFonts w:eastAsia="Times New Roman" w:cs="Arial"/>
          <w:color w:val="000000"/>
          <w:lang w:val="en-US"/>
        </w:rPr>
        <w:t xml:space="preserve">08028 Barcelona, </w:t>
      </w:r>
      <w:r w:rsidRPr="00DA736C">
        <w:rPr>
          <w:rFonts w:eastAsia="Times New Roman" w:cs="Arial"/>
          <w:color w:val="000000"/>
          <w:lang w:eastAsia="bg-BG"/>
        </w:rPr>
        <w:t>Испания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3072FB0E" w:rsidR="0091385D" w:rsidRDefault="0091385D" w:rsidP="0091385D"/>
    <w:p w14:paraId="46161304" w14:textId="120C8E0B" w:rsidR="007A2185" w:rsidRPr="00DA736C" w:rsidRDefault="00DA736C" w:rsidP="0091385D">
      <w:pPr>
        <w:rPr>
          <w:rFonts w:cs="Arial"/>
        </w:rPr>
      </w:pPr>
      <w:r w:rsidRPr="00DA736C">
        <w:rPr>
          <w:rFonts w:cs="Arial"/>
        </w:rPr>
        <w:t>20060251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57E44C81" w:rsidR="0091385D" w:rsidRDefault="0091385D" w:rsidP="0091385D"/>
    <w:p w14:paraId="6C57D8B6" w14:textId="132C8665" w:rsidR="007A2185" w:rsidRPr="00DA736C" w:rsidRDefault="00DA736C" w:rsidP="0091385D">
      <w:pPr>
        <w:rPr>
          <w:rFonts w:cs="Arial"/>
        </w:rPr>
      </w:pPr>
      <w:r w:rsidRPr="00DA736C">
        <w:rPr>
          <w:rFonts w:cs="Arial"/>
        </w:rPr>
        <w:t>Дата на първо разрешаване: 29 Май 2006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0121B4E2" w:rsidR="0091385D" w:rsidRDefault="0091385D" w:rsidP="0091385D"/>
    <w:p w14:paraId="0524F1D6" w14:textId="448A3760" w:rsidR="007A2185" w:rsidRPr="00DA736C" w:rsidRDefault="00DA736C" w:rsidP="0091385D">
      <w:pPr>
        <w:rPr>
          <w:rFonts w:cs="Arial"/>
        </w:rPr>
      </w:pPr>
      <w:bookmarkStart w:id="2" w:name="bookmark0"/>
      <w:r w:rsidRPr="00DA736C">
        <w:rPr>
          <w:rFonts w:cs="Arial"/>
        </w:rPr>
        <w:t>10.2019 г.</w:t>
      </w:r>
      <w:bookmarkEnd w:id="2"/>
    </w:p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41F249A"/>
    <w:multiLevelType w:val="hybridMultilevel"/>
    <w:tmpl w:val="E0C8E4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27E7B"/>
    <w:multiLevelType w:val="hybridMultilevel"/>
    <w:tmpl w:val="F89C20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6795"/>
    <w:multiLevelType w:val="hybridMultilevel"/>
    <w:tmpl w:val="0540A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83E65"/>
    <w:multiLevelType w:val="hybridMultilevel"/>
    <w:tmpl w:val="B970AFD6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9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18"/>
  </w:num>
  <w:num w:numId="7">
    <w:abstractNumId w:val="12"/>
  </w:num>
  <w:num w:numId="8">
    <w:abstractNumId w:val="17"/>
  </w:num>
  <w:num w:numId="9">
    <w:abstractNumId w:val="2"/>
  </w:num>
  <w:num w:numId="10">
    <w:abstractNumId w:val="4"/>
  </w:num>
  <w:num w:numId="11">
    <w:abstractNumId w:val="32"/>
  </w:num>
  <w:num w:numId="12">
    <w:abstractNumId w:val="16"/>
  </w:num>
  <w:num w:numId="13">
    <w:abstractNumId w:val="21"/>
  </w:num>
  <w:num w:numId="14">
    <w:abstractNumId w:val="13"/>
  </w:num>
  <w:num w:numId="15">
    <w:abstractNumId w:val="31"/>
  </w:num>
  <w:num w:numId="16">
    <w:abstractNumId w:val="11"/>
  </w:num>
  <w:num w:numId="17">
    <w:abstractNumId w:val="26"/>
  </w:num>
  <w:num w:numId="18">
    <w:abstractNumId w:val="8"/>
  </w:num>
  <w:num w:numId="19">
    <w:abstractNumId w:val="28"/>
  </w:num>
  <w:num w:numId="20">
    <w:abstractNumId w:val="25"/>
  </w:num>
  <w:num w:numId="21">
    <w:abstractNumId w:val="19"/>
  </w:num>
  <w:num w:numId="22">
    <w:abstractNumId w:val="27"/>
  </w:num>
  <w:num w:numId="23">
    <w:abstractNumId w:val="20"/>
  </w:num>
  <w:num w:numId="24">
    <w:abstractNumId w:val="9"/>
  </w:num>
  <w:num w:numId="25">
    <w:abstractNumId w:val="24"/>
  </w:num>
  <w:num w:numId="26">
    <w:abstractNumId w:val="23"/>
  </w:num>
  <w:num w:numId="27">
    <w:abstractNumId w:val="33"/>
  </w:num>
  <w:num w:numId="28">
    <w:abstractNumId w:val="6"/>
  </w:num>
  <w:num w:numId="29">
    <w:abstractNumId w:val="22"/>
  </w:num>
  <w:num w:numId="30">
    <w:abstractNumId w:val="37"/>
  </w:num>
  <w:num w:numId="31">
    <w:abstractNumId w:val="5"/>
  </w:num>
  <w:num w:numId="32">
    <w:abstractNumId w:val="36"/>
  </w:num>
  <w:num w:numId="33">
    <w:abstractNumId w:val="30"/>
  </w:num>
  <w:num w:numId="34">
    <w:abstractNumId w:val="34"/>
  </w:num>
  <w:num w:numId="35">
    <w:abstractNumId w:val="15"/>
  </w:num>
  <w:num w:numId="36">
    <w:abstractNumId w:val="10"/>
  </w:num>
  <w:num w:numId="37">
    <w:abstractNumId w:val="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5B0F27"/>
    <w:rsid w:val="00605BCA"/>
    <w:rsid w:val="006158A1"/>
    <w:rsid w:val="00617B1F"/>
    <w:rsid w:val="00672487"/>
    <w:rsid w:val="00672600"/>
    <w:rsid w:val="00681D4A"/>
    <w:rsid w:val="00682341"/>
    <w:rsid w:val="00685882"/>
    <w:rsid w:val="0075649D"/>
    <w:rsid w:val="007A2185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773E4"/>
    <w:rsid w:val="009B171C"/>
    <w:rsid w:val="009F1313"/>
    <w:rsid w:val="00A20351"/>
    <w:rsid w:val="00A65A81"/>
    <w:rsid w:val="00A73575"/>
    <w:rsid w:val="00AA23EC"/>
    <w:rsid w:val="00AC63CE"/>
    <w:rsid w:val="00AE2107"/>
    <w:rsid w:val="00B275A8"/>
    <w:rsid w:val="00BB3B9C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A736C"/>
    <w:rsid w:val="00DD466D"/>
    <w:rsid w:val="00EB6364"/>
    <w:rsid w:val="00EC41ED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2023-05-08T21:48:00Z</dcterms:created>
  <dcterms:modified xsi:type="dcterms:W3CDTF">2023-05-08T21:48:00Z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