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328C" w14:textId="77777777" w:rsidR="002C50EE" w:rsidRPr="00E815A3" w:rsidRDefault="002C50EE" w:rsidP="002C50EE">
      <w:pPr>
        <w:pStyle w:val="Heading1"/>
        <w:jc w:val="center"/>
        <w:rPr>
          <w:lang w:val="bg-BG"/>
        </w:rPr>
      </w:pPr>
      <w:bookmarkStart w:id="0" w:name="_Hlk63124480"/>
      <w:r w:rsidRPr="00E815A3">
        <w:rPr>
          <w:lang w:val="bg-BG"/>
        </w:rPr>
        <w:t>КРАТКА ХАРАКТЕРИСТИКА НА ПРОДУКТА</w:t>
      </w:r>
    </w:p>
    <w:p w14:paraId="6AF1D2F0" w14:textId="2D9939AB" w:rsidR="002C50EE" w:rsidRPr="00E815A3" w:rsidRDefault="002C50EE" w:rsidP="00E815A3">
      <w:pPr>
        <w:pStyle w:val="Heading1"/>
        <w:numPr>
          <w:ilvl w:val="0"/>
          <w:numId w:val="11"/>
        </w:numPr>
        <w:rPr>
          <w:lang w:val="bg-BG"/>
        </w:rPr>
      </w:pPr>
      <w:r w:rsidRPr="00E815A3">
        <w:rPr>
          <w:lang w:val="bg-BG"/>
        </w:rPr>
        <w:t>ИМЕ НА ЛЕКАРСТВЕНИЯ ПРОДУКТ</w:t>
      </w:r>
    </w:p>
    <w:p w14:paraId="11526299" w14:textId="77777777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10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/g </w:t>
      </w:r>
      <w:r w:rsidRPr="00E815A3">
        <w:rPr>
          <w:lang w:val="bg-BG" w:eastAsia="bg-BG"/>
        </w:rPr>
        <w:t>крем</w:t>
      </w:r>
    </w:p>
    <w:p w14:paraId="567A5199" w14:textId="209D4301" w:rsidR="00E815A3" w:rsidRPr="00E815A3" w:rsidRDefault="00E815A3" w:rsidP="00E815A3">
      <w:pPr>
        <w:rPr>
          <w:lang w:val="bg-BG"/>
        </w:rPr>
      </w:pPr>
      <w:proofErr w:type="spellStart"/>
      <w:r w:rsidRPr="00E815A3">
        <w:rPr>
          <w:lang w:val="bg-BG"/>
        </w:rPr>
        <w:t>Soolantra</w:t>
      </w:r>
      <w:proofErr w:type="spellEnd"/>
      <w:r w:rsidRPr="00E815A3">
        <w:rPr>
          <w:lang w:val="bg-BG"/>
        </w:rPr>
        <w:t xml:space="preserve"> </w:t>
      </w:r>
      <w:r w:rsidRPr="00E815A3">
        <w:rPr>
          <w:lang w:val="bg-BG" w:eastAsia="bg-BG"/>
        </w:rPr>
        <w:t xml:space="preserve">10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/g </w:t>
      </w:r>
      <w:proofErr w:type="spellStart"/>
      <w:r w:rsidRPr="00E815A3">
        <w:rPr>
          <w:lang w:val="bg-BG"/>
        </w:rPr>
        <w:t>cream</w:t>
      </w:r>
      <w:proofErr w:type="spellEnd"/>
    </w:p>
    <w:p w14:paraId="5A36363A" w14:textId="09666F9E" w:rsidR="002C50EE" w:rsidRPr="00E815A3" w:rsidRDefault="002C50EE" w:rsidP="00E815A3">
      <w:pPr>
        <w:pStyle w:val="Heading1"/>
        <w:numPr>
          <w:ilvl w:val="0"/>
          <w:numId w:val="11"/>
        </w:numPr>
        <w:rPr>
          <w:lang w:val="bg-BG"/>
        </w:rPr>
      </w:pPr>
      <w:r w:rsidRPr="00E815A3">
        <w:rPr>
          <w:lang w:val="bg-BG"/>
        </w:rPr>
        <w:t>КАЧЕСТВЕН И КОЛИЧЕСТВЕН СЪСТАВ</w:t>
      </w:r>
    </w:p>
    <w:p w14:paraId="6E1A7E26" w14:textId="1A9D42B3" w:rsidR="00E815A3" w:rsidRPr="00E815A3" w:rsidRDefault="00E815A3" w:rsidP="00E815A3">
      <w:pPr>
        <w:rPr>
          <w:lang w:val="bg-BG"/>
        </w:rPr>
      </w:pPr>
      <w:r w:rsidRPr="00E815A3">
        <w:rPr>
          <w:lang w:val="bg-BG"/>
        </w:rPr>
        <w:t xml:space="preserve">Един грам от крема съдържа 10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 </w:t>
      </w:r>
      <w:proofErr w:type="spellStart"/>
      <w:r w:rsidRPr="00E815A3">
        <w:rPr>
          <w:lang w:val="bg-BG"/>
        </w:rPr>
        <w:t>ивермектин</w:t>
      </w:r>
      <w:proofErr w:type="spellEnd"/>
      <w:r w:rsidRPr="00E815A3">
        <w:rPr>
          <w:lang w:val="bg-BG"/>
        </w:rPr>
        <w:t xml:space="preserve"> (</w:t>
      </w:r>
      <w:proofErr w:type="spellStart"/>
      <w:r w:rsidRPr="00E815A3">
        <w:rPr>
          <w:lang w:val="bg-BG"/>
        </w:rPr>
        <w:t>ivermectin</w:t>
      </w:r>
      <w:proofErr w:type="spellEnd"/>
      <w:r w:rsidRPr="00E815A3">
        <w:rPr>
          <w:lang w:val="bg-BG"/>
        </w:rPr>
        <w:t>).</w:t>
      </w:r>
    </w:p>
    <w:p w14:paraId="30F8DF05" w14:textId="77777777" w:rsidR="00E815A3" w:rsidRPr="00E815A3" w:rsidRDefault="00E815A3" w:rsidP="00E815A3">
      <w:pPr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02A530D5" w14:textId="6F873493" w:rsidR="00E815A3" w:rsidRPr="00E815A3" w:rsidRDefault="00E815A3" w:rsidP="00047BE0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Помощни вещества с известно действие:</w:t>
      </w:r>
    </w:p>
    <w:p w14:paraId="1E148959" w14:textId="164F03EB" w:rsidR="00E815A3" w:rsidRPr="00E815A3" w:rsidRDefault="00E815A3" w:rsidP="00047BE0">
      <w:pPr>
        <w:rPr>
          <w:lang w:val="bg-BG"/>
        </w:rPr>
      </w:pPr>
      <w:r w:rsidRPr="00E815A3">
        <w:rPr>
          <w:lang w:val="bg-BG" w:eastAsia="bg-BG"/>
        </w:rPr>
        <w:t xml:space="preserve">Един грам от крема съдържа 35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 </w:t>
      </w:r>
      <w:proofErr w:type="spellStart"/>
      <w:r w:rsidRPr="00E815A3">
        <w:rPr>
          <w:lang w:val="bg-BG" w:eastAsia="bg-BG"/>
        </w:rPr>
        <w:t>цетилов</w:t>
      </w:r>
      <w:proofErr w:type="spellEnd"/>
      <w:r w:rsidRPr="00E815A3">
        <w:rPr>
          <w:lang w:val="bg-BG" w:eastAsia="bg-BG"/>
        </w:rPr>
        <w:t xml:space="preserve"> алкохол, 25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 </w:t>
      </w:r>
      <w:proofErr w:type="spellStart"/>
      <w:r w:rsidRPr="00E815A3">
        <w:rPr>
          <w:lang w:val="bg-BG" w:eastAsia="bg-BG"/>
        </w:rPr>
        <w:t>стеарилов</w:t>
      </w:r>
      <w:proofErr w:type="spellEnd"/>
      <w:r w:rsidRPr="00E815A3">
        <w:rPr>
          <w:lang w:val="bg-BG" w:eastAsia="bg-BG"/>
        </w:rPr>
        <w:t xml:space="preserve"> алкохол, 2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 </w:t>
      </w:r>
      <w:r w:rsidRPr="00E815A3">
        <w:rPr>
          <w:lang w:val="bg-BG" w:eastAsia="bg-BG"/>
        </w:rPr>
        <w:t xml:space="preserve">метил </w:t>
      </w:r>
      <w:proofErr w:type="spellStart"/>
      <w:r w:rsidRPr="00E815A3">
        <w:rPr>
          <w:lang w:val="bg-BG" w:eastAsia="bg-BG"/>
        </w:rPr>
        <w:t>парахидроксибензоат</w:t>
      </w:r>
      <w:proofErr w:type="spellEnd"/>
      <w:r w:rsidRPr="00E815A3">
        <w:rPr>
          <w:lang w:val="bg-BG" w:eastAsia="bg-BG"/>
        </w:rPr>
        <w:t xml:space="preserve"> (Е218), 1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 </w:t>
      </w:r>
      <w:r w:rsidRPr="00E815A3">
        <w:rPr>
          <w:lang w:val="bg-BG" w:eastAsia="bg-BG"/>
        </w:rPr>
        <w:t xml:space="preserve">пропил </w:t>
      </w:r>
      <w:proofErr w:type="spellStart"/>
      <w:r w:rsidRPr="00E815A3">
        <w:rPr>
          <w:lang w:val="bg-BG" w:eastAsia="bg-BG"/>
        </w:rPr>
        <w:t>парахидрокси</w:t>
      </w:r>
      <w:proofErr w:type="spellEnd"/>
      <w:r w:rsidRPr="00E815A3">
        <w:rPr>
          <w:lang w:val="bg-BG" w:eastAsia="bg-BG"/>
        </w:rPr>
        <w:t xml:space="preserve"> </w:t>
      </w:r>
      <w:proofErr w:type="spellStart"/>
      <w:r w:rsidRPr="00E815A3">
        <w:rPr>
          <w:lang w:val="bg-BG" w:eastAsia="bg-BG"/>
        </w:rPr>
        <w:t>бензоат</w:t>
      </w:r>
      <w:proofErr w:type="spellEnd"/>
      <w:r w:rsidRPr="00E815A3">
        <w:rPr>
          <w:lang w:val="bg-BG" w:eastAsia="bg-BG"/>
        </w:rPr>
        <w:t xml:space="preserve"> (Е216) и 20 </w:t>
      </w:r>
      <w:proofErr w:type="spellStart"/>
      <w:r w:rsidRPr="00E815A3">
        <w:rPr>
          <w:lang w:val="bg-BG"/>
        </w:rPr>
        <w:t>mg</w:t>
      </w:r>
      <w:proofErr w:type="spellEnd"/>
      <w:r w:rsidRPr="00E815A3">
        <w:rPr>
          <w:lang w:val="bg-BG"/>
        </w:rPr>
        <w:t xml:space="preserve"> </w:t>
      </w:r>
      <w:proofErr w:type="spellStart"/>
      <w:r w:rsidRPr="00E815A3">
        <w:rPr>
          <w:lang w:val="bg-BG" w:eastAsia="bg-BG"/>
        </w:rPr>
        <w:t>пропилен</w:t>
      </w:r>
      <w:proofErr w:type="spellEnd"/>
      <w:r w:rsidRPr="00E815A3">
        <w:rPr>
          <w:lang w:val="bg-BG" w:eastAsia="bg-BG"/>
        </w:rPr>
        <w:t xml:space="preserve"> </w:t>
      </w:r>
      <w:proofErr w:type="spellStart"/>
      <w:r w:rsidRPr="00E815A3">
        <w:rPr>
          <w:lang w:val="bg-BG" w:eastAsia="bg-BG"/>
        </w:rPr>
        <w:t>гликол</w:t>
      </w:r>
      <w:proofErr w:type="spellEnd"/>
      <w:r w:rsidRPr="00E815A3">
        <w:rPr>
          <w:lang w:val="bg-BG" w:eastAsia="bg-BG"/>
        </w:rPr>
        <w:t>.</w:t>
      </w:r>
    </w:p>
    <w:p w14:paraId="6CCB29CE" w14:textId="7C0DB573" w:rsidR="002C50EE" w:rsidRPr="00E815A3" w:rsidRDefault="002C50EE" w:rsidP="00E815A3">
      <w:pPr>
        <w:pStyle w:val="Heading1"/>
        <w:numPr>
          <w:ilvl w:val="0"/>
          <w:numId w:val="11"/>
        </w:numPr>
        <w:rPr>
          <w:lang w:val="bg-BG"/>
        </w:rPr>
      </w:pPr>
      <w:r w:rsidRPr="00E815A3">
        <w:rPr>
          <w:lang w:val="bg-BG"/>
        </w:rPr>
        <w:t>ЛЕКАРСТВЕНА ФОРМА</w:t>
      </w:r>
    </w:p>
    <w:p w14:paraId="2CFBB64F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Крем.</w:t>
      </w:r>
    </w:p>
    <w:p w14:paraId="00A95AD1" w14:textId="4F8DBDC1" w:rsidR="00E815A3" w:rsidRPr="00E815A3" w:rsidRDefault="00E815A3" w:rsidP="00E815A3">
      <w:pPr>
        <w:rPr>
          <w:lang w:val="bg-BG"/>
        </w:rPr>
      </w:pPr>
      <w:r w:rsidRPr="00E815A3">
        <w:rPr>
          <w:lang w:val="bg-BG" w:eastAsia="bg-BG"/>
        </w:rPr>
        <w:t>Бял до бледо жълт хидрофилен крем.</w:t>
      </w:r>
    </w:p>
    <w:p w14:paraId="490FC2C4" w14:textId="77777777" w:rsidR="002C50EE" w:rsidRPr="00E815A3" w:rsidRDefault="002C50EE" w:rsidP="002C50EE">
      <w:pPr>
        <w:pStyle w:val="Heading1"/>
        <w:rPr>
          <w:lang w:val="bg-BG"/>
        </w:rPr>
      </w:pPr>
      <w:r w:rsidRPr="00E815A3">
        <w:rPr>
          <w:lang w:val="bg-BG"/>
        </w:rPr>
        <w:t>4. КЛИНИЧНИ ДАННИ</w:t>
      </w:r>
    </w:p>
    <w:p w14:paraId="7CAFA7A6" w14:textId="60D979E7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4.1. Терапевтични показания</w:t>
      </w:r>
    </w:p>
    <w:p w14:paraId="2E040623" w14:textId="77777777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е показан за локално лечение на възпалителни лезии от </w:t>
      </w:r>
      <w:proofErr w:type="spellStart"/>
      <w:r w:rsidRPr="00E815A3">
        <w:rPr>
          <w:lang w:val="bg-BG" w:eastAsia="bg-BG"/>
        </w:rPr>
        <w:t>розацея</w:t>
      </w:r>
      <w:proofErr w:type="spellEnd"/>
      <w:r w:rsidRPr="00E815A3">
        <w:rPr>
          <w:lang w:val="bg-BG" w:eastAsia="bg-BG"/>
        </w:rPr>
        <w:t xml:space="preserve"> (</w:t>
      </w:r>
      <w:proofErr w:type="spellStart"/>
      <w:r w:rsidRPr="00E815A3">
        <w:rPr>
          <w:lang w:val="bg-BG" w:eastAsia="bg-BG"/>
        </w:rPr>
        <w:t>папуло-пустулозна</w:t>
      </w:r>
      <w:proofErr w:type="spellEnd"/>
      <w:r w:rsidRPr="00E815A3">
        <w:rPr>
          <w:lang w:val="bg-BG" w:eastAsia="bg-BG"/>
        </w:rPr>
        <w:t>) при възрастни пациенти.</w:t>
      </w:r>
    </w:p>
    <w:p w14:paraId="122678C0" w14:textId="77777777" w:rsidR="00E815A3" w:rsidRPr="00E815A3" w:rsidRDefault="00E815A3" w:rsidP="00E815A3">
      <w:pPr>
        <w:rPr>
          <w:lang w:val="bg-BG"/>
        </w:rPr>
      </w:pPr>
    </w:p>
    <w:p w14:paraId="79BF9253" w14:textId="6B6C3A57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4.2. Дозировка и начин на приложение</w:t>
      </w:r>
    </w:p>
    <w:p w14:paraId="2B40F2BF" w14:textId="77777777" w:rsidR="00E815A3" w:rsidRPr="00E815A3" w:rsidRDefault="00E815A3" w:rsidP="00E815A3">
      <w:pPr>
        <w:rPr>
          <w:lang w:val="bg-BG" w:eastAsia="bg-BG"/>
        </w:rPr>
      </w:pPr>
    </w:p>
    <w:p w14:paraId="18549502" w14:textId="1B9B2E03" w:rsidR="00E815A3" w:rsidRPr="00E815A3" w:rsidRDefault="00E815A3" w:rsidP="00E815A3">
      <w:pPr>
        <w:pStyle w:val="Heading3"/>
        <w:rPr>
          <w:rFonts w:eastAsia="Times New Roman"/>
          <w:i/>
          <w:iCs/>
          <w:lang w:val="bg-BG"/>
        </w:rPr>
      </w:pPr>
      <w:r w:rsidRPr="00E815A3">
        <w:rPr>
          <w:rFonts w:eastAsia="Times New Roman"/>
          <w:i/>
          <w:iCs/>
          <w:lang w:val="bg-BG" w:eastAsia="bg-BG"/>
        </w:rPr>
        <w:t>Дозировка</w:t>
      </w:r>
    </w:p>
    <w:p w14:paraId="7304D639" w14:textId="77777777" w:rsidR="00E815A3" w:rsidRPr="00E815A3" w:rsidRDefault="00E815A3" w:rsidP="00E815A3">
      <w:pPr>
        <w:rPr>
          <w:lang w:val="bg-BG" w:eastAsia="bg-BG"/>
        </w:rPr>
      </w:pPr>
    </w:p>
    <w:p w14:paraId="7FE51968" w14:textId="5A43B85E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Едно приложение на ден, за период до 4 месеца.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трябва да бъде нанасян ежедневно през курса на лечението. Курсът на лечение може да бъде повторен. В случай, че няма подобрение след 3 месеца, лечението трябва да бъде прекратено.</w:t>
      </w:r>
    </w:p>
    <w:p w14:paraId="0D79A332" w14:textId="77777777" w:rsidR="00E815A3" w:rsidRPr="00E815A3" w:rsidRDefault="00E815A3" w:rsidP="00E815A3">
      <w:pPr>
        <w:rPr>
          <w:i/>
          <w:iCs/>
          <w:lang w:val="bg-BG" w:eastAsia="bg-BG"/>
        </w:rPr>
      </w:pPr>
    </w:p>
    <w:p w14:paraId="130CA704" w14:textId="7A2C3852" w:rsidR="00E815A3" w:rsidRPr="00E815A3" w:rsidRDefault="00E815A3" w:rsidP="00E815A3">
      <w:pPr>
        <w:pStyle w:val="Heading3"/>
        <w:rPr>
          <w:rFonts w:eastAsia="Times New Roman"/>
          <w:i/>
          <w:iCs/>
          <w:lang w:val="bg-BG"/>
        </w:rPr>
      </w:pPr>
      <w:r w:rsidRPr="00E815A3">
        <w:rPr>
          <w:rFonts w:eastAsia="Times New Roman"/>
          <w:i/>
          <w:iCs/>
          <w:lang w:val="bg-BG" w:eastAsia="bg-BG"/>
        </w:rPr>
        <w:t>Специални популации</w:t>
      </w:r>
    </w:p>
    <w:p w14:paraId="1532375C" w14:textId="77777777" w:rsidR="00E815A3" w:rsidRPr="00E815A3" w:rsidRDefault="00E815A3" w:rsidP="00E815A3">
      <w:pPr>
        <w:rPr>
          <w:i/>
          <w:iCs/>
          <w:lang w:val="bg-BG" w:eastAsia="bg-BG"/>
        </w:rPr>
      </w:pPr>
    </w:p>
    <w:p w14:paraId="676FFE39" w14:textId="75AD5210" w:rsidR="00E815A3" w:rsidRPr="00E815A3" w:rsidRDefault="00E815A3" w:rsidP="00E815A3">
      <w:pPr>
        <w:pStyle w:val="Heading3"/>
        <w:rPr>
          <w:rFonts w:eastAsia="Times New Roman"/>
          <w:i/>
          <w:iCs/>
          <w:lang w:val="bg-BG"/>
        </w:rPr>
      </w:pPr>
      <w:r w:rsidRPr="00E815A3">
        <w:rPr>
          <w:rFonts w:eastAsia="Times New Roman"/>
          <w:i/>
          <w:iCs/>
          <w:lang w:val="bg-BG" w:eastAsia="bg-BG"/>
        </w:rPr>
        <w:t>Бъбречно увреждане</w:t>
      </w:r>
    </w:p>
    <w:p w14:paraId="4E78AC45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Не е необходима корекция на дозата.</w:t>
      </w:r>
    </w:p>
    <w:p w14:paraId="6DD8C16C" w14:textId="77777777" w:rsidR="00E815A3" w:rsidRPr="00E815A3" w:rsidRDefault="00E815A3" w:rsidP="00E815A3">
      <w:pPr>
        <w:rPr>
          <w:i/>
          <w:iCs/>
          <w:lang w:val="bg-BG" w:eastAsia="bg-BG"/>
        </w:rPr>
      </w:pPr>
    </w:p>
    <w:p w14:paraId="0675AB90" w14:textId="0E765CF4" w:rsidR="00E815A3" w:rsidRPr="00E815A3" w:rsidRDefault="00E815A3" w:rsidP="00E815A3">
      <w:pPr>
        <w:pStyle w:val="Heading3"/>
        <w:rPr>
          <w:rFonts w:eastAsia="Times New Roman"/>
          <w:i/>
          <w:iCs/>
          <w:lang w:val="bg-BG"/>
        </w:rPr>
      </w:pPr>
      <w:r w:rsidRPr="00E815A3">
        <w:rPr>
          <w:rFonts w:eastAsia="Times New Roman"/>
          <w:i/>
          <w:iCs/>
          <w:lang w:val="bg-BG" w:eastAsia="bg-BG"/>
        </w:rPr>
        <w:t>Чернодробно увреждане</w:t>
      </w:r>
    </w:p>
    <w:p w14:paraId="6B435447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Необходимо е повишено внимание при пациенти с тежко чернодробно увреждане.</w:t>
      </w:r>
    </w:p>
    <w:p w14:paraId="0CE88740" w14:textId="77777777" w:rsidR="00E815A3" w:rsidRPr="00E815A3" w:rsidRDefault="00E815A3" w:rsidP="00E815A3">
      <w:pPr>
        <w:rPr>
          <w:i/>
          <w:iCs/>
          <w:lang w:val="bg-BG" w:eastAsia="bg-BG"/>
        </w:rPr>
      </w:pPr>
    </w:p>
    <w:p w14:paraId="11052500" w14:textId="2F8142B3" w:rsidR="00E815A3" w:rsidRPr="00E815A3" w:rsidRDefault="00E815A3" w:rsidP="00E815A3">
      <w:pPr>
        <w:pStyle w:val="Heading3"/>
        <w:rPr>
          <w:rFonts w:eastAsia="Times New Roman"/>
          <w:i/>
          <w:iCs/>
          <w:lang w:val="bg-BG"/>
        </w:rPr>
      </w:pPr>
      <w:r w:rsidRPr="00E815A3">
        <w:rPr>
          <w:rFonts w:eastAsia="Times New Roman"/>
          <w:i/>
          <w:iCs/>
          <w:lang w:val="bg-BG" w:eastAsia="bg-BG"/>
        </w:rPr>
        <w:t>Пациенти в напреднала възраст</w:t>
      </w:r>
    </w:p>
    <w:p w14:paraId="0D69388F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Не е необходима корекция на дозата при пациенти в напреднала възраст (виж още точка 4.8).</w:t>
      </w:r>
    </w:p>
    <w:p w14:paraId="4940E952" w14:textId="77777777" w:rsidR="00E815A3" w:rsidRPr="00E815A3" w:rsidRDefault="00E815A3" w:rsidP="00E815A3">
      <w:pPr>
        <w:rPr>
          <w:i/>
          <w:iCs/>
          <w:lang w:val="bg-BG" w:eastAsia="bg-BG"/>
        </w:rPr>
      </w:pPr>
    </w:p>
    <w:p w14:paraId="18AB8B56" w14:textId="4F995AE5" w:rsidR="00E815A3" w:rsidRPr="00E815A3" w:rsidRDefault="00E815A3" w:rsidP="00E815A3">
      <w:pPr>
        <w:pStyle w:val="Heading3"/>
        <w:rPr>
          <w:rFonts w:eastAsia="Times New Roman"/>
          <w:i/>
          <w:iCs/>
          <w:lang w:val="bg-BG"/>
        </w:rPr>
      </w:pPr>
      <w:r w:rsidRPr="00E815A3">
        <w:rPr>
          <w:rFonts w:eastAsia="Times New Roman"/>
          <w:i/>
          <w:iCs/>
          <w:lang w:val="bg-BG" w:eastAsia="bg-BG"/>
        </w:rPr>
        <w:lastRenderedPageBreak/>
        <w:t>Педиатрична популация</w:t>
      </w:r>
    </w:p>
    <w:p w14:paraId="3206FC57" w14:textId="6A746970" w:rsidR="00E815A3" w:rsidRPr="00E815A3" w:rsidRDefault="00E815A3" w:rsidP="00E815A3">
      <w:pPr>
        <w:rPr>
          <w:lang w:val="bg-BG" w:eastAsia="bg-BG"/>
        </w:rPr>
      </w:pPr>
      <w:r w:rsidRPr="00E815A3">
        <w:rPr>
          <w:lang w:val="bg-BG" w:eastAsia="bg-BG"/>
        </w:rPr>
        <w:t xml:space="preserve">Безопасността и ефикасността на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при деца и юноши на възраст под 18 години не са установени. Липсват данни.</w:t>
      </w:r>
    </w:p>
    <w:p w14:paraId="0D28CAAF" w14:textId="70F44C5A" w:rsidR="00E815A3" w:rsidRPr="00E815A3" w:rsidRDefault="00E815A3" w:rsidP="00E815A3">
      <w:pPr>
        <w:rPr>
          <w:lang w:val="bg-BG" w:eastAsia="bg-BG"/>
        </w:rPr>
      </w:pPr>
    </w:p>
    <w:p w14:paraId="7AC4BABC" w14:textId="77777777" w:rsidR="00E815A3" w:rsidRPr="00E815A3" w:rsidRDefault="00E815A3" w:rsidP="00E815A3">
      <w:pPr>
        <w:pStyle w:val="Heading3"/>
        <w:rPr>
          <w:rFonts w:eastAsia="Times New Roman"/>
          <w:u w:val="single"/>
          <w:lang w:val="bg-BG"/>
        </w:rPr>
      </w:pPr>
      <w:r w:rsidRPr="00E815A3">
        <w:rPr>
          <w:rFonts w:eastAsia="Times New Roman"/>
          <w:u w:val="single"/>
          <w:lang w:val="bg-BG" w:eastAsia="bg-BG"/>
        </w:rPr>
        <w:t>Начин на приложение</w:t>
      </w:r>
    </w:p>
    <w:p w14:paraId="683CB009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Само за кожно приложение.</w:t>
      </w:r>
    </w:p>
    <w:p w14:paraId="7B3A3F47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Кожно приложение на количество с размер на грахово зърно от лекарствения продукт на всяка от петте области на лицето: чело, брадичка, нос, всяка от бузите. Лекарственият продукт трябва да се нанесе на тънък слой по цялото лице, като се избягват очите, устните и </w:t>
      </w:r>
      <w:proofErr w:type="spellStart"/>
      <w:r w:rsidRPr="00E815A3">
        <w:rPr>
          <w:lang w:val="bg-BG" w:eastAsia="bg-BG"/>
        </w:rPr>
        <w:t>мукозата</w:t>
      </w:r>
      <w:proofErr w:type="spellEnd"/>
      <w:r w:rsidRPr="00E815A3">
        <w:rPr>
          <w:lang w:val="bg-BG" w:eastAsia="bg-BG"/>
        </w:rPr>
        <w:t>.</w:t>
      </w:r>
    </w:p>
    <w:p w14:paraId="79C9EB27" w14:textId="77777777" w:rsidR="00E815A3" w:rsidRPr="00E815A3" w:rsidRDefault="00E815A3" w:rsidP="00E815A3">
      <w:pPr>
        <w:rPr>
          <w:lang w:val="bg-BG" w:eastAsia="bg-BG"/>
        </w:rPr>
      </w:pPr>
    </w:p>
    <w:p w14:paraId="049A8A39" w14:textId="49346315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трябва да се нанася само по лицето.</w:t>
      </w:r>
    </w:p>
    <w:p w14:paraId="37B550E6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Ръцете трябва да се измиват след прилагане на лекарствения продукт.</w:t>
      </w:r>
    </w:p>
    <w:p w14:paraId="41ED5721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Козметика може да се нанася след изсъхване на лекарствения продукт.</w:t>
      </w:r>
    </w:p>
    <w:p w14:paraId="6721FC0C" w14:textId="77777777" w:rsidR="00E815A3" w:rsidRPr="00E815A3" w:rsidRDefault="00E815A3" w:rsidP="00E815A3">
      <w:pPr>
        <w:rPr>
          <w:lang w:val="bg-BG"/>
        </w:rPr>
      </w:pPr>
    </w:p>
    <w:p w14:paraId="455D6048" w14:textId="524F1ECB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4.3. Противопоказания</w:t>
      </w:r>
    </w:p>
    <w:p w14:paraId="61A57642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405D33AD" w14:textId="77777777" w:rsidR="00E815A3" w:rsidRPr="00E815A3" w:rsidRDefault="00E815A3" w:rsidP="00E815A3">
      <w:pPr>
        <w:rPr>
          <w:lang w:val="bg-BG"/>
        </w:rPr>
      </w:pPr>
    </w:p>
    <w:p w14:paraId="2A4373D0" w14:textId="23B6ABDA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4.4. Специални предупреждения и предпазни мерки при употреба</w:t>
      </w:r>
    </w:p>
    <w:p w14:paraId="148041AC" w14:textId="77777777" w:rsidR="00E815A3" w:rsidRPr="00E815A3" w:rsidRDefault="00E815A3" w:rsidP="00047BE0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Пациентите могат да получат преходно влошаване на </w:t>
      </w:r>
      <w:proofErr w:type="spellStart"/>
      <w:r w:rsidRPr="00E815A3">
        <w:rPr>
          <w:lang w:val="bg-BG" w:eastAsia="bg-BG"/>
        </w:rPr>
        <w:t>розацеята</w:t>
      </w:r>
      <w:proofErr w:type="spellEnd"/>
      <w:r w:rsidRPr="00E815A3">
        <w:rPr>
          <w:lang w:val="bg-BG" w:eastAsia="bg-BG"/>
        </w:rPr>
        <w:t xml:space="preserve">, което обикновено отзвучава в рамките на 1 седмица при продължаване на лечението, което може да се очаква поради реакция към умиращите </w:t>
      </w:r>
      <w:proofErr w:type="spellStart"/>
      <w:r w:rsidRPr="00E815A3">
        <w:rPr>
          <w:lang w:val="bg-BG" w:eastAsia="bg-BG"/>
        </w:rPr>
        <w:t>акари</w:t>
      </w:r>
      <w:proofErr w:type="spellEnd"/>
      <w:r w:rsidRPr="00E815A3">
        <w:rPr>
          <w:lang w:val="bg-BG" w:eastAsia="bg-BG"/>
        </w:rPr>
        <w:t xml:space="preserve"> </w:t>
      </w:r>
      <w:proofErr w:type="spellStart"/>
      <w:r w:rsidRPr="00E815A3">
        <w:rPr>
          <w:lang w:val="bg-BG"/>
        </w:rPr>
        <w:t>Demodex</w:t>
      </w:r>
      <w:proofErr w:type="spellEnd"/>
      <w:r w:rsidRPr="00E815A3">
        <w:rPr>
          <w:lang w:val="bg-BG"/>
        </w:rPr>
        <w:t>.</w:t>
      </w:r>
    </w:p>
    <w:p w14:paraId="176417A3" w14:textId="77777777" w:rsidR="00E815A3" w:rsidRPr="00E815A3" w:rsidRDefault="00E815A3" w:rsidP="00047BE0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В случай на сериозно влошаване със силна </w:t>
      </w:r>
      <w:proofErr w:type="spellStart"/>
      <w:r w:rsidRPr="00E815A3">
        <w:rPr>
          <w:lang w:val="bg-BG" w:eastAsia="bg-BG"/>
        </w:rPr>
        <w:t>дермална</w:t>
      </w:r>
      <w:proofErr w:type="spellEnd"/>
      <w:r w:rsidRPr="00E815A3">
        <w:rPr>
          <w:lang w:val="bg-BG" w:eastAsia="bg-BG"/>
        </w:rPr>
        <w:t xml:space="preserve"> реакция, лечението трябва да се преустанови.</w:t>
      </w:r>
    </w:p>
    <w:p w14:paraId="17628811" w14:textId="77777777" w:rsidR="00E815A3" w:rsidRPr="00E815A3" w:rsidRDefault="00E815A3" w:rsidP="00047BE0">
      <w:pPr>
        <w:rPr>
          <w:lang w:val="bg-BG" w:eastAsia="bg-BG"/>
        </w:rPr>
      </w:pPr>
    </w:p>
    <w:p w14:paraId="75EB8BDF" w14:textId="7F3B0CAF" w:rsidR="00E815A3" w:rsidRPr="00E815A3" w:rsidRDefault="00E815A3" w:rsidP="00047BE0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не е проучван при пациенти с бъбречно или чернодробно увреждане.</w:t>
      </w:r>
    </w:p>
    <w:p w14:paraId="48F35F21" w14:textId="77777777" w:rsidR="00E815A3" w:rsidRPr="00E815A3" w:rsidRDefault="00E815A3" w:rsidP="00047BE0">
      <w:pPr>
        <w:rPr>
          <w:lang w:val="bg-BG" w:eastAsia="bg-BG"/>
        </w:rPr>
      </w:pPr>
    </w:p>
    <w:p w14:paraId="6861EB09" w14:textId="3A0ABCA2" w:rsidR="00E815A3" w:rsidRPr="00E815A3" w:rsidRDefault="00E815A3" w:rsidP="00047BE0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Лекарственият продукт съдържа:</w:t>
      </w:r>
    </w:p>
    <w:p w14:paraId="0F82B062" w14:textId="7CC6EE5A" w:rsidR="00E815A3" w:rsidRPr="00E815A3" w:rsidRDefault="00E815A3" w:rsidP="00047BE0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цетилов</w:t>
      </w:r>
      <w:proofErr w:type="spellEnd"/>
      <w:r w:rsidRPr="00E815A3">
        <w:rPr>
          <w:lang w:val="bg-BG" w:eastAsia="bg-BG"/>
        </w:rPr>
        <w:t xml:space="preserve"> алкохол и </w:t>
      </w:r>
      <w:proofErr w:type="spellStart"/>
      <w:r w:rsidRPr="00E815A3">
        <w:rPr>
          <w:lang w:val="bg-BG" w:eastAsia="bg-BG"/>
        </w:rPr>
        <w:t>стеарилов</w:t>
      </w:r>
      <w:proofErr w:type="spellEnd"/>
      <w:r w:rsidRPr="00E815A3">
        <w:rPr>
          <w:lang w:val="bg-BG" w:eastAsia="bg-BG"/>
        </w:rPr>
        <w:t xml:space="preserve"> алкохол, които могат да предизвикат локални кожни реакции (напр. контактен </w:t>
      </w:r>
      <w:proofErr w:type="spellStart"/>
      <w:r w:rsidRPr="00E815A3">
        <w:rPr>
          <w:lang w:val="bg-BG" w:eastAsia="bg-BG"/>
        </w:rPr>
        <w:t>дерматит</w:t>
      </w:r>
      <w:proofErr w:type="spellEnd"/>
      <w:r w:rsidRPr="00E815A3">
        <w:rPr>
          <w:lang w:val="bg-BG" w:eastAsia="bg-BG"/>
        </w:rPr>
        <w:t>),</w:t>
      </w:r>
    </w:p>
    <w:p w14:paraId="45CA2C97" w14:textId="77777777" w:rsidR="00E815A3" w:rsidRPr="00E815A3" w:rsidRDefault="00E815A3" w:rsidP="00047BE0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метил </w:t>
      </w:r>
      <w:proofErr w:type="spellStart"/>
      <w:r w:rsidRPr="00E815A3">
        <w:rPr>
          <w:lang w:val="bg-BG" w:eastAsia="bg-BG"/>
        </w:rPr>
        <w:t>парахидрокси</w:t>
      </w:r>
      <w:proofErr w:type="spellEnd"/>
      <w:r w:rsidRPr="00E815A3">
        <w:rPr>
          <w:lang w:val="bg-BG" w:eastAsia="bg-BG"/>
        </w:rPr>
        <w:t xml:space="preserve"> </w:t>
      </w:r>
      <w:proofErr w:type="spellStart"/>
      <w:r w:rsidRPr="00E815A3">
        <w:rPr>
          <w:lang w:val="bg-BG" w:eastAsia="bg-BG"/>
        </w:rPr>
        <w:t>бензоат</w:t>
      </w:r>
      <w:proofErr w:type="spellEnd"/>
      <w:r w:rsidRPr="00E815A3">
        <w:rPr>
          <w:lang w:val="bg-BG" w:eastAsia="bg-BG"/>
        </w:rPr>
        <w:t xml:space="preserve"> (Е218) и пропил </w:t>
      </w:r>
      <w:proofErr w:type="spellStart"/>
      <w:r w:rsidRPr="00E815A3">
        <w:rPr>
          <w:lang w:val="bg-BG" w:eastAsia="bg-BG"/>
        </w:rPr>
        <w:t>парахидроксибензоат</w:t>
      </w:r>
      <w:proofErr w:type="spellEnd"/>
      <w:r w:rsidRPr="00E815A3">
        <w:rPr>
          <w:lang w:val="bg-BG" w:eastAsia="bg-BG"/>
        </w:rPr>
        <w:t xml:space="preserve"> (Е216), които могат да предизвикат алергични реакции (вероятно забавени), </w:t>
      </w:r>
    </w:p>
    <w:p w14:paraId="23B55999" w14:textId="3D0A0E0F" w:rsidR="00E815A3" w:rsidRPr="00E815A3" w:rsidRDefault="00E815A3" w:rsidP="00047BE0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и </w:t>
      </w:r>
      <w:proofErr w:type="spellStart"/>
      <w:r w:rsidRPr="00E815A3">
        <w:rPr>
          <w:lang w:val="bg-BG" w:eastAsia="bg-BG"/>
        </w:rPr>
        <w:t>пропилен</w:t>
      </w:r>
      <w:proofErr w:type="spellEnd"/>
      <w:r w:rsidRPr="00E815A3">
        <w:rPr>
          <w:lang w:val="bg-BG" w:eastAsia="bg-BG"/>
        </w:rPr>
        <w:t xml:space="preserve"> </w:t>
      </w:r>
      <w:proofErr w:type="spellStart"/>
      <w:r w:rsidRPr="00E815A3">
        <w:rPr>
          <w:lang w:val="bg-BG" w:eastAsia="bg-BG"/>
        </w:rPr>
        <w:t>гликол</w:t>
      </w:r>
      <w:proofErr w:type="spellEnd"/>
      <w:r w:rsidRPr="00E815A3">
        <w:rPr>
          <w:lang w:val="bg-BG" w:eastAsia="bg-BG"/>
        </w:rPr>
        <w:t>, който може да причини раздразнение по кожата</w:t>
      </w:r>
    </w:p>
    <w:p w14:paraId="31EB96EC" w14:textId="77777777" w:rsidR="00E815A3" w:rsidRPr="00E815A3" w:rsidRDefault="00E815A3" w:rsidP="00E815A3">
      <w:pPr>
        <w:rPr>
          <w:lang w:val="bg-BG"/>
        </w:rPr>
      </w:pPr>
    </w:p>
    <w:p w14:paraId="78BEBB3D" w14:textId="781D8035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4.5. Взаимодействие с други лекарствени продукти и други форми на взаимодействие</w:t>
      </w:r>
    </w:p>
    <w:p w14:paraId="7409C974" w14:textId="77777777" w:rsidR="00E815A3" w:rsidRPr="00E815A3" w:rsidRDefault="00E815A3" w:rsidP="00E815A3">
      <w:pPr>
        <w:rPr>
          <w:lang w:val="bg-BG" w:eastAsia="bg-BG"/>
        </w:rPr>
      </w:pPr>
    </w:p>
    <w:p w14:paraId="58668506" w14:textId="4F07A9CC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Не са провеждани проучвания за взаимодействия (виж точка 5.2 за </w:t>
      </w:r>
      <w:proofErr w:type="spellStart"/>
      <w:r w:rsidRPr="00E815A3">
        <w:rPr>
          <w:lang w:val="bg-BG" w:eastAsia="bg-BG"/>
        </w:rPr>
        <w:t>Биотрансформация</w:t>
      </w:r>
      <w:proofErr w:type="spellEnd"/>
      <w:r w:rsidRPr="00E815A3">
        <w:rPr>
          <w:lang w:val="bg-BG" w:eastAsia="bg-BG"/>
        </w:rPr>
        <w:t xml:space="preserve">). Едновременната употреба на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с други локални или системни лекарствени продукти за лечение на </w:t>
      </w:r>
      <w:proofErr w:type="spellStart"/>
      <w:r w:rsidRPr="00E815A3">
        <w:rPr>
          <w:lang w:val="bg-BG" w:eastAsia="bg-BG"/>
        </w:rPr>
        <w:t>розацея</w:t>
      </w:r>
      <w:proofErr w:type="spellEnd"/>
      <w:r w:rsidRPr="00E815A3">
        <w:rPr>
          <w:lang w:val="bg-BG" w:eastAsia="bg-BG"/>
        </w:rPr>
        <w:t xml:space="preserve"> не е изследвана.</w:t>
      </w:r>
    </w:p>
    <w:p w14:paraId="700A1D01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Ин витро проучвания показват, че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се </w:t>
      </w:r>
      <w:proofErr w:type="spellStart"/>
      <w:r w:rsidRPr="00E815A3">
        <w:rPr>
          <w:lang w:val="bg-BG" w:eastAsia="bg-BG"/>
        </w:rPr>
        <w:t>метаболизира</w:t>
      </w:r>
      <w:proofErr w:type="spellEnd"/>
      <w:r w:rsidRPr="00E815A3">
        <w:rPr>
          <w:lang w:val="bg-BG" w:eastAsia="bg-BG"/>
        </w:rPr>
        <w:t xml:space="preserve"> основно от </w:t>
      </w:r>
      <w:r w:rsidRPr="00E815A3">
        <w:rPr>
          <w:lang w:val="bg-BG"/>
        </w:rPr>
        <w:t xml:space="preserve">CYP3A4. </w:t>
      </w:r>
      <w:r w:rsidRPr="00E815A3">
        <w:rPr>
          <w:lang w:val="bg-BG" w:eastAsia="bg-BG"/>
        </w:rPr>
        <w:t xml:space="preserve">Поради това се препоръчва повишено внимание, когато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се прилага едновременно със силни </w:t>
      </w:r>
      <w:proofErr w:type="spellStart"/>
      <w:r w:rsidRPr="00E815A3">
        <w:rPr>
          <w:lang w:val="bg-BG" w:eastAsia="bg-BG"/>
        </w:rPr>
        <w:t>инхибитори</w:t>
      </w:r>
      <w:proofErr w:type="spellEnd"/>
      <w:r w:rsidRPr="00E815A3">
        <w:rPr>
          <w:lang w:val="bg-BG" w:eastAsia="bg-BG"/>
        </w:rPr>
        <w:t xml:space="preserve"> на </w:t>
      </w:r>
      <w:r w:rsidRPr="00E815A3">
        <w:rPr>
          <w:lang w:val="bg-BG"/>
        </w:rPr>
        <w:t xml:space="preserve">CYP3A4, </w:t>
      </w:r>
      <w:r w:rsidRPr="00E815A3">
        <w:rPr>
          <w:lang w:val="bg-BG" w:eastAsia="bg-BG"/>
        </w:rPr>
        <w:t>тъй като плазмената експозиция може да бъде значително увеличена.</w:t>
      </w:r>
    </w:p>
    <w:p w14:paraId="1ECC6BEA" w14:textId="77777777" w:rsidR="00E815A3" w:rsidRPr="00E815A3" w:rsidRDefault="00E815A3" w:rsidP="00E815A3">
      <w:pPr>
        <w:rPr>
          <w:lang w:val="bg-BG"/>
        </w:rPr>
      </w:pPr>
    </w:p>
    <w:p w14:paraId="48221AB5" w14:textId="368258E2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lastRenderedPageBreak/>
        <w:t xml:space="preserve">4.6. </w:t>
      </w:r>
      <w:proofErr w:type="spellStart"/>
      <w:r w:rsidRPr="00E815A3">
        <w:rPr>
          <w:lang w:val="bg-BG"/>
        </w:rPr>
        <w:t>Фертилитет</w:t>
      </w:r>
      <w:proofErr w:type="spellEnd"/>
      <w:r w:rsidRPr="00E815A3">
        <w:rPr>
          <w:lang w:val="bg-BG"/>
        </w:rPr>
        <w:t>, бременност и кърмене</w:t>
      </w:r>
    </w:p>
    <w:p w14:paraId="6377A994" w14:textId="77777777" w:rsidR="00E815A3" w:rsidRPr="00E815A3" w:rsidRDefault="00E815A3" w:rsidP="00E815A3">
      <w:pPr>
        <w:pStyle w:val="Heading3"/>
        <w:rPr>
          <w:rFonts w:eastAsia="Times New Roman"/>
          <w:u w:val="single"/>
          <w:lang w:val="bg-BG"/>
        </w:rPr>
      </w:pPr>
      <w:r w:rsidRPr="00E815A3">
        <w:rPr>
          <w:rFonts w:eastAsia="Times New Roman"/>
          <w:u w:val="single"/>
          <w:lang w:val="bg-BG" w:eastAsia="bg-BG"/>
        </w:rPr>
        <w:t>Бременност</w:t>
      </w:r>
    </w:p>
    <w:p w14:paraId="00B17141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Липсват или има ограничени данни от употребата на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при локално прилагане при бременни жени. Перорални проучвания за репродуктивна токсичност са показали, че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е </w:t>
      </w:r>
      <w:proofErr w:type="spellStart"/>
      <w:r w:rsidRPr="00E815A3">
        <w:rPr>
          <w:lang w:val="bg-BG" w:eastAsia="bg-BG"/>
        </w:rPr>
        <w:t>тератогенен</w:t>
      </w:r>
      <w:proofErr w:type="spellEnd"/>
      <w:r w:rsidRPr="00E815A3">
        <w:rPr>
          <w:lang w:val="bg-BG" w:eastAsia="bg-BG"/>
        </w:rPr>
        <w:t xml:space="preserve"> при плъхове и зайци (виж точка 5.3). Въпреки това, поради ниската системна експозиция след локално приложение на продукта в предложената дозировка, при хората съществува малко безпокойство за безопасността на плода. Не се препоръчва използването на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по време на бременност.</w:t>
      </w:r>
    </w:p>
    <w:p w14:paraId="21B606EB" w14:textId="77777777" w:rsidR="00E815A3" w:rsidRPr="00E815A3" w:rsidRDefault="00E815A3" w:rsidP="00E815A3">
      <w:pPr>
        <w:rPr>
          <w:i/>
          <w:iCs/>
          <w:lang w:val="bg-BG" w:eastAsia="bg-BG"/>
        </w:rPr>
      </w:pPr>
    </w:p>
    <w:p w14:paraId="32527FF7" w14:textId="196DBB45" w:rsidR="00E815A3" w:rsidRPr="00E815A3" w:rsidRDefault="00E815A3" w:rsidP="00E815A3">
      <w:pPr>
        <w:pStyle w:val="Heading3"/>
        <w:rPr>
          <w:rFonts w:eastAsia="Times New Roman"/>
          <w:u w:val="single"/>
          <w:lang w:val="bg-BG"/>
        </w:rPr>
      </w:pPr>
      <w:r w:rsidRPr="00E815A3">
        <w:rPr>
          <w:rFonts w:eastAsia="Times New Roman"/>
          <w:u w:val="single"/>
          <w:lang w:val="bg-BG" w:eastAsia="bg-BG"/>
        </w:rPr>
        <w:t>Кърмене</w:t>
      </w:r>
    </w:p>
    <w:p w14:paraId="2203E6CC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След перорално приложение,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се отделя в кърмата в малки концентрации. Не е оценена</w:t>
      </w:r>
    </w:p>
    <w:p w14:paraId="3DA0CA93" w14:textId="77777777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екскрецията</w:t>
      </w:r>
      <w:proofErr w:type="spellEnd"/>
      <w:r w:rsidRPr="00E815A3">
        <w:rPr>
          <w:lang w:val="bg-BG" w:eastAsia="bg-BG"/>
        </w:rPr>
        <w:t xml:space="preserve"> в човешкото мляко след локално приложение. Наличните </w:t>
      </w:r>
      <w:proofErr w:type="spellStart"/>
      <w:r w:rsidRPr="00E815A3">
        <w:rPr>
          <w:lang w:val="bg-BG" w:eastAsia="bg-BG"/>
        </w:rPr>
        <w:t>фармакокинетични</w:t>
      </w:r>
      <w:proofErr w:type="spellEnd"/>
      <w:r w:rsidRPr="00E815A3">
        <w:rPr>
          <w:i/>
          <w:iCs/>
          <w:lang w:val="bg-BG" w:eastAsia="bg-BG"/>
        </w:rPr>
        <w:t xml:space="preserve"> </w:t>
      </w:r>
      <w:r w:rsidRPr="00E815A3">
        <w:rPr>
          <w:lang w:val="bg-BG" w:eastAsia="bg-BG"/>
        </w:rPr>
        <w:t xml:space="preserve">токсикологични данни при животни също показват </w:t>
      </w:r>
      <w:proofErr w:type="spellStart"/>
      <w:r w:rsidRPr="00E815A3">
        <w:rPr>
          <w:lang w:val="bg-BG" w:eastAsia="bg-BG"/>
        </w:rPr>
        <w:t>екскреция</w:t>
      </w:r>
      <w:proofErr w:type="spellEnd"/>
      <w:r w:rsidRPr="00E815A3">
        <w:rPr>
          <w:lang w:val="bg-BG" w:eastAsia="bg-BG"/>
        </w:rPr>
        <w:t xml:space="preserve"> на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в млякото. Не може да се изключи риск при кърмачета. Трябва да се вземе решение дали да се преустанови кърменето или да се преустанови/ да не се приложи лечение със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>, като се вземат предвид ползата от кърменето за детето и ползата от лечението за жената.</w:t>
      </w:r>
    </w:p>
    <w:p w14:paraId="64B2D90A" w14:textId="77777777" w:rsidR="00E815A3" w:rsidRPr="00E815A3" w:rsidRDefault="00E815A3" w:rsidP="00E815A3">
      <w:pPr>
        <w:rPr>
          <w:u w:val="single"/>
          <w:lang w:val="bg-BG" w:eastAsia="bg-BG"/>
        </w:rPr>
      </w:pPr>
    </w:p>
    <w:p w14:paraId="5C8841F7" w14:textId="3567A85D" w:rsidR="00E815A3" w:rsidRPr="00E815A3" w:rsidRDefault="00E815A3" w:rsidP="00E815A3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E815A3">
        <w:rPr>
          <w:rFonts w:eastAsia="Times New Roman"/>
          <w:u w:val="single"/>
          <w:lang w:val="bg-BG" w:eastAsia="bg-BG"/>
        </w:rPr>
        <w:t>Фертилитет</w:t>
      </w:r>
      <w:proofErr w:type="spellEnd"/>
    </w:p>
    <w:p w14:paraId="72579564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Няма налични данни за ефекта на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върху </w:t>
      </w:r>
      <w:proofErr w:type="spellStart"/>
      <w:r w:rsidRPr="00E815A3">
        <w:rPr>
          <w:lang w:val="bg-BG" w:eastAsia="bg-BG"/>
        </w:rPr>
        <w:t>фертилитета</w:t>
      </w:r>
      <w:proofErr w:type="spellEnd"/>
      <w:r w:rsidRPr="00E815A3">
        <w:rPr>
          <w:lang w:val="bg-BG" w:eastAsia="bg-BG"/>
        </w:rPr>
        <w:t xml:space="preserve"> при хора. При плъхове, третирането с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няма ефект върху чифтосването или </w:t>
      </w:r>
      <w:proofErr w:type="spellStart"/>
      <w:r w:rsidRPr="00E815A3">
        <w:rPr>
          <w:lang w:val="bg-BG" w:eastAsia="bg-BG"/>
        </w:rPr>
        <w:t>фертилитета</w:t>
      </w:r>
      <w:proofErr w:type="spellEnd"/>
      <w:r w:rsidRPr="00E815A3">
        <w:rPr>
          <w:lang w:val="bg-BG" w:eastAsia="bg-BG"/>
        </w:rPr>
        <w:t>.</w:t>
      </w:r>
    </w:p>
    <w:p w14:paraId="4198A5C0" w14:textId="250B166A" w:rsidR="00E815A3" w:rsidRPr="00E815A3" w:rsidRDefault="00E815A3" w:rsidP="00E815A3">
      <w:pPr>
        <w:rPr>
          <w:lang w:val="bg-BG"/>
        </w:rPr>
      </w:pPr>
    </w:p>
    <w:p w14:paraId="5F675BDB" w14:textId="3C3D4BFE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4.7. Ефекти върху способността за шофиране и работа с машини</w:t>
      </w:r>
    </w:p>
    <w:p w14:paraId="169936AD" w14:textId="49837EDE" w:rsidR="00E815A3" w:rsidRPr="00E815A3" w:rsidRDefault="00E815A3" w:rsidP="00E815A3">
      <w:pPr>
        <w:rPr>
          <w:lang w:val="bg-BG"/>
        </w:rPr>
      </w:pPr>
      <w:proofErr w:type="spellStart"/>
      <w:r w:rsidRPr="00E815A3">
        <w:rPr>
          <w:lang w:val="bg-BG"/>
        </w:rPr>
        <w:t>Соолантра</w:t>
      </w:r>
      <w:proofErr w:type="spellEnd"/>
      <w:r w:rsidRPr="00E815A3">
        <w:rPr>
          <w:lang w:val="bg-BG"/>
        </w:rPr>
        <w:t xml:space="preserve"> не повлиява, или има незначително влияние върху способността за шофиране и работа с машини.</w:t>
      </w:r>
    </w:p>
    <w:p w14:paraId="54A6DDBE" w14:textId="77777777" w:rsidR="00E815A3" w:rsidRPr="00E815A3" w:rsidRDefault="00E815A3" w:rsidP="00E815A3">
      <w:pPr>
        <w:rPr>
          <w:lang w:val="bg-BG"/>
        </w:rPr>
      </w:pPr>
    </w:p>
    <w:p w14:paraId="1B3BD30D" w14:textId="2095ACB9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4.8. Нежелани лекарствени реакции</w:t>
      </w:r>
    </w:p>
    <w:p w14:paraId="321A6501" w14:textId="77777777" w:rsidR="00E815A3" w:rsidRPr="00E815A3" w:rsidRDefault="00E815A3" w:rsidP="00E815A3">
      <w:pPr>
        <w:rPr>
          <w:u w:val="single"/>
          <w:lang w:val="bg-BG" w:eastAsia="bg-BG"/>
        </w:rPr>
      </w:pPr>
    </w:p>
    <w:p w14:paraId="0DB67071" w14:textId="76E108C5" w:rsidR="00E815A3" w:rsidRPr="00E815A3" w:rsidRDefault="00E815A3" w:rsidP="00E815A3">
      <w:pPr>
        <w:rPr>
          <w:sz w:val="24"/>
          <w:szCs w:val="24"/>
          <w:u w:val="single"/>
          <w:lang w:val="bg-BG"/>
        </w:rPr>
      </w:pPr>
      <w:r w:rsidRPr="00E815A3">
        <w:rPr>
          <w:u w:val="single"/>
          <w:lang w:val="bg-BG" w:eastAsia="bg-BG"/>
        </w:rPr>
        <w:t>Обобщение на профила на безопасност</w:t>
      </w:r>
    </w:p>
    <w:p w14:paraId="2B0458E6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>Най-често съобщаваните нежелани реакции са усещане за парене по кожата, раздразнение по кожата, сърбеж и суха кожа, всички те се появяват при 1 % или по-малко от пациентите, които са лекувани с лекарствения продукт в клиничните проучвания. Те обикновено са леки до умерени по тежест и обикновено намаляват при продължаване на лечението. Не са наблюдавани значими разлики в профила на безопасност между субектите на 18-65 години и индивиди на възраст &gt;65 години.</w:t>
      </w:r>
    </w:p>
    <w:p w14:paraId="291001DC" w14:textId="60D32BB8" w:rsidR="00E815A3" w:rsidRPr="00E815A3" w:rsidRDefault="00E815A3" w:rsidP="00E815A3">
      <w:pPr>
        <w:rPr>
          <w:lang w:val="bg-BG"/>
        </w:rPr>
      </w:pPr>
    </w:p>
    <w:p w14:paraId="01F286C6" w14:textId="77777777" w:rsidR="00E815A3" w:rsidRPr="00E815A3" w:rsidRDefault="00E815A3" w:rsidP="00E815A3">
      <w:pPr>
        <w:rPr>
          <w:sz w:val="24"/>
          <w:szCs w:val="24"/>
          <w:u w:val="single"/>
          <w:lang w:val="bg-BG"/>
        </w:rPr>
      </w:pPr>
      <w:r w:rsidRPr="00E815A3">
        <w:rPr>
          <w:u w:val="single"/>
          <w:lang w:val="bg-BG" w:eastAsia="bg-BG"/>
        </w:rPr>
        <w:t>Списък на нежеланите лекарствени реакции в табличен вид</w:t>
      </w:r>
    </w:p>
    <w:p w14:paraId="20412C94" w14:textId="51BAA30B" w:rsidR="00E815A3" w:rsidRPr="00E815A3" w:rsidRDefault="00E815A3" w:rsidP="00E815A3">
      <w:pPr>
        <w:rPr>
          <w:lang w:val="bg-BG" w:eastAsia="bg-BG"/>
        </w:rPr>
      </w:pPr>
      <w:r w:rsidRPr="00E815A3">
        <w:rPr>
          <w:lang w:val="bg-BG" w:eastAsia="bg-BG"/>
        </w:rPr>
        <w:t xml:space="preserve">Нежеланите лекарствени реакции са класифицирани по </w:t>
      </w:r>
      <w:proofErr w:type="spellStart"/>
      <w:r w:rsidRPr="00E815A3">
        <w:rPr>
          <w:lang w:val="bg-BG" w:eastAsia="bg-BG"/>
        </w:rPr>
        <w:t>системо</w:t>
      </w:r>
      <w:proofErr w:type="spellEnd"/>
      <w:r w:rsidRPr="00E815A3">
        <w:rPr>
          <w:lang w:val="bg-BG" w:eastAsia="bg-BG"/>
        </w:rPr>
        <w:t xml:space="preserve"> </w:t>
      </w:r>
      <w:proofErr w:type="spellStart"/>
      <w:r w:rsidRPr="00E815A3">
        <w:rPr>
          <w:lang w:val="bg-BG" w:eastAsia="bg-BG"/>
        </w:rPr>
        <w:t>органни</w:t>
      </w:r>
      <w:proofErr w:type="spellEnd"/>
      <w:r w:rsidRPr="00E815A3">
        <w:rPr>
          <w:lang w:val="bg-BG" w:eastAsia="bg-BG"/>
        </w:rPr>
        <w:t xml:space="preserve"> класове и честота, с използване на следната конвенция: много чести (</w:t>
      </w:r>
      <w:r w:rsidRPr="00E815A3">
        <w:rPr>
          <w:lang w:val="bg-BG"/>
        </w:rPr>
        <w:t>≥</w:t>
      </w:r>
      <w:r w:rsidRPr="00E815A3">
        <w:rPr>
          <w:lang w:val="bg-BG" w:eastAsia="bg-BG"/>
        </w:rPr>
        <w:t xml:space="preserve"> 1/10), чести (</w:t>
      </w:r>
      <w:r w:rsidRPr="00E815A3">
        <w:rPr>
          <w:lang w:val="bg-BG"/>
        </w:rPr>
        <w:t>≥</w:t>
      </w:r>
      <w:r w:rsidRPr="00E815A3">
        <w:rPr>
          <w:lang w:val="bg-BG" w:eastAsia="bg-BG"/>
        </w:rPr>
        <w:t xml:space="preserve"> 1/100 до &lt; 1/10), нечести (</w:t>
      </w:r>
      <w:r w:rsidRPr="00E815A3">
        <w:rPr>
          <w:lang w:val="bg-BG"/>
        </w:rPr>
        <w:t>≥</w:t>
      </w:r>
      <w:r w:rsidRPr="00E815A3">
        <w:rPr>
          <w:lang w:val="bg-BG" w:eastAsia="bg-BG"/>
        </w:rPr>
        <w:t xml:space="preserve"> 1/1000 до &lt; 1/100), редки (</w:t>
      </w:r>
      <w:r w:rsidRPr="00E815A3">
        <w:rPr>
          <w:lang w:val="bg-BG"/>
        </w:rPr>
        <w:t>≥</w:t>
      </w:r>
      <w:r w:rsidRPr="00E815A3">
        <w:rPr>
          <w:lang w:val="bg-BG" w:eastAsia="bg-BG"/>
        </w:rPr>
        <w:t xml:space="preserve"> 1/10 000 до &lt; 1/1000), много редки (&lt; 1/10 000), с неизвестна честота (от наличните данни не може да бъде направена оценка) и са били съобщавани при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в клинични проучвания (виж Таблица 1).</w:t>
      </w:r>
    </w:p>
    <w:p w14:paraId="000DACB9" w14:textId="27A7F2E0" w:rsidR="00E815A3" w:rsidRPr="00E815A3" w:rsidRDefault="00E815A3" w:rsidP="00E815A3">
      <w:pPr>
        <w:rPr>
          <w:lang w:val="bg-BG" w:eastAsia="bg-BG"/>
        </w:rPr>
      </w:pPr>
    </w:p>
    <w:p w14:paraId="711D41A8" w14:textId="3254B643" w:rsidR="00E815A3" w:rsidRPr="00E815A3" w:rsidRDefault="00E815A3" w:rsidP="00E815A3">
      <w:pPr>
        <w:rPr>
          <w:lang w:val="bg-BG"/>
        </w:rPr>
      </w:pPr>
      <w:r w:rsidRPr="00E815A3">
        <w:rPr>
          <w:b/>
          <w:bCs/>
          <w:lang w:val="bg-BG"/>
        </w:rPr>
        <w:t>Таблица 1 - Нежелани лекарствени реакции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15A3" w:rsidRPr="00E815A3" w14:paraId="03169484" w14:textId="77777777" w:rsidTr="00E815A3">
        <w:tc>
          <w:tcPr>
            <w:tcW w:w="3116" w:type="dxa"/>
          </w:tcPr>
          <w:p w14:paraId="06B3AAE8" w14:textId="308AF1E8" w:rsidR="00E815A3" w:rsidRPr="00E815A3" w:rsidRDefault="00E815A3" w:rsidP="00E815A3">
            <w:pPr>
              <w:rPr>
                <w:b/>
                <w:bCs/>
                <w:lang w:val="bg-BG"/>
              </w:rPr>
            </w:pPr>
            <w:proofErr w:type="spellStart"/>
            <w:r w:rsidRPr="00E815A3">
              <w:rPr>
                <w:b/>
                <w:bCs/>
                <w:lang w:val="bg-BG"/>
              </w:rPr>
              <w:t>Системо</w:t>
            </w:r>
            <w:proofErr w:type="spellEnd"/>
            <w:r w:rsidRPr="00E815A3">
              <w:rPr>
                <w:b/>
                <w:bCs/>
                <w:lang w:val="bg-BG"/>
              </w:rPr>
              <w:t xml:space="preserve"> </w:t>
            </w:r>
            <w:proofErr w:type="spellStart"/>
            <w:r w:rsidRPr="00E815A3">
              <w:rPr>
                <w:b/>
                <w:bCs/>
                <w:lang w:val="bg-BG"/>
              </w:rPr>
              <w:t>органен</w:t>
            </w:r>
            <w:proofErr w:type="spellEnd"/>
            <w:r w:rsidRPr="00E815A3">
              <w:rPr>
                <w:b/>
                <w:bCs/>
                <w:lang w:val="bg-BG"/>
              </w:rPr>
              <w:t xml:space="preserve"> клас</w:t>
            </w:r>
          </w:p>
        </w:tc>
        <w:tc>
          <w:tcPr>
            <w:tcW w:w="3117" w:type="dxa"/>
          </w:tcPr>
          <w:p w14:paraId="35B0473F" w14:textId="5D6F104B" w:rsidR="00E815A3" w:rsidRPr="00E815A3" w:rsidRDefault="00E815A3" w:rsidP="00E815A3">
            <w:pPr>
              <w:rPr>
                <w:b/>
                <w:bCs/>
                <w:lang w:val="bg-BG"/>
              </w:rPr>
            </w:pPr>
            <w:r w:rsidRPr="00E815A3">
              <w:rPr>
                <w:b/>
                <w:bCs/>
                <w:lang w:val="bg-BG"/>
              </w:rPr>
              <w:t>Честота</w:t>
            </w:r>
          </w:p>
        </w:tc>
        <w:tc>
          <w:tcPr>
            <w:tcW w:w="3117" w:type="dxa"/>
          </w:tcPr>
          <w:p w14:paraId="46AA01DF" w14:textId="08D1043C" w:rsidR="00E815A3" w:rsidRPr="00E815A3" w:rsidRDefault="00E815A3" w:rsidP="00E815A3">
            <w:pPr>
              <w:rPr>
                <w:b/>
                <w:bCs/>
                <w:lang w:val="bg-BG"/>
              </w:rPr>
            </w:pPr>
            <w:r w:rsidRPr="00E815A3">
              <w:rPr>
                <w:b/>
                <w:bCs/>
                <w:lang w:val="bg-BG"/>
              </w:rPr>
              <w:t>Нежелани реакции</w:t>
            </w:r>
          </w:p>
        </w:tc>
      </w:tr>
      <w:tr w:rsidR="00E815A3" w:rsidRPr="00E815A3" w14:paraId="40C9E04A" w14:textId="77777777" w:rsidTr="00E815A3">
        <w:tc>
          <w:tcPr>
            <w:tcW w:w="3116" w:type="dxa"/>
            <w:vMerge w:val="restart"/>
          </w:tcPr>
          <w:p w14:paraId="144C50E4" w14:textId="31F227F3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lastRenderedPageBreak/>
              <w:t>Нарушения на кожата и подкожната тъкан</w:t>
            </w:r>
          </w:p>
        </w:tc>
        <w:tc>
          <w:tcPr>
            <w:tcW w:w="3117" w:type="dxa"/>
          </w:tcPr>
          <w:p w14:paraId="4EC7F280" w14:textId="308A0D61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Чести</w:t>
            </w:r>
          </w:p>
        </w:tc>
        <w:tc>
          <w:tcPr>
            <w:tcW w:w="3117" w:type="dxa"/>
          </w:tcPr>
          <w:p w14:paraId="67AF07C4" w14:textId="5B63C308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Усещане за изгаряне по кожата</w:t>
            </w:r>
          </w:p>
        </w:tc>
      </w:tr>
      <w:tr w:rsidR="00E815A3" w:rsidRPr="00E815A3" w14:paraId="04AAF2CB" w14:textId="77777777" w:rsidTr="00E815A3">
        <w:tc>
          <w:tcPr>
            <w:tcW w:w="3116" w:type="dxa"/>
            <w:vMerge/>
          </w:tcPr>
          <w:p w14:paraId="1BAE5AEA" w14:textId="77777777" w:rsidR="00E815A3" w:rsidRPr="00E815A3" w:rsidRDefault="00E815A3" w:rsidP="00E815A3">
            <w:pPr>
              <w:rPr>
                <w:lang w:val="bg-BG"/>
              </w:rPr>
            </w:pPr>
          </w:p>
        </w:tc>
        <w:tc>
          <w:tcPr>
            <w:tcW w:w="3117" w:type="dxa"/>
          </w:tcPr>
          <w:p w14:paraId="0AE2894B" w14:textId="3B300A2C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Нечести</w:t>
            </w:r>
          </w:p>
        </w:tc>
        <w:tc>
          <w:tcPr>
            <w:tcW w:w="3117" w:type="dxa"/>
          </w:tcPr>
          <w:p w14:paraId="2FB9C442" w14:textId="1D3DEB17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 xml:space="preserve">Раздразнение по кожата, сърбеж, суха кожа Влошаване на </w:t>
            </w:r>
            <w:proofErr w:type="spellStart"/>
            <w:r w:rsidRPr="00E815A3">
              <w:rPr>
                <w:lang w:val="bg-BG"/>
              </w:rPr>
              <w:t>розацеята</w:t>
            </w:r>
            <w:proofErr w:type="spellEnd"/>
            <w:r w:rsidRPr="00E815A3">
              <w:rPr>
                <w:lang w:val="bg-BG"/>
              </w:rPr>
              <w:t>*</w:t>
            </w:r>
          </w:p>
        </w:tc>
      </w:tr>
      <w:tr w:rsidR="00E815A3" w:rsidRPr="00E815A3" w14:paraId="47F9C120" w14:textId="77777777" w:rsidTr="00E815A3">
        <w:tc>
          <w:tcPr>
            <w:tcW w:w="3116" w:type="dxa"/>
          </w:tcPr>
          <w:p w14:paraId="2D310EEB" w14:textId="77777777" w:rsidR="00E815A3" w:rsidRPr="00E815A3" w:rsidRDefault="00E815A3" w:rsidP="00E815A3">
            <w:pPr>
              <w:rPr>
                <w:lang w:val="bg-BG"/>
              </w:rPr>
            </w:pPr>
          </w:p>
        </w:tc>
        <w:tc>
          <w:tcPr>
            <w:tcW w:w="3117" w:type="dxa"/>
          </w:tcPr>
          <w:p w14:paraId="4E16178D" w14:textId="3D02FBD9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С неизвестна честота</w:t>
            </w:r>
          </w:p>
        </w:tc>
        <w:tc>
          <w:tcPr>
            <w:tcW w:w="3117" w:type="dxa"/>
          </w:tcPr>
          <w:p w14:paraId="6B709B62" w14:textId="77777777" w:rsidR="00E815A3" w:rsidRPr="00E815A3" w:rsidRDefault="00E815A3" w:rsidP="00E815A3">
            <w:pPr>
              <w:rPr>
                <w:lang w:val="bg-BG"/>
              </w:rPr>
            </w:pPr>
            <w:proofErr w:type="spellStart"/>
            <w:r w:rsidRPr="00E815A3">
              <w:rPr>
                <w:lang w:val="bg-BG"/>
              </w:rPr>
              <w:t>Еритем</w:t>
            </w:r>
            <w:proofErr w:type="spellEnd"/>
          </w:p>
          <w:p w14:paraId="5A05EA1F" w14:textId="77777777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 xml:space="preserve">Контактен </w:t>
            </w:r>
            <w:proofErr w:type="spellStart"/>
            <w:r w:rsidRPr="00E815A3">
              <w:rPr>
                <w:lang w:val="bg-BG"/>
              </w:rPr>
              <w:t>дерматит</w:t>
            </w:r>
            <w:proofErr w:type="spellEnd"/>
            <w:r w:rsidRPr="00E815A3">
              <w:rPr>
                <w:lang w:val="bg-BG"/>
              </w:rPr>
              <w:t xml:space="preserve"> (алергичен или </w:t>
            </w:r>
            <w:proofErr w:type="spellStart"/>
            <w:r w:rsidRPr="00E815A3">
              <w:rPr>
                <w:lang w:val="bg-BG"/>
              </w:rPr>
              <w:t>иритативен</w:t>
            </w:r>
            <w:proofErr w:type="spellEnd"/>
            <w:r w:rsidRPr="00E815A3">
              <w:rPr>
                <w:lang w:val="bg-BG"/>
              </w:rPr>
              <w:t>)</w:t>
            </w:r>
          </w:p>
          <w:p w14:paraId="40924F52" w14:textId="2FF39A47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Подуване на лицето</w:t>
            </w:r>
          </w:p>
        </w:tc>
      </w:tr>
      <w:tr w:rsidR="00E815A3" w:rsidRPr="00E815A3" w14:paraId="36F5DC50" w14:textId="77777777" w:rsidTr="00E815A3">
        <w:tc>
          <w:tcPr>
            <w:tcW w:w="3116" w:type="dxa"/>
          </w:tcPr>
          <w:p w14:paraId="5372B547" w14:textId="31F36B72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Изследвания</w:t>
            </w:r>
          </w:p>
        </w:tc>
        <w:tc>
          <w:tcPr>
            <w:tcW w:w="3117" w:type="dxa"/>
          </w:tcPr>
          <w:p w14:paraId="72A137A9" w14:textId="368480B6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>С неизвестна честота</w:t>
            </w:r>
          </w:p>
        </w:tc>
        <w:tc>
          <w:tcPr>
            <w:tcW w:w="3117" w:type="dxa"/>
          </w:tcPr>
          <w:p w14:paraId="2DE14A8D" w14:textId="2F7268AA" w:rsidR="00E815A3" w:rsidRPr="00E815A3" w:rsidRDefault="00E815A3" w:rsidP="00E815A3">
            <w:pPr>
              <w:rPr>
                <w:lang w:val="bg-BG"/>
              </w:rPr>
            </w:pPr>
            <w:r w:rsidRPr="00E815A3">
              <w:rPr>
                <w:lang w:val="bg-BG"/>
              </w:rPr>
              <w:t xml:space="preserve">Повишени </w:t>
            </w:r>
            <w:proofErr w:type="spellStart"/>
            <w:r w:rsidRPr="00E815A3">
              <w:rPr>
                <w:lang w:val="bg-BG"/>
              </w:rPr>
              <w:t>трансаминази</w:t>
            </w:r>
            <w:proofErr w:type="spellEnd"/>
            <w:r w:rsidRPr="00E815A3">
              <w:rPr>
                <w:lang w:val="bg-BG"/>
              </w:rPr>
              <w:t>*</w:t>
            </w:r>
          </w:p>
        </w:tc>
      </w:tr>
    </w:tbl>
    <w:p w14:paraId="768FE84F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/>
        </w:rPr>
        <w:t xml:space="preserve">* </w:t>
      </w:r>
      <w:r w:rsidRPr="00E815A3">
        <w:rPr>
          <w:lang w:val="bg-BG" w:eastAsia="bg-BG"/>
        </w:rPr>
        <w:t xml:space="preserve">Нежелани реакции, съобщавани от </w:t>
      </w:r>
      <w:proofErr w:type="spellStart"/>
      <w:r w:rsidRPr="00E815A3">
        <w:rPr>
          <w:lang w:val="bg-BG" w:eastAsia="bg-BG"/>
        </w:rPr>
        <w:t>постмаркетингови</w:t>
      </w:r>
      <w:proofErr w:type="spellEnd"/>
      <w:r w:rsidRPr="00E815A3">
        <w:rPr>
          <w:lang w:val="bg-BG" w:eastAsia="bg-BG"/>
        </w:rPr>
        <w:t xml:space="preserve"> данни.</w:t>
      </w:r>
    </w:p>
    <w:p w14:paraId="025255E6" w14:textId="77777777" w:rsidR="00E815A3" w:rsidRPr="00E815A3" w:rsidRDefault="00E815A3" w:rsidP="00E815A3">
      <w:pPr>
        <w:rPr>
          <w:u w:val="single"/>
          <w:lang w:val="bg-BG" w:eastAsia="bg-BG"/>
        </w:rPr>
      </w:pPr>
    </w:p>
    <w:p w14:paraId="09D02247" w14:textId="0031673E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u w:val="single"/>
          <w:lang w:val="bg-BG" w:eastAsia="bg-BG"/>
        </w:rPr>
        <w:t>Съобщаване на подозирани нежелани реакции</w:t>
      </w:r>
    </w:p>
    <w:p w14:paraId="10BFAFC6" w14:textId="7777777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 </w:t>
      </w:r>
      <w:proofErr w:type="spellStart"/>
      <w:r w:rsidRPr="00E815A3">
        <w:rPr>
          <w:lang w:val="bg-BG" w:eastAsia="bg-BG"/>
        </w:rPr>
        <w:t>Изпълнителанта</w:t>
      </w:r>
      <w:proofErr w:type="spellEnd"/>
      <w:r w:rsidRPr="00E815A3">
        <w:rPr>
          <w:lang w:val="bg-BG" w:eastAsia="bg-BG"/>
        </w:rPr>
        <w:t xml:space="preserve"> агенция по лекарствата,</w:t>
      </w:r>
    </w:p>
    <w:p w14:paraId="5046DC6F" w14:textId="2BB5F7A7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София 1303, ул. „Дамян Груев" 8, тел.: +359 2 8903417; </w:t>
      </w:r>
      <w:hyperlink r:id="rId7" w:history="1">
        <w:r w:rsidRPr="00E815A3">
          <w:rPr>
            <w:u w:val="single"/>
            <w:lang w:val="bg-BG"/>
          </w:rPr>
          <w:t>www.bda.bg</w:t>
        </w:r>
      </w:hyperlink>
    </w:p>
    <w:p w14:paraId="7EEA9220" w14:textId="77777777" w:rsidR="00E815A3" w:rsidRPr="00E815A3" w:rsidRDefault="00E815A3" w:rsidP="00E815A3">
      <w:pPr>
        <w:rPr>
          <w:lang w:val="bg-BG"/>
        </w:rPr>
      </w:pPr>
    </w:p>
    <w:p w14:paraId="611C622D" w14:textId="07F4D917" w:rsidR="002C50EE" w:rsidRPr="00E815A3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>4.9. Предозиране</w:t>
      </w:r>
    </w:p>
    <w:p w14:paraId="5739022C" w14:textId="5A7061D7" w:rsidR="00E815A3" w:rsidRPr="00E815A3" w:rsidRDefault="00E815A3" w:rsidP="00E815A3">
      <w:pPr>
        <w:rPr>
          <w:lang w:val="bg-BG"/>
        </w:rPr>
      </w:pPr>
      <w:r w:rsidRPr="00E815A3">
        <w:rPr>
          <w:lang w:val="bg-BG"/>
        </w:rPr>
        <w:t xml:space="preserve">Няма доклади за предозиране със </w:t>
      </w:r>
      <w:proofErr w:type="spellStart"/>
      <w:r w:rsidRPr="00E815A3">
        <w:rPr>
          <w:lang w:val="bg-BG"/>
        </w:rPr>
        <w:t>Соолантра</w:t>
      </w:r>
      <w:proofErr w:type="spellEnd"/>
      <w:r w:rsidRPr="00E815A3">
        <w:rPr>
          <w:lang w:val="bg-BG"/>
        </w:rPr>
        <w:t>.</w:t>
      </w:r>
    </w:p>
    <w:p w14:paraId="237FFF4E" w14:textId="77777777" w:rsidR="00E815A3" w:rsidRPr="00E815A3" w:rsidRDefault="00E815A3" w:rsidP="00E815A3">
      <w:pPr>
        <w:rPr>
          <w:lang w:val="bg-BG"/>
        </w:rPr>
      </w:pPr>
    </w:p>
    <w:p w14:paraId="246669EC" w14:textId="3F68688F" w:rsidR="00E815A3" w:rsidRPr="00E815A3" w:rsidRDefault="00E815A3" w:rsidP="00E815A3">
      <w:pPr>
        <w:rPr>
          <w:lang w:val="bg-BG"/>
        </w:rPr>
      </w:pPr>
      <w:r w:rsidRPr="00E815A3">
        <w:rPr>
          <w:lang w:val="bg-BG"/>
        </w:rPr>
        <w:t xml:space="preserve">В случай на случайно или значително излагане на неизвестни количества от ветеринарномедицински продукти на </w:t>
      </w:r>
      <w:proofErr w:type="spellStart"/>
      <w:r w:rsidRPr="00E815A3">
        <w:rPr>
          <w:lang w:val="bg-BG"/>
        </w:rPr>
        <w:t>ивермектин</w:t>
      </w:r>
      <w:proofErr w:type="spellEnd"/>
      <w:r w:rsidRPr="00E815A3">
        <w:rPr>
          <w:lang w:val="bg-BG"/>
        </w:rPr>
        <w:t xml:space="preserve"> при хора, било чрез поглъщане, вдишване, инжектиране или излагане на повърхностите на тялото, най-често са съобщени следните нежелани реакции: обрив, оток, главоболие, замайване, слабост, гадене, повръщане и диария. Други нежелани реакции, които са съобщени, включват: гърчове, </w:t>
      </w:r>
      <w:proofErr w:type="spellStart"/>
      <w:r w:rsidRPr="00E815A3">
        <w:rPr>
          <w:lang w:val="bg-BG"/>
        </w:rPr>
        <w:t>атаксия</w:t>
      </w:r>
      <w:proofErr w:type="spellEnd"/>
      <w:r w:rsidRPr="00E815A3">
        <w:rPr>
          <w:lang w:val="bg-BG"/>
        </w:rPr>
        <w:t xml:space="preserve">, </w:t>
      </w:r>
      <w:proofErr w:type="spellStart"/>
      <w:r w:rsidRPr="00E815A3">
        <w:rPr>
          <w:lang w:val="bg-BG"/>
        </w:rPr>
        <w:t>диспнея</w:t>
      </w:r>
      <w:proofErr w:type="spellEnd"/>
      <w:r w:rsidRPr="00E815A3">
        <w:rPr>
          <w:lang w:val="bg-BG"/>
        </w:rPr>
        <w:t xml:space="preserve">, коремна болка, </w:t>
      </w:r>
      <w:proofErr w:type="spellStart"/>
      <w:r w:rsidRPr="00E815A3">
        <w:rPr>
          <w:lang w:val="bg-BG"/>
        </w:rPr>
        <w:t>парестезия</w:t>
      </w:r>
      <w:proofErr w:type="spellEnd"/>
      <w:r w:rsidRPr="00E815A3">
        <w:rPr>
          <w:lang w:val="bg-BG"/>
        </w:rPr>
        <w:t xml:space="preserve">, уртикария и контактен </w:t>
      </w:r>
      <w:proofErr w:type="spellStart"/>
      <w:r w:rsidRPr="00E815A3">
        <w:rPr>
          <w:lang w:val="bg-BG"/>
        </w:rPr>
        <w:t>дерматит</w:t>
      </w:r>
      <w:proofErr w:type="spellEnd"/>
      <w:r w:rsidRPr="00E815A3">
        <w:rPr>
          <w:lang w:val="bg-BG"/>
        </w:rPr>
        <w:t xml:space="preserve">. В случай на инцидентно поглъщане, подкрепящата терапия, ако е препоръчана, трябва да включва </w:t>
      </w:r>
      <w:proofErr w:type="spellStart"/>
      <w:r w:rsidRPr="00E815A3">
        <w:rPr>
          <w:lang w:val="bg-BG"/>
        </w:rPr>
        <w:t>парентерални</w:t>
      </w:r>
      <w:proofErr w:type="spellEnd"/>
      <w:r w:rsidRPr="00E815A3">
        <w:rPr>
          <w:lang w:val="bg-BG"/>
        </w:rPr>
        <w:t xml:space="preserve"> течности и електролити, подпомагане на дишането (кислород и механична вентилация, ако е необходимо) и </w:t>
      </w:r>
      <w:proofErr w:type="spellStart"/>
      <w:r w:rsidRPr="00E815A3">
        <w:rPr>
          <w:lang w:val="bg-BG"/>
        </w:rPr>
        <w:t>пресорни</w:t>
      </w:r>
      <w:proofErr w:type="spellEnd"/>
      <w:r w:rsidRPr="00E815A3">
        <w:rPr>
          <w:lang w:val="bg-BG"/>
        </w:rPr>
        <w:t xml:space="preserve"> агенти, ако присъства клинично значима хипотония. Ако е необходимо, за да се предотврати абсорбцията на погълнатия материал, може да се предизвика повръщане и/ или да се направи стомашна промивка възможно най-скоро, последвано от пургативи и други рутинни мерки за борба с отрови.</w:t>
      </w:r>
    </w:p>
    <w:p w14:paraId="18EF4AFE" w14:textId="77777777" w:rsidR="002C50EE" w:rsidRPr="00E815A3" w:rsidRDefault="002C50EE" w:rsidP="002C50EE">
      <w:pPr>
        <w:pStyle w:val="Heading1"/>
        <w:rPr>
          <w:lang w:val="bg-BG"/>
        </w:rPr>
      </w:pPr>
      <w:r w:rsidRPr="00E815A3">
        <w:rPr>
          <w:lang w:val="bg-BG"/>
        </w:rPr>
        <w:t>5. ФАРМАКОЛОГИЧНИ СВОЙСТВА</w:t>
      </w:r>
    </w:p>
    <w:p w14:paraId="2F1CA24E" w14:textId="00722683" w:rsidR="002C50EE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 xml:space="preserve">5.1. </w:t>
      </w:r>
      <w:proofErr w:type="spellStart"/>
      <w:r w:rsidRPr="00E815A3">
        <w:rPr>
          <w:lang w:val="bg-BG"/>
        </w:rPr>
        <w:t>Фармакодинамични</w:t>
      </w:r>
      <w:proofErr w:type="spellEnd"/>
      <w:r w:rsidRPr="00E815A3">
        <w:rPr>
          <w:lang w:val="bg-BG"/>
        </w:rPr>
        <w:t xml:space="preserve"> свойства</w:t>
      </w:r>
    </w:p>
    <w:p w14:paraId="7DAF1A4A" w14:textId="77777777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Фармакотерапевтична</w:t>
      </w:r>
      <w:proofErr w:type="spellEnd"/>
      <w:r w:rsidRPr="00E815A3">
        <w:rPr>
          <w:lang w:val="bg-BG" w:eastAsia="bg-BG"/>
        </w:rPr>
        <w:t xml:space="preserve"> група: други дерматология ни препарати, други дерматологични продукти, АТС код: </w:t>
      </w:r>
      <w:r w:rsidRPr="00E815A3">
        <w:t>D1</w:t>
      </w:r>
      <w:r w:rsidRPr="00E815A3">
        <w:rPr>
          <w:lang w:val="bg-BG" w:eastAsia="bg-BG"/>
        </w:rPr>
        <w:t>1АХ22</w:t>
      </w:r>
    </w:p>
    <w:p w14:paraId="786A09CC" w14:textId="77777777" w:rsidR="00E815A3" w:rsidRDefault="00E815A3" w:rsidP="00E815A3">
      <w:pPr>
        <w:rPr>
          <w:u w:val="single"/>
          <w:lang w:val="bg-BG" w:eastAsia="bg-BG"/>
        </w:rPr>
      </w:pPr>
    </w:p>
    <w:p w14:paraId="4190887C" w14:textId="08B08EFC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u w:val="single"/>
          <w:lang w:val="bg-BG" w:eastAsia="bg-BG"/>
        </w:rPr>
        <w:t>Механизъм на действие</w:t>
      </w:r>
    </w:p>
    <w:p w14:paraId="7C5C6B5C" w14:textId="77777777" w:rsidR="00E815A3" w:rsidRDefault="00E815A3" w:rsidP="00E815A3">
      <w:pPr>
        <w:rPr>
          <w:lang w:val="bg-BG" w:eastAsia="bg-BG"/>
        </w:rPr>
      </w:pPr>
    </w:p>
    <w:p w14:paraId="60D0E3C6" w14:textId="1706D66A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е член на клас </w:t>
      </w:r>
      <w:proofErr w:type="spellStart"/>
      <w:r w:rsidRPr="00E815A3">
        <w:rPr>
          <w:lang w:val="bg-BG" w:eastAsia="bg-BG"/>
        </w:rPr>
        <w:t>авермектин</w:t>
      </w:r>
      <w:proofErr w:type="spellEnd"/>
      <w:r w:rsidRPr="00E815A3">
        <w:rPr>
          <w:lang w:val="bg-BG" w:eastAsia="bg-BG"/>
        </w:rPr>
        <w:t xml:space="preserve">. </w:t>
      </w:r>
      <w:proofErr w:type="spellStart"/>
      <w:r w:rsidRPr="00E815A3">
        <w:rPr>
          <w:lang w:val="bg-BG" w:eastAsia="bg-BG"/>
        </w:rPr>
        <w:t>Авермектин</w:t>
      </w:r>
      <w:proofErr w:type="spellEnd"/>
      <w:r w:rsidRPr="00E815A3">
        <w:rPr>
          <w:lang w:val="bg-BG" w:eastAsia="bg-BG"/>
        </w:rPr>
        <w:t xml:space="preserve"> има противовъзпалителни ефекти чрез </w:t>
      </w:r>
      <w:proofErr w:type="spellStart"/>
      <w:r w:rsidRPr="00E815A3">
        <w:rPr>
          <w:lang w:val="bg-BG" w:eastAsia="bg-BG"/>
        </w:rPr>
        <w:t>инхибиране</w:t>
      </w:r>
      <w:proofErr w:type="spellEnd"/>
      <w:r w:rsidRPr="00E815A3">
        <w:rPr>
          <w:lang w:val="bg-BG" w:eastAsia="bg-BG"/>
        </w:rPr>
        <w:t xml:space="preserve"> на </w:t>
      </w:r>
      <w:proofErr w:type="spellStart"/>
      <w:r w:rsidRPr="00E815A3">
        <w:rPr>
          <w:lang w:val="bg-BG" w:eastAsia="bg-BG"/>
        </w:rPr>
        <w:t>липополизахарид</w:t>
      </w:r>
      <w:proofErr w:type="spellEnd"/>
      <w:r w:rsidRPr="00E815A3">
        <w:rPr>
          <w:lang w:val="bg-BG" w:eastAsia="bg-BG"/>
        </w:rPr>
        <w:t xml:space="preserve">-индуцираното производство на възпалителни </w:t>
      </w:r>
      <w:proofErr w:type="spellStart"/>
      <w:r w:rsidRPr="00E815A3">
        <w:rPr>
          <w:lang w:val="bg-BG" w:eastAsia="bg-BG"/>
        </w:rPr>
        <w:t>цитокини</w:t>
      </w:r>
      <w:proofErr w:type="spellEnd"/>
      <w:r w:rsidRPr="00E815A3">
        <w:rPr>
          <w:lang w:val="bg-BG" w:eastAsia="bg-BG"/>
        </w:rPr>
        <w:t xml:space="preserve">. Противовъзпалителни свойства на кожен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са наблюдавани при </w:t>
      </w:r>
      <w:r w:rsidRPr="00E815A3">
        <w:rPr>
          <w:lang w:val="bg-BG" w:eastAsia="bg-BG"/>
        </w:rPr>
        <w:lastRenderedPageBreak/>
        <w:t xml:space="preserve">възпаление на кожата на животински модели.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 също така причинява смъртта на паразити, предимно чрез селективно свързване и с висок афинитет към </w:t>
      </w:r>
      <w:proofErr w:type="spellStart"/>
      <w:r w:rsidRPr="00E815A3">
        <w:rPr>
          <w:lang w:val="bg-BG" w:eastAsia="bg-BG"/>
        </w:rPr>
        <w:t>глутамат</w:t>
      </w:r>
      <w:proofErr w:type="spellEnd"/>
      <w:r w:rsidRPr="00E815A3">
        <w:rPr>
          <w:lang w:val="bg-BG" w:eastAsia="bg-BG"/>
        </w:rPr>
        <w:t xml:space="preserve">-затворените </w:t>
      </w:r>
      <w:proofErr w:type="spellStart"/>
      <w:r w:rsidRPr="00E815A3">
        <w:rPr>
          <w:lang w:val="bg-BG" w:eastAsia="bg-BG"/>
        </w:rPr>
        <w:t>хлоридни</w:t>
      </w:r>
      <w:proofErr w:type="spellEnd"/>
      <w:r w:rsidRPr="00E815A3">
        <w:rPr>
          <w:lang w:val="bg-BG" w:eastAsia="bg-BG"/>
        </w:rPr>
        <w:t xml:space="preserve"> канали, които възникват в нервните и мускулните клетки на </w:t>
      </w:r>
      <w:proofErr w:type="spellStart"/>
      <w:r w:rsidRPr="00E815A3">
        <w:rPr>
          <w:lang w:val="bg-BG" w:eastAsia="bg-BG"/>
        </w:rPr>
        <w:t>безграбначни</w:t>
      </w:r>
      <w:proofErr w:type="spellEnd"/>
      <w:r w:rsidRPr="00E815A3">
        <w:rPr>
          <w:lang w:val="bg-BG" w:eastAsia="bg-BG"/>
        </w:rPr>
        <w:t xml:space="preserve">. Механизмът на действие на </w:t>
      </w: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 при лечение на възпалителни лезии от </w:t>
      </w:r>
      <w:proofErr w:type="spellStart"/>
      <w:r w:rsidRPr="00E815A3">
        <w:rPr>
          <w:lang w:val="bg-BG" w:eastAsia="bg-BG"/>
        </w:rPr>
        <w:t>розацея</w:t>
      </w:r>
      <w:proofErr w:type="spellEnd"/>
      <w:r w:rsidRPr="00E815A3">
        <w:rPr>
          <w:lang w:val="bg-BG" w:eastAsia="bg-BG"/>
        </w:rPr>
        <w:t xml:space="preserve"> не е известен, но може да бъде свързан с </w:t>
      </w:r>
      <w:proofErr w:type="spellStart"/>
      <w:r w:rsidRPr="00E815A3">
        <w:rPr>
          <w:lang w:val="bg-BG" w:eastAsia="bg-BG"/>
        </w:rPr>
        <w:t>анти</w:t>
      </w:r>
      <w:proofErr w:type="spellEnd"/>
      <w:r w:rsidRPr="00E815A3">
        <w:rPr>
          <w:lang w:val="bg-BG" w:eastAsia="bg-BG"/>
        </w:rPr>
        <w:t xml:space="preserve">- възпалителните ефекти на </w:t>
      </w:r>
      <w:proofErr w:type="spellStart"/>
      <w:r w:rsidRPr="00E815A3">
        <w:rPr>
          <w:lang w:val="bg-BG" w:eastAsia="bg-BG"/>
        </w:rPr>
        <w:t>ивермектин</w:t>
      </w:r>
      <w:proofErr w:type="spellEnd"/>
      <w:r w:rsidRPr="00E815A3">
        <w:rPr>
          <w:lang w:val="bg-BG" w:eastAsia="bg-BG"/>
        </w:rPr>
        <w:t xml:space="preserve">, който също така причинява смъртта на </w:t>
      </w:r>
      <w:r w:rsidRPr="00E815A3">
        <w:t xml:space="preserve">Demodex </w:t>
      </w:r>
      <w:proofErr w:type="spellStart"/>
      <w:r w:rsidRPr="00E815A3">
        <w:rPr>
          <w:lang w:val="bg-BG" w:eastAsia="bg-BG"/>
        </w:rPr>
        <w:t>акари</w:t>
      </w:r>
      <w:proofErr w:type="spellEnd"/>
      <w:r w:rsidRPr="00E815A3">
        <w:rPr>
          <w:lang w:val="bg-BG" w:eastAsia="bg-BG"/>
        </w:rPr>
        <w:t>, за които е отчетено, че са фактор във възпаление на кожата.</w:t>
      </w:r>
    </w:p>
    <w:p w14:paraId="1F2897C6" w14:textId="77777777" w:rsidR="00E815A3" w:rsidRDefault="00E815A3" w:rsidP="00E815A3">
      <w:pPr>
        <w:rPr>
          <w:u w:val="single"/>
          <w:lang w:val="bg-BG" w:eastAsia="bg-BG"/>
        </w:rPr>
      </w:pPr>
    </w:p>
    <w:p w14:paraId="48BEFDE4" w14:textId="008F93E0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u w:val="single"/>
          <w:lang w:val="bg-BG" w:eastAsia="bg-BG"/>
        </w:rPr>
        <w:t>Клинична ефикасност и безопасност</w:t>
      </w:r>
    </w:p>
    <w:p w14:paraId="5B929DD7" w14:textId="77777777" w:rsidR="00E815A3" w:rsidRDefault="00E815A3" w:rsidP="00E815A3">
      <w:pPr>
        <w:rPr>
          <w:lang w:val="bg-BG" w:eastAsia="bg-BG"/>
        </w:rPr>
      </w:pPr>
    </w:p>
    <w:p w14:paraId="621F014C" w14:textId="73533E86" w:rsidR="00E815A3" w:rsidRPr="00E815A3" w:rsidRDefault="00E815A3" w:rsidP="00E815A3">
      <w:pPr>
        <w:rPr>
          <w:sz w:val="24"/>
          <w:szCs w:val="24"/>
          <w:lang w:val="bg-BG"/>
        </w:rPr>
      </w:pPr>
      <w:proofErr w:type="spellStart"/>
      <w:r w:rsidRPr="00E815A3">
        <w:rPr>
          <w:lang w:val="bg-BG" w:eastAsia="bg-BG"/>
        </w:rPr>
        <w:t>Соолантра</w:t>
      </w:r>
      <w:proofErr w:type="spellEnd"/>
      <w:r w:rsidRPr="00E815A3">
        <w:rPr>
          <w:lang w:val="bg-BG" w:eastAsia="bg-BG"/>
        </w:rPr>
        <w:t xml:space="preserve">, нанасян веднъж дневно преди лягане, е оценен в лечението на възпалителни лезии от </w:t>
      </w:r>
      <w:proofErr w:type="spellStart"/>
      <w:r w:rsidRPr="00E815A3">
        <w:rPr>
          <w:lang w:val="bg-BG" w:eastAsia="bg-BG"/>
        </w:rPr>
        <w:t>розацея</w:t>
      </w:r>
      <w:proofErr w:type="spellEnd"/>
      <w:r w:rsidRPr="00E815A3">
        <w:rPr>
          <w:lang w:val="bg-BG" w:eastAsia="bg-BG"/>
        </w:rPr>
        <w:t xml:space="preserve">, в две </w:t>
      </w:r>
      <w:proofErr w:type="spellStart"/>
      <w:r w:rsidRPr="00E815A3">
        <w:rPr>
          <w:lang w:val="bg-BG" w:eastAsia="bg-BG"/>
        </w:rPr>
        <w:t>рандомизирани</w:t>
      </w:r>
      <w:proofErr w:type="spellEnd"/>
      <w:r w:rsidRPr="00E815A3">
        <w:rPr>
          <w:lang w:val="bg-BG" w:eastAsia="bg-BG"/>
        </w:rPr>
        <w:t xml:space="preserve">, двойно-слепи, </w:t>
      </w:r>
      <w:proofErr w:type="spellStart"/>
      <w:r w:rsidRPr="00E815A3">
        <w:rPr>
          <w:lang w:val="bg-BG" w:eastAsia="bg-BG"/>
        </w:rPr>
        <w:t>плацебо</w:t>
      </w:r>
      <w:proofErr w:type="spellEnd"/>
      <w:r w:rsidRPr="00E815A3">
        <w:rPr>
          <w:lang w:val="bg-BG" w:eastAsia="bg-BG"/>
        </w:rPr>
        <w:t xml:space="preserve"> контролирани клинични проучвания, които са идентични по дизайн. В тях са участвали 1371 души на възраст от 18 години и нагоре, те са третирани веднъж дневно за период от 12 седмици. Едната група е третирана веднъж дневно със </w:t>
      </w:r>
      <w:proofErr w:type="spellStart"/>
      <w:r w:rsidRPr="00E815A3">
        <w:t>Soolantra</w:t>
      </w:r>
      <w:proofErr w:type="spellEnd"/>
      <w:r w:rsidRPr="00E815A3">
        <w:t xml:space="preserve">, </w:t>
      </w:r>
      <w:r w:rsidRPr="00E815A3">
        <w:rPr>
          <w:lang w:val="bg-BG" w:eastAsia="bg-BG"/>
        </w:rPr>
        <w:t xml:space="preserve">а другата с </w:t>
      </w:r>
      <w:proofErr w:type="spellStart"/>
      <w:r w:rsidRPr="00E815A3">
        <w:rPr>
          <w:lang w:val="bg-BG" w:eastAsia="bg-BG"/>
        </w:rPr>
        <w:t>плацебо</w:t>
      </w:r>
      <w:proofErr w:type="spellEnd"/>
      <w:r w:rsidRPr="00E815A3">
        <w:rPr>
          <w:lang w:val="bg-BG" w:eastAsia="bg-BG"/>
        </w:rPr>
        <w:t xml:space="preserve"> средство.</w:t>
      </w:r>
    </w:p>
    <w:p w14:paraId="74C8A8CE" w14:textId="77777777" w:rsidR="00E815A3" w:rsidRDefault="00E815A3" w:rsidP="00E815A3">
      <w:pPr>
        <w:rPr>
          <w:lang w:val="bg-BG" w:eastAsia="bg-BG"/>
        </w:rPr>
      </w:pPr>
    </w:p>
    <w:p w14:paraId="5A81A8E9" w14:textId="22BE2CC8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96 % от общия брой участници са представители на Европеидната раса, и 67 % са жени. Чрез използването на 5 точковата скала на Обща оценка на изследовател </w:t>
      </w:r>
      <w:r w:rsidRPr="00E815A3">
        <w:t xml:space="preserve">(IGA), </w:t>
      </w:r>
      <w:r w:rsidRPr="00E815A3">
        <w:rPr>
          <w:lang w:val="bg-BG" w:eastAsia="bg-BG"/>
        </w:rPr>
        <w:t xml:space="preserve">на изходно ниво, 79 % от участниците са отбелязани с умерена степен </w:t>
      </w:r>
      <w:r w:rsidRPr="00E815A3">
        <w:t xml:space="preserve">(IGA-3), </w:t>
      </w:r>
      <w:r w:rsidRPr="00E815A3">
        <w:rPr>
          <w:lang w:val="bg-BG" w:eastAsia="bg-BG"/>
        </w:rPr>
        <w:t xml:space="preserve">21 % от участниците са отбелязани с тежка степен </w:t>
      </w:r>
      <w:r w:rsidRPr="00E815A3">
        <w:t>(IGA=4).</w:t>
      </w:r>
    </w:p>
    <w:p w14:paraId="275962A9" w14:textId="77777777" w:rsidR="00E815A3" w:rsidRDefault="00E815A3" w:rsidP="00E815A3">
      <w:pPr>
        <w:rPr>
          <w:lang w:val="bg-BG" w:eastAsia="bg-BG"/>
        </w:rPr>
      </w:pPr>
    </w:p>
    <w:p w14:paraId="3B39C67D" w14:textId="5100D0DC" w:rsidR="00E815A3" w:rsidRPr="00E815A3" w:rsidRDefault="00E815A3" w:rsidP="00E815A3">
      <w:pPr>
        <w:rPr>
          <w:sz w:val="24"/>
          <w:szCs w:val="24"/>
          <w:lang w:val="bg-BG"/>
        </w:rPr>
      </w:pPr>
      <w:r w:rsidRPr="00E815A3">
        <w:rPr>
          <w:lang w:val="bg-BG" w:eastAsia="bg-BG"/>
        </w:rPr>
        <w:t xml:space="preserve">Първичните крайни точки за ефикасност при двете клинични проучвания, са степента на успеваемост базирана на резултата от </w:t>
      </w:r>
      <w:r w:rsidRPr="00E815A3">
        <w:t xml:space="preserve">IGA </w:t>
      </w:r>
      <w:r w:rsidRPr="00E815A3">
        <w:rPr>
          <w:lang w:val="bg-BG" w:eastAsia="bg-BG"/>
        </w:rPr>
        <w:t>(процент на лицата "чист” и " почти чист” в 12-те седмици на проучването) и абсолютната промяна спрямо изходните стойности в броя на възпалителните лезии.</w:t>
      </w:r>
    </w:p>
    <w:p w14:paraId="32808D11" w14:textId="2B2AC5F6" w:rsidR="00E815A3" w:rsidRDefault="00E815A3" w:rsidP="00E815A3">
      <w:pPr>
        <w:rPr>
          <w:lang w:val="bg-BG" w:eastAsia="bg-BG"/>
        </w:rPr>
      </w:pPr>
      <w:r w:rsidRPr="00E815A3">
        <w:rPr>
          <w:lang w:val="bg-BG" w:eastAsia="bg-BG"/>
        </w:rPr>
        <w:t xml:space="preserve">Скалата </w:t>
      </w:r>
      <w:r w:rsidRPr="00E815A3">
        <w:t xml:space="preserve">IGA </w:t>
      </w:r>
      <w:r w:rsidRPr="00E815A3">
        <w:rPr>
          <w:lang w:val="bg-BG" w:eastAsia="bg-BG"/>
        </w:rPr>
        <w:t>се базира на следните определения.</w:t>
      </w:r>
    </w:p>
    <w:p w14:paraId="303681E2" w14:textId="77777777" w:rsidR="00E815A3" w:rsidRDefault="00E815A3" w:rsidP="00E815A3">
      <w:pPr>
        <w:rPr>
          <w:b/>
          <w:bCs/>
        </w:rPr>
      </w:pPr>
      <w:bookmarkStart w:id="1" w:name="bookmark0"/>
    </w:p>
    <w:p w14:paraId="22F93CAB" w14:textId="36219863" w:rsidR="00E815A3" w:rsidRDefault="00E815A3" w:rsidP="00E815A3">
      <w:pPr>
        <w:rPr>
          <w:b/>
          <w:bCs/>
        </w:rPr>
      </w:pPr>
      <w:proofErr w:type="spellStart"/>
      <w:r w:rsidRPr="00E815A3">
        <w:rPr>
          <w:b/>
          <w:bCs/>
        </w:rPr>
        <w:t>Таблица</w:t>
      </w:r>
      <w:proofErr w:type="spellEnd"/>
      <w:r w:rsidRPr="00E815A3">
        <w:rPr>
          <w:b/>
          <w:bCs/>
        </w:rPr>
        <w:t xml:space="preserve"> 2: </w:t>
      </w:r>
      <w:proofErr w:type="spellStart"/>
      <w:r w:rsidRPr="00E815A3">
        <w:rPr>
          <w:b/>
          <w:bCs/>
        </w:rPr>
        <w:t>Скала</w:t>
      </w:r>
      <w:proofErr w:type="spellEnd"/>
      <w:r w:rsidRPr="00E815A3">
        <w:rPr>
          <w:b/>
          <w:bCs/>
        </w:rPr>
        <w:t xml:space="preserve"> </w:t>
      </w:r>
      <w:proofErr w:type="spellStart"/>
      <w:r w:rsidRPr="00E815A3">
        <w:rPr>
          <w:b/>
          <w:bCs/>
        </w:rPr>
        <w:t>Обща</w:t>
      </w:r>
      <w:proofErr w:type="spellEnd"/>
      <w:r w:rsidRPr="00E815A3">
        <w:rPr>
          <w:b/>
          <w:bCs/>
        </w:rPr>
        <w:t xml:space="preserve"> </w:t>
      </w:r>
      <w:proofErr w:type="spellStart"/>
      <w:r w:rsidRPr="00E815A3">
        <w:rPr>
          <w:b/>
          <w:bCs/>
        </w:rPr>
        <w:t>оценка</w:t>
      </w:r>
      <w:proofErr w:type="spellEnd"/>
      <w:r w:rsidRPr="00E815A3">
        <w:rPr>
          <w:b/>
          <w:bCs/>
        </w:rPr>
        <w:t xml:space="preserve"> </w:t>
      </w:r>
      <w:proofErr w:type="spellStart"/>
      <w:r w:rsidRPr="00E815A3">
        <w:rPr>
          <w:b/>
          <w:bCs/>
        </w:rPr>
        <w:t>на</w:t>
      </w:r>
      <w:proofErr w:type="spellEnd"/>
      <w:r w:rsidRPr="00E815A3">
        <w:rPr>
          <w:b/>
          <w:bCs/>
        </w:rPr>
        <w:t xml:space="preserve"> </w:t>
      </w:r>
      <w:proofErr w:type="spellStart"/>
      <w:r w:rsidRPr="00E815A3">
        <w:rPr>
          <w:b/>
          <w:bCs/>
        </w:rPr>
        <w:t>изследовател</w:t>
      </w:r>
      <w:proofErr w:type="spellEnd"/>
      <w:r w:rsidRPr="00E815A3">
        <w:rPr>
          <w:b/>
          <w:bCs/>
        </w:rPr>
        <w:t xml:space="preserve"> (IGA)</w:t>
      </w:r>
      <w:bookmarkEnd w:id="1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1275"/>
        <w:gridCol w:w="7088"/>
      </w:tblGrid>
      <w:tr w:rsidR="00E815A3" w14:paraId="1D1F067E" w14:textId="77777777" w:rsidTr="00D057C8">
        <w:tc>
          <w:tcPr>
            <w:tcW w:w="1555" w:type="dxa"/>
          </w:tcPr>
          <w:p w14:paraId="5F98BDBF" w14:textId="07A49EDA" w:rsidR="00E815A3" w:rsidRP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815A3">
              <w:rPr>
                <w:b/>
                <w:bCs/>
              </w:rPr>
              <w:t>Степен</w:t>
            </w:r>
            <w:proofErr w:type="spellEnd"/>
          </w:p>
        </w:tc>
        <w:tc>
          <w:tcPr>
            <w:tcW w:w="1275" w:type="dxa"/>
          </w:tcPr>
          <w:p w14:paraId="01B4381C" w14:textId="72FAF3EE" w:rsidR="00E815A3" w:rsidRP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815A3">
              <w:rPr>
                <w:b/>
                <w:bCs/>
              </w:rPr>
              <w:t>Резултат</w:t>
            </w:r>
            <w:proofErr w:type="spellEnd"/>
          </w:p>
        </w:tc>
        <w:tc>
          <w:tcPr>
            <w:tcW w:w="7088" w:type="dxa"/>
          </w:tcPr>
          <w:p w14:paraId="4C55BCD4" w14:textId="77777777" w:rsidR="00E815A3" w:rsidRPr="00E815A3" w:rsidRDefault="00E815A3" w:rsidP="00E81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815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Клинично описание</w:t>
            </w:r>
          </w:p>
          <w:p w14:paraId="79D936FA" w14:textId="201B248B" w:rsidR="00E815A3" w:rsidRP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E815A3" w14:paraId="0A8ADB44" w14:textId="77777777" w:rsidTr="00D057C8">
        <w:tc>
          <w:tcPr>
            <w:tcW w:w="1555" w:type="dxa"/>
            <w:vAlign w:val="center"/>
          </w:tcPr>
          <w:p w14:paraId="4A48C8F2" w14:textId="4BCEC831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Чист</w:t>
            </w:r>
            <w:proofErr w:type="spellEnd"/>
          </w:p>
        </w:tc>
        <w:tc>
          <w:tcPr>
            <w:tcW w:w="1275" w:type="dxa"/>
            <w:vAlign w:val="center"/>
          </w:tcPr>
          <w:p w14:paraId="6551B617" w14:textId="446C3839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t>0</w:t>
            </w:r>
          </w:p>
        </w:tc>
        <w:tc>
          <w:tcPr>
            <w:tcW w:w="7088" w:type="dxa"/>
            <w:vAlign w:val="center"/>
          </w:tcPr>
          <w:p w14:paraId="0AC389D1" w14:textId="10AEA024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присъствие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възпалителни</w:t>
            </w:r>
            <w:proofErr w:type="spellEnd"/>
            <w:r>
              <w:t xml:space="preserve"> </w:t>
            </w:r>
            <w:proofErr w:type="spellStart"/>
            <w:r>
              <w:t>лезии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еритем</w:t>
            </w:r>
            <w:proofErr w:type="spellEnd"/>
          </w:p>
        </w:tc>
      </w:tr>
      <w:tr w:rsidR="00E815A3" w14:paraId="0ED047D1" w14:textId="77777777" w:rsidTr="00D057C8">
        <w:tc>
          <w:tcPr>
            <w:tcW w:w="1555" w:type="dxa"/>
          </w:tcPr>
          <w:p w14:paraId="0C0A65FF" w14:textId="56E2CDA6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Почти</w:t>
            </w:r>
            <w:proofErr w:type="spellEnd"/>
            <w:r>
              <w:t xml:space="preserve"> </w:t>
            </w:r>
            <w:proofErr w:type="spellStart"/>
            <w:r>
              <w:t>чист</w:t>
            </w:r>
            <w:proofErr w:type="spellEnd"/>
          </w:p>
        </w:tc>
        <w:tc>
          <w:tcPr>
            <w:tcW w:w="1275" w:type="dxa"/>
          </w:tcPr>
          <w:p w14:paraId="05F79426" w14:textId="06B5B68E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t>1</w:t>
            </w:r>
          </w:p>
        </w:tc>
        <w:tc>
          <w:tcPr>
            <w:tcW w:w="7088" w:type="dxa"/>
          </w:tcPr>
          <w:p w14:paraId="05FB253D" w14:textId="16424D89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малко</w:t>
            </w:r>
            <w:proofErr w:type="spellEnd"/>
            <w:r>
              <w:t xml:space="preserve"> </w:t>
            </w:r>
            <w:proofErr w:type="spellStart"/>
            <w:r>
              <w:t>папули</w:t>
            </w:r>
            <w:proofErr w:type="spellEnd"/>
            <w:r>
              <w:t xml:space="preserve">/ </w:t>
            </w:r>
            <w:proofErr w:type="spellStart"/>
            <w:r>
              <w:t>пустули</w:t>
            </w:r>
            <w:proofErr w:type="spellEnd"/>
            <w:r>
              <w:t xml:space="preserve">,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лек</w:t>
            </w:r>
            <w:proofErr w:type="spellEnd"/>
            <w:r>
              <w:t xml:space="preserve"> </w:t>
            </w:r>
            <w:proofErr w:type="spellStart"/>
            <w:r>
              <w:t>еритем</w:t>
            </w:r>
            <w:proofErr w:type="spellEnd"/>
          </w:p>
        </w:tc>
      </w:tr>
      <w:tr w:rsidR="00E815A3" w14:paraId="6A8FEFB6" w14:textId="77777777" w:rsidTr="00D057C8">
        <w:tc>
          <w:tcPr>
            <w:tcW w:w="1555" w:type="dxa"/>
          </w:tcPr>
          <w:p w14:paraId="675FC84F" w14:textId="55F84EF1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Лека</w:t>
            </w:r>
            <w:proofErr w:type="spellEnd"/>
          </w:p>
        </w:tc>
        <w:tc>
          <w:tcPr>
            <w:tcW w:w="1275" w:type="dxa"/>
          </w:tcPr>
          <w:p w14:paraId="60945F0E" w14:textId="042922E2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t>2</w:t>
            </w:r>
          </w:p>
        </w:tc>
        <w:tc>
          <w:tcPr>
            <w:tcW w:w="7088" w:type="dxa"/>
          </w:tcPr>
          <w:p w14:paraId="370F8C8E" w14:textId="08A54D0D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Няколко</w:t>
            </w:r>
            <w:proofErr w:type="spellEnd"/>
            <w:r>
              <w:t xml:space="preserve"> </w:t>
            </w:r>
            <w:proofErr w:type="spellStart"/>
            <w:r>
              <w:t>малки</w:t>
            </w:r>
            <w:proofErr w:type="spellEnd"/>
            <w:r>
              <w:t xml:space="preserve"> </w:t>
            </w:r>
            <w:proofErr w:type="spellStart"/>
            <w:r>
              <w:t>папули</w:t>
            </w:r>
            <w:proofErr w:type="spellEnd"/>
            <w:r>
              <w:t xml:space="preserve">/ </w:t>
            </w:r>
            <w:proofErr w:type="spellStart"/>
            <w:r>
              <w:t>пустули</w:t>
            </w:r>
            <w:proofErr w:type="spellEnd"/>
            <w:r>
              <w:t xml:space="preserve">, </w:t>
            </w:r>
            <w:proofErr w:type="spellStart"/>
            <w:r>
              <w:t>лек</w:t>
            </w:r>
            <w:proofErr w:type="spellEnd"/>
            <w:r>
              <w:t xml:space="preserve"> </w:t>
            </w:r>
            <w:proofErr w:type="spellStart"/>
            <w:r>
              <w:t>еритем</w:t>
            </w:r>
            <w:proofErr w:type="spellEnd"/>
          </w:p>
        </w:tc>
      </w:tr>
      <w:tr w:rsidR="00E815A3" w14:paraId="6DFF1B28" w14:textId="77777777" w:rsidTr="00D057C8">
        <w:tc>
          <w:tcPr>
            <w:tcW w:w="1555" w:type="dxa"/>
          </w:tcPr>
          <w:p w14:paraId="2EEC07F0" w14:textId="31F95422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Умерена</w:t>
            </w:r>
            <w:proofErr w:type="spellEnd"/>
          </w:p>
        </w:tc>
        <w:tc>
          <w:tcPr>
            <w:tcW w:w="1275" w:type="dxa"/>
          </w:tcPr>
          <w:p w14:paraId="2FF94E77" w14:textId="392BDB8B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t>3</w:t>
            </w:r>
          </w:p>
        </w:tc>
        <w:tc>
          <w:tcPr>
            <w:tcW w:w="7088" w:type="dxa"/>
            <w:vAlign w:val="center"/>
          </w:tcPr>
          <w:p w14:paraId="0A4401A0" w14:textId="48899BC0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Няколко</w:t>
            </w:r>
            <w:proofErr w:type="spellEnd"/>
            <w:r>
              <w:t xml:space="preserve"> </w:t>
            </w:r>
            <w:proofErr w:type="spellStart"/>
            <w:r>
              <w:t>малки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големи</w:t>
            </w:r>
            <w:proofErr w:type="spellEnd"/>
            <w:r>
              <w:t xml:space="preserve"> </w:t>
            </w:r>
            <w:proofErr w:type="spellStart"/>
            <w:r>
              <w:t>папули</w:t>
            </w:r>
            <w:proofErr w:type="spellEnd"/>
            <w:r>
              <w:t xml:space="preserve">/ </w:t>
            </w:r>
            <w:proofErr w:type="spellStart"/>
            <w:r>
              <w:t>пустули</w:t>
            </w:r>
            <w:proofErr w:type="spellEnd"/>
            <w:r>
              <w:t xml:space="preserve">, </w:t>
            </w:r>
            <w:proofErr w:type="spellStart"/>
            <w:r>
              <w:t>умерен</w:t>
            </w:r>
            <w:proofErr w:type="spellEnd"/>
            <w:r>
              <w:t xml:space="preserve"> </w:t>
            </w:r>
            <w:proofErr w:type="spellStart"/>
            <w:r>
              <w:t>еритем</w:t>
            </w:r>
            <w:proofErr w:type="spellEnd"/>
          </w:p>
        </w:tc>
      </w:tr>
      <w:tr w:rsidR="00E815A3" w14:paraId="423322BC" w14:textId="77777777" w:rsidTr="00D057C8">
        <w:tc>
          <w:tcPr>
            <w:tcW w:w="1555" w:type="dxa"/>
          </w:tcPr>
          <w:p w14:paraId="6EC1CB09" w14:textId="451D7B5C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Тежка</w:t>
            </w:r>
            <w:proofErr w:type="spellEnd"/>
          </w:p>
        </w:tc>
        <w:tc>
          <w:tcPr>
            <w:tcW w:w="1275" w:type="dxa"/>
          </w:tcPr>
          <w:p w14:paraId="1B96FBB4" w14:textId="62923A1D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t>4</w:t>
            </w:r>
          </w:p>
        </w:tc>
        <w:tc>
          <w:tcPr>
            <w:tcW w:w="7088" w:type="dxa"/>
            <w:vAlign w:val="center"/>
          </w:tcPr>
          <w:p w14:paraId="0A42DD5E" w14:textId="6228FF25" w:rsidR="00E815A3" w:rsidRDefault="00E815A3" w:rsidP="00E815A3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Многобройни</w:t>
            </w:r>
            <w:proofErr w:type="spellEnd"/>
            <w:r>
              <w:t xml:space="preserve"> </w:t>
            </w:r>
            <w:proofErr w:type="spellStart"/>
            <w:r>
              <w:t>малки</w:t>
            </w:r>
            <w:proofErr w:type="spellEnd"/>
            <w:r>
              <w:t xml:space="preserve"> и/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големи</w:t>
            </w:r>
            <w:proofErr w:type="spellEnd"/>
            <w:r>
              <w:t xml:space="preserve"> </w:t>
            </w:r>
            <w:proofErr w:type="spellStart"/>
            <w:r>
              <w:t>папули</w:t>
            </w:r>
            <w:proofErr w:type="spellEnd"/>
            <w:r>
              <w:t xml:space="preserve">/ </w:t>
            </w:r>
            <w:proofErr w:type="spellStart"/>
            <w:r>
              <w:t>пустули</w:t>
            </w:r>
            <w:proofErr w:type="spellEnd"/>
            <w:r>
              <w:t xml:space="preserve">, </w:t>
            </w:r>
            <w:proofErr w:type="spellStart"/>
            <w:r>
              <w:t>тежък</w:t>
            </w:r>
            <w:proofErr w:type="spellEnd"/>
            <w:r>
              <w:t xml:space="preserve"> </w:t>
            </w:r>
            <w:proofErr w:type="spellStart"/>
            <w:r>
              <w:t>еритем</w:t>
            </w:r>
            <w:proofErr w:type="spellEnd"/>
          </w:p>
        </w:tc>
      </w:tr>
    </w:tbl>
    <w:p w14:paraId="267056F5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Резултатите от двете клинични проучвания показват, че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, прилаган веднъж дневно в продължение на 12 седмици, е статистически по-добър от </w:t>
      </w:r>
      <w:proofErr w:type="spellStart"/>
      <w:r w:rsidRPr="00D057C8">
        <w:rPr>
          <w:lang w:val="bg-BG" w:eastAsia="bg-BG"/>
        </w:rPr>
        <w:t>вехикулум</w:t>
      </w:r>
      <w:proofErr w:type="spellEnd"/>
      <w:r w:rsidRPr="00D057C8">
        <w:rPr>
          <w:lang w:val="bg-BG" w:eastAsia="bg-BG"/>
        </w:rPr>
        <w:t xml:space="preserve"> крем, по отношение на степента успеваемост по </w:t>
      </w:r>
      <w:r w:rsidRPr="00D057C8">
        <w:t xml:space="preserve">IGA </w:t>
      </w:r>
      <w:r w:rsidRPr="00D057C8">
        <w:rPr>
          <w:lang w:val="bg-BG" w:eastAsia="bg-BG"/>
        </w:rPr>
        <w:t>и по отношение на абсолютната промяна в броя на възпалителните лезии (р &lt;0.001, виж Таблица 3 и Графика 1, Графика 2, Графика 3 и Графика 4).</w:t>
      </w:r>
    </w:p>
    <w:p w14:paraId="3EC4B8AA" w14:textId="1BED2C6C" w:rsidR="00D057C8" w:rsidRDefault="00D057C8" w:rsidP="00D057C8">
      <w:pPr>
        <w:rPr>
          <w:lang w:val="bg-BG" w:eastAsia="bg-BG"/>
        </w:rPr>
      </w:pPr>
      <w:r w:rsidRPr="00D057C8">
        <w:rPr>
          <w:lang w:val="bg-BG" w:eastAsia="bg-BG"/>
        </w:rPr>
        <w:t>В таблицата и графиките, които следват, са представени резултатите за ефикасност и на двете проучвания.</w:t>
      </w:r>
    </w:p>
    <w:p w14:paraId="74CDFCD4" w14:textId="1D6949CD" w:rsidR="00D057C8" w:rsidRDefault="00D057C8" w:rsidP="00D057C8">
      <w:pPr>
        <w:rPr>
          <w:lang w:val="bg-BG" w:eastAsia="bg-BG"/>
        </w:rPr>
      </w:pPr>
    </w:p>
    <w:p w14:paraId="6B410FD1" w14:textId="168445AE" w:rsidR="00D057C8" w:rsidRPr="00D057C8" w:rsidRDefault="00D057C8" w:rsidP="00D057C8">
      <w:pPr>
        <w:rPr>
          <w:b/>
          <w:bCs/>
          <w:sz w:val="24"/>
          <w:szCs w:val="24"/>
          <w:lang w:val="bg-BG"/>
        </w:rPr>
      </w:pPr>
      <w:proofErr w:type="spellStart"/>
      <w:r w:rsidRPr="00D057C8">
        <w:rPr>
          <w:b/>
          <w:bCs/>
        </w:rPr>
        <w:t>Таблица</w:t>
      </w:r>
      <w:proofErr w:type="spellEnd"/>
      <w:r w:rsidRPr="00D057C8">
        <w:rPr>
          <w:b/>
          <w:bCs/>
        </w:rPr>
        <w:t xml:space="preserve"> 3: </w:t>
      </w:r>
      <w:proofErr w:type="spellStart"/>
      <w:r w:rsidRPr="00D057C8">
        <w:rPr>
          <w:b/>
          <w:bCs/>
        </w:rPr>
        <w:t>Резултати</w:t>
      </w:r>
      <w:proofErr w:type="spellEnd"/>
      <w:r w:rsidRPr="00D057C8">
        <w:rPr>
          <w:b/>
          <w:bCs/>
        </w:rPr>
        <w:t xml:space="preserve"> </w:t>
      </w:r>
      <w:proofErr w:type="spellStart"/>
      <w:r w:rsidRPr="00D057C8">
        <w:rPr>
          <w:b/>
          <w:bCs/>
        </w:rPr>
        <w:t>за</w:t>
      </w:r>
      <w:proofErr w:type="spellEnd"/>
      <w:r w:rsidRPr="00D057C8">
        <w:rPr>
          <w:b/>
          <w:bCs/>
        </w:rPr>
        <w:t xml:space="preserve"> </w:t>
      </w:r>
      <w:proofErr w:type="spellStart"/>
      <w:r w:rsidRPr="00D057C8">
        <w:rPr>
          <w:b/>
          <w:bCs/>
        </w:rPr>
        <w:t>ефикасност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656"/>
        <w:gridCol w:w="2077"/>
        <w:gridCol w:w="1867"/>
        <w:gridCol w:w="1867"/>
      </w:tblGrid>
      <w:tr w:rsidR="00D057C8" w14:paraId="38B57E85" w14:textId="77777777" w:rsidTr="00D057C8">
        <w:tc>
          <w:tcPr>
            <w:tcW w:w="1883" w:type="dxa"/>
          </w:tcPr>
          <w:p w14:paraId="66BD5A1B" w14:textId="77777777" w:rsid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14:paraId="0936A9C9" w14:textId="203C8C40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Проучване</w:t>
            </w:r>
            <w:proofErr w:type="spellEnd"/>
            <w:r w:rsidRPr="00D057C8">
              <w:rPr>
                <w:b/>
                <w:bCs/>
              </w:rPr>
              <w:t xml:space="preserve"> 1</w:t>
            </w:r>
          </w:p>
        </w:tc>
        <w:tc>
          <w:tcPr>
            <w:tcW w:w="2077" w:type="dxa"/>
          </w:tcPr>
          <w:p w14:paraId="111C2DAF" w14:textId="77777777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67" w:type="dxa"/>
          </w:tcPr>
          <w:p w14:paraId="011145C1" w14:textId="4DDD46CB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Проучване</w:t>
            </w:r>
            <w:proofErr w:type="spellEnd"/>
            <w:r w:rsidRPr="00D057C8">
              <w:rPr>
                <w:b/>
                <w:bCs/>
              </w:rPr>
              <w:t xml:space="preserve"> 2</w:t>
            </w:r>
          </w:p>
        </w:tc>
        <w:tc>
          <w:tcPr>
            <w:tcW w:w="1867" w:type="dxa"/>
          </w:tcPr>
          <w:p w14:paraId="0EADB2EA" w14:textId="77777777" w:rsid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D057C8" w14:paraId="1F14E5DE" w14:textId="77777777" w:rsidTr="00D057C8">
        <w:tc>
          <w:tcPr>
            <w:tcW w:w="1883" w:type="dxa"/>
          </w:tcPr>
          <w:p w14:paraId="25C38C8C" w14:textId="77777777" w:rsid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  <w:vAlign w:val="bottom"/>
          </w:tcPr>
          <w:p w14:paraId="59F398F2" w14:textId="2498ADE5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Соолантра</w:t>
            </w:r>
            <w:proofErr w:type="spellEnd"/>
            <w:r w:rsidRPr="00D057C8">
              <w:rPr>
                <w:b/>
                <w:bCs/>
              </w:rPr>
              <w:t xml:space="preserve"> (N=451)</w:t>
            </w:r>
          </w:p>
        </w:tc>
        <w:tc>
          <w:tcPr>
            <w:tcW w:w="2077" w:type="dxa"/>
            <w:vAlign w:val="bottom"/>
          </w:tcPr>
          <w:p w14:paraId="713F5DB1" w14:textId="1053E577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Вехикулум</w:t>
            </w:r>
            <w:proofErr w:type="spellEnd"/>
            <w:r w:rsidRPr="00D057C8">
              <w:rPr>
                <w:b/>
                <w:bCs/>
              </w:rPr>
              <w:t xml:space="preserve"> (N=232)</w:t>
            </w:r>
          </w:p>
        </w:tc>
        <w:tc>
          <w:tcPr>
            <w:tcW w:w="1867" w:type="dxa"/>
            <w:vAlign w:val="bottom"/>
          </w:tcPr>
          <w:p w14:paraId="26FA5114" w14:textId="7D96AD57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Соолантра</w:t>
            </w:r>
            <w:proofErr w:type="spellEnd"/>
            <w:r w:rsidRPr="00D057C8">
              <w:rPr>
                <w:b/>
                <w:bCs/>
              </w:rPr>
              <w:t xml:space="preserve"> (N=459)</w:t>
            </w:r>
          </w:p>
        </w:tc>
        <w:tc>
          <w:tcPr>
            <w:tcW w:w="1867" w:type="dxa"/>
            <w:vAlign w:val="bottom"/>
          </w:tcPr>
          <w:p w14:paraId="6C0536D1" w14:textId="1884DBC4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Вехикулум</w:t>
            </w:r>
            <w:proofErr w:type="spellEnd"/>
            <w:r w:rsidRPr="00D057C8">
              <w:rPr>
                <w:b/>
                <w:bCs/>
              </w:rPr>
              <w:t xml:space="preserve"> (N-229)</w:t>
            </w:r>
          </w:p>
        </w:tc>
      </w:tr>
      <w:tr w:rsidR="00D057C8" w14:paraId="6CAF066A" w14:textId="77777777" w:rsidTr="00D057C8">
        <w:tc>
          <w:tcPr>
            <w:tcW w:w="1883" w:type="dxa"/>
          </w:tcPr>
          <w:p w14:paraId="7FC32586" w14:textId="3AD28772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lastRenderedPageBreak/>
              <w:t>Обща</w:t>
            </w:r>
            <w:proofErr w:type="spellEnd"/>
            <w:r w:rsidRPr="00D057C8">
              <w:rPr>
                <w:b/>
                <w:bCs/>
              </w:rPr>
              <w:t xml:space="preserve"> </w:t>
            </w:r>
            <w:proofErr w:type="spellStart"/>
            <w:r w:rsidRPr="00D057C8">
              <w:rPr>
                <w:b/>
                <w:bCs/>
              </w:rPr>
              <w:t>оценка</w:t>
            </w:r>
            <w:proofErr w:type="spellEnd"/>
            <w:r w:rsidRPr="00D057C8">
              <w:rPr>
                <w:b/>
                <w:bCs/>
              </w:rPr>
              <w:t xml:space="preserve"> </w:t>
            </w:r>
            <w:proofErr w:type="spellStart"/>
            <w:r w:rsidRPr="00D057C8">
              <w:rPr>
                <w:b/>
                <w:bCs/>
              </w:rPr>
              <w:t>на</w:t>
            </w:r>
            <w:proofErr w:type="spellEnd"/>
            <w:r w:rsidRPr="00D057C8">
              <w:rPr>
                <w:b/>
                <w:bCs/>
              </w:rPr>
              <w:t xml:space="preserve"> </w:t>
            </w:r>
            <w:proofErr w:type="spellStart"/>
            <w:r w:rsidRPr="00D057C8">
              <w:rPr>
                <w:b/>
                <w:bCs/>
              </w:rPr>
              <w:t>изследовател</w:t>
            </w:r>
            <w:proofErr w:type="spellEnd"/>
          </w:p>
        </w:tc>
        <w:tc>
          <w:tcPr>
            <w:tcW w:w="1656" w:type="dxa"/>
          </w:tcPr>
          <w:p w14:paraId="7C838880" w14:textId="77777777" w:rsidR="00D057C8" w:rsidRDefault="00D057C8" w:rsidP="00D057C8">
            <w:pPr>
              <w:rPr>
                <w:lang w:val="bg-BG"/>
              </w:rPr>
            </w:pPr>
          </w:p>
        </w:tc>
        <w:tc>
          <w:tcPr>
            <w:tcW w:w="2077" w:type="dxa"/>
          </w:tcPr>
          <w:p w14:paraId="5D189C65" w14:textId="77777777" w:rsidR="00D057C8" w:rsidRDefault="00D057C8" w:rsidP="00D057C8">
            <w:pPr>
              <w:rPr>
                <w:lang w:val="bg-BG"/>
              </w:rPr>
            </w:pPr>
          </w:p>
        </w:tc>
        <w:tc>
          <w:tcPr>
            <w:tcW w:w="1867" w:type="dxa"/>
          </w:tcPr>
          <w:p w14:paraId="1434BF50" w14:textId="77777777" w:rsidR="00D057C8" w:rsidRDefault="00D057C8" w:rsidP="00D057C8">
            <w:pPr>
              <w:rPr>
                <w:lang w:val="bg-BG"/>
              </w:rPr>
            </w:pPr>
          </w:p>
        </w:tc>
        <w:tc>
          <w:tcPr>
            <w:tcW w:w="1867" w:type="dxa"/>
          </w:tcPr>
          <w:p w14:paraId="469C13C3" w14:textId="77777777" w:rsidR="00D057C8" w:rsidRDefault="00D057C8" w:rsidP="00D057C8">
            <w:pPr>
              <w:rPr>
                <w:lang w:val="bg-BG"/>
              </w:rPr>
            </w:pPr>
          </w:p>
        </w:tc>
      </w:tr>
      <w:tr w:rsidR="00D057C8" w14:paraId="0EF46480" w14:textId="77777777" w:rsidTr="00D057C8">
        <w:tc>
          <w:tcPr>
            <w:tcW w:w="1883" w:type="dxa"/>
          </w:tcPr>
          <w:p w14:paraId="119603E7" w14:textId="39A2F276" w:rsidR="00D057C8" w:rsidRDefault="00D057C8" w:rsidP="00D057C8">
            <w:pPr>
              <w:rPr>
                <w:sz w:val="24"/>
                <w:szCs w:val="24"/>
                <w:lang w:val="bg-BG"/>
              </w:rPr>
            </w:pPr>
            <w:proofErr w:type="spellStart"/>
            <w:r>
              <w:t>Брой</w:t>
            </w:r>
            <w:proofErr w:type="spellEnd"/>
            <w:r>
              <w:t xml:space="preserve"> (%)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субектите</w:t>
            </w:r>
            <w:proofErr w:type="spellEnd"/>
            <w:r>
              <w:t xml:space="preserve"> с „</w:t>
            </w:r>
            <w:proofErr w:type="spellStart"/>
            <w:proofErr w:type="gramStart"/>
            <w:r>
              <w:t>Чист</w:t>
            </w:r>
            <w:proofErr w:type="spellEnd"/>
            <w:r>
              <w:t xml:space="preserve">“ </w:t>
            </w:r>
            <w:proofErr w:type="spellStart"/>
            <w:r>
              <w:t>или</w:t>
            </w:r>
            <w:proofErr w:type="spellEnd"/>
            <w:proofErr w:type="gramEnd"/>
            <w:r>
              <w:t xml:space="preserve"> „</w:t>
            </w:r>
            <w:proofErr w:type="spellStart"/>
            <w:r>
              <w:t>Почти</w:t>
            </w:r>
            <w:proofErr w:type="spellEnd"/>
            <w:r>
              <w:t xml:space="preserve"> </w:t>
            </w:r>
            <w:proofErr w:type="spellStart"/>
            <w:r>
              <w:t>чист</w:t>
            </w:r>
            <w:proofErr w:type="spellEnd"/>
            <w:r>
              <w:t xml:space="preserve">“ </w:t>
            </w:r>
            <w:proofErr w:type="spellStart"/>
            <w:r>
              <w:t>по</w:t>
            </w:r>
            <w:proofErr w:type="spellEnd"/>
            <w:r>
              <w:t xml:space="preserve"> IGA в </w:t>
            </w:r>
            <w:proofErr w:type="spellStart"/>
            <w:r>
              <w:t>седмица</w:t>
            </w:r>
            <w:proofErr w:type="spellEnd"/>
            <w:r>
              <w:t xml:space="preserve"> 12</w:t>
            </w:r>
          </w:p>
        </w:tc>
        <w:tc>
          <w:tcPr>
            <w:tcW w:w="1656" w:type="dxa"/>
            <w:vAlign w:val="center"/>
          </w:tcPr>
          <w:p w14:paraId="0E1ECEAC" w14:textId="77777777" w:rsidR="00D057C8" w:rsidRDefault="00D057C8" w:rsidP="00D057C8">
            <w:r>
              <w:t>173</w:t>
            </w:r>
          </w:p>
          <w:p w14:paraId="43205DE7" w14:textId="4EEB5E7F" w:rsidR="00D057C8" w:rsidRDefault="00D057C8" w:rsidP="00D057C8">
            <w:pPr>
              <w:rPr>
                <w:lang w:val="bg-BG"/>
              </w:rPr>
            </w:pPr>
            <w:r>
              <w:t>(38.4)</w:t>
            </w:r>
          </w:p>
        </w:tc>
        <w:tc>
          <w:tcPr>
            <w:tcW w:w="2077" w:type="dxa"/>
            <w:vAlign w:val="center"/>
          </w:tcPr>
          <w:p w14:paraId="4BBF4E78" w14:textId="3811429E" w:rsidR="00D057C8" w:rsidRDefault="00D057C8" w:rsidP="00D057C8">
            <w:pPr>
              <w:rPr>
                <w:lang w:val="bg-BG"/>
              </w:rPr>
            </w:pPr>
            <w:r>
              <w:t>27 (11-6)</w:t>
            </w:r>
          </w:p>
        </w:tc>
        <w:tc>
          <w:tcPr>
            <w:tcW w:w="1867" w:type="dxa"/>
            <w:vAlign w:val="center"/>
          </w:tcPr>
          <w:p w14:paraId="414EF0BF" w14:textId="77777777" w:rsidR="00D057C8" w:rsidRDefault="00D057C8" w:rsidP="00D057C8">
            <w:r>
              <w:t>184</w:t>
            </w:r>
          </w:p>
          <w:p w14:paraId="05322C7C" w14:textId="0C76B73E" w:rsidR="00D057C8" w:rsidRDefault="00D057C8" w:rsidP="00D057C8">
            <w:pPr>
              <w:rPr>
                <w:lang w:val="bg-BG"/>
              </w:rPr>
            </w:pPr>
            <w:r>
              <w:t>(40.1)</w:t>
            </w:r>
          </w:p>
        </w:tc>
        <w:tc>
          <w:tcPr>
            <w:tcW w:w="1867" w:type="dxa"/>
            <w:vAlign w:val="center"/>
          </w:tcPr>
          <w:p w14:paraId="24BE20EB" w14:textId="77777777" w:rsidR="00D057C8" w:rsidRDefault="00D057C8" w:rsidP="00D057C8">
            <w:r>
              <w:t>43</w:t>
            </w:r>
          </w:p>
          <w:p w14:paraId="70E1512F" w14:textId="2D01A78C" w:rsidR="00D057C8" w:rsidRDefault="00D057C8" w:rsidP="00D057C8">
            <w:pPr>
              <w:rPr>
                <w:lang w:val="bg-BG"/>
              </w:rPr>
            </w:pPr>
            <w:r>
              <w:t>(18.8)</w:t>
            </w:r>
          </w:p>
        </w:tc>
      </w:tr>
      <w:tr w:rsidR="00D057C8" w14:paraId="1D95FB34" w14:textId="77777777" w:rsidTr="00D057C8">
        <w:tc>
          <w:tcPr>
            <w:tcW w:w="1883" w:type="dxa"/>
          </w:tcPr>
          <w:p w14:paraId="50C02FAE" w14:textId="3B3C6EBC" w:rsidR="00D057C8" w:rsidRPr="00D057C8" w:rsidRDefault="00D057C8" w:rsidP="00D057C8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D057C8">
              <w:rPr>
                <w:b/>
                <w:bCs/>
              </w:rPr>
              <w:t>Възпалителни</w:t>
            </w:r>
            <w:proofErr w:type="spellEnd"/>
            <w:r w:rsidRPr="00D057C8">
              <w:rPr>
                <w:b/>
                <w:bCs/>
              </w:rPr>
              <w:t xml:space="preserve"> </w:t>
            </w:r>
            <w:proofErr w:type="spellStart"/>
            <w:r w:rsidRPr="00D057C8">
              <w:rPr>
                <w:b/>
                <w:bCs/>
              </w:rPr>
              <w:t>лезии</w:t>
            </w:r>
            <w:proofErr w:type="spellEnd"/>
          </w:p>
        </w:tc>
        <w:tc>
          <w:tcPr>
            <w:tcW w:w="1656" w:type="dxa"/>
          </w:tcPr>
          <w:p w14:paraId="77F2145A" w14:textId="77777777" w:rsidR="00D057C8" w:rsidRDefault="00D057C8" w:rsidP="00D057C8">
            <w:pPr>
              <w:rPr>
                <w:lang w:val="bg-BG"/>
              </w:rPr>
            </w:pPr>
          </w:p>
        </w:tc>
        <w:tc>
          <w:tcPr>
            <w:tcW w:w="2077" w:type="dxa"/>
          </w:tcPr>
          <w:p w14:paraId="1D03C15A" w14:textId="77777777" w:rsidR="00D057C8" w:rsidRDefault="00D057C8" w:rsidP="00D057C8">
            <w:pPr>
              <w:rPr>
                <w:lang w:val="bg-BG"/>
              </w:rPr>
            </w:pPr>
          </w:p>
        </w:tc>
        <w:tc>
          <w:tcPr>
            <w:tcW w:w="1867" w:type="dxa"/>
          </w:tcPr>
          <w:p w14:paraId="341D4887" w14:textId="77777777" w:rsidR="00D057C8" w:rsidRDefault="00D057C8" w:rsidP="00D057C8">
            <w:pPr>
              <w:rPr>
                <w:lang w:val="bg-BG"/>
              </w:rPr>
            </w:pPr>
          </w:p>
        </w:tc>
        <w:tc>
          <w:tcPr>
            <w:tcW w:w="1867" w:type="dxa"/>
          </w:tcPr>
          <w:p w14:paraId="62742AAC" w14:textId="77777777" w:rsidR="00D057C8" w:rsidRDefault="00D057C8" w:rsidP="00D057C8">
            <w:pPr>
              <w:rPr>
                <w:lang w:val="bg-BG"/>
              </w:rPr>
            </w:pPr>
          </w:p>
        </w:tc>
      </w:tr>
      <w:tr w:rsidR="00D057C8" w14:paraId="2F61C5A2" w14:textId="77777777" w:rsidTr="00D057C8">
        <w:tc>
          <w:tcPr>
            <w:tcW w:w="1883" w:type="dxa"/>
          </w:tcPr>
          <w:p w14:paraId="1DD2B0E4" w14:textId="18710248" w:rsidR="00D057C8" w:rsidRDefault="00D057C8" w:rsidP="00D057C8">
            <w:pPr>
              <w:rPr>
                <w:sz w:val="24"/>
                <w:szCs w:val="24"/>
                <w:lang w:val="bg-BG"/>
              </w:rPr>
            </w:pPr>
            <w:proofErr w:type="spellStart"/>
            <w:r>
              <w:t>Среден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</w:t>
            </w:r>
            <w:proofErr w:type="spellStart"/>
            <w:r>
              <w:t>възпалителни</w:t>
            </w:r>
            <w:proofErr w:type="spellEnd"/>
            <w:r>
              <w:t xml:space="preserve"> </w:t>
            </w:r>
            <w:proofErr w:type="spellStart"/>
            <w:r>
              <w:t>лезии</w:t>
            </w:r>
            <w:proofErr w:type="spellEnd"/>
            <w:r>
              <w:t xml:space="preserve"> в </w:t>
            </w:r>
            <w:proofErr w:type="spellStart"/>
            <w:r>
              <w:t>изходно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</w:p>
        </w:tc>
        <w:tc>
          <w:tcPr>
            <w:tcW w:w="1656" w:type="dxa"/>
            <w:vAlign w:val="center"/>
          </w:tcPr>
          <w:p w14:paraId="36D8DABE" w14:textId="369508F3" w:rsidR="00D057C8" w:rsidRDefault="00D057C8" w:rsidP="00D057C8">
            <w:pPr>
              <w:rPr>
                <w:lang w:val="bg-BG"/>
              </w:rPr>
            </w:pPr>
            <w:r>
              <w:t>31.0</w:t>
            </w:r>
          </w:p>
        </w:tc>
        <w:tc>
          <w:tcPr>
            <w:tcW w:w="2077" w:type="dxa"/>
            <w:vAlign w:val="center"/>
          </w:tcPr>
          <w:p w14:paraId="384C828A" w14:textId="0935807E" w:rsidR="00D057C8" w:rsidRDefault="00D057C8" w:rsidP="00D057C8">
            <w:pPr>
              <w:rPr>
                <w:lang w:val="bg-BG"/>
              </w:rPr>
            </w:pPr>
            <w:r>
              <w:t>30.5</w:t>
            </w:r>
          </w:p>
        </w:tc>
        <w:tc>
          <w:tcPr>
            <w:tcW w:w="1867" w:type="dxa"/>
            <w:vAlign w:val="center"/>
          </w:tcPr>
          <w:p w14:paraId="6A38C7F7" w14:textId="41606F8F" w:rsidR="00D057C8" w:rsidRDefault="00D057C8" w:rsidP="00D057C8">
            <w:pPr>
              <w:rPr>
                <w:lang w:val="bg-BG"/>
              </w:rPr>
            </w:pPr>
            <w:r>
              <w:t>33.3</w:t>
            </w:r>
          </w:p>
        </w:tc>
        <w:tc>
          <w:tcPr>
            <w:tcW w:w="1867" w:type="dxa"/>
            <w:vAlign w:val="center"/>
          </w:tcPr>
          <w:p w14:paraId="1F5C34C9" w14:textId="338566F9" w:rsidR="00D057C8" w:rsidRDefault="00D057C8" w:rsidP="00D057C8">
            <w:pPr>
              <w:rPr>
                <w:lang w:val="bg-BG"/>
              </w:rPr>
            </w:pPr>
            <w:r>
              <w:t>32.2</w:t>
            </w:r>
          </w:p>
        </w:tc>
      </w:tr>
      <w:tr w:rsidR="00D057C8" w14:paraId="52FFA9D9" w14:textId="77777777" w:rsidTr="00D057C8">
        <w:tc>
          <w:tcPr>
            <w:tcW w:w="1883" w:type="dxa"/>
          </w:tcPr>
          <w:p w14:paraId="54E79DAF" w14:textId="427151C8" w:rsidR="00D057C8" w:rsidRDefault="00D057C8" w:rsidP="00D057C8">
            <w:pPr>
              <w:rPr>
                <w:sz w:val="24"/>
                <w:szCs w:val="24"/>
                <w:lang w:val="bg-BG"/>
              </w:rPr>
            </w:pPr>
            <w:proofErr w:type="spellStart"/>
            <w:r>
              <w:t>Среден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</w:t>
            </w:r>
            <w:proofErr w:type="spellStart"/>
            <w:r>
              <w:t>възпалителни</w:t>
            </w:r>
            <w:proofErr w:type="spellEnd"/>
            <w:r>
              <w:t xml:space="preserve"> </w:t>
            </w:r>
            <w:proofErr w:type="spellStart"/>
            <w:r>
              <w:t>лезии</w:t>
            </w:r>
            <w:proofErr w:type="spellEnd"/>
            <w:r>
              <w:t xml:space="preserve"> в </w:t>
            </w:r>
            <w:proofErr w:type="spellStart"/>
            <w:r>
              <w:t>седмица</w:t>
            </w:r>
            <w:proofErr w:type="spellEnd"/>
            <w:r>
              <w:t xml:space="preserve"> 12</w:t>
            </w:r>
          </w:p>
        </w:tc>
        <w:tc>
          <w:tcPr>
            <w:tcW w:w="1656" w:type="dxa"/>
            <w:vAlign w:val="center"/>
          </w:tcPr>
          <w:p w14:paraId="54992780" w14:textId="0E8531D0" w:rsidR="00D057C8" w:rsidRDefault="00D057C8" w:rsidP="00D057C8">
            <w:pPr>
              <w:rPr>
                <w:lang w:val="bg-BG"/>
              </w:rPr>
            </w:pPr>
            <w:r>
              <w:t>10.6</w:t>
            </w:r>
          </w:p>
        </w:tc>
        <w:tc>
          <w:tcPr>
            <w:tcW w:w="2077" w:type="dxa"/>
            <w:vAlign w:val="center"/>
          </w:tcPr>
          <w:p w14:paraId="128D4D0B" w14:textId="648F1420" w:rsidR="00D057C8" w:rsidRDefault="00D057C8" w:rsidP="00D057C8">
            <w:pPr>
              <w:rPr>
                <w:lang w:val="bg-BG"/>
              </w:rPr>
            </w:pPr>
            <w:r>
              <w:t>18.5</w:t>
            </w:r>
          </w:p>
        </w:tc>
        <w:tc>
          <w:tcPr>
            <w:tcW w:w="1867" w:type="dxa"/>
            <w:vAlign w:val="center"/>
          </w:tcPr>
          <w:p w14:paraId="51D155EB" w14:textId="2BA496F8" w:rsidR="00D057C8" w:rsidRDefault="00D057C8" w:rsidP="00D057C8">
            <w:pPr>
              <w:rPr>
                <w:lang w:val="bg-BG"/>
              </w:rPr>
            </w:pPr>
            <w:r>
              <w:t>11.0</w:t>
            </w:r>
          </w:p>
        </w:tc>
        <w:tc>
          <w:tcPr>
            <w:tcW w:w="1867" w:type="dxa"/>
            <w:vAlign w:val="center"/>
          </w:tcPr>
          <w:p w14:paraId="66D9F7AE" w14:textId="1FCC3261" w:rsidR="00D057C8" w:rsidRDefault="00D057C8" w:rsidP="00D057C8">
            <w:pPr>
              <w:rPr>
                <w:lang w:val="bg-BG"/>
              </w:rPr>
            </w:pPr>
            <w:r>
              <w:t>18.8</w:t>
            </w:r>
          </w:p>
        </w:tc>
      </w:tr>
      <w:tr w:rsidR="00D057C8" w14:paraId="34080539" w14:textId="77777777" w:rsidTr="00D057C8">
        <w:tc>
          <w:tcPr>
            <w:tcW w:w="1883" w:type="dxa"/>
          </w:tcPr>
          <w:p w14:paraId="3523C94B" w14:textId="105B4664" w:rsidR="00D057C8" w:rsidRDefault="00D057C8" w:rsidP="00D057C8">
            <w:pPr>
              <w:rPr>
                <w:sz w:val="24"/>
                <w:szCs w:val="24"/>
                <w:lang w:val="bg-BG"/>
              </w:rPr>
            </w:pPr>
            <w:proofErr w:type="spellStart"/>
            <w:r>
              <w:t>Средна</w:t>
            </w:r>
            <w:proofErr w:type="spellEnd"/>
            <w:r>
              <w:t xml:space="preserve"> </w:t>
            </w:r>
            <w:proofErr w:type="spellStart"/>
            <w:r>
              <w:t>абсолютна</w:t>
            </w:r>
            <w:proofErr w:type="spellEnd"/>
            <w:r>
              <w:t xml:space="preserve"> </w:t>
            </w:r>
            <w:proofErr w:type="spellStart"/>
            <w:r>
              <w:t>промяна</w:t>
            </w:r>
            <w:proofErr w:type="spellEnd"/>
            <w:r>
              <w:t xml:space="preserve"> (% </w:t>
            </w:r>
            <w:proofErr w:type="spellStart"/>
            <w:r>
              <w:t>промяна</w:t>
            </w:r>
            <w:proofErr w:type="spellEnd"/>
            <w:r>
              <w:t xml:space="preserve">) в </w:t>
            </w:r>
            <w:proofErr w:type="spellStart"/>
            <w:r>
              <w:t>броя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възпалителните</w:t>
            </w:r>
            <w:proofErr w:type="spellEnd"/>
            <w:r>
              <w:t xml:space="preserve"> </w:t>
            </w:r>
            <w:proofErr w:type="spellStart"/>
            <w:r>
              <w:t>лезии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изходно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в </w:t>
            </w:r>
            <w:proofErr w:type="spellStart"/>
            <w:r>
              <w:t>седмица</w:t>
            </w:r>
            <w:proofErr w:type="spellEnd"/>
            <w:r>
              <w:t xml:space="preserve"> 12</w:t>
            </w:r>
          </w:p>
        </w:tc>
        <w:tc>
          <w:tcPr>
            <w:tcW w:w="1656" w:type="dxa"/>
            <w:vAlign w:val="center"/>
          </w:tcPr>
          <w:p w14:paraId="26D4C2BE" w14:textId="77777777" w:rsidR="00D057C8" w:rsidRDefault="00D057C8" w:rsidP="00D057C8">
            <w:r>
              <w:t>-20.5</w:t>
            </w:r>
          </w:p>
          <w:p w14:paraId="38EE0575" w14:textId="4B3FC61E" w:rsidR="00D057C8" w:rsidRDefault="00D057C8" w:rsidP="00D057C8">
            <w:pPr>
              <w:rPr>
                <w:lang w:val="bg-BG"/>
              </w:rPr>
            </w:pPr>
            <w:r>
              <w:t>(-64.9)</w:t>
            </w:r>
          </w:p>
        </w:tc>
        <w:tc>
          <w:tcPr>
            <w:tcW w:w="2077" w:type="dxa"/>
            <w:vAlign w:val="center"/>
          </w:tcPr>
          <w:p w14:paraId="6003EBDC" w14:textId="77777777" w:rsidR="00D057C8" w:rsidRDefault="00D057C8" w:rsidP="00D057C8">
            <w:r>
              <w:t>-12.0</w:t>
            </w:r>
          </w:p>
          <w:p w14:paraId="1E5430B9" w14:textId="117C47C4" w:rsidR="00D057C8" w:rsidRDefault="00D057C8" w:rsidP="00D057C8">
            <w:pPr>
              <w:rPr>
                <w:lang w:val="bg-BG"/>
              </w:rPr>
            </w:pPr>
            <w:r>
              <w:t>(-41.6)</w:t>
            </w:r>
          </w:p>
        </w:tc>
        <w:tc>
          <w:tcPr>
            <w:tcW w:w="1867" w:type="dxa"/>
            <w:vAlign w:val="center"/>
          </w:tcPr>
          <w:p w14:paraId="64406FA6" w14:textId="77777777" w:rsidR="00D057C8" w:rsidRDefault="00D057C8" w:rsidP="00D057C8">
            <w:r>
              <w:t>-22.2</w:t>
            </w:r>
          </w:p>
          <w:p w14:paraId="1EDDED2B" w14:textId="17081F0E" w:rsidR="00D057C8" w:rsidRDefault="00D057C8" w:rsidP="00D057C8">
            <w:pPr>
              <w:rPr>
                <w:lang w:val="bg-BG"/>
              </w:rPr>
            </w:pPr>
            <w:r>
              <w:t>(-65.7)</w:t>
            </w:r>
          </w:p>
        </w:tc>
        <w:tc>
          <w:tcPr>
            <w:tcW w:w="1867" w:type="dxa"/>
            <w:vAlign w:val="bottom"/>
          </w:tcPr>
          <w:p w14:paraId="566C59F4" w14:textId="20D4618D" w:rsidR="00D057C8" w:rsidRDefault="00D057C8" w:rsidP="00D057C8">
            <w:pPr>
              <w:rPr>
                <w:lang w:val="bg-BG"/>
              </w:rPr>
            </w:pPr>
            <w:r>
              <w:rPr>
                <w:lang w:val="bg-BG"/>
              </w:rPr>
              <w:t>-13.4</w:t>
            </w:r>
          </w:p>
          <w:p w14:paraId="0EAF1EE4" w14:textId="558AE51B" w:rsidR="00D057C8" w:rsidRPr="00D057C8" w:rsidRDefault="00D057C8" w:rsidP="00D057C8">
            <w:pPr>
              <w:rPr>
                <w:lang w:val="bg-BG"/>
              </w:rPr>
            </w:pPr>
            <w:r>
              <w:rPr>
                <w:lang w:val="bg-BG"/>
              </w:rPr>
              <w:t>(-43,4)</w:t>
            </w:r>
          </w:p>
          <w:p w14:paraId="11F19F38" w14:textId="77777777" w:rsidR="00D057C8" w:rsidRDefault="00D057C8" w:rsidP="00D057C8"/>
          <w:p w14:paraId="3083177E" w14:textId="77777777" w:rsidR="00D057C8" w:rsidRDefault="00D057C8" w:rsidP="00D057C8"/>
          <w:p w14:paraId="42E05ACB" w14:textId="7D75EFF2" w:rsidR="00D057C8" w:rsidRPr="00D057C8" w:rsidRDefault="00D057C8" w:rsidP="00D057C8"/>
        </w:tc>
      </w:tr>
    </w:tbl>
    <w:p w14:paraId="41DFED46" w14:textId="77777777" w:rsidR="00E815A3" w:rsidRPr="00E815A3" w:rsidRDefault="00E815A3" w:rsidP="00E815A3">
      <w:pPr>
        <w:rPr>
          <w:b/>
          <w:bCs/>
          <w:sz w:val="24"/>
          <w:szCs w:val="24"/>
          <w:lang w:val="bg-BG"/>
        </w:rPr>
      </w:pPr>
    </w:p>
    <w:p w14:paraId="61A8E6B1" w14:textId="76CF0EBD" w:rsidR="00D057C8" w:rsidRDefault="00D057C8" w:rsidP="00D057C8">
      <w:pPr>
        <w:rPr>
          <w:noProof/>
        </w:rPr>
      </w:pPr>
      <w:proofErr w:type="spellStart"/>
      <w:r w:rsidRPr="00D057C8">
        <w:rPr>
          <w:b/>
          <w:bCs/>
        </w:rPr>
        <w:t>Графики</w:t>
      </w:r>
      <w:proofErr w:type="spellEnd"/>
      <w:r w:rsidRPr="00D057C8">
        <w:rPr>
          <w:b/>
          <w:bCs/>
        </w:rPr>
        <w:t xml:space="preserve"> 1 и 2: </w:t>
      </w:r>
      <w:proofErr w:type="spellStart"/>
      <w:r w:rsidRPr="00D057C8">
        <w:rPr>
          <w:b/>
          <w:bCs/>
        </w:rPr>
        <w:t>Успеваемост</w:t>
      </w:r>
      <w:proofErr w:type="spellEnd"/>
      <w:r w:rsidRPr="00D057C8">
        <w:rPr>
          <w:b/>
          <w:bCs/>
        </w:rPr>
        <w:t xml:space="preserve"> </w:t>
      </w:r>
      <w:proofErr w:type="spellStart"/>
      <w:r w:rsidRPr="00D057C8">
        <w:rPr>
          <w:b/>
          <w:bCs/>
        </w:rPr>
        <w:t>по</w:t>
      </w:r>
      <w:proofErr w:type="spellEnd"/>
      <w:r w:rsidRPr="00D057C8">
        <w:rPr>
          <w:b/>
          <w:bCs/>
        </w:rPr>
        <w:t xml:space="preserve"> IGA в </w:t>
      </w:r>
      <w:proofErr w:type="spellStart"/>
      <w:r w:rsidRPr="00D057C8">
        <w:rPr>
          <w:b/>
          <w:bCs/>
        </w:rPr>
        <w:t>течение</w:t>
      </w:r>
      <w:proofErr w:type="spellEnd"/>
      <w:r w:rsidRPr="00D057C8">
        <w:rPr>
          <w:b/>
          <w:bCs/>
        </w:rPr>
        <w:t xml:space="preserve"> </w:t>
      </w:r>
      <w:proofErr w:type="spellStart"/>
      <w:r w:rsidRPr="00D057C8">
        <w:rPr>
          <w:b/>
          <w:bCs/>
        </w:rPr>
        <w:t>на</w:t>
      </w:r>
      <w:proofErr w:type="spellEnd"/>
      <w:r w:rsidRPr="00D057C8">
        <w:rPr>
          <w:b/>
          <w:bCs/>
        </w:rPr>
        <w:t xml:space="preserve"> </w:t>
      </w:r>
      <w:proofErr w:type="spellStart"/>
      <w:r w:rsidRPr="00D057C8">
        <w:rPr>
          <w:b/>
          <w:bCs/>
        </w:rPr>
        <w:t>времето</w:t>
      </w:r>
      <w:proofErr w:type="spellEnd"/>
      <w:r w:rsidRPr="00D057C8">
        <w:rPr>
          <w:b/>
          <w:bCs/>
        </w:rPr>
        <w:t xml:space="preserve"> в </w:t>
      </w:r>
      <w:proofErr w:type="spellStart"/>
      <w:r w:rsidRPr="00D057C8">
        <w:rPr>
          <w:b/>
          <w:bCs/>
        </w:rPr>
        <w:t>седмици</w:t>
      </w:r>
      <w:proofErr w:type="spellEnd"/>
    </w:p>
    <w:p w14:paraId="007572E8" w14:textId="22D3C4AC" w:rsidR="00D057C8" w:rsidRDefault="00D057C8" w:rsidP="00D057C8">
      <w:pPr>
        <w:rPr>
          <w:b/>
          <w:bCs/>
        </w:rPr>
      </w:pPr>
      <w:r>
        <w:rPr>
          <w:noProof/>
        </w:rPr>
        <w:drawing>
          <wp:inline distT="0" distB="0" distL="0" distR="0" wp14:anchorId="2730589E" wp14:editId="04C4607C">
            <wp:extent cx="5571490" cy="178625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7149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B168" w14:textId="3A730182" w:rsidR="00D057C8" w:rsidRDefault="00D057C8" w:rsidP="00D057C8">
      <w:pPr>
        <w:rPr>
          <w:b/>
          <w:bCs/>
        </w:rPr>
      </w:pPr>
    </w:p>
    <w:p w14:paraId="1F32B16C" w14:textId="77777777" w:rsidR="00D057C8" w:rsidRDefault="00D057C8" w:rsidP="00D057C8">
      <w:pPr>
        <w:rPr>
          <w:b/>
          <w:bCs/>
          <w:lang w:val="bg-BG" w:eastAsia="bg-BG"/>
        </w:rPr>
      </w:pPr>
    </w:p>
    <w:p w14:paraId="3DA2B1A1" w14:textId="77777777" w:rsidR="00D057C8" w:rsidRDefault="00D057C8" w:rsidP="00D057C8">
      <w:pPr>
        <w:rPr>
          <w:b/>
          <w:bCs/>
          <w:lang w:val="bg-BG" w:eastAsia="bg-BG"/>
        </w:rPr>
      </w:pPr>
    </w:p>
    <w:p w14:paraId="0239D3C8" w14:textId="77777777" w:rsidR="00D057C8" w:rsidRDefault="00D057C8" w:rsidP="00D057C8">
      <w:pPr>
        <w:rPr>
          <w:b/>
          <w:bCs/>
          <w:lang w:val="bg-BG" w:eastAsia="bg-BG"/>
        </w:rPr>
      </w:pPr>
    </w:p>
    <w:p w14:paraId="51989283" w14:textId="25853473" w:rsidR="00D057C8" w:rsidRDefault="00D057C8" w:rsidP="00D057C8">
      <w:pPr>
        <w:rPr>
          <w:b/>
          <w:bCs/>
          <w:lang w:val="bg-BG" w:eastAsia="bg-BG"/>
        </w:rPr>
      </w:pPr>
      <w:r w:rsidRPr="00D057C8">
        <w:rPr>
          <w:b/>
          <w:bCs/>
          <w:lang w:val="bg-BG" w:eastAsia="bg-BG"/>
        </w:rPr>
        <w:t>Графики 3 и 4: Средна абсолютна промяна в броя на възпалителните лезии от изходно ниво в течение на времето в седмици</w:t>
      </w:r>
    </w:p>
    <w:p w14:paraId="79BFF77C" w14:textId="7B10C505" w:rsidR="00D057C8" w:rsidRDefault="00D057C8" w:rsidP="00D057C8">
      <w:pPr>
        <w:rPr>
          <w:b/>
          <w:bCs/>
          <w:sz w:val="24"/>
          <w:szCs w:val="24"/>
          <w:lang w:val="bg-BG"/>
        </w:rPr>
      </w:pPr>
    </w:p>
    <w:p w14:paraId="7B74BFC6" w14:textId="77777777" w:rsidR="00D057C8" w:rsidRDefault="00D057C8" w:rsidP="00D057C8">
      <w:pPr>
        <w:rPr>
          <w:b/>
          <w:bCs/>
          <w:lang w:val="bg-BG"/>
        </w:rPr>
        <w:sectPr w:rsidR="00D057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634F12" w14:textId="36553920" w:rsidR="00D057C8" w:rsidRPr="00D057C8" w:rsidRDefault="00D057C8" w:rsidP="00D057C8">
      <w:pPr>
        <w:rPr>
          <w:b/>
          <w:bCs/>
          <w:lang w:val="bg-BG"/>
        </w:rPr>
      </w:pPr>
      <w:r w:rsidRPr="00D057C8">
        <w:rPr>
          <w:b/>
          <w:bCs/>
          <w:lang w:val="bg-BG"/>
        </w:rPr>
        <w:lastRenderedPageBreak/>
        <w:t>Проучване 1</w:t>
      </w:r>
    </w:p>
    <w:p w14:paraId="391D9F44" w14:textId="722F5D46" w:rsidR="00D057C8" w:rsidRPr="00D057C8" w:rsidRDefault="00D057C8" w:rsidP="00D057C8">
      <w:pPr>
        <w:rPr>
          <w:b/>
          <w:bCs/>
          <w:lang w:val="bg-BG"/>
        </w:rPr>
        <w:sectPr w:rsidR="00D057C8" w:rsidRPr="00D057C8" w:rsidSect="00D057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057C8">
        <w:rPr>
          <w:b/>
          <w:bCs/>
          <w:lang w:val="bg-BG"/>
        </w:rPr>
        <w:t xml:space="preserve"> Проучване 2</w:t>
      </w:r>
    </w:p>
    <w:p w14:paraId="0E9F3E51" w14:textId="06562305" w:rsidR="00D057C8" w:rsidRDefault="00D057C8" w:rsidP="00D057C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40370" wp14:editId="55194580">
            <wp:simplePos x="0" y="0"/>
            <wp:positionH relativeFrom="column">
              <wp:posOffset>2846717</wp:posOffset>
            </wp:positionH>
            <wp:positionV relativeFrom="paragraph">
              <wp:posOffset>15468</wp:posOffset>
            </wp:positionV>
            <wp:extent cx="209677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391" y="21447"/>
                <wp:lineTo x="21391" y="0"/>
                <wp:lineTo x="0" y="0"/>
              </wp:wrapPolygon>
            </wp:wrapThrough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0967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170094" wp14:editId="6D26CF4E">
            <wp:extent cx="2176145" cy="143891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7614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120B" w14:textId="090BF6F5" w:rsidR="00D057C8" w:rsidRDefault="00D057C8" w:rsidP="00D057C8">
      <w:pPr>
        <w:rPr>
          <w:b/>
          <w:bCs/>
        </w:rPr>
      </w:pPr>
    </w:p>
    <w:p w14:paraId="71A9F15F" w14:textId="77777777" w:rsidR="00D057C8" w:rsidRDefault="00D057C8" w:rsidP="00D057C8">
      <w:pPr>
        <w:rPr>
          <w:b/>
          <w:bCs/>
        </w:rPr>
      </w:pPr>
    </w:p>
    <w:p w14:paraId="00734422" w14:textId="77777777" w:rsidR="00D057C8" w:rsidRDefault="00D057C8" w:rsidP="00D057C8">
      <w:pPr>
        <w:rPr>
          <w:b/>
          <w:bCs/>
        </w:rPr>
      </w:pPr>
    </w:p>
    <w:p w14:paraId="33709863" w14:textId="1F9DB69C" w:rsidR="00D057C8" w:rsidRDefault="00D057C8" w:rsidP="00D057C8">
      <w:pPr>
        <w:rPr>
          <w:b/>
          <w:bCs/>
        </w:rPr>
        <w:sectPr w:rsidR="00D057C8" w:rsidSect="00D057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0DAF71" w14:textId="1E1A3DB8" w:rsidR="00D057C8" w:rsidRDefault="00D057C8" w:rsidP="00D057C8">
      <w:pPr>
        <w:rPr>
          <w:noProof/>
        </w:rPr>
      </w:pPr>
    </w:p>
    <w:p w14:paraId="48886B1B" w14:textId="77777777" w:rsidR="00D057C8" w:rsidRPr="00D057C8" w:rsidRDefault="00D057C8" w:rsidP="00D057C8">
      <w:pPr>
        <w:rPr>
          <w:sz w:val="24"/>
          <w:szCs w:val="24"/>
          <w:lang w:val="bg-BG"/>
        </w:rPr>
      </w:pP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 превъзхожда статистически </w:t>
      </w:r>
      <w:proofErr w:type="spellStart"/>
      <w:r w:rsidRPr="00D057C8">
        <w:rPr>
          <w:lang w:val="bg-BG" w:eastAsia="bg-BG"/>
        </w:rPr>
        <w:t>вехикулум</w:t>
      </w:r>
      <w:proofErr w:type="spellEnd"/>
      <w:r w:rsidRPr="00D057C8">
        <w:rPr>
          <w:lang w:val="bg-BG" w:eastAsia="bg-BG"/>
        </w:rPr>
        <w:t xml:space="preserve"> крем по отношение ефикасност в една от първичните крайни точки, с време на поява на ефикасност в 4-та седмица от лечението (р &lt;0.05).</w:t>
      </w:r>
    </w:p>
    <w:p w14:paraId="66DFEF43" w14:textId="77777777" w:rsidR="00D057C8" w:rsidRDefault="00D057C8" w:rsidP="00D057C8">
      <w:pPr>
        <w:rPr>
          <w:lang w:val="bg-BG" w:eastAsia="bg-BG"/>
        </w:rPr>
      </w:pPr>
    </w:p>
    <w:p w14:paraId="3481C074" w14:textId="5D5D7F0D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По време на 40-седмичното продължение на двете клинични проучвания е извършено оценяване на резултата по </w:t>
      </w:r>
      <w:r w:rsidRPr="00D057C8">
        <w:t xml:space="preserve">IGA, </w:t>
      </w:r>
      <w:r w:rsidRPr="00D057C8">
        <w:rPr>
          <w:lang w:val="bg-BG" w:eastAsia="bg-BG"/>
        </w:rPr>
        <w:t xml:space="preserve">и процентът от пациентите постигнали 0 или 1 резултат по </w:t>
      </w:r>
      <w:r w:rsidRPr="00D057C8">
        <w:t xml:space="preserve">IGA </w:t>
      </w:r>
      <w:r w:rsidRPr="00D057C8">
        <w:rPr>
          <w:lang w:val="bg-BG" w:eastAsia="bg-BG"/>
        </w:rPr>
        <w:t xml:space="preserve">след лечение с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, продължава да се увеличава до седмица 52. Успеваемостта </w:t>
      </w:r>
      <w:r w:rsidRPr="00D057C8">
        <w:t xml:space="preserve">(IGA </w:t>
      </w:r>
      <w:r w:rsidRPr="00D057C8">
        <w:rPr>
          <w:lang w:val="bg-BG" w:eastAsia="bg-BG"/>
        </w:rPr>
        <w:t>= 0 или 1) в седмица 52 в Проучвания 1 и 2 е съответно 71% и 76%.</w:t>
      </w:r>
    </w:p>
    <w:p w14:paraId="42DB4D60" w14:textId="77777777" w:rsidR="00D057C8" w:rsidRDefault="00D057C8" w:rsidP="00D057C8">
      <w:pPr>
        <w:rPr>
          <w:lang w:val="bg-BG" w:eastAsia="bg-BG"/>
        </w:rPr>
      </w:pPr>
    </w:p>
    <w:p w14:paraId="560675C9" w14:textId="77777777" w:rsidR="00D057C8" w:rsidRDefault="00D057C8" w:rsidP="00D057C8">
      <w:pPr>
        <w:rPr>
          <w:lang w:val="bg-BG" w:eastAsia="bg-BG"/>
        </w:rPr>
      </w:pPr>
      <w:r w:rsidRPr="00D057C8">
        <w:rPr>
          <w:lang w:val="bg-BG" w:eastAsia="bg-BG"/>
        </w:rPr>
        <w:t xml:space="preserve">Ефикасността и безопасността на лекарствения продукт за лечение на възпалителни лезии от </w:t>
      </w:r>
      <w:proofErr w:type="spellStart"/>
      <w:r w:rsidRPr="00D057C8">
        <w:rPr>
          <w:lang w:val="bg-BG" w:eastAsia="bg-BG"/>
        </w:rPr>
        <w:t>розацея</w:t>
      </w:r>
      <w:proofErr w:type="spellEnd"/>
      <w:r w:rsidRPr="00D057C8">
        <w:rPr>
          <w:lang w:val="bg-BG" w:eastAsia="bg-BG"/>
        </w:rPr>
        <w:t xml:space="preserve"> също са оценени в </w:t>
      </w:r>
      <w:proofErr w:type="spellStart"/>
      <w:r w:rsidRPr="00D057C8">
        <w:rPr>
          <w:lang w:val="bg-BG" w:eastAsia="bg-BG"/>
        </w:rPr>
        <w:t>рандомизирано</w:t>
      </w:r>
      <w:proofErr w:type="spellEnd"/>
      <w:r w:rsidRPr="00D057C8">
        <w:rPr>
          <w:lang w:val="bg-BG" w:eastAsia="bg-BG"/>
        </w:rPr>
        <w:t xml:space="preserve">, изследовател-на сляпо, активно контролирано клинично проучване. Проучването е проведено върху 962 лица на възраст 18 и повече години, които са били лекувани в продължение на 16 седмици или със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 веднъж дневно или с </w:t>
      </w:r>
    </w:p>
    <w:p w14:paraId="70C0ED37" w14:textId="50E171C4" w:rsidR="00D057C8" w:rsidRPr="00D057C8" w:rsidRDefault="00D057C8" w:rsidP="00D057C8">
      <w:pPr>
        <w:rPr>
          <w:sz w:val="24"/>
          <w:szCs w:val="24"/>
          <w:lang w:val="bg-BG"/>
        </w:rPr>
      </w:pPr>
      <w:proofErr w:type="spellStart"/>
      <w:r w:rsidRPr="00D057C8">
        <w:rPr>
          <w:lang w:val="bg-BG" w:eastAsia="bg-BG"/>
        </w:rPr>
        <w:t>Метронидазол</w:t>
      </w:r>
      <w:proofErr w:type="spellEnd"/>
      <w:r w:rsidRPr="00D057C8">
        <w:rPr>
          <w:lang w:val="bg-BG" w:eastAsia="bg-BG"/>
        </w:rPr>
        <w:t xml:space="preserve"> 7,5 </w:t>
      </w:r>
      <w:r w:rsidRPr="00D057C8">
        <w:t xml:space="preserve">mg/g </w:t>
      </w:r>
      <w:r w:rsidRPr="00D057C8">
        <w:rPr>
          <w:lang w:val="bg-BG" w:eastAsia="bg-BG"/>
        </w:rPr>
        <w:t xml:space="preserve">крем два пъти дневно. В това проучване 99,7% от пациентите са представители на Европеидната раса, и 65.2% са жени; на изходно ниво, по скалата на </w:t>
      </w:r>
      <w:r w:rsidRPr="00D057C8">
        <w:t xml:space="preserve">IGA, </w:t>
      </w:r>
      <w:r w:rsidRPr="00D057C8">
        <w:rPr>
          <w:lang w:val="bg-BG" w:eastAsia="bg-BG"/>
        </w:rPr>
        <w:t xml:space="preserve">83,3% от пациентите са отбелязани с умерена степен </w:t>
      </w:r>
      <w:r w:rsidRPr="00D057C8">
        <w:t xml:space="preserve">(IGA </w:t>
      </w:r>
      <w:r w:rsidRPr="00D057C8">
        <w:rPr>
          <w:lang w:val="bg-BG" w:eastAsia="bg-BG"/>
        </w:rPr>
        <w:t xml:space="preserve">= 3), и 16,7% са </w:t>
      </w:r>
      <w:proofErr w:type="spellStart"/>
      <w:r w:rsidRPr="00D057C8">
        <w:rPr>
          <w:lang w:val="bg-BG" w:eastAsia="bg-BG"/>
        </w:rPr>
        <w:t>отблязани</w:t>
      </w:r>
      <w:proofErr w:type="spellEnd"/>
      <w:r w:rsidRPr="00D057C8">
        <w:rPr>
          <w:lang w:val="bg-BG" w:eastAsia="bg-BG"/>
        </w:rPr>
        <w:t xml:space="preserve"> с тежка степен(</w:t>
      </w:r>
      <w:r w:rsidRPr="00D057C8">
        <w:t>IGA=4)</w:t>
      </w:r>
      <w:r w:rsidRPr="00D057C8">
        <w:rPr>
          <w:lang w:val="bg-BG" w:eastAsia="bg-BG"/>
        </w:rPr>
        <w:t>(виж Графиката 5).</w:t>
      </w:r>
    </w:p>
    <w:p w14:paraId="6DEAA712" w14:textId="77777777" w:rsidR="00D057C8" w:rsidRDefault="00D057C8" w:rsidP="00D057C8">
      <w:pPr>
        <w:rPr>
          <w:lang w:val="bg-BG" w:eastAsia="bg-BG"/>
        </w:rPr>
      </w:pPr>
    </w:p>
    <w:p w14:paraId="34595755" w14:textId="7F43FA6A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>Резултатите от проучването показват, че по отношение първична крайна точка за ефикасност,</w:t>
      </w:r>
    </w:p>
    <w:p w14:paraId="62783790" w14:textId="77777777" w:rsidR="00D057C8" w:rsidRPr="00D057C8" w:rsidRDefault="00D057C8" w:rsidP="00D057C8">
      <w:pPr>
        <w:rPr>
          <w:sz w:val="24"/>
          <w:szCs w:val="24"/>
          <w:lang w:val="bg-BG"/>
        </w:rPr>
      </w:pP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 превъзхожда статистически </w:t>
      </w:r>
      <w:proofErr w:type="spellStart"/>
      <w:r w:rsidRPr="00D057C8">
        <w:rPr>
          <w:lang w:val="bg-BG" w:eastAsia="bg-BG"/>
        </w:rPr>
        <w:t>Метронидазол</w:t>
      </w:r>
      <w:proofErr w:type="spellEnd"/>
      <w:r w:rsidRPr="00D057C8">
        <w:rPr>
          <w:lang w:val="bg-BG" w:eastAsia="bg-BG"/>
        </w:rPr>
        <w:t xml:space="preserve"> 7,5 </w:t>
      </w:r>
      <w:r w:rsidRPr="00D057C8">
        <w:t>mg /g</w:t>
      </w:r>
      <w:r w:rsidRPr="00D057C8">
        <w:rPr>
          <w:lang w:val="bg-BG" w:eastAsia="bg-BG"/>
        </w:rPr>
        <w:t xml:space="preserve"> крем (среден процент промяна в броя на възпалителните лезии) с намаление от изходното ниво съответно с 83,0% за </w:t>
      </w:r>
      <w:proofErr w:type="spellStart"/>
      <w:r w:rsidRPr="00D057C8">
        <w:rPr>
          <w:lang w:val="bg-BG" w:eastAsia="bg-BG"/>
        </w:rPr>
        <w:t>инвермектин</w:t>
      </w:r>
      <w:proofErr w:type="spellEnd"/>
      <w:r w:rsidRPr="00D057C8">
        <w:rPr>
          <w:lang w:val="bg-BG" w:eastAsia="bg-BG"/>
        </w:rPr>
        <w:t xml:space="preserve"> и 73,7% за</w:t>
      </w:r>
    </w:p>
    <w:p w14:paraId="6FBE75E9" w14:textId="40B5DEBB" w:rsidR="00D057C8" w:rsidRPr="00B53B07" w:rsidRDefault="00D057C8" w:rsidP="00D057C8">
      <w:pPr>
        <w:rPr>
          <w:sz w:val="24"/>
          <w:szCs w:val="24"/>
          <w:lang w:val="bg-BG"/>
        </w:rPr>
      </w:pPr>
      <w:proofErr w:type="spellStart"/>
      <w:r w:rsidRPr="00D057C8">
        <w:rPr>
          <w:lang w:val="bg-BG" w:eastAsia="bg-BG"/>
        </w:rPr>
        <w:t>метронидазол</w:t>
      </w:r>
      <w:proofErr w:type="spellEnd"/>
      <w:r w:rsidRPr="00D057C8">
        <w:rPr>
          <w:lang w:val="bg-BG" w:eastAsia="bg-BG"/>
        </w:rPr>
        <w:t xml:space="preserve"> групи, след 16 седмици проведено лечение (р &lt;0.001). Превъзходството в успеваемостта на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 на 16-та седмица е потвърдено на база </w:t>
      </w:r>
      <w:r w:rsidRPr="00D057C8">
        <w:t>IGA</w:t>
      </w:r>
      <w:r w:rsidRPr="00D057C8">
        <w:rPr>
          <w:lang w:val="bg-BG" w:eastAsia="bg-BG"/>
        </w:rPr>
        <w:t xml:space="preserve"> и в абсолютна промяна в</w:t>
      </w:r>
      <w:r w:rsidR="00B53B07">
        <w:rPr>
          <w:sz w:val="24"/>
          <w:szCs w:val="24"/>
          <w:lang w:val="sl-SI"/>
        </w:rPr>
        <w:t xml:space="preserve"> </w:t>
      </w:r>
      <w:r w:rsidRPr="00D057C8">
        <w:rPr>
          <w:lang w:val="bg-BG" w:eastAsia="bg-BG"/>
        </w:rPr>
        <w:t>броя на възпалителните лезии (вторични крайни точки (р &lt;0.001).</w:t>
      </w:r>
    </w:p>
    <w:p w14:paraId="79ED1C87" w14:textId="5E185366" w:rsidR="00D057C8" w:rsidRDefault="00D057C8" w:rsidP="00D057C8">
      <w:pPr>
        <w:rPr>
          <w:b/>
          <w:bCs/>
        </w:rPr>
      </w:pPr>
    </w:p>
    <w:p w14:paraId="236340B9" w14:textId="77777777" w:rsidR="00D057C8" w:rsidRDefault="00D057C8" w:rsidP="00D057C8">
      <w:pPr>
        <w:rPr>
          <w:b/>
          <w:bCs/>
          <w:lang w:val="bg-BG"/>
        </w:rPr>
      </w:pPr>
    </w:p>
    <w:p w14:paraId="4A4D4D40" w14:textId="77777777" w:rsidR="00D057C8" w:rsidRDefault="00D057C8" w:rsidP="00D057C8">
      <w:pPr>
        <w:rPr>
          <w:b/>
          <w:bCs/>
          <w:lang w:val="bg-BG"/>
        </w:rPr>
      </w:pPr>
    </w:p>
    <w:p w14:paraId="24CF4BC7" w14:textId="77777777" w:rsidR="00D057C8" w:rsidRDefault="00D057C8" w:rsidP="00D057C8">
      <w:pPr>
        <w:rPr>
          <w:b/>
          <w:bCs/>
          <w:lang w:val="bg-BG"/>
        </w:rPr>
      </w:pPr>
    </w:p>
    <w:p w14:paraId="3086DF36" w14:textId="1C2E7A9C" w:rsidR="00D057C8" w:rsidRDefault="00D057C8" w:rsidP="00D057C8">
      <w:pPr>
        <w:rPr>
          <w:b/>
          <w:bCs/>
          <w:lang w:val="bg-BG"/>
        </w:rPr>
      </w:pPr>
    </w:p>
    <w:p w14:paraId="3E2281DF" w14:textId="77777777" w:rsidR="00B53B07" w:rsidRDefault="00B53B07" w:rsidP="00D057C8">
      <w:pPr>
        <w:rPr>
          <w:b/>
          <w:bCs/>
          <w:lang w:val="bg-BG"/>
        </w:rPr>
      </w:pPr>
    </w:p>
    <w:p w14:paraId="1B051E4F" w14:textId="77777777" w:rsidR="00D057C8" w:rsidRDefault="00D057C8" w:rsidP="00D057C8">
      <w:pPr>
        <w:rPr>
          <w:b/>
          <w:bCs/>
          <w:lang w:val="bg-BG"/>
        </w:rPr>
      </w:pPr>
    </w:p>
    <w:p w14:paraId="783119AE" w14:textId="77777777" w:rsidR="00D057C8" w:rsidRDefault="00D057C8" w:rsidP="00D057C8">
      <w:pPr>
        <w:rPr>
          <w:b/>
          <w:bCs/>
          <w:lang w:val="bg-BG"/>
        </w:rPr>
      </w:pPr>
    </w:p>
    <w:p w14:paraId="088CEE91" w14:textId="77777777" w:rsidR="00D057C8" w:rsidRDefault="00D057C8" w:rsidP="00D057C8">
      <w:pPr>
        <w:rPr>
          <w:b/>
          <w:bCs/>
          <w:lang w:val="bg-BG"/>
        </w:rPr>
      </w:pPr>
    </w:p>
    <w:p w14:paraId="6A227CDC" w14:textId="77777777" w:rsidR="00D057C8" w:rsidRDefault="00D057C8" w:rsidP="00D057C8">
      <w:pPr>
        <w:rPr>
          <w:b/>
          <w:bCs/>
          <w:lang w:val="bg-BG"/>
        </w:rPr>
      </w:pPr>
    </w:p>
    <w:p w14:paraId="6644659D" w14:textId="21A8F743" w:rsidR="00D057C8" w:rsidRDefault="00D057C8" w:rsidP="00D057C8">
      <w:pPr>
        <w:rPr>
          <w:b/>
          <w:bCs/>
          <w:lang w:val="bg-BG"/>
        </w:rPr>
      </w:pPr>
      <w:r w:rsidRPr="00D057C8">
        <w:rPr>
          <w:b/>
          <w:bCs/>
          <w:lang w:val="bg-BG"/>
        </w:rPr>
        <w:lastRenderedPageBreak/>
        <w:t>Графика 5: Средно процентно изменение с течение на времето в седмицата</w:t>
      </w:r>
    </w:p>
    <w:p w14:paraId="1F33AA5D" w14:textId="481CF49D" w:rsidR="00D057C8" w:rsidRDefault="00D057C8" w:rsidP="00D057C8">
      <w:pPr>
        <w:rPr>
          <w:b/>
          <w:bCs/>
          <w:lang w:val="bg-BG"/>
        </w:rPr>
      </w:pPr>
      <w:r>
        <w:rPr>
          <w:noProof/>
        </w:rPr>
        <w:drawing>
          <wp:inline distT="0" distB="0" distL="0" distR="0" wp14:anchorId="3263C5EC" wp14:editId="141A2DB1">
            <wp:extent cx="3315039" cy="1961659"/>
            <wp:effectExtent l="0" t="0" r="0" b="635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11"/>
                    <a:srcRect t="6188"/>
                    <a:stretch/>
                  </pic:blipFill>
                  <pic:spPr bwMode="auto">
                    <a:xfrm>
                      <a:off x="0" y="0"/>
                      <a:ext cx="3327186" cy="1968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4EF29" w14:textId="77777777" w:rsidR="00D057C8" w:rsidRDefault="00D057C8" w:rsidP="00D057C8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284342F9" w14:textId="773CE25D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Във всички клинични </w:t>
      </w:r>
      <w:proofErr w:type="spellStart"/>
      <w:r w:rsidRPr="00D057C8">
        <w:rPr>
          <w:lang w:val="bg-BG" w:eastAsia="bg-BG"/>
        </w:rPr>
        <w:t>проучванания</w:t>
      </w:r>
      <w:proofErr w:type="spellEnd"/>
      <w:r w:rsidRPr="00D057C8">
        <w:rPr>
          <w:lang w:val="bg-BG" w:eastAsia="bg-BG"/>
        </w:rPr>
        <w:t xml:space="preserve"> с лекарствения продукт са участвали приблизително 300 пациента, на възраст 65 години и повече. Не са наблюдавани значителни разлики в профила на безопасност и ефикасност при възрастни индивиди и при тези на възраст 18-65 години.</w:t>
      </w:r>
    </w:p>
    <w:p w14:paraId="376D0D98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>Профилът на безопасност, описан в 4.8, остава стабилен при дълготраен прием на лекарствения продукт в рамките на едногодишно лечение.</w:t>
      </w:r>
    </w:p>
    <w:p w14:paraId="7436F89B" w14:textId="77777777" w:rsidR="00D057C8" w:rsidRDefault="00D057C8" w:rsidP="00D057C8">
      <w:pPr>
        <w:rPr>
          <w:u w:val="single"/>
          <w:lang w:val="bg-BG" w:eastAsia="bg-BG"/>
        </w:rPr>
      </w:pPr>
    </w:p>
    <w:p w14:paraId="6DAF5077" w14:textId="1F17EEF5" w:rsidR="00D057C8" w:rsidRPr="00D057C8" w:rsidRDefault="00D057C8" w:rsidP="00D057C8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D057C8">
        <w:rPr>
          <w:rFonts w:eastAsia="Times New Roman"/>
          <w:u w:val="single"/>
          <w:lang w:val="bg-BG" w:eastAsia="bg-BG"/>
        </w:rPr>
        <w:t>Педиетрична</w:t>
      </w:r>
      <w:proofErr w:type="spellEnd"/>
      <w:r w:rsidRPr="00D057C8">
        <w:rPr>
          <w:rFonts w:eastAsia="Times New Roman"/>
          <w:u w:val="single"/>
          <w:lang w:val="bg-BG" w:eastAsia="bg-BG"/>
        </w:rPr>
        <w:t xml:space="preserve"> популация</w:t>
      </w:r>
    </w:p>
    <w:p w14:paraId="79AED3AC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Европейската агенция по лекарства освобождава от задължението за предоставяне на резултатите от проучвания със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 при всички подгрупи от </w:t>
      </w:r>
      <w:proofErr w:type="spellStart"/>
      <w:r w:rsidRPr="00D057C8">
        <w:rPr>
          <w:lang w:val="bg-BG" w:eastAsia="bg-BG"/>
        </w:rPr>
        <w:t>педиетрична</w:t>
      </w:r>
      <w:proofErr w:type="spellEnd"/>
      <w:r w:rsidRPr="00D057C8">
        <w:rPr>
          <w:lang w:val="bg-BG" w:eastAsia="bg-BG"/>
        </w:rPr>
        <w:t xml:space="preserve"> популация с </w:t>
      </w:r>
      <w:proofErr w:type="spellStart"/>
      <w:r w:rsidRPr="00D057C8">
        <w:rPr>
          <w:lang w:val="bg-BG" w:eastAsia="bg-BG"/>
        </w:rPr>
        <w:t>папуло-пустулозна</w:t>
      </w:r>
      <w:proofErr w:type="spellEnd"/>
      <w:r w:rsidRPr="00D057C8">
        <w:rPr>
          <w:lang w:val="bg-BG" w:eastAsia="bg-BG"/>
        </w:rPr>
        <w:t xml:space="preserve"> </w:t>
      </w:r>
      <w:proofErr w:type="spellStart"/>
      <w:r w:rsidRPr="00D057C8">
        <w:rPr>
          <w:lang w:val="bg-BG" w:eastAsia="bg-BG"/>
        </w:rPr>
        <w:t>розацея</w:t>
      </w:r>
      <w:proofErr w:type="spellEnd"/>
      <w:r w:rsidRPr="00D057C8">
        <w:rPr>
          <w:lang w:val="bg-BG" w:eastAsia="bg-BG"/>
        </w:rPr>
        <w:t xml:space="preserve"> (виж точка 4.2 за информация относно употреба в педиатрията).</w:t>
      </w:r>
    </w:p>
    <w:p w14:paraId="19E10C12" w14:textId="77777777" w:rsidR="00D057C8" w:rsidRPr="00D057C8" w:rsidRDefault="00D057C8" w:rsidP="00D057C8">
      <w:pPr>
        <w:rPr>
          <w:b/>
          <w:bCs/>
          <w:lang w:val="bg-BG"/>
        </w:rPr>
      </w:pPr>
    </w:p>
    <w:p w14:paraId="788B4E5E" w14:textId="7BEC36B6" w:rsidR="002C50EE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 xml:space="preserve">5.2. </w:t>
      </w:r>
      <w:proofErr w:type="spellStart"/>
      <w:r w:rsidRPr="00E815A3">
        <w:rPr>
          <w:lang w:val="bg-BG"/>
        </w:rPr>
        <w:t>Фармакокинетични</w:t>
      </w:r>
      <w:proofErr w:type="spellEnd"/>
      <w:r w:rsidRPr="00E815A3">
        <w:rPr>
          <w:lang w:val="bg-BG"/>
        </w:rPr>
        <w:t xml:space="preserve"> свойства</w:t>
      </w:r>
    </w:p>
    <w:p w14:paraId="028CCE40" w14:textId="77777777" w:rsidR="00D057C8" w:rsidRDefault="00D057C8" w:rsidP="00D057C8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5387C5AE" w14:textId="42FD17F4" w:rsidR="00D057C8" w:rsidRPr="00D057C8" w:rsidRDefault="00D057C8" w:rsidP="00D057C8">
      <w:pPr>
        <w:pStyle w:val="Heading3"/>
        <w:rPr>
          <w:rFonts w:eastAsia="Times New Roman"/>
          <w:u w:val="single"/>
          <w:lang w:val="bg-BG"/>
        </w:rPr>
      </w:pPr>
      <w:r w:rsidRPr="00D057C8">
        <w:rPr>
          <w:rFonts w:eastAsia="Times New Roman"/>
          <w:u w:val="single"/>
          <w:lang w:val="bg-BG" w:eastAsia="bg-BG"/>
        </w:rPr>
        <w:t>Абсорбция</w:t>
      </w:r>
    </w:p>
    <w:p w14:paraId="1AB789CF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Абсорбцията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от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 е оценена в клинично проучване, в което участват пациенти с тежка форма на </w:t>
      </w:r>
      <w:proofErr w:type="spellStart"/>
      <w:r w:rsidRPr="00D057C8">
        <w:rPr>
          <w:lang w:val="bg-BG" w:eastAsia="bg-BG"/>
        </w:rPr>
        <w:t>папуло-пустулозна</w:t>
      </w:r>
      <w:proofErr w:type="spellEnd"/>
      <w:r w:rsidRPr="00D057C8">
        <w:rPr>
          <w:lang w:val="bg-BG" w:eastAsia="bg-BG"/>
        </w:rPr>
        <w:t xml:space="preserve"> </w:t>
      </w:r>
      <w:proofErr w:type="spellStart"/>
      <w:r w:rsidRPr="00D057C8">
        <w:rPr>
          <w:lang w:val="bg-BG" w:eastAsia="bg-BG"/>
        </w:rPr>
        <w:t>розацея</w:t>
      </w:r>
      <w:proofErr w:type="spellEnd"/>
      <w:r w:rsidRPr="00D057C8">
        <w:rPr>
          <w:lang w:val="bg-BG" w:eastAsia="bg-BG"/>
        </w:rPr>
        <w:t xml:space="preserve">, приемащи максимална дневна доза от медикамента. При стабилизирано състояние (2 седмично лечение), най-високата измерена стойност (± стандартно отклонение) на концентрация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в плазмата 10±8 часа след приема е </w:t>
      </w:r>
      <w:proofErr w:type="spellStart"/>
      <w:r w:rsidRPr="00D057C8">
        <w:rPr>
          <w:lang w:val="bg-BG" w:eastAsia="bg-BG"/>
        </w:rPr>
        <w:t>Стах</w:t>
      </w:r>
      <w:proofErr w:type="spellEnd"/>
      <w:r w:rsidRPr="00D057C8">
        <w:rPr>
          <w:lang w:val="bg-BG" w:eastAsia="bg-BG"/>
        </w:rPr>
        <w:t xml:space="preserve">: 2.1 ± 1.0 </w:t>
      </w:r>
      <w:r w:rsidRPr="00D057C8">
        <w:t xml:space="preserve">ng/mL </w:t>
      </w:r>
      <w:r w:rsidRPr="00D057C8">
        <w:rPr>
          <w:lang w:val="bg-BG" w:eastAsia="bg-BG"/>
        </w:rPr>
        <w:t xml:space="preserve">в диапазон: 0.7 - 4.0 </w:t>
      </w:r>
      <w:r w:rsidRPr="00D057C8">
        <w:t xml:space="preserve">ng/mL, </w:t>
      </w:r>
      <w:r w:rsidRPr="00D057C8">
        <w:rPr>
          <w:lang w:val="bg-BG" w:eastAsia="bg-BG"/>
        </w:rPr>
        <w:t>и най-високата стойност (± стандартно отклонение) на А</w:t>
      </w:r>
      <w:r w:rsidRPr="00D057C8">
        <w:t>U</w:t>
      </w:r>
      <w:r w:rsidRPr="00D057C8">
        <w:rPr>
          <w:lang w:val="bg-BG" w:eastAsia="bg-BG"/>
        </w:rPr>
        <w:t xml:space="preserve">С0-24часа е 36± 16 </w:t>
      </w:r>
      <w:r w:rsidRPr="00D057C8">
        <w:t>ng.</w:t>
      </w:r>
      <w:r w:rsidRPr="00D057C8">
        <w:rPr>
          <w:lang w:val="bg-BG" w:eastAsia="bg-BG"/>
        </w:rPr>
        <w:t>ч</w:t>
      </w:r>
      <w:r w:rsidRPr="00D057C8">
        <w:t xml:space="preserve">ac/mL </w:t>
      </w:r>
      <w:r w:rsidRPr="00D057C8">
        <w:rPr>
          <w:lang w:val="bg-BG" w:eastAsia="bg-BG"/>
        </w:rPr>
        <w:t xml:space="preserve">в диапазон </w:t>
      </w:r>
      <w:r w:rsidRPr="00D057C8">
        <w:t>14-75ng.</w:t>
      </w:r>
      <w:r w:rsidRPr="00D057C8">
        <w:rPr>
          <w:lang w:val="bg-BG" w:eastAsia="bg-BG"/>
        </w:rPr>
        <w:t>ч</w:t>
      </w:r>
      <w:r w:rsidRPr="00D057C8">
        <w:t>ac/</w:t>
      </w:r>
      <w:proofErr w:type="spellStart"/>
      <w:r w:rsidRPr="00D057C8">
        <w:t>mL.</w:t>
      </w:r>
      <w:proofErr w:type="spellEnd"/>
      <w:r w:rsidRPr="00D057C8">
        <w:t xml:space="preserve"> </w:t>
      </w:r>
      <w:r w:rsidRPr="00D057C8">
        <w:rPr>
          <w:lang w:val="bg-BG" w:eastAsia="bg-BG"/>
        </w:rPr>
        <w:t xml:space="preserve">Нивата на системна експозиция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се достигат в рамките на двуседмично лечение (стабилно състояние). В по-дългите </w:t>
      </w:r>
      <w:proofErr w:type="spellStart"/>
      <w:r w:rsidRPr="00D057C8">
        <w:rPr>
          <w:lang w:val="bg-BG" w:eastAsia="bg-BG"/>
        </w:rPr>
        <w:t>продължителности</w:t>
      </w:r>
      <w:proofErr w:type="spellEnd"/>
      <w:r w:rsidRPr="00D057C8">
        <w:rPr>
          <w:lang w:val="bg-BG" w:eastAsia="bg-BG"/>
        </w:rPr>
        <w:t xml:space="preserve"> на лечението на Фаза 3 на клиничните проучвания, нивата на системна експозиция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в организма са сходни с тези, получени в рамките на двуседмично лечение. При стабилно състояние, нивата на системна експозиция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(А</w:t>
      </w:r>
      <w:r w:rsidRPr="00D057C8">
        <w:t>UC0-24</w:t>
      </w:r>
      <w:r w:rsidRPr="00D057C8">
        <w:rPr>
          <w:lang w:val="bg-BG" w:eastAsia="bg-BG"/>
        </w:rPr>
        <w:t xml:space="preserve">часа:36 ±16 </w:t>
      </w:r>
      <w:r w:rsidRPr="00D057C8">
        <w:t>ng.</w:t>
      </w:r>
      <w:r w:rsidRPr="00D057C8">
        <w:rPr>
          <w:lang w:val="bg-BG" w:eastAsia="bg-BG"/>
        </w:rPr>
        <w:t>ч</w:t>
      </w:r>
      <w:r w:rsidRPr="00D057C8">
        <w:t xml:space="preserve">ac/mL) </w:t>
      </w:r>
      <w:r w:rsidRPr="00D057C8">
        <w:rPr>
          <w:lang w:val="bg-BG" w:eastAsia="bg-BG"/>
        </w:rPr>
        <w:t xml:space="preserve">са по-ниски от нивата му, получени при перорален прием на 6 </w:t>
      </w:r>
      <w:r w:rsidRPr="00D057C8">
        <w:t xml:space="preserve">mg </w:t>
      </w:r>
      <w:r w:rsidRPr="00D057C8">
        <w:rPr>
          <w:lang w:val="bg-BG" w:eastAsia="bg-BG"/>
        </w:rPr>
        <w:t xml:space="preserve">единична доза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от здрави доброволци </w:t>
      </w:r>
      <w:r w:rsidRPr="00D057C8">
        <w:t>(AUC0- 24hr:</w:t>
      </w:r>
      <w:r w:rsidRPr="00D057C8">
        <w:rPr>
          <w:lang w:val="bg-BG" w:eastAsia="bg-BG"/>
        </w:rPr>
        <w:t xml:space="preserve">134 ± 66 </w:t>
      </w:r>
      <w:r w:rsidRPr="00D057C8">
        <w:t>ng.hr/mL).</w:t>
      </w:r>
    </w:p>
    <w:p w14:paraId="2FFBCD3E" w14:textId="6ED12239" w:rsidR="00D057C8" w:rsidRDefault="00D057C8" w:rsidP="00D057C8">
      <w:pPr>
        <w:rPr>
          <w:lang w:val="bg-BG"/>
        </w:rPr>
      </w:pPr>
    </w:p>
    <w:p w14:paraId="1AAEAFB5" w14:textId="77777777" w:rsidR="00D057C8" w:rsidRPr="00D057C8" w:rsidRDefault="00D057C8" w:rsidP="00D057C8">
      <w:pPr>
        <w:pStyle w:val="Heading3"/>
        <w:rPr>
          <w:rFonts w:eastAsia="Times New Roman"/>
          <w:u w:val="single"/>
          <w:lang w:val="bg-BG"/>
        </w:rPr>
      </w:pPr>
      <w:r w:rsidRPr="00D057C8">
        <w:rPr>
          <w:rFonts w:eastAsia="Times New Roman"/>
          <w:u w:val="single"/>
          <w:lang w:val="bg-BG" w:eastAsia="bg-BG"/>
        </w:rPr>
        <w:t>Разпределение</w:t>
      </w:r>
    </w:p>
    <w:p w14:paraId="3A977178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Ин витро проучване показва, че </w:t>
      </w:r>
      <w:proofErr w:type="spellStart"/>
      <w:r w:rsidRPr="00D057C8">
        <w:rPr>
          <w:lang w:val="bg-BG" w:eastAsia="bg-BG"/>
        </w:rPr>
        <w:t>инвермектин</w:t>
      </w:r>
      <w:proofErr w:type="spellEnd"/>
      <w:r w:rsidRPr="00D057C8">
        <w:rPr>
          <w:lang w:val="bg-BG" w:eastAsia="bg-BG"/>
        </w:rPr>
        <w:t xml:space="preserve"> е повече от 99 % свързан с плазмените протеини и е свързан предимно с човешкия серумен албумин.</w:t>
      </w:r>
    </w:p>
    <w:p w14:paraId="681ACEA8" w14:textId="2F2EB337" w:rsidR="00D057C8" w:rsidRDefault="00D057C8" w:rsidP="00D057C8">
      <w:pPr>
        <w:rPr>
          <w:lang w:val="bg-BG" w:eastAsia="bg-BG"/>
        </w:rPr>
      </w:pPr>
      <w:r w:rsidRPr="00D057C8">
        <w:rPr>
          <w:lang w:val="bg-BG" w:eastAsia="bg-BG"/>
        </w:rPr>
        <w:lastRenderedPageBreak/>
        <w:t xml:space="preserve">Наблюдава се незначително свързване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с еритроцитите.</w:t>
      </w:r>
    </w:p>
    <w:p w14:paraId="2D9E2198" w14:textId="267B8B2D" w:rsidR="00D057C8" w:rsidRDefault="00D057C8" w:rsidP="00D057C8">
      <w:pPr>
        <w:rPr>
          <w:lang w:val="bg-BG" w:eastAsia="bg-BG"/>
        </w:rPr>
      </w:pPr>
    </w:p>
    <w:p w14:paraId="1450614E" w14:textId="77777777" w:rsidR="00D057C8" w:rsidRPr="00D057C8" w:rsidRDefault="00D057C8" w:rsidP="00D057C8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D057C8">
        <w:rPr>
          <w:rFonts w:eastAsia="Times New Roman"/>
          <w:u w:val="single"/>
          <w:lang w:val="bg-BG" w:eastAsia="bg-BG"/>
        </w:rPr>
        <w:t>Биотрансформация</w:t>
      </w:r>
      <w:proofErr w:type="spellEnd"/>
    </w:p>
    <w:p w14:paraId="6AB1AE26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Ин витро проучване, в което са използвани човешки чернодробни </w:t>
      </w:r>
      <w:proofErr w:type="spellStart"/>
      <w:r w:rsidRPr="00D057C8">
        <w:rPr>
          <w:lang w:val="bg-BG" w:eastAsia="bg-BG"/>
        </w:rPr>
        <w:t>микрозоми</w:t>
      </w:r>
      <w:proofErr w:type="spellEnd"/>
      <w:r w:rsidRPr="00D057C8">
        <w:rPr>
          <w:lang w:val="bg-BG" w:eastAsia="bg-BG"/>
        </w:rPr>
        <w:t xml:space="preserve"> и </w:t>
      </w:r>
      <w:proofErr w:type="spellStart"/>
      <w:r w:rsidRPr="00D057C8">
        <w:rPr>
          <w:lang w:val="bg-BG" w:eastAsia="bg-BG"/>
        </w:rPr>
        <w:t>рекомбинатни</w:t>
      </w:r>
      <w:proofErr w:type="spellEnd"/>
      <w:r w:rsidRPr="00D057C8">
        <w:rPr>
          <w:lang w:val="bg-BG" w:eastAsia="bg-BG"/>
        </w:rPr>
        <w:t xml:space="preserve"> </w:t>
      </w:r>
      <w:r w:rsidRPr="00D057C8">
        <w:t xml:space="preserve">CYP450 </w:t>
      </w:r>
      <w:r w:rsidRPr="00D057C8">
        <w:rPr>
          <w:lang w:val="bg-BG" w:eastAsia="bg-BG"/>
        </w:rPr>
        <w:t xml:space="preserve">ензими показва, че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се </w:t>
      </w:r>
      <w:proofErr w:type="spellStart"/>
      <w:r w:rsidRPr="00D057C8">
        <w:rPr>
          <w:lang w:val="bg-BG" w:eastAsia="bg-BG"/>
        </w:rPr>
        <w:t>метаболизира</w:t>
      </w:r>
      <w:proofErr w:type="spellEnd"/>
      <w:r w:rsidRPr="00D057C8">
        <w:rPr>
          <w:lang w:val="bg-BG" w:eastAsia="bg-BG"/>
        </w:rPr>
        <w:t xml:space="preserve"> предимно от </w:t>
      </w:r>
      <w:r w:rsidRPr="00D057C8">
        <w:t>CYP3A4.</w:t>
      </w:r>
    </w:p>
    <w:p w14:paraId="3D72C637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Ин витро проучване показва, че </w:t>
      </w:r>
      <w:proofErr w:type="spellStart"/>
      <w:r w:rsidRPr="00D057C8">
        <w:rPr>
          <w:lang w:val="bg-BG" w:eastAsia="bg-BG"/>
        </w:rPr>
        <w:t>инвермектин</w:t>
      </w:r>
      <w:proofErr w:type="spellEnd"/>
      <w:r w:rsidRPr="00D057C8">
        <w:rPr>
          <w:lang w:val="bg-BG" w:eastAsia="bg-BG"/>
        </w:rPr>
        <w:t xml:space="preserve"> не </w:t>
      </w:r>
      <w:proofErr w:type="spellStart"/>
      <w:r w:rsidRPr="00D057C8">
        <w:rPr>
          <w:lang w:val="bg-BG" w:eastAsia="bg-BG"/>
        </w:rPr>
        <w:t>инхибира</w:t>
      </w:r>
      <w:proofErr w:type="spellEnd"/>
      <w:r w:rsidRPr="00D057C8">
        <w:rPr>
          <w:lang w:val="bg-BG" w:eastAsia="bg-BG"/>
        </w:rPr>
        <w:t xml:space="preserve"> </w:t>
      </w:r>
      <w:r w:rsidRPr="00D057C8">
        <w:t xml:space="preserve">CYP450 </w:t>
      </w:r>
      <w:proofErr w:type="spellStart"/>
      <w:r w:rsidRPr="00D057C8">
        <w:rPr>
          <w:lang w:val="bg-BG" w:eastAsia="bg-BG"/>
        </w:rPr>
        <w:t>изоензими</w:t>
      </w:r>
      <w:proofErr w:type="spellEnd"/>
      <w:r w:rsidRPr="00D057C8">
        <w:rPr>
          <w:lang w:val="bg-BG" w:eastAsia="bg-BG"/>
        </w:rPr>
        <w:t xml:space="preserve"> 1</w:t>
      </w:r>
      <w:r w:rsidRPr="00D057C8">
        <w:t>A2, 2A6, 2B6, 2C8</w:t>
      </w:r>
      <w:r w:rsidRPr="00D057C8">
        <w:rPr>
          <w:lang w:val="bg-BG" w:eastAsia="bg-BG"/>
        </w:rPr>
        <w:t xml:space="preserve"> 2С9, 2С19, </w:t>
      </w:r>
      <w:r w:rsidRPr="00D057C8">
        <w:t xml:space="preserve">2D6, </w:t>
      </w:r>
      <w:r w:rsidRPr="00D057C8">
        <w:rPr>
          <w:lang w:val="bg-BG" w:eastAsia="bg-BG"/>
        </w:rPr>
        <w:t xml:space="preserve">ЗА4, 4А11 или 2Е1. </w:t>
      </w:r>
      <w:proofErr w:type="spellStart"/>
      <w:r w:rsidRPr="00D057C8">
        <w:rPr>
          <w:lang w:val="bg-BG" w:eastAsia="bg-BG"/>
        </w:rPr>
        <w:t>Ивермектинът</w:t>
      </w:r>
      <w:proofErr w:type="spellEnd"/>
      <w:r w:rsidRPr="00D057C8">
        <w:rPr>
          <w:lang w:val="bg-BG" w:eastAsia="bg-BG"/>
        </w:rPr>
        <w:t xml:space="preserve"> не </w:t>
      </w:r>
      <w:proofErr w:type="spellStart"/>
      <w:r w:rsidRPr="00D057C8">
        <w:rPr>
          <w:lang w:val="bg-BG" w:eastAsia="bg-BG"/>
        </w:rPr>
        <w:t>индуцир</w:t>
      </w:r>
      <w:proofErr w:type="spellEnd"/>
      <w:r w:rsidRPr="00D057C8">
        <w:rPr>
          <w:lang w:val="bg-BG" w:eastAsia="bg-BG"/>
        </w:rPr>
        <w:t xml:space="preserve"> експресията на ензима </w:t>
      </w:r>
      <w:r w:rsidRPr="00D057C8">
        <w:t>CYP450 (1A2,</w:t>
      </w:r>
      <w:r w:rsidRPr="00D057C8">
        <w:rPr>
          <w:lang w:val="bg-BG" w:eastAsia="bg-BG"/>
        </w:rPr>
        <w:t xml:space="preserve"> 2В6, 2С9 или ЗА4) в култивирани човешки </w:t>
      </w:r>
      <w:proofErr w:type="spellStart"/>
      <w:r w:rsidRPr="00D057C8">
        <w:rPr>
          <w:lang w:val="bg-BG" w:eastAsia="bg-BG"/>
        </w:rPr>
        <w:t>хепатоцити</w:t>
      </w:r>
      <w:proofErr w:type="spellEnd"/>
      <w:r w:rsidRPr="00D057C8">
        <w:rPr>
          <w:lang w:val="bg-BG" w:eastAsia="bg-BG"/>
        </w:rPr>
        <w:t>.</w:t>
      </w:r>
    </w:p>
    <w:p w14:paraId="625FB759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Два основни </w:t>
      </w:r>
      <w:proofErr w:type="spellStart"/>
      <w:r w:rsidRPr="00D057C8">
        <w:rPr>
          <w:lang w:val="bg-BG" w:eastAsia="bg-BG"/>
        </w:rPr>
        <w:t>метаболита</w:t>
      </w:r>
      <w:proofErr w:type="spellEnd"/>
      <w:r w:rsidRPr="00D057C8">
        <w:rPr>
          <w:lang w:val="bg-BG" w:eastAsia="bg-BG"/>
        </w:rPr>
        <w:t xml:space="preserve">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са идентифицирани във</w:t>
      </w:r>
      <w:r w:rsidRPr="00D057C8">
        <w:t xml:space="preserve"> </w:t>
      </w:r>
      <w:proofErr w:type="spellStart"/>
      <w:r w:rsidRPr="00D057C8">
        <w:rPr>
          <w:lang w:val="bg-BG" w:eastAsia="bg-BG"/>
        </w:rPr>
        <w:t>фармакокинетично</w:t>
      </w:r>
      <w:proofErr w:type="spellEnd"/>
      <w:r w:rsidRPr="00D057C8">
        <w:rPr>
          <w:lang w:val="bg-BG" w:eastAsia="bg-BG"/>
        </w:rPr>
        <w:t xml:space="preserve"> проучване за максимално използвано количество и са оценени по време на Фаза 2 на клиничните проучвания (3"- О-</w:t>
      </w:r>
      <w:proofErr w:type="spellStart"/>
      <w:r w:rsidRPr="00D057C8">
        <w:rPr>
          <w:lang w:val="bg-BG" w:eastAsia="bg-BG"/>
        </w:rPr>
        <w:t>диметил</w:t>
      </w:r>
      <w:proofErr w:type="spellEnd"/>
      <w:r w:rsidRPr="00D057C8">
        <w:rPr>
          <w:lang w:val="bg-BG" w:eastAsia="bg-BG"/>
        </w:rPr>
        <w:t xml:space="preserve">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и 4а-хидрокси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). Подобно на </w:t>
      </w:r>
      <w:proofErr w:type="spellStart"/>
      <w:r w:rsidRPr="00D057C8">
        <w:rPr>
          <w:lang w:val="bg-BG" w:eastAsia="bg-BG"/>
        </w:rPr>
        <w:t>изходото</w:t>
      </w:r>
      <w:proofErr w:type="spellEnd"/>
      <w:r w:rsidRPr="00D057C8">
        <w:rPr>
          <w:lang w:val="bg-BG" w:eastAsia="bg-BG"/>
        </w:rPr>
        <w:t xml:space="preserve"> вещество, двата </w:t>
      </w:r>
      <w:proofErr w:type="spellStart"/>
      <w:r w:rsidRPr="00D057C8">
        <w:rPr>
          <w:lang w:val="bg-BG" w:eastAsia="bg-BG"/>
        </w:rPr>
        <w:t>метаболита</w:t>
      </w:r>
      <w:proofErr w:type="spellEnd"/>
      <w:r w:rsidRPr="00D057C8">
        <w:rPr>
          <w:lang w:val="bg-BG" w:eastAsia="bg-BG"/>
        </w:rPr>
        <w:t xml:space="preserve"> достигат стабилно състояние през втората седмица на лечението и не се наблюдава тяхно</w:t>
      </w:r>
      <w:r>
        <w:rPr>
          <w:lang w:val="bg-BG" w:eastAsia="bg-BG"/>
        </w:rPr>
        <w:t xml:space="preserve"> </w:t>
      </w:r>
      <w:r w:rsidRPr="00D057C8">
        <w:rPr>
          <w:lang w:val="bg-BG" w:eastAsia="bg-BG"/>
        </w:rPr>
        <w:t xml:space="preserve">количествено натрупване до 12 седмици. Освен това системните метаболитни експозиции (изчислени със </w:t>
      </w:r>
      <w:proofErr w:type="spellStart"/>
      <w:r w:rsidRPr="00D057C8">
        <w:rPr>
          <w:lang w:val="bg-BG" w:eastAsia="bg-BG"/>
        </w:rPr>
        <w:t>Стах</w:t>
      </w:r>
      <w:proofErr w:type="spellEnd"/>
      <w:r w:rsidRPr="00D057C8">
        <w:rPr>
          <w:lang w:val="bg-BG" w:eastAsia="bg-BG"/>
        </w:rPr>
        <w:t xml:space="preserve"> и </w:t>
      </w:r>
      <w:r w:rsidRPr="00D057C8">
        <w:t xml:space="preserve">AUC), </w:t>
      </w:r>
      <w:r w:rsidRPr="00D057C8">
        <w:rPr>
          <w:lang w:val="bg-BG" w:eastAsia="bg-BG"/>
        </w:rPr>
        <w:t xml:space="preserve">получени по време на стабилно състояние са много по-ниски от тези, наблюдавани при перорален прием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>.</w:t>
      </w:r>
    </w:p>
    <w:p w14:paraId="578EAF1A" w14:textId="77777777" w:rsidR="00D057C8" w:rsidRDefault="00D057C8" w:rsidP="00D057C8">
      <w:pPr>
        <w:rPr>
          <w:lang w:val="bg-BG" w:eastAsia="bg-BG"/>
        </w:rPr>
      </w:pPr>
    </w:p>
    <w:p w14:paraId="0D09CC38" w14:textId="517383A8" w:rsidR="00D057C8" w:rsidRPr="00D057C8" w:rsidRDefault="00D057C8" w:rsidP="00D057C8">
      <w:pPr>
        <w:pStyle w:val="Heading3"/>
        <w:rPr>
          <w:rFonts w:eastAsia="Times New Roman"/>
          <w:u w:val="single"/>
          <w:lang w:val="bg-BG"/>
        </w:rPr>
      </w:pPr>
      <w:r w:rsidRPr="00D057C8">
        <w:rPr>
          <w:rFonts w:eastAsia="Times New Roman"/>
          <w:u w:val="single"/>
          <w:lang w:val="bg-BG" w:eastAsia="bg-BG"/>
        </w:rPr>
        <w:t>Елиминиране</w:t>
      </w:r>
    </w:p>
    <w:p w14:paraId="4BEC2FA0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Средната продължителност на терминалния </w:t>
      </w:r>
      <w:proofErr w:type="spellStart"/>
      <w:r w:rsidRPr="00D057C8">
        <w:rPr>
          <w:lang w:val="bg-BG" w:eastAsia="bg-BG"/>
        </w:rPr>
        <w:t>полуживот</w:t>
      </w:r>
      <w:proofErr w:type="spellEnd"/>
      <w:r w:rsidRPr="00D057C8">
        <w:rPr>
          <w:lang w:val="bg-BG" w:eastAsia="bg-BG"/>
        </w:rPr>
        <w:t xml:space="preserve"> е 6 дни (средно: 145 часа, диапазон 92-238 часа) при пациенти, които нанасят веднъж дневно лекарствения продукт върху кожата си в рамките на 28 дни, в клинично </w:t>
      </w:r>
      <w:proofErr w:type="spellStart"/>
      <w:r w:rsidRPr="00D057C8">
        <w:rPr>
          <w:lang w:val="bg-BG" w:eastAsia="bg-BG"/>
        </w:rPr>
        <w:t>фармакокинетично</w:t>
      </w:r>
      <w:proofErr w:type="spellEnd"/>
      <w:r w:rsidRPr="00D057C8">
        <w:rPr>
          <w:lang w:val="bg-BG" w:eastAsia="bg-BG"/>
        </w:rPr>
        <w:t xml:space="preserve"> проучване за максимално използвано количество.</w:t>
      </w:r>
    </w:p>
    <w:p w14:paraId="3EEBD834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Елиминирането е зависимо от абсорбцията след локално лечение със </w:t>
      </w:r>
      <w:proofErr w:type="spellStart"/>
      <w:r w:rsidRPr="00D057C8">
        <w:rPr>
          <w:lang w:val="bg-BG" w:eastAsia="bg-BG"/>
        </w:rPr>
        <w:t>Соолантра</w:t>
      </w:r>
      <w:proofErr w:type="spellEnd"/>
      <w:r w:rsidRPr="00D057C8">
        <w:rPr>
          <w:lang w:val="bg-BG" w:eastAsia="bg-BG"/>
        </w:rPr>
        <w:t xml:space="preserve">. </w:t>
      </w:r>
      <w:proofErr w:type="spellStart"/>
      <w:r w:rsidRPr="00D057C8">
        <w:rPr>
          <w:lang w:val="bg-BG" w:eastAsia="bg-BG"/>
        </w:rPr>
        <w:t>Фармакокинетичните</w:t>
      </w:r>
      <w:proofErr w:type="spellEnd"/>
      <w:r w:rsidRPr="00D057C8">
        <w:rPr>
          <w:lang w:val="bg-BG" w:eastAsia="bg-BG"/>
        </w:rPr>
        <w:t xml:space="preserve"> свойства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не са били проучени при пациенти с бъбречно или чернодробно увреждане.</w:t>
      </w:r>
    </w:p>
    <w:p w14:paraId="6C9717B5" w14:textId="78D21CE0" w:rsidR="00D057C8" w:rsidRPr="00D057C8" w:rsidRDefault="00D057C8" w:rsidP="00D057C8">
      <w:pPr>
        <w:rPr>
          <w:lang w:val="bg-BG"/>
        </w:rPr>
      </w:pPr>
    </w:p>
    <w:p w14:paraId="134A69A8" w14:textId="17E067F1" w:rsidR="002C50EE" w:rsidRDefault="002C50EE" w:rsidP="002C50EE">
      <w:pPr>
        <w:pStyle w:val="Heading2"/>
        <w:rPr>
          <w:lang w:val="bg-BG"/>
        </w:rPr>
      </w:pPr>
      <w:r w:rsidRPr="00E815A3">
        <w:rPr>
          <w:lang w:val="bg-BG"/>
        </w:rPr>
        <w:t xml:space="preserve">5.3. </w:t>
      </w:r>
      <w:proofErr w:type="spellStart"/>
      <w:r w:rsidRPr="00E815A3">
        <w:rPr>
          <w:lang w:val="bg-BG"/>
        </w:rPr>
        <w:t>Предклинични</w:t>
      </w:r>
      <w:proofErr w:type="spellEnd"/>
      <w:r w:rsidRPr="00E815A3">
        <w:rPr>
          <w:lang w:val="bg-BG"/>
        </w:rPr>
        <w:t xml:space="preserve"> данни за безопасност</w:t>
      </w:r>
    </w:p>
    <w:p w14:paraId="48D3F601" w14:textId="77777777" w:rsidR="00D057C8" w:rsidRDefault="00D057C8" w:rsidP="00D057C8">
      <w:pPr>
        <w:rPr>
          <w:lang w:val="bg-BG" w:eastAsia="bg-BG"/>
        </w:rPr>
      </w:pPr>
    </w:p>
    <w:p w14:paraId="7F6BD209" w14:textId="630B6FFC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Клинично проучване за многократно прилагане, в което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</w:t>
      </w:r>
      <w:r w:rsidRPr="00D057C8">
        <w:t xml:space="preserve">10mg/g </w:t>
      </w:r>
      <w:r w:rsidRPr="00D057C8">
        <w:rPr>
          <w:lang w:val="bg-BG" w:eastAsia="bg-BG"/>
        </w:rPr>
        <w:t xml:space="preserve">крем се нанася върху кожата на мини свинчета в рамките на 9 месеца, не показва проявата на токсични ефекти или локална токсичност при нива на системна експозиция, сравними с тези при клинична експозиция. Ин витро и ин </w:t>
      </w:r>
      <w:proofErr w:type="spellStart"/>
      <w:r w:rsidRPr="00D057C8">
        <w:rPr>
          <w:lang w:val="bg-BG" w:eastAsia="bg-BG"/>
        </w:rPr>
        <w:t>виво</w:t>
      </w:r>
      <w:proofErr w:type="spellEnd"/>
      <w:r w:rsidRPr="00D057C8">
        <w:rPr>
          <w:lang w:val="bg-BG" w:eastAsia="bg-BG"/>
        </w:rPr>
        <w:t xml:space="preserve"> тестове показват, че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не е </w:t>
      </w:r>
      <w:proofErr w:type="spellStart"/>
      <w:r w:rsidRPr="00D057C8">
        <w:rPr>
          <w:lang w:val="bg-BG" w:eastAsia="bg-BG"/>
        </w:rPr>
        <w:t>генотоксичен</w:t>
      </w:r>
      <w:proofErr w:type="spellEnd"/>
      <w:r w:rsidRPr="00D057C8">
        <w:rPr>
          <w:lang w:val="bg-BG" w:eastAsia="bg-BG"/>
        </w:rPr>
        <w:t>.</w:t>
      </w:r>
    </w:p>
    <w:p w14:paraId="4CB21791" w14:textId="77777777" w:rsidR="00D057C8" w:rsidRDefault="00D057C8" w:rsidP="00D057C8">
      <w:pPr>
        <w:rPr>
          <w:lang w:val="bg-BG" w:eastAsia="bg-BG"/>
        </w:rPr>
      </w:pPr>
    </w:p>
    <w:p w14:paraId="6665AFAF" w14:textId="22C0776B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Двугодишно проучване за </w:t>
      </w:r>
      <w:proofErr w:type="spellStart"/>
      <w:r w:rsidRPr="00D057C8">
        <w:rPr>
          <w:lang w:val="bg-BG" w:eastAsia="bg-BG"/>
        </w:rPr>
        <w:t>канцерогенност</w:t>
      </w:r>
      <w:proofErr w:type="spellEnd"/>
      <w:r w:rsidRPr="00D057C8">
        <w:rPr>
          <w:lang w:val="bg-BG" w:eastAsia="bg-BG"/>
        </w:rPr>
        <w:t xml:space="preserve">, по време на което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10 </w:t>
      </w:r>
      <w:r w:rsidRPr="00D057C8">
        <w:t xml:space="preserve">mg/g </w:t>
      </w:r>
      <w:r w:rsidRPr="00D057C8">
        <w:rPr>
          <w:lang w:val="bg-BG" w:eastAsia="bg-BG"/>
        </w:rPr>
        <w:t>крем се нанася върху кожата на мишки, не показва повишени рискове за образуване на тумори.</w:t>
      </w:r>
    </w:p>
    <w:p w14:paraId="73D953BC" w14:textId="77777777" w:rsidR="00D057C8" w:rsidRDefault="00D057C8" w:rsidP="00D057C8">
      <w:pPr>
        <w:rPr>
          <w:lang w:val="bg-BG" w:eastAsia="bg-BG"/>
        </w:rPr>
      </w:pPr>
    </w:p>
    <w:p w14:paraId="6611B5B2" w14:textId="673EEB64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t xml:space="preserve">Проучвания за репродуктивна токсичност, при които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се приема перорално, показват проявата на </w:t>
      </w:r>
      <w:proofErr w:type="spellStart"/>
      <w:r w:rsidRPr="00D057C8">
        <w:rPr>
          <w:lang w:val="bg-BG" w:eastAsia="bg-BG"/>
        </w:rPr>
        <w:t>тератогенни</w:t>
      </w:r>
      <w:proofErr w:type="spellEnd"/>
      <w:r w:rsidRPr="00D057C8">
        <w:rPr>
          <w:lang w:val="bg-BG" w:eastAsia="bg-BG"/>
        </w:rPr>
        <w:t xml:space="preserve"> ефекти при мишки (</w:t>
      </w:r>
      <w:proofErr w:type="spellStart"/>
      <w:r w:rsidRPr="00D057C8">
        <w:rPr>
          <w:lang w:val="bg-BG" w:eastAsia="bg-BG"/>
        </w:rPr>
        <w:t>палатосхизис</w:t>
      </w:r>
      <w:proofErr w:type="spellEnd"/>
      <w:r w:rsidRPr="00D057C8">
        <w:rPr>
          <w:lang w:val="bg-BG" w:eastAsia="bg-BG"/>
        </w:rPr>
        <w:t>) и зайци (</w:t>
      </w:r>
      <w:proofErr w:type="spellStart"/>
      <w:r w:rsidRPr="00D057C8">
        <w:rPr>
          <w:lang w:val="bg-BG" w:eastAsia="bg-BG"/>
        </w:rPr>
        <w:t>карпални</w:t>
      </w:r>
      <w:proofErr w:type="spellEnd"/>
      <w:r w:rsidRPr="00D057C8">
        <w:rPr>
          <w:lang w:val="bg-BG" w:eastAsia="bg-BG"/>
        </w:rPr>
        <w:t xml:space="preserve"> деформации) при свръх дози (марж на експозиция в </w:t>
      </w:r>
      <w:r w:rsidRPr="00D057C8">
        <w:t xml:space="preserve">NOAEL </w:t>
      </w:r>
      <w:r w:rsidRPr="00D057C8">
        <w:rPr>
          <w:lang w:val="bg-BG" w:eastAsia="bg-BG"/>
        </w:rPr>
        <w:t>минимум 70 пъти в сравнение с клиничната експозиция).</w:t>
      </w:r>
    </w:p>
    <w:p w14:paraId="1E6EFBD9" w14:textId="77777777" w:rsidR="00D057C8" w:rsidRDefault="00D057C8" w:rsidP="00D057C8">
      <w:pPr>
        <w:rPr>
          <w:lang w:val="bg-BG" w:eastAsia="bg-BG"/>
        </w:rPr>
      </w:pPr>
    </w:p>
    <w:p w14:paraId="507467CC" w14:textId="2B3B566A" w:rsidR="00D057C8" w:rsidRPr="00D057C8" w:rsidRDefault="00D057C8" w:rsidP="00D057C8">
      <w:pPr>
        <w:rPr>
          <w:sz w:val="24"/>
          <w:szCs w:val="24"/>
          <w:lang w:val="bg-BG"/>
        </w:rPr>
      </w:pPr>
      <w:proofErr w:type="spellStart"/>
      <w:r w:rsidRPr="00D057C8">
        <w:rPr>
          <w:lang w:val="bg-BG" w:eastAsia="bg-BG"/>
        </w:rPr>
        <w:t>Неонаталната</w:t>
      </w:r>
      <w:proofErr w:type="spellEnd"/>
      <w:r w:rsidRPr="00D057C8">
        <w:rPr>
          <w:lang w:val="bg-BG" w:eastAsia="bg-BG"/>
        </w:rPr>
        <w:t xml:space="preserve"> токсичност при плъхове, които перорално приемат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, не е свързана толкова с маточната експозиция, колкото със </w:t>
      </w:r>
      <w:proofErr w:type="spellStart"/>
      <w:r w:rsidRPr="00D057C8">
        <w:rPr>
          <w:lang w:val="bg-BG" w:eastAsia="bg-BG"/>
        </w:rPr>
        <w:t>следродилната</w:t>
      </w:r>
      <w:proofErr w:type="spellEnd"/>
      <w:r w:rsidRPr="00D057C8">
        <w:rPr>
          <w:lang w:val="bg-BG" w:eastAsia="bg-BG"/>
        </w:rPr>
        <w:t xml:space="preserve"> експозиция чрез майчиното мляко, което води до високи нива на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в мозъка и в плазмата на потомството.</w:t>
      </w:r>
    </w:p>
    <w:p w14:paraId="1CBED9CC" w14:textId="77777777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lang w:val="bg-BG" w:eastAsia="bg-BG"/>
        </w:rPr>
        <w:lastRenderedPageBreak/>
        <w:t xml:space="preserve">Съществува доказателство, че при морски свинчета, </w:t>
      </w: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10 </w:t>
      </w:r>
      <w:r w:rsidRPr="00D057C8">
        <w:t xml:space="preserve">mg/g </w:t>
      </w:r>
      <w:r w:rsidRPr="00D057C8">
        <w:rPr>
          <w:lang w:val="bg-BG" w:eastAsia="bg-BG"/>
        </w:rPr>
        <w:t xml:space="preserve">крем е дразнещ, сенсибилизиращ и </w:t>
      </w:r>
      <w:proofErr w:type="spellStart"/>
      <w:r w:rsidRPr="00D057C8">
        <w:rPr>
          <w:lang w:val="bg-BG" w:eastAsia="bg-BG"/>
        </w:rPr>
        <w:t>фотосенсибилизиращ</w:t>
      </w:r>
      <w:proofErr w:type="spellEnd"/>
      <w:r w:rsidRPr="00D057C8">
        <w:rPr>
          <w:lang w:val="bg-BG" w:eastAsia="bg-BG"/>
        </w:rPr>
        <w:t xml:space="preserve"> за кожата, но не е </w:t>
      </w:r>
      <w:proofErr w:type="spellStart"/>
      <w:r w:rsidRPr="00D057C8">
        <w:rPr>
          <w:lang w:val="bg-BG" w:eastAsia="bg-BG"/>
        </w:rPr>
        <w:t>фототоксичен</w:t>
      </w:r>
      <w:proofErr w:type="spellEnd"/>
      <w:r w:rsidRPr="00D057C8">
        <w:rPr>
          <w:lang w:val="bg-BG" w:eastAsia="bg-BG"/>
        </w:rPr>
        <w:t>.</w:t>
      </w:r>
    </w:p>
    <w:p w14:paraId="69EDCE2C" w14:textId="77777777" w:rsidR="00D057C8" w:rsidRDefault="00D057C8" w:rsidP="00D057C8">
      <w:pPr>
        <w:rPr>
          <w:u w:val="single"/>
          <w:lang w:val="bg-BG" w:eastAsia="bg-BG"/>
        </w:rPr>
      </w:pPr>
    </w:p>
    <w:p w14:paraId="60B63508" w14:textId="736E4F86" w:rsidR="00D057C8" w:rsidRPr="00D057C8" w:rsidRDefault="00D057C8" w:rsidP="00D057C8">
      <w:pPr>
        <w:rPr>
          <w:sz w:val="24"/>
          <w:szCs w:val="24"/>
          <w:lang w:val="bg-BG"/>
        </w:rPr>
      </w:pPr>
      <w:r w:rsidRPr="00D057C8">
        <w:rPr>
          <w:u w:val="single"/>
          <w:lang w:val="bg-BG" w:eastAsia="bg-BG"/>
        </w:rPr>
        <w:t>Оценка на риска за околната среда</w:t>
      </w:r>
    </w:p>
    <w:p w14:paraId="491D7083" w14:textId="77777777" w:rsidR="00D057C8" w:rsidRPr="00D057C8" w:rsidRDefault="00D057C8" w:rsidP="00D057C8">
      <w:pPr>
        <w:rPr>
          <w:sz w:val="24"/>
          <w:szCs w:val="24"/>
          <w:lang w:val="bg-BG"/>
        </w:rPr>
      </w:pPr>
      <w:proofErr w:type="spellStart"/>
      <w:r w:rsidRPr="00D057C8">
        <w:rPr>
          <w:lang w:val="bg-BG" w:eastAsia="bg-BG"/>
        </w:rPr>
        <w:t>Ивермектин</w:t>
      </w:r>
      <w:proofErr w:type="spellEnd"/>
      <w:r w:rsidRPr="00D057C8">
        <w:rPr>
          <w:lang w:val="bg-BG" w:eastAsia="bg-BG"/>
        </w:rPr>
        <w:t xml:space="preserve"> е много токсичен за безгръбначни и е идентифициран риск за водните, седиментните и сухоземните подгрупи. Трябва да се следи да се избягва замърсяването на околната среда, по- специално на водната среда.</w:t>
      </w:r>
    </w:p>
    <w:p w14:paraId="170046D2" w14:textId="77777777" w:rsidR="00D057C8" w:rsidRPr="00D057C8" w:rsidRDefault="00D057C8" w:rsidP="00D057C8">
      <w:pPr>
        <w:rPr>
          <w:lang w:val="bg-BG"/>
        </w:rPr>
      </w:pPr>
    </w:p>
    <w:p w14:paraId="28C40F19" w14:textId="06916DF1" w:rsidR="002C50EE" w:rsidRDefault="002C50EE" w:rsidP="002C50EE">
      <w:pPr>
        <w:pStyle w:val="Heading1"/>
        <w:rPr>
          <w:lang w:val="bg-BG"/>
        </w:rPr>
      </w:pPr>
      <w:r w:rsidRPr="00E815A3">
        <w:rPr>
          <w:lang w:val="bg-BG"/>
        </w:rPr>
        <w:t>7. ПРИТЕЖАТЕЛ НА РАЗРЕШЕНИЕТО ЗА УПОТРЕБА</w:t>
      </w:r>
    </w:p>
    <w:p w14:paraId="20B45CE9" w14:textId="77777777" w:rsidR="00D057C8" w:rsidRPr="00D057C8" w:rsidRDefault="00D057C8" w:rsidP="00D057C8">
      <w:pPr>
        <w:rPr>
          <w:sz w:val="24"/>
          <w:szCs w:val="24"/>
        </w:rPr>
      </w:pPr>
      <w:r w:rsidRPr="00D057C8">
        <w:t>Galderma International</w:t>
      </w:r>
    </w:p>
    <w:p w14:paraId="425D16EF" w14:textId="77777777" w:rsidR="00D057C8" w:rsidRPr="00D057C8" w:rsidRDefault="00D057C8" w:rsidP="00D057C8">
      <w:pPr>
        <w:rPr>
          <w:sz w:val="24"/>
          <w:szCs w:val="24"/>
        </w:rPr>
      </w:pPr>
      <w:r w:rsidRPr="00D057C8">
        <w:t xml:space="preserve">Tour </w:t>
      </w:r>
      <w:proofErr w:type="spellStart"/>
      <w:r w:rsidRPr="00D057C8">
        <w:t>Europlaza</w:t>
      </w:r>
      <w:proofErr w:type="spellEnd"/>
      <w:r w:rsidRPr="00D057C8">
        <w:t xml:space="preserve">, 20 avenue Andre </w:t>
      </w:r>
      <w:proofErr w:type="spellStart"/>
      <w:r w:rsidRPr="00D057C8">
        <w:t>Prothin</w:t>
      </w:r>
      <w:proofErr w:type="spellEnd"/>
      <w:r w:rsidRPr="00D057C8">
        <w:t xml:space="preserve"> - La Defense 4</w:t>
      </w:r>
    </w:p>
    <w:p w14:paraId="0845A2D3" w14:textId="77777777" w:rsidR="00D057C8" w:rsidRPr="00D057C8" w:rsidRDefault="00D057C8" w:rsidP="00D057C8">
      <w:pPr>
        <w:rPr>
          <w:sz w:val="24"/>
          <w:szCs w:val="24"/>
        </w:rPr>
      </w:pPr>
      <w:r w:rsidRPr="00D057C8">
        <w:t>La Defense Cedex 92927</w:t>
      </w:r>
    </w:p>
    <w:p w14:paraId="72841D84" w14:textId="77777777" w:rsidR="00D057C8" w:rsidRPr="00D057C8" w:rsidRDefault="00D057C8" w:rsidP="00D057C8">
      <w:pPr>
        <w:rPr>
          <w:sz w:val="24"/>
          <w:szCs w:val="24"/>
        </w:rPr>
      </w:pPr>
      <w:r w:rsidRPr="00D057C8">
        <w:rPr>
          <w:lang w:val="bg-BG" w:eastAsia="bg-BG"/>
        </w:rPr>
        <w:t>Франция</w:t>
      </w:r>
    </w:p>
    <w:p w14:paraId="14336768" w14:textId="77777777" w:rsidR="00D057C8" w:rsidRPr="00D057C8" w:rsidRDefault="00D057C8" w:rsidP="00D057C8">
      <w:pPr>
        <w:rPr>
          <w:lang w:val="bg-BG"/>
        </w:rPr>
      </w:pPr>
    </w:p>
    <w:p w14:paraId="04840D59" w14:textId="3D8DA0B8" w:rsidR="002C50EE" w:rsidRDefault="002C50EE" w:rsidP="002C50EE">
      <w:pPr>
        <w:pStyle w:val="Heading1"/>
        <w:rPr>
          <w:lang w:val="bg-BG"/>
        </w:rPr>
      </w:pPr>
      <w:r w:rsidRPr="00E815A3">
        <w:rPr>
          <w:lang w:val="bg-BG"/>
        </w:rPr>
        <w:t>8. НОМЕР НА РАЗРЕШЕНИЕТО ЗА УПОТРЕБА</w:t>
      </w:r>
    </w:p>
    <w:p w14:paraId="7D5B8603" w14:textId="3691D3F3" w:rsidR="00D057C8" w:rsidRPr="00D057C8" w:rsidRDefault="00D057C8" w:rsidP="00D057C8">
      <w:pPr>
        <w:rPr>
          <w:lang w:val="bg-BG"/>
        </w:rPr>
      </w:pPr>
      <w:r>
        <w:t>20150192</w:t>
      </w:r>
    </w:p>
    <w:p w14:paraId="5900CBF3" w14:textId="4A01990B" w:rsidR="002C50EE" w:rsidRDefault="002C50EE" w:rsidP="002C50EE">
      <w:pPr>
        <w:pStyle w:val="Heading1"/>
        <w:rPr>
          <w:lang w:val="bg-BG"/>
        </w:rPr>
      </w:pPr>
      <w:r w:rsidRPr="00E815A3">
        <w:rPr>
          <w:lang w:val="bg-BG"/>
        </w:rPr>
        <w:t>9. ДАТА НА ПЪРВО РАЗРЕШАВАНЕ/ПОДНОВЯВАНЕ НА РАЗРЕШЕНИЕТО ЗА УПОТРЕБА</w:t>
      </w:r>
    </w:p>
    <w:p w14:paraId="3A590673" w14:textId="144726CB" w:rsidR="00D057C8" w:rsidRPr="00D057C8" w:rsidRDefault="00D057C8" w:rsidP="00D057C8">
      <w:pPr>
        <w:rPr>
          <w:lang w:val="bg-BG"/>
        </w:rPr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първо</w:t>
      </w:r>
      <w:proofErr w:type="spellEnd"/>
      <w:r>
        <w:t xml:space="preserve"> </w:t>
      </w:r>
      <w:proofErr w:type="spellStart"/>
      <w:r>
        <w:t>разрешаване</w:t>
      </w:r>
      <w:proofErr w:type="spellEnd"/>
      <w:r>
        <w:t>: 10.06.2015</w:t>
      </w:r>
    </w:p>
    <w:p w14:paraId="0E9D0119" w14:textId="2C58FAE2" w:rsidR="002C50EE" w:rsidRDefault="002C50EE" w:rsidP="002C50EE">
      <w:pPr>
        <w:pStyle w:val="Heading1"/>
        <w:rPr>
          <w:lang w:val="bg-BG"/>
        </w:rPr>
      </w:pPr>
      <w:r w:rsidRPr="00E815A3">
        <w:rPr>
          <w:lang w:val="bg-BG"/>
        </w:rPr>
        <w:t>10. ДАТА НА АКТУАЛИЗИРАНЕ НА ТЕКСТА</w:t>
      </w:r>
    </w:p>
    <w:p w14:paraId="6C9D75EF" w14:textId="55EC1FA9" w:rsidR="00D057C8" w:rsidRPr="00D057C8" w:rsidRDefault="00D057C8" w:rsidP="00D057C8">
      <w:pPr>
        <w:rPr>
          <w:lang w:val="bg-BG"/>
        </w:rPr>
      </w:pPr>
      <w:r>
        <w:t>04.07.2019</w:t>
      </w:r>
    </w:p>
    <w:bookmarkEnd w:id="0"/>
    <w:p w14:paraId="383FCB10" w14:textId="77777777" w:rsidR="002C50EE" w:rsidRPr="00E815A3" w:rsidRDefault="002C50EE" w:rsidP="002C50EE">
      <w:pPr>
        <w:rPr>
          <w:rFonts w:cs="Arial"/>
          <w:b/>
          <w:bCs/>
          <w:sz w:val="26"/>
          <w:szCs w:val="26"/>
          <w:lang w:val="bg-BG"/>
        </w:rPr>
      </w:pPr>
    </w:p>
    <w:p w14:paraId="423F4C2A" w14:textId="77777777" w:rsidR="00C87E90" w:rsidRPr="00E815A3" w:rsidRDefault="00C87E90" w:rsidP="003E3126">
      <w:pPr>
        <w:rPr>
          <w:lang w:val="bg-BG"/>
        </w:rPr>
      </w:pPr>
    </w:p>
    <w:sectPr w:rsidR="00C87E90" w:rsidRPr="00E815A3" w:rsidSect="00D057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723B" w14:textId="77777777" w:rsidR="00084AE6" w:rsidRDefault="00084AE6" w:rsidP="00D057C8">
      <w:pPr>
        <w:spacing w:line="240" w:lineRule="auto"/>
      </w:pPr>
      <w:r>
        <w:separator/>
      </w:r>
    </w:p>
  </w:endnote>
  <w:endnote w:type="continuationSeparator" w:id="0">
    <w:p w14:paraId="11612C97" w14:textId="77777777" w:rsidR="00084AE6" w:rsidRDefault="00084AE6" w:rsidP="00D05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340A6" w14:textId="77777777" w:rsidR="00084AE6" w:rsidRDefault="00084AE6" w:rsidP="00D057C8">
      <w:pPr>
        <w:spacing w:line="240" w:lineRule="auto"/>
      </w:pPr>
      <w:r>
        <w:separator/>
      </w:r>
    </w:p>
  </w:footnote>
  <w:footnote w:type="continuationSeparator" w:id="0">
    <w:p w14:paraId="58370EDF" w14:textId="77777777" w:rsidR="00084AE6" w:rsidRDefault="00084AE6" w:rsidP="00D057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B54B00"/>
    <w:multiLevelType w:val="hybridMultilevel"/>
    <w:tmpl w:val="E01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6D74"/>
    <w:multiLevelType w:val="hybridMultilevel"/>
    <w:tmpl w:val="E01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51EA7"/>
    <w:multiLevelType w:val="hybridMultilevel"/>
    <w:tmpl w:val="E01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4B89"/>
    <w:multiLevelType w:val="hybridMultilevel"/>
    <w:tmpl w:val="91C00460"/>
    <w:lvl w:ilvl="0" w:tplc="4D204A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47BE0"/>
    <w:rsid w:val="00084AE6"/>
    <w:rsid w:val="00185A46"/>
    <w:rsid w:val="001D1B23"/>
    <w:rsid w:val="002C50EE"/>
    <w:rsid w:val="003E3126"/>
    <w:rsid w:val="00517A5B"/>
    <w:rsid w:val="00593A00"/>
    <w:rsid w:val="006158A1"/>
    <w:rsid w:val="00617B1F"/>
    <w:rsid w:val="00672487"/>
    <w:rsid w:val="00672600"/>
    <w:rsid w:val="00681D4A"/>
    <w:rsid w:val="00685336"/>
    <w:rsid w:val="00685882"/>
    <w:rsid w:val="00814073"/>
    <w:rsid w:val="00826F0D"/>
    <w:rsid w:val="008C70A2"/>
    <w:rsid w:val="009279AC"/>
    <w:rsid w:val="009773E4"/>
    <w:rsid w:val="009F26A6"/>
    <w:rsid w:val="00A049F8"/>
    <w:rsid w:val="00A139F2"/>
    <w:rsid w:val="00A20351"/>
    <w:rsid w:val="00AE2107"/>
    <w:rsid w:val="00B275A8"/>
    <w:rsid w:val="00B53B07"/>
    <w:rsid w:val="00BF2600"/>
    <w:rsid w:val="00C33464"/>
    <w:rsid w:val="00C87E90"/>
    <w:rsid w:val="00D057C8"/>
    <w:rsid w:val="00E815A3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A3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E8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7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057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C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da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2760</Words>
  <Characters>15734</Characters>
  <Application>Microsoft Office Word</Application>
  <DocSecurity>0</DocSecurity>
  <Lines>131</Lines>
  <Paragraphs>36</Paragraphs>
  <ScaleCrop>false</ScaleCrop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2021-04-09T19:05:00Z</dcterms:created>
  <dcterms:modified xsi:type="dcterms:W3CDTF">2021-07-27T08:33:00Z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2021-04-09T19:05:34Z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db062057-de4b-4838-9367-7984916e528a</vt:lpwstr>
  </property>
  <property fmtid="{D5CDD505-2E9C-101B-9397-08002B2CF9AE}" pid="8" name="MSIP_Label_78080e56-8894-418a-9b19-f357e77b996f_ContentBits">
    <vt:lpwstr>2</vt:lpwstr>
  </property>
</Properties>
</file>