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79516554" w14:textId="6E03A176" w:rsidR="00DB32D3" w:rsidRDefault="00DD466D" w:rsidP="005726E3">
      <w:pPr>
        <w:pStyle w:val="Heading1"/>
      </w:pPr>
      <w:r>
        <w:t>1.ИМЕ НА ЛЕКАРСТВЕНИЯ ПРОДУКТ</w:t>
      </w:r>
    </w:p>
    <w:p w14:paraId="1C562135" w14:textId="2F44B31D" w:rsidR="00B310D4" w:rsidRDefault="00B310D4" w:rsidP="00B310D4"/>
    <w:p w14:paraId="220EBD46" w14:textId="77777777" w:rsidR="00B310D4" w:rsidRPr="00B310D4" w:rsidRDefault="00B310D4" w:rsidP="00B310D4">
      <w:pPr>
        <w:rPr>
          <w:sz w:val="24"/>
          <w:szCs w:val="24"/>
          <w:lang w:eastAsia="bg-BG"/>
        </w:rPr>
      </w:pPr>
      <w:r w:rsidRPr="00B310D4">
        <w:rPr>
          <w:lang w:eastAsia="bg-BG"/>
        </w:rPr>
        <w:t xml:space="preserve">Софамет 1000 </w:t>
      </w:r>
      <w:r w:rsidRPr="00B310D4">
        <w:rPr>
          <w:lang w:val="en-US"/>
        </w:rPr>
        <w:t xml:space="preserve">mg </w:t>
      </w:r>
      <w:r w:rsidRPr="00B310D4">
        <w:rPr>
          <w:lang w:eastAsia="bg-BG"/>
        </w:rPr>
        <w:t>филмирани таблетки</w:t>
      </w:r>
    </w:p>
    <w:p w14:paraId="79983699" w14:textId="2A7FE2D3" w:rsidR="00B310D4" w:rsidRPr="00B310D4" w:rsidRDefault="00B310D4" w:rsidP="00B310D4">
      <w:proofErr w:type="spellStart"/>
      <w:r w:rsidRPr="00B310D4">
        <w:rPr>
          <w:lang w:val="en-US"/>
        </w:rPr>
        <w:t>Sophamet</w:t>
      </w:r>
      <w:proofErr w:type="spellEnd"/>
      <w:r w:rsidRPr="00B310D4">
        <w:rPr>
          <w:lang w:val="en-US"/>
        </w:rPr>
        <w:t xml:space="preserve"> </w:t>
      </w:r>
      <w:r w:rsidRPr="00B310D4">
        <w:rPr>
          <w:lang w:eastAsia="bg-BG"/>
        </w:rPr>
        <w:t xml:space="preserve">1000 </w:t>
      </w:r>
      <w:r w:rsidRPr="00B310D4">
        <w:rPr>
          <w:lang w:val="en-US"/>
        </w:rPr>
        <w:t>mg film-coated tablets</w:t>
      </w:r>
    </w:p>
    <w:p w14:paraId="48E6CABE" w14:textId="1A7ACA0A" w:rsidR="00DB32D3" w:rsidRDefault="00DD466D" w:rsidP="005726E3">
      <w:pPr>
        <w:pStyle w:val="Heading1"/>
      </w:pPr>
      <w:r>
        <w:t>2. КАЧЕСТВЕН И КОЛИЧЕСТВЕН СЪСТАВ</w:t>
      </w:r>
    </w:p>
    <w:p w14:paraId="73A59927" w14:textId="32F15DDC" w:rsidR="00B310D4" w:rsidRDefault="00B310D4" w:rsidP="00B310D4"/>
    <w:p w14:paraId="670B4EFC" w14:textId="77777777" w:rsidR="00B310D4" w:rsidRPr="00B310D4" w:rsidRDefault="00B310D4" w:rsidP="00B310D4">
      <w:pPr>
        <w:rPr>
          <w:sz w:val="24"/>
          <w:szCs w:val="24"/>
          <w:lang w:eastAsia="bg-BG"/>
        </w:rPr>
      </w:pPr>
      <w:r w:rsidRPr="00B310D4">
        <w:rPr>
          <w:lang w:eastAsia="bg-BG"/>
        </w:rPr>
        <w:t xml:space="preserve">Всяка филмирана таблетка съдържа активно вещество метформинов хидрохлорид </w:t>
      </w:r>
      <w:r w:rsidRPr="00B310D4">
        <w:rPr>
          <w:i/>
          <w:iCs/>
          <w:lang w:val="en-US"/>
        </w:rPr>
        <w:t>(metformin hydrochloride)</w:t>
      </w:r>
      <w:r w:rsidRPr="00B310D4">
        <w:rPr>
          <w:lang w:val="en-US"/>
        </w:rPr>
        <w:t xml:space="preserve"> </w:t>
      </w:r>
      <w:r w:rsidRPr="00B310D4">
        <w:rPr>
          <w:lang w:eastAsia="bg-BG"/>
        </w:rPr>
        <w:t xml:space="preserve">1000 </w:t>
      </w:r>
      <w:r w:rsidRPr="00B310D4">
        <w:rPr>
          <w:lang w:val="en-US"/>
        </w:rPr>
        <w:t xml:space="preserve">mg, </w:t>
      </w:r>
      <w:r w:rsidRPr="00B310D4">
        <w:rPr>
          <w:lang w:eastAsia="bg-BG"/>
        </w:rPr>
        <w:t xml:space="preserve">съответстващи на 780 </w:t>
      </w:r>
      <w:r w:rsidRPr="00B310D4">
        <w:rPr>
          <w:lang w:val="en-US"/>
        </w:rPr>
        <w:t xml:space="preserve">mg </w:t>
      </w:r>
      <w:r w:rsidRPr="00B310D4">
        <w:rPr>
          <w:lang w:eastAsia="bg-BG"/>
        </w:rPr>
        <w:t xml:space="preserve">метформин </w:t>
      </w:r>
      <w:r w:rsidRPr="00B310D4">
        <w:rPr>
          <w:i/>
          <w:iCs/>
          <w:lang w:val="en-US"/>
        </w:rPr>
        <w:t>(metformin).</w:t>
      </w:r>
    </w:p>
    <w:p w14:paraId="70AAA1F4" w14:textId="77777777" w:rsidR="00B310D4" w:rsidRPr="00B310D4" w:rsidRDefault="00B310D4" w:rsidP="00B310D4"/>
    <w:p w14:paraId="763B21BA" w14:textId="1AAE965C" w:rsidR="001A6EBD" w:rsidRDefault="00DD466D" w:rsidP="00471F10">
      <w:pPr>
        <w:pStyle w:val="Heading1"/>
      </w:pPr>
      <w:r>
        <w:t>3. ЛЕКАРСТВЕНА ФОРМА</w:t>
      </w:r>
    </w:p>
    <w:p w14:paraId="36CB1845" w14:textId="286EE888" w:rsidR="00B310D4" w:rsidRDefault="00B310D4" w:rsidP="00B310D4"/>
    <w:p w14:paraId="7E5E1124" w14:textId="77777777" w:rsidR="00B310D4" w:rsidRPr="00B310D4" w:rsidRDefault="00B310D4" w:rsidP="00B310D4">
      <w:pPr>
        <w:rPr>
          <w:sz w:val="24"/>
          <w:szCs w:val="24"/>
          <w:lang w:eastAsia="bg-BG"/>
        </w:rPr>
      </w:pPr>
      <w:r w:rsidRPr="00B310D4">
        <w:rPr>
          <w:lang w:eastAsia="bg-BG"/>
        </w:rPr>
        <w:t>Филмирана таблетка.</w:t>
      </w:r>
    </w:p>
    <w:p w14:paraId="79C48C5C" w14:textId="77777777" w:rsidR="00B310D4" w:rsidRPr="00B310D4" w:rsidRDefault="00B310D4" w:rsidP="00B310D4">
      <w:pPr>
        <w:rPr>
          <w:sz w:val="24"/>
          <w:szCs w:val="24"/>
          <w:lang w:eastAsia="bg-BG"/>
        </w:rPr>
      </w:pPr>
      <w:r w:rsidRPr="00B310D4">
        <w:rPr>
          <w:lang w:eastAsia="bg-BG"/>
        </w:rPr>
        <w:t xml:space="preserve">Филмирани таблетки 1000 </w:t>
      </w:r>
      <w:r w:rsidRPr="00B310D4">
        <w:rPr>
          <w:lang w:val="en-US"/>
        </w:rPr>
        <w:t xml:space="preserve">mg: </w:t>
      </w:r>
      <w:r w:rsidRPr="00B310D4">
        <w:rPr>
          <w:lang w:eastAsia="bg-BG"/>
        </w:rPr>
        <w:t>бели, овални, двойно изпъкнали филмирани таблетки с вдлъбнато релефно означение “А” от едната страна и “62” от другата.</w:t>
      </w:r>
    </w:p>
    <w:p w14:paraId="41DB7E9A" w14:textId="0449900C" w:rsidR="00B310D4" w:rsidRPr="00B310D4" w:rsidRDefault="00B310D4" w:rsidP="00B310D4">
      <w:r w:rsidRPr="00B310D4">
        <w:rPr>
          <w:lang w:eastAsia="bg-BG"/>
        </w:rPr>
        <w:t>Таблетките имат естетическа черта между “6” и “2”, която не служи за разделяне на две равни половини.</w:t>
      </w:r>
    </w:p>
    <w:p w14:paraId="490FC2C4" w14:textId="6899DE43" w:rsidR="002C50EE" w:rsidRDefault="002C50EE" w:rsidP="002C50EE">
      <w:pPr>
        <w:pStyle w:val="Heading1"/>
      </w:pPr>
      <w:r>
        <w:t>4. КЛИНИЧНИ ДАННИ</w:t>
      </w:r>
    </w:p>
    <w:p w14:paraId="25C765CE" w14:textId="00B5EB24" w:rsidR="001A6EBD" w:rsidRDefault="002C50EE" w:rsidP="00471F10">
      <w:pPr>
        <w:pStyle w:val="Heading2"/>
      </w:pPr>
      <w:r>
        <w:t>4.1. Терапевтични показания</w:t>
      </w:r>
    </w:p>
    <w:p w14:paraId="5E0A8244" w14:textId="543461C4" w:rsidR="00B310D4" w:rsidRDefault="00B310D4" w:rsidP="00B310D4"/>
    <w:p w14:paraId="3C63D56B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Софамет е показан при възрастни, деца над 10-годишна възраст и юноши.</w:t>
      </w:r>
    </w:p>
    <w:p w14:paraId="5CFF2ECE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Лечение на диабет тип 2, особено при пациенти с наднормено тегло, когато само диета и физически упражнения не водят до адекватен гликемичен контрол.</w:t>
      </w:r>
    </w:p>
    <w:p w14:paraId="2F77CC53" w14:textId="77777777" w:rsidR="00B310D4" w:rsidRPr="00B310D4" w:rsidRDefault="00B310D4" w:rsidP="00B310D4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При възрастни, Софамет филмирани таблетки могат да се прилагат като монотерапия, в комбинация с други перорални антидиабетични лекарствени продукти или с инсулин.</w:t>
      </w:r>
    </w:p>
    <w:p w14:paraId="334AAD47" w14:textId="10372AF6" w:rsidR="00B310D4" w:rsidRPr="00B310D4" w:rsidRDefault="00B310D4" w:rsidP="00B310D4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При деца над 10-годишна възраст и юноши, Софамет филмирани таблетки могат да се прилагат като монотерапия или в комбинация с инсулин.</w:t>
      </w:r>
    </w:p>
    <w:p w14:paraId="52E65595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Установено е, че при възрастни пациенти с диабет </w:t>
      </w:r>
      <w:r w:rsidRPr="00B310D4">
        <w:rPr>
          <w:rFonts w:eastAsia="Times New Roman" w:cs="Arial"/>
          <w:i/>
          <w:iCs/>
          <w:color w:val="000000"/>
          <w:lang w:eastAsia="bg-BG"/>
        </w:rPr>
        <w:t>тип 2</w:t>
      </w:r>
      <w:r w:rsidRPr="00B310D4">
        <w:rPr>
          <w:rFonts w:eastAsia="Times New Roman" w:cs="Arial"/>
          <w:color w:val="000000"/>
          <w:lang w:eastAsia="bg-BG"/>
        </w:rPr>
        <w:t xml:space="preserve"> и наднормено тегло, които са лекувани с метформин, като първи избор на лечение след неуспех на диетата, продуктът води до намаляване усложненията на диабета (виж т. 5.1).</w:t>
      </w:r>
    </w:p>
    <w:p w14:paraId="78977331" w14:textId="77777777" w:rsidR="00B310D4" w:rsidRPr="00B310D4" w:rsidRDefault="00B310D4" w:rsidP="00B310D4"/>
    <w:p w14:paraId="19026639" w14:textId="48ABCF20" w:rsidR="001A6EBD" w:rsidRDefault="002C50EE" w:rsidP="00471F10">
      <w:pPr>
        <w:pStyle w:val="Heading2"/>
      </w:pPr>
      <w:r>
        <w:t>4.2. Дозировка и начин на приложение</w:t>
      </w:r>
    </w:p>
    <w:p w14:paraId="0235E7E7" w14:textId="690E4442" w:rsidR="00B310D4" w:rsidRDefault="00B310D4" w:rsidP="00B310D4"/>
    <w:p w14:paraId="71A94A68" w14:textId="77777777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Дозировка</w:t>
      </w:r>
    </w:p>
    <w:p w14:paraId="141581D8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6985AC4" w14:textId="21E2C7BE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Възрастни с нормална бъбречна функция</w:t>
      </w:r>
      <w:r w:rsidRPr="00B310D4">
        <w:rPr>
          <w:rFonts w:eastAsia="Times New Roman" w:cs="Arial"/>
          <w:color w:val="000000"/>
          <w:lang w:eastAsia="bg-BG"/>
        </w:rPr>
        <w:t xml:space="preserve"> </w:t>
      </w:r>
      <w:r w:rsidRPr="00B310D4">
        <w:rPr>
          <w:rFonts w:eastAsia="Times New Roman" w:cs="Arial"/>
          <w:color w:val="000000"/>
          <w:lang w:val="en-US"/>
        </w:rPr>
        <w:t xml:space="preserve">(GFR </w:t>
      </w:r>
      <w:r w:rsidRPr="00B310D4">
        <w:rPr>
          <w:rFonts w:eastAsia="Times New Roman" w:cs="Arial"/>
          <w:color w:val="000000"/>
          <w:lang w:eastAsia="bg-BG"/>
        </w:rPr>
        <w:t xml:space="preserve">≥90 </w:t>
      </w:r>
      <w:r w:rsidRPr="00B310D4">
        <w:rPr>
          <w:rFonts w:eastAsia="Times New Roman" w:cs="Arial"/>
          <w:color w:val="000000"/>
          <w:lang w:val="en-US"/>
        </w:rPr>
        <w:t>ml/min)</w:t>
      </w:r>
    </w:p>
    <w:p w14:paraId="4FB9B1B2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1DDEC2BC" w14:textId="406076C8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Монотерапия и в комбинация с други перорални антидиабетични лекарствени продукти</w:t>
      </w:r>
    </w:p>
    <w:p w14:paraId="05E15C40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lastRenderedPageBreak/>
        <w:t xml:space="preserve">Обичайната начална доза е 500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 xml:space="preserve">или 850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 xml:space="preserve">метформинов хидрохлорид 2 или 3 пъти дневно, приемана по време на или след хранене. След 10-15 дни дозата трябва да бъде титрирарана на базата на измерените стойности </w:t>
      </w:r>
      <w:r w:rsidRPr="00B310D4">
        <w:rPr>
          <w:rFonts w:eastAsia="Times New Roman" w:cs="Arial"/>
          <w:i/>
          <w:iCs/>
          <w:color w:val="000000"/>
          <w:lang w:eastAsia="bg-BG"/>
        </w:rPr>
        <w:t>на</w:t>
      </w:r>
      <w:r w:rsidRPr="00B310D4">
        <w:rPr>
          <w:rFonts w:eastAsia="Times New Roman" w:cs="Arial"/>
          <w:color w:val="000000"/>
          <w:lang w:eastAsia="bg-BG"/>
        </w:rPr>
        <w:t xml:space="preserve"> кръвната захар. Слабо повишаване на дозата може да подобри гастроинтестиналната поносимост.</w:t>
      </w:r>
    </w:p>
    <w:p w14:paraId="319CAE56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Максималната препоръчителна доза на метформинов хидрохлорид е 3 </w:t>
      </w:r>
      <w:r w:rsidRPr="00B310D4">
        <w:rPr>
          <w:rFonts w:eastAsia="Times New Roman" w:cs="Arial"/>
          <w:color w:val="000000"/>
          <w:lang w:val="en-US"/>
        </w:rPr>
        <w:t xml:space="preserve">g </w:t>
      </w:r>
      <w:r w:rsidRPr="00B310D4">
        <w:rPr>
          <w:rFonts w:eastAsia="Times New Roman" w:cs="Arial"/>
          <w:color w:val="000000"/>
          <w:lang w:eastAsia="bg-BG"/>
        </w:rPr>
        <w:t>дневно, разделена на три приема.</w:t>
      </w:r>
    </w:p>
    <w:p w14:paraId="62D8DDBA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Софамет 1000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е подходящ при необходимост от прилагане на по-високи дози, т.е когато се налага схема на максимално дозиране.</w:t>
      </w:r>
    </w:p>
    <w:p w14:paraId="34BF0329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Ако се предвижда преминаване към друг перорален антидиабетичен лекарствен продукт, преустановява се приема на другия лекарствен продукт и се започва прием на метформинов хидрохлорид съгласно дозата, препоръчана по-горе.</w:t>
      </w:r>
    </w:p>
    <w:p w14:paraId="0E5DF54A" w14:textId="77777777" w:rsidR="00B310D4" w:rsidRPr="00B310D4" w:rsidRDefault="00B310D4" w:rsidP="00B310D4">
      <w:pPr>
        <w:rPr>
          <w:rFonts w:eastAsia="Times New Roman" w:cs="Arial"/>
          <w:i/>
          <w:iCs/>
          <w:color w:val="000000"/>
          <w:lang w:eastAsia="bg-BG"/>
        </w:rPr>
      </w:pPr>
    </w:p>
    <w:p w14:paraId="635D92C9" w14:textId="4597CD15" w:rsidR="00B310D4" w:rsidRPr="00B310D4" w:rsidRDefault="00B310D4" w:rsidP="00B310D4">
      <w:pPr>
        <w:rPr>
          <w:rFonts w:eastAsia="Times New Roman" w:cs="Arial"/>
          <w:i/>
          <w:iCs/>
          <w:color w:val="000000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Комбинация с инсулин</w:t>
      </w:r>
    </w:p>
    <w:p w14:paraId="6BA3771E" w14:textId="791DA797" w:rsidR="00B310D4" w:rsidRPr="00B310D4" w:rsidRDefault="00B310D4" w:rsidP="00B310D4">
      <w:pPr>
        <w:rPr>
          <w:rFonts w:eastAsia="Times New Roman" w:cs="Arial"/>
          <w:i/>
          <w:iCs/>
          <w:color w:val="000000"/>
          <w:lang w:eastAsia="bg-BG"/>
        </w:rPr>
      </w:pPr>
    </w:p>
    <w:p w14:paraId="15CA6060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Метформинов хидрохлорид и инсулин могат да се прилагат в комбинация за постигане на по-добър контрол на кръвната захар. Обичайната начална доза е 500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 xml:space="preserve">или 850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метформинов хидрохлорид 2 или 3 пъти дневно, докато дозата на инсулина се титрира в зависимост от измерените стойности на кръвната захар.</w:t>
      </w:r>
    </w:p>
    <w:p w14:paraId="0FE00F88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Софамет 1000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е подходящ при необходимост от прилагане на по-високи дози, т.е когато се налага схема на максимално дозиране.</w:t>
      </w:r>
    </w:p>
    <w:p w14:paraId="120BB2A9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1C080EA" w14:textId="23E7E36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Пациенти в напреднала възраст</w:t>
      </w:r>
    </w:p>
    <w:p w14:paraId="711E66CC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Поради възможността бъбречната функция при пациенти в старческа възраст да е намалена, дозата на метформинов хидрохлорид трябва да се титрира в зависимост от бъбречната функция. Необходимо е редовно проследяване на бъбречната функция (виж точка 4.4).</w:t>
      </w:r>
    </w:p>
    <w:p w14:paraId="365A9F7D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Софамет 1000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не винаги е подходящ при тази категория пациенти.</w:t>
      </w:r>
    </w:p>
    <w:p w14:paraId="3A51278A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DA55028" w14:textId="65D1BD1E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Пациенти с бъбречно увреждане</w:t>
      </w:r>
    </w:p>
    <w:p w14:paraId="5A00EEE3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Преди започване на лечение с продукти, съдържащи метформин, трябва да се направи оценка на </w:t>
      </w:r>
      <w:r w:rsidRPr="00B310D4">
        <w:rPr>
          <w:rFonts w:eastAsia="Times New Roman" w:cs="Arial"/>
          <w:color w:val="000000"/>
          <w:lang w:val="en-US"/>
        </w:rPr>
        <w:t xml:space="preserve">GFR </w:t>
      </w:r>
      <w:r w:rsidRPr="00B310D4">
        <w:rPr>
          <w:rFonts w:eastAsia="Times New Roman" w:cs="Arial"/>
          <w:color w:val="000000"/>
          <w:lang w:eastAsia="bg-BG"/>
        </w:rPr>
        <w:t>стойностите, а след това - поне веднъж годишно. При пациенти с повишен риск от по-нататъшно прогресиране на бъбречно увреждане и при пациенти в старческа възраст трябва по-често да се прави оценка на бъбречната функция, например на всеки 3-6 месеца.</w:t>
      </w:r>
    </w:p>
    <w:p w14:paraId="01B34911" w14:textId="44B206ED" w:rsidR="00B310D4" w:rsidRDefault="00B310D4" w:rsidP="00B310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1"/>
        <w:gridCol w:w="3118"/>
        <w:gridCol w:w="3131"/>
      </w:tblGrid>
      <w:tr w:rsidR="00B310D4" w14:paraId="19D0D0DA" w14:textId="77777777" w:rsidTr="00B310D4">
        <w:tc>
          <w:tcPr>
            <w:tcW w:w="3166" w:type="dxa"/>
          </w:tcPr>
          <w:p w14:paraId="2AFBC59F" w14:textId="2D6F7B84" w:rsidR="00B310D4" w:rsidRPr="00B310D4" w:rsidRDefault="00B310D4" w:rsidP="00B310D4">
            <w:r w:rsidRPr="00B310D4">
              <w:rPr>
                <w:lang w:val="en-US"/>
              </w:rPr>
              <w:t>GFR ml/min</w:t>
            </w:r>
          </w:p>
        </w:tc>
        <w:tc>
          <w:tcPr>
            <w:tcW w:w="3167" w:type="dxa"/>
          </w:tcPr>
          <w:p w14:paraId="17D93C81" w14:textId="28E23C43" w:rsidR="00B310D4" w:rsidRPr="00B310D4" w:rsidRDefault="00B310D4" w:rsidP="00B310D4">
            <w:r w:rsidRPr="00B310D4">
              <w:t>Обща максимална дневна доза (да се раздели на 2-3 дневни дози)</w:t>
            </w:r>
          </w:p>
        </w:tc>
        <w:tc>
          <w:tcPr>
            <w:tcW w:w="3167" w:type="dxa"/>
          </w:tcPr>
          <w:p w14:paraId="03F2EF3E" w14:textId="3A9CFD19" w:rsidR="00B310D4" w:rsidRPr="00B310D4" w:rsidRDefault="00B310D4" w:rsidP="00B310D4">
            <w:r w:rsidRPr="00B310D4">
              <w:t>Допълнителни съображения</w:t>
            </w:r>
          </w:p>
        </w:tc>
      </w:tr>
      <w:tr w:rsidR="00B310D4" w14:paraId="4AA720D5" w14:textId="77777777" w:rsidTr="00B310D4">
        <w:tc>
          <w:tcPr>
            <w:tcW w:w="3166" w:type="dxa"/>
          </w:tcPr>
          <w:p w14:paraId="7AE8FEED" w14:textId="0A2EB0DB" w:rsidR="00B310D4" w:rsidRPr="00B310D4" w:rsidRDefault="00B310D4" w:rsidP="00B310D4">
            <w:r w:rsidRPr="00B310D4">
              <w:t>60-89</w:t>
            </w:r>
          </w:p>
        </w:tc>
        <w:tc>
          <w:tcPr>
            <w:tcW w:w="3167" w:type="dxa"/>
          </w:tcPr>
          <w:p w14:paraId="5788D217" w14:textId="3C438538" w:rsidR="00B310D4" w:rsidRPr="00B310D4" w:rsidRDefault="00B310D4" w:rsidP="00B310D4">
            <w:r w:rsidRPr="00B310D4">
              <w:t xml:space="preserve">3000 </w:t>
            </w:r>
            <w:r w:rsidRPr="00B310D4">
              <w:rPr>
                <w:lang w:val="en-US"/>
              </w:rPr>
              <w:t>mg</w:t>
            </w:r>
          </w:p>
        </w:tc>
        <w:tc>
          <w:tcPr>
            <w:tcW w:w="3167" w:type="dxa"/>
          </w:tcPr>
          <w:p w14:paraId="36F0B045" w14:textId="33A67D0D" w:rsidR="00B310D4" w:rsidRPr="00B310D4" w:rsidRDefault="00B310D4" w:rsidP="00B310D4">
            <w:r w:rsidRPr="00B310D4">
              <w:t>Може да се обмисли понижаване на дозата във връзка с намаляването на бъбречната функция.</w:t>
            </w:r>
          </w:p>
        </w:tc>
      </w:tr>
      <w:tr w:rsidR="00B310D4" w14:paraId="1B62ACD0" w14:textId="77777777" w:rsidTr="00B310D4">
        <w:tc>
          <w:tcPr>
            <w:tcW w:w="3166" w:type="dxa"/>
          </w:tcPr>
          <w:p w14:paraId="08A35616" w14:textId="055A9003" w:rsidR="00B310D4" w:rsidRPr="00B310D4" w:rsidRDefault="00B310D4" w:rsidP="00B310D4">
            <w:r w:rsidRPr="00B310D4">
              <w:t>45-59</w:t>
            </w:r>
          </w:p>
        </w:tc>
        <w:tc>
          <w:tcPr>
            <w:tcW w:w="3167" w:type="dxa"/>
          </w:tcPr>
          <w:p w14:paraId="7D2A4123" w14:textId="7E536E52" w:rsidR="00B310D4" w:rsidRPr="00B310D4" w:rsidRDefault="00B310D4" w:rsidP="00B310D4">
            <w:r w:rsidRPr="00B310D4">
              <w:t xml:space="preserve">2000 </w:t>
            </w:r>
            <w:r w:rsidRPr="00B310D4">
              <w:rPr>
                <w:lang w:val="en-US"/>
              </w:rPr>
              <w:t>mg</w:t>
            </w:r>
          </w:p>
        </w:tc>
        <w:tc>
          <w:tcPr>
            <w:tcW w:w="3167" w:type="dxa"/>
            <w:vMerge w:val="restart"/>
          </w:tcPr>
          <w:p w14:paraId="151834D1" w14:textId="77777777" w:rsidR="00B310D4" w:rsidRPr="00B310D4" w:rsidRDefault="00B310D4" w:rsidP="00B310D4">
            <w:r w:rsidRPr="00B310D4">
              <w:t>Факторите, които могат да увеличат риска от лактатна ацидоза (вж. точка 4.4) трябва да бъдат преразгледани, преди да се обмисли започването на лечение с метформин.</w:t>
            </w:r>
          </w:p>
          <w:p w14:paraId="5911CFED" w14:textId="5CAEE847" w:rsidR="00B310D4" w:rsidRPr="00B310D4" w:rsidRDefault="00B310D4" w:rsidP="00B310D4">
            <w:r w:rsidRPr="00B310D4">
              <w:lastRenderedPageBreak/>
              <w:t>Началната доза е най-много половината от максималната доза.</w:t>
            </w:r>
          </w:p>
        </w:tc>
      </w:tr>
      <w:tr w:rsidR="00B310D4" w14:paraId="5BD627E6" w14:textId="77777777" w:rsidTr="00B310D4">
        <w:tc>
          <w:tcPr>
            <w:tcW w:w="3166" w:type="dxa"/>
          </w:tcPr>
          <w:p w14:paraId="338C68C0" w14:textId="61BC3892" w:rsidR="00B310D4" w:rsidRPr="00B310D4" w:rsidRDefault="00B310D4" w:rsidP="00B310D4">
            <w:r w:rsidRPr="00B310D4">
              <w:t>30-44</w:t>
            </w:r>
          </w:p>
        </w:tc>
        <w:tc>
          <w:tcPr>
            <w:tcW w:w="3167" w:type="dxa"/>
          </w:tcPr>
          <w:p w14:paraId="2C9B68A4" w14:textId="0CD331C1" w:rsidR="00B310D4" w:rsidRPr="00B310D4" w:rsidRDefault="00B310D4" w:rsidP="00B310D4">
            <w:r w:rsidRPr="00B310D4">
              <w:t xml:space="preserve">1000 </w:t>
            </w:r>
            <w:r w:rsidRPr="00B310D4">
              <w:rPr>
                <w:lang w:val="en-US"/>
              </w:rPr>
              <w:t>mg</w:t>
            </w:r>
          </w:p>
        </w:tc>
        <w:tc>
          <w:tcPr>
            <w:tcW w:w="3167" w:type="dxa"/>
            <w:vMerge/>
          </w:tcPr>
          <w:p w14:paraId="610A1BB7" w14:textId="77777777" w:rsidR="00B310D4" w:rsidRPr="00B310D4" w:rsidRDefault="00B310D4" w:rsidP="00B310D4"/>
        </w:tc>
      </w:tr>
      <w:tr w:rsidR="00B310D4" w14:paraId="2BC05828" w14:textId="77777777" w:rsidTr="00B310D4">
        <w:tc>
          <w:tcPr>
            <w:tcW w:w="3166" w:type="dxa"/>
          </w:tcPr>
          <w:p w14:paraId="41C59C63" w14:textId="1D285E21" w:rsidR="00B310D4" w:rsidRPr="00B310D4" w:rsidRDefault="00B310D4" w:rsidP="00B310D4">
            <w:r w:rsidRPr="00B310D4">
              <w:t>&lt;30</w:t>
            </w:r>
          </w:p>
        </w:tc>
        <w:tc>
          <w:tcPr>
            <w:tcW w:w="3167" w:type="dxa"/>
          </w:tcPr>
          <w:p w14:paraId="550D6924" w14:textId="30AFE77D" w:rsidR="00B310D4" w:rsidRPr="00B310D4" w:rsidRDefault="00B310D4" w:rsidP="00B310D4">
            <w:r w:rsidRPr="00B310D4">
              <w:t>-</w:t>
            </w:r>
          </w:p>
        </w:tc>
        <w:tc>
          <w:tcPr>
            <w:tcW w:w="3167" w:type="dxa"/>
          </w:tcPr>
          <w:p w14:paraId="7E87687C" w14:textId="3D11C808" w:rsidR="00B310D4" w:rsidRPr="00B310D4" w:rsidRDefault="00B310D4" w:rsidP="00B310D4">
            <w:r w:rsidRPr="00B310D4">
              <w:t>Метформин е противопоказан.</w:t>
            </w:r>
          </w:p>
        </w:tc>
      </w:tr>
    </w:tbl>
    <w:p w14:paraId="7CC079F3" w14:textId="3574A503" w:rsidR="00B310D4" w:rsidRDefault="00B310D4" w:rsidP="00B310D4"/>
    <w:p w14:paraId="0D1E8A09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5882DB17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7A2466C" w14:textId="51DAF8AD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Монотерапия и в комбинация с инсулин</w:t>
      </w:r>
    </w:p>
    <w:p w14:paraId="57747E31" w14:textId="5910F563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Софамет 1000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може да бъде използван при деца над 10-годишна възраст и юноши.</w:t>
      </w:r>
    </w:p>
    <w:p w14:paraId="2B19F94A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Обичайната начална доза е 500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 xml:space="preserve">или 850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метформинов хидрохлорид веднъж дневно, която се приема по време или след хранене.</w:t>
      </w:r>
    </w:p>
    <w:p w14:paraId="1E7D5D68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След 10-15 дни дозата трябва да бъде титрирарана на базата на измерените стойности на кръвната захар. Постепенното повишаване на дозата може да подобри гастроинтестиналната поносимост. Максималната препоръчителна доза на метформинов хидрохлорид е 2 </w:t>
      </w:r>
      <w:r w:rsidRPr="00B310D4">
        <w:rPr>
          <w:rFonts w:eastAsia="Times New Roman" w:cs="Arial"/>
          <w:color w:val="000000"/>
          <w:lang w:val="en-US"/>
        </w:rPr>
        <w:t xml:space="preserve">g </w:t>
      </w:r>
      <w:r w:rsidRPr="00B310D4">
        <w:rPr>
          <w:rFonts w:eastAsia="Times New Roman" w:cs="Arial"/>
          <w:color w:val="000000"/>
          <w:lang w:eastAsia="bg-BG"/>
        </w:rPr>
        <w:t>дневно, разделена на два или три приема.</w:t>
      </w:r>
    </w:p>
    <w:p w14:paraId="1002609C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Софамет 1000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 xml:space="preserve">е подходящ при необходимост от прилагане на по-високи дози, т.е когато се налага схема </w:t>
      </w:r>
    </w:p>
    <w:p w14:paraId="4A752A3C" w14:textId="2463495E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на максимално дозиране.</w:t>
      </w:r>
    </w:p>
    <w:p w14:paraId="4713AE42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BE21645" w14:textId="464102C2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Начин на приложение</w:t>
      </w:r>
    </w:p>
    <w:p w14:paraId="56EB2773" w14:textId="68D22DCC" w:rsidR="00B310D4" w:rsidRDefault="00B310D4" w:rsidP="00B310D4">
      <w:pPr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Таблетките се приемат перорално по време на или след прием на храна.</w:t>
      </w:r>
    </w:p>
    <w:p w14:paraId="6233DFEC" w14:textId="77777777" w:rsidR="00B310D4" w:rsidRPr="00B310D4" w:rsidRDefault="00B310D4" w:rsidP="00B310D4">
      <w:pPr>
        <w:rPr>
          <w:rFonts w:cs="Arial"/>
          <w:sz w:val="24"/>
          <w:szCs w:val="24"/>
        </w:rPr>
      </w:pPr>
    </w:p>
    <w:p w14:paraId="1BF2EFF4" w14:textId="26783468" w:rsidR="001A6EBD" w:rsidRDefault="002C50EE" w:rsidP="00471F10">
      <w:pPr>
        <w:pStyle w:val="Heading2"/>
      </w:pPr>
      <w:r>
        <w:t>4.3. Противопоказания</w:t>
      </w:r>
    </w:p>
    <w:p w14:paraId="6C7F4049" w14:textId="7B224163" w:rsidR="00B310D4" w:rsidRDefault="00B310D4" w:rsidP="00B310D4"/>
    <w:p w14:paraId="6518781B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Свръхчувствителност към активното вещество или към някое от помощните вещества, изброени в точка 6.1.</w:t>
      </w:r>
    </w:p>
    <w:p w14:paraId="195A1AC6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Всеки тип остра метаболитна ацидоза (като лактатна ацидоза, диабетна кетоацидоза).</w:t>
      </w:r>
    </w:p>
    <w:p w14:paraId="604F6ED7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Тежка бъбречна недостатъчност </w:t>
      </w:r>
      <w:r w:rsidRPr="00B310D4">
        <w:rPr>
          <w:rFonts w:eastAsia="Times New Roman" w:cs="Arial"/>
          <w:color w:val="000000"/>
          <w:lang w:val="en-US"/>
        </w:rPr>
        <w:t xml:space="preserve">(GFR&lt; </w:t>
      </w:r>
      <w:r w:rsidRPr="00B310D4">
        <w:rPr>
          <w:rFonts w:eastAsia="Times New Roman" w:cs="Arial"/>
          <w:color w:val="000000"/>
          <w:lang w:eastAsia="bg-BG"/>
        </w:rPr>
        <w:t xml:space="preserve">30 </w:t>
      </w:r>
      <w:r w:rsidRPr="00B310D4">
        <w:rPr>
          <w:rFonts w:eastAsia="Times New Roman" w:cs="Arial"/>
          <w:color w:val="000000"/>
          <w:lang w:val="en-US"/>
        </w:rPr>
        <w:t>ml</w:t>
      </w:r>
      <w:r w:rsidRPr="00B310D4">
        <w:rPr>
          <w:rFonts w:eastAsia="Times New Roman" w:cs="Arial"/>
          <w:color w:val="000000"/>
          <w:lang w:eastAsia="bg-BG"/>
        </w:rPr>
        <w:t>/мин).</w:t>
      </w:r>
    </w:p>
    <w:p w14:paraId="409FAE1D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Диабетна пре-кома.</w:t>
      </w:r>
    </w:p>
    <w:p w14:paraId="50948A2D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Остри състояния, които могат да променят бъбречната функция като:</w:t>
      </w:r>
    </w:p>
    <w:p w14:paraId="5A723ABA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дехидратация,</w:t>
      </w:r>
    </w:p>
    <w:p w14:paraId="2A5F5262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тежка инфекция,</w:t>
      </w:r>
    </w:p>
    <w:p w14:paraId="7260FA68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шок.</w:t>
      </w:r>
    </w:p>
    <w:p w14:paraId="62CB0E83" w14:textId="77777777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Остро или хронично заболяване, което може да доведе до тъканна хипоксия като:</w:t>
      </w:r>
    </w:p>
    <w:p w14:paraId="5054CC34" w14:textId="77777777" w:rsidR="00B310D4" w:rsidRPr="00B310D4" w:rsidRDefault="00B310D4" w:rsidP="00B310D4">
      <w:pPr>
        <w:pStyle w:val="ListParagraph"/>
        <w:numPr>
          <w:ilvl w:val="8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декомпенсирана сърдечна недостатъчност,</w:t>
      </w:r>
    </w:p>
    <w:p w14:paraId="3451BB98" w14:textId="77777777" w:rsidR="00B310D4" w:rsidRPr="00B310D4" w:rsidRDefault="00B310D4" w:rsidP="00B310D4">
      <w:pPr>
        <w:pStyle w:val="ListParagraph"/>
        <w:numPr>
          <w:ilvl w:val="8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респираторна недостатъчност,</w:t>
      </w:r>
    </w:p>
    <w:p w14:paraId="5DAA24CC" w14:textId="77777777" w:rsidR="00B310D4" w:rsidRPr="00B310D4" w:rsidRDefault="00B310D4" w:rsidP="00B310D4">
      <w:pPr>
        <w:pStyle w:val="ListParagraph"/>
        <w:numPr>
          <w:ilvl w:val="8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остър инфаркт на миокарда,</w:t>
      </w:r>
    </w:p>
    <w:p w14:paraId="3989CDD3" w14:textId="77777777" w:rsidR="00B310D4" w:rsidRPr="00B310D4" w:rsidRDefault="00B310D4" w:rsidP="00B310D4">
      <w:pPr>
        <w:pStyle w:val="ListParagraph"/>
        <w:numPr>
          <w:ilvl w:val="8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шок,</w:t>
      </w:r>
    </w:p>
    <w:p w14:paraId="470494CA" w14:textId="5976B1A4" w:rsidR="00B310D4" w:rsidRPr="00B310D4" w:rsidRDefault="00B310D4" w:rsidP="00B310D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Чернодробна недостатъчност, остра алкохолна интоксикация, алкохолизъм.</w:t>
      </w:r>
    </w:p>
    <w:p w14:paraId="6C337F4E" w14:textId="77777777" w:rsidR="00B310D4" w:rsidRPr="00B310D4" w:rsidRDefault="00B310D4" w:rsidP="00B310D4"/>
    <w:p w14:paraId="0C106098" w14:textId="2A844881" w:rsidR="001A6EBD" w:rsidRDefault="002C50EE" w:rsidP="00471F10">
      <w:pPr>
        <w:pStyle w:val="Heading2"/>
      </w:pPr>
      <w:r>
        <w:t>4.4. Специални предупреждения и предпазни мерки при употреба</w:t>
      </w:r>
    </w:p>
    <w:p w14:paraId="2FDE3702" w14:textId="7AF11FC4" w:rsidR="00B310D4" w:rsidRDefault="00B310D4" w:rsidP="00B310D4"/>
    <w:p w14:paraId="1783A2A7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u w:val="single"/>
          <w:lang w:eastAsia="bg-BG"/>
        </w:rPr>
        <w:lastRenderedPageBreak/>
        <w:t>Лактатна ацидоза</w:t>
      </w:r>
    </w:p>
    <w:p w14:paraId="30038C94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Лактатната ацидоза, много рядко, но сериозно метаболитно усложнение, най-често настъпва при остро влошаване на бъбречната функция, кардио-респираторно заболяване или сепсис. Натрупването на метформин настъпва при остро влошаване на бъбречната функция и увеличава риска от лактатна ацидоза.</w:t>
      </w:r>
    </w:p>
    <w:p w14:paraId="5E5B97C7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334CE2E" w14:textId="00BC998E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В случай на дехидратация (тежка диария или повръщане, треска или намален прием на течности) трябва временно да се спре приема на метформин и е препоръчително да се установи връзка с медицински специалист.</w:t>
      </w:r>
    </w:p>
    <w:p w14:paraId="2F591FA4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BD667F7" w14:textId="7ADA9A29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Приемът на лекарствени продукти, които могат остро да увредят бъбречната функция (като антихипертензивни средства, диуретици и НСПВС) трябва да се започне с повишено внимание при пациенти, лекувани с метформин. Други рискови фактори за лактатна ацидоза са прекомерен прием на алкохол, чернодробна недостатъчност, недостатъчно контролиран диабет, кетоза, продължително гладуване и всякакви състояния, свързани с хипоксия, както и едновременната употреба на лекарствени продукти, които могат да причинят лактатна ацидоза (вж. точки 4.3 и 4.5).</w:t>
      </w:r>
    </w:p>
    <w:p w14:paraId="1CDA2BE9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B5F63D9" w14:textId="091F9D1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Пациентите и/или болногледачите трябва да бъдат информирани за риска от лактатна ацидоза. Лактатната ацидоза се характеризира с ацидозна диспнея, коремна болка, мускулни крампи, астения и хипотермия, последвани от кома. В случай на съмнение за симптоми пациентът трябва да спре приема на метформин и незабавно да потърси лекарска помощ. Диагностичните лабораторни находки са понижено кръвно </w:t>
      </w:r>
      <w:r w:rsidRPr="00B310D4">
        <w:rPr>
          <w:rFonts w:eastAsia="Times New Roman" w:cs="Arial"/>
          <w:color w:val="000000"/>
          <w:lang w:val="en-US"/>
        </w:rPr>
        <w:t xml:space="preserve">pH </w:t>
      </w:r>
      <w:r w:rsidRPr="00B310D4">
        <w:rPr>
          <w:rFonts w:eastAsia="Times New Roman" w:cs="Arial"/>
          <w:color w:val="000000"/>
          <w:lang w:eastAsia="bg-BG"/>
        </w:rPr>
        <w:t xml:space="preserve">(&lt;7,35), повишени нива на плазмения лактат (&gt;5 </w:t>
      </w:r>
      <w:r w:rsidRPr="00B310D4">
        <w:rPr>
          <w:rFonts w:eastAsia="Times New Roman" w:cs="Arial"/>
          <w:color w:val="000000"/>
          <w:lang w:val="en-US"/>
        </w:rPr>
        <w:t xml:space="preserve">mmol/l) </w:t>
      </w:r>
      <w:r w:rsidRPr="00B310D4">
        <w:rPr>
          <w:rFonts w:eastAsia="Times New Roman" w:cs="Arial"/>
          <w:color w:val="000000"/>
          <w:lang w:eastAsia="bg-BG"/>
        </w:rPr>
        <w:t>и повишена анионна разлика и съотношение лактат/пируват.</w:t>
      </w:r>
    </w:p>
    <w:p w14:paraId="5EE77160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35862BB6" w14:textId="78D3581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u w:val="single"/>
          <w:lang w:eastAsia="bg-BG"/>
        </w:rPr>
        <w:t>Бъбречна функция</w:t>
      </w:r>
    </w:p>
    <w:p w14:paraId="7747C193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Преди започване на лечението трябва да се направи оценка на стойностите на </w:t>
      </w:r>
      <w:r w:rsidRPr="00B310D4">
        <w:rPr>
          <w:rFonts w:eastAsia="Times New Roman" w:cs="Arial"/>
          <w:color w:val="000000"/>
          <w:lang w:val="en-US"/>
        </w:rPr>
        <w:t xml:space="preserve">GFR </w:t>
      </w:r>
      <w:r w:rsidRPr="00B310D4">
        <w:rPr>
          <w:rFonts w:eastAsia="Times New Roman" w:cs="Arial"/>
          <w:color w:val="000000"/>
          <w:lang w:eastAsia="bg-BG"/>
        </w:rPr>
        <w:t xml:space="preserve">и редовно след това, вж. точка 4.2. Метформин е противопоказан при пациенти с </w:t>
      </w:r>
      <w:r w:rsidRPr="00B310D4">
        <w:rPr>
          <w:rFonts w:eastAsia="Times New Roman" w:cs="Arial"/>
          <w:color w:val="000000"/>
          <w:lang w:val="en-US"/>
        </w:rPr>
        <w:t xml:space="preserve">GFR </w:t>
      </w:r>
      <w:r w:rsidRPr="00B310D4">
        <w:rPr>
          <w:rFonts w:eastAsia="Times New Roman" w:cs="Arial"/>
          <w:color w:val="000000"/>
          <w:lang w:eastAsia="bg-BG"/>
        </w:rPr>
        <w:t xml:space="preserve">&lt;30 </w:t>
      </w:r>
      <w:r w:rsidRPr="00B310D4">
        <w:rPr>
          <w:rFonts w:eastAsia="Times New Roman" w:cs="Arial"/>
          <w:color w:val="000000"/>
          <w:lang w:val="en-US"/>
        </w:rPr>
        <w:t xml:space="preserve">ml/min </w:t>
      </w:r>
      <w:r w:rsidRPr="00B310D4">
        <w:rPr>
          <w:rFonts w:eastAsia="Times New Roman" w:cs="Arial"/>
          <w:color w:val="000000"/>
          <w:lang w:eastAsia="bg-BG"/>
        </w:rPr>
        <w:t>и трябва да бъде временно спрян при наличие на състояния, които променят бъбречната функция, вж. точка 4.3).</w:t>
      </w:r>
    </w:p>
    <w:p w14:paraId="31F12DF2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16DA2A27" w14:textId="6FF55600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u w:val="single"/>
          <w:lang w:eastAsia="bg-BG"/>
        </w:rPr>
        <w:t>Сърдечна функция</w:t>
      </w:r>
    </w:p>
    <w:p w14:paraId="4A8FD67C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Пациенти със сърдечна недостатъчност са изложени на по-голям риск от хипоксия и бъбречна недостатъчност. При пациенти със стабилна хронична сърдечна недостатъчност, метформин може да се използва при редовно наблюдение на сърдечната и бъбречната функции.</w:t>
      </w:r>
    </w:p>
    <w:p w14:paraId="1F11147D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B24355B" w14:textId="0E34EA66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При пациенти с остра и нестабилна сърдечна недостатъчност, лечението с метформин е противопоказано (виж т.4.3).</w:t>
      </w:r>
    </w:p>
    <w:p w14:paraId="1A4CC52C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071FA387" w14:textId="0C7C5EC8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u w:val="single"/>
          <w:lang w:eastAsia="bg-BG"/>
        </w:rPr>
        <w:t>Приложение на йодирани контрастни средства</w:t>
      </w:r>
    </w:p>
    <w:p w14:paraId="63D11FBF" w14:textId="6D4BB32F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Вътресъдовото приложение на йодирани контрастни вещества може да доведе до контраст индуцирана нефропатия, водеща до натрупването на метформин и повишен риск от лактатна ацидоза.</w:t>
      </w:r>
    </w:p>
    <w:p w14:paraId="0C25FF9F" w14:textId="28CC3FD2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46480D2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 трябва да се спре преди или по време на процедурата за образна диагностика и не трябва да се възобновява до най-малко 48 часа след това, при условие че бъбречната функция е оценена отново и е установено, че е стабилна, вж. точки 4.2 и 4.5.</w:t>
      </w:r>
    </w:p>
    <w:p w14:paraId="78031F80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1EAEAC84" w14:textId="4475D898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u w:val="single"/>
          <w:lang w:eastAsia="bg-BG"/>
        </w:rPr>
        <w:lastRenderedPageBreak/>
        <w:t>Операция</w:t>
      </w:r>
    </w:p>
    <w:p w14:paraId="2E1D0E95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 трябва да се спре по време на операция под обща, спинална или епидурална анестезия.</w:t>
      </w:r>
    </w:p>
    <w:p w14:paraId="2BC540AC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Лечението може да бъде възобновено не по-рано от 48 часа след операцията или възобновяването на храненето през уста, и при условие че бъбречната функция е оценена отново и е установено, че е стабилна.</w:t>
      </w:r>
    </w:p>
    <w:p w14:paraId="08FBF1BF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94ED875" w14:textId="2A72964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70D2CF67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Диагнозата на диабет тип 2 трябва да бъде потвърдена преди започване на лечението с метформинов хидрохлорид.</w:t>
      </w:r>
    </w:p>
    <w:p w14:paraId="626B8685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Не е установено влияние на метформинов хидрохлорид върху растежа и пубертетното развитие, по време на проведените контролирани клинични проучвания в продължение на една година, но няма налични дългосрочни данни в тази специфична област. Затова се препоръчва внимателно проследяване на влиянието на метформинов хидрохлорид върху тези параметри при деца, лекувани с метформинов хидрохлорид, особено при деца в предпубертетна възраст.</w:t>
      </w:r>
    </w:p>
    <w:p w14:paraId="629BDF3F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2148FEE" w14:textId="2ADC5B00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Деца на възраст между 10 и 12 години</w:t>
      </w:r>
    </w:p>
    <w:p w14:paraId="79E281B6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Само 15 пациента на възраст между 10 и 12 години са били включени в контролирани клинични проучвания, провеждани с деца и юноши. Въпреки, че ефективността и безопасността на метформинов хидрохлорид при тези деца не се различава от ефективността и безопасността при по- големи деца и юноши, препоръчително е предписването на лечение на деца между 10-и 12- годишна възраст да става с особено внимание.</w:t>
      </w:r>
    </w:p>
    <w:p w14:paraId="255926AE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19724AC" w14:textId="10D06256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Други предупреждения</w:t>
      </w:r>
    </w:p>
    <w:p w14:paraId="1E669036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Всички пациенти трябва да продължат диетата си с редовно разпределение на приема на въглехидрати през деня. Пациентите с наднормено тегло трябва да продължат нискокалоричната си диета.</w:t>
      </w:r>
    </w:p>
    <w:p w14:paraId="5FB72429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Обичайните лабораторни тестове за мониториране на диабета трябва да се извършват редовно.</w:t>
      </w:r>
    </w:p>
    <w:p w14:paraId="0FF3153F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Метформинов хидрохлорид, приеман самостоятелно, не е причина за хипогликемия, но се изисква внимание при приема му в комбинация с инсулин или други перорални антидиабетни продукти (напр. сулфанилурейни лекарствени продукти или меглитиниди).</w:t>
      </w:r>
    </w:p>
    <w:p w14:paraId="3EB91296" w14:textId="77777777" w:rsidR="00B310D4" w:rsidRPr="00B310D4" w:rsidRDefault="00B310D4" w:rsidP="00B310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5C8C74" w14:textId="77777777" w:rsidR="00B310D4" w:rsidRPr="00B310D4" w:rsidRDefault="00B310D4" w:rsidP="00B310D4"/>
    <w:p w14:paraId="524AC966" w14:textId="0481A152" w:rsidR="001A6EBD" w:rsidRDefault="002C50EE" w:rsidP="00471F10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</w:p>
    <w:p w14:paraId="7C1685BA" w14:textId="07152098" w:rsidR="00B310D4" w:rsidRDefault="00B310D4" w:rsidP="00B310D4"/>
    <w:p w14:paraId="708C0A24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Не се препоръчва съпътстваща употреба</w:t>
      </w:r>
    </w:p>
    <w:p w14:paraId="726CF478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76DEAA8" w14:textId="4ED592C8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Алкохол</w:t>
      </w:r>
    </w:p>
    <w:p w14:paraId="5ED0184E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Алкохолната интоксикация се свързва с повишен риск от лактатна ацидоза, особено в случаи на гладуване, недохранване или чернодробна недостатъчност.</w:t>
      </w:r>
    </w:p>
    <w:p w14:paraId="61DCCCC0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0414A0A" w14:textId="58EB9C6C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Йодирани контрастни вещества</w:t>
      </w:r>
    </w:p>
    <w:p w14:paraId="13C25C71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Интравенозното приложение на йод-съдържащи контрастни средства може да доведе до бъбречна недостатъчност, до акумулиране на метформинов хидрохлорид и повишен риск от лактатна ацидоза.</w:t>
      </w:r>
    </w:p>
    <w:p w14:paraId="226129CD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lastRenderedPageBreak/>
        <w:t>Метформин трябва задължително да се спре преди или по време на процедурата за образна диагностика и не трябва да се възобновява до най-малко 48 часа след това, при условие че бъбречната функция е оценена отново и е установено, че е стабилна, вж. точки 4.2 и 4.4.</w:t>
      </w:r>
    </w:p>
    <w:p w14:paraId="34E5753E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48D73A5" w14:textId="6EA7C2B4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Комбинации, изискващи предпазни мерки при употреба.</w:t>
      </w:r>
    </w:p>
    <w:p w14:paraId="419A3012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Някои лекарствени продукти могат да се отразят неблагоприятно на бъбречната фунцкия, което може да увеличи риска от лактатна ацидоза, например НСПВС, включително селективни инхибитори на циклооксигеназа </w:t>
      </w:r>
      <w:r w:rsidRPr="00B310D4">
        <w:rPr>
          <w:rFonts w:eastAsia="Times New Roman" w:cs="Arial"/>
          <w:color w:val="000000"/>
          <w:lang w:val="en-US"/>
        </w:rPr>
        <w:t xml:space="preserve">(COX) </w:t>
      </w:r>
      <w:r w:rsidRPr="00B310D4">
        <w:rPr>
          <w:rFonts w:eastAsia="Times New Roman" w:cs="Arial"/>
          <w:color w:val="000000"/>
          <w:lang w:eastAsia="bg-BG"/>
        </w:rPr>
        <w:t>II, АСЕ инхибитори, ангиотензин II рецепторни антагонисти и диуретици, особено бримкови диуретици. При започването или употребата на такива продукти в комбинация с</w:t>
      </w:r>
    </w:p>
    <w:p w14:paraId="5090099C" w14:textId="61CF9D1E" w:rsidR="00B310D4" w:rsidRPr="00B310D4" w:rsidRDefault="00B310D4" w:rsidP="00B310D4">
      <w:pPr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 е необходимо внимателно проследяване на бъбречната функция.</w:t>
      </w:r>
    </w:p>
    <w:p w14:paraId="74CB80AE" w14:textId="3E148BEC" w:rsidR="00B310D4" w:rsidRPr="00B310D4" w:rsidRDefault="00B310D4" w:rsidP="00B310D4">
      <w:pPr>
        <w:rPr>
          <w:rFonts w:eastAsia="Times New Roman" w:cs="Arial"/>
          <w:color w:val="000000"/>
          <w:lang w:eastAsia="bg-BG"/>
        </w:rPr>
      </w:pPr>
    </w:p>
    <w:p w14:paraId="426AC430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Лекарствени продукти с вътрешна хипергликемична активност (напр.глюкокортикоиди (системно и локално приложение) и симпатикомиметици)</w:t>
      </w:r>
    </w:p>
    <w:p w14:paraId="14F54AAB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Може да е необходимо по-често проследяване нивото на кръвната захар, особено в началото на лечението. При нужда, дозата на метформин трябва да се адаптира по време на лечението със съответния лекарствен продукт, както и след неговото спиране.</w:t>
      </w:r>
    </w:p>
    <w:p w14:paraId="3A9AFB05" w14:textId="77777777" w:rsidR="00B310D4" w:rsidRPr="00B310D4" w:rsidRDefault="00B310D4" w:rsidP="00B310D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13E44CF" w14:textId="74C1670B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 xml:space="preserve">Транспортери на органични катиони </w:t>
      </w:r>
      <w:r w:rsidRPr="00B310D4">
        <w:rPr>
          <w:rFonts w:eastAsia="Times New Roman" w:cs="Arial"/>
          <w:i/>
          <w:iCs/>
          <w:color w:val="000000"/>
          <w:lang w:val="en-US"/>
        </w:rPr>
        <w:t>(OCT)</w:t>
      </w:r>
    </w:p>
    <w:p w14:paraId="6CE28600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 е субстрат на транспортерите ОСТ1 и ОСТ2</w:t>
      </w:r>
    </w:p>
    <w:p w14:paraId="27ED2527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93B8ECF" w14:textId="669CC98D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Едновременно приложение на метформин с:</w:t>
      </w:r>
    </w:p>
    <w:p w14:paraId="72CD3397" w14:textId="77777777" w:rsidR="00B310D4" w:rsidRPr="00B310D4" w:rsidRDefault="00B310D4" w:rsidP="00B310D4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инхибитори на ОСТ1 (като верапамил) може да намали ефикасността на метформин</w:t>
      </w:r>
    </w:p>
    <w:p w14:paraId="49FFBFFE" w14:textId="77777777" w:rsidR="00B310D4" w:rsidRPr="00B310D4" w:rsidRDefault="00B310D4" w:rsidP="00B310D4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индуктори на ОСТ1 (като рифампицин) може да повиши гастроинтестиналната абсорбция и ефективността на метформин</w:t>
      </w:r>
    </w:p>
    <w:p w14:paraId="37055D09" w14:textId="77777777" w:rsidR="00B310D4" w:rsidRPr="00B310D4" w:rsidRDefault="00B310D4" w:rsidP="00B310D4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инхибитори на ОСТ2 (като циметидин, долутегравир, ранолазин, триметоприм, вандетаниб, исавоконазол) може да намали бъбречното елиминиране на метформин и да повиши плазмената му концентрация</w:t>
      </w:r>
    </w:p>
    <w:p w14:paraId="5463F38A" w14:textId="698BE60D" w:rsidR="00B310D4" w:rsidRPr="00B310D4" w:rsidRDefault="00B310D4" w:rsidP="00B310D4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инхибитори на ОСТ1 и ОСТ2 (като кризотиниб, олапариб) може да повлияе ефикасността и елиминирането на метформин</w:t>
      </w:r>
    </w:p>
    <w:p w14:paraId="3548A830" w14:textId="27D7A217" w:rsidR="00B310D4" w:rsidRDefault="00B310D4" w:rsidP="00B310D4">
      <w:pPr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Едновременното приложение на тези лекарствени продукти с метформин трябва да става с повишено внимание, особено при пациенти с бъбречно увреждане, тъй като плазмената концентрация на метформин може да бъде повишена. При нужда, дозата на метформин трябва да се адаптира по време на лечението, тъй като </w:t>
      </w:r>
      <w:r w:rsidRPr="00B310D4">
        <w:rPr>
          <w:rFonts w:eastAsia="Times New Roman" w:cs="Arial"/>
          <w:color w:val="000000"/>
          <w:lang w:val="en-US"/>
        </w:rPr>
        <w:t xml:space="preserve">OCT </w:t>
      </w:r>
      <w:r w:rsidRPr="00B310D4">
        <w:rPr>
          <w:rFonts w:eastAsia="Times New Roman" w:cs="Arial"/>
          <w:color w:val="000000"/>
          <w:lang w:eastAsia="bg-BG"/>
        </w:rPr>
        <w:t>инхибиторите/индукторите могат да променят действието му.</w:t>
      </w:r>
    </w:p>
    <w:p w14:paraId="16721C9B" w14:textId="77777777" w:rsidR="00B310D4" w:rsidRPr="00B310D4" w:rsidRDefault="00B310D4" w:rsidP="00B310D4">
      <w:pPr>
        <w:rPr>
          <w:rFonts w:cs="Arial"/>
          <w:sz w:val="24"/>
          <w:szCs w:val="24"/>
        </w:rPr>
      </w:pPr>
    </w:p>
    <w:p w14:paraId="4762A32B" w14:textId="044E78AF" w:rsidR="001A6EBD" w:rsidRDefault="002C50EE" w:rsidP="00471F10">
      <w:pPr>
        <w:pStyle w:val="Heading2"/>
      </w:pPr>
      <w:r>
        <w:t>4.6. Фертилитет, бременност и кърмене</w:t>
      </w:r>
    </w:p>
    <w:p w14:paraId="51787B29" w14:textId="1619A678" w:rsidR="00B310D4" w:rsidRDefault="00B310D4" w:rsidP="00B310D4"/>
    <w:p w14:paraId="5BA55294" w14:textId="77777777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Бременност</w:t>
      </w:r>
    </w:p>
    <w:p w14:paraId="705DDD4A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По време на бременност неконтролираният диабет (гестационен или постоянен) се свързва с повишен риск от вродени аномалии или перинатална смъртност.</w:t>
      </w:r>
    </w:p>
    <w:p w14:paraId="5BFF64CE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Има ограничени данни за употребата на метформин при бременни жени и те не са свързани с повишен риск от вродени аномалии. Проучванията с опитни животни не показват наличие на увреждащи ефекти, свързани с бременността, ембрионалното или феталното развитие, както и свързани с раждането или постнатално развитие (виж точка 5.3).</w:t>
      </w:r>
    </w:p>
    <w:p w14:paraId="6FCB15AA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lastRenderedPageBreak/>
        <w:t>В случай, че жената планира да забременее, както и по време на бременността, диабетът не трябва да бъде лекуван с метформинов хидрохлорид. Вместо това трябва да бъде назначен инсулин за поддържане на нивото на кръвната захар възможно най-близко до нормални граници, за да се намали риска от малформации на плода, свързани с патологични нива на кръвната захар.</w:t>
      </w:r>
    </w:p>
    <w:p w14:paraId="58DCDF16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D0B0B00" w14:textId="7B0A654B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Кърмене</w:t>
      </w:r>
    </w:p>
    <w:p w14:paraId="0BB1DCBD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 се скскрегира в кърмата. Не са наблюдавани нежелани лекарствени реакции при новородени кърмачега/малки деца. Все пак, порад и ограничените налични д анни, кърменето не се препоръчва по време на лечение с метформин.</w:t>
      </w:r>
    </w:p>
    <w:p w14:paraId="0FC6A053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16DFB0D" w14:textId="2C673E1D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Фертилитет</w:t>
      </w:r>
    </w:p>
    <w:p w14:paraId="33450AFF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Оплодителната способност на мъжки и женски плъхове не се променя от приложението на 600 </w:t>
      </w:r>
      <w:r w:rsidRPr="00B310D4">
        <w:rPr>
          <w:rFonts w:eastAsia="Times New Roman" w:cs="Arial"/>
          <w:color w:val="000000"/>
          <w:lang w:val="en-US"/>
        </w:rPr>
        <w:t xml:space="preserve">mg/kg </w:t>
      </w:r>
      <w:r w:rsidRPr="00B310D4">
        <w:rPr>
          <w:rFonts w:eastAsia="Times New Roman" w:cs="Arial"/>
          <w:color w:val="000000"/>
          <w:lang w:eastAsia="bg-BG"/>
        </w:rPr>
        <w:t>дневно метформин, което е почти три пъти повече от максималната препоръчана дневна дови при хора на база сравнение на телесна повърхност.</w:t>
      </w:r>
    </w:p>
    <w:p w14:paraId="71140383" w14:textId="77777777" w:rsidR="00B310D4" w:rsidRPr="00B310D4" w:rsidRDefault="00B310D4" w:rsidP="00B310D4"/>
    <w:p w14:paraId="188B33B4" w14:textId="610B4F9C" w:rsidR="001A6EBD" w:rsidRDefault="002C50EE" w:rsidP="00471F10">
      <w:pPr>
        <w:pStyle w:val="Heading2"/>
      </w:pPr>
      <w:r>
        <w:t>4.7. Ефекти върху способността за шофиране и работа с машини</w:t>
      </w:r>
    </w:p>
    <w:p w14:paraId="09FA0D49" w14:textId="58DC556D" w:rsidR="00B310D4" w:rsidRDefault="00B310D4" w:rsidP="00B310D4"/>
    <w:p w14:paraId="104FF82B" w14:textId="77777777" w:rsidR="00B310D4" w:rsidRPr="00B310D4" w:rsidRDefault="00B310D4" w:rsidP="00B310D4">
      <w:pPr>
        <w:rPr>
          <w:sz w:val="24"/>
          <w:szCs w:val="24"/>
          <w:lang w:eastAsia="bg-BG"/>
        </w:rPr>
      </w:pPr>
      <w:r w:rsidRPr="00B310D4">
        <w:rPr>
          <w:lang w:eastAsia="bg-BG"/>
        </w:rPr>
        <w:t>Монотерапия с метформинов хидрохлорид не причинява хипогликемия и поради таза причина не повлиява или повлиява пренебрежимо способността за шофиране и работа с машини.</w:t>
      </w:r>
    </w:p>
    <w:p w14:paraId="17C62160" w14:textId="062B74C8" w:rsidR="00B310D4" w:rsidRDefault="00B310D4" w:rsidP="00B310D4">
      <w:pPr>
        <w:rPr>
          <w:lang w:eastAsia="bg-BG"/>
        </w:rPr>
      </w:pPr>
      <w:r w:rsidRPr="00B310D4">
        <w:rPr>
          <w:lang w:eastAsia="bg-BG"/>
        </w:rPr>
        <w:t>Въпреки това, пациентите трябва да са предупредени за риска от появата на хипогликемия при комбиниран прием с други антидиабетни лекарствени продукти (сулфанилурейни, инсулин репаглинид).</w:t>
      </w:r>
    </w:p>
    <w:p w14:paraId="4C2BBE43" w14:textId="77777777" w:rsidR="00B310D4" w:rsidRPr="00B310D4" w:rsidRDefault="00B310D4" w:rsidP="00B310D4"/>
    <w:p w14:paraId="44CE30A3" w14:textId="754B3B18" w:rsidR="007122AD" w:rsidRDefault="002C50EE" w:rsidP="00936AD0">
      <w:pPr>
        <w:pStyle w:val="Heading2"/>
      </w:pPr>
      <w:r>
        <w:t>4.8. Нежелани лекарствени реакции</w:t>
      </w:r>
    </w:p>
    <w:p w14:paraId="6226FC61" w14:textId="0CAD0E67" w:rsidR="00B310D4" w:rsidRDefault="00B310D4" w:rsidP="00B310D4"/>
    <w:p w14:paraId="017C6E51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В началото на лечението най - честите нежелани лекарствени реакции са гадене, повръщане, диария, стомашна болка и загуба на апетит, които в повечето случаи отминават спонтанно. За предотвратяването им се препоръчва метформин да се приема на две или три дневни дози, с постепенно увеличаване на дозите.</w:t>
      </w:r>
    </w:p>
    <w:p w14:paraId="4EFE8E27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DA0C2A4" w14:textId="71B1D9D4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Нежеланите лекарствени реакции са представени по честота и по система орган-клас.</w:t>
      </w:r>
    </w:p>
    <w:p w14:paraId="3B57BD4F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Честотата по </w:t>
      </w:r>
      <w:r w:rsidRPr="00B310D4">
        <w:rPr>
          <w:rFonts w:eastAsia="Times New Roman" w:cs="Arial"/>
          <w:color w:val="000000"/>
          <w:lang w:val="en-US"/>
        </w:rPr>
        <w:t xml:space="preserve">MedDRA </w:t>
      </w:r>
      <w:r w:rsidRPr="00B310D4">
        <w:rPr>
          <w:rFonts w:eastAsia="Times New Roman" w:cs="Arial"/>
          <w:color w:val="000000"/>
          <w:lang w:eastAsia="bg-BG"/>
        </w:rPr>
        <w:t>отговаря на: много чести (≥ 1/10), чести (≥ 1/100 и &lt;1/10), нечести (≥ 1/1 000 и &lt;1/100), редки (≥1/10 000 и &lt;1/1 000) и много редки (&lt;1/10 000), с неизвестна честота (от наличните данни не може да бъде направена оценка).</w:t>
      </w:r>
    </w:p>
    <w:p w14:paraId="300659BA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При всяко групиране в зависимост от честотата, нежеланите лекарствени реакции се изброяват в низходящ ред по отношение на тяхната сериозност.</w:t>
      </w:r>
    </w:p>
    <w:p w14:paraId="0CADEC6B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EAD0471" w14:textId="4F5861D4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Следните нежелани лекарствени реакции могат да се появят при лечение с метформинов хидрохлорид:</w:t>
      </w:r>
    </w:p>
    <w:p w14:paraId="211C2230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E905504" w14:textId="16A05CFD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Нарушения на метаболизма и храненето</w:t>
      </w:r>
    </w:p>
    <w:p w14:paraId="121A5EEF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Много редки:</w:t>
      </w:r>
      <w:r w:rsidRPr="00B310D4">
        <w:rPr>
          <w:rFonts w:eastAsia="Times New Roman" w:cs="Arial"/>
          <w:color w:val="000000"/>
          <w:lang w:eastAsia="bg-BG"/>
        </w:rPr>
        <w:t xml:space="preserve"> Лактатна ацидоза (вж. точка 4.4).</w:t>
      </w:r>
    </w:p>
    <w:p w14:paraId="27D544A9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Намаляване на абсорбцията на витамин В12, заедно с намаляване на серумните нива по време на дългосрочно лечение с метформинов хидрохлорид. Подобна етиология трябва да се вземе предвид в случай, </w:t>
      </w:r>
    </w:p>
    <w:p w14:paraId="18B8C08E" w14:textId="075375A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че пациентът има металобластна анемия.</w:t>
      </w:r>
    </w:p>
    <w:p w14:paraId="1773D60B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2BFD73D" w14:textId="3BB7DBB0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lastRenderedPageBreak/>
        <w:t>Нарушения на нервната система</w:t>
      </w:r>
    </w:p>
    <w:p w14:paraId="14B0F5DC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Чести:</w:t>
      </w:r>
      <w:r w:rsidRPr="00B310D4">
        <w:rPr>
          <w:rFonts w:eastAsia="Times New Roman" w:cs="Arial"/>
          <w:color w:val="000000"/>
          <w:lang w:eastAsia="bg-BG"/>
        </w:rPr>
        <w:t xml:space="preserve"> нарушения на вкуса</w:t>
      </w:r>
    </w:p>
    <w:p w14:paraId="292052C5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3D4C353" w14:textId="51E71513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Стомашно-чревни нарушения</w:t>
      </w:r>
    </w:p>
    <w:p w14:paraId="74564627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Много чести:</w:t>
      </w:r>
      <w:r w:rsidRPr="00B310D4">
        <w:rPr>
          <w:rFonts w:eastAsia="Times New Roman" w:cs="Arial"/>
          <w:color w:val="000000"/>
          <w:lang w:eastAsia="bg-BG"/>
        </w:rPr>
        <w:t xml:space="preserve"> гадене, повръщане, диария, абдоминал на болка и загуба на апетит. Тези нежелани реакции се появяват най-често в началото на лечението и отминават спонтанно в повечето случаи. За да бъдат избегнати се препоръчва приема на метформин да бъде разделен на 2 или 3 дози дневно, по време или след хранене. Постепенното повишаване на дозата може също да подобри стомашно- чревната поносимост.</w:t>
      </w:r>
    </w:p>
    <w:p w14:paraId="1538327A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CCE41CD" w14:textId="58141360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Хепатобилиарни нарушения</w:t>
      </w:r>
    </w:p>
    <w:p w14:paraId="7FBF2438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Много редки:</w:t>
      </w:r>
      <w:r w:rsidRPr="00B310D4">
        <w:rPr>
          <w:rFonts w:eastAsia="Times New Roman" w:cs="Arial"/>
          <w:color w:val="000000"/>
          <w:lang w:eastAsia="bg-BG"/>
        </w:rPr>
        <w:t xml:space="preserve"> Изолирани случаи на повишени показатели при чернодробни изследвания или хепатит, които изчезват след прекратяване на приема на метформин.</w:t>
      </w:r>
    </w:p>
    <w:p w14:paraId="05FF2F06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2DD74DF" w14:textId="27F53BAD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</w:t>
      </w:r>
    </w:p>
    <w:p w14:paraId="64D98B04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i/>
          <w:iCs/>
          <w:color w:val="000000"/>
          <w:lang w:eastAsia="bg-BG"/>
        </w:rPr>
        <w:t>Много редки:</w:t>
      </w:r>
      <w:r w:rsidRPr="00B310D4">
        <w:rPr>
          <w:rFonts w:eastAsia="Times New Roman" w:cs="Arial"/>
          <w:color w:val="000000"/>
          <w:lang w:eastAsia="bg-BG"/>
        </w:rPr>
        <w:t xml:space="preserve"> еритема, пруритус и уртикария.</w:t>
      </w:r>
    </w:p>
    <w:p w14:paraId="1DADD3CB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8B709E6" w14:textId="29BB9E1F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7103702D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В публикации и постмаркетингови данни, както и в контролирани клинични проучвания при ограничена педиатрична популация на възраст 10-16 години, децата, лекувани в продължение на 1 година, са проявили нежелани лекарствени реакции, сходни по естество и сериозност с тези, наблюдавани при възрастни.</w:t>
      </w:r>
    </w:p>
    <w:p w14:paraId="745E138B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BF37452" w14:textId="30A2E5FE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35C23EF0" w14:textId="77777777" w:rsidR="00B310D4" w:rsidRPr="00B310D4" w:rsidRDefault="00B310D4" w:rsidP="00B310D4">
      <w:pPr>
        <w:spacing w:line="240" w:lineRule="auto"/>
        <w:rPr>
          <w:rFonts w:eastAsia="Times New Roman" w:cs="Arial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 Дамян Груев № 8, 1303 София, тел: +359 28903417, уебсайт: </w:t>
      </w:r>
      <w:r w:rsidRPr="00B310D4">
        <w:rPr>
          <w:rFonts w:eastAsia="Times New Roman" w:cs="Arial"/>
          <w:lang w:eastAsia="bg-BG"/>
        </w:rPr>
        <w:fldChar w:fldCharType="begin"/>
      </w:r>
      <w:r w:rsidRPr="00B310D4">
        <w:rPr>
          <w:rFonts w:eastAsia="Times New Roman" w:cs="Arial"/>
          <w:lang w:eastAsia="bg-BG"/>
        </w:rPr>
        <w:instrText xml:space="preserve"> HYPERLINK "http://www.bda.bg" </w:instrText>
      </w:r>
      <w:r w:rsidRPr="00B310D4">
        <w:rPr>
          <w:rFonts w:eastAsia="Times New Roman" w:cs="Arial"/>
          <w:lang w:eastAsia="bg-BG"/>
        </w:rPr>
      </w:r>
      <w:r w:rsidRPr="00B310D4">
        <w:rPr>
          <w:rFonts w:eastAsia="Times New Roman" w:cs="Arial"/>
          <w:lang w:eastAsia="bg-BG"/>
        </w:rPr>
        <w:fldChar w:fldCharType="separate"/>
      </w:r>
      <w:r w:rsidRPr="00B310D4">
        <w:rPr>
          <w:rFonts w:eastAsia="Times New Roman" w:cs="Arial"/>
          <w:color w:val="000000"/>
          <w:u w:val="single"/>
          <w:lang w:val="en-US"/>
        </w:rPr>
        <w:t>www.bda.bg</w:t>
      </w:r>
      <w:r w:rsidRPr="00B310D4">
        <w:rPr>
          <w:rFonts w:eastAsia="Times New Roman" w:cs="Arial"/>
          <w:lang w:eastAsia="bg-BG"/>
        </w:rPr>
        <w:fldChar w:fldCharType="end"/>
      </w:r>
      <w:r w:rsidRPr="00B310D4">
        <w:rPr>
          <w:rFonts w:eastAsia="Times New Roman" w:cs="Arial"/>
          <w:color w:val="000000"/>
          <w:lang w:val="en-US"/>
        </w:rPr>
        <w:t>.</w:t>
      </w:r>
    </w:p>
    <w:p w14:paraId="660E2DE1" w14:textId="77777777" w:rsidR="00B310D4" w:rsidRPr="00B310D4" w:rsidRDefault="00B310D4" w:rsidP="00B310D4"/>
    <w:p w14:paraId="5A87DBA3" w14:textId="53EDBBE7" w:rsidR="007122AD" w:rsidRDefault="002C50EE" w:rsidP="00936AD0">
      <w:pPr>
        <w:pStyle w:val="Heading2"/>
      </w:pPr>
      <w:r>
        <w:t>4.9. Предозиране</w:t>
      </w:r>
    </w:p>
    <w:p w14:paraId="624E62DC" w14:textId="743378DF" w:rsidR="00B310D4" w:rsidRDefault="00B310D4" w:rsidP="00B310D4"/>
    <w:p w14:paraId="75B0F2E0" w14:textId="3E445461" w:rsidR="00B310D4" w:rsidRPr="00B310D4" w:rsidRDefault="00B310D4" w:rsidP="00B310D4">
      <w:pPr>
        <w:rPr>
          <w:rFonts w:eastAsia="Times New Roman" w:cs="Arial"/>
          <w:sz w:val="24"/>
          <w:szCs w:val="24"/>
          <w:lang w:eastAsia="bg-BG"/>
        </w:rPr>
      </w:pPr>
      <w:r w:rsidRPr="00B310D4">
        <w:rPr>
          <w:rFonts w:cs="Arial"/>
        </w:rPr>
        <w:t>Хипогликемия не се наблюдава дори при дози метформинов хидрохлорид, достигащи 35</w:t>
      </w:r>
      <w:r w:rsidRPr="00B310D4">
        <w:rPr>
          <w:rFonts w:cs="Arial"/>
          <w:lang w:val="en-US"/>
        </w:rPr>
        <w:t xml:space="preserve">g </w:t>
      </w:r>
      <w:r w:rsidRPr="00B310D4">
        <w:rPr>
          <w:rFonts w:cs="Arial"/>
        </w:rPr>
        <w:t>въпреки, че при такива обстоятелства се появява лактатна ацидоза. Значително предозиране на метфориминов хидрохлорид или съпътстващи рискове могат да доведат до лактатна ацидоза. Лактатната ацидоза е</w:t>
      </w:r>
      <w:r w:rsidRPr="00B310D4">
        <w:rPr>
          <w:rFonts w:cs="Arial"/>
          <w:lang w:val="en-US"/>
        </w:rPr>
        <w:t xml:space="preserve"> </w:t>
      </w:r>
      <w:r w:rsidRPr="00B310D4">
        <w:rPr>
          <w:rFonts w:eastAsia="Times New Roman" w:cs="Arial"/>
          <w:color w:val="000000"/>
          <w:lang w:eastAsia="bg-BG"/>
        </w:rPr>
        <w:t>спешно състояние, което трябва да бъде лекувано в болнично заведение. Най-ефективният метод за отстраняване на лактата и метформинов хидрохлорид е хемодиализата.</w:t>
      </w:r>
    </w:p>
    <w:p w14:paraId="02081B24" w14:textId="36FE76F4" w:rsidR="00395555" w:rsidRPr="00395555" w:rsidRDefault="002C50EE" w:rsidP="008A6AF2">
      <w:pPr>
        <w:pStyle w:val="Heading1"/>
      </w:pPr>
      <w:r>
        <w:t>5. ФАРМАКОЛОГИЧНИ СВОЙСТВА</w:t>
      </w:r>
    </w:p>
    <w:p w14:paraId="68A24A1A" w14:textId="58DDB555" w:rsidR="001A6EBD" w:rsidRDefault="002C50EE" w:rsidP="00471F10">
      <w:pPr>
        <w:pStyle w:val="Heading2"/>
      </w:pPr>
      <w:r>
        <w:t>5.1. Фармакодинамични свойства</w:t>
      </w:r>
    </w:p>
    <w:p w14:paraId="4C8271B8" w14:textId="435172A4" w:rsidR="00B310D4" w:rsidRDefault="00B310D4" w:rsidP="00B310D4"/>
    <w:p w14:paraId="23F4036C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Фармакотерапевтична група: Лекарствени продукти, намаляващи глюкозата в кръвта, бигваниди.</w:t>
      </w:r>
    </w:p>
    <w:p w14:paraId="6334046C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АТСкод: А10ВА02</w:t>
      </w:r>
    </w:p>
    <w:p w14:paraId="7CC71C81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D9A9A4B" w14:textId="307111DD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0F1E2124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lastRenderedPageBreak/>
        <w:t>Метформинов хидрохлорид е бигванид с антихипергликемични ефекти, който намалява базалната, както и постпрандиалната плазмена глюкоза. Лекарственият продукт не стимулира секрецията на инсулин, затова не предизвиква хипогликемия.</w:t>
      </w:r>
    </w:p>
    <w:p w14:paraId="1DD7C1A6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1EA1927" w14:textId="7D9D7D2A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Метформинов хидрохлорид може да действа чрез 3 механизма:</w:t>
      </w:r>
    </w:p>
    <w:p w14:paraId="6AC4ECEA" w14:textId="77777777" w:rsidR="00B310D4" w:rsidRPr="00B310D4" w:rsidRDefault="00B310D4" w:rsidP="00B310D4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Намалява чернодробната глюкозна продукция чрез инхибиране на глюконеогенезата и гликогенолизата;</w:t>
      </w:r>
    </w:p>
    <w:p w14:paraId="00342888" w14:textId="77777777" w:rsidR="00B310D4" w:rsidRPr="00B310D4" w:rsidRDefault="00B310D4" w:rsidP="00B310D4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В мускулите, чрез увеличаване на инсулиновата чувствителност, като подобрява периферното усвояване и прием на глюкоза;</w:t>
      </w:r>
    </w:p>
    <w:p w14:paraId="1AEFA11C" w14:textId="0DEAB526" w:rsidR="00B310D4" w:rsidRPr="00B310D4" w:rsidRDefault="00B310D4" w:rsidP="00B310D4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Забавяне на абсорбцията на глюкоза в червата.</w:t>
      </w:r>
    </w:p>
    <w:p w14:paraId="63022C20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6046B56" w14:textId="6C03A5F2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Метформинов хидрохлорид стимулира вътреклетъчния синтез на гликоген чрез въздействие върху гликоген-синтетазата.</w:t>
      </w:r>
    </w:p>
    <w:p w14:paraId="2296BCFA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Метформинов хидрохлорид увеличава транспортния капацитет на всички видове мембранни глюкозни преносители </w:t>
      </w:r>
      <w:r w:rsidRPr="00B310D4">
        <w:rPr>
          <w:rFonts w:eastAsia="Times New Roman" w:cs="Arial"/>
          <w:color w:val="000000"/>
          <w:lang w:val="en-US"/>
        </w:rPr>
        <w:t xml:space="preserve">(GLUT), </w:t>
      </w:r>
      <w:r w:rsidRPr="00B310D4">
        <w:rPr>
          <w:rFonts w:eastAsia="Times New Roman" w:cs="Arial"/>
          <w:color w:val="000000"/>
          <w:lang w:eastAsia="bg-BG"/>
        </w:rPr>
        <w:t>известни към момента.</w:t>
      </w:r>
    </w:p>
    <w:p w14:paraId="3C528B97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BDC8AAE" w14:textId="6563AF8C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Фармакодинамични ефекти</w:t>
      </w:r>
    </w:p>
    <w:p w14:paraId="26C0F01B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В клинични проучвания, употребата на метформин се свързва със стабилизиране на теглото или с умерена загуба на тегло.</w:t>
      </w:r>
    </w:p>
    <w:p w14:paraId="52C80CCE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При хора, независимо от действието му върху гликемията, метформин хидрохлорид има благоприятен ефект върху липидния метаболизъм. Това е показано в терапевтични дози в контролирани, средносрочни или дългосрочни клинични проучвания: метформинов хидрохлорид намалява общия холестерол, </w:t>
      </w:r>
      <w:r w:rsidRPr="00B310D4">
        <w:rPr>
          <w:rFonts w:eastAsia="Times New Roman" w:cs="Arial"/>
          <w:color w:val="000000"/>
          <w:lang w:val="en-US"/>
        </w:rPr>
        <w:t xml:space="preserve">LDL </w:t>
      </w:r>
      <w:r w:rsidRPr="00B310D4">
        <w:rPr>
          <w:rFonts w:eastAsia="Times New Roman" w:cs="Arial"/>
          <w:color w:val="000000"/>
          <w:lang w:eastAsia="bg-BG"/>
        </w:rPr>
        <w:t>холестерола и нивата на триглицеридите.</w:t>
      </w:r>
    </w:p>
    <w:p w14:paraId="3C64410C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FA0223C" w14:textId="45C1F1C1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Клинична ефикасност</w:t>
      </w:r>
    </w:p>
    <w:p w14:paraId="1D4E4B1D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Проспективно рандомизирано проучване </w:t>
      </w:r>
      <w:r w:rsidRPr="00B310D4">
        <w:rPr>
          <w:rFonts w:eastAsia="Times New Roman" w:cs="Arial"/>
          <w:color w:val="000000"/>
          <w:lang w:val="en-US"/>
        </w:rPr>
        <w:t xml:space="preserve">(UKPDS) </w:t>
      </w:r>
      <w:r w:rsidRPr="00B310D4">
        <w:rPr>
          <w:rFonts w:eastAsia="Times New Roman" w:cs="Arial"/>
          <w:color w:val="000000"/>
          <w:lang w:eastAsia="bg-BG"/>
        </w:rPr>
        <w:t>установява дългосрочната полза от интензивен контрол върху кръвната захар при възрастни пациенти с диабет тип 2.</w:t>
      </w:r>
    </w:p>
    <w:p w14:paraId="5FA45FEA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Анализът на резултатите при пациентите с наднормено тегло, лекувани с метформинов хидрохлорид след неуспешно проведена диета като еднинствена мярка, показва следното:</w:t>
      </w:r>
    </w:p>
    <w:p w14:paraId="2528CCBB" w14:textId="77777777" w:rsidR="00B310D4" w:rsidRPr="00B310D4" w:rsidRDefault="00B310D4" w:rsidP="00B310D4">
      <w:pPr>
        <w:pStyle w:val="ListParagraph"/>
        <w:numPr>
          <w:ilvl w:val="0"/>
          <w:numId w:val="4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Значително намаление на абсолютния риск от всякакви усложнения, свързани с диабета в групата на метформинов хидрохлорид (29,8 случая/1000 пациент-години) в сравнение с групата пациенти само на диета (43,3 случая/1000 пациент-години), р=0,0023 в сравнение с групите, приемащи суфанилурейни лекарствени продукти и инсулин, монотерапия (40,1 случая /1000 пациент-години), р=0,0034;</w:t>
      </w:r>
    </w:p>
    <w:p w14:paraId="3D5ED88F" w14:textId="77777777" w:rsidR="00B310D4" w:rsidRPr="00B310D4" w:rsidRDefault="00B310D4" w:rsidP="00B310D4">
      <w:pPr>
        <w:pStyle w:val="ListParagraph"/>
        <w:numPr>
          <w:ilvl w:val="0"/>
          <w:numId w:val="4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Значително намаление на абсолютния риск от смъртност, свързана с диабета: метформинов хидрохлорид 7,5 случая/1000 пациент-години, в сравнение с пациенти само на диета 12,7 случая/1000 пациент-години, р=0,017;</w:t>
      </w:r>
    </w:p>
    <w:p w14:paraId="03F83328" w14:textId="77777777" w:rsidR="00B310D4" w:rsidRPr="00B310D4" w:rsidRDefault="00B310D4" w:rsidP="00B310D4">
      <w:pPr>
        <w:pStyle w:val="ListParagraph"/>
        <w:numPr>
          <w:ilvl w:val="0"/>
          <w:numId w:val="4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Значително намаление на абсолютния риск от обща смъртност: метформинов хидрохлорид 13,5 случая /1000 пациент-години в сравнение с пациенти само на диета 20,6 случая/ 1000 пациент- години (р=0,011), и в сравнение с групите, приемащи суфанилурейни лекарствени продукти и инсулин, монотерапия 18,9 случая /1000 пациент-години (р=0,021);</w:t>
      </w:r>
    </w:p>
    <w:p w14:paraId="26A7CC68" w14:textId="63CF2F44" w:rsidR="00B310D4" w:rsidRPr="00B310D4" w:rsidRDefault="00B310D4" w:rsidP="00B310D4">
      <w:pPr>
        <w:pStyle w:val="ListParagraph"/>
        <w:numPr>
          <w:ilvl w:val="0"/>
          <w:numId w:val="4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Значително намаление на абсолютния риск от инфаркт на миокарда. метформинов хидрохлорид 11 случая /1000 пациент-години, и сравнение с пациенти само на диета 18 случая /1000 пациент-години (р=0,01)</w:t>
      </w:r>
    </w:p>
    <w:p w14:paraId="1E552437" w14:textId="3191A8A5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2367D9D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Не са наблюдавани клинични ползи при комбиниране на сулфанилурейни лекарствени средства с метформинов хидрохлорид, прилаган като втора линия на лечение.</w:t>
      </w:r>
    </w:p>
    <w:p w14:paraId="55A1F663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F7DB14C" w14:textId="157C1E45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lastRenderedPageBreak/>
        <w:t>Комбинацията на метформинов хидрохлорид и инсулин при диабет тип 1 е била прилагана на избрани пациенти, но клиничната полза от тази комбинация не е категорично установена.</w:t>
      </w:r>
    </w:p>
    <w:p w14:paraId="68BA4C7B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4079278" w14:textId="41760C15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518AC19C" w14:textId="77777777" w:rsidR="00B310D4" w:rsidRPr="00B310D4" w:rsidRDefault="00B310D4" w:rsidP="00B310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Контролирани клинични проучвания с ограничена педиатрична популация на възраст 10-16 години, лекувани в продължение на 1 година, са показали сходен отговор към гликемичния контрол като този, установен при възрастни.</w:t>
      </w:r>
    </w:p>
    <w:p w14:paraId="3BFF7CE9" w14:textId="77777777" w:rsidR="00B310D4" w:rsidRPr="00B310D4" w:rsidRDefault="00B310D4" w:rsidP="00B310D4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436D48F6" w14:textId="3655AE04" w:rsidR="00BB22B4" w:rsidRDefault="002C50EE" w:rsidP="00471F10">
      <w:pPr>
        <w:pStyle w:val="Heading2"/>
      </w:pPr>
      <w:r>
        <w:t>5.2. Фармакокинетични свойства</w:t>
      </w:r>
    </w:p>
    <w:p w14:paraId="1001AB8B" w14:textId="2B1EB00A" w:rsidR="00B310D4" w:rsidRDefault="00B310D4" w:rsidP="00B310D4"/>
    <w:p w14:paraId="248B5217" w14:textId="77777777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Абсорбция</w:t>
      </w:r>
    </w:p>
    <w:p w14:paraId="0FD90929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След перорална доза метформинов хидрохлорид, максималната плазмена концентрация (С </w:t>
      </w:r>
      <w:r w:rsidRPr="00B310D4">
        <w:rPr>
          <w:rFonts w:eastAsia="Times New Roman" w:cs="Arial"/>
          <w:color w:val="000000"/>
          <w:lang w:val="en-US"/>
        </w:rPr>
        <w:t xml:space="preserve">max) </w:t>
      </w:r>
      <w:r w:rsidRPr="00B310D4">
        <w:rPr>
          <w:rFonts w:eastAsia="Times New Roman" w:cs="Arial"/>
          <w:color w:val="000000"/>
          <w:lang w:eastAsia="bg-BG"/>
        </w:rPr>
        <w:t xml:space="preserve">се достига приблизително след 2 часа и 30 минути </w:t>
      </w:r>
      <w:r w:rsidRPr="00B310D4">
        <w:rPr>
          <w:rFonts w:eastAsia="Times New Roman" w:cs="Arial"/>
          <w:color w:val="000000"/>
          <w:lang w:val="en-US"/>
        </w:rPr>
        <w:t>(</w:t>
      </w:r>
      <w:proofErr w:type="spellStart"/>
      <w:r w:rsidRPr="00B310D4">
        <w:rPr>
          <w:rFonts w:eastAsia="Times New Roman" w:cs="Arial"/>
          <w:color w:val="000000"/>
          <w:lang w:val="en-US"/>
        </w:rPr>
        <w:t>tmax</w:t>
      </w:r>
      <w:proofErr w:type="spellEnd"/>
      <w:r w:rsidRPr="00B310D4">
        <w:rPr>
          <w:rFonts w:eastAsia="Times New Roman" w:cs="Arial"/>
          <w:color w:val="000000"/>
          <w:lang w:val="en-US"/>
        </w:rPr>
        <w:t xml:space="preserve">). </w:t>
      </w:r>
      <w:r w:rsidRPr="00B310D4">
        <w:rPr>
          <w:rFonts w:eastAsia="Times New Roman" w:cs="Arial"/>
          <w:color w:val="000000"/>
          <w:lang w:eastAsia="bg-BG"/>
        </w:rPr>
        <w:t xml:space="preserve">Абсолютната бионаличност на 500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 xml:space="preserve">и 850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метформинов хидрохлорид таблетки е прибилизително 50-60% при здрави хора. След перорална доза, неабсорбираната фракция, открита във фекалиите е 20-30%.</w:t>
      </w:r>
    </w:p>
    <w:p w14:paraId="14412457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След перорален прием, абсорбоцията на метформинов хидрохлорид е наситена и непълна. Предполага се, че абсорбцията на метформинов хидрохлорид е нелинейна.</w:t>
      </w:r>
    </w:p>
    <w:p w14:paraId="221BEB29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При препоръчваните дози и лозови режими на метформинов хидрохлорид, стеди-стейг плазмени концентрации се достигат в рамките на 24 до 48 часа и п</w:t>
      </w:r>
      <w:r w:rsidRPr="00B310D4">
        <w:rPr>
          <w:rFonts w:eastAsia="Times New Roman" w:cs="Arial"/>
          <w:color w:val="000000"/>
          <w:lang w:val="en-US"/>
        </w:rPr>
        <w:t>o</w:t>
      </w:r>
      <w:r w:rsidRPr="00B310D4">
        <w:rPr>
          <w:rFonts w:eastAsia="Times New Roman" w:cs="Arial"/>
          <w:color w:val="000000"/>
          <w:lang w:eastAsia="bg-BG"/>
        </w:rPr>
        <w:t>-принцип са по-ниски от 1 μ</w:t>
      </w:r>
      <w:r w:rsidRPr="00B310D4">
        <w:rPr>
          <w:rFonts w:eastAsia="Times New Roman" w:cs="Arial"/>
          <w:color w:val="000000"/>
          <w:lang w:val="en-US"/>
        </w:rPr>
        <w:t xml:space="preserve">g/ml. </w:t>
      </w:r>
      <w:r w:rsidRPr="00B310D4">
        <w:rPr>
          <w:rFonts w:eastAsia="Times New Roman" w:cs="Arial"/>
          <w:color w:val="000000"/>
          <w:lang w:eastAsia="bg-BG"/>
        </w:rPr>
        <w:t>В контролирани клинични проучвания, максималните плазмени нива на метформинов хидрохлорид (С</w:t>
      </w:r>
      <w:r w:rsidRPr="00B310D4">
        <w:rPr>
          <w:rFonts w:eastAsia="Times New Roman" w:cs="Arial"/>
          <w:color w:val="000000"/>
          <w:lang w:val="en-US"/>
        </w:rPr>
        <w:t>max</w:t>
      </w:r>
      <w:r w:rsidRPr="00B310D4">
        <w:rPr>
          <w:rFonts w:eastAsia="Times New Roman" w:cs="Arial"/>
          <w:color w:val="000000"/>
          <w:lang w:eastAsia="bg-BG"/>
        </w:rPr>
        <w:t>) не надвишават 5 μ</w:t>
      </w:r>
      <w:r w:rsidRPr="00B310D4">
        <w:rPr>
          <w:rFonts w:eastAsia="Times New Roman" w:cs="Arial"/>
          <w:color w:val="000000"/>
          <w:lang w:val="en-US"/>
        </w:rPr>
        <w:t xml:space="preserve">g /ml, </w:t>
      </w:r>
      <w:r w:rsidRPr="00B310D4">
        <w:rPr>
          <w:rFonts w:eastAsia="Times New Roman" w:cs="Arial"/>
          <w:color w:val="000000"/>
          <w:lang w:eastAsia="bg-BG"/>
        </w:rPr>
        <w:t>дори и при максимални дози.</w:t>
      </w:r>
    </w:p>
    <w:p w14:paraId="3780824F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419374C" w14:textId="27886B13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Храната намалява степента и слабо забавя абсорбцията на метформинов хидрохлорид. След прием на таблетка от 850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 xml:space="preserve">се наблюдава 40 % по-нисък пик на плазмена концентрация, 25 % намаление на </w:t>
      </w:r>
      <w:r w:rsidRPr="00B310D4">
        <w:rPr>
          <w:rFonts w:eastAsia="Times New Roman" w:cs="Arial"/>
          <w:color w:val="000000"/>
          <w:lang w:val="en-US"/>
        </w:rPr>
        <w:t xml:space="preserve">AUC </w:t>
      </w:r>
      <w:r w:rsidRPr="00B310D4">
        <w:rPr>
          <w:rFonts w:eastAsia="Times New Roman" w:cs="Arial"/>
          <w:color w:val="000000"/>
          <w:lang w:eastAsia="bg-BG"/>
        </w:rPr>
        <w:t>(площта под кривата) и 35-минутно удължаване на времето до пика на плазмената концентрация. Клиничната значимост на тези параметри остава неизяснена.</w:t>
      </w:r>
    </w:p>
    <w:p w14:paraId="0B790B95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66B294F" w14:textId="5813D256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Разпределение</w:t>
      </w:r>
    </w:p>
    <w:p w14:paraId="081CBF94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Свързването с плазмените протеини е незначително. Метформинов хидрохлорид прониква в еритроцитите. Пикът в кръвта е по-нисък от плазмения пик и се появява приблизително по същото време. Червените кръвни клетки най-вероятно представляват вторичен етап на разпределение. Средният обем на разпределение </w:t>
      </w:r>
      <w:r w:rsidRPr="00B310D4">
        <w:rPr>
          <w:rFonts w:eastAsia="Times New Roman" w:cs="Arial"/>
          <w:color w:val="000000"/>
          <w:lang w:val="en-US"/>
        </w:rPr>
        <w:t>(</w:t>
      </w:r>
      <w:proofErr w:type="spellStart"/>
      <w:r w:rsidRPr="00B310D4">
        <w:rPr>
          <w:rFonts w:eastAsia="Times New Roman" w:cs="Arial"/>
          <w:color w:val="000000"/>
          <w:lang w:val="en-US"/>
        </w:rPr>
        <w:t>Vd</w:t>
      </w:r>
      <w:proofErr w:type="spellEnd"/>
      <w:r w:rsidRPr="00B310D4">
        <w:rPr>
          <w:rFonts w:eastAsia="Times New Roman" w:cs="Arial"/>
          <w:color w:val="000000"/>
          <w:lang w:val="en-US"/>
        </w:rPr>
        <w:t xml:space="preserve">) </w:t>
      </w:r>
      <w:r w:rsidRPr="00B310D4">
        <w:rPr>
          <w:rFonts w:eastAsia="Times New Roman" w:cs="Arial"/>
          <w:color w:val="000000"/>
          <w:lang w:eastAsia="bg-BG"/>
        </w:rPr>
        <w:t>варира в рамките на 63-276 1.</w:t>
      </w:r>
    </w:p>
    <w:p w14:paraId="3C416ECD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1EE3841" w14:textId="3DBDFA8B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Биотрансформация</w:t>
      </w:r>
    </w:p>
    <w:p w14:paraId="3AF0E4E3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Метформинов хидрохлорид се екскретира непроменен в урината. Не са идентифицирани метаболити при хората.</w:t>
      </w:r>
    </w:p>
    <w:p w14:paraId="22CF03FC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689B90C" w14:textId="3544932D" w:rsidR="00B310D4" w:rsidRPr="00B310D4" w:rsidRDefault="00B310D4" w:rsidP="00B310D4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B310D4">
        <w:rPr>
          <w:rFonts w:eastAsia="Times New Roman"/>
          <w:u w:val="single"/>
          <w:lang w:eastAsia="bg-BG"/>
        </w:rPr>
        <w:t>Елиминиране</w:t>
      </w:r>
    </w:p>
    <w:p w14:paraId="2C8CE05F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Бъбречният клирънс на метформинов хидрохлорид е &gt; 400 </w:t>
      </w:r>
      <w:r w:rsidRPr="00B310D4">
        <w:rPr>
          <w:rFonts w:eastAsia="Times New Roman" w:cs="Arial"/>
          <w:color w:val="000000"/>
          <w:lang w:val="en-US"/>
        </w:rPr>
        <w:t xml:space="preserve">ml/min, </w:t>
      </w:r>
      <w:r w:rsidRPr="00B310D4">
        <w:rPr>
          <w:rFonts w:eastAsia="Times New Roman" w:cs="Arial"/>
          <w:color w:val="000000"/>
          <w:lang w:eastAsia="bg-BG"/>
        </w:rPr>
        <w:t>показвайки че метформин хидрохлорид се елиминира чрез гломерулна филтрация и тубулна секреция. След перорална доза, крайният полуживот на елиминиране е приблизително 6,5 часа..</w:t>
      </w:r>
    </w:p>
    <w:p w14:paraId="33885C47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Когато бъбречната функция е увредена, бъбречният клирънс се намалява пропорционално на този на креатинина и затова полуживотьт на елиминиране е удължен, което води до повишени нива на метформинов хидрохлорид в плазмата.</w:t>
      </w:r>
    </w:p>
    <w:p w14:paraId="632BD290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148D960" w14:textId="7AD89DD4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lastRenderedPageBreak/>
        <w:t>Специални групи пациенти</w:t>
      </w:r>
    </w:p>
    <w:p w14:paraId="32C7F997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Наличните данни при пациенти с умерена бъбречна недостатъчност са оскъдни и не може да се направи оценка на системната експозиция на метформин в тази подгрупа в сравнение с пациенти с нормална бъбречна функция. Следователно, адаптиране на дозата трябва да се извършва въз основа</w:t>
      </w:r>
    </w:p>
    <w:p w14:paraId="3CBED4CC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на клинични съображения за ефикасност / поносимост (виж т.4.2).</w:t>
      </w:r>
    </w:p>
    <w:p w14:paraId="7A37AC5E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FF65FC3" w14:textId="2339C49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5DCD4E18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C4AAE3" w14:textId="2839DEAA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Изследване при еднократна доза:</w:t>
      </w:r>
    </w:p>
    <w:p w14:paraId="4F1FE178" w14:textId="15199DE6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D0EE9A0" w14:textId="77777777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След прием на еднократна доза метформинов хидрохлорид 500 </w:t>
      </w:r>
      <w:r w:rsidRPr="00B310D4">
        <w:rPr>
          <w:rFonts w:eastAsia="Times New Roman" w:cs="Arial"/>
          <w:color w:val="000000"/>
          <w:lang w:val="en-US"/>
        </w:rPr>
        <w:t xml:space="preserve">mg, </w:t>
      </w:r>
      <w:r w:rsidRPr="00B310D4">
        <w:rPr>
          <w:rFonts w:eastAsia="Times New Roman" w:cs="Arial"/>
          <w:color w:val="000000"/>
          <w:lang w:eastAsia="bg-BG"/>
        </w:rPr>
        <w:t>децата са показали сходен фармакокинетичен профил на този, наблюдаван при възрастни доброволци.</w:t>
      </w:r>
    </w:p>
    <w:p w14:paraId="56BF37C6" w14:textId="77777777" w:rsidR="00B310D4" w:rsidRPr="00B310D4" w:rsidRDefault="00B310D4" w:rsidP="00B310D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025A28D" w14:textId="2B78DCE6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>Изследване при многократно дозиране:</w:t>
      </w:r>
    </w:p>
    <w:p w14:paraId="12CB4A36" w14:textId="7ED9C5C6" w:rsidR="00B310D4" w:rsidRPr="00B310D4" w:rsidRDefault="00B310D4" w:rsidP="00B310D4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B310D4">
        <w:rPr>
          <w:rFonts w:eastAsia="Times New Roman" w:cs="Arial"/>
          <w:color w:val="000000"/>
          <w:lang w:eastAsia="bg-BG"/>
        </w:rPr>
        <w:t xml:space="preserve">Данните са ограничени до едно проучване. След няколкократно приложение на 500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два пъти дневно в продължение на 7 дни при педиатрична популация, пиковата плазмена концентрация (С</w:t>
      </w:r>
      <w:r w:rsidRPr="00B310D4">
        <w:rPr>
          <w:rFonts w:eastAsia="Times New Roman" w:cs="Arial"/>
          <w:color w:val="000000"/>
          <w:vertAlign w:val="subscript"/>
          <w:lang w:val="en-US"/>
        </w:rPr>
        <w:t>max</w:t>
      </w:r>
      <w:r w:rsidRPr="00B310D4">
        <w:rPr>
          <w:rFonts w:eastAsia="Times New Roman" w:cs="Arial"/>
          <w:color w:val="000000"/>
          <w:lang w:eastAsia="bg-BG"/>
        </w:rPr>
        <w:t xml:space="preserve">) и системната експозиция </w:t>
      </w:r>
      <w:r w:rsidRPr="00B310D4">
        <w:rPr>
          <w:rFonts w:eastAsia="Times New Roman" w:cs="Arial"/>
          <w:color w:val="000000"/>
          <w:lang w:val="en-US"/>
        </w:rPr>
        <w:t>(AUC</w:t>
      </w:r>
      <w:r w:rsidRPr="00B310D4">
        <w:rPr>
          <w:rFonts w:eastAsia="Times New Roman" w:cs="Arial"/>
          <w:color w:val="000000"/>
          <w:vertAlign w:val="subscript"/>
          <w:lang w:val="en-US"/>
        </w:rPr>
        <w:t>0-t</w:t>
      </w:r>
      <w:r w:rsidRPr="00B310D4">
        <w:rPr>
          <w:rFonts w:eastAsia="Times New Roman" w:cs="Arial"/>
          <w:color w:val="000000"/>
          <w:lang w:val="en-US"/>
        </w:rPr>
        <w:t xml:space="preserve">) </w:t>
      </w:r>
      <w:r w:rsidRPr="00B310D4">
        <w:rPr>
          <w:rFonts w:eastAsia="Times New Roman" w:cs="Arial"/>
          <w:color w:val="000000"/>
          <w:lang w:eastAsia="bg-BG"/>
        </w:rPr>
        <w:t xml:space="preserve">са били намалени с приблизително 33% и 40% съответно, в сравенение с диабетиците, които са приемали многократни дози от 500 </w:t>
      </w:r>
      <w:r w:rsidRPr="00B310D4">
        <w:rPr>
          <w:rFonts w:eastAsia="Times New Roman" w:cs="Arial"/>
          <w:color w:val="000000"/>
          <w:lang w:val="en-US"/>
        </w:rPr>
        <w:t xml:space="preserve">mg </w:t>
      </w:r>
      <w:r w:rsidRPr="00B310D4">
        <w:rPr>
          <w:rFonts w:eastAsia="Times New Roman" w:cs="Arial"/>
          <w:color w:val="000000"/>
          <w:lang w:eastAsia="bg-BG"/>
        </w:rPr>
        <w:t>два пъти дневно в продължение на 14 дни. Тъй като дозата се титрира индивидуално на базата на гликемичния контрол, този резултат има ограничена клинична значимост.</w:t>
      </w:r>
    </w:p>
    <w:p w14:paraId="5354407B" w14:textId="77777777" w:rsidR="00B310D4" w:rsidRPr="00B310D4" w:rsidRDefault="00B310D4" w:rsidP="00B310D4"/>
    <w:p w14:paraId="4F31844C" w14:textId="2CF704F1" w:rsidR="00875EEC" w:rsidRDefault="002C50EE" w:rsidP="005726E3">
      <w:pPr>
        <w:pStyle w:val="Heading2"/>
      </w:pPr>
      <w:r>
        <w:t>5.3. Предклинични данни за безопасност</w:t>
      </w:r>
    </w:p>
    <w:p w14:paraId="1B854E3F" w14:textId="64177F4E" w:rsidR="00B310D4" w:rsidRDefault="00B310D4" w:rsidP="00B310D4"/>
    <w:p w14:paraId="34DC36A7" w14:textId="77777777" w:rsidR="00B310D4" w:rsidRPr="00B310D4" w:rsidRDefault="00B310D4" w:rsidP="00B310D4">
      <w:pPr>
        <w:rPr>
          <w:sz w:val="24"/>
          <w:szCs w:val="24"/>
          <w:lang w:eastAsia="bg-BG"/>
        </w:rPr>
      </w:pPr>
      <w:r w:rsidRPr="00B310D4">
        <w:rPr>
          <w:lang w:eastAsia="bg-BG"/>
        </w:rPr>
        <w:t>Предклиничните данни не показват особен риск за хора, на базата на конвенционалните проучвания за безопасност, фармакология, токсичност при многократно прилагане, генотоксичност, канцерогенен потенциал и репродуктивна токсичност.</w:t>
      </w:r>
    </w:p>
    <w:p w14:paraId="747BCAEB" w14:textId="77777777" w:rsidR="00B310D4" w:rsidRPr="00B310D4" w:rsidRDefault="00B310D4" w:rsidP="00B310D4"/>
    <w:p w14:paraId="357049A8" w14:textId="04414971" w:rsidR="00BB22B4" w:rsidRDefault="002C50EE" w:rsidP="00471F10">
      <w:pPr>
        <w:pStyle w:val="Heading1"/>
      </w:pPr>
      <w:r>
        <w:t>7. ПРИТЕЖАТЕЛ НА РАЗРЕШЕНИЕТО ЗА УПОТРЕБА</w:t>
      </w:r>
    </w:p>
    <w:p w14:paraId="57AB3829" w14:textId="5E965B01" w:rsidR="00B310D4" w:rsidRDefault="00B310D4" w:rsidP="00B310D4"/>
    <w:p w14:paraId="07250716" w14:textId="77777777" w:rsidR="00B310D4" w:rsidRPr="00B310D4" w:rsidRDefault="00B310D4" w:rsidP="00B310D4">
      <w:pPr>
        <w:rPr>
          <w:sz w:val="24"/>
          <w:szCs w:val="24"/>
          <w:lang w:eastAsia="bg-BG"/>
        </w:rPr>
      </w:pPr>
      <w:r w:rsidRPr="00B310D4">
        <w:rPr>
          <w:lang w:eastAsia="bg-BG"/>
        </w:rPr>
        <w:t>СОФАРМА АД</w:t>
      </w:r>
    </w:p>
    <w:p w14:paraId="5B21022C" w14:textId="77777777" w:rsidR="00B310D4" w:rsidRDefault="00B310D4" w:rsidP="00B310D4">
      <w:pPr>
        <w:rPr>
          <w:lang w:eastAsia="bg-BG"/>
        </w:rPr>
      </w:pPr>
      <w:r w:rsidRPr="00B310D4">
        <w:rPr>
          <w:lang w:eastAsia="bg-BG"/>
        </w:rPr>
        <w:t>ул. Или</w:t>
      </w:r>
      <w:r w:rsidRPr="00B310D4">
        <w:rPr>
          <w:lang w:val="en-US"/>
        </w:rPr>
        <w:t>e</w:t>
      </w:r>
      <w:r w:rsidRPr="00B310D4">
        <w:rPr>
          <w:lang w:eastAsia="bg-BG"/>
        </w:rPr>
        <w:t xml:space="preserve">нско шосе 16, </w:t>
      </w:r>
    </w:p>
    <w:p w14:paraId="492E1499" w14:textId="73AD519E" w:rsidR="00B310D4" w:rsidRPr="00B310D4" w:rsidRDefault="00B310D4" w:rsidP="00B310D4">
      <w:r w:rsidRPr="00B310D4">
        <w:rPr>
          <w:lang w:eastAsia="bg-BG"/>
        </w:rPr>
        <w:t>1220 София, България</w:t>
      </w:r>
    </w:p>
    <w:p w14:paraId="796B2EC6" w14:textId="32ED7791" w:rsidR="00BB22B4" w:rsidRDefault="00936AD0" w:rsidP="00471F10">
      <w:pPr>
        <w:pStyle w:val="Heading1"/>
      </w:pPr>
      <w:r>
        <w:t>8.</w:t>
      </w:r>
      <w:r w:rsidR="002C50EE">
        <w:t>НОМЕР НА РАЗРЕШЕНИЕТО ЗА УПОТРЕБА</w:t>
      </w:r>
    </w:p>
    <w:p w14:paraId="5B10D0B6" w14:textId="2F23CA8F" w:rsidR="00B310D4" w:rsidRDefault="00B310D4" w:rsidP="00B310D4"/>
    <w:p w14:paraId="0B1E8DC5" w14:textId="6C81FC9A" w:rsidR="00B310D4" w:rsidRPr="00B310D4" w:rsidRDefault="00B310D4" w:rsidP="00B310D4">
      <w:r>
        <w:rPr>
          <w:lang w:val="en-US"/>
        </w:rPr>
        <w:t>Pe</w:t>
      </w:r>
      <w:r>
        <w:t>г:</w:t>
      </w:r>
      <w:r>
        <w:rPr>
          <w:lang w:val="en-US"/>
        </w:rPr>
        <w:t xml:space="preserve"> </w:t>
      </w:r>
      <w:r>
        <w:t>№20110745</w:t>
      </w:r>
    </w:p>
    <w:p w14:paraId="3715C10B" w14:textId="53C7AA62" w:rsidR="00BB22B4" w:rsidRDefault="002C50EE" w:rsidP="00471F10">
      <w:pPr>
        <w:pStyle w:val="Heading1"/>
      </w:pPr>
      <w:r>
        <w:t>9. ДАТА НА ПЪРВО РАЗРЕШАВАНЕ/ПОДНОВЯВАНЕ НА РАЗРЕШЕНИЕТО ЗА УПОТРЕБА</w:t>
      </w:r>
    </w:p>
    <w:p w14:paraId="2DE06298" w14:textId="143337C4" w:rsidR="00B310D4" w:rsidRDefault="00B310D4" w:rsidP="00B310D4"/>
    <w:p w14:paraId="1E89D175" w14:textId="77777777" w:rsidR="00C15C17" w:rsidRPr="00C15C17" w:rsidRDefault="00C15C17" w:rsidP="00C15C17">
      <w:pPr>
        <w:rPr>
          <w:sz w:val="24"/>
          <w:szCs w:val="24"/>
          <w:lang w:eastAsia="bg-BG"/>
        </w:rPr>
      </w:pPr>
      <w:r w:rsidRPr="00C15C17">
        <w:rPr>
          <w:lang w:eastAsia="bg-BG"/>
        </w:rPr>
        <w:t>Дата на първо разрешаване: 15.12.2011</w:t>
      </w:r>
    </w:p>
    <w:p w14:paraId="0BEF05D1" w14:textId="28353D83" w:rsidR="00B310D4" w:rsidRPr="00B310D4" w:rsidRDefault="00C15C17" w:rsidP="00C15C17">
      <w:r w:rsidRPr="00C15C17">
        <w:rPr>
          <w:lang w:eastAsia="bg-BG"/>
        </w:rPr>
        <w:t>Дата на последно подновяване: 15.01.2017</w:t>
      </w:r>
    </w:p>
    <w:p w14:paraId="43FB38A2" w14:textId="0C18A683" w:rsidR="007C605B" w:rsidRDefault="002C50EE" w:rsidP="005726E3">
      <w:pPr>
        <w:pStyle w:val="Heading1"/>
      </w:pPr>
      <w:r>
        <w:lastRenderedPageBreak/>
        <w:t>10. ДАТА НА АКТУАЛИЗИРАНЕ НА ТЕКСТА</w:t>
      </w:r>
      <w:bookmarkEnd w:id="0"/>
    </w:p>
    <w:p w14:paraId="472617BD" w14:textId="3C3D7650" w:rsidR="00BB22B4" w:rsidRPr="00BB22B4" w:rsidRDefault="00C15C17" w:rsidP="00C15C17">
      <w:r>
        <w:t>Януари, 2020</w:t>
      </w:r>
    </w:p>
    <w:sectPr w:rsidR="00BB22B4" w:rsidRPr="00BB2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5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 w15:restartNumberingAfterBreak="0">
    <w:nsid w:val="174D0D9E"/>
    <w:multiLevelType w:val="hybridMultilevel"/>
    <w:tmpl w:val="4E6C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C16F5"/>
    <w:multiLevelType w:val="hybridMultilevel"/>
    <w:tmpl w:val="E5EA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3" w15:restartNumberingAfterBreak="0">
    <w:nsid w:val="25316F6A"/>
    <w:multiLevelType w:val="hybridMultilevel"/>
    <w:tmpl w:val="E45C2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9420519"/>
    <w:multiLevelType w:val="hybridMultilevel"/>
    <w:tmpl w:val="660C6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6D37A7"/>
    <w:multiLevelType w:val="hybridMultilevel"/>
    <w:tmpl w:val="46CC86F0"/>
    <w:lvl w:ilvl="0" w:tplc="D1263D3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6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E22A33"/>
    <w:multiLevelType w:val="hybridMultilevel"/>
    <w:tmpl w:val="639006C6"/>
    <w:lvl w:ilvl="0" w:tplc="FC04E8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2E001F"/>
    <w:multiLevelType w:val="hybridMultilevel"/>
    <w:tmpl w:val="BEF2034A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 w16cid:durableId="1899323431">
    <w:abstractNumId w:val="33"/>
  </w:num>
  <w:num w:numId="2" w16cid:durableId="705718642">
    <w:abstractNumId w:val="0"/>
  </w:num>
  <w:num w:numId="3" w16cid:durableId="455173595">
    <w:abstractNumId w:val="17"/>
  </w:num>
  <w:num w:numId="4" w16cid:durableId="1703048016">
    <w:abstractNumId w:val="4"/>
  </w:num>
  <w:num w:numId="5" w16cid:durableId="242418670">
    <w:abstractNumId w:val="1"/>
  </w:num>
  <w:num w:numId="6" w16cid:durableId="961770998">
    <w:abstractNumId w:val="21"/>
  </w:num>
  <w:num w:numId="7" w16cid:durableId="1080324158">
    <w:abstractNumId w:val="14"/>
  </w:num>
  <w:num w:numId="8" w16cid:durableId="182205659">
    <w:abstractNumId w:val="20"/>
  </w:num>
  <w:num w:numId="9" w16cid:durableId="1813715123">
    <w:abstractNumId w:val="3"/>
  </w:num>
  <w:num w:numId="10" w16cid:durableId="473642149">
    <w:abstractNumId w:val="5"/>
  </w:num>
  <w:num w:numId="11" w16cid:durableId="149490425">
    <w:abstractNumId w:val="36"/>
  </w:num>
  <w:num w:numId="12" w16cid:durableId="159547082">
    <w:abstractNumId w:val="18"/>
  </w:num>
  <w:num w:numId="13" w16cid:durableId="1135491208">
    <w:abstractNumId w:val="24"/>
  </w:num>
  <w:num w:numId="14" w16cid:durableId="602418182">
    <w:abstractNumId w:val="16"/>
  </w:num>
  <w:num w:numId="15" w16cid:durableId="1133402666">
    <w:abstractNumId w:val="35"/>
  </w:num>
  <w:num w:numId="16" w16cid:durableId="1964538149">
    <w:abstractNumId w:val="12"/>
  </w:num>
  <w:num w:numId="17" w16cid:durableId="469714193">
    <w:abstractNumId w:val="29"/>
  </w:num>
  <w:num w:numId="18" w16cid:durableId="1639413517">
    <w:abstractNumId w:val="9"/>
  </w:num>
  <w:num w:numId="19" w16cid:durableId="1844468716">
    <w:abstractNumId w:val="32"/>
  </w:num>
  <w:num w:numId="20" w16cid:durableId="1280070780">
    <w:abstractNumId w:val="28"/>
  </w:num>
  <w:num w:numId="21" w16cid:durableId="1553807490">
    <w:abstractNumId w:val="22"/>
  </w:num>
  <w:num w:numId="22" w16cid:durableId="914974790">
    <w:abstractNumId w:val="30"/>
  </w:num>
  <w:num w:numId="23" w16cid:durableId="1505583105">
    <w:abstractNumId w:val="23"/>
  </w:num>
  <w:num w:numId="24" w16cid:durableId="1955818004">
    <w:abstractNumId w:val="10"/>
  </w:num>
  <w:num w:numId="25" w16cid:durableId="350424109">
    <w:abstractNumId w:val="27"/>
  </w:num>
  <w:num w:numId="26" w16cid:durableId="1947885317">
    <w:abstractNumId w:val="26"/>
  </w:num>
  <w:num w:numId="27" w16cid:durableId="1572428118">
    <w:abstractNumId w:val="38"/>
  </w:num>
  <w:num w:numId="28" w16cid:durableId="1785614574">
    <w:abstractNumId w:val="7"/>
  </w:num>
  <w:num w:numId="29" w16cid:durableId="2087338598">
    <w:abstractNumId w:val="25"/>
  </w:num>
  <w:num w:numId="30" w16cid:durableId="1004934875">
    <w:abstractNumId w:val="41"/>
  </w:num>
  <w:num w:numId="31" w16cid:durableId="1797798022">
    <w:abstractNumId w:val="6"/>
  </w:num>
  <w:num w:numId="32" w16cid:durableId="225145457">
    <w:abstractNumId w:val="40"/>
  </w:num>
  <w:num w:numId="33" w16cid:durableId="1437017553">
    <w:abstractNumId w:val="34"/>
  </w:num>
  <w:num w:numId="34" w16cid:durableId="1436822199">
    <w:abstractNumId w:val="39"/>
  </w:num>
  <w:num w:numId="35" w16cid:durableId="1315454261">
    <w:abstractNumId w:val="8"/>
  </w:num>
  <w:num w:numId="36" w16cid:durableId="800269963">
    <w:abstractNumId w:val="11"/>
  </w:num>
  <w:num w:numId="37" w16cid:durableId="2132045929">
    <w:abstractNumId w:val="19"/>
  </w:num>
  <w:num w:numId="38" w16cid:durableId="1743746729">
    <w:abstractNumId w:val="31"/>
  </w:num>
  <w:num w:numId="39" w16cid:durableId="1144662427">
    <w:abstractNumId w:val="2"/>
  </w:num>
  <w:num w:numId="40" w16cid:durableId="188880712">
    <w:abstractNumId w:val="37"/>
  </w:num>
  <w:num w:numId="41" w16cid:durableId="629171284">
    <w:abstractNumId w:val="15"/>
  </w:num>
  <w:num w:numId="42" w16cid:durableId="15812582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00"/>
    <w:rsid w:val="00185A46"/>
    <w:rsid w:val="001915B6"/>
    <w:rsid w:val="001A6EBD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71F10"/>
    <w:rsid w:val="004A448E"/>
    <w:rsid w:val="004D4D6B"/>
    <w:rsid w:val="004F1CE7"/>
    <w:rsid w:val="004F498A"/>
    <w:rsid w:val="00517A5B"/>
    <w:rsid w:val="005726E3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122AD"/>
    <w:rsid w:val="0075649D"/>
    <w:rsid w:val="007C605B"/>
    <w:rsid w:val="008134C8"/>
    <w:rsid w:val="00814073"/>
    <w:rsid w:val="00826F0D"/>
    <w:rsid w:val="00875EEC"/>
    <w:rsid w:val="00893B92"/>
    <w:rsid w:val="008A6AF2"/>
    <w:rsid w:val="008C70A2"/>
    <w:rsid w:val="00936AD0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310D4"/>
    <w:rsid w:val="00B6672E"/>
    <w:rsid w:val="00BB22B4"/>
    <w:rsid w:val="00BF2600"/>
    <w:rsid w:val="00C0049F"/>
    <w:rsid w:val="00C07B84"/>
    <w:rsid w:val="00C15C17"/>
    <w:rsid w:val="00C33464"/>
    <w:rsid w:val="00C40420"/>
    <w:rsid w:val="00C809A7"/>
    <w:rsid w:val="00C83063"/>
    <w:rsid w:val="00C87E90"/>
    <w:rsid w:val="00CA1B57"/>
    <w:rsid w:val="00CF77F7"/>
    <w:rsid w:val="00D86297"/>
    <w:rsid w:val="00DB32D3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3741</Words>
  <Characters>21328</Characters>
  <Application>Microsoft Office Word</Application>
  <DocSecurity>0</DocSecurity>
  <Lines>177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ВАСИЛЕВ</cp:lastModifiedBy>
  <cp:revision>2</cp:revision>
  <dcterms:created xsi:type="dcterms:W3CDTF">2022-12-28T15:35:00Z</dcterms:created>
  <dcterms:modified xsi:type="dcterms:W3CDTF">2022-12-28T15:35:00Z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