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72BCDFCC" w:rsidR="00DB32D3" w:rsidRDefault="00DD466D" w:rsidP="005726E3">
      <w:pPr>
        <w:pStyle w:val="Heading1"/>
      </w:pPr>
      <w:r>
        <w:t>1.ИМЕ НА ЛЕКАРСТВЕНИЯ ПРОДУКТ</w:t>
      </w:r>
    </w:p>
    <w:p w14:paraId="52E282E1" w14:textId="56C3CF9F" w:rsidR="000655BC" w:rsidRDefault="000655BC" w:rsidP="000655BC"/>
    <w:p w14:paraId="2C374318" w14:textId="77777777" w:rsidR="000655BC" w:rsidRPr="000655BC" w:rsidRDefault="000655BC" w:rsidP="000655BC">
      <w:pPr>
        <w:rPr>
          <w:sz w:val="24"/>
          <w:szCs w:val="24"/>
        </w:rPr>
      </w:pPr>
      <w:r w:rsidRPr="000655BC">
        <w:rPr>
          <w:lang w:eastAsia="bg-BG"/>
        </w:rPr>
        <w:t xml:space="preserve">Софтензиф 2,5 </w:t>
      </w:r>
      <w:r w:rsidRPr="000655BC">
        <w:rPr>
          <w:lang w:val="en-US"/>
        </w:rPr>
        <w:t>mg</w:t>
      </w:r>
      <w:r w:rsidRPr="000655BC">
        <w:t xml:space="preserve"> </w:t>
      </w:r>
      <w:r w:rsidRPr="000655BC">
        <w:rPr>
          <w:lang w:eastAsia="bg-BG"/>
        </w:rPr>
        <w:t>филмирани таблетки</w:t>
      </w:r>
    </w:p>
    <w:p w14:paraId="5F15CB0E" w14:textId="77777777" w:rsidR="000655BC" w:rsidRPr="000655BC" w:rsidRDefault="000655BC" w:rsidP="000655BC">
      <w:pPr>
        <w:rPr>
          <w:sz w:val="24"/>
          <w:szCs w:val="24"/>
        </w:rPr>
      </w:pPr>
      <w:proofErr w:type="spellStart"/>
      <w:r w:rsidRPr="000655BC">
        <w:rPr>
          <w:lang w:val="en-US"/>
        </w:rPr>
        <w:t>Sophtensif</w:t>
      </w:r>
      <w:proofErr w:type="spellEnd"/>
      <w:r w:rsidRPr="000655BC">
        <w:t xml:space="preserve"> </w:t>
      </w:r>
      <w:r w:rsidRPr="000655BC">
        <w:rPr>
          <w:lang w:eastAsia="bg-BG"/>
        </w:rPr>
        <w:t>2</w:t>
      </w:r>
      <w:proofErr w:type="gramStart"/>
      <w:r w:rsidRPr="000655BC">
        <w:rPr>
          <w:lang w:eastAsia="bg-BG"/>
        </w:rPr>
        <w:t>,5</w:t>
      </w:r>
      <w:proofErr w:type="gramEnd"/>
      <w:r w:rsidRPr="000655BC">
        <w:rPr>
          <w:lang w:eastAsia="bg-BG"/>
        </w:rPr>
        <w:t xml:space="preserve"> </w:t>
      </w:r>
      <w:r w:rsidRPr="000655BC">
        <w:rPr>
          <w:lang w:val="en-US"/>
        </w:rPr>
        <w:t>mg</w:t>
      </w:r>
      <w:r w:rsidRPr="000655BC">
        <w:t xml:space="preserve"> </w:t>
      </w:r>
      <w:r w:rsidRPr="000655BC">
        <w:rPr>
          <w:lang w:val="en-US"/>
        </w:rPr>
        <w:t>film</w:t>
      </w:r>
      <w:r w:rsidRPr="000655BC">
        <w:t>-</w:t>
      </w:r>
      <w:r w:rsidRPr="000655BC">
        <w:rPr>
          <w:lang w:val="en-US"/>
        </w:rPr>
        <w:t>coated</w:t>
      </w:r>
      <w:r w:rsidRPr="000655BC">
        <w:t xml:space="preserve"> </w:t>
      </w:r>
      <w:r w:rsidRPr="000655BC">
        <w:rPr>
          <w:lang w:val="en-US"/>
        </w:rPr>
        <w:t>tablets</w:t>
      </w:r>
    </w:p>
    <w:p w14:paraId="3100F775" w14:textId="77777777" w:rsidR="000655BC" w:rsidRPr="000655BC" w:rsidRDefault="000655BC" w:rsidP="000655BC"/>
    <w:p w14:paraId="48E6CABE" w14:textId="621BC208" w:rsidR="00DB32D3" w:rsidRDefault="00DD466D" w:rsidP="005726E3">
      <w:pPr>
        <w:pStyle w:val="Heading1"/>
      </w:pPr>
      <w:r>
        <w:t>2. КАЧЕСТВЕН И КОЛИЧЕСТВЕН СЪСТАВ</w:t>
      </w:r>
    </w:p>
    <w:p w14:paraId="5DEFA6F7" w14:textId="4DE52773" w:rsidR="000655BC" w:rsidRDefault="000655BC" w:rsidP="000655BC"/>
    <w:p w14:paraId="0EB58719" w14:textId="77777777" w:rsidR="000655BC" w:rsidRPr="000655BC" w:rsidRDefault="000655BC" w:rsidP="000655BC">
      <w:pPr>
        <w:rPr>
          <w:sz w:val="24"/>
          <w:szCs w:val="24"/>
        </w:rPr>
      </w:pPr>
      <w:r w:rsidRPr="000655BC">
        <w:rPr>
          <w:lang w:eastAsia="bg-BG"/>
        </w:rPr>
        <w:t xml:space="preserve">Всяка филмирана таблетка съдържа активно вещество индапамид </w:t>
      </w:r>
      <w:r w:rsidRPr="000655BC">
        <w:rPr>
          <w:lang w:val="ru-RU"/>
        </w:rPr>
        <w:t>(</w:t>
      </w:r>
      <w:proofErr w:type="spellStart"/>
      <w:r w:rsidRPr="000655BC">
        <w:rPr>
          <w:lang w:val="en-US"/>
        </w:rPr>
        <w:t>indapamide</w:t>
      </w:r>
      <w:proofErr w:type="spellEnd"/>
      <w:r w:rsidRPr="000655BC">
        <w:rPr>
          <w:lang w:val="ru-RU"/>
        </w:rPr>
        <w:t xml:space="preserve">) </w:t>
      </w:r>
      <w:r w:rsidRPr="000655BC">
        <w:rPr>
          <w:lang w:eastAsia="bg-BG"/>
        </w:rPr>
        <w:t xml:space="preserve">2,5 </w:t>
      </w:r>
      <w:r w:rsidRPr="000655BC">
        <w:rPr>
          <w:lang w:val="en-US"/>
        </w:rPr>
        <w:t>mg</w:t>
      </w:r>
      <w:r w:rsidRPr="000655BC">
        <w:rPr>
          <w:lang w:val="ru-RU"/>
        </w:rPr>
        <w:t>.</w:t>
      </w:r>
    </w:p>
    <w:p w14:paraId="6B2738D2" w14:textId="650C7B62" w:rsidR="000655BC" w:rsidRPr="000655BC" w:rsidRDefault="000655BC" w:rsidP="000655BC">
      <w:r w:rsidRPr="000655BC">
        <w:rPr>
          <w:lang w:eastAsia="bg-BG"/>
        </w:rPr>
        <w:t>Помощни вещества с известно действие: лактоза монохидрат, пшенично нишесте и др.</w:t>
      </w:r>
    </w:p>
    <w:p w14:paraId="763B21BA" w14:textId="2AE64C60" w:rsidR="001A6EBD" w:rsidRDefault="00DD466D" w:rsidP="00471F10">
      <w:pPr>
        <w:pStyle w:val="Heading1"/>
      </w:pPr>
      <w:r>
        <w:t>3. ЛЕКАРСТВЕНА ФОРМА</w:t>
      </w:r>
    </w:p>
    <w:p w14:paraId="600CB652" w14:textId="62BB5183" w:rsidR="000655BC" w:rsidRDefault="000655BC" w:rsidP="000655BC"/>
    <w:p w14:paraId="584A4251" w14:textId="77777777" w:rsidR="000655BC" w:rsidRPr="000655BC" w:rsidRDefault="000655BC" w:rsidP="000655BC">
      <w:pPr>
        <w:rPr>
          <w:sz w:val="24"/>
          <w:szCs w:val="24"/>
        </w:rPr>
      </w:pPr>
      <w:r w:rsidRPr="000655BC">
        <w:rPr>
          <w:lang w:eastAsia="bg-BG"/>
        </w:rPr>
        <w:t>Филмирана таблетка.</w:t>
      </w:r>
    </w:p>
    <w:p w14:paraId="4732F3BE" w14:textId="33DEFE3C" w:rsidR="000655BC" w:rsidRPr="000655BC" w:rsidRDefault="000655BC" w:rsidP="000655BC">
      <w:pPr>
        <w:rPr>
          <w:lang w:val="ru-RU"/>
        </w:rPr>
      </w:pPr>
      <w:r w:rsidRPr="000655BC">
        <w:rPr>
          <w:lang w:eastAsia="bg-BG"/>
        </w:rPr>
        <w:t xml:space="preserve">Бели до почти бели, кръгли, двойноизпъкнали филмирани таблетки с диаметър 6 </w:t>
      </w:r>
      <w:r w:rsidRPr="000655BC">
        <w:rPr>
          <w:lang w:val="en-US"/>
        </w:rPr>
        <w:t>mm</w:t>
      </w:r>
      <w:r w:rsidRPr="000655BC">
        <w:rPr>
          <w:lang w:val="ru-RU"/>
        </w:rPr>
        <w:t>.</w:t>
      </w:r>
    </w:p>
    <w:p w14:paraId="490FC2C4" w14:textId="6899DE43" w:rsidR="002C50EE" w:rsidRDefault="002C50EE" w:rsidP="002C50EE">
      <w:pPr>
        <w:pStyle w:val="Heading1"/>
      </w:pPr>
      <w:r>
        <w:t>4. КЛИНИЧНИ ДАННИ</w:t>
      </w:r>
    </w:p>
    <w:p w14:paraId="25C765CE" w14:textId="0CCC115A" w:rsidR="001A6EBD" w:rsidRDefault="002C50EE" w:rsidP="00471F10">
      <w:pPr>
        <w:pStyle w:val="Heading2"/>
      </w:pPr>
      <w:r>
        <w:t>4.1. Терапевтични показания</w:t>
      </w:r>
    </w:p>
    <w:p w14:paraId="0BC25D1A" w14:textId="3A7A52C9" w:rsidR="000655BC" w:rsidRDefault="000655BC" w:rsidP="000655BC"/>
    <w:p w14:paraId="01C6C689" w14:textId="57F0F9C2" w:rsidR="000655BC" w:rsidRDefault="000655BC" w:rsidP="000655BC">
      <w:pPr>
        <w:rPr>
          <w:lang w:eastAsia="bg-BG"/>
        </w:rPr>
      </w:pPr>
      <w:r w:rsidRPr="000655BC">
        <w:rPr>
          <w:lang w:eastAsia="bg-BG"/>
        </w:rPr>
        <w:t>Есенциална хипертония.</w:t>
      </w:r>
    </w:p>
    <w:p w14:paraId="52AA643D" w14:textId="77777777" w:rsidR="000655BC" w:rsidRPr="000655BC" w:rsidRDefault="000655BC" w:rsidP="000655BC">
      <w:pPr>
        <w:rPr>
          <w:sz w:val="24"/>
          <w:szCs w:val="24"/>
        </w:rPr>
      </w:pPr>
    </w:p>
    <w:p w14:paraId="19026639" w14:textId="37BAF064" w:rsidR="001A6EBD" w:rsidRDefault="002C50EE" w:rsidP="00471F10">
      <w:pPr>
        <w:pStyle w:val="Heading2"/>
      </w:pPr>
      <w:r>
        <w:t>4.2. Дозировка и начин на приложение</w:t>
      </w:r>
    </w:p>
    <w:p w14:paraId="19A50EC9" w14:textId="6C35026B" w:rsidR="000655BC" w:rsidRDefault="000655BC" w:rsidP="000655BC"/>
    <w:p w14:paraId="0CAA7D14" w14:textId="77777777" w:rsidR="000655BC" w:rsidRPr="000655BC" w:rsidRDefault="000655BC" w:rsidP="000655BC">
      <w:pPr>
        <w:pStyle w:val="Heading3"/>
        <w:rPr>
          <w:rFonts w:eastAsia="Times New Roman"/>
          <w:sz w:val="28"/>
          <w:u w:val="single"/>
        </w:rPr>
      </w:pPr>
      <w:r w:rsidRPr="000655BC">
        <w:rPr>
          <w:rFonts w:eastAsia="Times New Roman"/>
          <w:u w:val="single"/>
          <w:lang w:eastAsia="bg-BG"/>
        </w:rPr>
        <w:t>Дозировка</w:t>
      </w:r>
    </w:p>
    <w:p w14:paraId="54F41034" w14:textId="77777777" w:rsidR="000655BC" w:rsidRPr="000655BC" w:rsidRDefault="000655BC" w:rsidP="000655BC">
      <w:pPr>
        <w:spacing w:line="240" w:lineRule="auto"/>
        <w:rPr>
          <w:rFonts w:eastAsia="Times New Roman" w:cs="Arial"/>
          <w:i/>
          <w:iCs/>
          <w:color w:val="000000"/>
          <w:szCs w:val="20"/>
          <w:lang w:eastAsia="bg-BG"/>
        </w:rPr>
      </w:pPr>
    </w:p>
    <w:p w14:paraId="038D0CE9" w14:textId="15A779B0" w:rsidR="000655BC" w:rsidRPr="000655BC" w:rsidRDefault="000655BC" w:rsidP="000655BC">
      <w:pPr>
        <w:spacing w:line="240" w:lineRule="auto"/>
        <w:rPr>
          <w:rFonts w:eastAsia="Times New Roman" w:cs="Arial"/>
          <w:sz w:val="28"/>
          <w:szCs w:val="24"/>
        </w:rPr>
      </w:pPr>
      <w:r w:rsidRPr="000655BC">
        <w:rPr>
          <w:rFonts w:eastAsia="Times New Roman" w:cs="Arial"/>
          <w:i/>
          <w:iCs/>
          <w:color w:val="000000"/>
          <w:szCs w:val="20"/>
          <w:lang w:eastAsia="bg-BG"/>
        </w:rPr>
        <w:t>Възрастни</w:t>
      </w:r>
    </w:p>
    <w:p w14:paraId="5534F34D" w14:textId="77777777"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 xml:space="preserve">Препоръчана дневна доза е 2,5 </w:t>
      </w:r>
      <w:r w:rsidRPr="000655BC">
        <w:rPr>
          <w:rFonts w:eastAsia="Times New Roman" w:cs="Arial"/>
          <w:color w:val="000000"/>
          <w:szCs w:val="20"/>
          <w:lang w:val="en-US"/>
        </w:rPr>
        <w:t>mg</w:t>
      </w:r>
      <w:r w:rsidRPr="000655BC">
        <w:rPr>
          <w:rFonts w:eastAsia="Times New Roman" w:cs="Arial"/>
          <w:color w:val="000000"/>
          <w:szCs w:val="20"/>
          <w:lang w:val="ru-RU"/>
        </w:rPr>
        <w:t xml:space="preserve"> </w:t>
      </w:r>
      <w:r w:rsidRPr="000655BC">
        <w:rPr>
          <w:rFonts w:eastAsia="Times New Roman" w:cs="Arial"/>
          <w:color w:val="000000"/>
          <w:szCs w:val="20"/>
          <w:lang w:eastAsia="bg-BG"/>
        </w:rPr>
        <w:t>веднъж дневно, сутрин на гладно. Повишаване на препоръчваната доза не води до по-добър терапевтичен ефект.</w:t>
      </w:r>
    </w:p>
    <w:p w14:paraId="450CC568" w14:textId="77777777" w:rsidR="000655BC" w:rsidRPr="000655BC" w:rsidRDefault="000655BC" w:rsidP="000655BC">
      <w:pPr>
        <w:spacing w:line="240" w:lineRule="auto"/>
        <w:rPr>
          <w:rFonts w:eastAsia="Times New Roman" w:cs="Arial"/>
          <w:i/>
          <w:iCs/>
          <w:color w:val="000000"/>
          <w:szCs w:val="20"/>
          <w:lang w:eastAsia="bg-BG"/>
        </w:rPr>
      </w:pPr>
    </w:p>
    <w:p w14:paraId="6B66B4B3" w14:textId="0E89519E" w:rsidR="000655BC" w:rsidRPr="000655BC" w:rsidRDefault="000655BC" w:rsidP="000655BC">
      <w:pPr>
        <w:spacing w:line="240" w:lineRule="auto"/>
        <w:rPr>
          <w:rFonts w:eastAsia="Times New Roman" w:cs="Arial"/>
          <w:sz w:val="28"/>
          <w:szCs w:val="24"/>
        </w:rPr>
      </w:pPr>
      <w:r w:rsidRPr="000655BC">
        <w:rPr>
          <w:rFonts w:eastAsia="Times New Roman" w:cs="Arial"/>
          <w:i/>
          <w:iCs/>
          <w:color w:val="000000"/>
          <w:szCs w:val="20"/>
          <w:lang w:eastAsia="bg-BG"/>
        </w:rPr>
        <w:t>Пациенти с бъбречна и чернодробна недостатъчност</w:t>
      </w:r>
    </w:p>
    <w:p w14:paraId="5E2F2E29" w14:textId="63E2CAC2"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Необходимо е редовно проследяване на клиничните и лабораторни показатели. При влошено общо състояние се препоръчва преустановяване на терапията.</w:t>
      </w:r>
    </w:p>
    <w:p w14:paraId="4DEBD41A" w14:textId="77777777" w:rsidR="000655BC" w:rsidRPr="000655BC" w:rsidRDefault="000655BC" w:rsidP="000655BC">
      <w:pPr>
        <w:spacing w:line="240" w:lineRule="auto"/>
        <w:rPr>
          <w:rFonts w:eastAsia="Times New Roman" w:cs="Arial"/>
          <w:i/>
          <w:iCs/>
          <w:color w:val="000000"/>
          <w:szCs w:val="20"/>
          <w:lang w:eastAsia="bg-BG"/>
        </w:rPr>
      </w:pPr>
    </w:p>
    <w:p w14:paraId="530AD3E7" w14:textId="15FE0AAA" w:rsidR="000655BC" w:rsidRPr="000655BC" w:rsidRDefault="000655BC" w:rsidP="000655BC">
      <w:pPr>
        <w:spacing w:line="240" w:lineRule="auto"/>
        <w:rPr>
          <w:rFonts w:eastAsia="Times New Roman" w:cs="Arial"/>
          <w:sz w:val="28"/>
          <w:szCs w:val="24"/>
        </w:rPr>
      </w:pPr>
      <w:r w:rsidRPr="000655BC">
        <w:rPr>
          <w:rFonts w:eastAsia="Times New Roman" w:cs="Arial"/>
          <w:i/>
          <w:iCs/>
          <w:color w:val="000000"/>
          <w:szCs w:val="20"/>
          <w:lang w:eastAsia="bg-BG"/>
        </w:rPr>
        <w:t>Педиатрична популация</w:t>
      </w:r>
    </w:p>
    <w:p w14:paraId="61702C2B" w14:textId="77777777"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Продуктът не се препоръчва за употреба при деца и юноши поради липса на данни за безопасност и ефективност.</w:t>
      </w:r>
    </w:p>
    <w:p w14:paraId="659E71E0" w14:textId="77777777" w:rsidR="000655BC" w:rsidRPr="000655BC" w:rsidRDefault="000655BC" w:rsidP="000655BC">
      <w:pPr>
        <w:spacing w:line="240" w:lineRule="auto"/>
        <w:rPr>
          <w:rFonts w:eastAsia="Times New Roman" w:cs="Arial"/>
          <w:color w:val="000000"/>
          <w:szCs w:val="20"/>
          <w:u w:val="single"/>
          <w:lang w:eastAsia="bg-BG"/>
        </w:rPr>
      </w:pPr>
    </w:p>
    <w:p w14:paraId="275B5300" w14:textId="6B34DA0F" w:rsidR="000655BC" w:rsidRPr="000655BC" w:rsidRDefault="000655BC" w:rsidP="000655BC">
      <w:pPr>
        <w:pStyle w:val="Heading3"/>
        <w:rPr>
          <w:rFonts w:eastAsia="Times New Roman"/>
          <w:sz w:val="28"/>
          <w:u w:val="single"/>
        </w:rPr>
      </w:pPr>
      <w:r w:rsidRPr="000655BC">
        <w:rPr>
          <w:rFonts w:eastAsia="Times New Roman"/>
          <w:u w:val="single"/>
          <w:lang w:eastAsia="bg-BG"/>
        </w:rPr>
        <w:t>Начин на приложение</w:t>
      </w:r>
    </w:p>
    <w:p w14:paraId="758BF79F" w14:textId="77777777"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Перорално.</w:t>
      </w:r>
    </w:p>
    <w:p w14:paraId="049CE436" w14:textId="11EBA218" w:rsidR="000655BC" w:rsidRPr="000655BC" w:rsidRDefault="000655BC" w:rsidP="000655BC"/>
    <w:p w14:paraId="1BF2EFF4" w14:textId="0226B041" w:rsidR="001A6EBD" w:rsidRDefault="002C50EE" w:rsidP="00471F10">
      <w:pPr>
        <w:pStyle w:val="Heading2"/>
      </w:pPr>
      <w:r>
        <w:t>4.3. Противопоказания</w:t>
      </w:r>
    </w:p>
    <w:p w14:paraId="21446FA1" w14:textId="597B27F0" w:rsidR="000655BC" w:rsidRDefault="000655BC" w:rsidP="000655BC"/>
    <w:p w14:paraId="209D4C8E" w14:textId="77777777" w:rsidR="000655BC" w:rsidRPr="000655BC" w:rsidRDefault="000655BC" w:rsidP="000655BC">
      <w:pPr>
        <w:pStyle w:val="ListParagraph"/>
        <w:numPr>
          <w:ilvl w:val="0"/>
          <w:numId w:val="38"/>
        </w:numPr>
        <w:spacing w:line="240" w:lineRule="auto"/>
        <w:rPr>
          <w:rFonts w:eastAsia="Times New Roman" w:cs="Arial"/>
          <w:sz w:val="28"/>
          <w:szCs w:val="24"/>
        </w:rPr>
      </w:pPr>
      <w:r w:rsidRPr="000655BC">
        <w:rPr>
          <w:rFonts w:eastAsia="Times New Roman" w:cs="Arial"/>
          <w:color w:val="000000"/>
          <w:szCs w:val="20"/>
          <w:lang w:eastAsia="bg-BG"/>
        </w:rPr>
        <w:lastRenderedPageBreak/>
        <w:t>Свръхчувствителност към индапамид, към някое от помощните вещества, към сулфонамид съдържащи лекарствени продукти, както и към някое от помощните вещества, изброени в точка 6.1.</w:t>
      </w:r>
    </w:p>
    <w:p w14:paraId="3D7C3F09" w14:textId="77777777" w:rsidR="000655BC" w:rsidRPr="000655BC" w:rsidRDefault="000655BC" w:rsidP="000655BC">
      <w:pPr>
        <w:pStyle w:val="ListParagraph"/>
        <w:numPr>
          <w:ilvl w:val="0"/>
          <w:numId w:val="38"/>
        </w:numPr>
        <w:spacing w:line="240" w:lineRule="auto"/>
        <w:rPr>
          <w:rFonts w:eastAsia="Times New Roman" w:cs="Arial"/>
          <w:sz w:val="28"/>
          <w:szCs w:val="24"/>
        </w:rPr>
      </w:pPr>
      <w:r w:rsidRPr="000655BC">
        <w:rPr>
          <w:rFonts w:eastAsia="Times New Roman" w:cs="Arial"/>
          <w:color w:val="000000"/>
          <w:szCs w:val="20"/>
          <w:lang w:eastAsia="bg-BG"/>
        </w:rPr>
        <w:t>Тежка бъбречна недостатъчност.</w:t>
      </w:r>
    </w:p>
    <w:p w14:paraId="0BEA8CB6" w14:textId="77777777" w:rsidR="000655BC" w:rsidRPr="000655BC" w:rsidRDefault="000655BC" w:rsidP="000655BC">
      <w:pPr>
        <w:pStyle w:val="ListParagraph"/>
        <w:numPr>
          <w:ilvl w:val="0"/>
          <w:numId w:val="38"/>
        </w:numPr>
        <w:spacing w:line="240" w:lineRule="auto"/>
        <w:rPr>
          <w:rFonts w:eastAsia="Times New Roman" w:cs="Arial"/>
          <w:sz w:val="28"/>
          <w:szCs w:val="24"/>
        </w:rPr>
      </w:pPr>
      <w:r w:rsidRPr="000655BC">
        <w:rPr>
          <w:rFonts w:eastAsia="Times New Roman" w:cs="Arial"/>
          <w:color w:val="000000"/>
          <w:szCs w:val="20"/>
          <w:lang w:eastAsia="bg-BG"/>
        </w:rPr>
        <w:t xml:space="preserve">Тежка чернодробна недостатъчност или чернодробна енцефалопатия. </w:t>
      </w:r>
    </w:p>
    <w:p w14:paraId="4C5B4474" w14:textId="628B0FD0" w:rsidR="000655BC" w:rsidRPr="000655BC" w:rsidRDefault="000655BC" w:rsidP="000655BC">
      <w:pPr>
        <w:pStyle w:val="ListParagraph"/>
        <w:numPr>
          <w:ilvl w:val="0"/>
          <w:numId w:val="38"/>
        </w:numPr>
        <w:spacing w:line="240" w:lineRule="auto"/>
        <w:rPr>
          <w:rFonts w:eastAsia="Times New Roman" w:cs="Arial"/>
          <w:sz w:val="28"/>
          <w:szCs w:val="24"/>
        </w:rPr>
      </w:pPr>
      <w:r w:rsidRPr="000655BC">
        <w:rPr>
          <w:rFonts w:eastAsia="Times New Roman" w:cs="Arial"/>
          <w:color w:val="000000"/>
          <w:szCs w:val="20"/>
          <w:lang w:eastAsia="bg-BG"/>
        </w:rPr>
        <w:t>Хипокалиемия.</w:t>
      </w:r>
    </w:p>
    <w:p w14:paraId="64B818B9" w14:textId="77777777" w:rsidR="000655BC" w:rsidRPr="000655BC" w:rsidRDefault="000655BC" w:rsidP="000655BC"/>
    <w:p w14:paraId="0C106098" w14:textId="4E7FF490" w:rsidR="001A6EBD" w:rsidRDefault="002C50EE" w:rsidP="00471F10">
      <w:pPr>
        <w:pStyle w:val="Heading2"/>
      </w:pPr>
      <w:r>
        <w:t>4.4. Специални предупреждения и предпазни мерки при употреба</w:t>
      </w:r>
    </w:p>
    <w:p w14:paraId="1DD608CA" w14:textId="371BE402" w:rsidR="000655BC" w:rsidRDefault="000655BC" w:rsidP="000655BC"/>
    <w:p w14:paraId="3C7B40DB" w14:textId="77777777" w:rsidR="000655BC" w:rsidRPr="000655BC" w:rsidRDefault="000655BC" w:rsidP="000655BC">
      <w:pPr>
        <w:spacing w:line="240" w:lineRule="auto"/>
        <w:rPr>
          <w:rFonts w:eastAsia="Times New Roman" w:cs="Arial"/>
          <w:sz w:val="28"/>
          <w:szCs w:val="24"/>
        </w:rPr>
      </w:pPr>
      <w:r w:rsidRPr="000655BC">
        <w:rPr>
          <w:rFonts w:eastAsia="Times New Roman" w:cs="Arial"/>
          <w:i/>
          <w:iCs/>
          <w:color w:val="000000"/>
          <w:szCs w:val="20"/>
          <w:u w:val="single"/>
          <w:lang w:eastAsia="bg-BG"/>
        </w:rPr>
        <w:t>При нарушена чернодробна функция</w:t>
      </w:r>
      <w:r w:rsidRPr="000655BC">
        <w:rPr>
          <w:rFonts w:eastAsia="Times New Roman" w:cs="Arial"/>
          <w:color w:val="000000"/>
          <w:szCs w:val="20"/>
          <w:lang w:eastAsia="bg-BG"/>
        </w:rPr>
        <w:t xml:space="preserve"> тиазидните и тиазид-подобните диуретици могат да предизвикат чернодробна енцефалопатия, особено в случай на електролитен дисбаланс. В този случай приемането на диуретици трябва да бъде преустановено незабавно.</w:t>
      </w:r>
    </w:p>
    <w:p w14:paraId="4F3B904C" w14:textId="77777777" w:rsidR="000655BC" w:rsidRPr="000655BC" w:rsidRDefault="000655BC" w:rsidP="000655BC">
      <w:pPr>
        <w:spacing w:line="240" w:lineRule="auto"/>
        <w:rPr>
          <w:rFonts w:eastAsia="Times New Roman" w:cs="Arial"/>
          <w:i/>
          <w:iCs/>
          <w:color w:val="000000"/>
          <w:szCs w:val="20"/>
          <w:u w:val="single"/>
          <w:lang w:eastAsia="bg-BG"/>
        </w:rPr>
      </w:pPr>
    </w:p>
    <w:p w14:paraId="5F73ECE5" w14:textId="7A9F603A" w:rsidR="000655BC" w:rsidRPr="000655BC" w:rsidRDefault="000655BC" w:rsidP="000655BC">
      <w:pPr>
        <w:spacing w:line="240" w:lineRule="auto"/>
        <w:rPr>
          <w:rFonts w:eastAsia="Times New Roman" w:cs="Arial"/>
          <w:sz w:val="28"/>
          <w:szCs w:val="24"/>
        </w:rPr>
      </w:pPr>
      <w:r w:rsidRPr="000655BC">
        <w:rPr>
          <w:rFonts w:eastAsia="Times New Roman" w:cs="Arial"/>
          <w:i/>
          <w:iCs/>
          <w:color w:val="000000"/>
          <w:szCs w:val="20"/>
          <w:u w:val="single"/>
          <w:lang w:eastAsia="bg-BG"/>
        </w:rPr>
        <w:t>Фоточувствителност</w:t>
      </w:r>
    </w:p>
    <w:p w14:paraId="7D53F723" w14:textId="77777777"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 xml:space="preserve">Индапамид може да повиши чувствителността на пациента към слънчева светлина. Случаи на фоточувствителност са докладвани с тиазидни и тиазид-подобни диуретици (виж т. 4.8). Ако се появи реакция на фоточувствителност по време на лечението, се препоръчва преустановяването му. Ако се налага повторен прием на продукта, се препоръчва защита на изложените на слънце или на </w:t>
      </w:r>
      <w:r w:rsidRPr="000655BC">
        <w:rPr>
          <w:rFonts w:eastAsia="Times New Roman" w:cs="Arial"/>
          <w:color w:val="000000"/>
          <w:szCs w:val="20"/>
          <w:lang w:val="en-US"/>
        </w:rPr>
        <w:t>U</w:t>
      </w:r>
      <w:r w:rsidRPr="000655BC">
        <w:rPr>
          <w:rFonts w:eastAsia="Times New Roman" w:cs="Arial"/>
          <w:color w:val="000000"/>
          <w:szCs w:val="20"/>
          <w:lang w:eastAsia="bg-BG"/>
        </w:rPr>
        <w:t>V светлина части на тялото.</w:t>
      </w:r>
    </w:p>
    <w:p w14:paraId="2D86AA00" w14:textId="77777777" w:rsidR="000655BC" w:rsidRPr="000655BC" w:rsidRDefault="000655BC" w:rsidP="000655BC">
      <w:pPr>
        <w:spacing w:line="240" w:lineRule="auto"/>
        <w:rPr>
          <w:rFonts w:eastAsia="Times New Roman" w:cs="Arial"/>
          <w:i/>
          <w:iCs/>
          <w:color w:val="000000"/>
          <w:szCs w:val="20"/>
          <w:u w:val="single"/>
          <w:lang w:eastAsia="bg-BG"/>
        </w:rPr>
      </w:pPr>
    </w:p>
    <w:p w14:paraId="193CF3C7" w14:textId="3B1B9DEF" w:rsidR="000655BC" w:rsidRPr="000655BC" w:rsidRDefault="000655BC" w:rsidP="000655BC">
      <w:pPr>
        <w:spacing w:line="240" w:lineRule="auto"/>
        <w:rPr>
          <w:rFonts w:eastAsia="Times New Roman" w:cs="Arial"/>
          <w:sz w:val="28"/>
          <w:szCs w:val="24"/>
        </w:rPr>
      </w:pPr>
      <w:r w:rsidRPr="000655BC">
        <w:rPr>
          <w:rFonts w:eastAsia="Times New Roman" w:cs="Arial"/>
          <w:i/>
          <w:iCs/>
          <w:color w:val="000000"/>
          <w:szCs w:val="20"/>
          <w:u w:val="single"/>
          <w:lang w:eastAsia="bg-BG"/>
        </w:rPr>
        <w:t>Хороидален излив, остра миопия и вторична закритоъгълна глаукома</w:t>
      </w:r>
    </w:p>
    <w:p w14:paraId="5260C8B9" w14:textId="77777777"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преходна миопия и остра закритоъгълна глаукома. Симптомите включват остро начало на намалена зрителна острота или болка в очите и обикновено се проявяват в рамките на часове до седмица след започване на лечението. Нелекуваната остра закритоъгълна глаукома може да доведе до трайна загуба на зрението.</w:t>
      </w:r>
    </w:p>
    <w:p w14:paraId="66013A38" w14:textId="77777777"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Основното лечение е да се прекрати приемът на медикамента възможно най-бързо. Може да се наложи незабавно медицинска или хирургична намеса, ако вътреочното налягане остане неконтролирано. Рискови фактори за развитие на остра закритоъгълна глаукома могат да включват анамнеза за алергия към сулфонамиди или пеницилини.</w:t>
      </w:r>
    </w:p>
    <w:p w14:paraId="5396C374" w14:textId="77777777" w:rsidR="000655BC" w:rsidRPr="000655BC" w:rsidRDefault="000655BC" w:rsidP="000655BC">
      <w:pPr>
        <w:spacing w:line="240" w:lineRule="auto"/>
        <w:rPr>
          <w:rFonts w:eastAsia="Times New Roman" w:cs="Arial"/>
          <w:i/>
          <w:iCs/>
          <w:color w:val="000000"/>
          <w:szCs w:val="20"/>
          <w:u w:val="single"/>
          <w:lang w:eastAsia="bg-BG"/>
        </w:rPr>
      </w:pPr>
    </w:p>
    <w:p w14:paraId="58236E74" w14:textId="2234831D" w:rsidR="000655BC" w:rsidRPr="000655BC" w:rsidRDefault="000655BC" w:rsidP="000655BC">
      <w:pPr>
        <w:spacing w:line="240" w:lineRule="auto"/>
        <w:rPr>
          <w:rFonts w:eastAsia="Times New Roman" w:cs="Arial"/>
          <w:sz w:val="28"/>
          <w:szCs w:val="24"/>
        </w:rPr>
      </w:pPr>
      <w:r w:rsidRPr="000655BC">
        <w:rPr>
          <w:rFonts w:eastAsia="Times New Roman" w:cs="Arial"/>
          <w:i/>
          <w:iCs/>
          <w:color w:val="000000"/>
          <w:szCs w:val="20"/>
          <w:u w:val="single"/>
          <w:lang w:eastAsia="bg-BG"/>
        </w:rPr>
        <w:t>Серумен натрий</w:t>
      </w:r>
    </w:p>
    <w:p w14:paraId="6251387F" w14:textId="77777777"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Необходимо е да се определи плазмената концентрация на натрия преди началото на лечението с индапамид, а след това периодично да се проследява. Лечението с диуретик може да предизвика хипонатриемия, понякога със сериозни последици. Хипонатриемията в началото може да бъде безсимптомна, което налага редовен контрол, а и още по-чест такъв при пациенти в риск - възрастни или пациенти с цироза (виж т.т. 4.8 и 4.9). Хипонатремията, свързана с хиповолемия може да доведе до дехидратация и ортостатична хипотония. Съпътстващата загуба на хлорни йони може да предизвика компенсаторна вторична метаболитна алкалоза: честотата и силата на този ефект не са значими.</w:t>
      </w:r>
    </w:p>
    <w:p w14:paraId="60C9DBE2" w14:textId="77777777" w:rsidR="000655BC" w:rsidRPr="000655BC" w:rsidRDefault="000655BC" w:rsidP="000655BC">
      <w:pPr>
        <w:spacing w:line="240" w:lineRule="auto"/>
        <w:rPr>
          <w:rFonts w:eastAsia="Times New Roman" w:cs="Arial"/>
          <w:i/>
          <w:iCs/>
          <w:color w:val="000000"/>
          <w:szCs w:val="20"/>
          <w:u w:val="single"/>
          <w:lang w:eastAsia="bg-BG"/>
        </w:rPr>
      </w:pPr>
    </w:p>
    <w:p w14:paraId="60F1509A" w14:textId="59D523C3" w:rsidR="000655BC" w:rsidRPr="000655BC" w:rsidRDefault="000655BC" w:rsidP="000655BC">
      <w:pPr>
        <w:spacing w:line="240" w:lineRule="auto"/>
        <w:rPr>
          <w:rFonts w:eastAsia="Times New Roman" w:cs="Arial"/>
          <w:sz w:val="28"/>
          <w:szCs w:val="24"/>
        </w:rPr>
      </w:pPr>
      <w:r w:rsidRPr="000655BC">
        <w:rPr>
          <w:rFonts w:eastAsia="Times New Roman" w:cs="Arial"/>
          <w:i/>
          <w:iCs/>
          <w:color w:val="000000"/>
          <w:szCs w:val="20"/>
          <w:u w:val="single"/>
          <w:lang w:eastAsia="bg-BG"/>
        </w:rPr>
        <w:t>Серумен калий</w:t>
      </w:r>
    </w:p>
    <w:p w14:paraId="24AE1670" w14:textId="77777777"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Най-сериозен риск при терапия с тиазидни диуретици и техни аналози е излъчването на калий с урината. По-честото проследяване стойностите на серумния калий е необходимо при пациенти от рискови групи, като пациенти в старческа възраст, недохранени и/или пациенти с полипрагмазия, с цироза, асцит, отоци, коронарна болест, сърдечна недостатъчност. В този случай хипокалиемията повишава сърдечната токсичност на дигиталисовите препарати, както и риска от смущения на ритъма.</w:t>
      </w:r>
    </w:p>
    <w:p w14:paraId="459F8F25" w14:textId="77777777"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lastRenderedPageBreak/>
        <w:t xml:space="preserve">Пациенти с удължен </w:t>
      </w:r>
      <w:r w:rsidRPr="000655BC">
        <w:rPr>
          <w:rFonts w:eastAsia="Times New Roman" w:cs="Arial"/>
          <w:color w:val="000000"/>
          <w:szCs w:val="20"/>
          <w:lang w:val="en-US"/>
        </w:rPr>
        <w:t>QT</w:t>
      </w:r>
      <w:r w:rsidRPr="000655BC">
        <w:rPr>
          <w:rFonts w:eastAsia="Times New Roman" w:cs="Arial"/>
          <w:color w:val="000000"/>
          <w:szCs w:val="20"/>
          <w:lang w:eastAsia="bg-BG"/>
        </w:rPr>
        <w:t xml:space="preserve">-интервал попадат също в рисковата група, независимо дали заболяванията са вродени или ятрогенни. Хипокалиемията (както и брадикардията), действа в тези случаи като фактор, благоприятстващ появата на тежки смущения в ритъма и по-специално </w:t>
      </w:r>
      <w:proofErr w:type="spellStart"/>
      <w:r w:rsidRPr="000655BC">
        <w:rPr>
          <w:rFonts w:eastAsia="Times New Roman" w:cs="Arial"/>
          <w:i/>
          <w:iCs/>
          <w:color w:val="000000"/>
          <w:szCs w:val="20"/>
          <w:lang w:val="en-US"/>
        </w:rPr>
        <w:t>torsades</w:t>
      </w:r>
      <w:proofErr w:type="spellEnd"/>
      <w:r w:rsidRPr="000655BC">
        <w:rPr>
          <w:rFonts w:eastAsia="Times New Roman" w:cs="Arial"/>
          <w:i/>
          <w:iCs/>
          <w:color w:val="000000"/>
          <w:szCs w:val="20"/>
          <w:lang w:val="ru-RU"/>
        </w:rPr>
        <w:t xml:space="preserve"> </w:t>
      </w:r>
      <w:r w:rsidRPr="000655BC">
        <w:rPr>
          <w:rFonts w:eastAsia="Times New Roman" w:cs="Arial"/>
          <w:i/>
          <w:iCs/>
          <w:color w:val="000000"/>
          <w:szCs w:val="20"/>
          <w:lang w:val="en-US"/>
        </w:rPr>
        <w:t>de</w:t>
      </w:r>
      <w:r w:rsidRPr="000655BC">
        <w:rPr>
          <w:rFonts w:eastAsia="Times New Roman" w:cs="Arial"/>
          <w:i/>
          <w:iCs/>
          <w:color w:val="000000"/>
          <w:szCs w:val="20"/>
          <w:lang w:val="ru-RU"/>
        </w:rPr>
        <w:t xml:space="preserve"> </w:t>
      </w:r>
      <w:r w:rsidRPr="000655BC">
        <w:rPr>
          <w:rFonts w:eastAsia="Times New Roman" w:cs="Arial"/>
          <w:i/>
          <w:iCs/>
          <w:color w:val="000000"/>
          <w:szCs w:val="20"/>
          <w:lang w:val="en-US"/>
        </w:rPr>
        <w:t>pointes</w:t>
      </w:r>
      <w:r w:rsidRPr="000655BC">
        <w:rPr>
          <w:rFonts w:eastAsia="Times New Roman" w:cs="Arial"/>
          <w:i/>
          <w:iCs/>
          <w:color w:val="000000"/>
          <w:szCs w:val="20"/>
          <w:lang w:val="ru-RU"/>
        </w:rPr>
        <w:t>,</w:t>
      </w:r>
      <w:r w:rsidRPr="000655BC">
        <w:rPr>
          <w:rFonts w:eastAsia="Times New Roman" w:cs="Arial"/>
          <w:color w:val="000000"/>
          <w:szCs w:val="20"/>
          <w:lang w:val="ru-RU"/>
        </w:rPr>
        <w:t xml:space="preserve"> </w:t>
      </w:r>
      <w:r w:rsidRPr="000655BC">
        <w:rPr>
          <w:rFonts w:eastAsia="Times New Roman" w:cs="Arial"/>
          <w:color w:val="000000"/>
          <w:szCs w:val="20"/>
          <w:lang w:eastAsia="bg-BG"/>
        </w:rPr>
        <w:t>които са потенциално фатални.</w:t>
      </w:r>
    </w:p>
    <w:p w14:paraId="15434AB9" w14:textId="77777777"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 xml:space="preserve">Първото определяне на плазмения калий трябва да се извърши една седмица след началото на лечението. При установяване на хипокалиемия (&lt;3,5 </w:t>
      </w:r>
      <w:proofErr w:type="spellStart"/>
      <w:r w:rsidRPr="000655BC">
        <w:rPr>
          <w:rFonts w:eastAsia="Times New Roman" w:cs="Arial"/>
          <w:color w:val="000000"/>
          <w:szCs w:val="20"/>
          <w:lang w:val="en-US"/>
        </w:rPr>
        <w:t>mmol</w:t>
      </w:r>
      <w:proofErr w:type="spellEnd"/>
      <w:r w:rsidRPr="000655BC">
        <w:rPr>
          <w:rFonts w:eastAsia="Times New Roman" w:cs="Arial"/>
          <w:color w:val="000000"/>
          <w:szCs w:val="20"/>
          <w:lang w:val="ru-RU"/>
        </w:rPr>
        <w:t>/</w:t>
      </w:r>
      <w:r w:rsidRPr="000655BC">
        <w:rPr>
          <w:rFonts w:eastAsia="Times New Roman" w:cs="Arial"/>
          <w:color w:val="000000"/>
          <w:szCs w:val="20"/>
          <w:lang w:val="en-US"/>
        </w:rPr>
        <w:t>l</w:t>
      </w:r>
      <w:r w:rsidRPr="000655BC">
        <w:rPr>
          <w:rFonts w:eastAsia="Times New Roman" w:cs="Arial"/>
          <w:color w:val="000000"/>
          <w:szCs w:val="20"/>
          <w:lang w:val="ru-RU"/>
        </w:rPr>
        <w:t xml:space="preserve">) </w:t>
      </w:r>
      <w:r w:rsidRPr="000655BC">
        <w:rPr>
          <w:rFonts w:eastAsia="Times New Roman" w:cs="Arial"/>
          <w:color w:val="000000"/>
          <w:szCs w:val="20"/>
          <w:lang w:eastAsia="bg-BG"/>
        </w:rPr>
        <w:t>тя трябва да бъде коригирана. Хипокалиемия, установена заедно с ниска серумна концентрация на магнезий, може да не се повлияе от лечението, освен ако серумният магнезий не бъде коригиран.</w:t>
      </w:r>
    </w:p>
    <w:p w14:paraId="63883D45" w14:textId="77777777" w:rsidR="000655BC" w:rsidRPr="000655BC" w:rsidRDefault="000655BC" w:rsidP="000655BC">
      <w:pPr>
        <w:spacing w:line="240" w:lineRule="auto"/>
        <w:rPr>
          <w:rFonts w:eastAsia="Times New Roman" w:cs="Arial"/>
          <w:i/>
          <w:iCs/>
          <w:color w:val="000000"/>
          <w:szCs w:val="20"/>
          <w:u w:val="single"/>
          <w:lang w:eastAsia="bg-BG"/>
        </w:rPr>
      </w:pPr>
    </w:p>
    <w:p w14:paraId="51964B3C" w14:textId="59D1DFEC" w:rsidR="000655BC" w:rsidRPr="000655BC" w:rsidRDefault="000655BC" w:rsidP="000655BC">
      <w:pPr>
        <w:spacing w:line="240" w:lineRule="auto"/>
        <w:rPr>
          <w:rFonts w:eastAsia="Times New Roman" w:cs="Arial"/>
          <w:sz w:val="28"/>
          <w:szCs w:val="24"/>
          <w:u w:val="single"/>
        </w:rPr>
      </w:pPr>
      <w:r w:rsidRPr="000655BC">
        <w:rPr>
          <w:rFonts w:eastAsia="Times New Roman" w:cs="Arial"/>
          <w:i/>
          <w:iCs/>
          <w:color w:val="000000"/>
          <w:szCs w:val="20"/>
          <w:u w:val="single"/>
          <w:lang w:eastAsia="bg-BG"/>
        </w:rPr>
        <w:t>Серумен магнезий</w:t>
      </w:r>
    </w:p>
    <w:p w14:paraId="0DD12733" w14:textId="77777777"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Доказано е, че тиазидите и техните аналози, включително индапамид, повишават екскрецията на магнезий с урината, което може да доведе до хипомагнезиемия (вж.точки 4.5 и 4.8).</w:t>
      </w:r>
      <w:bookmarkStart w:id="1" w:name="bookmark0"/>
      <w:bookmarkEnd w:id="1"/>
    </w:p>
    <w:p w14:paraId="2BD9804F" w14:textId="77777777" w:rsidR="000655BC" w:rsidRPr="000655BC" w:rsidRDefault="000655BC" w:rsidP="000655BC">
      <w:pPr>
        <w:spacing w:line="240" w:lineRule="auto"/>
        <w:rPr>
          <w:rFonts w:eastAsia="Times New Roman" w:cs="Arial"/>
          <w:sz w:val="28"/>
          <w:szCs w:val="24"/>
        </w:rPr>
      </w:pPr>
    </w:p>
    <w:p w14:paraId="1A2C4199" w14:textId="3B056A75" w:rsidR="000655BC" w:rsidRPr="000655BC" w:rsidRDefault="000655BC" w:rsidP="000655BC">
      <w:pPr>
        <w:spacing w:line="240" w:lineRule="auto"/>
        <w:rPr>
          <w:rFonts w:eastAsia="Times New Roman" w:cs="Arial"/>
          <w:sz w:val="28"/>
          <w:szCs w:val="24"/>
        </w:rPr>
      </w:pPr>
      <w:r w:rsidRPr="000655BC">
        <w:rPr>
          <w:rFonts w:eastAsia="Times New Roman" w:cs="Arial"/>
          <w:i/>
          <w:iCs/>
          <w:color w:val="000000"/>
          <w:szCs w:val="20"/>
          <w:u w:val="single"/>
          <w:lang w:eastAsia="bg-BG"/>
        </w:rPr>
        <w:t>Калций</w:t>
      </w:r>
    </w:p>
    <w:p w14:paraId="39771527" w14:textId="77777777" w:rsidR="000655BC" w:rsidRPr="000655BC" w:rsidRDefault="000655BC" w:rsidP="000655BC">
      <w:pPr>
        <w:rPr>
          <w:rFonts w:eastAsia="Times New Roman" w:cs="Arial"/>
          <w:sz w:val="28"/>
          <w:szCs w:val="24"/>
        </w:rPr>
      </w:pPr>
      <w:r w:rsidRPr="000655BC">
        <w:rPr>
          <w:rFonts w:eastAsia="Times New Roman" w:cs="Arial"/>
          <w:color w:val="000000"/>
          <w:szCs w:val="20"/>
          <w:lang w:eastAsia="bg-BG"/>
        </w:rPr>
        <w:t>Тиазидните и сродни на тях диуретици могат да понижат екскрецията на калция с урината и да предизвикат леко и транзиторно повишение на плазмените му концентрации. Хиперкалциемията може да се дължи на предхождащ неустановен хиперпаратиреоидизъм, което налага преустановяване на лечението и изследване на паратиреоидната функция.</w:t>
      </w:r>
    </w:p>
    <w:p w14:paraId="7092750B" w14:textId="77777777" w:rsidR="000655BC" w:rsidRPr="000655BC" w:rsidRDefault="000655BC" w:rsidP="000655BC">
      <w:pPr>
        <w:spacing w:line="240" w:lineRule="auto"/>
        <w:rPr>
          <w:rFonts w:eastAsia="Times New Roman" w:cs="Arial"/>
          <w:i/>
          <w:iCs/>
          <w:color w:val="000000"/>
          <w:szCs w:val="20"/>
          <w:u w:val="single"/>
          <w:lang w:eastAsia="bg-BG"/>
        </w:rPr>
      </w:pPr>
    </w:p>
    <w:p w14:paraId="28734A51" w14:textId="211CFFEA" w:rsidR="000655BC" w:rsidRPr="000655BC" w:rsidRDefault="000655BC" w:rsidP="000655BC">
      <w:pPr>
        <w:spacing w:line="240" w:lineRule="auto"/>
        <w:rPr>
          <w:rFonts w:eastAsia="Times New Roman" w:cs="Arial"/>
          <w:sz w:val="28"/>
          <w:szCs w:val="24"/>
        </w:rPr>
      </w:pPr>
      <w:r w:rsidRPr="000655BC">
        <w:rPr>
          <w:rFonts w:eastAsia="Times New Roman" w:cs="Arial"/>
          <w:i/>
          <w:iCs/>
          <w:color w:val="000000"/>
          <w:szCs w:val="20"/>
          <w:u w:val="single"/>
          <w:lang w:eastAsia="bg-BG"/>
        </w:rPr>
        <w:t>Кръвна захар</w:t>
      </w:r>
    </w:p>
    <w:p w14:paraId="69F6D466" w14:textId="77777777"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При диабетици, особено при такива с хипокалиемия е необходимо по-често мониториране на серумната концентрация на гликозата.</w:t>
      </w:r>
    </w:p>
    <w:p w14:paraId="687B3784" w14:textId="77777777" w:rsidR="000655BC" w:rsidRPr="000655BC" w:rsidRDefault="000655BC" w:rsidP="000655BC">
      <w:pPr>
        <w:spacing w:line="240" w:lineRule="auto"/>
        <w:rPr>
          <w:rFonts w:eastAsia="Times New Roman" w:cs="Arial"/>
          <w:i/>
          <w:iCs/>
          <w:color w:val="000000"/>
          <w:szCs w:val="20"/>
          <w:u w:val="single"/>
          <w:lang w:eastAsia="bg-BG"/>
        </w:rPr>
      </w:pPr>
    </w:p>
    <w:p w14:paraId="3D3F3821" w14:textId="3DA11A50" w:rsidR="000655BC" w:rsidRPr="000655BC" w:rsidRDefault="000655BC" w:rsidP="000655BC">
      <w:pPr>
        <w:spacing w:line="240" w:lineRule="auto"/>
        <w:rPr>
          <w:rFonts w:eastAsia="Times New Roman" w:cs="Arial"/>
          <w:sz w:val="28"/>
          <w:szCs w:val="24"/>
        </w:rPr>
      </w:pPr>
      <w:r w:rsidRPr="000655BC">
        <w:rPr>
          <w:rFonts w:eastAsia="Times New Roman" w:cs="Arial"/>
          <w:i/>
          <w:iCs/>
          <w:color w:val="000000"/>
          <w:szCs w:val="20"/>
          <w:u w:val="single"/>
          <w:lang w:eastAsia="bg-BG"/>
        </w:rPr>
        <w:t>Пикочна киселина</w:t>
      </w:r>
    </w:p>
    <w:p w14:paraId="3D59131E" w14:textId="77777777"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При пациенти с хиперурикемия може да се наблюдава учестяване пристъпите на подагра.</w:t>
      </w:r>
    </w:p>
    <w:p w14:paraId="5AFC5E9C" w14:textId="77777777" w:rsidR="000655BC" w:rsidRPr="000655BC" w:rsidRDefault="000655BC" w:rsidP="000655BC">
      <w:pPr>
        <w:spacing w:line="240" w:lineRule="auto"/>
        <w:rPr>
          <w:rFonts w:eastAsia="Times New Roman" w:cs="Arial"/>
          <w:i/>
          <w:iCs/>
          <w:color w:val="000000"/>
          <w:szCs w:val="20"/>
          <w:u w:val="single"/>
          <w:lang w:eastAsia="bg-BG"/>
        </w:rPr>
      </w:pPr>
    </w:p>
    <w:p w14:paraId="1D3F4A88" w14:textId="5A0DB598" w:rsidR="000655BC" w:rsidRPr="000655BC" w:rsidRDefault="000655BC" w:rsidP="000655BC">
      <w:pPr>
        <w:spacing w:line="240" w:lineRule="auto"/>
        <w:rPr>
          <w:rFonts w:eastAsia="Times New Roman" w:cs="Arial"/>
          <w:sz w:val="28"/>
          <w:szCs w:val="24"/>
        </w:rPr>
      </w:pPr>
      <w:r w:rsidRPr="000655BC">
        <w:rPr>
          <w:rFonts w:eastAsia="Times New Roman" w:cs="Arial"/>
          <w:i/>
          <w:iCs/>
          <w:color w:val="000000"/>
          <w:szCs w:val="20"/>
          <w:u w:val="single"/>
          <w:lang w:eastAsia="bg-BG"/>
        </w:rPr>
        <w:t>Бъбречни функции и диуретици</w:t>
      </w:r>
    </w:p>
    <w:p w14:paraId="201AF4B6" w14:textId="77777777"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В началото на лечението с диуретици настъпва вторична хиповолемия (дължаща се на загубата на вода и натрий), водеща до намаляване на гломерулната филтрация. В резултат на това може да се повишат серумните стойности на уреята и креатинина. Тази функционална бъбречна недостатъчност не е от значение при пациенти с нормални бъбречни функции, но може да влоши състоянието на пациенти с вече съществуваща бъбречна недостатъчност.</w:t>
      </w:r>
    </w:p>
    <w:p w14:paraId="452AB186" w14:textId="77777777"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 xml:space="preserve">Тиазидните и сродните им диуретици са напълно ефикасни при нормална или леко увредена бъбречна функция (стойности на креатинин под 25 </w:t>
      </w:r>
      <w:r w:rsidRPr="000655BC">
        <w:rPr>
          <w:rFonts w:eastAsia="Times New Roman" w:cs="Arial"/>
          <w:color w:val="000000"/>
          <w:szCs w:val="20"/>
          <w:lang w:val="en-US"/>
        </w:rPr>
        <w:t>mg</w:t>
      </w:r>
      <w:r w:rsidRPr="000655BC">
        <w:rPr>
          <w:rFonts w:eastAsia="Times New Roman" w:cs="Arial"/>
          <w:color w:val="000000"/>
          <w:szCs w:val="20"/>
          <w:lang w:val="ru-RU"/>
        </w:rPr>
        <w:t xml:space="preserve">/1, </w:t>
      </w:r>
      <w:r w:rsidRPr="000655BC">
        <w:rPr>
          <w:rFonts w:eastAsia="Times New Roman" w:cs="Arial"/>
          <w:color w:val="000000"/>
          <w:szCs w:val="20"/>
          <w:lang w:eastAsia="bg-BG"/>
        </w:rPr>
        <w:t>или 220 μ</w:t>
      </w:r>
      <w:proofErr w:type="spellStart"/>
      <w:r w:rsidRPr="000655BC">
        <w:rPr>
          <w:rFonts w:eastAsia="Times New Roman" w:cs="Arial"/>
          <w:color w:val="000000"/>
          <w:szCs w:val="20"/>
          <w:lang w:val="en-US"/>
        </w:rPr>
        <w:t>mol</w:t>
      </w:r>
      <w:proofErr w:type="spellEnd"/>
      <w:r w:rsidRPr="000655BC">
        <w:rPr>
          <w:rFonts w:eastAsia="Times New Roman" w:cs="Arial"/>
          <w:color w:val="000000"/>
          <w:szCs w:val="20"/>
          <w:lang w:val="ru-RU"/>
        </w:rPr>
        <w:t>/</w:t>
      </w:r>
      <w:r w:rsidRPr="000655BC">
        <w:rPr>
          <w:rFonts w:eastAsia="Times New Roman" w:cs="Arial"/>
          <w:color w:val="000000"/>
          <w:szCs w:val="20"/>
          <w:lang w:val="en-US"/>
        </w:rPr>
        <w:t>l</w:t>
      </w:r>
      <w:r w:rsidRPr="000655BC">
        <w:rPr>
          <w:rFonts w:eastAsia="Times New Roman" w:cs="Arial"/>
          <w:color w:val="000000"/>
          <w:szCs w:val="20"/>
          <w:lang w:val="ru-RU"/>
        </w:rPr>
        <w:t xml:space="preserve"> </w:t>
      </w:r>
      <w:r w:rsidRPr="000655BC">
        <w:rPr>
          <w:rFonts w:eastAsia="Times New Roman" w:cs="Arial"/>
          <w:color w:val="000000"/>
          <w:szCs w:val="20"/>
          <w:lang w:eastAsia="bg-BG"/>
        </w:rPr>
        <w:t>при възрастни). При пациенти в старческа възраст стойностите на серумния креатинин трябва да бъдат оценени съобразно възрастта, теглото и пола.</w:t>
      </w:r>
    </w:p>
    <w:p w14:paraId="3DEC96AE" w14:textId="77777777" w:rsidR="000655BC" w:rsidRPr="000655BC" w:rsidRDefault="000655BC" w:rsidP="000655BC">
      <w:pPr>
        <w:spacing w:line="240" w:lineRule="auto"/>
        <w:rPr>
          <w:rFonts w:eastAsia="Times New Roman" w:cs="Arial"/>
          <w:i/>
          <w:iCs/>
          <w:color w:val="000000"/>
          <w:szCs w:val="20"/>
          <w:u w:val="single"/>
          <w:lang w:eastAsia="bg-BG"/>
        </w:rPr>
      </w:pPr>
    </w:p>
    <w:p w14:paraId="11E93F7E" w14:textId="1EC67113" w:rsidR="000655BC" w:rsidRPr="000655BC" w:rsidRDefault="000655BC" w:rsidP="000655BC">
      <w:pPr>
        <w:spacing w:line="240" w:lineRule="auto"/>
        <w:rPr>
          <w:rFonts w:eastAsia="Times New Roman" w:cs="Arial"/>
          <w:sz w:val="28"/>
          <w:szCs w:val="24"/>
        </w:rPr>
      </w:pPr>
      <w:r w:rsidRPr="000655BC">
        <w:rPr>
          <w:rFonts w:eastAsia="Times New Roman" w:cs="Arial"/>
          <w:i/>
          <w:iCs/>
          <w:color w:val="000000"/>
          <w:szCs w:val="20"/>
          <w:u w:val="single"/>
          <w:lang w:eastAsia="bg-BG"/>
        </w:rPr>
        <w:t>Спортисти</w:t>
      </w:r>
    </w:p>
    <w:p w14:paraId="3C358822" w14:textId="77777777"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Индапамид може да позитивира резултатите от допинг-контрола при спортисти.</w:t>
      </w:r>
    </w:p>
    <w:p w14:paraId="6635449A" w14:textId="77777777" w:rsidR="000655BC" w:rsidRPr="000655BC" w:rsidRDefault="000655BC" w:rsidP="000655BC">
      <w:pPr>
        <w:spacing w:line="240" w:lineRule="auto"/>
        <w:rPr>
          <w:rFonts w:eastAsia="Times New Roman" w:cs="Arial"/>
          <w:color w:val="000000"/>
          <w:szCs w:val="20"/>
          <w:lang w:eastAsia="bg-BG"/>
        </w:rPr>
      </w:pPr>
    </w:p>
    <w:p w14:paraId="6CB46581" w14:textId="63D7BB31"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Този лекарствен продукт съдържа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744DB2F8" w14:textId="77777777" w:rsidR="000655BC" w:rsidRPr="000655BC" w:rsidRDefault="000655BC" w:rsidP="000655BC">
      <w:pPr>
        <w:rPr>
          <w:rFonts w:eastAsia="Times New Roman" w:cs="Arial"/>
          <w:color w:val="000000"/>
          <w:szCs w:val="20"/>
          <w:lang w:eastAsia="bg-BG"/>
        </w:rPr>
      </w:pPr>
    </w:p>
    <w:p w14:paraId="4406E429" w14:textId="1CF96022" w:rsidR="000655BC" w:rsidRDefault="000655BC" w:rsidP="000655BC">
      <w:pPr>
        <w:rPr>
          <w:rFonts w:eastAsia="Times New Roman" w:cs="Arial"/>
          <w:color w:val="000000"/>
          <w:szCs w:val="20"/>
          <w:lang w:eastAsia="bg-BG"/>
        </w:rPr>
      </w:pPr>
      <w:r w:rsidRPr="000655BC">
        <w:rPr>
          <w:rFonts w:eastAsia="Times New Roman" w:cs="Arial"/>
          <w:color w:val="000000"/>
          <w:szCs w:val="20"/>
          <w:lang w:eastAsia="bg-BG"/>
        </w:rPr>
        <w:t xml:space="preserve">Пшеничното нишесте в това лекарство съдържа само много малки количества глутен, счита се, че не съдържа глутен и е малко вероятно да предизвика проблеми при пациенти </w:t>
      </w:r>
      <w:r w:rsidRPr="000655BC">
        <w:rPr>
          <w:rFonts w:eastAsia="Times New Roman" w:cs="Arial"/>
          <w:color w:val="000000"/>
          <w:szCs w:val="20"/>
          <w:lang w:eastAsia="bg-BG"/>
        </w:rPr>
        <w:lastRenderedPageBreak/>
        <w:t xml:space="preserve">с цьолиакия (непоносимост към глутен). Една таблетка Софтензиф 2,5 </w:t>
      </w:r>
      <w:r w:rsidRPr="000655BC">
        <w:rPr>
          <w:rFonts w:eastAsia="Times New Roman" w:cs="Arial"/>
          <w:color w:val="000000"/>
          <w:szCs w:val="20"/>
          <w:lang w:val="en-US"/>
        </w:rPr>
        <w:t>mg</w:t>
      </w:r>
      <w:r w:rsidRPr="000655BC">
        <w:rPr>
          <w:rFonts w:eastAsia="Times New Roman" w:cs="Arial"/>
          <w:color w:val="000000"/>
          <w:szCs w:val="20"/>
          <w:lang w:val="ru-RU"/>
        </w:rPr>
        <w:t xml:space="preserve"> </w:t>
      </w:r>
      <w:r w:rsidRPr="000655BC">
        <w:rPr>
          <w:rFonts w:eastAsia="Times New Roman" w:cs="Arial"/>
          <w:color w:val="000000"/>
          <w:szCs w:val="20"/>
          <w:lang w:eastAsia="bg-BG"/>
        </w:rPr>
        <w:t>съдържа не повече от 0,7 микрограма глутен. Пациенти с алергия към пшеница (различна от цьолиакия) не трябва да приемат този продукт.</w:t>
      </w:r>
    </w:p>
    <w:p w14:paraId="25E9C1B5" w14:textId="77777777" w:rsidR="000655BC" w:rsidRPr="000655BC" w:rsidRDefault="000655BC" w:rsidP="000655BC">
      <w:pPr>
        <w:rPr>
          <w:rFonts w:cs="Arial"/>
          <w:sz w:val="24"/>
        </w:rPr>
      </w:pPr>
    </w:p>
    <w:p w14:paraId="524AC966" w14:textId="13B90FED" w:rsidR="001A6EBD" w:rsidRDefault="002C50EE" w:rsidP="00471F1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3DA4C267" w14:textId="74C2B1F2" w:rsidR="000655BC" w:rsidRDefault="000655BC" w:rsidP="000655BC"/>
    <w:p w14:paraId="1D332781" w14:textId="77777777" w:rsidR="000655BC" w:rsidRPr="000655BC" w:rsidRDefault="000655BC" w:rsidP="000655BC">
      <w:pPr>
        <w:spacing w:line="240" w:lineRule="auto"/>
        <w:rPr>
          <w:rFonts w:eastAsia="Times New Roman" w:cs="Arial"/>
        </w:rPr>
      </w:pPr>
      <w:r w:rsidRPr="000655BC">
        <w:rPr>
          <w:rFonts w:eastAsia="Times New Roman" w:cs="Arial"/>
          <w:b/>
          <w:bCs/>
          <w:color w:val="000000"/>
          <w:u w:val="single"/>
          <w:lang w:eastAsia="bg-BG"/>
        </w:rPr>
        <w:t>Лекарствени комбинации, които не се препоръчват</w:t>
      </w:r>
    </w:p>
    <w:p w14:paraId="0DEBF50D" w14:textId="77777777" w:rsidR="000655BC" w:rsidRPr="000655BC" w:rsidRDefault="000655BC" w:rsidP="000655BC">
      <w:pPr>
        <w:spacing w:line="240" w:lineRule="auto"/>
        <w:rPr>
          <w:rFonts w:eastAsia="Times New Roman" w:cs="Arial"/>
          <w:i/>
          <w:iCs/>
          <w:color w:val="000000"/>
          <w:lang w:eastAsia="bg-BG"/>
        </w:rPr>
      </w:pPr>
    </w:p>
    <w:p w14:paraId="4E7F4B51" w14:textId="1876501C" w:rsidR="000655BC" w:rsidRPr="000655BC" w:rsidRDefault="000655BC" w:rsidP="000655BC">
      <w:pPr>
        <w:spacing w:line="240" w:lineRule="auto"/>
        <w:rPr>
          <w:rFonts w:eastAsia="Times New Roman" w:cs="Arial"/>
        </w:rPr>
      </w:pPr>
      <w:r w:rsidRPr="000655BC">
        <w:rPr>
          <w:rFonts w:eastAsia="Times New Roman" w:cs="Arial"/>
          <w:i/>
          <w:iCs/>
          <w:color w:val="000000"/>
          <w:lang w:eastAsia="bg-BG"/>
        </w:rPr>
        <w:t>Литиеви продукти</w:t>
      </w:r>
    </w:p>
    <w:p w14:paraId="047938E6" w14:textId="77777777" w:rsidR="000655BC" w:rsidRPr="000655BC" w:rsidRDefault="000655BC" w:rsidP="000655BC">
      <w:pPr>
        <w:spacing w:line="240" w:lineRule="auto"/>
        <w:rPr>
          <w:rFonts w:eastAsia="Times New Roman" w:cs="Arial"/>
        </w:rPr>
      </w:pPr>
      <w:r w:rsidRPr="000655BC">
        <w:rPr>
          <w:rFonts w:eastAsia="Times New Roman" w:cs="Arial"/>
          <w:color w:val="000000"/>
          <w:lang w:eastAsia="bg-BG"/>
        </w:rPr>
        <w:t>Диуретиците, в това число и индапамид не трябва да се прилагат едновременно с литий, тъй като се повишава риска от развитие на литиева интоксикация поради забавен бъбречен клирънс. Ако обаче прилагането на диуретици е наложително, трябва да се осъществи стриктен контрол на литиемията със съответното адаптиране на дозата.</w:t>
      </w:r>
    </w:p>
    <w:p w14:paraId="0B1AAB17" w14:textId="77777777" w:rsidR="000655BC" w:rsidRPr="000655BC" w:rsidRDefault="000655BC" w:rsidP="000655BC">
      <w:pPr>
        <w:spacing w:line="240" w:lineRule="auto"/>
        <w:rPr>
          <w:rFonts w:eastAsia="Times New Roman" w:cs="Arial"/>
          <w:b/>
          <w:bCs/>
          <w:color w:val="000000"/>
          <w:u w:val="single"/>
          <w:lang w:eastAsia="bg-BG"/>
        </w:rPr>
      </w:pPr>
      <w:bookmarkStart w:id="2" w:name="bookmark2"/>
    </w:p>
    <w:p w14:paraId="39887432" w14:textId="3024B403" w:rsidR="000655BC" w:rsidRPr="000655BC" w:rsidRDefault="000655BC" w:rsidP="000655BC">
      <w:pPr>
        <w:spacing w:line="240" w:lineRule="auto"/>
        <w:rPr>
          <w:rFonts w:eastAsia="Times New Roman" w:cs="Arial"/>
        </w:rPr>
      </w:pPr>
      <w:r w:rsidRPr="000655BC">
        <w:rPr>
          <w:rFonts w:eastAsia="Times New Roman" w:cs="Arial"/>
          <w:b/>
          <w:bCs/>
          <w:color w:val="000000"/>
          <w:u w:val="single"/>
          <w:lang w:eastAsia="bg-BG"/>
        </w:rPr>
        <w:t>Лекарствени комбинации, конто изискват предпазни мерки</w:t>
      </w:r>
      <w:bookmarkEnd w:id="2"/>
    </w:p>
    <w:p w14:paraId="5086EA45" w14:textId="77777777" w:rsidR="000655BC" w:rsidRPr="000655BC" w:rsidRDefault="000655BC" w:rsidP="000655BC">
      <w:pPr>
        <w:spacing w:line="240" w:lineRule="auto"/>
        <w:rPr>
          <w:rFonts w:eastAsia="Times New Roman" w:cs="Arial"/>
          <w:i/>
          <w:iCs/>
          <w:color w:val="000000"/>
          <w:lang w:eastAsia="bg-BG"/>
        </w:rPr>
      </w:pPr>
    </w:p>
    <w:p w14:paraId="42DE752F" w14:textId="19223639" w:rsidR="000655BC" w:rsidRPr="000655BC" w:rsidRDefault="000655BC" w:rsidP="000655BC">
      <w:pPr>
        <w:spacing w:line="240" w:lineRule="auto"/>
        <w:rPr>
          <w:rFonts w:eastAsia="Times New Roman" w:cs="Arial"/>
        </w:rPr>
      </w:pPr>
      <w:r w:rsidRPr="000655BC">
        <w:rPr>
          <w:rFonts w:eastAsia="Times New Roman" w:cs="Arial"/>
          <w:i/>
          <w:iCs/>
          <w:color w:val="000000"/>
          <w:lang w:eastAsia="bg-BG"/>
        </w:rPr>
        <w:t xml:space="preserve">Лекарствени продукти, предизвикващи </w:t>
      </w:r>
      <w:proofErr w:type="spellStart"/>
      <w:r w:rsidRPr="000655BC">
        <w:rPr>
          <w:rFonts w:eastAsia="Times New Roman" w:cs="Arial"/>
          <w:i/>
          <w:iCs/>
          <w:color w:val="000000"/>
          <w:lang w:val="en-US"/>
        </w:rPr>
        <w:t>torsades</w:t>
      </w:r>
      <w:proofErr w:type="spellEnd"/>
      <w:r w:rsidRPr="000655BC">
        <w:rPr>
          <w:rFonts w:eastAsia="Times New Roman" w:cs="Arial"/>
          <w:i/>
          <w:iCs/>
          <w:color w:val="000000"/>
          <w:lang w:val="ru-RU"/>
        </w:rPr>
        <w:t xml:space="preserve"> </w:t>
      </w:r>
      <w:r w:rsidRPr="000655BC">
        <w:rPr>
          <w:rFonts w:eastAsia="Times New Roman" w:cs="Arial"/>
          <w:i/>
          <w:iCs/>
          <w:color w:val="000000"/>
          <w:lang w:val="en-US"/>
        </w:rPr>
        <w:t>de</w:t>
      </w:r>
      <w:r w:rsidRPr="000655BC">
        <w:rPr>
          <w:rFonts w:eastAsia="Times New Roman" w:cs="Arial"/>
          <w:i/>
          <w:iCs/>
          <w:color w:val="000000"/>
          <w:lang w:val="ru-RU"/>
        </w:rPr>
        <w:t xml:space="preserve"> </w:t>
      </w:r>
      <w:r w:rsidRPr="000655BC">
        <w:rPr>
          <w:rFonts w:eastAsia="Times New Roman" w:cs="Arial"/>
          <w:i/>
          <w:iCs/>
          <w:color w:val="000000"/>
          <w:lang w:val="en-US"/>
        </w:rPr>
        <w:t>pointes</w:t>
      </w:r>
    </w:p>
    <w:p w14:paraId="7C3B380C" w14:textId="77777777" w:rsidR="000655BC" w:rsidRPr="000655BC" w:rsidRDefault="000655BC" w:rsidP="000655BC">
      <w:pPr>
        <w:pStyle w:val="ListParagraph"/>
        <w:numPr>
          <w:ilvl w:val="0"/>
          <w:numId w:val="38"/>
        </w:numPr>
        <w:spacing w:line="240" w:lineRule="auto"/>
        <w:rPr>
          <w:rFonts w:eastAsia="Times New Roman" w:cs="Arial"/>
        </w:rPr>
      </w:pPr>
      <w:r w:rsidRPr="000655BC">
        <w:rPr>
          <w:rFonts w:eastAsia="Times New Roman" w:cs="Arial"/>
          <w:color w:val="000000"/>
          <w:lang w:eastAsia="bg-BG"/>
        </w:rPr>
        <w:t xml:space="preserve">Клас </w:t>
      </w:r>
      <w:proofErr w:type="spellStart"/>
      <w:r w:rsidRPr="000655BC">
        <w:rPr>
          <w:rFonts w:eastAsia="Times New Roman" w:cs="Arial"/>
          <w:color w:val="000000"/>
          <w:lang w:val="en-US"/>
        </w:rPr>
        <w:t>Ia</w:t>
      </w:r>
      <w:proofErr w:type="spellEnd"/>
      <w:r w:rsidRPr="000655BC">
        <w:rPr>
          <w:rFonts w:eastAsia="Times New Roman" w:cs="Arial"/>
          <w:color w:val="000000"/>
          <w:lang w:val="ru-RU"/>
        </w:rPr>
        <w:t xml:space="preserve"> </w:t>
      </w:r>
      <w:r w:rsidRPr="000655BC">
        <w:rPr>
          <w:rFonts w:eastAsia="Times New Roman" w:cs="Arial"/>
          <w:color w:val="000000"/>
          <w:lang w:eastAsia="bg-BG"/>
        </w:rPr>
        <w:t>антиаритмични (хинидин, хидрохинидин, дизопирамид)</w:t>
      </w:r>
    </w:p>
    <w:p w14:paraId="7B763175" w14:textId="77777777" w:rsidR="000655BC" w:rsidRPr="000655BC" w:rsidRDefault="000655BC" w:rsidP="000655BC">
      <w:pPr>
        <w:pStyle w:val="ListParagraph"/>
        <w:numPr>
          <w:ilvl w:val="0"/>
          <w:numId w:val="38"/>
        </w:numPr>
        <w:spacing w:line="240" w:lineRule="auto"/>
        <w:rPr>
          <w:rFonts w:eastAsia="Times New Roman" w:cs="Arial"/>
        </w:rPr>
      </w:pPr>
      <w:r w:rsidRPr="000655BC">
        <w:rPr>
          <w:rFonts w:eastAsia="Times New Roman" w:cs="Arial"/>
          <w:color w:val="000000"/>
          <w:lang w:eastAsia="bg-BG"/>
        </w:rPr>
        <w:t>Клас III антиаритмични (амиодарон, соталол, дофетилид, ибутилид)</w:t>
      </w:r>
    </w:p>
    <w:p w14:paraId="0A18ED52" w14:textId="1C29678C" w:rsidR="000655BC" w:rsidRPr="000655BC" w:rsidRDefault="000655BC" w:rsidP="000655BC">
      <w:pPr>
        <w:pStyle w:val="ListParagraph"/>
        <w:numPr>
          <w:ilvl w:val="0"/>
          <w:numId w:val="38"/>
        </w:numPr>
        <w:spacing w:line="240" w:lineRule="auto"/>
        <w:rPr>
          <w:rFonts w:eastAsia="Times New Roman" w:cs="Arial"/>
        </w:rPr>
      </w:pPr>
      <w:r w:rsidRPr="000655BC">
        <w:rPr>
          <w:rFonts w:eastAsia="Times New Roman" w:cs="Arial"/>
          <w:color w:val="000000"/>
          <w:lang w:eastAsia="bg-BG"/>
        </w:rPr>
        <w:t>Някои антипсихотици:</w:t>
      </w:r>
    </w:p>
    <w:p w14:paraId="795523C0" w14:textId="77777777" w:rsidR="000655BC" w:rsidRPr="000655BC" w:rsidRDefault="000655BC" w:rsidP="000655BC">
      <w:pPr>
        <w:spacing w:line="240" w:lineRule="auto"/>
        <w:rPr>
          <w:rFonts w:eastAsia="Times New Roman" w:cs="Arial"/>
        </w:rPr>
      </w:pPr>
      <w:r w:rsidRPr="000655BC">
        <w:rPr>
          <w:rFonts w:eastAsia="Times New Roman" w:cs="Arial"/>
          <w:color w:val="000000"/>
          <w:lang w:eastAsia="bg-BG"/>
        </w:rPr>
        <w:t>фенотиазини - хлорпромазин, циамемазин, левомепромазин, тиоридазин, трифлуоперазин; бензамиди - амисулририд, сулпирид, султоприд, тиаприд;</w:t>
      </w:r>
    </w:p>
    <w:p w14:paraId="52496918" w14:textId="77777777" w:rsidR="000655BC" w:rsidRPr="000655BC" w:rsidRDefault="000655BC" w:rsidP="000655BC">
      <w:pPr>
        <w:spacing w:line="240" w:lineRule="auto"/>
        <w:rPr>
          <w:rFonts w:eastAsia="Times New Roman" w:cs="Arial"/>
        </w:rPr>
      </w:pPr>
      <w:r w:rsidRPr="000655BC">
        <w:rPr>
          <w:rFonts w:eastAsia="Times New Roman" w:cs="Arial"/>
          <w:color w:val="000000"/>
          <w:lang w:eastAsia="bg-BG"/>
        </w:rPr>
        <w:t>бутирофенони - дроперидол, халоперидол.</w:t>
      </w:r>
    </w:p>
    <w:p w14:paraId="6551B0BB" w14:textId="3616F82D" w:rsidR="000655BC" w:rsidRPr="000655BC" w:rsidRDefault="000655BC" w:rsidP="000655BC">
      <w:pPr>
        <w:pStyle w:val="ListParagraph"/>
        <w:numPr>
          <w:ilvl w:val="0"/>
          <w:numId w:val="38"/>
        </w:numPr>
        <w:spacing w:line="240" w:lineRule="auto"/>
        <w:rPr>
          <w:rFonts w:eastAsia="Times New Roman" w:cs="Arial"/>
        </w:rPr>
      </w:pPr>
      <w:r w:rsidRPr="000655BC">
        <w:rPr>
          <w:rFonts w:eastAsia="Times New Roman" w:cs="Arial"/>
          <w:color w:val="000000"/>
          <w:lang w:eastAsia="bg-BG"/>
        </w:rPr>
        <w:t xml:space="preserve">Други - бепридил, цизаприд, дифеманил, еритромицин </w:t>
      </w:r>
      <w:proofErr w:type="spellStart"/>
      <w:r w:rsidRPr="000655BC">
        <w:rPr>
          <w:rFonts w:eastAsia="Times New Roman" w:cs="Arial"/>
          <w:color w:val="000000"/>
          <w:lang w:val="en-US"/>
        </w:rPr>
        <w:t>i</w:t>
      </w:r>
      <w:proofErr w:type="spellEnd"/>
      <w:r w:rsidRPr="000655BC">
        <w:rPr>
          <w:rFonts w:eastAsia="Times New Roman" w:cs="Arial"/>
          <w:color w:val="000000"/>
        </w:rPr>
        <w:t>.</w:t>
      </w:r>
      <w:r w:rsidRPr="000655BC">
        <w:rPr>
          <w:rFonts w:eastAsia="Times New Roman" w:cs="Arial"/>
          <w:color w:val="000000"/>
          <w:lang w:val="en-US"/>
        </w:rPr>
        <w:t>v</w:t>
      </w:r>
      <w:r w:rsidRPr="000655BC">
        <w:rPr>
          <w:rFonts w:eastAsia="Times New Roman" w:cs="Arial"/>
          <w:color w:val="000000"/>
        </w:rPr>
        <w:t xml:space="preserve">., </w:t>
      </w:r>
      <w:r w:rsidRPr="000655BC">
        <w:rPr>
          <w:rFonts w:eastAsia="Times New Roman" w:cs="Arial"/>
          <w:color w:val="000000"/>
          <w:lang w:eastAsia="bg-BG"/>
        </w:rPr>
        <w:t xml:space="preserve">xaлoфaнтpин миюластин, пентамидин, спарфлоксацин, моксифлоксацин, винкамин </w:t>
      </w:r>
      <w:proofErr w:type="spellStart"/>
      <w:r w:rsidRPr="000655BC">
        <w:rPr>
          <w:rFonts w:eastAsia="Times New Roman" w:cs="Arial"/>
          <w:color w:val="000000"/>
          <w:lang w:val="en-US"/>
        </w:rPr>
        <w:t>i</w:t>
      </w:r>
      <w:proofErr w:type="spellEnd"/>
      <w:r w:rsidRPr="000655BC">
        <w:rPr>
          <w:rFonts w:eastAsia="Times New Roman" w:cs="Arial"/>
          <w:color w:val="000000"/>
        </w:rPr>
        <w:t>.</w:t>
      </w:r>
      <w:r w:rsidRPr="000655BC">
        <w:rPr>
          <w:rFonts w:eastAsia="Times New Roman" w:cs="Arial"/>
          <w:color w:val="000000"/>
          <w:lang w:val="en-US"/>
        </w:rPr>
        <w:t>v</w:t>
      </w:r>
      <w:r w:rsidRPr="000655BC">
        <w:rPr>
          <w:rFonts w:eastAsia="Times New Roman" w:cs="Arial"/>
          <w:color w:val="000000"/>
        </w:rPr>
        <w:t>..</w:t>
      </w:r>
    </w:p>
    <w:p w14:paraId="4862AFEF" w14:textId="77777777" w:rsidR="000655BC" w:rsidRPr="000655BC" w:rsidRDefault="000655BC" w:rsidP="000655BC">
      <w:pPr>
        <w:rPr>
          <w:rFonts w:eastAsia="Times New Roman" w:cs="Arial"/>
        </w:rPr>
      </w:pPr>
      <w:r w:rsidRPr="000655BC">
        <w:rPr>
          <w:rFonts w:eastAsia="Times New Roman" w:cs="Arial"/>
          <w:color w:val="000000"/>
          <w:lang w:eastAsia="bg-BG"/>
        </w:rPr>
        <w:t xml:space="preserve">Съществува повишен риск от вентрикуларна аритмия, по-специално </w:t>
      </w:r>
      <w:proofErr w:type="spellStart"/>
      <w:r w:rsidRPr="000655BC">
        <w:rPr>
          <w:rFonts w:eastAsia="Times New Roman" w:cs="Arial"/>
          <w:i/>
          <w:iCs/>
          <w:color w:val="000000"/>
          <w:lang w:val="en-US"/>
        </w:rPr>
        <w:t>torsage</w:t>
      </w:r>
      <w:proofErr w:type="spellEnd"/>
      <w:r w:rsidRPr="000655BC">
        <w:rPr>
          <w:rFonts w:eastAsia="Times New Roman" w:cs="Arial"/>
          <w:i/>
          <w:iCs/>
          <w:color w:val="000000"/>
          <w:lang w:val="ru-RU"/>
        </w:rPr>
        <w:t xml:space="preserve"> </w:t>
      </w:r>
      <w:r w:rsidRPr="000655BC">
        <w:rPr>
          <w:rFonts w:eastAsia="Times New Roman" w:cs="Arial"/>
          <w:i/>
          <w:iCs/>
          <w:color w:val="000000"/>
          <w:lang w:val="en-US"/>
        </w:rPr>
        <w:t>de</w:t>
      </w:r>
      <w:r w:rsidRPr="000655BC">
        <w:rPr>
          <w:rFonts w:eastAsia="Times New Roman" w:cs="Arial"/>
          <w:i/>
          <w:iCs/>
          <w:color w:val="000000"/>
          <w:lang w:val="ru-RU"/>
        </w:rPr>
        <w:t xml:space="preserve"> </w:t>
      </w:r>
      <w:r w:rsidRPr="000655BC">
        <w:rPr>
          <w:rFonts w:eastAsia="Times New Roman" w:cs="Arial"/>
          <w:i/>
          <w:iCs/>
          <w:color w:val="000000"/>
          <w:lang w:val="en-US"/>
        </w:rPr>
        <w:t>pontes</w:t>
      </w:r>
      <w:r w:rsidRPr="000655BC">
        <w:rPr>
          <w:rFonts w:eastAsia="Times New Roman" w:cs="Arial"/>
          <w:i/>
          <w:iCs/>
          <w:color w:val="000000"/>
          <w:lang w:val="ru-RU"/>
        </w:rPr>
        <w:t xml:space="preserve"> </w:t>
      </w:r>
      <w:r w:rsidRPr="000655BC">
        <w:rPr>
          <w:rFonts w:eastAsia="Times New Roman" w:cs="Arial"/>
          <w:color w:val="000000"/>
          <w:lang w:eastAsia="bg-BG"/>
        </w:rPr>
        <w:t>(хипокалиемията е рисков фактор). Хипокалиемията трябва да бъде наблюдавана и коригирана при необходимост, преди да се приема тази комбинация. На наблюдение подлежат клиничното състояние, плазмените електролити и ЕКГ на пациентите.</w:t>
      </w:r>
    </w:p>
    <w:p w14:paraId="0D04508C" w14:textId="77777777" w:rsidR="000655BC" w:rsidRPr="000655BC" w:rsidRDefault="000655BC" w:rsidP="000655BC">
      <w:pPr>
        <w:spacing w:line="240" w:lineRule="auto"/>
        <w:rPr>
          <w:rFonts w:eastAsia="Times New Roman" w:cs="Arial"/>
        </w:rPr>
      </w:pPr>
      <w:r w:rsidRPr="000655BC">
        <w:rPr>
          <w:rFonts w:eastAsia="Times New Roman" w:cs="Arial"/>
          <w:color w:val="000000"/>
          <w:lang w:eastAsia="bg-BG"/>
        </w:rPr>
        <w:t xml:space="preserve">Да се използват продукти, които не са рискови за </w:t>
      </w:r>
      <w:proofErr w:type="spellStart"/>
      <w:r w:rsidRPr="000655BC">
        <w:rPr>
          <w:rFonts w:eastAsia="Times New Roman" w:cs="Arial"/>
          <w:i/>
          <w:iCs/>
          <w:color w:val="000000"/>
          <w:lang w:val="en-US"/>
        </w:rPr>
        <w:t>torsades</w:t>
      </w:r>
      <w:proofErr w:type="spellEnd"/>
      <w:r w:rsidRPr="000655BC">
        <w:rPr>
          <w:rFonts w:eastAsia="Times New Roman" w:cs="Arial"/>
          <w:i/>
          <w:iCs/>
          <w:color w:val="000000"/>
          <w:lang w:val="ru-RU"/>
        </w:rPr>
        <w:t xml:space="preserve"> </w:t>
      </w:r>
      <w:r w:rsidRPr="000655BC">
        <w:rPr>
          <w:rFonts w:eastAsia="Times New Roman" w:cs="Arial"/>
          <w:i/>
          <w:iCs/>
          <w:color w:val="000000"/>
          <w:lang w:val="en-US"/>
        </w:rPr>
        <w:t>de</w:t>
      </w:r>
      <w:r w:rsidRPr="000655BC">
        <w:rPr>
          <w:rFonts w:eastAsia="Times New Roman" w:cs="Arial"/>
          <w:i/>
          <w:iCs/>
          <w:color w:val="000000"/>
          <w:lang w:val="ru-RU"/>
        </w:rPr>
        <w:t xml:space="preserve"> </w:t>
      </w:r>
      <w:r w:rsidRPr="000655BC">
        <w:rPr>
          <w:rFonts w:eastAsia="Times New Roman" w:cs="Arial"/>
          <w:i/>
          <w:iCs/>
          <w:color w:val="000000"/>
          <w:lang w:val="en-US"/>
        </w:rPr>
        <w:t>pointes</w:t>
      </w:r>
      <w:r w:rsidRPr="000655BC">
        <w:rPr>
          <w:rFonts w:eastAsia="Times New Roman" w:cs="Arial"/>
          <w:color w:val="000000"/>
          <w:lang w:val="ru-RU"/>
        </w:rPr>
        <w:t xml:space="preserve"> </w:t>
      </w:r>
      <w:r w:rsidRPr="000655BC">
        <w:rPr>
          <w:rFonts w:eastAsia="Times New Roman" w:cs="Arial"/>
          <w:color w:val="000000"/>
          <w:lang w:eastAsia="bg-BG"/>
        </w:rPr>
        <w:t>при наличие на хипокалиемия.</w:t>
      </w:r>
    </w:p>
    <w:p w14:paraId="5C5FA249" w14:textId="77777777" w:rsidR="000655BC" w:rsidRPr="000655BC" w:rsidRDefault="000655BC" w:rsidP="000655BC">
      <w:pPr>
        <w:spacing w:line="240" w:lineRule="auto"/>
        <w:rPr>
          <w:rFonts w:eastAsia="Times New Roman" w:cs="Arial"/>
          <w:i/>
          <w:iCs/>
          <w:color w:val="000000"/>
          <w:lang w:eastAsia="bg-BG"/>
        </w:rPr>
      </w:pPr>
    </w:p>
    <w:p w14:paraId="7992D3D6" w14:textId="367FB56B" w:rsidR="000655BC" w:rsidRPr="000655BC" w:rsidRDefault="000655BC" w:rsidP="000655BC">
      <w:pPr>
        <w:spacing w:line="240" w:lineRule="auto"/>
        <w:rPr>
          <w:rFonts w:eastAsia="Times New Roman" w:cs="Arial"/>
        </w:rPr>
      </w:pPr>
      <w:r w:rsidRPr="000655BC">
        <w:rPr>
          <w:rFonts w:eastAsia="Times New Roman" w:cs="Arial"/>
          <w:i/>
          <w:iCs/>
          <w:color w:val="000000"/>
          <w:lang w:eastAsia="bg-BG"/>
        </w:rPr>
        <w:t xml:space="preserve">Нестероидни противовъзпалителни средства (НСПВС) (системно приложение), включително селективни инхибитори на СОХ-2, салгщилати във високи дози (над 3 </w:t>
      </w:r>
      <w:r w:rsidRPr="000655BC">
        <w:rPr>
          <w:rFonts w:eastAsia="Times New Roman" w:cs="Arial"/>
          <w:i/>
          <w:iCs/>
          <w:color w:val="000000"/>
          <w:lang w:val="en-US"/>
        </w:rPr>
        <w:t>g</w:t>
      </w:r>
      <w:r w:rsidRPr="000655BC">
        <w:rPr>
          <w:rFonts w:eastAsia="Times New Roman" w:cs="Arial"/>
          <w:i/>
          <w:iCs/>
          <w:color w:val="000000"/>
          <w:lang w:val="ru-RU"/>
        </w:rPr>
        <w:t xml:space="preserve"> </w:t>
      </w:r>
      <w:r w:rsidRPr="000655BC">
        <w:rPr>
          <w:rFonts w:eastAsia="Times New Roman" w:cs="Arial"/>
          <w:i/>
          <w:iCs/>
          <w:color w:val="000000"/>
          <w:lang w:eastAsia="bg-BG"/>
        </w:rPr>
        <w:t>дневно)</w:t>
      </w:r>
    </w:p>
    <w:p w14:paraId="7C5998D9" w14:textId="77777777" w:rsidR="000655BC" w:rsidRPr="000655BC" w:rsidRDefault="000655BC" w:rsidP="000655BC">
      <w:pPr>
        <w:spacing w:line="240" w:lineRule="auto"/>
        <w:rPr>
          <w:rFonts w:eastAsia="Times New Roman" w:cs="Arial"/>
          <w:color w:val="000000"/>
          <w:lang w:eastAsia="bg-BG"/>
        </w:rPr>
      </w:pPr>
    </w:p>
    <w:p w14:paraId="10D5B5CD" w14:textId="5BE1B13F" w:rsidR="000655BC" w:rsidRPr="000655BC" w:rsidRDefault="000655BC" w:rsidP="000655BC">
      <w:pPr>
        <w:spacing w:line="240" w:lineRule="auto"/>
        <w:rPr>
          <w:rFonts w:eastAsia="Times New Roman" w:cs="Arial"/>
        </w:rPr>
      </w:pPr>
      <w:r w:rsidRPr="000655BC">
        <w:rPr>
          <w:rFonts w:eastAsia="Times New Roman" w:cs="Arial"/>
          <w:color w:val="000000"/>
          <w:lang w:eastAsia="bg-BG"/>
        </w:rPr>
        <w:t>При едновременно приложение с индапамид може да се наблюдава понижение на неговата антихипертензивна активност. Може да се провокира остра бъбречна недостатъчност при дехидратирани пациенти поради намалена гломерулна филтрация. Необходимо е рехидратиране и проследяване на бъбречната функция в началото на лечението.</w:t>
      </w:r>
    </w:p>
    <w:p w14:paraId="69173458" w14:textId="77777777" w:rsidR="000655BC" w:rsidRPr="000655BC" w:rsidRDefault="000655BC" w:rsidP="000655BC">
      <w:pPr>
        <w:spacing w:line="240" w:lineRule="auto"/>
        <w:rPr>
          <w:rFonts w:eastAsia="Times New Roman" w:cs="Arial"/>
          <w:i/>
          <w:iCs/>
          <w:color w:val="000000"/>
          <w:lang w:eastAsia="bg-BG"/>
        </w:rPr>
      </w:pPr>
    </w:p>
    <w:p w14:paraId="71AC3317" w14:textId="1449AA4E" w:rsidR="000655BC" w:rsidRPr="000655BC" w:rsidRDefault="000655BC" w:rsidP="000655BC">
      <w:pPr>
        <w:spacing w:line="240" w:lineRule="auto"/>
        <w:rPr>
          <w:rFonts w:eastAsia="Times New Roman" w:cs="Arial"/>
        </w:rPr>
      </w:pPr>
      <w:r w:rsidRPr="000655BC">
        <w:rPr>
          <w:rFonts w:eastAsia="Times New Roman" w:cs="Arial"/>
          <w:i/>
          <w:iCs/>
          <w:color w:val="000000"/>
          <w:lang w:eastAsia="bg-BG"/>
        </w:rPr>
        <w:t>АСЕ-инхибитори</w:t>
      </w:r>
    </w:p>
    <w:p w14:paraId="7630ED57" w14:textId="77777777" w:rsidR="000655BC" w:rsidRPr="000655BC" w:rsidRDefault="000655BC" w:rsidP="000655BC">
      <w:pPr>
        <w:spacing w:line="240" w:lineRule="auto"/>
        <w:rPr>
          <w:rFonts w:eastAsia="Times New Roman" w:cs="Arial"/>
        </w:rPr>
      </w:pPr>
      <w:r w:rsidRPr="000655BC">
        <w:rPr>
          <w:rFonts w:eastAsia="Times New Roman" w:cs="Arial"/>
          <w:color w:val="000000"/>
          <w:lang w:eastAsia="bg-BG"/>
        </w:rPr>
        <w:t>Съществува повишен риск от внезапна хипотония и/или остра бъбречна недостатъчност при включване на АСЕ инхибитор в лечението, при случаи на съществуващо изчерпване на запасите от натрий (по-специално при пациенти със стеноза на бъбречната артерия).</w:t>
      </w:r>
    </w:p>
    <w:p w14:paraId="47780BFA" w14:textId="77777777" w:rsidR="000655BC" w:rsidRPr="000655BC" w:rsidRDefault="000655BC" w:rsidP="000655BC">
      <w:pPr>
        <w:spacing w:line="240" w:lineRule="auto"/>
        <w:rPr>
          <w:rFonts w:eastAsia="Times New Roman" w:cs="Arial"/>
          <w:color w:val="000000"/>
          <w:lang w:eastAsia="bg-BG"/>
        </w:rPr>
      </w:pPr>
    </w:p>
    <w:p w14:paraId="4E0E29B3" w14:textId="3A401525" w:rsidR="000655BC" w:rsidRPr="000655BC" w:rsidRDefault="000655BC" w:rsidP="000655BC">
      <w:pPr>
        <w:spacing w:line="240" w:lineRule="auto"/>
        <w:rPr>
          <w:rFonts w:eastAsia="Times New Roman" w:cs="Arial"/>
        </w:rPr>
      </w:pPr>
      <w:r w:rsidRPr="000655BC">
        <w:rPr>
          <w:rFonts w:eastAsia="Times New Roman" w:cs="Arial"/>
          <w:color w:val="000000"/>
          <w:lang w:eastAsia="bg-BG"/>
        </w:rPr>
        <w:lastRenderedPageBreak/>
        <w:t>При есенциална хипертония, когато предварителното диуретично лечение може да доведе до изчерпване на запасите от натрий, е необходимо да се имат предвид следните възможности:</w:t>
      </w:r>
    </w:p>
    <w:p w14:paraId="1062A50D" w14:textId="5BBDB7F1" w:rsidR="000655BC" w:rsidRPr="000655BC" w:rsidRDefault="000655BC" w:rsidP="000655BC">
      <w:pPr>
        <w:pStyle w:val="ListParagraph"/>
        <w:numPr>
          <w:ilvl w:val="0"/>
          <w:numId w:val="38"/>
        </w:numPr>
        <w:spacing w:line="240" w:lineRule="auto"/>
        <w:rPr>
          <w:rFonts w:eastAsia="Times New Roman" w:cs="Arial"/>
        </w:rPr>
      </w:pPr>
      <w:r w:rsidRPr="000655BC">
        <w:rPr>
          <w:rFonts w:eastAsia="Times New Roman" w:cs="Arial"/>
          <w:color w:val="000000"/>
          <w:lang w:eastAsia="bg-BG"/>
        </w:rPr>
        <w:t>или да се преустанови диуретикът 3 дни преди началото на лечението с АСЕ инхибитор и да се въведе отново хипокалиемизиращ диуретик при необходимост;</w:t>
      </w:r>
    </w:p>
    <w:p w14:paraId="3362A237" w14:textId="086D6A6C" w:rsidR="000655BC" w:rsidRPr="000655BC" w:rsidRDefault="000655BC" w:rsidP="000655BC">
      <w:pPr>
        <w:pStyle w:val="ListParagraph"/>
        <w:numPr>
          <w:ilvl w:val="0"/>
          <w:numId w:val="38"/>
        </w:numPr>
        <w:spacing w:line="240" w:lineRule="auto"/>
        <w:rPr>
          <w:rFonts w:eastAsia="Times New Roman" w:cs="Arial"/>
        </w:rPr>
      </w:pPr>
      <w:r w:rsidRPr="000655BC">
        <w:rPr>
          <w:rFonts w:eastAsia="Times New Roman" w:cs="Arial"/>
          <w:color w:val="000000"/>
          <w:lang w:eastAsia="bg-BG"/>
        </w:rPr>
        <w:t>или да се приложат ниски начални дози на АСЕ инхибитор и постепенно да се увеличават. При застойна сърдечна недостатъчност трябва да се започне с много ниска доза от АСЕ инхибитор, евентуално след намаляване на дозата на съпътстващия хипокалиемичен диуретик.</w:t>
      </w:r>
    </w:p>
    <w:p w14:paraId="35EA2DC7" w14:textId="77777777" w:rsidR="000655BC" w:rsidRPr="000655BC" w:rsidRDefault="000655BC" w:rsidP="000655BC">
      <w:pPr>
        <w:spacing w:line="240" w:lineRule="auto"/>
        <w:rPr>
          <w:rFonts w:eastAsia="Times New Roman" w:cs="Arial"/>
          <w:color w:val="000000"/>
          <w:lang w:eastAsia="bg-BG"/>
        </w:rPr>
      </w:pPr>
    </w:p>
    <w:p w14:paraId="69F5DE30" w14:textId="7BF30A97" w:rsidR="000655BC" w:rsidRPr="000655BC" w:rsidRDefault="000655BC" w:rsidP="000655BC">
      <w:pPr>
        <w:spacing w:line="240" w:lineRule="auto"/>
        <w:rPr>
          <w:rFonts w:eastAsia="Times New Roman" w:cs="Arial"/>
        </w:rPr>
      </w:pPr>
      <w:r w:rsidRPr="000655BC">
        <w:rPr>
          <w:rFonts w:eastAsia="Times New Roman" w:cs="Arial"/>
          <w:color w:val="000000"/>
          <w:lang w:eastAsia="bg-BG"/>
        </w:rPr>
        <w:t>При всички случаи е необходимо да се контролира серумния креатинин като показател на бъбречната функция по време на първите седмици от лечението с АСЕ-инхибитори.</w:t>
      </w:r>
    </w:p>
    <w:p w14:paraId="1B5BAD93" w14:textId="77777777" w:rsidR="000655BC" w:rsidRPr="000655BC" w:rsidRDefault="000655BC" w:rsidP="000655BC">
      <w:pPr>
        <w:spacing w:line="240" w:lineRule="auto"/>
        <w:rPr>
          <w:rFonts w:eastAsia="Times New Roman" w:cs="Arial"/>
          <w:i/>
          <w:iCs/>
          <w:color w:val="000000"/>
          <w:lang w:eastAsia="bg-BG"/>
        </w:rPr>
      </w:pPr>
    </w:p>
    <w:p w14:paraId="1859B8D9" w14:textId="73EB0CEC" w:rsidR="000655BC" w:rsidRPr="000655BC" w:rsidRDefault="000655BC" w:rsidP="000655BC">
      <w:pPr>
        <w:spacing w:line="240" w:lineRule="auto"/>
        <w:rPr>
          <w:rFonts w:eastAsia="Times New Roman" w:cs="Arial"/>
        </w:rPr>
      </w:pPr>
      <w:r w:rsidRPr="000655BC">
        <w:rPr>
          <w:rFonts w:eastAsia="Times New Roman" w:cs="Arial"/>
          <w:i/>
          <w:iCs/>
          <w:color w:val="000000"/>
          <w:lang w:eastAsia="bg-BG"/>
        </w:rPr>
        <w:t>Други продукти, причиняващи хипокалиемия: Амфотперицин В интравенозно, кортикостероиди, тетракозактид, стимулиращи лаксативни средства</w:t>
      </w:r>
    </w:p>
    <w:p w14:paraId="45151567" w14:textId="77777777" w:rsidR="000655BC" w:rsidRPr="000655BC" w:rsidRDefault="000655BC" w:rsidP="000655BC">
      <w:pPr>
        <w:spacing w:line="240" w:lineRule="auto"/>
        <w:rPr>
          <w:rFonts w:eastAsia="Times New Roman" w:cs="Arial"/>
        </w:rPr>
      </w:pPr>
      <w:r w:rsidRPr="000655BC">
        <w:rPr>
          <w:rFonts w:eastAsia="Times New Roman" w:cs="Arial"/>
          <w:color w:val="000000"/>
          <w:lang w:eastAsia="bg-BG"/>
        </w:rPr>
        <w:t>При съвместно приложение с индапамид се повишава рискът от хипокалиемия (адитивен ефект), поради което е необходимо по-често проследяване нивото на калия. При необходимост следва да се проведат корективни мерки, да се обърне специално внимание в случай на дигиталисова терапия и да се използват нестимулиращи лаксативи.</w:t>
      </w:r>
    </w:p>
    <w:p w14:paraId="5FD33A17" w14:textId="77777777" w:rsidR="000655BC" w:rsidRPr="000655BC" w:rsidRDefault="000655BC" w:rsidP="000655BC">
      <w:pPr>
        <w:spacing w:line="240" w:lineRule="auto"/>
        <w:rPr>
          <w:rFonts w:eastAsia="Times New Roman" w:cs="Arial"/>
          <w:i/>
          <w:iCs/>
          <w:color w:val="000000"/>
          <w:lang w:eastAsia="bg-BG"/>
        </w:rPr>
      </w:pPr>
    </w:p>
    <w:p w14:paraId="54E2EF93" w14:textId="271EB35A" w:rsidR="000655BC" w:rsidRPr="000655BC" w:rsidRDefault="000655BC" w:rsidP="000655BC">
      <w:pPr>
        <w:spacing w:line="240" w:lineRule="auto"/>
        <w:rPr>
          <w:rFonts w:eastAsia="Times New Roman" w:cs="Arial"/>
        </w:rPr>
      </w:pPr>
      <w:r w:rsidRPr="000655BC">
        <w:rPr>
          <w:rFonts w:eastAsia="Times New Roman" w:cs="Arial"/>
          <w:i/>
          <w:iCs/>
          <w:color w:val="000000"/>
          <w:lang w:eastAsia="bg-BG"/>
        </w:rPr>
        <w:t>Баклофен</w:t>
      </w:r>
    </w:p>
    <w:p w14:paraId="210DCE78" w14:textId="77777777" w:rsidR="000655BC" w:rsidRPr="000655BC" w:rsidRDefault="000655BC" w:rsidP="000655BC">
      <w:pPr>
        <w:spacing w:line="240" w:lineRule="auto"/>
        <w:rPr>
          <w:rFonts w:eastAsia="Times New Roman" w:cs="Arial"/>
        </w:rPr>
      </w:pPr>
      <w:r w:rsidRPr="000655BC">
        <w:rPr>
          <w:rFonts w:eastAsia="Times New Roman" w:cs="Arial"/>
          <w:color w:val="000000"/>
          <w:lang w:eastAsia="bg-BG"/>
        </w:rPr>
        <w:t>Повишава антихипертензивния ефект на индапамид. Необходимо е да се хидратира болният, да се контролира бъбречната функция в началото на лечението.</w:t>
      </w:r>
    </w:p>
    <w:p w14:paraId="54F47C28" w14:textId="77777777" w:rsidR="000655BC" w:rsidRPr="000655BC" w:rsidRDefault="000655BC" w:rsidP="000655BC">
      <w:pPr>
        <w:spacing w:line="240" w:lineRule="auto"/>
        <w:rPr>
          <w:rFonts w:eastAsia="Times New Roman" w:cs="Arial"/>
          <w:i/>
          <w:iCs/>
          <w:color w:val="000000"/>
          <w:lang w:eastAsia="bg-BG"/>
        </w:rPr>
      </w:pPr>
    </w:p>
    <w:p w14:paraId="29B692EF" w14:textId="45687F9D" w:rsidR="000655BC" w:rsidRPr="000655BC" w:rsidRDefault="000655BC" w:rsidP="000655BC">
      <w:pPr>
        <w:spacing w:line="240" w:lineRule="auto"/>
        <w:rPr>
          <w:rFonts w:eastAsia="Times New Roman" w:cs="Arial"/>
        </w:rPr>
      </w:pPr>
      <w:r w:rsidRPr="000655BC">
        <w:rPr>
          <w:rFonts w:eastAsia="Times New Roman" w:cs="Arial"/>
          <w:i/>
          <w:iCs/>
          <w:color w:val="000000"/>
          <w:lang w:eastAsia="bg-BG"/>
        </w:rPr>
        <w:t>Дигиталисови гликозиди</w:t>
      </w:r>
    </w:p>
    <w:p w14:paraId="5C2F9D49" w14:textId="77777777" w:rsidR="000655BC" w:rsidRPr="000655BC" w:rsidRDefault="000655BC" w:rsidP="000655BC">
      <w:pPr>
        <w:spacing w:line="240" w:lineRule="auto"/>
        <w:rPr>
          <w:rFonts w:eastAsia="Times New Roman" w:cs="Arial"/>
        </w:rPr>
      </w:pPr>
      <w:r w:rsidRPr="000655BC">
        <w:rPr>
          <w:rFonts w:eastAsia="Times New Roman" w:cs="Arial"/>
          <w:color w:val="000000"/>
          <w:lang w:eastAsia="bg-BG"/>
        </w:rPr>
        <w:t>Хипокалиемията и/или хипомагнезиемията предразполагат към дигиталисова токсичност. По време на лечението е необходимо да се контролират нивото на калия и магнезия в плазмата, ЕКГ и при необходимост да се преоцени терапията.</w:t>
      </w:r>
    </w:p>
    <w:p w14:paraId="74F7DD02" w14:textId="77777777" w:rsidR="000655BC" w:rsidRPr="000655BC" w:rsidRDefault="000655BC" w:rsidP="000655BC">
      <w:pPr>
        <w:spacing w:line="240" w:lineRule="auto"/>
        <w:rPr>
          <w:rFonts w:eastAsia="Times New Roman" w:cs="Arial"/>
          <w:i/>
          <w:iCs/>
          <w:color w:val="000000"/>
          <w:lang w:eastAsia="bg-BG"/>
        </w:rPr>
      </w:pPr>
    </w:p>
    <w:p w14:paraId="29B1D7C8" w14:textId="424BE75E" w:rsidR="000655BC" w:rsidRPr="000655BC" w:rsidRDefault="000655BC" w:rsidP="000655BC">
      <w:pPr>
        <w:spacing w:line="240" w:lineRule="auto"/>
        <w:rPr>
          <w:rFonts w:eastAsia="Times New Roman" w:cs="Arial"/>
        </w:rPr>
      </w:pPr>
      <w:r w:rsidRPr="000655BC">
        <w:rPr>
          <w:rFonts w:eastAsia="Times New Roman" w:cs="Arial"/>
          <w:i/>
          <w:iCs/>
          <w:color w:val="000000"/>
          <w:lang w:eastAsia="bg-BG"/>
        </w:rPr>
        <w:t>Алопуринол</w:t>
      </w:r>
    </w:p>
    <w:p w14:paraId="26AFDA77" w14:textId="77777777" w:rsidR="000655BC" w:rsidRPr="000655BC" w:rsidRDefault="000655BC" w:rsidP="000655BC">
      <w:pPr>
        <w:spacing w:line="240" w:lineRule="auto"/>
        <w:rPr>
          <w:rFonts w:eastAsia="Times New Roman" w:cs="Arial"/>
        </w:rPr>
      </w:pPr>
      <w:r w:rsidRPr="000655BC">
        <w:rPr>
          <w:rFonts w:eastAsia="Times New Roman" w:cs="Arial"/>
          <w:color w:val="000000"/>
          <w:lang w:eastAsia="bg-BG"/>
        </w:rPr>
        <w:t>При комбинация с индапамид може да се увеличи честотата на реакции на свръхчувствителност към алопуринол.</w:t>
      </w:r>
    </w:p>
    <w:p w14:paraId="5D39F65C" w14:textId="77777777" w:rsidR="000655BC" w:rsidRPr="000655BC" w:rsidRDefault="000655BC" w:rsidP="000655BC">
      <w:pPr>
        <w:spacing w:line="240" w:lineRule="auto"/>
        <w:rPr>
          <w:rFonts w:eastAsia="Times New Roman" w:cs="Arial"/>
          <w:b/>
          <w:bCs/>
          <w:color w:val="000000"/>
          <w:u w:val="single"/>
          <w:lang w:eastAsia="bg-BG"/>
        </w:rPr>
      </w:pPr>
    </w:p>
    <w:p w14:paraId="435CD3A8" w14:textId="66AEDBFA" w:rsidR="000655BC" w:rsidRPr="000655BC" w:rsidRDefault="000655BC" w:rsidP="000655BC">
      <w:pPr>
        <w:spacing w:line="240" w:lineRule="auto"/>
        <w:rPr>
          <w:rFonts w:eastAsia="Times New Roman" w:cs="Arial"/>
          <w:b/>
          <w:bCs/>
          <w:color w:val="000000"/>
          <w:u w:val="single"/>
          <w:lang w:eastAsia="bg-BG"/>
        </w:rPr>
      </w:pPr>
      <w:r w:rsidRPr="000655BC">
        <w:rPr>
          <w:rFonts w:eastAsia="Times New Roman" w:cs="Arial"/>
          <w:b/>
          <w:bCs/>
          <w:color w:val="000000"/>
          <w:u w:val="single"/>
          <w:lang w:eastAsia="bg-BG"/>
        </w:rPr>
        <w:t>Лекарствени комбинации, които изискват внимание</w:t>
      </w:r>
    </w:p>
    <w:p w14:paraId="73D3426F" w14:textId="77777777" w:rsidR="000655BC" w:rsidRPr="000655BC" w:rsidRDefault="000655BC" w:rsidP="000655BC">
      <w:pPr>
        <w:spacing w:line="240" w:lineRule="auto"/>
        <w:rPr>
          <w:rFonts w:eastAsia="Times New Roman" w:cs="Arial"/>
          <w:i/>
          <w:iCs/>
          <w:color w:val="000000"/>
          <w:lang w:eastAsia="bg-BG"/>
        </w:rPr>
      </w:pPr>
    </w:p>
    <w:p w14:paraId="5B30B85C" w14:textId="13AD20E2" w:rsidR="000655BC" w:rsidRPr="000655BC" w:rsidRDefault="000655BC" w:rsidP="000655BC">
      <w:pPr>
        <w:spacing w:line="240" w:lineRule="auto"/>
        <w:rPr>
          <w:rFonts w:eastAsia="Times New Roman" w:cs="Arial"/>
        </w:rPr>
      </w:pPr>
      <w:r w:rsidRPr="000655BC">
        <w:rPr>
          <w:rFonts w:eastAsia="Times New Roman" w:cs="Arial"/>
          <w:i/>
          <w:iCs/>
          <w:color w:val="000000"/>
          <w:lang w:eastAsia="bg-BG"/>
        </w:rPr>
        <w:t>Калий-съхраняващи диуретици (амилорид, спиронолактон, триамтерен)</w:t>
      </w:r>
    </w:p>
    <w:p w14:paraId="771D8393" w14:textId="77777777" w:rsidR="000655BC" w:rsidRPr="000655BC" w:rsidRDefault="000655BC" w:rsidP="000655BC">
      <w:pPr>
        <w:spacing w:line="240" w:lineRule="auto"/>
        <w:rPr>
          <w:rFonts w:eastAsia="Times New Roman" w:cs="Arial"/>
        </w:rPr>
      </w:pPr>
      <w:r w:rsidRPr="000655BC">
        <w:rPr>
          <w:rFonts w:eastAsia="Times New Roman" w:cs="Arial"/>
          <w:color w:val="000000"/>
          <w:lang w:eastAsia="bg-BG"/>
        </w:rPr>
        <w:t>Възможна е поява на хипокалиемия, а при пациенти с бъбречна недостатъчност и</w:t>
      </w:r>
      <w:r w:rsidRPr="000655BC">
        <w:rPr>
          <w:rFonts w:eastAsia="Times New Roman" w:cs="Arial"/>
          <w:color w:val="000000"/>
          <w:lang w:val="ru-RU"/>
        </w:rPr>
        <w:t xml:space="preserve"> </w:t>
      </w:r>
      <w:r w:rsidRPr="000655BC">
        <w:rPr>
          <w:rFonts w:eastAsia="Times New Roman" w:cs="Arial"/>
          <w:color w:val="000000"/>
          <w:lang w:eastAsia="bg-BG"/>
        </w:rPr>
        <w:t>диабет-на хиперкалиемия. Необходимо е да се контролира плазменото ниво на калия, да се извършва ЕКГ контрол и при необходимост да се направи преоценка на терапевтичното поведение</w:t>
      </w:r>
    </w:p>
    <w:p w14:paraId="7F8FCF8C" w14:textId="77777777" w:rsidR="000655BC" w:rsidRPr="000655BC" w:rsidRDefault="000655BC" w:rsidP="000655BC">
      <w:pPr>
        <w:rPr>
          <w:rFonts w:eastAsia="Times New Roman" w:cs="Arial"/>
          <w:i/>
          <w:iCs/>
          <w:color w:val="000000"/>
          <w:lang w:eastAsia="bg-BG"/>
        </w:rPr>
      </w:pPr>
    </w:p>
    <w:p w14:paraId="6C318A85" w14:textId="4B1A30FC" w:rsidR="000655BC" w:rsidRPr="000655BC" w:rsidRDefault="000655BC" w:rsidP="000655BC">
      <w:pPr>
        <w:rPr>
          <w:rFonts w:eastAsia="Times New Roman" w:cs="Arial"/>
          <w:i/>
          <w:iCs/>
          <w:color w:val="000000"/>
          <w:lang w:eastAsia="bg-BG"/>
        </w:rPr>
      </w:pPr>
      <w:r w:rsidRPr="000655BC">
        <w:rPr>
          <w:rFonts w:eastAsia="Times New Roman" w:cs="Arial"/>
          <w:i/>
          <w:iCs/>
          <w:color w:val="000000"/>
          <w:lang w:eastAsia="bg-BG"/>
        </w:rPr>
        <w:t>Метформин</w:t>
      </w:r>
    </w:p>
    <w:p w14:paraId="619A42A2" w14:textId="77777777" w:rsidR="000655BC" w:rsidRPr="000655BC" w:rsidRDefault="000655BC" w:rsidP="000655BC">
      <w:pPr>
        <w:spacing w:line="240" w:lineRule="auto"/>
        <w:rPr>
          <w:rFonts w:eastAsia="Times New Roman" w:cs="Arial"/>
          <w:color w:val="000000"/>
          <w:lang w:eastAsia="bg-BG"/>
        </w:rPr>
      </w:pPr>
      <w:r w:rsidRPr="000655BC">
        <w:rPr>
          <w:rFonts w:eastAsia="Times New Roman" w:cs="Arial"/>
          <w:color w:val="000000"/>
          <w:lang w:eastAsia="bg-BG"/>
        </w:rPr>
        <w:t xml:space="preserve">Появата на млечнокисела ацидоза, като възможна нежелана реакция наметфррммя, може да отключи бъбречна недостатъчност при едновременно лечение с диуретици и по специално бримкови диуретици. Метформин не трябва да се назначава при пациенти с клирънс на креатинина 12 </w:t>
      </w:r>
      <w:r w:rsidRPr="000655BC">
        <w:rPr>
          <w:rFonts w:eastAsia="Times New Roman" w:cs="Arial"/>
          <w:color w:val="000000"/>
          <w:lang w:val="en-US"/>
        </w:rPr>
        <w:t>mg</w:t>
      </w:r>
      <w:r w:rsidRPr="000655BC">
        <w:rPr>
          <w:rFonts w:eastAsia="Times New Roman" w:cs="Arial"/>
          <w:color w:val="000000"/>
          <w:lang w:val="ru-RU"/>
        </w:rPr>
        <w:t xml:space="preserve">/1 </w:t>
      </w:r>
      <w:r w:rsidRPr="000655BC">
        <w:rPr>
          <w:rFonts w:eastAsia="Times New Roman" w:cs="Arial"/>
          <w:color w:val="000000"/>
          <w:lang w:eastAsia="bg-BG"/>
        </w:rPr>
        <w:t>при жени (110 μ</w:t>
      </w:r>
      <w:proofErr w:type="spellStart"/>
      <w:r w:rsidRPr="000655BC">
        <w:rPr>
          <w:rFonts w:eastAsia="Times New Roman" w:cs="Arial"/>
          <w:color w:val="000000"/>
          <w:lang w:val="en-US"/>
        </w:rPr>
        <w:t>mol</w:t>
      </w:r>
      <w:proofErr w:type="spellEnd"/>
      <w:r w:rsidRPr="000655BC">
        <w:rPr>
          <w:rFonts w:eastAsia="Times New Roman" w:cs="Arial"/>
          <w:color w:val="000000"/>
          <w:lang w:eastAsia="bg-BG"/>
        </w:rPr>
        <w:t>/</w:t>
      </w:r>
      <w:r w:rsidRPr="000655BC">
        <w:rPr>
          <w:rFonts w:eastAsia="Times New Roman" w:cs="Arial"/>
          <w:color w:val="000000"/>
          <w:lang w:val="en-US"/>
        </w:rPr>
        <w:t>l</w:t>
      </w:r>
      <w:r w:rsidRPr="000655BC">
        <w:rPr>
          <w:rFonts w:eastAsia="Times New Roman" w:cs="Arial"/>
          <w:color w:val="000000"/>
          <w:lang w:eastAsia="bg-BG"/>
        </w:rPr>
        <w:t xml:space="preserve">) </w:t>
      </w:r>
    </w:p>
    <w:p w14:paraId="63E195C7" w14:textId="700DEF17" w:rsidR="000655BC" w:rsidRPr="000655BC" w:rsidRDefault="000655BC" w:rsidP="000655BC">
      <w:pPr>
        <w:spacing w:line="240" w:lineRule="auto"/>
        <w:rPr>
          <w:rFonts w:eastAsia="Times New Roman" w:cs="Arial"/>
        </w:rPr>
      </w:pPr>
      <w:r w:rsidRPr="000655BC">
        <w:rPr>
          <w:rFonts w:eastAsia="Times New Roman" w:cs="Arial"/>
          <w:color w:val="000000"/>
          <w:lang w:eastAsia="bg-BG"/>
        </w:rPr>
        <w:t xml:space="preserve">и 15 </w:t>
      </w:r>
      <w:r w:rsidRPr="000655BC">
        <w:rPr>
          <w:rFonts w:eastAsia="Times New Roman" w:cs="Arial"/>
          <w:color w:val="000000"/>
          <w:lang w:val="en-US"/>
        </w:rPr>
        <w:t>mg</w:t>
      </w:r>
      <w:r w:rsidRPr="000655BC">
        <w:rPr>
          <w:rFonts w:eastAsia="Times New Roman" w:cs="Arial"/>
          <w:color w:val="000000"/>
          <w:lang w:val="ru-RU"/>
        </w:rPr>
        <w:t xml:space="preserve">/1 </w:t>
      </w:r>
      <w:r w:rsidRPr="000655BC">
        <w:rPr>
          <w:rFonts w:eastAsia="Times New Roman" w:cs="Arial"/>
          <w:color w:val="000000"/>
          <w:lang w:eastAsia="bg-BG"/>
        </w:rPr>
        <w:t>(135 μ</w:t>
      </w:r>
      <w:proofErr w:type="spellStart"/>
      <w:r w:rsidRPr="000655BC">
        <w:rPr>
          <w:rFonts w:eastAsia="Times New Roman" w:cs="Arial"/>
          <w:color w:val="000000"/>
          <w:lang w:val="en-US"/>
        </w:rPr>
        <w:t>mol</w:t>
      </w:r>
      <w:proofErr w:type="spellEnd"/>
      <w:r w:rsidRPr="000655BC">
        <w:rPr>
          <w:rFonts w:eastAsia="Times New Roman" w:cs="Arial"/>
          <w:color w:val="000000"/>
          <w:lang w:val="ru-RU"/>
        </w:rPr>
        <w:t xml:space="preserve">/1) </w:t>
      </w:r>
      <w:r w:rsidRPr="000655BC">
        <w:rPr>
          <w:rFonts w:eastAsia="Times New Roman" w:cs="Arial"/>
          <w:color w:val="000000"/>
          <w:lang w:eastAsia="bg-BG"/>
        </w:rPr>
        <w:t>при мъже.</w:t>
      </w:r>
    </w:p>
    <w:p w14:paraId="41469B6A" w14:textId="77777777" w:rsidR="000655BC" w:rsidRPr="000655BC" w:rsidRDefault="000655BC" w:rsidP="000655BC">
      <w:pPr>
        <w:spacing w:line="240" w:lineRule="auto"/>
        <w:rPr>
          <w:rFonts w:eastAsia="Times New Roman" w:cs="Arial"/>
          <w:i/>
          <w:iCs/>
          <w:color w:val="000000"/>
          <w:lang w:eastAsia="bg-BG"/>
        </w:rPr>
      </w:pPr>
    </w:p>
    <w:p w14:paraId="603BD992" w14:textId="75FB35A9" w:rsidR="000655BC" w:rsidRPr="000655BC" w:rsidRDefault="000655BC" w:rsidP="000655BC">
      <w:pPr>
        <w:spacing w:line="240" w:lineRule="auto"/>
        <w:rPr>
          <w:rFonts w:eastAsia="Times New Roman" w:cs="Arial"/>
        </w:rPr>
      </w:pPr>
      <w:r w:rsidRPr="000655BC">
        <w:rPr>
          <w:rFonts w:eastAsia="Times New Roman" w:cs="Arial"/>
          <w:i/>
          <w:iCs/>
          <w:color w:val="000000"/>
          <w:lang w:eastAsia="bg-BG"/>
        </w:rPr>
        <w:t>Йодсъдържащи контрастни продукти</w:t>
      </w:r>
    </w:p>
    <w:p w14:paraId="73168D8D" w14:textId="77777777" w:rsidR="000655BC" w:rsidRPr="000655BC" w:rsidRDefault="000655BC" w:rsidP="000655BC">
      <w:pPr>
        <w:spacing w:line="240" w:lineRule="auto"/>
        <w:rPr>
          <w:rFonts w:eastAsia="Times New Roman" w:cs="Arial"/>
        </w:rPr>
      </w:pPr>
      <w:r w:rsidRPr="000655BC">
        <w:rPr>
          <w:rFonts w:eastAsia="Times New Roman" w:cs="Arial"/>
          <w:color w:val="000000"/>
          <w:lang w:eastAsia="bg-BG"/>
        </w:rPr>
        <w:t xml:space="preserve">При дехидратирани пациенти след употреба на диуретици съществува по-висок риск от поява на остра бъбречна недостатъчност при употреба на </w:t>
      </w:r>
      <w:r w:rsidRPr="000655BC">
        <w:rPr>
          <w:rFonts w:eastAsia="Times New Roman" w:cs="Arial"/>
          <w:i/>
          <w:iCs/>
          <w:color w:val="000000"/>
          <w:lang w:eastAsia="bg-BG"/>
        </w:rPr>
        <w:t xml:space="preserve">йод-съдьржсици контрастни </w:t>
      </w:r>
      <w:r w:rsidRPr="000655BC">
        <w:rPr>
          <w:rFonts w:eastAsia="Times New Roman" w:cs="Arial"/>
          <w:i/>
          <w:iCs/>
          <w:color w:val="000000"/>
          <w:lang w:eastAsia="bg-BG"/>
        </w:rPr>
        <w:lastRenderedPageBreak/>
        <w:t>продукти</w:t>
      </w:r>
      <w:r w:rsidRPr="000655BC">
        <w:rPr>
          <w:rFonts w:eastAsia="Times New Roman" w:cs="Arial"/>
          <w:color w:val="000000"/>
          <w:lang w:eastAsia="bg-BG"/>
        </w:rPr>
        <w:t xml:space="preserve"> във високи дози. Необходимо е да се предприемат мерки за рехидратация преди прилагането им.</w:t>
      </w:r>
    </w:p>
    <w:p w14:paraId="402891CB" w14:textId="77777777" w:rsidR="000655BC" w:rsidRPr="000655BC" w:rsidRDefault="000655BC" w:rsidP="000655BC">
      <w:pPr>
        <w:spacing w:line="240" w:lineRule="auto"/>
        <w:rPr>
          <w:rFonts w:eastAsia="Times New Roman" w:cs="Arial"/>
          <w:i/>
          <w:iCs/>
          <w:color w:val="000000"/>
          <w:lang w:eastAsia="bg-BG"/>
        </w:rPr>
      </w:pPr>
    </w:p>
    <w:p w14:paraId="4341606B" w14:textId="4CC517A2" w:rsidR="000655BC" w:rsidRPr="000655BC" w:rsidRDefault="000655BC" w:rsidP="000655BC">
      <w:pPr>
        <w:spacing w:line="240" w:lineRule="auto"/>
        <w:rPr>
          <w:rFonts w:eastAsia="Times New Roman" w:cs="Arial"/>
        </w:rPr>
      </w:pPr>
      <w:r w:rsidRPr="000655BC">
        <w:rPr>
          <w:rFonts w:eastAsia="Times New Roman" w:cs="Arial"/>
          <w:i/>
          <w:iCs/>
          <w:color w:val="000000"/>
          <w:lang w:eastAsia="bg-BG"/>
        </w:rPr>
        <w:t>Невролептици, трициклични антидепресанти (групата на имипрамин)</w:t>
      </w:r>
    </w:p>
    <w:p w14:paraId="3E1CCF00" w14:textId="77777777" w:rsidR="000655BC" w:rsidRPr="000655BC" w:rsidRDefault="000655BC" w:rsidP="000655BC">
      <w:pPr>
        <w:spacing w:line="240" w:lineRule="auto"/>
        <w:rPr>
          <w:rFonts w:eastAsia="Times New Roman" w:cs="Arial"/>
        </w:rPr>
      </w:pPr>
      <w:r w:rsidRPr="000655BC">
        <w:rPr>
          <w:rFonts w:eastAsia="Times New Roman" w:cs="Arial"/>
          <w:color w:val="000000"/>
          <w:lang w:eastAsia="bg-BG"/>
        </w:rPr>
        <w:t>Потенцират хипотензивния ефект на индапамид и повишават риска от поява на ортостатична хипотония (адитивен ефект).</w:t>
      </w:r>
    </w:p>
    <w:p w14:paraId="6A225D97" w14:textId="77777777" w:rsidR="000655BC" w:rsidRPr="000655BC" w:rsidRDefault="000655BC" w:rsidP="000655BC">
      <w:pPr>
        <w:spacing w:line="240" w:lineRule="auto"/>
        <w:rPr>
          <w:rFonts w:eastAsia="Times New Roman" w:cs="Arial"/>
          <w:i/>
          <w:iCs/>
          <w:color w:val="000000"/>
          <w:lang w:eastAsia="bg-BG"/>
        </w:rPr>
      </w:pPr>
    </w:p>
    <w:p w14:paraId="723DFC94" w14:textId="6F6E00D2" w:rsidR="000655BC" w:rsidRPr="000655BC" w:rsidRDefault="000655BC" w:rsidP="000655BC">
      <w:pPr>
        <w:spacing w:line="240" w:lineRule="auto"/>
        <w:rPr>
          <w:rFonts w:eastAsia="Times New Roman" w:cs="Arial"/>
        </w:rPr>
      </w:pPr>
      <w:r w:rsidRPr="000655BC">
        <w:rPr>
          <w:rFonts w:eastAsia="Times New Roman" w:cs="Arial"/>
          <w:i/>
          <w:iCs/>
          <w:color w:val="000000"/>
          <w:lang w:eastAsia="bg-BG"/>
        </w:rPr>
        <w:t>Калциеви соли</w:t>
      </w:r>
    </w:p>
    <w:p w14:paraId="4F0FA1D7" w14:textId="77777777" w:rsidR="000655BC" w:rsidRPr="000655BC" w:rsidRDefault="000655BC" w:rsidP="000655BC">
      <w:pPr>
        <w:spacing w:line="240" w:lineRule="auto"/>
        <w:rPr>
          <w:rFonts w:eastAsia="Times New Roman" w:cs="Arial"/>
        </w:rPr>
      </w:pPr>
      <w:r w:rsidRPr="000655BC">
        <w:rPr>
          <w:rFonts w:eastAsia="Times New Roman" w:cs="Arial"/>
          <w:color w:val="000000"/>
          <w:lang w:eastAsia="bg-BG"/>
        </w:rPr>
        <w:t>Съществува повишен риск от хиперкалциемия поради понижената бъбречна екскреция на калций.</w:t>
      </w:r>
    </w:p>
    <w:p w14:paraId="551DAF0E" w14:textId="77777777" w:rsidR="000655BC" w:rsidRPr="000655BC" w:rsidRDefault="000655BC" w:rsidP="000655BC">
      <w:pPr>
        <w:spacing w:line="240" w:lineRule="auto"/>
        <w:rPr>
          <w:rFonts w:eastAsia="Times New Roman" w:cs="Arial"/>
          <w:i/>
          <w:iCs/>
          <w:color w:val="000000"/>
          <w:lang w:eastAsia="bg-BG"/>
        </w:rPr>
      </w:pPr>
    </w:p>
    <w:p w14:paraId="25C09A7C" w14:textId="436D59E0" w:rsidR="000655BC" w:rsidRPr="000655BC" w:rsidRDefault="000655BC" w:rsidP="000655BC">
      <w:pPr>
        <w:spacing w:line="240" w:lineRule="auto"/>
        <w:rPr>
          <w:rFonts w:eastAsia="Times New Roman" w:cs="Arial"/>
        </w:rPr>
      </w:pPr>
      <w:r w:rsidRPr="000655BC">
        <w:rPr>
          <w:rFonts w:eastAsia="Times New Roman" w:cs="Arial"/>
          <w:i/>
          <w:iCs/>
          <w:color w:val="000000"/>
          <w:lang w:eastAsia="bg-BG"/>
        </w:rPr>
        <w:t>Циклоспорин, такролимус</w:t>
      </w:r>
    </w:p>
    <w:p w14:paraId="68F357AB" w14:textId="77777777" w:rsidR="000655BC" w:rsidRPr="000655BC" w:rsidRDefault="000655BC" w:rsidP="000655BC">
      <w:pPr>
        <w:spacing w:line="240" w:lineRule="auto"/>
        <w:rPr>
          <w:rFonts w:eastAsia="Times New Roman" w:cs="Arial"/>
        </w:rPr>
      </w:pPr>
      <w:r w:rsidRPr="000655BC">
        <w:rPr>
          <w:rFonts w:eastAsia="Times New Roman" w:cs="Arial"/>
          <w:color w:val="000000"/>
          <w:lang w:eastAsia="bg-BG"/>
        </w:rPr>
        <w:t>Възможен риск от повишаване стойностите на серумния креатинин без промяна в плазмените нива на циклоспорина, дори при нормално съдържание на вода и натриеви йони.</w:t>
      </w:r>
    </w:p>
    <w:p w14:paraId="78255A18" w14:textId="77777777" w:rsidR="000655BC" w:rsidRPr="000655BC" w:rsidRDefault="000655BC" w:rsidP="000655BC">
      <w:pPr>
        <w:spacing w:line="240" w:lineRule="auto"/>
        <w:rPr>
          <w:rFonts w:eastAsia="Times New Roman" w:cs="Arial"/>
          <w:i/>
          <w:iCs/>
          <w:color w:val="000000"/>
          <w:lang w:eastAsia="bg-BG"/>
        </w:rPr>
      </w:pPr>
    </w:p>
    <w:p w14:paraId="5A77260B" w14:textId="6ED18D44" w:rsidR="000655BC" w:rsidRPr="000655BC" w:rsidRDefault="000655BC" w:rsidP="000655BC">
      <w:pPr>
        <w:spacing w:line="240" w:lineRule="auto"/>
        <w:rPr>
          <w:rFonts w:eastAsia="Times New Roman" w:cs="Arial"/>
        </w:rPr>
      </w:pPr>
      <w:r w:rsidRPr="000655BC">
        <w:rPr>
          <w:rFonts w:eastAsia="Times New Roman" w:cs="Arial"/>
          <w:i/>
          <w:iCs/>
          <w:color w:val="000000"/>
          <w:lang w:eastAsia="bg-BG"/>
        </w:rPr>
        <w:t>Кортикостероиди, тетракозактид</w:t>
      </w:r>
    </w:p>
    <w:p w14:paraId="46D60897" w14:textId="4C7E4B78" w:rsidR="000655BC" w:rsidRDefault="000655BC" w:rsidP="000655BC">
      <w:pPr>
        <w:rPr>
          <w:rFonts w:eastAsia="Times New Roman" w:cs="Arial"/>
          <w:color w:val="000000"/>
          <w:lang w:eastAsia="bg-BG"/>
        </w:rPr>
      </w:pPr>
      <w:r w:rsidRPr="000655BC">
        <w:rPr>
          <w:rFonts w:eastAsia="Times New Roman" w:cs="Arial"/>
          <w:color w:val="000000"/>
          <w:lang w:eastAsia="bg-BG"/>
        </w:rPr>
        <w:t xml:space="preserve">Антихипертензивният ефект на индапамид се намалява при съвместно приложение с </w:t>
      </w:r>
      <w:r w:rsidRPr="000655BC">
        <w:rPr>
          <w:rFonts w:eastAsia="Times New Roman" w:cs="Arial"/>
          <w:i/>
          <w:iCs/>
          <w:color w:val="000000"/>
          <w:lang w:eastAsia="bg-BG"/>
        </w:rPr>
        <w:t>глюкокортикостероиди, тетракозактид</w:t>
      </w:r>
      <w:r w:rsidRPr="000655BC">
        <w:rPr>
          <w:rFonts w:eastAsia="Times New Roman" w:cs="Arial"/>
          <w:color w:val="000000"/>
          <w:lang w:eastAsia="bg-BG"/>
        </w:rPr>
        <w:t xml:space="preserve"> (системно приложение) поради задръжка на вода и натриеви йони, дължащо се на кортикостероидите.</w:t>
      </w:r>
    </w:p>
    <w:p w14:paraId="6C5B26E1" w14:textId="7FEF7561" w:rsidR="000655BC" w:rsidRPr="000655BC" w:rsidRDefault="000655BC" w:rsidP="000655BC">
      <w:pPr>
        <w:rPr>
          <w:rFonts w:cs="Arial"/>
        </w:rPr>
      </w:pPr>
    </w:p>
    <w:p w14:paraId="4762A32B" w14:textId="2076FCF5" w:rsidR="001A6EBD" w:rsidRDefault="002C50EE" w:rsidP="00471F10">
      <w:pPr>
        <w:pStyle w:val="Heading2"/>
      </w:pPr>
      <w:r>
        <w:t>4.6. Фертилитет, бременност и кърмене</w:t>
      </w:r>
    </w:p>
    <w:p w14:paraId="0FD2FA14" w14:textId="2BD09826" w:rsidR="000655BC" w:rsidRDefault="000655BC" w:rsidP="000655BC"/>
    <w:p w14:paraId="6106F0B1" w14:textId="77777777" w:rsidR="000655BC" w:rsidRPr="000655BC" w:rsidRDefault="000655BC" w:rsidP="000655BC">
      <w:pPr>
        <w:pStyle w:val="Heading3"/>
        <w:rPr>
          <w:rFonts w:eastAsia="Times New Roman"/>
          <w:sz w:val="28"/>
          <w:u w:val="single"/>
        </w:rPr>
      </w:pPr>
      <w:r w:rsidRPr="000655BC">
        <w:rPr>
          <w:rFonts w:eastAsia="Times New Roman"/>
          <w:u w:val="single"/>
          <w:lang w:eastAsia="bg-BG"/>
        </w:rPr>
        <w:t>Бременност</w:t>
      </w:r>
    </w:p>
    <w:p w14:paraId="624C9755" w14:textId="77777777"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Няма данни или има твърде ограничени такива (по-малко от 300 бременности) относно употребата на индапамид при бременни жени. Продължителното приемане на тиазидни диуретици през третото тримесечие на бременността може да доведе до понижаване на обема на кръвта на майката, както и на вътреплацентарния кръвен поток, като може да причини фетоплацентарна исхемия и забавяне на растежа.</w:t>
      </w:r>
    </w:p>
    <w:p w14:paraId="6A9305E6" w14:textId="77777777" w:rsidR="000655BC" w:rsidRPr="000655BC" w:rsidRDefault="000655BC" w:rsidP="000655BC">
      <w:pPr>
        <w:spacing w:line="240" w:lineRule="auto"/>
        <w:rPr>
          <w:rFonts w:eastAsia="Times New Roman" w:cs="Arial"/>
          <w:color w:val="000000"/>
          <w:szCs w:val="20"/>
          <w:lang w:eastAsia="bg-BG"/>
        </w:rPr>
      </w:pPr>
    </w:p>
    <w:p w14:paraId="2F567A56" w14:textId="26FA476E"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Изследвания, проведени при животни не са показали вредни преки или опосредствани ефекти върху репродуктивността (виж т. 5.3).</w:t>
      </w:r>
    </w:p>
    <w:p w14:paraId="5196F322" w14:textId="77777777" w:rsidR="000655BC" w:rsidRPr="000655BC" w:rsidRDefault="000655BC" w:rsidP="000655BC">
      <w:pPr>
        <w:spacing w:line="240" w:lineRule="auto"/>
        <w:rPr>
          <w:rFonts w:eastAsia="Times New Roman" w:cs="Arial"/>
          <w:color w:val="000000"/>
          <w:szCs w:val="20"/>
          <w:lang w:eastAsia="bg-BG"/>
        </w:rPr>
      </w:pPr>
    </w:p>
    <w:p w14:paraId="23A002A5" w14:textId="07E75AE7"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Като предпазна мярка, за предпочитане е да се избягва прилагането на индапамид при бременност.</w:t>
      </w:r>
    </w:p>
    <w:p w14:paraId="50538636" w14:textId="77777777" w:rsidR="000655BC" w:rsidRPr="000655BC" w:rsidRDefault="000655BC" w:rsidP="000655BC">
      <w:pPr>
        <w:spacing w:line="240" w:lineRule="auto"/>
        <w:rPr>
          <w:rFonts w:eastAsia="Times New Roman" w:cs="Arial"/>
          <w:color w:val="000000"/>
          <w:szCs w:val="20"/>
          <w:u w:val="single"/>
          <w:lang w:eastAsia="bg-BG"/>
        </w:rPr>
      </w:pPr>
    </w:p>
    <w:p w14:paraId="4C923FC5" w14:textId="7E6052C0" w:rsidR="000655BC" w:rsidRPr="000655BC" w:rsidRDefault="000655BC" w:rsidP="000655BC">
      <w:pPr>
        <w:pStyle w:val="Heading3"/>
        <w:rPr>
          <w:rFonts w:eastAsia="Times New Roman"/>
          <w:sz w:val="28"/>
          <w:u w:val="single"/>
        </w:rPr>
      </w:pPr>
      <w:r w:rsidRPr="000655BC">
        <w:rPr>
          <w:rFonts w:eastAsia="Times New Roman"/>
          <w:u w:val="single"/>
          <w:lang w:eastAsia="bg-BG"/>
        </w:rPr>
        <w:t>Кърмене</w:t>
      </w:r>
    </w:p>
    <w:p w14:paraId="21A53B84" w14:textId="5F7DF657"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Не са налични достатъчно данни относно отделянето на индапамид или негови метаболити в майчиното мляко. Възможна е появата на хиперчувствителност към лекарства, производни на сулфамиди, както и хипокалиемия. Рискът за новородени/кърмачета не може да бъде изключен. Индапамид е много близък структурно до тиазидните диуретици, с които се свързва намаляването, дори спирането на кърмата.</w:t>
      </w:r>
    </w:p>
    <w:p w14:paraId="5AE8ED5A" w14:textId="77777777"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Индапамид не трябва да се използва по време на кърмене.</w:t>
      </w:r>
    </w:p>
    <w:p w14:paraId="4404D189" w14:textId="77777777" w:rsidR="000655BC" w:rsidRPr="000655BC" w:rsidRDefault="000655BC" w:rsidP="000655BC">
      <w:pPr>
        <w:spacing w:line="240" w:lineRule="auto"/>
        <w:rPr>
          <w:rFonts w:eastAsia="Times New Roman" w:cs="Arial"/>
          <w:color w:val="000000"/>
          <w:szCs w:val="20"/>
          <w:u w:val="single"/>
          <w:lang w:eastAsia="bg-BG"/>
        </w:rPr>
      </w:pPr>
    </w:p>
    <w:p w14:paraId="34E66A97" w14:textId="2F50A633" w:rsidR="000655BC" w:rsidRPr="000655BC" w:rsidRDefault="000655BC" w:rsidP="000655BC">
      <w:pPr>
        <w:pStyle w:val="Heading3"/>
        <w:rPr>
          <w:rFonts w:eastAsia="Times New Roman"/>
          <w:sz w:val="28"/>
          <w:u w:val="single"/>
        </w:rPr>
      </w:pPr>
      <w:r w:rsidRPr="000655BC">
        <w:rPr>
          <w:rFonts w:eastAsia="Times New Roman"/>
          <w:u w:val="single"/>
          <w:lang w:eastAsia="bg-BG"/>
        </w:rPr>
        <w:t>Фертилитет</w:t>
      </w:r>
    </w:p>
    <w:p w14:paraId="0693F4FB" w14:textId="77777777" w:rsidR="000655BC" w:rsidRPr="000655BC" w:rsidRDefault="000655BC" w:rsidP="000655BC">
      <w:pPr>
        <w:spacing w:line="240" w:lineRule="auto"/>
        <w:rPr>
          <w:rFonts w:eastAsia="Times New Roman" w:cs="Arial"/>
          <w:sz w:val="28"/>
          <w:szCs w:val="24"/>
        </w:rPr>
      </w:pPr>
      <w:r w:rsidRPr="000655BC">
        <w:rPr>
          <w:rFonts w:eastAsia="Times New Roman" w:cs="Arial"/>
          <w:color w:val="000000"/>
          <w:szCs w:val="20"/>
          <w:lang w:eastAsia="bg-BG"/>
        </w:rPr>
        <w:t>Изследванията за токсичност върху репродуктивността на мишки, женски и мъжки, не са показали въздействие върху фертилитета им (виж т.5.3). Не се очаква ефект и върху човешката репродуктивност.</w:t>
      </w:r>
    </w:p>
    <w:p w14:paraId="7C69BD32" w14:textId="77777777" w:rsidR="000655BC" w:rsidRPr="000655BC" w:rsidRDefault="000655BC" w:rsidP="000655BC"/>
    <w:p w14:paraId="188B33B4" w14:textId="619F8ECF" w:rsidR="001A6EBD" w:rsidRDefault="002C50EE" w:rsidP="00471F10">
      <w:pPr>
        <w:pStyle w:val="Heading2"/>
      </w:pPr>
      <w:r>
        <w:lastRenderedPageBreak/>
        <w:t>4.7. Ефекти върху способността за шофиране и работа с машини</w:t>
      </w:r>
    </w:p>
    <w:p w14:paraId="41368BAB" w14:textId="6498EB3F" w:rsidR="000655BC" w:rsidRDefault="000655BC" w:rsidP="000655BC"/>
    <w:p w14:paraId="44BE4427" w14:textId="7FBE530E" w:rsidR="000655BC" w:rsidRPr="000655BC" w:rsidRDefault="000655BC" w:rsidP="000655BC">
      <w:pPr>
        <w:rPr>
          <w:sz w:val="24"/>
          <w:szCs w:val="24"/>
        </w:rPr>
      </w:pPr>
      <w:r w:rsidRPr="000655BC">
        <w:rPr>
          <w:lang w:eastAsia="bg-BG"/>
        </w:rPr>
        <w:t>Индапамид не оказва влияние върху активното внимание, но в някои случаи могат да настъпят</w:t>
      </w:r>
      <w:r w:rsidRPr="000655BC">
        <w:rPr>
          <w:vertAlign w:val="subscript"/>
          <w:lang w:eastAsia="bg-BG"/>
        </w:rPr>
        <w:t xml:space="preserve"> </w:t>
      </w:r>
      <w:r w:rsidRPr="000655BC">
        <w:rPr>
          <w:lang w:eastAsia="bg-BG"/>
        </w:rPr>
        <w:t>промени в реакциите, във връзка с понижаване на кръвното налягане, особено в началото на</w:t>
      </w:r>
      <w:r>
        <w:rPr>
          <w:lang w:eastAsia="bg-BG"/>
        </w:rPr>
        <w:t xml:space="preserve"> </w:t>
      </w:r>
      <w:r>
        <w:t>лечението или при съчетание с друг антихипертензивен продукт. В резултат способността за шофиране и работа с машини може да бъде повлияна.</w:t>
      </w:r>
    </w:p>
    <w:p w14:paraId="5985BEB4" w14:textId="77777777" w:rsidR="000655BC" w:rsidRPr="000655BC" w:rsidRDefault="000655BC" w:rsidP="000655BC"/>
    <w:p w14:paraId="44CE30A3" w14:textId="43854130" w:rsidR="007122AD" w:rsidRDefault="002C50EE" w:rsidP="00936AD0">
      <w:pPr>
        <w:pStyle w:val="Heading2"/>
      </w:pPr>
      <w:r>
        <w:t>4.8. Нежелани лекарствени реакции</w:t>
      </w:r>
    </w:p>
    <w:p w14:paraId="6A22A713" w14:textId="4E707F89" w:rsidR="000655BC" w:rsidRDefault="000655BC" w:rsidP="000655BC"/>
    <w:p w14:paraId="6DDE7BBF" w14:textId="77777777" w:rsidR="000655BC" w:rsidRPr="000655BC" w:rsidRDefault="000655BC" w:rsidP="000655BC">
      <w:pPr>
        <w:spacing w:line="240" w:lineRule="auto"/>
        <w:rPr>
          <w:rFonts w:ascii="Times New Roman" w:eastAsia="Times New Roman" w:hAnsi="Times New Roman" w:cs="Times New Roman"/>
          <w:sz w:val="24"/>
          <w:szCs w:val="24"/>
        </w:rPr>
      </w:pPr>
      <w:r w:rsidRPr="000655BC">
        <w:rPr>
          <w:rFonts w:ascii="Times New Roman" w:eastAsia="Times New Roman" w:hAnsi="Times New Roman" w:cs="Times New Roman"/>
          <w:color w:val="000000"/>
          <w:sz w:val="20"/>
          <w:szCs w:val="20"/>
          <w:lang w:eastAsia="bg-BG"/>
        </w:rPr>
        <w:t>Най-често докладваните нежелани реакции са хипокалиемия, такива на свръхчувствителност, основно дерматологични при пациенти с предразположение към алергични и астматични реакции или макулопапулозни обриви.</w:t>
      </w:r>
    </w:p>
    <w:p w14:paraId="78E9ECD1" w14:textId="77777777" w:rsidR="000655BC" w:rsidRDefault="000655BC" w:rsidP="000655BC">
      <w:pPr>
        <w:spacing w:line="240" w:lineRule="auto"/>
        <w:rPr>
          <w:rFonts w:ascii="Times New Roman" w:eastAsia="Times New Roman" w:hAnsi="Times New Roman" w:cs="Times New Roman"/>
          <w:color w:val="000000"/>
          <w:sz w:val="20"/>
          <w:szCs w:val="20"/>
          <w:lang w:eastAsia="bg-BG"/>
        </w:rPr>
      </w:pPr>
    </w:p>
    <w:p w14:paraId="0B3E4141" w14:textId="0DA7C980" w:rsidR="000655BC" w:rsidRPr="000655BC" w:rsidRDefault="000655BC" w:rsidP="000655BC">
      <w:pPr>
        <w:spacing w:line="240" w:lineRule="auto"/>
        <w:rPr>
          <w:rFonts w:ascii="Times New Roman" w:eastAsia="Times New Roman" w:hAnsi="Times New Roman" w:cs="Times New Roman"/>
          <w:sz w:val="24"/>
          <w:szCs w:val="24"/>
        </w:rPr>
      </w:pPr>
      <w:r w:rsidRPr="000655BC">
        <w:rPr>
          <w:rFonts w:ascii="Times New Roman" w:eastAsia="Times New Roman" w:hAnsi="Times New Roman" w:cs="Times New Roman"/>
          <w:color w:val="000000"/>
          <w:sz w:val="20"/>
          <w:szCs w:val="20"/>
          <w:lang w:eastAsia="bg-BG"/>
        </w:rPr>
        <w:t xml:space="preserve">По време на проучванията фаза II и III, сравняващи индапамид 1,5 </w:t>
      </w:r>
      <w:r w:rsidRPr="000655BC">
        <w:rPr>
          <w:rFonts w:ascii="Times New Roman" w:eastAsia="Times New Roman" w:hAnsi="Times New Roman" w:cs="Times New Roman"/>
          <w:color w:val="000000"/>
          <w:sz w:val="20"/>
          <w:szCs w:val="20"/>
          <w:lang w:val="en-US"/>
        </w:rPr>
        <w:t>mg</w:t>
      </w:r>
      <w:r w:rsidRPr="000655BC">
        <w:rPr>
          <w:rFonts w:ascii="Times New Roman" w:eastAsia="Times New Roman" w:hAnsi="Times New Roman" w:cs="Times New Roman"/>
          <w:color w:val="000000"/>
          <w:sz w:val="20"/>
          <w:szCs w:val="20"/>
          <w:lang w:val="ru-RU"/>
        </w:rPr>
        <w:t xml:space="preserve"> </w:t>
      </w:r>
      <w:r w:rsidRPr="000655BC">
        <w:rPr>
          <w:rFonts w:ascii="Times New Roman" w:eastAsia="Times New Roman" w:hAnsi="Times New Roman" w:cs="Times New Roman"/>
          <w:color w:val="000000"/>
          <w:sz w:val="20"/>
          <w:szCs w:val="20"/>
          <w:lang w:eastAsia="bg-BG"/>
        </w:rPr>
        <w:t xml:space="preserve">с 2,5 </w:t>
      </w:r>
      <w:r w:rsidRPr="000655BC">
        <w:rPr>
          <w:rFonts w:ascii="Times New Roman" w:eastAsia="Times New Roman" w:hAnsi="Times New Roman" w:cs="Times New Roman"/>
          <w:color w:val="000000"/>
          <w:sz w:val="20"/>
          <w:szCs w:val="20"/>
          <w:lang w:val="en-US"/>
        </w:rPr>
        <w:t>mg</w:t>
      </w:r>
      <w:r w:rsidRPr="000655BC">
        <w:rPr>
          <w:rFonts w:ascii="Times New Roman" w:eastAsia="Times New Roman" w:hAnsi="Times New Roman" w:cs="Times New Roman"/>
          <w:color w:val="000000"/>
          <w:sz w:val="20"/>
          <w:szCs w:val="20"/>
          <w:lang w:val="ru-RU"/>
        </w:rPr>
        <w:t xml:space="preserve">, </w:t>
      </w:r>
      <w:r w:rsidRPr="000655BC">
        <w:rPr>
          <w:rFonts w:ascii="Times New Roman" w:eastAsia="Times New Roman" w:hAnsi="Times New Roman" w:cs="Times New Roman"/>
          <w:color w:val="000000"/>
          <w:sz w:val="20"/>
          <w:szCs w:val="20"/>
          <w:lang w:eastAsia="bg-BG"/>
        </w:rPr>
        <w:t>анализите на плазмения калий са показали дозозависим ефект от индапамид:</w:t>
      </w:r>
    </w:p>
    <w:p w14:paraId="44FBBCA2" w14:textId="77777777" w:rsidR="000655BC" w:rsidRDefault="000655BC" w:rsidP="000655BC">
      <w:pPr>
        <w:spacing w:line="240" w:lineRule="auto"/>
        <w:rPr>
          <w:rFonts w:ascii="Times New Roman" w:eastAsia="Times New Roman" w:hAnsi="Times New Roman" w:cs="Times New Roman"/>
          <w:color w:val="000000"/>
          <w:sz w:val="20"/>
          <w:szCs w:val="20"/>
          <w:lang w:eastAsia="bg-BG"/>
        </w:rPr>
      </w:pPr>
    </w:p>
    <w:p w14:paraId="5B94EE9C" w14:textId="77777777" w:rsidR="000655BC" w:rsidRPr="000655BC" w:rsidRDefault="000655BC" w:rsidP="000655BC">
      <w:pPr>
        <w:pStyle w:val="ListParagraph"/>
        <w:numPr>
          <w:ilvl w:val="0"/>
          <w:numId w:val="38"/>
        </w:numPr>
        <w:spacing w:line="240" w:lineRule="auto"/>
        <w:rPr>
          <w:rFonts w:ascii="Times New Roman" w:eastAsia="Times New Roman" w:hAnsi="Times New Roman" w:cs="Times New Roman"/>
          <w:sz w:val="24"/>
          <w:szCs w:val="24"/>
        </w:rPr>
      </w:pPr>
      <w:r w:rsidRPr="000655BC">
        <w:rPr>
          <w:rFonts w:ascii="Times New Roman" w:eastAsia="Times New Roman" w:hAnsi="Times New Roman" w:cs="Times New Roman"/>
          <w:color w:val="000000"/>
          <w:sz w:val="20"/>
          <w:szCs w:val="20"/>
          <w:lang w:eastAsia="bg-BG"/>
        </w:rPr>
        <w:t xml:space="preserve">Индапамид 1,5 </w:t>
      </w:r>
      <w:r w:rsidRPr="000655BC">
        <w:rPr>
          <w:rFonts w:ascii="Times New Roman" w:eastAsia="Times New Roman" w:hAnsi="Times New Roman" w:cs="Times New Roman"/>
          <w:color w:val="000000"/>
          <w:sz w:val="20"/>
          <w:szCs w:val="20"/>
          <w:lang w:val="en-US"/>
        </w:rPr>
        <w:t>mg</w:t>
      </w:r>
      <w:r w:rsidRPr="000655BC">
        <w:rPr>
          <w:rFonts w:ascii="Times New Roman" w:eastAsia="Times New Roman" w:hAnsi="Times New Roman" w:cs="Times New Roman"/>
          <w:color w:val="000000"/>
          <w:sz w:val="20"/>
          <w:szCs w:val="20"/>
          <w:lang w:val="ru-RU"/>
        </w:rPr>
        <w:t xml:space="preserve">: </w:t>
      </w:r>
      <w:r w:rsidRPr="000655BC">
        <w:rPr>
          <w:rFonts w:ascii="Times New Roman" w:eastAsia="Times New Roman" w:hAnsi="Times New Roman" w:cs="Times New Roman"/>
          <w:color w:val="000000"/>
          <w:sz w:val="20"/>
          <w:szCs w:val="20"/>
          <w:lang w:eastAsia="bg-BG"/>
        </w:rPr>
        <w:t xml:space="preserve">плазмен калий &lt;3,4 </w:t>
      </w:r>
      <w:proofErr w:type="spellStart"/>
      <w:r w:rsidRPr="000655BC">
        <w:rPr>
          <w:rFonts w:ascii="Times New Roman" w:eastAsia="Times New Roman" w:hAnsi="Times New Roman" w:cs="Times New Roman"/>
          <w:color w:val="000000"/>
          <w:sz w:val="20"/>
          <w:szCs w:val="20"/>
          <w:lang w:val="en-US"/>
        </w:rPr>
        <w:t>mmol</w:t>
      </w:r>
      <w:proofErr w:type="spellEnd"/>
      <w:r w:rsidRPr="000655BC">
        <w:rPr>
          <w:rFonts w:ascii="Times New Roman" w:eastAsia="Times New Roman" w:hAnsi="Times New Roman" w:cs="Times New Roman"/>
          <w:color w:val="000000"/>
          <w:sz w:val="20"/>
          <w:szCs w:val="20"/>
          <w:lang w:val="ru-RU"/>
        </w:rPr>
        <w:t xml:space="preserve">/1 </w:t>
      </w:r>
      <w:r w:rsidRPr="000655BC">
        <w:rPr>
          <w:rFonts w:ascii="Times New Roman" w:eastAsia="Times New Roman" w:hAnsi="Times New Roman" w:cs="Times New Roman"/>
          <w:color w:val="000000"/>
          <w:sz w:val="20"/>
          <w:szCs w:val="20"/>
          <w:lang w:eastAsia="bg-BG"/>
        </w:rPr>
        <w:t xml:space="preserve">е наблюдаван при 10% от пациентите и &lt;3,2 </w:t>
      </w:r>
      <w:proofErr w:type="spellStart"/>
      <w:r w:rsidRPr="000655BC">
        <w:rPr>
          <w:rFonts w:ascii="Times New Roman" w:eastAsia="Times New Roman" w:hAnsi="Times New Roman" w:cs="Times New Roman"/>
          <w:color w:val="000000"/>
          <w:sz w:val="20"/>
          <w:szCs w:val="20"/>
          <w:lang w:val="en-US"/>
        </w:rPr>
        <w:t>mmol</w:t>
      </w:r>
      <w:proofErr w:type="spellEnd"/>
      <w:r w:rsidRPr="000655BC">
        <w:rPr>
          <w:rFonts w:ascii="Times New Roman" w:eastAsia="Times New Roman" w:hAnsi="Times New Roman" w:cs="Times New Roman"/>
          <w:color w:val="000000"/>
          <w:sz w:val="20"/>
          <w:szCs w:val="20"/>
          <w:lang w:val="ru-RU"/>
        </w:rPr>
        <w:t xml:space="preserve">/1 </w:t>
      </w:r>
      <w:r w:rsidRPr="000655BC">
        <w:rPr>
          <w:rFonts w:ascii="Times New Roman" w:eastAsia="Times New Roman" w:hAnsi="Times New Roman" w:cs="Times New Roman"/>
          <w:color w:val="000000"/>
          <w:sz w:val="20"/>
          <w:szCs w:val="20"/>
          <w:lang w:eastAsia="bg-BG"/>
        </w:rPr>
        <w:t xml:space="preserve">при 4% от пациентите след 4 до 6 седмици лечение. След 12 седмично лечение средното понижение на плазмения калим е било 0,23 </w:t>
      </w:r>
      <w:proofErr w:type="spellStart"/>
      <w:r w:rsidRPr="000655BC">
        <w:rPr>
          <w:rFonts w:ascii="Times New Roman" w:eastAsia="Times New Roman" w:hAnsi="Times New Roman" w:cs="Times New Roman"/>
          <w:color w:val="000000"/>
          <w:sz w:val="20"/>
          <w:szCs w:val="20"/>
          <w:lang w:val="en-US"/>
        </w:rPr>
        <w:t>mmol</w:t>
      </w:r>
      <w:proofErr w:type="spellEnd"/>
      <w:r w:rsidRPr="000655BC">
        <w:rPr>
          <w:rFonts w:ascii="Times New Roman" w:eastAsia="Times New Roman" w:hAnsi="Times New Roman" w:cs="Times New Roman"/>
          <w:color w:val="000000"/>
          <w:sz w:val="20"/>
          <w:szCs w:val="20"/>
          <w:lang w:val="ru-RU"/>
        </w:rPr>
        <w:t>/1.</w:t>
      </w:r>
    </w:p>
    <w:p w14:paraId="127BFBC5" w14:textId="1B7E6928" w:rsidR="000655BC" w:rsidRPr="000655BC" w:rsidRDefault="000655BC" w:rsidP="000655BC">
      <w:pPr>
        <w:pStyle w:val="ListParagraph"/>
        <w:numPr>
          <w:ilvl w:val="0"/>
          <w:numId w:val="38"/>
        </w:numPr>
        <w:spacing w:line="240" w:lineRule="auto"/>
        <w:rPr>
          <w:rFonts w:ascii="Times New Roman" w:eastAsia="Times New Roman" w:hAnsi="Times New Roman" w:cs="Times New Roman"/>
          <w:sz w:val="24"/>
          <w:szCs w:val="24"/>
        </w:rPr>
      </w:pPr>
      <w:r w:rsidRPr="000655BC">
        <w:rPr>
          <w:rFonts w:ascii="Times New Roman" w:eastAsia="Times New Roman" w:hAnsi="Times New Roman" w:cs="Times New Roman"/>
          <w:color w:val="000000"/>
          <w:sz w:val="20"/>
          <w:szCs w:val="20"/>
          <w:lang w:eastAsia="bg-BG"/>
        </w:rPr>
        <w:t xml:space="preserve">Индапамид 2,5 </w:t>
      </w:r>
      <w:r w:rsidRPr="000655BC">
        <w:rPr>
          <w:rFonts w:ascii="Times New Roman" w:eastAsia="Times New Roman" w:hAnsi="Times New Roman" w:cs="Times New Roman"/>
          <w:color w:val="000000"/>
          <w:sz w:val="20"/>
          <w:szCs w:val="20"/>
          <w:lang w:val="en-US"/>
        </w:rPr>
        <w:t>mg</w:t>
      </w:r>
      <w:r w:rsidRPr="000655BC">
        <w:rPr>
          <w:rFonts w:ascii="Times New Roman" w:eastAsia="Times New Roman" w:hAnsi="Times New Roman" w:cs="Times New Roman"/>
          <w:color w:val="000000"/>
          <w:sz w:val="20"/>
          <w:szCs w:val="20"/>
          <w:lang w:val="ru-RU"/>
        </w:rPr>
        <w:t xml:space="preserve">: </w:t>
      </w:r>
      <w:r w:rsidRPr="000655BC">
        <w:rPr>
          <w:rFonts w:ascii="Times New Roman" w:eastAsia="Times New Roman" w:hAnsi="Times New Roman" w:cs="Times New Roman"/>
          <w:color w:val="000000"/>
          <w:sz w:val="20"/>
          <w:szCs w:val="20"/>
          <w:lang w:eastAsia="bg-BG"/>
        </w:rPr>
        <w:t xml:space="preserve">плазмен калий &lt;3,4 </w:t>
      </w:r>
      <w:proofErr w:type="spellStart"/>
      <w:r w:rsidRPr="000655BC">
        <w:rPr>
          <w:rFonts w:ascii="Times New Roman" w:eastAsia="Times New Roman" w:hAnsi="Times New Roman" w:cs="Times New Roman"/>
          <w:color w:val="000000"/>
          <w:sz w:val="20"/>
          <w:szCs w:val="20"/>
          <w:lang w:val="en-US"/>
        </w:rPr>
        <w:t>mmol</w:t>
      </w:r>
      <w:proofErr w:type="spellEnd"/>
      <w:r w:rsidRPr="000655BC">
        <w:rPr>
          <w:rFonts w:ascii="Times New Roman" w:eastAsia="Times New Roman" w:hAnsi="Times New Roman" w:cs="Times New Roman"/>
          <w:color w:val="000000"/>
          <w:sz w:val="20"/>
          <w:szCs w:val="20"/>
          <w:lang w:val="ru-RU"/>
        </w:rPr>
        <w:t xml:space="preserve">/1 </w:t>
      </w:r>
      <w:r w:rsidRPr="000655BC">
        <w:rPr>
          <w:rFonts w:ascii="Times New Roman" w:eastAsia="Times New Roman" w:hAnsi="Times New Roman" w:cs="Times New Roman"/>
          <w:color w:val="000000"/>
          <w:sz w:val="20"/>
          <w:szCs w:val="20"/>
          <w:lang w:eastAsia="bg-BG"/>
        </w:rPr>
        <w:t xml:space="preserve">е наблюдаван при 25% от пациентите и &lt;3,2 </w:t>
      </w:r>
      <w:proofErr w:type="spellStart"/>
      <w:r w:rsidRPr="000655BC">
        <w:rPr>
          <w:rFonts w:ascii="Times New Roman" w:eastAsia="Times New Roman" w:hAnsi="Times New Roman" w:cs="Times New Roman"/>
          <w:color w:val="000000"/>
          <w:sz w:val="20"/>
          <w:szCs w:val="20"/>
          <w:lang w:val="en-US"/>
        </w:rPr>
        <w:t>mmol</w:t>
      </w:r>
      <w:proofErr w:type="spellEnd"/>
      <w:r w:rsidRPr="000655BC">
        <w:rPr>
          <w:rFonts w:ascii="Times New Roman" w:eastAsia="Times New Roman" w:hAnsi="Times New Roman" w:cs="Times New Roman"/>
          <w:color w:val="000000"/>
          <w:sz w:val="20"/>
          <w:szCs w:val="20"/>
          <w:lang w:val="ru-RU"/>
        </w:rPr>
        <w:t xml:space="preserve">/1 </w:t>
      </w:r>
      <w:r w:rsidRPr="000655BC">
        <w:rPr>
          <w:rFonts w:ascii="Times New Roman" w:eastAsia="Times New Roman" w:hAnsi="Times New Roman" w:cs="Times New Roman"/>
          <w:color w:val="000000"/>
          <w:sz w:val="20"/>
          <w:szCs w:val="20"/>
          <w:lang w:eastAsia="bg-BG"/>
        </w:rPr>
        <w:t xml:space="preserve">при 10% от пациентите след 4 до 6 седмици лечение. След 12 седмично лечение средното понижение на плазмения </w:t>
      </w:r>
      <w:r w:rsidRPr="000655BC">
        <w:rPr>
          <w:rFonts w:ascii="Times New Roman" w:eastAsia="Times New Roman" w:hAnsi="Times New Roman" w:cs="Times New Roman"/>
          <w:i/>
          <w:iCs/>
          <w:color w:val="000000"/>
          <w:sz w:val="20"/>
          <w:szCs w:val="20"/>
          <w:lang w:eastAsia="bg-BG"/>
        </w:rPr>
        <w:t>калий е било 0,41</w:t>
      </w:r>
      <w:r w:rsidRPr="000655BC">
        <w:rPr>
          <w:rFonts w:ascii="Times New Roman" w:eastAsia="Times New Roman" w:hAnsi="Times New Roman" w:cs="Times New Roman"/>
          <w:color w:val="000000"/>
          <w:sz w:val="20"/>
          <w:szCs w:val="20"/>
          <w:lang w:eastAsia="bg-BG"/>
        </w:rPr>
        <w:t xml:space="preserve"> </w:t>
      </w:r>
      <w:proofErr w:type="spellStart"/>
      <w:r w:rsidRPr="000655BC">
        <w:rPr>
          <w:rFonts w:ascii="Times New Roman" w:eastAsia="Times New Roman" w:hAnsi="Times New Roman" w:cs="Times New Roman"/>
          <w:color w:val="000000"/>
          <w:sz w:val="20"/>
          <w:szCs w:val="20"/>
          <w:lang w:val="en-US"/>
        </w:rPr>
        <w:t>mmol</w:t>
      </w:r>
      <w:proofErr w:type="spellEnd"/>
      <w:r w:rsidRPr="000655BC">
        <w:rPr>
          <w:rFonts w:ascii="Times New Roman" w:eastAsia="Times New Roman" w:hAnsi="Times New Roman" w:cs="Times New Roman"/>
          <w:color w:val="000000"/>
          <w:sz w:val="20"/>
          <w:szCs w:val="20"/>
          <w:lang w:val="ru-RU"/>
        </w:rPr>
        <w:t>/1.</w:t>
      </w:r>
    </w:p>
    <w:p w14:paraId="45902301" w14:textId="77777777" w:rsidR="000655BC" w:rsidRDefault="000655BC" w:rsidP="000655BC">
      <w:pPr>
        <w:spacing w:line="240" w:lineRule="auto"/>
        <w:rPr>
          <w:rFonts w:ascii="Times New Roman" w:eastAsia="Times New Roman" w:hAnsi="Times New Roman" w:cs="Times New Roman"/>
          <w:color w:val="000000"/>
          <w:sz w:val="20"/>
          <w:szCs w:val="20"/>
          <w:lang w:eastAsia="bg-BG"/>
        </w:rPr>
      </w:pPr>
    </w:p>
    <w:p w14:paraId="39766259" w14:textId="7B92B0A8" w:rsidR="000655BC" w:rsidRPr="000655BC" w:rsidRDefault="000655BC" w:rsidP="000655BC">
      <w:pPr>
        <w:spacing w:line="240" w:lineRule="auto"/>
        <w:rPr>
          <w:rFonts w:ascii="Times New Roman" w:eastAsia="Times New Roman" w:hAnsi="Times New Roman" w:cs="Times New Roman"/>
          <w:sz w:val="24"/>
          <w:szCs w:val="24"/>
        </w:rPr>
      </w:pPr>
      <w:r w:rsidRPr="000655BC">
        <w:rPr>
          <w:rFonts w:ascii="Times New Roman" w:eastAsia="Times New Roman" w:hAnsi="Times New Roman" w:cs="Times New Roman"/>
          <w:color w:val="000000"/>
          <w:sz w:val="20"/>
          <w:szCs w:val="20"/>
          <w:lang w:eastAsia="bg-BG"/>
        </w:rPr>
        <w:t>Нежеланите лекарствени реакции са класифицирани по честота и по система орган-клас. Честотата е дефинирана като: много чести (≥1/10), чести (≥1/100 до &lt;1/10), нечести (≥1/1 000 до &lt;1/100), редки (≥1/10 000 до &lt; 1/1 000), много редки (&lt;1/10 000), включително единични съобщения, с неизвестна честота (от наличните данни не може да бъде направена оценка).</w:t>
      </w:r>
    </w:p>
    <w:p w14:paraId="4CD9795E" w14:textId="459BAE83" w:rsidR="000655BC" w:rsidRDefault="000655BC" w:rsidP="000655BC"/>
    <w:tbl>
      <w:tblPr>
        <w:tblStyle w:val="TableGrid"/>
        <w:tblW w:w="0" w:type="auto"/>
        <w:tblLook w:val="04A0" w:firstRow="1" w:lastRow="0" w:firstColumn="1" w:lastColumn="0" w:noHBand="0" w:noVBand="1"/>
      </w:tblPr>
      <w:tblGrid>
        <w:gridCol w:w="3116"/>
        <w:gridCol w:w="3154"/>
        <w:gridCol w:w="3080"/>
      </w:tblGrid>
      <w:tr w:rsidR="000655BC" w14:paraId="222CDAC1" w14:textId="77777777" w:rsidTr="000655BC">
        <w:tc>
          <w:tcPr>
            <w:tcW w:w="3192" w:type="dxa"/>
          </w:tcPr>
          <w:p w14:paraId="15C9AB30" w14:textId="0F3509C8" w:rsidR="000655BC" w:rsidRPr="000655BC" w:rsidRDefault="000655BC" w:rsidP="000655BC">
            <w:r w:rsidRPr="000655BC">
              <w:rPr>
                <w:b/>
                <w:bCs/>
                <w:szCs w:val="20"/>
              </w:rPr>
              <w:t>Системо-органни класове</w:t>
            </w:r>
          </w:p>
        </w:tc>
        <w:tc>
          <w:tcPr>
            <w:tcW w:w="3192" w:type="dxa"/>
          </w:tcPr>
          <w:p w14:paraId="74B908B5" w14:textId="00C4FB2D" w:rsidR="000655BC" w:rsidRPr="000655BC" w:rsidRDefault="000655BC" w:rsidP="000655BC">
            <w:r w:rsidRPr="000655BC">
              <w:rPr>
                <w:b/>
                <w:bCs/>
                <w:szCs w:val="20"/>
              </w:rPr>
              <w:t>Нежелани лекарствени реакции</w:t>
            </w:r>
          </w:p>
        </w:tc>
        <w:tc>
          <w:tcPr>
            <w:tcW w:w="3192" w:type="dxa"/>
          </w:tcPr>
          <w:p w14:paraId="798FF166" w14:textId="1FE4A5B2" w:rsidR="000655BC" w:rsidRPr="000655BC" w:rsidRDefault="000655BC" w:rsidP="000655BC">
            <w:r w:rsidRPr="000655BC">
              <w:rPr>
                <w:b/>
                <w:bCs/>
                <w:szCs w:val="20"/>
              </w:rPr>
              <w:t>Честота</w:t>
            </w:r>
          </w:p>
        </w:tc>
      </w:tr>
      <w:tr w:rsidR="000655BC" w14:paraId="3B6292EC" w14:textId="77777777" w:rsidTr="000655BC">
        <w:tc>
          <w:tcPr>
            <w:tcW w:w="3192" w:type="dxa"/>
            <w:vMerge w:val="restart"/>
          </w:tcPr>
          <w:p w14:paraId="2DD0EBF7" w14:textId="21B567EC" w:rsidR="000655BC" w:rsidRPr="000655BC" w:rsidRDefault="000655BC" w:rsidP="000655BC">
            <w:r w:rsidRPr="000655BC">
              <w:rPr>
                <w:szCs w:val="20"/>
              </w:rPr>
              <w:t>Нарушения на кръвта и лимфната система</w:t>
            </w:r>
          </w:p>
        </w:tc>
        <w:tc>
          <w:tcPr>
            <w:tcW w:w="3192" w:type="dxa"/>
          </w:tcPr>
          <w:p w14:paraId="42F93201" w14:textId="476087F0" w:rsidR="000655BC" w:rsidRPr="000655BC" w:rsidRDefault="000655BC" w:rsidP="000655BC">
            <w:r w:rsidRPr="000655BC">
              <w:rPr>
                <w:szCs w:val="20"/>
              </w:rPr>
              <w:t>Агранулоцитоза</w:t>
            </w:r>
          </w:p>
        </w:tc>
        <w:tc>
          <w:tcPr>
            <w:tcW w:w="3192" w:type="dxa"/>
          </w:tcPr>
          <w:p w14:paraId="6D0030F2" w14:textId="5D4BD10C" w:rsidR="000655BC" w:rsidRPr="000655BC" w:rsidRDefault="000655BC" w:rsidP="000655BC">
            <w:r w:rsidRPr="000655BC">
              <w:rPr>
                <w:szCs w:val="20"/>
              </w:rPr>
              <w:t>Много редки</w:t>
            </w:r>
          </w:p>
        </w:tc>
      </w:tr>
      <w:tr w:rsidR="000655BC" w14:paraId="3CCCBCCD" w14:textId="77777777" w:rsidTr="000655BC">
        <w:tc>
          <w:tcPr>
            <w:tcW w:w="3192" w:type="dxa"/>
            <w:vMerge/>
          </w:tcPr>
          <w:p w14:paraId="4FAB4DDC" w14:textId="77777777" w:rsidR="000655BC" w:rsidRPr="000655BC" w:rsidRDefault="000655BC" w:rsidP="000655BC"/>
        </w:tc>
        <w:tc>
          <w:tcPr>
            <w:tcW w:w="3192" w:type="dxa"/>
          </w:tcPr>
          <w:p w14:paraId="79D6E0DD" w14:textId="409FAD33" w:rsidR="000655BC" w:rsidRPr="000655BC" w:rsidRDefault="000655BC" w:rsidP="000655BC">
            <w:r w:rsidRPr="000655BC">
              <w:rPr>
                <w:szCs w:val="20"/>
              </w:rPr>
              <w:t>Апластична анемия</w:t>
            </w:r>
          </w:p>
        </w:tc>
        <w:tc>
          <w:tcPr>
            <w:tcW w:w="3192" w:type="dxa"/>
          </w:tcPr>
          <w:p w14:paraId="437D665C" w14:textId="48C45053" w:rsidR="000655BC" w:rsidRPr="000655BC" w:rsidRDefault="000655BC" w:rsidP="000655BC">
            <w:r w:rsidRPr="000655BC">
              <w:rPr>
                <w:szCs w:val="20"/>
              </w:rPr>
              <w:t>Много редки</w:t>
            </w:r>
          </w:p>
        </w:tc>
      </w:tr>
      <w:tr w:rsidR="000655BC" w14:paraId="2D648A39" w14:textId="77777777" w:rsidTr="000655BC">
        <w:tc>
          <w:tcPr>
            <w:tcW w:w="3192" w:type="dxa"/>
            <w:vMerge/>
          </w:tcPr>
          <w:p w14:paraId="1573D519" w14:textId="77777777" w:rsidR="000655BC" w:rsidRPr="000655BC" w:rsidRDefault="000655BC" w:rsidP="000655BC"/>
        </w:tc>
        <w:tc>
          <w:tcPr>
            <w:tcW w:w="3192" w:type="dxa"/>
          </w:tcPr>
          <w:p w14:paraId="17C2E4A5" w14:textId="2E4A4EFA" w:rsidR="000655BC" w:rsidRPr="000655BC" w:rsidRDefault="000655BC" w:rsidP="000655BC">
            <w:r w:rsidRPr="000655BC">
              <w:rPr>
                <w:szCs w:val="20"/>
              </w:rPr>
              <w:t>Хемолитична анемия</w:t>
            </w:r>
          </w:p>
        </w:tc>
        <w:tc>
          <w:tcPr>
            <w:tcW w:w="3192" w:type="dxa"/>
          </w:tcPr>
          <w:p w14:paraId="2ACA4923" w14:textId="73C4A9F4" w:rsidR="000655BC" w:rsidRPr="000655BC" w:rsidRDefault="000655BC" w:rsidP="000655BC">
            <w:r w:rsidRPr="000655BC">
              <w:rPr>
                <w:szCs w:val="20"/>
              </w:rPr>
              <w:t>Много редки</w:t>
            </w:r>
          </w:p>
        </w:tc>
      </w:tr>
      <w:tr w:rsidR="000655BC" w14:paraId="45840494" w14:textId="77777777" w:rsidTr="000655BC">
        <w:tc>
          <w:tcPr>
            <w:tcW w:w="3192" w:type="dxa"/>
            <w:vMerge/>
          </w:tcPr>
          <w:p w14:paraId="051783A1" w14:textId="77777777" w:rsidR="000655BC" w:rsidRPr="000655BC" w:rsidRDefault="000655BC" w:rsidP="000655BC"/>
        </w:tc>
        <w:tc>
          <w:tcPr>
            <w:tcW w:w="3192" w:type="dxa"/>
          </w:tcPr>
          <w:p w14:paraId="72215F92" w14:textId="5AB8ED60" w:rsidR="000655BC" w:rsidRPr="000655BC" w:rsidRDefault="000655BC" w:rsidP="000655BC">
            <w:r w:rsidRPr="000655BC">
              <w:rPr>
                <w:szCs w:val="20"/>
              </w:rPr>
              <w:t>Левкопения</w:t>
            </w:r>
          </w:p>
        </w:tc>
        <w:tc>
          <w:tcPr>
            <w:tcW w:w="3192" w:type="dxa"/>
          </w:tcPr>
          <w:p w14:paraId="055C6B10" w14:textId="03775FE9" w:rsidR="000655BC" w:rsidRPr="000655BC" w:rsidRDefault="000655BC" w:rsidP="000655BC">
            <w:r w:rsidRPr="000655BC">
              <w:rPr>
                <w:szCs w:val="20"/>
              </w:rPr>
              <w:t>Много редки</w:t>
            </w:r>
          </w:p>
        </w:tc>
      </w:tr>
      <w:tr w:rsidR="000655BC" w14:paraId="5744A17F" w14:textId="77777777" w:rsidTr="000655BC">
        <w:tc>
          <w:tcPr>
            <w:tcW w:w="3192" w:type="dxa"/>
            <w:vMerge/>
          </w:tcPr>
          <w:p w14:paraId="74B06B58" w14:textId="77777777" w:rsidR="000655BC" w:rsidRPr="000655BC" w:rsidRDefault="000655BC" w:rsidP="000655BC"/>
        </w:tc>
        <w:tc>
          <w:tcPr>
            <w:tcW w:w="3192" w:type="dxa"/>
          </w:tcPr>
          <w:p w14:paraId="2F12F70C" w14:textId="15A70D91" w:rsidR="000655BC" w:rsidRPr="000655BC" w:rsidRDefault="000655BC" w:rsidP="000655BC">
            <w:r w:rsidRPr="000655BC">
              <w:rPr>
                <w:szCs w:val="20"/>
              </w:rPr>
              <w:t>Тромбоцитопения</w:t>
            </w:r>
          </w:p>
        </w:tc>
        <w:tc>
          <w:tcPr>
            <w:tcW w:w="3192" w:type="dxa"/>
          </w:tcPr>
          <w:p w14:paraId="059C4661" w14:textId="44C035B0" w:rsidR="000655BC" w:rsidRPr="000655BC" w:rsidRDefault="000655BC" w:rsidP="000655BC">
            <w:r w:rsidRPr="000655BC">
              <w:rPr>
                <w:szCs w:val="20"/>
              </w:rPr>
              <w:t>Много редки</w:t>
            </w:r>
          </w:p>
        </w:tc>
      </w:tr>
      <w:tr w:rsidR="000655BC" w14:paraId="2B319475" w14:textId="77777777" w:rsidTr="000655BC">
        <w:tc>
          <w:tcPr>
            <w:tcW w:w="3192" w:type="dxa"/>
            <w:vMerge w:val="restart"/>
          </w:tcPr>
          <w:p w14:paraId="1CD87BC1" w14:textId="77777777" w:rsidR="000655BC" w:rsidRPr="000655BC" w:rsidRDefault="000655BC" w:rsidP="000655BC">
            <w:r w:rsidRPr="000655BC">
              <w:rPr>
                <w:szCs w:val="20"/>
              </w:rPr>
              <w:t>Нарушения</w:t>
            </w:r>
            <w:r w:rsidRPr="000655BC">
              <w:rPr>
                <w:szCs w:val="20"/>
              </w:rPr>
              <w:tab/>
              <w:t>на</w:t>
            </w:r>
          </w:p>
          <w:p w14:paraId="7EF4700E" w14:textId="38105449" w:rsidR="000655BC" w:rsidRPr="000655BC" w:rsidRDefault="000655BC" w:rsidP="000655BC">
            <w:r w:rsidRPr="000655BC">
              <w:rPr>
                <w:szCs w:val="20"/>
              </w:rPr>
              <w:t>метаболизма и храненето</w:t>
            </w:r>
          </w:p>
        </w:tc>
        <w:tc>
          <w:tcPr>
            <w:tcW w:w="3192" w:type="dxa"/>
          </w:tcPr>
          <w:p w14:paraId="027BD103" w14:textId="657E3EB2" w:rsidR="000655BC" w:rsidRPr="000655BC" w:rsidRDefault="000655BC" w:rsidP="000655BC">
            <w:r w:rsidRPr="000655BC">
              <w:rPr>
                <w:szCs w:val="20"/>
              </w:rPr>
              <w:t>Хиперкалциемия</w:t>
            </w:r>
          </w:p>
        </w:tc>
        <w:tc>
          <w:tcPr>
            <w:tcW w:w="3192" w:type="dxa"/>
          </w:tcPr>
          <w:p w14:paraId="630E0062" w14:textId="37382C20" w:rsidR="000655BC" w:rsidRPr="000655BC" w:rsidRDefault="000655BC" w:rsidP="000655BC">
            <w:r w:rsidRPr="000655BC">
              <w:rPr>
                <w:szCs w:val="20"/>
              </w:rPr>
              <w:t>Много редки</w:t>
            </w:r>
          </w:p>
        </w:tc>
      </w:tr>
      <w:tr w:rsidR="000655BC" w14:paraId="1391D472" w14:textId="77777777" w:rsidTr="000655BC">
        <w:tc>
          <w:tcPr>
            <w:tcW w:w="3192" w:type="dxa"/>
            <w:vMerge/>
          </w:tcPr>
          <w:p w14:paraId="281929B7" w14:textId="77777777" w:rsidR="000655BC" w:rsidRPr="000655BC" w:rsidRDefault="000655BC" w:rsidP="000655BC"/>
        </w:tc>
        <w:tc>
          <w:tcPr>
            <w:tcW w:w="3192" w:type="dxa"/>
          </w:tcPr>
          <w:p w14:paraId="686229D2" w14:textId="01018BF7" w:rsidR="000655BC" w:rsidRPr="000655BC" w:rsidRDefault="000655BC" w:rsidP="000655BC">
            <w:r w:rsidRPr="000655BC">
              <w:rPr>
                <w:szCs w:val="20"/>
              </w:rPr>
              <w:t>Хипокалиемия (виж т. 4.4)</w:t>
            </w:r>
          </w:p>
        </w:tc>
        <w:tc>
          <w:tcPr>
            <w:tcW w:w="3192" w:type="dxa"/>
          </w:tcPr>
          <w:p w14:paraId="18EB3D0D" w14:textId="33632905" w:rsidR="000655BC" w:rsidRPr="000655BC" w:rsidRDefault="000655BC" w:rsidP="000655BC">
            <w:r w:rsidRPr="000655BC">
              <w:rPr>
                <w:szCs w:val="20"/>
              </w:rPr>
              <w:t>Чести</w:t>
            </w:r>
          </w:p>
        </w:tc>
      </w:tr>
      <w:tr w:rsidR="000655BC" w14:paraId="5C96E02A" w14:textId="77777777" w:rsidTr="000655BC">
        <w:tc>
          <w:tcPr>
            <w:tcW w:w="3192" w:type="dxa"/>
            <w:vMerge/>
          </w:tcPr>
          <w:p w14:paraId="5C8FE025" w14:textId="77777777" w:rsidR="000655BC" w:rsidRPr="000655BC" w:rsidRDefault="000655BC" w:rsidP="000655BC"/>
        </w:tc>
        <w:tc>
          <w:tcPr>
            <w:tcW w:w="3192" w:type="dxa"/>
          </w:tcPr>
          <w:p w14:paraId="1696D744" w14:textId="7E2977AF" w:rsidR="000655BC" w:rsidRPr="000655BC" w:rsidRDefault="000655BC" w:rsidP="000655BC">
            <w:r w:rsidRPr="000655BC">
              <w:rPr>
                <w:szCs w:val="20"/>
              </w:rPr>
              <w:t>Хипонатриемия (виж т. 4.4)</w:t>
            </w:r>
          </w:p>
        </w:tc>
        <w:tc>
          <w:tcPr>
            <w:tcW w:w="3192" w:type="dxa"/>
          </w:tcPr>
          <w:p w14:paraId="33CD0DCA" w14:textId="17E17C3C" w:rsidR="000655BC" w:rsidRPr="000655BC" w:rsidRDefault="000655BC" w:rsidP="000655BC">
            <w:r w:rsidRPr="000655BC">
              <w:rPr>
                <w:szCs w:val="20"/>
              </w:rPr>
              <w:t>Нечести</w:t>
            </w:r>
          </w:p>
        </w:tc>
      </w:tr>
      <w:tr w:rsidR="000655BC" w14:paraId="22B2F180" w14:textId="77777777" w:rsidTr="000655BC">
        <w:tc>
          <w:tcPr>
            <w:tcW w:w="3192" w:type="dxa"/>
            <w:vMerge/>
          </w:tcPr>
          <w:p w14:paraId="232286AC" w14:textId="77777777" w:rsidR="000655BC" w:rsidRPr="000655BC" w:rsidRDefault="000655BC" w:rsidP="000655BC"/>
        </w:tc>
        <w:tc>
          <w:tcPr>
            <w:tcW w:w="3192" w:type="dxa"/>
          </w:tcPr>
          <w:p w14:paraId="7E953F09" w14:textId="4067CB36" w:rsidR="000655BC" w:rsidRPr="000655BC" w:rsidRDefault="000655BC" w:rsidP="000655BC">
            <w:r w:rsidRPr="000655BC">
              <w:rPr>
                <w:szCs w:val="20"/>
              </w:rPr>
              <w:t>Хипохлориемия</w:t>
            </w:r>
          </w:p>
        </w:tc>
        <w:tc>
          <w:tcPr>
            <w:tcW w:w="3192" w:type="dxa"/>
          </w:tcPr>
          <w:p w14:paraId="3EA03235" w14:textId="68EBA00B" w:rsidR="000655BC" w:rsidRPr="000655BC" w:rsidRDefault="000655BC" w:rsidP="000655BC">
            <w:r w:rsidRPr="000655BC">
              <w:rPr>
                <w:szCs w:val="20"/>
              </w:rPr>
              <w:t>Редки</w:t>
            </w:r>
          </w:p>
        </w:tc>
      </w:tr>
      <w:tr w:rsidR="000655BC" w14:paraId="25E2AD95" w14:textId="77777777" w:rsidTr="000655BC">
        <w:tc>
          <w:tcPr>
            <w:tcW w:w="3192" w:type="dxa"/>
            <w:vMerge/>
          </w:tcPr>
          <w:p w14:paraId="45E77199" w14:textId="77777777" w:rsidR="000655BC" w:rsidRPr="000655BC" w:rsidRDefault="000655BC" w:rsidP="000655BC"/>
        </w:tc>
        <w:tc>
          <w:tcPr>
            <w:tcW w:w="3192" w:type="dxa"/>
          </w:tcPr>
          <w:p w14:paraId="5AFDD9F7" w14:textId="3267C680" w:rsidR="000655BC" w:rsidRPr="000655BC" w:rsidRDefault="000655BC" w:rsidP="000655BC">
            <w:r w:rsidRPr="000655BC">
              <w:rPr>
                <w:szCs w:val="20"/>
              </w:rPr>
              <w:t>Хипомагнезиемия</w:t>
            </w:r>
          </w:p>
        </w:tc>
        <w:tc>
          <w:tcPr>
            <w:tcW w:w="3192" w:type="dxa"/>
          </w:tcPr>
          <w:p w14:paraId="579FBB56" w14:textId="5236E3AE" w:rsidR="000655BC" w:rsidRPr="000655BC" w:rsidRDefault="000655BC" w:rsidP="000655BC">
            <w:r w:rsidRPr="000655BC">
              <w:rPr>
                <w:szCs w:val="20"/>
              </w:rPr>
              <w:t>Редки</w:t>
            </w:r>
          </w:p>
        </w:tc>
      </w:tr>
      <w:tr w:rsidR="000655BC" w14:paraId="4B501239" w14:textId="77777777" w:rsidTr="000655BC">
        <w:tc>
          <w:tcPr>
            <w:tcW w:w="3192" w:type="dxa"/>
            <w:vMerge w:val="restart"/>
          </w:tcPr>
          <w:p w14:paraId="0429F0B8" w14:textId="1EC9797B" w:rsidR="000655BC" w:rsidRPr="000655BC" w:rsidRDefault="000655BC" w:rsidP="000655BC">
            <w:r w:rsidRPr="000655BC">
              <w:rPr>
                <w:szCs w:val="20"/>
              </w:rPr>
              <w:t>Нарушения на нервната система</w:t>
            </w:r>
          </w:p>
        </w:tc>
        <w:tc>
          <w:tcPr>
            <w:tcW w:w="3192" w:type="dxa"/>
          </w:tcPr>
          <w:p w14:paraId="5804702D" w14:textId="32463369" w:rsidR="000655BC" w:rsidRPr="000655BC" w:rsidRDefault="000655BC" w:rsidP="000655BC">
            <w:r w:rsidRPr="000655BC">
              <w:rPr>
                <w:szCs w:val="20"/>
              </w:rPr>
              <w:t>Световъртеж</w:t>
            </w:r>
          </w:p>
        </w:tc>
        <w:tc>
          <w:tcPr>
            <w:tcW w:w="3192" w:type="dxa"/>
          </w:tcPr>
          <w:p w14:paraId="3D504411" w14:textId="4A2F00CF" w:rsidR="000655BC" w:rsidRPr="000655BC" w:rsidRDefault="000655BC" w:rsidP="000655BC">
            <w:r w:rsidRPr="000655BC">
              <w:rPr>
                <w:szCs w:val="20"/>
              </w:rPr>
              <w:t>Редки</w:t>
            </w:r>
          </w:p>
        </w:tc>
      </w:tr>
      <w:tr w:rsidR="000655BC" w14:paraId="4859A996" w14:textId="77777777" w:rsidTr="000655BC">
        <w:tc>
          <w:tcPr>
            <w:tcW w:w="3192" w:type="dxa"/>
            <w:vMerge/>
          </w:tcPr>
          <w:p w14:paraId="59D7EA93" w14:textId="77777777" w:rsidR="000655BC" w:rsidRPr="000655BC" w:rsidRDefault="000655BC" w:rsidP="000655BC"/>
        </w:tc>
        <w:tc>
          <w:tcPr>
            <w:tcW w:w="3192" w:type="dxa"/>
          </w:tcPr>
          <w:p w14:paraId="4B4EE963" w14:textId="083EF1D9" w:rsidR="000655BC" w:rsidRPr="000655BC" w:rsidRDefault="000655BC" w:rsidP="000655BC">
            <w:r w:rsidRPr="000655BC">
              <w:rPr>
                <w:szCs w:val="20"/>
              </w:rPr>
              <w:t>Умора</w:t>
            </w:r>
          </w:p>
        </w:tc>
        <w:tc>
          <w:tcPr>
            <w:tcW w:w="3192" w:type="dxa"/>
          </w:tcPr>
          <w:p w14:paraId="2D5C4898" w14:textId="71D0D3D7" w:rsidR="000655BC" w:rsidRPr="000655BC" w:rsidRDefault="000655BC" w:rsidP="000655BC">
            <w:r w:rsidRPr="000655BC">
              <w:rPr>
                <w:szCs w:val="20"/>
              </w:rPr>
              <w:t>Редки</w:t>
            </w:r>
          </w:p>
        </w:tc>
      </w:tr>
      <w:tr w:rsidR="000655BC" w14:paraId="030525F8" w14:textId="77777777" w:rsidTr="000655BC">
        <w:tc>
          <w:tcPr>
            <w:tcW w:w="3192" w:type="dxa"/>
            <w:vMerge/>
          </w:tcPr>
          <w:p w14:paraId="32CBCC70" w14:textId="77777777" w:rsidR="000655BC" w:rsidRPr="000655BC" w:rsidRDefault="000655BC" w:rsidP="000655BC"/>
        </w:tc>
        <w:tc>
          <w:tcPr>
            <w:tcW w:w="3192" w:type="dxa"/>
          </w:tcPr>
          <w:p w14:paraId="4F6EC292" w14:textId="735BE047" w:rsidR="000655BC" w:rsidRPr="000655BC" w:rsidRDefault="000655BC" w:rsidP="000655BC">
            <w:r w:rsidRPr="000655BC">
              <w:rPr>
                <w:szCs w:val="20"/>
              </w:rPr>
              <w:t>Главоболие</w:t>
            </w:r>
          </w:p>
        </w:tc>
        <w:tc>
          <w:tcPr>
            <w:tcW w:w="3192" w:type="dxa"/>
          </w:tcPr>
          <w:p w14:paraId="672B4BBB" w14:textId="26B809B1" w:rsidR="000655BC" w:rsidRPr="000655BC" w:rsidRDefault="000655BC" w:rsidP="000655BC">
            <w:r w:rsidRPr="000655BC">
              <w:rPr>
                <w:szCs w:val="20"/>
              </w:rPr>
              <w:t>Редки</w:t>
            </w:r>
          </w:p>
        </w:tc>
      </w:tr>
      <w:tr w:rsidR="000655BC" w14:paraId="72675410" w14:textId="77777777" w:rsidTr="000655BC">
        <w:tc>
          <w:tcPr>
            <w:tcW w:w="3192" w:type="dxa"/>
            <w:vMerge/>
          </w:tcPr>
          <w:p w14:paraId="778E572F" w14:textId="77777777" w:rsidR="000655BC" w:rsidRPr="000655BC" w:rsidRDefault="000655BC" w:rsidP="000655BC"/>
        </w:tc>
        <w:tc>
          <w:tcPr>
            <w:tcW w:w="3192" w:type="dxa"/>
          </w:tcPr>
          <w:p w14:paraId="2AB399D8" w14:textId="7D58958D" w:rsidR="000655BC" w:rsidRPr="000655BC" w:rsidRDefault="000655BC" w:rsidP="000655BC">
            <w:r w:rsidRPr="000655BC">
              <w:rPr>
                <w:szCs w:val="20"/>
              </w:rPr>
              <w:t>Парестезия</w:t>
            </w:r>
          </w:p>
        </w:tc>
        <w:tc>
          <w:tcPr>
            <w:tcW w:w="3192" w:type="dxa"/>
          </w:tcPr>
          <w:p w14:paraId="4721AFF0" w14:textId="4A6E42A6" w:rsidR="000655BC" w:rsidRPr="000655BC" w:rsidRDefault="000655BC" w:rsidP="000655BC">
            <w:r w:rsidRPr="000655BC">
              <w:rPr>
                <w:szCs w:val="20"/>
              </w:rPr>
              <w:t>Редки</w:t>
            </w:r>
          </w:p>
        </w:tc>
      </w:tr>
      <w:tr w:rsidR="000655BC" w14:paraId="36CF0D35" w14:textId="77777777" w:rsidTr="000655BC">
        <w:tc>
          <w:tcPr>
            <w:tcW w:w="3192" w:type="dxa"/>
            <w:vMerge/>
          </w:tcPr>
          <w:p w14:paraId="0110EDC4" w14:textId="77777777" w:rsidR="000655BC" w:rsidRPr="000655BC" w:rsidRDefault="000655BC" w:rsidP="000655BC"/>
        </w:tc>
        <w:tc>
          <w:tcPr>
            <w:tcW w:w="3192" w:type="dxa"/>
          </w:tcPr>
          <w:p w14:paraId="017E26BD" w14:textId="02FFC109" w:rsidR="000655BC" w:rsidRPr="000655BC" w:rsidRDefault="000655BC" w:rsidP="000655BC">
            <w:r w:rsidRPr="000655BC">
              <w:rPr>
                <w:szCs w:val="20"/>
              </w:rPr>
              <w:t>Синкоп</w:t>
            </w:r>
          </w:p>
        </w:tc>
        <w:tc>
          <w:tcPr>
            <w:tcW w:w="3192" w:type="dxa"/>
          </w:tcPr>
          <w:p w14:paraId="5FA0CC6B" w14:textId="289D2ADF" w:rsidR="000655BC" w:rsidRPr="000655BC" w:rsidRDefault="000655BC" w:rsidP="000655BC">
            <w:r w:rsidRPr="000655BC">
              <w:rPr>
                <w:szCs w:val="20"/>
              </w:rPr>
              <w:t>С неизвестна честота</w:t>
            </w:r>
          </w:p>
        </w:tc>
      </w:tr>
      <w:tr w:rsidR="000655BC" w14:paraId="39423F0A" w14:textId="77777777" w:rsidTr="000655BC">
        <w:tc>
          <w:tcPr>
            <w:tcW w:w="3192" w:type="dxa"/>
            <w:vMerge w:val="restart"/>
          </w:tcPr>
          <w:p w14:paraId="403A7DCD" w14:textId="5506CE72" w:rsidR="000655BC" w:rsidRPr="000655BC" w:rsidRDefault="000655BC" w:rsidP="000655BC">
            <w:r w:rsidRPr="000655BC">
              <w:rPr>
                <w:szCs w:val="20"/>
              </w:rPr>
              <w:t>Нарушения на очите</w:t>
            </w:r>
          </w:p>
        </w:tc>
        <w:tc>
          <w:tcPr>
            <w:tcW w:w="3192" w:type="dxa"/>
          </w:tcPr>
          <w:p w14:paraId="1EF8E942" w14:textId="012AD272" w:rsidR="000655BC" w:rsidRPr="000655BC" w:rsidRDefault="000655BC" w:rsidP="000655BC">
            <w:r w:rsidRPr="000655BC">
              <w:rPr>
                <w:szCs w:val="20"/>
              </w:rPr>
              <w:t>Миопия</w:t>
            </w:r>
          </w:p>
        </w:tc>
        <w:tc>
          <w:tcPr>
            <w:tcW w:w="3192" w:type="dxa"/>
          </w:tcPr>
          <w:p w14:paraId="4E193CE7" w14:textId="62D80986" w:rsidR="000655BC" w:rsidRPr="000655BC" w:rsidRDefault="000655BC" w:rsidP="000655BC">
            <w:r w:rsidRPr="000655BC">
              <w:rPr>
                <w:szCs w:val="20"/>
              </w:rPr>
              <w:t>С неизвестна честота</w:t>
            </w:r>
          </w:p>
        </w:tc>
      </w:tr>
      <w:tr w:rsidR="000655BC" w14:paraId="705BADE8" w14:textId="77777777" w:rsidTr="000655BC">
        <w:tc>
          <w:tcPr>
            <w:tcW w:w="3192" w:type="dxa"/>
            <w:vMerge/>
          </w:tcPr>
          <w:p w14:paraId="3D79234C" w14:textId="77777777" w:rsidR="000655BC" w:rsidRPr="000655BC" w:rsidRDefault="000655BC" w:rsidP="000655BC"/>
        </w:tc>
        <w:tc>
          <w:tcPr>
            <w:tcW w:w="3192" w:type="dxa"/>
          </w:tcPr>
          <w:p w14:paraId="6B4BEB14" w14:textId="14F236AB" w:rsidR="000655BC" w:rsidRPr="000655BC" w:rsidRDefault="000655BC" w:rsidP="000655BC">
            <w:r w:rsidRPr="000655BC">
              <w:rPr>
                <w:szCs w:val="20"/>
              </w:rPr>
              <w:t>Замъглено зрение</w:t>
            </w:r>
          </w:p>
        </w:tc>
        <w:tc>
          <w:tcPr>
            <w:tcW w:w="3192" w:type="dxa"/>
          </w:tcPr>
          <w:p w14:paraId="5A86619D" w14:textId="2B280D06" w:rsidR="000655BC" w:rsidRPr="000655BC" w:rsidRDefault="000655BC" w:rsidP="000655BC">
            <w:r w:rsidRPr="000655BC">
              <w:rPr>
                <w:szCs w:val="20"/>
              </w:rPr>
              <w:t>С неизвестна честота</w:t>
            </w:r>
          </w:p>
        </w:tc>
      </w:tr>
      <w:tr w:rsidR="000655BC" w14:paraId="6E195B89" w14:textId="77777777" w:rsidTr="000655BC">
        <w:tc>
          <w:tcPr>
            <w:tcW w:w="3192" w:type="dxa"/>
            <w:vMerge/>
          </w:tcPr>
          <w:p w14:paraId="082B9060" w14:textId="77777777" w:rsidR="000655BC" w:rsidRPr="000655BC" w:rsidRDefault="000655BC" w:rsidP="000655BC"/>
        </w:tc>
        <w:tc>
          <w:tcPr>
            <w:tcW w:w="3192" w:type="dxa"/>
          </w:tcPr>
          <w:p w14:paraId="0A4E665B" w14:textId="3A885CEC" w:rsidR="000655BC" w:rsidRPr="000655BC" w:rsidRDefault="000655BC" w:rsidP="000655BC">
            <w:r w:rsidRPr="000655BC">
              <w:rPr>
                <w:szCs w:val="20"/>
              </w:rPr>
              <w:t>Зрителни нарушения</w:t>
            </w:r>
          </w:p>
        </w:tc>
        <w:tc>
          <w:tcPr>
            <w:tcW w:w="3192" w:type="dxa"/>
          </w:tcPr>
          <w:p w14:paraId="7CB95C5D" w14:textId="1C6196FD" w:rsidR="000655BC" w:rsidRPr="000655BC" w:rsidRDefault="000655BC" w:rsidP="000655BC">
            <w:r w:rsidRPr="000655BC">
              <w:rPr>
                <w:szCs w:val="20"/>
              </w:rPr>
              <w:t>С неизвестна честота</w:t>
            </w:r>
          </w:p>
        </w:tc>
      </w:tr>
      <w:tr w:rsidR="000655BC" w14:paraId="36F8E121" w14:textId="77777777" w:rsidTr="000655BC">
        <w:tc>
          <w:tcPr>
            <w:tcW w:w="3192" w:type="dxa"/>
            <w:vMerge/>
          </w:tcPr>
          <w:p w14:paraId="5DD98B6E" w14:textId="77777777" w:rsidR="000655BC" w:rsidRPr="000655BC" w:rsidRDefault="000655BC" w:rsidP="000655BC"/>
        </w:tc>
        <w:tc>
          <w:tcPr>
            <w:tcW w:w="3192" w:type="dxa"/>
          </w:tcPr>
          <w:p w14:paraId="7DC6F41E" w14:textId="66EA25CD" w:rsidR="000655BC" w:rsidRPr="000655BC" w:rsidRDefault="000655BC" w:rsidP="000655BC">
            <w:r w:rsidRPr="000655BC">
              <w:rPr>
                <w:szCs w:val="20"/>
              </w:rPr>
              <w:t>Хороидален излив</w:t>
            </w:r>
          </w:p>
        </w:tc>
        <w:tc>
          <w:tcPr>
            <w:tcW w:w="3192" w:type="dxa"/>
          </w:tcPr>
          <w:p w14:paraId="3FB904A9" w14:textId="77777777" w:rsidR="000655BC" w:rsidRPr="000655BC" w:rsidRDefault="000655BC" w:rsidP="000655BC">
            <w:r w:rsidRPr="000655BC">
              <w:rPr>
                <w:szCs w:val="20"/>
              </w:rPr>
              <w:t>С неизвестна</w:t>
            </w:r>
          </w:p>
          <w:p w14:paraId="54901816" w14:textId="37F4A368" w:rsidR="000655BC" w:rsidRPr="000655BC" w:rsidRDefault="000655BC" w:rsidP="000655BC">
            <w:r w:rsidRPr="000655BC">
              <w:rPr>
                <w:szCs w:val="20"/>
              </w:rPr>
              <w:lastRenderedPageBreak/>
              <w:t>честота</w:t>
            </w:r>
          </w:p>
        </w:tc>
      </w:tr>
      <w:tr w:rsidR="000655BC" w14:paraId="638720D4" w14:textId="77777777" w:rsidTr="000655BC">
        <w:tc>
          <w:tcPr>
            <w:tcW w:w="3192" w:type="dxa"/>
            <w:vMerge w:val="restart"/>
          </w:tcPr>
          <w:p w14:paraId="04E1805D" w14:textId="3F2DA8B8" w:rsidR="000655BC" w:rsidRPr="000655BC" w:rsidRDefault="000655BC" w:rsidP="000655BC">
            <w:r w:rsidRPr="000655BC">
              <w:rPr>
                <w:szCs w:val="20"/>
              </w:rPr>
              <w:lastRenderedPageBreak/>
              <w:t>Сърдечни нарушения</w:t>
            </w:r>
          </w:p>
        </w:tc>
        <w:tc>
          <w:tcPr>
            <w:tcW w:w="3192" w:type="dxa"/>
          </w:tcPr>
          <w:p w14:paraId="5A062D4D" w14:textId="55AE6FD0" w:rsidR="000655BC" w:rsidRPr="000655BC" w:rsidRDefault="000655BC" w:rsidP="000655BC">
            <w:r w:rsidRPr="000655BC">
              <w:rPr>
                <w:szCs w:val="20"/>
              </w:rPr>
              <w:t>Аритмия</w:t>
            </w:r>
          </w:p>
        </w:tc>
        <w:tc>
          <w:tcPr>
            <w:tcW w:w="3192" w:type="dxa"/>
          </w:tcPr>
          <w:p w14:paraId="3A04C1AF" w14:textId="200457A8" w:rsidR="000655BC" w:rsidRPr="000655BC" w:rsidRDefault="000655BC" w:rsidP="000655BC">
            <w:r w:rsidRPr="000655BC">
              <w:rPr>
                <w:szCs w:val="20"/>
              </w:rPr>
              <w:t>Много редки</w:t>
            </w:r>
          </w:p>
        </w:tc>
      </w:tr>
      <w:tr w:rsidR="000655BC" w14:paraId="15BE7E7D" w14:textId="77777777" w:rsidTr="000655BC">
        <w:tc>
          <w:tcPr>
            <w:tcW w:w="3192" w:type="dxa"/>
            <w:vMerge/>
          </w:tcPr>
          <w:p w14:paraId="52033F14" w14:textId="77777777" w:rsidR="000655BC" w:rsidRPr="000655BC" w:rsidRDefault="000655BC" w:rsidP="000655BC"/>
        </w:tc>
        <w:tc>
          <w:tcPr>
            <w:tcW w:w="3192" w:type="dxa"/>
          </w:tcPr>
          <w:p w14:paraId="6197C8D7" w14:textId="61A37A62" w:rsidR="000655BC" w:rsidRPr="000655BC" w:rsidRDefault="000655BC" w:rsidP="000655BC">
            <w:proofErr w:type="spellStart"/>
            <w:r w:rsidRPr="000655BC">
              <w:rPr>
                <w:i/>
                <w:iCs/>
                <w:szCs w:val="20"/>
                <w:lang w:val="en-US"/>
              </w:rPr>
              <w:t>Torsades</w:t>
            </w:r>
            <w:proofErr w:type="spellEnd"/>
            <w:r w:rsidRPr="000655BC">
              <w:rPr>
                <w:i/>
                <w:iCs/>
                <w:szCs w:val="20"/>
                <w:lang w:val="en-US"/>
              </w:rPr>
              <w:t xml:space="preserve"> de pointes</w:t>
            </w:r>
            <w:r w:rsidRPr="000655BC">
              <w:rPr>
                <w:szCs w:val="20"/>
                <w:lang w:val="en-US"/>
              </w:rPr>
              <w:t xml:space="preserve"> </w:t>
            </w:r>
            <w:r w:rsidRPr="000655BC">
              <w:rPr>
                <w:szCs w:val="20"/>
              </w:rPr>
              <w:t>(виж рубрика 4.4. и 4.5)</w:t>
            </w:r>
          </w:p>
        </w:tc>
        <w:tc>
          <w:tcPr>
            <w:tcW w:w="3192" w:type="dxa"/>
          </w:tcPr>
          <w:p w14:paraId="1700D37F" w14:textId="579ADDD6" w:rsidR="000655BC" w:rsidRPr="000655BC" w:rsidRDefault="000655BC" w:rsidP="000655BC">
            <w:r w:rsidRPr="000655BC">
              <w:rPr>
                <w:szCs w:val="20"/>
              </w:rPr>
              <w:t>С неизвестна честота</w:t>
            </w:r>
          </w:p>
        </w:tc>
      </w:tr>
      <w:tr w:rsidR="000655BC" w14:paraId="7648F123" w14:textId="77777777" w:rsidTr="000655BC">
        <w:tc>
          <w:tcPr>
            <w:tcW w:w="3192" w:type="dxa"/>
          </w:tcPr>
          <w:p w14:paraId="48074299" w14:textId="6B3D4B95" w:rsidR="000655BC" w:rsidRPr="000655BC" w:rsidRDefault="000655BC" w:rsidP="000655BC">
            <w:r w:rsidRPr="000655BC">
              <w:rPr>
                <w:szCs w:val="20"/>
              </w:rPr>
              <w:t>Съдови нарушения</w:t>
            </w:r>
          </w:p>
        </w:tc>
        <w:tc>
          <w:tcPr>
            <w:tcW w:w="3192" w:type="dxa"/>
          </w:tcPr>
          <w:p w14:paraId="29898219" w14:textId="77777777" w:rsidR="000655BC" w:rsidRPr="000655BC" w:rsidRDefault="000655BC" w:rsidP="000655BC"/>
          <w:p w14:paraId="5992C278" w14:textId="1B50D360" w:rsidR="000655BC" w:rsidRPr="000655BC" w:rsidRDefault="000655BC" w:rsidP="000655BC">
            <w:r w:rsidRPr="000655BC">
              <w:rPr>
                <w:szCs w:val="20"/>
              </w:rPr>
              <w:t>Хипотония</w:t>
            </w:r>
          </w:p>
        </w:tc>
        <w:tc>
          <w:tcPr>
            <w:tcW w:w="3192" w:type="dxa"/>
          </w:tcPr>
          <w:p w14:paraId="6E3B5C18" w14:textId="06C9B8A2" w:rsidR="000655BC" w:rsidRPr="000655BC" w:rsidRDefault="000655BC" w:rsidP="000655BC">
            <w:r w:rsidRPr="000655BC">
              <w:rPr>
                <w:szCs w:val="20"/>
              </w:rPr>
              <w:t>Много редки</w:t>
            </w:r>
          </w:p>
        </w:tc>
      </w:tr>
      <w:tr w:rsidR="000655BC" w14:paraId="6220E80C" w14:textId="77777777" w:rsidTr="000655BC">
        <w:tc>
          <w:tcPr>
            <w:tcW w:w="3192" w:type="dxa"/>
            <w:vMerge w:val="restart"/>
          </w:tcPr>
          <w:p w14:paraId="6757C59F" w14:textId="3012BB1D" w:rsidR="000655BC" w:rsidRPr="000655BC" w:rsidRDefault="000655BC" w:rsidP="000655BC">
            <w:r w:rsidRPr="000655BC">
              <w:t>Стомашно-чревни</w:t>
            </w:r>
            <w:r>
              <w:t xml:space="preserve"> </w:t>
            </w:r>
            <w:r w:rsidRPr="000655BC">
              <w:t>нарушения</w:t>
            </w:r>
          </w:p>
        </w:tc>
        <w:tc>
          <w:tcPr>
            <w:tcW w:w="3192" w:type="dxa"/>
          </w:tcPr>
          <w:p w14:paraId="2D4552FC" w14:textId="7FD79B6C" w:rsidR="000655BC" w:rsidRPr="000655BC" w:rsidRDefault="000655BC" w:rsidP="000655BC">
            <w:r w:rsidRPr="000655BC">
              <w:rPr>
                <w:szCs w:val="20"/>
              </w:rPr>
              <w:t>Повръщания</w:t>
            </w:r>
          </w:p>
        </w:tc>
        <w:tc>
          <w:tcPr>
            <w:tcW w:w="3192" w:type="dxa"/>
          </w:tcPr>
          <w:p w14:paraId="578D4870" w14:textId="0D728196" w:rsidR="000655BC" w:rsidRPr="000655BC" w:rsidRDefault="000655BC" w:rsidP="000655BC">
            <w:r w:rsidRPr="000655BC">
              <w:rPr>
                <w:szCs w:val="20"/>
              </w:rPr>
              <w:t>Нечести</w:t>
            </w:r>
          </w:p>
        </w:tc>
      </w:tr>
      <w:tr w:rsidR="000655BC" w14:paraId="5E816F4C" w14:textId="77777777" w:rsidTr="000655BC">
        <w:tc>
          <w:tcPr>
            <w:tcW w:w="3192" w:type="dxa"/>
            <w:vMerge/>
          </w:tcPr>
          <w:p w14:paraId="2372FBC3" w14:textId="77777777" w:rsidR="000655BC" w:rsidRDefault="000655BC" w:rsidP="000655BC"/>
        </w:tc>
        <w:tc>
          <w:tcPr>
            <w:tcW w:w="3192" w:type="dxa"/>
          </w:tcPr>
          <w:p w14:paraId="0D3134CB" w14:textId="70042D41" w:rsidR="000655BC" w:rsidRDefault="000655BC" w:rsidP="000655BC">
            <w:r>
              <w:t>Гадене</w:t>
            </w:r>
          </w:p>
        </w:tc>
        <w:tc>
          <w:tcPr>
            <w:tcW w:w="3192" w:type="dxa"/>
          </w:tcPr>
          <w:p w14:paraId="33C31821" w14:textId="6B491923" w:rsidR="000655BC" w:rsidRDefault="000655BC" w:rsidP="000655BC">
            <w:r>
              <w:t>Редки</w:t>
            </w:r>
          </w:p>
        </w:tc>
      </w:tr>
      <w:tr w:rsidR="000655BC" w14:paraId="1074B7AD" w14:textId="77777777" w:rsidTr="000655BC">
        <w:tc>
          <w:tcPr>
            <w:tcW w:w="3192" w:type="dxa"/>
            <w:vMerge/>
          </w:tcPr>
          <w:p w14:paraId="26979120" w14:textId="77777777" w:rsidR="000655BC" w:rsidRDefault="000655BC" w:rsidP="000655BC"/>
        </w:tc>
        <w:tc>
          <w:tcPr>
            <w:tcW w:w="3192" w:type="dxa"/>
          </w:tcPr>
          <w:p w14:paraId="1FA73C4A" w14:textId="6E563DBC" w:rsidR="000655BC" w:rsidRDefault="000655BC" w:rsidP="000655BC">
            <w:r>
              <w:t>Запек</w:t>
            </w:r>
          </w:p>
        </w:tc>
        <w:tc>
          <w:tcPr>
            <w:tcW w:w="3192" w:type="dxa"/>
          </w:tcPr>
          <w:p w14:paraId="6DC0972E" w14:textId="7D8B5665" w:rsidR="000655BC" w:rsidRDefault="000655BC" w:rsidP="000655BC">
            <w:r>
              <w:t>Редки</w:t>
            </w:r>
          </w:p>
        </w:tc>
      </w:tr>
      <w:tr w:rsidR="000655BC" w14:paraId="154BE85A" w14:textId="77777777" w:rsidTr="000655BC">
        <w:tc>
          <w:tcPr>
            <w:tcW w:w="3192" w:type="dxa"/>
            <w:vMerge/>
          </w:tcPr>
          <w:p w14:paraId="68B713FA" w14:textId="77777777" w:rsidR="000655BC" w:rsidRDefault="000655BC" w:rsidP="000655BC"/>
        </w:tc>
        <w:tc>
          <w:tcPr>
            <w:tcW w:w="3192" w:type="dxa"/>
          </w:tcPr>
          <w:p w14:paraId="52865D7F" w14:textId="657E5FB1" w:rsidR="000655BC" w:rsidRDefault="000655BC" w:rsidP="000655BC">
            <w:r>
              <w:t>Сухота в устата</w:t>
            </w:r>
          </w:p>
        </w:tc>
        <w:tc>
          <w:tcPr>
            <w:tcW w:w="3192" w:type="dxa"/>
          </w:tcPr>
          <w:p w14:paraId="07BDBEC3" w14:textId="3C2A0502" w:rsidR="000655BC" w:rsidRDefault="000655BC" w:rsidP="000655BC">
            <w:r>
              <w:t>Редки</w:t>
            </w:r>
          </w:p>
        </w:tc>
      </w:tr>
      <w:tr w:rsidR="000655BC" w14:paraId="2AE3D5C0" w14:textId="77777777" w:rsidTr="000655BC">
        <w:tc>
          <w:tcPr>
            <w:tcW w:w="3192" w:type="dxa"/>
            <w:vMerge/>
          </w:tcPr>
          <w:p w14:paraId="1C1D904D" w14:textId="77777777" w:rsidR="000655BC" w:rsidRDefault="000655BC" w:rsidP="000655BC"/>
        </w:tc>
        <w:tc>
          <w:tcPr>
            <w:tcW w:w="3192" w:type="dxa"/>
          </w:tcPr>
          <w:p w14:paraId="35359804" w14:textId="330EF34C" w:rsidR="000655BC" w:rsidRDefault="000655BC" w:rsidP="000655BC">
            <w:r>
              <w:t>Панкреатит</w:t>
            </w:r>
          </w:p>
        </w:tc>
        <w:tc>
          <w:tcPr>
            <w:tcW w:w="3192" w:type="dxa"/>
          </w:tcPr>
          <w:p w14:paraId="64159436" w14:textId="5F986EB8" w:rsidR="000655BC" w:rsidRDefault="000655BC" w:rsidP="000655BC">
            <w:r>
              <w:t>Много редки</w:t>
            </w:r>
          </w:p>
        </w:tc>
      </w:tr>
      <w:tr w:rsidR="000655BC" w14:paraId="4C2829DE" w14:textId="77777777" w:rsidTr="000655BC">
        <w:tc>
          <w:tcPr>
            <w:tcW w:w="3192" w:type="dxa"/>
            <w:vMerge w:val="restart"/>
          </w:tcPr>
          <w:p w14:paraId="018C0371" w14:textId="353CADFE" w:rsidR="000655BC" w:rsidRPr="000655BC" w:rsidRDefault="000655BC" w:rsidP="000655BC">
            <w:pPr>
              <w:rPr>
                <w:rFonts w:cs="Arial"/>
              </w:rPr>
            </w:pPr>
            <w:r w:rsidRPr="000655BC">
              <w:rPr>
                <w:rFonts w:cs="Arial"/>
              </w:rPr>
              <w:t>Хепатобилиарни нарушения</w:t>
            </w:r>
          </w:p>
        </w:tc>
        <w:tc>
          <w:tcPr>
            <w:tcW w:w="3192" w:type="dxa"/>
          </w:tcPr>
          <w:p w14:paraId="736CAD9C" w14:textId="73EBA92F" w:rsidR="000655BC" w:rsidRPr="000655BC" w:rsidRDefault="000655BC" w:rsidP="000655BC">
            <w:pPr>
              <w:rPr>
                <w:rFonts w:cs="Arial"/>
              </w:rPr>
            </w:pPr>
            <w:r w:rsidRPr="000655BC">
              <w:rPr>
                <w:rFonts w:cs="Arial"/>
              </w:rPr>
              <w:t>Увредена чернодробна функция</w:t>
            </w:r>
          </w:p>
        </w:tc>
        <w:tc>
          <w:tcPr>
            <w:tcW w:w="3192" w:type="dxa"/>
          </w:tcPr>
          <w:p w14:paraId="2B4D3648" w14:textId="32C66DF4" w:rsidR="000655BC" w:rsidRPr="000655BC" w:rsidRDefault="000655BC" w:rsidP="000655BC">
            <w:pPr>
              <w:rPr>
                <w:rFonts w:cs="Arial"/>
              </w:rPr>
            </w:pPr>
            <w:r w:rsidRPr="000655BC">
              <w:rPr>
                <w:rFonts w:cs="Arial"/>
              </w:rPr>
              <w:t>Много редки</w:t>
            </w:r>
          </w:p>
        </w:tc>
      </w:tr>
      <w:tr w:rsidR="000655BC" w14:paraId="50D0E410" w14:textId="77777777" w:rsidTr="000655BC">
        <w:tc>
          <w:tcPr>
            <w:tcW w:w="3192" w:type="dxa"/>
            <w:vMerge/>
          </w:tcPr>
          <w:p w14:paraId="3BDB0EF4" w14:textId="77777777" w:rsidR="000655BC" w:rsidRPr="000655BC" w:rsidRDefault="000655BC" w:rsidP="000655BC">
            <w:pPr>
              <w:rPr>
                <w:rFonts w:cs="Arial"/>
              </w:rPr>
            </w:pPr>
          </w:p>
        </w:tc>
        <w:tc>
          <w:tcPr>
            <w:tcW w:w="3192" w:type="dxa"/>
          </w:tcPr>
          <w:p w14:paraId="5DD9704B" w14:textId="0175097A" w:rsidR="000655BC" w:rsidRPr="000655BC" w:rsidRDefault="000655BC" w:rsidP="000655BC">
            <w:pPr>
              <w:rPr>
                <w:rFonts w:cs="Arial"/>
              </w:rPr>
            </w:pPr>
            <w:r w:rsidRPr="000655BC">
              <w:rPr>
                <w:rFonts w:cs="Arial"/>
              </w:rPr>
              <w:t>Възможност за появата на чернодробна еяцефалопатия при наличие на чернодробна недостатъчност (виж точки 4.3. и 4.4)</w:t>
            </w:r>
          </w:p>
        </w:tc>
        <w:tc>
          <w:tcPr>
            <w:tcW w:w="3192" w:type="dxa"/>
          </w:tcPr>
          <w:p w14:paraId="79B5DC49" w14:textId="01F94D03" w:rsidR="000655BC" w:rsidRPr="000655BC" w:rsidRDefault="000655BC" w:rsidP="000655BC">
            <w:pPr>
              <w:rPr>
                <w:rFonts w:cs="Arial"/>
              </w:rPr>
            </w:pPr>
            <w:r w:rsidRPr="000655BC">
              <w:rPr>
                <w:rFonts w:cs="Arial"/>
              </w:rPr>
              <w:t>С неизвестна честота</w:t>
            </w:r>
          </w:p>
        </w:tc>
      </w:tr>
      <w:tr w:rsidR="000655BC" w14:paraId="7C25B32B" w14:textId="77777777" w:rsidTr="000655BC">
        <w:trPr>
          <w:trHeight w:val="64"/>
        </w:trPr>
        <w:tc>
          <w:tcPr>
            <w:tcW w:w="3192" w:type="dxa"/>
            <w:vMerge/>
          </w:tcPr>
          <w:p w14:paraId="78CA2A47" w14:textId="77777777" w:rsidR="000655BC" w:rsidRPr="000655BC" w:rsidRDefault="000655BC" w:rsidP="000655BC">
            <w:pPr>
              <w:rPr>
                <w:rFonts w:cs="Arial"/>
              </w:rPr>
            </w:pPr>
          </w:p>
        </w:tc>
        <w:tc>
          <w:tcPr>
            <w:tcW w:w="3192" w:type="dxa"/>
          </w:tcPr>
          <w:p w14:paraId="7EC4D848" w14:textId="540C2EB4" w:rsidR="000655BC" w:rsidRPr="000655BC" w:rsidRDefault="000655BC" w:rsidP="000655BC">
            <w:pPr>
              <w:rPr>
                <w:rFonts w:cs="Arial"/>
              </w:rPr>
            </w:pPr>
            <w:r w:rsidRPr="000655BC">
              <w:rPr>
                <w:rFonts w:cs="Arial"/>
              </w:rPr>
              <w:t>Хепатит</w:t>
            </w:r>
          </w:p>
        </w:tc>
        <w:tc>
          <w:tcPr>
            <w:tcW w:w="3192" w:type="dxa"/>
          </w:tcPr>
          <w:p w14:paraId="60AA30F9" w14:textId="726880B8" w:rsidR="000655BC" w:rsidRPr="000655BC" w:rsidRDefault="000655BC" w:rsidP="000655BC">
            <w:pPr>
              <w:rPr>
                <w:rFonts w:cs="Arial"/>
              </w:rPr>
            </w:pPr>
            <w:r w:rsidRPr="000655BC">
              <w:rPr>
                <w:rFonts w:cs="Arial"/>
              </w:rPr>
              <w:t>С неизвестна честота</w:t>
            </w:r>
          </w:p>
        </w:tc>
      </w:tr>
      <w:tr w:rsidR="000655BC" w14:paraId="20BFFD09" w14:textId="77777777" w:rsidTr="000655BC">
        <w:tc>
          <w:tcPr>
            <w:tcW w:w="3192" w:type="dxa"/>
            <w:vMerge w:val="restart"/>
          </w:tcPr>
          <w:p w14:paraId="4D577C58" w14:textId="2E1F15D2" w:rsidR="000655BC" w:rsidRPr="000655BC" w:rsidRDefault="000655BC" w:rsidP="000655BC">
            <w:pPr>
              <w:rPr>
                <w:rFonts w:cs="Arial"/>
              </w:rPr>
            </w:pPr>
            <w:r w:rsidRPr="000655BC">
              <w:rPr>
                <w:rFonts w:cs="Arial"/>
              </w:rPr>
              <w:t>Нарушения на кожата и подкожната тъкан</w:t>
            </w:r>
          </w:p>
        </w:tc>
        <w:tc>
          <w:tcPr>
            <w:tcW w:w="3192" w:type="dxa"/>
          </w:tcPr>
          <w:p w14:paraId="304A2266" w14:textId="7994E03E" w:rsidR="000655BC" w:rsidRPr="000655BC" w:rsidRDefault="000655BC" w:rsidP="000655BC">
            <w:pPr>
              <w:rPr>
                <w:rFonts w:cs="Arial"/>
              </w:rPr>
            </w:pPr>
            <w:r w:rsidRPr="000655BC">
              <w:rPr>
                <w:rFonts w:cs="Arial"/>
              </w:rPr>
              <w:t>Реакция на свръхчувствителност</w:t>
            </w:r>
          </w:p>
        </w:tc>
        <w:tc>
          <w:tcPr>
            <w:tcW w:w="3192" w:type="dxa"/>
          </w:tcPr>
          <w:p w14:paraId="27166225" w14:textId="5F6BAB40" w:rsidR="000655BC" w:rsidRPr="000655BC" w:rsidRDefault="000655BC" w:rsidP="000655BC">
            <w:pPr>
              <w:rPr>
                <w:rFonts w:cs="Arial"/>
              </w:rPr>
            </w:pPr>
            <w:r w:rsidRPr="000655BC">
              <w:rPr>
                <w:rFonts w:cs="Arial"/>
              </w:rPr>
              <w:t>Чести</w:t>
            </w:r>
          </w:p>
        </w:tc>
      </w:tr>
      <w:tr w:rsidR="000655BC" w14:paraId="22F081CC" w14:textId="77777777" w:rsidTr="000655BC">
        <w:tc>
          <w:tcPr>
            <w:tcW w:w="3192" w:type="dxa"/>
            <w:vMerge/>
          </w:tcPr>
          <w:p w14:paraId="005B02B6" w14:textId="77777777" w:rsidR="000655BC" w:rsidRPr="000655BC" w:rsidRDefault="000655BC" w:rsidP="000655BC">
            <w:pPr>
              <w:rPr>
                <w:rFonts w:cs="Arial"/>
              </w:rPr>
            </w:pPr>
          </w:p>
        </w:tc>
        <w:tc>
          <w:tcPr>
            <w:tcW w:w="3192" w:type="dxa"/>
          </w:tcPr>
          <w:p w14:paraId="3E83BBB0" w14:textId="4095927D" w:rsidR="000655BC" w:rsidRPr="000655BC" w:rsidRDefault="000655BC" w:rsidP="000655BC">
            <w:pPr>
              <w:rPr>
                <w:rFonts w:cs="Arial"/>
              </w:rPr>
            </w:pPr>
            <w:r w:rsidRPr="000655BC">
              <w:rPr>
                <w:rFonts w:cs="Arial"/>
              </w:rPr>
              <w:t>Макулопапулозни обриви</w:t>
            </w:r>
          </w:p>
        </w:tc>
        <w:tc>
          <w:tcPr>
            <w:tcW w:w="3192" w:type="dxa"/>
          </w:tcPr>
          <w:p w14:paraId="5EC411EC" w14:textId="45218FE4" w:rsidR="000655BC" w:rsidRPr="000655BC" w:rsidRDefault="000655BC" w:rsidP="000655BC">
            <w:pPr>
              <w:rPr>
                <w:rFonts w:cs="Arial"/>
              </w:rPr>
            </w:pPr>
            <w:r w:rsidRPr="000655BC">
              <w:rPr>
                <w:rFonts w:cs="Arial"/>
              </w:rPr>
              <w:t>Чести</w:t>
            </w:r>
          </w:p>
        </w:tc>
      </w:tr>
      <w:tr w:rsidR="000655BC" w14:paraId="1BF8897E" w14:textId="77777777" w:rsidTr="000655BC">
        <w:tc>
          <w:tcPr>
            <w:tcW w:w="3192" w:type="dxa"/>
            <w:vMerge/>
          </w:tcPr>
          <w:p w14:paraId="7FB03AA2" w14:textId="77777777" w:rsidR="000655BC" w:rsidRPr="000655BC" w:rsidRDefault="000655BC" w:rsidP="000655BC">
            <w:pPr>
              <w:rPr>
                <w:rFonts w:cs="Arial"/>
              </w:rPr>
            </w:pPr>
          </w:p>
        </w:tc>
        <w:tc>
          <w:tcPr>
            <w:tcW w:w="3192" w:type="dxa"/>
          </w:tcPr>
          <w:p w14:paraId="26C65CA7" w14:textId="3399E66F" w:rsidR="000655BC" w:rsidRPr="000655BC" w:rsidRDefault="000655BC" w:rsidP="000655BC">
            <w:pPr>
              <w:rPr>
                <w:rFonts w:cs="Arial"/>
              </w:rPr>
            </w:pPr>
            <w:r w:rsidRPr="000655BC">
              <w:rPr>
                <w:rFonts w:cs="Arial"/>
                <w:u w:val="single"/>
              </w:rPr>
              <w:t>Пурпура</w:t>
            </w:r>
            <w:r w:rsidRPr="000655BC">
              <w:rPr>
                <w:rFonts w:cs="Arial"/>
              </w:rPr>
              <w:tab/>
            </w:r>
          </w:p>
        </w:tc>
        <w:tc>
          <w:tcPr>
            <w:tcW w:w="3192" w:type="dxa"/>
          </w:tcPr>
          <w:p w14:paraId="22DD39A1" w14:textId="322A0A8A" w:rsidR="000655BC" w:rsidRPr="000655BC" w:rsidRDefault="000655BC" w:rsidP="000655BC">
            <w:pPr>
              <w:rPr>
                <w:rFonts w:cs="Arial"/>
              </w:rPr>
            </w:pPr>
            <w:r w:rsidRPr="000655BC">
              <w:rPr>
                <w:rFonts w:cs="Arial"/>
              </w:rPr>
              <w:t>Нечести</w:t>
            </w:r>
          </w:p>
        </w:tc>
      </w:tr>
      <w:tr w:rsidR="000655BC" w14:paraId="661D64EE" w14:textId="77777777" w:rsidTr="000655BC">
        <w:tc>
          <w:tcPr>
            <w:tcW w:w="3192" w:type="dxa"/>
            <w:vMerge/>
          </w:tcPr>
          <w:p w14:paraId="28BF5C80" w14:textId="77777777" w:rsidR="000655BC" w:rsidRPr="000655BC" w:rsidRDefault="000655BC" w:rsidP="000655BC">
            <w:pPr>
              <w:rPr>
                <w:rFonts w:cs="Arial"/>
              </w:rPr>
            </w:pPr>
          </w:p>
        </w:tc>
        <w:tc>
          <w:tcPr>
            <w:tcW w:w="3192" w:type="dxa"/>
          </w:tcPr>
          <w:p w14:paraId="504C570B" w14:textId="11E31E49" w:rsidR="000655BC" w:rsidRPr="000655BC" w:rsidRDefault="000655BC" w:rsidP="000655BC">
            <w:pPr>
              <w:rPr>
                <w:rFonts w:cs="Arial"/>
              </w:rPr>
            </w:pPr>
            <w:r w:rsidRPr="000655BC">
              <w:rPr>
                <w:rFonts w:cs="Arial"/>
              </w:rPr>
              <w:t>Ангиоедем</w:t>
            </w:r>
          </w:p>
        </w:tc>
        <w:tc>
          <w:tcPr>
            <w:tcW w:w="3192" w:type="dxa"/>
          </w:tcPr>
          <w:p w14:paraId="1BB411D9" w14:textId="510D9B4E" w:rsidR="000655BC" w:rsidRPr="000655BC" w:rsidRDefault="000655BC" w:rsidP="000655BC">
            <w:pPr>
              <w:rPr>
                <w:rFonts w:cs="Arial"/>
              </w:rPr>
            </w:pPr>
            <w:r w:rsidRPr="000655BC">
              <w:rPr>
                <w:rFonts w:cs="Arial"/>
              </w:rPr>
              <w:t>Много редки</w:t>
            </w:r>
          </w:p>
        </w:tc>
      </w:tr>
      <w:tr w:rsidR="000655BC" w14:paraId="6A529859" w14:textId="77777777" w:rsidTr="000655BC">
        <w:tc>
          <w:tcPr>
            <w:tcW w:w="3192" w:type="dxa"/>
            <w:vMerge/>
          </w:tcPr>
          <w:p w14:paraId="10B5FA05" w14:textId="77777777" w:rsidR="000655BC" w:rsidRPr="000655BC" w:rsidRDefault="000655BC" w:rsidP="000655BC">
            <w:pPr>
              <w:rPr>
                <w:rFonts w:cs="Arial"/>
              </w:rPr>
            </w:pPr>
          </w:p>
        </w:tc>
        <w:tc>
          <w:tcPr>
            <w:tcW w:w="3192" w:type="dxa"/>
          </w:tcPr>
          <w:p w14:paraId="30455973" w14:textId="120BCF70" w:rsidR="000655BC" w:rsidRPr="000655BC" w:rsidRDefault="000655BC" w:rsidP="000655BC">
            <w:pPr>
              <w:rPr>
                <w:rFonts w:cs="Arial"/>
              </w:rPr>
            </w:pPr>
            <w:r w:rsidRPr="000655BC">
              <w:rPr>
                <w:rFonts w:cs="Arial"/>
              </w:rPr>
              <w:t>Уртикарии</w:t>
            </w:r>
          </w:p>
        </w:tc>
        <w:tc>
          <w:tcPr>
            <w:tcW w:w="3192" w:type="dxa"/>
          </w:tcPr>
          <w:p w14:paraId="6F855D20" w14:textId="6A21B5D4" w:rsidR="000655BC" w:rsidRPr="000655BC" w:rsidRDefault="000655BC" w:rsidP="000655BC">
            <w:pPr>
              <w:rPr>
                <w:rFonts w:cs="Arial"/>
              </w:rPr>
            </w:pPr>
            <w:r w:rsidRPr="000655BC">
              <w:rPr>
                <w:rFonts w:cs="Arial"/>
              </w:rPr>
              <w:t>Много редки</w:t>
            </w:r>
          </w:p>
        </w:tc>
      </w:tr>
      <w:tr w:rsidR="000655BC" w14:paraId="4A470644" w14:textId="77777777" w:rsidTr="000655BC">
        <w:tc>
          <w:tcPr>
            <w:tcW w:w="3192" w:type="dxa"/>
            <w:vMerge/>
          </w:tcPr>
          <w:p w14:paraId="7DAB74C1" w14:textId="77777777" w:rsidR="000655BC" w:rsidRPr="000655BC" w:rsidRDefault="000655BC" w:rsidP="000655BC">
            <w:pPr>
              <w:rPr>
                <w:rFonts w:cs="Arial"/>
              </w:rPr>
            </w:pPr>
          </w:p>
        </w:tc>
        <w:tc>
          <w:tcPr>
            <w:tcW w:w="3192" w:type="dxa"/>
          </w:tcPr>
          <w:p w14:paraId="35AB1BEE" w14:textId="2A49846C" w:rsidR="000655BC" w:rsidRPr="000655BC" w:rsidRDefault="000655BC" w:rsidP="000655BC">
            <w:pPr>
              <w:rPr>
                <w:rFonts w:cs="Arial"/>
              </w:rPr>
            </w:pPr>
            <w:r w:rsidRPr="000655BC">
              <w:rPr>
                <w:rFonts w:cs="Arial"/>
              </w:rPr>
              <w:t>Токсична епидермална некролиза</w:t>
            </w:r>
          </w:p>
        </w:tc>
        <w:tc>
          <w:tcPr>
            <w:tcW w:w="3192" w:type="dxa"/>
          </w:tcPr>
          <w:p w14:paraId="005B5135" w14:textId="6169E71E" w:rsidR="000655BC" w:rsidRPr="000655BC" w:rsidRDefault="000655BC" w:rsidP="000655BC">
            <w:pPr>
              <w:rPr>
                <w:rFonts w:cs="Arial"/>
              </w:rPr>
            </w:pPr>
            <w:r w:rsidRPr="000655BC">
              <w:rPr>
                <w:rFonts w:cs="Arial"/>
              </w:rPr>
              <w:t>Много редки</w:t>
            </w:r>
          </w:p>
        </w:tc>
      </w:tr>
      <w:tr w:rsidR="000655BC" w14:paraId="380AB8EB" w14:textId="77777777" w:rsidTr="000655BC">
        <w:tc>
          <w:tcPr>
            <w:tcW w:w="3192" w:type="dxa"/>
            <w:vMerge/>
          </w:tcPr>
          <w:p w14:paraId="21C83865" w14:textId="77777777" w:rsidR="000655BC" w:rsidRPr="000655BC" w:rsidRDefault="000655BC" w:rsidP="000655BC">
            <w:pPr>
              <w:rPr>
                <w:rFonts w:cs="Arial"/>
              </w:rPr>
            </w:pPr>
          </w:p>
        </w:tc>
        <w:tc>
          <w:tcPr>
            <w:tcW w:w="3192" w:type="dxa"/>
          </w:tcPr>
          <w:p w14:paraId="19284CD1" w14:textId="36D45978" w:rsidR="000655BC" w:rsidRPr="000655BC" w:rsidRDefault="000655BC" w:rsidP="000655BC">
            <w:pPr>
              <w:rPr>
                <w:rFonts w:cs="Arial"/>
              </w:rPr>
            </w:pPr>
            <w:r w:rsidRPr="000655BC">
              <w:rPr>
                <w:rFonts w:cs="Arial"/>
              </w:rPr>
              <w:t>Синдром на Стивънс-Джонсън</w:t>
            </w:r>
          </w:p>
        </w:tc>
        <w:tc>
          <w:tcPr>
            <w:tcW w:w="3192" w:type="dxa"/>
          </w:tcPr>
          <w:p w14:paraId="3A17A466" w14:textId="0B7915D5" w:rsidR="000655BC" w:rsidRPr="000655BC" w:rsidRDefault="000655BC" w:rsidP="000655BC">
            <w:pPr>
              <w:rPr>
                <w:rFonts w:cs="Arial"/>
              </w:rPr>
            </w:pPr>
            <w:r w:rsidRPr="000655BC">
              <w:rPr>
                <w:rFonts w:cs="Arial"/>
              </w:rPr>
              <w:t>Много редки</w:t>
            </w:r>
          </w:p>
        </w:tc>
      </w:tr>
      <w:tr w:rsidR="000655BC" w14:paraId="2AC0799F" w14:textId="77777777" w:rsidTr="000655BC">
        <w:tc>
          <w:tcPr>
            <w:tcW w:w="3192" w:type="dxa"/>
            <w:vMerge/>
          </w:tcPr>
          <w:p w14:paraId="0E64DD60" w14:textId="77777777" w:rsidR="000655BC" w:rsidRPr="000655BC" w:rsidRDefault="000655BC" w:rsidP="000655BC">
            <w:pPr>
              <w:rPr>
                <w:rFonts w:cs="Arial"/>
              </w:rPr>
            </w:pPr>
          </w:p>
        </w:tc>
        <w:tc>
          <w:tcPr>
            <w:tcW w:w="3192" w:type="dxa"/>
          </w:tcPr>
          <w:p w14:paraId="4E8D62B9" w14:textId="3F473990" w:rsidR="000655BC" w:rsidRPr="000655BC" w:rsidRDefault="000655BC" w:rsidP="000655BC">
            <w:pPr>
              <w:rPr>
                <w:rFonts w:cs="Arial"/>
              </w:rPr>
            </w:pPr>
            <w:r w:rsidRPr="000655BC">
              <w:rPr>
                <w:rFonts w:cs="Arial"/>
              </w:rPr>
              <w:t>Възможност за влошаване на съществуващ разпространен остър лупус еритематозус</w:t>
            </w:r>
          </w:p>
        </w:tc>
        <w:tc>
          <w:tcPr>
            <w:tcW w:w="3192" w:type="dxa"/>
          </w:tcPr>
          <w:p w14:paraId="21112B8D" w14:textId="2A781118" w:rsidR="000655BC" w:rsidRPr="000655BC" w:rsidRDefault="000655BC" w:rsidP="000655BC">
            <w:pPr>
              <w:rPr>
                <w:rFonts w:cs="Arial"/>
              </w:rPr>
            </w:pPr>
            <w:r w:rsidRPr="000655BC">
              <w:rPr>
                <w:rFonts w:cs="Arial"/>
              </w:rPr>
              <w:t>С неизвестна честота</w:t>
            </w:r>
          </w:p>
        </w:tc>
      </w:tr>
      <w:tr w:rsidR="000655BC" w14:paraId="19823EFD" w14:textId="77777777" w:rsidTr="000655BC">
        <w:tc>
          <w:tcPr>
            <w:tcW w:w="3192" w:type="dxa"/>
            <w:vMerge/>
          </w:tcPr>
          <w:p w14:paraId="3506817C" w14:textId="77777777" w:rsidR="000655BC" w:rsidRPr="000655BC" w:rsidRDefault="000655BC" w:rsidP="000655BC">
            <w:pPr>
              <w:rPr>
                <w:rFonts w:cs="Arial"/>
              </w:rPr>
            </w:pPr>
          </w:p>
        </w:tc>
        <w:tc>
          <w:tcPr>
            <w:tcW w:w="3192" w:type="dxa"/>
          </w:tcPr>
          <w:p w14:paraId="55A238C7" w14:textId="5B34A002" w:rsidR="000655BC" w:rsidRPr="000655BC" w:rsidRDefault="000655BC" w:rsidP="000655BC">
            <w:pPr>
              <w:rPr>
                <w:rFonts w:cs="Arial"/>
              </w:rPr>
            </w:pPr>
            <w:r w:rsidRPr="000655BC">
              <w:rPr>
                <w:rFonts w:cs="Arial"/>
              </w:rPr>
              <w:t>Реакция на фоточувствителност (виж т.4.4.)</w:t>
            </w:r>
          </w:p>
        </w:tc>
        <w:tc>
          <w:tcPr>
            <w:tcW w:w="3192" w:type="dxa"/>
          </w:tcPr>
          <w:p w14:paraId="4B69161D" w14:textId="0CEB41D9" w:rsidR="000655BC" w:rsidRPr="000655BC" w:rsidRDefault="000655BC" w:rsidP="000655BC">
            <w:pPr>
              <w:rPr>
                <w:rFonts w:cs="Arial"/>
              </w:rPr>
            </w:pPr>
            <w:r w:rsidRPr="000655BC">
              <w:rPr>
                <w:rFonts w:cs="Arial"/>
              </w:rPr>
              <w:t>С неизвестна честота</w:t>
            </w:r>
          </w:p>
        </w:tc>
      </w:tr>
      <w:tr w:rsidR="000655BC" w14:paraId="1D987A1B" w14:textId="77777777" w:rsidTr="000655BC">
        <w:tc>
          <w:tcPr>
            <w:tcW w:w="3192" w:type="dxa"/>
          </w:tcPr>
          <w:p w14:paraId="34B72B54" w14:textId="3849E27F" w:rsidR="000655BC" w:rsidRPr="000655BC" w:rsidRDefault="000655BC" w:rsidP="000655BC">
            <w:pPr>
              <w:rPr>
                <w:rFonts w:cs="Arial"/>
              </w:rPr>
            </w:pPr>
            <w:r w:rsidRPr="000655BC">
              <w:rPr>
                <w:rFonts w:cs="Arial"/>
              </w:rPr>
              <w:t>Нарушения на бъбреците и пикочните пътища</w:t>
            </w:r>
          </w:p>
        </w:tc>
        <w:tc>
          <w:tcPr>
            <w:tcW w:w="3192" w:type="dxa"/>
          </w:tcPr>
          <w:p w14:paraId="720610ED" w14:textId="0582F29D" w:rsidR="000655BC" w:rsidRPr="000655BC" w:rsidRDefault="000655BC" w:rsidP="000655BC">
            <w:pPr>
              <w:rPr>
                <w:rFonts w:cs="Arial"/>
              </w:rPr>
            </w:pPr>
            <w:r w:rsidRPr="000655BC">
              <w:rPr>
                <w:rFonts w:cs="Arial"/>
              </w:rPr>
              <w:t>Бъбречна недостатъчност</w:t>
            </w:r>
          </w:p>
        </w:tc>
        <w:tc>
          <w:tcPr>
            <w:tcW w:w="3192" w:type="dxa"/>
          </w:tcPr>
          <w:p w14:paraId="6DC44503" w14:textId="0BA227A9" w:rsidR="000655BC" w:rsidRPr="000655BC" w:rsidRDefault="000655BC" w:rsidP="000655BC">
            <w:pPr>
              <w:rPr>
                <w:rFonts w:cs="Arial"/>
              </w:rPr>
            </w:pPr>
            <w:r w:rsidRPr="000655BC">
              <w:rPr>
                <w:rFonts w:cs="Arial"/>
              </w:rPr>
              <w:t>Много редки</w:t>
            </w:r>
          </w:p>
        </w:tc>
      </w:tr>
      <w:tr w:rsidR="000655BC" w14:paraId="5BD222B0" w14:textId="77777777" w:rsidTr="000655BC">
        <w:tc>
          <w:tcPr>
            <w:tcW w:w="3192" w:type="dxa"/>
          </w:tcPr>
          <w:p w14:paraId="7D911494" w14:textId="66D841D4" w:rsidR="000655BC" w:rsidRPr="000655BC" w:rsidRDefault="000655BC" w:rsidP="000655BC">
            <w:pPr>
              <w:rPr>
                <w:rFonts w:cs="Arial"/>
              </w:rPr>
            </w:pPr>
            <w:r w:rsidRPr="000655BC">
              <w:rPr>
                <w:rFonts w:cs="Arial"/>
              </w:rPr>
              <w:t>Нарушения на репродуктивната система и гърдата</w:t>
            </w:r>
          </w:p>
        </w:tc>
        <w:tc>
          <w:tcPr>
            <w:tcW w:w="3192" w:type="dxa"/>
          </w:tcPr>
          <w:p w14:paraId="41CF6980" w14:textId="11624E24" w:rsidR="000655BC" w:rsidRPr="000655BC" w:rsidRDefault="000655BC" w:rsidP="000655BC">
            <w:pPr>
              <w:rPr>
                <w:rFonts w:cs="Arial"/>
              </w:rPr>
            </w:pPr>
            <w:r w:rsidRPr="000655BC">
              <w:rPr>
                <w:rFonts w:cs="Arial"/>
              </w:rPr>
              <w:t>Еректилна дисфункция</w:t>
            </w:r>
          </w:p>
        </w:tc>
        <w:tc>
          <w:tcPr>
            <w:tcW w:w="3192" w:type="dxa"/>
          </w:tcPr>
          <w:p w14:paraId="4D0F3787" w14:textId="035C72AE" w:rsidR="000655BC" w:rsidRPr="000655BC" w:rsidRDefault="000655BC" w:rsidP="000655BC">
            <w:pPr>
              <w:rPr>
                <w:rFonts w:cs="Arial"/>
              </w:rPr>
            </w:pPr>
            <w:r w:rsidRPr="000655BC">
              <w:rPr>
                <w:rFonts w:cs="Arial"/>
              </w:rPr>
              <w:t>Нечести</w:t>
            </w:r>
          </w:p>
        </w:tc>
      </w:tr>
      <w:tr w:rsidR="000655BC" w14:paraId="382A5DD3" w14:textId="77777777" w:rsidTr="000655BC">
        <w:tc>
          <w:tcPr>
            <w:tcW w:w="3192" w:type="dxa"/>
            <w:vMerge w:val="restart"/>
          </w:tcPr>
          <w:p w14:paraId="2789A250" w14:textId="0CA82826" w:rsidR="000655BC" w:rsidRPr="000655BC" w:rsidRDefault="000655BC" w:rsidP="000655BC">
            <w:pPr>
              <w:rPr>
                <w:rFonts w:cs="Arial"/>
              </w:rPr>
            </w:pPr>
            <w:r w:rsidRPr="000655BC">
              <w:rPr>
                <w:rFonts w:cs="Arial"/>
              </w:rPr>
              <w:t>Изследвания</w:t>
            </w:r>
          </w:p>
        </w:tc>
        <w:tc>
          <w:tcPr>
            <w:tcW w:w="3192" w:type="dxa"/>
          </w:tcPr>
          <w:p w14:paraId="2A18F05B" w14:textId="6132709F" w:rsidR="000655BC" w:rsidRPr="000655BC" w:rsidRDefault="000655BC" w:rsidP="000655BC">
            <w:pPr>
              <w:rPr>
                <w:rFonts w:cs="Arial"/>
              </w:rPr>
            </w:pPr>
            <w:r>
              <w:rPr>
                <w:rFonts w:cs="Arial"/>
              </w:rPr>
              <w:t xml:space="preserve">Удължаване на </w:t>
            </w:r>
            <w:r w:rsidRPr="000655BC">
              <w:rPr>
                <w:rFonts w:cs="Arial"/>
                <w:lang w:val="en-US"/>
              </w:rPr>
              <w:t>QT</w:t>
            </w:r>
            <w:r>
              <w:rPr>
                <w:rFonts w:cs="Arial"/>
                <w:lang w:val="ru-RU"/>
              </w:rPr>
              <w:t xml:space="preserve"> </w:t>
            </w:r>
            <w:r>
              <w:rPr>
                <w:rFonts w:cs="Arial"/>
              </w:rPr>
              <w:t xml:space="preserve">интервала </w:t>
            </w:r>
            <w:r w:rsidRPr="000655BC">
              <w:rPr>
                <w:rFonts w:cs="Arial"/>
              </w:rPr>
              <w:t>на</w:t>
            </w:r>
          </w:p>
          <w:p w14:paraId="6624B1E0" w14:textId="19C98F87" w:rsidR="000655BC" w:rsidRPr="000655BC" w:rsidRDefault="000655BC" w:rsidP="000655BC">
            <w:pPr>
              <w:rPr>
                <w:rFonts w:cs="Arial"/>
              </w:rPr>
            </w:pPr>
            <w:r w:rsidRPr="000655BC">
              <w:rPr>
                <w:rFonts w:cs="Arial"/>
              </w:rPr>
              <w:t>електрокардиограмата (виж т.4.4 и т.4.5)</w:t>
            </w:r>
          </w:p>
        </w:tc>
        <w:tc>
          <w:tcPr>
            <w:tcW w:w="3192" w:type="dxa"/>
          </w:tcPr>
          <w:p w14:paraId="28C8BDE9" w14:textId="6493F7EC" w:rsidR="000655BC" w:rsidRPr="000655BC" w:rsidRDefault="000655BC" w:rsidP="000655BC">
            <w:pPr>
              <w:rPr>
                <w:rFonts w:cs="Arial"/>
              </w:rPr>
            </w:pPr>
            <w:r w:rsidRPr="000655BC">
              <w:rPr>
                <w:rFonts w:cs="Arial"/>
              </w:rPr>
              <w:t>С неизвестна честота</w:t>
            </w:r>
          </w:p>
        </w:tc>
      </w:tr>
      <w:tr w:rsidR="000655BC" w14:paraId="3134C0D0" w14:textId="77777777" w:rsidTr="000655BC">
        <w:tc>
          <w:tcPr>
            <w:tcW w:w="3192" w:type="dxa"/>
            <w:vMerge/>
          </w:tcPr>
          <w:p w14:paraId="4C5E3ABF" w14:textId="77777777" w:rsidR="000655BC" w:rsidRPr="000655BC" w:rsidRDefault="000655BC" w:rsidP="000655BC">
            <w:pPr>
              <w:rPr>
                <w:rFonts w:cs="Arial"/>
              </w:rPr>
            </w:pPr>
          </w:p>
        </w:tc>
        <w:tc>
          <w:tcPr>
            <w:tcW w:w="3192" w:type="dxa"/>
          </w:tcPr>
          <w:p w14:paraId="56009C15" w14:textId="1B9AF653" w:rsidR="000655BC" w:rsidRPr="000655BC" w:rsidRDefault="000655BC" w:rsidP="000655BC">
            <w:pPr>
              <w:rPr>
                <w:rFonts w:cs="Arial"/>
              </w:rPr>
            </w:pPr>
            <w:r w:rsidRPr="000655BC">
              <w:rPr>
                <w:rFonts w:cs="Arial"/>
              </w:rPr>
              <w:t>Хипергликемия (виж т.4.4)</w:t>
            </w:r>
          </w:p>
        </w:tc>
        <w:tc>
          <w:tcPr>
            <w:tcW w:w="3192" w:type="dxa"/>
          </w:tcPr>
          <w:p w14:paraId="7070C4A4" w14:textId="22E87C9C" w:rsidR="000655BC" w:rsidRPr="000655BC" w:rsidRDefault="000655BC" w:rsidP="000655BC">
            <w:pPr>
              <w:rPr>
                <w:rFonts w:cs="Arial"/>
              </w:rPr>
            </w:pPr>
            <w:r w:rsidRPr="000655BC">
              <w:rPr>
                <w:rFonts w:cs="Arial"/>
              </w:rPr>
              <w:t>С неизвестна честота</w:t>
            </w:r>
          </w:p>
        </w:tc>
      </w:tr>
      <w:tr w:rsidR="000655BC" w14:paraId="43F74411" w14:textId="77777777" w:rsidTr="000655BC">
        <w:tc>
          <w:tcPr>
            <w:tcW w:w="3192" w:type="dxa"/>
            <w:vMerge/>
          </w:tcPr>
          <w:p w14:paraId="4FD5C181" w14:textId="77777777" w:rsidR="000655BC" w:rsidRPr="000655BC" w:rsidRDefault="000655BC" w:rsidP="000655BC">
            <w:pPr>
              <w:rPr>
                <w:rFonts w:cs="Arial"/>
              </w:rPr>
            </w:pPr>
          </w:p>
        </w:tc>
        <w:tc>
          <w:tcPr>
            <w:tcW w:w="3192" w:type="dxa"/>
          </w:tcPr>
          <w:p w14:paraId="566D58D0" w14:textId="4C0137D3" w:rsidR="000655BC" w:rsidRPr="000655BC" w:rsidRDefault="000655BC" w:rsidP="000655BC">
            <w:pPr>
              <w:rPr>
                <w:rFonts w:cs="Arial"/>
              </w:rPr>
            </w:pPr>
            <w:r w:rsidRPr="000655BC">
              <w:rPr>
                <w:rFonts w:cs="Arial"/>
              </w:rPr>
              <w:t>Хиперурикемия (виж т.4.4.)</w:t>
            </w:r>
          </w:p>
        </w:tc>
        <w:tc>
          <w:tcPr>
            <w:tcW w:w="3192" w:type="dxa"/>
          </w:tcPr>
          <w:p w14:paraId="3BF5136E" w14:textId="65C77A9C" w:rsidR="000655BC" w:rsidRPr="000655BC" w:rsidRDefault="000655BC" w:rsidP="000655BC">
            <w:pPr>
              <w:rPr>
                <w:rFonts w:cs="Arial"/>
              </w:rPr>
            </w:pPr>
            <w:r w:rsidRPr="000655BC">
              <w:rPr>
                <w:rFonts w:cs="Arial"/>
              </w:rPr>
              <w:t>С неизвестна честота</w:t>
            </w:r>
          </w:p>
        </w:tc>
      </w:tr>
      <w:tr w:rsidR="000655BC" w14:paraId="51BAC798" w14:textId="77777777" w:rsidTr="000655BC">
        <w:tc>
          <w:tcPr>
            <w:tcW w:w="3192" w:type="dxa"/>
            <w:vMerge/>
          </w:tcPr>
          <w:p w14:paraId="7FFB2999" w14:textId="77777777" w:rsidR="000655BC" w:rsidRPr="000655BC" w:rsidRDefault="000655BC" w:rsidP="000655BC">
            <w:pPr>
              <w:rPr>
                <w:rFonts w:cs="Arial"/>
              </w:rPr>
            </w:pPr>
          </w:p>
        </w:tc>
        <w:tc>
          <w:tcPr>
            <w:tcW w:w="3192" w:type="dxa"/>
          </w:tcPr>
          <w:p w14:paraId="6177C239" w14:textId="30B78E29" w:rsidR="000655BC" w:rsidRPr="000655BC" w:rsidRDefault="000655BC" w:rsidP="000655BC">
            <w:pPr>
              <w:rPr>
                <w:rFonts w:cs="Arial"/>
              </w:rPr>
            </w:pPr>
            <w:r w:rsidRPr="000655BC">
              <w:rPr>
                <w:rFonts w:cs="Arial"/>
              </w:rPr>
              <w:t>Повишени нива на чернодробните ензими</w:t>
            </w:r>
          </w:p>
        </w:tc>
        <w:tc>
          <w:tcPr>
            <w:tcW w:w="3192" w:type="dxa"/>
          </w:tcPr>
          <w:p w14:paraId="4A62F76C" w14:textId="0CD58C6C" w:rsidR="000655BC" w:rsidRPr="000655BC" w:rsidRDefault="000655BC" w:rsidP="000655BC">
            <w:pPr>
              <w:rPr>
                <w:rFonts w:cs="Arial"/>
              </w:rPr>
            </w:pPr>
            <w:r w:rsidRPr="000655BC">
              <w:rPr>
                <w:rFonts w:cs="Arial"/>
              </w:rPr>
              <w:t>С неизвестна честота</w:t>
            </w:r>
          </w:p>
        </w:tc>
      </w:tr>
    </w:tbl>
    <w:p w14:paraId="4AF3FE9B" w14:textId="77777777" w:rsidR="000655BC" w:rsidRDefault="000655BC" w:rsidP="000655BC">
      <w:pPr>
        <w:spacing w:line="240" w:lineRule="auto"/>
        <w:rPr>
          <w:rFonts w:ascii="Times New Roman" w:eastAsia="Times New Roman" w:hAnsi="Times New Roman" w:cs="Times New Roman"/>
          <w:color w:val="000000"/>
          <w:sz w:val="20"/>
          <w:szCs w:val="20"/>
          <w:u w:val="single"/>
          <w:lang w:eastAsia="bg-BG"/>
        </w:rPr>
      </w:pPr>
    </w:p>
    <w:p w14:paraId="49C5FB24" w14:textId="0277DA07" w:rsidR="000655BC" w:rsidRPr="000655BC" w:rsidRDefault="000655BC" w:rsidP="000655BC">
      <w:pPr>
        <w:spacing w:line="240" w:lineRule="auto"/>
        <w:rPr>
          <w:rFonts w:eastAsia="Times New Roman" w:cs="Arial"/>
        </w:rPr>
      </w:pPr>
      <w:r w:rsidRPr="000655BC">
        <w:rPr>
          <w:rFonts w:eastAsia="Times New Roman" w:cs="Arial"/>
          <w:color w:val="000000"/>
          <w:u w:val="single"/>
          <w:lang w:eastAsia="bg-BG"/>
        </w:rPr>
        <w:t>Съобщаване на подозирани нежелани реакции</w:t>
      </w:r>
    </w:p>
    <w:p w14:paraId="4B407290" w14:textId="77777777" w:rsidR="000655BC" w:rsidRPr="000655BC" w:rsidRDefault="000655BC" w:rsidP="000655BC">
      <w:pPr>
        <w:spacing w:line="240" w:lineRule="auto"/>
        <w:rPr>
          <w:rFonts w:eastAsia="Times New Roman" w:cs="Arial"/>
        </w:rPr>
      </w:pPr>
      <w:r w:rsidRPr="000655BC">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+359 2 8903417, уебсайт: </w:t>
      </w:r>
      <w:hyperlink r:id="rId5" w:history="1">
        <w:r w:rsidRPr="000655BC">
          <w:rPr>
            <w:rFonts w:eastAsia="Times New Roman" w:cs="Arial"/>
            <w:color w:val="000000"/>
            <w:u w:val="single"/>
            <w:lang w:val="en-US"/>
          </w:rPr>
          <w:t>www.bda.bg</w:t>
        </w:r>
      </w:hyperlink>
      <w:r w:rsidRPr="000655BC">
        <w:rPr>
          <w:rFonts w:eastAsia="Times New Roman" w:cs="Arial"/>
          <w:color w:val="000000"/>
          <w:lang w:val="en-US"/>
        </w:rPr>
        <w:t>.</w:t>
      </w:r>
    </w:p>
    <w:p w14:paraId="0082A692" w14:textId="77777777" w:rsidR="000655BC" w:rsidRPr="000655BC" w:rsidRDefault="000655BC" w:rsidP="000655BC"/>
    <w:p w14:paraId="5A87DBA3" w14:textId="2AE36262" w:rsidR="007122AD" w:rsidRDefault="002C50EE" w:rsidP="00936AD0">
      <w:pPr>
        <w:pStyle w:val="Heading2"/>
      </w:pPr>
      <w:r>
        <w:t>4.9. Предозиране</w:t>
      </w:r>
    </w:p>
    <w:p w14:paraId="70421FFE" w14:textId="33D23DAC" w:rsidR="00097383" w:rsidRDefault="00097383" w:rsidP="00097383"/>
    <w:p w14:paraId="01C81B92" w14:textId="77777777" w:rsidR="00097383" w:rsidRPr="00097383" w:rsidRDefault="00097383" w:rsidP="00097383">
      <w:pPr>
        <w:pStyle w:val="Heading3"/>
        <w:rPr>
          <w:rFonts w:eastAsia="Times New Roman"/>
          <w:i/>
          <w:sz w:val="28"/>
        </w:rPr>
      </w:pPr>
      <w:r w:rsidRPr="00097383">
        <w:rPr>
          <w:rFonts w:eastAsia="Times New Roman"/>
          <w:i/>
          <w:lang w:eastAsia="bg-BG"/>
        </w:rPr>
        <w:t>Симптоми</w:t>
      </w:r>
    </w:p>
    <w:p w14:paraId="74D6605D" w14:textId="77777777" w:rsidR="00097383" w:rsidRPr="00097383" w:rsidRDefault="00097383" w:rsidP="00097383">
      <w:pPr>
        <w:spacing w:line="240" w:lineRule="auto"/>
        <w:rPr>
          <w:rFonts w:eastAsia="Times New Roman" w:cs="Arial"/>
          <w:sz w:val="28"/>
          <w:szCs w:val="24"/>
        </w:rPr>
      </w:pPr>
      <w:r w:rsidRPr="00097383">
        <w:rPr>
          <w:rFonts w:eastAsia="Times New Roman" w:cs="Arial"/>
          <w:color w:val="000000"/>
          <w:szCs w:val="20"/>
          <w:lang w:eastAsia="bg-BG"/>
        </w:rPr>
        <w:t xml:space="preserve">Индапамид не е показал токсичност при прилагане до 40 </w:t>
      </w:r>
      <w:r w:rsidRPr="00097383">
        <w:rPr>
          <w:rFonts w:eastAsia="Times New Roman" w:cs="Arial"/>
          <w:color w:val="000000"/>
          <w:szCs w:val="20"/>
          <w:lang w:val="en-US"/>
        </w:rPr>
        <w:t>mg</w:t>
      </w:r>
      <w:r w:rsidRPr="00097383">
        <w:rPr>
          <w:rFonts w:eastAsia="Times New Roman" w:cs="Arial"/>
          <w:color w:val="000000"/>
          <w:szCs w:val="20"/>
          <w:lang w:val="ru-RU"/>
        </w:rPr>
        <w:t xml:space="preserve"> </w:t>
      </w:r>
      <w:r w:rsidRPr="00097383">
        <w:rPr>
          <w:rFonts w:eastAsia="Times New Roman" w:cs="Arial"/>
          <w:color w:val="000000"/>
          <w:szCs w:val="20"/>
          <w:lang w:eastAsia="bg-BG"/>
        </w:rPr>
        <w:t>или 16 пъти над терапевтичната доза. Признаци на остра интоксикация се проявяват най-вече чрез водно-електролитни нарушения (хипонатриемия, хипокалиемия). Симптомите включват гадене, повръщане, артериална хипотония, крампи, световъртеж, сънливост, състояния на объркване, полиурия или олигурия, достигащи до анурия (в резултат на хиповолемия).</w:t>
      </w:r>
    </w:p>
    <w:p w14:paraId="6E39BA4A" w14:textId="77777777" w:rsidR="00097383" w:rsidRPr="00097383" w:rsidRDefault="00097383" w:rsidP="00097383">
      <w:pPr>
        <w:spacing w:line="240" w:lineRule="auto"/>
        <w:rPr>
          <w:rFonts w:eastAsia="Times New Roman" w:cs="Arial"/>
          <w:i/>
          <w:iCs/>
          <w:color w:val="000000"/>
          <w:szCs w:val="20"/>
          <w:lang w:eastAsia="bg-BG"/>
        </w:rPr>
      </w:pPr>
    </w:p>
    <w:p w14:paraId="5F3BD60F" w14:textId="4AD87CD4" w:rsidR="00097383" w:rsidRPr="00097383" w:rsidRDefault="00097383" w:rsidP="00097383">
      <w:pPr>
        <w:pStyle w:val="Heading3"/>
        <w:rPr>
          <w:rFonts w:eastAsia="Times New Roman"/>
          <w:i/>
          <w:sz w:val="28"/>
        </w:rPr>
      </w:pPr>
      <w:r w:rsidRPr="00097383">
        <w:rPr>
          <w:rFonts w:eastAsia="Times New Roman"/>
          <w:i/>
          <w:lang w:eastAsia="bg-BG"/>
        </w:rPr>
        <w:t>Лечение</w:t>
      </w:r>
    </w:p>
    <w:p w14:paraId="2394C6A1" w14:textId="158FDB30" w:rsidR="00097383" w:rsidRPr="00097383" w:rsidRDefault="00097383" w:rsidP="00097383">
      <w:pPr>
        <w:rPr>
          <w:rFonts w:cs="Arial"/>
          <w:sz w:val="24"/>
        </w:rPr>
      </w:pPr>
      <w:r w:rsidRPr="00097383">
        <w:rPr>
          <w:rFonts w:eastAsia="Times New Roman" w:cs="Arial"/>
          <w:color w:val="000000"/>
          <w:szCs w:val="20"/>
          <w:lang w:eastAsia="bg-BG"/>
        </w:rPr>
        <w:t>При данни за предозиране е необходимо да се отстрани стомашното съдържимо чрез предизвикано повръщане, стомашна сонда и промивка, приемане на активен въглен, след което трябва да се</w:t>
      </w:r>
      <w:r w:rsidRPr="00097383">
        <w:rPr>
          <w:rFonts w:eastAsia="Times New Roman" w:cs="Arial"/>
          <w:i/>
          <w:iCs/>
          <w:color w:val="000000"/>
          <w:szCs w:val="20"/>
          <w:lang w:eastAsia="bg-BG"/>
        </w:rPr>
        <w:t xml:space="preserve"> </w:t>
      </w:r>
      <w:r w:rsidRPr="00097383">
        <w:rPr>
          <w:rFonts w:eastAsia="Times New Roman" w:cs="Arial"/>
          <w:color w:val="000000"/>
          <w:szCs w:val="20"/>
          <w:lang w:eastAsia="bg-BG"/>
        </w:rPr>
        <w:t>проведе стриктен контрол и корекция на нарушения водно-електролитен баланс.</w:t>
      </w:r>
    </w:p>
    <w:p w14:paraId="02081B24" w14:textId="36FE76F4" w:rsidR="00395555" w:rsidRPr="00395555" w:rsidRDefault="002C50EE" w:rsidP="008A6AF2">
      <w:pPr>
        <w:pStyle w:val="Heading1"/>
      </w:pPr>
      <w:r>
        <w:t>5. ФАРМАКОЛОГИЧНИ СВОЙСТВА</w:t>
      </w:r>
    </w:p>
    <w:p w14:paraId="68A24A1A" w14:textId="40618C38" w:rsidR="001A6EBD" w:rsidRDefault="002C50EE" w:rsidP="00471F10">
      <w:pPr>
        <w:pStyle w:val="Heading2"/>
      </w:pPr>
      <w:r>
        <w:t>5.1. Фармакодинамични свойства</w:t>
      </w:r>
    </w:p>
    <w:p w14:paraId="794D1B61" w14:textId="1E204CAE" w:rsidR="00097383" w:rsidRDefault="00097383" w:rsidP="00097383"/>
    <w:p w14:paraId="626C8597" w14:textId="77777777" w:rsidR="00097383" w:rsidRPr="00097383" w:rsidRDefault="00097383" w:rsidP="00097383">
      <w:pPr>
        <w:spacing w:line="240" w:lineRule="auto"/>
        <w:rPr>
          <w:rFonts w:eastAsia="Times New Roman" w:cs="Arial"/>
          <w:sz w:val="28"/>
          <w:szCs w:val="24"/>
        </w:rPr>
      </w:pPr>
      <w:r w:rsidRPr="00097383">
        <w:rPr>
          <w:rFonts w:eastAsia="Times New Roman" w:cs="Arial"/>
          <w:color w:val="000000"/>
          <w:szCs w:val="20"/>
          <w:lang w:eastAsia="bg-BG"/>
        </w:rPr>
        <w:t>Фармакотерапевтична група: Диуретици. Диуретици с умерено действие с изключение на тиазидите.</w:t>
      </w:r>
    </w:p>
    <w:p w14:paraId="784DE671" w14:textId="77777777" w:rsidR="00097383" w:rsidRPr="00097383" w:rsidRDefault="00097383" w:rsidP="00097383">
      <w:pPr>
        <w:spacing w:line="240" w:lineRule="auto"/>
        <w:rPr>
          <w:rFonts w:eastAsia="Times New Roman" w:cs="Arial"/>
          <w:sz w:val="28"/>
          <w:szCs w:val="24"/>
        </w:rPr>
      </w:pPr>
      <w:r w:rsidRPr="00097383">
        <w:rPr>
          <w:rFonts w:eastAsia="Times New Roman" w:cs="Arial"/>
          <w:color w:val="000000"/>
          <w:szCs w:val="20"/>
          <w:lang w:eastAsia="bg-BG"/>
        </w:rPr>
        <w:t>Сулфонамиди, самостоятелно. АТС код: С03ВА11</w:t>
      </w:r>
    </w:p>
    <w:p w14:paraId="71B77780" w14:textId="77777777" w:rsidR="00097383" w:rsidRPr="00097383" w:rsidRDefault="00097383" w:rsidP="00097383">
      <w:pPr>
        <w:spacing w:line="240" w:lineRule="auto"/>
        <w:rPr>
          <w:rFonts w:eastAsia="Times New Roman" w:cs="Arial"/>
          <w:color w:val="000000"/>
          <w:szCs w:val="20"/>
          <w:u w:val="single"/>
          <w:lang w:eastAsia="bg-BG"/>
        </w:rPr>
      </w:pPr>
    </w:p>
    <w:p w14:paraId="5F8E6F2A" w14:textId="30DEE301" w:rsidR="00097383" w:rsidRPr="00097383" w:rsidRDefault="00097383" w:rsidP="00097383">
      <w:pPr>
        <w:spacing w:line="240" w:lineRule="auto"/>
        <w:rPr>
          <w:rFonts w:eastAsia="Times New Roman" w:cs="Arial"/>
          <w:sz w:val="28"/>
          <w:szCs w:val="24"/>
        </w:rPr>
      </w:pPr>
      <w:r w:rsidRPr="00097383">
        <w:rPr>
          <w:rFonts w:eastAsia="Times New Roman" w:cs="Arial"/>
          <w:color w:val="000000"/>
          <w:szCs w:val="20"/>
          <w:u w:val="single"/>
          <w:lang w:eastAsia="bg-BG"/>
        </w:rPr>
        <w:t>Механизъм на действие</w:t>
      </w:r>
    </w:p>
    <w:p w14:paraId="764B90AC" w14:textId="77777777" w:rsidR="00097383" w:rsidRPr="00097383" w:rsidRDefault="00097383" w:rsidP="00097383">
      <w:pPr>
        <w:spacing w:line="240" w:lineRule="auto"/>
        <w:rPr>
          <w:rFonts w:eastAsia="Times New Roman" w:cs="Arial"/>
          <w:sz w:val="28"/>
          <w:szCs w:val="24"/>
        </w:rPr>
      </w:pPr>
      <w:r w:rsidRPr="00097383">
        <w:rPr>
          <w:rFonts w:eastAsia="Times New Roman" w:cs="Arial"/>
          <w:color w:val="000000"/>
          <w:szCs w:val="20"/>
          <w:lang w:eastAsia="bg-BG"/>
        </w:rPr>
        <w:t>Индапамид е сулфонамиден диуретик, фармакологично сроден с тиазидните диуретици.</w:t>
      </w:r>
    </w:p>
    <w:p w14:paraId="4BF9FE56" w14:textId="77777777" w:rsidR="00097383" w:rsidRPr="00097383" w:rsidRDefault="00097383" w:rsidP="00097383">
      <w:pPr>
        <w:spacing w:line="240" w:lineRule="auto"/>
        <w:rPr>
          <w:rFonts w:eastAsia="Times New Roman" w:cs="Arial"/>
          <w:sz w:val="28"/>
          <w:szCs w:val="24"/>
        </w:rPr>
      </w:pPr>
      <w:r w:rsidRPr="00097383">
        <w:rPr>
          <w:rFonts w:eastAsia="Times New Roman" w:cs="Arial"/>
          <w:color w:val="000000"/>
          <w:szCs w:val="20"/>
          <w:lang w:eastAsia="bg-BG"/>
        </w:rPr>
        <w:t>Индапамид действа чрез инхибиране реабсорбцията на натрий на нивото на сегмента на кортикално разреждане. Той увеличава екскрецията на натрий и на хлоридите и в по-малка степен екскрецията на калий и на магнезий, като увеличава по този начин диурезата.</w:t>
      </w:r>
    </w:p>
    <w:p w14:paraId="41492C2D" w14:textId="77777777" w:rsidR="00097383" w:rsidRPr="00097383" w:rsidRDefault="00097383" w:rsidP="00097383">
      <w:pPr>
        <w:spacing w:line="240" w:lineRule="auto"/>
        <w:rPr>
          <w:rFonts w:eastAsia="Times New Roman" w:cs="Arial"/>
          <w:b/>
          <w:bCs/>
          <w:color w:val="000000"/>
          <w:szCs w:val="20"/>
          <w:lang w:eastAsia="bg-BG"/>
        </w:rPr>
      </w:pPr>
    </w:p>
    <w:p w14:paraId="509EF9CA" w14:textId="1FA2BD69" w:rsidR="00097383" w:rsidRPr="00097383" w:rsidRDefault="00097383" w:rsidP="00097383">
      <w:pPr>
        <w:spacing w:line="240" w:lineRule="auto"/>
        <w:rPr>
          <w:rFonts w:eastAsia="Times New Roman" w:cs="Arial"/>
          <w:sz w:val="28"/>
          <w:szCs w:val="24"/>
        </w:rPr>
      </w:pPr>
      <w:r w:rsidRPr="00097383">
        <w:rPr>
          <w:rFonts w:eastAsia="Times New Roman" w:cs="Arial"/>
          <w:b/>
          <w:bCs/>
          <w:color w:val="000000"/>
          <w:szCs w:val="20"/>
          <w:lang w:eastAsia="bg-BG"/>
        </w:rPr>
        <w:t>Фармакодинамични ефекти</w:t>
      </w:r>
    </w:p>
    <w:p w14:paraId="7DE19E55" w14:textId="20F6302C" w:rsidR="00097383" w:rsidRPr="00097383" w:rsidRDefault="00097383" w:rsidP="00097383">
      <w:pPr>
        <w:spacing w:line="240" w:lineRule="auto"/>
        <w:rPr>
          <w:rFonts w:eastAsia="Times New Roman" w:cs="Arial"/>
          <w:sz w:val="28"/>
          <w:szCs w:val="24"/>
        </w:rPr>
      </w:pPr>
      <w:r w:rsidRPr="00097383">
        <w:rPr>
          <w:rFonts w:eastAsia="Times New Roman" w:cs="Arial"/>
          <w:color w:val="000000"/>
          <w:szCs w:val="20"/>
          <w:lang w:eastAsia="bg-BG"/>
        </w:rPr>
        <w:t>Антихипертензивното му действие се проявява при дози, при които се проявяват слабо диуретичните му свойства. От друга страна е доказано поддържането на антихипертензивното му действие при функционално анефрични пациенти с хипертония.</w:t>
      </w:r>
    </w:p>
    <w:p w14:paraId="53842EEB" w14:textId="77777777" w:rsidR="00097383" w:rsidRPr="00097383" w:rsidRDefault="00097383" w:rsidP="00097383">
      <w:pPr>
        <w:spacing w:line="240" w:lineRule="auto"/>
        <w:rPr>
          <w:rFonts w:eastAsia="Times New Roman" w:cs="Arial"/>
          <w:sz w:val="28"/>
          <w:szCs w:val="24"/>
        </w:rPr>
      </w:pPr>
      <w:r w:rsidRPr="00097383">
        <w:rPr>
          <w:rFonts w:eastAsia="Times New Roman" w:cs="Arial"/>
          <w:color w:val="000000"/>
          <w:szCs w:val="20"/>
          <w:lang w:eastAsia="bg-BG"/>
        </w:rPr>
        <w:t>Както при други диуретици, васкуларният механизъм на действие на индапамид включва:</w:t>
      </w:r>
    </w:p>
    <w:p w14:paraId="64FCEF22" w14:textId="77777777" w:rsidR="00097383" w:rsidRPr="00097383" w:rsidRDefault="00097383" w:rsidP="00097383">
      <w:pPr>
        <w:pStyle w:val="ListParagraph"/>
        <w:numPr>
          <w:ilvl w:val="0"/>
          <w:numId w:val="2"/>
        </w:numPr>
        <w:spacing w:line="240" w:lineRule="auto"/>
        <w:rPr>
          <w:rFonts w:eastAsia="Times New Roman" w:cs="Arial"/>
          <w:color w:val="000000"/>
          <w:szCs w:val="20"/>
          <w:lang w:eastAsia="bg-BG"/>
        </w:rPr>
      </w:pPr>
      <w:r w:rsidRPr="00097383">
        <w:rPr>
          <w:rFonts w:eastAsia="Times New Roman" w:cs="Arial"/>
          <w:color w:val="000000"/>
          <w:szCs w:val="20"/>
          <w:lang w:eastAsia="bg-BG"/>
        </w:rPr>
        <w:t>намаляване на контрактилитета на гладката мускулатура на съдовете във връзка с изменение на трансмембранния йонен обмен, главно на калций;</w:t>
      </w:r>
    </w:p>
    <w:p w14:paraId="1B9DD3F6" w14:textId="61390EE2" w:rsidR="00097383" w:rsidRPr="00097383" w:rsidRDefault="00097383" w:rsidP="00097383">
      <w:pPr>
        <w:pStyle w:val="ListParagraph"/>
        <w:numPr>
          <w:ilvl w:val="0"/>
          <w:numId w:val="2"/>
        </w:numPr>
        <w:spacing w:line="240" w:lineRule="auto"/>
        <w:rPr>
          <w:rFonts w:eastAsia="Times New Roman" w:cs="Arial"/>
          <w:color w:val="000000"/>
          <w:szCs w:val="20"/>
          <w:lang w:eastAsia="bg-BG"/>
        </w:rPr>
      </w:pPr>
      <w:r w:rsidRPr="00097383">
        <w:rPr>
          <w:rFonts w:eastAsia="Times New Roman" w:cs="Arial"/>
          <w:color w:val="000000"/>
          <w:szCs w:val="20"/>
          <w:lang w:eastAsia="bg-BG"/>
        </w:rPr>
        <w:lastRenderedPageBreak/>
        <w:t xml:space="preserve">вазодилатация, дължаща се на стимулиране на синтеза на простагландин </w:t>
      </w:r>
      <w:r w:rsidRPr="00097383">
        <w:rPr>
          <w:rFonts w:eastAsia="Times New Roman" w:cs="Arial"/>
          <w:color w:val="000000"/>
          <w:szCs w:val="20"/>
          <w:lang w:val="en-US"/>
        </w:rPr>
        <w:t>PGE</w:t>
      </w:r>
      <w:r w:rsidRPr="00097383">
        <w:rPr>
          <w:rFonts w:eastAsia="Times New Roman" w:cs="Arial"/>
          <w:color w:val="000000"/>
          <w:szCs w:val="20"/>
          <w:vertAlign w:val="subscript"/>
          <w:lang w:val="ru-RU"/>
        </w:rPr>
        <w:t>2</w:t>
      </w:r>
      <w:r w:rsidRPr="00097383">
        <w:rPr>
          <w:rFonts w:eastAsia="Times New Roman" w:cs="Arial"/>
          <w:color w:val="000000"/>
          <w:szCs w:val="20"/>
          <w:lang w:val="ru-RU"/>
        </w:rPr>
        <w:t xml:space="preserve">: </w:t>
      </w:r>
      <w:r w:rsidRPr="00097383">
        <w:rPr>
          <w:rFonts w:eastAsia="Times New Roman" w:cs="Arial"/>
          <w:color w:val="000000"/>
          <w:szCs w:val="20"/>
          <w:lang w:eastAsia="bg-BG"/>
        </w:rPr>
        <w:t xml:space="preserve">и синтез на вазодилаторния и антиагрегантен тромбоцитен простаци клин </w:t>
      </w:r>
      <w:r w:rsidRPr="00097383">
        <w:rPr>
          <w:rFonts w:eastAsia="Times New Roman" w:cs="Arial"/>
          <w:color w:val="000000"/>
          <w:szCs w:val="20"/>
          <w:lang w:val="en-US"/>
        </w:rPr>
        <w:t>PGI</w:t>
      </w:r>
      <w:r w:rsidRPr="00097383">
        <w:rPr>
          <w:rFonts w:eastAsia="Times New Roman" w:cs="Arial"/>
          <w:color w:val="000000"/>
          <w:szCs w:val="20"/>
          <w:vertAlign w:val="subscript"/>
          <w:lang w:val="ru-RU"/>
        </w:rPr>
        <w:t>2</w:t>
      </w:r>
      <w:r w:rsidRPr="00097383">
        <w:rPr>
          <w:rFonts w:eastAsia="Times New Roman" w:cs="Arial"/>
          <w:color w:val="000000"/>
          <w:szCs w:val="20"/>
          <w:lang w:val="ru-RU"/>
        </w:rPr>
        <w:t>.</w:t>
      </w:r>
    </w:p>
    <w:p w14:paraId="10D93CF1" w14:textId="77777777" w:rsidR="00097383" w:rsidRPr="00097383" w:rsidRDefault="00097383" w:rsidP="00097383">
      <w:pPr>
        <w:spacing w:line="240" w:lineRule="auto"/>
        <w:rPr>
          <w:rFonts w:eastAsia="Times New Roman" w:cs="Arial"/>
          <w:sz w:val="28"/>
          <w:szCs w:val="24"/>
        </w:rPr>
      </w:pPr>
      <w:r w:rsidRPr="00097383">
        <w:rPr>
          <w:rFonts w:eastAsia="Times New Roman" w:cs="Arial"/>
          <w:color w:val="000000"/>
          <w:szCs w:val="20"/>
          <w:lang w:eastAsia="bg-BG"/>
        </w:rPr>
        <w:t>Както другите диуретици, индапамид намалява левокамерната хипертрофия.</w:t>
      </w:r>
    </w:p>
    <w:p w14:paraId="7903A258" w14:textId="77777777" w:rsidR="00097383" w:rsidRPr="00097383" w:rsidRDefault="00097383" w:rsidP="00097383">
      <w:pPr>
        <w:spacing w:line="240" w:lineRule="auto"/>
        <w:rPr>
          <w:rFonts w:eastAsia="Times New Roman" w:cs="Arial"/>
          <w:sz w:val="28"/>
          <w:szCs w:val="24"/>
        </w:rPr>
      </w:pPr>
      <w:r w:rsidRPr="00097383">
        <w:rPr>
          <w:rFonts w:eastAsia="Times New Roman" w:cs="Arial"/>
          <w:color w:val="000000"/>
          <w:szCs w:val="20"/>
          <w:lang w:eastAsia="bg-BG"/>
        </w:rPr>
        <w:t>Доказано е, че при кратко, средно и дългосрочно лечение при хипертоници, индапамид:</w:t>
      </w:r>
    </w:p>
    <w:p w14:paraId="22239BC4" w14:textId="77777777" w:rsidR="00097383" w:rsidRPr="00097383" w:rsidRDefault="00097383" w:rsidP="00097383">
      <w:pPr>
        <w:pStyle w:val="ListParagraph"/>
        <w:numPr>
          <w:ilvl w:val="0"/>
          <w:numId w:val="2"/>
        </w:numPr>
        <w:spacing w:line="240" w:lineRule="auto"/>
        <w:rPr>
          <w:rFonts w:eastAsia="Times New Roman" w:cs="Arial"/>
          <w:sz w:val="28"/>
          <w:szCs w:val="24"/>
        </w:rPr>
      </w:pPr>
      <w:r w:rsidRPr="00097383">
        <w:rPr>
          <w:rFonts w:eastAsia="Times New Roman" w:cs="Arial"/>
          <w:color w:val="000000"/>
          <w:szCs w:val="20"/>
          <w:lang w:eastAsia="bg-BG"/>
        </w:rPr>
        <w:t xml:space="preserve">не нарушава липидния метаболизъм: триглицериди, </w:t>
      </w:r>
      <w:r w:rsidRPr="00097383">
        <w:rPr>
          <w:rFonts w:eastAsia="Times New Roman" w:cs="Arial"/>
          <w:color w:val="000000"/>
          <w:szCs w:val="20"/>
          <w:lang w:val="en-US"/>
        </w:rPr>
        <w:t>LDL</w:t>
      </w:r>
      <w:r w:rsidRPr="00097383">
        <w:rPr>
          <w:rFonts w:eastAsia="Times New Roman" w:cs="Arial"/>
          <w:color w:val="000000"/>
          <w:szCs w:val="20"/>
          <w:lang w:eastAsia="bg-BG"/>
        </w:rPr>
        <w:t xml:space="preserve">-холестерола и </w:t>
      </w:r>
      <w:r w:rsidRPr="00097383">
        <w:rPr>
          <w:rFonts w:eastAsia="Times New Roman" w:cs="Arial"/>
          <w:color w:val="000000"/>
          <w:szCs w:val="20"/>
          <w:lang w:val="en-US"/>
        </w:rPr>
        <w:t>HDL</w:t>
      </w:r>
      <w:r w:rsidRPr="00097383">
        <w:rPr>
          <w:rFonts w:eastAsia="Times New Roman" w:cs="Arial"/>
          <w:color w:val="000000"/>
          <w:szCs w:val="20"/>
          <w:lang w:val="ru-RU"/>
        </w:rPr>
        <w:t xml:space="preserve">- </w:t>
      </w:r>
      <w:r w:rsidRPr="00097383">
        <w:rPr>
          <w:rFonts w:eastAsia="Times New Roman" w:cs="Arial"/>
          <w:color w:val="000000"/>
          <w:szCs w:val="20"/>
          <w:lang w:eastAsia="bg-BG"/>
        </w:rPr>
        <w:t xml:space="preserve">холестерола; </w:t>
      </w:r>
    </w:p>
    <w:p w14:paraId="1B77FE09" w14:textId="52F87EC1" w:rsidR="00097383" w:rsidRPr="00097383" w:rsidRDefault="00097383" w:rsidP="00097383">
      <w:pPr>
        <w:pStyle w:val="ListParagraph"/>
        <w:numPr>
          <w:ilvl w:val="0"/>
          <w:numId w:val="2"/>
        </w:numPr>
        <w:spacing w:line="240" w:lineRule="auto"/>
        <w:rPr>
          <w:rFonts w:eastAsia="Times New Roman" w:cs="Arial"/>
          <w:sz w:val="28"/>
          <w:szCs w:val="24"/>
        </w:rPr>
      </w:pPr>
      <w:r w:rsidRPr="00097383">
        <w:rPr>
          <w:rFonts w:eastAsia="Times New Roman" w:cs="Arial"/>
          <w:color w:val="000000"/>
          <w:szCs w:val="20"/>
          <w:lang w:eastAsia="bg-BG"/>
        </w:rPr>
        <w:t>не нарушава метаболизма на въглехидратите, дори при хипертоници с диабет.</w:t>
      </w:r>
    </w:p>
    <w:p w14:paraId="655960AE" w14:textId="77777777" w:rsidR="00097383" w:rsidRPr="00097383" w:rsidRDefault="00097383" w:rsidP="00097383">
      <w:pPr>
        <w:spacing w:line="240" w:lineRule="auto"/>
        <w:rPr>
          <w:rFonts w:eastAsia="Times New Roman" w:cs="Arial"/>
          <w:sz w:val="28"/>
          <w:szCs w:val="24"/>
        </w:rPr>
      </w:pPr>
      <w:r w:rsidRPr="00097383">
        <w:rPr>
          <w:rFonts w:eastAsia="Times New Roman" w:cs="Arial"/>
          <w:color w:val="000000"/>
          <w:szCs w:val="20"/>
          <w:lang w:eastAsia="bg-BG"/>
        </w:rPr>
        <w:t>В случай на липса на терапевтичен ефект дозите не трябва да се увеличават поради риск от засилване на нежеланите лекарствани реакции</w:t>
      </w:r>
    </w:p>
    <w:p w14:paraId="582A6D2D" w14:textId="77777777" w:rsidR="00097383" w:rsidRPr="00097383" w:rsidRDefault="00097383" w:rsidP="00097383"/>
    <w:p w14:paraId="436D48F6" w14:textId="4B1B6606" w:rsidR="00BB22B4" w:rsidRDefault="002C50EE" w:rsidP="00471F10">
      <w:pPr>
        <w:pStyle w:val="Heading2"/>
      </w:pPr>
      <w:r>
        <w:t>5.2. Фармакокинетични свойства</w:t>
      </w:r>
    </w:p>
    <w:p w14:paraId="7525DA61" w14:textId="4837B226" w:rsidR="00097383" w:rsidRDefault="00097383" w:rsidP="00097383"/>
    <w:p w14:paraId="0EE07500" w14:textId="77777777" w:rsidR="00097383" w:rsidRPr="00097383" w:rsidRDefault="00097383" w:rsidP="00097383">
      <w:pPr>
        <w:pStyle w:val="Heading3"/>
        <w:rPr>
          <w:rFonts w:eastAsia="Times New Roman"/>
          <w:b/>
          <w:sz w:val="28"/>
        </w:rPr>
      </w:pPr>
      <w:r w:rsidRPr="00097383">
        <w:rPr>
          <w:rFonts w:eastAsia="Times New Roman"/>
          <w:b/>
          <w:lang w:eastAsia="bg-BG"/>
        </w:rPr>
        <w:t>Абсорбцня</w:t>
      </w:r>
    </w:p>
    <w:p w14:paraId="53F549E8" w14:textId="77777777" w:rsidR="00097383" w:rsidRPr="00097383" w:rsidRDefault="00097383" w:rsidP="00097383">
      <w:pPr>
        <w:spacing w:line="240" w:lineRule="auto"/>
        <w:rPr>
          <w:rFonts w:eastAsia="Times New Roman" w:cs="Arial"/>
          <w:sz w:val="28"/>
          <w:szCs w:val="24"/>
        </w:rPr>
      </w:pPr>
      <w:r w:rsidRPr="00097383">
        <w:rPr>
          <w:rFonts w:eastAsia="Times New Roman" w:cs="Arial"/>
          <w:color w:val="000000"/>
          <w:szCs w:val="20"/>
          <w:lang w:eastAsia="bg-BG"/>
        </w:rPr>
        <w:t xml:space="preserve">Индапамид се резорбира бързо и напълно в гастроинтестиналния тракт. Пикова плазмена концентрация се наблюдава между 1 и 2 часа след перорален прием на дневна доза от 2,5 </w:t>
      </w:r>
      <w:r w:rsidRPr="00097383">
        <w:rPr>
          <w:rFonts w:eastAsia="Times New Roman" w:cs="Arial"/>
          <w:color w:val="000000"/>
          <w:szCs w:val="20"/>
          <w:lang w:val="en-US"/>
        </w:rPr>
        <w:t>mg</w:t>
      </w:r>
      <w:r w:rsidRPr="00097383">
        <w:rPr>
          <w:rFonts w:eastAsia="Times New Roman" w:cs="Arial"/>
          <w:color w:val="000000"/>
          <w:szCs w:val="20"/>
          <w:lang w:val="ru-RU"/>
        </w:rPr>
        <w:t xml:space="preserve">. </w:t>
      </w:r>
      <w:r w:rsidRPr="00097383">
        <w:rPr>
          <w:rFonts w:eastAsia="Times New Roman" w:cs="Arial"/>
          <w:color w:val="000000"/>
          <w:szCs w:val="20"/>
          <w:lang w:eastAsia="bg-BG"/>
        </w:rPr>
        <w:t>Абсолютната бионаличност на индапамид е висока 93%.</w:t>
      </w:r>
    </w:p>
    <w:p w14:paraId="7FA84769" w14:textId="77777777" w:rsidR="00097383" w:rsidRPr="00097383" w:rsidRDefault="00097383" w:rsidP="00097383">
      <w:pPr>
        <w:spacing w:line="240" w:lineRule="auto"/>
        <w:rPr>
          <w:rFonts w:eastAsia="Times New Roman" w:cs="Arial"/>
          <w:b/>
          <w:bCs/>
          <w:color w:val="000000"/>
          <w:szCs w:val="20"/>
          <w:lang w:eastAsia="bg-BG"/>
        </w:rPr>
      </w:pPr>
    </w:p>
    <w:p w14:paraId="04211902" w14:textId="17144503" w:rsidR="00097383" w:rsidRPr="00097383" w:rsidRDefault="00097383" w:rsidP="00097383">
      <w:pPr>
        <w:pStyle w:val="Heading3"/>
        <w:rPr>
          <w:rFonts w:eastAsia="Times New Roman"/>
          <w:b/>
          <w:sz w:val="28"/>
        </w:rPr>
      </w:pPr>
      <w:r w:rsidRPr="00097383">
        <w:rPr>
          <w:rFonts w:eastAsia="Times New Roman"/>
          <w:b/>
          <w:lang w:eastAsia="bg-BG"/>
        </w:rPr>
        <w:t>Разпределение</w:t>
      </w:r>
    </w:p>
    <w:p w14:paraId="04C91F66" w14:textId="77777777" w:rsidR="00097383" w:rsidRPr="00097383" w:rsidRDefault="00097383" w:rsidP="00097383">
      <w:pPr>
        <w:spacing w:line="240" w:lineRule="auto"/>
        <w:rPr>
          <w:rFonts w:eastAsia="Times New Roman" w:cs="Arial"/>
          <w:sz w:val="28"/>
          <w:szCs w:val="24"/>
        </w:rPr>
      </w:pPr>
      <w:r w:rsidRPr="00097383">
        <w:rPr>
          <w:rFonts w:eastAsia="Times New Roman" w:cs="Arial"/>
          <w:color w:val="000000"/>
          <w:szCs w:val="20"/>
          <w:lang w:eastAsia="bg-BG"/>
        </w:rPr>
        <w:t>Свързва се с плазмените протеини над 75%.</w:t>
      </w:r>
    </w:p>
    <w:p w14:paraId="2CC4DB0D" w14:textId="77777777" w:rsidR="00097383" w:rsidRPr="00097383" w:rsidRDefault="00097383" w:rsidP="00097383">
      <w:pPr>
        <w:spacing w:line="240" w:lineRule="auto"/>
        <w:rPr>
          <w:rFonts w:eastAsia="Times New Roman" w:cs="Arial"/>
          <w:b/>
          <w:bCs/>
          <w:color w:val="000000"/>
          <w:szCs w:val="20"/>
          <w:lang w:eastAsia="bg-BG"/>
        </w:rPr>
      </w:pPr>
      <w:bookmarkStart w:id="3" w:name="bookmark4"/>
    </w:p>
    <w:p w14:paraId="32C62BFA" w14:textId="01261373" w:rsidR="00097383" w:rsidRPr="00097383" w:rsidRDefault="00097383" w:rsidP="00097383">
      <w:pPr>
        <w:pStyle w:val="Heading3"/>
        <w:rPr>
          <w:rFonts w:eastAsia="Times New Roman"/>
          <w:b/>
          <w:sz w:val="28"/>
        </w:rPr>
      </w:pPr>
      <w:r w:rsidRPr="00097383">
        <w:rPr>
          <w:rFonts w:eastAsia="Times New Roman"/>
          <w:b/>
          <w:lang w:eastAsia="bg-BG"/>
        </w:rPr>
        <w:t>Биотрансформация</w:t>
      </w:r>
      <w:bookmarkEnd w:id="3"/>
    </w:p>
    <w:p w14:paraId="7791D7D4" w14:textId="77777777" w:rsidR="00097383" w:rsidRPr="00097383" w:rsidRDefault="00097383" w:rsidP="00097383">
      <w:pPr>
        <w:spacing w:line="240" w:lineRule="auto"/>
        <w:rPr>
          <w:rFonts w:eastAsia="Times New Roman" w:cs="Arial"/>
          <w:sz w:val="28"/>
          <w:szCs w:val="24"/>
        </w:rPr>
      </w:pPr>
      <w:r w:rsidRPr="00097383">
        <w:rPr>
          <w:rFonts w:eastAsia="Times New Roman" w:cs="Arial"/>
          <w:color w:val="000000"/>
          <w:szCs w:val="20"/>
          <w:lang w:eastAsia="bg-BG"/>
        </w:rPr>
        <w:t xml:space="preserve">Метаболизира се в черния дроб, като притежава изразен </w:t>
      </w:r>
      <w:r w:rsidRPr="00097383">
        <w:rPr>
          <w:rFonts w:eastAsia="Times New Roman" w:cs="Arial"/>
          <w:i/>
          <w:iCs/>
          <w:color w:val="000000"/>
          <w:szCs w:val="20"/>
          <w:lang w:val="en-US"/>
        </w:rPr>
        <w:t>first</w:t>
      </w:r>
      <w:r w:rsidRPr="00097383">
        <w:rPr>
          <w:rFonts w:eastAsia="Times New Roman" w:cs="Arial"/>
          <w:i/>
          <w:iCs/>
          <w:color w:val="000000"/>
          <w:szCs w:val="20"/>
          <w:lang w:val="ru-RU"/>
        </w:rPr>
        <w:t>-</w:t>
      </w:r>
      <w:r w:rsidRPr="00097383">
        <w:rPr>
          <w:rFonts w:eastAsia="Times New Roman" w:cs="Arial"/>
          <w:i/>
          <w:iCs/>
          <w:color w:val="000000"/>
          <w:szCs w:val="20"/>
          <w:lang w:val="en-US"/>
        </w:rPr>
        <w:t>pass</w:t>
      </w:r>
      <w:r w:rsidRPr="00097383">
        <w:rPr>
          <w:rFonts w:eastAsia="Times New Roman" w:cs="Arial"/>
          <w:color w:val="000000"/>
          <w:szCs w:val="20"/>
          <w:lang w:val="ru-RU"/>
        </w:rPr>
        <w:t xml:space="preserve"> </w:t>
      </w:r>
      <w:r w:rsidRPr="00097383">
        <w:rPr>
          <w:rFonts w:eastAsia="Times New Roman" w:cs="Arial"/>
          <w:color w:val="000000"/>
          <w:szCs w:val="20"/>
          <w:lang w:eastAsia="bg-BG"/>
        </w:rPr>
        <w:t>ефект.</w:t>
      </w:r>
    </w:p>
    <w:p w14:paraId="3111E131" w14:textId="77777777" w:rsidR="00097383" w:rsidRPr="00097383" w:rsidRDefault="00097383" w:rsidP="00097383">
      <w:pPr>
        <w:spacing w:line="240" w:lineRule="auto"/>
        <w:rPr>
          <w:rFonts w:eastAsia="Times New Roman" w:cs="Arial"/>
          <w:sz w:val="28"/>
          <w:szCs w:val="24"/>
        </w:rPr>
      </w:pPr>
      <w:r w:rsidRPr="00097383">
        <w:rPr>
          <w:rFonts w:eastAsia="Times New Roman" w:cs="Arial"/>
          <w:color w:val="000000"/>
          <w:szCs w:val="20"/>
          <w:lang w:eastAsia="bg-BG"/>
        </w:rPr>
        <w:t>При повторно приемане не се наблюдава кумулиране.</w:t>
      </w:r>
    </w:p>
    <w:p w14:paraId="7F47D0E6" w14:textId="77777777" w:rsidR="00097383" w:rsidRPr="00097383" w:rsidRDefault="00097383" w:rsidP="00097383">
      <w:pPr>
        <w:spacing w:line="240" w:lineRule="auto"/>
        <w:rPr>
          <w:rFonts w:eastAsia="Times New Roman" w:cs="Arial"/>
          <w:b/>
          <w:bCs/>
          <w:color w:val="000000"/>
          <w:szCs w:val="20"/>
          <w:lang w:eastAsia="bg-BG"/>
        </w:rPr>
      </w:pPr>
      <w:bookmarkStart w:id="4" w:name="bookmark6"/>
    </w:p>
    <w:p w14:paraId="15F8F456" w14:textId="6C07B8C2" w:rsidR="00097383" w:rsidRPr="00097383" w:rsidRDefault="00097383" w:rsidP="00097383">
      <w:pPr>
        <w:pStyle w:val="Heading3"/>
        <w:rPr>
          <w:rFonts w:eastAsia="Times New Roman"/>
          <w:b/>
          <w:sz w:val="28"/>
        </w:rPr>
      </w:pPr>
      <w:r w:rsidRPr="00097383">
        <w:rPr>
          <w:rFonts w:eastAsia="Times New Roman"/>
          <w:b/>
          <w:lang w:eastAsia="bg-BG"/>
        </w:rPr>
        <w:t>Елиминиране</w:t>
      </w:r>
      <w:bookmarkEnd w:id="4"/>
    </w:p>
    <w:p w14:paraId="0AC2516D" w14:textId="77777777" w:rsidR="00097383" w:rsidRPr="00097383" w:rsidRDefault="00097383" w:rsidP="00097383">
      <w:pPr>
        <w:spacing w:line="240" w:lineRule="auto"/>
        <w:rPr>
          <w:rFonts w:eastAsia="Times New Roman" w:cs="Arial"/>
          <w:sz w:val="28"/>
          <w:szCs w:val="24"/>
        </w:rPr>
      </w:pPr>
      <w:r w:rsidRPr="00097383">
        <w:rPr>
          <w:rFonts w:eastAsia="Times New Roman" w:cs="Arial"/>
          <w:color w:val="000000"/>
          <w:szCs w:val="20"/>
          <w:lang w:eastAsia="bg-BG"/>
        </w:rPr>
        <w:t>Бъбречният клирънс представлява от 60 до 80 % от общия клирънс.</w:t>
      </w:r>
    </w:p>
    <w:p w14:paraId="5BBA6F54" w14:textId="77777777" w:rsidR="00097383" w:rsidRPr="00097383" w:rsidRDefault="00097383" w:rsidP="00097383">
      <w:pPr>
        <w:spacing w:line="240" w:lineRule="auto"/>
        <w:rPr>
          <w:rFonts w:eastAsia="Times New Roman" w:cs="Arial"/>
          <w:sz w:val="28"/>
          <w:szCs w:val="24"/>
        </w:rPr>
      </w:pPr>
      <w:r w:rsidRPr="00097383">
        <w:rPr>
          <w:rFonts w:eastAsia="Times New Roman" w:cs="Arial"/>
          <w:color w:val="000000"/>
          <w:szCs w:val="20"/>
          <w:lang w:eastAsia="bg-BG"/>
        </w:rPr>
        <w:t>Процентът на непроменения продукт, открит в урината, е 5%, при положение, че индапамид се отделя основно под формата на метаболити.</w:t>
      </w:r>
    </w:p>
    <w:p w14:paraId="1A4DD437" w14:textId="77777777" w:rsidR="00097383" w:rsidRPr="00097383" w:rsidRDefault="00097383" w:rsidP="00097383">
      <w:pPr>
        <w:spacing w:line="240" w:lineRule="auto"/>
        <w:rPr>
          <w:rFonts w:eastAsia="Times New Roman" w:cs="Arial"/>
          <w:sz w:val="28"/>
          <w:szCs w:val="24"/>
        </w:rPr>
      </w:pPr>
      <w:r w:rsidRPr="00097383">
        <w:rPr>
          <w:rFonts w:eastAsia="Times New Roman" w:cs="Arial"/>
          <w:color w:val="000000"/>
          <w:szCs w:val="20"/>
          <w:lang w:eastAsia="bg-BG"/>
        </w:rPr>
        <w:t xml:space="preserve">Времето на полуживот </w:t>
      </w:r>
      <w:r w:rsidRPr="00097383">
        <w:rPr>
          <w:rFonts w:eastAsia="Times New Roman" w:cs="Arial"/>
          <w:color w:val="000000"/>
          <w:szCs w:val="20"/>
          <w:lang w:val="ru-RU"/>
        </w:rPr>
        <w:t>(</w:t>
      </w:r>
      <w:r w:rsidRPr="00097383">
        <w:rPr>
          <w:rFonts w:eastAsia="Times New Roman" w:cs="Arial"/>
          <w:color w:val="000000"/>
          <w:szCs w:val="20"/>
          <w:lang w:val="en-US"/>
        </w:rPr>
        <w:t>t</w:t>
      </w:r>
      <w:r w:rsidRPr="00097383">
        <w:rPr>
          <w:rFonts w:eastAsia="Times New Roman" w:cs="Arial"/>
          <w:color w:val="000000"/>
          <w:szCs w:val="20"/>
          <w:lang w:val="ru-RU"/>
        </w:rPr>
        <w:t>1/2</w:t>
      </w:r>
      <w:r w:rsidRPr="00097383">
        <w:rPr>
          <w:rFonts w:eastAsia="Times New Roman" w:cs="Arial"/>
          <w:color w:val="000000"/>
          <w:szCs w:val="20"/>
          <w:lang w:eastAsia="bg-BG"/>
        </w:rPr>
        <w:t>) е между 14 и 24 часа (средно 18 часа).</w:t>
      </w:r>
    </w:p>
    <w:p w14:paraId="2749B6A3" w14:textId="77777777" w:rsidR="00097383" w:rsidRPr="00097383" w:rsidRDefault="00097383" w:rsidP="00097383">
      <w:pPr>
        <w:spacing w:line="240" w:lineRule="auto"/>
        <w:rPr>
          <w:rFonts w:eastAsia="Times New Roman" w:cs="Arial"/>
          <w:color w:val="000000"/>
          <w:szCs w:val="20"/>
          <w:u w:val="single"/>
          <w:lang w:eastAsia="bg-BG"/>
        </w:rPr>
      </w:pPr>
    </w:p>
    <w:p w14:paraId="0AAD0670" w14:textId="70FCC1F5" w:rsidR="00097383" w:rsidRPr="00097383" w:rsidRDefault="00097383" w:rsidP="00097383">
      <w:pPr>
        <w:spacing w:line="240" w:lineRule="auto"/>
        <w:rPr>
          <w:rFonts w:eastAsia="Times New Roman" w:cs="Arial"/>
          <w:color w:val="000000"/>
          <w:szCs w:val="20"/>
          <w:u w:val="single"/>
          <w:lang w:eastAsia="bg-BG"/>
        </w:rPr>
      </w:pPr>
      <w:r w:rsidRPr="00097383">
        <w:rPr>
          <w:rFonts w:eastAsia="Times New Roman" w:cs="Arial"/>
          <w:color w:val="000000"/>
          <w:szCs w:val="20"/>
          <w:u w:val="single"/>
          <w:lang w:eastAsia="bg-BG"/>
        </w:rPr>
        <w:t>Бъбречна недостатъчност</w:t>
      </w:r>
    </w:p>
    <w:p w14:paraId="1BBA3FD6" w14:textId="2BA9D15C" w:rsidR="00097383" w:rsidRPr="00097383" w:rsidRDefault="00097383" w:rsidP="00097383">
      <w:pPr>
        <w:rPr>
          <w:rFonts w:eastAsia="Times New Roman" w:cs="Arial"/>
          <w:color w:val="000000"/>
          <w:szCs w:val="20"/>
          <w:lang w:eastAsia="bg-BG"/>
        </w:rPr>
      </w:pPr>
      <w:r w:rsidRPr="00097383">
        <w:rPr>
          <w:rFonts w:eastAsia="Times New Roman" w:cs="Arial"/>
          <w:color w:val="000000"/>
          <w:szCs w:val="20"/>
          <w:lang w:eastAsia="bg-BG"/>
        </w:rPr>
        <w:t>Фармакокинетичните параметри не са променени.</w:t>
      </w:r>
    </w:p>
    <w:p w14:paraId="2CD18BEB" w14:textId="77777777" w:rsidR="00097383" w:rsidRPr="00097383" w:rsidRDefault="00097383" w:rsidP="00097383"/>
    <w:p w14:paraId="4F31844C" w14:textId="0AEFD8D8" w:rsidR="00875EEC" w:rsidRDefault="002C50EE" w:rsidP="005726E3">
      <w:pPr>
        <w:pStyle w:val="Heading2"/>
      </w:pPr>
      <w:r>
        <w:t>5.3. Предклинични данни за безопасност</w:t>
      </w:r>
    </w:p>
    <w:p w14:paraId="2E5E99E8" w14:textId="7E431F09" w:rsidR="00097383" w:rsidRDefault="00097383" w:rsidP="00097383"/>
    <w:p w14:paraId="65B7E189" w14:textId="77777777" w:rsidR="00097383" w:rsidRPr="00097383" w:rsidRDefault="00097383" w:rsidP="00097383">
      <w:pPr>
        <w:rPr>
          <w:sz w:val="24"/>
          <w:szCs w:val="24"/>
        </w:rPr>
      </w:pPr>
      <w:r w:rsidRPr="00097383">
        <w:rPr>
          <w:lang w:eastAsia="bg-BG"/>
        </w:rPr>
        <w:t>Неклиничните данни не показват особен риск за хората на база на конвенционалните фармакологични изпитвания за безопасност, токсичност при многократно приложение, генотоксичност, карциногенен потенциал, репродуктивна токсичност.</w:t>
      </w:r>
    </w:p>
    <w:p w14:paraId="5A5430F7" w14:textId="77777777" w:rsidR="00097383" w:rsidRPr="00097383" w:rsidRDefault="00097383" w:rsidP="00097383">
      <w:pPr>
        <w:rPr>
          <w:sz w:val="24"/>
          <w:szCs w:val="24"/>
        </w:rPr>
      </w:pPr>
      <w:r w:rsidRPr="00097383">
        <w:rPr>
          <w:lang w:eastAsia="bg-BG"/>
        </w:rPr>
        <w:t>Тестовете, извършени с индаламид не са показали мутагенни или канцерогенни свойства. Най- големите дози, приложени перорално на различни видове животни (от 40 до 8000 пъти над терапевтичната доза) са показали засилване на диуретичните свойства на иццапамида. Основните симптоми на изследванията за остра токсичност на индаламид, приложен интравенозно или интраперитонеално са във връзка с фармакологичното действие на индапамида, т.е. брадипнея и периферна вазодилатация.</w:t>
      </w:r>
    </w:p>
    <w:p w14:paraId="700AA097" w14:textId="0458767B" w:rsidR="00097383" w:rsidRPr="00097383" w:rsidRDefault="00097383" w:rsidP="00097383">
      <w:pPr>
        <w:rPr>
          <w:sz w:val="24"/>
          <w:szCs w:val="24"/>
        </w:rPr>
      </w:pPr>
      <w:r w:rsidRPr="00097383">
        <w:rPr>
          <w:lang w:eastAsia="bg-BG"/>
        </w:rPr>
        <w:lastRenderedPageBreak/>
        <w:t>Изследванията на репродуктивна токсичност не показват ембриотоксичност или тератогенност. Фертилностга не е засегната нито при женските, нито при мъжките мишки.</w:t>
      </w:r>
    </w:p>
    <w:p w14:paraId="357049A8" w14:textId="50C5ED34" w:rsidR="00BB22B4" w:rsidRDefault="002C50EE" w:rsidP="00471F10">
      <w:pPr>
        <w:pStyle w:val="Heading1"/>
      </w:pPr>
      <w:r>
        <w:t>7. ПРИТЕЖАТЕЛ НА РАЗРЕШЕНИЕТО ЗА УПОТРЕБА</w:t>
      </w:r>
    </w:p>
    <w:p w14:paraId="5429B749" w14:textId="5F694BBA" w:rsidR="00097383" w:rsidRDefault="00097383" w:rsidP="00097383"/>
    <w:p w14:paraId="0F481B40" w14:textId="77777777" w:rsidR="00097383" w:rsidRPr="00097383" w:rsidRDefault="00097383" w:rsidP="00097383">
      <w:pPr>
        <w:rPr>
          <w:sz w:val="24"/>
          <w:szCs w:val="24"/>
        </w:rPr>
      </w:pPr>
      <w:r w:rsidRPr="00097383">
        <w:rPr>
          <w:lang w:eastAsia="bg-BG"/>
        </w:rPr>
        <w:t>СОФАРМА АД</w:t>
      </w:r>
    </w:p>
    <w:p w14:paraId="5C4A1A66" w14:textId="77777777" w:rsidR="00097383" w:rsidRPr="00097383" w:rsidRDefault="00097383" w:rsidP="00097383">
      <w:pPr>
        <w:rPr>
          <w:sz w:val="24"/>
          <w:szCs w:val="24"/>
        </w:rPr>
      </w:pPr>
      <w:r w:rsidRPr="00097383">
        <w:rPr>
          <w:lang w:eastAsia="bg-BG"/>
        </w:rPr>
        <w:t>ул. Илиенско шосе 16, 1220 София, България</w:t>
      </w:r>
    </w:p>
    <w:p w14:paraId="658B0119" w14:textId="77777777" w:rsidR="00097383" w:rsidRPr="00097383" w:rsidRDefault="00097383" w:rsidP="00097383"/>
    <w:p w14:paraId="796B2EC6" w14:textId="21E3A515" w:rsidR="00BB22B4" w:rsidRDefault="00936AD0" w:rsidP="00471F10">
      <w:pPr>
        <w:pStyle w:val="Heading1"/>
      </w:pPr>
      <w:r>
        <w:t>8.</w:t>
      </w:r>
      <w:r w:rsidR="002C50EE">
        <w:t>НОМЕР НА РАЗРЕШЕНИЕТО ЗА УПОТРЕБА</w:t>
      </w:r>
    </w:p>
    <w:p w14:paraId="3540CAEE" w14:textId="11B5DE10" w:rsidR="00097383" w:rsidRDefault="00097383" w:rsidP="00097383"/>
    <w:p w14:paraId="0914B7E0" w14:textId="0C891EDF" w:rsidR="00097383" w:rsidRPr="00097383" w:rsidRDefault="00097383" w:rsidP="00097383">
      <w:r>
        <w:t>РУ №20050107</w:t>
      </w:r>
    </w:p>
    <w:p w14:paraId="3715C10B" w14:textId="0372113B" w:rsidR="00BB22B4" w:rsidRDefault="002C50EE" w:rsidP="00471F10">
      <w:pPr>
        <w:pStyle w:val="Heading1"/>
      </w:pPr>
      <w:r>
        <w:t>9. ДАТА НА ПЪРВО РАЗРЕШАВАНЕ/ПОДНОВЯВАНЕ НА РАЗРЕШЕНИЕТО ЗА УПОТРЕБА</w:t>
      </w:r>
    </w:p>
    <w:p w14:paraId="4A0BAB19" w14:textId="3CAFAD6E" w:rsidR="00097383" w:rsidRDefault="00097383" w:rsidP="00097383"/>
    <w:p w14:paraId="3A9D3C83" w14:textId="2A7B4283" w:rsidR="00097383" w:rsidRPr="00097383" w:rsidRDefault="00097383" w:rsidP="00097383">
      <w:r>
        <w:t>22.02.2005</w:t>
      </w:r>
    </w:p>
    <w:p w14:paraId="43FB38A2" w14:textId="55B36671" w:rsidR="007C605B" w:rsidRDefault="002C50EE" w:rsidP="005726E3">
      <w:pPr>
        <w:pStyle w:val="Heading1"/>
      </w:pPr>
      <w:r>
        <w:t>10. ДАТА НА АКТУАЛИЗИРАНЕ НА ТЕКСТА</w:t>
      </w:r>
      <w:bookmarkEnd w:id="0"/>
    </w:p>
    <w:p w14:paraId="5E6DE87F" w14:textId="08E3F641" w:rsidR="00097383" w:rsidRPr="00097383" w:rsidRDefault="00097383" w:rsidP="00097383">
      <w:r>
        <w:t>Септември 2021</w:t>
      </w:r>
      <w:bookmarkStart w:id="5" w:name="_GoBack"/>
      <w:bookmarkEnd w:id="5"/>
    </w:p>
    <w:p w14:paraId="472617BD" w14:textId="1B698B40" w:rsidR="00BB22B4" w:rsidRPr="00BB22B4" w:rsidRDefault="00BB22B4" w:rsidP="00BB22B4"/>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63D316D"/>
    <w:multiLevelType w:val="hybridMultilevel"/>
    <w:tmpl w:val="E736A80E"/>
    <w:lvl w:ilvl="0" w:tplc="92F89886">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5"/>
  </w:num>
  <w:num w:numId="4">
    <w:abstractNumId w:val="3"/>
  </w:num>
  <w:num w:numId="5">
    <w:abstractNumId w:val="1"/>
  </w:num>
  <w:num w:numId="6">
    <w:abstractNumId w:val="19"/>
  </w:num>
  <w:num w:numId="7">
    <w:abstractNumId w:val="12"/>
  </w:num>
  <w:num w:numId="8">
    <w:abstractNumId w:val="18"/>
  </w:num>
  <w:num w:numId="9">
    <w:abstractNumId w:val="2"/>
  </w:num>
  <w:num w:numId="10">
    <w:abstractNumId w:val="4"/>
  </w:num>
  <w:num w:numId="11">
    <w:abstractNumId w:val="33"/>
  </w:num>
  <w:num w:numId="12">
    <w:abstractNumId w:val="16"/>
  </w:num>
  <w:num w:numId="13">
    <w:abstractNumId w:val="22"/>
  </w:num>
  <w:num w:numId="14">
    <w:abstractNumId w:val="14"/>
  </w:num>
  <w:num w:numId="15">
    <w:abstractNumId w:val="32"/>
  </w:num>
  <w:num w:numId="16">
    <w:abstractNumId w:val="11"/>
  </w:num>
  <w:num w:numId="17">
    <w:abstractNumId w:val="27"/>
  </w:num>
  <w:num w:numId="18">
    <w:abstractNumId w:val="8"/>
  </w:num>
  <w:num w:numId="19">
    <w:abstractNumId w:val="29"/>
  </w:num>
  <w:num w:numId="20">
    <w:abstractNumId w:val="26"/>
  </w:num>
  <w:num w:numId="21">
    <w:abstractNumId w:val="20"/>
  </w:num>
  <w:num w:numId="22">
    <w:abstractNumId w:val="28"/>
  </w:num>
  <w:num w:numId="23">
    <w:abstractNumId w:val="21"/>
  </w:num>
  <w:num w:numId="24">
    <w:abstractNumId w:val="9"/>
  </w:num>
  <w:num w:numId="25">
    <w:abstractNumId w:val="25"/>
  </w:num>
  <w:num w:numId="26">
    <w:abstractNumId w:val="24"/>
  </w:num>
  <w:num w:numId="27">
    <w:abstractNumId w:val="34"/>
  </w:num>
  <w:num w:numId="28">
    <w:abstractNumId w:val="6"/>
  </w:num>
  <w:num w:numId="29">
    <w:abstractNumId w:val="23"/>
  </w:num>
  <w:num w:numId="30">
    <w:abstractNumId w:val="37"/>
  </w:num>
  <w:num w:numId="31">
    <w:abstractNumId w:val="5"/>
  </w:num>
  <w:num w:numId="32">
    <w:abstractNumId w:val="36"/>
  </w:num>
  <w:num w:numId="33">
    <w:abstractNumId w:val="31"/>
  </w:num>
  <w:num w:numId="34">
    <w:abstractNumId w:val="35"/>
  </w:num>
  <w:num w:numId="35">
    <w:abstractNumId w:val="7"/>
  </w:num>
  <w:num w:numId="36">
    <w:abstractNumId w:val="10"/>
  </w:num>
  <w:num w:numId="37">
    <w:abstractNumId w:val="1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655BC"/>
    <w:rsid w:val="00097383"/>
    <w:rsid w:val="00185A46"/>
    <w:rsid w:val="001915B6"/>
    <w:rsid w:val="001A6EBD"/>
    <w:rsid w:val="001D1B23"/>
    <w:rsid w:val="002B3C38"/>
    <w:rsid w:val="002B4DBB"/>
    <w:rsid w:val="002C50EE"/>
    <w:rsid w:val="00340A0A"/>
    <w:rsid w:val="003765DC"/>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3344</Words>
  <Characters>19066</Characters>
  <Application>Microsoft Office Word</Application>
  <DocSecurity>0</DocSecurity>
  <Lines>158</Lines>
  <Paragraphs>44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2022-12-06T13:40:00Z</dcterms:created>
  <dcterms:modified xsi:type="dcterms:W3CDTF">2022-12-06T13:40:00Z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