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026FBB45" w:rsidR="00DB32D3" w:rsidRDefault="00DD466D" w:rsidP="005726E3">
      <w:pPr>
        <w:pStyle w:val="Heading1"/>
      </w:pPr>
      <w:r>
        <w:t>1.ИМЕ НА ЛЕКАРСТВЕНИЯ ПРОДУКТ</w:t>
      </w:r>
    </w:p>
    <w:p w14:paraId="137003CF" w14:textId="4B4EE974" w:rsidR="00FE61A5" w:rsidRDefault="00FE61A5" w:rsidP="00FE61A5"/>
    <w:p w14:paraId="1F0E4BE4" w14:textId="77777777" w:rsidR="00FE61A5" w:rsidRPr="00FE61A5" w:rsidRDefault="00FE61A5" w:rsidP="00FE61A5">
      <w:pPr>
        <w:rPr>
          <w:sz w:val="24"/>
          <w:szCs w:val="24"/>
          <w:lang w:eastAsia="bg-BG"/>
        </w:rPr>
      </w:pPr>
      <w:r w:rsidRPr="00FE61A5">
        <w:rPr>
          <w:lang w:eastAsia="bg-BG"/>
        </w:rPr>
        <w:t xml:space="preserve">Сорафениб Майлан 200 </w:t>
      </w:r>
      <w:r w:rsidRPr="00FE61A5">
        <w:rPr>
          <w:lang w:val="en-US"/>
        </w:rPr>
        <w:t xml:space="preserve">mg </w:t>
      </w:r>
      <w:r w:rsidRPr="00FE61A5">
        <w:rPr>
          <w:lang w:eastAsia="bg-BG"/>
        </w:rPr>
        <w:t>филмирани таблетки</w:t>
      </w:r>
    </w:p>
    <w:p w14:paraId="2D5EDC09" w14:textId="02822ED7" w:rsidR="00FE61A5" w:rsidRPr="00FE61A5" w:rsidRDefault="00FE61A5" w:rsidP="00FE61A5">
      <w:r w:rsidRPr="00FE61A5">
        <w:rPr>
          <w:lang w:val="en-US"/>
        </w:rPr>
        <w:t xml:space="preserve">Sorafenib Mylan </w:t>
      </w:r>
      <w:r w:rsidRPr="00FE61A5">
        <w:rPr>
          <w:lang w:eastAsia="bg-BG"/>
        </w:rPr>
        <w:t xml:space="preserve">200 </w:t>
      </w:r>
      <w:r w:rsidRPr="00FE61A5">
        <w:rPr>
          <w:lang w:val="en-US"/>
        </w:rPr>
        <w:t>mg film-coated tablets</w:t>
      </w:r>
    </w:p>
    <w:p w14:paraId="48E6CABE" w14:textId="6863C506" w:rsidR="00DB32D3" w:rsidRDefault="00DD466D" w:rsidP="005726E3">
      <w:pPr>
        <w:pStyle w:val="Heading1"/>
      </w:pPr>
      <w:r>
        <w:t>2. КАЧЕСТВЕН И КОЛИЧЕСТВЕН СЪСТАВ</w:t>
      </w:r>
    </w:p>
    <w:p w14:paraId="568A5823" w14:textId="14641235" w:rsidR="00FE61A5" w:rsidRDefault="00FE61A5" w:rsidP="00FE61A5"/>
    <w:p w14:paraId="5E1B2669" w14:textId="43F7558C" w:rsidR="00FE61A5" w:rsidRPr="00FE61A5" w:rsidRDefault="00FE61A5" w:rsidP="00FE61A5">
      <w:r>
        <w:t xml:space="preserve">Всяка филмирана таблетка съдържа 200 </w:t>
      </w:r>
      <w:r>
        <w:rPr>
          <w:lang w:val="en-US"/>
        </w:rPr>
        <w:t xml:space="preserve">mg </w:t>
      </w:r>
      <w:r>
        <w:t xml:space="preserve">сорафениб </w:t>
      </w:r>
      <w:r>
        <w:rPr>
          <w:i/>
          <w:iCs/>
          <w:lang w:val="en-US"/>
        </w:rPr>
        <w:t>(sorafenib),</w:t>
      </w:r>
      <w:r>
        <w:rPr>
          <w:lang w:val="en-US"/>
        </w:rPr>
        <w:t xml:space="preserve"> </w:t>
      </w:r>
      <w:r>
        <w:t xml:space="preserve">като тозилат </w:t>
      </w:r>
      <w:r>
        <w:rPr>
          <w:lang w:val="en-US"/>
        </w:rPr>
        <w:t>(as tosylate).</w:t>
      </w:r>
    </w:p>
    <w:p w14:paraId="763B21BA" w14:textId="3515C1ED" w:rsidR="001A6EBD" w:rsidRDefault="00DD466D" w:rsidP="00471F10">
      <w:pPr>
        <w:pStyle w:val="Heading1"/>
      </w:pPr>
      <w:r>
        <w:t>3. ЛЕКАРСТВЕНА ФОРМА</w:t>
      </w:r>
    </w:p>
    <w:p w14:paraId="1EBD6669" w14:textId="630E7E4B" w:rsidR="00FE61A5" w:rsidRDefault="00FE61A5" w:rsidP="00FE61A5"/>
    <w:p w14:paraId="440C98D0" w14:textId="77777777" w:rsidR="00FE61A5" w:rsidRPr="00FE61A5" w:rsidRDefault="00FE61A5" w:rsidP="00FE61A5">
      <w:pPr>
        <w:rPr>
          <w:sz w:val="24"/>
          <w:szCs w:val="24"/>
          <w:lang w:eastAsia="bg-BG"/>
        </w:rPr>
      </w:pPr>
      <w:r w:rsidRPr="00FE61A5">
        <w:rPr>
          <w:lang w:eastAsia="bg-BG"/>
        </w:rPr>
        <w:t>Филмирани таблетки (таблетки).</w:t>
      </w:r>
    </w:p>
    <w:p w14:paraId="63130674" w14:textId="77777777" w:rsidR="00FE61A5" w:rsidRDefault="00FE61A5" w:rsidP="00FE61A5">
      <w:pPr>
        <w:rPr>
          <w:lang w:eastAsia="bg-BG"/>
        </w:rPr>
      </w:pPr>
    </w:p>
    <w:p w14:paraId="3E0FED45" w14:textId="2F3A1A63" w:rsidR="00FE61A5" w:rsidRPr="00FE61A5" w:rsidRDefault="00FE61A5" w:rsidP="00FE61A5">
      <w:r w:rsidRPr="00FE61A5">
        <w:rPr>
          <w:lang w:eastAsia="bg-BG"/>
        </w:rPr>
        <w:t xml:space="preserve">Червено-кафяви, кръгли, биконвексни филмирани таблетки, с гравиран вдлъбнат надпис “200” от едната страна и гладки от другата страна, с диаметър на таблетката 12,0 </w:t>
      </w:r>
      <w:r w:rsidRPr="00FE61A5">
        <w:rPr>
          <w:lang w:val="en-US"/>
        </w:rPr>
        <w:t xml:space="preserve">mm </w:t>
      </w:r>
      <w:r w:rsidRPr="00FE61A5">
        <w:rPr>
          <w:lang w:eastAsia="bg-BG"/>
        </w:rPr>
        <w:t>± 5%.</w:t>
      </w:r>
    </w:p>
    <w:p w14:paraId="490FC2C4" w14:textId="6899DE43" w:rsidR="002C50EE" w:rsidRDefault="002C50EE" w:rsidP="002C50EE">
      <w:pPr>
        <w:pStyle w:val="Heading1"/>
      </w:pPr>
      <w:r>
        <w:t>4. КЛИНИЧНИ ДАННИ</w:t>
      </w:r>
    </w:p>
    <w:p w14:paraId="25C765CE" w14:textId="0E26962D" w:rsidR="001A6EBD" w:rsidRDefault="002C50EE" w:rsidP="00471F10">
      <w:pPr>
        <w:pStyle w:val="Heading2"/>
      </w:pPr>
      <w:r>
        <w:t>4.1. Терапевтични показания</w:t>
      </w:r>
    </w:p>
    <w:p w14:paraId="795BFC1C" w14:textId="58E3AE1D" w:rsidR="00FE61A5" w:rsidRDefault="00FE61A5" w:rsidP="00FE61A5"/>
    <w:p w14:paraId="118BA678"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Хепатоцелуларен карцином</w:t>
      </w:r>
    </w:p>
    <w:p w14:paraId="357DFFB1"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Сорафениб Майлан е показан за лечение на хепатоцелуларен карцином (вж. точка 5.1)</w:t>
      </w:r>
    </w:p>
    <w:p w14:paraId="5727EECD" w14:textId="77777777" w:rsidR="00FE61A5" w:rsidRPr="00FE61A5" w:rsidRDefault="00FE61A5" w:rsidP="00FE61A5">
      <w:pPr>
        <w:spacing w:line="240" w:lineRule="auto"/>
        <w:rPr>
          <w:rFonts w:eastAsia="Times New Roman" w:cs="Arial"/>
          <w:color w:val="000000"/>
          <w:u w:val="single"/>
          <w:lang w:eastAsia="bg-BG"/>
        </w:rPr>
      </w:pPr>
    </w:p>
    <w:p w14:paraId="3DC708AF" w14:textId="21E1312A"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Бъбречно-клетъчен карцином</w:t>
      </w:r>
    </w:p>
    <w:p w14:paraId="17A5042F" w14:textId="32010072"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Сорафениб Майлан е показан за лечение на пациенти с напреднал бъбречно-клетъчен карцином, които преди това са лекувани неуспешно с алфа-интерферон или интерлевкин-2 или са неподходящи за тази терапия.</w:t>
      </w:r>
    </w:p>
    <w:p w14:paraId="319B76C3" w14:textId="77777777" w:rsidR="00FE61A5" w:rsidRPr="00FE61A5" w:rsidRDefault="00FE61A5" w:rsidP="00FE61A5"/>
    <w:p w14:paraId="19026639" w14:textId="27704FE3" w:rsidR="001A6EBD" w:rsidRDefault="002C50EE" w:rsidP="00471F10">
      <w:pPr>
        <w:pStyle w:val="Heading2"/>
      </w:pPr>
      <w:r>
        <w:t>4.2. Дозировка и начин на приложение</w:t>
      </w:r>
    </w:p>
    <w:p w14:paraId="1AB57270" w14:textId="3DF3E44A" w:rsidR="00FE61A5" w:rsidRDefault="00FE61A5" w:rsidP="00FE61A5"/>
    <w:p w14:paraId="19A50512"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Лечението с Сорафениб Майлан трябва да се контролира от лекар, с опит в приложението на противоракови терапии.</w:t>
      </w:r>
    </w:p>
    <w:p w14:paraId="7B9D2AFB" w14:textId="77777777" w:rsidR="00FE61A5" w:rsidRPr="00FE61A5" w:rsidRDefault="00FE61A5" w:rsidP="00FE61A5">
      <w:pPr>
        <w:spacing w:line="240" w:lineRule="auto"/>
        <w:rPr>
          <w:rFonts w:eastAsia="Times New Roman" w:cs="Arial"/>
          <w:color w:val="000000"/>
          <w:u w:val="single"/>
          <w:lang w:eastAsia="bg-BG"/>
        </w:rPr>
      </w:pPr>
    </w:p>
    <w:p w14:paraId="6AC03284" w14:textId="4C6FE47B" w:rsidR="00FE61A5" w:rsidRPr="00FE61A5" w:rsidRDefault="00FE61A5" w:rsidP="00FE61A5">
      <w:pPr>
        <w:pStyle w:val="Heading3"/>
        <w:rPr>
          <w:rFonts w:eastAsia="Times New Roman"/>
          <w:sz w:val="28"/>
          <w:szCs w:val="28"/>
          <w:u w:val="single"/>
          <w:lang w:eastAsia="bg-BG"/>
        </w:rPr>
      </w:pPr>
      <w:r w:rsidRPr="00FE61A5">
        <w:rPr>
          <w:rFonts w:eastAsia="Times New Roman"/>
          <w:u w:val="single"/>
          <w:lang w:eastAsia="bg-BG"/>
        </w:rPr>
        <w:t>Дозировка</w:t>
      </w:r>
    </w:p>
    <w:p w14:paraId="6A5EEDE2"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Препоръчиталената доза Сорафениб Майлан при възрастни е 400 </w:t>
      </w:r>
      <w:r w:rsidRPr="00FE61A5">
        <w:rPr>
          <w:rFonts w:eastAsia="Times New Roman" w:cs="Arial"/>
          <w:color w:val="000000"/>
          <w:lang w:val="en-US"/>
        </w:rPr>
        <w:t xml:space="preserve">mg </w:t>
      </w:r>
      <w:r w:rsidRPr="00FE61A5">
        <w:rPr>
          <w:rFonts w:eastAsia="Times New Roman" w:cs="Arial"/>
          <w:color w:val="000000"/>
          <w:lang w:eastAsia="bg-BG"/>
        </w:rPr>
        <w:t xml:space="preserve">сорафениб (две таблетки от 200 </w:t>
      </w:r>
      <w:r w:rsidRPr="00FE61A5">
        <w:rPr>
          <w:rFonts w:eastAsia="Times New Roman" w:cs="Arial"/>
          <w:color w:val="000000"/>
          <w:lang w:val="en-US"/>
        </w:rPr>
        <w:t xml:space="preserve">mg) </w:t>
      </w:r>
      <w:r w:rsidRPr="00FE61A5">
        <w:rPr>
          <w:rFonts w:eastAsia="Times New Roman" w:cs="Arial"/>
          <w:color w:val="000000"/>
          <w:lang w:eastAsia="bg-BG"/>
        </w:rPr>
        <w:t xml:space="preserve">два пъти дневно (еквивалентно на обща дневна доза от 800 </w:t>
      </w:r>
      <w:r w:rsidRPr="00FE61A5">
        <w:rPr>
          <w:rFonts w:eastAsia="Times New Roman" w:cs="Arial"/>
          <w:color w:val="000000"/>
          <w:lang w:val="en-US"/>
        </w:rPr>
        <w:t>mg).</w:t>
      </w:r>
    </w:p>
    <w:p w14:paraId="6B4EB50E" w14:textId="77777777" w:rsidR="00FE61A5" w:rsidRPr="00FE61A5" w:rsidRDefault="00FE61A5" w:rsidP="00FE61A5">
      <w:pPr>
        <w:spacing w:line="240" w:lineRule="auto"/>
        <w:rPr>
          <w:rFonts w:eastAsia="Times New Roman" w:cs="Arial"/>
          <w:color w:val="000000"/>
          <w:lang w:eastAsia="bg-BG"/>
        </w:rPr>
      </w:pPr>
    </w:p>
    <w:p w14:paraId="56D8E193" w14:textId="5786D964"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Лечението трябва да продължи до получаване на клиничен ефект или докато се появи неприемлива токсичност.</w:t>
      </w:r>
    </w:p>
    <w:p w14:paraId="5089CE2A" w14:textId="4584D139" w:rsidR="00FE61A5" w:rsidRPr="00FE61A5" w:rsidRDefault="00FE61A5" w:rsidP="00FE61A5">
      <w:pPr>
        <w:rPr>
          <w:rFonts w:cs="Arial"/>
          <w:sz w:val="24"/>
          <w:szCs w:val="24"/>
        </w:rPr>
      </w:pPr>
    </w:p>
    <w:p w14:paraId="29719D94"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Корекции на дозата</w:t>
      </w:r>
    </w:p>
    <w:p w14:paraId="06B6FEED"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lastRenderedPageBreak/>
        <w:t>Лечението на подозираните нежелани реакции може да наложи временно прекъсване или намаляване на дозата при лечението със сорафениб.</w:t>
      </w:r>
    </w:p>
    <w:p w14:paraId="355E7A81"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Когато е необходимо редуциране на дозата по време на лечение на хепатоцелуларен карцином (НСС) и напреднал бъбречно-клетъчен карцином </w:t>
      </w:r>
      <w:r w:rsidRPr="00FE61A5">
        <w:rPr>
          <w:rFonts w:eastAsia="Times New Roman" w:cs="Arial"/>
          <w:color w:val="000000"/>
          <w:lang w:val="en-US"/>
        </w:rPr>
        <w:t xml:space="preserve">(RCC), </w:t>
      </w:r>
      <w:r w:rsidRPr="00FE61A5">
        <w:rPr>
          <w:rFonts w:eastAsia="Times New Roman" w:cs="Arial"/>
          <w:color w:val="000000"/>
          <w:lang w:eastAsia="bg-BG"/>
        </w:rPr>
        <w:t xml:space="preserve">дозата на Сорафениб Майлан трябва да бъде редуцирана на две таблетки от 200 </w:t>
      </w:r>
      <w:r w:rsidRPr="00FE61A5">
        <w:rPr>
          <w:rFonts w:eastAsia="Times New Roman" w:cs="Arial"/>
          <w:color w:val="000000"/>
          <w:lang w:val="en-US"/>
        </w:rPr>
        <w:t xml:space="preserve">mg </w:t>
      </w:r>
      <w:r w:rsidRPr="00FE61A5">
        <w:rPr>
          <w:rFonts w:eastAsia="Times New Roman" w:cs="Arial"/>
          <w:color w:val="000000"/>
          <w:lang w:eastAsia="bg-BG"/>
        </w:rPr>
        <w:t>сорафениб един път дневно (вж. точка 4.4).</w:t>
      </w:r>
    </w:p>
    <w:p w14:paraId="27F07461" w14:textId="77777777" w:rsidR="00FE61A5" w:rsidRPr="00FE61A5" w:rsidRDefault="00FE61A5" w:rsidP="00FE61A5">
      <w:pPr>
        <w:spacing w:line="240" w:lineRule="auto"/>
        <w:rPr>
          <w:rFonts w:eastAsia="Times New Roman" w:cs="Arial"/>
          <w:i/>
          <w:iCs/>
          <w:color w:val="000000"/>
          <w:lang w:eastAsia="bg-BG"/>
        </w:rPr>
      </w:pPr>
    </w:p>
    <w:p w14:paraId="048E6761" w14:textId="080AF89E"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lang w:eastAsia="bg-BG"/>
        </w:rPr>
        <w:t>Педиатрична популация</w:t>
      </w:r>
    </w:p>
    <w:p w14:paraId="6620B6C6"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Безопасността и ефикасността на Сорафениб Майлан при деца и юноши на възраст до 18 години все още не са установени. Липсват данни.</w:t>
      </w:r>
    </w:p>
    <w:p w14:paraId="7180034E" w14:textId="77777777" w:rsidR="00FE61A5" w:rsidRPr="00FE61A5" w:rsidRDefault="00FE61A5" w:rsidP="00FE61A5">
      <w:pPr>
        <w:spacing w:line="240" w:lineRule="auto"/>
        <w:rPr>
          <w:rFonts w:eastAsia="Times New Roman" w:cs="Arial"/>
          <w:i/>
          <w:iCs/>
          <w:color w:val="000000"/>
          <w:lang w:eastAsia="bg-BG"/>
        </w:rPr>
      </w:pPr>
    </w:p>
    <w:p w14:paraId="1010AF29" w14:textId="4EAD82CE"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lang w:eastAsia="bg-BG"/>
        </w:rPr>
        <w:t>Пациенти в старческа възраст:</w:t>
      </w:r>
    </w:p>
    <w:p w14:paraId="6B1C7A94"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Не е необходима корекция на дозата при лица в старческа възраст (пациенти по-възрастни от 65- годишна възраст).</w:t>
      </w:r>
    </w:p>
    <w:p w14:paraId="7A96A36E" w14:textId="77777777" w:rsidR="00FE61A5" w:rsidRPr="00FE61A5" w:rsidRDefault="00FE61A5" w:rsidP="00FE61A5">
      <w:pPr>
        <w:spacing w:line="240" w:lineRule="auto"/>
        <w:rPr>
          <w:rFonts w:eastAsia="Times New Roman" w:cs="Arial"/>
          <w:i/>
          <w:iCs/>
          <w:color w:val="000000"/>
          <w:lang w:eastAsia="bg-BG"/>
        </w:rPr>
      </w:pPr>
    </w:p>
    <w:p w14:paraId="3E9772EE" w14:textId="570BCBCF"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lang w:eastAsia="bg-BG"/>
        </w:rPr>
        <w:t>Бъбречно увреждане</w:t>
      </w:r>
    </w:p>
    <w:p w14:paraId="5320F558"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Не е необходима корекция на дозата при пациенти с леко, умерено или тежко бъбречно увреждане. Няма данни при пациенти на диализа (вж. точка 5.2).</w:t>
      </w:r>
    </w:p>
    <w:p w14:paraId="3EEACED9" w14:textId="77777777" w:rsidR="00FE61A5" w:rsidRPr="00FE61A5" w:rsidRDefault="00FE61A5" w:rsidP="00FE61A5">
      <w:pPr>
        <w:spacing w:line="240" w:lineRule="auto"/>
        <w:rPr>
          <w:rFonts w:eastAsia="Times New Roman" w:cs="Arial"/>
          <w:color w:val="000000"/>
          <w:lang w:eastAsia="bg-BG"/>
        </w:rPr>
      </w:pPr>
    </w:p>
    <w:p w14:paraId="3271057D" w14:textId="0E507024"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Проследяването на баланса на течностите и електролитите при пациенти с риск за нарушена бъбречна функция е препоръчително.</w:t>
      </w:r>
    </w:p>
    <w:p w14:paraId="6807CD00" w14:textId="77777777" w:rsidR="00FE61A5" w:rsidRPr="00FE61A5" w:rsidRDefault="00FE61A5" w:rsidP="00FE61A5">
      <w:pPr>
        <w:spacing w:line="240" w:lineRule="auto"/>
        <w:rPr>
          <w:rFonts w:eastAsia="Times New Roman" w:cs="Arial"/>
          <w:i/>
          <w:iCs/>
          <w:color w:val="000000"/>
          <w:lang w:eastAsia="bg-BG"/>
        </w:rPr>
      </w:pPr>
    </w:p>
    <w:p w14:paraId="34EC620E" w14:textId="0008ADFF"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lang w:eastAsia="bg-BG"/>
        </w:rPr>
        <w:t>Чернодробно увреждане</w:t>
      </w:r>
    </w:p>
    <w:p w14:paraId="6B7A7E29"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Не е необходима корекция на дозата при пациенти с </w:t>
      </w:r>
      <w:r w:rsidRPr="00FE61A5">
        <w:rPr>
          <w:rFonts w:eastAsia="Times New Roman" w:cs="Arial"/>
          <w:color w:val="000000"/>
          <w:lang w:val="en-US"/>
        </w:rPr>
        <w:t xml:space="preserve">Child Pugh </w:t>
      </w:r>
      <w:r w:rsidRPr="00FE61A5">
        <w:rPr>
          <w:rFonts w:eastAsia="Times New Roman" w:cs="Arial"/>
          <w:color w:val="000000"/>
          <w:lang w:eastAsia="bg-BG"/>
        </w:rPr>
        <w:t xml:space="preserve">А или В (леко и умерено) чернодробно увреждане. Няма данни при пациенти с </w:t>
      </w:r>
      <w:r w:rsidRPr="00FE61A5">
        <w:rPr>
          <w:rFonts w:eastAsia="Times New Roman" w:cs="Arial"/>
          <w:color w:val="000000"/>
          <w:lang w:val="en-US"/>
        </w:rPr>
        <w:t xml:space="preserve">Child Pugh </w:t>
      </w:r>
      <w:r w:rsidRPr="00FE61A5">
        <w:rPr>
          <w:rFonts w:eastAsia="Times New Roman" w:cs="Arial"/>
          <w:color w:val="000000"/>
          <w:lang w:eastAsia="bg-BG"/>
        </w:rPr>
        <w:t>С (тежко) чернодробно увреждане (вж. точки 4.4 и 5.2).</w:t>
      </w:r>
    </w:p>
    <w:p w14:paraId="2949992F" w14:textId="77777777" w:rsidR="00FE61A5" w:rsidRPr="00FE61A5" w:rsidRDefault="00FE61A5" w:rsidP="00FE61A5">
      <w:pPr>
        <w:spacing w:line="240" w:lineRule="auto"/>
        <w:rPr>
          <w:rFonts w:eastAsia="Times New Roman" w:cs="Arial"/>
          <w:color w:val="000000"/>
          <w:u w:val="single"/>
          <w:lang w:eastAsia="bg-BG"/>
        </w:rPr>
      </w:pPr>
    </w:p>
    <w:p w14:paraId="5546EB3F" w14:textId="510E3665" w:rsidR="00FE61A5" w:rsidRPr="00FE61A5" w:rsidRDefault="00FE61A5" w:rsidP="00FE61A5">
      <w:pPr>
        <w:pStyle w:val="Heading3"/>
        <w:rPr>
          <w:rFonts w:eastAsia="Times New Roman"/>
          <w:sz w:val="28"/>
          <w:szCs w:val="28"/>
          <w:u w:val="single"/>
          <w:lang w:eastAsia="bg-BG"/>
        </w:rPr>
      </w:pPr>
      <w:r w:rsidRPr="00FE61A5">
        <w:rPr>
          <w:rFonts w:eastAsia="Times New Roman"/>
          <w:u w:val="single"/>
          <w:lang w:eastAsia="bg-BG"/>
        </w:rPr>
        <w:t>Начин на приложение</w:t>
      </w:r>
    </w:p>
    <w:p w14:paraId="1CBBAF93"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За перорално приложение.</w:t>
      </w:r>
    </w:p>
    <w:p w14:paraId="02C41CC0" w14:textId="77777777" w:rsidR="00FE61A5" w:rsidRPr="00FE61A5" w:rsidRDefault="00FE61A5" w:rsidP="00FE61A5">
      <w:pPr>
        <w:spacing w:line="240" w:lineRule="auto"/>
        <w:rPr>
          <w:rFonts w:eastAsia="Times New Roman" w:cs="Arial"/>
          <w:color w:val="000000"/>
          <w:lang w:eastAsia="bg-BG"/>
        </w:rPr>
      </w:pPr>
    </w:p>
    <w:p w14:paraId="4A39D79F" w14:textId="1D3B3099" w:rsidR="00FE61A5" w:rsidRPr="00FE61A5" w:rsidRDefault="00FE61A5" w:rsidP="00FE61A5">
      <w:pPr>
        <w:spacing w:line="240" w:lineRule="auto"/>
        <w:rPr>
          <w:rFonts w:eastAsia="Times New Roman" w:cs="Arial"/>
          <w:color w:val="000000"/>
          <w:lang w:eastAsia="bg-BG"/>
        </w:rPr>
      </w:pPr>
      <w:r w:rsidRPr="00FE61A5">
        <w:rPr>
          <w:rFonts w:eastAsia="Times New Roman" w:cs="Arial"/>
          <w:color w:val="000000"/>
          <w:lang w:eastAsia="bg-BG"/>
        </w:rPr>
        <w:t xml:space="preserve">Препоръчва се сорафениб да се прилага на гладно или с храна с ниско или умерено съдържание на мазнини. </w:t>
      </w:r>
    </w:p>
    <w:p w14:paraId="674B4C27" w14:textId="2811DC9C"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Ако пациентът възнамерява да приема храна, богата на мазнини, таблетките сорафениб трябва да се приемат най-малко 1 час преди или 2 часа след хранене. Таблетките трябва да се приемат с чаша вода.</w:t>
      </w:r>
    </w:p>
    <w:p w14:paraId="135B4A5B" w14:textId="77777777" w:rsidR="00FE61A5" w:rsidRPr="00FE61A5" w:rsidRDefault="00FE61A5" w:rsidP="00FE61A5"/>
    <w:p w14:paraId="1BF2EFF4" w14:textId="6168B68F" w:rsidR="001A6EBD" w:rsidRDefault="002C50EE" w:rsidP="00471F10">
      <w:pPr>
        <w:pStyle w:val="Heading2"/>
      </w:pPr>
      <w:r>
        <w:t>4.3. Противопоказания</w:t>
      </w:r>
    </w:p>
    <w:p w14:paraId="09306A36" w14:textId="2167606D" w:rsidR="00FE61A5" w:rsidRDefault="00FE61A5" w:rsidP="00FE61A5"/>
    <w:p w14:paraId="15EB0207" w14:textId="7D9AD59A" w:rsidR="00FE61A5" w:rsidRDefault="00FE61A5" w:rsidP="00FE61A5">
      <w:r>
        <w:t>Свръхчувствителност към активното вещество или към някое от помощните вещества, изброени в точка 6.1.</w:t>
      </w:r>
    </w:p>
    <w:p w14:paraId="38017D04" w14:textId="77777777" w:rsidR="00FE61A5" w:rsidRPr="00FE61A5" w:rsidRDefault="00FE61A5" w:rsidP="00FE61A5"/>
    <w:p w14:paraId="0C106098" w14:textId="6E502A75" w:rsidR="001A6EBD" w:rsidRDefault="002C50EE" w:rsidP="00471F10">
      <w:pPr>
        <w:pStyle w:val="Heading2"/>
      </w:pPr>
      <w:r>
        <w:t>4.4. Специални предупреждения и предпазни мерки при употреба</w:t>
      </w:r>
    </w:p>
    <w:p w14:paraId="1479B9ED" w14:textId="1CDE7079" w:rsidR="00FE61A5" w:rsidRDefault="00FE61A5" w:rsidP="00FE61A5"/>
    <w:p w14:paraId="61F3FA60"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Дерматологична токсичност</w:t>
      </w:r>
    </w:p>
    <w:p w14:paraId="76B5AD1E" w14:textId="77777777" w:rsidR="00FE61A5" w:rsidRPr="00FE61A5" w:rsidRDefault="00FE61A5" w:rsidP="00FE61A5">
      <w:pPr>
        <w:rPr>
          <w:rFonts w:eastAsia="Times New Roman" w:cs="Arial"/>
          <w:lang w:eastAsia="bg-BG"/>
        </w:rPr>
      </w:pPr>
      <w:r w:rsidRPr="00FE61A5">
        <w:rPr>
          <w:rFonts w:eastAsia="Times New Roman" w:cs="Arial"/>
          <w:color w:val="000000"/>
          <w:lang w:eastAsia="bg-BG"/>
        </w:rPr>
        <w:t xml:space="preserve">Кожна реакция ръка-крак (палмарно-плантарна еритродизестезия) и обрив представляват най- честите нежелани лекарствени реакции със сорафениб. Обривът и кожната реакция ръка-крак са обикновено степен I и II СТС </w:t>
      </w:r>
      <w:r w:rsidRPr="00FE61A5">
        <w:rPr>
          <w:rFonts w:eastAsia="Times New Roman" w:cs="Arial"/>
          <w:color w:val="000000"/>
          <w:lang w:val="en-US"/>
        </w:rPr>
        <w:t xml:space="preserve">(Common Toxicity Criteria </w:t>
      </w:r>
      <w:r w:rsidRPr="00FE61A5">
        <w:rPr>
          <w:rFonts w:eastAsia="Times New Roman" w:cs="Arial"/>
          <w:color w:val="000000"/>
          <w:lang w:eastAsia="bg-BG"/>
        </w:rPr>
        <w:t xml:space="preserve">- общи критерии за токсичност), и обикновено се появяват през първите 6 седмици на лечение със сорафениб. Лечението на дерматологичната токсичност може да включва локално </w:t>
      </w:r>
      <w:r w:rsidRPr="00FE61A5">
        <w:rPr>
          <w:rFonts w:eastAsia="Times New Roman" w:cs="Arial"/>
          <w:color w:val="000000"/>
          <w:lang w:eastAsia="bg-BG"/>
        </w:rPr>
        <w:lastRenderedPageBreak/>
        <w:t>лечение за симптоматично облекчаване</w:t>
      </w:r>
      <w:r w:rsidRPr="00FE61A5">
        <w:rPr>
          <w:rFonts w:eastAsia="Times New Roman" w:cs="Arial"/>
          <w:color w:val="000000"/>
          <w:lang w:val="en-US" w:eastAsia="bg-BG"/>
        </w:rPr>
        <w:t xml:space="preserve"> </w:t>
      </w:r>
      <w:r w:rsidRPr="00FE61A5">
        <w:rPr>
          <w:rFonts w:eastAsia="Times New Roman" w:cs="Arial"/>
          <w:color w:val="000000"/>
          <w:lang w:eastAsia="bg-BG"/>
        </w:rPr>
        <w:t>временно прекъсване и/или промяна на дозата сорафениб, или окончателно прекъсване на лечението със сорафениб при тежки или персистиращи случаи (вж. точка 4.8).</w:t>
      </w:r>
    </w:p>
    <w:p w14:paraId="384AA7DD" w14:textId="77777777" w:rsidR="00FE61A5" w:rsidRPr="00FE61A5" w:rsidRDefault="00FE61A5" w:rsidP="00FE61A5">
      <w:pPr>
        <w:spacing w:line="240" w:lineRule="auto"/>
        <w:rPr>
          <w:rFonts w:eastAsia="Times New Roman" w:cs="Arial"/>
          <w:color w:val="000000"/>
          <w:u w:val="single"/>
          <w:lang w:eastAsia="bg-BG"/>
        </w:rPr>
      </w:pPr>
    </w:p>
    <w:p w14:paraId="32BF4F69" w14:textId="65F30D1B"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Хипертония</w:t>
      </w:r>
    </w:p>
    <w:p w14:paraId="70563E31"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Повишена честота на артериална хипертония е наблюдавана при пациентите, лекувани със сорафениб. Хипертонията обикновено е била лека до умерена, появила се рано по време на курса на лечение и е била повлияна от стандартната антихипертензивна терапия. Кръвното налягане трябва да се мониторира редовно и ако е необходимо да се лекува, в съответствие със стандартната клинична практика. В случаи на тежка и персистираща хипертония или хипертонични кризи, независимо от започналото антихипертензивно лечение, трябва да се има предвид окончателно прекъсване на лечението със сорафениб (вж. точка 4.8).</w:t>
      </w:r>
    </w:p>
    <w:p w14:paraId="373A8BC3" w14:textId="77777777" w:rsidR="00FE61A5" w:rsidRPr="00FE61A5" w:rsidRDefault="00FE61A5" w:rsidP="00FE61A5">
      <w:pPr>
        <w:spacing w:line="240" w:lineRule="auto"/>
        <w:rPr>
          <w:rFonts w:eastAsia="Times New Roman" w:cs="Arial"/>
          <w:color w:val="000000"/>
          <w:u w:val="single"/>
          <w:lang w:eastAsia="bg-BG"/>
        </w:rPr>
      </w:pPr>
    </w:p>
    <w:p w14:paraId="379CCFD8" w14:textId="2316A812"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Аневризми и артериални дисекации</w:t>
      </w:r>
    </w:p>
    <w:p w14:paraId="15DE56A1"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Използването на инхибитори на пътя на </w:t>
      </w:r>
      <w:r w:rsidRPr="00FE61A5">
        <w:rPr>
          <w:rFonts w:eastAsia="Times New Roman" w:cs="Arial"/>
          <w:color w:val="000000"/>
          <w:lang w:val="en-US"/>
        </w:rPr>
        <w:t xml:space="preserve">VEGF </w:t>
      </w:r>
      <w:r w:rsidRPr="00FE61A5">
        <w:rPr>
          <w:rFonts w:eastAsia="Times New Roman" w:cs="Arial"/>
          <w:color w:val="000000"/>
          <w:lang w:eastAsia="bg-BG"/>
        </w:rPr>
        <w:t>при пациенти със или без хипертония може да подпомогне образуването на аневризми и/или артериални дисекации. Преди започването на лечение с сорафениб трябва внимателно да се прецени този риск при пациенти с рискови фактори като хипертония или анамнеза за аневризма.</w:t>
      </w:r>
    </w:p>
    <w:p w14:paraId="021C189D" w14:textId="77777777" w:rsidR="00FE61A5" w:rsidRPr="00FE61A5" w:rsidRDefault="00FE61A5" w:rsidP="00FE61A5">
      <w:pPr>
        <w:spacing w:line="240" w:lineRule="auto"/>
        <w:rPr>
          <w:rFonts w:eastAsia="Times New Roman" w:cs="Arial"/>
          <w:color w:val="000000"/>
          <w:u w:val="single"/>
          <w:lang w:eastAsia="bg-BG"/>
        </w:rPr>
      </w:pPr>
    </w:p>
    <w:p w14:paraId="0DAE2B12" w14:textId="5C108DC8"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Хипогликемия</w:t>
      </w:r>
    </w:p>
    <w:p w14:paraId="6DB6F713"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По време на лечението със сорафениб се съобщава за понижаване на кръвната захар, в някои случаи с клинична симптоматика и изискващо хоспитализация поради загуба на съзнание, В случай на симптоматична хипогликемия, сорафениб трябва временно да бъде преустановен. Нивата на кръвната захар при пациенти с диабет трябва редовно да се проверяват, за да се прецени дали дозата на антидиабетния лекарствен продукт трябва да бъде коригирана.</w:t>
      </w:r>
    </w:p>
    <w:p w14:paraId="2339B976" w14:textId="77777777" w:rsidR="00FE61A5" w:rsidRPr="00FE61A5" w:rsidRDefault="00FE61A5" w:rsidP="00FE61A5">
      <w:pPr>
        <w:spacing w:line="240" w:lineRule="auto"/>
        <w:rPr>
          <w:rFonts w:eastAsia="Times New Roman" w:cs="Arial"/>
          <w:color w:val="000000"/>
          <w:u w:val="single"/>
          <w:lang w:eastAsia="bg-BG"/>
        </w:rPr>
      </w:pPr>
    </w:p>
    <w:p w14:paraId="1F31942F" w14:textId="0AE8E22E"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Кръвоизлив</w:t>
      </w:r>
    </w:p>
    <w:p w14:paraId="4C0E815A"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Повишен риск от кръвоизлив може да се появи след приложение на сорафениб. Ако някой кръвоизлив налага медицинска интервенция, препоръчва се преустановяване на лечението със сорафениб (вж. точка 4.8).</w:t>
      </w:r>
    </w:p>
    <w:p w14:paraId="449F2047" w14:textId="77777777" w:rsidR="00FE61A5" w:rsidRPr="00FE61A5" w:rsidRDefault="00FE61A5" w:rsidP="00FE61A5">
      <w:pPr>
        <w:spacing w:line="240" w:lineRule="auto"/>
        <w:rPr>
          <w:rFonts w:eastAsia="Times New Roman" w:cs="Arial"/>
          <w:color w:val="000000"/>
          <w:u w:val="single"/>
          <w:lang w:eastAsia="bg-BG"/>
        </w:rPr>
      </w:pPr>
    </w:p>
    <w:p w14:paraId="63852EF6" w14:textId="788C978E"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Сърдечна исхемия и/или инфаркт</w:t>
      </w:r>
    </w:p>
    <w:p w14:paraId="07678856"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В рандомизирано, плацебо-контролирано, двойно-сляпо проучване (проучване 1, вж. точка 5.1) честотата на спешно лечение на сърдечна исхемия/инфаркти е по-висока в групата на сорафениб (4,9%) в сравнение с плацебо групата (0,4%). При проучване 3 (вж. точка 5.1), честотата на изискващите спешно лечение случаи на сърдечна исхемия/инфаркт е била 2,7% при пациенти на сорафениб, в сравнение с 1,3% при плацебо групата. Пациентите с нестабилна коронарна артериална болест или пресен миокарден инфаркт са изключени от тези проучвания. Временно или постоянно преустановяване на лечението със сорафениб трябва да се има предвид при пациенти, които развиват сърдечна исхемия и/или инфаркт (вж. точка 4.8).</w:t>
      </w:r>
    </w:p>
    <w:p w14:paraId="3B762C55" w14:textId="77777777" w:rsidR="00FE61A5" w:rsidRPr="00FE61A5" w:rsidRDefault="00FE61A5" w:rsidP="00FE61A5">
      <w:pPr>
        <w:spacing w:line="240" w:lineRule="auto"/>
        <w:rPr>
          <w:rFonts w:eastAsia="Times New Roman" w:cs="Arial"/>
          <w:color w:val="000000"/>
          <w:u w:val="single"/>
          <w:lang w:eastAsia="bg-BG"/>
        </w:rPr>
      </w:pPr>
    </w:p>
    <w:p w14:paraId="29E5ED1D" w14:textId="3F18F4DA" w:rsidR="00FE61A5" w:rsidRPr="00FE61A5" w:rsidRDefault="00FE61A5" w:rsidP="00FE61A5">
      <w:pPr>
        <w:spacing w:line="240" w:lineRule="auto"/>
        <w:rPr>
          <w:rFonts w:eastAsia="Times New Roman" w:cs="Arial"/>
          <w:color w:val="000000"/>
          <w:u w:val="single"/>
          <w:lang w:eastAsia="bg-BG"/>
        </w:rPr>
      </w:pPr>
      <w:r w:rsidRPr="00FE61A5">
        <w:rPr>
          <w:rFonts w:eastAsia="Times New Roman" w:cs="Arial"/>
          <w:color w:val="000000"/>
          <w:u w:val="single"/>
          <w:lang w:eastAsia="bg-BG"/>
        </w:rPr>
        <w:t>Удължаване на ОТ интервала</w:t>
      </w:r>
    </w:p>
    <w:p w14:paraId="50E07B09" w14:textId="77777777" w:rsidR="00FE61A5" w:rsidRPr="00FE61A5" w:rsidRDefault="00FE61A5" w:rsidP="00FE61A5">
      <w:pPr>
        <w:rPr>
          <w:rFonts w:eastAsia="Times New Roman" w:cs="Arial"/>
          <w:lang w:eastAsia="bg-BG"/>
        </w:rPr>
      </w:pPr>
      <w:r w:rsidRPr="00FE61A5">
        <w:rPr>
          <w:rFonts w:eastAsia="Times New Roman" w:cs="Arial"/>
          <w:color w:val="000000"/>
          <w:lang w:eastAsia="bg-BG"/>
        </w:rPr>
        <w:t xml:space="preserve">Сорафениб доказано удължава </w:t>
      </w:r>
      <w:r w:rsidRPr="00FE61A5">
        <w:rPr>
          <w:rFonts w:eastAsia="Times New Roman" w:cs="Arial"/>
          <w:color w:val="000000"/>
          <w:lang w:val="en-US"/>
        </w:rPr>
        <w:t xml:space="preserve">QT/QTc </w:t>
      </w:r>
      <w:r w:rsidRPr="00FE61A5">
        <w:rPr>
          <w:rFonts w:eastAsia="Times New Roman" w:cs="Arial"/>
          <w:color w:val="000000"/>
          <w:lang w:eastAsia="bg-BG"/>
        </w:rPr>
        <w:t xml:space="preserve">интервала (вж. точка 5.1), което може да доведе до повишен риск от вентрикуларни аритмии. Употребата на сорафениб трябва да се ивършва с повишено внимание при пациенти, които имат или могат да развият удължен </w:t>
      </w:r>
      <w:r w:rsidRPr="00FE61A5">
        <w:rPr>
          <w:rFonts w:eastAsia="Times New Roman" w:cs="Arial"/>
          <w:color w:val="000000"/>
          <w:lang w:val="en-US"/>
        </w:rPr>
        <w:t xml:space="preserve">QTc </w:t>
      </w:r>
      <w:r w:rsidRPr="00FE61A5">
        <w:rPr>
          <w:rFonts w:eastAsia="Times New Roman" w:cs="Arial"/>
          <w:color w:val="000000"/>
          <w:lang w:eastAsia="bg-BG"/>
        </w:rPr>
        <w:t xml:space="preserve">интервал, като например пациенти с вроден синдром на удължен </w:t>
      </w:r>
      <w:r w:rsidRPr="00FE61A5">
        <w:rPr>
          <w:rFonts w:eastAsia="Times New Roman" w:cs="Arial"/>
          <w:color w:val="000000"/>
          <w:lang w:val="en-US"/>
        </w:rPr>
        <w:t xml:space="preserve">QT </w:t>
      </w:r>
      <w:r w:rsidRPr="00FE61A5">
        <w:rPr>
          <w:rFonts w:eastAsia="Times New Roman" w:cs="Arial"/>
          <w:color w:val="000000"/>
          <w:lang w:eastAsia="bg-BG"/>
        </w:rPr>
        <w:t>интервал, пациенти, лекувани с висока</w:t>
      </w:r>
      <w:r w:rsidRPr="00FE61A5">
        <w:rPr>
          <w:rFonts w:eastAsia="Times New Roman" w:cs="Arial"/>
          <w:color w:val="000000"/>
          <w:lang w:val="en-US" w:eastAsia="bg-BG"/>
        </w:rPr>
        <w:t xml:space="preserve"> </w:t>
      </w:r>
      <w:r w:rsidRPr="00FE61A5">
        <w:rPr>
          <w:rFonts w:eastAsia="Times New Roman" w:cs="Arial"/>
          <w:color w:val="000000"/>
          <w:lang w:eastAsia="bg-BG"/>
        </w:rPr>
        <w:t xml:space="preserve">кумулативна доза антрациклини, пациенти, приемащи </w:t>
      </w:r>
      <w:r w:rsidRPr="00FE61A5">
        <w:rPr>
          <w:rFonts w:eastAsia="Times New Roman" w:cs="Arial"/>
          <w:color w:val="000000"/>
          <w:lang w:eastAsia="bg-BG"/>
        </w:rPr>
        <w:lastRenderedPageBreak/>
        <w:t xml:space="preserve">определени антиаритмични лекарства или други лекарствени продукти, които водят до удължаване на </w:t>
      </w:r>
      <w:r w:rsidRPr="00FE61A5">
        <w:rPr>
          <w:rFonts w:eastAsia="Times New Roman" w:cs="Arial"/>
          <w:color w:val="000000"/>
          <w:lang w:val="en-US"/>
        </w:rPr>
        <w:t xml:space="preserve">QT </w:t>
      </w:r>
      <w:r w:rsidRPr="00FE61A5">
        <w:rPr>
          <w:rFonts w:eastAsia="Times New Roman" w:cs="Arial"/>
          <w:color w:val="000000"/>
          <w:lang w:eastAsia="bg-BG"/>
        </w:rPr>
        <w:t>интервала, и такива с електролитни нарушения, като хипокалиемия, хипокалциемия или хипомагнезиемия. По време на употребата на сорафениб при такива пациенти трябва да се обмисли периодичен мониторинг с електрокардиограми и електролити (магнезий, калий, калций).</w:t>
      </w:r>
    </w:p>
    <w:p w14:paraId="42F97147" w14:textId="77777777" w:rsidR="00FE61A5" w:rsidRPr="00FE61A5" w:rsidRDefault="00FE61A5" w:rsidP="00FE61A5">
      <w:pPr>
        <w:spacing w:line="240" w:lineRule="auto"/>
        <w:rPr>
          <w:rFonts w:eastAsia="Times New Roman" w:cs="Arial"/>
          <w:color w:val="000000"/>
          <w:u w:val="single"/>
          <w:lang w:eastAsia="bg-BG"/>
        </w:rPr>
      </w:pPr>
    </w:p>
    <w:p w14:paraId="4EDCD871" w14:textId="2C0E7DB6"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Стомашно-чревна перфорация</w:t>
      </w:r>
    </w:p>
    <w:p w14:paraId="09684E88"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Стомашно-чревната перфорация е нечесто събитие, за което се съобщава при по-малко от 1% от пациентите, приемащи сорафениб. В някои случаи това не се свързва с наличен интраабдоминален тумор. Терапията със сорафениб трябва да се преустанови (вж. точка 4.8).</w:t>
      </w:r>
    </w:p>
    <w:p w14:paraId="7EBE40C9" w14:textId="77777777" w:rsidR="00FE61A5" w:rsidRPr="00FE61A5" w:rsidRDefault="00FE61A5" w:rsidP="00FE61A5">
      <w:pPr>
        <w:spacing w:line="240" w:lineRule="auto"/>
        <w:rPr>
          <w:rFonts w:eastAsia="Times New Roman" w:cs="Arial"/>
          <w:color w:val="000000"/>
          <w:u w:val="single"/>
          <w:lang w:eastAsia="bg-BG"/>
        </w:rPr>
      </w:pPr>
    </w:p>
    <w:p w14:paraId="019964F7" w14:textId="767B998A"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Чернодробно увреждане</w:t>
      </w:r>
    </w:p>
    <w:p w14:paraId="74C31BFD"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Няма данни за пациенти с </w:t>
      </w:r>
      <w:r w:rsidRPr="00FE61A5">
        <w:rPr>
          <w:rFonts w:eastAsia="Times New Roman" w:cs="Arial"/>
          <w:color w:val="000000"/>
          <w:lang w:val="en-US"/>
        </w:rPr>
        <w:t xml:space="preserve">Child Pugh </w:t>
      </w:r>
      <w:r w:rsidRPr="00FE61A5">
        <w:rPr>
          <w:rFonts w:eastAsia="Times New Roman" w:cs="Arial"/>
          <w:color w:val="000000"/>
          <w:lang w:eastAsia="bg-BG"/>
        </w:rPr>
        <w:t>С чернодробно увреждане (тежко). Тъй като сорафениб се елиминира предимно чрез черния дроб, експозицията може да бъде повишена при пациенти с тежко чернодробно увреждане (вж. точки 4.2 и 5.2).</w:t>
      </w:r>
    </w:p>
    <w:p w14:paraId="16C0B910" w14:textId="77777777" w:rsidR="00FE61A5" w:rsidRPr="00FE61A5" w:rsidRDefault="00FE61A5" w:rsidP="00FE61A5">
      <w:pPr>
        <w:spacing w:line="240" w:lineRule="auto"/>
        <w:rPr>
          <w:rFonts w:eastAsia="Times New Roman" w:cs="Arial"/>
          <w:color w:val="000000"/>
          <w:u w:val="single"/>
          <w:lang w:eastAsia="bg-BG"/>
        </w:rPr>
      </w:pPr>
    </w:p>
    <w:p w14:paraId="7C15A4F4" w14:textId="63C85062"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Едновременно приложение на варфарин</w:t>
      </w:r>
    </w:p>
    <w:p w14:paraId="65662D88"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Редки случаи на кръвотечения или повишаване на </w:t>
      </w:r>
      <w:r w:rsidRPr="00FE61A5">
        <w:rPr>
          <w:rFonts w:eastAsia="Times New Roman" w:cs="Arial"/>
          <w:color w:val="000000"/>
          <w:lang w:val="en-US"/>
        </w:rPr>
        <w:t xml:space="preserve">INR (International Normalized Ratio) </w:t>
      </w:r>
      <w:r w:rsidRPr="00FE61A5">
        <w:rPr>
          <w:rFonts w:eastAsia="Times New Roman" w:cs="Arial"/>
          <w:color w:val="000000"/>
          <w:lang w:eastAsia="bg-BG"/>
        </w:rPr>
        <w:t>са съобщени при някои пациенти, които са приемали варфарин, докато са на лечение със сорафениб.</w:t>
      </w:r>
    </w:p>
    <w:p w14:paraId="1BEDB537"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Пациентите, които приемат едновременно варфарин или фенпрокумон, трябва да се мониторират редовно за промени в протромбиновото време, </w:t>
      </w:r>
      <w:r w:rsidRPr="00FE61A5">
        <w:rPr>
          <w:rFonts w:eastAsia="Times New Roman" w:cs="Arial"/>
          <w:color w:val="000000"/>
          <w:lang w:val="en-US"/>
        </w:rPr>
        <w:t xml:space="preserve">INR </w:t>
      </w:r>
      <w:r w:rsidRPr="00FE61A5">
        <w:rPr>
          <w:rFonts w:eastAsia="Times New Roman" w:cs="Arial"/>
          <w:color w:val="000000"/>
          <w:lang w:eastAsia="bg-BG"/>
        </w:rPr>
        <w:t>или за клинично изявени кръвоизливи (вж. точка 4.5 и 4.8).</w:t>
      </w:r>
    </w:p>
    <w:p w14:paraId="5CB70174" w14:textId="77777777" w:rsidR="00FE61A5" w:rsidRPr="00FE61A5" w:rsidRDefault="00FE61A5" w:rsidP="00FE61A5">
      <w:pPr>
        <w:spacing w:line="240" w:lineRule="auto"/>
        <w:rPr>
          <w:rFonts w:eastAsia="Times New Roman" w:cs="Arial"/>
          <w:color w:val="000000"/>
          <w:u w:val="single"/>
          <w:lang w:eastAsia="bg-BG"/>
        </w:rPr>
      </w:pPr>
    </w:p>
    <w:p w14:paraId="094DCDA9" w14:textId="7A885F25"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Усложнения при зарастване на рани</w:t>
      </w:r>
    </w:p>
    <w:p w14:paraId="08D7753C"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Не са проведени специални проучвания за ефекта на сорафениб върху зарастването на рани. Препоръчва се временно прекъсване на лечението със сорафениб, като предпазна мярка при пациенти, претърпели големи хирургични операции. Има ограничен клиничен опит по отношение на възстановяване на лечението след големи хирургични интервенции. Следователно, решението да се поднови лечението със сорафениб след голяма хирургична интервенция трябва да се основава на клиничната преценка за адекватното заздравяване на раната.</w:t>
      </w:r>
    </w:p>
    <w:p w14:paraId="1D13F08B" w14:textId="77777777" w:rsidR="00FE61A5" w:rsidRPr="00FE61A5" w:rsidRDefault="00FE61A5" w:rsidP="00FE61A5">
      <w:pPr>
        <w:spacing w:line="240" w:lineRule="auto"/>
        <w:rPr>
          <w:rFonts w:eastAsia="Times New Roman" w:cs="Arial"/>
          <w:color w:val="000000"/>
          <w:u w:val="single"/>
          <w:lang w:eastAsia="bg-BG"/>
        </w:rPr>
      </w:pPr>
    </w:p>
    <w:p w14:paraId="4CB9320C" w14:textId="73BFB872"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Пациенти в старческа възраст</w:t>
      </w:r>
    </w:p>
    <w:p w14:paraId="77C1D97D"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Докладвани са случаи на бъбречна недостатъчност. Трябва да се има предвид мониториране на бъбречната функция.</w:t>
      </w:r>
    </w:p>
    <w:p w14:paraId="0C89A569" w14:textId="77777777" w:rsidR="00FE61A5" w:rsidRPr="00FE61A5" w:rsidRDefault="00FE61A5" w:rsidP="00FE61A5">
      <w:pPr>
        <w:spacing w:line="240" w:lineRule="auto"/>
        <w:rPr>
          <w:rFonts w:eastAsia="Times New Roman" w:cs="Arial"/>
          <w:color w:val="000000"/>
          <w:u w:val="single"/>
          <w:lang w:eastAsia="bg-BG"/>
        </w:rPr>
      </w:pPr>
    </w:p>
    <w:p w14:paraId="62C17629" w14:textId="20FFB32E"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Взаимодействия лекарство-лекарство</w:t>
      </w:r>
    </w:p>
    <w:p w14:paraId="32DEF683"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Внимание е необходимо, когато се прилага сорафениб със съединения, които се метаболизират/елиминират предимно чрез </w:t>
      </w:r>
      <w:r w:rsidRPr="00FE61A5">
        <w:rPr>
          <w:rFonts w:eastAsia="Times New Roman" w:cs="Arial"/>
          <w:color w:val="000000"/>
          <w:lang w:val="en-US"/>
        </w:rPr>
        <w:t xml:space="preserve">UGT1A1 </w:t>
      </w:r>
      <w:r w:rsidRPr="00FE61A5">
        <w:rPr>
          <w:rFonts w:eastAsia="Times New Roman" w:cs="Arial"/>
          <w:color w:val="000000"/>
          <w:lang w:eastAsia="bg-BG"/>
        </w:rPr>
        <w:t xml:space="preserve">(напр. иринотекан) или </w:t>
      </w:r>
      <w:r w:rsidRPr="00FE61A5">
        <w:rPr>
          <w:rFonts w:eastAsia="Times New Roman" w:cs="Arial"/>
          <w:color w:val="000000"/>
          <w:lang w:val="en-US"/>
        </w:rPr>
        <w:t xml:space="preserve">UGT1A9 </w:t>
      </w:r>
      <w:r w:rsidRPr="00FE61A5">
        <w:rPr>
          <w:rFonts w:eastAsia="Times New Roman" w:cs="Arial"/>
          <w:color w:val="000000"/>
          <w:lang w:eastAsia="bg-BG"/>
        </w:rPr>
        <w:t>(вж. точка 4.5).</w:t>
      </w:r>
    </w:p>
    <w:p w14:paraId="5FE16883" w14:textId="77777777" w:rsidR="00FE61A5" w:rsidRPr="00FE61A5" w:rsidRDefault="00FE61A5" w:rsidP="00FE61A5">
      <w:pPr>
        <w:spacing w:line="240" w:lineRule="auto"/>
        <w:rPr>
          <w:rFonts w:eastAsia="Times New Roman" w:cs="Arial"/>
          <w:color w:val="000000"/>
          <w:lang w:eastAsia="bg-BG"/>
        </w:rPr>
      </w:pPr>
    </w:p>
    <w:p w14:paraId="2EA3BD7B" w14:textId="1F88D85F"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Препоръчва се внимание при едновременното приложение на сорафениб с доцетаксел (вж. точка 4.5)</w:t>
      </w:r>
    </w:p>
    <w:p w14:paraId="3E0D4E7D" w14:textId="77777777" w:rsidR="00FE61A5" w:rsidRPr="00FE61A5" w:rsidRDefault="00FE61A5" w:rsidP="00FE61A5">
      <w:pPr>
        <w:spacing w:line="240" w:lineRule="auto"/>
        <w:rPr>
          <w:rFonts w:eastAsia="Times New Roman" w:cs="Arial"/>
          <w:color w:val="000000"/>
          <w:lang w:eastAsia="bg-BG"/>
        </w:rPr>
      </w:pPr>
    </w:p>
    <w:p w14:paraId="14D2A5FB" w14:textId="77777777" w:rsidR="00FE61A5" w:rsidRPr="00FE61A5" w:rsidRDefault="00FE61A5" w:rsidP="00FE61A5">
      <w:pPr>
        <w:rPr>
          <w:rFonts w:eastAsia="Times New Roman" w:cs="Arial"/>
          <w:lang w:eastAsia="bg-BG"/>
        </w:rPr>
      </w:pPr>
      <w:r w:rsidRPr="00FE61A5">
        <w:rPr>
          <w:rFonts w:eastAsia="Times New Roman" w:cs="Arial"/>
          <w:color w:val="000000"/>
          <w:lang w:eastAsia="bg-BG"/>
        </w:rPr>
        <w:t>Едновременното прилагане на неомицин или други антибиотици, които причиняват значителени екологични смущения в стомашно-чревната микрофлора, могат да доведат до намаляване на</w:t>
      </w:r>
      <w:r w:rsidRPr="00FE61A5">
        <w:rPr>
          <w:rFonts w:eastAsia="Times New Roman" w:cs="Arial"/>
          <w:color w:val="000000"/>
          <w:lang w:val="en-US" w:eastAsia="bg-BG"/>
        </w:rPr>
        <w:t xml:space="preserve"> </w:t>
      </w:r>
      <w:r w:rsidRPr="00FE61A5">
        <w:rPr>
          <w:rFonts w:eastAsia="Times New Roman" w:cs="Arial"/>
          <w:color w:val="000000"/>
          <w:lang w:eastAsia="bg-BG"/>
        </w:rPr>
        <w:t xml:space="preserve">бионаличността на сорафениб (вж. точка 4.5). Трябва да се има </w:t>
      </w:r>
      <w:r w:rsidRPr="00FE61A5">
        <w:rPr>
          <w:rFonts w:eastAsia="Times New Roman" w:cs="Arial"/>
          <w:color w:val="000000"/>
          <w:lang w:eastAsia="bg-BG"/>
        </w:rPr>
        <w:lastRenderedPageBreak/>
        <w:t>предвид рискът от намалени плазмени концентрации на сорафениб преди започването на курс на лечение с антибиотици.</w:t>
      </w:r>
    </w:p>
    <w:p w14:paraId="237C8315" w14:textId="77777777" w:rsidR="00FE61A5" w:rsidRPr="00FE61A5" w:rsidRDefault="00FE61A5" w:rsidP="00FE61A5">
      <w:pPr>
        <w:spacing w:line="240" w:lineRule="auto"/>
        <w:rPr>
          <w:rFonts w:eastAsia="Times New Roman" w:cs="Arial"/>
          <w:color w:val="000000"/>
          <w:lang w:eastAsia="bg-BG"/>
        </w:rPr>
      </w:pPr>
    </w:p>
    <w:p w14:paraId="70365A4F" w14:textId="7200CB19"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Съобщава се за по-висока смъртност при пациенти с плоскоклетъчен карцином на белия дроб, лекувани със сорафениб в комбинация с химиотерапии на основата на платина. В две рандомизирани изпитвания, изследващи пациенти с недребноклетъчен карцином на белия дроб в подгрупата на пациенти с плоскоклетъчен карцином, лекувани със сорафениб като допълнение към паклитаксел/карбоплатин, коефициентът на риск за общата преживяемост е оценен на 1,81 (95% </w:t>
      </w:r>
      <w:r w:rsidRPr="00FE61A5">
        <w:rPr>
          <w:rFonts w:eastAsia="Times New Roman" w:cs="Arial"/>
          <w:color w:val="000000"/>
          <w:lang w:val="en-US"/>
        </w:rPr>
        <w:t xml:space="preserve">CI </w:t>
      </w:r>
      <w:r w:rsidRPr="00FE61A5">
        <w:rPr>
          <w:rFonts w:eastAsia="Times New Roman" w:cs="Arial"/>
          <w:color w:val="000000"/>
          <w:lang w:eastAsia="bg-BG"/>
        </w:rPr>
        <w:t xml:space="preserve">1,19; 2,74), а като допълнение към гемцитабин/цисплатин - 1,22 (95% </w:t>
      </w:r>
      <w:r w:rsidRPr="00FE61A5">
        <w:rPr>
          <w:rFonts w:eastAsia="Times New Roman" w:cs="Arial"/>
          <w:color w:val="000000"/>
          <w:lang w:val="en-US"/>
        </w:rPr>
        <w:t xml:space="preserve">CI </w:t>
      </w:r>
      <w:r w:rsidRPr="00FE61A5">
        <w:rPr>
          <w:rFonts w:eastAsia="Times New Roman" w:cs="Arial"/>
          <w:color w:val="000000"/>
          <w:lang w:eastAsia="bg-BG"/>
        </w:rPr>
        <w:t>0,82; 1,80). Няма изразена причина за смъртността, но са наблюдавани по-висока честота на белодробна недостатъчност, хеморагии и инфекциозни нежелани реакции при пациенти, лекувани със сорафениб като допълнение на химиотерапии на основата на платина.</w:t>
      </w:r>
    </w:p>
    <w:p w14:paraId="52E3F210" w14:textId="77777777" w:rsidR="00FE61A5" w:rsidRPr="00FE61A5" w:rsidRDefault="00FE61A5" w:rsidP="00FE61A5">
      <w:pPr>
        <w:spacing w:line="240" w:lineRule="auto"/>
        <w:rPr>
          <w:rFonts w:eastAsia="Times New Roman" w:cs="Arial"/>
          <w:color w:val="000000"/>
          <w:u w:val="single"/>
          <w:lang w:eastAsia="bg-BG"/>
        </w:rPr>
      </w:pPr>
    </w:p>
    <w:p w14:paraId="70337784" w14:textId="7ABD7FFC"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Специфични предупреждения в зависимост от заболяването</w:t>
      </w:r>
    </w:p>
    <w:p w14:paraId="20EEAEDC" w14:textId="77777777" w:rsidR="00FE61A5" w:rsidRPr="00FE61A5" w:rsidRDefault="00FE61A5" w:rsidP="00FE61A5">
      <w:pPr>
        <w:spacing w:line="240" w:lineRule="auto"/>
        <w:rPr>
          <w:rFonts w:eastAsia="Times New Roman" w:cs="Arial"/>
          <w:i/>
          <w:iCs/>
          <w:color w:val="000000"/>
          <w:u w:val="single"/>
          <w:lang w:eastAsia="bg-BG"/>
        </w:rPr>
      </w:pPr>
    </w:p>
    <w:p w14:paraId="017CF5AC" w14:textId="0DCA320C" w:rsidR="00FE61A5" w:rsidRPr="00FE61A5" w:rsidRDefault="00FE61A5" w:rsidP="00FE61A5">
      <w:pPr>
        <w:spacing w:line="240" w:lineRule="auto"/>
        <w:rPr>
          <w:rFonts w:eastAsia="Times New Roman" w:cs="Arial"/>
          <w:lang w:eastAsia="bg-BG"/>
        </w:rPr>
      </w:pPr>
      <w:r w:rsidRPr="00FE61A5">
        <w:rPr>
          <w:rFonts w:eastAsia="Times New Roman" w:cs="Arial"/>
          <w:i/>
          <w:iCs/>
          <w:color w:val="000000"/>
          <w:u w:val="single"/>
          <w:lang w:eastAsia="bg-BG"/>
        </w:rPr>
        <w:t>Бъбречно-клетъчен карцином</w:t>
      </w:r>
    </w:p>
    <w:p w14:paraId="25B29A93" w14:textId="77777777" w:rsidR="00FE61A5" w:rsidRPr="00FE61A5" w:rsidRDefault="00FE61A5" w:rsidP="00FE61A5">
      <w:pPr>
        <w:spacing w:line="240" w:lineRule="auto"/>
        <w:rPr>
          <w:rFonts w:eastAsia="Times New Roman" w:cs="Arial"/>
          <w:color w:val="000000"/>
          <w:lang w:eastAsia="bg-BG"/>
        </w:rPr>
      </w:pPr>
    </w:p>
    <w:p w14:paraId="31E97E8F" w14:textId="7FB6DFBF"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Пациенти от прогностичната група с висок риск по </w:t>
      </w:r>
      <w:r w:rsidRPr="00FE61A5">
        <w:rPr>
          <w:rFonts w:eastAsia="Times New Roman" w:cs="Arial"/>
          <w:color w:val="000000"/>
          <w:lang w:val="en-US"/>
        </w:rPr>
        <w:t xml:space="preserve">MSKCC (Memorial Sloan Kettering Cancer Center) </w:t>
      </w:r>
      <w:r w:rsidRPr="00FE61A5">
        <w:rPr>
          <w:rFonts w:eastAsia="Times New Roman" w:cs="Arial"/>
          <w:color w:val="000000"/>
          <w:lang w:eastAsia="bg-BG"/>
        </w:rPr>
        <w:t xml:space="preserve">не са били включени в клинично проучване фаза </w:t>
      </w:r>
      <w:r w:rsidRPr="00FE61A5">
        <w:rPr>
          <w:rFonts w:eastAsia="Times New Roman" w:cs="Arial"/>
          <w:color w:val="000000"/>
          <w:lang w:val="en-US"/>
        </w:rPr>
        <w:t>III</w:t>
      </w:r>
      <w:r w:rsidRPr="00FE61A5">
        <w:rPr>
          <w:rFonts w:eastAsia="Times New Roman" w:cs="Arial"/>
          <w:color w:val="000000"/>
          <w:lang w:eastAsia="bg-BG"/>
        </w:rPr>
        <w:t xml:space="preserve"> при бъбречно-клетъчен карцином (вж. проучване 1 в точка 5.1), и при тези пациенти не е оценявано съотношението полза-риск.</w:t>
      </w:r>
    </w:p>
    <w:p w14:paraId="7B5A6E21" w14:textId="77777777" w:rsidR="00FE61A5" w:rsidRPr="00FE61A5" w:rsidRDefault="00FE61A5" w:rsidP="00FE61A5">
      <w:pPr>
        <w:spacing w:line="240" w:lineRule="auto"/>
        <w:rPr>
          <w:rFonts w:eastAsia="Times New Roman" w:cs="Arial"/>
          <w:color w:val="000000"/>
          <w:u w:val="single"/>
          <w:lang w:eastAsia="bg-BG"/>
        </w:rPr>
      </w:pPr>
    </w:p>
    <w:p w14:paraId="65A8FAD5" w14:textId="4FE0BA5D"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Информация за помощните вещества</w:t>
      </w:r>
    </w:p>
    <w:p w14:paraId="47BBC891" w14:textId="77777777" w:rsidR="00FE61A5" w:rsidRPr="00FE61A5" w:rsidRDefault="00FE61A5" w:rsidP="00FE61A5">
      <w:pPr>
        <w:spacing w:line="240" w:lineRule="auto"/>
        <w:rPr>
          <w:rFonts w:eastAsia="Times New Roman" w:cs="Arial"/>
          <w:color w:val="000000"/>
          <w:lang w:eastAsia="bg-BG"/>
        </w:rPr>
      </w:pPr>
    </w:p>
    <w:p w14:paraId="1EAB9C47" w14:textId="573FDADA"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Това лекарство съдържа по-малко от 1 </w:t>
      </w:r>
      <w:r w:rsidRPr="00FE61A5">
        <w:rPr>
          <w:rFonts w:eastAsia="Times New Roman" w:cs="Arial"/>
          <w:color w:val="000000"/>
          <w:lang w:val="en-US"/>
        </w:rPr>
        <w:t xml:space="preserve">mmol </w:t>
      </w:r>
      <w:r w:rsidRPr="00FE61A5">
        <w:rPr>
          <w:rFonts w:eastAsia="Times New Roman" w:cs="Arial"/>
          <w:color w:val="000000"/>
          <w:lang w:eastAsia="bg-BG"/>
        </w:rPr>
        <w:t xml:space="preserve">натрий (23 </w:t>
      </w:r>
      <w:r w:rsidRPr="00FE61A5">
        <w:rPr>
          <w:rFonts w:eastAsia="Times New Roman" w:cs="Arial"/>
          <w:color w:val="000000"/>
          <w:lang w:val="en-US"/>
        </w:rPr>
        <w:t xml:space="preserve">mg) </w:t>
      </w:r>
      <w:r w:rsidRPr="00FE61A5">
        <w:rPr>
          <w:rFonts w:eastAsia="Times New Roman" w:cs="Arial"/>
          <w:color w:val="000000"/>
          <w:lang w:eastAsia="bg-BG"/>
        </w:rPr>
        <w:t>на доза, т.е. може да се каже, че практически не съдържа натрий</w:t>
      </w:r>
    </w:p>
    <w:p w14:paraId="74C628E7" w14:textId="38971853" w:rsidR="00FE61A5" w:rsidRPr="00FE61A5" w:rsidRDefault="00FE61A5" w:rsidP="00FE61A5">
      <w:pPr>
        <w:spacing w:line="240" w:lineRule="auto"/>
        <w:rPr>
          <w:rFonts w:ascii="Times New Roman" w:eastAsia="Times New Roman" w:hAnsi="Times New Roman" w:cs="Times New Roman"/>
          <w:sz w:val="24"/>
          <w:szCs w:val="24"/>
          <w:lang w:val="en-US" w:eastAsia="bg-BG"/>
        </w:rPr>
      </w:pPr>
    </w:p>
    <w:p w14:paraId="42B2043B" w14:textId="711C2F09" w:rsidR="00FE61A5" w:rsidRPr="00FE61A5" w:rsidRDefault="00FE61A5" w:rsidP="00FE61A5">
      <w:pPr>
        <w:rPr>
          <w:lang w:val="en-US"/>
        </w:rPr>
      </w:pPr>
    </w:p>
    <w:p w14:paraId="524AC966" w14:textId="1ED91394" w:rsidR="001A6EBD" w:rsidRDefault="002C50EE" w:rsidP="00471F1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8D0C77F" w14:textId="4C82057D" w:rsidR="00FE61A5" w:rsidRDefault="00FE61A5" w:rsidP="00FE61A5"/>
    <w:p w14:paraId="58888F7E"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Индуктори на метаболитни ензими</w:t>
      </w:r>
    </w:p>
    <w:p w14:paraId="09F5BF1A"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Приложението на рифампицин за 5 дни преди приложението на еднократна доза сорафениб води средно до 37% редукция на </w:t>
      </w:r>
      <w:r w:rsidRPr="00FE61A5">
        <w:rPr>
          <w:rFonts w:eastAsia="Times New Roman" w:cs="Arial"/>
          <w:color w:val="000000"/>
          <w:lang w:val="en-US"/>
        </w:rPr>
        <w:t xml:space="preserve">AUC </w:t>
      </w:r>
      <w:r w:rsidRPr="00FE61A5">
        <w:rPr>
          <w:rFonts w:eastAsia="Times New Roman" w:cs="Arial"/>
          <w:color w:val="000000"/>
          <w:lang w:eastAsia="bg-BG"/>
        </w:rPr>
        <w:t xml:space="preserve">на сорафениб. Само индуктори на </w:t>
      </w:r>
      <w:r w:rsidRPr="00FE61A5">
        <w:rPr>
          <w:rFonts w:eastAsia="Times New Roman" w:cs="Arial"/>
          <w:color w:val="000000"/>
          <w:lang w:val="en-US"/>
        </w:rPr>
        <w:t xml:space="preserve">CYP3A4 </w:t>
      </w:r>
      <w:r w:rsidRPr="00FE61A5">
        <w:rPr>
          <w:rFonts w:eastAsia="Times New Roman" w:cs="Arial"/>
          <w:color w:val="000000"/>
          <w:lang w:eastAsia="bg-BG"/>
        </w:rPr>
        <w:t>активност и/или глюкурониране (напр. жълт кантарион, фенитоин, карбамазепин, фенобарбитал и дексаметазон) могат също да повишат метаболизма на сорафениб и по този начин да понижат концентрациите му.</w:t>
      </w:r>
    </w:p>
    <w:p w14:paraId="68375BFE" w14:textId="77777777" w:rsidR="00FE61A5" w:rsidRPr="00FE61A5" w:rsidRDefault="00FE61A5" w:rsidP="00FE61A5">
      <w:pPr>
        <w:spacing w:line="240" w:lineRule="auto"/>
        <w:rPr>
          <w:rFonts w:eastAsia="Times New Roman" w:cs="Arial"/>
          <w:color w:val="000000"/>
          <w:u w:val="single"/>
          <w:lang w:eastAsia="bg-BG"/>
        </w:rPr>
      </w:pPr>
    </w:p>
    <w:p w14:paraId="33B0F242" w14:textId="230DEC84"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 xml:space="preserve">Инхибитори </w:t>
      </w:r>
      <w:r w:rsidRPr="00FE61A5">
        <w:rPr>
          <w:rFonts w:eastAsia="Times New Roman" w:cs="Arial"/>
          <w:color w:val="000000"/>
          <w:u w:val="single"/>
          <w:lang w:val="en-US"/>
        </w:rPr>
        <w:t>CYP3A4</w:t>
      </w:r>
    </w:p>
    <w:p w14:paraId="264A8F17"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Кетоконазол, силен инхибитор на </w:t>
      </w:r>
      <w:r w:rsidRPr="00FE61A5">
        <w:rPr>
          <w:rFonts w:eastAsia="Times New Roman" w:cs="Arial"/>
          <w:color w:val="000000"/>
          <w:lang w:val="en-US"/>
        </w:rPr>
        <w:t xml:space="preserve">CYP3A4, </w:t>
      </w:r>
      <w:r w:rsidRPr="00FE61A5">
        <w:rPr>
          <w:rFonts w:eastAsia="Times New Roman" w:cs="Arial"/>
          <w:color w:val="000000"/>
          <w:lang w:eastAsia="bg-BG"/>
        </w:rPr>
        <w:t xml:space="preserve">приложен един път дневно в продължение на 7 дни на здрави мъже доброволци не променя </w:t>
      </w:r>
      <w:r w:rsidRPr="00FE61A5">
        <w:rPr>
          <w:rFonts w:eastAsia="Times New Roman" w:cs="Arial"/>
          <w:color w:val="000000"/>
          <w:lang w:val="en-US"/>
        </w:rPr>
        <w:t xml:space="preserve">AUC </w:t>
      </w:r>
      <w:r w:rsidRPr="00FE61A5">
        <w:rPr>
          <w:rFonts w:eastAsia="Times New Roman" w:cs="Arial"/>
          <w:color w:val="000000"/>
          <w:lang w:eastAsia="bg-BG"/>
        </w:rPr>
        <w:t xml:space="preserve">на единична доза 50 </w:t>
      </w:r>
      <w:r w:rsidRPr="00FE61A5">
        <w:rPr>
          <w:rFonts w:eastAsia="Times New Roman" w:cs="Arial"/>
          <w:color w:val="000000"/>
          <w:lang w:val="en-US"/>
        </w:rPr>
        <w:t xml:space="preserve">mg </w:t>
      </w:r>
      <w:r w:rsidRPr="00FE61A5">
        <w:rPr>
          <w:rFonts w:eastAsia="Times New Roman" w:cs="Arial"/>
          <w:color w:val="000000"/>
          <w:lang w:eastAsia="bg-BG"/>
        </w:rPr>
        <w:t xml:space="preserve">сорафениб. Тези данни показват, че клиничните фармакокинетични взаимодействия на сорафениб с </w:t>
      </w:r>
      <w:r w:rsidRPr="00FE61A5">
        <w:rPr>
          <w:rFonts w:eastAsia="Times New Roman" w:cs="Arial"/>
          <w:color w:val="000000"/>
          <w:lang w:val="en-US"/>
        </w:rPr>
        <w:t xml:space="preserve">CYP3A4 </w:t>
      </w:r>
      <w:r w:rsidRPr="00FE61A5">
        <w:rPr>
          <w:rFonts w:eastAsia="Times New Roman" w:cs="Arial"/>
          <w:color w:val="000000"/>
          <w:lang w:eastAsia="bg-BG"/>
        </w:rPr>
        <w:t>инхибитори са малко вероятни.</w:t>
      </w:r>
    </w:p>
    <w:p w14:paraId="246722E3" w14:textId="77777777" w:rsidR="00FE61A5" w:rsidRPr="00FE61A5" w:rsidRDefault="00FE61A5" w:rsidP="00FE61A5">
      <w:pPr>
        <w:spacing w:line="240" w:lineRule="auto"/>
        <w:rPr>
          <w:rFonts w:eastAsia="Times New Roman" w:cs="Arial"/>
          <w:color w:val="000000"/>
          <w:u w:val="single"/>
          <w:lang w:eastAsia="bg-BG"/>
        </w:rPr>
      </w:pPr>
    </w:p>
    <w:p w14:paraId="15603947" w14:textId="2ED10986"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 xml:space="preserve">Субстрати на </w:t>
      </w:r>
      <w:r w:rsidRPr="00FE61A5">
        <w:rPr>
          <w:rFonts w:eastAsia="Times New Roman" w:cs="Arial"/>
          <w:color w:val="000000"/>
          <w:u w:val="single"/>
          <w:lang w:val="en-US"/>
        </w:rPr>
        <w:t xml:space="preserve">CYP2B6, CYP2C8 </w:t>
      </w:r>
      <w:r w:rsidRPr="00FE61A5">
        <w:rPr>
          <w:rFonts w:eastAsia="Times New Roman" w:cs="Arial"/>
          <w:color w:val="000000"/>
          <w:u w:val="single"/>
          <w:lang w:eastAsia="bg-BG"/>
        </w:rPr>
        <w:t xml:space="preserve">и </w:t>
      </w:r>
      <w:r w:rsidRPr="00FE61A5">
        <w:rPr>
          <w:rFonts w:eastAsia="Times New Roman" w:cs="Arial"/>
          <w:color w:val="000000"/>
          <w:u w:val="single"/>
          <w:lang w:val="en-US"/>
        </w:rPr>
        <w:t>CYP2C9</w:t>
      </w:r>
    </w:p>
    <w:p w14:paraId="27821D0E"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Сорафениб инхибира </w:t>
      </w:r>
      <w:r w:rsidRPr="00FE61A5">
        <w:rPr>
          <w:rFonts w:eastAsia="Times New Roman" w:cs="Arial"/>
          <w:i/>
          <w:iCs/>
          <w:color w:val="000000"/>
          <w:lang w:val="en-US"/>
        </w:rPr>
        <w:t>in vitro</w:t>
      </w:r>
      <w:r w:rsidRPr="00FE61A5">
        <w:rPr>
          <w:rFonts w:eastAsia="Times New Roman" w:cs="Arial"/>
          <w:color w:val="000000"/>
          <w:lang w:val="en-US"/>
        </w:rPr>
        <w:t xml:space="preserve"> </w:t>
      </w:r>
      <w:r w:rsidRPr="00FE61A5">
        <w:rPr>
          <w:rFonts w:eastAsia="Times New Roman" w:cs="Arial"/>
          <w:color w:val="000000"/>
          <w:lang w:eastAsia="bg-BG"/>
        </w:rPr>
        <w:t xml:space="preserve">почти еднакво </w:t>
      </w:r>
      <w:r w:rsidRPr="00FE61A5">
        <w:rPr>
          <w:rFonts w:eastAsia="Times New Roman" w:cs="Arial"/>
          <w:color w:val="000000"/>
          <w:lang w:val="en-US"/>
        </w:rPr>
        <w:t xml:space="preserve">CYP2B6, CYP2C8 </w:t>
      </w:r>
      <w:r w:rsidRPr="00FE61A5">
        <w:rPr>
          <w:rFonts w:eastAsia="Times New Roman" w:cs="Arial"/>
          <w:color w:val="000000"/>
          <w:lang w:eastAsia="bg-BG"/>
        </w:rPr>
        <w:t xml:space="preserve">и </w:t>
      </w:r>
      <w:r w:rsidRPr="00FE61A5">
        <w:rPr>
          <w:rFonts w:eastAsia="Times New Roman" w:cs="Arial"/>
          <w:color w:val="000000"/>
          <w:lang w:val="en-US"/>
        </w:rPr>
        <w:t xml:space="preserve">CYP2C9. </w:t>
      </w:r>
      <w:r w:rsidRPr="00FE61A5">
        <w:rPr>
          <w:rFonts w:eastAsia="Times New Roman" w:cs="Arial"/>
          <w:color w:val="000000"/>
          <w:lang w:eastAsia="bg-BG"/>
        </w:rPr>
        <w:t xml:space="preserve">Въпреки това, в клинични фармакокинетични изпитвания едновременното приложение на сорафениб 400 </w:t>
      </w:r>
      <w:r w:rsidRPr="00FE61A5">
        <w:rPr>
          <w:rFonts w:eastAsia="Times New Roman" w:cs="Arial"/>
          <w:color w:val="000000"/>
          <w:lang w:val="en-US"/>
        </w:rPr>
        <w:t xml:space="preserve">mg </w:t>
      </w:r>
      <w:r w:rsidRPr="00FE61A5">
        <w:rPr>
          <w:rFonts w:eastAsia="Times New Roman" w:cs="Arial"/>
          <w:color w:val="000000"/>
          <w:lang w:eastAsia="bg-BG"/>
        </w:rPr>
        <w:t xml:space="preserve">два пъти дневно с циклофосфамид, субстрат на </w:t>
      </w:r>
      <w:r w:rsidRPr="00FE61A5">
        <w:rPr>
          <w:rFonts w:eastAsia="Times New Roman" w:cs="Arial"/>
          <w:color w:val="000000"/>
          <w:lang w:val="en-US"/>
        </w:rPr>
        <w:t xml:space="preserve">CYP2B6, </w:t>
      </w:r>
      <w:r w:rsidRPr="00FE61A5">
        <w:rPr>
          <w:rFonts w:eastAsia="Times New Roman" w:cs="Arial"/>
          <w:color w:val="000000"/>
          <w:lang w:eastAsia="bg-BG"/>
        </w:rPr>
        <w:t xml:space="preserve">или с паклитаксел, субстрат на </w:t>
      </w:r>
      <w:r w:rsidRPr="00FE61A5">
        <w:rPr>
          <w:rFonts w:eastAsia="Times New Roman" w:cs="Arial"/>
          <w:color w:val="000000"/>
          <w:lang w:val="en-US"/>
        </w:rPr>
        <w:t xml:space="preserve">CYP2C8, </w:t>
      </w:r>
      <w:r w:rsidRPr="00FE61A5">
        <w:rPr>
          <w:rFonts w:eastAsia="Times New Roman" w:cs="Arial"/>
          <w:color w:val="000000"/>
          <w:lang w:eastAsia="bg-BG"/>
        </w:rPr>
        <w:t xml:space="preserve">не води до клинично значимо инхибиране. Тези данни предполагат, че </w:t>
      </w:r>
      <w:r w:rsidRPr="00FE61A5">
        <w:rPr>
          <w:rFonts w:eastAsia="Times New Roman" w:cs="Arial"/>
          <w:color w:val="000000"/>
          <w:lang w:eastAsia="bg-BG"/>
        </w:rPr>
        <w:lastRenderedPageBreak/>
        <w:t xml:space="preserve">сорафениб в препоръчителната доза 400 </w:t>
      </w:r>
      <w:r w:rsidRPr="00FE61A5">
        <w:rPr>
          <w:rFonts w:eastAsia="Times New Roman" w:cs="Arial"/>
          <w:color w:val="000000"/>
          <w:lang w:val="en-US"/>
        </w:rPr>
        <w:t xml:space="preserve">mg </w:t>
      </w:r>
      <w:r w:rsidRPr="00FE61A5">
        <w:rPr>
          <w:rFonts w:eastAsia="Times New Roman" w:cs="Arial"/>
          <w:color w:val="000000"/>
          <w:lang w:eastAsia="bg-BG"/>
        </w:rPr>
        <w:t xml:space="preserve">два пъти дневно не може да бъде </w:t>
      </w:r>
      <w:r w:rsidRPr="00FE61A5">
        <w:rPr>
          <w:rFonts w:eastAsia="Times New Roman" w:cs="Arial"/>
          <w:i/>
          <w:iCs/>
          <w:color w:val="000000"/>
          <w:lang w:val="en-US"/>
        </w:rPr>
        <w:t>in vivo</w:t>
      </w:r>
      <w:r w:rsidRPr="00FE61A5">
        <w:rPr>
          <w:rFonts w:eastAsia="Times New Roman" w:cs="Arial"/>
          <w:color w:val="000000"/>
          <w:lang w:val="en-US"/>
        </w:rPr>
        <w:t xml:space="preserve"> </w:t>
      </w:r>
      <w:r w:rsidRPr="00FE61A5">
        <w:rPr>
          <w:rFonts w:eastAsia="Times New Roman" w:cs="Arial"/>
          <w:color w:val="000000"/>
          <w:lang w:eastAsia="bg-BG"/>
        </w:rPr>
        <w:t>инхибитор</w:t>
      </w:r>
      <w:r w:rsidRPr="00FE61A5">
        <w:rPr>
          <w:rFonts w:eastAsia="Times New Roman" w:cs="Arial"/>
          <w:color w:val="000000"/>
          <w:lang w:val="en-US"/>
        </w:rPr>
        <w:t xml:space="preserve"> </w:t>
      </w:r>
      <w:r w:rsidRPr="00FE61A5">
        <w:rPr>
          <w:rFonts w:eastAsia="Times New Roman" w:cs="Arial"/>
          <w:color w:val="000000"/>
          <w:lang w:eastAsia="bg-BG"/>
        </w:rPr>
        <w:t xml:space="preserve">на </w:t>
      </w:r>
      <w:r w:rsidRPr="00FE61A5">
        <w:rPr>
          <w:rFonts w:eastAsia="Times New Roman" w:cs="Arial"/>
          <w:color w:val="000000"/>
          <w:lang w:val="en-US"/>
        </w:rPr>
        <w:t xml:space="preserve">CYP2B6 </w:t>
      </w:r>
      <w:r w:rsidRPr="00FE61A5">
        <w:rPr>
          <w:rFonts w:eastAsia="Times New Roman" w:cs="Arial"/>
          <w:color w:val="000000"/>
          <w:lang w:eastAsia="bg-BG"/>
        </w:rPr>
        <w:t xml:space="preserve">и </w:t>
      </w:r>
      <w:r w:rsidRPr="00FE61A5">
        <w:rPr>
          <w:rFonts w:eastAsia="Times New Roman" w:cs="Arial"/>
          <w:color w:val="000000"/>
          <w:lang w:val="en-US"/>
        </w:rPr>
        <w:t>CYP2C8.</w:t>
      </w:r>
    </w:p>
    <w:p w14:paraId="331968A6" w14:textId="23B223B3" w:rsidR="00FE61A5" w:rsidRPr="00FE61A5" w:rsidRDefault="00FE61A5" w:rsidP="00FE61A5">
      <w:pPr>
        <w:rPr>
          <w:rFonts w:cs="Arial"/>
          <w:sz w:val="24"/>
          <w:szCs w:val="24"/>
        </w:rPr>
      </w:pPr>
    </w:p>
    <w:p w14:paraId="49C9FCEF"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В допълнение, едновременното лечение със сорафениб и варфарин, субстрат на </w:t>
      </w:r>
      <w:r w:rsidRPr="00FE61A5">
        <w:rPr>
          <w:rFonts w:eastAsia="Times New Roman" w:cs="Arial"/>
          <w:color w:val="000000"/>
          <w:lang w:val="en-US"/>
        </w:rPr>
        <w:t xml:space="preserve">CYP2C9, </w:t>
      </w:r>
      <w:r w:rsidRPr="00FE61A5">
        <w:rPr>
          <w:rFonts w:eastAsia="Times New Roman" w:cs="Arial"/>
          <w:color w:val="000000"/>
          <w:lang w:eastAsia="bg-BG"/>
        </w:rPr>
        <w:t xml:space="preserve">не води до изменение в средното </w:t>
      </w:r>
      <w:r w:rsidRPr="00FE61A5">
        <w:rPr>
          <w:rFonts w:eastAsia="Times New Roman" w:cs="Arial"/>
          <w:color w:val="000000"/>
          <w:lang w:val="en-US"/>
        </w:rPr>
        <w:t xml:space="preserve">PT-INR </w:t>
      </w:r>
      <w:r w:rsidRPr="00FE61A5">
        <w:rPr>
          <w:rFonts w:eastAsia="Times New Roman" w:cs="Arial"/>
          <w:i/>
          <w:iCs/>
          <w:color w:val="000000"/>
          <w:lang w:val="en-US"/>
        </w:rPr>
        <w:t>(Prothrombin Time-International Normalised Ratio),</w:t>
      </w:r>
      <w:r w:rsidRPr="00FE61A5">
        <w:rPr>
          <w:rFonts w:eastAsia="Times New Roman" w:cs="Arial"/>
          <w:color w:val="000000"/>
          <w:lang w:val="en-US"/>
        </w:rPr>
        <w:t xml:space="preserve"> </w:t>
      </w:r>
      <w:r w:rsidRPr="00FE61A5">
        <w:rPr>
          <w:rFonts w:eastAsia="Times New Roman" w:cs="Arial"/>
          <w:color w:val="000000"/>
          <w:lang w:eastAsia="bg-BG"/>
        </w:rPr>
        <w:t xml:space="preserve">в сравнение с плацебо. Следователно може да се очаква, рискът за клинично значимо </w:t>
      </w:r>
      <w:r w:rsidRPr="00FE61A5">
        <w:rPr>
          <w:rFonts w:eastAsia="Times New Roman" w:cs="Arial"/>
          <w:i/>
          <w:iCs/>
          <w:color w:val="000000"/>
          <w:lang w:val="en-US"/>
        </w:rPr>
        <w:t>in vivo</w:t>
      </w:r>
      <w:r w:rsidRPr="00FE61A5">
        <w:rPr>
          <w:rFonts w:eastAsia="Times New Roman" w:cs="Arial"/>
          <w:color w:val="000000"/>
          <w:lang w:val="en-US"/>
        </w:rPr>
        <w:t xml:space="preserve"> </w:t>
      </w:r>
      <w:r w:rsidRPr="00FE61A5">
        <w:rPr>
          <w:rFonts w:eastAsia="Times New Roman" w:cs="Arial"/>
          <w:color w:val="000000"/>
          <w:lang w:eastAsia="bg-BG"/>
        </w:rPr>
        <w:t xml:space="preserve">инхибиране на </w:t>
      </w:r>
      <w:r w:rsidRPr="00FE61A5">
        <w:rPr>
          <w:rFonts w:eastAsia="Times New Roman" w:cs="Arial"/>
          <w:color w:val="000000"/>
          <w:lang w:val="en-US"/>
        </w:rPr>
        <w:t xml:space="preserve">CYP2C9 </w:t>
      </w:r>
      <w:r w:rsidRPr="00FE61A5">
        <w:rPr>
          <w:rFonts w:eastAsia="Times New Roman" w:cs="Arial"/>
          <w:color w:val="000000"/>
          <w:lang w:eastAsia="bg-BG"/>
        </w:rPr>
        <w:t xml:space="preserve">от сорафениб да бъде нисък. Все пак при пациенти, приемащи варфарин или фенпрокумон, </w:t>
      </w:r>
      <w:r w:rsidRPr="00FE61A5">
        <w:rPr>
          <w:rFonts w:eastAsia="Times New Roman" w:cs="Arial"/>
          <w:color w:val="000000"/>
          <w:lang w:val="en-US"/>
        </w:rPr>
        <w:t xml:space="preserve">INR </w:t>
      </w:r>
      <w:r w:rsidRPr="00FE61A5">
        <w:rPr>
          <w:rFonts w:eastAsia="Times New Roman" w:cs="Arial"/>
          <w:color w:val="000000"/>
          <w:lang w:eastAsia="bg-BG"/>
        </w:rPr>
        <w:t>трябва да се проверява редовно (вж. точка 4.4).</w:t>
      </w:r>
    </w:p>
    <w:p w14:paraId="3B515750" w14:textId="77777777" w:rsidR="00FE61A5" w:rsidRPr="00FE61A5" w:rsidRDefault="00FE61A5" w:rsidP="00FE61A5">
      <w:pPr>
        <w:spacing w:line="240" w:lineRule="auto"/>
        <w:rPr>
          <w:rFonts w:eastAsia="Times New Roman" w:cs="Arial"/>
          <w:color w:val="000000"/>
          <w:u w:val="single"/>
          <w:lang w:eastAsia="bg-BG"/>
        </w:rPr>
      </w:pPr>
    </w:p>
    <w:p w14:paraId="64F92D85" w14:textId="77776B03"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 xml:space="preserve">Субстрати на </w:t>
      </w:r>
      <w:r w:rsidRPr="00FE61A5">
        <w:rPr>
          <w:rFonts w:eastAsia="Times New Roman" w:cs="Arial"/>
          <w:color w:val="000000"/>
          <w:u w:val="single"/>
          <w:lang w:val="en-US"/>
        </w:rPr>
        <w:t xml:space="preserve">CYP3A4, CYP2D6 </w:t>
      </w:r>
      <w:r w:rsidRPr="00FE61A5">
        <w:rPr>
          <w:rFonts w:eastAsia="Times New Roman" w:cs="Arial"/>
          <w:color w:val="000000"/>
          <w:u w:val="single"/>
          <w:lang w:eastAsia="bg-BG"/>
        </w:rPr>
        <w:t xml:space="preserve">и </w:t>
      </w:r>
      <w:r w:rsidRPr="00FE61A5">
        <w:rPr>
          <w:rFonts w:eastAsia="Times New Roman" w:cs="Arial"/>
          <w:color w:val="000000"/>
          <w:u w:val="single"/>
          <w:lang w:val="en-US"/>
        </w:rPr>
        <w:t>CYP2C19</w:t>
      </w:r>
    </w:p>
    <w:p w14:paraId="46543935"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Едновременно приложение на сорафениб и мидазолам, декстрометорфан или омепразол, които са субстрати на цитохроми </w:t>
      </w:r>
      <w:r w:rsidRPr="00FE61A5">
        <w:rPr>
          <w:rFonts w:eastAsia="Times New Roman" w:cs="Arial"/>
          <w:color w:val="000000"/>
          <w:lang w:val="en-US"/>
        </w:rPr>
        <w:t xml:space="preserve">CYP3A4, CYP2D6 </w:t>
      </w:r>
      <w:r w:rsidRPr="00FE61A5">
        <w:rPr>
          <w:rFonts w:eastAsia="Times New Roman" w:cs="Arial"/>
          <w:color w:val="000000"/>
          <w:lang w:eastAsia="bg-BG"/>
        </w:rPr>
        <w:t xml:space="preserve">и </w:t>
      </w:r>
      <w:r w:rsidRPr="00FE61A5">
        <w:rPr>
          <w:rFonts w:eastAsia="Times New Roman" w:cs="Arial"/>
          <w:color w:val="000000"/>
          <w:lang w:val="en-US"/>
        </w:rPr>
        <w:t xml:space="preserve">CYP2C19, </w:t>
      </w:r>
      <w:r w:rsidRPr="00FE61A5">
        <w:rPr>
          <w:rFonts w:eastAsia="Times New Roman" w:cs="Arial"/>
          <w:color w:val="000000"/>
          <w:lang w:eastAsia="bg-BG"/>
        </w:rPr>
        <w:t>съответно, не повлиява експозицията на тези продукти. Това показва, че сорафениб не е нито инхибитор, нито индуктор на тези цитохром Р450 изоензими. Следователно, клиничното фармакокинетично взаимодействие на сорафениб със субстратите на тези ензими са малко вероятни.</w:t>
      </w:r>
    </w:p>
    <w:p w14:paraId="2BD7FF2E" w14:textId="77777777" w:rsidR="00FE61A5" w:rsidRPr="00FE61A5" w:rsidRDefault="00FE61A5" w:rsidP="00FE61A5">
      <w:pPr>
        <w:spacing w:line="240" w:lineRule="auto"/>
        <w:rPr>
          <w:rFonts w:eastAsia="Times New Roman" w:cs="Arial"/>
          <w:color w:val="000000"/>
          <w:u w:val="single"/>
          <w:lang w:eastAsia="bg-BG"/>
        </w:rPr>
      </w:pPr>
    </w:p>
    <w:p w14:paraId="282383B1" w14:textId="3A8F706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 xml:space="preserve">Субстрати на </w:t>
      </w:r>
      <w:r w:rsidRPr="00FE61A5">
        <w:rPr>
          <w:rFonts w:eastAsia="Times New Roman" w:cs="Arial"/>
          <w:color w:val="000000"/>
          <w:u w:val="single"/>
          <w:lang w:val="en-US"/>
        </w:rPr>
        <w:t xml:space="preserve">UGT1A1 </w:t>
      </w:r>
      <w:r w:rsidRPr="00FE61A5">
        <w:rPr>
          <w:rFonts w:eastAsia="Times New Roman" w:cs="Arial"/>
          <w:color w:val="000000"/>
          <w:u w:val="single"/>
          <w:lang w:eastAsia="bg-BG"/>
        </w:rPr>
        <w:t xml:space="preserve">и </w:t>
      </w:r>
      <w:r w:rsidRPr="00FE61A5">
        <w:rPr>
          <w:rFonts w:eastAsia="Times New Roman" w:cs="Arial"/>
          <w:color w:val="000000"/>
          <w:u w:val="single"/>
          <w:lang w:val="en-US"/>
        </w:rPr>
        <w:t>UGT1A9</w:t>
      </w:r>
    </w:p>
    <w:p w14:paraId="757FE42E"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lang w:val="en-US"/>
        </w:rPr>
        <w:t>In vitro</w:t>
      </w:r>
      <w:r w:rsidRPr="00FE61A5">
        <w:rPr>
          <w:rFonts w:eastAsia="Times New Roman" w:cs="Arial"/>
          <w:color w:val="000000"/>
          <w:lang w:val="en-US"/>
        </w:rPr>
        <w:t xml:space="preserve"> </w:t>
      </w:r>
      <w:r w:rsidRPr="00FE61A5">
        <w:rPr>
          <w:rFonts w:eastAsia="Times New Roman" w:cs="Arial"/>
          <w:color w:val="000000"/>
          <w:lang w:eastAsia="bg-BG"/>
        </w:rPr>
        <w:t xml:space="preserve">сорафениб инхибира глюкуронирането чрез </w:t>
      </w:r>
      <w:r w:rsidRPr="00FE61A5">
        <w:rPr>
          <w:rFonts w:eastAsia="Times New Roman" w:cs="Arial"/>
          <w:color w:val="000000"/>
          <w:lang w:val="en-US"/>
        </w:rPr>
        <w:t xml:space="preserve">UGT1A1 </w:t>
      </w:r>
      <w:r w:rsidRPr="00FE61A5">
        <w:rPr>
          <w:rFonts w:eastAsia="Times New Roman" w:cs="Arial"/>
          <w:color w:val="000000"/>
          <w:lang w:eastAsia="bg-BG"/>
        </w:rPr>
        <w:t xml:space="preserve">и </w:t>
      </w:r>
      <w:r w:rsidRPr="00FE61A5">
        <w:rPr>
          <w:rFonts w:eastAsia="Times New Roman" w:cs="Arial"/>
          <w:color w:val="000000"/>
          <w:lang w:val="en-US"/>
        </w:rPr>
        <w:t xml:space="preserve">UGT1A9. </w:t>
      </w:r>
      <w:r w:rsidRPr="00FE61A5">
        <w:rPr>
          <w:rFonts w:eastAsia="Times New Roman" w:cs="Arial"/>
          <w:color w:val="000000"/>
          <w:lang w:eastAsia="bg-BG"/>
        </w:rPr>
        <w:t>Клиничното значение на този факт не е известно (вж. по-долу и точка 4.4).</w:t>
      </w:r>
    </w:p>
    <w:p w14:paraId="7F65A90E" w14:textId="77777777" w:rsidR="00FE61A5" w:rsidRPr="00FE61A5" w:rsidRDefault="00FE61A5" w:rsidP="00FE61A5">
      <w:pPr>
        <w:spacing w:line="240" w:lineRule="auto"/>
        <w:rPr>
          <w:rFonts w:eastAsia="Times New Roman" w:cs="Arial"/>
          <w:i/>
          <w:iCs/>
          <w:color w:val="000000"/>
          <w:u w:val="single"/>
          <w:lang w:val="en-US"/>
        </w:rPr>
      </w:pPr>
    </w:p>
    <w:p w14:paraId="4661B278" w14:textId="1865406F"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u w:val="single"/>
          <w:lang w:val="en-US"/>
        </w:rPr>
        <w:t>In vitro</w:t>
      </w:r>
      <w:r w:rsidRPr="00FE61A5">
        <w:rPr>
          <w:rFonts w:eastAsia="Times New Roman" w:cs="Arial"/>
          <w:color w:val="000000"/>
          <w:u w:val="single"/>
          <w:lang w:val="en-US"/>
        </w:rPr>
        <w:t xml:space="preserve"> </w:t>
      </w:r>
      <w:r w:rsidRPr="00FE61A5">
        <w:rPr>
          <w:rFonts w:eastAsia="Times New Roman" w:cs="Arial"/>
          <w:color w:val="000000"/>
          <w:u w:val="single"/>
          <w:lang w:eastAsia="bg-BG"/>
        </w:rPr>
        <w:t xml:space="preserve">проучвания на </w:t>
      </w:r>
      <w:r w:rsidRPr="00FE61A5">
        <w:rPr>
          <w:rFonts w:eastAsia="Times New Roman" w:cs="Arial"/>
          <w:color w:val="000000"/>
          <w:u w:val="single"/>
          <w:lang w:val="en-US"/>
        </w:rPr>
        <w:t xml:space="preserve">CYP </w:t>
      </w:r>
      <w:r w:rsidRPr="00FE61A5">
        <w:rPr>
          <w:rFonts w:eastAsia="Times New Roman" w:cs="Arial"/>
          <w:color w:val="000000"/>
          <w:u w:val="single"/>
          <w:lang w:eastAsia="bg-BG"/>
        </w:rPr>
        <w:t>ензимна индукция</w:t>
      </w:r>
    </w:p>
    <w:p w14:paraId="2D0885E1"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Активността на </w:t>
      </w:r>
      <w:r w:rsidRPr="00FE61A5">
        <w:rPr>
          <w:rFonts w:eastAsia="Times New Roman" w:cs="Arial"/>
          <w:color w:val="000000"/>
          <w:lang w:val="en-US"/>
        </w:rPr>
        <w:t xml:space="preserve">CYP1A2 </w:t>
      </w:r>
      <w:r w:rsidRPr="00FE61A5">
        <w:rPr>
          <w:rFonts w:eastAsia="Times New Roman" w:cs="Arial"/>
          <w:color w:val="000000"/>
          <w:lang w:eastAsia="bg-BG"/>
        </w:rPr>
        <w:t xml:space="preserve">и </w:t>
      </w:r>
      <w:r w:rsidRPr="00FE61A5">
        <w:rPr>
          <w:rFonts w:eastAsia="Times New Roman" w:cs="Arial"/>
          <w:color w:val="000000"/>
          <w:lang w:val="en-US"/>
        </w:rPr>
        <w:t xml:space="preserve">CYP3A4 </w:t>
      </w:r>
      <w:r w:rsidRPr="00FE61A5">
        <w:rPr>
          <w:rFonts w:eastAsia="Times New Roman" w:cs="Arial"/>
          <w:color w:val="000000"/>
          <w:lang w:eastAsia="bg-BG"/>
        </w:rPr>
        <w:t xml:space="preserve">не се променя след лечение на култивирани човешки хепатоцити със сорафениб, което показва, че е малко вероятно сорафениб да индуцира </w:t>
      </w:r>
      <w:r w:rsidRPr="00FE61A5">
        <w:rPr>
          <w:rFonts w:eastAsia="Times New Roman" w:cs="Arial"/>
          <w:color w:val="000000"/>
          <w:lang w:val="en-US"/>
        </w:rPr>
        <w:t xml:space="preserve">CYP1A2 </w:t>
      </w:r>
      <w:r w:rsidRPr="00FE61A5">
        <w:rPr>
          <w:rFonts w:eastAsia="Times New Roman" w:cs="Arial"/>
          <w:color w:val="000000"/>
          <w:lang w:eastAsia="bg-BG"/>
        </w:rPr>
        <w:t xml:space="preserve">и </w:t>
      </w:r>
      <w:r w:rsidRPr="00FE61A5">
        <w:rPr>
          <w:rFonts w:eastAsia="Times New Roman" w:cs="Arial"/>
          <w:color w:val="000000"/>
          <w:lang w:val="en-US"/>
        </w:rPr>
        <w:t>CYP3A4.</w:t>
      </w:r>
    </w:p>
    <w:p w14:paraId="55D2D1CE" w14:textId="77777777" w:rsidR="00FE61A5" w:rsidRPr="00FE61A5" w:rsidRDefault="00FE61A5" w:rsidP="00FE61A5">
      <w:pPr>
        <w:spacing w:line="240" w:lineRule="auto"/>
        <w:rPr>
          <w:rFonts w:eastAsia="Times New Roman" w:cs="Arial"/>
          <w:color w:val="000000"/>
          <w:u w:val="single"/>
          <w:lang w:val="en-US"/>
        </w:rPr>
      </w:pPr>
    </w:p>
    <w:p w14:paraId="3B04CBE0" w14:textId="7A1369E8"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val="en-US"/>
        </w:rPr>
        <w:t>P-gp</w:t>
      </w:r>
      <w:r w:rsidRPr="00FE61A5">
        <w:rPr>
          <w:rFonts w:eastAsia="Times New Roman" w:cs="Arial"/>
          <w:color w:val="000000"/>
          <w:u w:val="single"/>
          <w:lang w:eastAsia="bg-BG"/>
        </w:rPr>
        <w:t>-субстрати</w:t>
      </w:r>
    </w:p>
    <w:p w14:paraId="420E20A0"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lang w:val="en-US"/>
        </w:rPr>
        <w:t xml:space="preserve">In vitro </w:t>
      </w:r>
      <w:r w:rsidRPr="00FE61A5">
        <w:rPr>
          <w:rFonts w:eastAsia="Times New Roman" w:cs="Arial"/>
          <w:i/>
          <w:iCs/>
          <w:color w:val="000000"/>
          <w:lang w:eastAsia="bg-BG"/>
        </w:rPr>
        <w:t>е</w:t>
      </w:r>
      <w:r w:rsidRPr="00FE61A5">
        <w:rPr>
          <w:rFonts w:eastAsia="Times New Roman" w:cs="Arial"/>
          <w:color w:val="000000"/>
          <w:lang w:eastAsia="bg-BG"/>
        </w:rPr>
        <w:t xml:space="preserve"> доказано, че сорафениб инхибира транспортния протеин р-гликопротеин </w:t>
      </w:r>
      <w:r w:rsidRPr="00FE61A5">
        <w:rPr>
          <w:rFonts w:eastAsia="Times New Roman" w:cs="Arial"/>
          <w:color w:val="000000"/>
          <w:lang w:val="en-US"/>
        </w:rPr>
        <w:t xml:space="preserve">(P-gp). </w:t>
      </w:r>
      <w:r w:rsidRPr="00FE61A5">
        <w:rPr>
          <w:rFonts w:eastAsia="Times New Roman" w:cs="Arial"/>
          <w:color w:val="000000"/>
          <w:lang w:eastAsia="bg-BG"/>
        </w:rPr>
        <w:t xml:space="preserve">Повишените плазмени концентрации на субстрати на </w:t>
      </w:r>
      <w:r w:rsidRPr="00FE61A5">
        <w:rPr>
          <w:rFonts w:eastAsia="Times New Roman" w:cs="Arial"/>
          <w:color w:val="000000"/>
          <w:lang w:val="en-US"/>
        </w:rPr>
        <w:t xml:space="preserve">P-gp, </w:t>
      </w:r>
      <w:r w:rsidRPr="00FE61A5">
        <w:rPr>
          <w:rFonts w:eastAsia="Times New Roman" w:cs="Arial"/>
          <w:color w:val="000000"/>
          <w:lang w:eastAsia="bg-BG"/>
        </w:rPr>
        <w:t>като дигоксин не могат да се изключат при едновременно лечение със сорафениб.</w:t>
      </w:r>
    </w:p>
    <w:p w14:paraId="6F6A95A7" w14:textId="77777777" w:rsidR="00FE61A5" w:rsidRPr="00FE61A5" w:rsidRDefault="00FE61A5" w:rsidP="00FE61A5">
      <w:pPr>
        <w:spacing w:line="240" w:lineRule="auto"/>
        <w:rPr>
          <w:rFonts w:eastAsia="Times New Roman" w:cs="Arial"/>
          <w:color w:val="000000"/>
          <w:u w:val="single"/>
          <w:lang w:eastAsia="bg-BG"/>
        </w:rPr>
      </w:pPr>
    </w:p>
    <w:p w14:paraId="33066235" w14:textId="13C7B4AA"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Комбинация с други антинеопластични средства</w:t>
      </w:r>
    </w:p>
    <w:p w14:paraId="16F25B0E"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В клинични проучвания сорафениб е прилаган с много други антинеопластични средства с техните обичайни дозировки, включително гемцитабин, цисплатин, оксалиплатин, паклитаксел, карбоплатин, капецитабин, доксорубицин, иринотекан, доцетаксел и циклофосфамид, Сорафениб няма клинично значим ефект върху фармакокинетиката на гемцитабин, цисплатин, карбоплатин, оксалиплатин или циклофосфамид.</w:t>
      </w:r>
    </w:p>
    <w:p w14:paraId="6FB8489B" w14:textId="77777777" w:rsidR="00FE61A5" w:rsidRPr="00FE61A5" w:rsidRDefault="00FE61A5" w:rsidP="00FE61A5">
      <w:pPr>
        <w:spacing w:line="240" w:lineRule="auto"/>
        <w:rPr>
          <w:rFonts w:eastAsia="Times New Roman" w:cs="Arial"/>
          <w:color w:val="000000"/>
          <w:u w:val="single"/>
          <w:lang w:eastAsia="bg-BG"/>
        </w:rPr>
      </w:pPr>
    </w:p>
    <w:p w14:paraId="6A9BECB8" w14:textId="66FC14D6"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Паклитаксел/карбоплатин</w:t>
      </w:r>
    </w:p>
    <w:p w14:paraId="32E4FC76" w14:textId="77777777" w:rsidR="00FE61A5" w:rsidRPr="00FE61A5" w:rsidRDefault="00FE61A5" w:rsidP="00FE61A5">
      <w:pPr>
        <w:pStyle w:val="ListParagraph"/>
        <w:numPr>
          <w:ilvl w:val="0"/>
          <w:numId w:val="38"/>
        </w:numPr>
        <w:spacing w:line="240" w:lineRule="auto"/>
        <w:rPr>
          <w:rFonts w:eastAsia="Times New Roman" w:cs="Arial"/>
          <w:sz w:val="28"/>
          <w:szCs w:val="28"/>
          <w:lang w:eastAsia="bg-BG"/>
        </w:rPr>
      </w:pPr>
      <w:r w:rsidRPr="00FE61A5">
        <w:rPr>
          <w:rFonts w:eastAsia="Times New Roman" w:cs="Arial"/>
          <w:color w:val="000000"/>
          <w:lang w:eastAsia="bg-BG"/>
        </w:rPr>
        <w:t xml:space="preserve">Приложението на паклитаксел (225 </w:t>
      </w:r>
      <w:r w:rsidRPr="00FE61A5">
        <w:rPr>
          <w:rFonts w:eastAsia="Times New Roman" w:cs="Arial"/>
          <w:color w:val="000000"/>
          <w:lang w:val="en-US"/>
        </w:rPr>
        <w:t>mg/m</w:t>
      </w:r>
      <w:r w:rsidRPr="00FE61A5">
        <w:rPr>
          <w:rFonts w:eastAsia="Times New Roman" w:cs="Arial"/>
          <w:color w:val="000000"/>
          <w:vertAlign w:val="superscript"/>
          <w:lang w:val="en-US"/>
        </w:rPr>
        <w:t>2</w:t>
      </w:r>
      <w:r w:rsidRPr="00FE61A5">
        <w:rPr>
          <w:rFonts w:eastAsia="Times New Roman" w:cs="Arial"/>
          <w:color w:val="000000"/>
          <w:lang w:val="en-US"/>
        </w:rPr>
        <w:t xml:space="preserve">) </w:t>
      </w:r>
      <w:r w:rsidRPr="00FE61A5">
        <w:rPr>
          <w:rFonts w:eastAsia="Times New Roman" w:cs="Arial"/>
          <w:color w:val="000000"/>
          <w:lang w:eastAsia="bg-BG"/>
        </w:rPr>
        <w:t xml:space="preserve">и карбоплатин </w:t>
      </w:r>
      <w:r w:rsidRPr="00FE61A5">
        <w:rPr>
          <w:rFonts w:eastAsia="Times New Roman" w:cs="Arial"/>
          <w:color w:val="000000"/>
          <w:lang w:val="en-US"/>
        </w:rPr>
        <w:t xml:space="preserve">(AUC=6) </w:t>
      </w:r>
      <w:r w:rsidRPr="00FE61A5">
        <w:rPr>
          <w:rFonts w:eastAsia="Times New Roman" w:cs="Arial"/>
          <w:color w:val="000000"/>
          <w:lang w:eastAsia="bg-BG"/>
        </w:rPr>
        <w:t xml:space="preserve">със сорафениб (&lt;400 </w:t>
      </w:r>
      <w:r w:rsidRPr="00FE61A5">
        <w:rPr>
          <w:rFonts w:eastAsia="Times New Roman" w:cs="Arial"/>
          <w:color w:val="000000"/>
          <w:lang w:val="en-US"/>
        </w:rPr>
        <w:t xml:space="preserve">mg </w:t>
      </w:r>
      <w:r w:rsidRPr="00FE61A5">
        <w:rPr>
          <w:rFonts w:eastAsia="Times New Roman" w:cs="Arial"/>
          <w:color w:val="000000"/>
          <w:lang w:eastAsia="bg-BG"/>
        </w:rPr>
        <w:t>два пъти дневно), приложени с 3-дневно прекъсване на приложението на сорафениб (два дни преди и един след приложение на паклитаксел/карбоплатин), не водят до значителен ефект върху фармакокинетиката на паклитаксел.</w:t>
      </w:r>
    </w:p>
    <w:p w14:paraId="49F51D5D" w14:textId="15B600EE" w:rsidR="00FE61A5" w:rsidRPr="00FE61A5" w:rsidRDefault="00FE61A5" w:rsidP="00FE61A5">
      <w:pPr>
        <w:pStyle w:val="ListParagraph"/>
        <w:numPr>
          <w:ilvl w:val="0"/>
          <w:numId w:val="38"/>
        </w:numPr>
        <w:spacing w:line="240" w:lineRule="auto"/>
        <w:rPr>
          <w:rFonts w:eastAsia="Times New Roman" w:cs="Arial"/>
          <w:sz w:val="28"/>
          <w:szCs w:val="28"/>
          <w:lang w:eastAsia="bg-BG"/>
        </w:rPr>
      </w:pPr>
      <w:r w:rsidRPr="00FE61A5">
        <w:rPr>
          <w:rFonts w:eastAsia="Times New Roman" w:cs="Arial"/>
          <w:color w:val="000000"/>
          <w:lang w:eastAsia="bg-BG"/>
        </w:rPr>
        <w:t xml:space="preserve">Едновременното приложение на паклитаксел (225 </w:t>
      </w:r>
      <w:r w:rsidRPr="00FE61A5">
        <w:rPr>
          <w:rFonts w:eastAsia="Times New Roman" w:cs="Arial"/>
          <w:color w:val="000000"/>
          <w:lang w:val="en-US"/>
        </w:rPr>
        <w:t>mg/m</w:t>
      </w:r>
      <w:r w:rsidRPr="00FE61A5">
        <w:rPr>
          <w:rFonts w:eastAsia="Times New Roman" w:cs="Arial"/>
          <w:color w:val="000000"/>
          <w:vertAlign w:val="superscript"/>
          <w:lang w:val="en-US"/>
        </w:rPr>
        <w:t>2</w:t>
      </w:r>
      <w:r w:rsidRPr="00FE61A5">
        <w:rPr>
          <w:rFonts w:eastAsia="Times New Roman" w:cs="Arial"/>
          <w:color w:val="000000"/>
          <w:lang w:val="en-US"/>
        </w:rPr>
        <w:t xml:space="preserve"> </w:t>
      </w:r>
      <w:r w:rsidRPr="00FE61A5">
        <w:rPr>
          <w:rFonts w:eastAsia="Times New Roman" w:cs="Arial"/>
          <w:color w:val="000000"/>
          <w:lang w:eastAsia="bg-BG"/>
        </w:rPr>
        <w:t xml:space="preserve">веднъж на всеки 3 седмици) и карбоплатин </w:t>
      </w:r>
      <w:r w:rsidRPr="00FE61A5">
        <w:rPr>
          <w:rFonts w:eastAsia="Times New Roman" w:cs="Arial"/>
          <w:color w:val="000000"/>
          <w:lang w:val="en-US"/>
        </w:rPr>
        <w:t xml:space="preserve">(AUC=6) </w:t>
      </w:r>
      <w:r w:rsidRPr="00FE61A5">
        <w:rPr>
          <w:rFonts w:eastAsia="Times New Roman" w:cs="Arial"/>
          <w:color w:val="000000"/>
          <w:lang w:eastAsia="bg-BG"/>
        </w:rPr>
        <w:t xml:space="preserve">със сорафениб (400 </w:t>
      </w:r>
      <w:r w:rsidRPr="00FE61A5">
        <w:rPr>
          <w:rFonts w:eastAsia="Times New Roman" w:cs="Arial"/>
          <w:color w:val="000000"/>
          <w:lang w:val="en-US"/>
        </w:rPr>
        <w:t xml:space="preserve">mg </w:t>
      </w:r>
      <w:r w:rsidRPr="00FE61A5">
        <w:rPr>
          <w:rFonts w:eastAsia="Times New Roman" w:cs="Arial"/>
          <w:color w:val="000000"/>
          <w:lang w:eastAsia="bg-BG"/>
        </w:rPr>
        <w:t xml:space="preserve">два пъти дневно, без прекъсване на </w:t>
      </w:r>
      <w:r w:rsidRPr="00FE61A5">
        <w:rPr>
          <w:rFonts w:eastAsia="Times New Roman" w:cs="Arial"/>
          <w:color w:val="000000"/>
          <w:u w:val="single"/>
          <w:lang w:eastAsia="bg-BG"/>
        </w:rPr>
        <w:t>прием</w:t>
      </w:r>
      <w:r w:rsidRPr="00FE61A5">
        <w:rPr>
          <w:rFonts w:eastAsia="Times New Roman" w:cs="Arial"/>
          <w:color w:val="000000"/>
          <w:lang w:eastAsia="bg-BG"/>
        </w:rPr>
        <w:t>а) води до 47% увеличение на експозицията на сорафениб, 29% увеличение на експозицията на паклитаксел и 50% увеличение на експозицията на 6-ОН паклитаксел. Фармакокинетиката на карбоплатин не се повлиява.</w:t>
      </w:r>
    </w:p>
    <w:p w14:paraId="024E5792" w14:textId="361D95CE" w:rsidR="00FE61A5" w:rsidRPr="00FE61A5" w:rsidRDefault="00FE61A5" w:rsidP="00FE61A5">
      <w:pPr>
        <w:spacing w:line="240" w:lineRule="auto"/>
        <w:rPr>
          <w:rFonts w:eastAsia="Times New Roman" w:cs="Arial"/>
          <w:sz w:val="28"/>
          <w:szCs w:val="28"/>
          <w:lang w:eastAsia="bg-BG"/>
        </w:rPr>
      </w:pPr>
    </w:p>
    <w:p w14:paraId="57CD52B7"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Тези данни показват, че не са необходими корекции на дозата, когато паклитаксел и карбоплатин се прилагат едновременно със сорафениб с 3-дневно прекъсване на приложението на сорафениб (два дни преди и един след приложение на паклитаксел/карбоплатин). Клиничното значение на увеличението на експозицията на сорафениб и паклитаксел, при едновременното приложение със сорафениб без прекъсване на приема, не е известно.</w:t>
      </w:r>
    </w:p>
    <w:p w14:paraId="2CE14B20" w14:textId="77777777" w:rsidR="00FE61A5" w:rsidRPr="00FE61A5" w:rsidRDefault="00FE61A5" w:rsidP="00FE61A5">
      <w:pPr>
        <w:spacing w:line="240" w:lineRule="auto"/>
        <w:rPr>
          <w:rFonts w:eastAsia="Times New Roman" w:cs="Arial"/>
          <w:color w:val="000000"/>
          <w:u w:val="single"/>
          <w:lang w:eastAsia="bg-BG"/>
        </w:rPr>
      </w:pPr>
    </w:p>
    <w:p w14:paraId="7AEB1A22" w14:textId="380EDA81"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Капецитабин</w:t>
      </w:r>
    </w:p>
    <w:p w14:paraId="28567A85"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Едновременното приложение на капецитабин (750-1 050 </w:t>
      </w:r>
      <w:r w:rsidRPr="00FE61A5">
        <w:rPr>
          <w:rFonts w:eastAsia="Times New Roman" w:cs="Arial"/>
          <w:color w:val="000000"/>
          <w:lang w:val="en-US"/>
        </w:rPr>
        <w:t>mg/m</w:t>
      </w:r>
      <w:r w:rsidRPr="00FE61A5">
        <w:rPr>
          <w:rFonts w:eastAsia="Times New Roman" w:cs="Arial"/>
          <w:color w:val="000000"/>
          <w:vertAlign w:val="superscript"/>
          <w:lang w:val="en-US"/>
        </w:rPr>
        <w:t>2</w:t>
      </w:r>
      <w:r w:rsidRPr="00FE61A5">
        <w:rPr>
          <w:rFonts w:eastAsia="Times New Roman" w:cs="Arial"/>
          <w:color w:val="000000"/>
          <w:lang w:val="en-US"/>
        </w:rPr>
        <w:t xml:space="preserve"> </w:t>
      </w:r>
      <w:r w:rsidRPr="00FE61A5">
        <w:rPr>
          <w:rFonts w:eastAsia="Times New Roman" w:cs="Arial"/>
          <w:color w:val="000000"/>
          <w:lang w:eastAsia="bg-BG"/>
        </w:rPr>
        <w:t xml:space="preserve">два пъти дневно, дни 1-14 на всеки 21 дни) и сорафениб (200 или 400 </w:t>
      </w:r>
      <w:r w:rsidRPr="00FE61A5">
        <w:rPr>
          <w:rFonts w:eastAsia="Times New Roman" w:cs="Arial"/>
          <w:color w:val="000000"/>
          <w:lang w:val="en-US"/>
        </w:rPr>
        <w:t xml:space="preserve">mg </w:t>
      </w:r>
      <w:r w:rsidRPr="00FE61A5">
        <w:rPr>
          <w:rFonts w:eastAsia="Times New Roman" w:cs="Arial"/>
          <w:color w:val="000000"/>
          <w:lang w:eastAsia="bg-BG"/>
        </w:rPr>
        <w:t xml:space="preserve">два пъти дневно, продължително непрекъснато приложение) не води до значителна промяна в експозицията на сорафениб, но води до 15-50% увеличение на експозицията на капецитабин и 0-52% увеличение на експозицията на </w:t>
      </w:r>
      <w:r w:rsidRPr="00FE61A5">
        <w:rPr>
          <w:rFonts w:eastAsia="Times New Roman" w:cs="Arial"/>
          <w:color w:val="000000"/>
          <w:lang w:val="en-US"/>
        </w:rPr>
        <w:t xml:space="preserve">5-FU, </w:t>
      </w:r>
      <w:r w:rsidRPr="00FE61A5">
        <w:rPr>
          <w:rFonts w:eastAsia="Times New Roman" w:cs="Arial"/>
          <w:color w:val="000000"/>
          <w:lang w:eastAsia="bg-BG"/>
        </w:rPr>
        <w:t xml:space="preserve">Клиничното значение на тези малки до умерени увеличения на експозицията на капецитабин и </w:t>
      </w:r>
      <w:r w:rsidRPr="00FE61A5">
        <w:rPr>
          <w:rFonts w:eastAsia="Times New Roman" w:cs="Arial"/>
          <w:color w:val="000000"/>
          <w:lang w:val="en-US"/>
        </w:rPr>
        <w:t xml:space="preserve">5-FU </w:t>
      </w:r>
      <w:r w:rsidRPr="00FE61A5">
        <w:rPr>
          <w:rFonts w:eastAsia="Times New Roman" w:cs="Arial"/>
          <w:color w:val="000000"/>
          <w:lang w:eastAsia="bg-BG"/>
        </w:rPr>
        <w:t>при едновременно приложение със сорафениб не е известно.</w:t>
      </w:r>
    </w:p>
    <w:p w14:paraId="12433DB2" w14:textId="77777777" w:rsidR="00FE61A5" w:rsidRPr="00FE61A5" w:rsidRDefault="00FE61A5" w:rsidP="00FE61A5">
      <w:pPr>
        <w:spacing w:line="240" w:lineRule="auto"/>
        <w:rPr>
          <w:rFonts w:eastAsia="Times New Roman" w:cs="Arial"/>
          <w:color w:val="000000"/>
          <w:u w:val="single"/>
          <w:lang w:eastAsia="bg-BG"/>
        </w:rPr>
      </w:pPr>
    </w:p>
    <w:p w14:paraId="18A71703" w14:textId="5A0BD04F"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Доксорубицин/Иринотекан</w:t>
      </w:r>
    </w:p>
    <w:p w14:paraId="5D2A87A2"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Едновременното лечение със сорафениб води до 21% увеличаване на </w:t>
      </w:r>
      <w:r w:rsidRPr="00FE61A5">
        <w:rPr>
          <w:rFonts w:eastAsia="Times New Roman" w:cs="Arial"/>
          <w:color w:val="000000"/>
          <w:lang w:val="en-US"/>
        </w:rPr>
        <w:t xml:space="preserve">AUC </w:t>
      </w:r>
      <w:r w:rsidRPr="00FE61A5">
        <w:rPr>
          <w:rFonts w:eastAsia="Times New Roman" w:cs="Arial"/>
          <w:color w:val="000000"/>
          <w:lang w:eastAsia="bg-BG"/>
        </w:rPr>
        <w:t xml:space="preserve">на доксорубицин. Когато се прилага с иринотекан, чийто активен метаболит </w:t>
      </w:r>
      <w:r w:rsidRPr="00FE61A5">
        <w:rPr>
          <w:rFonts w:eastAsia="Times New Roman" w:cs="Arial"/>
          <w:color w:val="000000"/>
          <w:lang w:val="en-US"/>
        </w:rPr>
        <w:t xml:space="preserve">SN-38 </w:t>
      </w:r>
      <w:r w:rsidRPr="00FE61A5">
        <w:rPr>
          <w:rFonts w:eastAsia="Times New Roman" w:cs="Arial"/>
          <w:color w:val="000000"/>
          <w:lang w:eastAsia="bg-BG"/>
        </w:rPr>
        <w:t xml:space="preserve">се метаболизира чрез </w:t>
      </w:r>
      <w:r w:rsidRPr="00FE61A5">
        <w:rPr>
          <w:rFonts w:eastAsia="Times New Roman" w:cs="Arial"/>
          <w:color w:val="000000"/>
          <w:lang w:val="en-US"/>
        </w:rPr>
        <w:t xml:space="preserve">UGT1A1 </w:t>
      </w:r>
      <w:r w:rsidRPr="00FE61A5">
        <w:rPr>
          <w:rFonts w:eastAsia="Times New Roman" w:cs="Arial"/>
          <w:color w:val="000000"/>
          <w:lang w:eastAsia="bg-BG"/>
        </w:rPr>
        <w:t xml:space="preserve">цикъл, има 67-120% увеличаване на </w:t>
      </w:r>
      <w:r w:rsidRPr="00FE61A5">
        <w:rPr>
          <w:rFonts w:eastAsia="Times New Roman" w:cs="Arial"/>
          <w:color w:val="000000"/>
          <w:lang w:val="en-US"/>
        </w:rPr>
        <w:t xml:space="preserve">AUC </w:t>
      </w:r>
      <w:r w:rsidRPr="00FE61A5">
        <w:rPr>
          <w:rFonts w:eastAsia="Times New Roman" w:cs="Arial"/>
          <w:color w:val="000000"/>
          <w:lang w:eastAsia="bg-BG"/>
        </w:rPr>
        <w:t xml:space="preserve">на </w:t>
      </w:r>
      <w:r w:rsidRPr="00FE61A5">
        <w:rPr>
          <w:rFonts w:eastAsia="Times New Roman" w:cs="Arial"/>
          <w:color w:val="000000"/>
          <w:lang w:val="en-US"/>
        </w:rPr>
        <w:t xml:space="preserve">SN-38 </w:t>
      </w:r>
      <w:r w:rsidRPr="00FE61A5">
        <w:rPr>
          <w:rFonts w:eastAsia="Times New Roman" w:cs="Arial"/>
          <w:color w:val="000000"/>
          <w:lang w:eastAsia="bg-BG"/>
        </w:rPr>
        <w:t xml:space="preserve">и 26-42% увеличаване на </w:t>
      </w:r>
      <w:r w:rsidRPr="00FE61A5">
        <w:rPr>
          <w:rFonts w:eastAsia="Times New Roman" w:cs="Arial"/>
          <w:color w:val="000000"/>
          <w:lang w:val="en-US"/>
        </w:rPr>
        <w:t xml:space="preserve">AUC </w:t>
      </w:r>
      <w:r w:rsidRPr="00FE61A5">
        <w:rPr>
          <w:rFonts w:eastAsia="Times New Roman" w:cs="Arial"/>
          <w:color w:val="000000"/>
          <w:lang w:eastAsia="bg-BG"/>
        </w:rPr>
        <w:t>на иринотекан. Клиничното значение на тези данни не е известно (вж. точка 4.4).</w:t>
      </w:r>
    </w:p>
    <w:p w14:paraId="4DCA6361" w14:textId="77777777" w:rsidR="00FE61A5" w:rsidRPr="00FE61A5" w:rsidRDefault="00FE61A5" w:rsidP="00FE61A5">
      <w:pPr>
        <w:spacing w:line="240" w:lineRule="auto"/>
        <w:rPr>
          <w:rFonts w:eastAsia="Times New Roman" w:cs="Arial"/>
          <w:color w:val="000000"/>
          <w:u w:val="single"/>
          <w:lang w:eastAsia="bg-BG"/>
        </w:rPr>
      </w:pPr>
    </w:p>
    <w:p w14:paraId="43A23EDF" w14:textId="38A284B8"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Доцетаксел</w:t>
      </w:r>
    </w:p>
    <w:p w14:paraId="4252D5DE"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Доцетаксел (75 или 100 </w:t>
      </w:r>
      <w:r w:rsidRPr="00FE61A5">
        <w:rPr>
          <w:rFonts w:eastAsia="Times New Roman" w:cs="Arial"/>
          <w:color w:val="000000"/>
          <w:lang w:val="en-US"/>
        </w:rPr>
        <w:t>mg/m</w:t>
      </w:r>
      <w:r w:rsidRPr="00FE61A5">
        <w:rPr>
          <w:rFonts w:eastAsia="Times New Roman" w:cs="Arial"/>
          <w:color w:val="000000"/>
          <w:vertAlign w:val="superscript"/>
          <w:lang w:val="en-US"/>
        </w:rPr>
        <w:t>2</w:t>
      </w:r>
      <w:r w:rsidRPr="00FE61A5">
        <w:rPr>
          <w:rFonts w:eastAsia="Times New Roman" w:cs="Arial"/>
          <w:color w:val="000000"/>
          <w:lang w:val="en-US"/>
        </w:rPr>
        <w:t xml:space="preserve">, </w:t>
      </w:r>
      <w:r w:rsidRPr="00FE61A5">
        <w:rPr>
          <w:rFonts w:eastAsia="Times New Roman" w:cs="Arial"/>
          <w:color w:val="000000"/>
          <w:lang w:eastAsia="bg-BG"/>
        </w:rPr>
        <w:t xml:space="preserve">приложен еднократно на всеки 21 дни), когато се прилага едновременно със сорафениб (200 </w:t>
      </w:r>
      <w:r w:rsidRPr="00FE61A5">
        <w:rPr>
          <w:rFonts w:eastAsia="Times New Roman" w:cs="Arial"/>
          <w:color w:val="000000"/>
          <w:lang w:val="en-US"/>
        </w:rPr>
        <w:t xml:space="preserve">mg </w:t>
      </w:r>
      <w:r w:rsidRPr="00FE61A5">
        <w:rPr>
          <w:rFonts w:eastAsia="Times New Roman" w:cs="Arial"/>
          <w:color w:val="000000"/>
          <w:lang w:eastAsia="bg-BG"/>
        </w:rPr>
        <w:t xml:space="preserve">два пъти дневно или 400 </w:t>
      </w:r>
      <w:r w:rsidRPr="00FE61A5">
        <w:rPr>
          <w:rFonts w:eastAsia="Times New Roman" w:cs="Arial"/>
          <w:color w:val="000000"/>
          <w:lang w:val="en-US"/>
        </w:rPr>
        <w:t xml:space="preserve">mg </w:t>
      </w:r>
      <w:r w:rsidRPr="00FE61A5">
        <w:rPr>
          <w:rFonts w:eastAsia="Times New Roman" w:cs="Arial"/>
          <w:color w:val="000000"/>
          <w:lang w:eastAsia="bg-BG"/>
        </w:rPr>
        <w:t xml:space="preserve">два пъти дневно, приложен на ден 2 до 19 от 21-дневен цикъл с 3 дневно прекъсване на приложението, около приложението на доцетаксел), води до 36-80% увеличаване на </w:t>
      </w:r>
      <w:r w:rsidRPr="00FE61A5">
        <w:rPr>
          <w:rFonts w:eastAsia="Times New Roman" w:cs="Arial"/>
          <w:color w:val="000000"/>
          <w:lang w:val="en-US"/>
        </w:rPr>
        <w:t xml:space="preserve">AUC </w:t>
      </w:r>
      <w:r w:rsidRPr="00FE61A5">
        <w:rPr>
          <w:rFonts w:eastAsia="Times New Roman" w:cs="Arial"/>
          <w:color w:val="000000"/>
          <w:lang w:eastAsia="bg-BG"/>
        </w:rPr>
        <w:t>на доцетаксел и 16-32% повишаване на доцетаксел С</w:t>
      </w:r>
      <w:r w:rsidRPr="00FE61A5">
        <w:rPr>
          <w:rFonts w:eastAsia="Times New Roman" w:cs="Arial"/>
          <w:color w:val="000000"/>
          <w:lang w:val="en-US"/>
        </w:rPr>
        <w:t>max</w:t>
      </w:r>
      <w:r w:rsidRPr="00FE61A5">
        <w:rPr>
          <w:rFonts w:eastAsia="Times New Roman" w:cs="Arial"/>
          <w:color w:val="000000"/>
          <w:lang w:eastAsia="bg-BG"/>
        </w:rPr>
        <w:t>. Препоръчва се внимание, когато сорафениб се прилага едновременно с доцетаксел (вж. точка 4.4).</w:t>
      </w:r>
    </w:p>
    <w:p w14:paraId="62938D57" w14:textId="77777777" w:rsidR="00FE61A5" w:rsidRPr="00FE61A5" w:rsidRDefault="00FE61A5" w:rsidP="00FE61A5">
      <w:pPr>
        <w:spacing w:line="240" w:lineRule="auto"/>
        <w:rPr>
          <w:rFonts w:eastAsia="Times New Roman" w:cs="Arial"/>
          <w:color w:val="000000"/>
          <w:u w:val="single"/>
          <w:lang w:eastAsia="bg-BG"/>
        </w:rPr>
      </w:pPr>
    </w:p>
    <w:p w14:paraId="7EE36BDA" w14:textId="6853669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u w:val="single"/>
          <w:lang w:eastAsia="bg-BG"/>
        </w:rPr>
        <w:t>Комбинация с други средства</w:t>
      </w:r>
    </w:p>
    <w:p w14:paraId="5371EFDA" w14:textId="77777777" w:rsidR="00FE61A5" w:rsidRPr="00FE61A5" w:rsidRDefault="00FE61A5" w:rsidP="00FE61A5">
      <w:pPr>
        <w:spacing w:line="240" w:lineRule="auto"/>
        <w:rPr>
          <w:rFonts w:eastAsia="Times New Roman" w:cs="Arial"/>
          <w:i/>
          <w:iCs/>
          <w:color w:val="000000"/>
          <w:lang w:eastAsia="bg-BG"/>
        </w:rPr>
      </w:pPr>
    </w:p>
    <w:p w14:paraId="75AD91F6" w14:textId="51A21E51" w:rsidR="00FE61A5" w:rsidRPr="00FE61A5" w:rsidRDefault="00FE61A5" w:rsidP="00FE61A5">
      <w:pPr>
        <w:spacing w:line="240" w:lineRule="auto"/>
        <w:rPr>
          <w:rFonts w:eastAsia="Times New Roman" w:cs="Arial"/>
          <w:sz w:val="28"/>
          <w:szCs w:val="28"/>
          <w:lang w:eastAsia="bg-BG"/>
        </w:rPr>
      </w:pPr>
      <w:r w:rsidRPr="00FE61A5">
        <w:rPr>
          <w:rFonts w:eastAsia="Times New Roman" w:cs="Arial"/>
          <w:i/>
          <w:iCs/>
          <w:color w:val="000000"/>
          <w:lang w:eastAsia="bg-BG"/>
        </w:rPr>
        <w:t>Неомицин</w:t>
      </w:r>
    </w:p>
    <w:p w14:paraId="1EC58FAB"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Едновременното прилагане на неомицин, несистемно антимикробно средство, използвано за унищожаване на стомашно-чревната флора, води до взаимодействие с ентерохепаталния кръговрат на сорафениб (вж. точка 5.2 Метаболизъм и елиминиране) и в резултат на това до намалена експозиция на сорафениб. При здрави доброволци, лекувани с 5-дневна схема на неомицин, средната експозиция на сорафениб намалява с 54%. Ефектите на други антибиотици не са проучвани, но вероятно ще зависят от тяхната способност да взаимодействат с микроорганизмите с глюкуронидазна активност.</w:t>
      </w:r>
    </w:p>
    <w:p w14:paraId="2808CDEA" w14:textId="77777777" w:rsidR="00FE61A5" w:rsidRPr="00FE61A5" w:rsidRDefault="00FE61A5" w:rsidP="00FE61A5">
      <w:pPr>
        <w:spacing w:line="240" w:lineRule="auto"/>
        <w:rPr>
          <w:rFonts w:ascii="Times New Roman" w:eastAsia="Times New Roman" w:hAnsi="Times New Roman" w:cs="Times New Roman"/>
          <w:sz w:val="24"/>
          <w:szCs w:val="24"/>
          <w:lang w:eastAsia="bg-BG"/>
        </w:rPr>
      </w:pPr>
    </w:p>
    <w:p w14:paraId="4762A32B" w14:textId="277C0C03" w:rsidR="001A6EBD" w:rsidRDefault="002C50EE" w:rsidP="00471F10">
      <w:pPr>
        <w:pStyle w:val="Heading2"/>
      </w:pPr>
      <w:r>
        <w:t>4.6. Фертилитет, бременност и кърмене</w:t>
      </w:r>
    </w:p>
    <w:p w14:paraId="5CE58B68" w14:textId="6D21F716" w:rsidR="00FE61A5" w:rsidRDefault="00FE61A5" w:rsidP="00FE61A5"/>
    <w:p w14:paraId="45813752" w14:textId="77777777" w:rsidR="00FE61A5" w:rsidRPr="00FE61A5" w:rsidRDefault="00FE61A5" w:rsidP="00FE61A5">
      <w:pPr>
        <w:pStyle w:val="Heading3"/>
        <w:rPr>
          <w:rFonts w:eastAsia="Times New Roman"/>
          <w:sz w:val="28"/>
          <w:szCs w:val="28"/>
          <w:u w:val="single"/>
          <w:lang w:eastAsia="bg-BG"/>
        </w:rPr>
      </w:pPr>
      <w:r w:rsidRPr="00FE61A5">
        <w:rPr>
          <w:rFonts w:eastAsia="Times New Roman"/>
          <w:u w:val="single"/>
          <w:lang w:eastAsia="bg-BG"/>
        </w:rPr>
        <w:t>Бременност</w:t>
      </w:r>
    </w:p>
    <w:p w14:paraId="09342946"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Липсват данни от употребата на сорафениб при бременни жени. Проучванията при животни показват репродуктивна токсичност, включително малформации (вж. точка 5.3). При плъхове е доказано, че сорафениб и неговите метаболити преминават през плацентата и се очаква сорафениб да причини увреждащи ефекти върху плода. </w:t>
      </w:r>
      <w:r w:rsidRPr="00FE61A5">
        <w:rPr>
          <w:rFonts w:eastAsia="Times New Roman" w:cs="Arial"/>
          <w:color w:val="000000"/>
          <w:lang w:eastAsia="bg-BG"/>
        </w:rPr>
        <w:lastRenderedPageBreak/>
        <w:t>Сорафениб не трябва да се използва по време на бременност, освен ако не е абсолютно показан, след внимателно обсъждане на необходимостта за майката и риска за плода.</w:t>
      </w:r>
    </w:p>
    <w:p w14:paraId="312005CC"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Жени с детероден потенциал трябва да използват ефективна контрацепция по време на лечението.</w:t>
      </w:r>
    </w:p>
    <w:p w14:paraId="4A113DB7" w14:textId="77777777" w:rsidR="00FE61A5" w:rsidRPr="00FE61A5" w:rsidRDefault="00FE61A5" w:rsidP="00FE61A5">
      <w:pPr>
        <w:spacing w:line="240" w:lineRule="auto"/>
        <w:rPr>
          <w:rFonts w:eastAsia="Times New Roman" w:cs="Arial"/>
          <w:color w:val="000000"/>
          <w:u w:val="single"/>
          <w:lang w:eastAsia="bg-BG"/>
        </w:rPr>
      </w:pPr>
    </w:p>
    <w:p w14:paraId="348B32C2" w14:textId="124A5E52" w:rsidR="00FE61A5" w:rsidRPr="00FE61A5" w:rsidRDefault="00FE61A5" w:rsidP="00FE61A5">
      <w:pPr>
        <w:pStyle w:val="Heading3"/>
        <w:rPr>
          <w:rFonts w:eastAsia="Times New Roman"/>
          <w:sz w:val="28"/>
          <w:szCs w:val="28"/>
          <w:u w:val="single"/>
          <w:lang w:eastAsia="bg-BG"/>
        </w:rPr>
      </w:pPr>
      <w:r w:rsidRPr="00FE61A5">
        <w:rPr>
          <w:rFonts w:eastAsia="Times New Roman"/>
          <w:u w:val="single"/>
          <w:lang w:eastAsia="bg-BG"/>
        </w:rPr>
        <w:t>Кърмене</w:t>
      </w:r>
    </w:p>
    <w:p w14:paraId="5B271989"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Не е известно дали сорафениб се екскретира в кърмата. При животни сорафениб и/или неговите метаболити се екскретират в млякото. Тъй като сорафениб може да увреди растежа и развитието на новороденото (вж. точка 5.3), жените не трябва да кърмят по време на лечението със сорафениб.</w:t>
      </w:r>
    </w:p>
    <w:p w14:paraId="2C27EA0A" w14:textId="77777777" w:rsidR="00FE61A5" w:rsidRPr="00FE61A5" w:rsidRDefault="00FE61A5" w:rsidP="00FE61A5">
      <w:pPr>
        <w:spacing w:line="240" w:lineRule="auto"/>
        <w:rPr>
          <w:rFonts w:eastAsia="Times New Roman" w:cs="Arial"/>
          <w:color w:val="000000"/>
          <w:u w:val="single"/>
          <w:lang w:eastAsia="bg-BG"/>
        </w:rPr>
      </w:pPr>
    </w:p>
    <w:p w14:paraId="060B8D8A" w14:textId="32CAE109" w:rsidR="00FE61A5" w:rsidRPr="00FE61A5" w:rsidRDefault="00FE61A5" w:rsidP="00FE61A5">
      <w:pPr>
        <w:pStyle w:val="Heading3"/>
        <w:rPr>
          <w:rFonts w:eastAsia="Times New Roman"/>
          <w:sz w:val="28"/>
          <w:szCs w:val="28"/>
          <w:u w:val="single"/>
          <w:lang w:eastAsia="bg-BG"/>
        </w:rPr>
      </w:pPr>
      <w:r w:rsidRPr="00FE61A5">
        <w:rPr>
          <w:rFonts w:eastAsia="Times New Roman"/>
          <w:u w:val="single"/>
          <w:lang w:eastAsia="bg-BG"/>
        </w:rPr>
        <w:t>Фертилитет</w:t>
      </w:r>
    </w:p>
    <w:p w14:paraId="0441A8C6" w14:textId="77777777" w:rsidR="00FE61A5" w:rsidRPr="00FE61A5" w:rsidRDefault="00FE61A5" w:rsidP="00FE61A5">
      <w:pPr>
        <w:spacing w:line="240" w:lineRule="auto"/>
        <w:rPr>
          <w:rFonts w:ascii="Times New Roman" w:eastAsia="Times New Roman" w:hAnsi="Times New Roman" w:cs="Times New Roman"/>
          <w:sz w:val="24"/>
          <w:szCs w:val="24"/>
          <w:lang w:eastAsia="bg-BG"/>
        </w:rPr>
      </w:pPr>
      <w:r w:rsidRPr="00FE61A5">
        <w:rPr>
          <w:rFonts w:eastAsia="Times New Roman" w:cs="Arial"/>
          <w:color w:val="000000"/>
          <w:lang w:eastAsia="bg-BG"/>
        </w:rPr>
        <w:t>Резултатите от проучвания при животни показват, че сорафениб може да увреди мъжкия и женския фертилитет (вж. точка 5.3).</w:t>
      </w:r>
    </w:p>
    <w:p w14:paraId="4B10ECD2" w14:textId="77777777" w:rsidR="00FE61A5" w:rsidRPr="00FE61A5" w:rsidRDefault="00FE61A5" w:rsidP="00FE61A5"/>
    <w:p w14:paraId="188B33B4" w14:textId="0FD6DB31" w:rsidR="001A6EBD" w:rsidRDefault="002C50EE" w:rsidP="00471F10">
      <w:pPr>
        <w:pStyle w:val="Heading2"/>
      </w:pPr>
      <w:r>
        <w:t>4.7. Ефекти върху способността за шофиране и работа с машини</w:t>
      </w:r>
    </w:p>
    <w:p w14:paraId="40A3B241" w14:textId="62FA3E14" w:rsidR="00FE61A5" w:rsidRDefault="00FE61A5" w:rsidP="00FE61A5"/>
    <w:p w14:paraId="352C76A2" w14:textId="031FE0A4" w:rsidR="00FE61A5" w:rsidRDefault="00FE61A5" w:rsidP="00FE61A5">
      <w:r>
        <w:t>Не са провеждани проучвания за ефектите върху способността за шофиране и работа с машини. Няма доказателство, че сорафениб повлиява способността за шофиране и работа с машини.</w:t>
      </w:r>
    </w:p>
    <w:p w14:paraId="78F9A866" w14:textId="77777777" w:rsidR="00FE61A5" w:rsidRPr="00FE61A5" w:rsidRDefault="00FE61A5" w:rsidP="00FE61A5"/>
    <w:p w14:paraId="44CE30A3" w14:textId="091B73BC" w:rsidR="007122AD" w:rsidRDefault="002C50EE" w:rsidP="00936AD0">
      <w:pPr>
        <w:pStyle w:val="Heading2"/>
      </w:pPr>
      <w:r>
        <w:t>4.8. Нежелани лекарствени реакции</w:t>
      </w:r>
    </w:p>
    <w:p w14:paraId="7D33AEA3" w14:textId="42BFA986" w:rsidR="00FE61A5" w:rsidRDefault="00FE61A5" w:rsidP="00FE61A5"/>
    <w:p w14:paraId="2717F9CF" w14:textId="77777777"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Най-важните сериозни нежелани реакции са миокарден инфаркт/исхемия, стомашно-чревна перфорация, индуциран от лекарството хепатит, кръвоизлив и хипертония/хипертонични кризи.</w:t>
      </w:r>
    </w:p>
    <w:p w14:paraId="05106B2D" w14:textId="77777777" w:rsidR="00FE61A5" w:rsidRPr="00FE61A5" w:rsidRDefault="00FE61A5" w:rsidP="00FE61A5">
      <w:pPr>
        <w:spacing w:line="240" w:lineRule="auto"/>
        <w:rPr>
          <w:rFonts w:eastAsia="Times New Roman" w:cs="Arial"/>
          <w:color w:val="000000"/>
          <w:lang w:eastAsia="bg-BG"/>
        </w:rPr>
      </w:pPr>
    </w:p>
    <w:p w14:paraId="5DD73AC9" w14:textId="33F2CF88"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Най-честите нежелани реакции, свързани с лекарството са диария, умора, алопеция, инфекция, кожна реакция ръка-крак (съответства на синдром на палмаро-плантарна еритродизестезия по </w:t>
      </w:r>
      <w:r w:rsidRPr="00FE61A5">
        <w:rPr>
          <w:rFonts w:eastAsia="Times New Roman" w:cs="Arial"/>
          <w:color w:val="000000"/>
          <w:lang w:val="en-US"/>
        </w:rPr>
        <w:t xml:space="preserve">MedDRA) </w:t>
      </w:r>
      <w:r w:rsidRPr="00FE61A5">
        <w:rPr>
          <w:rFonts w:eastAsia="Times New Roman" w:cs="Arial"/>
          <w:color w:val="000000"/>
          <w:lang w:eastAsia="bg-BG"/>
        </w:rPr>
        <w:t>и обрив.</w:t>
      </w:r>
    </w:p>
    <w:p w14:paraId="43D9A9D2" w14:textId="77777777" w:rsidR="00FE61A5" w:rsidRPr="00FE61A5" w:rsidRDefault="00FE61A5" w:rsidP="00FE61A5">
      <w:pPr>
        <w:spacing w:line="240" w:lineRule="auto"/>
        <w:rPr>
          <w:rFonts w:eastAsia="Times New Roman" w:cs="Arial"/>
          <w:color w:val="000000"/>
          <w:lang w:eastAsia="bg-BG"/>
        </w:rPr>
      </w:pPr>
    </w:p>
    <w:p w14:paraId="24F720E4" w14:textId="61EC5DDC"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 xml:space="preserve">Нежеланите реакции, докладвани в много клинични изпитвания или по време на постмаркетинговата употреба, са представени по-долу в таблица 1, подредени по системо-органна класификация </w:t>
      </w:r>
      <w:r w:rsidRPr="00FE61A5">
        <w:rPr>
          <w:rFonts w:eastAsia="Times New Roman" w:cs="Arial"/>
          <w:color w:val="000000"/>
          <w:lang w:val="en-US"/>
        </w:rPr>
        <w:t xml:space="preserve">(MedDRA) </w:t>
      </w:r>
      <w:r w:rsidRPr="00FE61A5">
        <w:rPr>
          <w:rFonts w:eastAsia="Times New Roman" w:cs="Arial"/>
          <w:color w:val="000000"/>
          <w:lang w:eastAsia="bg-BG"/>
        </w:rPr>
        <w:t>и честота. Честотата се определя като: много чести (≥1/10), чести (≥1/100 до &lt;1/10), нечести (≥1/1 000 до &lt;1/100), редки (≥1/10 000 до &lt;1/1 000), с неизвестна честота (от наличните данни не може да бъде направена оценка).</w:t>
      </w:r>
    </w:p>
    <w:p w14:paraId="1EB72B01" w14:textId="77777777" w:rsidR="00FE61A5" w:rsidRPr="00FE61A5" w:rsidRDefault="00FE61A5" w:rsidP="00FE61A5">
      <w:pPr>
        <w:spacing w:line="240" w:lineRule="auto"/>
        <w:rPr>
          <w:rFonts w:eastAsia="Times New Roman" w:cs="Arial"/>
          <w:color w:val="000000"/>
          <w:lang w:eastAsia="bg-BG"/>
        </w:rPr>
      </w:pPr>
    </w:p>
    <w:p w14:paraId="37B58593" w14:textId="1054C285" w:rsidR="00FE61A5" w:rsidRPr="00FE61A5" w:rsidRDefault="00FE61A5" w:rsidP="00FE61A5">
      <w:pPr>
        <w:spacing w:line="240" w:lineRule="auto"/>
        <w:rPr>
          <w:rFonts w:eastAsia="Times New Roman" w:cs="Arial"/>
          <w:sz w:val="28"/>
          <w:szCs w:val="28"/>
          <w:lang w:eastAsia="bg-BG"/>
        </w:rPr>
      </w:pPr>
      <w:r w:rsidRPr="00FE61A5">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4DD7571D" w14:textId="73F99229" w:rsidR="00FE61A5" w:rsidRPr="00FE61A5" w:rsidRDefault="00FE61A5" w:rsidP="00FE61A5">
      <w:pPr>
        <w:rPr>
          <w:rFonts w:cs="Arial"/>
          <w:sz w:val="24"/>
          <w:szCs w:val="24"/>
        </w:rPr>
      </w:pPr>
    </w:p>
    <w:p w14:paraId="48693611" w14:textId="0E341746" w:rsidR="00FE61A5" w:rsidRDefault="00FE61A5" w:rsidP="00FE61A5">
      <w:pPr>
        <w:rPr>
          <w:rFonts w:cs="Arial"/>
        </w:rPr>
      </w:pPr>
      <w:r w:rsidRPr="00FE61A5">
        <w:rPr>
          <w:rFonts w:cs="Arial"/>
        </w:rPr>
        <w:t>Таблица 1: Всички нежелани лекарствени реакции, докладвани в много клинични изпитвания или по време на постмаркетинговата употреба</w:t>
      </w:r>
    </w:p>
    <w:p w14:paraId="7F6D9053" w14:textId="2946AD53" w:rsidR="00FE61A5" w:rsidRDefault="00FE61A5" w:rsidP="00FE61A5">
      <w:pPr>
        <w:rPr>
          <w:rFonts w:cs="Arial"/>
        </w:rPr>
      </w:pPr>
    </w:p>
    <w:tbl>
      <w:tblPr>
        <w:tblStyle w:val="TableGrid"/>
        <w:tblW w:w="0" w:type="auto"/>
        <w:tblLook w:val="04A0" w:firstRow="1" w:lastRow="0" w:firstColumn="1" w:lastColumn="0" w:noHBand="0" w:noVBand="1"/>
      </w:tblPr>
      <w:tblGrid>
        <w:gridCol w:w="1668"/>
        <w:gridCol w:w="1352"/>
        <w:gridCol w:w="1758"/>
        <w:gridCol w:w="1862"/>
        <w:gridCol w:w="1475"/>
        <w:gridCol w:w="1235"/>
      </w:tblGrid>
      <w:tr w:rsidR="00FE61A5" w14:paraId="6AF19ACD" w14:textId="77777777" w:rsidTr="00FE61A5">
        <w:tc>
          <w:tcPr>
            <w:tcW w:w="1709" w:type="dxa"/>
            <w:vAlign w:val="bottom"/>
          </w:tcPr>
          <w:p w14:paraId="4170B133" w14:textId="3F47D910" w:rsidR="00FE61A5" w:rsidRPr="00FE61A5" w:rsidRDefault="00FE61A5" w:rsidP="00FE61A5">
            <w:pPr>
              <w:rPr>
                <w:rFonts w:cs="Arial"/>
              </w:rPr>
            </w:pPr>
            <w:r w:rsidRPr="00FE61A5">
              <w:rPr>
                <w:lang w:val="en-US"/>
              </w:rPr>
              <w:t>MedDRA</w:t>
            </w:r>
            <w:r w:rsidRPr="00FE61A5">
              <w:t>-база данни на системо- органни класове</w:t>
            </w:r>
          </w:p>
        </w:tc>
        <w:tc>
          <w:tcPr>
            <w:tcW w:w="1384" w:type="dxa"/>
          </w:tcPr>
          <w:p w14:paraId="1B4ABD22" w14:textId="425F2177" w:rsidR="00FE61A5" w:rsidRPr="00FE61A5" w:rsidRDefault="00FE61A5" w:rsidP="00FE61A5">
            <w:pPr>
              <w:rPr>
                <w:rFonts w:cs="Arial"/>
              </w:rPr>
            </w:pPr>
            <w:r w:rsidRPr="00FE61A5">
              <w:t>Много чести</w:t>
            </w:r>
          </w:p>
        </w:tc>
        <w:tc>
          <w:tcPr>
            <w:tcW w:w="1801" w:type="dxa"/>
          </w:tcPr>
          <w:p w14:paraId="1D467F65" w14:textId="5693A639" w:rsidR="00FE61A5" w:rsidRPr="00FE61A5" w:rsidRDefault="00FE61A5" w:rsidP="00FE61A5">
            <w:pPr>
              <w:rPr>
                <w:rFonts w:cs="Arial"/>
              </w:rPr>
            </w:pPr>
            <w:r w:rsidRPr="00FE61A5">
              <w:t>Чести</w:t>
            </w:r>
          </w:p>
        </w:tc>
        <w:tc>
          <w:tcPr>
            <w:tcW w:w="1908" w:type="dxa"/>
          </w:tcPr>
          <w:p w14:paraId="34920874" w14:textId="795CCA4C" w:rsidR="00FE61A5" w:rsidRPr="00FE61A5" w:rsidRDefault="00FE61A5" w:rsidP="00FE61A5">
            <w:pPr>
              <w:rPr>
                <w:rFonts w:cs="Arial"/>
              </w:rPr>
            </w:pPr>
            <w:r w:rsidRPr="00FE61A5">
              <w:t>Нечести</w:t>
            </w:r>
          </w:p>
        </w:tc>
        <w:tc>
          <w:tcPr>
            <w:tcW w:w="1510" w:type="dxa"/>
          </w:tcPr>
          <w:p w14:paraId="615B1DE9" w14:textId="77C9AD88" w:rsidR="00FE61A5" w:rsidRPr="00FE61A5" w:rsidRDefault="00FE61A5" w:rsidP="00FE61A5">
            <w:pPr>
              <w:rPr>
                <w:rFonts w:cs="Arial"/>
              </w:rPr>
            </w:pPr>
            <w:r w:rsidRPr="00FE61A5">
              <w:t>Редки</w:t>
            </w:r>
          </w:p>
        </w:tc>
        <w:tc>
          <w:tcPr>
            <w:tcW w:w="1264" w:type="dxa"/>
            <w:vAlign w:val="center"/>
          </w:tcPr>
          <w:p w14:paraId="7F975054" w14:textId="0F133837" w:rsidR="00FE61A5" w:rsidRPr="00FE61A5" w:rsidRDefault="00FE61A5" w:rsidP="00FE61A5">
            <w:pPr>
              <w:rPr>
                <w:rFonts w:cs="Arial"/>
              </w:rPr>
            </w:pPr>
            <w:r w:rsidRPr="00FE61A5">
              <w:t>С неизвестна честота</w:t>
            </w:r>
          </w:p>
        </w:tc>
      </w:tr>
      <w:tr w:rsidR="00FE61A5" w14:paraId="2FDF7EA2" w14:textId="77777777" w:rsidTr="00FE61A5">
        <w:tc>
          <w:tcPr>
            <w:tcW w:w="1709" w:type="dxa"/>
            <w:vAlign w:val="bottom"/>
          </w:tcPr>
          <w:p w14:paraId="51CCA714" w14:textId="6F60488E" w:rsidR="00FE61A5" w:rsidRPr="00FE61A5" w:rsidRDefault="00FE61A5" w:rsidP="00FE61A5">
            <w:pPr>
              <w:rPr>
                <w:rFonts w:cs="Arial"/>
              </w:rPr>
            </w:pPr>
            <w:r w:rsidRPr="00FE61A5">
              <w:lastRenderedPageBreak/>
              <w:t>Инфекции и инфестации</w:t>
            </w:r>
          </w:p>
        </w:tc>
        <w:tc>
          <w:tcPr>
            <w:tcW w:w="1384" w:type="dxa"/>
          </w:tcPr>
          <w:p w14:paraId="333286CE" w14:textId="5BCC60BA" w:rsidR="00FE61A5" w:rsidRPr="00FE61A5" w:rsidRDefault="00FE61A5" w:rsidP="00FE61A5">
            <w:pPr>
              <w:rPr>
                <w:rFonts w:cs="Arial"/>
              </w:rPr>
            </w:pPr>
            <w:r w:rsidRPr="00FE61A5">
              <w:t>инфекция</w:t>
            </w:r>
          </w:p>
        </w:tc>
        <w:tc>
          <w:tcPr>
            <w:tcW w:w="1801" w:type="dxa"/>
          </w:tcPr>
          <w:p w14:paraId="346A4CD3" w14:textId="4AA7A433" w:rsidR="00FE61A5" w:rsidRPr="00FE61A5" w:rsidRDefault="00FE61A5" w:rsidP="00FE61A5">
            <w:pPr>
              <w:rPr>
                <w:rFonts w:cs="Arial"/>
              </w:rPr>
            </w:pPr>
            <w:r w:rsidRPr="00FE61A5">
              <w:t>фоликулит</w:t>
            </w:r>
          </w:p>
        </w:tc>
        <w:tc>
          <w:tcPr>
            <w:tcW w:w="1908" w:type="dxa"/>
          </w:tcPr>
          <w:p w14:paraId="6D121922" w14:textId="77777777" w:rsidR="00FE61A5" w:rsidRPr="00FE61A5" w:rsidRDefault="00FE61A5" w:rsidP="00FE61A5">
            <w:pPr>
              <w:rPr>
                <w:rFonts w:cs="Arial"/>
              </w:rPr>
            </w:pPr>
          </w:p>
        </w:tc>
        <w:tc>
          <w:tcPr>
            <w:tcW w:w="1510" w:type="dxa"/>
          </w:tcPr>
          <w:p w14:paraId="6A5B2F6D" w14:textId="77777777" w:rsidR="00FE61A5" w:rsidRPr="00FE61A5" w:rsidRDefault="00FE61A5" w:rsidP="00FE61A5">
            <w:pPr>
              <w:rPr>
                <w:rFonts w:cs="Arial"/>
              </w:rPr>
            </w:pPr>
          </w:p>
        </w:tc>
        <w:tc>
          <w:tcPr>
            <w:tcW w:w="1264" w:type="dxa"/>
          </w:tcPr>
          <w:p w14:paraId="47374F06" w14:textId="77777777" w:rsidR="00FE61A5" w:rsidRPr="00FE61A5" w:rsidRDefault="00FE61A5" w:rsidP="00FE61A5">
            <w:pPr>
              <w:rPr>
                <w:rFonts w:cs="Arial"/>
              </w:rPr>
            </w:pPr>
          </w:p>
        </w:tc>
      </w:tr>
      <w:tr w:rsidR="00FE61A5" w14:paraId="7DC3BAC4" w14:textId="77777777" w:rsidTr="00FE61A5">
        <w:tc>
          <w:tcPr>
            <w:tcW w:w="1709" w:type="dxa"/>
          </w:tcPr>
          <w:p w14:paraId="2C09E472" w14:textId="1C531032" w:rsidR="00FE61A5" w:rsidRPr="00FE61A5" w:rsidRDefault="00FE61A5" w:rsidP="00FE61A5">
            <w:pPr>
              <w:rPr>
                <w:rFonts w:cs="Arial"/>
              </w:rPr>
            </w:pPr>
            <w:r w:rsidRPr="00FE61A5">
              <w:t>Нарушения на кръвта и лимфната система</w:t>
            </w:r>
          </w:p>
        </w:tc>
        <w:tc>
          <w:tcPr>
            <w:tcW w:w="1384" w:type="dxa"/>
          </w:tcPr>
          <w:p w14:paraId="128DA9DB" w14:textId="39A11592" w:rsidR="00FE61A5" w:rsidRPr="00FE61A5" w:rsidRDefault="00FE61A5" w:rsidP="00FE61A5">
            <w:pPr>
              <w:rPr>
                <w:rFonts w:cs="Arial"/>
              </w:rPr>
            </w:pPr>
            <w:r w:rsidRPr="00FE61A5">
              <w:t>лимфопения</w:t>
            </w:r>
          </w:p>
        </w:tc>
        <w:tc>
          <w:tcPr>
            <w:tcW w:w="1801" w:type="dxa"/>
            <w:vAlign w:val="bottom"/>
          </w:tcPr>
          <w:p w14:paraId="5FB9F220" w14:textId="73C55FD9" w:rsidR="00FE61A5" w:rsidRPr="00FE61A5" w:rsidRDefault="00FE61A5" w:rsidP="00FE61A5">
            <w:pPr>
              <w:rPr>
                <w:rFonts w:cs="Arial"/>
              </w:rPr>
            </w:pPr>
            <w:r w:rsidRPr="00FE61A5">
              <w:t>левкопения неутропения анемия тромбоцитопения</w:t>
            </w:r>
          </w:p>
        </w:tc>
        <w:tc>
          <w:tcPr>
            <w:tcW w:w="1908" w:type="dxa"/>
          </w:tcPr>
          <w:p w14:paraId="7B8A9EF9" w14:textId="77777777" w:rsidR="00FE61A5" w:rsidRPr="00FE61A5" w:rsidRDefault="00FE61A5" w:rsidP="00FE61A5">
            <w:pPr>
              <w:rPr>
                <w:rFonts w:cs="Arial"/>
              </w:rPr>
            </w:pPr>
          </w:p>
        </w:tc>
        <w:tc>
          <w:tcPr>
            <w:tcW w:w="1510" w:type="dxa"/>
          </w:tcPr>
          <w:p w14:paraId="10019F23" w14:textId="77777777" w:rsidR="00FE61A5" w:rsidRPr="00FE61A5" w:rsidRDefault="00FE61A5" w:rsidP="00FE61A5">
            <w:pPr>
              <w:rPr>
                <w:rFonts w:cs="Arial"/>
              </w:rPr>
            </w:pPr>
          </w:p>
        </w:tc>
        <w:tc>
          <w:tcPr>
            <w:tcW w:w="1264" w:type="dxa"/>
          </w:tcPr>
          <w:p w14:paraId="2942ABC0" w14:textId="77777777" w:rsidR="00FE61A5" w:rsidRPr="00FE61A5" w:rsidRDefault="00FE61A5" w:rsidP="00FE61A5">
            <w:pPr>
              <w:rPr>
                <w:rFonts w:cs="Arial"/>
              </w:rPr>
            </w:pPr>
          </w:p>
        </w:tc>
      </w:tr>
      <w:tr w:rsidR="00FE61A5" w14:paraId="6196389E" w14:textId="77777777" w:rsidTr="00FE61A5">
        <w:tc>
          <w:tcPr>
            <w:tcW w:w="1709" w:type="dxa"/>
          </w:tcPr>
          <w:p w14:paraId="58E0DF1F" w14:textId="75FAF18E" w:rsidR="00FE61A5" w:rsidRPr="00FE61A5" w:rsidRDefault="00FE61A5" w:rsidP="00FE61A5">
            <w:pPr>
              <w:rPr>
                <w:rFonts w:cs="Arial"/>
              </w:rPr>
            </w:pPr>
            <w:r w:rsidRPr="00FE61A5">
              <w:t>Нарушения на имунната система</w:t>
            </w:r>
          </w:p>
        </w:tc>
        <w:tc>
          <w:tcPr>
            <w:tcW w:w="1384" w:type="dxa"/>
          </w:tcPr>
          <w:p w14:paraId="45DC9415" w14:textId="77777777" w:rsidR="00FE61A5" w:rsidRPr="00FE61A5" w:rsidRDefault="00FE61A5" w:rsidP="00FE61A5">
            <w:pPr>
              <w:rPr>
                <w:rFonts w:cs="Arial"/>
              </w:rPr>
            </w:pPr>
          </w:p>
        </w:tc>
        <w:tc>
          <w:tcPr>
            <w:tcW w:w="1801" w:type="dxa"/>
          </w:tcPr>
          <w:p w14:paraId="3A29D214" w14:textId="77777777" w:rsidR="00FE61A5" w:rsidRPr="00FE61A5" w:rsidRDefault="00FE61A5" w:rsidP="00FE61A5">
            <w:pPr>
              <w:rPr>
                <w:rFonts w:cs="Arial"/>
              </w:rPr>
            </w:pPr>
          </w:p>
        </w:tc>
        <w:tc>
          <w:tcPr>
            <w:tcW w:w="1908" w:type="dxa"/>
            <w:vAlign w:val="bottom"/>
          </w:tcPr>
          <w:p w14:paraId="716D2B0B" w14:textId="3711B9D1" w:rsidR="00FE61A5" w:rsidRPr="00FE61A5" w:rsidRDefault="00FE61A5" w:rsidP="00FE61A5">
            <w:pPr>
              <w:rPr>
                <w:rFonts w:cs="Arial"/>
              </w:rPr>
            </w:pPr>
            <w:r w:rsidRPr="00FE61A5">
              <w:t>реакции на свръхчувстви</w:t>
            </w:r>
            <w:r w:rsidRPr="00FE61A5">
              <w:softHyphen/>
              <w:t>телност (включващи кожни реакции и уртикария) анафилактична реакция</w:t>
            </w:r>
          </w:p>
        </w:tc>
        <w:tc>
          <w:tcPr>
            <w:tcW w:w="1510" w:type="dxa"/>
          </w:tcPr>
          <w:p w14:paraId="041946C7" w14:textId="3E1249B0" w:rsidR="00FE61A5" w:rsidRPr="00FE61A5" w:rsidRDefault="00FE61A5" w:rsidP="00FE61A5">
            <w:pPr>
              <w:rPr>
                <w:rFonts w:cs="Arial"/>
              </w:rPr>
            </w:pPr>
            <w:r w:rsidRPr="00FE61A5">
              <w:t>ангиоедем</w:t>
            </w:r>
          </w:p>
        </w:tc>
        <w:tc>
          <w:tcPr>
            <w:tcW w:w="1264" w:type="dxa"/>
          </w:tcPr>
          <w:p w14:paraId="58BCE47B" w14:textId="77777777" w:rsidR="00FE61A5" w:rsidRPr="00FE61A5" w:rsidRDefault="00FE61A5" w:rsidP="00FE61A5">
            <w:pPr>
              <w:rPr>
                <w:rFonts w:cs="Arial"/>
              </w:rPr>
            </w:pPr>
          </w:p>
        </w:tc>
      </w:tr>
      <w:tr w:rsidR="00FE61A5" w14:paraId="5B042C8F" w14:textId="77777777" w:rsidTr="00FE61A5">
        <w:tc>
          <w:tcPr>
            <w:tcW w:w="1709" w:type="dxa"/>
            <w:vAlign w:val="bottom"/>
          </w:tcPr>
          <w:p w14:paraId="5B0701DA" w14:textId="5EA1B8B5" w:rsidR="00FE61A5" w:rsidRPr="00FE61A5" w:rsidRDefault="00FE61A5" w:rsidP="00FE61A5">
            <w:pPr>
              <w:rPr>
                <w:rFonts w:cs="Arial"/>
              </w:rPr>
            </w:pPr>
            <w:r w:rsidRPr="00FE61A5">
              <w:t>Нарушения на ендокринната система</w:t>
            </w:r>
          </w:p>
        </w:tc>
        <w:tc>
          <w:tcPr>
            <w:tcW w:w="1384" w:type="dxa"/>
          </w:tcPr>
          <w:p w14:paraId="36DEFD16" w14:textId="77777777" w:rsidR="00FE61A5" w:rsidRPr="00FE61A5" w:rsidRDefault="00FE61A5" w:rsidP="00FE61A5">
            <w:pPr>
              <w:rPr>
                <w:rFonts w:cs="Arial"/>
              </w:rPr>
            </w:pPr>
          </w:p>
        </w:tc>
        <w:tc>
          <w:tcPr>
            <w:tcW w:w="1801" w:type="dxa"/>
          </w:tcPr>
          <w:p w14:paraId="239FF642" w14:textId="7D37D470" w:rsidR="00FE61A5" w:rsidRPr="00FE61A5" w:rsidRDefault="00FE61A5" w:rsidP="00FE61A5">
            <w:pPr>
              <w:rPr>
                <w:rFonts w:cs="Arial"/>
              </w:rPr>
            </w:pPr>
            <w:r w:rsidRPr="00FE61A5">
              <w:t>хипотир</w:t>
            </w:r>
            <w:r w:rsidRPr="00FE61A5">
              <w:rPr>
                <w:lang w:val="en-US"/>
              </w:rPr>
              <w:t>e</w:t>
            </w:r>
            <w:r w:rsidRPr="00FE61A5">
              <w:t>оидизъм</w:t>
            </w:r>
          </w:p>
        </w:tc>
        <w:tc>
          <w:tcPr>
            <w:tcW w:w="1908" w:type="dxa"/>
          </w:tcPr>
          <w:p w14:paraId="4AB6FD78" w14:textId="61DDC0F9" w:rsidR="00FE61A5" w:rsidRPr="00FE61A5" w:rsidRDefault="00FE61A5" w:rsidP="00FE61A5">
            <w:pPr>
              <w:rPr>
                <w:rFonts w:cs="Arial"/>
              </w:rPr>
            </w:pPr>
            <w:r w:rsidRPr="00FE61A5">
              <w:t>хипертир</w:t>
            </w:r>
            <w:r w:rsidRPr="00FE61A5">
              <w:rPr>
                <w:lang w:val="en-US"/>
              </w:rPr>
              <w:t>e</w:t>
            </w:r>
            <w:r w:rsidRPr="00FE61A5">
              <w:t>оидизъм</w:t>
            </w:r>
          </w:p>
        </w:tc>
        <w:tc>
          <w:tcPr>
            <w:tcW w:w="1510" w:type="dxa"/>
          </w:tcPr>
          <w:p w14:paraId="6926C6F9" w14:textId="77777777" w:rsidR="00FE61A5" w:rsidRPr="00FE61A5" w:rsidRDefault="00FE61A5" w:rsidP="00FE61A5">
            <w:pPr>
              <w:rPr>
                <w:rFonts w:cs="Arial"/>
              </w:rPr>
            </w:pPr>
          </w:p>
        </w:tc>
        <w:tc>
          <w:tcPr>
            <w:tcW w:w="1264" w:type="dxa"/>
          </w:tcPr>
          <w:p w14:paraId="0FAC2B42" w14:textId="77777777" w:rsidR="00FE61A5" w:rsidRPr="00FE61A5" w:rsidRDefault="00FE61A5" w:rsidP="00FE61A5">
            <w:pPr>
              <w:rPr>
                <w:rFonts w:cs="Arial"/>
              </w:rPr>
            </w:pPr>
          </w:p>
        </w:tc>
      </w:tr>
      <w:tr w:rsidR="000373DE" w14:paraId="38014713" w14:textId="77777777" w:rsidTr="00FE61A5">
        <w:tc>
          <w:tcPr>
            <w:tcW w:w="1709" w:type="dxa"/>
            <w:vAlign w:val="center"/>
          </w:tcPr>
          <w:p w14:paraId="4A2E62E2" w14:textId="13410D11" w:rsidR="00FE61A5" w:rsidRPr="00FE61A5" w:rsidRDefault="00FE61A5" w:rsidP="00FE61A5">
            <w:pPr>
              <w:rPr>
                <w:rFonts w:cs="Arial"/>
              </w:rPr>
            </w:pPr>
            <w:r w:rsidRPr="00FE61A5">
              <w:t>Нарушения на метаболизма и храненето</w:t>
            </w:r>
          </w:p>
        </w:tc>
        <w:tc>
          <w:tcPr>
            <w:tcW w:w="1384" w:type="dxa"/>
            <w:vAlign w:val="center"/>
          </w:tcPr>
          <w:p w14:paraId="70945862" w14:textId="419EFB46" w:rsidR="00FE61A5" w:rsidRPr="00FE61A5" w:rsidRDefault="00FE61A5" w:rsidP="00FE61A5">
            <w:pPr>
              <w:rPr>
                <w:rFonts w:cs="Arial"/>
              </w:rPr>
            </w:pPr>
            <w:r w:rsidRPr="00FE61A5">
              <w:t>анорексия хино- фосфатемия</w:t>
            </w:r>
          </w:p>
        </w:tc>
        <w:tc>
          <w:tcPr>
            <w:tcW w:w="1801" w:type="dxa"/>
            <w:vAlign w:val="bottom"/>
          </w:tcPr>
          <w:p w14:paraId="060F911B" w14:textId="0B1A8BD1" w:rsidR="00FE61A5" w:rsidRPr="00FE61A5" w:rsidRDefault="00FE61A5" w:rsidP="00FE61A5">
            <w:pPr>
              <w:rPr>
                <w:rFonts w:cs="Arial"/>
              </w:rPr>
            </w:pPr>
            <w:r w:rsidRPr="00FE61A5">
              <w:t>хипокалциемия хипокалиемия хипонатриемия хипогликемия</w:t>
            </w:r>
          </w:p>
        </w:tc>
        <w:tc>
          <w:tcPr>
            <w:tcW w:w="1908" w:type="dxa"/>
          </w:tcPr>
          <w:p w14:paraId="1E3E62B2" w14:textId="14728D2C" w:rsidR="00FE61A5" w:rsidRPr="00FE61A5" w:rsidRDefault="00FE61A5" w:rsidP="00FE61A5">
            <w:pPr>
              <w:rPr>
                <w:rFonts w:cs="Arial"/>
              </w:rPr>
            </w:pPr>
            <w:r w:rsidRPr="00FE61A5">
              <w:t>дехидратация</w:t>
            </w:r>
          </w:p>
        </w:tc>
        <w:tc>
          <w:tcPr>
            <w:tcW w:w="1510" w:type="dxa"/>
          </w:tcPr>
          <w:p w14:paraId="5A5D0EBE" w14:textId="77777777" w:rsidR="00FE61A5" w:rsidRPr="00FE61A5" w:rsidRDefault="00FE61A5" w:rsidP="00FE61A5">
            <w:pPr>
              <w:rPr>
                <w:rFonts w:cs="Arial"/>
              </w:rPr>
            </w:pPr>
          </w:p>
        </w:tc>
        <w:tc>
          <w:tcPr>
            <w:tcW w:w="1264" w:type="dxa"/>
          </w:tcPr>
          <w:p w14:paraId="3F0B8530" w14:textId="77777777" w:rsidR="00FE61A5" w:rsidRPr="00FE61A5" w:rsidRDefault="00FE61A5" w:rsidP="00FE61A5">
            <w:pPr>
              <w:rPr>
                <w:rFonts w:cs="Arial"/>
              </w:rPr>
            </w:pPr>
          </w:p>
        </w:tc>
      </w:tr>
      <w:tr w:rsidR="00FE61A5" w14:paraId="65B27F24" w14:textId="77777777" w:rsidTr="00FE61A5">
        <w:tc>
          <w:tcPr>
            <w:tcW w:w="1709" w:type="dxa"/>
            <w:vAlign w:val="bottom"/>
          </w:tcPr>
          <w:p w14:paraId="24106611" w14:textId="31E1BE23" w:rsidR="00FE61A5" w:rsidRPr="00FE61A5" w:rsidRDefault="00FE61A5" w:rsidP="00FE61A5">
            <w:pPr>
              <w:rPr>
                <w:rFonts w:cs="Arial"/>
              </w:rPr>
            </w:pPr>
            <w:r w:rsidRPr="00FE61A5">
              <w:t>Психични нарушения</w:t>
            </w:r>
          </w:p>
        </w:tc>
        <w:tc>
          <w:tcPr>
            <w:tcW w:w="1384" w:type="dxa"/>
          </w:tcPr>
          <w:p w14:paraId="24285C90" w14:textId="77777777" w:rsidR="00FE61A5" w:rsidRPr="00FE61A5" w:rsidRDefault="00FE61A5" w:rsidP="00FE61A5">
            <w:pPr>
              <w:rPr>
                <w:rFonts w:cs="Arial"/>
              </w:rPr>
            </w:pPr>
          </w:p>
        </w:tc>
        <w:tc>
          <w:tcPr>
            <w:tcW w:w="1801" w:type="dxa"/>
            <w:vAlign w:val="center"/>
          </w:tcPr>
          <w:p w14:paraId="3B73D79B" w14:textId="3C481F87" w:rsidR="00FE61A5" w:rsidRPr="00FE61A5" w:rsidRDefault="00FE61A5" w:rsidP="00FE61A5">
            <w:pPr>
              <w:rPr>
                <w:rFonts w:cs="Arial"/>
              </w:rPr>
            </w:pPr>
            <w:r w:rsidRPr="00FE61A5">
              <w:t>депресия</w:t>
            </w:r>
          </w:p>
        </w:tc>
        <w:tc>
          <w:tcPr>
            <w:tcW w:w="1908" w:type="dxa"/>
          </w:tcPr>
          <w:p w14:paraId="6623203C" w14:textId="77777777" w:rsidR="00FE61A5" w:rsidRPr="00FE61A5" w:rsidRDefault="00FE61A5" w:rsidP="00FE61A5">
            <w:pPr>
              <w:rPr>
                <w:rFonts w:cs="Arial"/>
              </w:rPr>
            </w:pPr>
          </w:p>
        </w:tc>
        <w:tc>
          <w:tcPr>
            <w:tcW w:w="1510" w:type="dxa"/>
          </w:tcPr>
          <w:p w14:paraId="6C989036" w14:textId="77777777" w:rsidR="00FE61A5" w:rsidRPr="00FE61A5" w:rsidRDefault="00FE61A5" w:rsidP="00FE61A5">
            <w:pPr>
              <w:rPr>
                <w:rFonts w:cs="Arial"/>
              </w:rPr>
            </w:pPr>
          </w:p>
        </w:tc>
        <w:tc>
          <w:tcPr>
            <w:tcW w:w="1264" w:type="dxa"/>
          </w:tcPr>
          <w:p w14:paraId="33E14F78" w14:textId="77777777" w:rsidR="00FE61A5" w:rsidRPr="00FE61A5" w:rsidRDefault="00FE61A5" w:rsidP="00FE61A5">
            <w:pPr>
              <w:rPr>
                <w:rFonts w:cs="Arial"/>
              </w:rPr>
            </w:pPr>
          </w:p>
        </w:tc>
      </w:tr>
      <w:tr w:rsidR="00FE61A5" w14:paraId="6C9D9CDC" w14:textId="77777777" w:rsidTr="00FE61A5">
        <w:tc>
          <w:tcPr>
            <w:tcW w:w="1709" w:type="dxa"/>
          </w:tcPr>
          <w:p w14:paraId="0BC46C09" w14:textId="35EE5D94" w:rsidR="00FE61A5" w:rsidRPr="00FE61A5" w:rsidRDefault="00FE61A5" w:rsidP="00FE61A5">
            <w:pPr>
              <w:rPr>
                <w:rFonts w:cs="Arial"/>
              </w:rPr>
            </w:pPr>
            <w:r w:rsidRPr="00FE61A5">
              <w:t>Нарушения на нервната система</w:t>
            </w:r>
          </w:p>
        </w:tc>
        <w:tc>
          <w:tcPr>
            <w:tcW w:w="1384" w:type="dxa"/>
          </w:tcPr>
          <w:p w14:paraId="09715496" w14:textId="77777777" w:rsidR="00FE61A5" w:rsidRPr="00FE61A5" w:rsidRDefault="00FE61A5" w:rsidP="00FE61A5">
            <w:pPr>
              <w:rPr>
                <w:rFonts w:cs="Arial"/>
              </w:rPr>
            </w:pPr>
          </w:p>
        </w:tc>
        <w:tc>
          <w:tcPr>
            <w:tcW w:w="1801" w:type="dxa"/>
            <w:vAlign w:val="bottom"/>
          </w:tcPr>
          <w:p w14:paraId="5BC6C4A0" w14:textId="1488C0F3" w:rsidR="00FE61A5" w:rsidRPr="00FE61A5" w:rsidRDefault="00FE61A5" w:rsidP="00FE61A5">
            <w:pPr>
              <w:rPr>
                <w:rFonts w:cs="Arial"/>
              </w:rPr>
            </w:pPr>
            <w:r w:rsidRPr="00FE61A5">
              <w:t>периферна сетивна невропатия дисгеузия</w:t>
            </w:r>
          </w:p>
        </w:tc>
        <w:tc>
          <w:tcPr>
            <w:tcW w:w="1908" w:type="dxa"/>
            <w:vAlign w:val="bottom"/>
          </w:tcPr>
          <w:p w14:paraId="5D5ED702" w14:textId="77777777" w:rsidR="00FE61A5" w:rsidRPr="00FE61A5" w:rsidRDefault="00FE61A5" w:rsidP="00FE61A5">
            <w:r w:rsidRPr="00FE61A5">
              <w:t>обратима задна левко-</w:t>
            </w:r>
          </w:p>
          <w:p w14:paraId="73720890" w14:textId="1A6B526D" w:rsidR="00FE61A5" w:rsidRPr="00FE61A5" w:rsidRDefault="00FE61A5" w:rsidP="00FE61A5">
            <w:pPr>
              <w:rPr>
                <w:rFonts w:cs="Arial"/>
              </w:rPr>
            </w:pPr>
            <w:r w:rsidRPr="00FE61A5">
              <w:t>енцефалопатия*</w:t>
            </w:r>
          </w:p>
        </w:tc>
        <w:tc>
          <w:tcPr>
            <w:tcW w:w="1510" w:type="dxa"/>
          </w:tcPr>
          <w:p w14:paraId="78BF5F5D" w14:textId="77777777" w:rsidR="00FE61A5" w:rsidRPr="00FE61A5" w:rsidRDefault="00FE61A5" w:rsidP="00FE61A5">
            <w:pPr>
              <w:rPr>
                <w:rFonts w:cs="Arial"/>
              </w:rPr>
            </w:pPr>
          </w:p>
        </w:tc>
        <w:tc>
          <w:tcPr>
            <w:tcW w:w="1264" w:type="dxa"/>
          </w:tcPr>
          <w:p w14:paraId="60BA7815" w14:textId="2245EC40" w:rsidR="00FE61A5" w:rsidRPr="00FE61A5" w:rsidRDefault="00FE61A5" w:rsidP="00FE61A5">
            <w:pPr>
              <w:rPr>
                <w:rFonts w:cs="Arial"/>
              </w:rPr>
            </w:pPr>
            <w:r w:rsidRPr="00FE61A5">
              <w:t>енцефало- патия°</w:t>
            </w:r>
          </w:p>
        </w:tc>
      </w:tr>
      <w:tr w:rsidR="00FE61A5" w14:paraId="68FE75AD" w14:textId="77777777" w:rsidTr="00FE61A5">
        <w:tc>
          <w:tcPr>
            <w:tcW w:w="1709" w:type="dxa"/>
            <w:vAlign w:val="bottom"/>
          </w:tcPr>
          <w:p w14:paraId="75979EF4" w14:textId="6F85261E" w:rsidR="00FE61A5" w:rsidRPr="00FE61A5" w:rsidRDefault="00FE61A5" w:rsidP="00FE61A5">
            <w:pPr>
              <w:rPr>
                <w:rFonts w:cs="Arial"/>
              </w:rPr>
            </w:pPr>
            <w:r w:rsidRPr="00FE61A5">
              <w:t>Нарушения на ухото и лабиринта</w:t>
            </w:r>
          </w:p>
        </w:tc>
        <w:tc>
          <w:tcPr>
            <w:tcW w:w="1384" w:type="dxa"/>
          </w:tcPr>
          <w:p w14:paraId="54B9DA5F" w14:textId="77777777" w:rsidR="00FE61A5" w:rsidRPr="00FE61A5" w:rsidRDefault="00FE61A5" w:rsidP="00FE61A5">
            <w:pPr>
              <w:rPr>
                <w:rFonts w:cs="Arial"/>
              </w:rPr>
            </w:pPr>
          </w:p>
        </w:tc>
        <w:tc>
          <w:tcPr>
            <w:tcW w:w="1801" w:type="dxa"/>
            <w:vAlign w:val="center"/>
          </w:tcPr>
          <w:p w14:paraId="78FB3F5B" w14:textId="6214490E" w:rsidR="00FE61A5" w:rsidRPr="00FE61A5" w:rsidRDefault="00FE61A5" w:rsidP="00FE61A5">
            <w:pPr>
              <w:rPr>
                <w:rFonts w:cs="Arial"/>
              </w:rPr>
            </w:pPr>
            <w:r w:rsidRPr="00FE61A5">
              <w:t>шум в ушите</w:t>
            </w:r>
          </w:p>
        </w:tc>
        <w:tc>
          <w:tcPr>
            <w:tcW w:w="1908" w:type="dxa"/>
          </w:tcPr>
          <w:p w14:paraId="59BA85E3" w14:textId="77777777" w:rsidR="00FE61A5" w:rsidRPr="00FE61A5" w:rsidRDefault="00FE61A5" w:rsidP="00FE61A5">
            <w:pPr>
              <w:rPr>
                <w:rFonts w:cs="Arial"/>
              </w:rPr>
            </w:pPr>
          </w:p>
        </w:tc>
        <w:tc>
          <w:tcPr>
            <w:tcW w:w="1510" w:type="dxa"/>
          </w:tcPr>
          <w:p w14:paraId="63AF2ACE" w14:textId="77777777" w:rsidR="00FE61A5" w:rsidRPr="00FE61A5" w:rsidRDefault="00FE61A5" w:rsidP="00FE61A5">
            <w:pPr>
              <w:rPr>
                <w:rFonts w:cs="Arial"/>
              </w:rPr>
            </w:pPr>
          </w:p>
        </w:tc>
        <w:tc>
          <w:tcPr>
            <w:tcW w:w="1264" w:type="dxa"/>
          </w:tcPr>
          <w:p w14:paraId="520A1CC4" w14:textId="77777777" w:rsidR="00FE61A5" w:rsidRPr="00FE61A5" w:rsidRDefault="00FE61A5" w:rsidP="00FE61A5">
            <w:pPr>
              <w:rPr>
                <w:rFonts w:cs="Arial"/>
              </w:rPr>
            </w:pPr>
          </w:p>
        </w:tc>
      </w:tr>
      <w:tr w:rsidR="00FE61A5" w14:paraId="5814D13C" w14:textId="77777777" w:rsidTr="00FE61A5">
        <w:tc>
          <w:tcPr>
            <w:tcW w:w="1709" w:type="dxa"/>
          </w:tcPr>
          <w:p w14:paraId="04F54BF6" w14:textId="3F43772D" w:rsidR="00FE61A5" w:rsidRPr="00FE61A5" w:rsidRDefault="00FE61A5" w:rsidP="00FE61A5">
            <w:pPr>
              <w:rPr>
                <w:rFonts w:cs="Arial"/>
              </w:rPr>
            </w:pPr>
            <w:r w:rsidRPr="00FE61A5">
              <w:t>Сърдечни нарушения</w:t>
            </w:r>
          </w:p>
        </w:tc>
        <w:tc>
          <w:tcPr>
            <w:tcW w:w="1384" w:type="dxa"/>
          </w:tcPr>
          <w:p w14:paraId="516FD53D" w14:textId="77777777" w:rsidR="00FE61A5" w:rsidRPr="00FE61A5" w:rsidRDefault="00FE61A5" w:rsidP="00FE61A5">
            <w:pPr>
              <w:rPr>
                <w:rFonts w:cs="Arial"/>
              </w:rPr>
            </w:pPr>
          </w:p>
        </w:tc>
        <w:tc>
          <w:tcPr>
            <w:tcW w:w="1801" w:type="dxa"/>
            <w:vAlign w:val="bottom"/>
          </w:tcPr>
          <w:p w14:paraId="4A5459D4" w14:textId="1A3FD211" w:rsidR="00FE61A5" w:rsidRPr="00FE61A5" w:rsidRDefault="00FE61A5" w:rsidP="00FE61A5">
            <w:pPr>
              <w:rPr>
                <w:rFonts w:cs="Arial"/>
              </w:rPr>
            </w:pPr>
            <w:r w:rsidRPr="00FE61A5">
              <w:t>застойна сърдечна недостатъчност* миокардна иехемия и инфаркт*</w:t>
            </w:r>
          </w:p>
        </w:tc>
        <w:tc>
          <w:tcPr>
            <w:tcW w:w="1908" w:type="dxa"/>
          </w:tcPr>
          <w:p w14:paraId="2106FD99" w14:textId="77777777" w:rsidR="00FE61A5" w:rsidRPr="00FE61A5" w:rsidRDefault="00FE61A5" w:rsidP="00FE61A5">
            <w:pPr>
              <w:rPr>
                <w:rFonts w:cs="Arial"/>
              </w:rPr>
            </w:pPr>
          </w:p>
        </w:tc>
        <w:tc>
          <w:tcPr>
            <w:tcW w:w="1510" w:type="dxa"/>
          </w:tcPr>
          <w:p w14:paraId="243B996C" w14:textId="1D6A8C0D" w:rsidR="00FE61A5" w:rsidRPr="00FE61A5" w:rsidRDefault="00FE61A5" w:rsidP="00FE61A5">
            <w:pPr>
              <w:rPr>
                <w:rFonts w:cs="Arial"/>
              </w:rPr>
            </w:pPr>
            <w:r w:rsidRPr="00FE61A5">
              <w:t xml:space="preserve">удължаване на </w:t>
            </w:r>
            <w:r w:rsidRPr="00FE61A5">
              <w:rPr>
                <w:lang w:val="en-US"/>
              </w:rPr>
              <w:t>QT</w:t>
            </w:r>
          </w:p>
        </w:tc>
        <w:tc>
          <w:tcPr>
            <w:tcW w:w="1264" w:type="dxa"/>
          </w:tcPr>
          <w:p w14:paraId="1D79789D" w14:textId="77777777" w:rsidR="00FE61A5" w:rsidRPr="00FE61A5" w:rsidRDefault="00FE61A5" w:rsidP="00FE61A5">
            <w:pPr>
              <w:rPr>
                <w:rFonts w:cs="Arial"/>
              </w:rPr>
            </w:pPr>
          </w:p>
        </w:tc>
      </w:tr>
      <w:tr w:rsidR="00FE61A5" w14:paraId="41116376" w14:textId="77777777" w:rsidTr="00FE61A5">
        <w:tc>
          <w:tcPr>
            <w:tcW w:w="1709" w:type="dxa"/>
          </w:tcPr>
          <w:p w14:paraId="31ABDF76" w14:textId="1B8B9934" w:rsidR="00FE61A5" w:rsidRPr="00FE61A5" w:rsidRDefault="00FE61A5" w:rsidP="00FE61A5">
            <w:pPr>
              <w:rPr>
                <w:rFonts w:cs="Arial"/>
              </w:rPr>
            </w:pPr>
            <w:r w:rsidRPr="00FE61A5">
              <w:t>Съдови нарушения</w:t>
            </w:r>
          </w:p>
        </w:tc>
        <w:tc>
          <w:tcPr>
            <w:tcW w:w="1384" w:type="dxa"/>
            <w:vAlign w:val="bottom"/>
          </w:tcPr>
          <w:p w14:paraId="5581287F" w14:textId="77777777" w:rsidR="00FE61A5" w:rsidRPr="00FE61A5" w:rsidRDefault="00FE61A5" w:rsidP="00FE61A5">
            <w:r w:rsidRPr="00FE61A5">
              <w:t>кръвоизлив (вкл.</w:t>
            </w:r>
          </w:p>
          <w:p w14:paraId="29A88497" w14:textId="56FB6A59" w:rsidR="00FE61A5" w:rsidRPr="00FE61A5" w:rsidRDefault="00FE61A5" w:rsidP="00FE61A5">
            <w:pPr>
              <w:rPr>
                <w:rFonts w:cs="Arial"/>
              </w:rPr>
            </w:pPr>
            <w:r w:rsidRPr="00FE61A5">
              <w:t xml:space="preserve">стомашно- чревен*, дихателен тракт* и мозъчен </w:t>
            </w:r>
            <w:r w:rsidRPr="00FE61A5">
              <w:lastRenderedPageBreak/>
              <w:t>кръвоизлив*) хипертония</w:t>
            </w:r>
          </w:p>
        </w:tc>
        <w:tc>
          <w:tcPr>
            <w:tcW w:w="1801" w:type="dxa"/>
          </w:tcPr>
          <w:p w14:paraId="40F35CB6" w14:textId="062BCCD9" w:rsidR="00FE61A5" w:rsidRPr="00FE61A5" w:rsidRDefault="00FE61A5" w:rsidP="00FE61A5">
            <w:pPr>
              <w:rPr>
                <w:rFonts w:cs="Arial"/>
              </w:rPr>
            </w:pPr>
            <w:r w:rsidRPr="00FE61A5">
              <w:lastRenderedPageBreak/>
              <w:t>флаш</w:t>
            </w:r>
          </w:p>
        </w:tc>
        <w:tc>
          <w:tcPr>
            <w:tcW w:w="1908" w:type="dxa"/>
          </w:tcPr>
          <w:p w14:paraId="53389360" w14:textId="595E659D" w:rsidR="00FE61A5" w:rsidRPr="00FE61A5" w:rsidRDefault="00FE61A5" w:rsidP="00FE61A5">
            <w:pPr>
              <w:rPr>
                <w:rFonts w:cs="Arial"/>
              </w:rPr>
            </w:pPr>
            <w:r w:rsidRPr="00FE61A5">
              <w:t>хипертонична криза*</w:t>
            </w:r>
          </w:p>
        </w:tc>
        <w:tc>
          <w:tcPr>
            <w:tcW w:w="1510" w:type="dxa"/>
          </w:tcPr>
          <w:p w14:paraId="3C7A9ADF" w14:textId="77777777" w:rsidR="00FE61A5" w:rsidRPr="00FE61A5" w:rsidRDefault="00FE61A5" w:rsidP="00FE61A5">
            <w:pPr>
              <w:rPr>
                <w:rFonts w:cs="Arial"/>
              </w:rPr>
            </w:pPr>
          </w:p>
        </w:tc>
        <w:tc>
          <w:tcPr>
            <w:tcW w:w="1264" w:type="dxa"/>
          </w:tcPr>
          <w:p w14:paraId="4694446A" w14:textId="156D2E80" w:rsidR="00FE61A5" w:rsidRPr="00FE61A5" w:rsidRDefault="00FE61A5" w:rsidP="00FE61A5">
            <w:pPr>
              <w:rPr>
                <w:rFonts w:cs="Arial"/>
              </w:rPr>
            </w:pPr>
            <w:r w:rsidRPr="00FE61A5">
              <w:t>аневризми и артериални дисекации</w:t>
            </w:r>
          </w:p>
        </w:tc>
      </w:tr>
      <w:tr w:rsidR="00FE61A5" w14:paraId="1101ACF0" w14:textId="77777777" w:rsidTr="00FE61A5">
        <w:tc>
          <w:tcPr>
            <w:tcW w:w="1709" w:type="dxa"/>
          </w:tcPr>
          <w:p w14:paraId="53216E3F" w14:textId="73B89138" w:rsidR="00FE61A5" w:rsidRPr="00FE61A5" w:rsidRDefault="00FE61A5" w:rsidP="00FE61A5">
            <w:pPr>
              <w:rPr>
                <w:rFonts w:cs="Arial"/>
              </w:rPr>
            </w:pPr>
            <w:r w:rsidRPr="00FE61A5">
              <w:t>Респираторни, гръдни и медиастинални нарушения</w:t>
            </w:r>
          </w:p>
        </w:tc>
        <w:tc>
          <w:tcPr>
            <w:tcW w:w="1384" w:type="dxa"/>
          </w:tcPr>
          <w:p w14:paraId="448F528F" w14:textId="77777777" w:rsidR="00FE61A5" w:rsidRPr="00FE61A5" w:rsidRDefault="00FE61A5" w:rsidP="00FE61A5">
            <w:pPr>
              <w:rPr>
                <w:rFonts w:cs="Arial"/>
              </w:rPr>
            </w:pPr>
          </w:p>
        </w:tc>
        <w:tc>
          <w:tcPr>
            <w:tcW w:w="1801" w:type="dxa"/>
          </w:tcPr>
          <w:p w14:paraId="495F1276" w14:textId="0AA807BC" w:rsidR="00FE61A5" w:rsidRPr="00FE61A5" w:rsidRDefault="00FE61A5" w:rsidP="00FE61A5">
            <w:pPr>
              <w:rPr>
                <w:rFonts w:cs="Arial"/>
              </w:rPr>
            </w:pPr>
            <w:r w:rsidRPr="00FE61A5">
              <w:t>ринорея дисфония</w:t>
            </w:r>
          </w:p>
        </w:tc>
        <w:tc>
          <w:tcPr>
            <w:tcW w:w="1908" w:type="dxa"/>
            <w:vAlign w:val="bottom"/>
          </w:tcPr>
          <w:p w14:paraId="5F5422E4" w14:textId="6B3D6A78" w:rsidR="00FE61A5" w:rsidRPr="00FE61A5" w:rsidRDefault="00FE61A5" w:rsidP="00FE61A5">
            <w:pPr>
              <w:rPr>
                <w:rFonts w:cs="Arial"/>
              </w:rPr>
            </w:pPr>
            <w:r w:rsidRPr="00FE61A5">
              <w:t>събития, подобни на интерстициална белодробна болест* (пневмонит, радиационен пневмонит, остър респираторен дистрес и др.)</w:t>
            </w:r>
          </w:p>
        </w:tc>
        <w:tc>
          <w:tcPr>
            <w:tcW w:w="1510" w:type="dxa"/>
          </w:tcPr>
          <w:p w14:paraId="39CB5F7E" w14:textId="77777777" w:rsidR="00FE61A5" w:rsidRPr="00FE61A5" w:rsidRDefault="00FE61A5" w:rsidP="00FE61A5">
            <w:pPr>
              <w:rPr>
                <w:rFonts w:cs="Arial"/>
              </w:rPr>
            </w:pPr>
          </w:p>
        </w:tc>
        <w:tc>
          <w:tcPr>
            <w:tcW w:w="1264" w:type="dxa"/>
          </w:tcPr>
          <w:p w14:paraId="4A1B365F" w14:textId="77777777" w:rsidR="00FE61A5" w:rsidRPr="00FE61A5" w:rsidRDefault="00FE61A5" w:rsidP="00FE61A5">
            <w:pPr>
              <w:rPr>
                <w:rFonts w:cs="Arial"/>
              </w:rPr>
            </w:pPr>
          </w:p>
        </w:tc>
      </w:tr>
      <w:tr w:rsidR="00FE61A5" w14:paraId="55ABDF67" w14:textId="77777777" w:rsidTr="00FE61A5">
        <w:tc>
          <w:tcPr>
            <w:tcW w:w="1709" w:type="dxa"/>
          </w:tcPr>
          <w:p w14:paraId="08541F2D" w14:textId="2E2A801F" w:rsidR="00FE61A5" w:rsidRPr="00FE61A5" w:rsidRDefault="00FE61A5" w:rsidP="00FE61A5">
            <w:pPr>
              <w:rPr>
                <w:rFonts w:cs="Arial"/>
              </w:rPr>
            </w:pPr>
            <w:r w:rsidRPr="00FE61A5">
              <w:t>Стомашно-чревни нарушения</w:t>
            </w:r>
          </w:p>
        </w:tc>
        <w:tc>
          <w:tcPr>
            <w:tcW w:w="1384" w:type="dxa"/>
          </w:tcPr>
          <w:p w14:paraId="1E3CA65D" w14:textId="2F81E8EC" w:rsidR="00FE61A5" w:rsidRPr="00FE61A5" w:rsidRDefault="00FE61A5" w:rsidP="00FE61A5">
            <w:pPr>
              <w:rPr>
                <w:rFonts w:cs="Arial"/>
              </w:rPr>
            </w:pPr>
            <w:r w:rsidRPr="00FE61A5">
              <w:t>диария гадене повръщане запек</w:t>
            </w:r>
          </w:p>
        </w:tc>
        <w:tc>
          <w:tcPr>
            <w:tcW w:w="1801" w:type="dxa"/>
            <w:vAlign w:val="bottom"/>
          </w:tcPr>
          <w:p w14:paraId="25D18066" w14:textId="77777777" w:rsidR="00FE61A5" w:rsidRPr="00FE61A5" w:rsidRDefault="00FE61A5" w:rsidP="00FE61A5">
            <w:r w:rsidRPr="00FE61A5">
              <w:t>стоматит (вкл. сухота в устата и глосодиния) диспепсия дисфагия</w:t>
            </w:r>
          </w:p>
          <w:p w14:paraId="17C70D49" w14:textId="71379AA6" w:rsidR="00FE61A5" w:rsidRPr="00FE61A5" w:rsidRDefault="00FE61A5" w:rsidP="00FE61A5">
            <w:pPr>
              <w:rPr>
                <w:rFonts w:cs="Arial"/>
              </w:rPr>
            </w:pPr>
            <w:r w:rsidRPr="00FE61A5">
              <w:t>гастро езофагеална рсфлуксна болест</w:t>
            </w:r>
          </w:p>
        </w:tc>
        <w:tc>
          <w:tcPr>
            <w:tcW w:w="1908" w:type="dxa"/>
          </w:tcPr>
          <w:p w14:paraId="7D34CB16" w14:textId="77777777" w:rsidR="00FE61A5" w:rsidRPr="00FE61A5" w:rsidRDefault="00FE61A5" w:rsidP="00FE61A5">
            <w:r w:rsidRPr="00FE61A5">
              <w:t>панкреатит гастрит</w:t>
            </w:r>
          </w:p>
          <w:p w14:paraId="4A5578A5" w14:textId="6D6003B3" w:rsidR="00FE61A5" w:rsidRPr="00FE61A5" w:rsidRDefault="00FE61A5" w:rsidP="00FE61A5">
            <w:pPr>
              <w:rPr>
                <w:rFonts w:cs="Arial"/>
              </w:rPr>
            </w:pPr>
            <w:r w:rsidRPr="00FE61A5">
              <w:t>стомашно-чревни перфорации*</w:t>
            </w:r>
          </w:p>
        </w:tc>
        <w:tc>
          <w:tcPr>
            <w:tcW w:w="1510" w:type="dxa"/>
          </w:tcPr>
          <w:p w14:paraId="4C022496" w14:textId="77777777" w:rsidR="00FE61A5" w:rsidRPr="00FE61A5" w:rsidRDefault="00FE61A5" w:rsidP="00FE61A5">
            <w:pPr>
              <w:rPr>
                <w:rFonts w:cs="Arial"/>
              </w:rPr>
            </w:pPr>
          </w:p>
        </w:tc>
        <w:tc>
          <w:tcPr>
            <w:tcW w:w="1264" w:type="dxa"/>
          </w:tcPr>
          <w:p w14:paraId="094275BF" w14:textId="77777777" w:rsidR="00FE61A5" w:rsidRPr="00FE61A5" w:rsidRDefault="00FE61A5" w:rsidP="00FE61A5">
            <w:pPr>
              <w:rPr>
                <w:rFonts w:cs="Arial"/>
              </w:rPr>
            </w:pPr>
          </w:p>
        </w:tc>
      </w:tr>
      <w:tr w:rsidR="00FE61A5" w14:paraId="6257C7B1" w14:textId="77777777" w:rsidTr="00FE61A5">
        <w:tc>
          <w:tcPr>
            <w:tcW w:w="1709" w:type="dxa"/>
          </w:tcPr>
          <w:p w14:paraId="3DA6430B" w14:textId="177ADBD9" w:rsidR="00FE61A5" w:rsidRPr="00FE61A5" w:rsidRDefault="00FE61A5" w:rsidP="00FE61A5">
            <w:pPr>
              <w:rPr>
                <w:rFonts w:cs="Arial"/>
              </w:rPr>
            </w:pPr>
            <w:r w:rsidRPr="00FE61A5">
              <w:t>Хепатобилиарни нарушения</w:t>
            </w:r>
          </w:p>
        </w:tc>
        <w:tc>
          <w:tcPr>
            <w:tcW w:w="1384" w:type="dxa"/>
          </w:tcPr>
          <w:p w14:paraId="2E66C18F" w14:textId="77777777" w:rsidR="00FE61A5" w:rsidRPr="00FE61A5" w:rsidRDefault="00FE61A5" w:rsidP="00FE61A5">
            <w:pPr>
              <w:rPr>
                <w:rFonts w:cs="Arial"/>
              </w:rPr>
            </w:pPr>
          </w:p>
        </w:tc>
        <w:tc>
          <w:tcPr>
            <w:tcW w:w="1801" w:type="dxa"/>
          </w:tcPr>
          <w:p w14:paraId="371C4625" w14:textId="77777777" w:rsidR="00FE61A5" w:rsidRPr="00FE61A5" w:rsidRDefault="00FE61A5" w:rsidP="00FE61A5">
            <w:pPr>
              <w:rPr>
                <w:rFonts w:cs="Arial"/>
              </w:rPr>
            </w:pPr>
          </w:p>
        </w:tc>
        <w:tc>
          <w:tcPr>
            <w:tcW w:w="1908" w:type="dxa"/>
            <w:vAlign w:val="bottom"/>
          </w:tcPr>
          <w:p w14:paraId="52BBBFF3" w14:textId="5F50C402" w:rsidR="00FE61A5" w:rsidRPr="00FE61A5" w:rsidRDefault="00FE61A5" w:rsidP="00FE61A5">
            <w:pPr>
              <w:rPr>
                <w:rFonts w:cs="Arial"/>
              </w:rPr>
            </w:pPr>
            <w:r w:rsidRPr="00FE61A5">
              <w:t>повишаване на билирубина и жълтеница, холецистит, холангит</w:t>
            </w:r>
          </w:p>
        </w:tc>
        <w:tc>
          <w:tcPr>
            <w:tcW w:w="1510" w:type="dxa"/>
          </w:tcPr>
          <w:p w14:paraId="07BFA433" w14:textId="387C7910" w:rsidR="00FE61A5" w:rsidRPr="00FE61A5" w:rsidRDefault="00FE61A5" w:rsidP="00FE61A5">
            <w:pPr>
              <w:rPr>
                <w:rFonts w:cs="Arial"/>
              </w:rPr>
            </w:pPr>
            <w:r w:rsidRPr="00FE61A5">
              <w:t>лекарствено индуциран хепатит*</w:t>
            </w:r>
          </w:p>
        </w:tc>
        <w:tc>
          <w:tcPr>
            <w:tcW w:w="1264" w:type="dxa"/>
          </w:tcPr>
          <w:p w14:paraId="5E0AE09D" w14:textId="77777777" w:rsidR="00FE61A5" w:rsidRPr="00FE61A5" w:rsidRDefault="00FE61A5" w:rsidP="00FE61A5">
            <w:pPr>
              <w:rPr>
                <w:rFonts w:cs="Arial"/>
              </w:rPr>
            </w:pPr>
          </w:p>
        </w:tc>
      </w:tr>
      <w:tr w:rsidR="00FE61A5" w14:paraId="5AC76B90" w14:textId="77777777" w:rsidTr="00FE61A5">
        <w:tc>
          <w:tcPr>
            <w:tcW w:w="1709" w:type="dxa"/>
          </w:tcPr>
          <w:p w14:paraId="5C94B747" w14:textId="1A3D29B7" w:rsidR="00FE61A5" w:rsidRPr="00FE61A5" w:rsidRDefault="00FE61A5" w:rsidP="00FE61A5">
            <w:pPr>
              <w:rPr>
                <w:rFonts w:cs="Arial"/>
              </w:rPr>
            </w:pPr>
            <w:r w:rsidRPr="00FE61A5">
              <w:t>Нарушения на кожата и подкожната тъкан</w:t>
            </w:r>
          </w:p>
        </w:tc>
        <w:tc>
          <w:tcPr>
            <w:tcW w:w="1384" w:type="dxa"/>
          </w:tcPr>
          <w:p w14:paraId="37760F39" w14:textId="77777777" w:rsidR="00FE61A5" w:rsidRPr="00FE61A5" w:rsidRDefault="00FE61A5" w:rsidP="00FE61A5">
            <w:r w:rsidRPr="00FE61A5">
              <w:t>суха кожа обрив</w:t>
            </w:r>
          </w:p>
          <w:p w14:paraId="4732CAF5" w14:textId="77777777" w:rsidR="00FE61A5" w:rsidRPr="00FE61A5" w:rsidRDefault="00FE61A5" w:rsidP="00FE61A5">
            <w:r w:rsidRPr="00FE61A5">
              <w:t>алопеция</w:t>
            </w:r>
          </w:p>
          <w:p w14:paraId="504800CC" w14:textId="02A0FD43" w:rsidR="00FE61A5" w:rsidRPr="00FE61A5" w:rsidRDefault="00FE61A5" w:rsidP="00FE61A5">
            <w:pPr>
              <w:rPr>
                <w:rFonts w:cs="Arial"/>
              </w:rPr>
            </w:pPr>
            <w:r w:rsidRPr="00FE61A5">
              <w:t>кожна реакция ръка-крак** сритема сърбеж</w:t>
            </w:r>
          </w:p>
        </w:tc>
        <w:tc>
          <w:tcPr>
            <w:tcW w:w="1801" w:type="dxa"/>
            <w:vAlign w:val="center"/>
          </w:tcPr>
          <w:p w14:paraId="7553826D" w14:textId="7520A829" w:rsidR="00FE61A5" w:rsidRPr="00FE61A5" w:rsidRDefault="00FE61A5" w:rsidP="00FE61A5">
            <w:pPr>
              <w:rPr>
                <w:rFonts w:cs="Arial"/>
              </w:rPr>
            </w:pPr>
            <w:r w:rsidRPr="00FE61A5">
              <w:t>кератоакаптома/ сквамозен клетъчен карцином на кожата ексфолиативен дерматит акне десквамация на кожата хиперкератоза</w:t>
            </w:r>
          </w:p>
        </w:tc>
        <w:tc>
          <w:tcPr>
            <w:tcW w:w="1908" w:type="dxa"/>
          </w:tcPr>
          <w:p w14:paraId="00E02F47" w14:textId="77777777" w:rsidR="00FE61A5" w:rsidRPr="00FE61A5" w:rsidRDefault="00FE61A5" w:rsidP="00FE61A5">
            <w:r w:rsidRPr="00FE61A5">
              <w:t>екзема</w:t>
            </w:r>
          </w:p>
          <w:p w14:paraId="1FBF7427" w14:textId="33825D15" w:rsidR="00FE61A5" w:rsidRPr="00FE61A5" w:rsidRDefault="00FE61A5" w:rsidP="00FE61A5">
            <w:pPr>
              <w:rPr>
                <w:rFonts w:cs="Arial"/>
              </w:rPr>
            </w:pPr>
            <w:r w:rsidRPr="00FE61A5">
              <w:t>еритема мултиформе</w:t>
            </w:r>
          </w:p>
        </w:tc>
        <w:tc>
          <w:tcPr>
            <w:tcW w:w="1510" w:type="dxa"/>
            <w:vAlign w:val="bottom"/>
          </w:tcPr>
          <w:p w14:paraId="0ED7CD05" w14:textId="2B39C181" w:rsidR="00FE61A5" w:rsidRPr="00FE61A5" w:rsidRDefault="00FE61A5" w:rsidP="00FE61A5">
            <w:pPr>
              <w:rPr>
                <w:rFonts w:cs="Arial"/>
              </w:rPr>
            </w:pPr>
            <w:r w:rsidRPr="00FE61A5">
              <w:t xml:space="preserve">дерматит в резултат на радиационна памет синдром на </w:t>
            </w:r>
            <w:r w:rsidRPr="00FE61A5">
              <w:rPr>
                <w:lang w:val="en-US"/>
              </w:rPr>
              <w:t xml:space="preserve">Stevens-Johnson </w:t>
            </w:r>
            <w:r w:rsidRPr="00FE61A5">
              <w:t>левкоцито- кластичен васкулит токсична епидермална некролиза*</w:t>
            </w:r>
          </w:p>
        </w:tc>
        <w:tc>
          <w:tcPr>
            <w:tcW w:w="1264" w:type="dxa"/>
          </w:tcPr>
          <w:p w14:paraId="07E0EBEC" w14:textId="77777777" w:rsidR="00FE61A5" w:rsidRPr="00FE61A5" w:rsidRDefault="00FE61A5" w:rsidP="00FE61A5">
            <w:pPr>
              <w:rPr>
                <w:rFonts w:cs="Arial"/>
              </w:rPr>
            </w:pPr>
          </w:p>
        </w:tc>
      </w:tr>
      <w:tr w:rsidR="00FE61A5" w14:paraId="71B9CB02" w14:textId="77777777" w:rsidTr="00FE61A5">
        <w:tc>
          <w:tcPr>
            <w:tcW w:w="1709" w:type="dxa"/>
            <w:vAlign w:val="bottom"/>
          </w:tcPr>
          <w:p w14:paraId="2F76614F" w14:textId="61C12CCB" w:rsidR="00FE61A5" w:rsidRPr="00FE61A5" w:rsidRDefault="00FE61A5" w:rsidP="00FE61A5">
            <w:pPr>
              <w:rPr>
                <w:rFonts w:cs="Arial"/>
              </w:rPr>
            </w:pPr>
            <w:r w:rsidRPr="00FE61A5">
              <w:t xml:space="preserve">Нарушения на мускулно- скелетната </w:t>
            </w:r>
            <w:r w:rsidRPr="00FE61A5">
              <w:lastRenderedPageBreak/>
              <w:t>система и съединителната тъкан</w:t>
            </w:r>
          </w:p>
        </w:tc>
        <w:tc>
          <w:tcPr>
            <w:tcW w:w="1384" w:type="dxa"/>
          </w:tcPr>
          <w:p w14:paraId="6B7FE00C" w14:textId="4AE04F69" w:rsidR="00FE61A5" w:rsidRPr="00FE61A5" w:rsidRDefault="00FE61A5" w:rsidP="00FE61A5">
            <w:pPr>
              <w:rPr>
                <w:rFonts w:cs="Arial"/>
              </w:rPr>
            </w:pPr>
            <w:r w:rsidRPr="00FE61A5">
              <w:lastRenderedPageBreak/>
              <w:t>артралгия</w:t>
            </w:r>
          </w:p>
        </w:tc>
        <w:tc>
          <w:tcPr>
            <w:tcW w:w="1801" w:type="dxa"/>
          </w:tcPr>
          <w:p w14:paraId="1A534145" w14:textId="77777777" w:rsidR="00FE61A5" w:rsidRPr="00FE61A5" w:rsidRDefault="00FE61A5" w:rsidP="00FE61A5">
            <w:r w:rsidRPr="00FE61A5">
              <w:t>миалгия</w:t>
            </w:r>
          </w:p>
          <w:p w14:paraId="23C33016" w14:textId="06FBAA8B" w:rsidR="00FE61A5" w:rsidRPr="00FE61A5" w:rsidRDefault="00FE61A5" w:rsidP="00FE61A5">
            <w:pPr>
              <w:rPr>
                <w:rFonts w:cs="Arial"/>
              </w:rPr>
            </w:pPr>
            <w:r w:rsidRPr="00FE61A5">
              <w:t>мускулни спазми</w:t>
            </w:r>
          </w:p>
        </w:tc>
        <w:tc>
          <w:tcPr>
            <w:tcW w:w="1908" w:type="dxa"/>
          </w:tcPr>
          <w:p w14:paraId="12187C0F" w14:textId="77777777" w:rsidR="00FE61A5" w:rsidRPr="00FE61A5" w:rsidRDefault="00FE61A5" w:rsidP="00FE61A5">
            <w:pPr>
              <w:rPr>
                <w:rFonts w:cs="Arial"/>
              </w:rPr>
            </w:pPr>
          </w:p>
        </w:tc>
        <w:tc>
          <w:tcPr>
            <w:tcW w:w="1510" w:type="dxa"/>
          </w:tcPr>
          <w:p w14:paraId="505C0A8A" w14:textId="7FCA4BFE" w:rsidR="00FE61A5" w:rsidRPr="00FE61A5" w:rsidRDefault="00FE61A5" w:rsidP="00FE61A5">
            <w:pPr>
              <w:rPr>
                <w:rFonts w:cs="Arial"/>
              </w:rPr>
            </w:pPr>
            <w:r w:rsidRPr="00FE61A5">
              <w:t>рабдомиолиза</w:t>
            </w:r>
          </w:p>
        </w:tc>
        <w:tc>
          <w:tcPr>
            <w:tcW w:w="1264" w:type="dxa"/>
          </w:tcPr>
          <w:p w14:paraId="760D27B9" w14:textId="77777777" w:rsidR="00FE61A5" w:rsidRPr="00FE61A5" w:rsidRDefault="00FE61A5" w:rsidP="00FE61A5">
            <w:pPr>
              <w:rPr>
                <w:rFonts w:cs="Arial"/>
              </w:rPr>
            </w:pPr>
          </w:p>
        </w:tc>
      </w:tr>
      <w:tr w:rsidR="00FE61A5" w14:paraId="7A716E5C" w14:textId="77777777" w:rsidTr="00FE61A5">
        <w:tc>
          <w:tcPr>
            <w:tcW w:w="1709" w:type="dxa"/>
            <w:vAlign w:val="bottom"/>
          </w:tcPr>
          <w:p w14:paraId="7FADEDA7" w14:textId="0ED243A4" w:rsidR="00FE61A5" w:rsidRPr="00FE61A5" w:rsidRDefault="00FE61A5" w:rsidP="00FE61A5">
            <w:pPr>
              <w:rPr>
                <w:rFonts w:cs="Arial"/>
              </w:rPr>
            </w:pPr>
            <w:r w:rsidRPr="00FE61A5">
              <w:t>Нарушения на бъбреците и пикочните пътища</w:t>
            </w:r>
          </w:p>
        </w:tc>
        <w:tc>
          <w:tcPr>
            <w:tcW w:w="1384" w:type="dxa"/>
          </w:tcPr>
          <w:p w14:paraId="4E832F74" w14:textId="77777777" w:rsidR="00FE61A5" w:rsidRPr="00FE61A5" w:rsidRDefault="00FE61A5" w:rsidP="00FE61A5">
            <w:pPr>
              <w:rPr>
                <w:rFonts w:cs="Arial"/>
              </w:rPr>
            </w:pPr>
          </w:p>
        </w:tc>
        <w:tc>
          <w:tcPr>
            <w:tcW w:w="1801" w:type="dxa"/>
            <w:vAlign w:val="bottom"/>
          </w:tcPr>
          <w:p w14:paraId="19C064DD" w14:textId="3379A180" w:rsidR="00FE61A5" w:rsidRPr="00FE61A5" w:rsidRDefault="00FE61A5" w:rsidP="00FE61A5">
            <w:pPr>
              <w:rPr>
                <w:rFonts w:cs="Arial"/>
              </w:rPr>
            </w:pPr>
            <w:r w:rsidRPr="00FE61A5">
              <w:t>бъбречна недостатъчност протеинурия</w:t>
            </w:r>
          </w:p>
        </w:tc>
        <w:tc>
          <w:tcPr>
            <w:tcW w:w="1908" w:type="dxa"/>
          </w:tcPr>
          <w:p w14:paraId="04EA1F19" w14:textId="77777777" w:rsidR="00FE61A5" w:rsidRPr="00FE61A5" w:rsidRDefault="00FE61A5" w:rsidP="00FE61A5">
            <w:pPr>
              <w:rPr>
                <w:rFonts w:cs="Arial"/>
              </w:rPr>
            </w:pPr>
          </w:p>
        </w:tc>
        <w:tc>
          <w:tcPr>
            <w:tcW w:w="1510" w:type="dxa"/>
          </w:tcPr>
          <w:p w14:paraId="24B7A706" w14:textId="5C358ACF" w:rsidR="00FE61A5" w:rsidRPr="00FE61A5" w:rsidRDefault="00FE61A5" w:rsidP="00FE61A5">
            <w:pPr>
              <w:rPr>
                <w:rFonts w:cs="Arial"/>
              </w:rPr>
            </w:pPr>
            <w:r w:rsidRPr="00FE61A5">
              <w:t>нефротичен синдром</w:t>
            </w:r>
          </w:p>
        </w:tc>
        <w:tc>
          <w:tcPr>
            <w:tcW w:w="1264" w:type="dxa"/>
          </w:tcPr>
          <w:p w14:paraId="348F59B6" w14:textId="77777777" w:rsidR="00FE61A5" w:rsidRPr="00FE61A5" w:rsidRDefault="00FE61A5" w:rsidP="00FE61A5">
            <w:pPr>
              <w:rPr>
                <w:rFonts w:cs="Arial"/>
              </w:rPr>
            </w:pPr>
          </w:p>
        </w:tc>
      </w:tr>
      <w:tr w:rsidR="00FE61A5" w14:paraId="69E04C73" w14:textId="77777777" w:rsidTr="00FE61A5">
        <w:tc>
          <w:tcPr>
            <w:tcW w:w="1709" w:type="dxa"/>
            <w:vAlign w:val="bottom"/>
          </w:tcPr>
          <w:p w14:paraId="6CA3B80E" w14:textId="0D1B02D7" w:rsidR="00FE61A5" w:rsidRPr="00FE61A5" w:rsidRDefault="00FE61A5" w:rsidP="00FE61A5">
            <w:pPr>
              <w:rPr>
                <w:rFonts w:cs="Arial"/>
              </w:rPr>
            </w:pPr>
            <w:r w:rsidRPr="00FE61A5">
              <w:t>Нарушения на възпроизводи</w:t>
            </w:r>
            <w:r w:rsidRPr="00FE61A5">
              <w:softHyphen/>
              <w:t>телната система и гърдата</w:t>
            </w:r>
          </w:p>
        </w:tc>
        <w:tc>
          <w:tcPr>
            <w:tcW w:w="1384" w:type="dxa"/>
          </w:tcPr>
          <w:p w14:paraId="5FD8DC02" w14:textId="77777777" w:rsidR="00FE61A5" w:rsidRPr="00FE61A5" w:rsidRDefault="00FE61A5" w:rsidP="00FE61A5">
            <w:pPr>
              <w:rPr>
                <w:rFonts w:cs="Arial"/>
              </w:rPr>
            </w:pPr>
          </w:p>
        </w:tc>
        <w:tc>
          <w:tcPr>
            <w:tcW w:w="1801" w:type="dxa"/>
          </w:tcPr>
          <w:p w14:paraId="1D7D1A5C" w14:textId="6048AB33" w:rsidR="00FE61A5" w:rsidRPr="00FE61A5" w:rsidRDefault="00FE61A5" w:rsidP="00FE61A5">
            <w:pPr>
              <w:rPr>
                <w:rFonts w:cs="Arial"/>
              </w:rPr>
            </w:pPr>
            <w:r w:rsidRPr="00FE61A5">
              <w:t>еректилна дисфункция</w:t>
            </w:r>
          </w:p>
        </w:tc>
        <w:tc>
          <w:tcPr>
            <w:tcW w:w="1908" w:type="dxa"/>
          </w:tcPr>
          <w:p w14:paraId="636908E5" w14:textId="5EDCAD1A" w:rsidR="00FE61A5" w:rsidRPr="00FE61A5" w:rsidRDefault="00FE61A5" w:rsidP="00FE61A5">
            <w:pPr>
              <w:rPr>
                <w:rFonts w:cs="Arial"/>
              </w:rPr>
            </w:pPr>
            <w:r w:rsidRPr="00FE61A5">
              <w:t>гинекомастия</w:t>
            </w:r>
          </w:p>
        </w:tc>
        <w:tc>
          <w:tcPr>
            <w:tcW w:w="1510" w:type="dxa"/>
          </w:tcPr>
          <w:p w14:paraId="4F87325A" w14:textId="77777777" w:rsidR="00FE61A5" w:rsidRPr="00FE61A5" w:rsidRDefault="00FE61A5" w:rsidP="00FE61A5">
            <w:pPr>
              <w:rPr>
                <w:rFonts w:cs="Arial"/>
              </w:rPr>
            </w:pPr>
          </w:p>
        </w:tc>
        <w:tc>
          <w:tcPr>
            <w:tcW w:w="1264" w:type="dxa"/>
          </w:tcPr>
          <w:p w14:paraId="10A37586" w14:textId="77777777" w:rsidR="00FE61A5" w:rsidRPr="00FE61A5" w:rsidRDefault="00FE61A5" w:rsidP="00FE61A5">
            <w:pPr>
              <w:rPr>
                <w:rFonts w:cs="Arial"/>
              </w:rPr>
            </w:pPr>
          </w:p>
        </w:tc>
      </w:tr>
      <w:tr w:rsidR="00FE61A5" w14:paraId="229B3E4E" w14:textId="77777777" w:rsidTr="00FE61A5">
        <w:tc>
          <w:tcPr>
            <w:tcW w:w="1709" w:type="dxa"/>
          </w:tcPr>
          <w:p w14:paraId="5CE1CF83" w14:textId="1054AFDC" w:rsidR="00FE61A5" w:rsidRPr="00FE61A5" w:rsidRDefault="00FE61A5" w:rsidP="00FE61A5">
            <w:pPr>
              <w:rPr>
                <w:rFonts w:cs="Arial"/>
              </w:rPr>
            </w:pPr>
            <w:r w:rsidRPr="00FE61A5">
              <w:t>Общи нарушения и ефекти на мястото на приложение</w:t>
            </w:r>
          </w:p>
        </w:tc>
        <w:tc>
          <w:tcPr>
            <w:tcW w:w="1384" w:type="dxa"/>
          </w:tcPr>
          <w:p w14:paraId="1BEB47FE" w14:textId="77777777" w:rsidR="00FE61A5" w:rsidRPr="00FE61A5" w:rsidRDefault="00FE61A5" w:rsidP="00FE61A5">
            <w:r w:rsidRPr="00FE61A5">
              <w:t>умора болка (вкл.</w:t>
            </w:r>
          </w:p>
          <w:p w14:paraId="2C35902D" w14:textId="77777777" w:rsidR="00FE61A5" w:rsidRPr="00FE61A5" w:rsidRDefault="00FE61A5" w:rsidP="00FE61A5">
            <w:r w:rsidRPr="00FE61A5">
              <w:t>уста, корем, кости, туморна болка и главоболие) повишена</w:t>
            </w:r>
          </w:p>
          <w:p w14:paraId="5DE2B878" w14:textId="1DE8CAF8" w:rsidR="00FE61A5" w:rsidRPr="00FE61A5" w:rsidRDefault="00FE61A5" w:rsidP="00FE61A5">
            <w:pPr>
              <w:rPr>
                <w:rFonts w:cs="Arial"/>
              </w:rPr>
            </w:pPr>
            <w:r w:rsidRPr="00FE61A5">
              <w:t>температура</w:t>
            </w:r>
          </w:p>
        </w:tc>
        <w:tc>
          <w:tcPr>
            <w:tcW w:w="1801" w:type="dxa"/>
          </w:tcPr>
          <w:p w14:paraId="06BF3D8D" w14:textId="77777777" w:rsidR="00FE61A5" w:rsidRPr="00FE61A5" w:rsidRDefault="00FE61A5" w:rsidP="00FE61A5">
            <w:r w:rsidRPr="00FE61A5">
              <w:t>астения грипоподобно заболяване</w:t>
            </w:r>
          </w:p>
          <w:p w14:paraId="71A8F933" w14:textId="77777777" w:rsidR="00FE61A5" w:rsidRPr="00FE61A5" w:rsidRDefault="00FE61A5" w:rsidP="00FE61A5">
            <w:r w:rsidRPr="00FE61A5">
              <w:t>възпаление на</w:t>
            </w:r>
          </w:p>
          <w:p w14:paraId="5DCBB24D" w14:textId="7A6D1575" w:rsidR="00FE61A5" w:rsidRPr="00FE61A5" w:rsidRDefault="00FE61A5" w:rsidP="00FE61A5">
            <w:pPr>
              <w:rPr>
                <w:rFonts w:cs="Arial"/>
              </w:rPr>
            </w:pPr>
            <w:r w:rsidRPr="00FE61A5">
              <w:t>лигавици</w:t>
            </w:r>
          </w:p>
        </w:tc>
        <w:tc>
          <w:tcPr>
            <w:tcW w:w="1908" w:type="dxa"/>
          </w:tcPr>
          <w:p w14:paraId="6A842496" w14:textId="77777777" w:rsidR="00FE61A5" w:rsidRPr="00FE61A5" w:rsidRDefault="00FE61A5" w:rsidP="00FE61A5">
            <w:pPr>
              <w:rPr>
                <w:rFonts w:cs="Arial"/>
              </w:rPr>
            </w:pPr>
          </w:p>
        </w:tc>
        <w:tc>
          <w:tcPr>
            <w:tcW w:w="1510" w:type="dxa"/>
          </w:tcPr>
          <w:p w14:paraId="6A7C8EEB" w14:textId="77777777" w:rsidR="00FE61A5" w:rsidRPr="00FE61A5" w:rsidRDefault="00FE61A5" w:rsidP="00FE61A5">
            <w:pPr>
              <w:rPr>
                <w:rFonts w:cs="Arial"/>
              </w:rPr>
            </w:pPr>
          </w:p>
        </w:tc>
        <w:tc>
          <w:tcPr>
            <w:tcW w:w="1264" w:type="dxa"/>
          </w:tcPr>
          <w:p w14:paraId="4783B3F3" w14:textId="77777777" w:rsidR="00FE61A5" w:rsidRPr="00FE61A5" w:rsidRDefault="00FE61A5" w:rsidP="00FE61A5">
            <w:pPr>
              <w:rPr>
                <w:rFonts w:cs="Arial"/>
              </w:rPr>
            </w:pPr>
          </w:p>
        </w:tc>
      </w:tr>
      <w:tr w:rsidR="00FE61A5" w14:paraId="56631704" w14:textId="77777777" w:rsidTr="00FE61A5">
        <w:tc>
          <w:tcPr>
            <w:tcW w:w="1709" w:type="dxa"/>
          </w:tcPr>
          <w:p w14:paraId="38B205B0" w14:textId="45DD1420" w:rsidR="00FE61A5" w:rsidRPr="00FE61A5" w:rsidRDefault="00FE61A5" w:rsidP="00FE61A5">
            <w:pPr>
              <w:rPr>
                <w:rFonts w:cs="Arial"/>
              </w:rPr>
            </w:pPr>
            <w:r w:rsidRPr="00FE61A5">
              <w:t>Изследвания</w:t>
            </w:r>
          </w:p>
        </w:tc>
        <w:tc>
          <w:tcPr>
            <w:tcW w:w="1384" w:type="dxa"/>
          </w:tcPr>
          <w:p w14:paraId="2090F221" w14:textId="4D59FBBF" w:rsidR="00FE61A5" w:rsidRPr="00FE61A5" w:rsidRDefault="00FE61A5" w:rsidP="00FE61A5">
            <w:pPr>
              <w:rPr>
                <w:rFonts w:cs="Arial"/>
              </w:rPr>
            </w:pPr>
            <w:r w:rsidRPr="00FE61A5">
              <w:t>намаляване на телесното тегло повишена амилаза повишена липаза</w:t>
            </w:r>
          </w:p>
        </w:tc>
        <w:tc>
          <w:tcPr>
            <w:tcW w:w="1801" w:type="dxa"/>
          </w:tcPr>
          <w:p w14:paraId="73A59083" w14:textId="101BAC5A" w:rsidR="00FE61A5" w:rsidRPr="00FE61A5" w:rsidRDefault="00FE61A5" w:rsidP="00FE61A5">
            <w:pPr>
              <w:rPr>
                <w:rFonts w:cs="Arial"/>
              </w:rPr>
            </w:pPr>
            <w:r w:rsidRPr="00FE61A5">
              <w:t>преходно повишаване на трансаминазите</w:t>
            </w:r>
          </w:p>
        </w:tc>
        <w:tc>
          <w:tcPr>
            <w:tcW w:w="1908" w:type="dxa"/>
          </w:tcPr>
          <w:p w14:paraId="31A5D818" w14:textId="10AFA3A2" w:rsidR="00FE61A5" w:rsidRPr="00FE61A5" w:rsidRDefault="00FE61A5" w:rsidP="00FE61A5">
            <w:pPr>
              <w:rPr>
                <w:rFonts w:cs="Arial"/>
              </w:rPr>
            </w:pPr>
            <w:r w:rsidRPr="00FE61A5">
              <w:t xml:space="preserve">преходно повишаване на алкалната фосфатаза в кръвта патологичен </w:t>
            </w:r>
            <w:r w:rsidRPr="00FE61A5">
              <w:rPr>
                <w:lang w:val="en-US"/>
              </w:rPr>
              <w:t xml:space="preserve">INR. </w:t>
            </w:r>
            <w:r w:rsidRPr="00FE61A5">
              <w:t>патологично протромбиново време</w:t>
            </w:r>
          </w:p>
        </w:tc>
        <w:tc>
          <w:tcPr>
            <w:tcW w:w="1510" w:type="dxa"/>
          </w:tcPr>
          <w:p w14:paraId="425FD6C7" w14:textId="77777777" w:rsidR="00FE61A5" w:rsidRPr="00FE61A5" w:rsidRDefault="00FE61A5" w:rsidP="00FE61A5">
            <w:pPr>
              <w:rPr>
                <w:rFonts w:cs="Arial"/>
              </w:rPr>
            </w:pPr>
          </w:p>
        </w:tc>
        <w:tc>
          <w:tcPr>
            <w:tcW w:w="1264" w:type="dxa"/>
          </w:tcPr>
          <w:p w14:paraId="71BF63C3" w14:textId="77777777" w:rsidR="00FE61A5" w:rsidRPr="00FE61A5" w:rsidRDefault="00FE61A5" w:rsidP="00FE61A5">
            <w:pPr>
              <w:rPr>
                <w:rFonts w:cs="Arial"/>
              </w:rPr>
            </w:pPr>
          </w:p>
        </w:tc>
      </w:tr>
    </w:tbl>
    <w:p w14:paraId="10CAF20A" w14:textId="77777777" w:rsidR="00FE61A5" w:rsidRPr="00FE61A5" w:rsidRDefault="00FE61A5" w:rsidP="00FE61A5">
      <w:pPr>
        <w:rPr>
          <w:sz w:val="24"/>
          <w:szCs w:val="24"/>
          <w:lang w:eastAsia="bg-BG"/>
        </w:rPr>
      </w:pPr>
      <w:r w:rsidRPr="00FE61A5">
        <w:rPr>
          <w:lang w:eastAsia="bg-BG"/>
        </w:rPr>
        <w:t>* Нежеланите реакции могат да имат живото-застрашаващ или фатален изход. Такива събития са или нечести, или по-редки от нечести.</w:t>
      </w:r>
    </w:p>
    <w:p w14:paraId="54B43263" w14:textId="77777777" w:rsidR="00FE61A5" w:rsidRPr="00FE61A5" w:rsidRDefault="00FE61A5" w:rsidP="00FE61A5">
      <w:pPr>
        <w:rPr>
          <w:sz w:val="24"/>
          <w:szCs w:val="24"/>
          <w:lang w:eastAsia="bg-BG"/>
        </w:rPr>
      </w:pPr>
      <w:r w:rsidRPr="00FE61A5">
        <w:rPr>
          <w:lang w:eastAsia="bg-BG"/>
        </w:rPr>
        <w:t xml:space="preserve">** Кожната реакция ръка-крак съответства на синдрома на палмарно-плантарна еритродизестезия в </w:t>
      </w:r>
      <w:r w:rsidRPr="00FE61A5">
        <w:rPr>
          <w:lang w:val="en-US"/>
        </w:rPr>
        <w:t>MedDRA.</w:t>
      </w:r>
    </w:p>
    <w:p w14:paraId="177415A8" w14:textId="7852BBA4" w:rsidR="00FE61A5" w:rsidRDefault="00FE61A5" w:rsidP="00FE61A5">
      <w:pPr>
        <w:rPr>
          <w:lang w:eastAsia="bg-BG"/>
        </w:rPr>
      </w:pPr>
      <w:r w:rsidRPr="00FE61A5">
        <w:rPr>
          <w:lang w:eastAsia="bg-BG"/>
        </w:rPr>
        <w:t>° Случаи са докладвани след разрешаването за употреба.</w:t>
      </w:r>
    </w:p>
    <w:p w14:paraId="18F56B1B" w14:textId="1A1AAD46" w:rsidR="00FE61A5" w:rsidRDefault="00FE61A5" w:rsidP="00FE61A5">
      <w:pPr>
        <w:rPr>
          <w:lang w:eastAsia="bg-BG"/>
        </w:rPr>
      </w:pPr>
    </w:p>
    <w:p w14:paraId="2CF13714"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Допълнителна информация относно избрани нежелани лекарствени реакции</w:t>
      </w:r>
    </w:p>
    <w:p w14:paraId="0825AFAA" w14:textId="77777777" w:rsidR="00FE61A5" w:rsidRPr="00FE61A5" w:rsidRDefault="00FE61A5" w:rsidP="00FE61A5">
      <w:pPr>
        <w:spacing w:line="240" w:lineRule="auto"/>
        <w:rPr>
          <w:rFonts w:eastAsia="Times New Roman" w:cs="Arial"/>
          <w:i/>
          <w:iCs/>
          <w:color w:val="000000"/>
          <w:lang w:eastAsia="bg-BG"/>
        </w:rPr>
      </w:pPr>
    </w:p>
    <w:p w14:paraId="3CDAB8FB" w14:textId="763C7371" w:rsidR="00FE61A5" w:rsidRPr="00FE61A5" w:rsidRDefault="00FE61A5" w:rsidP="00FE61A5">
      <w:pPr>
        <w:spacing w:line="240" w:lineRule="auto"/>
        <w:rPr>
          <w:rFonts w:eastAsia="Times New Roman" w:cs="Arial"/>
          <w:lang w:eastAsia="bg-BG"/>
        </w:rPr>
      </w:pPr>
      <w:r w:rsidRPr="00FE61A5">
        <w:rPr>
          <w:rFonts w:eastAsia="Times New Roman" w:cs="Arial"/>
          <w:i/>
          <w:iCs/>
          <w:color w:val="000000"/>
          <w:lang w:eastAsia="bg-BG"/>
        </w:rPr>
        <w:t>Застойна сърдечна недостатъчност</w:t>
      </w:r>
    </w:p>
    <w:p w14:paraId="2DF7504C"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В клинични изпитвания, спонсорирани от фирмата, застойна сърдечна недостатъчност се съобщава като нежелано събитие при 1,9% от пациентите, лекувани със сорафениб </w:t>
      </w:r>
      <w:r w:rsidRPr="00FE61A5">
        <w:rPr>
          <w:rFonts w:eastAsia="Times New Roman" w:cs="Arial"/>
          <w:color w:val="000000"/>
          <w:lang w:val="en-US"/>
        </w:rPr>
        <w:t xml:space="preserve">(N=2 </w:t>
      </w:r>
      <w:r w:rsidRPr="00FE61A5">
        <w:rPr>
          <w:rFonts w:eastAsia="Times New Roman" w:cs="Arial"/>
          <w:color w:val="000000"/>
          <w:lang w:eastAsia="bg-BG"/>
        </w:rPr>
        <w:t xml:space="preserve">276). В проучване 11213 </w:t>
      </w:r>
      <w:r w:rsidRPr="00FE61A5">
        <w:rPr>
          <w:rFonts w:eastAsia="Times New Roman" w:cs="Arial"/>
          <w:color w:val="000000"/>
          <w:lang w:val="en-US"/>
        </w:rPr>
        <w:t xml:space="preserve">(RCC) </w:t>
      </w:r>
      <w:r w:rsidRPr="00FE61A5">
        <w:rPr>
          <w:rFonts w:eastAsia="Times New Roman" w:cs="Arial"/>
          <w:color w:val="000000"/>
          <w:lang w:eastAsia="bg-BG"/>
        </w:rPr>
        <w:t xml:space="preserve">нежелани събития, съответстващи на застойна сърдечна недостатъчност, са докладвани при 1,7% от пациентите, лекувани със сорафениб, и при </w:t>
      </w:r>
      <w:r w:rsidRPr="00FE61A5">
        <w:rPr>
          <w:rFonts w:eastAsia="Times New Roman" w:cs="Arial"/>
          <w:color w:val="000000"/>
          <w:lang w:eastAsia="bg-BG"/>
        </w:rPr>
        <w:lastRenderedPageBreak/>
        <w:t>0,7% при получаващите плацебо. В проучване 100554 (НСС) при 0,99% от лекуваните със сорафениб и при 1,1% от получаващите плацебо са съобщени такива събития.</w:t>
      </w:r>
    </w:p>
    <w:p w14:paraId="6C06C87C" w14:textId="77777777" w:rsidR="00FE61A5" w:rsidRPr="00FE61A5" w:rsidRDefault="00FE61A5" w:rsidP="00FE61A5">
      <w:pPr>
        <w:spacing w:line="240" w:lineRule="auto"/>
        <w:rPr>
          <w:rFonts w:eastAsia="Times New Roman" w:cs="Arial"/>
          <w:i/>
          <w:iCs/>
          <w:color w:val="000000"/>
          <w:lang w:eastAsia="bg-BG"/>
        </w:rPr>
      </w:pPr>
    </w:p>
    <w:p w14:paraId="03D048A8" w14:textId="28D0C448" w:rsidR="00FE61A5" w:rsidRPr="00FE61A5" w:rsidRDefault="00FE61A5" w:rsidP="00FE61A5">
      <w:pPr>
        <w:spacing w:line="240" w:lineRule="auto"/>
        <w:rPr>
          <w:rFonts w:eastAsia="Times New Roman" w:cs="Arial"/>
          <w:lang w:eastAsia="bg-BG"/>
        </w:rPr>
      </w:pPr>
      <w:r w:rsidRPr="00FE61A5">
        <w:rPr>
          <w:rFonts w:eastAsia="Times New Roman" w:cs="Arial"/>
          <w:i/>
          <w:iCs/>
          <w:color w:val="000000"/>
          <w:lang w:eastAsia="bg-BG"/>
        </w:rPr>
        <w:t>Допълнителна информация за специални популации</w:t>
      </w:r>
    </w:p>
    <w:p w14:paraId="68800EB9"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В клинични изпитвания, някои нежелани лекарствени реакции като кожна реакция ръка-крак, диария, алопеция, намаляване на телесното тегло, хипертония, хипокалциемия, и ксратоакантом/плоскокл</w:t>
      </w:r>
      <w:r w:rsidRPr="00FE61A5">
        <w:rPr>
          <w:rFonts w:eastAsia="Times New Roman" w:cs="Arial"/>
          <w:color w:val="000000"/>
          <w:lang w:val="en-US"/>
        </w:rPr>
        <w:t>e</w:t>
      </w:r>
      <w:r w:rsidRPr="00FE61A5">
        <w:rPr>
          <w:rFonts w:eastAsia="Times New Roman" w:cs="Arial"/>
          <w:color w:val="000000"/>
          <w:lang w:eastAsia="bg-BG"/>
        </w:rPr>
        <w:t>тъч</w:t>
      </w:r>
      <w:r w:rsidRPr="00FE61A5">
        <w:rPr>
          <w:rFonts w:eastAsia="Times New Roman" w:cs="Arial"/>
          <w:color w:val="000000"/>
          <w:lang w:val="en-US"/>
        </w:rPr>
        <w:t>e</w:t>
      </w:r>
      <w:r w:rsidRPr="00FE61A5">
        <w:rPr>
          <w:rFonts w:eastAsia="Times New Roman" w:cs="Arial"/>
          <w:color w:val="000000"/>
          <w:lang w:eastAsia="bg-BG"/>
        </w:rPr>
        <w:t>н карцином на кожата са наблюдавани със значително по-голяма честота при пациенти с диференциран тиреоидеп карцином в сравнение с пациентите от проучвания за бъбречно-клетъчен или хепатоцелуларен карцином.</w:t>
      </w:r>
    </w:p>
    <w:p w14:paraId="2BFCC7CC" w14:textId="77777777" w:rsidR="00FE61A5" w:rsidRPr="00FE61A5" w:rsidRDefault="00FE61A5" w:rsidP="00FE61A5">
      <w:pPr>
        <w:spacing w:line="240" w:lineRule="auto"/>
        <w:rPr>
          <w:rFonts w:eastAsia="Times New Roman" w:cs="Arial"/>
          <w:color w:val="000000"/>
          <w:lang w:eastAsia="bg-BG"/>
        </w:rPr>
      </w:pPr>
    </w:p>
    <w:p w14:paraId="13C1CA2B" w14:textId="5B461E14" w:rsidR="00FE61A5" w:rsidRPr="00FE61A5" w:rsidRDefault="00FE61A5" w:rsidP="00FE61A5">
      <w:pPr>
        <w:spacing w:line="240" w:lineRule="auto"/>
        <w:rPr>
          <w:rFonts w:eastAsia="Times New Roman" w:cs="Arial"/>
          <w:u w:val="single"/>
          <w:lang w:eastAsia="bg-BG"/>
        </w:rPr>
      </w:pPr>
      <w:r w:rsidRPr="00FE61A5">
        <w:rPr>
          <w:rFonts w:eastAsia="Times New Roman" w:cs="Arial"/>
          <w:color w:val="000000"/>
          <w:u w:val="single"/>
          <w:lang w:eastAsia="bg-BG"/>
        </w:rPr>
        <w:t xml:space="preserve">Отклонения в лабораторните изследвания при пациенти с НСС (проучване 3) и с </w:t>
      </w:r>
      <w:r w:rsidRPr="00FE61A5">
        <w:rPr>
          <w:rFonts w:eastAsia="Times New Roman" w:cs="Arial"/>
          <w:color w:val="000000"/>
          <w:u w:val="single"/>
          <w:lang w:val="en-US"/>
        </w:rPr>
        <w:t xml:space="preserve">RCC </w:t>
      </w:r>
      <w:r w:rsidRPr="00FE61A5">
        <w:rPr>
          <w:rFonts w:eastAsia="Times New Roman" w:cs="Arial"/>
          <w:color w:val="000000"/>
          <w:u w:val="single"/>
          <w:lang w:eastAsia="bg-BG"/>
        </w:rPr>
        <w:t>(проучване 1)</w:t>
      </w:r>
    </w:p>
    <w:p w14:paraId="0C6A8365" w14:textId="77777777" w:rsidR="00FE61A5" w:rsidRPr="00FE61A5" w:rsidRDefault="00FE61A5" w:rsidP="00FE61A5">
      <w:pPr>
        <w:rPr>
          <w:rFonts w:eastAsia="Times New Roman" w:cs="Arial"/>
          <w:color w:val="000000"/>
          <w:lang w:eastAsia="bg-BG"/>
        </w:rPr>
      </w:pPr>
    </w:p>
    <w:p w14:paraId="62ABB37A" w14:textId="77777777" w:rsidR="00FE61A5" w:rsidRPr="00FE61A5" w:rsidRDefault="00FE61A5" w:rsidP="00FE61A5">
      <w:pPr>
        <w:rPr>
          <w:rFonts w:eastAsia="Times New Roman" w:cs="Arial"/>
          <w:lang w:eastAsia="bg-BG"/>
        </w:rPr>
      </w:pPr>
      <w:r w:rsidRPr="00FE61A5">
        <w:rPr>
          <w:rFonts w:eastAsia="Times New Roman" w:cs="Arial"/>
          <w:color w:val="000000"/>
          <w:lang w:eastAsia="bg-BG"/>
        </w:rPr>
        <w:t xml:space="preserve">Повишена липаза и амилаза са докладвани много често. СТСАЕ 3 или 4 степен повишени стойности на липазата са се появили при 11% и 9% от пациентите в групата със сорафениб, съответно, при проучване 1 </w:t>
      </w:r>
      <w:r w:rsidRPr="00FE61A5">
        <w:rPr>
          <w:rFonts w:eastAsia="Times New Roman" w:cs="Arial"/>
          <w:color w:val="000000"/>
          <w:lang w:val="en-US"/>
        </w:rPr>
        <w:t xml:space="preserve">(RCC) </w:t>
      </w:r>
      <w:r w:rsidRPr="00FE61A5">
        <w:rPr>
          <w:rFonts w:eastAsia="Times New Roman" w:cs="Arial"/>
          <w:color w:val="000000"/>
          <w:lang w:eastAsia="bg-BG"/>
        </w:rPr>
        <w:t>и проучване 3 (НСС), в сравнение със 7% и 9% от пациентите в групата на плацебо. Повишени стойности на амилазата СТСАЕ 3 или 4 степен са се появили при 1% и 2% от пациентите в групата със сорафениб, съответно, при проучване 1 и проучване 3, в сравнение с 3% от пациентите във всяка плацебо група. Клиничният панкреатит е докладван при двама от 451 лекувани със сорафениб пациенти (СТСАЕ 4 степен) при проучване 1,</w:t>
      </w:r>
      <w:r w:rsidRPr="00FE61A5">
        <w:rPr>
          <w:rFonts w:eastAsia="Times New Roman" w:cs="Arial"/>
          <w:color w:val="000000"/>
          <w:lang w:val="en-US" w:eastAsia="bg-BG"/>
        </w:rPr>
        <w:t xml:space="preserve"> </w:t>
      </w:r>
      <w:r w:rsidRPr="00FE61A5">
        <w:rPr>
          <w:rFonts w:eastAsia="Times New Roman" w:cs="Arial"/>
          <w:color w:val="000000"/>
          <w:lang w:eastAsia="bg-BG"/>
        </w:rPr>
        <w:t>1 от</w:t>
      </w:r>
      <w:r w:rsidRPr="00FE61A5">
        <w:rPr>
          <w:rFonts w:eastAsia="Times New Roman" w:cs="Arial"/>
          <w:color w:val="000000"/>
          <w:lang w:val="en-US" w:eastAsia="bg-BG"/>
        </w:rPr>
        <w:t xml:space="preserve"> </w:t>
      </w:r>
      <w:r w:rsidRPr="00FE61A5">
        <w:rPr>
          <w:rFonts w:eastAsia="Times New Roman" w:cs="Arial"/>
          <w:color w:val="000000"/>
          <w:lang w:eastAsia="bg-BG"/>
        </w:rPr>
        <w:t>297 пациенти лекувани със сорафениб при проучване 3 (СТСАЕ 2 степен) и един от 451 (СТСАЕ 2 степен) в групата с плацебо в проучване 1.</w:t>
      </w:r>
    </w:p>
    <w:p w14:paraId="6D46ACE3" w14:textId="77777777" w:rsidR="00FE61A5" w:rsidRPr="00FE61A5" w:rsidRDefault="00FE61A5" w:rsidP="00FE61A5">
      <w:pPr>
        <w:spacing w:line="240" w:lineRule="auto"/>
        <w:rPr>
          <w:rFonts w:eastAsia="Times New Roman" w:cs="Arial"/>
          <w:color w:val="000000"/>
          <w:lang w:eastAsia="bg-BG"/>
        </w:rPr>
      </w:pPr>
    </w:p>
    <w:p w14:paraId="70113465" w14:textId="5EE40953"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Хипофосфатемията е много честа лабораторна находка, наблюдавана при 45% и 35% от лекуваните със сорафениб пациенти в сравнение с 12% и 11% от пациентите в групата на плацебо, съответно, при проучване 1 и проучване 3. Хипофосфатемия СТСАЕ 3 степен</w:t>
      </w:r>
    </w:p>
    <w:p w14:paraId="5F14082A"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(1-2 </w:t>
      </w:r>
      <w:r w:rsidRPr="00FE61A5">
        <w:rPr>
          <w:rFonts w:eastAsia="Times New Roman" w:cs="Arial"/>
          <w:color w:val="000000"/>
          <w:lang w:val="en-US"/>
        </w:rPr>
        <w:t xml:space="preserve">mg/dl) </w:t>
      </w:r>
      <w:r w:rsidRPr="00FE61A5">
        <w:rPr>
          <w:rFonts w:eastAsia="Times New Roman" w:cs="Arial"/>
          <w:color w:val="000000"/>
          <w:lang w:eastAsia="bg-BG"/>
        </w:rPr>
        <w:t xml:space="preserve">при проучване 1 се е появила при 13% от пациентите, лекувани със сорафениб и 3% от пациентите в групата на плацебо, а при проучване 3 при 11% от пациентите лекувани със сорафениб и 2% от пациентите в плацебо групата. Няма случаи на хипофосфатемия СТСАЕ 4 степен (&lt;1 </w:t>
      </w:r>
      <w:r w:rsidRPr="00FE61A5">
        <w:rPr>
          <w:rFonts w:eastAsia="Times New Roman" w:cs="Arial"/>
          <w:color w:val="000000"/>
          <w:lang w:val="en-US"/>
        </w:rPr>
        <w:t xml:space="preserve">mg/dl), </w:t>
      </w:r>
      <w:r w:rsidRPr="00FE61A5">
        <w:rPr>
          <w:rFonts w:eastAsia="Times New Roman" w:cs="Arial"/>
          <w:color w:val="000000"/>
          <w:lang w:eastAsia="bg-BG"/>
        </w:rPr>
        <w:t>съобщени в групата със сорафениб или групата с плацебо при проучване 1 и 1 случай в плацебо групата при проучване 3. Етиологията на хипофосфатемията, свързана със сорафениб не е известна.</w:t>
      </w:r>
    </w:p>
    <w:p w14:paraId="3F0D62C1" w14:textId="77777777" w:rsidR="00FE61A5" w:rsidRPr="00FE61A5" w:rsidRDefault="00FE61A5" w:rsidP="00FE61A5">
      <w:pPr>
        <w:spacing w:line="240" w:lineRule="auto"/>
        <w:rPr>
          <w:rFonts w:eastAsia="Times New Roman" w:cs="Arial"/>
          <w:color w:val="000000"/>
          <w:lang w:eastAsia="bg-BG"/>
        </w:rPr>
      </w:pPr>
    </w:p>
    <w:p w14:paraId="1E8A2EAB" w14:textId="4B636458"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При СТСАЕ 3 степен или 4 степен са наблюдавани отклонения в лабораторните показатели при 5% от пациентите, лекувани със сорафениб, включително лимфопения и неутропения.</w:t>
      </w:r>
    </w:p>
    <w:p w14:paraId="2C2D5430" w14:textId="77777777" w:rsidR="00FE61A5" w:rsidRPr="00FE61A5" w:rsidRDefault="00FE61A5" w:rsidP="00FE61A5">
      <w:pPr>
        <w:spacing w:line="240" w:lineRule="auto"/>
        <w:rPr>
          <w:rFonts w:eastAsia="Times New Roman" w:cs="Arial"/>
          <w:color w:val="000000"/>
          <w:lang w:eastAsia="bg-BG"/>
        </w:rPr>
      </w:pPr>
    </w:p>
    <w:p w14:paraId="362D0FD1" w14:textId="7F925755"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Хипокалциемия е докладвана при 12% и 26,5% от пациентите, лекувани със сорафениб, сравнено с 7,5% и 14,8% при пациентите на плацебо, съответно в проучване 1 и проучване 3. Мнозинството докладвани случаи на хипокалциемия са нисък клас (СТСАЕ 1 и 2 степен). СТСАЕ 3 степен хипокалциемия (6,0-7,0 </w:t>
      </w:r>
      <w:r w:rsidRPr="00FE61A5">
        <w:rPr>
          <w:rFonts w:eastAsia="Times New Roman" w:cs="Arial"/>
          <w:color w:val="000000"/>
          <w:lang w:val="en-US"/>
        </w:rPr>
        <w:t xml:space="preserve">mg/dl) </w:t>
      </w:r>
      <w:r w:rsidRPr="00FE61A5">
        <w:rPr>
          <w:rFonts w:eastAsia="Times New Roman" w:cs="Arial"/>
          <w:color w:val="000000"/>
          <w:lang w:eastAsia="bg-BG"/>
        </w:rPr>
        <w:t xml:space="preserve">се наблюдава при 1,1% и 1,8% от пациентите, лекувани със сорафениб, и при 0,2% и 1,1% от пациентите в групата на плацебо, а СТСАЕ 4 степен хипокалциемия (&lt;6,0 </w:t>
      </w:r>
      <w:r w:rsidRPr="00FE61A5">
        <w:rPr>
          <w:rFonts w:eastAsia="Times New Roman" w:cs="Arial"/>
          <w:color w:val="000000"/>
          <w:lang w:val="en-US"/>
        </w:rPr>
        <w:t xml:space="preserve">mg/dl) </w:t>
      </w:r>
      <w:r w:rsidRPr="00FE61A5">
        <w:rPr>
          <w:rFonts w:eastAsia="Times New Roman" w:cs="Arial"/>
          <w:color w:val="000000"/>
          <w:lang w:eastAsia="bg-BG"/>
        </w:rPr>
        <w:t>се наблюдава при 1,1% и 0,4% от пациентите, лекувани със сорафениб, и при 0,5% и 0% от пациентите в групата на плацебо, съответно в проучване 1 и 3. Етиологията на хипокалциемията, свързана със сорафениб, не е известна.</w:t>
      </w:r>
    </w:p>
    <w:p w14:paraId="39D693EB" w14:textId="77777777" w:rsidR="00FE61A5" w:rsidRPr="00FE61A5" w:rsidRDefault="00FE61A5" w:rsidP="00FE61A5">
      <w:pPr>
        <w:spacing w:line="240" w:lineRule="auto"/>
        <w:rPr>
          <w:rFonts w:eastAsia="Times New Roman" w:cs="Arial"/>
          <w:color w:val="000000"/>
          <w:lang w:eastAsia="bg-BG"/>
        </w:rPr>
      </w:pPr>
    </w:p>
    <w:p w14:paraId="79C49984" w14:textId="62037619"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При проучвания 1 и 3 се наблюдава понижение на калия при съответно 5,4% и 9,5% от пациентите на лечение със сорафениб в сравнение с 0,7% и 5,9% от пациентите на </w:t>
      </w:r>
      <w:r w:rsidRPr="00FE61A5">
        <w:rPr>
          <w:rFonts w:eastAsia="Times New Roman" w:cs="Arial"/>
          <w:color w:val="000000"/>
          <w:lang w:eastAsia="bg-BG"/>
        </w:rPr>
        <w:lastRenderedPageBreak/>
        <w:t>плацебо. Повечето от съобщаваните случаи на хипокалиемия са с ниска степен (СТСАЕ 1 степен). При тези проучвания хипокалиемия СТСАЕ степен 3 се развива при 1,1% и 0,4% от пациентите на лечение със сорафениб и при 0,2% и 0,7% от пациентите в групата на плацебо. Няма съобщения за хипокалиемия СТСАЕ степен 4.</w:t>
      </w:r>
    </w:p>
    <w:p w14:paraId="1F8A3BDC" w14:textId="77777777" w:rsidR="00FE61A5" w:rsidRPr="00FE61A5" w:rsidRDefault="00FE61A5" w:rsidP="00FE61A5">
      <w:pPr>
        <w:spacing w:line="240" w:lineRule="auto"/>
        <w:rPr>
          <w:rFonts w:eastAsia="Times New Roman" w:cs="Arial"/>
          <w:color w:val="000000"/>
          <w:u w:val="single"/>
          <w:lang w:eastAsia="bg-BG"/>
        </w:rPr>
      </w:pPr>
    </w:p>
    <w:p w14:paraId="06425FEE" w14:textId="77F57B5B" w:rsidR="00FE61A5" w:rsidRPr="00FE61A5" w:rsidRDefault="00FE61A5" w:rsidP="00FE61A5">
      <w:pPr>
        <w:spacing w:line="240" w:lineRule="auto"/>
        <w:rPr>
          <w:rFonts w:eastAsia="Times New Roman" w:cs="Arial"/>
          <w:lang w:eastAsia="bg-BG"/>
        </w:rPr>
      </w:pPr>
      <w:r w:rsidRPr="00FE61A5">
        <w:rPr>
          <w:rFonts w:eastAsia="Times New Roman" w:cs="Arial"/>
          <w:color w:val="000000"/>
          <w:u w:val="single"/>
          <w:lang w:eastAsia="bg-BG"/>
        </w:rPr>
        <w:t>Съобщаване на подозирани нежелани реакции</w:t>
      </w:r>
    </w:p>
    <w:p w14:paraId="3B66F46B"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1AE9ED2C" w14:textId="77777777" w:rsidR="00FE61A5" w:rsidRPr="00FE61A5" w:rsidRDefault="00FE61A5" w:rsidP="00FE61A5">
      <w:pPr>
        <w:spacing w:line="240" w:lineRule="auto"/>
        <w:rPr>
          <w:rFonts w:eastAsia="Times New Roman" w:cs="Arial"/>
          <w:color w:val="000000"/>
          <w:lang w:eastAsia="bg-BG"/>
        </w:rPr>
      </w:pPr>
    </w:p>
    <w:p w14:paraId="7B5EE110" w14:textId="77777777" w:rsidR="00FE61A5" w:rsidRPr="00FE61A5" w:rsidRDefault="00FE61A5" w:rsidP="00FE61A5">
      <w:pPr>
        <w:spacing w:line="240" w:lineRule="auto"/>
        <w:rPr>
          <w:rFonts w:eastAsia="Times New Roman" w:cs="Arial"/>
          <w:color w:val="000000"/>
          <w:lang w:eastAsia="bg-BG"/>
        </w:rPr>
      </w:pPr>
      <w:r w:rsidRPr="00FE61A5">
        <w:rPr>
          <w:rFonts w:eastAsia="Times New Roman" w:cs="Arial"/>
          <w:color w:val="000000"/>
          <w:lang w:eastAsia="bg-BG"/>
        </w:rPr>
        <w:t>Изпълнителна агенция по лекарства (ИАЛ)</w:t>
      </w:r>
    </w:p>
    <w:p w14:paraId="50DF81C4" w14:textId="77777777" w:rsidR="00FE61A5" w:rsidRPr="00FE61A5" w:rsidRDefault="00FE61A5" w:rsidP="00FE61A5">
      <w:pPr>
        <w:spacing w:line="240" w:lineRule="auto"/>
        <w:rPr>
          <w:rFonts w:eastAsia="Times New Roman" w:cs="Arial"/>
          <w:color w:val="000000"/>
          <w:lang w:eastAsia="bg-BG"/>
        </w:rPr>
      </w:pPr>
      <w:r w:rsidRPr="00FE61A5">
        <w:rPr>
          <w:rFonts w:eastAsia="Times New Roman" w:cs="Arial"/>
          <w:color w:val="000000"/>
          <w:lang w:eastAsia="bg-BG"/>
        </w:rPr>
        <w:t xml:space="preserve">ул. Дамян Груев № 8 </w:t>
      </w:r>
    </w:p>
    <w:p w14:paraId="00A80FBE" w14:textId="77777777" w:rsidR="00FE61A5" w:rsidRPr="00FE61A5" w:rsidRDefault="00FE61A5" w:rsidP="00FE61A5">
      <w:pPr>
        <w:spacing w:line="240" w:lineRule="auto"/>
        <w:rPr>
          <w:rFonts w:eastAsia="Times New Roman" w:cs="Arial"/>
          <w:color w:val="000000"/>
          <w:lang w:eastAsia="bg-BG"/>
        </w:rPr>
      </w:pPr>
      <w:r w:rsidRPr="00FE61A5">
        <w:rPr>
          <w:rFonts w:eastAsia="Times New Roman" w:cs="Arial"/>
          <w:color w:val="000000"/>
          <w:lang w:eastAsia="bg-BG"/>
        </w:rPr>
        <w:t xml:space="preserve">1303, гр. София </w:t>
      </w:r>
    </w:p>
    <w:p w14:paraId="77BB873B" w14:textId="298223E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Р. България</w:t>
      </w:r>
    </w:p>
    <w:p w14:paraId="703FE4E2" w14:textId="77777777"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Тел.:+359 2 8903 417</w:t>
      </w:r>
    </w:p>
    <w:p w14:paraId="5B453E76" w14:textId="77777777" w:rsidR="00FE61A5" w:rsidRPr="00FE61A5" w:rsidRDefault="00FE61A5" w:rsidP="00FE61A5">
      <w:pPr>
        <w:spacing w:line="240" w:lineRule="auto"/>
        <w:rPr>
          <w:rFonts w:eastAsia="Times New Roman" w:cs="Arial"/>
          <w:color w:val="000000"/>
          <w:lang w:eastAsia="bg-BG"/>
        </w:rPr>
      </w:pPr>
      <w:r w:rsidRPr="00FE61A5">
        <w:rPr>
          <w:rFonts w:eastAsia="Times New Roman" w:cs="Arial"/>
          <w:color w:val="000000"/>
          <w:lang w:eastAsia="bg-BG"/>
        </w:rPr>
        <w:t xml:space="preserve">Факс: +359 2 8903 434 </w:t>
      </w:r>
    </w:p>
    <w:p w14:paraId="074E0A89" w14:textId="77777777" w:rsidR="00FE61A5" w:rsidRPr="00FE61A5" w:rsidRDefault="00FE61A5" w:rsidP="00FE61A5">
      <w:pPr>
        <w:spacing w:line="240" w:lineRule="auto"/>
        <w:rPr>
          <w:rFonts w:eastAsia="Times New Roman" w:cs="Arial"/>
          <w:color w:val="000000"/>
          <w:lang w:val="en-US"/>
        </w:rPr>
      </w:pPr>
      <w:r w:rsidRPr="00FE61A5">
        <w:rPr>
          <w:rFonts w:eastAsia="Times New Roman" w:cs="Arial"/>
          <w:color w:val="000000"/>
          <w:lang w:val="en-US"/>
        </w:rPr>
        <w:t xml:space="preserve">e-mail: </w:t>
      </w:r>
      <w:hyperlink r:id="rId5" w:history="1">
        <w:r w:rsidRPr="00FE61A5">
          <w:rPr>
            <w:rFonts w:eastAsia="Times New Roman" w:cs="Arial"/>
            <w:color w:val="000000"/>
            <w:lang w:val="en-US"/>
          </w:rPr>
          <w:t>bda@bda.bg</w:t>
        </w:r>
      </w:hyperlink>
      <w:r w:rsidRPr="00FE61A5">
        <w:rPr>
          <w:rFonts w:eastAsia="Times New Roman" w:cs="Arial"/>
          <w:color w:val="000000"/>
          <w:lang w:val="en-US"/>
        </w:rPr>
        <w:t xml:space="preserve"> </w:t>
      </w:r>
    </w:p>
    <w:p w14:paraId="5E3C9515" w14:textId="0A7A0CE9" w:rsidR="00FE61A5" w:rsidRPr="00FE61A5" w:rsidRDefault="00FE61A5" w:rsidP="00FE61A5">
      <w:pPr>
        <w:spacing w:line="240" w:lineRule="auto"/>
        <w:rPr>
          <w:rFonts w:eastAsia="Times New Roman" w:cs="Arial"/>
          <w:lang w:eastAsia="bg-BG"/>
        </w:rPr>
      </w:pPr>
      <w:r w:rsidRPr="00FE61A5">
        <w:rPr>
          <w:rFonts w:eastAsia="Times New Roman" w:cs="Arial"/>
          <w:color w:val="000000"/>
          <w:lang w:eastAsia="bg-BG"/>
        </w:rPr>
        <w:t xml:space="preserve">уебсайт: </w:t>
      </w:r>
      <w:hyperlink r:id="rId6" w:history="1">
        <w:r w:rsidRPr="00FE61A5">
          <w:rPr>
            <w:rFonts w:eastAsia="Times New Roman" w:cs="Arial"/>
            <w:color w:val="000000"/>
            <w:lang w:val="en-US"/>
          </w:rPr>
          <w:t>www.bda.bg</w:t>
        </w:r>
      </w:hyperlink>
    </w:p>
    <w:p w14:paraId="0C760E54" w14:textId="55301E85" w:rsidR="00FE61A5" w:rsidRPr="00FE61A5" w:rsidRDefault="00FE61A5" w:rsidP="00FE61A5">
      <w:pPr>
        <w:rPr>
          <w:rFonts w:cs="Arial"/>
          <w:sz w:val="24"/>
          <w:szCs w:val="24"/>
          <w:lang w:val="en-US"/>
        </w:rPr>
      </w:pPr>
    </w:p>
    <w:p w14:paraId="5A87DBA3" w14:textId="4DA958A1" w:rsidR="007122AD" w:rsidRDefault="002C50EE" w:rsidP="00936AD0">
      <w:pPr>
        <w:pStyle w:val="Heading2"/>
      </w:pPr>
      <w:r>
        <w:t>4.9. Предозиране</w:t>
      </w:r>
    </w:p>
    <w:p w14:paraId="74B9F03A" w14:textId="1C41D5D0" w:rsidR="000373DE" w:rsidRDefault="000373DE" w:rsidP="000373DE"/>
    <w:p w14:paraId="24B4400A" w14:textId="3F32461D" w:rsidR="000373DE" w:rsidRPr="000373DE" w:rsidRDefault="000373DE" w:rsidP="000373DE">
      <w:r>
        <w:t xml:space="preserve">Няма специфично лечение при предозирането на сорафениб. Най-високата доза сорафениб, проучвана клинично е 800 </w:t>
      </w:r>
      <w:r>
        <w:rPr>
          <w:lang w:val="en-US"/>
        </w:rPr>
        <w:t xml:space="preserve">mg, </w:t>
      </w:r>
      <w:r>
        <w:t>два пъти дневно. Нежеланите събития, наблюдавани при тази доза са били предимно диария и дерматологични прояви. В случай на подозирано предозиране, сорафениб трябва да се спре и да се започне поддържащо лечение, когато е необходимо.</w:t>
      </w:r>
    </w:p>
    <w:p w14:paraId="02081B24" w14:textId="36FE76F4" w:rsidR="00395555" w:rsidRPr="00395555" w:rsidRDefault="002C50EE" w:rsidP="008A6AF2">
      <w:pPr>
        <w:pStyle w:val="Heading1"/>
      </w:pPr>
      <w:r>
        <w:t>5. ФАРМАКОЛОГИЧНИ СВОЙСТВА</w:t>
      </w:r>
    </w:p>
    <w:p w14:paraId="68A24A1A" w14:textId="39148264" w:rsidR="001A6EBD" w:rsidRDefault="002C50EE" w:rsidP="00471F10">
      <w:pPr>
        <w:pStyle w:val="Heading2"/>
      </w:pPr>
      <w:r>
        <w:t>5.1. Фармакодинамични свойства</w:t>
      </w:r>
    </w:p>
    <w:p w14:paraId="62DB0BBF" w14:textId="085E7AED" w:rsidR="000373DE" w:rsidRDefault="000373DE" w:rsidP="000373DE"/>
    <w:p w14:paraId="1CAD7E49"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Фармакотерапевтична група: Антинеоплазмени средства, протеин киназни инхибитори, АТС код: </w:t>
      </w:r>
      <w:r w:rsidRPr="000373DE">
        <w:rPr>
          <w:rFonts w:eastAsia="Times New Roman" w:cs="Arial"/>
          <w:color w:val="000000"/>
          <w:lang w:val="en-US"/>
        </w:rPr>
        <w:t>L01EX02.</w:t>
      </w:r>
    </w:p>
    <w:p w14:paraId="27FDB3D1" w14:textId="77777777" w:rsidR="000373DE" w:rsidRPr="000373DE" w:rsidRDefault="000373DE" w:rsidP="000373DE">
      <w:pPr>
        <w:spacing w:line="240" w:lineRule="auto"/>
        <w:rPr>
          <w:rFonts w:eastAsia="Times New Roman" w:cs="Arial"/>
          <w:color w:val="000000"/>
          <w:lang w:eastAsia="bg-BG"/>
        </w:rPr>
      </w:pPr>
    </w:p>
    <w:p w14:paraId="46D2655A" w14:textId="58008BBD"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Сорафениб е мултикиназен инхибитор, който проявява антипролиферативни и антиангиогенни свойства </w:t>
      </w:r>
      <w:r w:rsidRPr="000373DE">
        <w:rPr>
          <w:rFonts w:eastAsia="Times New Roman" w:cs="Arial"/>
          <w:i/>
          <w:iCs/>
          <w:color w:val="000000"/>
          <w:lang w:val="en-US"/>
        </w:rPr>
        <w:t>in vitro</w:t>
      </w:r>
      <w:r w:rsidRPr="000373DE">
        <w:rPr>
          <w:rFonts w:eastAsia="Times New Roman" w:cs="Arial"/>
          <w:color w:val="000000"/>
          <w:lang w:val="en-US"/>
        </w:rPr>
        <w:t xml:space="preserve"> </w:t>
      </w:r>
      <w:r w:rsidRPr="000373DE">
        <w:rPr>
          <w:rFonts w:eastAsia="Times New Roman" w:cs="Arial"/>
          <w:color w:val="000000"/>
          <w:lang w:eastAsia="bg-BG"/>
        </w:rPr>
        <w:t xml:space="preserve">и </w:t>
      </w:r>
      <w:r w:rsidRPr="000373DE">
        <w:rPr>
          <w:rFonts w:eastAsia="Times New Roman" w:cs="Arial"/>
          <w:i/>
          <w:iCs/>
          <w:color w:val="000000"/>
          <w:lang w:val="en-US"/>
        </w:rPr>
        <w:t>in vivo.</w:t>
      </w:r>
    </w:p>
    <w:p w14:paraId="48A59E3D" w14:textId="77777777" w:rsidR="000373DE" w:rsidRPr="000373DE" w:rsidRDefault="000373DE" w:rsidP="000373DE">
      <w:pPr>
        <w:spacing w:line="240" w:lineRule="auto"/>
        <w:rPr>
          <w:rFonts w:eastAsia="Times New Roman" w:cs="Arial"/>
          <w:color w:val="000000"/>
          <w:u w:val="single"/>
          <w:lang w:eastAsia="bg-BG"/>
        </w:rPr>
      </w:pPr>
    </w:p>
    <w:p w14:paraId="1086F554" w14:textId="4AE830D1"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Механизъм на действие и фармакодинамични ефекти</w:t>
      </w:r>
    </w:p>
    <w:p w14:paraId="662B3428" w14:textId="77777777" w:rsidR="000373DE" w:rsidRPr="000373DE" w:rsidRDefault="000373DE" w:rsidP="000373DE">
      <w:pPr>
        <w:spacing w:line="240" w:lineRule="auto"/>
        <w:rPr>
          <w:rFonts w:eastAsia="Times New Roman" w:cs="Arial"/>
          <w:color w:val="000000"/>
          <w:lang w:eastAsia="bg-BG"/>
        </w:rPr>
      </w:pPr>
    </w:p>
    <w:p w14:paraId="247E63DF" w14:textId="14B45B9C"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Сорафениб е мултикиназен инхибитор, който намалява пролиферацията на туморни клетки </w:t>
      </w:r>
      <w:r w:rsidRPr="000373DE">
        <w:rPr>
          <w:rFonts w:eastAsia="Times New Roman" w:cs="Arial"/>
          <w:i/>
          <w:iCs/>
          <w:color w:val="000000"/>
          <w:lang w:val="en-US"/>
        </w:rPr>
        <w:t>in vitro.</w:t>
      </w:r>
      <w:r w:rsidRPr="000373DE">
        <w:rPr>
          <w:rFonts w:eastAsia="Times New Roman" w:cs="Arial"/>
          <w:color w:val="000000"/>
          <w:lang w:val="en-US"/>
        </w:rPr>
        <w:t xml:space="preserve"> </w:t>
      </w:r>
      <w:r w:rsidRPr="000373DE">
        <w:rPr>
          <w:rFonts w:eastAsia="Times New Roman" w:cs="Arial"/>
          <w:color w:val="000000"/>
          <w:lang w:eastAsia="bg-BG"/>
        </w:rPr>
        <w:t xml:space="preserve">Сорафениб инхибира туморния растеж на широк спектър човешки туморни присадки в мишки с отстранен тимус, придружени от редукция на туморната ангиогенеза. Сорафениб инхибира активността на таргетите, присъстващи в туморната клетка </w:t>
      </w:r>
      <w:r w:rsidRPr="000373DE">
        <w:rPr>
          <w:rFonts w:eastAsia="Times New Roman" w:cs="Arial"/>
          <w:color w:val="000000"/>
          <w:lang w:val="en-US"/>
        </w:rPr>
        <w:t xml:space="preserve">(CRAF, BRAF, V600E BRAF, c-KIT </w:t>
      </w:r>
      <w:r w:rsidRPr="000373DE">
        <w:rPr>
          <w:rFonts w:eastAsia="Times New Roman" w:cs="Arial"/>
          <w:color w:val="000000"/>
          <w:lang w:eastAsia="bg-BG"/>
        </w:rPr>
        <w:t xml:space="preserve">и </w:t>
      </w:r>
      <w:r w:rsidRPr="000373DE">
        <w:rPr>
          <w:rFonts w:eastAsia="Times New Roman" w:cs="Arial"/>
          <w:color w:val="000000"/>
          <w:lang w:val="en-US"/>
        </w:rPr>
        <w:t xml:space="preserve">FLT-3) </w:t>
      </w:r>
      <w:r w:rsidRPr="000373DE">
        <w:rPr>
          <w:rFonts w:eastAsia="Times New Roman" w:cs="Arial"/>
          <w:color w:val="000000"/>
          <w:lang w:eastAsia="bg-BG"/>
        </w:rPr>
        <w:t xml:space="preserve">и в туморните съдове </w:t>
      </w:r>
      <w:r w:rsidRPr="000373DE">
        <w:rPr>
          <w:rFonts w:eastAsia="Times New Roman" w:cs="Arial"/>
          <w:color w:val="000000"/>
          <w:lang w:val="en-US"/>
        </w:rPr>
        <w:t xml:space="preserve">(CRAF, VEGFR-2, VEGFR-3 </w:t>
      </w:r>
      <w:r w:rsidRPr="000373DE">
        <w:rPr>
          <w:rFonts w:eastAsia="Times New Roman" w:cs="Arial"/>
          <w:color w:val="000000"/>
          <w:lang w:eastAsia="bg-BG"/>
        </w:rPr>
        <w:t xml:space="preserve">и </w:t>
      </w:r>
      <w:r w:rsidRPr="000373DE">
        <w:rPr>
          <w:rFonts w:eastAsia="Times New Roman" w:cs="Arial"/>
          <w:color w:val="000000"/>
          <w:lang w:val="en-US"/>
        </w:rPr>
        <w:t>PDGFR-</w:t>
      </w:r>
      <w:r w:rsidRPr="000373DE">
        <w:rPr>
          <w:rFonts w:eastAsia="Times New Roman" w:cs="Arial"/>
          <w:color w:val="000000"/>
          <w:lang w:eastAsia="bg-BG"/>
        </w:rPr>
        <w:t>β</w:t>
      </w:r>
      <w:r w:rsidRPr="000373DE">
        <w:rPr>
          <w:rFonts w:eastAsia="Times New Roman" w:cs="Arial"/>
          <w:color w:val="000000"/>
          <w:lang w:val="en-US"/>
        </w:rPr>
        <w:t>). RAF</w:t>
      </w:r>
      <w:r w:rsidRPr="000373DE">
        <w:rPr>
          <w:rFonts w:eastAsia="Times New Roman" w:cs="Arial"/>
          <w:color w:val="000000"/>
          <w:lang w:eastAsia="bg-BG"/>
        </w:rPr>
        <w:t xml:space="preserve">-киназите са серин/треонин кинази, докато </w:t>
      </w:r>
      <w:r w:rsidRPr="000373DE">
        <w:rPr>
          <w:rFonts w:eastAsia="Times New Roman" w:cs="Arial"/>
          <w:color w:val="000000"/>
          <w:lang w:val="en-US"/>
        </w:rPr>
        <w:t xml:space="preserve">c-KIT, FTL-3, VEGFR-2, VEGFR-3 </w:t>
      </w:r>
      <w:r w:rsidRPr="000373DE">
        <w:rPr>
          <w:rFonts w:eastAsia="Times New Roman" w:cs="Arial"/>
          <w:color w:val="000000"/>
          <w:lang w:eastAsia="bg-BG"/>
        </w:rPr>
        <w:t xml:space="preserve">и </w:t>
      </w:r>
      <w:r w:rsidRPr="000373DE">
        <w:rPr>
          <w:rFonts w:eastAsia="Times New Roman" w:cs="Arial"/>
          <w:color w:val="000000"/>
          <w:lang w:val="en-US"/>
        </w:rPr>
        <w:t>PDGFR-</w:t>
      </w:r>
      <w:r w:rsidRPr="000373DE">
        <w:rPr>
          <w:rFonts w:eastAsia="Times New Roman" w:cs="Arial"/>
          <w:color w:val="000000"/>
          <w:lang w:eastAsia="bg-BG"/>
        </w:rPr>
        <w:t>β</w:t>
      </w:r>
      <w:r w:rsidRPr="000373DE">
        <w:rPr>
          <w:rFonts w:eastAsia="Times New Roman" w:cs="Arial"/>
          <w:color w:val="000000"/>
          <w:lang w:val="en-US"/>
        </w:rPr>
        <w:t xml:space="preserve"> </w:t>
      </w:r>
      <w:r w:rsidRPr="000373DE">
        <w:rPr>
          <w:rFonts w:eastAsia="Times New Roman" w:cs="Arial"/>
          <w:color w:val="000000"/>
          <w:lang w:eastAsia="bg-BG"/>
        </w:rPr>
        <w:t>са рецептор тирозин кинази.</w:t>
      </w:r>
    </w:p>
    <w:p w14:paraId="267018E4" w14:textId="77777777" w:rsidR="000373DE" w:rsidRPr="000373DE" w:rsidRDefault="000373DE" w:rsidP="000373DE">
      <w:pPr>
        <w:spacing w:line="240" w:lineRule="auto"/>
        <w:rPr>
          <w:rFonts w:eastAsia="Times New Roman" w:cs="Arial"/>
          <w:color w:val="000000"/>
          <w:u w:val="single"/>
          <w:lang w:eastAsia="bg-BG"/>
        </w:rPr>
      </w:pPr>
    </w:p>
    <w:p w14:paraId="1FCA1903" w14:textId="227CBD1F"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Клинична ефикасност</w:t>
      </w:r>
    </w:p>
    <w:p w14:paraId="272E4801"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lastRenderedPageBreak/>
        <w:t xml:space="preserve">Клиничната безопасност и ефикасност на сорафениб е проучена при пациенти с хепатоцелуларен карцином (НСС) и при пациенти с бъбречно-клетъчен карцином </w:t>
      </w:r>
      <w:r w:rsidRPr="000373DE">
        <w:rPr>
          <w:rFonts w:eastAsia="Times New Roman" w:cs="Arial"/>
          <w:color w:val="000000"/>
          <w:lang w:val="en-US"/>
        </w:rPr>
        <w:t xml:space="preserve">(RCC) </w:t>
      </w:r>
      <w:r w:rsidRPr="000373DE">
        <w:rPr>
          <w:rFonts w:eastAsia="Times New Roman" w:cs="Arial"/>
          <w:color w:val="000000"/>
          <w:lang w:eastAsia="bg-BG"/>
        </w:rPr>
        <w:t>в напреднал стадий.</w:t>
      </w:r>
    </w:p>
    <w:p w14:paraId="4D0F437C" w14:textId="77777777" w:rsidR="000373DE" w:rsidRPr="000373DE" w:rsidRDefault="000373DE" w:rsidP="000373DE">
      <w:pPr>
        <w:spacing w:line="240" w:lineRule="auto"/>
        <w:rPr>
          <w:rFonts w:eastAsia="Times New Roman" w:cs="Arial"/>
          <w:color w:val="000000"/>
          <w:u w:val="single"/>
          <w:lang w:eastAsia="bg-BG"/>
        </w:rPr>
      </w:pPr>
    </w:p>
    <w:p w14:paraId="358D25E1" w14:textId="3577B95F"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Хепатоцелуларен карцином</w:t>
      </w:r>
    </w:p>
    <w:p w14:paraId="02F30893"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Проучване 3 (проучване 100554) е фаза III, международно, многоцентрово, рандомизирано, двойно сляпо, плацебо-контролирано проучване при 602 пациенти с хепатоцелуларен карцином.</w:t>
      </w:r>
    </w:p>
    <w:p w14:paraId="409CAF17"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Демографските показатели и характеристиките на заболяването на изходно ниво са били сравними между групата на сорафениб и плацебо групата по отношение на </w:t>
      </w:r>
      <w:r w:rsidRPr="000373DE">
        <w:rPr>
          <w:rFonts w:eastAsia="Times New Roman" w:cs="Arial"/>
          <w:color w:val="000000"/>
          <w:lang w:val="en-US"/>
        </w:rPr>
        <w:t xml:space="preserve">ECOG </w:t>
      </w:r>
      <w:r w:rsidRPr="000373DE">
        <w:rPr>
          <w:rFonts w:eastAsia="Times New Roman" w:cs="Arial"/>
          <w:color w:val="000000"/>
          <w:lang w:eastAsia="bg-BG"/>
        </w:rPr>
        <w:t xml:space="preserve">статус (статус 0: 54% срещу 54%; статус 1: 38% срещу 39%; статус 2: 8% срещу 7%). </w:t>
      </w:r>
      <w:r w:rsidRPr="000373DE">
        <w:rPr>
          <w:rFonts w:eastAsia="Times New Roman" w:cs="Arial"/>
          <w:color w:val="000000"/>
          <w:lang w:val="en-US"/>
        </w:rPr>
        <w:t xml:space="preserve">TNM </w:t>
      </w:r>
      <w:r w:rsidRPr="000373DE">
        <w:rPr>
          <w:rFonts w:eastAsia="Times New Roman" w:cs="Arial"/>
          <w:color w:val="000000"/>
          <w:lang w:eastAsia="bg-BG"/>
        </w:rPr>
        <w:t xml:space="preserve">стадий (стадий I: &lt;1% срещу &lt;1%; стадий II: 10,4% срещу 8,3%; стадий </w:t>
      </w:r>
      <w:r w:rsidRPr="000373DE">
        <w:rPr>
          <w:rFonts w:eastAsia="Times New Roman" w:cs="Arial"/>
          <w:color w:val="000000"/>
          <w:lang w:val="en-US"/>
        </w:rPr>
        <w:t>III</w:t>
      </w:r>
      <w:r w:rsidRPr="000373DE">
        <w:rPr>
          <w:rFonts w:eastAsia="Times New Roman" w:cs="Arial"/>
          <w:color w:val="000000"/>
          <w:lang w:eastAsia="bg-BG"/>
        </w:rPr>
        <w:t xml:space="preserve">: 37,8% срещу 43,6%; стадий IV: 50,8% срещу 46,9%) и </w:t>
      </w:r>
      <w:r w:rsidRPr="000373DE">
        <w:rPr>
          <w:rFonts w:eastAsia="Times New Roman" w:cs="Arial"/>
          <w:color w:val="000000"/>
          <w:lang w:val="en-US"/>
        </w:rPr>
        <w:t xml:space="preserve">BCLC </w:t>
      </w:r>
      <w:r w:rsidRPr="000373DE">
        <w:rPr>
          <w:rFonts w:eastAsia="Times New Roman" w:cs="Arial"/>
          <w:color w:val="000000"/>
          <w:lang w:eastAsia="bg-BG"/>
        </w:rPr>
        <w:t xml:space="preserve">стадий (стадий В: 18,1% срещу 16,8%; стадий С: 81,6% срещу 83,2%; стадий </w:t>
      </w:r>
      <w:r w:rsidRPr="000373DE">
        <w:rPr>
          <w:rFonts w:eastAsia="Times New Roman" w:cs="Arial"/>
          <w:color w:val="000000"/>
          <w:lang w:val="en-US"/>
        </w:rPr>
        <w:t xml:space="preserve">D: </w:t>
      </w:r>
      <w:r w:rsidRPr="000373DE">
        <w:rPr>
          <w:rFonts w:eastAsia="Times New Roman" w:cs="Arial"/>
          <w:color w:val="000000"/>
          <w:lang w:eastAsia="bg-BG"/>
        </w:rPr>
        <w:t>&lt;1% срещу 0%).</w:t>
      </w:r>
    </w:p>
    <w:p w14:paraId="60BCBA04" w14:textId="77777777" w:rsidR="000373DE" w:rsidRPr="000373DE" w:rsidRDefault="000373DE" w:rsidP="000373DE">
      <w:pPr>
        <w:spacing w:line="240" w:lineRule="auto"/>
        <w:rPr>
          <w:rFonts w:eastAsia="Times New Roman" w:cs="Arial"/>
          <w:color w:val="000000"/>
          <w:lang w:eastAsia="bg-BG"/>
        </w:rPr>
      </w:pPr>
    </w:p>
    <w:p w14:paraId="55F5EE55" w14:textId="5D9CBAF2"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Проучването е спряно, след като планиран междинен анализ на </w:t>
      </w:r>
      <w:r w:rsidRPr="000373DE">
        <w:rPr>
          <w:rFonts w:eastAsia="Times New Roman" w:cs="Arial"/>
          <w:color w:val="000000"/>
          <w:lang w:val="en-US"/>
        </w:rPr>
        <w:t xml:space="preserve">OS </w:t>
      </w:r>
      <w:r w:rsidRPr="000373DE">
        <w:rPr>
          <w:rFonts w:eastAsia="Times New Roman" w:cs="Arial"/>
          <w:color w:val="000000"/>
          <w:lang w:eastAsia="bg-BG"/>
        </w:rPr>
        <w:t xml:space="preserve">е преминал предварително определената граница на ефикасност. Този анализ на </w:t>
      </w:r>
      <w:r w:rsidRPr="000373DE">
        <w:rPr>
          <w:rFonts w:eastAsia="Times New Roman" w:cs="Arial"/>
          <w:color w:val="000000"/>
          <w:lang w:val="en-US"/>
        </w:rPr>
        <w:t xml:space="preserve">OS </w:t>
      </w:r>
      <w:r w:rsidRPr="000373DE">
        <w:rPr>
          <w:rFonts w:eastAsia="Times New Roman" w:cs="Arial"/>
          <w:color w:val="000000"/>
          <w:lang w:eastAsia="bg-BG"/>
        </w:rPr>
        <w:t xml:space="preserve">показва статистически значимо предимство на сорафениб спрямо плацебо за </w:t>
      </w:r>
      <w:r w:rsidRPr="000373DE">
        <w:rPr>
          <w:rFonts w:eastAsia="Times New Roman" w:cs="Arial"/>
          <w:color w:val="000000"/>
          <w:lang w:val="en-US"/>
        </w:rPr>
        <w:t xml:space="preserve">OS (HR: </w:t>
      </w:r>
      <w:r w:rsidRPr="000373DE">
        <w:rPr>
          <w:rFonts w:eastAsia="Times New Roman" w:cs="Arial"/>
          <w:color w:val="000000"/>
          <w:lang w:eastAsia="bg-BG"/>
        </w:rPr>
        <w:t>0,69, р=0,00058, вж. таблица 2).</w:t>
      </w:r>
    </w:p>
    <w:p w14:paraId="0169B36F" w14:textId="77777777" w:rsidR="000373DE" w:rsidRPr="000373DE" w:rsidRDefault="000373DE" w:rsidP="000373DE">
      <w:pPr>
        <w:spacing w:line="240" w:lineRule="auto"/>
        <w:rPr>
          <w:rFonts w:eastAsia="Times New Roman" w:cs="Arial"/>
          <w:color w:val="000000"/>
          <w:lang w:eastAsia="bg-BG"/>
        </w:rPr>
      </w:pPr>
    </w:p>
    <w:p w14:paraId="56C50FB7" w14:textId="4F155E26" w:rsidR="000373DE" w:rsidRPr="000373DE" w:rsidRDefault="000373DE" w:rsidP="000373DE">
      <w:pPr>
        <w:spacing w:line="240" w:lineRule="auto"/>
        <w:rPr>
          <w:rFonts w:eastAsia="Times New Roman" w:cs="Arial"/>
          <w:color w:val="000000"/>
          <w:lang w:eastAsia="bg-BG"/>
        </w:rPr>
      </w:pPr>
      <w:r w:rsidRPr="000373DE">
        <w:rPr>
          <w:rFonts w:eastAsia="Times New Roman" w:cs="Arial"/>
          <w:color w:val="000000"/>
          <w:lang w:eastAsia="bg-BG"/>
        </w:rPr>
        <w:t xml:space="preserve">Има ограничени данни от това проучване при пациенти с чернодробно увреждане </w:t>
      </w:r>
      <w:r w:rsidRPr="000373DE">
        <w:rPr>
          <w:rFonts w:eastAsia="Times New Roman" w:cs="Arial"/>
          <w:color w:val="000000"/>
          <w:lang w:val="en-US"/>
        </w:rPr>
        <w:t xml:space="preserve">Child Pugh B </w:t>
      </w:r>
      <w:r w:rsidRPr="000373DE">
        <w:rPr>
          <w:rFonts w:eastAsia="Times New Roman" w:cs="Arial"/>
          <w:color w:val="000000"/>
          <w:lang w:eastAsia="bg-BG"/>
        </w:rPr>
        <w:t xml:space="preserve">и е включен само един пациент с </w:t>
      </w:r>
      <w:r w:rsidRPr="000373DE">
        <w:rPr>
          <w:rFonts w:eastAsia="Times New Roman" w:cs="Arial"/>
          <w:color w:val="000000"/>
          <w:lang w:val="en-US"/>
        </w:rPr>
        <w:t xml:space="preserve">Child Pugh </w:t>
      </w:r>
      <w:r w:rsidRPr="000373DE">
        <w:rPr>
          <w:rFonts w:eastAsia="Times New Roman" w:cs="Arial"/>
          <w:color w:val="000000"/>
          <w:lang w:eastAsia="bg-BG"/>
        </w:rPr>
        <w:t>С.</w:t>
      </w:r>
    </w:p>
    <w:p w14:paraId="01C9B3D2" w14:textId="32044054" w:rsidR="000373DE" w:rsidRPr="000373DE" w:rsidRDefault="000373DE" w:rsidP="000373DE">
      <w:pPr>
        <w:spacing w:line="240" w:lineRule="auto"/>
        <w:rPr>
          <w:rFonts w:eastAsia="Times New Roman" w:cs="Arial"/>
          <w:color w:val="000000"/>
          <w:lang w:eastAsia="bg-BG"/>
        </w:rPr>
      </w:pPr>
    </w:p>
    <w:p w14:paraId="6824A378" w14:textId="51ECC5D9" w:rsidR="000373DE" w:rsidRDefault="000373DE" w:rsidP="000373DE">
      <w:pPr>
        <w:spacing w:line="240" w:lineRule="auto"/>
        <w:rPr>
          <w:rFonts w:cs="Arial"/>
          <w:b/>
          <w:bCs/>
        </w:rPr>
      </w:pPr>
      <w:r w:rsidRPr="000373DE">
        <w:rPr>
          <w:rFonts w:cs="Arial"/>
          <w:b/>
          <w:bCs/>
        </w:rPr>
        <w:t>Таблица 2: Резултати за ефикасност от проучване 3 (проучване 100554) при хепатоцелуларен карцином</w:t>
      </w:r>
    </w:p>
    <w:p w14:paraId="036EEC3A" w14:textId="5169311B" w:rsidR="000373DE" w:rsidRDefault="000373DE" w:rsidP="000373DE">
      <w:pPr>
        <w:spacing w:line="240" w:lineRule="auto"/>
        <w:rPr>
          <w:rFonts w:cs="Arial"/>
          <w:b/>
          <w:bCs/>
        </w:rPr>
      </w:pPr>
    </w:p>
    <w:tbl>
      <w:tblPr>
        <w:tblStyle w:val="TableGrid"/>
        <w:tblW w:w="0" w:type="auto"/>
        <w:tblLook w:val="04A0" w:firstRow="1" w:lastRow="0" w:firstColumn="1" w:lastColumn="0" w:noHBand="0" w:noVBand="1"/>
      </w:tblPr>
      <w:tblGrid>
        <w:gridCol w:w="1889"/>
        <w:gridCol w:w="1875"/>
        <w:gridCol w:w="1859"/>
        <w:gridCol w:w="1860"/>
        <w:gridCol w:w="1867"/>
      </w:tblGrid>
      <w:tr w:rsidR="000373DE" w14:paraId="618DA898" w14:textId="77777777" w:rsidTr="000373DE">
        <w:tc>
          <w:tcPr>
            <w:tcW w:w="1900" w:type="dxa"/>
          </w:tcPr>
          <w:p w14:paraId="0C6BD38C" w14:textId="764D415B" w:rsidR="000373DE" w:rsidRPr="000373DE" w:rsidRDefault="000373DE" w:rsidP="000373DE">
            <w:pPr>
              <w:spacing w:line="240" w:lineRule="auto"/>
              <w:rPr>
                <w:rFonts w:eastAsia="Times New Roman" w:cs="Arial"/>
                <w:lang w:eastAsia="bg-BG"/>
              </w:rPr>
            </w:pPr>
            <w:r w:rsidRPr="000373DE">
              <w:t>Параметър на ефикасност</w:t>
            </w:r>
          </w:p>
        </w:tc>
        <w:tc>
          <w:tcPr>
            <w:tcW w:w="1900" w:type="dxa"/>
          </w:tcPr>
          <w:p w14:paraId="1F9F5C61" w14:textId="0CD12A4F" w:rsidR="000373DE" w:rsidRPr="000373DE" w:rsidRDefault="000373DE" w:rsidP="000373DE">
            <w:pPr>
              <w:spacing w:line="240" w:lineRule="auto"/>
              <w:rPr>
                <w:rFonts w:eastAsia="Times New Roman" w:cs="Arial"/>
                <w:lang w:eastAsia="bg-BG"/>
              </w:rPr>
            </w:pPr>
            <w:r w:rsidRPr="000373DE">
              <w:t xml:space="preserve">Сорафениб </w:t>
            </w:r>
            <w:r w:rsidRPr="000373DE">
              <w:rPr>
                <w:lang w:val="en-US"/>
              </w:rPr>
              <w:t>(N=299)</w:t>
            </w:r>
          </w:p>
        </w:tc>
        <w:tc>
          <w:tcPr>
            <w:tcW w:w="1900" w:type="dxa"/>
          </w:tcPr>
          <w:p w14:paraId="3FA7C9C2" w14:textId="4F50E20E" w:rsidR="000373DE" w:rsidRPr="000373DE" w:rsidRDefault="000373DE" w:rsidP="000373DE">
            <w:pPr>
              <w:spacing w:line="240" w:lineRule="auto"/>
              <w:rPr>
                <w:rFonts w:eastAsia="Times New Roman" w:cs="Arial"/>
                <w:lang w:eastAsia="bg-BG"/>
              </w:rPr>
            </w:pPr>
            <w:r w:rsidRPr="000373DE">
              <w:t xml:space="preserve">Плацебо </w:t>
            </w:r>
            <w:r w:rsidRPr="000373DE">
              <w:rPr>
                <w:lang w:val="en-US"/>
              </w:rPr>
              <w:t>(N=303)</w:t>
            </w:r>
          </w:p>
        </w:tc>
        <w:tc>
          <w:tcPr>
            <w:tcW w:w="1900" w:type="dxa"/>
          </w:tcPr>
          <w:p w14:paraId="22F3ED1F" w14:textId="6CFD0641" w:rsidR="000373DE" w:rsidRPr="000373DE" w:rsidRDefault="000373DE" w:rsidP="000373DE">
            <w:pPr>
              <w:spacing w:line="240" w:lineRule="auto"/>
              <w:rPr>
                <w:rFonts w:eastAsia="Times New Roman" w:cs="Arial"/>
                <w:lang w:eastAsia="bg-BG"/>
              </w:rPr>
            </w:pPr>
            <w:r w:rsidRPr="000373DE">
              <w:t>Р-стойност</w:t>
            </w:r>
          </w:p>
        </w:tc>
        <w:tc>
          <w:tcPr>
            <w:tcW w:w="1900" w:type="dxa"/>
          </w:tcPr>
          <w:p w14:paraId="41E5DD48" w14:textId="77777777" w:rsidR="000373DE" w:rsidRPr="000373DE" w:rsidRDefault="000373DE" w:rsidP="000373DE">
            <w:r w:rsidRPr="000373DE">
              <w:rPr>
                <w:lang w:val="en-US"/>
              </w:rPr>
              <w:t>HR</w:t>
            </w:r>
          </w:p>
          <w:p w14:paraId="02DC8958" w14:textId="2A66DBC3" w:rsidR="000373DE" w:rsidRPr="000373DE" w:rsidRDefault="000373DE" w:rsidP="000373DE">
            <w:pPr>
              <w:spacing w:line="240" w:lineRule="auto"/>
              <w:rPr>
                <w:rFonts w:eastAsia="Times New Roman" w:cs="Arial"/>
                <w:lang w:eastAsia="bg-BG"/>
              </w:rPr>
            </w:pPr>
            <w:r w:rsidRPr="000373DE">
              <w:t xml:space="preserve">(95% </w:t>
            </w:r>
            <w:r w:rsidRPr="000373DE">
              <w:rPr>
                <w:lang w:val="en-US"/>
              </w:rPr>
              <w:t>CI)</w:t>
            </w:r>
          </w:p>
        </w:tc>
      </w:tr>
      <w:tr w:rsidR="000373DE" w14:paraId="0FCAE1F9" w14:textId="77777777" w:rsidTr="000373DE">
        <w:tc>
          <w:tcPr>
            <w:tcW w:w="1900" w:type="dxa"/>
          </w:tcPr>
          <w:p w14:paraId="4709A20E" w14:textId="77777777" w:rsidR="000373DE" w:rsidRPr="000373DE" w:rsidRDefault="000373DE" w:rsidP="000373DE">
            <w:r w:rsidRPr="000373DE">
              <w:t xml:space="preserve">Обща преживяемост </w:t>
            </w:r>
            <w:r w:rsidRPr="000373DE">
              <w:rPr>
                <w:lang w:val="en-US"/>
              </w:rPr>
              <w:t>(OS)</w:t>
            </w:r>
          </w:p>
          <w:p w14:paraId="1289AED5" w14:textId="579AC13C" w:rsidR="000373DE" w:rsidRPr="000373DE" w:rsidRDefault="000373DE" w:rsidP="000373DE">
            <w:pPr>
              <w:spacing w:line="240" w:lineRule="auto"/>
              <w:rPr>
                <w:rFonts w:eastAsia="Times New Roman" w:cs="Arial"/>
                <w:lang w:eastAsia="bg-BG"/>
              </w:rPr>
            </w:pPr>
            <w:r w:rsidRPr="000373DE">
              <w:t xml:space="preserve">[медиана, седмици (95% </w:t>
            </w:r>
            <w:r w:rsidRPr="000373DE">
              <w:rPr>
                <w:lang w:val="en-US"/>
              </w:rPr>
              <w:t>CI)]</w:t>
            </w:r>
          </w:p>
        </w:tc>
        <w:tc>
          <w:tcPr>
            <w:tcW w:w="1900" w:type="dxa"/>
          </w:tcPr>
          <w:p w14:paraId="4704E32A" w14:textId="66F405F1" w:rsidR="000373DE" w:rsidRPr="000373DE" w:rsidRDefault="000373DE" w:rsidP="000373DE">
            <w:pPr>
              <w:spacing w:line="240" w:lineRule="auto"/>
              <w:rPr>
                <w:rFonts w:eastAsia="Times New Roman" w:cs="Arial"/>
                <w:lang w:eastAsia="bg-BG"/>
              </w:rPr>
            </w:pPr>
            <w:r w:rsidRPr="000373DE">
              <w:t>46,3 (40,9, 57,9)</w:t>
            </w:r>
          </w:p>
        </w:tc>
        <w:tc>
          <w:tcPr>
            <w:tcW w:w="1900" w:type="dxa"/>
          </w:tcPr>
          <w:p w14:paraId="3A94E503" w14:textId="77777777" w:rsidR="000373DE" w:rsidRPr="000373DE" w:rsidRDefault="000373DE" w:rsidP="000373DE">
            <w:r w:rsidRPr="000373DE">
              <w:t>34,4</w:t>
            </w:r>
          </w:p>
          <w:p w14:paraId="218BAE88" w14:textId="7D228498" w:rsidR="000373DE" w:rsidRPr="000373DE" w:rsidRDefault="000373DE" w:rsidP="000373DE">
            <w:pPr>
              <w:spacing w:line="240" w:lineRule="auto"/>
              <w:rPr>
                <w:rFonts w:eastAsia="Times New Roman" w:cs="Arial"/>
                <w:lang w:eastAsia="bg-BG"/>
              </w:rPr>
            </w:pPr>
            <w:r w:rsidRPr="000373DE">
              <w:t>(29,4, 39,4)</w:t>
            </w:r>
          </w:p>
        </w:tc>
        <w:tc>
          <w:tcPr>
            <w:tcW w:w="1900" w:type="dxa"/>
          </w:tcPr>
          <w:p w14:paraId="06B35CF2" w14:textId="3045B9A0" w:rsidR="000373DE" w:rsidRPr="000373DE" w:rsidRDefault="000373DE" w:rsidP="000373DE">
            <w:pPr>
              <w:spacing w:line="240" w:lineRule="auto"/>
              <w:rPr>
                <w:rFonts w:eastAsia="Times New Roman" w:cs="Arial"/>
                <w:lang w:eastAsia="bg-BG"/>
              </w:rPr>
            </w:pPr>
            <w:r w:rsidRPr="000373DE">
              <w:t>0,00058*</w:t>
            </w:r>
          </w:p>
        </w:tc>
        <w:tc>
          <w:tcPr>
            <w:tcW w:w="1900" w:type="dxa"/>
          </w:tcPr>
          <w:p w14:paraId="7DEEF315" w14:textId="77777777" w:rsidR="000373DE" w:rsidRPr="000373DE" w:rsidRDefault="000373DE" w:rsidP="000373DE">
            <w:r w:rsidRPr="000373DE">
              <w:t>0,69</w:t>
            </w:r>
          </w:p>
          <w:p w14:paraId="2A01529C" w14:textId="52F0632A" w:rsidR="000373DE" w:rsidRPr="000373DE" w:rsidRDefault="000373DE" w:rsidP="000373DE">
            <w:pPr>
              <w:spacing w:line="240" w:lineRule="auto"/>
              <w:rPr>
                <w:rFonts w:eastAsia="Times New Roman" w:cs="Arial"/>
                <w:lang w:eastAsia="bg-BG"/>
              </w:rPr>
            </w:pPr>
            <w:r w:rsidRPr="000373DE">
              <w:t>(0,55, 0,87)</w:t>
            </w:r>
          </w:p>
        </w:tc>
      </w:tr>
      <w:tr w:rsidR="000373DE" w14:paraId="30484BBA" w14:textId="77777777" w:rsidTr="000373DE">
        <w:tc>
          <w:tcPr>
            <w:tcW w:w="1900" w:type="dxa"/>
          </w:tcPr>
          <w:p w14:paraId="754BC2E1" w14:textId="6B1929E2" w:rsidR="000373DE" w:rsidRPr="000373DE" w:rsidRDefault="000373DE" w:rsidP="000373DE">
            <w:pPr>
              <w:spacing w:line="240" w:lineRule="auto"/>
              <w:rPr>
                <w:rFonts w:eastAsia="Times New Roman" w:cs="Arial"/>
                <w:lang w:eastAsia="bg-BG"/>
              </w:rPr>
            </w:pPr>
            <w:r w:rsidRPr="000373DE">
              <w:t xml:space="preserve">Време до прогресия (ТТР) [медиана, седмици (95% </w:t>
            </w:r>
            <w:r w:rsidRPr="000373DE">
              <w:rPr>
                <w:lang w:val="en-US"/>
              </w:rPr>
              <w:t>CI)]**</w:t>
            </w:r>
          </w:p>
        </w:tc>
        <w:tc>
          <w:tcPr>
            <w:tcW w:w="1900" w:type="dxa"/>
          </w:tcPr>
          <w:p w14:paraId="76801F21" w14:textId="3F68A4F5" w:rsidR="000373DE" w:rsidRPr="000373DE" w:rsidRDefault="000373DE" w:rsidP="000373DE">
            <w:pPr>
              <w:spacing w:line="240" w:lineRule="auto"/>
              <w:rPr>
                <w:rFonts w:eastAsia="Times New Roman" w:cs="Arial"/>
                <w:lang w:eastAsia="bg-BG"/>
              </w:rPr>
            </w:pPr>
            <w:r w:rsidRPr="000373DE">
              <w:t>24,0 (18,0, 30.0)</w:t>
            </w:r>
          </w:p>
        </w:tc>
        <w:tc>
          <w:tcPr>
            <w:tcW w:w="1900" w:type="dxa"/>
          </w:tcPr>
          <w:p w14:paraId="2C8D2D89" w14:textId="77777777" w:rsidR="000373DE" w:rsidRPr="000373DE" w:rsidRDefault="000373DE" w:rsidP="000373DE">
            <w:r w:rsidRPr="000373DE">
              <w:t>12,3</w:t>
            </w:r>
          </w:p>
          <w:p w14:paraId="2C373CAF" w14:textId="3F18B524" w:rsidR="000373DE" w:rsidRPr="000373DE" w:rsidRDefault="000373DE" w:rsidP="000373DE">
            <w:pPr>
              <w:spacing w:line="240" w:lineRule="auto"/>
              <w:rPr>
                <w:rFonts w:eastAsia="Times New Roman" w:cs="Arial"/>
                <w:lang w:eastAsia="bg-BG"/>
              </w:rPr>
            </w:pPr>
            <w:r w:rsidRPr="000373DE">
              <w:t>(11,7, 17,1)</w:t>
            </w:r>
          </w:p>
        </w:tc>
        <w:tc>
          <w:tcPr>
            <w:tcW w:w="1900" w:type="dxa"/>
          </w:tcPr>
          <w:p w14:paraId="5E1FDD9D" w14:textId="31E9EDC9" w:rsidR="000373DE" w:rsidRPr="000373DE" w:rsidRDefault="000373DE" w:rsidP="000373DE">
            <w:pPr>
              <w:spacing w:line="240" w:lineRule="auto"/>
              <w:rPr>
                <w:rFonts w:eastAsia="Times New Roman" w:cs="Arial"/>
                <w:lang w:eastAsia="bg-BG"/>
              </w:rPr>
            </w:pPr>
            <w:r w:rsidRPr="000373DE">
              <w:t>0,000007</w:t>
            </w:r>
          </w:p>
        </w:tc>
        <w:tc>
          <w:tcPr>
            <w:tcW w:w="1900" w:type="dxa"/>
          </w:tcPr>
          <w:p w14:paraId="0785BA4A" w14:textId="76540B56" w:rsidR="000373DE" w:rsidRPr="000373DE" w:rsidRDefault="000373DE" w:rsidP="000373DE">
            <w:pPr>
              <w:spacing w:line="240" w:lineRule="auto"/>
              <w:rPr>
                <w:rFonts w:eastAsia="Times New Roman" w:cs="Arial"/>
                <w:lang w:eastAsia="bg-BG"/>
              </w:rPr>
            </w:pPr>
            <w:r w:rsidRPr="000373DE">
              <w:t>0,58 (0,45,0,74)</w:t>
            </w:r>
          </w:p>
        </w:tc>
      </w:tr>
    </w:tbl>
    <w:p w14:paraId="4D449CFF"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С</w:t>
      </w:r>
      <w:r w:rsidRPr="000373DE">
        <w:rPr>
          <w:rFonts w:eastAsia="Times New Roman" w:cs="Arial"/>
          <w:color w:val="000000"/>
          <w:lang w:val="en-US"/>
        </w:rPr>
        <w:t>I</w:t>
      </w:r>
      <w:r w:rsidRPr="000373DE">
        <w:rPr>
          <w:rFonts w:eastAsia="Times New Roman" w:cs="Arial"/>
          <w:color w:val="000000"/>
          <w:lang w:eastAsia="bg-BG"/>
        </w:rPr>
        <w:t xml:space="preserve">=доверителен интервал, </w:t>
      </w:r>
      <w:r w:rsidRPr="000373DE">
        <w:rPr>
          <w:rFonts w:eastAsia="Times New Roman" w:cs="Arial"/>
          <w:color w:val="000000"/>
          <w:lang w:val="en-US"/>
        </w:rPr>
        <w:t>HR</w:t>
      </w:r>
      <w:r w:rsidRPr="000373DE">
        <w:rPr>
          <w:rFonts w:eastAsia="Times New Roman" w:cs="Arial"/>
          <w:color w:val="000000"/>
          <w:lang w:eastAsia="bg-BG"/>
        </w:rPr>
        <w:t>=коефициент на риск (сорафениб спрямо плацебо)</w:t>
      </w:r>
    </w:p>
    <w:p w14:paraId="5C47BD99" w14:textId="29B69DED"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*статистически значимо като р-стойността е под предварително определената </w:t>
      </w:r>
      <w:r w:rsidRPr="000373DE">
        <w:rPr>
          <w:rFonts w:eastAsia="Times New Roman" w:cs="Arial"/>
          <w:color w:val="000000"/>
          <w:lang w:val="en-US"/>
        </w:rPr>
        <w:t xml:space="preserve">O’Brien Fleming </w:t>
      </w:r>
      <w:r w:rsidRPr="000373DE">
        <w:rPr>
          <w:rFonts w:eastAsia="Times New Roman" w:cs="Arial"/>
          <w:color w:val="000000"/>
          <w:lang w:eastAsia="bg-BG"/>
        </w:rPr>
        <w:t>гранична стойност от 0,0077</w:t>
      </w:r>
    </w:p>
    <w:p w14:paraId="4741840D" w14:textId="0BBE9714"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независим радиологичен преглед</w:t>
      </w:r>
    </w:p>
    <w:p w14:paraId="3471C5D0" w14:textId="77777777" w:rsidR="000373DE" w:rsidRPr="000373DE" w:rsidRDefault="000373DE" w:rsidP="000373DE">
      <w:pPr>
        <w:spacing w:line="240" w:lineRule="auto"/>
        <w:rPr>
          <w:rFonts w:eastAsia="Times New Roman" w:cs="Arial"/>
          <w:color w:val="000000"/>
          <w:lang w:eastAsia="bg-BG"/>
        </w:rPr>
      </w:pPr>
    </w:p>
    <w:p w14:paraId="3773CF06" w14:textId="4379D874"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Второ фаза III, международно, многоцентрово, рандомизирано, двойносляпо, плацебо- контролирано проучване (Проучване 4, 11849), което оценява клиничната полза от сорафениб при 226 пациенти с напреднал хепатоцелуларен карцином. Проучването е проведено в Китай, Корея и Тайван и потвърждава резултатите от Проучване 3 по отношение на благоприятното съотношение полза-риск на сорафениб </w:t>
      </w:r>
      <w:r w:rsidRPr="000373DE">
        <w:rPr>
          <w:rFonts w:eastAsia="Times New Roman" w:cs="Arial"/>
          <w:color w:val="000000"/>
          <w:lang w:val="en-US"/>
        </w:rPr>
        <w:t xml:space="preserve">(HR (OS): </w:t>
      </w:r>
      <w:r w:rsidRPr="000373DE">
        <w:rPr>
          <w:rFonts w:eastAsia="Times New Roman" w:cs="Arial"/>
          <w:color w:val="000000"/>
          <w:lang w:eastAsia="bg-BG"/>
        </w:rPr>
        <w:t>0,68, р=0,01414).</w:t>
      </w:r>
    </w:p>
    <w:p w14:paraId="5EFA756F" w14:textId="77777777" w:rsidR="000373DE" w:rsidRPr="000373DE" w:rsidRDefault="000373DE" w:rsidP="000373DE">
      <w:pPr>
        <w:spacing w:line="240" w:lineRule="auto"/>
        <w:rPr>
          <w:rFonts w:eastAsia="Times New Roman" w:cs="Arial"/>
          <w:color w:val="000000"/>
          <w:lang w:eastAsia="bg-BG"/>
        </w:rPr>
      </w:pPr>
    </w:p>
    <w:p w14:paraId="70D9ED06" w14:textId="5DD567C2"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В предварително определените стратификационни фактори </w:t>
      </w:r>
      <w:r w:rsidRPr="000373DE">
        <w:rPr>
          <w:rFonts w:eastAsia="Times New Roman" w:cs="Arial"/>
          <w:color w:val="000000"/>
          <w:lang w:val="en-US"/>
        </w:rPr>
        <w:t xml:space="preserve">(ECOG </w:t>
      </w:r>
      <w:r w:rsidRPr="000373DE">
        <w:rPr>
          <w:rFonts w:eastAsia="Times New Roman" w:cs="Arial"/>
          <w:color w:val="000000"/>
          <w:lang w:eastAsia="bg-BG"/>
        </w:rPr>
        <w:t xml:space="preserve">статус, наличие или отсъствие на макроскопска съдова инвазия и/или разпространение на тумора извън черния дроб) на Проучване 3 и Проучване 4, </w:t>
      </w:r>
      <w:r w:rsidRPr="000373DE">
        <w:rPr>
          <w:rFonts w:eastAsia="Times New Roman" w:cs="Arial"/>
          <w:color w:val="000000"/>
          <w:lang w:val="en-US"/>
        </w:rPr>
        <w:t xml:space="preserve">HR </w:t>
      </w:r>
      <w:r w:rsidRPr="000373DE">
        <w:rPr>
          <w:rFonts w:eastAsia="Times New Roman" w:cs="Arial"/>
          <w:color w:val="000000"/>
          <w:lang w:eastAsia="bg-BG"/>
        </w:rPr>
        <w:t>постоянно представя значително по-добрите резултати на сорафениб спрямо плацебо, Експлоаторният анализ на подгрупата показва по-слабо изразен ефект от лечението при пациенти с отдалечени метастази в изходното ниво на заболяването.</w:t>
      </w:r>
    </w:p>
    <w:p w14:paraId="1FDB3085" w14:textId="77777777" w:rsidR="000373DE" w:rsidRPr="000373DE" w:rsidRDefault="000373DE" w:rsidP="000373DE">
      <w:pPr>
        <w:spacing w:line="240" w:lineRule="auto"/>
        <w:rPr>
          <w:rFonts w:eastAsia="Times New Roman" w:cs="Arial"/>
          <w:color w:val="000000"/>
          <w:u w:val="single"/>
          <w:lang w:eastAsia="bg-BG"/>
        </w:rPr>
      </w:pPr>
    </w:p>
    <w:p w14:paraId="7366E2D5" w14:textId="49781C1C"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Бъбречно-клетъчен карцином</w:t>
      </w:r>
    </w:p>
    <w:p w14:paraId="77096129" w14:textId="77777777" w:rsidR="000373DE" w:rsidRPr="000373DE" w:rsidRDefault="000373DE" w:rsidP="000373DE">
      <w:pPr>
        <w:spacing w:line="240" w:lineRule="auto"/>
        <w:rPr>
          <w:rFonts w:eastAsia="Times New Roman" w:cs="Arial"/>
          <w:color w:val="000000"/>
          <w:lang w:eastAsia="bg-BG"/>
        </w:rPr>
      </w:pPr>
    </w:p>
    <w:p w14:paraId="4D18F5B2" w14:textId="36E129B2"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Безопасността и ефикасността на сорафениб при лечението на бъбречно-клетъчен карцином </w:t>
      </w:r>
      <w:r w:rsidRPr="000373DE">
        <w:rPr>
          <w:rFonts w:eastAsia="Times New Roman" w:cs="Arial"/>
          <w:color w:val="000000"/>
          <w:lang w:val="en-US"/>
        </w:rPr>
        <w:t xml:space="preserve">(RCC) </w:t>
      </w:r>
      <w:r w:rsidRPr="000373DE">
        <w:rPr>
          <w:rFonts w:eastAsia="Times New Roman" w:cs="Arial"/>
          <w:color w:val="000000"/>
          <w:lang w:eastAsia="bg-BG"/>
        </w:rPr>
        <w:t>в напреднал стадий е проучвана в следните две клинични проучвания:</w:t>
      </w:r>
    </w:p>
    <w:p w14:paraId="08E21D40" w14:textId="77777777" w:rsidR="000373DE" w:rsidRPr="000373DE" w:rsidRDefault="000373DE" w:rsidP="000373DE">
      <w:pPr>
        <w:spacing w:line="240" w:lineRule="auto"/>
        <w:rPr>
          <w:rFonts w:eastAsia="Times New Roman" w:cs="Arial"/>
          <w:color w:val="000000"/>
          <w:lang w:eastAsia="bg-BG"/>
        </w:rPr>
      </w:pPr>
    </w:p>
    <w:p w14:paraId="5196924B" w14:textId="3DE15762"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Проучване 1 (проучване 11213) е фаза III многоцентрово, рандомизирано, двойно сляпо, плацебо- контролирано проучване с 903 пациенти. Включени са само пациентите с ясен бъбречно клетъчен карцином и нисък и междинен риск </w:t>
      </w:r>
      <w:r w:rsidRPr="000373DE">
        <w:rPr>
          <w:rFonts w:eastAsia="Times New Roman" w:cs="Arial"/>
          <w:color w:val="000000"/>
          <w:lang w:val="en-US"/>
        </w:rPr>
        <w:t xml:space="preserve">MSKCC (Memorial Sloan Kettering Cancer Center). </w:t>
      </w:r>
      <w:r w:rsidRPr="000373DE">
        <w:rPr>
          <w:rFonts w:eastAsia="Times New Roman" w:cs="Arial"/>
          <w:color w:val="000000"/>
          <w:lang w:eastAsia="bg-BG"/>
        </w:rPr>
        <w:t xml:space="preserve">Основните крайни цели са общата преживяемост и преживяемост без прогресиране </w:t>
      </w:r>
      <w:r w:rsidRPr="000373DE">
        <w:rPr>
          <w:rFonts w:eastAsia="Times New Roman" w:cs="Arial"/>
          <w:color w:val="000000"/>
          <w:lang w:val="en-US"/>
        </w:rPr>
        <w:t>(PFS).</w:t>
      </w:r>
    </w:p>
    <w:p w14:paraId="18771EEA"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Приблизително половината от пациентите имат </w:t>
      </w:r>
      <w:r w:rsidRPr="000373DE">
        <w:rPr>
          <w:rFonts w:eastAsia="Times New Roman" w:cs="Arial"/>
          <w:color w:val="000000"/>
          <w:lang w:val="en-US"/>
        </w:rPr>
        <w:t xml:space="preserve">ECOG </w:t>
      </w:r>
      <w:r w:rsidRPr="000373DE">
        <w:rPr>
          <w:rFonts w:eastAsia="Times New Roman" w:cs="Arial"/>
          <w:color w:val="000000"/>
          <w:lang w:eastAsia="bg-BG"/>
        </w:rPr>
        <w:t xml:space="preserve">статус 0 и половината от пациентите са били в нисък риск </w:t>
      </w:r>
      <w:r w:rsidRPr="000373DE">
        <w:rPr>
          <w:rFonts w:eastAsia="Times New Roman" w:cs="Arial"/>
          <w:color w:val="000000"/>
          <w:lang w:val="en-US"/>
        </w:rPr>
        <w:t xml:space="preserve">MSKCC </w:t>
      </w:r>
      <w:r w:rsidRPr="000373DE">
        <w:rPr>
          <w:rFonts w:eastAsia="Times New Roman" w:cs="Arial"/>
          <w:color w:val="000000"/>
          <w:lang w:eastAsia="bg-BG"/>
        </w:rPr>
        <w:t>прогностична група.</w:t>
      </w:r>
    </w:p>
    <w:p w14:paraId="2CE9BE6A"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val="en-US"/>
        </w:rPr>
        <w:t xml:space="preserve">PFS </w:t>
      </w:r>
      <w:r w:rsidRPr="000373DE">
        <w:rPr>
          <w:rFonts w:eastAsia="Times New Roman" w:cs="Arial"/>
          <w:color w:val="000000"/>
          <w:lang w:eastAsia="bg-BG"/>
        </w:rPr>
        <w:t xml:space="preserve">е оценен чрез сляп независим радиологичен преглед, като са използвани критерии </w:t>
      </w:r>
      <w:r w:rsidRPr="000373DE">
        <w:rPr>
          <w:rFonts w:eastAsia="Times New Roman" w:cs="Arial"/>
          <w:color w:val="000000"/>
          <w:lang w:val="en-US"/>
        </w:rPr>
        <w:t>RECIST.</w:t>
      </w:r>
    </w:p>
    <w:p w14:paraId="1E3AC652"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val="en-US"/>
        </w:rPr>
        <w:t xml:space="preserve">PFS </w:t>
      </w:r>
      <w:r w:rsidRPr="000373DE">
        <w:rPr>
          <w:rFonts w:eastAsia="Times New Roman" w:cs="Arial"/>
          <w:color w:val="000000"/>
          <w:lang w:eastAsia="bg-BG"/>
        </w:rPr>
        <w:t xml:space="preserve">анализ е проведен на 342 случая при 769 пациенти. Медианата на </w:t>
      </w:r>
      <w:r w:rsidRPr="000373DE">
        <w:rPr>
          <w:rFonts w:eastAsia="Times New Roman" w:cs="Arial"/>
          <w:color w:val="000000"/>
          <w:lang w:val="en-US"/>
        </w:rPr>
        <w:t xml:space="preserve">PFS </w:t>
      </w:r>
      <w:r w:rsidRPr="000373DE">
        <w:rPr>
          <w:rFonts w:eastAsia="Times New Roman" w:cs="Arial"/>
          <w:color w:val="000000"/>
          <w:lang w:eastAsia="bg-BG"/>
        </w:rPr>
        <w:t xml:space="preserve">е 167 дни при пациентите, рандомизирани на сорафениб, в сравнение до 84 дни при пациентите на плацебо </w:t>
      </w:r>
      <w:r w:rsidRPr="000373DE">
        <w:rPr>
          <w:rFonts w:eastAsia="Times New Roman" w:cs="Arial"/>
          <w:color w:val="000000"/>
          <w:lang w:val="en-US"/>
        </w:rPr>
        <w:t>(HR =</w:t>
      </w:r>
      <w:r w:rsidRPr="000373DE">
        <w:rPr>
          <w:rFonts w:eastAsia="Times New Roman" w:cs="Arial"/>
          <w:color w:val="000000"/>
          <w:lang w:eastAsia="bg-BG"/>
        </w:rPr>
        <w:t xml:space="preserve">0,44; 95% </w:t>
      </w:r>
      <w:r w:rsidRPr="000373DE">
        <w:rPr>
          <w:rFonts w:eastAsia="Times New Roman" w:cs="Arial"/>
          <w:color w:val="000000"/>
          <w:lang w:val="en-US"/>
        </w:rPr>
        <w:t xml:space="preserve">CI: </w:t>
      </w:r>
      <w:r w:rsidRPr="000373DE">
        <w:rPr>
          <w:rFonts w:eastAsia="Times New Roman" w:cs="Arial"/>
          <w:color w:val="000000"/>
          <w:lang w:eastAsia="bg-BG"/>
        </w:rPr>
        <w:t xml:space="preserve">0,35 - 0,55; р&lt;0,000001). Възрастта, </w:t>
      </w:r>
      <w:r w:rsidRPr="000373DE">
        <w:rPr>
          <w:rFonts w:eastAsia="Times New Roman" w:cs="Arial"/>
          <w:color w:val="000000"/>
          <w:lang w:val="en-US"/>
        </w:rPr>
        <w:t xml:space="preserve">MSKCC </w:t>
      </w:r>
      <w:r w:rsidRPr="000373DE">
        <w:rPr>
          <w:rFonts w:eastAsia="Times New Roman" w:cs="Arial"/>
          <w:color w:val="000000"/>
          <w:lang w:eastAsia="bg-BG"/>
        </w:rPr>
        <w:t xml:space="preserve">прогностична група, </w:t>
      </w:r>
      <w:r w:rsidRPr="000373DE">
        <w:rPr>
          <w:rFonts w:eastAsia="Times New Roman" w:cs="Arial"/>
          <w:color w:val="000000"/>
          <w:lang w:val="en-US"/>
        </w:rPr>
        <w:t xml:space="preserve">ECOG PS </w:t>
      </w:r>
      <w:r w:rsidRPr="000373DE">
        <w:rPr>
          <w:rFonts w:eastAsia="Times New Roman" w:cs="Arial"/>
          <w:color w:val="000000"/>
          <w:lang w:eastAsia="bg-BG"/>
        </w:rPr>
        <w:t>и първичната терапия не повлияват ефекта от лечение.</w:t>
      </w:r>
    </w:p>
    <w:p w14:paraId="4F31E118" w14:textId="77777777" w:rsidR="000373DE" w:rsidRPr="000373DE" w:rsidRDefault="000373DE" w:rsidP="000373DE">
      <w:pPr>
        <w:spacing w:line="240" w:lineRule="auto"/>
        <w:rPr>
          <w:rFonts w:eastAsia="Times New Roman" w:cs="Arial"/>
          <w:color w:val="000000"/>
          <w:lang w:eastAsia="bg-BG"/>
        </w:rPr>
      </w:pPr>
    </w:p>
    <w:p w14:paraId="1DDE5E59" w14:textId="77777777" w:rsidR="000373DE" w:rsidRPr="000373DE" w:rsidRDefault="000373DE" w:rsidP="000373DE">
      <w:pPr>
        <w:rPr>
          <w:rFonts w:eastAsia="Times New Roman" w:cs="Arial"/>
          <w:sz w:val="28"/>
          <w:szCs w:val="28"/>
          <w:lang w:eastAsia="bg-BG"/>
        </w:rPr>
      </w:pPr>
      <w:r w:rsidRPr="000373DE">
        <w:rPr>
          <w:rFonts w:eastAsia="Times New Roman" w:cs="Arial"/>
          <w:color w:val="000000"/>
          <w:lang w:eastAsia="bg-BG"/>
        </w:rPr>
        <w:t>Междинен анализ (втори междинен анализ) за цялостна преживяемост е проведен при 367 смъртни случаи при 903 пациенти. Номиналната алфа стойност за този анализ е</w:t>
      </w:r>
      <w:r w:rsidRPr="000373DE">
        <w:rPr>
          <w:rFonts w:eastAsia="Times New Roman" w:cs="Arial"/>
          <w:color w:val="000000"/>
          <w:lang w:val="en-US"/>
        </w:rPr>
        <w:t xml:space="preserve"> </w:t>
      </w:r>
      <w:r w:rsidRPr="000373DE">
        <w:rPr>
          <w:rFonts w:eastAsia="Times New Roman" w:cs="Arial"/>
          <w:color w:val="000000"/>
          <w:lang w:eastAsia="bg-BG"/>
        </w:rPr>
        <w:t>била 0,0094 Медианата на преживяемост е 19,3 месеца при пациенти, рандомизирани към сорафениб в</w:t>
      </w:r>
      <w:r w:rsidRPr="000373DE">
        <w:rPr>
          <w:rFonts w:eastAsia="Times New Roman" w:cs="Arial"/>
          <w:i/>
          <w:iCs/>
          <w:color w:val="000000"/>
          <w:lang w:eastAsia="bg-BG"/>
        </w:rPr>
        <w:t xml:space="preserve"> </w:t>
      </w:r>
      <w:r w:rsidRPr="000373DE">
        <w:rPr>
          <w:rFonts w:eastAsia="Times New Roman" w:cs="Arial"/>
          <w:color w:val="000000"/>
          <w:lang w:eastAsia="bg-BG"/>
        </w:rPr>
        <w:t xml:space="preserve">сравнение с 15,9 месеца при пациентите на плацебо </w:t>
      </w:r>
      <w:r w:rsidRPr="000373DE">
        <w:rPr>
          <w:rFonts w:eastAsia="Times New Roman" w:cs="Arial"/>
          <w:color w:val="000000"/>
          <w:lang w:val="en-US"/>
        </w:rPr>
        <w:t xml:space="preserve">(HR </w:t>
      </w:r>
      <w:r w:rsidRPr="000373DE">
        <w:rPr>
          <w:rFonts w:eastAsia="Times New Roman" w:cs="Arial"/>
          <w:color w:val="000000"/>
          <w:lang w:eastAsia="bg-BG"/>
        </w:rPr>
        <w:t xml:space="preserve">= 0,77; 95% </w:t>
      </w:r>
      <w:r w:rsidRPr="000373DE">
        <w:rPr>
          <w:rFonts w:eastAsia="Times New Roman" w:cs="Arial"/>
          <w:color w:val="000000"/>
          <w:lang w:val="en-US"/>
        </w:rPr>
        <w:t xml:space="preserve">CI: </w:t>
      </w:r>
      <w:r w:rsidRPr="000373DE">
        <w:rPr>
          <w:rFonts w:eastAsia="Times New Roman" w:cs="Arial"/>
          <w:color w:val="000000"/>
          <w:lang w:eastAsia="bg-BG"/>
        </w:rPr>
        <w:t xml:space="preserve">0,63 - </w:t>
      </w:r>
      <w:r w:rsidRPr="000373DE">
        <w:rPr>
          <w:rFonts w:eastAsia="Times New Roman" w:cs="Arial"/>
          <w:color w:val="000000"/>
          <w:lang w:val="en-US"/>
        </w:rPr>
        <w:t>0,95;</w:t>
      </w:r>
      <w:r w:rsidRPr="000373DE">
        <w:rPr>
          <w:rFonts w:eastAsia="Times New Roman" w:cs="Arial"/>
          <w:color w:val="000000"/>
          <w:lang w:eastAsia="bg-BG"/>
        </w:rPr>
        <w:t xml:space="preserve"> </w:t>
      </w:r>
      <w:r w:rsidRPr="000373DE">
        <w:rPr>
          <w:rFonts w:eastAsia="Times New Roman" w:cs="Arial"/>
          <w:color w:val="000000"/>
          <w:lang w:val="en-US"/>
        </w:rPr>
        <w:t xml:space="preserve">p&lt;0,015). </w:t>
      </w:r>
      <w:r w:rsidRPr="000373DE">
        <w:rPr>
          <w:rFonts w:eastAsia="Times New Roman" w:cs="Arial"/>
          <w:color w:val="000000"/>
          <w:lang w:eastAsia="bg-BG"/>
        </w:rPr>
        <w:t>По</w:t>
      </w:r>
      <w:r w:rsidRPr="000373DE">
        <w:rPr>
          <w:rFonts w:eastAsia="Times New Roman" w:cs="Arial"/>
          <w:color w:val="000000"/>
          <w:lang w:val="en-US" w:eastAsia="bg-BG"/>
        </w:rPr>
        <w:t xml:space="preserve"> </w:t>
      </w:r>
      <w:r w:rsidRPr="000373DE">
        <w:rPr>
          <w:rFonts w:eastAsia="Times New Roman" w:cs="Arial"/>
          <w:color w:val="000000"/>
          <w:lang w:eastAsia="bg-BG"/>
        </w:rPr>
        <w:t>време на този анализ около 200 пациенти от плацебо групата са преминали към групата със сорафениб.</w:t>
      </w:r>
    </w:p>
    <w:p w14:paraId="6525D834" w14:textId="77777777" w:rsidR="000373DE" w:rsidRPr="000373DE" w:rsidRDefault="000373DE" w:rsidP="000373DE">
      <w:pPr>
        <w:spacing w:line="240" w:lineRule="auto"/>
        <w:rPr>
          <w:rFonts w:eastAsia="Times New Roman" w:cs="Arial"/>
          <w:color w:val="000000"/>
          <w:lang w:eastAsia="bg-BG"/>
        </w:rPr>
      </w:pPr>
    </w:p>
    <w:p w14:paraId="76D630DB" w14:textId="746BC30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Проучване 2 е фаза II рандомизирано, с прекъсване проучване при пациенти с метастатични малигнени заболявания, включително </w:t>
      </w:r>
      <w:r w:rsidRPr="000373DE">
        <w:rPr>
          <w:rFonts w:eastAsia="Times New Roman" w:cs="Arial"/>
          <w:color w:val="000000"/>
          <w:lang w:val="en-US"/>
        </w:rPr>
        <w:t xml:space="preserve">RCC. </w:t>
      </w:r>
      <w:r w:rsidRPr="000373DE">
        <w:rPr>
          <w:rFonts w:eastAsia="Times New Roman" w:cs="Arial"/>
          <w:color w:val="000000"/>
          <w:lang w:eastAsia="bg-BG"/>
        </w:rPr>
        <w:t>Пациентите със стабилизирано заболяване и лечение с сорафениб са рандомизирани на плацебо или продължават лечението със сорафениб.</w:t>
      </w:r>
    </w:p>
    <w:p w14:paraId="121D2810"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Преживяемостта без прогресиране на болестта при пациенти с </w:t>
      </w:r>
      <w:r w:rsidRPr="000373DE">
        <w:rPr>
          <w:rFonts w:eastAsia="Times New Roman" w:cs="Arial"/>
          <w:color w:val="000000"/>
          <w:lang w:val="en-US"/>
        </w:rPr>
        <w:t xml:space="preserve">RCC </w:t>
      </w:r>
      <w:r w:rsidRPr="000373DE">
        <w:rPr>
          <w:rFonts w:eastAsia="Times New Roman" w:cs="Arial"/>
          <w:color w:val="000000"/>
          <w:lang w:eastAsia="bg-BG"/>
        </w:rPr>
        <w:t xml:space="preserve">е била значително по- продължителна в групата на сорафениб (163 дни), отколкото в плацебо групата (41 дни) (р=0,0001, </w:t>
      </w:r>
      <w:r w:rsidRPr="000373DE">
        <w:rPr>
          <w:rFonts w:eastAsia="Times New Roman" w:cs="Arial"/>
          <w:color w:val="000000"/>
          <w:lang w:val="en-US"/>
        </w:rPr>
        <w:t xml:space="preserve">HR </w:t>
      </w:r>
      <w:r w:rsidRPr="000373DE">
        <w:rPr>
          <w:rFonts w:eastAsia="Times New Roman" w:cs="Arial"/>
          <w:color w:val="000000"/>
          <w:lang w:eastAsia="bg-BG"/>
        </w:rPr>
        <w:t>= 0,29).</w:t>
      </w:r>
    </w:p>
    <w:p w14:paraId="1FD61EE4" w14:textId="77777777" w:rsidR="000373DE" w:rsidRPr="000373DE" w:rsidRDefault="000373DE" w:rsidP="000373DE">
      <w:pPr>
        <w:spacing w:line="240" w:lineRule="auto"/>
        <w:rPr>
          <w:rFonts w:eastAsia="Times New Roman" w:cs="Arial"/>
          <w:color w:val="000000"/>
          <w:u w:val="single"/>
          <w:lang w:eastAsia="bg-BG"/>
        </w:rPr>
      </w:pPr>
    </w:p>
    <w:p w14:paraId="0396B3E0" w14:textId="0BD9065F"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Удължаване на ОТ интервала</w:t>
      </w:r>
    </w:p>
    <w:p w14:paraId="477F457B"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В клинично фармакологично проучване са документирани измерванията на </w:t>
      </w:r>
      <w:r w:rsidRPr="000373DE">
        <w:rPr>
          <w:rFonts w:eastAsia="Times New Roman" w:cs="Arial"/>
          <w:color w:val="000000"/>
          <w:lang w:val="en-US"/>
        </w:rPr>
        <w:t xml:space="preserve">QT/QTc </w:t>
      </w:r>
      <w:r w:rsidRPr="000373DE">
        <w:rPr>
          <w:rFonts w:eastAsia="Times New Roman" w:cs="Arial"/>
          <w:color w:val="000000"/>
          <w:lang w:eastAsia="bg-BG"/>
        </w:rPr>
        <w:t xml:space="preserve">при 31 пациенти на изходно ниво (преди лечение) и след лечението. След един 28-дневен цикъл на лечение, в момента на максимална концентрация на сорафениб, </w:t>
      </w:r>
      <w:r w:rsidRPr="000373DE">
        <w:rPr>
          <w:rFonts w:eastAsia="Times New Roman" w:cs="Arial"/>
          <w:color w:val="000000"/>
          <w:lang w:val="en-US"/>
        </w:rPr>
        <w:t xml:space="preserve">QTcB </w:t>
      </w:r>
      <w:r w:rsidRPr="000373DE">
        <w:rPr>
          <w:rFonts w:eastAsia="Times New Roman" w:cs="Arial"/>
          <w:color w:val="000000"/>
          <w:lang w:eastAsia="bg-BG"/>
        </w:rPr>
        <w:t xml:space="preserve">е удължен с 4 ± 19 </w:t>
      </w:r>
      <w:r w:rsidRPr="000373DE">
        <w:rPr>
          <w:rFonts w:eastAsia="Times New Roman" w:cs="Arial"/>
          <w:color w:val="000000"/>
          <w:lang w:val="en-US"/>
        </w:rPr>
        <w:t xml:space="preserve">msec </w:t>
      </w:r>
      <w:r w:rsidRPr="000373DE">
        <w:rPr>
          <w:rFonts w:eastAsia="Times New Roman" w:cs="Arial"/>
          <w:color w:val="000000"/>
          <w:lang w:eastAsia="bg-BG"/>
        </w:rPr>
        <w:t xml:space="preserve">и </w:t>
      </w:r>
      <w:r w:rsidRPr="000373DE">
        <w:rPr>
          <w:rFonts w:eastAsia="Times New Roman" w:cs="Arial"/>
          <w:color w:val="000000"/>
          <w:lang w:val="en-US"/>
        </w:rPr>
        <w:t xml:space="preserve">QTcF </w:t>
      </w:r>
      <w:r w:rsidRPr="000373DE">
        <w:rPr>
          <w:rFonts w:eastAsia="Times New Roman" w:cs="Arial"/>
          <w:color w:val="000000"/>
          <w:lang w:eastAsia="bg-BG"/>
        </w:rPr>
        <w:t xml:space="preserve">с 9 ± 18 </w:t>
      </w:r>
      <w:r w:rsidRPr="000373DE">
        <w:rPr>
          <w:rFonts w:eastAsia="Times New Roman" w:cs="Arial"/>
          <w:color w:val="000000"/>
          <w:lang w:val="en-US"/>
        </w:rPr>
        <w:t xml:space="preserve">msec </w:t>
      </w:r>
      <w:r w:rsidRPr="000373DE">
        <w:rPr>
          <w:rFonts w:eastAsia="Times New Roman" w:cs="Arial"/>
          <w:color w:val="000000"/>
          <w:lang w:eastAsia="bg-BG"/>
        </w:rPr>
        <w:t xml:space="preserve">в сравнение с изходно ниво на плацебо лечение. По време на ЕКГ мониторинга нито един участник не показва </w:t>
      </w:r>
      <w:r w:rsidRPr="000373DE">
        <w:rPr>
          <w:rFonts w:eastAsia="Times New Roman" w:cs="Arial"/>
          <w:color w:val="000000"/>
          <w:lang w:val="en-US"/>
        </w:rPr>
        <w:t xml:space="preserve">QTcB </w:t>
      </w:r>
      <w:r w:rsidRPr="000373DE">
        <w:rPr>
          <w:rFonts w:eastAsia="Times New Roman" w:cs="Arial"/>
          <w:color w:val="000000"/>
          <w:lang w:eastAsia="bg-BG"/>
        </w:rPr>
        <w:t xml:space="preserve">или </w:t>
      </w:r>
      <w:r w:rsidRPr="000373DE">
        <w:rPr>
          <w:rFonts w:eastAsia="Times New Roman" w:cs="Arial"/>
          <w:color w:val="000000"/>
          <w:lang w:val="en-US"/>
        </w:rPr>
        <w:t xml:space="preserve">QTcF </w:t>
      </w:r>
      <w:r w:rsidRPr="000373DE">
        <w:rPr>
          <w:rFonts w:eastAsia="Times New Roman" w:cs="Arial"/>
          <w:color w:val="000000"/>
          <w:lang w:eastAsia="bg-BG"/>
        </w:rPr>
        <w:t xml:space="preserve">&gt;500 </w:t>
      </w:r>
      <w:r w:rsidRPr="000373DE">
        <w:rPr>
          <w:rFonts w:eastAsia="Times New Roman" w:cs="Arial"/>
          <w:color w:val="000000"/>
          <w:lang w:val="en-US"/>
        </w:rPr>
        <w:t xml:space="preserve">msec </w:t>
      </w:r>
      <w:r w:rsidRPr="000373DE">
        <w:rPr>
          <w:rFonts w:eastAsia="Times New Roman" w:cs="Arial"/>
          <w:color w:val="000000"/>
          <w:lang w:eastAsia="bg-BG"/>
        </w:rPr>
        <w:t>след лечението (вж. точка 4.4).</w:t>
      </w:r>
    </w:p>
    <w:p w14:paraId="09E08D8D" w14:textId="77777777" w:rsidR="000373DE" w:rsidRPr="000373DE" w:rsidRDefault="000373DE" w:rsidP="000373DE">
      <w:pPr>
        <w:spacing w:line="240" w:lineRule="auto"/>
        <w:rPr>
          <w:rFonts w:eastAsia="Times New Roman" w:cs="Arial"/>
          <w:color w:val="000000"/>
          <w:u w:val="single"/>
          <w:lang w:eastAsia="bg-BG"/>
        </w:rPr>
      </w:pPr>
    </w:p>
    <w:p w14:paraId="789966DB" w14:textId="77E43C0C"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lastRenderedPageBreak/>
        <w:t>Педиатрична популация</w:t>
      </w:r>
    </w:p>
    <w:p w14:paraId="4B8DAFF3" w14:textId="300BE455" w:rsidR="000373DE" w:rsidRPr="000373DE" w:rsidRDefault="000373DE" w:rsidP="000373DE">
      <w:pPr>
        <w:spacing w:line="240" w:lineRule="auto"/>
        <w:rPr>
          <w:rFonts w:eastAsia="Times New Roman" w:cs="Arial"/>
          <w:sz w:val="32"/>
          <w:szCs w:val="32"/>
          <w:lang w:val="en-US" w:eastAsia="bg-BG"/>
        </w:rPr>
      </w:pPr>
      <w:r w:rsidRPr="000373DE">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във всички подгрупи на педиатричната популация при бъбречен карцином и карцином на бъбречното легенче (с изключение на нефробластом, нефробластоматоза, светлоклетьчен сарком, мезобластен нефром, медуларен бъбречен карцином и рабдоиден тумор на бъбреците), и чернодробен карцином и карцином на интрахепаталните жлъчни пътища (с изключение на хепатобластом) (вж. точка 4.2 за информация относно употреба в педиатрията).</w:t>
      </w:r>
    </w:p>
    <w:p w14:paraId="2B9E9617" w14:textId="77777777" w:rsidR="000373DE" w:rsidRPr="000373DE" w:rsidRDefault="000373DE" w:rsidP="000373DE"/>
    <w:p w14:paraId="436D48F6" w14:textId="4B349955" w:rsidR="00BB22B4" w:rsidRDefault="002C50EE" w:rsidP="00471F10">
      <w:pPr>
        <w:pStyle w:val="Heading2"/>
      </w:pPr>
      <w:r>
        <w:t>5.2. Фармакокинетични свойства</w:t>
      </w:r>
    </w:p>
    <w:p w14:paraId="3BEB2666" w14:textId="472CECB3" w:rsidR="000373DE" w:rsidRDefault="000373DE" w:rsidP="000373DE"/>
    <w:p w14:paraId="23F21592" w14:textId="77777777" w:rsidR="000373DE" w:rsidRPr="000373DE" w:rsidRDefault="000373DE" w:rsidP="000373DE">
      <w:pPr>
        <w:pStyle w:val="Heading3"/>
        <w:rPr>
          <w:rFonts w:eastAsia="Times New Roman"/>
          <w:sz w:val="28"/>
          <w:szCs w:val="28"/>
          <w:u w:val="single"/>
          <w:lang w:eastAsia="bg-BG"/>
        </w:rPr>
      </w:pPr>
      <w:r w:rsidRPr="000373DE">
        <w:rPr>
          <w:rFonts w:eastAsia="Times New Roman"/>
          <w:u w:val="single"/>
          <w:lang w:eastAsia="bg-BG"/>
        </w:rPr>
        <w:t>Абсорбция и разпределение</w:t>
      </w:r>
    </w:p>
    <w:p w14:paraId="19324FAB"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След приложение на сорафениб таблетки, средната относителна бионаличност е 38 - 49%, когато се сравнява с пероралния разтвор. Абсолютната бионаличност не е известна. След перорално приложение, сорафениб достига пикови плазмени концентрации приблизително за 3 часа. Когато се прилага след консумация на храна с богато съдържание на мазнини, абсорбцията на сорафениб е редуцирана с 30% в сравнение с приложението на гладно.</w:t>
      </w:r>
    </w:p>
    <w:p w14:paraId="3A270D7E"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Средните С</w:t>
      </w:r>
      <w:r w:rsidRPr="000373DE">
        <w:rPr>
          <w:rFonts w:eastAsia="Times New Roman" w:cs="Arial"/>
          <w:color w:val="000000"/>
          <w:lang w:val="en-US"/>
        </w:rPr>
        <w:t>max</w:t>
      </w:r>
      <w:r w:rsidRPr="000373DE">
        <w:rPr>
          <w:rFonts w:eastAsia="Times New Roman" w:cs="Arial"/>
          <w:color w:val="000000"/>
          <w:lang w:eastAsia="bg-BG"/>
        </w:rPr>
        <w:t xml:space="preserve"> и </w:t>
      </w:r>
      <w:r w:rsidRPr="000373DE">
        <w:rPr>
          <w:rFonts w:eastAsia="Times New Roman" w:cs="Arial"/>
          <w:color w:val="000000"/>
          <w:lang w:val="en-US"/>
        </w:rPr>
        <w:t xml:space="preserve">AUC </w:t>
      </w:r>
      <w:r w:rsidRPr="000373DE">
        <w:rPr>
          <w:rFonts w:eastAsia="Times New Roman" w:cs="Arial"/>
          <w:color w:val="000000"/>
          <w:lang w:eastAsia="bg-BG"/>
        </w:rPr>
        <w:t xml:space="preserve">се повишават непропорционално при дози по-високи от 400 </w:t>
      </w:r>
      <w:r w:rsidRPr="000373DE">
        <w:rPr>
          <w:rFonts w:eastAsia="Times New Roman" w:cs="Arial"/>
          <w:color w:val="000000"/>
          <w:lang w:val="en-US"/>
        </w:rPr>
        <w:t xml:space="preserve">mg </w:t>
      </w:r>
      <w:r w:rsidRPr="000373DE">
        <w:rPr>
          <w:rFonts w:eastAsia="Times New Roman" w:cs="Arial"/>
          <w:color w:val="000000"/>
          <w:lang w:eastAsia="bg-BG"/>
        </w:rPr>
        <w:t xml:space="preserve">два пъти дневно. Свързването на сорафениб с пламените протеини е 99,5% </w:t>
      </w:r>
      <w:r w:rsidRPr="000373DE">
        <w:rPr>
          <w:rFonts w:eastAsia="Times New Roman" w:cs="Arial"/>
          <w:i/>
          <w:iCs/>
          <w:color w:val="000000"/>
          <w:lang w:val="en-US"/>
        </w:rPr>
        <w:t>in vitro.</w:t>
      </w:r>
    </w:p>
    <w:p w14:paraId="073D615C"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Многократното приложение на сорафениб за 7 дни води до 2,5 - 7-кратно кумулиране в сравнение с приложение на еднократна доза. Равновесните плазмени концентрации на сорафениб се постигат до 7 дни, с пиково до минимално отношение на средните концентрации по-малко от 2.</w:t>
      </w:r>
    </w:p>
    <w:p w14:paraId="43E910F3" w14:textId="77777777" w:rsidR="000373DE" w:rsidRPr="000373DE" w:rsidRDefault="000373DE" w:rsidP="000373DE">
      <w:pPr>
        <w:spacing w:line="240" w:lineRule="auto"/>
        <w:rPr>
          <w:rFonts w:eastAsia="Times New Roman" w:cs="Arial"/>
          <w:color w:val="000000"/>
          <w:u w:val="single"/>
          <w:lang w:eastAsia="bg-BG"/>
        </w:rPr>
      </w:pPr>
    </w:p>
    <w:p w14:paraId="58CCBDF1" w14:textId="5CD3C994" w:rsidR="000373DE" w:rsidRPr="000373DE" w:rsidRDefault="000373DE" w:rsidP="000373DE">
      <w:pPr>
        <w:pStyle w:val="Heading3"/>
        <w:rPr>
          <w:rFonts w:eastAsia="Times New Roman"/>
          <w:sz w:val="28"/>
          <w:szCs w:val="28"/>
          <w:u w:val="single"/>
          <w:lang w:eastAsia="bg-BG"/>
        </w:rPr>
      </w:pPr>
      <w:r w:rsidRPr="000373DE">
        <w:rPr>
          <w:rFonts w:eastAsia="Times New Roman"/>
          <w:u w:val="single"/>
          <w:lang w:eastAsia="bg-BG"/>
        </w:rPr>
        <w:t>Биотрансформация и елиминиране</w:t>
      </w:r>
    </w:p>
    <w:p w14:paraId="419FB73E"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Елиминационният полуживот на сорафениб е приблизително 25 - 48 часа. Сорафениб се метаболизира предимно в черния дроб и е подложен на окислителен метаболизъм, медииран посредством цитохром </w:t>
      </w:r>
      <w:r w:rsidRPr="000373DE">
        <w:rPr>
          <w:rFonts w:eastAsia="Times New Roman" w:cs="Arial"/>
          <w:color w:val="000000"/>
          <w:lang w:val="en-US"/>
        </w:rPr>
        <w:t xml:space="preserve">CYP </w:t>
      </w:r>
      <w:r w:rsidRPr="000373DE">
        <w:rPr>
          <w:rFonts w:eastAsia="Times New Roman" w:cs="Arial"/>
          <w:color w:val="000000"/>
          <w:lang w:eastAsia="bg-BG"/>
        </w:rPr>
        <w:t xml:space="preserve">ЗА4, както и глюкурониране, посредством </w:t>
      </w:r>
      <w:r w:rsidRPr="000373DE">
        <w:rPr>
          <w:rFonts w:eastAsia="Times New Roman" w:cs="Arial"/>
          <w:color w:val="000000"/>
          <w:lang w:val="en-US"/>
        </w:rPr>
        <w:t xml:space="preserve">UGT1A9. </w:t>
      </w:r>
      <w:r w:rsidRPr="000373DE">
        <w:rPr>
          <w:rFonts w:eastAsia="Times New Roman" w:cs="Arial"/>
          <w:color w:val="000000"/>
          <w:lang w:eastAsia="bg-BG"/>
        </w:rPr>
        <w:t>Конюгираните съединения на сорафениб могат да бъдат разцепени в стомашно-чревния тракт от активността на бактериална глукуронидаза, позволяваща реабсорбцията на неконюгираното активно вещество. Доказано е, че едновременното прилагане на неомицин пречи на този процес, намалявайки</w:t>
      </w:r>
      <w:r w:rsidRPr="000373DE">
        <w:rPr>
          <w:rFonts w:eastAsia="Times New Roman" w:cs="Arial"/>
          <w:i/>
          <w:iCs/>
          <w:color w:val="000000"/>
          <w:lang w:eastAsia="bg-BG"/>
        </w:rPr>
        <w:t xml:space="preserve"> </w:t>
      </w:r>
      <w:r w:rsidRPr="000373DE">
        <w:rPr>
          <w:rFonts w:eastAsia="Times New Roman" w:cs="Arial"/>
          <w:color w:val="000000"/>
          <w:lang w:eastAsia="bg-BG"/>
        </w:rPr>
        <w:t>средната бионаличност на сорафениб с 54%.</w:t>
      </w:r>
    </w:p>
    <w:p w14:paraId="21815A1C" w14:textId="5F3C207A" w:rsidR="000373DE" w:rsidRPr="000373DE" w:rsidRDefault="000373DE" w:rsidP="000373DE">
      <w:pPr>
        <w:rPr>
          <w:rFonts w:cs="Arial"/>
          <w:sz w:val="24"/>
          <w:szCs w:val="24"/>
        </w:rPr>
      </w:pPr>
    </w:p>
    <w:p w14:paraId="4B8474C6"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Сорафениб е приблизително 70 - 85% от циркулиращи вещества в плазмата при стационарно състояние. Идентифицирани са 8 метаболита на сорафениб, пет от които се откриват в плазмата. Главният циркулиращ метаболит на сорафениб в плазмата, пиридин </w:t>
      </w:r>
      <w:r w:rsidRPr="000373DE">
        <w:rPr>
          <w:rFonts w:eastAsia="Times New Roman" w:cs="Arial"/>
          <w:color w:val="000000"/>
          <w:lang w:val="en-US"/>
        </w:rPr>
        <w:t>N</w:t>
      </w:r>
      <w:r w:rsidRPr="000373DE">
        <w:rPr>
          <w:rFonts w:eastAsia="Times New Roman" w:cs="Arial"/>
          <w:color w:val="000000"/>
          <w:lang w:eastAsia="bg-BG"/>
        </w:rPr>
        <w:t xml:space="preserve">-оксид, показва </w:t>
      </w:r>
      <w:r w:rsidRPr="000373DE">
        <w:rPr>
          <w:rFonts w:eastAsia="Times New Roman" w:cs="Arial"/>
          <w:i/>
          <w:iCs/>
          <w:color w:val="000000"/>
          <w:lang w:val="en-US"/>
        </w:rPr>
        <w:t xml:space="preserve">in vitro </w:t>
      </w:r>
      <w:r w:rsidRPr="000373DE">
        <w:rPr>
          <w:rFonts w:eastAsia="Times New Roman" w:cs="Arial"/>
          <w:color w:val="000000"/>
          <w:lang w:eastAsia="bg-BG"/>
        </w:rPr>
        <w:t>активност, подобна на тази на сорафениб. Този метаболит представлява приблизително 9 -16% от циркулиращи вещества в равновесно състояние.</w:t>
      </w:r>
    </w:p>
    <w:p w14:paraId="47ED898F" w14:textId="77777777" w:rsidR="000373DE" w:rsidRPr="000373DE" w:rsidRDefault="000373DE" w:rsidP="000373DE">
      <w:pPr>
        <w:spacing w:line="240" w:lineRule="auto"/>
        <w:rPr>
          <w:rFonts w:eastAsia="Times New Roman" w:cs="Arial"/>
          <w:color w:val="000000"/>
          <w:lang w:eastAsia="bg-BG"/>
        </w:rPr>
      </w:pPr>
    </w:p>
    <w:p w14:paraId="33809BCC" w14:textId="0FBC5AA1"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След перорално приложение на доза 100 </w:t>
      </w:r>
      <w:r w:rsidRPr="000373DE">
        <w:rPr>
          <w:rFonts w:eastAsia="Times New Roman" w:cs="Arial"/>
          <w:color w:val="000000"/>
          <w:lang w:val="en-US"/>
        </w:rPr>
        <w:t xml:space="preserve">mg </w:t>
      </w:r>
      <w:r w:rsidRPr="000373DE">
        <w:rPr>
          <w:rFonts w:eastAsia="Times New Roman" w:cs="Arial"/>
          <w:color w:val="000000"/>
          <w:lang w:eastAsia="bg-BG"/>
        </w:rPr>
        <w:t>разтвор сорафениб, 96% от дозата се възстановява в рамките на 14 дни, 77% от дозата се екскретира в изпражненията и 19% се екскретира в урината като глюкуронирани метаболити. Непромененият сорафениб, който представлява 51% от дозата, е установен в изпражненията и не се установява в урината, което показва, че билиарната екскреция на непромененото активно вещество може да допринесе за елиминирането на сорафениб.</w:t>
      </w:r>
    </w:p>
    <w:p w14:paraId="1EB6F190" w14:textId="77777777" w:rsidR="000373DE" w:rsidRPr="000373DE" w:rsidRDefault="000373DE" w:rsidP="000373DE">
      <w:pPr>
        <w:spacing w:line="240" w:lineRule="auto"/>
        <w:rPr>
          <w:rFonts w:eastAsia="Times New Roman" w:cs="Arial"/>
          <w:color w:val="000000"/>
          <w:u w:val="single"/>
          <w:lang w:eastAsia="bg-BG"/>
        </w:rPr>
      </w:pPr>
    </w:p>
    <w:p w14:paraId="67E5A465" w14:textId="7EC32031"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lastRenderedPageBreak/>
        <w:t>Фармакокинетика при специални популации</w:t>
      </w:r>
    </w:p>
    <w:p w14:paraId="6FE094E0"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Анализът на демографските данни показва, че няма връзка между фармакокинетиката и възрастта (до 65-годишна възраст), пола или телесното тегло.</w:t>
      </w:r>
    </w:p>
    <w:p w14:paraId="0AB04FF0" w14:textId="77777777" w:rsidR="000373DE" w:rsidRPr="000373DE" w:rsidRDefault="000373DE" w:rsidP="000373DE">
      <w:pPr>
        <w:spacing w:line="240" w:lineRule="auto"/>
        <w:rPr>
          <w:rFonts w:eastAsia="Times New Roman" w:cs="Arial"/>
          <w:color w:val="000000"/>
          <w:u w:val="single"/>
          <w:lang w:eastAsia="bg-BG"/>
        </w:rPr>
      </w:pPr>
    </w:p>
    <w:p w14:paraId="15BC3B95" w14:textId="6B5DDB3B"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Педиатрична популация</w:t>
      </w:r>
    </w:p>
    <w:p w14:paraId="71466D50"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Не са проведени проучвания върху фармакокинетиката на сорафениб при педиатрични пациенти.</w:t>
      </w:r>
    </w:p>
    <w:p w14:paraId="336124FC" w14:textId="77777777" w:rsidR="000373DE" w:rsidRPr="000373DE" w:rsidRDefault="000373DE" w:rsidP="000373DE">
      <w:pPr>
        <w:spacing w:line="240" w:lineRule="auto"/>
        <w:rPr>
          <w:rFonts w:eastAsia="Times New Roman" w:cs="Arial"/>
          <w:color w:val="000000"/>
          <w:u w:val="single"/>
          <w:lang w:eastAsia="bg-BG"/>
        </w:rPr>
      </w:pPr>
    </w:p>
    <w:p w14:paraId="35DC7A05" w14:textId="28F75413"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Раса</w:t>
      </w:r>
    </w:p>
    <w:p w14:paraId="6641D147"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Няма клинично значими различия във фармакокинетиките между европеидна и азиатска популация.</w:t>
      </w:r>
    </w:p>
    <w:p w14:paraId="6924C5F7" w14:textId="77777777" w:rsidR="000373DE" w:rsidRPr="000373DE" w:rsidRDefault="000373DE" w:rsidP="000373DE">
      <w:pPr>
        <w:spacing w:line="240" w:lineRule="auto"/>
        <w:rPr>
          <w:rFonts w:eastAsia="Times New Roman" w:cs="Arial"/>
          <w:color w:val="000000"/>
          <w:u w:val="single"/>
          <w:lang w:eastAsia="bg-BG"/>
        </w:rPr>
      </w:pPr>
    </w:p>
    <w:p w14:paraId="06068B3B" w14:textId="30D4A759"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Бъбречно увреждане</w:t>
      </w:r>
    </w:p>
    <w:p w14:paraId="44180244"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В 4 клинични изпитвания фаза I, експозицията в равновесно състояние е подобна при пациенти с леко до умерено бъбречно увреждане в сравнение с експозицията при пациенти с нормална бъбречна функция. В клинично фармакологично проучване (еднократна доза от 400 </w:t>
      </w:r>
      <w:r w:rsidRPr="000373DE">
        <w:rPr>
          <w:rFonts w:eastAsia="Times New Roman" w:cs="Arial"/>
          <w:color w:val="000000"/>
          <w:lang w:val="en-US"/>
        </w:rPr>
        <w:t xml:space="preserve">mg </w:t>
      </w:r>
      <w:r w:rsidRPr="000373DE">
        <w:rPr>
          <w:rFonts w:eastAsia="Times New Roman" w:cs="Arial"/>
          <w:color w:val="000000"/>
          <w:lang w:eastAsia="bg-BG"/>
        </w:rPr>
        <w:t>сорафениб) не е наблюдавана връзка между експозицията на сорафениб и бъбречната функция при лица с нормална бъбречна функция, леко, умерено или тежко бъбречно увреждане. Няма данни за пациентите, които се нуждаят от диализа.</w:t>
      </w:r>
    </w:p>
    <w:p w14:paraId="13910F5E" w14:textId="77777777" w:rsidR="000373DE" w:rsidRPr="000373DE" w:rsidRDefault="000373DE" w:rsidP="000373DE">
      <w:pPr>
        <w:spacing w:line="240" w:lineRule="auto"/>
        <w:rPr>
          <w:rFonts w:eastAsia="Times New Roman" w:cs="Arial"/>
          <w:color w:val="000000"/>
          <w:u w:val="single"/>
          <w:lang w:eastAsia="bg-BG"/>
        </w:rPr>
      </w:pPr>
    </w:p>
    <w:p w14:paraId="681BCE81" w14:textId="42CB7D41"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u w:val="single"/>
          <w:lang w:eastAsia="bg-BG"/>
        </w:rPr>
        <w:t>Чернодробно увреждане</w:t>
      </w:r>
    </w:p>
    <w:p w14:paraId="0DCE28F9"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При пациенти с хепатоцелуларен карцином </w:t>
      </w:r>
      <w:r w:rsidRPr="000373DE">
        <w:rPr>
          <w:rFonts w:eastAsia="Times New Roman" w:cs="Arial"/>
          <w:i/>
          <w:iCs/>
          <w:color w:val="000000"/>
          <w:lang w:eastAsia="bg-BG"/>
        </w:rPr>
        <w:t>(НСС)</w:t>
      </w:r>
      <w:r w:rsidRPr="000373DE">
        <w:rPr>
          <w:rFonts w:eastAsia="Times New Roman" w:cs="Arial"/>
          <w:color w:val="000000"/>
          <w:lang w:eastAsia="bg-BG"/>
        </w:rPr>
        <w:t xml:space="preserve"> с </w:t>
      </w:r>
      <w:r w:rsidRPr="000373DE">
        <w:rPr>
          <w:rFonts w:eastAsia="Times New Roman" w:cs="Arial"/>
          <w:color w:val="000000"/>
          <w:lang w:val="en-US"/>
        </w:rPr>
        <w:t xml:space="preserve">Child-Pugh </w:t>
      </w:r>
      <w:r w:rsidRPr="000373DE">
        <w:rPr>
          <w:rFonts w:eastAsia="Times New Roman" w:cs="Arial"/>
          <w:color w:val="000000"/>
          <w:lang w:eastAsia="bg-BG"/>
        </w:rPr>
        <w:t xml:space="preserve">А или В (леко до умерено) чернодробно увреждане стойностите на експозицията са сравними и са в границите на експозициите, наблюдавани при пациенти без чернодробно увреждане. Фармакокинетиката (РК) на сорафениб при пациенти с </w:t>
      </w:r>
      <w:r w:rsidRPr="000373DE">
        <w:rPr>
          <w:rFonts w:eastAsia="Times New Roman" w:cs="Arial"/>
          <w:color w:val="000000"/>
          <w:lang w:val="en-US"/>
        </w:rPr>
        <w:t xml:space="preserve">Child-Pugh </w:t>
      </w:r>
      <w:r w:rsidRPr="000373DE">
        <w:rPr>
          <w:rFonts w:eastAsia="Times New Roman" w:cs="Arial"/>
          <w:color w:val="000000"/>
          <w:lang w:eastAsia="bg-BG"/>
        </w:rPr>
        <w:t xml:space="preserve">А или В без НСС е подобна на РК при здрави доброволци. Няма данни при пациенти с </w:t>
      </w:r>
      <w:r w:rsidRPr="000373DE">
        <w:rPr>
          <w:rFonts w:eastAsia="Times New Roman" w:cs="Arial"/>
          <w:color w:val="000000"/>
          <w:lang w:val="en-US"/>
        </w:rPr>
        <w:t xml:space="preserve">Child-Pugh </w:t>
      </w:r>
      <w:r w:rsidRPr="000373DE">
        <w:rPr>
          <w:rFonts w:eastAsia="Times New Roman" w:cs="Arial"/>
          <w:color w:val="000000"/>
          <w:lang w:eastAsia="bg-BG"/>
        </w:rPr>
        <w:t>С (тежко) чернодробно увреждане. Сорафениб се елиминира предимно чрез черния дроб и експозицията може да бъде повишена при тази група пациенти.</w:t>
      </w:r>
    </w:p>
    <w:p w14:paraId="20B6DF3C" w14:textId="77777777" w:rsidR="000373DE" w:rsidRPr="000373DE" w:rsidRDefault="000373DE" w:rsidP="000373DE"/>
    <w:p w14:paraId="4F31844C" w14:textId="6914F7DC" w:rsidR="00875EEC" w:rsidRDefault="002C50EE" w:rsidP="005726E3">
      <w:pPr>
        <w:pStyle w:val="Heading2"/>
      </w:pPr>
      <w:r>
        <w:t>5.3. Предклинични данни за безопасност</w:t>
      </w:r>
    </w:p>
    <w:p w14:paraId="6475AD94" w14:textId="1190EDDF" w:rsidR="000373DE" w:rsidRDefault="000373DE" w:rsidP="000373DE"/>
    <w:p w14:paraId="7DE68BC7"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Предклиничният профил на безопасност на сорафениб е оценен при мишки, плъхове, кучета и зайци.</w:t>
      </w:r>
    </w:p>
    <w:p w14:paraId="7D1E9237" w14:textId="77777777" w:rsidR="000373DE" w:rsidRPr="000373DE" w:rsidRDefault="000373DE" w:rsidP="000373DE">
      <w:pPr>
        <w:rPr>
          <w:rFonts w:eastAsia="Times New Roman" w:cs="Arial"/>
          <w:sz w:val="28"/>
          <w:szCs w:val="28"/>
          <w:lang w:eastAsia="bg-BG"/>
        </w:rPr>
      </w:pPr>
      <w:r w:rsidRPr="000373DE">
        <w:rPr>
          <w:rFonts w:eastAsia="Times New Roman" w:cs="Arial"/>
          <w:color w:val="000000"/>
          <w:lang w:eastAsia="bg-BG"/>
        </w:rPr>
        <w:t>Проучванията за токсичност разкриват промени (дегенерационни и регенерационни) в различни</w:t>
      </w:r>
      <w:r w:rsidRPr="000373DE">
        <w:rPr>
          <w:rFonts w:eastAsia="Times New Roman" w:cs="Arial"/>
          <w:color w:val="000000"/>
          <w:lang w:val="en-US" w:eastAsia="bg-BG"/>
        </w:rPr>
        <w:t xml:space="preserve"> </w:t>
      </w:r>
      <w:r w:rsidRPr="000373DE">
        <w:rPr>
          <w:rFonts w:eastAsia="Times New Roman" w:cs="Arial"/>
          <w:color w:val="000000"/>
          <w:lang w:eastAsia="bg-BG"/>
        </w:rPr>
        <w:t xml:space="preserve">органи при експозиция по-ниска от очакваната (въз основа на сравняване на </w:t>
      </w:r>
      <w:r w:rsidRPr="000373DE">
        <w:rPr>
          <w:rFonts w:eastAsia="Times New Roman" w:cs="Arial"/>
          <w:color w:val="000000"/>
          <w:lang w:val="en-US"/>
        </w:rPr>
        <w:t>AUC).</w:t>
      </w:r>
    </w:p>
    <w:p w14:paraId="18DC389A"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След многократно приложение при млади и подрастващи кучета са наблюдавани ефекти върху костите и зъбите при приложение на по-ниски дози. Промените се състоят във неправилно уплътняване на феморалната растежна плочка, хипоцелуларен костен мозък, непосредствено до увредената растежна плочка и увреждане на състава на дентина. Подобни ефекти не са наблюдавани при възрастни кучета.</w:t>
      </w:r>
    </w:p>
    <w:p w14:paraId="0DA9D4EA" w14:textId="77777777" w:rsidR="000373DE" w:rsidRPr="000373DE" w:rsidRDefault="000373DE" w:rsidP="000373DE">
      <w:pPr>
        <w:spacing w:line="240" w:lineRule="auto"/>
        <w:rPr>
          <w:rFonts w:eastAsia="Times New Roman" w:cs="Arial"/>
          <w:color w:val="000000"/>
          <w:lang w:eastAsia="bg-BG"/>
        </w:rPr>
      </w:pPr>
    </w:p>
    <w:p w14:paraId="53741FB8" w14:textId="628B1B79"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Проведена е стандартна програма от проучвания върху генотоксичността и са получени положителни резултати, като повишаване на честотата на структурни хромозомни аберации при </w:t>
      </w:r>
      <w:r w:rsidRPr="000373DE">
        <w:rPr>
          <w:rFonts w:eastAsia="Times New Roman" w:cs="Arial"/>
          <w:i/>
          <w:iCs/>
          <w:color w:val="000000"/>
          <w:lang w:val="en-US"/>
        </w:rPr>
        <w:t>in vitro</w:t>
      </w:r>
      <w:r w:rsidRPr="000373DE">
        <w:rPr>
          <w:rFonts w:eastAsia="Times New Roman" w:cs="Arial"/>
          <w:color w:val="000000"/>
          <w:lang w:val="en-US"/>
        </w:rPr>
        <w:t xml:space="preserve"> </w:t>
      </w:r>
      <w:r w:rsidRPr="000373DE">
        <w:rPr>
          <w:rFonts w:eastAsia="Times New Roman" w:cs="Arial"/>
          <w:color w:val="000000"/>
          <w:lang w:eastAsia="bg-BG"/>
        </w:rPr>
        <w:t xml:space="preserve">клетъчна линия от бозайник (яйчник от китайски хамстер) за кластогенност при присъствието на метаболитно активиране. Сорафениб не е генотоксичен в тест на Еймс иди в </w:t>
      </w:r>
      <w:r w:rsidRPr="000373DE">
        <w:rPr>
          <w:rFonts w:eastAsia="Times New Roman" w:cs="Arial"/>
          <w:i/>
          <w:iCs/>
          <w:color w:val="000000"/>
          <w:lang w:val="en-US"/>
        </w:rPr>
        <w:t xml:space="preserve">in vivo </w:t>
      </w:r>
      <w:r w:rsidRPr="000373DE">
        <w:rPr>
          <w:rFonts w:eastAsia="Times New Roman" w:cs="Arial"/>
          <w:color w:val="000000"/>
          <w:lang w:eastAsia="bg-BG"/>
        </w:rPr>
        <w:t xml:space="preserve">микронуклеарен тест при мишки. Един междинен продукт от производствения процес, който присъства в крайната активна субстанция (&lt;0,15%), е бил положителен за мутагенност в </w:t>
      </w:r>
      <w:r w:rsidRPr="000373DE">
        <w:rPr>
          <w:rFonts w:eastAsia="Times New Roman" w:cs="Arial"/>
          <w:i/>
          <w:iCs/>
          <w:color w:val="000000"/>
          <w:lang w:val="en-US"/>
        </w:rPr>
        <w:t xml:space="preserve">in vitro </w:t>
      </w:r>
      <w:r w:rsidRPr="000373DE">
        <w:rPr>
          <w:rFonts w:eastAsia="Times New Roman" w:cs="Arial"/>
          <w:color w:val="000000"/>
          <w:lang w:eastAsia="bg-BG"/>
        </w:rPr>
        <w:t xml:space="preserve">бактериално клетъчно изследване </w:t>
      </w:r>
      <w:r w:rsidRPr="000373DE">
        <w:rPr>
          <w:rFonts w:eastAsia="Times New Roman" w:cs="Arial"/>
          <w:color w:val="000000"/>
          <w:lang w:val="en-US"/>
        </w:rPr>
        <w:lastRenderedPageBreak/>
        <w:t xml:space="preserve">(Ames test). </w:t>
      </w:r>
      <w:r w:rsidRPr="000373DE">
        <w:rPr>
          <w:rFonts w:eastAsia="Times New Roman" w:cs="Arial"/>
          <w:color w:val="000000"/>
          <w:lang w:eastAsia="bg-BG"/>
        </w:rPr>
        <w:t>Освен това, партидата сорафениб, изследвана със стандартен генотоксичен тест, включва 0,34% РАРЕ.</w:t>
      </w:r>
    </w:p>
    <w:p w14:paraId="28F1C364" w14:textId="4759D452"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Не са проведени проучвания за карциногенност със сорафениб.</w:t>
      </w:r>
    </w:p>
    <w:p w14:paraId="76DC860E" w14:textId="77777777" w:rsidR="000373DE" w:rsidRPr="000373DE" w:rsidRDefault="000373DE" w:rsidP="000373DE">
      <w:pPr>
        <w:spacing w:line="240" w:lineRule="auto"/>
        <w:rPr>
          <w:rFonts w:eastAsia="Times New Roman" w:cs="Arial"/>
          <w:color w:val="000000"/>
          <w:lang w:eastAsia="bg-BG"/>
        </w:rPr>
      </w:pPr>
    </w:p>
    <w:p w14:paraId="5DE19C3B" w14:textId="344FDCF6"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Не са проведени специфични проучвания със сорафениб при животни, за да се оцени ефекта върху фертилитета. Нежелан ефект върху мъжкия и женски фертилитет може да се очаква, тъй като при проучвания за хронична токсичност са установени промени в репродуктивните органи на животните от двата пола, при дозировка по-ниска от клиничната доза (въз основа на </w:t>
      </w:r>
      <w:r w:rsidRPr="000373DE">
        <w:rPr>
          <w:rFonts w:eastAsia="Times New Roman" w:cs="Arial"/>
          <w:color w:val="000000"/>
          <w:lang w:val="en-US"/>
        </w:rPr>
        <w:t>AUC).</w:t>
      </w:r>
    </w:p>
    <w:p w14:paraId="33337986" w14:textId="77777777"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 xml:space="preserve">Типичните промени се състоят от симптоми на дегенерация и забавяне на развитието на тестисите, епидидима, простата и семенните каналчета на плъхове. Женските </w:t>
      </w:r>
      <w:r w:rsidRPr="000373DE">
        <w:rPr>
          <w:rFonts w:eastAsia="Times New Roman" w:cs="Arial"/>
          <w:i/>
          <w:iCs/>
          <w:color w:val="000000"/>
          <w:lang w:eastAsia="bg-BG"/>
        </w:rPr>
        <w:t xml:space="preserve">плъхове показват централна </w:t>
      </w:r>
      <w:r w:rsidRPr="000373DE">
        <w:rPr>
          <w:rFonts w:eastAsia="Times New Roman" w:cs="Arial"/>
          <w:color w:val="000000"/>
          <w:lang w:eastAsia="bg-BG"/>
        </w:rPr>
        <w:t>некроза на корпус лутеум и спиране на развитието на фоликулите на яйчниците. Кучетата показват тубуларна дегенерация на тестисите и олигоспермия.</w:t>
      </w:r>
    </w:p>
    <w:p w14:paraId="451F0752" w14:textId="77777777" w:rsidR="000373DE" w:rsidRPr="000373DE" w:rsidRDefault="000373DE" w:rsidP="000373DE">
      <w:pPr>
        <w:spacing w:line="240" w:lineRule="auto"/>
        <w:rPr>
          <w:rFonts w:eastAsia="Times New Roman" w:cs="Arial"/>
          <w:color w:val="000000"/>
          <w:lang w:eastAsia="bg-BG"/>
        </w:rPr>
      </w:pPr>
    </w:p>
    <w:p w14:paraId="58C9C758" w14:textId="05B9D4A2" w:rsidR="000373DE" w:rsidRPr="000373DE" w:rsidRDefault="000373DE" w:rsidP="000373DE">
      <w:pPr>
        <w:spacing w:line="240" w:lineRule="auto"/>
        <w:rPr>
          <w:rFonts w:eastAsia="Times New Roman" w:cs="Arial"/>
          <w:sz w:val="28"/>
          <w:szCs w:val="28"/>
          <w:lang w:eastAsia="bg-BG"/>
        </w:rPr>
      </w:pPr>
      <w:r w:rsidRPr="000373DE">
        <w:rPr>
          <w:rFonts w:eastAsia="Times New Roman" w:cs="Arial"/>
          <w:color w:val="000000"/>
          <w:lang w:eastAsia="bg-BG"/>
        </w:rPr>
        <w:t>Сорафениб е ембриотоксичен и тератогенен, когато се прилага на плъхове и зайци с експозиция на дози, по-ниски от клиничните. Наблюдаваните ефекти включват намаляване телесното тегло на майката и плода, повишена честота на резорбция на зародиша и повишен брой на външни и орган ни малфорации.</w:t>
      </w:r>
    </w:p>
    <w:p w14:paraId="4A1AEB18" w14:textId="77777777" w:rsidR="000373DE" w:rsidRPr="000373DE" w:rsidRDefault="000373DE" w:rsidP="000373DE">
      <w:pPr>
        <w:rPr>
          <w:rFonts w:eastAsia="Times New Roman" w:cs="Arial"/>
          <w:color w:val="000000"/>
          <w:lang w:eastAsia="bg-BG"/>
        </w:rPr>
      </w:pPr>
    </w:p>
    <w:p w14:paraId="00023518" w14:textId="050FCC3D" w:rsidR="000373DE" w:rsidRPr="000373DE" w:rsidRDefault="000373DE" w:rsidP="000373DE">
      <w:pPr>
        <w:rPr>
          <w:rFonts w:cs="Arial"/>
          <w:sz w:val="24"/>
          <w:szCs w:val="24"/>
          <w:lang w:val="en-US"/>
        </w:rPr>
      </w:pPr>
      <w:r w:rsidRPr="000373DE">
        <w:rPr>
          <w:rFonts w:eastAsia="Times New Roman" w:cs="Arial"/>
          <w:color w:val="000000"/>
          <w:lang w:eastAsia="bg-BG"/>
        </w:rPr>
        <w:t xml:space="preserve">Проучванията за оценка на риска за околната среда показват, че сорафениб тозилат има потенциал да бъде устойчив, биоакумулиращ и токсичен за околната среда. Информация относно оценка на риска за околната среда е налична в </w:t>
      </w:r>
      <w:r w:rsidRPr="000373DE">
        <w:rPr>
          <w:rFonts w:eastAsia="Times New Roman" w:cs="Arial"/>
          <w:color w:val="000000"/>
          <w:lang w:val="en-US"/>
        </w:rPr>
        <w:t xml:space="preserve">EPAR </w:t>
      </w:r>
      <w:r w:rsidRPr="000373DE">
        <w:rPr>
          <w:rFonts w:eastAsia="Times New Roman" w:cs="Arial"/>
          <w:color w:val="000000"/>
          <w:lang w:eastAsia="bg-BG"/>
        </w:rPr>
        <w:t>на този лекарствен продукт (вж. точка 6.6).</w:t>
      </w:r>
    </w:p>
    <w:p w14:paraId="357049A8" w14:textId="2A9A23E6" w:rsidR="00BB22B4" w:rsidRDefault="002C50EE" w:rsidP="00471F10">
      <w:pPr>
        <w:pStyle w:val="Heading1"/>
      </w:pPr>
      <w:r>
        <w:t>7. ПРИТЕЖАТЕЛ НА РАЗРЕШЕНИЕТО ЗА УПОТРЕБА</w:t>
      </w:r>
    </w:p>
    <w:p w14:paraId="765FFF06" w14:textId="5BC78C87" w:rsidR="000373DE" w:rsidRDefault="000373DE" w:rsidP="000373DE"/>
    <w:p w14:paraId="4BC8B7A0" w14:textId="77777777" w:rsidR="000373DE" w:rsidRDefault="000373DE" w:rsidP="000373DE">
      <w:r>
        <w:t xml:space="preserve">Mylan Ireland Limited, </w:t>
      </w:r>
    </w:p>
    <w:p w14:paraId="25FC1DE6" w14:textId="77777777" w:rsidR="000373DE" w:rsidRDefault="000373DE" w:rsidP="000373DE">
      <w:r>
        <w:t xml:space="preserve">Unit </w:t>
      </w:r>
      <w:r>
        <w:rPr>
          <w:lang w:eastAsia="bg-BG"/>
        </w:rPr>
        <w:t xml:space="preserve">35/36 </w:t>
      </w:r>
      <w:r>
        <w:t xml:space="preserve">Grange Parade, </w:t>
      </w:r>
    </w:p>
    <w:p w14:paraId="14F3D14D" w14:textId="77777777" w:rsidR="000373DE" w:rsidRDefault="000373DE" w:rsidP="000373DE">
      <w:r>
        <w:t xml:space="preserve">Baldoyle Industrial state, </w:t>
      </w:r>
    </w:p>
    <w:p w14:paraId="73766440" w14:textId="77777777" w:rsidR="000373DE" w:rsidRDefault="000373DE" w:rsidP="000373DE">
      <w:r>
        <w:t xml:space="preserve">Dublin 13, </w:t>
      </w:r>
    </w:p>
    <w:p w14:paraId="116700EB" w14:textId="68B14379" w:rsidR="000373DE" w:rsidRPr="000373DE" w:rsidRDefault="000373DE" w:rsidP="000373DE">
      <w:r>
        <w:rPr>
          <w:lang w:eastAsia="bg-BG"/>
        </w:rPr>
        <w:t>Ирландия</w:t>
      </w:r>
    </w:p>
    <w:p w14:paraId="796B2EC6" w14:textId="22CAF0B7" w:rsidR="00BB22B4" w:rsidRDefault="00936AD0" w:rsidP="00471F10">
      <w:pPr>
        <w:pStyle w:val="Heading1"/>
      </w:pPr>
      <w:r>
        <w:t>8.</w:t>
      </w:r>
      <w:r w:rsidR="002C50EE">
        <w:t>НОМЕР НА РАЗРЕШЕНИЕТО ЗА УПОТРЕБА</w:t>
      </w:r>
    </w:p>
    <w:p w14:paraId="5E81666F" w14:textId="254394E1" w:rsidR="000373DE" w:rsidRDefault="000373DE" w:rsidP="000373DE"/>
    <w:p w14:paraId="2CB34C70" w14:textId="760CA8CA" w:rsidR="000373DE" w:rsidRPr="000373DE" w:rsidRDefault="000373DE" w:rsidP="000373DE">
      <w:r>
        <w:t>Per. №: 20200168</w:t>
      </w:r>
    </w:p>
    <w:p w14:paraId="3715C10B" w14:textId="7A262B24" w:rsidR="00BB22B4" w:rsidRDefault="002C50EE" w:rsidP="00471F10">
      <w:pPr>
        <w:pStyle w:val="Heading1"/>
      </w:pPr>
      <w:r>
        <w:t>9. ДАТА НА ПЪРВО РАЗРЕШАВАНЕ/ПОДНОВЯВАНЕ НА РАЗРЕШЕНИЕТО ЗА УПОТРЕБА</w:t>
      </w:r>
    </w:p>
    <w:p w14:paraId="2551FBE4" w14:textId="55391E63" w:rsidR="000373DE" w:rsidRDefault="000373DE" w:rsidP="000373DE"/>
    <w:p w14:paraId="0B4F9D86" w14:textId="3B5B5B47" w:rsidR="000373DE" w:rsidRDefault="000373DE" w:rsidP="000373DE">
      <w:pPr>
        <w:rPr>
          <w:lang w:eastAsia="bg-BG"/>
        </w:rPr>
      </w:pPr>
      <w:r w:rsidRPr="000373DE">
        <w:rPr>
          <w:lang w:eastAsia="bg-BG"/>
        </w:rPr>
        <w:t>Дата на първо разрешаване: 05 октомври 2020 г.</w:t>
      </w:r>
    </w:p>
    <w:p w14:paraId="3AC98823" w14:textId="77777777" w:rsidR="000373DE" w:rsidRPr="000373DE" w:rsidRDefault="000373DE" w:rsidP="000373DE">
      <w:pPr>
        <w:rPr>
          <w:sz w:val="24"/>
          <w:szCs w:val="24"/>
          <w:lang w:eastAsia="bg-BG"/>
        </w:rPr>
      </w:pPr>
    </w:p>
    <w:p w14:paraId="43FB38A2" w14:textId="60787C48" w:rsidR="007C605B" w:rsidRDefault="002C50EE" w:rsidP="005726E3">
      <w:pPr>
        <w:pStyle w:val="Heading1"/>
      </w:pPr>
      <w:r>
        <w:t>10. ДАТА НА АКТУАЛИЗИРАНЕ НА ТЕКСТА</w:t>
      </w:r>
      <w:bookmarkEnd w:id="0"/>
    </w:p>
    <w:p w14:paraId="0944C0A2" w14:textId="2D9EBE9A" w:rsidR="000373DE" w:rsidRDefault="000373DE" w:rsidP="000373DE"/>
    <w:p w14:paraId="3E02D2D1" w14:textId="2BF47550" w:rsidR="000373DE" w:rsidRPr="000373DE" w:rsidRDefault="000373DE" w:rsidP="000373DE">
      <w:r>
        <w:t>12/2021</w:t>
      </w:r>
    </w:p>
    <w:p w14:paraId="472617BD" w14:textId="1B698B40" w:rsidR="00BB22B4" w:rsidRPr="00BB22B4" w:rsidRDefault="00BB22B4" w:rsidP="00BB22B4"/>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0574A"/>
    <w:multiLevelType w:val="hybridMultilevel"/>
    <w:tmpl w:val="E09C545C"/>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257522525">
    <w:abstractNumId w:val="30"/>
  </w:num>
  <w:num w:numId="2" w16cid:durableId="697127334">
    <w:abstractNumId w:val="0"/>
  </w:num>
  <w:num w:numId="3" w16cid:durableId="1298343650">
    <w:abstractNumId w:val="14"/>
  </w:num>
  <w:num w:numId="4" w16cid:durableId="980765384">
    <w:abstractNumId w:val="3"/>
  </w:num>
  <w:num w:numId="5" w16cid:durableId="1335184229">
    <w:abstractNumId w:val="1"/>
  </w:num>
  <w:num w:numId="6" w16cid:durableId="1810199388">
    <w:abstractNumId w:val="18"/>
  </w:num>
  <w:num w:numId="7" w16cid:durableId="155417563">
    <w:abstractNumId w:val="12"/>
  </w:num>
  <w:num w:numId="8" w16cid:durableId="10298988">
    <w:abstractNumId w:val="17"/>
  </w:num>
  <w:num w:numId="9" w16cid:durableId="624847378">
    <w:abstractNumId w:val="2"/>
  </w:num>
  <w:num w:numId="10" w16cid:durableId="704214303">
    <w:abstractNumId w:val="4"/>
  </w:num>
  <w:num w:numId="11" w16cid:durableId="10032201">
    <w:abstractNumId w:val="33"/>
  </w:num>
  <w:num w:numId="12" w16cid:durableId="55595058">
    <w:abstractNumId w:val="15"/>
  </w:num>
  <w:num w:numId="13" w16cid:durableId="457917294">
    <w:abstractNumId w:val="21"/>
  </w:num>
  <w:num w:numId="14" w16cid:durableId="956642406">
    <w:abstractNumId w:val="13"/>
  </w:num>
  <w:num w:numId="15" w16cid:durableId="207189098">
    <w:abstractNumId w:val="32"/>
  </w:num>
  <w:num w:numId="16" w16cid:durableId="1315640497">
    <w:abstractNumId w:val="11"/>
  </w:num>
  <w:num w:numId="17" w16cid:durableId="701321750">
    <w:abstractNumId w:val="26"/>
  </w:num>
  <w:num w:numId="18" w16cid:durableId="56637931">
    <w:abstractNumId w:val="8"/>
  </w:num>
  <w:num w:numId="19" w16cid:durableId="640309361">
    <w:abstractNumId w:val="29"/>
  </w:num>
  <w:num w:numId="20" w16cid:durableId="937441401">
    <w:abstractNumId w:val="25"/>
  </w:num>
  <w:num w:numId="21" w16cid:durableId="661547780">
    <w:abstractNumId w:val="19"/>
  </w:num>
  <w:num w:numId="22" w16cid:durableId="1688166759">
    <w:abstractNumId w:val="27"/>
  </w:num>
  <w:num w:numId="23" w16cid:durableId="919102174">
    <w:abstractNumId w:val="20"/>
  </w:num>
  <w:num w:numId="24" w16cid:durableId="566064594">
    <w:abstractNumId w:val="9"/>
  </w:num>
  <w:num w:numId="25" w16cid:durableId="2024474854">
    <w:abstractNumId w:val="24"/>
  </w:num>
  <w:num w:numId="26" w16cid:durableId="389426979">
    <w:abstractNumId w:val="23"/>
  </w:num>
  <w:num w:numId="27" w16cid:durableId="524486949">
    <w:abstractNumId w:val="34"/>
  </w:num>
  <w:num w:numId="28" w16cid:durableId="292905246">
    <w:abstractNumId w:val="6"/>
  </w:num>
  <w:num w:numId="29" w16cid:durableId="1769691504">
    <w:abstractNumId w:val="22"/>
  </w:num>
  <w:num w:numId="30" w16cid:durableId="1752970632">
    <w:abstractNumId w:val="37"/>
  </w:num>
  <w:num w:numId="31" w16cid:durableId="1249341800">
    <w:abstractNumId w:val="5"/>
  </w:num>
  <w:num w:numId="32" w16cid:durableId="738552407">
    <w:abstractNumId w:val="36"/>
  </w:num>
  <w:num w:numId="33" w16cid:durableId="1268536704">
    <w:abstractNumId w:val="31"/>
  </w:num>
  <w:num w:numId="34" w16cid:durableId="1635796392">
    <w:abstractNumId w:val="35"/>
  </w:num>
  <w:num w:numId="35" w16cid:durableId="920867808">
    <w:abstractNumId w:val="7"/>
  </w:num>
  <w:num w:numId="36" w16cid:durableId="2025008863">
    <w:abstractNumId w:val="10"/>
  </w:num>
  <w:num w:numId="37" w16cid:durableId="301690595">
    <w:abstractNumId w:val="16"/>
  </w:num>
  <w:num w:numId="38" w16cid:durableId="7691630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373DE"/>
    <w:rsid w:val="00185A46"/>
    <w:rsid w:val="001915B6"/>
    <w:rsid w:val="001A6EBD"/>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 w:val="00F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bg" TargetMode="External"/><Relationship Id="rId5" Type="http://schemas.openxmlformats.org/officeDocument/2006/relationships/hyperlink" Target="mailto:bda@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6026</Words>
  <Characters>34354</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2022-12-28T15:52:00Z</dcterms:created>
  <dcterms:modified xsi:type="dcterms:W3CDTF">2022-12-28T15:52:00Z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