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328C" w14:textId="16329281" w:rsidR="002C50EE" w:rsidRDefault="002C50EE" w:rsidP="002C50EE">
      <w:pPr>
        <w:pStyle w:val="Heading1"/>
        <w:jc w:val="center"/>
      </w:pPr>
      <w:bookmarkStart w:id="0" w:name="_Hlk63124480"/>
      <w:r>
        <w:t>КРАТКА ХАРАКТЕРИСТИКА НА ПРОДУКТА</w:t>
      </w:r>
    </w:p>
    <w:p w14:paraId="79516554" w14:textId="5232165E" w:rsidR="00DB32D3" w:rsidRDefault="00DD466D" w:rsidP="005726E3">
      <w:pPr>
        <w:pStyle w:val="Heading1"/>
      </w:pPr>
      <w:r>
        <w:t>1.ИМЕ НА ЛЕКАРСТВЕНИЯ ПРОДУКТ</w:t>
      </w:r>
    </w:p>
    <w:p w14:paraId="6690E79E" w14:textId="60127F93" w:rsidR="00D870F0" w:rsidRDefault="00D870F0" w:rsidP="00D870F0"/>
    <w:p w14:paraId="2B352771" w14:textId="77777777" w:rsidR="00D870F0" w:rsidRPr="00D870F0" w:rsidRDefault="00D870F0" w:rsidP="00D870F0">
      <w:pPr>
        <w:rPr>
          <w:sz w:val="24"/>
          <w:szCs w:val="24"/>
          <w:lang w:val="en-US" w:eastAsia="bg-BG"/>
        </w:rPr>
      </w:pPr>
      <w:r w:rsidRPr="00D870F0">
        <w:rPr>
          <w:lang w:eastAsia="bg-BG"/>
        </w:rPr>
        <w:t xml:space="preserve">Сорафениб Фармасайънс 200 </w:t>
      </w:r>
      <w:r w:rsidRPr="00D870F0">
        <w:rPr>
          <w:lang w:val="en-US"/>
        </w:rPr>
        <w:t xml:space="preserve">mg </w:t>
      </w:r>
      <w:r w:rsidRPr="00D870F0">
        <w:rPr>
          <w:lang w:eastAsia="bg-BG"/>
        </w:rPr>
        <w:t>филмирани таблетки</w:t>
      </w:r>
    </w:p>
    <w:p w14:paraId="40B508D0" w14:textId="3136DA1E" w:rsidR="00D870F0" w:rsidRPr="00D870F0" w:rsidRDefault="00D870F0" w:rsidP="00D870F0">
      <w:r w:rsidRPr="00D870F0">
        <w:rPr>
          <w:lang w:val="en-US"/>
        </w:rPr>
        <w:t xml:space="preserve">Sorafenib Pharmascience </w:t>
      </w:r>
      <w:r w:rsidRPr="00D870F0">
        <w:rPr>
          <w:lang w:eastAsia="bg-BG"/>
        </w:rPr>
        <w:t xml:space="preserve">200 </w:t>
      </w:r>
      <w:r w:rsidRPr="00D870F0">
        <w:rPr>
          <w:lang w:val="en-US"/>
        </w:rPr>
        <w:t>mg film-coated tablets</w:t>
      </w:r>
    </w:p>
    <w:p w14:paraId="48E6CABE" w14:textId="7E87550A" w:rsidR="00DB32D3" w:rsidRDefault="00DD466D" w:rsidP="005726E3">
      <w:pPr>
        <w:pStyle w:val="Heading1"/>
      </w:pPr>
      <w:r>
        <w:t>2. КАЧЕСТВЕН И КОЛИЧЕСТВЕН СЪСТАВ</w:t>
      </w:r>
    </w:p>
    <w:p w14:paraId="28D65D51" w14:textId="42C6A97E" w:rsidR="00D870F0" w:rsidRDefault="00D870F0" w:rsidP="00D870F0"/>
    <w:p w14:paraId="5A612209" w14:textId="7A89429D" w:rsidR="00D870F0" w:rsidRPr="00D870F0" w:rsidRDefault="00D870F0" w:rsidP="00D870F0">
      <w:r>
        <w:t xml:space="preserve">Всяка филмирана таблетка съдържа 200 </w:t>
      </w:r>
      <w:r>
        <w:rPr>
          <w:lang w:val="en-US"/>
        </w:rPr>
        <w:t xml:space="preserve">mg </w:t>
      </w:r>
      <w:r>
        <w:t xml:space="preserve">сорафениб </w:t>
      </w:r>
      <w:r>
        <w:rPr>
          <w:lang w:val="en-US"/>
        </w:rPr>
        <w:t xml:space="preserve">(sorafenib), </w:t>
      </w:r>
      <w:r>
        <w:t xml:space="preserve">като тозилат </w:t>
      </w:r>
      <w:r>
        <w:rPr>
          <w:lang w:val="en-US"/>
        </w:rPr>
        <w:t>(as tosylate).</w:t>
      </w:r>
    </w:p>
    <w:p w14:paraId="763B21BA" w14:textId="3A47EAD1" w:rsidR="001A6EBD" w:rsidRDefault="00DD466D" w:rsidP="00471F10">
      <w:pPr>
        <w:pStyle w:val="Heading1"/>
      </w:pPr>
      <w:r>
        <w:t>3. ЛЕКАРСТВЕНА ФОРМА</w:t>
      </w:r>
    </w:p>
    <w:p w14:paraId="74082213" w14:textId="77101E0C" w:rsidR="00D870F0" w:rsidRDefault="00D870F0" w:rsidP="00D870F0"/>
    <w:p w14:paraId="7B92A54D" w14:textId="77777777" w:rsidR="00D870F0" w:rsidRPr="00D870F0" w:rsidRDefault="00D870F0" w:rsidP="00D870F0">
      <w:pPr>
        <w:rPr>
          <w:sz w:val="24"/>
          <w:szCs w:val="24"/>
          <w:lang w:eastAsia="bg-BG"/>
        </w:rPr>
      </w:pPr>
      <w:r w:rsidRPr="00D870F0">
        <w:rPr>
          <w:lang w:eastAsia="bg-BG"/>
        </w:rPr>
        <w:t>Филмирана таблетка (таблетка).</w:t>
      </w:r>
    </w:p>
    <w:p w14:paraId="604F5885" w14:textId="77777777" w:rsidR="00D870F0" w:rsidRDefault="00D870F0" w:rsidP="00D870F0">
      <w:pPr>
        <w:rPr>
          <w:lang w:eastAsia="bg-BG"/>
        </w:rPr>
      </w:pPr>
    </w:p>
    <w:p w14:paraId="405DA8F9" w14:textId="13D1524F" w:rsidR="00D870F0" w:rsidRPr="00D870F0" w:rsidRDefault="00D870F0" w:rsidP="00D870F0">
      <w:r w:rsidRPr="00D870F0">
        <w:rPr>
          <w:lang w:eastAsia="bg-BG"/>
        </w:rPr>
        <w:t xml:space="preserve">Червенокафяви, кръгли, двойноизпъкнали филмирани таблетки, с вдлъбнато релефно обозначение “200” от едната страна и гладки от другата, с диаметър на таблетката 12 </w:t>
      </w:r>
      <w:r w:rsidRPr="00D870F0">
        <w:rPr>
          <w:lang w:val="en-US"/>
        </w:rPr>
        <w:t>mm.</w:t>
      </w:r>
    </w:p>
    <w:p w14:paraId="490FC2C4" w14:textId="6899DE43" w:rsidR="002C50EE" w:rsidRDefault="002C50EE" w:rsidP="002C50EE">
      <w:pPr>
        <w:pStyle w:val="Heading1"/>
      </w:pPr>
      <w:r>
        <w:t>4. КЛИНИЧНИ ДАННИ</w:t>
      </w:r>
    </w:p>
    <w:p w14:paraId="25C765CE" w14:textId="0A1779AE" w:rsidR="001A6EBD" w:rsidRDefault="002C50EE" w:rsidP="00471F10">
      <w:pPr>
        <w:pStyle w:val="Heading2"/>
      </w:pPr>
      <w:r>
        <w:t>4.1. Терапевтични показания</w:t>
      </w:r>
    </w:p>
    <w:p w14:paraId="41A3C74D" w14:textId="4321AC90" w:rsidR="00D870F0" w:rsidRDefault="00D870F0" w:rsidP="00D870F0"/>
    <w:p w14:paraId="6E52E46D" w14:textId="77777777" w:rsidR="00D870F0" w:rsidRPr="00D870F0" w:rsidRDefault="00D870F0" w:rsidP="00D870F0">
      <w:pPr>
        <w:spacing w:line="240" w:lineRule="auto"/>
        <w:rPr>
          <w:rFonts w:eastAsia="Times New Roman" w:cs="Arial"/>
          <w:sz w:val="28"/>
          <w:szCs w:val="28"/>
          <w:lang w:eastAsia="bg-BG"/>
        </w:rPr>
      </w:pPr>
      <w:r w:rsidRPr="00D870F0">
        <w:rPr>
          <w:rFonts w:eastAsia="Times New Roman" w:cs="Arial"/>
          <w:color w:val="000000"/>
          <w:u w:val="single"/>
          <w:lang w:eastAsia="bg-BG"/>
        </w:rPr>
        <w:t>Хепатоцелуларен карцином</w:t>
      </w:r>
    </w:p>
    <w:p w14:paraId="7D120C20" w14:textId="77777777" w:rsidR="00D870F0" w:rsidRPr="00D870F0" w:rsidRDefault="00D870F0" w:rsidP="00D870F0">
      <w:pPr>
        <w:spacing w:line="240" w:lineRule="auto"/>
        <w:rPr>
          <w:rFonts w:eastAsia="Times New Roman" w:cs="Arial"/>
          <w:sz w:val="28"/>
          <w:szCs w:val="28"/>
          <w:lang w:eastAsia="bg-BG"/>
        </w:rPr>
      </w:pPr>
      <w:r w:rsidRPr="00D870F0">
        <w:rPr>
          <w:rFonts w:eastAsia="Times New Roman" w:cs="Arial"/>
          <w:color w:val="000000"/>
          <w:lang w:eastAsia="bg-BG"/>
        </w:rPr>
        <w:t>Сорафениб Фармасайънс е показан за лечение на хепатоцелуларен карцином (вж. точка 5.1)</w:t>
      </w:r>
    </w:p>
    <w:p w14:paraId="3910D08E" w14:textId="77777777" w:rsidR="00D870F0" w:rsidRPr="00D870F0" w:rsidRDefault="00D870F0" w:rsidP="00D870F0">
      <w:pPr>
        <w:spacing w:line="240" w:lineRule="auto"/>
        <w:rPr>
          <w:rFonts w:eastAsia="Times New Roman" w:cs="Arial"/>
          <w:color w:val="000000"/>
          <w:u w:val="single"/>
          <w:lang w:eastAsia="bg-BG"/>
        </w:rPr>
      </w:pPr>
    </w:p>
    <w:p w14:paraId="38682DF9" w14:textId="31703793" w:rsidR="00D870F0" w:rsidRPr="00D870F0" w:rsidRDefault="00D870F0" w:rsidP="00D870F0">
      <w:pPr>
        <w:spacing w:line="240" w:lineRule="auto"/>
        <w:rPr>
          <w:rFonts w:eastAsia="Times New Roman" w:cs="Arial"/>
          <w:sz w:val="28"/>
          <w:szCs w:val="28"/>
          <w:lang w:eastAsia="bg-BG"/>
        </w:rPr>
      </w:pPr>
      <w:r w:rsidRPr="00D870F0">
        <w:rPr>
          <w:rFonts w:eastAsia="Times New Roman" w:cs="Arial"/>
          <w:color w:val="000000"/>
          <w:u w:val="single"/>
          <w:lang w:eastAsia="bg-BG"/>
        </w:rPr>
        <w:t>Бъбречно-клетъчен карцином</w:t>
      </w:r>
    </w:p>
    <w:p w14:paraId="0FB87729" w14:textId="77777777" w:rsidR="00D870F0" w:rsidRPr="00D870F0" w:rsidRDefault="00D870F0" w:rsidP="00D870F0">
      <w:pPr>
        <w:spacing w:line="240" w:lineRule="auto"/>
        <w:rPr>
          <w:rFonts w:eastAsia="Times New Roman" w:cs="Arial"/>
          <w:sz w:val="28"/>
          <w:szCs w:val="28"/>
          <w:lang w:eastAsia="bg-BG"/>
        </w:rPr>
      </w:pPr>
      <w:r w:rsidRPr="00D870F0">
        <w:rPr>
          <w:rFonts w:eastAsia="Times New Roman" w:cs="Arial"/>
          <w:color w:val="000000"/>
          <w:lang w:eastAsia="bg-BG"/>
        </w:rPr>
        <w:t>Сорафениб Фармасайънс е показан за лечение на пациенти с напреднал бъбречно-клетъчен карцином, които преди това са лекувани неуспешно с алфа-интерферон или интерлевкин-2 или са неподходящи за тази терапия.</w:t>
      </w:r>
    </w:p>
    <w:p w14:paraId="7DE5F71C" w14:textId="77777777" w:rsidR="00D870F0" w:rsidRPr="00D870F0" w:rsidRDefault="00D870F0" w:rsidP="00D870F0"/>
    <w:p w14:paraId="19026639" w14:textId="34F00052" w:rsidR="001A6EBD" w:rsidRDefault="002C50EE" w:rsidP="00471F10">
      <w:pPr>
        <w:pStyle w:val="Heading2"/>
      </w:pPr>
      <w:r>
        <w:t>4.2. Дозировка и начин на приложение</w:t>
      </w:r>
    </w:p>
    <w:p w14:paraId="7649280C" w14:textId="6F924187" w:rsidR="00D870F0" w:rsidRDefault="00D870F0" w:rsidP="00D870F0"/>
    <w:p w14:paraId="7039ADE6" w14:textId="77777777" w:rsidR="00D870F0" w:rsidRPr="00D870F0" w:rsidRDefault="00D870F0" w:rsidP="00D870F0">
      <w:pPr>
        <w:spacing w:line="240" w:lineRule="auto"/>
        <w:rPr>
          <w:rFonts w:eastAsia="Times New Roman" w:cs="Arial"/>
          <w:sz w:val="28"/>
          <w:szCs w:val="28"/>
          <w:lang w:eastAsia="bg-BG"/>
        </w:rPr>
      </w:pPr>
      <w:r w:rsidRPr="00D870F0">
        <w:rPr>
          <w:rFonts w:eastAsia="Times New Roman" w:cs="Arial"/>
          <w:color w:val="000000"/>
          <w:lang w:eastAsia="bg-BG"/>
        </w:rPr>
        <w:t>Лечението със Сорафениб Фармасайънс трябва да се контролира от лекар, с опит с противораковата терапия.</w:t>
      </w:r>
    </w:p>
    <w:p w14:paraId="308D3BF2" w14:textId="77777777" w:rsidR="00D870F0" w:rsidRPr="00D870F0" w:rsidRDefault="00D870F0" w:rsidP="00D870F0">
      <w:pPr>
        <w:spacing w:line="240" w:lineRule="auto"/>
        <w:rPr>
          <w:rFonts w:eastAsia="Times New Roman" w:cs="Arial"/>
          <w:color w:val="000000"/>
          <w:u w:val="single"/>
          <w:lang w:eastAsia="bg-BG"/>
        </w:rPr>
      </w:pPr>
    </w:p>
    <w:p w14:paraId="6FD14571" w14:textId="33BE8F53" w:rsidR="00D870F0" w:rsidRPr="00D870F0" w:rsidRDefault="00D870F0" w:rsidP="00D870F0">
      <w:pPr>
        <w:pStyle w:val="Heading3"/>
        <w:rPr>
          <w:rFonts w:eastAsia="Times New Roman"/>
          <w:sz w:val="28"/>
          <w:szCs w:val="28"/>
          <w:u w:val="single"/>
          <w:lang w:eastAsia="bg-BG"/>
        </w:rPr>
      </w:pPr>
      <w:r w:rsidRPr="00D870F0">
        <w:rPr>
          <w:rFonts w:eastAsia="Times New Roman"/>
          <w:u w:val="single"/>
          <w:lang w:eastAsia="bg-BG"/>
        </w:rPr>
        <w:t>Дозировка</w:t>
      </w:r>
    </w:p>
    <w:p w14:paraId="4A61E7AD" w14:textId="77777777" w:rsidR="00D870F0" w:rsidRPr="00D870F0" w:rsidRDefault="00D870F0" w:rsidP="00D870F0">
      <w:pPr>
        <w:spacing w:line="240" w:lineRule="auto"/>
        <w:rPr>
          <w:rFonts w:eastAsia="Times New Roman" w:cs="Arial"/>
          <w:sz w:val="28"/>
          <w:szCs w:val="28"/>
          <w:lang w:eastAsia="bg-BG"/>
        </w:rPr>
      </w:pPr>
      <w:r w:rsidRPr="00D870F0">
        <w:rPr>
          <w:rFonts w:eastAsia="Times New Roman" w:cs="Arial"/>
          <w:color w:val="000000"/>
          <w:lang w:eastAsia="bg-BG"/>
        </w:rPr>
        <w:t xml:space="preserve">Препоръчваната доза сорафениб при възрастни е 400 </w:t>
      </w:r>
      <w:r w:rsidRPr="00D870F0">
        <w:rPr>
          <w:rFonts w:eastAsia="Times New Roman" w:cs="Arial"/>
          <w:color w:val="000000"/>
          <w:lang w:val="en-US"/>
        </w:rPr>
        <w:t xml:space="preserve">mg </w:t>
      </w:r>
      <w:r w:rsidRPr="00D870F0">
        <w:rPr>
          <w:rFonts w:eastAsia="Times New Roman" w:cs="Arial"/>
          <w:color w:val="000000"/>
          <w:lang w:eastAsia="bg-BG"/>
        </w:rPr>
        <w:t xml:space="preserve">(две таблетки от 200 </w:t>
      </w:r>
      <w:r w:rsidRPr="00D870F0">
        <w:rPr>
          <w:rFonts w:eastAsia="Times New Roman" w:cs="Arial"/>
          <w:color w:val="000000"/>
          <w:lang w:val="en-US"/>
        </w:rPr>
        <w:t xml:space="preserve">mg) </w:t>
      </w:r>
      <w:r w:rsidRPr="00D870F0">
        <w:rPr>
          <w:rFonts w:eastAsia="Times New Roman" w:cs="Arial"/>
          <w:color w:val="000000"/>
          <w:lang w:eastAsia="bg-BG"/>
        </w:rPr>
        <w:t xml:space="preserve">два пъти дневно (еквивалентно на обща дневна доза от 800 </w:t>
      </w:r>
      <w:r w:rsidRPr="00D870F0">
        <w:rPr>
          <w:rFonts w:eastAsia="Times New Roman" w:cs="Arial"/>
          <w:color w:val="000000"/>
          <w:lang w:val="en-US"/>
        </w:rPr>
        <w:t>mg).</w:t>
      </w:r>
    </w:p>
    <w:p w14:paraId="2A692BD6" w14:textId="77777777" w:rsidR="00D870F0" w:rsidRPr="00D870F0" w:rsidRDefault="00D870F0" w:rsidP="00D870F0">
      <w:pPr>
        <w:spacing w:line="240" w:lineRule="auto"/>
        <w:rPr>
          <w:rFonts w:eastAsia="Times New Roman" w:cs="Arial"/>
          <w:color w:val="000000"/>
          <w:lang w:eastAsia="bg-BG"/>
        </w:rPr>
      </w:pPr>
    </w:p>
    <w:p w14:paraId="2901B9C8" w14:textId="35416FC2" w:rsidR="00D870F0" w:rsidRPr="00D870F0" w:rsidRDefault="00D870F0" w:rsidP="00D870F0">
      <w:pPr>
        <w:spacing w:line="240" w:lineRule="auto"/>
        <w:rPr>
          <w:rFonts w:eastAsia="Times New Roman" w:cs="Arial"/>
          <w:sz w:val="28"/>
          <w:szCs w:val="28"/>
          <w:lang w:eastAsia="bg-BG"/>
        </w:rPr>
      </w:pPr>
      <w:r w:rsidRPr="00D870F0">
        <w:rPr>
          <w:rFonts w:eastAsia="Times New Roman" w:cs="Arial"/>
          <w:color w:val="000000"/>
          <w:lang w:eastAsia="bg-BG"/>
        </w:rPr>
        <w:t>Лечението трябва да продължи до получаване на клиничен ефект или докато се появи неприемлива токсичност.</w:t>
      </w:r>
    </w:p>
    <w:p w14:paraId="58E8CAE8" w14:textId="1FC379BA" w:rsidR="00D870F0" w:rsidRPr="00D870F0" w:rsidRDefault="00D870F0" w:rsidP="00D870F0">
      <w:pPr>
        <w:rPr>
          <w:rFonts w:cs="Arial"/>
          <w:sz w:val="24"/>
          <w:szCs w:val="24"/>
        </w:rPr>
      </w:pPr>
    </w:p>
    <w:p w14:paraId="077F23D7" w14:textId="77777777" w:rsidR="00D870F0" w:rsidRPr="00D870F0" w:rsidRDefault="00D870F0" w:rsidP="00D870F0">
      <w:pPr>
        <w:spacing w:line="240" w:lineRule="auto"/>
        <w:rPr>
          <w:rFonts w:eastAsia="Times New Roman" w:cs="Arial"/>
          <w:sz w:val="28"/>
          <w:szCs w:val="28"/>
          <w:lang w:eastAsia="bg-BG"/>
        </w:rPr>
      </w:pPr>
      <w:r w:rsidRPr="00D870F0">
        <w:rPr>
          <w:rFonts w:eastAsia="Times New Roman" w:cs="Arial"/>
          <w:color w:val="000000"/>
          <w:u w:val="single"/>
          <w:lang w:eastAsia="bg-BG"/>
        </w:rPr>
        <w:t>Корекция на дозата</w:t>
      </w:r>
    </w:p>
    <w:p w14:paraId="338EAEDF" w14:textId="77777777" w:rsidR="00D870F0" w:rsidRPr="00D870F0" w:rsidRDefault="00D870F0" w:rsidP="00D870F0">
      <w:pPr>
        <w:spacing w:line="240" w:lineRule="auto"/>
        <w:rPr>
          <w:rFonts w:eastAsia="Times New Roman" w:cs="Arial"/>
          <w:sz w:val="28"/>
          <w:szCs w:val="28"/>
          <w:lang w:eastAsia="bg-BG"/>
        </w:rPr>
      </w:pPr>
      <w:r w:rsidRPr="00D870F0">
        <w:rPr>
          <w:rFonts w:eastAsia="Times New Roman" w:cs="Arial"/>
          <w:color w:val="000000"/>
          <w:lang w:eastAsia="bg-BG"/>
        </w:rPr>
        <w:lastRenderedPageBreak/>
        <w:t>Лечението на подозираните нежелани реакции може да наложи временно прекъсване или намаляване на дозата при лечението със сорафениб.</w:t>
      </w:r>
    </w:p>
    <w:p w14:paraId="03D76A98" w14:textId="77777777" w:rsidR="00D870F0" w:rsidRPr="00D870F0" w:rsidRDefault="00D870F0" w:rsidP="00D870F0">
      <w:pPr>
        <w:spacing w:line="240" w:lineRule="auto"/>
        <w:rPr>
          <w:rFonts w:eastAsia="Times New Roman" w:cs="Arial"/>
          <w:sz w:val="28"/>
          <w:szCs w:val="28"/>
          <w:lang w:eastAsia="bg-BG"/>
        </w:rPr>
      </w:pPr>
      <w:r w:rsidRPr="00D870F0">
        <w:rPr>
          <w:rFonts w:eastAsia="Times New Roman" w:cs="Arial"/>
          <w:color w:val="000000"/>
          <w:lang w:eastAsia="bg-BG"/>
        </w:rPr>
        <w:t xml:space="preserve">Когато е необходимо редуциране на дозата по време на лечение на хепатоцелуларен карцином (НСС) и напреднал бъбречно-клетъчен карцином </w:t>
      </w:r>
      <w:r w:rsidRPr="00D870F0">
        <w:rPr>
          <w:rFonts w:eastAsia="Times New Roman" w:cs="Arial"/>
          <w:color w:val="000000"/>
          <w:lang w:val="en-US"/>
        </w:rPr>
        <w:t xml:space="preserve">(RCC), </w:t>
      </w:r>
      <w:r w:rsidRPr="00D870F0">
        <w:rPr>
          <w:rFonts w:eastAsia="Times New Roman" w:cs="Arial"/>
          <w:color w:val="000000"/>
          <w:lang w:eastAsia="bg-BG"/>
        </w:rPr>
        <w:t xml:space="preserve">дозата на Сорафениб Фармасайънс трябва да бъде редуцирана на две таблетки от 200 </w:t>
      </w:r>
      <w:r w:rsidRPr="00D870F0">
        <w:rPr>
          <w:rFonts w:eastAsia="Times New Roman" w:cs="Arial"/>
          <w:color w:val="000000"/>
          <w:lang w:val="en-US"/>
        </w:rPr>
        <w:t xml:space="preserve">mg </w:t>
      </w:r>
      <w:r w:rsidRPr="00D870F0">
        <w:rPr>
          <w:rFonts w:eastAsia="Times New Roman" w:cs="Arial"/>
          <w:color w:val="000000"/>
          <w:lang w:eastAsia="bg-BG"/>
        </w:rPr>
        <w:t>сорафениб един път дневно (вж. точка 4.4).</w:t>
      </w:r>
    </w:p>
    <w:p w14:paraId="35155854" w14:textId="77777777" w:rsidR="00D870F0" w:rsidRPr="00D870F0" w:rsidRDefault="00D870F0" w:rsidP="00D870F0">
      <w:pPr>
        <w:spacing w:line="240" w:lineRule="auto"/>
        <w:rPr>
          <w:rFonts w:eastAsia="Times New Roman" w:cs="Arial"/>
          <w:i/>
          <w:iCs/>
          <w:color w:val="000000"/>
          <w:lang w:eastAsia="bg-BG"/>
        </w:rPr>
      </w:pPr>
    </w:p>
    <w:p w14:paraId="7A210AED" w14:textId="7A80AA62" w:rsidR="00D870F0" w:rsidRPr="00D870F0" w:rsidRDefault="00D870F0" w:rsidP="00D870F0">
      <w:pPr>
        <w:spacing w:line="240" w:lineRule="auto"/>
        <w:rPr>
          <w:rFonts w:eastAsia="Times New Roman" w:cs="Arial"/>
          <w:sz w:val="28"/>
          <w:szCs w:val="28"/>
          <w:lang w:eastAsia="bg-BG"/>
        </w:rPr>
      </w:pPr>
      <w:r w:rsidRPr="00D870F0">
        <w:rPr>
          <w:rFonts w:eastAsia="Times New Roman" w:cs="Arial"/>
          <w:i/>
          <w:iCs/>
          <w:color w:val="000000"/>
          <w:lang w:eastAsia="bg-BG"/>
        </w:rPr>
        <w:t>Педиатрична популация</w:t>
      </w:r>
    </w:p>
    <w:p w14:paraId="60AD31C3" w14:textId="77777777" w:rsidR="00D870F0" w:rsidRPr="00D870F0" w:rsidRDefault="00D870F0" w:rsidP="00D870F0">
      <w:pPr>
        <w:spacing w:line="240" w:lineRule="auto"/>
        <w:rPr>
          <w:rFonts w:eastAsia="Times New Roman" w:cs="Arial"/>
          <w:sz w:val="28"/>
          <w:szCs w:val="28"/>
          <w:lang w:eastAsia="bg-BG"/>
        </w:rPr>
      </w:pPr>
      <w:r w:rsidRPr="00D870F0">
        <w:rPr>
          <w:rFonts w:eastAsia="Times New Roman" w:cs="Arial"/>
          <w:color w:val="000000"/>
          <w:lang w:eastAsia="bg-BG"/>
        </w:rPr>
        <w:t>Безопасността и ефикасността на Сорафениб Фармасайънс при деца и юноши на възраст до 18 години все още не са установени. Липсват данни.</w:t>
      </w:r>
    </w:p>
    <w:p w14:paraId="51E03AA9" w14:textId="77777777" w:rsidR="00D870F0" w:rsidRPr="00D870F0" w:rsidRDefault="00D870F0" w:rsidP="00D870F0">
      <w:pPr>
        <w:spacing w:line="240" w:lineRule="auto"/>
        <w:rPr>
          <w:rFonts w:eastAsia="Times New Roman" w:cs="Arial"/>
          <w:i/>
          <w:iCs/>
          <w:color w:val="000000"/>
          <w:lang w:eastAsia="bg-BG"/>
        </w:rPr>
      </w:pPr>
    </w:p>
    <w:p w14:paraId="6F5AF5DB" w14:textId="0EEA698F" w:rsidR="00D870F0" w:rsidRPr="00D870F0" w:rsidRDefault="00D870F0" w:rsidP="00D870F0">
      <w:pPr>
        <w:spacing w:line="240" w:lineRule="auto"/>
        <w:rPr>
          <w:rFonts w:eastAsia="Times New Roman" w:cs="Arial"/>
          <w:sz w:val="28"/>
          <w:szCs w:val="28"/>
          <w:lang w:eastAsia="bg-BG"/>
        </w:rPr>
      </w:pPr>
      <w:r w:rsidRPr="00D870F0">
        <w:rPr>
          <w:rFonts w:eastAsia="Times New Roman" w:cs="Arial"/>
          <w:i/>
          <w:iCs/>
          <w:color w:val="000000"/>
          <w:lang w:eastAsia="bg-BG"/>
        </w:rPr>
        <w:t>Пациенти в старческа възраст:</w:t>
      </w:r>
    </w:p>
    <w:p w14:paraId="0F96C19B" w14:textId="77777777" w:rsidR="00D870F0" w:rsidRPr="00D870F0" w:rsidRDefault="00D870F0" w:rsidP="00D870F0">
      <w:pPr>
        <w:spacing w:line="240" w:lineRule="auto"/>
        <w:rPr>
          <w:rFonts w:eastAsia="Times New Roman" w:cs="Arial"/>
          <w:sz w:val="28"/>
          <w:szCs w:val="28"/>
          <w:lang w:eastAsia="bg-BG"/>
        </w:rPr>
      </w:pPr>
      <w:r w:rsidRPr="00D870F0">
        <w:rPr>
          <w:rFonts w:eastAsia="Times New Roman" w:cs="Arial"/>
          <w:color w:val="000000"/>
          <w:lang w:eastAsia="bg-BG"/>
        </w:rPr>
        <w:t>Не е необходима корекция на дозата при лица в старческа възраст (пациенти по-възрастни от 65годишна възраст).</w:t>
      </w:r>
    </w:p>
    <w:p w14:paraId="3E0E609F" w14:textId="77777777" w:rsidR="00D870F0" w:rsidRPr="00D870F0" w:rsidRDefault="00D870F0" w:rsidP="00D870F0">
      <w:pPr>
        <w:spacing w:line="240" w:lineRule="auto"/>
        <w:rPr>
          <w:rFonts w:eastAsia="Times New Roman" w:cs="Arial"/>
          <w:i/>
          <w:iCs/>
          <w:color w:val="000000"/>
          <w:lang w:eastAsia="bg-BG"/>
        </w:rPr>
      </w:pPr>
    </w:p>
    <w:p w14:paraId="258E1247" w14:textId="22374993" w:rsidR="00D870F0" w:rsidRPr="00D870F0" w:rsidRDefault="00D870F0" w:rsidP="00D870F0">
      <w:pPr>
        <w:spacing w:line="240" w:lineRule="auto"/>
        <w:rPr>
          <w:rFonts w:eastAsia="Times New Roman" w:cs="Arial"/>
          <w:sz w:val="28"/>
          <w:szCs w:val="28"/>
          <w:lang w:eastAsia="bg-BG"/>
        </w:rPr>
      </w:pPr>
      <w:r w:rsidRPr="00D870F0">
        <w:rPr>
          <w:rFonts w:eastAsia="Times New Roman" w:cs="Arial"/>
          <w:i/>
          <w:iCs/>
          <w:color w:val="000000"/>
          <w:lang w:eastAsia="bg-BG"/>
        </w:rPr>
        <w:t>Бъбречно увреждане</w:t>
      </w:r>
    </w:p>
    <w:p w14:paraId="566005C2" w14:textId="77777777" w:rsidR="00D870F0" w:rsidRPr="00D870F0" w:rsidRDefault="00D870F0" w:rsidP="00D870F0">
      <w:pPr>
        <w:spacing w:line="240" w:lineRule="auto"/>
        <w:rPr>
          <w:rFonts w:eastAsia="Times New Roman" w:cs="Arial"/>
          <w:sz w:val="28"/>
          <w:szCs w:val="28"/>
          <w:lang w:eastAsia="bg-BG"/>
        </w:rPr>
      </w:pPr>
      <w:r w:rsidRPr="00D870F0">
        <w:rPr>
          <w:rFonts w:eastAsia="Times New Roman" w:cs="Arial"/>
          <w:color w:val="000000"/>
          <w:lang w:eastAsia="bg-BG"/>
        </w:rPr>
        <w:t>Не е необходима корекция на дозата при пациенти с леко, умерено или тежко бъбречно увреждане. Няма данни при пациенти на диализа (вж. точка 5.2).</w:t>
      </w:r>
    </w:p>
    <w:p w14:paraId="5AD9A0A4" w14:textId="77777777" w:rsidR="00D870F0" w:rsidRPr="00D870F0" w:rsidRDefault="00D870F0" w:rsidP="00D870F0">
      <w:pPr>
        <w:spacing w:line="240" w:lineRule="auto"/>
        <w:rPr>
          <w:rFonts w:eastAsia="Times New Roman" w:cs="Arial"/>
          <w:color w:val="000000"/>
          <w:lang w:eastAsia="bg-BG"/>
        </w:rPr>
      </w:pPr>
    </w:p>
    <w:p w14:paraId="3CC9C6C2" w14:textId="02142B9C" w:rsidR="00D870F0" w:rsidRPr="00D870F0" w:rsidRDefault="00D870F0" w:rsidP="00D870F0">
      <w:pPr>
        <w:spacing w:line="240" w:lineRule="auto"/>
        <w:rPr>
          <w:rFonts w:eastAsia="Times New Roman" w:cs="Arial"/>
          <w:sz w:val="28"/>
          <w:szCs w:val="28"/>
          <w:lang w:eastAsia="bg-BG"/>
        </w:rPr>
      </w:pPr>
      <w:r w:rsidRPr="00D870F0">
        <w:rPr>
          <w:rFonts w:eastAsia="Times New Roman" w:cs="Arial"/>
          <w:color w:val="000000"/>
          <w:lang w:eastAsia="bg-BG"/>
        </w:rPr>
        <w:t>Проследяването на баланса на течностите и електролитите при пациенти с риск за нарушена бъбречна функция е препоръчително.</w:t>
      </w:r>
    </w:p>
    <w:p w14:paraId="603F93C1" w14:textId="77777777" w:rsidR="00D870F0" w:rsidRPr="00D870F0" w:rsidRDefault="00D870F0" w:rsidP="00D870F0">
      <w:pPr>
        <w:spacing w:line="240" w:lineRule="auto"/>
        <w:rPr>
          <w:rFonts w:eastAsia="Times New Roman" w:cs="Arial"/>
          <w:i/>
          <w:iCs/>
          <w:color w:val="000000"/>
          <w:lang w:eastAsia="bg-BG"/>
        </w:rPr>
      </w:pPr>
    </w:p>
    <w:p w14:paraId="23DACDCE" w14:textId="489D93E5" w:rsidR="00D870F0" w:rsidRPr="00D870F0" w:rsidRDefault="00D870F0" w:rsidP="00D870F0">
      <w:pPr>
        <w:spacing w:line="240" w:lineRule="auto"/>
        <w:rPr>
          <w:rFonts w:eastAsia="Times New Roman" w:cs="Arial"/>
          <w:sz w:val="28"/>
          <w:szCs w:val="28"/>
          <w:lang w:eastAsia="bg-BG"/>
        </w:rPr>
      </w:pPr>
      <w:r w:rsidRPr="00D870F0">
        <w:rPr>
          <w:rFonts w:eastAsia="Times New Roman" w:cs="Arial"/>
          <w:i/>
          <w:iCs/>
          <w:color w:val="000000"/>
          <w:lang w:eastAsia="bg-BG"/>
        </w:rPr>
        <w:t>Чернодробно увреждане</w:t>
      </w:r>
    </w:p>
    <w:p w14:paraId="1C161CB3" w14:textId="77777777" w:rsidR="00D870F0" w:rsidRPr="00D870F0" w:rsidRDefault="00D870F0" w:rsidP="00D870F0">
      <w:pPr>
        <w:spacing w:line="240" w:lineRule="auto"/>
        <w:rPr>
          <w:rFonts w:eastAsia="Times New Roman" w:cs="Arial"/>
          <w:sz w:val="28"/>
          <w:szCs w:val="28"/>
          <w:lang w:eastAsia="bg-BG"/>
        </w:rPr>
      </w:pPr>
      <w:r w:rsidRPr="00D870F0">
        <w:rPr>
          <w:rFonts w:eastAsia="Times New Roman" w:cs="Arial"/>
          <w:color w:val="000000"/>
          <w:lang w:eastAsia="bg-BG"/>
        </w:rPr>
        <w:t xml:space="preserve">Не е необходима корекция на дозата при пациенти с </w:t>
      </w:r>
      <w:r w:rsidRPr="00D870F0">
        <w:rPr>
          <w:rFonts w:eastAsia="Times New Roman" w:cs="Arial"/>
          <w:color w:val="000000"/>
          <w:lang w:val="en-US"/>
        </w:rPr>
        <w:t xml:space="preserve">Child Pugh </w:t>
      </w:r>
      <w:r w:rsidRPr="00D870F0">
        <w:rPr>
          <w:rFonts w:eastAsia="Times New Roman" w:cs="Arial"/>
          <w:color w:val="000000"/>
          <w:lang w:eastAsia="bg-BG"/>
        </w:rPr>
        <w:t xml:space="preserve">А или В (леко и умерено) чернодробно увреждане. Няма данни при пациенти с </w:t>
      </w:r>
      <w:r w:rsidRPr="00D870F0">
        <w:rPr>
          <w:rFonts w:eastAsia="Times New Roman" w:cs="Arial"/>
          <w:color w:val="000000"/>
          <w:lang w:val="en-US"/>
        </w:rPr>
        <w:t xml:space="preserve">Child Pugh </w:t>
      </w:r>
      <w:r w:rsidRPr="00D870F0">
        <w:rPr>
          <w:rFonts w:eastAsia="Times New Roman" w:cs="Arial"/>
          <w:color w:val="000000"/>
          <w:lang w:eastAsia="bg-BG"/>
        </w:rPr>
        <w:t>С (тежко) чернодробно увреждане (вж. точки 4.4 и 5.2).</w:t>
      </w:r>
    </w:p>
    <w:p w14:paraId="656F2FB8" w14:textId="77777777" w:rsidR="00D870F0" w:rsidRPr="00D870F0" w:rsidRDefault="00D870F0" w:rsidP="00D870F0">
      <w:pPr>
        <w:spacing w:line="240" w:lineRule="auto"/>
        <w:rPr>
          <w:rFonts w:eastAsia="Times New Roman" w:cs="Arial"/>
          <w:color w:val="000000"/>
          <w:u w:val="single"/>
          <w:lang w:eastAsia="bg-BG"/>
        </w:rPr>
      </w:pPr>
    </w:p>
    <w:p w14:paraId="1757AFBC" w14:textId="69F48A6C" w:rsidR="00D870F0" w:rsidRPr="00D870F0" w:rsidRDefault="00D870F0" w:rsidP="00D870F0">
      <w:pPr>
        <w:pStyle w:val="Heading3"/>
        <w:rPr>
          <w:rFonts w:eastAsia="Times New Roman"/>
          <w:sz w:val="28"/>
          <w:szCs w:val="28"/>
          <w:u w:val="single"/>
          <w:lang w:eastAsia="bg-BG"/>
        </w:rPr>
      </w:pPr>
      <w:r w:rsidRPr="00D870F0">
        <w:rPr>
          <w:rFonts w:eastAsia="Times New Roman"/>
          <w:u w:val="single"/>
          <w:lang w:eastAsia="bg-BG"/>
        </w:rPr>
        <w:t>Начин на приложение</w:t>
      </w:r>
    </w:p>
    <w:p w14:paraId="19FD7553" w14:textId="77777777" w:rsidR="00D870F0" w:rsidRPr="00D870F0" w:rsidRDefault="00D870F0" w:rsidP="00D870F0">
      <w:pPr>
        <w:spacing w:line="240" w:lineRule="auto"/>
        <w:rPr>
          <w:rFonts w:eastAsia="Times New Roman" w:cs="Arial"/>
          <w:sz w:val="28"/>
          <w:szCs w:val="28"/>
          <w:lang w:eastAsia="bg-BG"/>
        </w:rPr>
      </w:pPr>
      <w:r w:rsidRPr="00D870F0">
        <w:rPr>
          <w:rFonts w:eastAsia="Times New Roman" w:cs="Arial"/>
          <w:color w:val="000000"/>
          <w:lang w:eastAsia="bg-BG"/>
        </w:rPr>
        <w:t>За перорално приложение.</w:t>
      </w:r>
    </w:p>
    <w:p w14:paraId="2B8AA335" w14:textId="77777777" w:rsidR="00D870F0" w:rsidRPr="00D870F0" w:rsidRDefault="00D870F0" w:rsidP="00D870F0">
      <w:pPr>
        <w:spacing w:line="240" w:lineRule="auto"/>
        <w:rPr>
          <w:rFonts w:eastAsia="Times New Roman" w:cs="Arial"/>
          <w:sz w:val="28"/>
          <w:szCs w:val="28"/>
          <w:lang w:eastAsia="bg-BG"/>
        </w:rPr>
      </w:pPr>
      <w:r w:rsidRPr="00D870F0">
        <w:rPr>
          <w:rFonts w:eastAsia="Times New Roman" w:cs="Arial"/>
          <w:color w:val="000000"/>
          <w:lang w:eastAsia="bg-BG"/>
        </w:rPr>
        <w:t>Препоръчва се сорафениб да се прилага на гладно или с храна с ниско или умерено съдържание на мазнини. Ако пациентът възнамерява да приема храна, богата на мазнини, таблетките сорафениб трябва да се вземат най-малко 1 час преди или 2 часа след хранене. Таблетките трябва да се приемат с чаша вода.</w:t>
      </w:r>
    </w:p>
    <w:p w14:paraId="292184E7" w14:textId="77777777" w:rsidR="00D870F0" w:rsidRPr="00D870F0" w:rsidRDefault="00D870F0" w:rsidP="00D870F0"/>
    <w:p w14:paraId="1BF2EFF4" w14:textId="0E10AE75" w:rsidR="001A6EBD" w:rsidRDefault="002C50EE" w:rsidP="00471F10">
      <w:pPr>
        <w:pStyle w:val="Heading2"/>
      </w:pPr>
      <w:r>
        <w:t>4.3. Противопоказания</w:t>
      </w:r>
    </w:p>
    <w:p w14:paraId="31016A30" w14:textId="1E53894F" w:rsidR="00D870F0" w:rsidRDefault="00D870F0" w:rsidP="00D870F0"/>
    <w:p w14:paraId="05C75553" w14:textId="3AEA72DC" w:rsidR="00D870F0" w:rsidRDefault="00D870F0" w:rsidP="00D870F0">
      <w:r>
        <w:t>Свръхчувствителност към активното вещество или към някое от помощните вещества, изброени в точка 6.1.</w:t>
      </w:r>
    </w:p>
    <w:p w14:paraId="4F4525E2" w14:textId="77777777" w:rsidR="00D870F0" w:rsidRPr="00D870F0" w:rsidRDefault="00D870F0" w:rsidP="00D870F0"/>
    <w:p w14:paraId="0C106098" w14:textId="29AF4FD6" w:rsidR="001A6EBD" w:rsidRDefault="002C50EE" w:rsidP="00471F10">
      <w:pPr>
        <w:pStyle w:val="Heading2"/>
      </w:pPr>
      <w:r>
        <w:t>4.4. Специални предупреждения и предпазни мерки при употреба</w:t>
      </w:r>
    </w:p>
    <w:p w14:paraId="459687F4" w14:textId="2ACB1F47" w:rsidR="00D870F0" w:rsidRDefault="00D870F0" w:rsidP="00D870F0"/>
    <w:p w14:paraId="530ED125" w14:textId="77777777" w:rsidR="00D870F0" w:rsidRPr="00D870F0" w:rsidRDefault="00D870F0" w:rsidP="00D870F0">
      <w:pPr>
        <w:spacing w:line="240" w:lineRule="auto"/>
        <w:rPr>
          <w:rFonts w:eastAsia="Times New Roman" w:cs="Arial"/>
          <w:lang w:eastAsia="bg-BG"/>
        </w:rPr>
      </w:pPr>
      <w:r w:rsidRPr="00D870F0">
        <w:rPr>
          <w:rFonts w:eastAsia="Times New Roman" w:cs="Arial"/>
          <w:color w:val="000000"/>
          <w:u w:val="single"/>
          <w:lang w:eastAsia="bg-BG"/>
        </w:rPr>
        <w:t>Дерматологична токсичност</w:t>
      </w:r>
    </w:p>
    <w:p w14:paraId="555357F2" w14:textId="77777777" w:rsidR="00D870F0" w:rsidRPr="00D870F0" w:rsidRDefault="00D870F0" w:rsidP="00D870F0">
      <w:pPr>
        <w:rPr>
          <w:rFonts w:eastAsia="Times New Roman" w:cs="Arial"/>
          <w:lang w:eastAsia="bg-BG"/>
        </w:rPr>
      </w:pPr>
      <w:r w:rsidRPr="00D870F0">
        <w:rPr>
          <w:rFonts w:eastAsia="Times New Roman" w:cs="Arial"/>
          <w:color w:val="000000"/>
          <w:lang w:eastAsia="bg-BG"/>
        </w:rPr>
        <w:t xml:space="preserve">Кожна реакция ръка-крак (палмарно-плантарна еритродизестезия) и обрив представляват най- честите нежелани лекарствени реакции със сорафениб. Обривът и кожната реакция ръка-крак са обикновено степен I и II СТС </w:t>
      </w:r>
      <w:r w:rsidRPr="00D870F0">
        <w:rPr>
          <w:rFonts w:eastAsia="Times New Roman" w:cs="Arial"/>
          <w:color w:val="000000"/>
          <w:lang w:val="en-US"/>
        </w:rPr>
        <w:t xml:space="preserve">(Common Toxicity Criteria </w:t>
      </w:r>
      <w:r w:rsidRPr="00D870F0">
        <w:rPr>
          <w:rFonts w:eastAsia="Times New Roman" w:cs="Arial"/>
          <w:color w:val="000000"/>
          <w:lang w:eastAsia="bg-BG"/>
        </w:rPr>
        <w:t>- общи критерии за токсичност), и обикновено се появяват през първите 6 седмици на лечение със сорафениб. Лечението на</w:t>
      </w:r>
      <w:r w:rsidRPr="00D870F0">
        <w:rPr>
          <w:rFonts w:eastAsia="Times New Roman" w:cs="Arial"/>
          <w:b/>
          <w:bCs/>
          <w:color w:val="000000"/>
          <w:lang w:eastAsia="bg-BG"/>
        </w:rPr>
        <w:t xml:space="preserve"> </w:t>
      </w:r>
      <w:r w:rsidRPr="00D870F0">
        <w:rPr>
          <w:rFonts w:eastAsia="Times New Roman" w:cs="Arial"/>
          <w:color w:val="000000"/>
          <w:lang w:eastAsia="bg-BG"/>
        </w:rPr>
        <w:t>дерматологичната токсичност може да включва локално лечение за симптоматично облекчаване,</w:t>
      </w:r>
      <w:r w:rsidRPr="00D870F0">
        <w:rPr>
          <w:rFonts w:eastAsia="Times New Roman" w:cs="Arial"/>
          <w:color w:val="000000"/>
          <w:lang w:eastAsia="bg-BG"/>
        </w:rPr>
        <w:t xml:space="preserve"> </w:t>
      </w:r>
      <w:r w:rsidRPr="00D870F0">
        <w:rPr>
          <w:rFonts w:eastAsia="Times New Roman" w:cs="Arial"/>
          <w:color w:val="000000"/>
          <w:lang w:eastAsia="bg-BG"/>
        </w:rPr>
        <w:t xml:space="preserve">временно прекъсване и/или промяна на дозата </w:t>
      </w:r>
      <w:r w:rsidRPr="00D870F0">
        <w:rPr>
          <w:rFonts w:eastAsia="Times New Roman" w:cs="Arial"/>
          <w:color w:val="000000"/>
          <w:lang w:eastAsia="bg-BG"/>
        </w:rPr>
        <w:lastRenderedPageBreak/>
        <w:t>сорафениб, или прекъсване на лечението със сорафениб при тежки и персистиращи случаи (вж. точка 4.8).</w:t>
      </w:r>
    </w:p>
    <w:p w14:paraId="63AEE5A5" w14:textId="77777777" w:rsidR="00D870F0" w:rsidRPr="00D870F0" w:rsidRDefault="00D870F0" w:rsidP="00D870F0">
      <w:pPr>
        <w:spacing w:line="240" w:lineRule="auto"/>
        <w:rPr>
          <w:rFonts w:eastAsia="Times New Roman" w:cs="Arial"/>
          <w:color w:val="000000"/>
          <w:u w:val="single"/>
          <w:lang w:eastAsia="bg-BG"/>
        </w:rPr>
      </w:pPr>
    </w:p>
    <w:p w14:paraId="7961CF3A" w14:textId="544E8771" w:rsidR="00D870F0" w:rsidRPr="00D870F0" w:rsidRDefault="00D870F0" w:rsidP="00D870F0">
      <w:pPr>
        <w:spacing w:line="240" w:lineRule="auto"/>
        <w:rPr>
          <w:rFonts w:eastAsia="Times New Roman" w:cs="Arial"/>
          <w:lang w:eastAsia="bg-BG"/>
        </w:rPr>
      </w:pPr>
      <w:r w:rsidRPr="00D870F0">
        <w:rPr>
          <w:rFonts w:eastAsia="Times New Roman" w:cs="Arial"/>
          <w:color w:val="000000"/>
          <w:u w:val="single"/>
          <w:lang w:eastAsia="bg-BG"/>
        </w:rPr>
        <w:t>Хипертония</w:t>
      </w:r>
    </w:p>
    <w:p w14:paraId="3857EEFD" w14:textId="77777777" w:rsidR="00D870F0" w:rsidRPr="00D870F0" w:rsidRDefault="00D870F0" w:rsidP="00D870F0">
      <w:pPr>
        <w:spacing w:line="240" w:lineRule="auto"/>
        <w:rPr>
          <w:rFonts w:eastAsia="Times New Roman" w:cs="Arial"/>
          <w:lang w:eastAsia="bg-BG"/>
        </w:rPr>
      </w:pPr>
      <w:r w:rsidRPr="00D870F0">
        <w:rPr>
          <w:rFonts w:eastAsia="Times New Roman" w:cs="Arial"/>
          <w:color w:val="000000"/>
          <w:lang w:eastAsia="bg-BG"/>
        </w:rPr>
        <w:t>Повишена честота на артериална хипертония е наблюдавана при пациентите, лекувани със сорафениб. Хипертонията обикновено е била лека до умерена, появила се рано по време на курса на лечение и е била повлияна от стандартната антихипертензивна терапия. Кръвното налягане трябва да се мониторира редовно и ако е необходимо да се лекува, в съответствие със стандартната клинична практика. В случаи на тежка и персистираща хипертония или хипертонични кризи, независимо от започналото антихипертензивно лечение, трябва да се има предвид окончателно прекъсване на лечението със сорафениб (вж. точка 4.8).</w:t>
      </w:r>
    </w:p>
    <w:p w14:paraId="4C0E4805" w14:textId="77777777" w:rsidR="00D870F0" w:rsidRPr="00D870F0" w:rsidRDefault="00D870F0" w:rsidP="00D870F0">
      <w:pPr>
        <w:spacing w:line="240" w:lineRule="auto"/>
        <w:rPr>
          <w:rFonts w:eastAsia="Times New Roman" w:cs="Arial"/>
          <w:color w:val="000000"/>
          <w:u w:val="single"/>
          <w:lang w:eastAsia="bg-BG"/>
        </w:rPr>
      </w:pPr>
    </w:p>
    <w:p w14:paraId="207830C3" w14:textId="77F9FA8F" w:rsidR="00D870F0" w:rsidRPr="00D870F0" w:rsidRDefault="00D870F0" w:rsidP="00D870F0">
      <w:pPr>
        <w:spacing w:line="240" w:lineRule="auto"/>
        <w:rPr>
          <w:rFonts w:eastAsia="Times New Roman" w:cs="Arial"/>
          <w:lang w:eastAsia="bg-BG"/>
        </w:rPr>
      </w:pPr>
      <w:r w:rsidRPr="00D870F0">
        <w:rPr>
          <w:rFonts w:eastAsia="Times New Roman" w:cs="Arial"/>
          <w:color w:val="000000"/>
          <w:u w:val="single"/>
          <w:lang w:eastAsia="bg-BG"/>
        </w:rPr>
        <w:t>Аневризми и артериални дисекации</w:t>
      </w:r>
    </w:p>
    <w:p w14:paraId="3DF35BF1" w14:textId="77777777" w:rsidR="00D870F0" w:rsidRPr="00D870F0" w:rsidRDefault="00D870F0" w:rsidP="00D870F0">
      <w:pPr>
        <w:spacing w:line="240" w:lineRule="auto"/>
        <w:rPr>
          <w:rFonts w:eastAsia="Times New Roman" w:cs="Arial"/>
          <w:lang w:eastAsia="bg-BG"/>
        </w:rPr>
      </w:pPr>
      <w:r w:rsidRPr="00D870F0">
        <w:rPr>
          <w:rFonts w:eastAsia="Times New Roman" w:cs="Arial"/>
          <w:color w:val="000000"/>
          <w:lang w:eastAsia="bg-BG"/>
        </w:rPr>
        <w:t xml:space="preserve">Използването на инхибитори на пътя на </w:t>
      </w:r>
      <w:r w:rsidRPr="00D870F0">
        <w:rPr>
          <w:rFonts w:eastAsia="Times New Roman" w:cs="Arial"/>
          <w:color w:val="000000"/>
          <w:lang w:val="en-US"/>
        </w:rPr>
        <w:t xml:space="preserve">VEGF </w:t>
      </w:r>
      <w:r w:rsidRPr="00D870F0">
        <w:rPr>
          <w:rFonts w:eastAsia="Times New Roman" w:cs="Arial"/>
          <w:color w:val="000000"/>
          <w:lang w:eastAsia="bg-BG"/>
        </w:rPr>
        <w:t>при пациенти със или без хипертония може да подпомогне образуването на аневризми и/или артериални дисекации. Преди започването на лечение със сорафениб трябва внимателно да се прецени този риск при пациенти с рискови фактори като хипертония или анамнеза за аневризма.</w:t>
      </w:r>
    </w:p>
    <w:p w14:paraId="6D5C2503" w14:textId="77777777" w:rsidR="00D870F0" w:rsidRPr="00D870F0" w:rsidRDefault="00D870F0" w:rsidP="00D870F0">
      <w:pPr>
        <w:spacing w:line="240" w:lineRule="auto"/>
        <w:rPr>
          <w:rFonts w:eastAsia="Times New Roman" w:cs="Arial"/>
          <w:color w:val="000000"/>
          <w:u w:val="single"/>
          <w:lang w:eastAsia="bg-BG"/>
        </w:rPr>
      </w:pPr>
    </w:p>
    <w:p w14:paraId="3C1B01BF" w14:textId="5AEDBC42" w:rsidR="00D870F0" w:rsidRPr="00D870F0" w:rsidRDefault="00D870F0" w:rsidP="00D870F0">
      <w:pPr>
        <w:spacing w:line="240" w:lineRule="auto"/>
        <w:rPr>
          <w:rFonts w:eastAsia="Times New Roman" w:cs="Arial"/>
          <w:lang w:eastAsia="bg-BG"/>
        </w:rPr>
      </w:pPr>
      <w:r w:rsidRPr="00D870F0">
        <w:rPr>
          <w:rFonts w:eastAsia="Times New Roman" w:cs="Arial"/>
          <w:color w:val="000000"/>
          <w:u w:val="single"/>
          <w:lang w:eastAsia="bg-BG"/>
        </w:rPr>
        <w:t>Хипогликемия</w:t>
      </w:r>
    </w:p>
    <w:p w14:paraId="731EC404" w14:textId="77777777" w:rsidR="00D870F0" w:rsidRPr="00D870F0" w:rsidRDefault="00D870F0" w:rsidP="00D870F0">
      <w:pPr>
        <w:spacing w:line="240" w:lineRule="auto"/>
        <w:rPr>
          <w:rFonts w:eastAsia="Times New Roman" w:cs="Arial"/>
          <w:lang w:eastAsia="bg-BG"/>
        </w:rPr>
      </w:pPr>
      <w:r w:rsidRPr="00D870F0">
        <w:rPr>
          <w:rFonts w:eastAsia="Times New Roman" w:cs="Arial"/>
          <w:color w:val="000000"/>
          <w:lang w:eastAsia="bg-BG"/>
        </w:rPr>
        <w:t>По време на лечението със сорафениб се съобщава за понижаване на кръвната захар, в някои случаи с клинична симптоматика и изискващо хоспитализация поради загуба на съзнание, В случай на симптоматична хипогликемия, сорафениб трябва временно да бъде прекъснат. Нивата на кръвната захар при пациенти с диабет трябва редовно да се проверяват, за да се прецени дали дозата на антидиабетния лекарствен продукт трябва да бъде коригирана.</w:t>
      </w:r>
    </w:p>
    <w:p w14:paraId="6C1EB55B" w14:textId="77777777" w:rsidR="00D870F0" w:rsidRPr="00D870F0" w:rsidRDefault="00D870F0" w:rsidP="00D870F0">
      <w:pPr>
        <w:spacing w:line="240" w:lineRule="auto"/>
        <w:rPr>
          <w:rFonts w:eastAsia="Times New Roman" w:cs="Arial"/>
          <w:color w:val="000000"/>
          <w:u w:val="single"/>
          <w:lang w:eastAsia="bg-BG"/>
        </w:rPr>
      </w:pPr>
    </w:p>
    <w:p w14:paraId="7E52C02A" w14:textId="0304D9A8" w:rsidR="00D870F0" w:rsidRPr="00D870F0" w:rsidRDefault="00D870F0" w:rsidP="00D870F0">
      <w:pPr>
        <w:spacing w:line="240" w:lineRule="auto"/>
        <w:rPr>
          <w:rFonts w:eastAsia="Times New Roman" w:cs="Arial"/>
          <w:lang w:eastAsia="bg-BG"/>
        </w:rPr>
      </w:pPr>
      <w:r w:rsidRPr="00D870F0">
        <w:rPr>
          <w:rFonts w:eastAsia="Times New Roman" w:cs="Arial"/>
          <w:color w:val="000000"/>
          <w:u w:val="single"/>
          <w:lang w:eastAsia="bg-BG"/>
        </w:rPr>
        <w:t>Кръвоизлив</w:t>
      </w:r>
    </w:p>
    <w:p w14:paraId="47A30F0E" w14:textId="77777777" w:rsidR="00D870F0" w:rsidRPr="00D870F0" w:rsidRDefault="00D870F0" w:rsidP="00D870F0">
      <w:pPr>
        <w:spacing w:line="240" w:lineRule="auto"/>
        <w:rPr>
          <w:rFonts w:eastAsia="Times New Roman" w:cs="Arial"/>
          <w:lang w:eastAsia="bg-BG"/>
        </w:rPr>
      </w:pPr>
      <w:r w:rsidRPr="00D870F0">
        <w:rPr>
          <w:rFonts w:eastAsia="Times New Roman" w:cs="Arial"/>
          <w:color w:val="000000"/>
          <w:lang w:eastAsia="bg-BG"/>
        </w:rPr>
        <w:t>Повишен риск от кръвоизлив може да се появи след приложение на сорафениб. Ако някой кръвоизлив налага медицинска интервенция, се препоръчва прекъсване на лечението със сорафениб (вж. точка 4.8).</w:t>
      </w:r>
    </w:p>
    <w:p w14:paraId="7F634D3D" w14:textId="77777777" w:rsidR="00D870F0" w:rsidRPr="00D870F0" w:rsidRDefault="00D870F0" w:rsidP="00D870F0">
      <w:pPr>
        <w:spacing w:line="240" w:lineRule="auto"/>
        <w:rPr>
          <w:rFonts w:eastAsia="Times New Roman" w:cs="Arial"/>
          <w:color w:val="000000"/>
          <w:u w:val="single"/>
          <w:lang w:eastAsia="bg-BG"/>
        </w:rPr>
      </w:pPr>
    </w:p>
    <w:p w14:paraId="55857968" w14:textId="71204E28" w:rsidR="00D870F0" w:rsidRPr="00D870F0" w:rsidRDefault="00D870F0" w:rsidP="00D870F0">
      <w:pPr>
        <w:spacing w:line="240" w:lineRule="auto"/>
        <w:rPr>
          <w:rFonts w:eastAsia="Times New Roman" w:cs="Arial"/>
          <w:lang w:eastAsia="bg-BG"/>
        </w:rPr>
      </w:pPr>
      <w:r w:rsidRPr="00D870F0">
        <w:rPr>
          <w:rFonts w:eastAsia="Times New Roman" w:cs="Arial"/>
          <w:color w:val="000000"/>
          <w:u w:val="single"/>
          <w:lang w:eastAsia="bg-BG"/>
        </w:rPr>
        <w:t>Сърдечна исхемия и/или инфаркт</w:t>
      </w:r>
    </w:p>
    <w:p w14:paraId="7C8F6524" w14:textId="77777777" w:rsidR="00D870F0" w:rsidRPr="00D870F0" w:rsidRDefault="00D870F0" w:rsidP="00D870F0">
      <w:pPr>
        <w:spacing w:line="240" w:lineRule="auto"/>
        <w:rPr>
          <w:rFonts w:eastAsia="Times New Roman" w:cs="Arial"/>
          <w:lang w:eastAsia="bg-BG"/>
        </w:rPr>
      </w:pPr>
      <w:r w:rsidRPr="00D870F0">
        <w:rPr>
          <w:rFonts w:eastAsia="Times New Roman" w:cs="Arial"/>
          <w:color w:val="000000"/>
          <w:lang w:eastAsia="bg-BG"/>
        </w:rPr>
        <w:t xml:space="preserve">В рандомизирано, плацебо-контрол и рано, двойно-сляпо проучване (проучване 1, вж. точка 5.1) честотата на спешно лечение на сърдечна исхемия/инфаркти е по-висока в групата на сорафениб (4,9 %) в сравнение с плацебо групата (0,4 </w:t>
      </w:r>
      <w:r w:rsidRPr="00D870F0">
        <w:rPr>
          <w:rFonts w:eastAsia="Times New Roman" w:cs="Arial"/>
          <w:i/>
          <w:iCs/>
          <w:color w:val="000000"/>
          <w:lang w:eastAsia="bg-BG"/>
        </w:rPr>
        <w:t>%). При</w:t>
      </w:r>
      <w:r w:rsidRPr="00D870F0">
        <w:rPr>
          <w:rFonts w:eastAsia="Times New Roman" w:cs="Arial"/>
          <w:color w:val="000000"/>
          <w:lang w:eastAsia="bg-BG"/>
        </w:rPr>
        <w:t xml:space="preserve"> проучване 3 (вж. точка 5.1), честотата на изискващите спешно лечение случаи на сърдечна исхемия/инфаркт е била 2,7 % при пациенти на сорафениб, в сравнение с 1,3 % при плацебо групата. Пациентите с нестабилна коронарна артериална болест или пресен миокарден инфаркт са изключени от тези проучвания. Временно или постоянно прекъсване на лечението със сорафениб трябва да се има предвид при пациенти, които развиват сърдечна исхемия и/или инфаркт (вж. точка 4,8).</w:t>
      </w:r>
    </w:p>
    <w:p w14:paraId="0126635E" w14:textId="77777777" w:rsidR="00D870F0" w:rsidRPr="00D870F0" w:rsidRDefault="00D870F0" w:rsidP="00D870F0">
      <w:pPr>
        <w:spacing w:line="240" w:lineRule="auto"/>
        <w:rPr>
          <w:rFonts w:eastAsia="Times New Roman" w:cs="Arial"/>
          <w:color w:val="000000"/>
          <w:u w:val="single"/>
          <w:lang w:eastAsia="bg-BG"/>
        </w:rPr>
      </w:pPr>
    </w:p>
    <w:p w14:paraId="24281888" w14:textId="07C2B962" w:rsidR="00D870F0" w:rsidRPr="00D870F0" w:rsidRDefault="00D870F0" w:rsidP="00D870F0">
      <w:pPr>
        <w:spacing w:line="240" w:lineRule="auto"/>
        <w:rPr>
          <w:rFonts w:eastAsia="Times New Roman" w:cs="Arial"/>
          <w:lang w:eastAsia="bg-BG"/>
        </w:rPr>
      </w:pPr>
      <w:r w:rsidRPr="00D870F0">
        <w:rPr>
          <w:rFonts w:eastAsia="Times New Roman" w:cs="Arial"/>
          <w:color w:val="000000"/>
          <w:u w:val="single"/>
          <w:lang w:eastAsia="bg-BG"/>
        </w:rPr>
        <w:t xml:space="preserve">Удължаване на </w:t>
      </w:r>
      <w:r w:rsidRPr="00D870F0">
        <w:rPr>
          <w:rFonts w:eastAsia="Times New Roman" w:cs="Arial"/>
          <w:color w:val="000000"/>
          <w:u w:val="single"/>
          <w:lang w:val="en-US" w:eastAsia="bg-BG"/>
        </w:rPr>
        <w:t>Q</w:t>
      </w:r>
      <w:r w:rsidRPr="00D870F0">
        <w:rPr>
          <w:rFonts w:eastAsia="Times New Roman" w:cs="Arial"/>
          <w:color w:val="000000"/>
          <w:u w:val="single"/>
          <w:lang w:eastAsia="bg-BG"/>
        </w:rPr>
        <w:t>Т интервала</w:t>
      </w:r>
    </w:p>
    <w:p w14:paraId="03275977" w14:textId="77777777" w:rsidR="00D870F0" w:rsidRPr="00D870F0" w:rsidRDefault="00D870F0" w:rsidP="00D870F0">
      <w:pPr>
        <w:rPr>
          <w:rFonts w:eastAsia="Times New Roman" w:cs="Arial"/>
          <w:lang w:eastAsia="bg-BG"/>
        </w:rPr>
      </w:pPr>
      <w:r w:rsidRPr="00D870F0">
        <w:rPr>
          <w:rFonts w:eastAsia="Times New Roman" w:cs="Arial"/>
          <w:color w:val="000000"/>
          <w:lang w:eastAsia="bg-BG"/>
        </w:rPr>
        <w:t xml:space="preserve">Сорафениб доказано удължава </w:t>
      </w:r>
      <w:r w:rsidRPr="00D870F0">
        <w:rPr>
          <w:rFonts w:eastAsia="Times New Roman" w:cs="Arial"/>
          <w:color w:val="000000"/>
          <w:lang w:val="en-US"/>
        </w:rPr>
        <w:t xml:space="preserve">QT/QTc </w:t>
      </w:r>
      <w:r w:rsidRPr="00D870F0">
        <w:rPr>
          <w:rFonts w:eastAsia="Times New Roman" w:cs="Arial"/>
          <w:color w:val="000000"/>
          <w:lang w:eastAsia="bg-BG"/>
        </w:rPr>
        <w:t xml:space="preserve">интервала (вж. точка 5.1), което може да доведе до повишен риск от вентрикуларни аритмии, Употребата на сорафениб трябва да се извършва с повишено внимание при пациенти, които имат или могат да развият удължен </w:t>
      </w:r>
      <w:r w:rsidRPr="00D870F0">
        <w:rPr>
          <w:rFonts w:eastAsia="Times New Roman" w:cs="Arial"/>
          <w:color w:val="000000"/>
          <w:lang w:val="en-US"/>
        </w:rPr>
        <w:t xml:space="preserve">QTc </w:t>
      </w:r>
      <w:r w:rsidRPr="00D870F0">
        <w:rPr>
          <w:rFonts w:eastAsia="Times New Roman" w:cs="Arial"/>
          <w:color w:val="000000"/>
          <w:lang w:eastAsia="bg-BG"/>
        </w:rPr>
        <w:t xml:space="preserve">интервал, като например пациенти с вроден синдром на удължен </w:t>
      </w:r>
      <w:r w:rsidRPr="00D870F0">
        <w:rPr>
          <w:rFonts w:eastAsia="Times New Roman" w:cs="Arial"/>
          <w:color w:val="000000"/>
          <w:lang w:val="en-US"/>
        </w:rPr>
        <w:t xml:space="preserve">QT </w:t>
      </w:r>
      <w:r w:rsidRPr="00D870F0">
        <w:rPr>
          <w:rFonts w:eastAsia="Times New Roman" w:cs="Arial"/>
          <w:color w:val="000000"/>
          <w:lang w:eastAsia="bg-BG"/>
        </w:rPr>
        <w:t>интервал, пациенти, лекувани с висока</w:t>
      </w:r>
      <w:r w:rsidRPr="00D870F0">
        <w:rPr>
          <w:rFonts w:eastAsia="Times New Roman" w:cs="Arial"/>
          <w:color w:val="000000"/>
          <w:lang w:val="en-US" w:eastAsia="bg-BG"/>
        </w:rPr>
        <w:t xml:space="preserve"> </w:t>
      </w:r>
      <w:r w:rsidRPr="00D870F0">
        <w:rPr>
          <w:rFonts w:eastAsia="Times New Roman" w:cs="Arial"/>
          <w:color w:val="000000"/>
          <w:lang w:eastAsia="bg-BG"/>
        </w:rPr>
        <w:t xml:space="preserve">кумулативна доза антрациклини, пациенти, приемащи определени антиаритмични лекарства или други лекарствени продукти, които водят до </w:t>
      </w:r>
      <w:r w:rsidRPr="00D870F0">
        <w:rPr>
          <w:rFonts w:eastAsia="Times New Roman" w:cs="Arial"/>
          <w:color w:val="000000"/>
          <w:lang w:eastAsia="bg-BG"/>
        </w:rPr>
        <w:lastRenderedPageBreak/>
        <w:t xml:space="preserve">удължаване на </w:t>
      </w:r>
      <w:r w:rsidRPr="00D870F0">
        <w:rPr>
          <w:rFonts w:eastAsia="Times New Roman" w:cs="Arial"/>
          <w:color w:val="000000"/>
          <w:lang w:val="en-US"/>
        </w:rPr>
        <w:t xml:space="preserve">QT </w:t>
      </w:r>
      <w:r w:rsidRPr="00D870F0">
        <w:rPr>
          <w:rFonts w:eastAsia="Times New Roman" w:cs="Arial"/>
          <w:color w:val="000000"/>
          <w:lang w:eastAsia="bg-BG"/>
        </w:rPr>
        <w:t>интервала, и такива с електролитни нарушения, като хипокалиемия, хипокалциемия или хипомагнезиемия. По време на употребата на сорафениб при такива пациенти трябва да се обмисли периодичен мониторинг с електрокардиограми и електролити (магнезий, калий, калций).</w:t>
      </w:r>
    </w:p>
    <w:p w14:paraId="37BECE36" w14:textId="77777777" w:rsidR="00D870F0" w:rsidRPr="00D870F0" w:rsidRDefault="00D870F0" w:rsidP="00D870F0">
      <w:pPr>
        <w:spacing w:line="240" w:lineRule="auto"/>
        <w:rPr>
          <w:rFonts w:eastAsia="Times New Roman" w:cs="Arial"/>
          <w:color w:val="000000"/>
          <w:u w:val="single"/>
          <w:lang w:eastAsia="bg-BG"/>
        </w:rPr>
      </w:pPr>
    </w:p>
    <w:p w14:paraId="179FE25B" w14:textId="1DED6816" w:rsidR="00D870F0" w:rsidRPr="00D870F0" w:rsidRDefault="00D870F0" w:rsidP="00D870F0">
      <w:pPr>
        <w:spacing w:line="240" w:lineRule="auto"/>
        <w:rPr>
          <w:rFonts w:eastAsia="Times New Roman" w:cs="Arial"/>
          <w:lang w:eastAsia="bg-BG"/>
        </w:rPr>
      </w:pPr>
      <w:r w:rsidRPr="00D870F0">
        <w:rPr>
          <w:rFonts w:eastAsia="Times New Roman" w:cs="Arial"/>
          <w:color w:val="000000"/>
          <w:u w:val="single"/>
          <w:lang w:eastAsia="bg-BG"/>
        </w:rPr>
        <w:t>Стомашно-чревна перфорация</w:t>
      </w:r>
    </w:p>
    <w:p w14:paraId="6BBB7268" w14:textId="77777777" w:rsidR="00D870F0" w:rsidRPr="00D870F0" w:rsidRDefault="00D870F0" w:rsidP="00D870F0">
      <w:pPr>
        <w:spacing w:line="240" w:lineRule="auto"/>
        <w:rPr>
          <w:rFonts w:eastAsia="Times New Roman" w:cs="Arial"/>
          <w:lang w:eastAsia="bg-BG"/>
        </w:rPr>
      </w:pPr>
      <w:r w:rsidRPr="00D870F0">
        <w:rPr>
          <w:rFonts w:eastAsia="Times New Roman" w:cs="Arial"/>
          <w:color w:val="000000"/>
          <w:lang w:eastAsia="bg-BG"/>
        </w:rPr>
        <w:t>Стомашно-чревната перфорация е нечесто събитие, за което се съобщава при по-малко от 1% от пациентите, приемащи сорафениб. В някои случаи това не се свързва с наличния интраабдоминален тумор. Терапията със сорафениб трябва да се преустанови (вж. точка 4.8).</w:t>
      </w:r>
    </w:p>
    <w:p w14:paraId="632BFC40" w14:textId="77777777" w:rsidR="00D870F0" w:rsidRPr="00D870F0" w:rsidRDefault="00D870F0" w:rsidP="00D870F0">
      <w:pPr>
        <w:spacing w:line="240" w:lineRule="auto"/>
        <w:rPr>
          <w:rFonts w:eastAsia="Times New Roman" w:cs="Arial"/>
          <w:color w:val="000000"/>
          <w:u w:val="single"/>
          <w:lang w:eastAsia="bg-BG"/>
        </w:rPr>
      </w:pPr>
    </w:p>
    <w:p w14:paraId="1120FD37" w14:textId="2DF9CCA1" w:rsidR="00D870F0" w:rsidRPr="00D870F0" w:rsidRDefault="00D870F0" w:rsidP="00D870F0">
      <w:pPr>
        <w:spacing w:line="240" w:lineRule="auto"/>
        <w:rPr>
          <w:rFonts w:eastAsia="Times New Roman" w:cs="Arial"/>
          <w:lang w:eastAsia="bg-BG"/>
        </w:rPr>
      </w:pPr>
      <w:r w:rsidRPr="00D870F0">
        <w:rPr>
          <w:rFonts w:eastAsia="Times New Roman" w:cs="Arial"/>
          <w:color w:val="000000"/>
          <w:u w:val="single"/>
          <w:lang w:eastAsia="bg-BG"/>
        </w:rPr>
        <w:t>Чернодробно увреждане</w:t>
      </w:r>
    </w:p>
    <w:p w14:paraId="399EDD28" w14:textId="77777777" w:rsidR="00D870F0" w:rsidRPr="00D870F0" w:rsidRDefault="00D870F0" w:rsidP="00D870F0">
      <w:pPr>
        <w:spacing w:line="240" w:lineRule="auto"/>
        <w:rPr>
          <w:rFonts w:eastAsia="Times New Roman" w:cs="Arial"/>
          <w:lang w:eastAsia="bg-BG"/>
        </w:rPr>
      </w:pPr>
      <w:r w:rsidRPr="00D870F0">
        <w:rPr>
          <w:rFonts w:eastAsia="Times New Roman" w:cs="Arial"/>
          <w:color w:val="000000"/>
          <w:lang w:eastAsia="bg-BG"/>
        </w:rPr>
        <w:t xml:space="preserve">Няма данни за пациенти с тежко чернодробно увреждане </w:t>
      </w:r>
      <w:r w:rsidRPr="00D870F0">
        <w:rPr>
          <w:rFonts w:eastAsia="Times New Roman" w:cs="Arial"/>
          <w:color w:val="000000"/>
          <w:lang w:val="en-US"/>
        </w:rPr>
        <w:t xml:space="preserve">(Child Pugh </w:t>
      </w:r>
      <w:r w:rsidRPr="00D870F0">
        <w:rPr>
          <w:rFonts w:eastAsia="Times New Roman" w:cs="Arial"/>
          <w:color w:val="000000"/>
          <w:lang w:eastAsia="bg-BG"/>
        </w:rPr>
        <w:t>С), Тъй като сорафениб се елиминира предимно чрез черния дроб, експозицията може да бъде повишена при пациенти с тежко чернодробно увреждане (вж. точки 4.2 и 5.2).</w:t>
      </w:r>
    </w:p>
    <w:p w14:paraId="24E226E1" w14:textId="77777777" w:rsidR="00D870F0" w:rsidRPr="00D870F0" w:rsidRDefault="00D870F0" w:rsidP="00D870F0">
      <w:pPr>
        <w:spacing w:line="240" w:lineRule="auto"/>
        <w:rPr>
          <w:rFonts w:eastAsia="Times New Roman" w:cs="Arial"/>
          <w:color w:val="000000"/>
          <w:u w:val="single"/>
          <w:lang w:eastAsia="bg-BG"/>
        </w:rPr>
      </w:pPr>
    </w:p>
    <w:p w14:paraId="1E970786" w14:textId="29791332" w:rsidR="00D870F0" w:rsidRPr="00D870F0" w:rsidRDefault="00D870F0" w:rsidP="00D870F0">
      <w:pPr>
        <w:spacing w:line="240" w:lineRule="auto"/>
        <w:rPr>
          <w:rFonts w:eastAsia="Times New Roman" w:cs="Arial"/>
          <w:lang w:eastAsia="bg-BG"/>
        </w:rPr>
      </w:pPr>
      <w:r w:rsidRPr="00D870F0">
        <w:rPr>
          <w:rFonts w:eastAsia="Times New Roman" w:cs="Arial"/>
          <w:color w:val="000000"/>
          <w:u w:val="single"/>
          <w:lang w:eastAsia="bg-BG"/>
        </w:rPr>
        <w:t>Едновременно приложение на варфарин</w:t>
      </w:r>
    </w:p>
    <w:p w14:paraId="230857CE" w14:textId="77777777" w:rsidR="00D870F0" w:rsidRPr="00D870F0" w:rsidRDefault="00D870F0" w:rsidP="00D870F0">
      <w:pPr>
        <w:spacing w:line="240" w:lineRule="auto"/>
        <w:rPr>
          <w:rFonts w:eastAsia="Times New Roman" w:cs="Arial"/>
          <w:lang w:eastAsia="bg-BG"/>
        </w:rPr>
      </w:pPr>
      <w:r w:rsidRPr="00D870F0">
        <w:rPr>
          <w:rFonts w:eastAsia="Times New Roman" w:cs="Arial"/>
          <w:color w:val="000000"/>
          <w:lang w:eastAsia="bg-BG"/>
        </w:rPr>
        <w:t xml:space="preserve">Редки случаи на кръвотечения или повишаване на </w:t>
      </w:r>
      <w:r w:rsidRPr="00D870F0">
        <w:rPr>
          <w:rFonts w:eastAsia="Times New Roman" w:cs="Arial"/>
          <w:color w:val="000000"/>
          <w:lang w:val="en-US"/>
        </w:rPr>
        <w:t xml:space="preserve">INR (International Normalized Ratio) </w:t>
      </w:r>
      <w:r w:rsidRPr="00D870F0">
        <w:rPr>
          <w:rFonts w:eastAsia="Times New Roman" w:cs="Arial"/>
          <w:color w:val="000000"/>
          <w:lang w:eastAsia="bg-BG"/>
        </w:rPr>
        <w:t xml:space="preserve">са съобщени при някои пациенти, които са приемали варфарин, докато са на лечение със сорафениб. Пациентите, които приемат едновременно варфарин или фенпрокумон, трябва да се мониторират редовно за промени в протромбиновото време, </w:t>
      </w:r>
      <w:r w:rsidRPr="00D870F0">
        <w:rPr>
          <w:rFonts w:eastAsia="Times New Roman" w:cs="Arial"/>
          <w:color w:val="000000"/>
          <w:lang w:val="en-US"/>
        </w:rPr>
        <w:t xml:space="preserve">INR </w:t>
      </w:r>
      <w:r w:rsidRPr="00D870F0">
        <w:rPr>
          <w:rFonts w:eastAsia="Times New Roman" w:cs="Arial"/>
          <w:color w:val="000000"/>
          <w:lang w:eastAsia="bg-BG"/>
        </w:rPr>
        <w:t>или за клинично изявени кръвоизливи (вж. точка 4.5 и 4.8).</w:t>
      </w:r>
    </w:p>
    <w:p w14:paraId="262990DE" w14:textId="77777777" w:rsidR="00D870F0" w:rsidRPr="00D870F0" w:rsidRDefault="00D870F0" w:rsidP="00D870F0">
      <w:pPr>
        <w:spacing w:line="240" w:lineRule="auto"/>
        <w:rPr>
          <w:rFonts w:eastAsia="Times New Roman" w:cs="Arial"/>
          <w:color w:val="000000"/>
          <w:u w:val="single"/>
          <w:lang w:eastAsia="bg-BG"/>
        </w:rPr>
      </w:pPr>
    </w:p>
    <w:p w14:paraId="121D2F30" w14:textId="12FA44AE" w:rsidR="00D870F0" w:rsidRPr="00D870F0" w:rsidRDefault="00D870F0" w:rsidP="00D870F0">
      <w:pPr>
        <w:spacing w:line="240" w:lineRule="auto"/>
        <w:rPr>
          <w:rFonts w:eastAsia="Times New Roman" w:cs="Arial"/>
          <w:lang w:eastAsia="bg-BG"/>
        </w:rPr>
      </w:pPr>
      <w:r w:rsidRPr="00D870F0">
        <w:rPr>
          <w:rFonts w:eastAsia="Times New Roman" w:cs="Arial"/>
          <w:color w:val="000000"/>
          <w:u w:val="single"/>
          <w:lang w:eastAsia="bg-BG"/>
        </w:rPr>
        <w:t>Усложнения при зарастване на рани</w:t>
      </w:r>
    </w:p>
    <w:p w14:paraId="04A80481" w14:textId="77777777" w:rsidR="00D870F0" w:rsidRPr="00D870F0" w:rsidRDefault="00D870F0" w:rsidP="00D870F0">
      <w:pPr>
        <w:spacing w:line="240" w:lineRule="auto"/>
        <w:rPr>
          <w:rFonts w:eastAsia="Times New Roman" w:cs="Arial"/>
          <w:lang w:eastAsia="bg-BG"/>
        </w:rPr>
      </w:pPr>
      <w:r w:rsidRPr="00D870F0">
        <w:rPr>
          <w:rFonts w:eastAsia="Times New Roman" w:cs="Arial"/>
          <w:color w:val="000000"/>
          <w:lang w:eastAsia="bg-BG"/>
        </w:rPr>
        <w:t>Не са проведени специални проучвания за ефекта на сорафениб върху зарастването на рани. Препоръчва се временно прекъсване на лечението със сорафениб, като предпазна мярка при пациенти, претърпели големи хирургични операции. Има ограничен клиничен опит по отношение на възстановяване на лечението след големи хирургични интервенции. Следователно, решението да се поднови лечението със сорафениб след голяма хирургична интервенция трябва да се основава на клиничната преценка за адекватното заздравяване на раната.</w:t>
      </w:r>
    </w:p>
    <w:p w14:paraId="66B440B2" w14:textId="77777777" w:rsidR="00D870F0" w:rsidRPr="00D870F0" w:rsidRDefault="00D870F0" w:rsidP="00D870F0">
      <w:pPr>
        <w:spacing w:line="240" w:lineRule="auto"/>
        <w:rPr>
          <w:rFonts w:eastAsia="Times New Roman" w:cs="Arial"/>
          <w:color w:val="000000"/>
          <w:u w:val="single"/>
          <w:lang w:eastAsia="bg-BG"/>
        </w:rPr>
      </w:pPr>
    </w:p>
    <w:p w14:paraId="3CC187F4" w14:textId="23A75D55" w:rsidR="00D870F0" w:rsidRPr="00D870F0" w:rsidRDefault="00D870F0" w:rsidP="00D870F0">
      <w:pPr>
        <w:spacing w:line="240" w:lineRule="auto"/>
        <w:rPr>
          <w:rFonts w:eastAsia="Times New Roman" w:cs="Arial"/>
          <w:lang w:eastAsia="bg-BG"/>
        </w:rPr>
      </w:pPr>
      <w:r w:rsidRPr="00D870F0">
        <w:rPr>
          <w:rFonts w:eastAsia="Times New Roman" w:cs="Arial"/>
          <w:color w:val="000000"/>
          <w:u w:val="single"/>
          <w:lang w:eastAsia="bg-BG"/>
        </w:rPr>
        <w:t>Пациенти в старческа възраст</w:t>
      </w:r>
    </w:p>
    <w:p w14:paraId="6789733B" w14:textId="77777777" w:rsidR="00D870F0" w:rsidRPr="00D870F0" w:rsidRDefault="00D870F0" w:rsidP="00D870F0">
      <w:pPr>
        <w:spacing w:line="240" w:lineRule="auto"/>
        <w:rPr>
          <w:rFonts w:eastAsia="Times New Roman" w:cs="Arial"/>
          <w:lang w:eastAsia="bg-BG"/>
        </w:rPr>
      </w:pPr>
      <w:r w:rsidRPr="00D870F0">
        <w:rPr>
          <w:rFonts w:eastAsia="Times New Roman" w:cs="Arial"/>
          <w:color w:val="000000"/>
          <w:lang w:eastAsia="bg-BG"/>
        </w:rPr>
        <w:t>Докладвани са случаи на бъбречна недостатъчност. Трябва да се има предвид мониториране на бъбречната функция.</w:t>
      </w:r>
    </w:p>
    <w:p w14:paraId="50874D9B" w14:textId="77777777" w:rsidR="00D870F0" w:rsidRPr="00D870F0" w:rsidRDefault="00D870F0" w:rsidP="00D870F0">
      <w:pPr>
        <w:spacing w:line="240" w:lineRule="auto"/>
        <w:rPr>
          <w:rFonts w:eastAsia="Times New Roman" w:cs="Arial"/>
          <w:color w:val="000000"/>
          <w:u w:val="single"/>
          <w:lang w:eastAsia="bg-BG"/>
        </w:rPr>
      </w:pPr>
    </w:p>
    <w:p w14:paraId="1F16853D" w14:textId="2C22DD0F" w:rsidR="00D870F0" w:rsidRPr="00D870F0" w:rsidRDefault="00D870F0" w:rsidP="00D870F0">
      <w:pPr>
        <w:spacing w:line="240" w:lineRule="auto"/>
        <w:rPr>
          <w:rFonts w:eastAsia="Times New Roman" w:cs="Arial"/>
          <w:lang w:eastAsia="bg-BG"/>
        </w:rPr>
      </w:pPr>
      <w:r w:rsidRPr="00D870F0">
        <w:rPr>
          <w:rFonts w:eastAsia="Times New Roman" w:cs="Arial"/>
          <w:color w:val="000000"/>
          <w:u w:val="single"/>
          <w:lang w:eastAsia="bg-BG"/>
        </w:rPr>
        <w:t>Взаимодействие лекарство-лекарство</w:t>
      </w:r>
    </w:p>
    <w:p w14:paraId="3E0230BB" w14:textId="77777777" w:rsidR="00D870F0" w:rsidRPr="00D870F0" w:rsidRDefault="00D870F0" w:rsidP="00D870F0">
      <w:pPr>
        <w:spacing w:line="240" w:lineRule="auto"/>
        <w:rPr>
          <w:rFonts w:eastAsia="Times New Roman" w:cs="Arial"/>
          <w:lang w:eastAsia="bg-BG"/>
        </w:rPr>
      </w:pPr>
      <w:r w:rsidRPr="00D870F0">
        <w:rPr>
          <w:rFonts w:eastAsia="Times New Roman" w:cs="Arial"/>
          <w:color w:val="000000"/>
          <w:lang w:eastAsia="bg-BG"/>
        </w:rPr>
        <w:t xml:space="preserve">Внимание е необходимо, когато се прилага сорафенибсъс съединения, които се метаболизират/ елиминират предимно чрез </w:t>
      </w:r>
      <w:r w:rsidRPr="00D870F0">
        <w:rPr>
          <w:rFonts w:eastAsia="Times New Roman" w:cs="Arial"/>
          <w:color w:val="000000"/>
          <w:lang w:val="en-US"/>
        </w:rPr>
        <w:t>UGT1</w:t>
      </w:r>
      <w:r w:rsidRPr="00D870F0">
        <w:rPr>
          <w:rFonts w:eastAsia="Times New Roman" w:cs="Arial"/>
          <w:color w:val="000000"/>
          <w:lang w:eastAsia="bg-BG"/>
        </w:rPr>
        <w:t xml:space="preserve">А1 (напр. иринотекан) или </w:t>
      </w:r>
      <w:r w:rsidRPr="00D870F0">
        <w:rPr>
          <w:rFonts w:eastAsia="Times New Roman" w:cs="Arial"/>
          <w:color w:val="000000"/>
          <w:lang w:val="en-US"/>
        </w:rPr>
        <w:t>UGT1</w:t>
      </w:r>
      <w:r w:rsidRPr="00D870F0">
        <w:rPr>
          <w:rFonts w:eastAsia="Times New Roman" w:cs="Arial"/>
          <w:color w:val="000000"/>
          <w:lang w:eastAsia="bg-BG"/>
        </w:rPr>
        <w:t>А9 (вж. точка 4.5).</w:t>
      </w:r>
    </w:p>
    <w:p w14:paraId="10420125" w14:textId="77777777" w:rsidR="00D870F0" w:rsidRPr="00D870F0" w:rsidRDefault="00D870F0" w:rsidP="00D870F0">
      <w:pPr>
        <w:spacing w:line="240" w:lineRule="auto"/>
        <w:rPr>
          <w:rFonts w:eastAsia="Times New Roman" w:cs="Arial"/>
          <w:color w:val="000000"/>
          <w:lang w:eastAsia="bg-BG"/>
        </w:rPr>
      </w:pPr>
    </w:p>
    <w:p w14:paraId="751438EB" w14:textId="1A537F29" w:rsidR="00D870F0" w:rsidRPr="00D870F0" w:rsidRDefault="00D870F0" w:rsidP="00D870F0">
      <w:pPr>
        <w:spacing w:line="240" w:lineRule="auto"/>
        <w:rPr>
          <w:rFonts w:eastAsia="Times New Roman" w:cs="Arial"/>
          <w:lang w:eastAsia="bg-BG"/>
        </w:rPr>
      </w:pPr>
      <w:r w:rsidRPr="00D870F0">
        <w:rPr>
          <w:rFonts w:eastAsia="Times New Roman" w:cs="Arial"/>
          <w:color w:val="000000"/>
          <w:lang w:eastAsia="bg-BG"/>
        </w:rPr>
        <w:t>Препоръчва се внимание при едновременното приложение с доцетаксел (вж. точка 4.5)</w:t>
      </w:r>
    </w:p>
    <w:p w14:paraId="66FD3126" w14:textId="77777777" w:rsidR="00D870F0" w:rsidRPr="00D870F0" w:rsidRDefault="00D870F0" w:rsidP="00D870F0">
      <w:pPr>
        <w:spacing w:line="240" w:lineRule="auto"/>
        <w:rPr>
          <w:rFonts w:eastAsia="Times New Roman" w:cs="Arial"/>
          <w:color w:val="000000"/>
          <w:lang w:eastAsia="bg-BG"/>
        </w:rPr>
      </w:pPr>
    </w:p>
    <w:p w14:paraId="4FB090D2" w14:textId="77777777" w:rsidR="00D870F0" w:rsidRPr="00D870F0" w:rsidRDefault="00D870F0" w:rsidP="00D870F0">
      <w:pPr>
        <w:rPr>
          <w:rFonts w:eastAsia="Times New Roman" w:cs="Arial"/>
          <w:lang w:eastAsia="bg-BG"/>
        </w:rPr>
      </w:pPr>
      <w:r w:rsidRPr="00D870F0">
        <w:rPr>
          <w:rFonts w:eastAsia="Times New Roman" w:cs="Arial"/>
          <w:color w:val="000000"/>
          <w:lang w:eastAsia="bg-BG"/>
        </w:rPr>
        <w:t>Едновременното прилагане на неомицин или други антибиотици, които могат да предизвикат значителни екологични смущения в стомашно-чревната микрофлора, могат да доведат до намаляване на бионаличността на сорафениб (вж. точка 4.5). Трябва да се има предвид рискът от</w:t>
      </w:r>
      <w:r w:rsidRPr="00D870F0">
        <w:rPr>
          <w:rFonts w:eastAsia="Times New Roman" w:cs="Arial"/>
          <w:color w:val="000000"/>
          <w:lang w:val="en-US" w:eastAsia="bg-BG"/>
        </w:rPr>
        <w:t xml:space="preserve"> </w:t>
      </w:r>
      <w:r w:rsidRPr="00D870F0">
        <w:rPr>
          <w:rFonts w:eastAsia="Times New Roman" w:cs="Arial"/>
          <w:color w:val="000000"/>
          <w:lang w:eastAsia="bg-BG"/>
        </w:rPr>
        <w:t>намалени плазмени концентрации на сорафениб преди започването на курс на лечение с антибиотици.</w:t>
      </w:r>
    </w:p>
    <w:p w14:paraId="246D69EC" w14:textId="77777777" w:rsidR="00D870F0" w:rsidRPr="00D870F0" w:rsidRDefault="00D870F0" w:rsidP="00D870F0">
      <w:pPr>
        <w:spacing w:line="240" w:lineRule="auto"/>
        <w:rPr>
          <w:rFonts w:eastAsia="Times New Roman" w:cs="Arial"/>
          <w:color w:val="000000"/>
          <w:lang w:eastAsia="bg-BG"/>
        </w:rPr>
      </w:pPr>
    </w:p>
    <w:p w14:paraId="43B0A9D9" w14:textId="04008EA8" w:rsidR="00D870F0" w:rsidRPr="00D870F0" w:rsidRDefault="00D870F0" w:rsidP="00D870F0">
      <w:pPr>
        <w:spacing w:line="240" w:lineRule="auto"/>
        <w:rPr>
          <w:rFonts w:eastAsia="Times New Roman" w:cs="Arial"/>
          <w:lang w:eastAsia="bg-BG"/>
        </w:rPr>
      </w:pPr>
      <w:r w:rsidRPr="00D870F0">
        <w:rPr>
          <w:rFonts w:eastAsia="Times New Roman" w:cs="Arial"/>
          <w:color w:val="000000"/>
          <w:lang w:eastAsia="bg-BG"/>
        </w:rPr>
        <w:lastRenderedPageBreak/>
        <w:t xml:space="preserve">Съобщава се за по-висока смъртност при пациенти с плоскоклетъчен карцином на белия дроб, лекувани със сорафениб в комбинация с химиотерапии на основата на платина. В две рандомизирани изпитвания, изследващи пациенти с недребноклетъчен карцином на белия дроб в подгрупата на пациенти с плоскоклетьчен карцином, лекувани със сорафениб като допълнение към паклитаксел/карбоплатин, коефициентът на риск за общата преживяемост е оценен на 1,81 (95% </w:t>
      </w:r>
      <w:r w:rsidRPr="00D870F0">
        <w:rPr>
          <w:rFonts w:eastAsia="Times New Roman" w:cs="Arial"/>
          <w:color w:val="000000"/>
          <w:lang w:val="en-US"/>
        </w:rPr>
        <w:t xml:space="preserve">CI </w:t>
      </w:r>
      <w:r w:rsidRPr="00D870F0">
        <w:rPr>
          <w:rFonts w:eastAsia="Times New Roman" w:cs="Arial"/>
          <w:color w:val="000000"/>
          <w:lang w:eastAsia="bg-BG"/>
        </w:rPr>
        <w:t xml:space="preserve">1,19; 2,74), а като допълнение към гемцитабин/цисплатин - 1,22 (95% </w:t>
      </w:r>
      <w:r w:rsidRPr="00D870F0">
        <w:rPr>
          <w:rFonts w:eastAsia="Times New Roman" w:cs="Arial"/>
          <w:color w:val="000000"/>
          <w:lang w:val="en-US"/>
        </w:rPr>
        <w:t xml:space="preserve">CI </w:t>
      </w:r>
      <w:r w:rsidRPr="00D870F0">
        <w:rPr>
          <w:rFonts w:eastAsia="Times New Roman" w:cs="Arial"/>
          <w:color w:val="000000"/>
          <w:lang w:eastAsia="bg-BG"/>
        </w:rPr>
        <w:t>0,82; 1,80). Няма изразена причина за смъртността, но са наблюдавани по-висока честота на белодробна недостатъчност, кръвоизливи и инфекциозни нежелани реакции при пациенти, лекувани със сорафениб като допълнение на химиотерапии на основата на платина.</w:t>
      </w:r>
    </w:p>
    <w:p w14:paraId="714F230D" w14:textId="77777777" w:rsidR="00D870F0" w:rsidRPr="00D870F0" w:rsidRDefault="00D870F0" w:rsidP="00D870F0">
      <w:pPr>
        <w:spacing w:line="240" w:lineRule="auto"/>
        <w:rPr>
          <w:rFonts w:eastAsia="Times New Roman" w:cs="Arial"/>
          <w:color w:val="000000"/>
          <w:u w:val="single"/>
          <w:lang w:eastAsia="bg-BG"/>
        </w:rPr>
      </w:pPr>
    </w:p>
    <w:p w14:paraId="6B70B056" w14:textId="6E348E97" w:rsidR="00D870F0" w:rsidRPr="00D870F0" w:rsidRDefault="00D870F0" w:rsidP="00D870F0">
      <w:pPr>
        <w:spacing w:line="240" w:lineRule="auto"/>
        <w:rPr>
          <w:rFonts w:eastAsia="Times New Roman" w:cs="Arial"/>
          <w:lang w:eastAsia="bg-BG"/>
        </w:rPr>
      </w:pPr>
      <w:r w:rsidRPr="00D870F0">
        <w:rPr>
          <w:rFonts w:eastAsia="Times New Roman" w:cs="Arial"/>
          <w:color w:val="000000"/>
          <w:u w:val="single"/>
          <w:lang w:eastAsia="bg-BG"/>
        </w:rPr>
        <w:t>Специфичини предупреждения в зависимост от заболяването</w:t>
      </w:r>
    </w:p>
    <w:p w14:paraId="570D1550" w14:textId="77777777" w:rsidR="00D870F0" w:rsidRPr="00D870F0" w:rsidRDefault="00D870F0" w:rsidP="00D870F0">
      <w:pPr>
        <w:spacing w:line="240" w:lineRule="auto"/>
        <w:rPr>
          <w:rFonts w:eastAsia="Times New Roman" w:cs="Arial"/>
          <w:i/>
          <w:iCs/>
          <w:color w:val="000000"/>
          <w:u w:val="single"/>
          <w:lang w:eastAsia="bg-BG"/>
        </w:rPr>
      </w:pPr>
    </w:p>
    <w:p w14:paraId="5D29D085" w14:textId="148540A1" w:rsidR="00D870F0" w:rsidRPr="00D870F0" w:rsidRDefault="00D870F0" w:rsidP="00D870F0">
      <w:pPr>
        <w:spacing w:line="240" w:lineRule="auto"/>
        <w:rPr>
          <w:rFonts w:eastAsia="Times New Roman" w:cs="Arial"/>
          <w:lang w:eastAsia="bg-BG"/>
        </w:rPr>
      </w:pPr>
      <w:r w:rsidRPr="00D870F0">
        <w:rPr>
          <w:rFonts w:eastAsia="Times New Roman" w:cs="Arial"/>
          <w:i/>
          <w:iCs/>
          <w:color w:val="000000"/>
          <w:u w:val="single"/>
          <w:lang w:eastAsia="bg-BG"/>
        </w:rPr>
        <w:t>Бъбречно-клетъчен карцином</w:t>
      </w:r>
    </w:p>
    <w:p w14:paraId="28317322" w14:textId="77777777" w:rsidR="00D870F0" w:rsidRPr="00D870F0" w:rsidRDefault="00D870F0" w:rsidP="00D870F0">
      <w:pPr>
        <w:spacing w:line="240" w:lineRule="auto"/>
        <w:rPr>
          <w:rFonts w:eastAsia="Times New Roman" w:cs="Arial"/>
          <w:lang w:eastAsia="bg-BG"/>
        </w:rPr>
      </w:pPr>
      <w:r w:rsidRPr="00D870F0">
        <w:rPr>
          <w:rFonts w:eastAsia="Times New Roman" w:cs="Arial"/>
          <w:color w:val="000000"/>
          <w:lang w:eastAsia="bg-BG"/>
        </w:rPr>
        <w:t xml:space="preserve">Пациенти от прогностичната група с висок риск по </w:t>
      </w:r>
      <w:r w:rsidRPr="00D870F0">
        <w:rPr>
          <w:rFonts w:eastAsia="Times New Roman" w:cs="Arial"/>
          <w:color w:val="000000"/>
          <w:lang w:val="en-US"/>
        </w:rPr>
        <w:t xml:space="preserve">MSKCC (Memorial Sloan Kettering Cancer Center) </w:t>
      </w:r>
      <w:r w:rsidRPr="00D870F0">
        <w:rPr>
          <w:rFonts w:eastAsia="Times New Roman" w:cs="Arial"/>
          <w:color w:val="000000"/>
          <w:lang w:eastAsia="bg-BG"/>
        </w:rPr>
        <w:t>не са били включени в клинично проучване фаза III при бъбречно-клетъчен карцином (вж. проучване 1 в точка 5.1), и при тези пациенти не е оценявано съотношението полза-риск.</w:t>
      </w:r>
    </w:p>
    <w:p w14:paraId="501306D7" w14:textId="77777777" w:rsidR="00D870F0" w:rsidRPr="00D870F0" w:rsidRDefault="00D870F0" w:rsidP="00D870F0">
      <w:pPr>
        <w:spacing w:line="240" w:lineRule="auto"/>
        <w:rPr>
          <w:rFonts w:eastAsia="Times New Roman" w:cs="Arial"/>
          <w:color w:val="000000"/>
          <w:u w:val="single"/>
          <w:lang w:eastAsia="bg-BG"/>
        </w:rPr>
      </w:pPr>
    </w:p>
    <w:p w14:paraId="0C1A99A6" w14:textId="2BF77A13" w:rsidR="00D870F0" w:rsidRPr="00D870F0" w:rsidRDefault="00D870F0" w:rsidP="00D870F0">
      <w:pPr>
        <w:spacing w:line="240" w:lineRule="auto"/>
        <w:rPr>
          <w:rFonts w:eastAsia="Times New Roman" w:cs="Arial"/>
          <w:lang w:eastAsia="bg-BG"/>
        </w:rPr>
      </w:pPr>
      <w:r w:rsidRPr="00D870F0">
        <w:rPr>
          <w:rFonts w:eastAsia="Times New Roman" w:cs="Arial"/>
          <w:color w:val="000000"/>
          <w:u w:val="single"/>
          <w:lang w:eastAsia="bg-BG"/>
        </w:rPr>
        <w:t xml:space="preserve">Синдром на туморен лизис </w:t>
      </w:r>
      <w:r w:rsidRPr="00D870F0">
        <w:rPr>
          <w:rFonts w:eastAsia="Times New Roman" w:cs="Arial"/>
          <w:color w:val="000000"/>
          <w:u w:val="single"/>
          <w:lang w:val="en-US"/>
        </w:rPr>
        <w:t>(TLS)</w:t>
      </w:r>
    </w:p>
    <w:p w14:paraId="738534EA" w14:textId="77777777" w:rsidR="00D870F0" w:rsidRPr="00D870F0" w:rsidRDefault="00D870F0" w:rsidP="00D870F0">
      <w:pPr>
        <w:spacing w:line="240" w:lineRule="auto"/>
        <w:rPr>
          <w:rFonts w:eastAsia="Times New Roman" w:cs="Arial"/>
          <w:lang w:eastAsia="bg-BG"/>
        </w:rPr>
      </w:pPr>
      <w:r w:rsidRPr="00D870F0">
        <w:rPr>
          <w:rFonts w:eastAsia="Times New Roman" w:cs="Arial"/>
          <w:color w:val="000000"/>
          <w:lang w:eastAsia="bg-BG"/>
        </w:rPr>
        <w:t xml:space="preserve">При постмаркетингово наблюдение при пациенти, лекувани със сорафениб, се съобщава за случаи на </w:t>
      </w:r>
      <w:r w:rsidRPr="00D870F0">
        <w:rPr>
          <w:rFonts w:eastAsia="Times New Roman" w:cs="Arial"/>
          <w:color w:val="000000"/>
          <w:lang w:val="en-US"/>
        </w:rPr>
        <w:t xml:space="preserve">TLS, </w:t>
      </w:r>
      <w:r w:rsidRPr="00D870F0">
        <w:rPr>
          <w:rFonts w:eastAsia="Times New Roman" w:cs="Arial"/>
          <w:color w:val="000000"/>
          <w:lang w:eastAsia="bg-BG"/>
        </w:rPr>
        <w:t xml:space="preserve">някои от които летални. Рискови фактори за поява на </w:t>
      </w:r>
      <w:r w:rsidRPr="00D870F0">
        <w:rPr>
          <w:rFonts w:eastAsia="Times New Roman" w:cs="Arial"/>
          <w:color w:val="000000"/>
          <w:lang w:val="en-US"/>
        </w:rPr>
        <w:t xml:space="preserve">TLS </w:t>
      </w:r>
      <w:r w:rsidRPr="00D870F0">
        <w:rPr>
          <w:rFonts w:eastAsia="Times New Roman" w:cs="Arial"/>
          <w:color w:val="000000"/>
          <w:lang w:eastAsia="bg-BG"/>
        </w:rPr>
        <w:t>са висок туморен товар, наличие на хронична бъбречна недостатъчност, олигурия, дехидратация, хипотония и повишена киселинност на урината, Тези пациенти трябва да се наблюдават внимателно и да се лекуват незабавно, както е клинично показано, като трябва да се обмисли хидратация с профилактична цел.</w:t>
      </w:r>
    </w:p>
    <w:p w14:paraId="271B2E26" w14:textId="77777777" w:rsidR="00D870F0" w:rsidRPr="00D870F0" w:rsidRDefault="00D870F0" w:rsidP="00D870F0">
      <w:pPr>
        <w:spacing w:line="240" w:lineRule="auto"/>
        <w:rPr>
          <w:rFonts w:eastAsia="Times New Roman" w:cs="Arial"/>
          <w:color w:val="000000"/>
          <w:u w:val="single"/>
          <w:lang w:eastAsia="bg-BG"/>
        </w:rPr>
      </w:pPr>
    </w:p>
    <w:p w14:paraId="584BFD60" w14:textId="6F3388FC" w:rsidR="00D870F0" w:rsidRPr="00D870F0" w:rsidRDefault="00D870F0" w:rsidP="00D870F0">
      <w:pPr>
        <w:spacing w:line="240" w:lineRule="auto"/>
        <w:rPr>
          <w:rFonts w:eastAsia="Times New Roman" w:cs="Arial"/>
          <w:lang w:eastAsia="bg-BG"/>
        </w:rPr>
      </w:pPr>
      <w:r w:rsidRPr="00D870F0">
        <w:rPr>
          <w:rFonts w:eastAsia="Times New Roman" w:cs="Arial"/>
          <w:color w:val="000000"/>
          <w:u w:val="single"/>
          <w:lang w:eastAsia="bg-BG"/>
        </w:rPr>
        <w:t>Информация за помощните вещества</w:t>
      </w:r>
    </w:p>
    <w:p w14:paraId="76443C31" w14:textId="04FA3B14" w:rsidR="00D870F0" w:rsidRPr="00D870F0" w:rsidRDefault="00D870F0" w:rsidP="00D870F0">
      <w:pPr>
        <w:spacing w:line="240" w:lineRule="auto"/>
        <w:rPr>
          <w:rFonts w:eastAsia="Times New Roman" w:cs="Arial"/>
          <w:lang w:eastAsia="bg-BG"/>
        </w:rPr>
      </w:pPr>
      <w:r w:rsidRPr="00D870F0">
        <w:rPr>
          <w:rFonts w:eastAsia="Times New Roman" w:cs="Arial"/>
          <w:color w:val="000000"/>
          <w:lang w:eastAsia="bg-BG"/>
        </w:rPr>
        <w:t xml:space="preserve">Това лекарство съдържа по-малко от ] </w:t>
      </w:r>
      <w:r w:rsidRPr="00D870F0">
        <w:rPr>
          <w:rFonts w:eastAsia="Times New Roman" w:cs="Arial"/>
          <w:color w:val="000000"/>
          <w:lang w:val="en-US"/>
        </w:rPr>
        <w:t xml:space="preserve">mmol </w:t>
      </w:r>
      <w:r w:rsidRPr="00D870F0">
        <w:rPr>
          <w:rFonts w:eastAsia="Times New Roman" w:cs="Arial"/>
          <w:color w:val="000000"/>
          <w:lang w:eastAsia="bg-BG"/>
        </w:rPr>
        <w:t xml:space="preserve">натрий (23 </w:t>
      </w:r>
      <w:r w:rsidRPr="00D870F0">
        <w:rPr>
          <w:rFonts w:eastAsia="Times New Roman" w:cs="Arial"/>
          <w:color w:val="000000"/>
          <w:lang w:val="en-US"/>
        </w:rPr>
        <w:t xml:space="preserve">mg) </w:t>
      </w:r>
      <w:r w:rsidRPr="00D870F0">
        <w:rPr>
          <w:rFonts w:eastAsia="Times New Roman" w:cs="Arial"/>
          <w:color w:val="000000"/>
          <w:lang w:eastAsia="bg-BG"/>
        </w:rPr>
        <w:t>на доза, т.е. може да се каже, че практически не съдържа натрий</w:t>
      </w:r>
    </w:p>
    <w:p w14:paraId="3141D606" w14:textId="32C6085B" w:rsidR="00D870F0" w:rsidRPr="00D870F0" w:rsidRDefault="00D870F0" w:rsidP="00D870F0">
      <w:pPr>
        <w:spacing w:line="240" w:lineRule="auto"/>
        <w:rPr>
          <w:rFonts w:ascii="Times New Roman" w:eastAsia="Times New Roman" w:hAnsi="Times New Roman" w:cs="Times New Roman"/>
          <w:sz w:val="24"/>
          <w:szCs w:val="24"/>
          <w:lang w:val="en-US" w:eastAsia="bg-BG"/>
        </w:rPr>
      </w:pPr>
    </w:p>
    <w:p w14:paraId="4D7BA7E8" w14:textId="45BC7BFF" w:rsidR="00D870F0" w:rsidRPr="00D870F0" w:rsidRDefault="00D870F0" w:rsidP="00D870F0"/>
    <w:p w14:paraId="524AC966" w14:textId="31BB243B" w:rsidR="001A6EBD" w:rsidRDefault="002C50EE" w:rsidP="00471F10">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p>
    <w:p w14:paraId="7369B636" w14:textId="39801A19" w:rsidR="00D870F0" w:rsidRDefault="00D870F0" w:rsidP="00D870F0"/>
    <w:p w14:paraId="5D921872" w14:textId="77777777" w:rsidR="00D870F0" w:rsidRPr="00D870F0" w:rsidRDefault="00D870F0" w:rsidP="00D870F0">
      <w:pPr>
        <w:spacing w:line="240" w:lineRule="auto"/>
        <w:rPr>
          <w:rFonts w:eastAsia="Times New Roman" w:cs="Arial"/>
          <w:sz w:val="28"/>
          <w:szCs w:val="28"/>
          <w:lang w:eastAsia="bg-BG"/>
        </w:rPr>
      </w:pPr>
      <w:r w:rsidRPr="00D870F0">
        <w:rPr>
          <w:rFonts w:eastAsia="Times New Roman" w:cs="Arial"/>
          <w:color w:val="000000"/>
          <w:u w:val="single"/>
          <w:lang w:eastAsia="bg-BG"/>
        </w:rPr>
        <w:t>Индуктори на метаболитни ензими</w:t>
      </w:r>
    </w:p>
    <w:p w14:paraId="48C0C06E" w14:textId="77777777" w:rsidR="00D870F0" w:rsidRPr="00D870F0" w:rsidRDefault="00D870F0" w:rsidP="00D870F0">
      <w:pPr>
        <w:spacing w:line="240" w:lineRule="auto"/>
        <w:rPr>
          <w:rFonts w:eastAsia="Times New Roman" w:cs="Arial"/>
          <w:sz w:val="28"/>
          <w:szCs w:val="28"/>
          <w:lang w:eastAsia="bg-BG"/>
        </w:rPr>
      </w:pPr>
      <w:r w:rsidRPr="00D870F0">
        <w:rPr>
          <w:rFonts w:eastAsia="Times New Roman" w:cs="Arial"/>
          <w:color w:val="000000"/>
          <w:lang w:eastAsia="bg-BG"/>
        </w:rPr>
        <w:t xml:space="preserve">Приложението на рифампицин за 5 дни преди приложението на еднократна доза сорафениб води средно до 37 % редукция на </w:t>
      </w:r>
      <w:r w:rsidRPr="00D870F0">
        <w:rPr>
          <w:rFonts w:eastAsia="Times New Roman" w:cs="Arial"/>
          <w:color w:val="000000"/>
          <w:lang w:val="en-US"/>
        </w:rPr>
        <w:t xml:space="preserve">AUC </w:t>
      </w:r>
      <w:r w:rsidRPr="00D870F0">
        <w:rPr>
          <w:rFonts w:eastAsia="Times New Roman" w:cs="Arial"/>
          <w:color w:val="000000"/>
          <w:lang w:eastAsia="bg-BG"/>
        </w:rPr>
        <w:t xml:space="preserve">на сорафениб. Само индуктори на </w:t>
      </w:r>
      <w:r w:rsidRPr="00D870F0">
        <w:rPr>
          <w:rFonts w:eastAsia="Times New Roman" w:cs="Arial"/>
          <w:color w:val="000000"/>
          <w:lang w:val="en-US"/>
        </w:rPr>
        <w:t xml:space="preserve">CYP3A4 </w:t>
      </w:r>
      <w:r w:rsidRPr="00D870F0">
        <w:rPr>
          <w:rFonts w:eastAsia="Times New Roman" w:cs="Arial"/>
          <w:color w:val="000000"/>
          <w:lang w:eastAsia="bg-BG"/>
        </w:rPr>
        <w:t>активност и/или глюкурониране (напр. жълт кантарион, фенитоин, карбамазепин, фенобарбитал и дексаметазон) могат също да повишат метаболизма на сорафениб и по този начин да понижат концентрациите му.</w:t>
      </w:r>
    </w:p>
    <w:p w14:paraId="50EAF9F1" w14:textId="77777777" w:rsidR="00D870F0" w:rsidRPr="00D870F0" w:rsidRDefault="00D870F0" w:rsidP="00D870F0">
      <w:pPr>
        <w:spacing w:line="240" w:lineRule="auto"/>
        <w:rPr>
          <w:rFonts w:eastAsia="Times New Roman" w:cs="Arial"/>
          <w:color w:val="000000"/>
          <w:u w:val="single"/>
          <w:lang w:eastAsia="bg-BG"/>
        </w:rPr>
      </w:pPr>
    </w:p>
    <w:p w14:paraId="25A30ED5" w14:textId="1E5C2B04" w:rsidR="00D870F0" w:rsidRPr="00D870F0" w:rsidRDefault="00D870F0" w:rsidP="00D870F0">
      <w:pPr>
        <w:spacing w:line="240" w:lineRule="auto"/>
        <w:rPr>
          <w:rFonts w:eastAsia="Times New Roman" w:cs="Arial"/>
          <w:sz w:val="28"/>
          <w:szCs w:val="28"/>
          <w:lang w:eastAsia="bg-BG"/>
        </w:rPr>
      </w:pPr>
      <w:r w:rsidRPr="00D870F0">
        <w:rPr>
          <w:rFonts w:eastAsia="Times New Roman" w:cs="Arial"/>
          <w:color w:val="000000"/>
          <w:u w:val="single"/>
          <w:lang w:eastAsia="bg-BG"/>
        </w:rPr>
        <w:t xml:space="preserve">Инхибитори </w:t>
      </w:r>
      <w:r w:rsidRPr="00D870F0">
        <w:rPr>
          <w:rFonts w:eastAsia="Times New Roman" w:cs="Arial"/>
          <w:color w:val="000000"/>
          <w:u w:val="single"/>
          <w:lang w:val="en-US"/>
        </w:rPr>
        <w:t>CYP3A4</w:t>
      </w:r>
    </w:p>
    <w:p w14:paraId="0275FAE4" w14:textId="618362F2" w:rsidR="00D870F0" w:rsidRPr="00D870F0" w:rsidRDefault="00D870F0" w:rsidP="00D870F0">
      <w:pPr>
        <w:rPr>
          <w:rFonts w:eastAsia="Times New Roman" w:cs="Arial"/>
          <w:color w:val="000000"/>
          <w:lang w:eastAsia="bg-BG"/>
        </w:rPr>
      </w:pPr>
      <w:r w:rsidRPr="00D870F0">
        <w:rPr>
          <w:rFonts w:eastAsia="Times New Roman" w:cs="Arial"/>
          <w:color w:val="000000"/>
          <w:lang w:eastAsia="bg-BG"/>
        </w:rPr>
        <w:t xml:space="preserve">Кетоконазол, силен инхибитор на </w:t>
      </w:r>
      <w:r w:rsidRPr="00D870F0">
        <w:rPr>
          <w:rFonts w:eastAsia="Times New Roman" w:cs="Arial"/>
          <w:color w:val="000000"/>
          <w:lang w:val="en-US"/>
        </w:rPr>
        <w:t xml:space="preserve">CYP3 </w:t>
      </w:r>
      <w:r w:rsidRPr="00D870F0">
        <w:rPr>
          <w:rFonts w:eastAsia="Times New Roman" w:cs="Arial"/>
          <w:color w:val="000000"/>
          <w:lang w:eastAsia="bg-BG"/>
        </w:rPr>
        <w:t xml:space="preserve">А4, приложен един път дневно в продължение на 7 дни на здрави доброволци не променя </w:t>
      </w:r>
      <w:r w:rsidRPr="00D870F0">
        <w:rPr>
          <w:rFonts w:eastAsia="Times New Roman" w:cs="Arial"/>
          <w:color w:val="000000"/>
          <w:lang w:val="en-US"/>
        </w:rPr>
        <w:t xml:space="preserve">AUC </w:t>
      </w:r>
      <w:r w:rsidRPr="00D870F0">
        <w:rPr>
          <w:rFonts w:eastAsia="Times New Roman" w:cs="Arial"/>
          <w:color w:val="000000"/>
          <w:lang w:eastAsia="bg-BG"/>
        </w:rPr>
        <w:t xml:space="preserve">на единична доза 50 </w:t>
      </w:r>
      <w:r w:rsidRPr="00D870F0">
        <w:rPr>
          <w:rFonts w:eastAsia="Times New Roman" w:cs="Arial"/>
          <w:color w:val="000000"/>
          <w:lang w:val="en-US"/>
        </w:rPr>
        <w:t xml:space="preserve">mg </w:t>
      </w:r>
      <w:r w:rsidRPr="00D870F0">
        <w:rPr>
          <w:rFonts w:eastAsia="Times New Roman" w:cs="Arial"/>
          <w:color w:val="000000"/>
          <w:lang w:eastAsia="bg-BG"/>
        </w:rPr>
        <w:t>сорафениб. Тези данни пок</w:t>
      </w:r>
      <w:r w:rsidRPr="00D870F0">
        <w:rPr>
          <w:rFonts w:eastAsia="Times New Roman" w:cs="Arial"/>
          <w:color w:val="000000"/>
          <w:u w:val="single"/>
          <w:lang w:eastAsia="bg-BG"/>
        </w:rPr>
        <w:t>азват,</w:t>
      </w:r>
      <w:r w:rsidRPr="00D870F0">
        <w:rPr>
          <w:rFonts w:eastAsia="Times New Roman" w:cs="Arial"/>
          <w:color w:val="000000"/>
          <w:lang w:eastAsia="bg-BG"/>
        </w:rPr>
        <w:t xml:space="preserve"> че клиничните фармакокинетични взаимодействия на сорафениб с </w:t>
      </w:r>
      <w:r w:rsidRPr="00D870F0">
        <w:rPr>
          <w:rFonts w:eastAsia="Times New Roman" w:cs="Arial"/>
          <w:color w:val="000000"/>
          <w:lang w:val="en-US"/>
        </w:rPr>
        <w:t xml:space="preserve">CYP3A4 </w:t>
      </w:r>
      <w:r w:rsidRPr="00D870F0">
        <w:rPr>
          <w:rFonts w:eastAsia="Times New Roman" w:cs="Arial"/>
          <w:color w:val="000000"/>
          <w:lang w:eastAsia="bg-BG"/>
        </w:rPr>
        <w:t>инхибитори са малко вероятни.</w:t>
      </w:r>
    </w:p>
    <w:p w14:paraId="0877DA4C" w14:textId="78FE5D2A" w:rsidR="00D870F0" w:rsidRPr="00D870F0" w:rsidRDefault="00D870F0" w:rsidP="00D870F0">
      <w:pPr>
        <w:rPr>
          <w:rFonts w:eastAsia="Times New Roman" w:cs="Arial"/>
          <w:color w:val="000000"/>
          <w:lang w:eastAsia="bg-BG"/>
        </w:rPr>
      </w:pPr>
    </w:p>
    <w:p w14:paraId="7676F18C" w14:textId="77777777" w:rsidR="00D870F0" w:rsidRPr="00D870F0" w:rsidRDefault="00D870F0" w:rsidP="00D870F0">
      <w:pPr>
        <w:spacing w:line="240" w:lineRule="auto"/>
        <w:rPr>
          <w:rFonts w:eastAsia="Times New Roman" w:cs="Arial"/>
          <w:sz w:val="28"/>
          <w:szCs w:val="28"/>
          <w:lang w:eastAsia="bg-BG"/>
        </w:rPr>
      </w:pPr>
      <w:r w:rsidRPr="00D870F0">
        <w:rPr>
          <w:rFonts w:eastAsia="Times New Roman" w:cs="Arial"/>
          <w:color w:val="000000"/>
          <w:u w:val="single"/>
          <w:lang w:eastAsia="bg-BG"/>
        </w:rPr>
        <w:t xml:space="preserve">Субстрати на </w:t>
      </w:r>
      <w:r w:rsidRPr="00D870F0">
        <w:rPr>
          <w:rFonts w:eastAsia="Times New Roman" w:cs="Arial"/>
          <w:color w:val="000000"/>
          <w:u w:val="single"/>
          <w:lang w:val="en-US"/>
        </w:rPr>
        <w:t xml:space="preserve">CYP2B6. </w:t>
      </w:r>
      <w:r w:rsidRPr="00D870F0">
        <w:rPr>
          <w:rFonts w:eastAsia="Times New Roman" w:cs="Arial"/>
          <w:color w:val="000000"/>
          <w:u w:val="single"/>
          <w:lang w:eastAsia="bg-BG"/>
        </w:rPr>
        <w:t xml:space="preserve">СУР2С8 и </w:t>
      </w:r>
      <w:r w:rsidRPr="00D870F0">
        <w:rPr>
          <w:rFonts w:eastAsia="Times New Roman" w:cs="Arial"/>
          <w:color w:val="000000"/>
          <w:u w:val="single"/>
          <w:lang w:val="en-US"/>
        </w:rPr>
        <w:t>CYP2C9</w:t>
      </w:r>
    </w:p>
    <w:p w14:paraId="4C1D89A2" w14:textId="77777777" w:rsidR="00D870F0" w:rsidRPr="00D870F0" w:rsidRDefault="00D870F0" w:rsidP="00D870F0">
      <w:pPr>
        <w:spacing w:line="240" w:lineRule="auto"/>
        <w:rPr>
          <w:rFonts w:eastAsia="Times New Roman" w:cs="Arial"/>
          <w:sz w:val="28"/>
          <w:szCs w:val="28"/>
          <w:lang w:eastAsia="bg-BG"/>
        </w:rPr>
      </w:pPr>
      <w:r w:rsidRPr="00D870F0">
        <w:rPr>
          <w:rFonts w:eastAsia="Times New Roman" w:cs="Arial"/>
          <w:color w:val="000000"/>
          <w:lang w:eastAsia="bg-BG"/>
        </w:rPr>
        <w:lastRenderedPageBreak/>
        <w:t xml:space="preserve">Сорафениб инхибира </w:t>
      </w:r>
      <w:r w:rsidRPr="00D870F0">
        <w:rPr>
          <w:rFonts w:eastAsia="Times New Roman" w:cs="Arial"/>
          <w:i/>
          <w:iCs/>
          <w:color w:val="000000"/>
          <w:lang w:val="en-US"/>
        </w:rPr>
        <w:t>in vitro</w:t>
      </w:r>
      <w:r w:rsidRPr="00D870F0">
        <w:rPr>
          <w:rFonts w:eastAsia="Times New Roman" w:cs="Arial"/>
          <w:color w:val="000000"/>
          <w:lang w:val="en-US"/>
        </w:rPr>
        <w:t xml:space="preserve"> </w:t>
      </w:r>
      <w:r w:rsidRPr="00D870F0">
        <w:rPr>
          <w:rFonts w:eastAsia="Times New Roman" w:cs="Arial"/>
          <w:color w:val="000000"/>
          <w:lang w:eastAsia="bg-BG"/>
        </w:rPr>
        <w:t xml:space="preserve">почти еднакво </w:t>
      </w:r>
      <w:r w:rsidRPr="00D870F0">
        <w:rPr>
          <w:rFonts w:eastAsia="Times New Roman" w:cs="Arial"/>
          <w:color w:val="000000"/>
          <w:lang w:val="en-US"/>
        </w:rPr>
        <w:t xml:space="preserve">CYP2B6, CYP2C8 </w:t>
      </w:r>
      <w:r w:rsidRPr="00D870F0">
        <w:rPr>
          <w:rFonts w:eastAsia="Times New Roman" w:cs="Arial"/>
          <w:color w:val="000000"/>
          <w:lang w:eastAsia="bg-BG"/>
        </w:rPr>
        <w:t xml:space="preserve">и </w:t>
      </w:r>
      <w:r w:rsidRPr="00D870F0">
        <w:rPr>
          <w:rFonts w:eastAsia="Times New Roman" w:cs="Arial"/>
          <w:color w:val="000000"/>
          <w:lang w:val="en-US"/>
        </w:rPr>
        <w:t xml:space="preserve">CYP2C9. </w:t>
      </w:r>
      <w:r w:rsidRPr="00D870F0">
        <w:rPr>
          <w:rFonts w:eastAsia="Times New Roman" w:cs="Arial"/>
          <w:color w:val="000000"/>
          <w:lang w:eastAsia="bg-BG"/>
        </w:rPr>
        <w:t xml:space="preserve">Въпреки това, в клинични фармакокинетични изпитвания едновременното приложение на сорафениб 400 </w:t>
      </w:r>
      <w:r w:rsidRPr="00D870F0">
        <w:rPr>
          <w:rFonts w:eastAsia="Times New Roman" w:cs="Arial"/>
          <w:color w:val="000000"/>
          <w:lang w:val="en-US"/>
        </w:rPr>
        <w:t xml:space="preserve">mg </w:t>
      </w:r>
      <w:r w:rsidRPr="00D870F0">
        <w:rPr>
          <w:rFonts w:eastAsia="Times New Roman" w:cs="Arial"/>
          <w:color w:val="000000"/>
          <w:lang w:eastAsia="bg-BG"/>
        </w:rPr>
        <w:t xml:space="preserve">два пъти дневно с циклофосфамид, субстрат на </w:t>
      </w:r>
      <w:r w:rsidRPr="00D870F0">
        <w:rPr>
          <w:rFonts w:eastAsia="Times New Roman" w:cs="Arial"/>
          <w:color w:val="000000"/>
          <w:lang w:val="en-US"/>
        </w:rPr>
        <w:t xml:space="preserve">CYP2B6, </w:t>
      </w:r>
      <w:r w:rsidRPr="00D870F0">
        <w:rPr>
          <w:rFonts w:eastAsia="Times New Roman" w:cs="Arial"/>
          <w:color w:val="000000"/>
          <w:lang w:eastAsia="bg-BG"/>
        </w:rPr>
        <w:t xml:space="preserve">или с паклитаксел, субстрат на </w:t>
      </w:r>
      <w:r w:rsidRPr="00D870F0">
        <w:rPr>
          <w:rFonts w:eastAsia="Times New Roman" w:cs="Arial"/>
          <w:color w:val="000000"/>
          <w:lang w:val="en-US"/>
        </w:rPr>
        <w:t xml:space="preserve">CYP2C8, </w:t>
      </w:r>
      <w:r w:rsidRPr="00D870F0">
        <w:rPr>
          <w:rFonts w:eastAsia="Times New Roman" w:cs="Arial"/>
          <w:color w:val="000000"/>
          <w:lang w:eastAsia="bg-BG"/>
        </w:rPr>
        <w:t xml:space="preserve">не води до клинично значимо инхибиране. Тези данни предполагат, че сорафениб в препоръчителната доза 400 </w:t>
      </w:r>
      <w:r w:rsidRPr="00D870F0">
        <w:rPr>
          <w:rFonts w:eastAsia="Times New Roman" w:cs="Arial"/>
          <w:color w:val="000000"/>
          <w:lang w:val="en-US"/>
        </w:rPr>
        <w:t xml:space="preserve">mg </w:t>
      </w:r>
      <w:r w:rsidRPr="00D870F0">
        <w:rPr>
          <w:rFonts w:eastAsia="Times New Roman" w:cs="Arial"/>
          <w:color w:val="000000"/>
          <w:lang w:eastAsia="bg-BG"/>
        </w:rPr>
        <w:t xml:space="preserve">два пъти дневно не може да бъде </w:t>
      </w:r>
      <w:r w:rsidRPr="00D870F0">
        <w:rPr>
          <w:rFonts w:eastAsia="Times New Roman" w:cs="Arial"/>
          <w:i/>
          <w:iCs/>
          <w:color w:val="000000"/>
          <w:lang w:val="en-US"/>
        </w:rPr>
        <w:t>in vivo</w:t>
      </w:r>
      <w:r w:rsidRPr="00D870F0">
        <w:rPr>
          <w:rFonts w:eastAsia="Times New Roman" w:cs="Arial"/>
          <w:color w:val="000000"/>
          <w:lang w:val="en-US"/>
        </w:rPr>
        <w:t xml:space="preserve"> </w:t>
      </w:r>
      <w:r w:rsidRPr="00D870F0">
        <w:rPr>
          <w:rFonts w:eastAsia="Times New Roman" w:cs="Arial"/>
          <w:color w:val="000000"/>
          <w:lang w:eastAsia="bg-BG"/>
        </w:rPr>
        <w:t xml:space="preserve">инхибитор на </w:t>
      </w:r>
      <w:r w:rsidRPr="00D870F0">
        <w:rPr>
          <w:rFonts w:eastAsia="Times New Roman" w:cs="Arial"/>
          <w:color w:val="000000"/>
          <w:lang w:val="en-US"/>
        </w:rPr>
        <w:t xml:space="preserve">CYP2B6 </w:t>
      </w:r>
      <w:r w:rsidRPr="00D870F0">
        <w:rPr>
          <w:rFonts w:eastAsia="Times New Roman" w:cs="Arial"/>
          <w:color w:val="000000"/>
          <w:lang w:eastAsia="bg-BG"/>
        </w:rPr>
        <w:t xml:space="preserve">и </w:t>
      </w:r>
      <w:r w:rsidRPr="00D870F0">
        <w:rPr>
          <w:rFonts w:eastAsia="Times New Roman" w:cs="Arial"/>
          <w:color w:val="000000"/>
          <w:lang w:val="en-US"/>
        </w:rPr>
        <w:t>CYP2C8.</w:t>
      </w:r>
    </w:p>
    <w:p w14:paraId="2435FCC5" w14:textId="77777777" w:rsidR="00D870F0" w:rsidRPr="00D870F0" w:rsidRDefault="00D870F0" w:rsidP="00D870F0">
      <w:pPr>
        <w:spacing w:line="240" w:lineRule="auto"/>
        <w:rPr>
          <w:rFonts w:eastAsia="Times New Roman" w:cs="Arial"/>
          <w:sz w:val="28"/>
          <w:szCs w:val="28"/>
          <w:lang w:eastAsia="bg-BG"/>
        </w:rPr>
      </w:pPr>
      <w:r w:rsidRPr="00D870F0">
        <w:rPr>
          <w:rFonts w:eastAsia="Times New Roman" w:cs="Arial"/>
          <w:color w:val="000000"/>
          <w:lang w:eastAsia="bg-BG"/>
        </w:rPr>
        <w:t xml:space="preserve">В допълнение, едновременното лечение със сорафениб и варфарин, субстрат на </w:t>
      </w:r>
      <w:r w:rsidRPr="00D870F0">
        <w:rPr>
          <w:rFonts w:eastAsia="Times New Roman" w:cs="Arial"/>
          <w:color w:val="000000"/>
          <w:lang w:val="en-US"/>
        </w:rPr>
        <w:t xml:space="preserve">CYP2C9, </w:t>
      </w:r>
      <w:r w:rsidRPr="00D870F0">
        <w:rPr>
          <w:rFonts w:eastAsia="Times New Roman" w:cs="Arial"/>
          <w:color w:val="000000"/>
          <w:lang w:eastAsia="bg-BG"/>
        </w:rPr>
        <w:t xml:space="preserve">не води до изменение в средното </w:t>
      </w:r>
      <w:r w:rsidRPr="00D870F0">
        <w:rPr>
          <w:rFonts w:eastAsia="Times New Roman" w:cs="Arial"/>
          <w:color w:val="000000"/>
          <w:lang w:val="en-US"/>
        </w:rPr>
        <w:t xml:space="preserve">PT-INR </w:t>
      </w:r>
      <w:r w:rsidRPr="00D870F0">
        <w:rPr>
          <w:rFonts w:eastAsia="Times New Roman" w:cs="Arial"/>
          <w:i/>
          <w:iCs/>
          <w:color w:val="000000"/>
          <w:lang w:val="en-US"/>
        </w:rPr>
        <w:t>(Prothrombin Time-International Normalised Ratio),</w:t>
      </w:r>
      <w:r w:rsidRPr="00D870F0">
        <w:rPr>
          <w:rFonts w:eastAsia="Times New Roman" w:cs="Arial"/>
          <w:color w:val="000000"/>
          <w:lang w:val="en-US"/>
        </w:rPr>
        <w:t xml:space="preserve"> </w:t>
      </w:r>
      <w:r w:rsidRPr="00D870F0">
        <w:rPr>
          <w:rFonts w:eastAsia="Times New Roman" w:cs="Arial"/>
          <w:color w:val="000000"/>
          <w:lang w:eastAsia="bg-BG"/>
        </w:rPr>
        <w:t xml:space="preserve">в сравненение с плацебо. Следователно може да се очаква, рискът за клинично значимо </w:t>
      </w:r>
      <w:r w:rsidRPr="00D870F0">
        <w:rPr>
          <w:rFonts w:eastAsia="Times New Roman" w:cs="Arial"/>
          <w:i/>
          <w:iCs/>
          <w:color w:val="000000"/>
          <w:lang w:val="en-US"/>
        </w:rPr>
        <w:t>in vivo</w:t>
      </w:r>
      <w:r w:rsidRPr="00D870F0">
        <w:rPr>
          <w:rFonts w:eastAsia="Times New Roman" w:cs="Arial"/>
          <w:color w:val="000000"/>
          <w:lang w:val="en-US"/>
        </w:rPr>
        <w:t xml:space="preserve"> </w:t>
      </w:r>
      <w:r w:rsidRPr="00D870F0">
        <w:rPr>
          <w:rFonts w:eastAsia="Times New Roman" w:cs="Arial"/>
          <w:color w:val="000000"/>
          <w:lang w:eastAsia="bg-BG"/>
        </w:rPr>
        <w:t xml:space="preserve">инхибиране на </w:t>
      </w:r>
      <w:r w:rsidRPr="00D870F0">
        <w:rPr>
          <w:rFonts w:eastAsia="Times New Roman" w:cs="Arial"/>
          <w:color w:val="000000"/>
          <w:lang w:val="en-US"/>
        </w:rPr>
        <w:t xml:space="preserve">CYP2C9 </w:t>
      </w:r>
      <w:r w:rsidRPr="00D870F0">
        <w:rPr>
          <w:rFonts w:eastAsia="Times New Roman" w:cs="Arial"/>
          <w:color w:val="000000"/>
          <w:lang w:eastAsia="bg-BG"/>
        </w:rPr>
        <w:t xml:space="preserve">от сорафениб да бъде нисък. Все пак при пациенти, приемащи варфарин или фенпрокумон, </w:t>
      </w:r>
      <w:r w:rsidRPr="00D870F0">
        <w:rPr>
          <w:rFonts w:eastAsia="Times New Roman" w:cs="Arial"/>
          <w:color w:val="000000"/>
          <w:lang w:val="en-US"/>
        </w:rPr>
        <w:t xml:space="preserve">INR </w:t>
      </w:r>
      <w:r w:rsidRPr="00D870F0">
        <w:rPr>
          <w:rFonts w:eastAsia="Times New Roman" w:cs="Arial"/>
          <w:color w:val="000000"/>
          <w:lang w:eastAsia="bg-BG"/>
        </w:rPr>
        <w:t>трябва да се проверява редовно (вж. точка 4.4),</w:t>
      </w:r>
    </w:p>
    <w:p w14:paraId="17B667F1" w14:textId="77777777" w:rsidR="00D870F0" w:rsidRPr="00D870F0" w:rsidRDefault="00D870F0" w:rsidP="00D870F0">
      <w:pPr>
        <w:spacing w:line="240" w:lineRule="auto"/>
        <w:rPr>
          <w:rFonts w:eastAsia="Times New Roman" w:cs="Arial"/>
          <w:color w:val="000000"/>
          <w:u w:val="single"/>
          <w:lang w:eastAsia="bg-BG"/>
        </w:rPr>
      </w:pPr>
    </w:p>
    <w:p w14:paraId="462EE124" w14:textId="0B03468E" w:rsidR="00D870F0" w:rsidRPr="00D870F0" w:rsidRDefault="00D870F0" w:rsidP="00D870F0">
      <w:pPr>
        <w:spacing w:line="240" w:lineRule="auto"/>
        <w:rPr>
          <w:rFonts w:eastAsia="Times New Roman" w:cs="Arial"/>
          <w:sz w:val="28"/>
          <w:szCs w:val="28"/>
          <w:lang w:eastAsia="bg-BG"/>
        </w:rPr>
      </w:pPr>
      <w:r w:rsidRPr="00D870F0">
        <w:rPr>
          <w:rFonts w:eastAsia="Times New Roman" w:cs="Arial"/>
          <w:color w:val="000000"/>
          <w:u w:val="single"/>
          <w:lang w:eastAsia="bg-BG"/>
        </w:rPr>
        <w:t xml:space="preserve">Субстрати на </w:t>
      </w:r>
      <w:r w:rsidRPr="00D870F0">
        <w:rPr>
          <w:rFonts w:eastAsia="Times New Roman" w:cs="Arial"/>
          <w:color w:val="000000"/>
          <w:u w:val="single"/>
          <w:lang w:val="en-US"/>
        </w:rPr>
        <w:t xml:space="preserve">CYP3A4, CYP2D6 </w:t>
      </w:r>
      <w:r w:rsidRPr="00D870F0">
        <w:rPr>
          <w:rFonts w:eastAsia="Times New Roman" w:cs="Arial"/>
          <w:color w:val="000000"/>
          <w:u w:val="single"/>
          <w:lang w:eastAsia="bg-BG"/>
        </w:rPr>
        <w:t xml:space="preserve">и </w:t>
      </w:r>
      <w:r w:rsidRPr="00D870F0">
        <w:rPr>
          <w:rFonts w:eastAsia="Times New Roman" w:cs="Arial"/>
          <w:color w:val="000000"/>
          <w:u w:val="single"/>
          <w:lang w:val="en-US"/>
        </w:rPr>
        <w:t>CYP2C19</w:t>
      </w:r>
    </w:p>
    <w:p w14:paraId="0F7FF82D" w14:textId="77777777" w:rsidR="00D870F0" w:rsidRPr="00D870F0" w:rsidRDefault="00D870F0" w:rsidP="00D870F0">
      <w:pPr>
        <w:spacing w:line="240" w:lineRule="auto"/>
        <w:rPr>
          <w:rFonts w:eastAsia="Times New Roman" w:cs="Arial"/>
          <w:sz w:val="28"/>
          <w:szCs w:val="28"/>
          <w:lang w:eastAsia="bg-BG"/>
        </w:rPr>
      </w:pPr>
      <w:r w:rsidRPr="00D870F0">
        <w:rPr>
          <w:rFonts w:eastAsia="Times New Roman" w:cs="Arial"/>
          <w:color w:val="000000"/>
          <w:lang w:eastAsia="bg-BG"/>
        </w:rPr>
        <w:t xml:space="preserve">Едновременно приложение на сорафениб и мидазолам, декстрометорфан или омепразол, които са субстрати на цитохроми </w:t>
      </w:r>
      <w:r w:rsidRPr="00D870F0">
        <w:rPr>
          <w:rFonts w:eastAsia="Times New Roman" w:cs="Arial"/>
          <w:color w:val="000000"/>
          <w:lang w:val="en-US"/>
        </w:rPr>
        <w:t xml:space="preserve">CYP3A4, CYP2D6 </w:t>
      </w:r>
      <w:r w:rsidRPr="00D870F0">
        <w:rPr>
          <w:rFonts w:eastAsia="Times New Roman" w:cs="Arial"/>
          <w:color w:val="000000"/>
          <w:lang w:eastAsia="bg-BG"/>
        </w:rPr>
        <w:t xml:space="preserve">и </w:t>
      </w:r>
      <w:r w:rsidRPr="00D870F0">
        <w:rPr>
          <w:rFonts w:eastAsia="Times New Roman" w:cs="Arial"/>
          <w:color w:val="000000"/>
          <w:lang w:val="en-US"/>
        </w:rPr>
        <w:t xml:space="preserve">CYP2C19, </w:t>
      </w:r>
      <w:r w:rsidRPr="00D870F0">
        <w:rPr>
          <w:rFonts w:eastAsia="Times New Roman" w:cs="Arial"/>
          <w:color w:val="000000"/>
          <w:lang w:eastAsia="bg-BG"/>
        </w:rPr>
        <w:t>съответно, не повлиява експозицията на тези продукти. Това показва, че сорафениб не е нито инхибитор, нито продукт, който повишава активността на тези цитохром Р450 изоензими. Следователно, клиничното фармакокинетично взаимодействие на сорафениб със субстратите на тези ензими са малко вероятни.</w:t>
      </w:r>
    </w:p>
    <w:p w14:paraId="5C6DA613" w14:textId="77777777" w:rsidR="00D870F0" w:rsidRPr="00D870F0" w:rsidRDefault="00D870F0" w:rsidP="00D870F0">
      <w:pPr>
        <w:spacing w:line="240" w:lineRule="auto"/>
        <w:rPr>
          <w:rFonts w:eastAsia="Times New Roman" w:cs="Arial"/>
          <w:color w:val="000000"/>
          <w:u w:val="single"/>
          <w:lang w:eastAsia="bg-BG"/>
        </w:rPr>
      </w:pPr>
    </w:p>
    <w:p w14:paraId="3B607E83" w14:textId="4BBE3E6D" w:rsidR="00D870F0" w:rsidRPr="00D870F0" w:rsidRDefault="00D870F0" w:rsidP="00D870F0">
      <w:pPr>
        <w:spacing w:line="240" w:lineRule="auto"/>
        <w:rPr>
          <w:rFonts w:eastAsia="Times New Roman" w:cs="Arial"/>
          <w:sz w:val="28"/>
          <w:szCs w:val="28"/>
          <w:lang w:eastAsia="bg-BG"/>
        </w:rPr>
      </w:pPr>
      <w:r w:rsidRPr="00D870F0">
        <w:rPr>
          <w:rFonts w:eastAsia="Times New Roman" w:cs="Arial"/>
          <w:color w:val="000000"/>
          <w:u w:val="single"/>
          <w:lang w:eastAsia="bg-BG"/>
        </w:rPr>
        <w:t xml:space="preserve">Субстрати на </w:t>
      </w:r>
      <w:r w:rsidRPr="00D870F0">
        <w:rPr>
          <w:rFonts w:eastAsia="Times New Roman" w:cs="Arial"/>
          <w:color w:val="000000"/>
          <w:u w:val="single"/>
          <w:lang w:val="en-US"/>
        </w:rPr>
        <w:t>UGT1</w:t>
      </w:r>
      <w:r w:rsidRPr="00D870F0">
        <w:rPr>
          <w:rFonts w:eastAsia="Times New Roman" w:cs="Arial"/>
          <w:color w:val="000000"/>
          <w:u w:val="single"/>
          <w:lang w:eastAsia="bg-BG"/>
        </w:rPr>
        <w:t xml:space="preserve">А1 и </w:t>
      </w:r>
      <w:r w:rsidRPr="00D870F0">
        <w:rPr>
          <w:rFonts w:eastAsia="Times New Roman" w:cs="Arial"/>
          <w:color w:val="000000"/>
          <w:u w:val="single"/>
          <w:lang w:val="en-US"/>
        </w:rPr>
        <w:t>UGT1A9</w:t>
      </w:r>
    </w:p>
    <w:p w14:paraId="7FE228D9" w14:textId="77777777" w:rsidR="00D870F0" w:rsidRPr="00D870F0" w:rsidRDefault="00D870F0" w:rsidP="00D870F0">
      <w:pPr>
        <w:spacing w:line="240" w:lineRule="auto"/>
        <w:rPr>
          <w:rFonts w:eastAsia="Times New Roman" w:cs="Arial"/>
          <w:sz w:val="28"/>
          <w:szCs w:val="28"/>
          <w:lang w:eastAsia="bg-BG"/>
        </w:rPr>
      </w:pPr>
      <w:r w:rsidRPr="00D870F0">
        <w:rPr>
          <w:rFonts w:eastAsia="Times New Roman" w:cs="Arial"/>
          <w:i/>
          <w:iCs/>
          <w:color w:val="000000"/>
          <w:lang w:val="en-US"/>
        </w:rPr>
        <w:t>In vitro</w:t>
      </w:r>
      <w:r w:rsidRPr="00D870F0">
        <w:rPr>
          <w:rFonts w:eastAsia="Times New Roman" w:cs="Arial"/>
          <w:color w:val="000000"/>
          <w:lang w:val="en-US"/>
        </w:rPr>
        <w:t xml:space="preserve"> </w:t>
      </w:r>
      <w:r w:rsidRPr="00D870F0">
        <w:rPr>
          <w:rFonts w:eastAsia="Times New Roman" w:cs="Arial"/>
          <w:color w:val="000000"/>
          <w:lang w:eastAsia="bg-BG"/>
        </w:rPr>
        <w:t xml:space="preserve">сорафениб инхибира глюкуронирането чрез </w:t>
      </w:r>
      <w:r w:rsidRPr="00D870F0">
        <w:rPr>
          <w:rFonts w:eastAsia="Times New Roman" w:cs="Arial"/>
          <w:color w:val="000000"/>
          <w:lang w:val="en-US"/>
        </w:rPr>
        <w:t xml:space="preserve">UGT1A1 </w:t>
      </w:r>
      <w:r w:rsidRPr="00D870F0">
        <w:rPr>
          <w:rFonts w:eastAsia="Times New Roman" w:cs="Arial"/>
          <w:color w:val="000000"/>
          <w:lang w:eastAsia="bg-BG"/>
        </w:rPr>
        <w:t xml:space="preserve">и </w:t>
      </w:r>
      <w:r w:rsidRPr="00D870F0">
        <w:rPr>
          <w:rFonts w:eastAsia="Times New Roman" w:cs="Arial"/>
          <w:color w:val="000000"/>
          <w:lang w:val="en-US"/>
        </w:rPr>
        <w:t xml:space="preserve">UGT1A9. </w:t>
      </w:r>
      <w:r w:rsidRPr="00D870F0">
        <w:rPr>
          <w:rFonts w:eastAsia="Times New Roman" w:cs="Arial"/>
          <w:color w:val="000000"/>
          <w:lang w:eastAsia="bg-BG"/>
        </w:rPr>
        <w:t>Клиничното значение на този факт не е известно (вж. по-долу и точка 4.4).</w:t>
      </w:r>
    </w:p>
    <w:p w14:paraId="2718E63A" w14:textId="77777777" w:rsidR="00D870F0" w:rsidRPr="00D870F0" w:rsidRDefault="00D870F0" w:rsidP="00D870F0">
      <w:pPr>
        <w:spacing w:line="240" w:lineRule="auto"/>
        <w:rPr>
          <w:rFonts w:eastAsia="Times New Roman" w:cs="Arial"/>
          <w:i/>
          <w:iCs/>
          <w:color w:val="000000"/>
          <w:u w:val="single"/>
          <w:lang w:val="en-US"/>
        </w:rPr>
      </w:pPr>
    </w:p>
    <w:p w14:paraId="2246150E" w14:textId="758915DE" w:rsidR="00D870F0" w:rsidRPr="00D870F0" w:rsidRDefault="00D870F0" w:rsidP="00D870F0">
      <w:pPr>
        <w:spacing w:line="240" w:lineRule="auto"/>
        <w:rPr>
          <w:rFonts w:eastAsia="Times New Roman" w:cs="Arial"/>
          <w:sz w:val="28"/>
          <w:szCs w:val="28"/>
          <w:lang w:eastAsia="bg-BG"/>
        </w:rPr>
      </w:pPr>
      <w:r w:rsidRPr="00D870F0">
        <w:rPr>
          <w:rFonts w:eastAsia="Times New Roman" w:cs="Arial"/>
          <w:i/>
          <w:iCs/>
          <w:color w:val="000000"/>
          <w:u w:val="single"/>
          <w:lang w:val="en-US"/>
        </w:rPr>
        <w:t>In vitro</w:t>
      </w:r>
      <w:r w:rsidRPr="00D870F0">
        <w:rPr>
          <w:rFonts w:eastAsia="Times New Roman" w:cs="Arial"/>
          <w:color w:val="000000"/>
          <w:u w:val="single"/>
          <w:lang w:val="en-US"/>
        </w:rPr>
        <w:t xml:space="preserve"> </w:t>
      </w:r>
      <w:r w:rsidRPr="00D870F0">
        <w:rPr>
          <w:rFonts w:eastAsia="Times New Roman" w:cs="Arial"/>
          <w:color w:val="000000"/>
          <w:u w:val="single"/>
          <w:lang w:eastAsia="bg-BG"/>
        </w:rPr>
        <w:t xml:space="preserve">проучвания на </w:t>
      </w:r>
      <w:r w:rsidRPr="00D870F0">
        <w:rPr>
          <w:rFonts w:eastAsia="Times New Roman" w:cs="Arial"/>
          <w:color w:val="000000"/>
          <w:u w:val="single"/>
          <w:lang w:val="en-US"/>
        </w:rPr>
        <w:t xml:space="preserve">CYP </w:t>
      </w:r>
      <w:r w:rsidRPr="00D870F0">
        <w:rPr>
          <w:rFonts w:eastAsia="Times New Roman" w:cs="Arial"/>
          <w:color w:val="000000"/>
          <w:u w:val="single"/>
          <w:lang w:eastAsia="bg-BG"/>
        </w:rPr>
        <w:t>ензимна индукция</w:t>
      </w:r>
    </w:p>
    <w:p w14:paraId="75A27640" w14:textId="77777777" w:rsidR="00D870F0" w:rsidRPr="00D870F0" w:rsidRDefault="00D870F0" w:rsidP="00D870F0">
      <w:pPr>
        <w:spacing w:line="240" w:lineRule="auto"/>
        <w:rPr>
          <w:rFonts w:eastAsia="Times New Roman" w:cs="Arial"/>
          <w:sz w:val="28"/>
          <w:szCs w:val="28"/>
          <w:lang w:eastAsia="bg-BG"/>
        </w:rPr>
      </w:pPr>
      <w:r w:rsidRPr="00D870F0">
        <w:rPr>
          <w:rFonts w:eastAsia="Times New Roman" w:cs="Arial"/>
          <w:color w:val="000000"/>
          <w:lang w:eastAsia="bg-BG"/>
        </w:rPr>
        <w:t xml:space="preserve">Активността на </w:t>
      </w:r>
      <w:r w:rsidRPr="00D870F0">
        <w:rPr>
          <w:rFonts w:eastAsia="Times New Roman" w:cs="Arial"/>
          <w:color w:val="000000"/>
          <w:lang w:val="en-US"/>
        </w:rPr>
        <w:t xml:space="preserve">CYP1A2 </w:t>
      </w:r>
      <w:r w:rsidRPr="00D870F0">
        <w:rPr>
          <w:rFonts w:eastAsia="Times New Roman" w:cs="Arial"/>
          <w:color w:val="000000"/>
          <w:lang w:eastAsia="bg-BG"/>
        </w:rPr>
        <w:t xml:space="preserve">и </w:t>
      </w:r>
      <w:r w:rsidRPr="00D870F0">
        <w:rPr>
          <w:rFonts w:eastAsia="Times New Roman" w:cs="Arial"/>
          <w:color w:val="000000"/>
          <w:lang w:val="en-US"/>
        </w:rPr>
        <w:t xml:space="preserve">CYP3A4 </w:t>
      </w:r>
      <w:r w:rsidRPr="00D870F0">
        <w:rPr>
          <w:rFonts w:eastAsia="Times New Roman" w:cs="Arial"/>
          <w:color w:val="000000"/>
          <w:lang w:eastAsia="bg-BG"/>
        </w:rPr>
        <w:t xml:space="preserve">не се променя след лечение на култивирани човешки хепатоцити със сорафениб, което показва, че е малко вероятно сорафениб да индуцира </w:t>
      </w:r>
      <w:r w:rsidRPr="00D870F0">
        <w:rPr>
          <w:rFonts w:eastAsia="Times New Roman" w:cs="Arial"/>
          <w:color w:val="000000"/>
          <w:lang w:val="en-US"/>
        </w:rPr>
        <w:t xml:space="preserve">CYP1A2 </w:t>
      </w:r>
      <w:r w:rsidRPr="00D870F0">
        <w:rPr>
          <w:rFonts w:eastAsia="Times New Roman" w:cs="Arial"/>
          <w:color w:val="000000"/>
          <w:lang w:eastAsia="bg-BG"/>
        </w:rPr>
        <w:t xml:space="preserve">и </w:t>
      </w:r>
      <w:r w:rsidRPr="00D870F0">
        <w:rPr>
          <w:rFonts w:eastAsia="Times New Roman" w:cs="Arial"/>
          <w:color w:val="000000"/>
          <w:lang w:val="en-US"/>
        </w:rPr>
        <w:t>CYP3A4.</w:t>
      </w:r>
    </w:p>
    <w:p w14:paraId="5119087E" w14:textId="77777777" w:rsidR="00D870F0" w:rsidRPr="00D870F0" w:rsidRDefault="00D870F0" w:rsidP="00D870F0">
      <w:pPr>
        <w:spacing w:line="240" w:lineRule="auto"/>
        <w:rPr>
          <w:rFonts w:eastAsia="Times New Roman" w:cs="Arial"/>
          <w:color w:val="000000"/>
          <w:u w:val="single"/>
          <w:lang w:eastAsia="bg-BG"/>
        </w:rPr>
      </w:pPr>
    </w:p>
    <w:p w14:paraId="749F6FFB" w14:textId="01450D3A" w:rsidR="00D870F0" w:rsidRPr="00D870F0" w:rsidRDefault="00D870F0" w:rsidP="00D870F0">
      <w:pPr>
        <w:spacing w:line="240" w:lineRule="auto"/>
        <w:rPr>
          <w:rFonts w:eastAsia="Times New Roman" w:cs="Arial"/>
          <w:sz w:val="28"/>
          <w:szCs w:val="28"/>
          <w:lang w:eastAsia="bg-BG"/>
        </w:rPr>
      </w:pPr>
      <w:r w:rsidRPr="00D870F0">
        <w:rPr>
          <w:rFonts w:eastAsia="Times New Roman" w:cs="Arial"/>
          <w:color w:val="000000"/>
          <w:u w:val="single"/>
          <w:lang w:eastAsia="bg-BG"/>
        </w:rPr>
        <w:t>Р-</w:t>
      </w:r>
      <w:r w:rsidRPr="00D870F0">
        <w:rPr>
          <w:rFonts w:eastAsia="Times New Roman" w:cs="Arial"/>
          <w:color w:val="000000"/>
          <w:u w:val="single"/>
          <w:lang w:val="en-US"/>
        </w:rPr>
        <w:t>gp</w:t>
      </w:r>
      <w:r w:rsidRPr="00D870F0">
        <w:rPr>
          <w:rFonts w:eastAsia="Times New Roman" w:cs="Arial"/>
          <w:color w:val="000000"/>
          <w:u w:val="single"/>
          <w:lang w:eastAsia="bg-BG"/>
        </w:rPr>
        <w:t>-субстрати</w:t>
      </w:r>
    </w:p>
    <w:p w14:paraId="2397DE68" w14:textId="77777777" w:rsidR="00D870F0" w:rsidRPr="00D870F0" w:rsidRDefault="00D870F0" w:rsidP="00D870F0">
      <w:pPr>
        <w:spacing w:line="240" w:lineRule="auto"/>
        <w:rPr>
          <w:rFonts w:eastAsia="Times New Roman" w:cs="Arial"/>
          <w:sz w:val="28"/>
          <w:szCs w:val="28"/>
          <w:lang w:eastAsia="bg-BG"/>
        </w:rPr>
      </w:pPr>
      <w:r w:rsidRPr="00D870F0">
        <w:rPr>
          <w:rFonts w:eastAsia="Times New Roman" w:cs="Arial"/>
          <w:i/>
          <w:iCs/>
          <w:color w:val="000000"/>
          <w:lang w:val="en-US"/>
        </w:rPr>
        <w:t>In vitro</w:t>
      </w:r>
      <w:r w:rsidRPr="00D870F0">
        <w:rPr>
          <w:rFonts w:eastAsia="Times New Roman" w:cs="Arial"/>
          <w:color w:val="000000"/>
          <w:lang w:val="en-US"/>
        </w:rPr>
        <w:t xml:space="preserve"> </w:t>
      </w:r>
      <w:r w:rsidRPr="00D870F0">
        <w:rPr>
          <w:rFonts w:eastAsia="Times New Roman" w:cs="Arial"/>
          <w:color w:val="000000"/>
          <w:lang w:eastAsia="bg-BG"/>
        </w:rPr>
        <w:t xml:space="preserve">е доказано, че сорафениб инхибира транспортния протеин р-гликопротеин </w:t>
      </w:r>
      <w:r w:rsidRPr="00D870F0">
        <w:rPr>
          <w:rFonts w:eastAsia="Times New Roman" w:cs="Arial"/>
          <w:color w:val="000000"/>
          <w:lang w:val="en-US"/>
        </w:rPr>
        <w:t xml:space="preserve">(P-gp). </w:t>
      </w:r>
      <w:r w:rsidRPr="00D870F0">
        <w:rPr>
          <w:rFonts w:eastAsia="Times New Roman" w:cs="Arial"/>
          <w:color w:val="000000"/>
          <w:lang w:eastAsia="bg-BG"/>
        </w:rPr>
        <w:t xml:space="preserve">Повишените плазмени концентрации на субстрати на </w:t>
      </w:r>
      <w:r w:rsidRPr="00D870F0">
        <w:rPr>
          <w:rFonts w:eastAsia="Times New Roman" w:cs="Arial"/>
          <w:color w:val="000000"/>
          <w:lang w:val="en-US"/>
        </w:rPr>
        <w:t xml:space="preserve">P-gp, </w:t>
      </w:r>
      <w:r w:rsidRPr="00D870F0">
        <w:rPr>
          <w:rFonts w:eastAsia="Times New Roman" w:cs="Arial"/>
          <w:color w:val="000000"/>
          <w:lang w:eastAsia="bg-BG"/>
        </w:rPr>
        <w:t>като дигоксин не могат да се изключат при едновременно лечение със сорафениб.</w:t>
      </w:r>
    </w:p>
    <w:p w14:paraId="4986EBFC" w14:textId="77777777" w:rsidR="00D870F0" w:rsidRPr="00D870F0" w:rsidRDefault="00D870F0" w:rsidP="00D870F0">
      <w:pPr>
        <w:spacing w:line="240" w:lineRule="auto"/>
        <w:rPr>
          <w:rFonts w:eastAsia="Times New Roman" w:cs="Arial"/>
          <w:color w:val="000000"/>
          <w:u w:val="single"/>
          <w:lang w:eastAsia="bg-BG"/>
        </w:rPr>
      </w:pPr>
    </w:p>
    <w:p w14:paraId="143BF6C1" w14:textId="486799DF" w:rsidR="00D870F0" w:rsidRPr="00D870F0" w:rsidRDefault="00D870F0" w:rsidP="00D870F0">
      <w:pPr>
        <w:spacing w:line="240" w:lineRule="auto"/>
        <w:rPr>
          <w:rFonts w:eastAsia="Times New Roman" w:cs="Arial"/>
          <w:sz w:val="28"/>
          <w:szCs w:val="28"/>
          <w:lang w:eastAsia="bg-BG"/>
        </w:rPr>
      </w:pPr>
      <w:r w:rsidRPr="00D870F0">
        <w:rPr>
          <w:rFonts w:eastAsia="Times New Roman" w:cs="Arial"/>
          <w:color w:val="000000"/>
          <w:u w:val="single"/>
          <w:lang w:eastAsia="bg-BG"/>
        </w:rPr>
        <w:t>Комбинация с други антинеопластични средства</w:t>
      </w:r>
    </w:p>
    <w:p w14:paraId="5B75FBB7" w14:textId="77777777" w:rsidR="00D870F0" w:rsidRPr="00D870F0" w:rsidRDefault="00D870F0" w:rsidP="00D870F0">
      <w:pPr>
        <w:spacing w:line="240" w:lineRule="auto"/>
        <w:rPr>
          <w:rFonts w:eastAsia="Times New Roman" w:cs="Arial"/>
          <w:sz w:val="28"/>
          <w:szCs w:val="28"/>
          <w:lang w:eastAsia="bg-BG"/>
        </w:rPr>
      </w:pPr>
      <w:r w:rsidRPr="00D870F0">
        <w:rPr>
          <w:rFonts w:eastAsia="Times New Roman" w:cs="Arial"/>
          <w:color w:val="000000"/>
          <w:lang w:eastAsia="bg-BG"/>
        </w:rPr>
        <w:t>В клинични проучвания сорафениб е прилаган с широка гама други антинеопластични средства с техните обичайни дозировки, включително гемцитабин, цисплатин, оксалиплатин, паклитаксел, карбоплатин, капецитабин, доксорубицин, иринотекан, доцетаксел и циклофосфамид. Сорафениб няма клинично значим ефект върху фармакокинетиката на гемцитабин, цисплатин, карбоплатин, оксалиплатин или циклофосфамид.</w:t>
      </w:r>
    </w:p>
    <w:p w14:paraId="29C1A494" w14:textId="77777777" w:rsidR="00D870F0" w:rsidRPr="00D870F0" w:rsidRDefault="00D870F0" w:rsidP="00D870F0">
      <w:pPr>
        <w:spacing w:line="240" w:lineRule="auto"/>
        <w:rPr>
          <w:rFonts w:eastAsia="Times New Roman" w:cs="Arial"/>
          <w:color w:val="000000"/>
          <w:u w:val="single"/>
          <w:lang w:eastAsia="bg-BG"/>
        </w:rPr>
      </w:pPr>
    </w:p>
    <w:p w14:paraId="58467EC2" w14:textId="5817F292" w:rsidR="00D870F0" w:rsidRPr="00D870F0" w:rsidRDefault="00D870F0" w:rsidP="00D870F0">
      <w:pPr>
        <w:spacing w:line="240" w:lineRule="auto"/>
        <w:rPr>
          <w:rFonts w:eastAsia="Times New Roman" w:cs="Arial"/>
          <w:sz w:val="28"/>
          <w:szCs w:val="28"/>
          <w:lang w:eastAsia="bg-BG"/>
        </w:rPr>
      </w:pPr>
      <w:r w:rsidRPr="00D870F0">
        <w:rPr>
          <w:rFonts w:eastAsia="Times New Roman" w:cs="Arial"/>
          <w:color w:val="000000"/>
          <w:u w:val="single"/>
          <w:lang w:eastAsia="bg-BG"/>
        </w:rPr>
        <w:t>Паклитаксел/карбоплатин</w:t>
      </w:r>
    </w:p>
    <w:p w14:paraId="2389023F" w14:textId="77777777" w:rsidR="00D870F0" w:rsidRPr="00D870F0" w:rsidRDefault="00D870F0" w:rsidP="00D870F0">
      <w:pPr>
        <w:pStyle w:val="ListParagraph"/>
        <w:numPr>
          <w:ilvl w:val="0"/>
          <w:numId w:val="38"/>
        </w:numPr>
        <w:rPr>
          <w:rFonts w:cs="Arial"/>
          <w:sz w:val="24"/>
          <w:szCs w:val="24"/>
        </w:rPr>
      </w:pPr>
      <w:r w:rsidRPr="00D870F0">
        <w:rPr>
          <w:rFonts w:eastAsia="Times New Roman" w:cs="Arial"/>
          <w:color w:val="000000"/>
          <w:lang w:eastAsia="bg-BG"/>
        </w:rPr>
        <w:t xml:space="preserve">Приложението на паклитаксел (225 </w:t>
      </w:r>
      <w:r w:rsidRPr="00D870F0">
        <w:rPr>
          <w:rFonts w:eastAsia="Times New Roman" w:cs="Arial"/>
          <w:color w:val="000000"/>
          <w:lang w:val="en-US"/>
        </w:rPr>
        <w:t>mg/m</w:t>
      </w:r>
      <w:r w:rsidRPr="00D870F0">
        <w:rPr>
          <w:rFonts w:eastAsia="Times New Roman" w:cs="Arial"/>
          <w:color w:val="000000"/>
          <w:vertAlign w:val="superscript"/>
          <w:lang w:val="en-US"/>
        </w:rPr>
        <w:t>2</w:t>
      </w:r>
      <w:r w:rsidRPr="00D870F0">
        <w:rPr>
          <w:rFonts w:eastAsia="Times New Roman" w:cs="Arial"/>
          <w:color w:val="000000"/>
          <w:lang w:val="en-US"/>
        </w:rPr>
        <w:t xml:space="preserve">) </w:t>
      </w:r>
      <w:r w:rsidRPr="00D870F0">
        <w:rPr>
          <w:rFonts w:eastAsia="Times New Roman" w:cs="Arial"/>
          <w:color w:val="000000"/>
          <w:lang w:eastAsia="bg-BG"/>
        </w:rPr>
        <w:t xml:space="preserve">и карбоплатин </w:t>
      </w:r>
      <w:r w:rsidRPr="00D870F0">
        <w:rPr>
          <w:rFonts w:eastAsia="Times New Roman" w:cs="Arial"/>
          <w:color w:val="000000"/>
          <w:lang w:val="en-US"/>
        </w:rPr>
        <w:t xml:space="preserve">(AUC </w:t>
      </w:r>
      <w:r w:rsidRPr="00D870F0">
        <w:rPr>
          <w:rFonts w:eastAsia="Times New Roman" w:cs="Arial"/>
          <w:color w:val="000000"/>
          <w:lang w:eastAsia="bg-BG"/>
        </w:rPr>
        <w:t xml:space="preserve">= 6) със сорафениб (≤400 </w:t>
      </w:r>
      <w:r w:rsidRPr="00D870F0">
        <w:rPr>
          <w:rFonts w:eastAsia="Times New Roman" w:cs="Arial"/>
          <w:color w:val="000000"/>
          <w:lang w:val="en-US"/>
        </w:rPr>
        <w:t xml:space="preserve">mg </w:t>
      </w:r>
      <w:r w:rsidRPr="00D870F0">
        <w:rPr>
          <w:rFonts w:eastAsia="Times New Roman" w:cs="Arial"/>
          <w:color w:val="000000"/>
          <w:lang w:eastAsia="bg-BG"/>
        </w:rPr>
        <w:t>два пъти дневно), приложени с 3-дневно прекъсване на приложението на сорафениб</w:t>
      </w:r>
      <w:r w:rsidRPr="00D870F0">
        <w:rPr>
          <w:rFonts w:eastAsia="Times New Roman" w:cs="Arial"/>
          <w:color w:val="000000"/>
          <w:lang w:val="en-US" w:eastAsia="bg-BG"/>
        </w:rPr>
        <w:t xml:space="preserve"> </w:t>
      </w:r>
      <w:r w:rsidRPr="00D870F0">
        <w:rPr>
          <w:rFonts w:eastAsia="Times New Roman" w:cs="Arial"/>
          <w:color w:val="000000"/>
          <w:lang w:eastAsia="bg-BG"/>
        </w:rPr>
        <w:t>(два дни преди и един след приложение на паклитаксел/карбоплатин), не водят до значителен ефект върху фармакокинетиката на паклитаксел.</w:t>
      </w:r>
    </w:p>
    <w:p w14:paraId="0A5D7AD6" w14:textId="391CDE4D" w:rsidR="00D870F0" w:rsidRPr="00D870F0" w:rsidRDefault="00D870F0" w:rsidP="00D870F0">
      <w:pPr>
        <w:pStyle w:val="ListParagraph"/>
        <w:numPr>
          <w:ilvl w:val="0"/>
          <w:numId w:val="38"/>
        </w:numPr>
        <w:rPr>
          <w:rFonts w:cs="Arial"/>
          <w:sz w:val="24"/>
          <w:szCs w:val="24"/>
        </w:rPr>
      </w:pPr>
      <w:r w:rsidRPr="00D870F0">
        <w:rPr>
          <w:rFonts w:eastAsia="Times New Roman" w:cs="Arial"/>
          <w:color w:val="000000"/>
          <w:lang w:eastAsia="bg-BG"/>
        </w:rPr>
        <w:t xml:space="preserve">Едновременното приложение на паклитаксел (225 </w:t>
      </w:r>
      <w:r w:rsidRPr="00D870F0">
        <w:rPr>
          <w:rFonts w:eastAsia="Times New Roman" w:cs="Arial"/>
          <w:color w:val="000000"/>
          <w:lang w:val="en-US"/>
        </w:rPr>
        <w:t>mg/m</w:t>
      </w:r>
      <w:r w:rsidRPr="00D870F0">
        <w:rPr>
          <w:rFonts w:eastAsia="Times New Roman" w:cs="Arial"/>
          <w:color w:val="000000"/>
          <w:vertAlign w:val="superscript"/>
          <w:lang w:val="en-US"/>
        </w:rPr>
        <w:t>2</w:t>
      </w:r>
      <w:r w:rsidRPr="00D870F0">
        <w:rPr>
          <w:rFonts w:eastAsia="Times New Roman" w:cs="Arial"/>
          <w:color w:val="000000"/>
          <w:lang w:val="en-US"/>
        </w:rPr>
        <w:t xml:space="preserve"> </w:t>
      </w:r>
      <w:r w:rsidRPr="00D870F0">
        <w:rPr>
          <w:rFonts w:eastAsia="Times New Roman" w:cs="Arial"/>
          <w:color w:val="000000"/>
          <w:lang w:eastAsia="bg-BG"/>
        </w:rPr>
        <w:t xml:space="preserve">веднъж на всеки 3 седмици) и карбоплатин </w:t>
      </w:r>
      <w:r w:rsidRPr="00D870F0">
        <w:rPr>
          <w:rFonts w:eastAsia="Times New Roman" w:cs="Arial"/>
          <w:color w:val="000000"/>
          <w:lang w:val="en-US"/>
        </w:rPr>
        <w:t>(AUC=</w:t>
      </w:r>
      <w:r w:rsidRPr="00D870F0">
        <w:rPr>
          <w:rFonts w:eastAsia="Times New Roman" w:cs="Arial"/>
          <w:color w:val="000000"/>
          <w:lang w:eastAsia="bg-BG"/>
        </w:rPr>
        <w:t xml:space="preserve">6) със сорафениб (400 </w:t>
      </w:r>
      <w:r w:rsidRPr="00D870F0">
        <w:rPr>
          <w:rFonts w:eastAsia="Times New Roman" w:cs="Arial"/>
          <w:color w:val="000000"/>
          <w:lang w:val="en-US"/>
        </w:rPr>
        <w:t xml:space="preserve">mg </w:t>
      </w:r>
      <w:r w:rsidRPr="00D870F0">
        <w:rPr>
          <w:rFonts w:eastAsia="Times New Roman" w:cs="Arial"/>
          <w:color w:val="000000"/>
          <w:lang w:eastAsia="bg-BG"/>
        </w:rPr>
        <w:t xml:space="preserve">два пъти дневно, без </w:t>
      </w:r>
      <w:r w:rsidRPr="00D870F0">
        <w:rPr>
          <w:rFonts w:eastAsia="Times New Roman" w:cs="Arial"/>
          <w:color w:val="000000"/>
          <w:lang w:eastAsia="bg-BG"/>
        </w:rPr>
        <w:lastRenderedPageBreak/>
        <w:t>прекъсване на приема) води до 47% увеличение на експозицията на сорафениб, 29% увеличние на експозицията на паклитаксел и 50% увеличение на експозицията на 6-ОН паклитаксел. Фармакокинетиката на карбоплатин не се повлиява.</w:t>
      </w:r>
    </w:p>
    <w:p w14:paraId="3F3E296D" w14:textId="5A27EF4C" w:rsidR="00D870F0" w:rsidRPr="00D870F0" w:rsidRDefault="00D870F0" w:rsidP="00D870F0">
      <w:pPr>
        <w:spacing w:line="240" w:lineRule="auto"/>
        <w:rPr>
          <w:rFonts w:eastAsia="Times New Roman" w:cs="Arial"/>
          <w:sz w:val="28"/>
          <w:szCs w:val="28"/>
          <w:lang w:eastAsia="bg-BG"/>
        </w:rPr>
      </w:pPr>
      <w:r w:rsidRPr="00D870F0">
        <w:rPr>
          <w:rFonts w:eastAsia="Times New Roman" w:cs="Arial"/>
          <w:color w:val="000000"/>
          <w:lang w:eastAsia="bg-BG"/>
        </w:rPr>
        <w:t>Тези данни показват, че не е необходима корекция на дозата когато паклитаксел и карбоплатин се прилагат едновременно със сорафениб с 3-дневно прекъсване на приложението на сорафениб (два дни преди и един след приложение на паклитаксел/карбоплатин). Клиничното значение на увеличението на експозицията на сорафениб и паклитаксел, при едновременното приложение със сорафениб без прекъсване на приема, не е известно.</w:t>
      </w:r>
    </w:p>
    <w:p w14:paraId="4AB3093E" w14:textId="77777777" w:rsidR="00D870F0" w:rsidRPr="00D870F0" w:rsidRDefault="00D870F0" w:rsidP="00D870F0">
      <w:pPr>
        <w:spacing w:line="240" w:lineRule="auto"/>
        <w:rPr>
          <w:rFonts w:eastAsia="Times New Roman" w:cs="Arial"/>
          <w:color w:val="000000"/>
          <w:u w:val="single"/>
          <w:lang w:eastAsia="bg-BG"/>
        </w:rPr>
      </w:pPr>
    </w:p>
    <w:p w14:paraId="4EC81197" w14:textId="20D9482F" w:rsidR="00D870F0" w:rsidRPr="00D870F0" w:rsidRDefault="00D870F0" w:rsidP="00D870F0">
      <w:pPr>
        <w:spacing w:line="240" w:lineRule="auto"/>
        <w:rPr>
          <w:rFonts w:eastAsia="Times New Roman" w:cs="Arial"/>
          <w:sz w:val="28"/>
          <w:szCs w:val="28"/>
          <w:lang w:eastAsia="bg-BG"/>
        </w:rPr>
      </w:pPr>
      <w:r w:rsidRPr="00D870F0">
        <w:rPr>
          <w:rFonts w:eastAsia="Times New Roman" w:cs="Arial"/>
          <w:color w:val="000000"/>
          <w:u w:val="single"/>
          <w:lang w:eastAsia="bg-BG"/>
        </w:rPr>
        <w:t>Капецитабин</w:t>
      </w:r>
    </w:p>
    <w:p w14:paraId="6C57A345" w14:textId="77777777" w:rsidR="00D870F0" w:rsidRPr="00D870F0" w:rsidRDefault="00D870F0" w:rsidP="00D870F0">
      <w:pPr>
        <w:spacing w:line="240" w:lineRule="auto"/>
        <w:rPr>
          <w:rFonts w:eastAsia="Times New Roman" w:cs="Arial"/>
          <w:sz w:val="28"/>
          <w:szCs w:val="28"/>
          <w:lang w:eastAsia="bg-BG"/>
        </w:rPr>
      </w:pPr>
      <w:r w:rsidRPr="00D870F0">
        <w:rPr>
          <w:rFonts w:eastAsia="Times New Roman" w:cs="Arial"/>
          <w:color w:val="000000"/>
          <w:lang w:eastAsia="bg-BG"/>
        </w:rPr>
        <w:t xml:space="preserve">Едновременното приложение на капецитабин (750-1050 </w:t>
      </w:r>
      <w:r w:rsidRPr="00D870F0">
        <w:rPr>
          <w:rFonts w:eastAsia="Times New Roman" w:cs="Arial"/>
          <w:color w:val="000000"/>
          <w:lang w:val="en-US"/>
        </w:rPr>
        <w:t>mg/m</w:t>
      </w:r>
      <w:r w:rsidRPr="00D870F0">
        <w:rPr>
          <w:rFonts w:eastAsia="Times New Roman" w:cs="Arial"/>
          <w:color w:val="000000"/>
          <w:vertAlign w:val="superscript"/>
          <w:lang w:val="en-US"/>
        </w:rPr>
        <w:t>2</w:t>
      </w:r>
      <w:r w:rsidRPr="00D870F0">
        <w:rPr>
          <w:rFonts w:eastAsia="Times New Roman" w:cs="Arial"/>
          <w:color w:val="000000"/>
          <w:lang w:val="en-US"/>
        </w:rPr>
        <w:t xml:space="preserve"> </w:t>
      </w:r>
      <w:r w:rsidRPr="00D870F0">
        <w:rPr>
          <w:rFonts w:eastAsia="Times New Roman" w:cs="Arial"/>
          <w:color w:val="000000"/>
          <w:lang w:eastAsia="bg-BG"/>
        </w:rPr>
        <w:t xml:space="preserve">два пъти дневно, дни 1-14 на всеки 21 дни) и сорафениб (200 или 400 </w:t>
      </w:r>
      <w:r w:rsidRPr="00D870F0">
        <w:rPr>
          <w:rFonts w:eastAsia="Times New Roman" w:cs="Arial"/>
          <w:color w:val="000000"/>
          <w:lang w:val="en-US"/>
        </w:rPr>
        <w:t xml:space="preserve">mg </w:t>
      </w:r>
      <w:r w:rsidRPr="00D870F0">
        <w:rPr>
          <w:rFonts w:eastAsia="Times New Roman" w:cs="Arial"/>
          <w:color w:val="000000"/>
          <w:lang w:eastAsia="bg-BG"/>
        </w:rPr>
        <w:t xml:space="preserve">два пъти дневно, продължително непрекъснато приложение) не води до значителна промяна в експозицията на сорафениб, но води до 15 - 50% увеличение на експозицията на капецитабин и 0 - 52% увеличение на експозицията на </w:t>
      </w:r>
      <w:r w:rsidRPr="00D870F0">
        <w:rPr>
          <w:rFonts w:eastAsia="Times New Roman" w:cs="Arial"/>
          <w:color w:val="000000"/>
          <w:lang w:val="en-US"/>
        </w:rPr>
        <w:t xml:space="preserve">5-FU. </w:t>
      </w:r>
      <w:r w:rsidRPr="00D870F0">
        <w:rPr>
          <w:rFonts w:eastAsia="Times New Roman" w:cs="Arial"/>
          <w:color w:val="000000"/>
          <w:lang w:eastAsia="bg-BG"/>
        </w:rPr>
        <w:t xml:space="preserve">Клиничното значение на тези малки до умерени увеличения на експозицията на капецитабин и </w:t>
      </w:r>
      <w:r w:rsidRPr="00D870F0">
        <w:rPr>
          <w:rFonts w:eastAsia="Times New Roman" w:cs="Arial"/>
          <w:color w:val="000000"/>
          <w:lang w:val="en-US"/>
        </w:rPr>
        <w:t xml:space="preserve">5-FU </w:t>
      </w:r>
      <w:r w:rsidRPr="00D870F0">
        <w:rPr>
          <w:rFonts w:eastAsia="Times New Roman" w:cs="Arial"/>
          <w:color w:val="000000"/>
          <w:lang w:eastAsia="bg-BG"/>
        </w:rPr>
        <w:t>при едновременно приложение със сорафениб не е известно.</w:t>
      </w:r>
    </w:p>
    <w:p w14:paraId="460E2DF5" w14:textId="77777777" w:rsidR="00D870F0" w:rsidRPr="00D870F0" w:rsidRDefault="00D870F0" w:rsidP="00D870F0">
      <w:pPr>
        <w:spacing w:line="240" w:lineRule="auto"/>
        <w:rPr>
          <w:rFonts w:eastAsia="Times New Roman" w:cs="Arial"/>
          <w:color w:val="000000"/>
          <w:u w:val="single"/>
          <w:lang w:eastAsia="bg-BG"/>
        </w:rPr>
      </w:pPr>
    </w:p>
    <w:p w14:paraId="791F90F7" w14:textId="51766504" w:rsidR="00D870F0" w:rsidRPr="00D870F0" w:rsidRDefault="00D870F0" w:rsidP="00D870F0">
      <w:pPr>
        <w:spacing w:line="240" w:lineRule="auto"/>
        <w:rPr>
          <w:rFonts w:eastAsia="Times New Roman" w:cs="Arial"/>
          <w:sz w:val="28"/>
          <w:szCs w:val="28"/>
          <w:lang w:eastAsia="bg-BG"/>
        </w:rPr>
      </w:pPr>
      <w:r w:rsidRPr="00D870F0">
        <w:rPr>
          <w:rFonts w:eastAsia="Times New Roman" w:cs="Arial"/>
          <w:color w:val="000000"/>
          <w:u w:val="single"/>
          <w:lang w:eastAsia="bg-BG"/>
        </w:rPr>
        <w:t>Доксорубицин/Иринотекан</w:t>
      </w:r>
    </w:p>
    <w:p w14:paraId="4B093A28" w14:textId="77777777" w:rsidR="00D870F0" w:rsidRPr="00D870F0" w:rsidRDefault="00D870F0" w:rsidP="00D870F0">
      <w:pPr>
        <w:spacing w:line="240" w:lineRule="auto"/>
        <w:rPr>
          <w:rFonts w:eastAsia="Times New Roman" w:cs="Arial"/>
          <w:sz w:val="28"/>
          <w:szCs w:val="28"/>
          <w:lang w:eastAsia="bg-BG"/>
        </w:rPr>
      </w:pPr>
      <w:r w:rsidRPr="00D870F0">
        <w:rPr>
          <w:rFonts w:eastAsia="Times New Roman" w:cs="Arial"/>
          <w:color w:val="000000"/>
          <w:lang w:eastAsia="bg-BG"/>
        </w:rPr>
        <w:t xml:space="preserve">Едновременното лечение със сорафениб води до 21 % увеличаване на </w:t>
      </w:r>
      <w:r w:rsidRPr="00D870F0">
        <w:rPr>
          <w:rFonts w:eastAsia="Times New Roman" w:cs="Arial"/>
          <w:color w:val="000000"/>
          <w:lang w:val="en-US"/>
        </w:rPr>
        <w:t xml:space="preserve">AUC </w:t>
      </w:r>
      <w:r w:rsidRPr="00D870F0">
        <w:rPr>
          <w:rFonts w:eastAsia="Times New Roman" w:cs="Arial"/>
          <w:color w:val="000000"/>
          <w:lang w:eastAsia="bg-BG"/>
        </w:rPr>
        <w:t xml:space="preserve">на доксорубицин. Когато се прилага с иринотекан, чийто активен метаболит </w:t>
      </w:r>
      <w:r w:rsidRPr="00D870F0">
        <w:rPr>
          <w:rFonts w:eastAsia="Times New Roman" w:cs="Arial"/>
          <w:color w:val="000000"/>
          <w:lang w:val="en-US"/>
        </w:rPr>
        <w:t xml:space="preserve">SN-38 </w:t>
      </w:r>
      <w:r w:rsidRPr="00D870F0">
        <w:rPr>
          <w:rFonts w:eastAsia="Times New Roman" w:cs="Arial"/>
          <w:color w:val="000000"/>
          <w:lang w:eastAsia="bg-BG"/>
        </w:rPr>
        <w:t xml:space="preserve">се метаболизира чрез </w:t>
      </w:r>
      <w:r w:rsidRPr="00D870F0">
        <w:rPr>
          <w:rFonts w:eastAsia="Times New Roman" w:cs="Arial"/>
          <w:color w:val="000000"/>
          <w:lang w:val="en-US"/>
        </w:rPr>
        <w:t xml:space="preserve">UGT1A1 </w:t>
      </w:r>
      <w:r w:rsidRPr="00D870F0">
        <w:rPr>
          <w:rFonts w:eastAsia="Times New Roman" w:cs="Arial"/>
          <w:color w:val="000000"/>
          <w:lang w:eastAsia="bg-BG"/>
        </w:rPr>
        <w:t xml:space="preserve">цикъл, има 67 - 120 % увеличаване на </w:t>
      </w:r>
      <w:r w:rsidRPr="00D870F0">
        <w:rPr>
          <w:rFonts w:eastAsia="Times New Roman" w:cs="Arial"/>
          <w:color w:val="000000"/>
          <w:lang w:val="en-US"/>
        </w:rPr>
        <w:t xml:space="preserve">AUC </w:t>
      </w:r>
      <w:r w:rsidRPr="00D870F0">
        <w:rPr>
          <w:rFonts w:eastAsia="Times New Roman" w:cs="Arial"/>
          <w:color w:val="000000"/>
          <w:lang w:eastAsia="bg-BG"/>
        </w:rPr>
        <w:t xml:space="preserve">на </w:t>
      </w:r>
      <w:r w:rsidRPr="00D870F0">
        <w:rPr>
          <w:rFonts w:eastAsia="Times New Roman" w:cs="Arial"/>
          <w:color w:val="000000"/>
          <w:lang w:val="en-US"/>
        </w:rPr>
        <w:t xml:space="preserve">SN-38 </w:t>
      </w:r>
      <w:r w:rsidRPr="00D870F0">
        <w:rPr>
          <w:rFonts w:eastAsia="Times New Roman" w:cs="Arial"/>
          <w:color w:val="000000"/>
          <w:lang w:eastAsia="bg-BG"/>
        </w:rPr>
        <w:t xml:space="preserve">и 26 - 42 % увеличаване на </w:t>
      </w:r>
      <w:r w:rsidRPr="00D870F0">
        <w:rPr>
          <w:rFonts w:eastAsia="Times New Roman" w:cs="Arial"/>
          <w:color w:val="000000"/>
          <w:lang w:val="en-US"/>
        </w:rPr>
        <w:t xml:space="preserve">AUC </w:t>
      </w:r>
      <w:r w:rsidRPr="00D870F0">
        <w:rPr>
          <w:rFonts w:eastAsia="Times New Roman" w:cs="Arial"/>
          <w:color w:val="000000"/>
          <w:lang w:eastAsia="bg-BG"/>
        </w:rPr>
        <w:t>на иринотекан. Клиничното значение на тези данни не е известно (вж. точка 4.4),</w:t>
      </w:r>
    </w:p>
    <w:p w14:paraId="642AC6A7" w14:textId="77777777" w:rsidR="00D870F0" w:rsidRPr="00D870F0" w:rsidRDefault="00D870F0" w:rsidP="00D870F0">
      <w:pPr>
        <w:spacing w:line="240" w:lineRule="auto"/>
        <w:rPr>
          <w:rFonts w:eastAsia="Times New Roman" w:cs="Arial"/>
          <w:color w:val="000000"/>
          <w:u w:val="single"/>
          <w:lang w:eastAsia="bg-BG"/>
        </w:rPr>
      </w:pPr>
    </w:p>
    <w:p w14:paraId="3C08F60F" w14:textId="2905F23D" w:rsidR="00D870F0" w:rsidRPr="00D870F0" w:rsidRDefault="00D870F0" w:rsidP="00D870F0">
      <w:pPr>
        <w:spacing w:line="240" w:lineRule="auto"/>
        <w:rPr>
          <w:rFonts w:eastAsia="Times New Roman" w:cs="Arial"/>
          <w:sz w:val="28"/>
          <w:szCs w:val="28"/>
          <w:lang w:eastAsia="bg-BG"/>
        </w:rPr>
      </w:pPr>
      <w:r w:rsidRPr="00D870F0">
        <w:rPr>
          <w:rFonts w:eastAsia="Times New Roman" w:cs="Arial"/>
          <w:color w:val="000000"/>
          <w:u w:val="single"/>
          <w:lang w:eastAsia="bg-BG"/>
        </w:rPr>
        <w:t>Доцетаксел</w:t>
      </w:r>
    </w:p>
    <w:p w14:paraId="3ED47C02" w14:textId="77777777" w:rsidR="00D870F0" w:rsidRPr="00D870F0" w:rsidRDefault="00D870F0" w:rsidP="00D870F0">
      <w:pPr>
        <w:spacing w:line="240" w:lineRule="auto"/>
        <w:rPr>
          <w:rFonts w:eastAsia="Times New Roman" w:cs="Arial"/>
          <w:sz w:val="28"/>
          <w:szCs w:val="28"/>
          <w:lang w:eastAsia="bg-BG"/>
        </w:rPr>
      </w:pPr>
      <w:r w:rsidRPr="00D870F0">
        <w:rPr>
          <w:rFonts w:eastAsia="Times New Roman" w:cs="Arial"/>
          <w:color w:val="000000"/>
          <w:lang w:eastAsia="bg-BG"/>
        </w:rPr>
        <w:t xml:space="preserve">Доцетаксел (75 или 100 </w:t>
      </w:r>
      <w:r w:rsidRPr="00D870F0">
        <w:rPr>
          <w:rFonts w:eastAsia="Times New Roman" w:cs="Arial"/>
          <w:color w:val="000000"/>
          <w:lang w:val="en-US"/>
        </w:rPr>
        <w:t>mg/m</w:t>
      </w:r>
      <w:r w:rsidRPr="00D870F0">
        <w:rPr>
          <w:rFonts w:eastAsia="Times New Roman" w:cs="Arial"/>
          <w:color w:val="000000"/>
          <w:vertAlign w:val="superscript"/>
          <w:lang w:val="en-US"/>
        </w:rPr>
        <w:t>2</w:t>
      </w:r>
      <w:r w:rsidRPr="00D870F0">
        <w:rPr>
          <w:rFonts w:eastAsia="Times New Roman" w:cs="Arial"/>
          <w:color w:val="000000"/>
          <w:lang w:val="en-US"/>
        </w:rPr>
        <w:t xml:space="preserve">, </w:t>
      </w:r>
      <w:r w:rsidRPr="00D870F0">
        <w:rPr>
          <w:rFonts w:eastAsia="Times New Roman" w:cs="Arial"/>
          <w:color w:val="000000"/>
          <w:lang w:eastAsia="bg-BG"/>
        </w:rPr>
        <w:t xml:space="preserve">приложен еднократно на всеки 21 дни), когато се прилага едновременно със сорафениб (200 </w:t>
      </w:r>
      <w:r w:rsidRPr="00D870F0">
        <w:rPr>
          <w:rFonts w:eastAsia="Times New Roman" w:cs="Arial"/>
          <w:color w:val="000000"/>
          <w:lang w:val="en-US"/>
        </w:rPr>
        <w:t xml:space="preserve">mg </w:t>
      </w:r>
      <w:r w:rsidRPr="00D870F0">
        <w:rPr>
          <w:rFonts w:eastAsia="Times New Roman" w:cs="Arial"/>
          <w:color w:val="000000"/>
          <w:lang w:eastAsia="bg-BG"/>
        </w:rPr>
        <w:t xml:space="preserve">два пъти дневно, приложен на ден 2 през 19 от 21-дневен цикъл с 3 дневно прекъсване на приложението, около приложението на доцетаксел), води до 36 - 80 % увеличаване на </w:t>
      </w:r>
      <w:r w:rsidRPr="00D870F0">
        <w:rPr>
          <w:rFonts w:eastAsia="Times New Roman" w:cs="Arial"/>
          <w:color w:val="000000"/>
          <w:lang w:val="en-US"/>
        </w:rPr>
        <w:t xml:space="preserve">AUC </w:t>
      </w:r>
      <w:r w:rsidRPr="00D870F0">
        <w:rPr>
          <w:rFonts w:eastAsia="Times New Roman" w:cs="Arial"/>
          <w:color w:val="000000"/>
          <w:lang w:eastAsia="bg-BG"/>
        </w:rPr>
        <w:t>на доцетаксел и 16 - 32 % повишаване на доцетаксел С</w:t>
      </w:r>
      <w:r w:rsidRPr="00D870F0">
        <w:rPr>
          <w:rFonts w:eastAsia="Times New Roman" w:cs="Arial"/>
          <w:color w:val="000000"/>
          <w:vertAlign w:val="subscript"/>
          <w:lang w:val="en-US"/>
        </w:rPr>
        <w:t>max</w:t>
      </w:r>
      <w:r w:rsidRPr="00D870F0">
        <w:rPr>
          <w:rFonts w:eastAsia="Times New Roman" w:cs="Arial"/>
          <w:color w:val="000000"/>
          <w:lang w:eastAsia="bg-BG"/>
        </w:rPr>
        <w:t>. Препоръчва се внимание, когато сорафениб се прилага едновременно с доцетаксел (вж. точка 4.4).</w:t>
      </w:r>
    </w:p>
    <w:p w14:paraId="1066A388" w14:textId="77777777" w:rsidR="00D870F0" w:rsidRPr="00D870F0" w:rsidRDefault="00D870F0" w:rsidP="00D870F0">
      <w:pPr>
        <w:spacing w:line="240" w:lineRule="auto"/>
        <w:rPr>
          <w:rFonts w:eastAsia="Times New Roman" w:cs="Arial"/>
          <w:color w:val="000000"/>
          <w:u w:val="single"/>
          <w:lang w:eastAsia="bg-BG"/>
        </w:rPr>
      </w:pPr>
    </w:p>
    <w:p w14:paraId="78A63B67" w14:textId="5813F339" w:rsidR="00D870F0" w:rsidRPr="00D870F0" w:rsidRDefault="00D870F0" w:rsidP="00D870F0">
      <w:pPr>
        <w:spacing w:line="240" w:lineRule="auto"/>
        <w:rPr>
          <w:rFonts w:eastAsia="Times New Roman" w:cs="Arial"/>
          <w:sz w:val="28"/>
          <w:szCs w:val="28"/>
          <w:lang w:eastAsia="bg-BG"/>
        </w:rPr>
      </w:pPr>
      <w:r w:rsidRPr="00D870F0">
        <w:rPr>
          <w:rFonts w:eastAsia="Times New Roman" w:cs="Arial"/>
          <w:color w:val="000000"/>
          <w:u w:val="single"/>
          <w:lang w:eastAsia="bg-BG"/>
        </w:rPr>
        <w:t>Комбинация с други средства</w:t>
      </w:r>
    </w:p>
    <w:p w14:paraId="251D577F" w14:textId="77777777" w:rsidR="00D870F0" w:rsidRPr="00D870F0" w:rsidRDefault="00D870F0" w:rsidP="00D870F0">
      <w:pPr>
        <w:spacing w:line="240" w:lineRule="auto"/>
        <w:rPr>
          <w:rFonts w:eastAsia="Times New Roman" w:cs="Arial"/>
          <w:i/>
          <w:iCs/>
          <w:color w:val="000000"/>
          <w:lang w:eastAsia="bg-BG"/>
        </w:rPr>
      </w:pPr>
    </w:p>
    <w:p w14:paraId="1C41E717" w14:textId="4C9C595E" w:rsidR="00D870F0" w:rsidRPr="00D870F0" w:rsidRDefault="00D870F0" w:rsidP="00D870F0">
      <w:pPr>
        <w:spacing w:line="240" w:lineRule="auto"/>
        <w:rPr>
          <w:rFonts w:eastAsia="Times New Roman" w:cs="Arial"/>
          <w:sz w:val="28"/>
          <w:szCs w:val="28"/>
          <w:lang w:eastAsia="bg-BG"/>
        </w:rPr>
      </w:pPr>
      <w:r w:rsidRPr="00D870F0">
        <w:rPr>
          <w:rFonts w:eastAsia="Times New Roman" w:cs="Arial"/>
          <w:i/>
          <w:iCs/>
          <w:color w:val="000000"/>
          <w:lang w:eastAsia="bg-BG"/>
        </w:rPr>
        <w:t>Неомицин</w:t>
      </w:r>
    </w:p>
    <w:p w14:paraId="34C84F1D" w14:textId="71B26FA3" w:rsidR="00D870F0" w:rsidRPr="00D870F0" w:rsidRDefault="00D870F0" w:rsidP="00D870F0">
      <w:pPr>
        <w:rPr>
          <w:rFonts w:eastAsia="Times New Roman" w:cs="Arial"/>
          <w:color w:val="000000"/>
          <w:lang w:eastAsia="bg-BG"/>
        </w:rPr>
      </w:pPr>
      <w:r w:rsidRPr="00D870F0">
        <w:rPr>
          <w:rFonts w:eastAsia="Times New Roman" w:cs="Arial"/>
          <w:color w:val="000000"/>
          <w:lang w:eastAsia="bg-BG"/>
        </w:rPr>
        <w:t>Едновременното прилагане на неомицин, несистемно антимикробно средство, използвано за унищожаване на стомашно-чревната флора, води до взаимодействие с ентерохепаталния кръговрат на сорафениб (вж. точка 5.2 Метаболизъм и елиминиране) и в резултат на това до намалена експозиция на сорафениб. При здрави доброволци, лекувани с 5-дневна схема на неомицин, средната експозиция на сорафениб намалява с 54%. Ефектите на други антибиотици не са проучвани, но вероятно ще зависят от тяхната способност да взаимодействат с микроорганизмите с глюкуронидазна активност.</w:t>
      </w:r>
    </w:p>
    <w:p w14:paraId="6571AB83" w14:textId="77777777" w:rsidR="00D870F0" w:rsidRPr="00D870F0" w:rsidRDefault="00D870F0" w:rsidP="00D870F0"/>
    <w:p w14:paraId="4762A32B" w14:textId="539ED165" w:rsidR="001A6EBD" w:rsidRDefault="002C50EE" w:rsidP="00471F10">
      <w:pPr>
        <w:pStyle w:val="Heading2"/>
      </w:pPr>
      <w:r>
        <w:t>4.6. Фертилитет, бременност и кърмене</w:t>
      </w:r>
    </w:p>
    <w:p w14:paraId="0ED3F8D2" w14:textId="74FD3DB1" w:rsidR="00D870F0" w:rsidRDefault="00D870F0" w:rsidP="00D870F0"/>
    <w:p w14:paraId="3234B25A" w14:textId="561B3187" w:rsidR="00D870F0" w:rsidRPr="00D870F0" w:rsidRDefault="00D870F0" w:rsidP="00D870F0">
      <w:pPr>
        <w:pStyle w:val="Heading3"/>
        <w:rPr>
          <w:u w:val="single"/>
        </w:rPr>
      </w:pPr>
      <w:r w:rsidRPr="00D870F0">
        <w:rPr>
          <w:u w:val="single"/>
        </w:rPr>
        <w:lastRenderedPageBreak/>
        <w:t>Бременност</w:t>
      </w:r>
    </w:p>
    <w:p w14:paraId="272C19FE" w14:textId="77777777" w:rsidR="00D870F0" w:rsidRPr="00D870F0" w:rsidRDefault="00D870F0" w:rsidP="00D870F0">
      <w:pPr>
        <w:spacing w:line="240" w:lineRule="auto"/>
        <w:rPr>
          <w:rFonts w:eastAsia="Times New Roman" w:cs="Arial"/>
          <w:lang w:eastAsia="bg-BG"/>
        </w:rPr>
      </w:pPr>
      <w:r w:rsidRPr="00D870F0">
        <w:rPr>
          <w:rFonts w:eastAsia="Times New Roman" w:cs="Arial"/>
          <w:color w:val="000000"/>
          <w:lang w:eastAsia="bg-BG"/>
        </w:rPr>
        <w:t>Липсват данни от употребата на сорафениб при бременни жени. Проучванията при животни показват репродуктивна токсичност, включително малформации (вж. точка 5.3). При плъхове е доказано, че сорафениб и неговите метаболити преминават през плацентата и се очаква сорафениб да причини увреждащи ефекти върху плода. Сорафениб не трябва да се използва по време на бременност, освен ако не е абсолютно показан, след внимателно обсъждане на необходимостта за майката и риска за плода.</w:t>
      </w:r>
    </w:p>
    <w:p w14:paraId="61EDFC7D" w14:textId="77777777" w:rsidR="00D870F0" w:rsidRPr="00D870F0" w:rsidRDefault="00D870F0" w:rsidP="00D870F0">
      <w:pPr>
        <w:spacing w:line="240" w:lineRule="auto"/>
        <w:rPr>
          <w:rFonts w:eastAsia="Times New Roman" w:cs="Arial"/>
          <w:lang w:eastAsia="bg-BG"/>
        </w:rPr>
      </w:pPr>
      <w:r w:rsidRPr="00D870F0">
        <w:rPr>
          <w:rFonts w:eastAsia="Times New Roman" w:cs="Arial"/>
          <w:color w:val="000000"/>
          <w:lang w:eastAsia="bg-BG"/>
        </w:rPr>
        <w:t>Жени с детероден потенциал трябва да използват ефективна контрацепция по време на лечението.</w:t>
      </w:r>
    </w:p>
    <w:p w14:paraId="3E65064A" w14:textId="77777777" w:rsidR="00D870F0" w:rsidRPr="00D870F0" w:rsidRDefault="00D870F0" w:rsidP="00D870F0">
      <w:pPr>
        <w:spacing w:line="240" w:lineRule="auto"/>
        <w:rPr>
          <w:rFonts w:eastAsia="Times New Roman" w:cs="Arial"/>
          <w:color w:val="000000"/>
          <w:u w:val="single"/>
          <w:lang w:eastAsia="bg-BG"/>
        </w:rPr>
      </w:pPr>
    </w:p>
    <w:p w14:paraId="01FC31BD" w14:textId="216F1AD4" w:rsidR="00D870F0" w:rsidRPr="00D870F0" w:rsidRDefault="00D870F0" w:rsidP="00D870F0">
      <w:pPr>
        <w:pStyle w:val="Heading3"/>
        <w:rPr>
          <w:rFonts w:eastAsia="Times New Roman"/>
          <w:u w:val="single"/>
          <w:lang w:eastAsia="bg-BG"/>
        </w:rPr>
      </w:pPr>
      <w:r w:rsidRPr="00D870F0">
        <w:rPr>
          <w:rFonts w:eastAsia="Times New Roman"/>
          <w:u w:val="single"/>
          <w:lang w:eastAsia="bg-BG"/>
        </w:rPr>
        <w:t>Кърмене</w:t>
      </w:r>
    </w:p>
    <w:p w14:paraId="430CC978" w14:textId="77777777" w:rsidR="00D870F0" w:rsidRPr="00D870F0" w:rsidRDefault="00D870F0" w:rsidP="00D870F0">
      <w:pPr>
        <w:spacing w:line="240" w:lineRule="auto"/>
        <w:rPr>
          <w:rFonts w:eastAsia="Times New Roman" w:cs="Arial"/>
          <w:lang w:eastAsia="bg-BG"/>
        </w:rPr>
      </w:pPr>
      <w:r w:rsidRPr="00D870F0">
        <w:rPr>
          <w:rFonts w:eastAsia="Times New Roman" w:cs="Arial"/>
          <w:color w:val="000000"/>
          <w:lang w:eastAsia="bg-BG"/>
        </w:rPr>
        <w:t>Не е известно дали сорафениб се екскретира в кърмата. При животни сорафениб и/или неговите метаболити се екскретират в млякото. Тъй като сорафениб може да увреди растежа и развитието на новороденото (вж. точка 5.3), жените не трябва да кърмят по време на лечението със сорафениб.</w:t>
      </w:r>
    </w:p>
    <w:p w14:paraId="0E3D253E" w14:textId="77777777" w:rsidR="00D870F0" w:rsidRPr="00D870F0" w:rsidRDefault="00D870F0" w:rsidP="00D870F0">
      <w:pPr>
        <w:spacing w:line="240" w:lineRule="auto"/>
        <w:rPr>
          <w:rFonts w:eastAsia="Times New Roman" w:cs="Arial"/>
          <w:color w:val="000000"/>
          <w:u w:val="single"/>
          <w:lang w:eastAsia="bg-BG"/>
        </w:rPr>
      </w:pPr>
    </w:p>
    <w:p w14:paraId="5C99E812" w14:textId="44AF2577" w:rsidR="00D870F0" w:rsidRPr="00D870F0" w:rsidRDefault="00D870F0" w:rsidP="00D870F0">
      <w:pPr>
        <w:pStyle w:val="Heading3"/>
        <w:rPr>
          <w:rFonts w:eastAsia="Times New Roman"/>
          <w:u w:val="single"/>
          <w:lang w:eastAsia="bg-BG"/>
        </w:rPr>
      </w:pPr>
      <w:r w:rsidRPr="00D870F0">
        <w:rPr>
          <w:rFonts w:eastAsia="Times New Roman"/>
          <w:u w:val="single"/>
          <w:lang w:eastAsia="bg-BG"/>
        </w:rPr>
        <w:t>Фертилитет</w:t>
      </w:r>
    </w:p>
    <w:p w14:paraId="6C47EA92" w14:textId="5ACA7B49" w:rsidR="00D870F0" w:rsidRDefault="00D870F0" w:rsidP="00D870F0">
      <w:pPr>
        <w:rPr>
          <w:rFonts w:ascii="Times New Roman" w:eastAsia="Times New Roman" w:hAnsi="Times New Roman" w:cs="Times New Roman"/>
          <w:color w:val="000000"/>
          <w:sz w:val="20"/>
          <w:szCs w:val="20"/>
          <w:lang w:eastAsia="bg-BG"/>
        </w:rPr>
      </w:pPr>
      <w:r w:rsidRPr="00D870F0">
        <w:rPr>
          <w:rFonts w:eastAsia="Times New Roman" w:cs="Arial"/>
          <w:color w:val="000000"/>
          <w:lang w:eastAsia="bg-BG"/>
        </w:rPr>
        <w:t>Резултатите от проучвания при животни показват, че сорафениб може да увреди мъжкия и женския фертилитет (вж. точка 5.3).</w:t>
      </w:r>
    </w:p>
    <w:p w14:paraId="72302C45" w14:textId="77777777" w:rsidR="00D870F0" w:rsidRPr="00D870F0" w:rsidRDefault="00D870F0" w:rsidP="00D870F0"/>
    <w:p w14:paraId="188B33B4" w14:textId="3D1F506C" w:rsidR="001A6EBD" w:rsidRDefault="002C50EE" w:rsidP="00471F10">
      <w:pPr>
        <w:pStyle w:val="Heading2"/>
      </w:pPr>
      <w:r>
        <w:t>4.7. Ефекти върху способността за шофиране и работа с машини</w:t>
      </w:r>
    </w:p>
    <w:p w14:paraId="755D14BA" w14:textId="0EF10714" w:rsidR="00D870F0" w:rsidRDefault="00D870F0" w:rsidP="00D870F0"/>
    <w:p w14:paraId="4FA94622" w14:textId="4D169DD7" w:rsidR="00D870F0" w:rsidRDefault="00D870F0" w:rsidP="00D870F0">
      <w:r>
        <w:t>Не са провеждани проучвания за ефектите върху способността за шофиране и работа с машини. Няма доказателство, че сорафениб повлиява способностга за шофиране и работа с машини.</w:t>
      </w:r>
    </w:p>
    <w:p w14:paraId="77B21EEA" w14:textId="77777777" w:rsidR="00D870F0" w:rsidRPr="00D870F0" w:rsidRDefault="00D870F0" w:rsidP="00D870F0"/>
    <w:p w14:paraId="44CE30A3" w14:textId="63D913A6" w:rsidR="007122AD" w:rsidRDefault="002C50EE" w:rsidP="00936AD0">
      <w:pPr>
        <w:pStyle w:val="Heading2"/>
      </w:pPr>
      <w:r>
        <w:t>4.8. Нежелани лекарствени реакции</w:t>
      </w:r>
    </w:p>
    <w:p w14:paraId="19D3A98A" w14:textId="681BCBA0" w:rsidR="00D870F0" w:rsidRDefault="00D870F0" w:rsidP="00D870F0"/>
    <w:p w14:paraId="014DD7E5" w14:textId="77777777" w:rsidR="00D870F0" w:rsidRPr="00D870F0" w:rsidRDefault="00D870F0" w:rsidP="00D870F0">
      <w:pPr>
        <w:spacing w:line="240" w:lineRule="auto"/>
        <w:rPr>
          <w:rFonts w:eastAsia="Times New Roman" w:cs="Arial"/>
          <w:sz w:val="28"/>
          <w:szCs w:val="28"/>
          <w:lang w:eastAsia="bg-BG"/>
        </w:rPr>
      </w:pPr>
      <w:r w:rsidRPr="00D870F0">
        <w:rPr>
          <w:rFonts w:eastAsia="Times New Roman" w:cs="Arial"/>
          <w:color w:val="000000"/>
          <w:lang w:eastAsia="bg-BG"/>
        </w:rPr>
        <w:t>Най-важните сериозни нежелани реакции са миокарден инфаркт/исхемия, стомашно-чревна перфорация, индуциран от лекарството хепатит, кръвоизлив и хипертония/хипертонични кризи.</w:t>
      </w:r>
    </w:p>
    <w:p w14:paraId="28B94711" w14:textId="77777777" w:rsidR="00D870F0" w:rsidRPr="00D870F0" w:rsidRDefault="00D870F0" w:rsidP="00D870F0">
      <w:pPr>
        <w:spacing w:line="240" w:lineRule="auto"/>
        <w:rPr>
          <w:rFonts w:eastAsia="Times New Roman" w:cs="Arial"/>
          <w:color w:val="000000"/>
          <w:lang w:eastAsia="bg-BG"/>
        </w:rPr>
      </w:pPr>
    </w:p>
    <w:p w14:paraId="22602584" w14:textId="22155DB9" w:rsidR="00D870F0" w:rsidRPr="00D870F0" w:rsidRDefault="00D870F0" w:rsidP="00D870F0">
      <w:pPr>
        <w:spacing w:line="240" w:lineRule="auto"/>
        <w:rPr>
          <w:rFonts w:eastAsia="Times New Roman" w:cs="Arial"/>
          <w:sz w:val="28"/>
          <w:szCs w:val="28"/>
          <w:lang w:eastAsia="bg-BG"/>
        </w:rPr>
      </w:pPr>
      <w:r w:rsidRPr="00D870F0">
        <w:rPr>
          <w:rFonts w:eastAsia="Times New Roman" w:cs="Arial"/>
          <w:color w:val="000000"/>
          <w:lang w:eastAsia="bg-BG"/>
        </w:rPr>
        <w:t xml:space="preserve">Най-честите нежелани реакции, свързани с лекарството са диария, умора, алопеция, инфекция, кожна реакция ръка-крак (съответства на синдром на палмаро-плантарна еритродизестезия по </w:t>
      </w:r>
      <w:r w:rsidRPr="00D870F0">
        <w:rPr>
          <w:rFonts w:eastAsia="Times New Roman" w:cs="Arial"/>
          <w:color w:val="000000"/>
          <w:lang w:val="en-US"/>
        </w:rPr>
        <w:t xml:space="preserve">MedDRA) </w:t>
      </w:r>
      <w:r w:rsidRPr="00D870F0">
        <w:rPr>
          <w:rFonts w:eastAsia="Times New Roman" w:cs="Arial"/>
          <w:color w:val="000000"/>
          <w:lang w:eastAsia="bg-BG"/>
        </w:rPr>
        <w:t>и обрив.</w:t>
      </w:r>
    </w:p>
    <w:p w14:paraId="7442DCE8" w14:textId="77777777" w:rsidR="00D870F0" w:rsidRPr="00D870F0" w:rsidRDefault="00D870F0" w:rsidP="00D870F0">
      <w:pPr>
        <w:spacing w:line="240" w:lineRule="auto"/>
        <w:rPr>
          <w:rFonts w:eastAsia="Times New Roman" w:cs="Arial"/>
          <w:color w:val="000000"/>
          <w:lang w:eastAsia="bg-BG"/>
        </w:rPr>
      </w:pPr>
    </w:p>
    <w:p w14:paraId="5D8BEAB5" w14:textId="66E82E3E" w:rsidR="00D870F0" w:rsidRPr="00D870F0" w:rsidRDefault="00D870F0" w:rsidP="00D870F0">
      <w:pPr>
        <w:spacing w:line="240" w:lineRule="auto"/>
        <w:rPr>
          <w:rFonts w:eastAsia="Times New Roman" w:cs="Arial"/>
          <w:sz w:val="28"/>
          <w:szCs w:val="28"/>
          <w:lang w:eastAsia="bg-BG"/>
        </w:rPr>
      </w:pPr>
      <w:r w:rsidRPr="00D870F0">
        <w:rPr>
          <w:rFonts w:eastAsia="Times New Roman" w:cs="Arial"/>
          <w:color w:val="000000"/>
          <w:lang w:eastAsia="bg-BG"/>
        </w:rPr>
        <w:t xml:space="preserve">Нежеланите реакции, докладвани в много клинични изпитвания или по време на постмаркетинговата употреба, са представени по-долу в таблица 1, подредени по системоорганна класификация </w:t>
      </w:r>
      <w:r w:rsidRPr="00D870F0">
        <w:rPr>
          <w:rFonts w:eastAsia="Times New Roman" w:cs="Arial"/>
          <w:color w:val="000000"/>
          <w:lang w:val="en-US"/>
        </w:rPr>
        <w:t xml:space="preserve">(MedDRA) </w:t>
      </w:r>
      <w:r w:rsidRPr="00D870F0">
        <w:rPr>
          <w:rFonts w:eastAsia="Times New Roman" w:cs="Arial"/>
          <w:color w:val="000000"/>
          <w:lang w:eastAsia="bg-BG"/>
        </w:rPr>
        <w:t>и честота. Честотата се определя като: много чести (≥1/10), чести (≥1/100 до &lt;1/10), нечести (≥1/1 000 до &lt;1/100), редки (≥1/10 000 до &lt;1/1 000), с неизвестна честота (от наличните данни не може да бъде направена оценка).</w:t>
      </w:r>
    </w:p>
    <w:p w14:paraId="5B45B92D" w14:textId="77777777" w:rsidR="00D870F0" w:rsidRPr="00D870F0" w:rsidRDefault="00D870F0" w:rsidP="00D870F0">
      <w:pPr>
        <w:spacing w:line="240" w:lineRule="auto"/>
        <w:rPr>
          <w:rFonts w:eastAsia="Times New Roman" w:cs="Arial"/>
          <w:color w:val="000000"/>
          <w:lang w:eastAsia="bg-BG"/>
        </w:rPr>
      </w:pPr>
    </w:p>
    <w:p w14:paraId="5BB7F81B" w14:textId="4421AF0F" w:rsidR="00D870F0" w:rsidRPr="00D870F0" w:rsidRDefault="00D870F0" w:rsidP="00D870F0">
      <w:pPr>
        <w:spacing w:line="240" w:lineRule="auto"/>
        <w:rPr>
          <w:rFonts w:eastAsia="Times New Roman" w:cs="Arial"/>
          <w:sz w:val="28"/>
          <w:szCs w:val="28"/>
          <w:lang w:eastAsia="bg-BG"/>
        </w:rPr>
      </w:pPr>
      <w:r w:rsidRPr="00D870F0">
        <w:rPr>
          <w:rFonts w:eastAsia="Times New Roman" w:cs="Arial"/>
          <w:color w:val="000000"/>
          <w:lang w:eastAsia="bg-BG"/>
        </w:rPr>
        <w:t>При всяко групиране в зависимост от честотата, нежеланите лекарствени реакции се изброяват в низходящ ред по отношение на тяхната сериозност.</w:t>
      </w:r>
    </w:p>
    <w:p w14:paraId="04409A2C" w14:textId="77777777" w:rsidR="00D870F0" w:rsidRPr="00D870F0" w:rsidRDefault="00D870F0" w:rsidP="00D870F0">
      <w:pPr>
        <w:spacing w:line="240" w:lineRule="auto"/>
        <w:rPr>
          <w:rFonts w:eastAsia="Times New Roman" w:cs="Arial"/>
          <w:color w:val="000000"/>
          <w:lang w:eastAsia="bg-BG"/>
        </w:rPr>
      </w:pPr>
    </w:p>
    <w:p w14:paraId="3BB61DF1" w14:textId="1CDDCE50" w:rsidR="00D870F0" w:rsidRPr="00D870F0" w:rsidRDefault="00D870F0" w:rsidP="00D870F0">
      <w:pPr>
        <w:spacing w:line="240" w:lineRule="auto"/>
        <w:rPr>
          <w:rFonts w:eastAsia="Times New Roman" w:cs="Arial"/>
          <w:b/>
          <w:bCs/>
          <w:sz w:val="28"/>
          <w:szCs w:val="28"/>
          <w:lang w:eastAsia="bg-BG"/>
        </w:rPr>
      </w:pPr>
      <w:r w:rsidRPr="00D870F0">
        <w:rPr>
          <w:rFonts w:eastAsia="Times New Roman" w:cs="Arial"/>
          <w:b/>
          <w:bCs/>
          <w:color w:val="000000"/>
          <w:lang w:eastAsia="bg-BG"/>
        </w:rPr>
        <w:t>Таблица 1: Всички нежелани лекарствени реакции, докладвани в много клинични изпитвания или по време на постмаркетинговата употреба</w:t>
      </w:r>
    </w:p>
    <w:tbl>
      <w:tblPr>
        <w:tblStyle w:val="TableGrid"/>
        <w:tblW w:w="0" w:type="auto"/>
        <w:tblLook w:val="04A0" w:firstRow="1" w:lastRow="0" w:firstColumn="1" w:lastColumn="0" w:noHBand="0" w:noVBand="1"/>
      </w:tblPr>
      <w:tblGrid>
        <w:gridCol w:w="1525"/>
        <w:gridCol w:w="1626"/>
        <w:gridCol w:w="1623"/>
        <w:gridCol w:w="1987"/>
        <w:gridCol w:w="1382"/>
        <w:gridCol w:w="1207"/>
      </w:tblGrid>
      <w:tr w:rsidR="00184341" w14:paraId="3DD4F662" w14:textId="77777777" w:rsidTr="00D870F0">
        <w:tc>
          <w:tcPr>
            <w:tcW w:w="1563" w:type="dxa"/>
          </w:tcPr>
          <w:p w14:paraId="37B21EEE" w14:textId="544404F3" w:rsidR="00D870F0" w:rsidRPr="00D870F0" w:rsidRDefault="00D870F0" w:rsidP="00D870F0">
            <w:r w:rsidRPr="00D870F0">
              <w:lastRenderedPageBreak/>
              <w:t>Системоорганни класове</w:t>
            </w:r>
          </w:p>
        </w:tc>
        <w:tc>
          <w:tcPr>
            <w:tcW w:w="1665" w:type="dxa"/>
          </w:tcPr>
          <w:p w14:paraId="47595D6A" w14:textId="507ECC7F" w:rsidR="00D870F0" w:rsidRPr="00D870F0" w:rsidRDefault="00D870F0" w:rsidP="00D870F0">
            <w:r w:rsidRPr="00D870F0">
              <w:t>Много чести</w:t>
            </w:r>
          </w:p>
        </w:tc>
        <w:tc>
          <w:tcPr>
            <w:tcW w:w="1662" w:type="dxa"/>
          </w:tcPr>
          <w:p w14:paraId="4A6173E3" w14:textId="2B780565" w:rsidR="00D870F0" w:rsidRPr="00D870F0" w:rsidRDefault="00D870F0" w:rsidP="00D870F0">
            <w:r w:rsidRPr="00D870F0">
              <w:t>Чести</w:t>
            </w:r>
          </w:p>
        </w:tc>
        <w:tc>
          <w:tcPr>
            <w:tcW w:w="2037" w:type="dxa"/>
          </w:tcPr>
          <w:p w14:paraId="17A7B724" w14:textId="3673C4B1" w:rsidR="00D870F0" w:rsidRPr="00D870F0" w:rsidRDefault="00D870F0" w:rsidP="00D870F0">
            <w:r w:rsidRPr="00D870F0">
              <w:t>Нечести</w:t>
            </w:r>
          </w:p>
        </w:tc>
        <w:tc>
          <w:tcPr>
            <w:tcW w:w="1415" w:type="dxa"/>
          </w:tcPr>
          <w:p w14:paraId="1829943B" w14:textId="124D7B57" w:rsidR="00D870F0" w:rsidRPr="00D870F0" w:rsidRDefault="00D870F0" w:rsidP="00D870F0">
            <w:r w:rsidRPr="00D870F0">
              <w:t>Редки</w:t>
            </w:r>
          </w:p>
        </w:tc>
        <w:tc>
          <w:tcPr>
            <w:tcW w:w="1234" w:type="dxa"/>
          </w:tcPr>
          <w:p w14:paraId="0E285F19" w14:textId="4181858F" w:rsidR="00D870F0" w:rsidRPr="00D870F0" w:rsidRDefault="00D870F0" w:rsidP="00D870F0">
            <w:r w:rsidRPr="00D870F0">
              <w:t>С неизвестна честота</w:t>
            </w:r>
          </w:p>
        </w:tc>
      </w:tr>
      <w:tr w:rsidR="00184341" w14:paraId="0C5EC12A" w14:textId="77777777" w:rsidTr="00D870F0">
        <w:tc>
          <w:tcPr>
            <w:tcW w:w="1563" w:type="dxa"/>
            <w:vAlign w:val="bottom"/>
          </w:tcPr>
          <w:p w14:paraId="2DFCDF33" w14:textId="20ED8755" w:rsidR="00D870F0" w:rsidRPr="00D870F0" w:rsidRDefault="00D870F0" w:rsidP="00D870F0">
            <w:r w:rsidRPr="00D870F0">
              <w:t>Инфекции и инфестации</w:t>
            </w:r>
          </w:p>
        </w:tc>
        <w:tc>
          <w:tcPr>
            <w:tcW w:w="1665" w:type="dxa"/>
          </w:tcPr>
          <w:p w14:paraId="590B79F2" w14:textId="536D8D30" w:rsidR="00D870F0" w:rsidRPr="00D870F0" w:rsidRDefault="00D870F0" w:rsidP="00D870F0">
            <w:r w:rsidRPr="00D870F0">
              <w:t>инфекция</w:t>
            </w:r>
          </w:p>
        </w:tc>
        <w:tc>
          <w:tcPr>
            <w:tcW w:w="1662" w:type="dxa"/>
          </w:tcPr>
          <w:p w14:paraId="285231A0" w14:textId="2CCE44F4" w:rsidR="00D870F0" w:rsidRPr="00D870F0" w:rsidRDefault="00D870F0" w:rsidP="00D870F0">
            <w:r w:rsidRPr="00D870F0">
              <w:t>фоликулит</w:t>
            </w:r>
          </w:p>
        </w:tc>
        <w:tc>
          <w:tcPr>
            <w:tcW w:w="2037" w:type="dxa"/>
          </w:tcPr>
          <w:p w14:paraId="74469280" w14:textId="77777777" w:rsidR="00D870F0" w:rsidRPr="00D870F0" w:rsidRDefault="00D870F0" w:rsidP="00D870F0"/>
        </w:tc>
        <w:tc>
          <w:tcPr>
            <w:tcW w:w="1415" w:type="dxa"/>
          </w:tcPr>
          <w:p w14:paraId="526F2E5D" w14:textId="77777777" w:rsidR="00D870F0" w:rsidRPr="00D870F0" w:rsidRDefault="00D870F0" w:rsidP="00D870F0"/>
        </w:tc>
        <w:tc>
          <w:tcPr>
            <w:tcW w:w="1234" w:type="dxa"/>
          </w:tcPr>
          <w:p w14:paraId="0E5274FD" w14:textId="77777777" w:rsidR="00D870F0" w:rsidRPr="00D870F0" w:rsidRDefault="00D870F0" w:rsidP="00D870F0"/>
        </w:tc>
      </w:tr>
      <w:tr w:rsidR="00D870F0" w14:paraId="4A00E0F6" w14:textId="77777777" w:rsidTr="00D870F0">
        <w:tc>
          <w:tcPr>
            <w:tcW w:w="1563" w:type="dxa"/>
            <w:vAlign w:val="bottom"/>
          </w:tcPr>
          <w:p w14:paraId="536160A9" w14:textId="77777777" w:rsidR="00D870F0" w:rsidRPr="00D870F0" w:rsidRDefault="00D870F0" w:rsidP="00D870F0">
            <w:r w:rsidRPr="00D870F0">
              <w:t>Нарушения на кръвта</w:t>
            </w:r>
            <w:r w:rsidRPr="00D870F0">
              <w:tab/>
              <w:t>и</w:t>
            </w:r>
          </w:p>
          <w:p w14:paraId="2A252507" w14:textId="59C622BD" w:rsidR="00D870F0" w:rsidRPr="00D870F0" w:rsidRDefault="00D870F0" w:rsidP="00D870F0">
            <w:r w:rsidRPr="00D870F0">
              <w:t>лимфната система</w:t>
            </w:r>
          </w:p>
        </w:tc>
        <w:tc>
          <w:tcPr>
            <w:tcW w:w="1665" w:type="dxa"/>
          </w:tcPr>
          <w:p w14:paraId="6E0A3CEE" w14:textId="212F835B" w:rsidR="00D870F0" w:rsidRPr="00D870F0" w:rsidRDefault="00D870F0" w:rsidP="00D870F0">
            <w:r w:rsidRPr="00D870F0">
              <w:t>лимфопения</w:t>
            </w:r>
          </w:p>
        </w:tc>
        <w:tc>
          <w:tcPr>
            <w:tcW w:w="1662" w:type="dxa"/>
            <w:vAlign w:val="bottom"/>
          </w:tcPr>
          <w:p w14:paraId="19D069EE" w14:textId="36CEF39B" w:rsidR="00D870F0" w:rsidRPr="00D870F0" w:rsidRDefault="00D870F0" w:rsidP="00D870F0">
            <w:r w:rsidRPr="00D870F0">
              <w:t>левкопения неутропения анемия тромбоцитопения</w:t>
            </w:r>
          </w:p>
        </w:tc>
        <w:tc>
          <w:tcPr>
            <w:tcW w:w="2037" w:type="dxa"/>
          </w:tcPr>
          <w:p w14:paraId="6B7C7F7D" w14:textId="77777777" w:rsidR="00D870F0" w:rsidRPr="00D870F0" w:rsidRDefault="00D870F0" w:rsidP="00D870F0"/>
        </w:tc>
        <w:tc>
          <w:tcPr>
            <w:tcW w:w="1415" w:type="dxa"/>
          </w:tcPr>
          <w:p w14:paraId="2233C8CF" w14:textId="77777777" w:rsidR="00D870F0" w:rsidRPr="00D870F0" w:rsidRDefault="00D870F0" w:rsidP="00D870F0"/>
        </w:tc>
        <w:tc>
          <w:tcPr>
            <w:tcW w:w="1234" w:type="dxa"/>
          </w:tcPr>
          <w:p w14:paraId="37AB8457" w14:textId="77777777" w:rsidR="00D870F0" w:rsidRPr="00D870F0" w:rsidRDefault="00D870F0" w:rsidP="00D870F0"/>
        </w:tc>
      </w:tr>
      <w:tr w:rsidR="00184341" w14:paraId="42D1BBC7" w14:textId="77777777" w:rsidTr="00D870F0">
        <w:tc>
          <w:tcPr>
            <w:tcW w:w="1563" w:type="dxa"/>
          </w:tcPr>
          <w:p w14:paraId="1EC311AA" w14:textId="3C6447F7" w:rsidR="00D870F0" w:rsidRPr="00D870F0" w:rsidRDefault="00D870F0" w:rsidP="00D870F0">
            <w:r w:rsidRPr="00D870F0">
              <w:t>Нарушения на имунната система</w:t>
            </w:r>
          </w:p>
        </w:tc>
        <w:tc>
          <w:tcPr>
            <w:tcW w:w="1665" w:type="dxa"/>
          </w:tcPr>
          <w:p w14:paraId="3C89677F" w14:textId="77777777" w:rsidR="00D870F0" w:rsidRPr="00D870F0" w:rsidRDefault="00D870F0" w:rsidP="00D870F0"/>
        </w:tc>
        <w:tc>
          <w:tcPr>
            <w:tcW w:w="1662" w:type="dxa"/>
          </w:tcPr>
          <w:p w14:paraId="7E544A93" w14:textId="77777777" w:rsidR="00D870F0" w:rsidRPr="00D870F0" w:rsidRDefault="00D870F0" w:rsidP="00D870F0"/>
        </w:tc>
        <w:tc>
          <w:tcPr>
            <w:tcW w:w="2037" w:type="dxa"/>
          </w:tcPr>
          <w:p w14:paraId="6E29B395" w14:textId="77777777" w:rsidR="00D870F0" w:rsidRPr="00D870F0" w:rsidRDefault="00D870F0" w:rsidP="00D870F0">
            <w:r w:rsidRPr="00D870F0">
              <w:t>реакции</w:t>
            </w:r>
            <w:r w:rsidRPr="00D870F0">
              <w:tab/>
              <w:t>на</w:t>
            </w:r>
          </w:p>
          <w:p w14:paraId="50DB47B3" w14:textId="77777777" w:rsidR="00D870F0" w:rsidRPr="00D870F0" w:rsidRDefault="00D870F0" w:rsidP="00D870F0">
            <w:r w:rsidRPr="00D870F0">
              <w:t>свръхчувствителност (включващи</w:t>
            </w:r>
            <w:r w:rsidRPr="00D870F0">
              <w:tab/>
              <w:t>кожни</w:t>
            </w:r>
          </w:p>
          <w:p w14:paraId="02BDE8A2" w14:textId="075A7F83" w:rsidR="00D870F0" w:rsidRPr="00D870F0" w:rsidRDefault="00D870F0" w:rsidP="00D870F0">
            <w:r w:rsidRPr="00D870F0">
              <w:t>реакции и уртикария) анафилактична реакция</w:t>
            </w:r>
          </w:p>
        </w:tc>
        <w:tc>
          <w:tcPr>
            <w:tcW w:w="1415" w:type="dxa"/>
          </w:tcPr>
          <w:p w14:paraId="4A9252D0" w14:textId="35DA8421" w:rsidR="00D870F0" w:rsidRPr="00D870F0" w:rsidRDefault="00D870F0" w:rsidP="00D870F0">
            <w:r w:rsidRPr="00D870F0">
              <w:t>ангиоедем</w:t>
            </w:r>
          </w:p>
        </w:tc>
        <w:tc>
          <w:tcPr>
            <w:tcW w:w="1234" w:type="dxa"/>
          </w:tcPr>
          <w:p w14:paraId="6A7FC5BC" w14:textId="77777777" w:rsidR="00D870F0" w:rsidRPr="00D870F0" w:rsidRDefault="00D870F0" w:rsidP="00D870F0"/>
        </w:tc>
      </w:tr>
      <w:tr w:rsidR="00184341" w14:paraId="04BADDED" w14:textId="77777777" w:rsidTr="00D870F0">
        <w:tc>
          <w:tcPr>
            <w:tcW w:w="1563" w:type="dxa"/>
          </w:tcPr>
          <w:p w14:paraId="031D8C26" w14:textId="1B0BC107" w:rsidR="00D870F0" w:rsidRPr="00D870F0" w:rsidRDefault="00D870F0" w:rsidP="00D870F0">
            <w:r w:rsidRPr="00D870F0">
              <w:t>Нарушения на ендокринната система</w:t>
            </w:r>
          </w:p>
        </w:tc>
        <w:tc>
          <w:tcPr>
            <w:tcW w:w="1665" w:type="dxa"/>
          </w:tcPr>
          <w:p w14:paraId="1F9652E4" w14:textId="77777777" w:rsidR="00D870F0" w:rsidRPr="00D870F0" w:rsidRDefault="00D870F0" w:rsidP="00D870F0"/>
        </w:tc>
        <w:tc>
          <w:tcPr>
            <w:tcW w:w="1662" w:type="dxa"/>
          </w:tcPr>
          <w:p w14:paraId="64F6BA70" w14:textId="2CF8F79F" w:rsidR="00D870F0" w:rsidRPr="00D870F0" w:rsidRDefault="00D870F0" w:rsidP="00D870F0">
            <w:r w:rsidRPr="00D870F0">
              <w:t>хипотиреоидизъм</w:t>
            </w:r>
          </w:p>
        </w:tc>
        <w:tc>
          <w:tcPr>
            <w:tcW w:w="2037" w:type="dxa"/>
          </w:tcPr>
          <w:p w14:paraId="685B41B6" w14:textId="66404C93" w:rsidR="00D870F0" w:rsidRPr="00D870F0" w:rsidRDefault="00D870F0" w:rsidP="00D870F0">
            <w:r w:rsidRPr="00D870F0">
              <w:t>хипертиреоидизъм</w:t>
            </w:r>
          </w:p>
        </w:tc>
        <w:tc>
          <w:tcPr>
            <w:tcW w:w="1415" w:type="dxa"/>
          </w:tcPr>
          <w:p w14:paraId="0FF4D9F5" w14:textId="77777777" w:rsidR="00D870F0" w:rsidRPr="00D870F0" w:rsidRDefault="00D870F0" w:rsidP="00D870F0"/>
        </w:tc>
        <w:tc>
          <w:tcPr>
            <w:tcW w:w="1234" w:type="dxa"/>
          </w:tcPr>
          <w:p w14:paraId="3F5A42A1" w14:textId="77777777" w:rsidR="00D870F0" w:rsidRPr="00D870F0" w:rsidRDefault="00D870F0" w:rsidP="00D870F0"/>
        </w:tc>
      </w:tr>
      <w:tr w:rsidR="00184341" w14:paraId="615D2C49" w14:textId="77777777" w:rsidTr="00D870F0">
        <w:tc>
          <w:tcPr>
            <w:tcW w:w="1563" w:type="dxa"/>
          </w:tcPr>
          <w:p w14:paraId="4BC69DFC" w14:textId="77777777" w:rsidR="00D870F0" w:rsidRPr="00D870F0" w:rsidRDefault="00D870F0" w:rsidP="00D870F0">
            <w:r w:rsidRPr="00D870F0">
              <w:t>Нарушения на метаболизма и</w:t>
            </w:r>
          </w:p>
          <w:p w14:paraId="0FE092DC" w14:textId="1DA7ACAF" w:rsidR="00D870F0" w:rsidRPr="00D870F0" w:rsidRDefault="00D870F0" w:rsidP="00D870F0">
            <w:r w:rsidRPr="00D870F0">
              <w:t>храненето</w:t>
            </w:r>
          </w:p>
        </w:tc>
        <w:tc>
          <w:tcPr>
            <w:tcW w:w="1665" w:type="dxa"/>
          </w:tcPr>
          <w:p w14:paraId="356EB985" w14:textId="44986AC6" w:rsidR="00D870F0" w:rsidRPr="00D870F0" w:rsidRDefault="00D870F0" w:rsidP="00D870F0">
            <w:r w:rsidRPr="00D870F0">
              <w:t>анорексия хипофосфатемия</w:t>
            </w:r>
          </w:p>
        </w:tc>
        <w:tc>
          <w:tcPr>
            <w:tcW w:w="1662" w:type="dxa"/>
            <w:vAlign w:val="bottom"/>
          </w:tcPr>
          <w:p w14:paraId="73CFF49C" w14:textId="2645066C" w:rsidR="00D870F0" w:rsidRPr="00D870F0" w:rsidRDefault="00D870F0" w:rsidP="00D870F0">
            <w:r w:rsidRPr="00D870F0">
              <w:t>хипокалциемия хипокалиемия хипонатриемия хипогликемия</w:t>
            </w:r>
          </w:p>
        </w:tc>
        <w:tc>
          <w:tcPr>
            <w:tcW w:w="2037" w:type="dxa"/>
          </w:tcPr>
          <w:p w14:paraId="0BE807F3" w14:textId="41142491" w:rsidR="00D870F0" w:rsidRPr="00D870F0" w:rsidRDefault="00D870F0" w:rsidP="00D870F0">
            <w:r w:rsidRPr="00D870F0">
              <w:t>дехидратация</w:t>
            </w:r>
          </w:p>
        </w:tc>
        <w:tc>
          <w:tcPr>
            <w:tcW w:w="1415" w:type="dxa"/>
          </w:tcPr>
          <w:p w14:paraId="5F85B1BE" w14:textId="77777777" w:rsidR="00D870F0" w:rsidRPr="00D870F0" w:rsidRDefault="00D870F0" w:rsidP="00D870F0"/>
        </w:tc>
        <w:tc>
          <w:tcPr>
            <w:tcW w:w="1234" w:type="dxa"/>
          </w:tcPr>
          <w:p w14:paraId="2700B645" w14:textId="3CCBA585" w:rsidR="00D870F0" w:rsidRPr="00D870F0" w:rsidRDefault="00D870F0" w:rsidP="00D870F0">
            <w:r w:rsidRPr="00D870F0">
              <w:t>синдром на туморен лизис</w:t>
            </w:r>
          </w:p>
        </w:tc>
      </w:tr>
      <w:tr w:rsidR="00184341" w14:paraId="47A72BF7" w14:textId="77777777" w:rsidTr="00D870F0">
        <w:tc>
          <w:tcPr>
            <w:tcW w:w="1563" w:type="dxa"/>
            <w:vAlign w:val="bottom"/>
          </w:tcPr>
          <w:p w14:paraId="4E78E7B3" w14:textId="6B99A6CC" w:rsidR="00D870F0" w:rsidRPr="00D870F0" w:rsidRDefault="00D870F0" w:rsidP="00D870F0">
            <w:r w:rsidRPr="00D870F0">
              <w:t>Психични нарушения</w:t>
            </w:r>
          </w:p>
        </w:tc>
        <w:tc>
          <w:tcPr>
            <w:tcW w:w="1665" w:type="dxa"/>
          </w:tcPr>
          <w:p w14:paraId="0F5DAF8C" w14:textId="77777777" w:rsidR="00D870F0" w:rsidRPr="00D870F0" w:rsidRDefault="00D870F0" w:rsidP="00D870F0"/>
        </w:tc>
        <w:tc>
          <w:tcPr>
            <w:tcW w:w="1662" w:type="dxa"/>
          </w:tcPr>
          <w:p w14:paraId="18244875" w14:textId="00A0C4E4" w:rsidR="00D870F0" w:rsidRPr="00D870F0" w:rsidRDefault="00D870F0" w:rsidP="00D870F0">
            <w:r w:rsidRPr="00D870F0">
              <w:t>депресия</w:t>
            </w:r>
          </w:p>
        </w:tc>
        <w:tc>
          <w:tcPr>
            <w:tcW w:w="2037" w:type="dxa"/>
          </w:tcPr>
          <w:p w14:paraId="42FC65A1" w14:textId="77777777" w:rsidR="00D870F0" w:rsidRPr="00D870F0" w:rsidRDefault="00D870F0" w:rsidP="00D870F0"/>
        </w:tc>
        <w:tc>
          <w:tcPr>
            <w:tcW w:w="1415" w:type="dxa"/>
          </w:tcPr>
          <w:p w14:paraId="67D3A302" w14:textId="77777777" w:rsidR="00D870F0" w:rsidRPr="00D870F0" w:rsidRDefault="00D870F0" w:rsidP="00D870F0"/>
        </w:tc>
        <w:tc>
          <w:tcPr>
            <w:tcW w:w="1234" w:type="dxa"/>
          </w:tcPr>
          <w:p w14:paraId="3D21758B" w14:textId="77777777" w:rsidR="00D870F0" w:rsidRPr="00D870F0" w:rsidRDefault="00D870F0" w:rsidP="00D870F0"/>
        </w:tc>
      </w:tr>
      <w:tr w:rsidR="00184341" w14:paraId="118133ED" w14:textId="77777777" w:rsidTr="00D870F0">
        <w:tc>
          <w:tcPr>
            <w:tcW w:w="1563" w:type="dxa"/>
          </w:tcPr>
          <w:p w14:paraId="734E6DBB" w14:textId="32AE1E25" w:rsidR="00D870F0" w:rsidRPr="00D870F0" w:rsidRDefault="00D870F0" w:rsidP="00D870F0">
            <w:r w:rsidRPr="00D870F0">
              <w:t>Нарушения на нервната система</w:t>
            </w:r>
          </w:p>
        </w:tc>
        <w:tc>
          <w:tcPr>
            <w:tcW w:w="1665" w:type="dxa"/>
          </w:tcPr>
          <w:p w14:paraId="22D49852" w14:textId="77777777" w:rsidR="00D870F0" w:rsidRPr="00D870F0" w:rsidRDefault="00D870F0" w:rsidP="00D870F0"/>
        </w:tc>
        <w:tc>
          <w:tcPr>
            <w:tcW w:w="1662" w:type="dxa"/>
            <w:vAlign w:val="bottom"/>
          </w:tcPr>
          <w:p w14:paraId="5CC73793" w14:textId="77777777" w:rsidR="00D870F0" w:rsidRPr="00D870F0" w:rsidRDefault="00D870F0" w:rsidP="00D870F0">
            <w:r w:rsidRPr="00D870F0">
              <w:t>периферна сетивна</w:t>
            </w:r>
          </w:p>
          <w:p w14:paraId="50E43F28" w14:textId="61ABE857" w:rsidR="00D870F0" w:rsidRPr="00D870F0" w:rsidRDefault="00D870F0" w:rsidP="00D870F0">
            <w:r w:rsidRPr="00D870F0">
              <w:t>невропатия дисгеузия</w:t>
            </w:r>
          </w:p>
        </w:tc>
        <w:tc>
          <w:tcPr>
            <w:tcW w:w="2037" w:type="dxa"/>
          </w:tcPr>
          <w:p w14:paraId="1AFD4359" w14:textId="0F9074B5" w:rsidR="00D870F0" w:rsidRPr="00D870F0" w:rsidRDefault="00D870F0" w:rsidP="00D870F0">
            <w:r w:rsidRPr="00D870F0">
              <w:t>Обратима</w:t>
            </w:r>
            <w:r>
              <w:rPr>
                <w:lang w:val="en-US"/>
              </w:rPr>
              <w:t xml:space="preserve"> </w:t>
            </w:r>
            <w:r w:rsidRPr="00D870F0">
              <w:t>задна</w:t>
            </w:r>
          </w:p>
          <w:p w14:paraId="5F57B24D" w14:textId="010D7CD6" w:rsidR="00D870F0" w:rsidRPr="00D870F0" w:rsidRDefault="00D870F0" w:rsidP="00D870F0">
            <w:r w:rsidRPr="00D870F0">
              <w:t>левкоенцефалопатия*</w:t>
            </w:r>
          </w:p>
        </w:tc>
        <w:tc>
          <w:tcPr>
            <w:tcW w:w="1415" w:type="dxa"/>
          </w:tcPr>
          <w:p w14:paraId="42602CD5" w14:textId="77777777" w:rsidR="00D870F0" w:rsidRPr="00D870F0" w:rsidRDefault="00D870F0" w:rsidP="00D870F0"/>
        </w:tc>
        <w:tc>
          <w:tcPr>
            <w:tcW w:w="1234" w:type="dxa"/>
          </w:tcPr>
          <w:p w14:paraId="7EA4C0B1" w14:textId="7D7AC680" w:rsidR="00D870F0" w:rsidRPr="00D870F0" w:rsidRDefault="00D870F0" w:rsidP="00D870F0">
            <w:r w:rsidRPr="00D870F0">
              <w:t>енцефалопа тия°</w:t>
            </w:r>
          </w:p>
        </w:tc>
      </w:tr>
      <w:tr w:rsidR="00184341" w14:paraId="5BB20036" w14:textId="77777777" w:rsidTr="00D870F0">
        <w:tc>
          <w:tcPr>
            <w:tcW w:w="1563" w:type="dxa"/>
            <w:vAlign w:val="bottom"/>
          </w:tcPr>
          <w:p w14:paraId="27739678" w14:textId="77777777" w:rsidR="00D870F0" w:rsidRPr="00D870F0" w:rsidRDefault="00D870F0" w:rsidP="00D870F0">
            <w:r w:rsidRPr="00D870F0">
              <w:t>Нарушения на ухото</w:t>
            </w:r>
            <w:r w:rsidRPr="00D870F0">
              <w:rPr>
                <w:lang w:val="en-US"/>
              </w:rPr>
              <w:t xml:space="preserve"> </w:t>
            </w:r>
            <w:r w:rsidRPr="00D870F0">
              <w:t>и</w:t>
            </w:r>
          </w:p>
          <w:p w14:paraId="24B1B4AF" w14:textId="186034DD" w:rsidR="00D870F0" w:rsidRPr="00D870F0" w:rsidRDefault="00D870F0" w:rsidP="00D870F0">
            <w:r w:rsidRPr="00D870F0">
              <w:t>лабиринта</w:t>
            </w:r>
          </w:p>
        </w:tc>
        <w:tc>
          <w:tcPr>
            <w:tcW w:w="1665" w:type="dxa"/>
          </w:tcPr>
          <w:p w14:paraId="506D7025" w14:textId="77777777" w:rsidR="00D870F0" w:rsidRPr="00D870F0" w:rsidRDefault="00D870F0" w:rsidP="00D870F0"/>
        </w:tc>
        <w:tc>
          <w:tcPr>
            <w:tcW w:w="1662" w:type="dxa"/>
          </w:tcPr>
          <w:p w14:paraId="11741BBA" w14:textId="3DD8CFC3" w:rsidR="00D870F0" w:rsidRPr="00D870F0" w:rsidRDefault="00D870F0" w:rsidP="00D870F0">
            <w:r w:rsidRPr="00D870F0">
              <w:t>шум в ушите</w:t>
            </w:r>
          </w:p>
        </w:tc>
        <w:tc>
          <w:tcPr>
            <w:tcW w:w="2037" w:type="dxa"/>
          </w:tcPr>
          <w:p w14:paraId="2E5871B5" w14:textId="77777777" w:rsidR="00D870F0" w:rsidRPr="00D870F0" w:rsidRDefault="00D870F0" w:rsidP="00D870F0"/>
        </w:tc>
        <w:tc>
          <w:tcPr>
            <w:tcW w:w="1415" w:type="dxa"/>
          </w:tcPr>
          <w:p w14:paraId="120EFD01" w14:textId="77777777" w:rsidR="00D870F0" w:rsidRPr="00D870F0" w:rsidRDefault="00D870F0" w:rsidP="00D870F0"/>
        </w:tc>
        <w:tc>
          <w:tcPr>
            <w:tcW w:w="1234" w:type="dxa"/>
          </w:tcPr>
          <w:p w14:paraId="640CD771" w14:textId="77777777" w:rsidR="00D870F0" w:rsidRPr="00D870F0" w:rsidRDefault="00D870F0" w:rsidP="00D870F0"/>
        </w:tc>
      </w:tr>
      <w:tr w:rsidR="00184341" w14:paraId="04DF9A58" w14:textId="77777777" w:rsidTr="00D870F0">
        <w:tc>
          <w:tcPr>
            <w:tcW w:w="1563" w:type="dxa"/>
          </w:tcPr>
          <w:p w14:paraId="56BF029D" w14:textId="41A73EA3" w:rsidR="00D870F0" w:rsidRPr="00D870F0" w:rsidRDefault="00D870F0" w:rsidP="00D870F0">
            <w:r w:rsidRPr="00D870F0">
              <w:t>Сърдечни нарушения</w:t>
            </w:r>
          </w:p>
        </w:tc>
        <w:tc>
          <w:tcPr>
            <w:tcW w:w="1665" w:type="dxa"/>
          </w:tcPr>
          <w:p w14:paraId="78D4298F" w14:textId="77777777" w:rsidR="00D870F0" w:rsidRPr="00D870F0" w:rsidRDefault="00D870F0" w:rsidP="00D870F0"/>
        </w:tc>
        <w:tc>
          <w:tcPr>
            <w:tcW w:w="1662" w:type="dxa"/>
            <w:vAlign w:val="bottom"/>
          </w:tcPr>
          <w:p w14:paraId="481AC20A" w14:textId="77777777" w:rsidR="00D870F0" w:rsidRPr="00D870F0" w:rsidRDefault="00D870F0" w:rsidP="00D870F0">
            <w:r w:rsidRPr="00D870F0">
              <w:t>застойна</w:t>
            </w:r>
          </w:p>
          <w:p w14:paraId="4592D6C5" w14:textId="77777777" w:rsidR="00D870F0" w:rsidRPr="00D870F0" w:rsidRDefault="00D870F0" w:rsidP="00D870F0">
            <w:r w:rsidRPr="00D870F0">
              <w:t>сърдечна недостатъчност*</w:t>
            </w:r>
          </w:p>
          <w:p w14:paraId="2D4614F1" w14:textId="77777777" w:rsidR="00D870F0" w:rsidRPr="00D870F0" w:rsidRDefault="00D870F0" w:rsidP="00D870F0">
            <w:r w:rsidRPr="00D870F0">
              <w:t>миокардна</w:t>
            </w:r>
          </w:p>
          <w:p w14:paraId="749E1F10" w14:textId="674DBA6E" w:rsidR="00D870F0" w:rsidRPr="00D870F0" w:rsidRDefault="00D870F0" w:rsidP="00D870F0">
            <w:r w:rsidRPr="00D870F0">
              <w:t>исхемия</w:t>
            </w:r>
            <w:r>
              <w:rPr>
                <w:lang w:val="en-US"/>
              </w:rPr>
              <w:t xml:space="preserve"> </w:t>
            </w:r>
            <w:r w:rsidRPr="00D870F0">
              <w:t>и</w:t>
            </w:r>
          </w:p>
          <w:p w14:paraId="7E4B3BB2" w14:textId="711AADE2" w:rsidR="00D870F0" w:rsidRPr="00D870F0" w:rsidRDefault="00D870F0" w:rsidP="00D870F0">
            <w:r w:rsidRPr="00D870F0">
              <w:t>инфаркт*</w:t>
            </w:r>
          </w:p>
        </w:tc>
        <w:tc>
          <w:tcPr>
            <w:tcW w:w="2037" w:type="dxa"/>
          </w:tcPr>
          <w:p w14:paraId="273E1978" w14:textId="77777777" w:rsidR="00D870F0" w:rsidRPr="00D870F0" w:rsidRDefault="00D870F0" w:rsidP="00D870F0"/>
        </w:tc>
        <w:tc>
          <w:tcPr>
            <w:tcW w:w="1415" w:type="dxa"/>
          </w:tcPr>
          <w:p w14:paraId="1463E989" w14:textId="278DA7B8" w:rsidR="00D870F0" w:rsidRPr="00D870F0" w:rsidRDefault="00D870F0" w:rsidP="00D870F0">
            <w:r w:rsidRPr="00D870F0">
              <w:t xml:space="preserve">удължаване на </w:t>
            </w:r>
            <w:r w:rsidRPr="00D870F0">
              <w:rPr>
                <w:lang w:val="en-US"/>
              </w:rPr>
              <w:t>QT</w:t>
            </w:r>
          </w:p>
        </w:tc>
        <w:tc>
          <w:tcPr>
            <w:tcW w:w="1234" w:type="dxa"/>
          </w:tcPr>
          <w:p w14:paraId="5802F78C" w14:textId="77777777" w:rsidR="00D870F0" w:rsidRPr="00D870F0" w:rsidRDefault="00D870F0" w:rsidP="00D870F0"/>
        </w:tc>
      </w:tr>
      <w:tr w:rsidR="00184341" w14:paraId="64D11F2B" w14:textId="77777777" w:rsidTr="00D870F0">
        <w:tc>
          <w:tcPr>
            <w:tcW w:w="1563" w:type="dxa"/>
          </w:tcPr>
          <w:p w14:paraId="1130C557" w14:textId="006817FD" w:rsidR="00D870F0" w:rsidRPr="00D870F0" w:rsidRDefault="00D870F0" w:rsidP="00D870F0">
            <w:r w:rsidRPr="00D870F0">
              <w:lastRenderedPageBreak/>
              <w:t>Съдови нарушения</w:t>
            </w:r>
          </w:p>
        </w:tc>
        <w:tc>
          <w:tcPr>
            <w:tcW w:w="1665" w:type="dxa"/>
          </w:tcPr>
          <w:p w14:paraId="346CE5BB" w14:textId="77777777" w:rsidR="00D870F0" w:rsidRPr="00D870F0" w:rsidRDefault="00D870F0" w:rsidP="00D870F0">
            <w:r w:rsidRPr="00D870F0">
              <w:t>кръвоизлив (включително стомашночревен* , дихателен тракт* и</w:t>
            </w:r>
            <w:r w:rsidRPr="00D870F0">
              <w:rPr>
                <w:lang w:val="en-US"/>
              </w:rPr>
              <w:t xml:space="preserve"> </w:t>
            </w:r>
            <w:r w:rsidRPr="00D870F0">
              <w:t>мозъчен</w:t>
            </w:r>
          </w:p>
          <w:p w14:paraId="170F43E5" w14:textId="50B5FFD7" w:rsidR="00D870F0" w:rsidRPr="00D870F0" w:rsidRDefault="00D870F0" w:rsidP="00D870F0">
            <w:r w:rsidRPr="00D870F0">
              <w:t>кръвоизлив*) хипертония</w:t>
            </w:r>
          </w:p>
        </w:tc>
        <w:tc>
          <w:tcPr>
            <w:tcW w:w="1662" w:type="dxa"/>
          </w:tcPr>
          <w:p w14:paraId="3FAC5EE4" w14:textId="7124B936" w:rsidR="00D870F0" w:rsidRPr="00D870F0" w:rsidRDefault="00D870F0" w:rsidP="00D870F0">
            <w:r w:rsidRPr="00D870F0">
              <w:t>зачервяване</w:t>
            </w:r>
          </w:p>
        </w:tc>
        <w:tc>
          <w:tcPr>
            <w:tcW w:w="2037" w:type="dxa"/>
          </w:tcPr>
          <w:p w14:paraId="52C11B3B" w14:textId="28E25237" w:rsidR="00D870F0" w:rsidRPr="00D870F0" w:rsidRDefault="00D870F0" w:rsidP="00D870F0">
            <w:r w:rsidRPr="00D870F0">
              <w:t>хипертонични кризи</w:t>
            </w:r>
          </w:p>
        </w:tc>
        <w:tc>
          <w:tcPr>
            <w:tcW w:w="1415" w:type="dxa"/>
          </w:tcPr>
          <w:p w14:paraId="553E8E6F" w14:textId="77777777" w:rsidR="00D870F0" w:rsidRPr="00D870F0" w:rsidRDefault="00D870F0" w:rsidP="00D870F0"/>
        </w:tc>
        <w:tc>
          <w:tcPr>
            <w:tcW w:w="1234" w:type="dxa"/>
          </w:tcPr>
          <w:p w14:paraId="5BEB16A8" w14:textId="0D78DCBA" w:rsidR="00D870F0" w:rsidRPr="00D870F0" w:rsidRDefault="00D870F0" w:rsidP="00D870F0">
            <w:r w:rsidRPr="00D870F0">
              <w:t>аневризми и артериални дисекации</w:t>
            </w:r>
          </w:p>
        </w:tc>
      </w:tr>
      <w:tr w:rsidR="00184341" w14:paraId="33E0CCE9" w14:textId="77777777" w:rsidTr="00D870F0">
        <w:tc>
          <w:tcPr>
            <w:tcW w:w="1563" w:type="dxa"/>
          </w:tcPr>
          <w:p w14:paraId="70B88FC1" w14:textId="452EE5D9" w:rsidR="00D870F0" w:rsidRPr="00D870F0" w:rsidRDefault="00D870F0" w:rsidP="00D870F0">
            <w:r w:rsidRPr="00D870F0">
              <w:t>Респираторни, гръдни</w:t>
            </w:r>
            <w:r>
              <w:rPr>
                <w:lang w:val="en-US"/>
              </w:rPr>
              <w:t xml:space="preserve"> </w:t>
            </w:r>
            <w:r w:rsidRPr="00D870F0">
              <w:t>и</w:t>
            </w:r>
          </w:p>
          <w:p w14:paraId="45A5A34A" w14:textId="736FC430" w:rsidR="00D870F0" w:rsidRPr="00D870F0" w:rsidRDefault="00D870F0" w:rsidP="00D870F0">
            <w:r w:rsidRPr="00D870F0">
              <w:t>медиастинални нарушения</w:t>
            </w:r>
          </w:p>
        </w:tc>
        <w:tc>
          <w:tcPr>
            <w:tcW w:w="1665" w:type="dxa"/>
          </w:tcPr>
          <w:p w14:paraId="7E763295" w14:textId="77777777" w:rsidR="00D870F0" w:rsidRPr="00D870F0" w:rsidRDefault="00D870F0" w:rsidP="00D870F0"/>
        </w:tc>
        <w:tc>
          <w:tcPr>
            <w:tcW w:w="1662" w:type="dxa"/>
          </w:tcPr>
          <w:p w14:paraId="177F8321" w14:textId="21C666FE" w:rsidR="00D870F0" w:rsidRPr="00D870F0" w:rsidRDefault="00D870F0" w:rsidP="00D870F0">
            <w:r w:rsidRPr="00D870F0">
              <w:t>хрема едисфония</w:t>
            </w:r>
          </w:p>
        </w:tc>
        <w:tc>
          <w:tcPr>
            <w:tcW w:w="2037" w:type="dxa"/>
          </w:tcPr>
          <w:p w14:paraId="5369D3FF" w14:textId="18D7FAF3" w:rsidR="00D870F0" w:rsidRPr="00D870F0" w:rsidRDefault="00D870F0" w:rsidP="00D870F0">
            <w:r w:rsidRPr="00D870F0">
              <w:t>събития, подобни на интерстициална белодробна болест* (пневмонит, радиационен пневмонит,</w:t>
            </w:r>
            <w:r>
              <w:rPr>
                <w:lang w:val="en-US"/>
              </w:rPr>
              <w:t xml:space="preserve"> </w:t>
            </w:r>
            <w:r w:rsidRPr="00D870F0">
              <w:t>остър</w:t>
            </w:r>
          </w:p>
          <w:p w14:paraId="11D64C5A" w14:textId="1DF6C08B" w:rsidR="00D870F0" w:rsidRPr="00D870F0" w:rsidRDefault="00D870F0" w:rsidP="00D870F0">
            <w:r w:rsidRPr="00D870F0">
              <w:t>респираторен дистрес и др.)</w:t>
            </w:r>
          </w:p>
        </w:tc>
        <w:tc>
          <w:tcPr>
            <w:tcW w:w="1415" w:type="dxa"/>
          </w:tcPr>
          <w:p w14:paraId="653BD77C" w14:textId="77777777" w:rsidR="00D870F0" w:rsidRPr="00D870F0" w:rsidRDefault="00D870F0" w:rsidP="00D870F0"/>
        </w:tc>
        <w:tc>
          <w:tcPr>
            <w:tcW w:w="1234" w:type="dxa"/>
            <w:vAlign w:val="bottom"/>
          </w:tcPr>
          <w:p w14:paraId="43C69221" w14:textId="77777777" w:rsidR="00D870F0" w:rsidRPr="00D870F0" w:rsidRDefault="00D870F0" w:rsidP="00D870F0"/>
        </w:tc>
      </w:tr>
      <w:tr w:rsidR="00184341" w14:paraId="7A611226" w14:textId="77777777" w:rsidTr="00D870F0">
        <w:tc>
          <w:tcPr>
            <w:tcW w:w="1563" w:type="dxa"/>
          </w:tcPr>
          <w:p w14:paraId="5221E714" w14:textId="2B00B47C" w:rsidR="00D870F0" w:rsidRPr="00D870F0" w:rsidRDefault="00D870F0" w:rsidP="00D870F0">
            <w:r w:rsidRPr="00D870F0">
              <w:t>Стомашночревн и нарушения</w:t>
            </w:r>
          </w:p>
        </w:tc>
        <w:tc>
          <w:tcPr>
            <w:tcW w:w="1665" w:type="dxa"/>
          </w:tcPr>
          <w:p w14:paraId="5518B3B7" w14:textId="77777777" w:rsidR="00D870F0" w:rsidRPr="00D870F0" w:rsidRDefault="00D870F0" w:rsidP="00D870F0">
            <w:r w:rsidRPr="00D870F0">
              <w:t>диария</w:t>
            </w:r>
            <w:r w:rsidRPr="00D870F0">
              <w:tab/>
              <w:t>гадене</w:t>
            </w:r>
          </w:p>
          <w:p w14:paraId="79AABB56" w14:textId="2FB355F0" w:rsidR="00D870F0" w:rsidRPr="00D870F0" w:rsidRDefault="00D870F0" w:rsidP="00D870F0">
            <w:r w:rsidRPr="00D870F0">
              <w:t>повръщане запек</w:t>
            </w:r>
          </w:p>
        </w:tc>
        <w:tc>
          <w:tcPr>
            <w:tcW w:w="1662" w:type="dxa"/>
            <w:vAlign w:val="bottom"/>
          </w:tcPr>
          <w:p w14:paraId="25E1C09D" w14:textId="0DF4A598" w:rsidR="00D870F0" w:rsidRPr="00D870F0" w:rsidRDefault="00D870F0" w:rsidP="00D870F0">
            <w:r w:rsidRPr="00D870F0">
              <w:t>стоматит (включително сухота в устата и глосодиния в езика) диспепсия, дисфагия гастро- езофагеален рефлукс</w:t>
            </w:r>
          </w:p>
        </w:tc>
        <w:tc>
          <w:tcPr>
            <w:tcW w:w="2037" w:type="dxa"/>
          </w:tcPr>
          <w:p w14:paraId="60A70FF0" w14:textId="7D815DAE" w:rsidR="00D870F0" w:rsidRPr="00D870F0" w:rsidRDefault="00D870F0" w:rsidP="00D870F0">
            <w:r w:rsidRPr="00D870F0">
              <w:t>нанкреатит гастрит стомашно-чревни перфорации*</w:t>
            </w:r>
          </w:p>
        </w:tc>
        <w:tc>
          <w:tcPr>
            <w:tcW w:w="1415" w:type="dxa"/>
          </w:tcPr>
          <w:p w14:paraId="041B6047" w14:textId="77777777" w:rsidR="00D870F0" w:rsidRPr="00D870F0" w:rsidRDefault="00D870F0" w:rsidP="00D870F0"/>
        </w:tc>
        <w:tc>
          <w:tcPr>
            <w:tcW w:w="1234" w:type="dxa"/>
          </w:tcPr>
          <w:p w14:paraId="29494176" w14:textId="77777777" w:rsidR="00D870F0" w:rsidRPr="00D870F0" w:rsidRDefault="00D870F0" w:rsidP="00D870F0"/>
        </w:tc>
      </w:tr>
      <w:tr w:rsidR="00184341" w14:paraId="7E16ED98" w14:textId="77777777" w:rsidTr="00D870F0">
        <w:tc>
          <w:tcPr>
            <w:tcW w:w="1563" w:type="dxa"/>
          </w:tcPr>
          <w:p w14:paraId="7902242D" w14:textId="66F3D585" w:rsidR="00D870F0" w:rsidRPr="00D870F0" w:rsidRDefault="00D870F0" w:rsidP="00D870F0">
            <w:r w:rsidRPr="00D870F0">
              <w:t>Хепатобилиарн и нарушения</w:t>
            </w:r>
          </w:p>
        </w:tc>
        <w:tc>
          <w:tcPr>
            <w:tcW w:w="1665" w:type="dxa"/>
          </w:tcPr>
          <w:p w14:paraId="6232D399" w14:textId="77777777" w:rsidR="00D870F0" w:rsidRPr="00D870F0" w:rsidRDefault="00D870F0" w:rsidP="00D870F0"/>
        </w:tc>
        <w:tc>
          <w:tcPr>
            <w:tcW w:w="1662" w:type="dxa"/>
          </w:tcPr>
          <w:p w14:paraId="52EC7B28" w14:textId="77777777" w:rsidR="00D870F0" w:rsidRPr="00D870F0" w:rsidRDefault="00D870F0" w:rsidP="00D870F0"/>
        </w:tc>
        <w:tc>
          <w:tcPr>
            <w:tcW w:w="2037" w:type="dxa"/>
          </w:tcPr>
          <w:p w14:paraId="33532C27" w14:textId="0F2EDCC6" w:rsidR="00D870F0" w:rsidRPr="00D870F0" w:rsidRDefault="00D870F0" w:rsidP="00D870F0">
            <w:r w:rsidRPr="00D870F0">
              <w:t>Повишаване</w:t>
            </w:r>
            <w:r>
              <w:rPr>
                <w:lang w:val="en-US"/>
              </w:rPr>
              <w:t xml:space="preserve"> </w:t>
            </w:r>
            <w:r w:rsidRPr="00D870F0">
              <w:t>на</w:t>
            </w:r>
          </w:p>
          <w:p w14:paraId="18D1B008" w14:textId="5803F407" w:rsidR="00D870F0" w:rsidRPr="00D870F0" w:rsidRDefault="00D870F0" w:rsidP="00D870F0">
            <w:r w:rsidRPr="00D870F0">
              <w:t>билирубина</w:t>
            </w:r>
            <w:r>
              <w:rPr>
                <w:lang w:val="en-US"/>
              </w:rPr>
              <w:t xml:space="preserve"> </w:t>
            </w:r>
            <w:r w:rsidRPr="00D870F0">
              <w:t>и</w:t>
            </w:r>
          </w:p>
          <w:p w14:paraId="553DA0EB" w14:textId="3F5AF0E8" w:rsidR="00D870F0" w:rsidRPr="00D870F0" w:rsidRDefault="00D870F0" w:rsidP="00D870F0">
            <w:r w:rsidRPr="00D870F0">
              <w:t>жълтеница, холецистит, холангит</w:t>
            </w:r>
          </w:p>
        </w:tc>
        <w:tc>
          <w:tcPr>
            <w:tcW w:w="1415" w:type="dxa"/>
          </w:tcPr>
          <w:p w14:paraId="38534D16" w14:textId="1ED8D17F" w:rsidR="00D870F0" w:rsidRPr="00D870F0" w:rsidRDefault="00D870F0" w:rsidP="00D870F0">
            <w:r w:rsidRPr="00D870F0">
              <w:t>хепатит, индуциран от лекарството*</w:t>
            </w:r>
          </w:p>
        </w:tc>
        <w:tc>
          <w:tcPr>
            <w:tcW w:w="1234" w:type="dxa"/>
          </w:tcPr>
          <w:p w14:paraId="6EC1062D" w14:textId="77777777" w:rsidR="00D870F0" w:rsidRPr="00D870F0" w:rsidRDefault="00D870F0" w:rsidP="00D870F0"/>
        </w:tc>
      </w:tr>
      <w:tr w:rsidR="00184341" w14:paraId="7EA78FF5" w14:textId="77777777" w:rsidTr="00D870F0">
        <w:tc>
          <w:tcPr>
            <w:tcW w:w="1563" w:type="dxa"/>
          </w:tcPr>
          <w:p w14:paraId="7EE9A71C" w14:textId="08EEB8EF" w:rsidR="00D870F0" w:rsidRPr="00D870F0" w:rsidRDefault="00D870F0" w:rsidP="00D870F0">
            <w:r w:rsidRPr="00D870F0">
              <w:t>Нарушения на кожата</w:t>
            </w:r>
            <w:r>
              <w:rPr>
                <w:lang w:val="en-US"/>
              </w:rPr>
              <w:t xml:space="preserve"> </w:t>
            </w:r>
            <w:r w:rsidRPr="00D870F0">
              <w:t>и</w:t>
            </w:r>
          </w:p>
          <w:p w14:paraId="50A5ED28" w14:textId="64BCE34B" w:rsidR="00D870F0" w:rsidRPr="00D870F0" w:rsidRDefault="00D870F0" w:rsidP="00D870F0">
            <w:r w:rsidRPr="00D870F0">
              <w:t>подкожната тъкан</w:t>
            </w:r>
          </w:p>
        </w:tc>
        <w:tc>
          <w:tcPr>
            <w:tcW w:w="1665" w:type="dxa"/>
          </w:tcPr>
          <w:p w14:paraId="3D68937B" w14:textId="3993BC44" w:rsidR="00D870F0" w:rsidRPr="00D870F0" w:rsidRDefault="00D870F0" w:rsidP="00D870F0">
            <w:r w:rsidRPr="00D870F0">
              <w:t>суха кожа обрив алопеция кожна реакция</w:t>
            </w:r>
            <w:r>
              <w:rPr>
                <w:lang w:val="en-US"/>
              </w:rPr>
              <w:t xml:space="preserve"> </w:t>
            </w:r>
            <w:r w:rsidRPr="00D870F0">
              <w:t>ръка</w:t>
            </w:r>
          </w:p>
          <w:p w14:paraId="08880B00" w14:textId="6FEEAA5A" w:rsidR="00D870F0" w:rsidRPr="00D870F0" w:rsidRDefault="00D870F0" w:rsidP="00D870F0">
            <w:r w:rsidRPr="00D870F0">
              <w:t>крак** еритема сърбеж</w:t>
            </w:r>
          </w:p>
        </w:tc>
        <w:tc>
          <w:tcPr>
            <w:tcW w:w="1662" w:type="dxa"/>
          </w:tcPr>
          <w:p w14:paraId="320A2247" w14:textId="77777777" w:rsidR="00D870F0" w:rsidRPr="00D870F0" w:rsidRDefault="00D870F0" w:rsidP="00D870F0">
            <w:r w:rsidRPr="00D870F0">
              <w:t>кератоакантом а/ сквамозен</w:t>
            </w:r>
          </w:p>
          <w:p w14:paraId="49D1C0B4" w14:textId="77777777" w:rsidR="00D870F0" w:rsidRPr="00D870F0" w:rsidRDefault="00D870F0" w:rsidP="00D870F0">
            <w:r w:rsidRPr="00D870F0">
              <w:t>клетъчен</w:t>
            </w:r>
          </w:p>
          <w:p w14:paraId="0EDA9B1A" w14:textId="77777777" w:rsidR="00D870F0" w:rsidRPr="00D870F0" w:rsidRDefault="00D870F0" w:rsidP="00D870F0">
            <w:r w:rsidRPr="00D870F0">
              <w:t>карцином на кожата ексфолиативе н дерматит акне</w:t>
            </w:r>
          </w:p>
          <w:p w14:paraId="737CE286" w14:textId="661AC2F2" w:rsidR="00D870F0" w:rsidRPr="00D870F0" w:rsidRDefault="00D870F0" w:rsidP="00D870F0">
            <w:r w:rsidRPr="00D870F0">
              <w:lastRenderedPageBreak/>
              <w:t>десквамация на</w:t>
            </w:r>
            <w:r>
              <w:rPr>
                <w:lang w:val="en-US"/>
              </w:rPr>
              <w:t xml:space="preserve"> </w:t>
            </w:r>
            <w:r w:rsidRPr="00D870F0">
              <w:t>кожата</w:t>
            </w:r>
          </w:p>
          <w:p w14:paraId="661AAEF4" w14:textId="190B23B8" w:rsidR="00D870F0" w:rsidRPr="00D870F0" w:rsidRDefault="00D870F0" w:rsidP="00D870F0">
            <w:r w:rsidRPr="00D870F0">
              <w:t>хиперкератоза</w:t>
            </w:r>
          </w:p>
        </w:tc>
        <w:tc>
          <w:tcPr>
            <w:tcW w:w="2037" w:type="dxa"/>
          </w:tcPr>
          <w:p w14:paraId="28B6AA12" w14:textId="5B661931" w:rsidR="00D870F0" w:rsidRPr="00D870F0" w:rsidRDefault="00D870F0" w:rsidP="00D870F0">
            <w:r w:rsidRPr="00D870F0">
              <w:lastRenderedPageBreak/>
              <w:t>екзема еритема мултиформе</w:t>
            </w:r>
          </w:p>
        </w:tc>
        <w:tc>
          <w:tcPr>
            <w:tcW w:w="1415" w:type="dxa"/>
          </w:tcPr>
          <w:p w14:paraId="76E15459" w14:textId="73BBF40E" w:rsidR="00D870F0" w:rsidRPr="00D870F0" w:rsidRDefault="00D870F0" w:rsidP="00D870F0">
            <w:r w:rsidRPr="00D870F0">
              <w:t>дерматит подобен</w:t>
            </w:r>
            <w:r>
              <w:rPr>
                <w:lang w:val="en-US"/>
              </w:rPr>
              <w:t xml:space="preserve"> </w:t>
            </w:r>
            <w:r w:rsidRPr="00D870F0">
              <w:t>на</w:t>
            </w:r>
          </w:p>
          <w:p w14:paraId="02A74FCE" w14:textId="3D6DDB95" w:rsidR="00D870F0" w:rsidRPr="00D870F0" w:rsidRDefault="00D870F0" w:rsidP="00D870F0">
            <w:r w:rsidRPr="00D870F0">
              <w:t xml:space="preserve">радиационен синдром на </w:t>
            </w:r>
            <w:r w:rsidRPr="00D870F0">
              <w:rPr>
                <w:lang w:val="en-US"/>
              </w:rPr>
              <w:t xml:space="preserve">Stevens Johnson </w:t>
            </w:r>
            <w:r w:rsidRPr="00D870F0">
              <w:t xml:space="preserve">левкоцитоклас тичен </w:t>
            </w:r>
            <w:r w:rsidRPr="00D870F0">
              <w:lastRenderedPageBreak/>
              <w:t>васкулит токсична епидермална некролиза*</w:t>
            </w:r>
          </w:p>
        </w:tc>
        <w:tc>
          <w:tcPr>
            <w:tcW w:w="1234" w:type="dxa"/>
          </w:tcPr>
          <w:p w14:paraId="67AD4E73" w14:textId="77777777" w:rsidR="00D870F0" w:rsidRPr="00D870F0" w:rsidRDefault="00D870F0" w:rsidP="00D870F0"/>
        </w:tc>
      </w:tr>
      <w:tr w:rsidR="00184341" w14:paraId="6AE42BAB" w14:textId="77777777" w:rsidTr="00D870F0">
        <w:tc>
          <w:tcPr>
            <w:tcW w:w="1563" w:type="dxa"/>
          </w:tcPr>
          <w:p w14:paraId="7D4A9659" w14:textId="3A8DC9B5" w:rsidR="00D870F0" w:rsidRPr="00D870F0" w:rsidRDefault="00D870F0" w:rsidP="00D870F0">
            <w:r w:rsidRPr="00D870F0">
              <w:t>Нарушения на мускулноскелет ната система, съединителната тъкан</w:t>
            </w:r>
          </w:p>
        </w:tc>
        <w:tc>
          <w:tcPr>
            <w:tcW w:w="1665" w:type="dxa"/>
          </w:tcPr>
          <w:p w14:paraId="3176C759" w14:textId="6C7FF1C7" w:rsidR="00D870F0" w:rsidRPr="00D870F0" w:rsidRDefault="00D870F0" w:rsidP="00D870F0">
            <w:r w:rsidRPr="00D870F0">
              <w:t>артралгия</w:t>
            </w:r>
          </w:p>
        </w:tc>
        <w:tc>
          <w:tcPr>
            <w:tcW w:w="1662" w:type="dxa"/>
          </w:tcPr>
          <w:p w14:paraId="34CA7447" w14:textId="036B5502" w:rsidR="00D870F0" w:rsidRPr="00D870F0" w:rsidRDefault="00D870F0" w:rsidP="00D870F0">
            <w:r w:rsidRPr="00D870F0">
              <w:t>миалгия мускулни спазми</w:t>
            </w:r>
          </w:p>
        </w:tc>
        <w:tc>
          <w:tcPr>
            <w:tcW w:w="2037" w:type="dxa"/>
          </w:tcPr>
          <w:p w14:paraId="55DBA48E" w14:textId="77777777" w:rsidR="00D870F0" w:rsidRPr="00D870F0" w:rsidRDefault="00D870F0" w:rsidP="00D870F0"/>
        </w:tc>
        <w:tc>
          <w:tcPr>
            <w:tcW w:w="1415" w:type="dxa"/>
          </w:tcPr>
          <w:p w14:paraId="6644B07A" w14:textId="47A8EEFD" w:rsidR="00D870F0" w:rsidRPr="00D870F0" w:rsidRDefault="00D870F0" w:rsidP="00D870F0">
            <w:r w:rsidRPr="00D870F0">
              <w:t>рабдомиолиза</w:t>
            </w:r>
          </w:p>
        </w:tc>
        <w:tc>
          <w:tcPr>
            <w:tcW w:w="1234" w:type="dxa"/>
          </w:tcPr>
          <w:p w14:paraId="743330CD" w14:textId="77777777" w:rsidR="00D870F0" w:rsidRPr="00D870F0" w:rsidRDefault="00D870F0" w:rsidP="00D870F0"/>
        </w:tc>
      </w:tr>
      <w:tr w:rsidR="00184341" w14:paraId="10A2EE96" w14:textId="77777777" w:rsidTr="00D870F0">
        <w:tc>
          <w:tcPr>
            <w:tcW w:w="1563" w:type="dxa"/>
            <w:vAlign w:val="bottom"/>
          </w:tcPr>
          <w:p w14:paraId="4E6C416C" w14:textId="36E541C4" w:rsidR="00D870F0" w:rsidRPr="00D870F0" w:rsidRDefault="00D870F0" w:rsidP="00D870F0">
            <w:r w:rsidRPr="00D870F0">
              <w:t>Нарушения на бъбреците и пикочните пътища</w:t>
            </w:r>
          </w:p>
        </w:tc>
        <w:tc>
          <w:tcPr>
            <w:tcW w:w="1665" w:type="dxa"/>
          </w:tcPr>
          <w:p w14:paraId="2A16A148" w14:textId="77777777" w:rsidR="00D870F0" w:rsidRPr="00D870F0" w:rsidRDefault="00D870F0" w:rsidP="00D870F0"/>
        </w:tc>
        <w:tc>
          <w:tcPr>
            <w:tcW w:w="1662" w:type="dxa"/>
          </w:tcPr>
          <w:p w14:paraId="413600DA" w14:textId="1418DE96" w:rsidR="00D870F0" w:rsidRPr="00D870F0" w:rsidRDefault="00D870F0" w:rsidP="00D870F0">
            <w:r w:rsidRPr="00D870F0">
              <w:t>бъбречна недостатъчност протеинурия</w:t>
            </w:r>
          </w:p>
        </w:tc>
        <w:tc>
          <w:tcPr>
            <w:tcW w:w="2037" w:type="dxa"/>
          </w:tcPr>
          <w:p w14:paraId="4FCB7FCA" w14:textId="77777777" w:rsidR="00D870F0" w:rsidRPr="00D870F0" w:rsidRDefault="00D870F0" w:rsidP="00D870F0"/>
        </w:tc>
        <w:tc>
          <w:tcPr>
            <w:tcW w:w="1415" w:type="dxa"/>
          </w:tcPr>
          <w:p w14:paraId="4CF244FE" w14:textId="191FE6ED" w:rsidR="00D870F0" w:rsidRPr="00D870F0" w:rsidRDefault="00D870F0" w:rsidP="00D870F0">
            <w:r w:rsidRPr="00D870F0">
              <w:t>нефротичен синдром</w:t>
            </w:r>
          </w:p>
        </w:tc>
        <w:tc>
          <w:tcPr>
            <w:tcW w:w="1234" w:type="dxa"/>
          </w:tcPr>
          <w:p w14:paraId="054DB199" w14:textId="77777777" w:rsidR="00D870F0" w:rsidRPr="00D870F0" w:rsidRDefault="00D870F0" w:rsidP="00D870F0"/>
        </w:tc>
      </w:tr>
      <w:tr w:rsidR="00184341" w14:paraId="573EE3E1" w14:textId="77777777" w:rsidTr="00D870F0">
        <w:tc>
          <w:tcPr>
            <w:tcW w:w="1563" w:type="dxa"/>
          </w:tcPr>
          <w:p w14:paraId="55A7A637" w14:textId="74D8378F" w:rsidR="00D870F0" w:rsidRDefault="00D870F0" w:rsidP="00D870F0">
            <w:r>
              <w:t>Нарушения на възпроизводи телната система и гърдата</w:t>
            </w:r>
          </w:p>
        </w:tc>
        <w:tc>
          <w:tcPr>
            <w:tcW w:w="1665" w:type="dxa"/>
          </w:tcPr>
          <w:p w14:paraId="1BA06EE3" w14:textId="77777777" w:rsidR="00D870F0" w:rsidRDefault="00D870F0" w:rsidP="00D870F0"/>
        </w:tc>
        <w:tc>
          <w:tcPr>
            <w:tcW w:w="1662" w:type="dxa"/>
          </w:tcPr>
          <w:p w14:paraId="74CACB4F" w14:textId="25D86F4C" w:rsidR="00D870F0" w:rsidRDefault="00D870F0" w:rsidP="00D870F0">
            <w:r>
              <w:t>еректилна дисфункция</w:t>
            </w:r>
          </w:p>
        </w:tc>
        <w:tc>
          <w:tcPr>
            <w:tcW w:w="2037" w:type="dxa"/>
          </w:tcPr>
          <w:p w14:paraId="22E69587" w14:textId="7B32844F" w:rsidR="00D870F0" w:rsidRDefault="00D870F0" w:rsidP="00D870F0">
            <w:r>
              <w:t>гинекомастия</w:t>
            </w:r>
          </w:p>
        </w:tc>
        <w:tc>
          <w:tcPr>
            <w:tcW w:w="1415" w:type="dxa"/>
          </w:tcPr>
          <w:p w14:paraId="03033164" w14:textId="77777777" w:rsidR="00D870F0" w:rsidRDefault="00D870F0" w:rsidP="00D870F0"/>
        </w:tc>
        <w:tc>
          <w:tcPr>
            <w:tcW w:w="1234" w:type="dxa"/>
          </w:tcPr>
          <w:p w14:paraId="2C8A7889" w14:textId="77777777" w:rsidR="00D870F0" w:rsidRDefault="00D870F0" w:rsidP="00D870F0"/>
        </w:tc>
      </w:tr>
      <w:tr w:rsidR="00184341" w14:paraId="4D4256EC" w14:textId="77777777" w:rsidTr="00D870F0">
        <w:tc>
          <w:tcPr>
            <w:tcW w:w="1563" w:type="dxa"/>
          </w:tcPr>
          <w:p w14:paraId="1AD38818" w14:textId="1F911E87" w:rsidR="00D870F0" w:rsidRPr="00D870F0" w:rsidRDefault="00D870F0" w:rsidP="00D870F0">
            <w:r w:rsidRPr="00D870F0">
              <w:t>Общи нарушения и ефекти</w:t>
            </w:r>
            <w:r>
              <w:rPr>
                <w:lang w:val="en-US"/>
              </w:rPr>
              <w:t xml:space="preserve"> </w:t>
            </w:r>
            <w:r w:rsidRPr="00D870F0">
              <w:t>на</w:t>
            </w:r>
          </w:p>
          <w:p w14:paraId="4018CAAC" w14:textId="06EBEA74" w:rsidR="00D870F0" w:rsidRPr="00D870F0" w:rsidRDefault="00D870F0" w:rsidP="00D870F0">
            <w:r w:rsidRPr="00D870F0">
              <w:t>Мястото</w:t>
            </w:r>
            <w:r>
              <w:rPr>
                <w:lang w:val="en-US"/>
              </w:rPr>
              <w:t xml:space="preserve"> </w:t>
            </w:r>
            <w:r w:rsidRPr="00D870F0">
              <w:t>на</w:t>
            </w:r>
          </w:p>
          <w:p w14:paraId="22B923DA" w14:textId="12240D0B" w:rsidR="00D870F0" w:rsidRPr="00D870F0" w:rsidRDefault="00D870F0" w:rsidP="00D870F0">
            <w:r w:rsidRPr="00D870F0">
              <w:t>приложение</w:t>
            </w:r>
          </w:p>
        </w:tc>
        <w:tc>
          <w:tcPr>
            <w:tcW w:w="1665" w:type="dxa"/>
          </w:tcPr>
          <w:p w14:paraId="0C150956" w14:textId="77777777" w:rsidR="00D870F0" w:rsidRPr="00D870F0" w:rsidRDefault="00D870F0" w:rsidP="00D870F0">
            <w:r w:rsidRPr="00D870F0">
              <w:t>умора болка (включително уста, корем, кости, туморна болка и главоболие) повишена</w:t>
            </w:r>
          </w:p>
          <w:p w14:paraId="33A1385D" w14:textId="1E13CD69" w:rsidR="00D870F0" w:rsidRPr="00D870F0" w:rsidRDefault="00D870F0" w:rsidP="00D870F0">
            <w:r w:rsidRPr="00D870F0">
              <w:t>температура</w:t>
            </w:r>
          </w:p>
        </w:tc>
        <w:tc>
          <w:tcPr>
            <w:tcW w:w="1662" w:type="dxa"/>
          </w:tcPr>
          <w:p w14:paraId="78BBEC37" w14:textId="77777777" w:rsidR="00D870F0" w:rsidRPr="00D870F0" w:rsidRDefault="00D870F0" w:rsidP="00D870F0">
            <w:r w:rsidRPr="00D870F0">
              <w:t>астения грипоподобно заболяване</w:t>
            </w:r>
          </w:p>
          <w:p w14:paraId="5C61E739" w14:textId="77777777" w:rsidR="00D870F0" w:rsidRPr="00D870F0" w:rsidRDefault="00D870F0" w:rsidP="00D870F0">
            <w:r w:rsidRPr="00D870F0">
              <w:t>възпаление на</w:t>
            </w:r>
          </w:p>
          <w:p w14:paraId="4AFC1D47" w14:textId="32F06F9E" w:rsidR="00D870F0" w:rsidRPr="00D870F0" w:rsidRDefault="00D870F0" w:rsidP="00D870F0">
            <w:r w:rsidRPr="00D870F0">
              <w:t>лигавици</w:t>
            </w:r>
          </w:p>
        </w:tc>
        <w:tc>
          <w:tcPr>
            <w:tcW w:w="2037" w:type="dxa"/>
          </w:tcPr>
          <w:p w14:paraId="44FC104C" w14:textId="77777777" w:rsidR="00D870F0" w:rsidRPr="00D870F0" w:rsidRDefault="00D870F0" w:rsidP="00D870F0"/>
        </w:tc>
        <w:tc>
          <w:tcPr>
            <w:tcW w:w="1415" w:type="dxa"/>
          </w:tcPr>
          <w:p w14:paraId="150A15D8" w14:textId="77777777" w:rsidR="00D870F0" w:rsidRPr="00D870F0" w:rsidRDefault="00D870F0" w:rsidP="00D870F0"/>
        </w:tc>
        <w:tc>
          <w:tcPr>
            <w:tcW w:w="1234" w:type="dxa"/>
          </w:tcPr>
          <w:p w14:paraId="3EF4B7F7" w14:textId="77777777" w:rsidR="00D870F0" w:rsidRPr="00D870F0" w:rsidRDefault="00D870F0" w:rsidP="00D870F0"/>
        </w:tc>
      </w:tr>
      <w:tr w:rsidR="00184341" w14:paraId="67F6437A" w14:textId="77777777" w:rsidTr="00D870F0">
        <w:tc>
          <w:tcPr>
            <w:tcW w:w="1563" w:type="dxa"/>
          </w:tcPr>
          <w:p w14:paraId="050D6D8F" w14:textId="4CF6C82E" w:rsidR="00D870F0" w:rsidRPr="00D870F0" w:rsidRDefault="00D870F0" w:rsidP="00D870F0">
            <w:r w:rsidRPr="00D870F0">
              <w:t>Изследвания</w:t>
            </w:r>
          </w:p>
        </w:tc>
        <w:tc>
          <w:tcPr>
            <w:tcW w:w="1665" w:type="dxa"/>
          </w:tcPr>
          <w:p w14:paraId="326A6700" w14:textId="09B9855B" w:rsidR="00D870F0" w:rsidRPr="00D870F0" w:rsidRDefault="00D870F0" w:rsidP="00D870F0">
            <w:r w:rsidRPr="00D870F0">
              <w:t>Намаляване</w:t>
            </w:r>
            <w:r>
              <w:rPr>
                <w:lang w:val="en-US"/>
              </w:rPr>
              <w:t xml:space="preserve"> </w:t>
            </w:r>
            <w:r w:rsidRPr="00D870F0">
              <w:t>на</w:t>
            </w:r>
          </w:p>
          <w:p w14:paraId="6F30C7E9" w14:textId="36FE401F" w:rsidR="00D870F0" w:rsidRPr="00D870F0" w:rsidRDefault="00D870F0" w:rsidP="00D870F0">
            <w:r w:rsidRPr="00D870F0">
              <w:t>телесното легло повишена амилаза повишена липаза</w:t>
            </w:r>
          </w:p>
        </w:tc>
        <w:tc>
          <w:tcPr>
            <w:tcW w:w="1662" w:type="dxa"/>
          </w:tcPr>
          <w:p w14:paraId="3D7221FE" w14:textId="52EEA5ED" w:rsidR="00D870F0" w:rsidRPr="00D870F0" w:rsidRDefault="00D870F0" w:rsidP="00D870F0">
            <w:r w:rsidRPr="00D870F0">
              <w:t>преходно повишаване на трансаминазите</w:t>
            </w:r>
          </w:p>
        </w:tc>
        <w:tc>
          <w:tcPr>
            <w:tcW w:w="2037" w:type="dxa"/>
          </w:tcPr>
          <w:p w14:paraId="28604593" w14:textId="2EECBFFD" w:rsidR="00D870F0" w:rsidRPr="00D870F0" w:rsidRDefault="00D870F0" w:rsidP="00D870F0">
            <w:r w:rsidRPr="00D870F0">
              <w:t>преходно повишаване на</w:t>
            </w:r>
            <w:r>
              <w:rPr>
                <w:lang w:val="en-US"/>
              </w:rPr>
              <w:t xml:space="preserve"> </w:t>
            </w:r>
            <w:r w:rsidRPr="00D870F0">
              <w:t>алкалната</w:t>
            </w:r>
          </w:p>
          <w:p w14:paraId="1059CF07" w14:textId="77777777" w:rsidR="00D870F0" w:rsidRPr="00D870F0" w:rsidRDefault="00D870F0" w:rsidP="00D870F0">
            <w:r w:rsidRPr="00D870F0">
              <w:t>фосфатаза в кръвза патологичен</w:t>
            </w:r>
            <w:r w:rsidRPr="00D870F0">
              <w:tab/>
            </w:r>
            <w:r w:rsidRPr="00D870F0">
              <w:rPr>
                <w:lang w:val="en-US"/>
              </w:rPr>
              <w:t>INR</w:t>
            </w:r>
          </w:p>
          <w:p w14:paraId="5E8ED9EC" w14:textId="606802FA" w:rsidR="00D870F0" w:rsidRPr="00D870F0" w:rsidRDefault="00D870F0" w:rsidP="00D870F0">
            <w:r w:rsidRPr="00D870F0">
              <w:t>патологично протромбиново време</w:t>
            </w:r>
          </w:p>
        </w:tc>
        <w:tc>
          <w:tcPr>
            <w:tcW w:w="1415" w:type="dxa"/>
          </w:tcPr>
          <w:p w14:paraId="294B2BF8" w14:textId="77777777" w:rsidR="00D870F0" w:rsidRPr="00D870F0" w:rsidRDefault="00D870F0" w:rsidP="00D870F0"/>
        </w:tc>
        <w:tc>
          <w:tcPr>
            <w:tcW w:w="1234" w:type="dxa"/>
          </w:tcPr>
          <w:p w14:paraId="43E29EE3" w14:textId="77777777" w:rsidR="00D870F0" w:rsidRPr="00D870F0" w:rsidRDefault="00D870F0" w:rsidP="00D870F0"/>
        </w:tc>
      </w:tr>
    </w:tbl>
    <w:p w14:paraId="2DD33337" w14:textId="77777777" w:rsidR="00D870F0" w:rsidRPr="00D870F0" w:rsidRDefault="00D870F0" w:rsidP="00D870F0">
      <w:pPr>
        <w:spacing w:line="240" w:lineRule="auto"/>
        <w:rPr>
          <w:rFonts w:eastAsia="Times New Roman" w:cs="Arial"/>
          <w:lang w:eastAsia="bg-BG"/>
        </w:rPr>
      </w:pPr>
      <w:r w:rsidRPr="00D870F0">
        <w:rPr>
          <w:rFonts w:eastAsia="Times New Roman" w:cs="Arial"/>
          <w:color w:val="000000"/>
          <w:lang w:eastAsia="bg-BG"/>
        </w:rPr>
        <w:t>*</w:t>
      </w:r>
      <w:r w:rsidRPr="00D870F0">
        <w:rPr>
          <w:rFonts w:eastAsia="Times New Roman" w:cs="Arial"/>
          <w:color w:val="000000"/>
          <w:lang w:eastAsia="bg-BG"/>
        </w:rPr>
        <w:tab/>
        <w:t>Нежеланите реакции могат да имат живото-застрашаващ или фатален изход. Такива събития са или нечести, или по-редки от нечести.</w:t>
      </w:r>
    </w:p>
    <w:p w14:paraId="1A60850C" w14:textId="77777777" w:rsidR="00D870F0" w:rsidRPr="00D870F0" w:rsidRDefault="00D870F0" w:rsidP="00D870F0">
      <w:pPr>
        <w:spacing w:line="240" w:lineRule="auto"/>
        <w:rPr>
          <w:rFonts w:eastAsia="Times New Roman" w:cs="Arial"/>
          <w:lang w:eastAsia="bg-BG"/>
        </w:rPr>
      </w:pPr>
      <w:r w:rsidRPr="00D870F0">
        <w:rPr>
          <w:rFonts w:eastAsia="Times New Roman" w:cs="Arial"/>
          <w:color w:val="000000"/>
          <w:lang w:eastAsia="bg-BG"/>
        </w:rPr>
        <w:t>**</w:t>
      </w:r>
      <w:r w:rsidRPr="00D870F0">
        <w:rPr>
          <w:rFonts w:eastAsia="Times New Roman" w:cs="Arial"/>
          <w:color w:val="000000"/>
          <w:lang w:eastAsia="bg-BG"/>
        </w:rPr>
        <w:tab/>
        <w:t xml:space="preserve">Кожната реакция ръка-крак съответства на синдрома на палмарно-плантарна еритродизестезия в </w:t>
      </w:r>
      <w:r w:rsidRPr="00D870F0">
        <w:rPr>
          <w:rFonts w:eastAsia="Times New Roman" w:cs="Arial"/>
          <w:color w:val="000000"/>
          <w:lang w:val="en-US"/>
        </w:rPr>
        <w:t>MedDRA.</w:t>
      </w:r>
    </w:p>
    <w:p w14:paraId="03DCDC74" w14:textId="77777777" w:rsidR="00D870F0" w:rsidRPr="00D870F0" w:rsidRDefault="00D870F0" w:rsidP="00D870F0">
      <w:pPr>
        <w:spacing w:line="240" w:lineRule="auto"/>
        <w:rPr>
          <w:rFonts w:eastAsia="Times New Roman" w:cs="Arial"/>
          <w:lang w:eastAsia="bg-BG"/>
        </w:rPr>
      </w:pPr>
      <w:r w:rsidRPr="00D870F0">
        <w:rPr>
          <w:rFonts w:eastAsia="Times New Roman" w:cs="Arial"/>
          <w:color w:val="000000"/>
          <w:lang w:eastAsia="bg-BG"/>
        </w:rPr>
        <w:t>° Случаи са докладвани след разрешаването за употреба.</w:t>
      </w:r>
    </w:p>
    <w:p w14:paraId="0B9FF3D8" w14:textId="77777777" w:rsidR="00D870F0" w:rsidRPr="00184341" w:rsidRDefault="00D870F0" w:rsidP="00D870F0">
      <w:pPr>
        <w:spacing w:line="240" w:lineRule="auto"/>
        <w:rPr>
          <w:rFonts w:eastAsia="Times New Roman" w:cs="Arial"/>
          <w:color w:val="000000"/>
          <w:u w:val="single"/>
          <w:lang w:eastAsia="bg-BG"/>
        </w:rPr>
      </w:pPr>
    </w:p>
    <w:p w14:paraId="4B01FF5E" w14:textId="0763682B" w:rsidR="00D870F0" w:rsidRPr="00D870F0" w:rsidRDefault="00D870F0" w:rsidP="00D870F0">
      <w:pPr>
        <w:spacing w:line="240" w:lineRule="auto"/>
        <w:rPr>
          <w:rFonts w:eastAsia="Times New Roman" w:cs="Arial"/>
          <w:lang w:eastAsia="bg-BG"/>
        </w:rPr>
      </w:pPr>
      <w:r w:rsidRPr="00D870F0">
        <w:rPr>
          <w:rFonts w:eastAsia="Times New Roman" w:cs="Arial"/>
          <w:color w:val="000000"/>
          <w:u w:val="single"/>
          <w:lang w:eastAsia="bg-BG"/>
        </w:rPr>
        <w:lastRenderedPageBreak/>
        <w:t>Допълнителна информация относно избрани нежелани лекарствени реакции</w:t>
      </w:r>
    </w:p>
    <w:p w14:paraId="2FD964AA" w14:textId="77777777" w:rsidR="00D870F0" w:rsidRPr="00184341" w:rsidRDefault="00D870F0" w:rsidP="00D870F0">
      <w:pPr>
        <w:spacing w:line="240" w:lineRule="auto"/>
        <w:rPr>
          <w:rFonts w:eastAsia="Times New Roman" w:cs="Arial"/>
          <w:i/>
          <w:iCs/>
          <w:color w:val="000000"/>
          <w:lang w:eastAsia="bg-BG"/>
        </w:rPr>
      </w:pPr>
    </w:p>
    <w:p w14:paraId="26AE9FF4" w14:textId="125A5E1E" w:rsidR="00D870F0" w:rsidRPr="00D870F0" w:rsidRDefault="00D870F0" w:rsidP="00D870F0">
      <w:pPr>
        <w:spacing w:line="240" w:lineRule="auto"/>
        <w:rPr>
          <w:rFonts w:eastAsia="Times New Roman" w:cs="Arial"/>
          <w:lang w:eastAsia="bg-BG"/>
        </w:rPr>
      </w:pPr>
      <w:r w:rsidRPr="00D870F0">
        <w:rPr>
          <w:rFonts w:eastAsia="Times New Roman" w:cs="Arial"/>
          <w:i/>
          <w:iCs/>
          <w:color w:val="000000"/>
          <w:lang w:eastAsia="bg-BG"/>
        </w:rPr>
        <w:t>Застойна сърдечна недостатъчност</w:t>
      </w:r>
    </w:p>
    <w:p w14:paraId="143B0F36" w14:textId="77777777" w:rsidR="00D870F0" w:rsidRPr="00D870F0" w:rsidRDefault="00D870F0" w:rsidP="00D870F0">
      <w:pPr>
        <w:spacing w:line="240" w:lineRule="auto"/>
        <w:rPr>
          <w:rFonts w:eastAsia="Times New Roman" w:cs="Arial"/>
          <w:lang w:eastAsia="bg-BG"/>
        </w:rPr>
      </w:pPr>
      <w:r w:rsidRPr="00D870F0">
        <w:rPr>
          <w:rFonts w:eastAsia="Times New Roman" w:cs="Arial"/>
          <w:color w:val="000000"/>
          <w:lang w:eastAsia="bg-BG"/>
        </w:rPr>
        <w:t xml:space="preserve">В клинични проучвания, спонсорирани от фирмата, застойна сърдечна недостатъчност се съобщава като нежелано събитие при 1,9 % от пациентите, лекувани със сорафениб (14=2 276). В проучване 11213 </w:t>
      </w:r>
      <w:r w:rsidRPr="00D870F0">
        <w:rPr>
          <w:rFonts w:eastAsia="Times New Roman" w:cs="Arial"/>
          <w:color w:val="000000"/>
          <w:lang w:val="en-US"/>
        </w:rPr>
        <w:t xml:space="preserve">(RCC) </w:t>
      </w:r>
      <w:r w:rsidRPr="00D870F0">
        <w:rPr>
          <w:rFonts w:eastAsia="Times New Roman" w:cs="Arial"/>
          <w:color w:val="000000"/>
          <w:lang w:eastAsia="bg-BG"/>
        </w:rPr>
        <w:t>нежелани събития, съответстващи на застойна сърдечна недостатъчност, са докладвани при 1,7 % от пациентите, лекувани със сорафениб, и при 0,7 % при получаващите плацебо. В проучване 100554 (НСС) при 0,99 % от лекуваните със сорафениб и при 1,1 % от получаващите плацебо са съобщени такива събития.</w:t>
      </w:r>
    </w:p>
    <w:p w14:paraId="5275A651" w14:textId="77777777" w:rsidR="00D870F0" w:rsidRPr="00184341" w:rsidRDefault="00D870F0" w:rsidP="00D870F0">
      <w:pPr>
        <w:spacing w:line="240" w:lineRule="auto"/>
        <w:rPr>
          <w:rFonts w:eastAsia="Times New Roman" w:cs="Arial"/>
          <w:i/>
          <w:iCs/>
          <w:color w:val="000000"/>
          <w:lang w:eastAsia="bg-BG"/>
        </w:rPr>
      </w:pPr>
    </w:p>
    <w:p w14:paraId="38C34D9B" w14:textId="41F79756" w:rsidR="00D870F0" w:rsidRPr="00D870F0" w:rsidRDefault="00D870F0" w:rsidP="00D870F0">
      <w:pPr>
        <w:spacing w:line="240" w:lineRule="auto"/>
        <w:rPr>
          <w:rFonts w:eastAsia="Times New Roman" w:cs="Arial"/>
          <w:lang w:eastAsia="bg-BG"/>
        </w:rPr>
      </w:pPr>
      <w:r w:rsidRPr="00D870F0">
        <w:rPr>
          <w:rFonts w:eastAsia="Times New Roman" w:cs="Arial"/>
          <w:i/>
          <w:iCs/>
          <w:color w:val="000000"/>
          <w:lang w:eastAsia="bg-BG"/>
        </w:rPr>
        <w:t>Допълнителна информация за специални популации</w:t>
      </w:r>
    </w:p>
    <w:p w14:paraId="3784F59F" w14:textId="77777777" w:rsidR="00D870F0" w:rsidRPr="00D870F0" w:rsidRDefault="00D870F0" w:rsidP="00D870F0">
      <w:pPr>
        <w:spacing w:line="240" w:lineRule="auto"/>
        <w:rPr>
          <w:rFonts w:eastAsia="Times New Roman" w:cs="Arial"/>
          <w:lang w:eastAsia="bg-BG"/>
        </w:rPr>
      </w:pPr>
      <w:r w:rsidRPr="00D870F0">
        <w:rPr>
          <w:rFonts w:eastAsia="Times New Roman" w:cs="Arial"/>
          <w:color w:val="000000"/>
          <w:lang w:eastAsia="bg-BG"/>
        </w:rPr>
        <w:t>В клинични изпитвания, някои нежелани лекарствени реакции като кожна реакция ръка-крак, диария, алопеция, намаляване на телесното тегло, хипертония, хипокалциемия, и кератоакантом/плоскоклетъчен карцином на кожата са наблюдавани със значително по-голяма честота при пациенти с диференциран тиреоиден карцином в сравнение с пациентите от проучвания за бъбречно-клетъчен или хепатоцелуларен карцином.</w:t>
      </w:r>
    </w:p>
    <w:p w14:paraId="1E5E0D97" w14:textId="77777777" w:rsidR="00D870F0" w:rsidRPr="00184341" w:rsidRDefault="00D870F0" w:rsidP="00D870F0">
      <w:pPr>
        <w:spacing w:line="240" w:lineRule="auto"/>
        <w:rPr>
          <w:rFonts w:eastAsia="Times New Roman" w:cs="Arial"/>
          <w:color w:val="000000"/>
          <w:u w:val="single"/>
          <w:lang w:eastAsia="bg-BG"/>
        </w:rPr>
      </w:pPr>
    </w:p>
    <w:p w14:paraId="02CFA517" w14:textId="14E53B27" w:rsidR="00D870F0" w:rsidRPr="00D870F0" w:rsidRDefault="00D870F0" w:rsidP="00D870F0">
      <w:pPr>
        <w:spacing w:line="240" w:lineRule="auto"/>
        <w:rPr>
          <w:rFonts w:eastAsia="Times New Roman" w:cs="Arial"/>
          <w:lang w:val="en-US" w:eastAsia="bg-BG"/>
        </w:rPr>
      </w:pPr>
      <w:r w:rsidRPr="00D870F0">
        <w:rPr>
          <w:rFonts w:eastAsia="Times New Roman" w:cs="Arial"/>
          <w:color w:val="000000"/>
          <w:u w:val="single"/>
          <w:lang w:eastAsia="bg-BG"/>
        </w:rPr>
        <w:t xml:space="preserve">Отклонения в лабораторните изследвания при пациенти с НСС (проучване 3) и с </w:t>
      </w:r>
      <w:r w:rsidRPr="00D870F0">
        <w:rPr>
          <w:rFonts w:eastAsia="Times New Roman" w:cs="Arial"/>
          <w:color w:val="000000"/>
          <w:u w:val="single"/>
          <w:lang w:val="en-US"/>
        </w:rPr>
        <w:t xml:space="preserve">RCC </w:t>
      </w:r>
      <w:r w:rsidRPr="00D870F0">
        <w:rPr>
          <w:rFonts w:eastAsia="Times New Roman" w:cs="Arial"/>
          <w:color w:val="000000"/>
          <w:u w:val="single"/>
          <w:lang w:eastAsia="bg-BG"/>
        </w:rPr>
        <w:t xml:space="preserve">(проучване </w:t>
      </w:r>
      <w:r w:rsidRPr="00184341">
        <w:rPr>
          <w:rFonts w:eastAsia="Times New Roman" w:cs="Arial"/>
          <w:color w:val="000000"/>
          <w:lang w:val="en-US" w:eastAsia="bg-BG"/>
        </w:rPr>
        <w:t>1)</w:t>
      </w:r>
    </w:p>
    <w:p w14:paraId="3305C2F4" w14:textId="77777777" w:rsidR="00D870F0" w:rsidRPr="00184341" w:rsidRDefault="00D870F0" w:rsidP="00D870F0">
      <w:pPr>
        <w:rPr>
          <w:rFonts w:eastAsia="Times New Roman" w:cs="Arial"/>
          <w:color w:val="000000"/>
          <w:lang w:eastAsia="bg-BG"/>
        </w:rPr>
      </w:pPr>
    </w:p>
    <w:p w14:paraId="3D92A007" w14:textId="77777777" w:rsidR="00D870F0" w:rsidRPr="00184341" w:rsidRDefault="00D870F0" w:rsidP="00D870F0">
      <w:pPr>
        <w:rPr>
          <w:rFonts w:eastAsia="Times New Roman" w:cs="Arial"/>
          <w:lang w:eastAsia="bg-BG"/>
        </w:rPr>
      </w:pPr>
      <w:r w:rsidRPr="00184341">
        <w:rPr>
          <w:rFonts w:eastAsia="Times New Roman" w:cs="Arial"/>
          <w:color w:val="000000"/>
          <w:lang w:eastAsia="bg-BG"/>
        </w:rPr>
        <w:t xml:space="preserve">Повишена липаза и амилаза са докладвани много често. СТСАЕ 3 или 4 степен повишени стойности на липазата са се появили при II % и 9 % от пациентите в групата със сорафениб, съответно, при проучване 1 </w:t>
      </w:r>
      <w:r w:rsidRPr="00184341">
        <w:rPr>
          <w:rFonts w:eastAsia="Times New Roman" w:cs="Arial"/>
          <w:color w:val="000000"/>
          <w:lang w:val="en-US"/>
        </w:rPr>
        <w:t xml:space="preserve">(RCC) </w:t>
      </w:r>
      <w:r w:rsidRPr="00184341">
        <w:rPr>
          <w:rFonts w:eastAsia="Times New Roman" w:cs="Arial"/>
          <w:color w:val="000000"/>
          <w:lang w:eastAsia="bg-BG"/>
        </w:rPr>
        <w:t>и проучване 3 (НСС), в сравнение със 7 % и 9 % от пациентите в групата на плацебо. Повишени стойности на амилазата СТСАЕ 3 или 4 степен са се появили при 1 % и 2 % от пациентите в групата със сорафениб, съответно, при проучване 1 и проучване 3, в сравнение с 3 % от пациентите във всяка плацебо група. Клиничният панкреатит е докладван при двама от 451, лекувани със сорафениб пациенти (СТСАЕ 4 степен) при проучване 1, 1 от 297</w:t>
      </w:r>
      <w:r w:rsidRPr="00184341">
        <w:rPr>
          <w:rFonts w:eastAsia="Times New Roman" w:cs="Arial"/>
          <w:color w:val="000000"/>
          <w:lang w:val="en-US" w:eastAsia="bg-BG"/>
        </w:rPr>
        <w:t xml:space="preserve"> </w:t>
      </w:r>
      <w:r w:rsidRPr="00184341">
        <w:rPr>
          <w:rFonts w:eastAsia="Times New Roman" w:cs="Arial"/>
          <w:color w:val="000000"/>
          <w:lang w:eastAsia="bg-BG"/>
        </w:rPr>
        <w:t>пациенти лекувани със сорафениб при проучване 3 (СТСАЕ 2 степен) и един от 451 (СТСАЕ 2 степен) в групата с плацебо в проучване 1,</w:t>
      </w:r>
    </w:p>
    <w:p w14:paraId="4EEA3ED9" w14:textId="77777777" w:rsidR="00D870F0" w:rsidRPr="00184341" w:rsidRDefault="00D870F0" w:rsidP="00D870F0">
      <w:pPr>
        <w:spacing w:line="240" w:lineRule="auto"/>
        <w:rPr>
          <w:rFonts w:eastAsia="Times New Roman" w:cs="Arial"/>
          <w:color w:val="000000"/>
          <w:lang w:eastAsia="bg-BG"/>
        </w:rPr>
      </w:pPr>
    </w:p>
    <w:p w14:paraId="3D11F719" w14:textId="4A80EBFE" w:rsidR="00D870F0" w:rsidRPr="00D870F0" w:rsidRDefault="00D870F0" w:rsidP="00D870F0">
      <w:pPr>
        <w:spacing w:line="240" w:lineRule="auto"/>
        <w:rPr>
          <w:rFonts w:eastAsia="Times New Roman" w:cs="Arial"/>
          <w:lang w:eastAsia="bg-BG"/>
        </w:rPr>
      </w:pPr>
      <w:r w:rsidRPr="00D870F0">
        <w:rPr>
          <w:rFonts w:eastAsia="Times New Roman" w:cs="Arial"/>
          <w:color w:val="000000"/>
          <w:lang w:eastAsia="bg-BG"/>
        </w:rPr>
        <w:t xml:space="preserve">Хипофосфатемията е много честа лабораторна находка, наблюдавана при 45 % и 35 % от лекуваните със сорафениб пациенти в сравнение с 12 % и 11 % от пациентите в групата на плацебо, съответно, при проучване 1 и проучване 3. Хипофосфатемия СТСАЕ 3 степен (1-2 </w:t>
      </w:r>
      <w:r w:rsidRPr="00D870F0">
        <w:rPr>
          <w:rFonts w:eastAsia="Times New Roman" w:cs="Arial"/>
          <w:color w:val="000000"/>
          <w:lang w:val="en-US"/>
        </w:rPr>
        <w:t xml:space="preserve">mg/dl) </w:t>
      </w:r>
      <w:r w:rsidRPr="00D870F0">
        <w:rPr>
          <w:rFonts w:eastAsia="Times New Roman" w:cs="Arial"/>
          <w:color w:val="000000"/>
          <w:lang w:eastAsia="bg-BG"/>
        </w:rPr>
        <w:t xml:space="preserve">при проучване 1 се е появила при 13 % от пациентите, лекувани със сорафениб и 3 % от пациентите в групата на плацебо, а при проучване 3 при 11 % от пациентите лекувани със сорафениб и 2 % от пациентите в плацебо групата. Няма случаи на хипофосфатемия СТСАЕ 4 степен (&lt; 1 </w:t>
      </w:r>
      <w:r w:rsidRPr="00D870F0">
        <w:rPr>
          <w:rFonts w:eastAsia="Times New Roman" w:cs="Arial"/>
          <w:color w:val="000000"/>
          <w:lang w:val="en-US"/>
        </w:rPr>
        <w:t xml:space="preserve">mg/dl), </w:t>
      </w:r>
      <w:r w:rsidRPr="00D870F0">
        <w:rPr>
          <w:rFonts w:eastAsia="Times New Roman" w:cs="Arial"/>
          <w:color w:val="000000"/>
          <w:lang w:eastAsia="bg-BG"/>
        </w:rPr>
        <w:t>съобщени в групата със сорафениб или групата с плацебо при проучване 1 и 1 случай в плацебо групата при проучване 3. Етиологията на хипофосфатемията, свързана със сорафениб не е известна.</w:t>
      </w:r>
    </w:p>
    <w:p w14:paraId="5DB6B29F" w14:textId="77777777" w:rsidR="00D870F0" w:rsidRPr="00184341" w:rsidRDefault="00D870F0" w:rsidP="00D870F0">
      <w:pPr>
        <w:spacing w:line="240" w:lineRule="auto"/>
        <w:rPr>
          <w:rFonts w:eastAsia="Times New Roman" w:cs="Arial"/>
          <w:color w:val="000000"/>
          <w:lang w:eastAsia="bg-BG"/>
        </w:rPr>
      </w:pPr>
    </w:p>
    <w:p w14:paraId="754149A7" w14:textId="0B79E0EE" w:rsidR="00D870F0" w:rsidRPr="00D870F0" w:rsidRDefault="00D870F0" w:rsidP="00D870F0">
      <w:pPr>
        <w:spacing w:line="240" w:lineRule="auto"/>
        <w:rPr>
          <w:rFonts w:eastAsia="Times New Roman" w:cs="Arial"/>
          <w:lang w:eastAsia="bg-BG"/>
        </w:rPr>
      </w:pPr>
      <w:r w:rsidRPr="00D870F0">
        <w:rPr>
          <w:rFonts w:eastAsia="Times New Roman" w:cs="Arial"/>
          <w:color w:val="000000"/>
          <w:lang w:eastAsia="bg-BG"/>
        </w:rPr>
        <w:t>При СТСАЕ 3 степен или 4 степен са наблюдавани отклонения в лабораторните показатели при 5 % от пациентите, лекувани със сорафениб, включително лимфопения и неутропения.</w:t>
      </w:r>
    </w:p>
    <w:p w14:paraId="2F1168D3" w14:textId="77777777" w:rsidR="00D870F0" w:rsidRPr="00184341" w:rsidRDefault="00D870F0" w:rsidP="00D870F0">
      <w:pPr>
        <w:spacing w:line="240" w:lineRule="auto"/>
        <w:rPr>
          <w:rFonts w:eastAsia="Times New Roman" w:cs="Arial"/>
          <w:color w:val="000000"/>
          <w:lang w:eastAsia="bg-BG"/>
        </w:rPr>
      </w:pPr>
    </w:p>
    <w:p w14:paraId="64B3881F" w14:textId="21713D70" w:rsidR="00D870F0" w:rsidRPr="00D870F0" w:rsidRDefault="00D870F0" w:rsidP="00D870F0">
      <w:pPr>
        <w:spacing w:line="240" w:lineRule="auto"/>
        <w:rPr>
          <w:rFonts w:eastAsia="Times New Roman" w:cs="Arial"/>
          <w:lang w:eastAsia="bg-BG"/>
        </w:rPr>
      </w:pPr>
      <w:r w:rsidRPr="00D870F0">
        <w:rPr>
          <w:rFonts w:eastAsia="Times New Roman" w:cs="Arial"/>
          <w:color w:val="000000"/>
          <w:lang w:eastAsia="bg-BG"/>
        </w:rPr>
        <w:t>Х</w:t>
      </w:r>
      <w:r w:rsidRPr="00184341">
        <w:rPr>
          <w:rFonts w:eastAsia="Times New Roman" w:cs="Arial"/>
          <w:color w:val="000000"/>
          <w:lang w:eastAsia="bg-BG"/>
        </w:rPr>
        <w:t>и</w:t>
      </w:r>
      <w:r w:rsidRPr="00D870F0">
        <w:rPr>
          <w:rFonts w:eastAsia="Times New Roman" w:cs="Arial"/>
          <w:color w:val="000000"/>
          <w:lang w:eastAsia="bg-BG"/>
        </w:rPr>
        <w:t>покалциемия е докладвана при 12 % и 26,5 % от пациентите, лекувани със сорафениб, сравнено с 7,5 % и 14,8 % при пациентите на плацебо, съответно в проучване 1 и проучване 3.</w:t>
      </w:r>
    </w:p>
    <w:p w14:paraId="567A0239" w14:textId="77777777" w:rsidR="00D870F0" w:rsidRPr="00D870F0" w:rsidRDefault="00D870F0" w:rsidP="00D870F0">
      <w:pPr>
        <w:spacing w:line="240" w:lineRule="auto"/>
        <w:rPr>
          <w:rFonts w:eastAsia="Times New Roman" w:cs="Arial"/>
          <w:lang w:eastAsia="bg-BG"/>
        </w:rPr>
      </w:pPr>
      <w:r w:rsidRPr="00D870F0">
        <w:rPr>
          <w:rFonts w:eastAsia="Times New Roman" w:cs="Arial"/>
          <w:color w:val="000000"/>
          <w:lang w:eastAsia="bg-BG"/>
        </w:rPr>
        <w:lastRenderedPageBreak/>
        <w:t xml:space="preserve">Мнозинството докладвани случаи на хипокалциемия са нисък клас (СТСАЕ 1 и 2 степен). СТСАЕ 3 степен хипокалциемия (6,0 - 7,0 </w:t>
      </w:r>
      <w:r w:rsidRPr="00D870F0">
        <w:rPr>
          <w:rFonts w:eastAsia="Times New Roman" w:cs="Arial"/>
          <w:color w:val="000000"/>
          <w:lang w:val="en-US"/>
        </w:rPr>
        <w:t xml:space="preserve">mg/dL) </w:t>
      </w:r>
      <w:r w:rsidRPr="00D870F0">
        <w:rPr>
          <w:rFonts w:eastAsia="Times New Roman" w:cs="Arial"/>
          <w:color w:val="000000"/>
          <w:lang w:eastAsia="bg-BG"/>
        </w:rPr>
        <w:t xml:space="preserve">се наблюдава при 1,1 % и 1,8 % от пациентите, лекувани със сорафениб, и при 0,2 % и 1,1 % от пациентите в групата на плацебо, а СТСАЕ 4 степен хипокалциемия (&lt; 6,0 </w:t>
      </w:r>
      <w:r w:rsidRPr="00D870F0">
        <w:rPr>
          <w:rFonts w:eastAsia="Times New Roman" w:cs="Arial"/>
          <w:color w:val="000000"/>
          <w:lang w:val="en-US"/>
        </w:rPr>
        <w:t xml:space="preserve">mg/dL) </w:t>
      </w:r>
      <w:r w:rsidRPr="00D870F0">
        <w:rPr>
          <w:rFonts w:eastAsia="Times New Roman" w:cs="Arial"/>
          <w:color w:val="000000"/>
          <w:lang w:eastAsia="bg-BG"/>
        </w:rPr>
        <w:t>се наблюдава при 1,1 % и 0,4 % от пациентите, лекувани със сорафениб, и при 0,5 % и 0 % от пациентите в групата на плацебо, съответно в проучване 1 и 3. Етиологията на хипокалциемията, свързана със сорафениб, не е известна.</w:t>
      </w:r>
    </w:p>
    <w:p w14:paraId="362596C8" w14:textId="77777777" w:rsidR="00D870F0" w:rsidRPr="00184341" w:rsidRDefault="00D870F0" w:rsidP="00D870F0">
      <w:pPr>
        <w:spacing w:line="240" w:lineRule="auto"/>
        <w:rPr>
          <w:rFonts w:eastAsia="Times New Roman" w:cs="Arial"/>
          <w:color w:val="000000"/>
          <w:lang w:eastAsia="bg-BG"/>
        </w:rPr>
      </w:pPr>
    </w:p>
    <w:p w14:paraId="1920EEB6" w14:textId="68D2A39A" w:rsidR="00D870F0" w:rsidRPr="00D870F0" w:rsidRDefault="00D870F0" w:rsidP="00D870F0">
      <w:pPr>
        <w:spacing w:line="240" w:lineRule="auto"/>
        <w:rPr>
          <w:rFonts w:eastAsia="Times New Roman" w:cs="Arial"/>
          <w:lang w:eastAsia="bg-BG"/>
        </w:rPr>
      </w:pPr>
      <w:r w:rsidRPr="00D870F0">
        <w:rPr>
          <w:rFonts w:eastAsia="Times New Roman" w:cs="Arial"/>
          <w:color w:val="000000"/>
          <w:lang w:eastAsia="bg-BG"/>
        </w:rPr>
        <w:t>При проучвания 1 и 3 се наблюдава понижение на калия при съответно 5,4 % и 9,5 % от пациентите на лечение със сорафениб в сравнение с 0,7 % и 5,9 % от пациентите на плацебо.</w:t>
      </w:r>
      <w:r w:rsidR="00184341">
        <w:rPr>
          <w:rFonts w:eastAsia="Times New Roman" w:cs="Arial"/>
          <w:lang w:eastAsia="bg-BG"/>
        </w:rPr>
        <w:t xml:space="preserve"> </w:t>
      </w:r>
      <w:r w:rsidRPr="00D870F0">
        <w:rPr>
          <w:rFonts w:eastAsia="Times New Roman" w:cs="Arial"/>
          <w:color w:val="000000"/>
          <w:lang w:eastAsia="bg-BG"/>
        </w:rPr>
        <w:t xml:space="preserve">Повечето от съобщаваните случаи на хи локал немия са с ниска степен (СТСАЕ 1 степен). При тези проучвания хипокалиемия СТСАЕ степен 3 се развива при </w:t>
      </w:r>
      <w:r w:rsidRPr="00D870F0">
        <w:rPr>
          <w:rFonts w:eastAsia="Times New Roman" w:cs="Arial"/>
          <w:color w:val="000000"/>
          <w:lang w:val="en-US"/>
        </w:rPr>
        <w:t>1</w:t>
      </w:r>
      <w:r w:rsidRPr="00D870F0">
        <w:rPr>
          <w:rFonts w:eastAsia="Times New Roman" w:cs="Arial"/>
          <w:color w:val="000000"/>
          <w:lang w:eastAsia="bg-BG"/>
        </w:rPr>
        <w:t>,1 % и 0,4 % от пациентите на лечение със сорафениб и при 0,2 % и 0,7 % от пациентите в групата на плацебо. Няма съобщения за хипокалиемия СТСАЕ степен 4.</w:t>
      </w:r>
    </w:p>
    <w:p w14:paraId="00B959B8" w14:textId="77777777" w:rsidR="00D870F0" w:rsidRPr="00184341" w:rsidRDefault="00D870F0" w:rsidP="00D870F0">
      <w:pPr>
        <w:spacing w:line="240" w:lineRule="auto"/>
        <w:rPr>
          <w:rFonts w:eastAsia="Times New Roman" w:cs="Arial"/>
          <w:color w:val="000000"/>
          <w:u w:val="single"/>
          <w:lang w:eastAsia="bg-BG"/>
        </w:rPr>
      </w:pPr>
    </w:p>
    <w:p w14:paraId="1F727883" w14:textId="5B164747" w:rsidR="00D870F0" w:rsidRPr="00D870F0" w:rsidRDefault="00D870F0" w:rsidP="00D870F0">
      <w:pPr>
        <w:spacing w:line="240" w:lineRule="auto"/>
        <w:rPr>
          <w:rFonts w:eastAsia="Times New Roman" w:cs="Arial"/>
          <w:lang w:eastAsia="bg-BG"/>
        </w:rPr>
      </w:pPr>
      <w:r w:rsidRPr="00D870F0">
        <w:rPr>
          <w:rFonts w:eastAsia="Times New Roman" w:cs="Arial"/>
          <w:color w:val="000000"/>
          <w:u w:val="single"/>
          <w:lang w:eastAsia="bg-BG"/>
        </w:rPr>
        <w:t>Съобщаване на подозирани нежелани реакции</w:t>
      </w:r>
    </w:p>
    <w:p w14:paraId="0585FC81" w14:textId="77777777" w:rsidR="00D870F0" w:rsidRPr="00D870F0" w:rsidRDefault="00D870F0" w:rsidP="00D870F0">
      <w:pPr>
        <w:spacing w:line="240" w:lineRule="auto"/>
        <w:rPr>
          <w:rFonts w:eastAsia="Times New Roman" w:cs="Arial"/>
          <w:lang w:eastAsia="bg-BG"/>
        </w:rPr>
      </w:pPr>
      <w:r w:rsidRPr="00D870F0">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w:t>
      </w:r>
    </w:p>
    <w:p w14:paraId="0D96F4B6" w14:textId="77777777" w:rsidR="00D870F0" w:rsidRPr="00184341" w:rsidRDefault="00D870F0" w:rsidP="00D870F0">
      <w:pPr>
        <w:spacing w:line="240" w:lineRule="auto"/>
        <w:rPr>
          <w:rFonts w:eastAsia="Times New Roman" w:cs="Arial"/>
          <w:color w:val="000000"/>
          <w:lang w:eastAsia="bg-BG"/>
        </w:rPr>
      </w:pPr>
    </w:p>
    <w:p w14:paraId="10516D04" w14:textId="77777777" w:rsidR="00D870F0" w:rsidRPr="00184341" w:rsidRDefault="00D870F0" w:rsidP="00D870F0">
      <w:pPr>
        <w:spacing w:line="240" w:lineRule="auto"/>
        <w:rPr>
          <w:rFonts w:eastAsia="Times New Roman" w:cs="Arial"/>
          <w:color w:val="000000"/>
          <w:lang w:eastAsia="bg-BG"/>
        </w:rPr>
      </w:pPr>
      <w:r w:rsidRPr="00D870F0">
        <w:rPr>
          <w:rFonts w:eastAsia="Times New Roman" w:cs="Arial"/>
          <w:color w:val="000000"/>
          <w:lang w:eastAsia="bg-BG"/>
        </w:rPr>
        <w:t xml:space="preserve">Изпълнителна агенция по лекарствата </w:t>
      </w:r>
    </w:p>
    <w:p w14:paraId="62227590" w14:textId="77777777" w:rsidR="00184341" w:rsidRPr="00184341" w:rsidRDefault="00D870F0" w:rsidP="00D870F0">
      <w:pPr>
        <w:spacing w:line="240" w:lineRule="auto"/>
        <w:rPr>
          <w:rFonts w:eastAsia="Times New Roman" w:cs="Arial"/>
          <w:color w:val="000000"/>
          <w:lang w:eastAsia="bg-BG"/>
        </w:rPr>
      </w:pPr>
      <w:r w:rsidRPr="00D870F0">
        <w:rPr>
          <w:rFonts w:eastAsia="Times New Roman" w:cs="Arial"/>
          <w:color w:val="000000"/>
          <w:lang w:eastAsia="bg-BG"/>
        </w:rPr>
        <w:t xml:space="preserve">ул. „Дамян Груев” № 8 </w:t>
      </w:r>
    </w:p>
    <w:p w14:paraId="00349C36" w14:textId="5D2150B7" w:rsidR="00D870F0" w:rsidRPr="00D870F0" w:rsidRDefault="00D870F0" w:rsidP="00D870F0">
      <w:pPr>
        <w:spacing w:line="240" w:lineRule="auto"/>
        <w:rPr>
          <w:rFonts w:eastAsia="Times New Roman" w:cs="Arial"/>
          <w:lang w:eastAsia="bg-BG"/>
        </w:rPr>
      </w:pPr>
      <w:r w:rsidRPr="00D870F0">
        <w:rPr>
          <w:rFonts w:eastAsia="Times New Roman" w:cs="Arial"/>
          <w:color w:val="000000"/>
          <w:lang w:eastAsia="bg-BG"/>
        </w:rPr>
        <w:t>1303 София</w:t>
      </w:r>
    </w:p>
    <w:p w14:paraId="5E6559A9" w14:textId="77777777" w:rsidR="00184341" w:rsidRPr="00184341" w:rsidRDefault="00D870F0" w:rsidP="00D870F0">
      <w:pPr>
        <w:spacing w:line="240" w:lineRule="auto"/>
        <w:rPr>
          <w:rFonts w:eastAsia="Times New Roman" w:cs="Arial"/>
          <w:color w:val="000000"/>
          <w:lang w:eastAsia="bg-BG"/>
        </w:rPr>
      </w:pPr>
      <w:r w:rsidRPr="00D870F0">
        <w:rPr>
          <w:rFonts w:eastAsia="Times New Roman" w:cs="Arial"/>
          <w:color w:val="000000"/>
          <w:lang w:eastAsia="bg-BG"/>
        </w:rPr>
        <w:t xml:space="preserve">Тел.:+359 2 8903417 </w:t>
      </w:r>
    </w:p>
    <w:p w14:paraId="7D5971B2" w14:textId="5F050388" w:rsidR="00D870F0" w:rsidRPr="00D870F0" w:rsidRDefault="00D870F0" w:rsidP="00D870F0">
      <w:pPr>
        <w:spacing w:line="240" w:lineRule="auto"/>
        <w:rPr>
          <w:rFonts w:eastAsia="Times New Roman" w:cs="Arial"/>
          <w:lang w:eastAsia="bg-BG"/>
        </w:rPr>
      </w:pPr>
      <w:r w:rsidRPr="00D870F0">
        <w:rPr>
          <w:rFonts w:eastAsia="Times New Roman" w:cs="Arial"/>
          <w:color w:val="000000"/>
          <w:lang w:eastAsia="bg-BG"/>
        </w:rPr>
        <w:t xml:space="preserve">уебсайт: </w:t>
      </w:r>
      <w:hyperlink r:id="rId5" w:history="1">
        <w:r w:rsidRPr="00D870F0">
          <w:rPr>
            <w:rFonts w:eastAsia="Times New Roman" w:cs="Arial"/>
            <w:color w:val="000000"/>
            <w:lang w:val="en-US"/>
          </w:rPr>
          <w:t>www.bda.bg</w:t>
        </w:r>
      </w:hyperlink>
    </w:p>
    <w:p w14:paraId="0D5FB7AF" w14:textId="6B6BAEB4" w:rsidR="00D870F0" w:rsidRPr="00D870F0" w:rsidRDefault="00D870F0" w:rsidP="00D870F0">
      <w:pPr>
        <w:rPr>
          <w:lang w:val="en-US"/>
        </w:rPr>
      </w:pPr>
    </w:p>
    <w:p w14:paraId="5A87DBA3" w14:textId="73DB42AE" w:rsidR="007122AD" w:rsidRDefault="002C50EE" w:rsidP="00936AD0">
      <w:pPr>
        <w:pStyle w:val="Heading2"/>
      </w:pPr>
      <w:r>
        <w:t>4.9. Предозиране</w:t>
      </w:r>
    </w:p>
    <w:p w14:paraId="3D9A0818" w14:textId="5935565C" w:rsidR="00184341" w:rsidRDefault="00184341" w:rsidP="00184341"/>
    <w:p w14:paraId="6E3EF8DC" w14:textId="2C49EA9C" w:rsidR="00184341" w:rsidRPr="00184341" w:rsidRDefault="00184341" w:rsidP="00184341">
      <w:r w:rsidRPr="00184341">
        <w:t xml:space="preserve">Няма специфично лечение при предозирането на сорафениб. Най-високата доза сорафениб, проучвана клинично е 800 </w:t>
      </w:r>
      <w:r w:rsidRPr="00184341">
        <w:rPr>
          <w:lang w:val="en-US"/>
        </w:rPr>
        <w:t xml:space="preserve">mg, </w:t>
      </w:r>
      <w:r w:rsidRPr="00184341">
        <w:t>два пъти дневно. Нежеланите реакции, наблюдавани при тази доза</w:t>
      </w:r>
      <w:r w:rsidRPr="00184341">
        <w:t xml:space="preserve"> </w:t>
      </w:r>
      <w:r w:rsidRPr="00184341">
        <w:t>са били предимно диария и дерматология ни прояви. В случай на подозирано предозиране, сорафениб да се спре и да се започне поддържащо лечение, когато е необходимо.</w:t>
      </w:r>
    </w:p>
    <w:p w14:paraId="02081B24" w14:textId="36FE76F4" w:rsidR="00395555" w:rsidRPr="00395555" w:rsidRDefault="002C50EE" w:rsidP="008A6AF2">
      <w:pPr>
        <w:pStyle w:val="Heading1"/>
      </w:pPr>
      <w:r>
        <w:t>5. ФАРМАКОЛОГИЧНИ СВОЙСТВА</w:t>
      </w:r>
    </w:p>
    <w:p w14:paraId="68A24A1A" w14:textId="1188F90A" w:rsidR="001A6EBD" w:rsidRDefault="002C50EE" w:rsidP="00471F10">
      <w:pPr>
        <w:pStyle w:val="Heading2"/>
      </w:pPr>
      <w:r>
        <w:t>5.1. Фармакодинамични свойства</w:t>
      </w:r>
    </w:p>
    <w:p w14:paraId="4EC6BB71" w14:textId="3911AA7A" w:rsidR="00184341" w:rsidRDefault="00184341" w:rsidP="00184341"/>
    <w:p w14:paraId="7196CA29" w14:textId="77777777" w:rsidR="00184341" w:rsidRPr="00184341" w:rsidRDefault="00184341" w:rsidP="00184341">
      <w:pPr>
        <w:spacing w:line="240" w:lineRule="auto"/>
        <w:rPr>
          <w:rFonts w:eastAsia="Times New Roman" w:cs="Arial"/>
          <w:sz w:val="28"/>
          <w:szCs w:val="28"/>
          <w:lang w:eastAsia="bg-BG"/>
        </w:rPr>
      </w:pPr>
      <w:r w:rsidRPr="00184341">
        <w:rPr>
          <w:rFonts w:eastAsia="Times New Roman" w:cs="Arial"/>
          <w:color w:val="000000"/>
          <w:lang w:eastAsia="bg-BG"/>
        </w:rPr>
        <w:t xml:space="preserve">Фармакотерапевтична група: Антинеоплазмени средства, протеинкиназни инхибитори, АТС код: </w:t>
      </w:r>
      <w:r w:rsidRPr="00184341">
        <w:rPr>
          <w:rFonts w:eastAsia="Times New Roman" w:cs="Arial"/>
          <w:color w:val="000000"/>
          <w:lang w:val="en-US"/>
        </w:rPr>
        <w:t>L01EX02.</w:t>
      </w:r>
    </w:p>
    <w:p w14:paraId="49756322" w14:textId="77777777" w:rsidR="00184341" w:rsidRPr="00184341" w:rsidRDefault="00184341" w:rsidP="00184341">
      <w:pPr>
        <w:spacing w:line="240" w:lineRule="auto"/>
        <w:rPr>
          <w:rFonts w:eastAsia="Times New Roman" w:cs="Arial"/>
          <w:color w:val="000000"/>
          <w:lang w:eastAsia="bg-BG"/>
        </w:rPr>
      </w:pPr>
    </w:p>
    <w:p w14:paraId="40D68D04" w14:textId="55A8D80E" w:rsidR="00184341" w:rsidRPr="00184341" w:rsidRDefault="00184341" w:rsidP="00184341">
      <w:pPr>
        <w:spacing w:line="240" w:lineRule="auto"/>
        <w:rPr>
          <w:rFonts w:eastAsia="Times New Roman" w:cs="Arial"/>
          <w:sz w:val="28"/>
          <w:szCs w:val="28"/>
          <w:lang w:eastAsia="bg-BG"/>
        </w:rPr>
      </w:pPr>
      <w:r w:rsidRPr="00184341">
        <w:rPr>
          <w:rFonts w:eastAsia="Times New Roman" w:cs="Arial"/>
          <w:color w:val="000000"/>
          <w:lang w:eastAsia="bg-BG"/>
        </w:rPr>
        <w:t xml:space="preserve">Сорафениб е мултикиназен инхибитор, който проявява антипролиферативни и антиангиогенни свойства </w:t>
      </w:r>
      <w:r w:rsidRPr="00184341">
        <w:rPr>
          <w:rFonts w:eastAsia="Times New Roman" w:cs="Arial"/>
          <w:i/>
          <w:iCs/>
          <w:color w:val="000000"/>
          <w:lang w:val="en-US"/>
        </w:rPr>
        <w:t>in vitro</w:t>
      </w:r>
      <w:r w:rsidRPr="00184341">
        <w:rPr>
          <w:rFonts w:eastAsia="Times New Roman" w:cs="Arial"/>
          <w:color w:val="000000"/>
          <w:lang w:val="en-US"/>
        </w:rPr>
        <w:t xml:space="preserve"> </w:t>
      </w:r>
      <w:r w:rsidRPr="00184341">
        <w:rPr>
          <w:rFonts w:eastAsia="Times New Roman" w:cs="Arial"/>
          <w:color w:val="000000"/>
          <w:lang w:eastAsia="bg-BG"/>
        </w:rPr>
        <w:t xml:space="preserve">и </w:t>
      </w:r>
      <w:r w:rsidRPr="00184341">
        <w:rPr>
          <w:rFonts w:eastAsia="Times New Roman" w:cs="Arial"/>
          <w:i/>
          <w:iCs/>
          <w:color w:val="000000"/>
          <w:lang w:val="en-US"/>
        </w:rPr>
        <w:t>in vivo.</w:t>
      </w:r>
    </w:p>
    <w:p w14:paraId="6E94986F" w14:textId="77777777" w:rsidR="00184341" w:rsidRPr="00184341" w:rsidRDefault="00184341" w:rsidP="00184341">
      <w:pPr>
        <w:spacing w:line="240" w:lineRule="auto"/>
        <w:rPr>
          <w:rFonts w:eastAsia="Times New Roman" w:cs="Arial"/>
          <w:color w:val="000000"/>
          <w:u w:val="single"/>
          <w:lang w:eastAsia="bg-BG"/>
        </w:rPr>
      </w:pPr>
    </w:p>
    <w:p w14:paraId="01ECB1B1" w14:textId="30600460" w:rsidR="00184341" w:rsidRPr="00184341" w:rsidRDefault="00184341" w:rsidP="00184341">
      <w:pPr>
        <w:spacing w:line="240" w:lineRule="auto"/>
        <w:rPr>
          <w:rFonts w:eastAsia="Times New Roman" w:cs="Arial"/>
          <w:sz w:val="28"/>
          <w:szCs w:val="28"/>
          <w:lang w:eastAsia="bg-BG"/>
        </w:rPr>
      </w:pPr>
      <w:r w:rsidRPr="00184341">
        <w:rPr>
          <w:rFonts w:eastAsia="Times New Roman" w:cs="Arial"/>
          <w:color w:val="000000"/>
          <w:u w:val="single"/>
          <w:lang w:eastAsia="bg-BG"/>
        </w:rPr>
        <w:t>Механизъм на действие и фармякодинамични ефекти</w:t>
      </w:r>
    </w:p>
    <w:p w14:paraId="7069819B" w14:textId="77777777" w:rsidR="00184341" w:rsidRPr="00184341" w:rsidRDefault="00184341" w:rsidP="00184341">
      <w:pPr>
        <w:spacing w:line="240" w:lineRule="auto"/>
        <w:rPr>
          <w:rFonts w:eastAsia="Times New Roman" w:cs="Arial"/>
          <w:sz w:val="28"/>
          <w:szCs w:val="28"/>
          <w:lang w:eastAsia="bg-BG"/>
        </w:rPr>
      </w:pPr>
      <w:r w:rsidRPr="00184341">
        <w:rPr>
          <w:rFonts w:eastAsia="Times New Roman" w:cs="Arial"/>
          <w:color w:val="000000"/>
          <w:lang w:eastAsia="bg-BG"/>
        </w:rPr>
        <w:t xml:space="preserve">Сорафениб е мултикиназен инхибитор, който намалява пролиферацията на туморни клетки </w:t>
      </w:r>
      <w:r w:rsidRPr="00184341">
        <w:rPr>
          <w:rFonts w:eastAsia="Times New Roman" w:cs="Arial"/>
          <w:i/>
          <w:iCs/>
          <w:color w:val="000000"/>
          <w:lang w:val="en-US"/>
        </w:rPr>
        <w:t xml:space="preserve">in vitro. </w:t>
      </w:r>
      <w:r w:rsidRPr="00184341">
        <w:rPr>
          <w:rFonts w:eastAsia="Times New Roman" w:cs="Arial"/>
          <w:color w:val="000000"/>
          <w:lang w:eastAsia="bg-BG"/>
        </w:rPr>
        <w:t xml:space="preserve">Сорафениб инхибира туморния растеж на широк спектър човешки туморни присадки в мишки с отстранен тимус, придружени от редукция на ту морната ангиогенеза. Сорафениб инхибира активността на таргетите, присъстващи в туморната клетка </w:t>
      </w:r>
      <w:r w:rsidRPr="00184341">
        <w:rPr>
          <w:rFonts w:eastAsia="Times New Roman" w:cs="Arial"/>
          <w:color w:val="000000"/>
          <w:lang w:val="en-US"/>
        </w:rPr>
        <w:t xml:space="preserve">(CRAF, </w:t>
      </w:r>
      <w:r w:rsidRPr="00184341">
        <w:rPr>
          <w:rFonts w:eastAsia="Times New Roman" w:cs="Arial"/>
          <w:color w:val="000000"/>
          <w:lang w:val="en-US"/>
        </w:rPr>
        <w:lastRenderedPageBreak/>
        <w:t xml:space="preserve">BRAF, V600E BRAF, </w:t>
      </w:r>
      <w:r w:rsidRPr="00184341">
        <w:rPr>
          <w:rFonts w:eastAsia="Times New Roman" w:cs="Arial"/>
          <w:color w:val="000000"/>
          <w:lang w:eastAsia="bg-BG"/>
        </w:rPr>
        <w:t>с</w:t>
      </w:r>
      <w:r w:rsidRPr="00184341">
        <w:rPr>
          <w:rFonts w:eastAsia="Times New Roman" w:cs="Arial"/>
          <w:color w:val="000000"/>
          <w:lang w:val="en-US"/>
        </w:rPr>
        <w:t xml:space="preserve">-KIT </w:t>
      </w:r>
      <w:r w:rsidRPr="00184341">
        <w:rPr>
          <w:rFonts w:eastAsia="Times New Roman" w:cs="Arial"/>
          <w:color w:val="000000"/>
          <w:lang w:eastAsia="bg-BG"/>
        </w:rPr>
        <w:t xml:space="preserve">и </w:t>
      </w:r>
      <w:r w:rsidRPr="00184341">
        <w:rPr>
          <w:rFonts w:eastAsia="Times New Roman" w:cs="Arial"/>
          <w:color w:val="000000"/>
          <w:lang w:val="en-US"/>
        </w:rPr>
        <w:t xml:space="preserve">FLT-3) </w:t>
      </w:r>
      <w:r w:rsidRPr="00184341">
        <w:rPr>
          <w:rFonts w:eastAsia="Times New Roman" w:cs="Arial"/>
          <w:color w:val="000000"/>
          <w:lang w:eastAsia="bg-BG"/>
        </w:rPr>
        <w:t xml:space="preserve">и в туморните съдове </w:t>
      </w:r>
      <w:r w:rsidRPr="00184341">
        <w:rPr>
          <w:rFonts w:eastAsia="Times New Roman" w:cs="Arial"/>
          <w:color w:val="000000"/>
          <w:lang w:val="en-US"/>
        </w:rPr>
        <w:t xml:space="preserve">(CRAF, VEGFR-2, VEGFR-3 </w:t>
      </w:r>
      <w:r w:rsidRPr="00184341">
        <w:rPr>
          <w:rFonts w:eastAsia="Times New Roman" w:cs="Arial"/>
          <w:color w:val="000000"/>
          <w:lang w:eastAsia="bg-BG"/>
        </w:rPr>
        <w:t xml:space="preserve">и </w:t>
      </w:r>
      <w:r w:rsidRPr="00184341">
        <w:rPr>
          <w:rFonts w:eastAsia="Times New Roman" w:cs="Arial"/>
          <w:color w:val="000000"/>
          <w:lang w:val="en-US"/>
        </w:rPr>
        <w:t>PDGFR-</w:t>
      </w:r>
      <w:r w:rsidRPr="00184341">
        <w:rPr>
          <w:rFonts w:eastAsia="Times New Roman" w:cs="Arial"/>
          <w:color w:val="000000"/>
          <w:lang w:eastAsia="bg-BG"/>
        </w:rPr>
        <w:t>β</w:t>
      </w:r>
      <w:r w:rsidRPr="00184341">
        <w:rPr>
          <w:rFonts w:eastAsia="Times New Roman" w:cs="Arial"/>
          <w:color w:val="000000"/>
          <w:lang w:val="en-US"/>
        </w:rPr>
        <w:t>). RAF</w:t>
      </w:r>
      <w:r w:rsidRPr="00184341">
        <w:rPr>
          <w:rFonts w:eastAsia="Times New Roman" w:cs="Arial"/>
          <w:color w:val="000000"/>
          <w:lang w:eastAsia="bg-BG"/>
        </w:rPr>
        <w:t xml:space="preserve">-киназите са серин/треонинкинази, докато </w:t>
      </w:r>
      <w:r w:rsidRPr="00184341">
        <w:rPr>
          <w:rFonts w:eastAsia="Times New Roman" w:cs="Arial"/>
          <w:color w:val="000000"/>
          <w:lang w:val="en-US"/>
        </w:rPr>
        <w:t xml:space="preserve">c-KIT, FTL-3, VEGFR-2, VEGFR-3 </w:t>
      </w:r>
      <w:r w:rsidRPr="00184341">
        <w:rPr>
          <w:rFonts w:eastAsia="Times New Roman" w:cs="Arial"/>
          <w:color w:val="000000"/>
          <w:lang w:eastAsia="bg-BG"/>
        </w:rPr>
        <w:t xml:space="preserve">и </w:t>
      </w:r>
      <w:r w:rsidRPr="00184341">
        <w:rPr>
          <w:rFonts w:eastAsia="Times New Roman" w:cs="Arial"/>
          <w:color w:val="000000"/>
          <w:lang w:val="en-US"/>
        </w:rPr>
        <w:t>PDGFR-</w:t>
      </w:r>
      <w:r w:rsidRPr="00184341">
        <w:rPr>
          <w:rFonts w:eastAsia="Times New Roman" w:cs="Arial"/>
          <w:color w:val="000000"/>
          <w:lang w:eastAsia="bg-BG"/>
        </w:rPr>
        <w:t>β</w:t>
      </w:r>
      <w:r w:rsidRPr="00184341">
        <w:rPr>
          <w:rFonts w:eastAsia="Times New Roman" w:cs="Arial"/>
          <w:color w:val="000000"/>
          <w:lang w:val="en-US"/>
        </w:rPr>
        <w:t xml:space="preserve"> </w:t>
      </w:r>
      <w:r w:rsidRPr="00184341">
        <w:rPr>
          <w:rFonts w:eastAsia="Times New Roman" w:cs="Arial"/>
          <w:color w:val="000000"/>
          <w:lang w:eastAsia="bg-BG"/>
        </w:rPr>
        <w:t>са рецептор тирозинкинази.</w:t>
      </w:r>
    </w:p>
    <w:p w14:paraId="4E2E7554" w14:textId="77777777" w:rsidR="00184341" w:rsidRPr="00184341" w:rsidRDefault="00184341" w:rsidP="00184341">
      <w:pPr>
        <w:spacing w:line="240" w:lineRule="auto"/>
        <w:rPr>
          <w:rFonts w:eastAsia="Times New Roman" w:cs="Arial"/>
          <w:color w:val="000000"/>
          <w:u w:val="single"/>
          <w:lang w:eastAsia="bg-BG"/>
        </w:rPr>
      </w:pPr>
    </w:p>
    <w:p w14:paraId="1A9DFAE5" w14:textId="3768E538" w:rsidR="00184341" w:rsidRPr="00184341" w:rsidRDefault="00184341" w:rsidP="00184341">
      <w:pPr>
        <w:spacing w:line="240" w:lineRule="auto"/>
        <w:rPr>
          <w:rFonts w:eastAsia="Times New Roman" w:cs="Arial"/>
          <w:sz w:val="28"/>
          <w:szCs w:val="28"/>
          <w:lang w:eastAsia="bg-BG"/>
        </w:rPr>
      </w:pPr>
      <w:r w:rsidRPr="00184341">
        <w:rPr>
          <w:rFonts w:eastAsia="Times New Roman" w:cs="Arial"/>
          <w:color w:val="000000"/>
          <w:u w:val="single"/>
          <w:lang w:eastAsia="bg-BG"/>
        </w:rPr>
        <w:t>Клинична ефикасност</w:t>
      </w:r>
    </w:p>
    <w:p w14:paraId="39AED6AB" w14:textId="77777777" w:rsidR="00184341" w:rsidRPr="00184341" w:rsidRDefault="00184341" w:rsidP="00184341">
      <w:pPr>
        <w:spacing w:line="240" w:lineRule="auto"/>
        <w:rPr>
          <w:rFonts w:eastAsia="Times New Roman" w:cs="Arial"/>
          <w:sz w:val="28"/>
          <w:szCs w:val="28"/>
          <w:lang w:eastAsia="bg-BG"/>
        </w:rPr>
      </w:pPr>
      <w:r w:rsidRPr="00184341">
        <w:rPr>
          <w:rFonts w:eastAsia="Times New Roman" w:cs="Arial"/>
          <w:color w:val="000000"/>
          <w:lang w:eastAsia="bg-BG"/>
        </w:rPr>
        <w:t xml:space="preserve">Клиничната безопасност и ефикасност на сорафениб е проучена при пациенти с хепатоцелуларен карцином (НСС), при пациенти с бъбречно-клетъчен карцином </w:t>
      </w:r>
      <w:r w:rsidRPr="00184341">
        <w:rPr>
          <w:rFonts w:eastAsia="Times New Roman" w:cs="Arial"/>
          <w:color w:val="000000"/>
          <w:lang w:val="en-US"/>
        </w:rPr>
        <w:t xml:space="preserve">(RCC) </w:t>
      </w:r>
      <w:r w:rsidRPr="00184341">
        <w:rPr>
          <w:rFonts w:eastAsia="Times New Roman" w:cs="Arial"/>
          <w:color w:val="000000"/>
          <w:lang w:eastAsia="bg-BG"/>
        </w:rPr>
        <w:t xml:space="preserve">в напреднал стадий и при пациенти с диференциран карцином на щитовидната жлеза </w:t>
      </w:r>
      <w:r w:rsidRPr="00184341">
        <w:rPr>
          <w:rFonts w:eastAsia="Times New Roman" w:cs="Arial"/>
          <w:color w:val="000000"/>
          <w:lang w:val="en-US"/>
        </w:rPr>
        <w:t>(DTC).</w:t>
      </w:r>
    </w:p>
    <w:p w14:paraId="31FE76D0" w14:textId="77777777" w:rsidR="00184341" w:rsidRPr="00184341" w:rsidRDefault="00184341" w:rsidP="00184341">
      <w:pPr>
        <w:spacing w:line="240" w:lineRule="auto"/>
        <w:rPr>
          <w:rFonts w:eastAsia="Times New Roman" w:cs="Arial"/>
          <w:color w:val="000000"/>
          <w:u w:val="single"/>
          <w:lang w:eastAsia="bg-BG"/>
        </w:rPr>
      </w:pPr>
    </w:p>
    <w:p w14:paraId="036E2FCC" w14:textId="6757E524" w:rsidR="00184341" w:rsidRPr="00184341" w:rsidRDefault="00184341" w:rsidP="00184341">
      <w:pPr>
        <w:spacing w:line="240" w:lineRule="auto"/>
        <w:rPr>
          <w:rFonts w:eastAsia="Times New Roman" w:cs="Arial"/>
          <w:sz w:val="28"/>
          <w:szCs w:val="28"/>
          <w:lang w:eastAsia="bg-BG"/>
        </w:rPr>
      </w:pPr>
      <w:r w:rsidRPr="00184341">
        <w:rPr>
          <w:rFonts w:eastAsia="Times New Roman" w:cs="Arial"/>
          <w:color w:val="000000"/>
          <w:u w:val="single"/>
          <w:lang w:eastAsia="bg-BG"/>
        </w:rPr>
        <w:t>Хепатоцелуларен карцином</w:t>
      </w:r>
    </w:p>
    <w:p w14:paraId="352C5823" w14:textId="77777777" w:rsidR="00184341" w:rsidRPr="00184341" w:rsidRDefault="00184341" w:rsidP="00184341">
      <w:pPr>
        <w:spacing w:line="240" w:lineRule="auto"/>
        <w:rPr>
          <w:rFonts w:eastAsia="Times New Roman" w:cs="Arial"/>
          <w:sz w:val="28"/>
          <w:szCs w:val="28"/>
          <w:lang w:eastAsia="bg-BG"/>
        </w:rPr>
      </w:pPr>
      <w:r w:rsidRPr="00184341">
        <w:rPr>
          <w:rFonts w:eastAsia="Times New Roman" w:cs="Arial"/>
          <w:color w:val="000000"/>
          <w:lang w:eastAsia="bg-BG"/>
        </w:rPr>
        <w:t xml:space="preserve">Проучване 3 (проучване 100554) е фаза III, международно, многоцентрово, рандомизирано, двойно сляпо, плацебо-контролирано проучване при 602 пациенти с хепатоцелуларен карцином. Демографските показатели и характеристиките на заболяването на изходно ниво са били сравними между групата на сорафениб и плацебо групата по отношение на </w:t>
      </w:r>
      <w:r w:rsidRPr="00184341">
        <w:rPr>
          <w:rFonts w:eastAsia="Times New Roman" w:cs="Arial"/>
          <w:color w:val="000000"/>
          <w:lang w:val="en-US"/>
        </w:rPr>
        <w:t xml:space="preserve">ECOG </w:t>
      </w:r>
      <w:r w:rsidRPr="00184341">
        <w:rPr>
          <w:rFonts w:eastAsia="Times New Roman" w:cs="Arial"/>
          <w:color w:val="000000"/>
          <w:lang w:eastAsia="bg-BG"/>
        </w:rPr>
        <w:t xml:space="preserve">статус (статус 0: 54 % срещу 54 %; статус 1: 38 % срещу 39 %; статус 2: 8 % срещу 7 %). </w:t>
      </w:r>
      <w:r w:rsidRPr="00184341">
        <w:rPr>
          <w:rFonts w:eastAsia="Times New Roman" w:cs="Arial"/>
          <w:color w:val="000000"/>
          <w:lang w:val="en-US"/>
        </w:rPr>
        <w:t xml:space="preserve">TNM </w:t>
      </w:r>
      <w:r w:rsidRPr="00184341">
        <w:rPr>
          <w:rFonts w:eastAsia="Times New Roman" w:cs="Arial"/>
          <w:color w:val="000000"/>
          <w:lang w:eastAsia="bg-BG"/>
        </w:rPr>
        <w:t xml:space="preserve">стадий (стадий </w:t>
      </w:r>
      <w:r w:rsidRPr="00184341">
        <w:rPr>
          <w:rFonts w:eastAsia="Times New Roman" w:cs="Arial"/>
          <w:color w:val="000000"/>
          <w:lang w:val="en-US"/>
        </w:rPr>
        <w:t xml:space="preserve">I: </w:t>
      </w:r>
      <w:r w:rsidRPr="00184341">
        <w:rPr>
          <w:rFonts w:eastAsia="Times New Roman" w:cs="Arial"/>
          <w:color w:val="000000"/>
          <w:lang w:eastAsia="bg-BG"/>
        </w:rPr>
        <w:t xml:space="preserve">&lt; 1 % срещу &lt; 1 %; стадий </w:t>
      </w:r>
      <w:r w:rsidRPr="00184341">
        <w:rPr>
          <w:rFonts w:eastAsia="Times New Roman" w:cs="Arial"/>
          <w:color w:val="000000"/>
          <w:lang w:val="en-US"/>
        </w:rPr>
        <w:t>II</w:t>
      </w:r>
      <w:r w:rsidRPr="00184341">
        <w:rPr>
          <w:rFonts w:eastAsia="Times New Roman" w:cs="Arial"/>
          <w:color w:val="000000"/>
          <w:lang w:eastAsia="bg-BG"/>
        </w:rPr>
        <w:t>: 10,4 % срещу</w:t>
      </w:r>
      <w:r w:rsidRPr="00184341">
        <w:rPr>
          <w:rFonts w:eastAsia="Times New Roman" w:cs="Arial"/>
          <w:color w:val="000000"/>
          <w:lang w:val="en-US"/>
        </w:rPr>
        <w:t xml:space="preserve"> </w:t>
      </w:r>
      <w:r w:rsidRPr="00184341">
        <w:rPr>
          <w:rFonts w:eastAsia="Times New Roman" w:cs="Arial"/>
          <w:color w:val="000000"/>
          <w:lang w:eastAsia="bg-BG"/>
        </w:rPr>
        <w:t xml:space="preserve">8,3 %; стадий </w:t>
      </w:r>
      <w:r w:rsidRPr="00184341">
        <w:rPr>
          <w:rFonts w:eastAsia="Times New Roman" w:cs="Arial"/>
          <w:color w:val="000000"/>
          <w:lang w:val="en-US"/>
        </w:rPr>
        <w:t xml:space="preserve">III: </w:t>
      </w:r>
      <w:r w:rsidRPr="00184341">
        <w:rPr>
          <w:rFonts w:eastAsia="Times New Roman" w:cs="Arial"/>
          <w:color w:val="000000"/>
          <w:lang w:eastAsia="bg-BG"/>
        </w:rPr>
        <w:t xml:space="preserve">37,8 % срещу 43,6 %; стадий IV: 50,8 % срещу 46,9 %) и </w:t>
      </w:r>
      <w:r w:rsidRPr="00184341">
        <w:rPr>
          <w:rFonts w:eastAsia="Times New Roman" w:cs="Arial"/>
          <w:color w:val="000000"/>
          <w:lang w:val="en-US"/>
        </w:rPr>
        <w:t xml:space="preserve">BCLC </w:t>
      </w:r>
      <w:r w:rsidRPr="00184341">
        <w:rPr>
          <w:rFonts w:eastAsia="Times New Roman" w:cs="Arial"/>
          <w:color w:val="000000"/>
          <w:lang w:eastAsia="bg-BG"/>
        </w:rPr>
        <w:t xml:space="preserve">стадий (стадий В: 18,1 % срещу 16,8 %; стадий С: 81,6 % срещу 83,2 %; стадий </w:t>
      </w:r>
      <w:r w:rsidRPr="00184341">
        <w:rPr>
          <w:rFonts w:eastAsia="Times New Roman" w:cs="Arial"/>
          <w:color w:val="000000"/>
          <w:lang w:val="en-US"/>
        </w:rPr>
        <w:t xml:space="preserve">D: </w:t>
      </w:r>
      <w:r w:rsidRPr="00184341">
        <w:rPr>
          <w:rFonts w:eastAsia="Times New Roman" w:cs="Arial"/>
          <w:color w:val="000000"/>
          <w:lang w:eastAsia="bg-BG"/>
        </w:rPr>
        <w:t>&lt; 1 % срещу 0 %).</w:t>
      </w:r>
    </w:p>
    <w:p w14:paraId="2CC2A081" w14:textId="77777777" w:rsidR="00184341" w:rsidRPr="00184341" w:rsidRDefault="00184341" w:rsidP="00184341">
      <w:pPr>
        <w:spacing w:line="240" w:lineRule="auto"/>
        <w:rPr>
          <w:rFonts w:eastAsia="Times New Roman" w:cs="Arial"/>
          <w:color w:val="000000"/>
          <w:lang w:eastAsia="bg-BG"/>
        </w:rPr>
      </w:pPr>
    </w:p>
    <w:p w14:paraId="013E04F2" w14:textId="09B2D5D9" w:rsidR="00184341" w:rsidRPr="00184341" w:rsidRDefault="00184341" w:rsidP="00184341">
      <w:pPr>
        <w:spacing w:line="240" w:lineRule="auto"/>
        <w:rPr>
          <w:rFonts w:eastAsia="Times New Roman" w:cs="Arial"/>
          <w:sz w:val="28"/>
          <w:szCs w:val="28"/>
          <w:lang w:eastAsia="bg-BG"/>
        </w:rPr>
      </w:pPr>
      <w:r w:rsidRPr="00184341">
        <w:rPr>
          <w:rFonts w:eastAsia="Times New Roman" w:cs="Arial"/>
          <w:color w:val="000000"/>
          <w:lang w:eastAsia="bg-BG"/>
        </w:rPr>
        <w:t xml:space="preserve">Проучването е спряно, след като планиран междинен анализ на </w:t>
      </w:r>
      <w:r w:rsidRPr="00184341">
        <w:rPr>
          <w:rFonts w:eastAsia="Times New Roman" w:cs="Arial"/>
          <w:color w:val="000000"/>
          <w:lang w:val="en-US"/>
        </w:rPr>
        <w:t xml:space="preserve">OS </w:t>
      </w:r>
      <w:r w:rsidRPr="00184341">
        <w:rPr>
          <w:rFonts w:eastAsia="Times New Roman" w:cs="Arial"/>
          <w:color w:val="000000"/>
          <w:lang w:eastAsia="bg-BG"/>
        </w:rPr>
        <w:t xml:space="preserve">е преминал предварително определената граница на ефикасност. Този анализ на </w:t>
      </w:r>
      <w:r w:rsidRPr="00184341">
        <w:rPr>
          <w:rFonts w:eastAsia="Times New Roman" w:cs="Arial"/>
          <w:color w:val="000000"/>
          <w:lang w:val="en-US"/>
        </w:rPr>
        <w:t xml:space="preserve">OS </w:t>
      </w:r>
      <w:r w:rsidRPr="00184341">
        <w:rPr>
          <w:rFonts w:eastAsia="Times New Roman" w:cs="Arial"/>
          <w:color w:val="000000"/>
          <w:lang w:eastAsia="bg-BG"/>
        </w:rPr>
        <w:t xml:space="preserve">показва статистически значимо предимство на Сорафениб Фармасайънс спрямо плацебо за </w:t>
      </w:r>
      <w:r w:rsidRPr="00184341">
        <w:rPr>
          <w:rFonts w:eastAsia="Times New Roman" w:cs="Arial"/>
          <w:color w:val="000000"/>
          <w:lang w:val="en-US"/>
        </w:rPr>
        <w:t xml:space="preserve">OS (HR: </w:t>
      </w:r>
      <w:r w:rsidRPr="00184341">
        <w:rPr>
          <w:rFonts w:eastAsia="Times New Roman" w:cs="Arial"/>
          <w:color w:val="000000"/>
          <w:lang w:eastAsia="bg-BG"/>
        </w:rPr>
        <w:t>0,69, р = 0,00058, вж. таблица 3).</w:t>
      </w:r>
    </w:p>
    <w:p w14:paraId="27DDF954" w14:textId="77777777" w:rsidR="00184341" w:rsidRPr="00184341" w:rsidRDefault="00184341" w:rsidP="00184341">
      <w:pPr>
        <w:spacing w:line="240" w:lineRule="auto"/>
        <w:rPr>
          <w:rFonts w:eastAsia="Times New Roman" w:cs="Arial"/>
          <w:color w:val="000000"/>
          <w:lang w:eastAsia="bg-BG"/>
        </w:rPr>
      </w:pPr>
    </w:p>
    <w:p w14:paraId="43505D4E" w14:textId="419430F5" w:rsidR="00184341" w:rsidRPr="00184341" w:rsidRDefault="00184341" w:rsidP="00184341">
      <w:pPr>
        <w:spacing w:line="240" w:lineRule="auto"/>
        <w:rPr>
          <w:rFonts w:eastAsia="Times New Roman" w:cs="Arial"/>
          <w:color w:val="000000"/>
          <w:lang w:eastAsia="bg-BG"/>
        </w:rPr>
      </w:pPr>
      <w:r w:rsidRPr="00184341">
        <w:rPr>
          <w:rFonts w:eastAsia="Times New Roman" w:cs="Arial"/>
          <w:color w:val="000000"/>
          <w:lang w:eastAsia="bg-BG"/>
        </w:rPr>
        <w:t xml:space="preserve">Има ограничени данни от това проучване при пациенти с чернодробно увреждане </w:t>
      </w:r>
      <w:r w:rsidRPr="00184341">
        <w:rPr>
          <w:rFonts w:eastAsia="Times New Roman" w:cs="Arial"/>
          <w:color w:val="000000"/>
          <w:lang w:val="en-US"/>
        </w:rPr>
        <w:t xml:space="preserve">Child Pugh </w:t>
      </w:r>
      <w:r w:rsidRPr="00184341">
        <w:rPr>
          <w:rFonts w:eastAsia="Times New Roman" w:cs="Arial"/>
          <w:color w:val="000000"/>
          <w:lang w:eastAsia="bg-BG"/>
        </w:rPr>
        <w:t xml:space="preserve">В и е включен само един пациент с </w:t>
      </w:r>
      <w:r w:rsidRPr="00184341">
        <w:rPr>
          <w:rFonts w:eastAsia="Times New Roman" w:cs="Arial"/>
          <w:color w:val="000000"/>
          <w:lang w:val="en-US"/>
        </w:rPr>
        <w:t xml:space="preserve">Child Pugh </w:t>
      </w:r>
      <w:r w:rsidRPr="00184341">
        <w:rPr>
          <w:rFonts w:eastAsia="Times New Roman" w:cs="Arial"/>
          <w:color w:val="000000"/>
          <w:lang w:eastAsia="bg-BG"/>
        </w:rPr>
        <w:t>С.</w:t>
      </w:r>
    </w:p>
    <w:p w14:paraId="6D26F467" w14:textId="0A7B059D" w:rsidR="00184341" w:rsidRPr="00184341" w:rsidRDefault="00184341" w:rsidP="00184341">
      <w:pPr>
        <w:spacing w:line="240" w:lineRule="auto"/>
        <w:rPr>
          <w:rFonts w:eastAsia="Times New Roman" w:cs="Arial"/>
          <w:color w:val="000000"/>
          <w:lang w:eastAsia="bg-BG"/>
        </w:rPr>
      </w:pPr>
    </w:p>
    <w:p w14:paraId="43896E5F" w14:textId="77777777" w:rsidR="00184341" w:rsidRPr="00184341" w:rsidRDefault="00184341" w:rsidP="00184341">
      <w:pPr>
        <w:spacing w:line="240" w:lineRule="auto"/>
        <w:rPr>
          <w:rFonts w:ascii="Times New Roman" w:eastAsia="Times New Roman" w:hAnsi="Times New Roman" w:cs="Times New Roman"/>
          <w:sz w:val="24"/>
          <w:szCs w:val="24"/>
          <w:lang w:eastAsia="bg-BG"/>
        </w:rPr>
      </w:pPr>
      <w:r w:rsidRPr="00184341">
        <w:rPr>
          <w:rFonts w:eastAsia="Times New Roman" w:cs="Arial"/>
          <w:b/>
          <w:bCs/>
          <w:color w:val="000000"/>
          <w:lang w:eastAsia="bg-BG"/>
        </w:rPr>
        <w:t>Таблица 2: Резултати за ефикасност от проучване 3 (проучване 100554) при хепатоцелуларен карцином</w:t>
      </w:r>
    </w:p>
    <w:tbl>
      <w:tblPr>
        <w:tblStyle w:val="TableGrid"/>
        <w:tblW w:w="0" w:type="auto"/>
        <w:tblLook w:val="04A0" w:firstRow="1" w:lastRow="0" w:firstColumn="1" w:lastColumn="0" w:noHBand="0" w:noVBand="1"/>
      </w:tblPr>
      <w:tblGrid>
        <w:gridCol w:w="1891"/>
        <w:gridCol w:w="1878"/>
        <w:gridCol w:w="1865"/>
        <w:gridCol w:w="1866"/>
        <w:gridCol w:w="1850"/>
      </w:tblGrid>
      <w:tr w:rsidR="00184341" w14:paraId="6A34DC30" w14:textId="77777777" w:rsidTr="00184341">
        <w:tc>
          <w:tcPr>
            <w:tcW w:w="1900" w:type="dxa"/>
          </w:tcPr>
          <w:p w14:paraId="4D48311A" w14:textId="77777777" w:rsidR="00184341" w:rsidRPr="00184341" w:rsidRDefault="00184341" w:rsidP="00184341">
            <w:r w:rsidRPr="00184341">
              <w:t>Параметър</w:t>
            </w:r>
            <w:r w:rsidRPr="00184341">
              <w:tab/>
              <w:t>на</w:t>
            </w:r>
          </w:p>
          <w:p w14:paraId="1C585477" w14:textId="65909B91" w:rsidR="00184341" w:rsidRPr="00184341" w:rsidRDefault="00184341" w:rsidP="00184341">
            <w:pPr>
              <w:spacing w:line="240" w:lineRule="auto"/>
              <w:rPr>
                <w:rFonts w:ascii="Times New Roman" w:eastAsia="Times New Roman" w:hAnsi="Times New Roman" w:cs="Times New Roman"/>
                <w:lang w:eastAsia="bg-BG"/>
              </w:rPr>
            </w:pPr>
            <w:r w:rsidRPr="00184341">
              <w:t>ефикасност</w:t>
            </w:r>
          </w:p>
        </w:tc>
        <w:tc>
          <w:tcPr>
            <w:tcW w:w="1900" w:type="dxa"/>
          </w:tcPr>
          <w:p w14:paraId="03AD2609" w14:textId="77AD03CE" w:rsidR="00184341" w:rsidRPr="00184341" w:rsidRDefault="00184341" w:rsidP="00184341">
            <w:pPr>
              <w:spacing w:line="240" w:lineRule="auto"/>
              <w:rPr>
                <w:rFonts w:ascii="Times New Roman" w:eastAsia="Times New Roman" w:hAnsi="Times New Roman" w:cs="Times New Roman"/>
                <w:lang w:eastAsia="bg-BG"/>
              </w:rPr>
            </w:pPr>
            <w:r w:rsidRPr="00184341">
              <w:t xml:space="preserve">Сорафениб </w:t>
            </w:r>
            <w:r w:rsidRPr="00184341">
              <w:rPr>
                <w:lang w:val="en-US"/>
              </w:rPr>
              <w:t>(N=299)</w:t>
            </w:r>
          </w:p>
        </w:tc>
        <w:tc>
          <w:tcPr>
            <w:tcW w:w="1900" w:type="dxa"/>
          </w:tcPr>
          <w:p w14:paraId="2498E1B7" w14:textId="4377F8E3" w:rsidR="00184341" w:rsidRPr="00184341" w:rsidRDefault="00184341" w:rsidP="00184341">
            <w:pPr>
              <w:spacing w:line="240" w:lineRule="auto"/>
              <w:rPr>
                <w:rFonts w:ascii="Times New Roman" w:eastAsia="Times New Roman" w:hAnsi="Times New Roman" w:cs="Times New Roman"/>
                <w:lang w:eastAsia="bg-BG"/>
              </w:rPr>
            </w:pPr>
            <w:r w:rsidRPr="00184341">
              <w:t xml:space="preserve">Плацебо </w:t>
            </w:r>
            <w:r w:rsidRPr="00184341">
              <w:rPr>
                <w:lang w:val="en-US"/>
              </w:rPr>
              <w:t>(N-303)</w:t>
            </w:r>
          </w:p>
        </w:tc>
        <w:tc>
          <w:tcPr>
            <w:tcW w:w="1900" w:type="dxa"/>
          </w:tcPr>
          <w:p w14:paraId="1817F709" w14:textId="6C93EA76" w:rsidR="00184341" w:rsidRPr="00184341" w:rsidRDefault="00184341" w:rsidP="00184341">
            <w:pPr>
              <w:spacing w:line="240" w:lineRule="auto"/>
              <w:rPr>
                <w:rFonts w:ascii="Times New Roman" w:eastAsia="Times New Roman" w:hAnsi="Times New Roman" w:cs="Times New Roman"/>
                <w:lang w:eastAsia="bg-BG"/>
              </w:rPr>
            </w:pPr>
            <w:r w:rsidRPr="00184341">
              <w:t>Р-стойност</w:t>
            </w:r>
          </w:p>
        </w:tc>
        <w:tc>
          <w:tcPr>
            <w:tcW w:w="1900" w:type="dxa"/>
          </w:tcPr>
          <w:p w14:paraId="0196B472" w14:textId="77777777" w:rsidR="00184341" w:rsidRPr="00184341" w:rsidRDefault="00184341" w:rsidP="00184341">
            <w:r w:rsidRPr="00184341">
              <w:rPr>
                <w:lang w:val="en-US"/>
              </w:rPr>
              <w:t>HR</w:t>
            </w:r>
          </w:p>
          <w:p w14:paraId="6A6CC7AB" w14:textId="0D952B65" w:rsidR="00184341" w:rsidRPr="00184341" w:rsidRDefault="00184341" w:rsidP="00184341">
            <w:pPr>
              <w:spacing w:line="240" w:lineRule="auto"/>
              <w:rPr>
                <w:rFonts w:ascii="Times New Roman" w:eastAsia="Times New Roman" w:hAnsi="Times New Roman" w:cs="Times New Roman"/>
                <w:lang w:eastAsia="bg-BG"/>
              </w:rPr>
            </w:pPr>
            <w:r w:rsidRPr="00184341">
              <w:t xml:space="preserve">(95% </w:t>
            </w:r>
            <w:r w:rsidRPr="00184341">
              <w:rPr>
                <w:lang w:val="en-US"/>
              </w:rPr>
              <w:t>CI)</w:t>
            </w:r>
          </w:p>
        </w:tc>
      </w:tr>
      <w:tr w:rsidR="00184341" w14:paraId="2E7DB652" w14:textId="77777777" w:rsidTr="00184341">
        <w:tc>
          <w:tcPr>
            <w:tcW w:w="1900" w:type="dxa"/>
          </w:tcPr>
          <w:p w14:paraId="08EFFAF4" w14:textId="2EAE7B17" w:rsidR="00184341" w:rsidRPr="00184341" w:rsidRDefault="00184341" w:rsidP="00184341">
            <w:pPr>
              <w:spacing w:line="240" w:lineRule="auto"/>
              <w:rPr>
                <w:rFonts w:ascii="Times New Roman" w:eastAsia="Times New Roman" w:hAnsi="Times New Roman" w:cs="Times New Roman"/>
                <w:lang w:eastAsia="bg-BG"/>
              </w:rPr>
            </w:pPr>
            <w:r w:rsidRPr="00184341">
              <w:t xml:space="preserve">Обща преживяемост </w:t>
            </w:r>
            <w:r w:rsidRPr="00184341">
              <w:rPr>
                <w:lang w:val="en-US"/>
              </w:rPr>
              <w:t xml:space="preserve">(OS) </w:t>
            </w:r>
            <w:r w:rsidRPr="00184341">
              <w:t xml:space="preserve">[медиана, седмици (95% </w:t>
            </w:r>
            <w:r w:rsidRPr="00184341">
              <w:rPr>
                <w:lang w:val="en-US"/>
              </w:rPr>
              <w:t>CI)]</w:t>
            </w:r>
          </w:p>
        </w:tc>
        <w:tc>
          <w:tcPr>
            <w:tcW w:w="1900" w:type="dxa"/>
          </w:tcPr>
          <w:p w14:paraId="797B0A20" w14:textId="76B4E593" w:rsidR="00184341" w:rsidRPr="00184341" w:rsidRDefault="00184341" w:rsidP="00184341">
            <w:pPr>
              <w:spacing w:line="240" w:lineRule="auto"/>
              <w:rPr>
                <w:rFonts w:ascii="Times New Roman" w:eastAsia="Times New Roman" w:hAnsi="Times New Roman" w:cs="Times New Roman"/>
                <w:lang w:eastAsia="bg-BG"/>
              </w:rPr>
            </w:pPr>
            <w:r w:rsidRPr="00184341">
              <w:t>46,3 (40,9, 57,9)</w:t>
            </w:r>
          </w:p>
        </w:tc>
        <w:tc>
          <w:tcPr>
            <w:tcW w:w="1900" w:type="dxa"/>
          </w:tcPr>
          <w:p w14:paraId="14D83426" w14:textId="77777777" w:rsidR="00184341" w:rsidRPr="00184341" w:rsidRDefault="00184341" w:rsidP="00184341">
            <w:r w:rsidRPr="00184341">
              <w:t>34,4</w:t>
            </w:r>
          </w:p>
          <w:p w14:paraId="00406344" w14:textId="45555BB6" w:rsidR="00184341" w:rsidRPr="00184341" w:rsidRDefault="00184341" w:rsidP="00184341">
            <w:pPr>
              <w:spacing w:line="240" w:lineRule="auto"/>
              <w:rPr>
                <w:rFonts w:ascii="Times New Roman" w:eastAsia="Times New Roman" w:hAnsi="Times New Roman" w:cs="Times New Roman"/>
                <w:lang w:eastAsia="bg-BG"/>
              </w:rPr>
            </w:pPr>
            <w:r w:rsidRPr="00184341">
              <w:t>(29,4, 39,4)</w:t>
            </w:r>
          </w:p>
        </w:tc>
        <w:tc>
          <w:tcPr>
            <w:tcW w:w="1900" w:type="dxa"/>
          </w:tcPr>
          <w:p w14:paraId="412CE213" w14:textId="76AC4103" w:rsidR="00184341" w:rsidRPr="00184341" w:rsidRDefault="00184341" w:rsidP="00184341">
            <w:pPr>
              <w:spacing w:line="240" w:lineRule="auto"/>
              <w:rPr>
                <w:rFonts w:ascii="Times New Roman" w:eastAsia="Times New Roman" w:hAnsi="Times New Roman" w:cs="Times New Roman"/>
                <w:lang w:eastAsia="bg-BG"/>
              </w:rPr>
            </w:pPr>
            <w:r w:rsidRPr="00184341">
              <w:t>0,00058*</w:t>
            </w:r>
          </w:p>
        </w:tc>
        <w:tc>
          <w:tcPr>
            <w:tcW w:w="1900" w:type="dxa"/>
          </w:tcPr>
          <w:p w14:paraId="4946FF82" w14:textId="77777777" w:rsidR="00184341" w:rsidRPr="00184341" w:rsidRDefault="00184341" w:rsidP="00184341">
            <w:r w:rsidRPr="00184341">
              <w:t>0,69</w:t>
            </w:r>
          </w:p>
          <w:p w14:paraId="71E9B97C" w14:textId="43C4FBF6" w:rsidR="00184341" w:rsidRPr="00184341" w:rsidRDefault="00184341" w:rsidP="00184341">
            <w:pPr>
              <w:spacing w:line="240" w:lineRule="auto"/>
              <w:rPr>
                <w:rFonts w:ascii="Times New Roman" w:eastAsia="Times New Roman" w:hAnsi="Times New Roman" w:cs="Times New Roman"/>
                <w:lang w:eastAsia="bg-BG"/>
              </w:rPr>
            </w:pPr>
            <w:r w:rsidRPr="00184341">
              <w:t>(0,55, 0,87)</w:t>
            </w:r>
          </w:p>
        </w:tc>
      </w:tr>
      <w:tr w:rsidR="00184341" w14:paraId="62866251" w14:textId="77777777" w:rsidTr="00184341">
        <w:tc>
          <w:tcPr>
            <w:tcW w:w="1900" w:type="dxa"/>
          </w:tcPr>
          <w:p w14:paraId="7702EF1F" w14:textId="19CE7D23" w:rsidR="00184341" w:rsidRPr="00184341" w:rsidRDefault="00184341" w:rsidP="00184341">
            <w:r w:rsidRPr="00184341">
              <w:t>Време до прогресия (ТТР)</w:t>
            </w:r>
            <w:r>
              <w:t xml:space="preserve"> </w:t>
            </w:r>
            <w:r w:rsidRPr="00184341">
              <w:t>[медиана,</w:t>
            </w:r>
          </w:p>
          <w:p w14:paraId="27C82D66" w14:textId="469C6189" w:rsidR="00184341" w:rsidRPr="00184341" w:rsidRDefault="00184341" w:rsidP="00184341">
            <w:pPr>
              <w:spacing w:line="240" w:lineRule="auto"/>
              <w:rPr>
                <w:rFonts w:ascii="Times New Roman" w:eastAsia="Times New Roman" w:hAnsi="Times New Roman" w:cs="Times New Roman"/>
                <w:lang w:eastAsia="bg-BG"/>
              </w:rPr>
            </w:pPr>
            <w:r w:rsidRPr="00184341">
              <w:t xml:space="preserve">седмици (95% </w:t>
            </w:r>
            <w:r w:rsidRPr="00184341">
              <w:rPr>
                <w:lang w:val="en-US"/>
              </w:rPr>
              <w:t>CI)]**</w:t>
            </w:r>
          </w:p>
        </w:tc>
        <w:tc>
          <w:tcPr>
            <w:tcW w:w="1900" w:type="dxa"/>
          </w:tcPr>
          <w:p w14:paraId="45827214" w14:textId="7856A68C" w:rsidR="00184341" w:rsidRPr="00184341" w:rsidRDefault="00184341" w:rsidP="00184341">
            <w:pPr>
              <w:spacing w:line="240" w:lineRule="auto"/>
              <w:rPr>
                <w:rFonts w:ascii="Times New Roman" w:eastAsia="Times New Roman" w:hAnsi="Times New Roman" w:cs="Times New Roman"/>
                <w:lang w:eastAsia="bg-BG"/>
              </w:rPr>
            </w:pPr>
            <w:r w:rsidRPr="00184341">
              <w:t>24,0 (18,0,30.0)</w:t>
            </w:r>
          </w:p>
        </w:tc>
        <w:tc>
          <w:tcPr>
            <w:tcW w:w="1900" w:type="dxa"/>
          </w:tcPr>
          <w:p w14:paraId="2F404AA3" w14:textId="77777777" w:rsidR="00184341" w:rsidRPr="00184341" w:rsidRDefault="00184341" w:rsidP="00184341">
            <w:r w:rsidRPr="00184341">
              <w:t>12,3</w:t>
            </w:r>
          </w:p>
          <w:p w14:paraId="385F42CE" w14:textId="507C19C5" w:rsidR="00184341" w:rsidRPr="00184341" w:rsidRDefault="00184341" w:rsidP="00184341">
            <w:pPr>
              <w:spacing w:line="240" w:lineRule="auto"/>
              <w:rPr>
                <w:rFonts w:ascii="Times New Roman" w:eastAsia="Times New Roman" w:hAnsi="Times New Roman" w:cs="Times New Roman"/>
                <w:lang w:eastAsia="bg-BG"/>
              </w:rPr>
            </w:pPr>
            <w:r w:rsidRPr="00184341">
              <w:t>(И,7, 17,1)</w:t>
            </w:r>
          </w:p>
        </w:tc>
        <w:tc>
          <w:tcPr>
            <w:tcW w:w="1900" w:type="dxa"/>
          </w:tcPr>
          <w:p w14:paraId="3992B500" w14:textId="43F56A24" w:rsidR="00184341" w:rsidRPr="00184341" w:rsidRDefault="00184341" w:rsidP="00184341">
            <w:pPr>
              <w:spacing w:line="240" w:lineRule="auto"/>
              <w:rPr>
                <w:rFonts w:ascii="Times New Roman" w:eastAsia="Times New Roman" w:hAnsi="Times New Roman" w:cs="Times New Roman"/>
                <w:lang w:eastAsia="bg-BG"/>
              </w:rPr>
            </w:pPr>
            <w:r w:rsidRPr="00184341">
              <w:t>0,000007</w:t>
            </w:r>
          </w:p>
        </w:tc>
        <w:tc>
          <w:tcPr>
            <w:tcW w:w="1900" w:type="dxa"/>
          </w:tcPr>
          <w:p w14:paraId="38F5BD2C" w14:textId="77777777" w:rsidR="00184341" w:rsidRPr="00184341" w:rsidRDefault="00184341" w:rsidP="00184341">
            <w:r w:rsidRPr="00184341">
              <w:t>0,58</w:t>
            </w:r>
          </w:p>
          <w:p w14:paraId="4C368483" w14:textId="46670F82" w:rsidR="00184341" w:rsidRPr="00184341" w:rsidRDefault="00184341" w:rsidP="00184341">
            <w:pPr>
              <w:spacing w:line="240" w:lineRule="auto"/>
              <w:rPr>
                <w:rFonts w:ascii="Times New Roman" w:eastAsia="Times New Roman" w:hAnsi="Times New Roman" w:cs="Times New Roman"/>
                <w:lang w:eastAsia="bg-BG"/>
              </w:rPr>
            </w:pPr>
            <w:r w:rsidRPr="00184341">
              <w:t>(0,45, 0,74)</w:t>
            </w:r>
          </w:p>
        </w:tc>
      </w:tr>
    </w:tbl>
    <w:p w14:paraId="2C93049E" w14:textId="77777777" w:rsidR="00184341" w:rsidRPr="00184341" w:rsidRDefault="00184341" w:rsidP="00184341">
      <w:pPr>
        <w:spacing w:line="240" w:lineRule="auto"/>
        <w:rPr>
          <w:rFonts w:ascii="Times New Roman" w:eastAsia="Times New Roman" w:hAnsi="Times New Roman" w:cs="Times New Roman"/>
          <w:sz w:val="24"/>
          <w:szCs w:val="24"/>
          <w:lang w:eastAsia="bg-BG"/>
        </w:rPr>
      </w:pPr>
    </w:p>
    <w:p w14:paraId="0DD5106B" w14:textId="77777777" w:rsidR="00184341" w:rsidRPr="00184341" w:rsidRDefault="00184341" w:rsidP="00184341">
      <w:pPr>
        <w:spacing w:line="240" w:lineRule="auto"/>
        <w:rPr>
          <w:rFonts w:eastAsia="Times New Roman" w:cs="Arial"/>
          <w:sz w:val="28"/>
          <w:szCs w:val="28"/>
          <w:lang w:eastAsia="bg-BG"/>
        </w:rPr>
      </w:pPr>
      <w:r w:rsidRPr="00184341">
        <w:rPr>
          <w:rFonts w:eastAsia="Times New Roman" w:cs="Arial"/>
          <w:color w:val="000000"/>
          <w:lang w:eastAsia="bg-BG"/>
        </w:rPr>
        <w:t>С</w:t>
      </w:r>
      <w:r w:rsidRPr="00184341">
        <w:rPr>
          <w:rFonts w:eastAsia="Times New Roman" w:cs="Arial"/>
          <w:color w:val="000000"/>
          <w:lang w:val="en-US"/>
        </w:rPr>
        <w:t>I</w:t>
      </w:r>
      <w:r w:rsidRPr="00184341">
        <w:rPr>
          <w:rFonts w:eastAsia="Times New Roman" w:cs="Arial"/>
          <w:color w:val="000000"/>
          <w:lang w:eastAsia="bg-BG"/>
        </w:rPr>
        <w:t xml:space="preserve">= доверителен интервал, </w:t>
      </w:r>
      <w:r w:rsidRPr="00184341">
        <w:rPr>
          <w:rFonts w:eastAsia="Times New Roman" w:cs="Arial"/>
          <w:color w:val="000000"/>
          <w:lang w:val="en-US"/>
        </w:rPr>
        <w:t xml:space="preserve">HR= </w:t>
      </w:r>
      <w:r w:rsidRPr="00184341">
        <w:rPr>
          <w:rFonts w:eastAsia="Times New Roman" w:cs="Arial"/>
          <w:color w:val="000000"/>
          <w:lang w:eastAsia="bg-BG"/>
        </w:rPr>
        <w:t>коефициент на риск (сорафениб спрямо плацебо)</w:t>
      </w:r>
    </w:p>
    <w:p w14:paraId="41E39C15" w14:textId="77777777" w:rsidR="00184341" w:rsidRPr="00184341" w:rsidRDefault="00184341" w:rsidP="00184341">
      <w:pPr>
        <w:spacing w:line="240" w:lineRule="auto"/>
        <w:rPr>
          <w:rFonts w:eastAsia="Times New Roman" w:cs="Arial"/>
          <w:sz w:val="28"/>
          <w:szCs w:val="28"/>
          <w:lang w:eastAsia="bg-BG"/>
        </w:rPr>
      </w:pPr>
      <w:r w:rsidRPr="00184341">
        <w:rPr>
          <w:rFonts w:eastAsia="Times New Roman" w:cs="Arial"/>
          <w:color w:val="000000"/>
          <w:lang w:eastAsia="bg-BG"/>
        </w:rPr>
        <w:t xml:space="preserve">* статистически значимо като р-стойността е под предварително определената </w:t>
      </w:r>
      <w:r w:rsidRPr="00184341">
        <w:rPr>
          <w:rFonts w:eastAsia="Times New Roman" w:cs="Arial"/>
          <w:color w:val="000000"/>
          <w:lang w:val="en-US"/>
        </w:rPr>
        <w:t xml:space="preserve">O'Brien Fleming </w:t>
      </w:r>
      <w:r w:rsidRPr="00184341">
        <w:rPr>
          <w:rFonts w:eastAsia="Times New Roman" w:cs="Arial"/>
          <w:color w:val="000000"/>
          <w:lang w:eastAsia="bg-BG"/>
        </w:rPr>
        <w:t>гранична стойност от 0,0077 ** независим радиологичен преглед</w:t>
      </w:r>
    </w:p>
    <w:p w14:paraId="5BC057AF" w14:textId="77777777" w:rsidR="00184341" w:rsidRPr="00184341" w:rsidRDefault="00184341" w:rsidP="00184341">
      <w:pPr>
        <w:spacing w:line="240" w:lineRule="auto"/>
        <w:rPr>
          <w:rFonts w:eastAsia="Times New Roman" w:cs="Arial"/>
          <w:color w:val="000000"/>
          <w:lang w:eastAsia="bg-BG"/>
        </w:rPr>
      </w:pPr>
    </w:p>
    <w:p w14:paraId="53E7A8D8" w14:textId="5C1CE66A" w:rsidR="00184341" w:rsidRPr="00184341" w:rsidRDefault="00184341" w:rsidP="00184341">
      <w:pPr>
        <w:spacing w:line="240" w:lineRule="auto"/>
        <w:rPr>
          <w:rFonts w:eastAsia="Times New Roman" w:cs="Arial"/>
          <w:sz w:val="28"/>
          <w:szCs w:val="28"/>
          <w:lang w:eastAsia="bg-BG"/>
        </w:rPr>
      </w:pPr>
      <w:r w:rsidRPr="00184341">
        <w:rPr>
          <w:rFonts w:eastAsia="Times New Roman" w:cs="Arial"/>
          <w:color w:val="000000"/>
          <w:lang w:eastAsia="bg-BG"/>
        </w:rPr>
        <w:lastRenderedPageBreak/>
        <w:t xml:space="preserve">Проучване 4 (проучване 11849) е фаза III, международно, многоцентрово, рандомизирано, двойносляпо, плацебо-контролирано проучване, което оценява клиничната полза от сорафениб при 226 пациенти с хепатоцелуларен карцином, Проучването е проведено в Китай, Корея и Тайван и потвърждава резултатите от Проучване 3 по отношение на благоприятното съотношение полза- риск на сорафениб </w:t>
      </w:r>
      <w:r w:rsidRPr="00184341">
        <w:rPr>
          <w:rFonts w:eastAsia="Times New Roman" w:cs="Arial"/>
          <w:color w:val="000000"/>
          <w:lang w:val="en-US"/>
        </w:rPr>
        <w:t xml:space="preserve">(HR (OS): </w:t>
      </w:r>
      <w:r w:rsidRPr="00184341">
        <w:rPr>
          <w:rFonts w:eastAsia="Times New Roman" w:cs="Arial"/>
          <w:color w:val="000000"/>
          <w:lang w:eastAsia="bg-BG"/>
        </w:rPr>
        <w:t>0,68, р = 0,0) 414),</w:t>
      </w:r>
    </w:p>
    <w:p w14:paraId="390F424B" w14:textId="77777777" w:rsidR="00184341" w:rsidRPr="00184341" w:rsidRDefault="00184341" w:rsidP="00184341">
      <w:pPr>
        <w:spacing w:line="240" w:lineRule="auto"/>
        <w:rPr>
          <w:rFonts w:eastAsia="Times New Roman" w:cs="Arial"/>
          <w:b/>
          <w:bCs/>
          <w:color w:val="000000"/>
          <w:lang w:eastAsia="bg-BG"/>
        </w:rPr>
      </w:pPr>
    </w:p>
    <w:p w14:paraId="794550CA" w14:textId="7CF0B2FB" w:rsidR="00184341" w:rsidRPr="00184341" w:rsidRDefault="00184341" w:rsidP="00184341">
      <w:pPr>
        <w:spacing w:line="240" w:lineRule="auto"/>
        <w:rPr>
          <w:rFonts w:eastAsia="Times New Roman" w:cs="Arial"/>
          <w:sz w:val="28"/>
          <w:szCs w:val="28"/>
          <w:lang w:eastAsia="bg-BG"/>
        </w:rPr>
      </w:pPr>
      <w:r w:rsidRPr="00184341">
        <w:rPr>
          <w:rFonts w:eastAsia="Times New Roman" w:cs="Arial"/>
          <w:b/>
          <w:bCs/>
          <w:color w:val="000000"/>
          <w:lang w:eastAsia="bg-BG"/>
        </w:rPr>
        <w:t xml:space="preserve">В </w:t>
      </w:r>
      <w:r w:rsidRPr="00184341">
        <w:rPr>
          <w:rFonts w:eastAsia="Times New Roman" w:cs="Arial"/>
          <w:color w:val="000000"/>
          <w:lang w:eastAsia="bg-BG"/>
        </w:rPr>
        <w:t xml:space="preserve">предварително определените стратификационни фактори </w:t>
      </w:r>
      <w:r w:rsidRPr="00184341">
        <w:rPr>
          <w:rFonts w:eastAsia="Times New Roman" w:cs="Arial"/>
          <w:color w:val="000000"/>
          <w:lang w:val="en-US"/>
        </w:rPr>
        <w:t xml:space="preserve">(ECOG </w:t>
      </w:r>
      <w:r w:rsidRPr="00184341">
        <w:rPr>
          <w:rFonts w:eastAsia="Times New Roman" w:cs="Arial"/>
          <w:color w:val="000000"/>
          <w:lang w:eastAsia="bg-BG"/>
        </w:rPr>
        <w:t xml:space="preserve">статус, наличие или отсъствие на макроскопска съдова инвазия и/или разпространение на тумора извън черния дроб) на Проучване 3 и Проучване 4, </w:t>
      </w:r>
      <w:r w:rsidRPr="00184341">
        <w:rPr>
          <w:rFonts w:eastAsia="Times New Roman" w:cs="Arial"/>
          <w:color w:val="000000"/>
          <w:lang w:val="en-US"/>
        </w:rPr>
        <w:t xml:space="preserve">HR </w:t>
      </w:r>
      <w:r w:rsidRPr="00184341">
        <w:rPr>
          <w:rFonts w:eastAsia="Times New Roman" w:cs="Arial"/>
          <w:color w:val="000000"/>
          <w:lang w:eastAsia="bg-BG"/>
        </w:rPr>
        <w:t>представя значително по-добрите резултати на сорафениб спрямо плацебо. Експлоаторният анализ на подгрупата показва по-слабо изразен ефект от лечението при пациенти с отдалечени метастази в изходното ниво на заболяването.</w:t>
      </w:r>
    </w:p>
    <w:p w14:paraId="51B36FE9" w14:textId="77777777" w:rsidR="00184341" w:rsidRPr="00184341" w:rsidRDefault="00184341" w:rsidP="00184341">
      <w:pPr>
        <w:spacing w:line="240" w:lineRule="auto"/>
        <w:rPr>
          <w:rFonts w:eastAsia="Times New Roman" w:cs="Arial"/>
          <w:color w:val="000000"/>
          <w:u w:val="single"/>
          <w:lang w:eastAsia="bg-BG"/>
        </w:rPr>
      </w:pPr>
    </w:p>
    <w:p w14:paraId="73394BEB" w14:textId="196EFB82" w:rsidR="00184341" w:rsidRPr="00184341" w:rsidRDefault="00184341" w:rsidP="00184341">
      <w:pPr>
        <w:spacing w:line="240" w:lineRule="auto"/>
        <w:rPr>
          <w:rFonts w:eastAsia="Times New Roman" w:cs="Arial"/>
          <w:sz w:val="28"/>
          <w:szCs w:val="28"/>
          <w:lang w:eastAsia="bg-BG"/>
        </w:rPr>
      </w:pPr>
      <w:r w:rsidRPr="00184341">
        <w:rPr>
          <w:rFonts w:eastAsia="Times New Roman" w:cs="Arial"/>
          <w:color w:val="000000"/>
          <w:u w:val="single"/>
          <w:lang w:eastAsia="bg-BG"/>
        </w:rPr>
        <w:t>Бъбречно-клетъчен карцином</w:t>
      </w:r>
    </w:p>
    <w:p w14:paraId="01F986A3" w14:textId="77777777" w:rsidR="00184341" w:rsidRPr="00184341" w:rsidRDefault="00184341" w:rsidP="00184341">
      <w:pPr>
        <w:spacing w:line="240" w:lineRule="auto"/>
        <w:rPr>
          <w:rFonts w:eastAsia="Times New Roman" w:cs="Arial"/>
          <w:color w:val="000000"/>
          <w:lang w:eastAsia="bg-BG"/>
        </w:rPr>
      </w:pPr>
    </w:p>
    <w:p w14:paraId="78225DFE" w14:textId="6BD914A2" w:rsidR="00184341" w:rsidRPr="00184341" w:rsidRDefault="00184341" w:rsidP="00184341">
      <w:pPr>
        <w:spacing w:line="240" w:lineRule="auto"/>
        <w:rPr>
          <w:rFonts w:eastAsia="Times New Roman" w:cs="Arial"/>
          <w:sz w:val="28"/>
          <w:szCs w:val="28"/>
          <w:lang w:eastAsia="bg-BG"/>
        </w:rPr>
      </w:pPr>
      <w:r w:rsidRPr="00184341">
        <w:rPr>
          <w:rFonts w:eastAsia="Times New Roman" w:cs="Arial"/>
          <w:color w:val="000000"/>
          <w:lang w:eastAsia="bg-BG"/>
        </w:rPr>
        <w:t xml:space="preserve">Безопасността и ефикасността на сорафениб при лечението на бъбречно-клетъчен карцином </w:t>
      </w:r>
      <w:r w:rsidRPr="00184341">
        <w:rPr>
          <w:rFonts w:eastAsia="Times New Roman" w:cs="Arial"/>
          <w:color w:val="000000"/>
          <w:lang w:val="en-US"/>
        </w:rPr>
        <w:t xml:space="preserve">(RCC) </w:t>
      </w:r>
      <w:r w:rsidRPr="00184341">
        <w:rPr>
          <w:rFonts w:eastAsia="Times New Roman" w:cs="Arial"/>
          <w:color w:val="000000"/>
          <w:lang w:eastAsia="bg-BG"/>
        </w:rPr>
        <w:t>в напреднал стадий е проучвана в следните две клинични проучвания:</w:t>
      </w:r>
    </w:p>
    <w:p w14:paraId="39A3A952" w14:textId="77777777" w:rsidR="00184341" w:rsidRPr="00184341" w:rsidRDefault="00184341" w:rsidP="00184341">
      <w:pPr>
        <w:spacing w:line="240" w:lineRule="auto"/>
        <w:rPr>
          <w:rFonts w:eastAsia="Times New Roman" w:cs="Arial"/>
          <w:color w:val="000000"/>
          <w:lang w:eastAsia="bg-BG"/>
        </w:rPr>
      </w:pPr>
    </w:p>
    <w:p w14:paraId="597CE191" w14:textId="5CAED163" w:rsidR="00184341" w:rsidRPr="00184341" w:rsidRDefault="00184341" w:rsidP="00184341">
      <w:pPr>
        <w:spacing w:line="240" w:lineRule="auto"/>
        <w:rPr>
          <w:rFonts w:eastAsia="Times New Roman" w:cs="Arial"/>
          <w:sz w:val="28"/>
          <w:szCs w:val="28"/>
          <w:lang w:eastAsia="bg-BG"/>
        </w:rPr>
      </w:pPr>
      <w:r w:rsidRPr="00184341">
        <w:rPr>
          <w:rFonts w:eastAsia="Times New Roman" w:cs="Arial"/>
          <w:color w:val="000000"/>
          <w:lang w:eastAsia="bg-BG"/>
        </w:rPr>
        <w:t xml:space="preserve">Проучване 1 (проучване 11213) е фаза III многоцентрово, рандомизирано, двойно сляпо, плацебоконтролирано проучване с 903 пациенти. Включени са само пациентите с ясен бъбречно клетъчен карцином и нисък и междинен риск </w:t>
      </w:r>
      <w:r w:rsidRPr="00184341">
        <w:rPr>
          <w:rFonts w:eastAsia="Times New Roman" w:cs="Arial"/>
          <w:color w:val="000000"/>
          <w:lang w:val="en-US"/>
        </w:rPr>
        <w:t xml:space="preserve">MSKCC (Memorial Sloan Kettering Cancer Center). </w:t>
      </w:r>
      <w:r w:rsidRPr="00184341">
        <w:rPr>
          <w:rFonts w:eastAsia="Times New Roman" w:cs="Arial"/>
          <w:color w:val="000000"/>
          <w:lang w:eastAsia="bg-BG"/>
        </w:rPr>
        <w:t xml:space="preserve">Основните цели са цялостната преживяемост и преживяемост без прогресиране </w:t>
      </w:r>
      <w:r w:rsidRPr="00184341">
        <w:rPr>
          <w:rFonts w:eastAsia="Times New Roman" w:cs="Arial"/>
          <w:color w:val="000000"/>
          <w:lang w:val="en-US"/>
        </w:rPr>
        <w:t>(PFS).</w:t>
      </w:r>
    </w:p>
    <w:p w14:paraId="26E6611A" w14:textId="77777777" w:rsidR="00184341" w:rsidRPr="00184341" w:rsidRDefault="00184341" w:rsidP="00184341">
      <w:pPr>
        <w:spacing w:line="240" w:lineRule="auto"/>
        <w:rPr>
          <w:rFonts w:eastAsia="Times New Roman" w:cs="Arial"/>
          <w:sz w:val="28"/>
          <w:szCs w:val="28"/>
          <w:lang w:eastAsia="bg-BG"/>
        </w:rPr>
      </w:pPr>
      <w:r w:rsidRPr="00184341">
        <w:rPr>
          <w:rFonts w:eastAsia="Times New Roman" w:cs="Arial"/>
          <w:color w:val="000000"/>
          <w:lang w:eastAsia="bg-BG"/>
        </w:rPr>
        <w:t xml:space="preserve">Приблизително половината от пациентите имат </w:t>
      </w:r>
      <w:r w:rsidRPr="00184341">
        <w:rPr>
          <w:rFonts w:eastAsia="Times New Roman" w:cs="Arial"/>
          <w:color w:val="000000"/>
          <w:lang w:val="en-US"/>
        </w:rPr>
        <w:t xml:space="preserve">ECOG </w:t>
      </w:r>
      <w:r w:rsidRPr="00184341">
        <w:rPr>
          <w:rFonts w:eastAsia="Times New Roman" w:cs="Arial"/>
          <w:color w:val="000000"/>
          <w:lang w:eastAsia="bg-BG"/>
        </w:rPr>
        <w:t xml:space="preserve">статус 0 и половината от пациентите са били в ниска </w:t>
      </w:r>
      <w:r w:rsidRPr="00184341">
        <w:rPr>
          <w:rFonts w:eastAsia="Times New Roman" w:cs="Arial"/>
          <w:color w:val="000000"/>
          <w:lang w:val="en-US"/>
        </w:rPr>
        <w:t xml:space="preserve">MSKCC </w:t>
      </w:r>
      <w:r w:rsidRPr="00184341">
        <w:rPr>
          <w:rFonts w:eastAsia="Times New Roman" w:cs="Arial"/>
          <w:color w:val="000000"/>
          <w:lang w:eastAsia="bg-BG"/>
        </w:rPr>
        <w:t>прогностична група.</w:t>
      </w:r>
    </w:p>
    <w:p w14:paraId="6F27EBB9" w14:textId="77777777" w:rsidR="00184341" w:rsidRPr="00184341" w:rsidRDefault="00184341" w:rsidP="00184341">
      <w:pPr>
        <w:spacing w:line="240" w:lineRule="auto"/>
        <w:rPr>
          <w:rFonts w:eastAsia="Times New Roman" w:cs="Arial"/>
          <w:sz w:val="28"/>
          <w:szCs w:val="28"/>
          <w:lang w:eastAsia="bg-BG"/>
        </w:rPr>
      </w:pPr>
      <w:r w:rsidRPr="00184341">
        <w:rPr>
          <w:rFonts w:eastAsia="Times New Roman" w:cs="Arial"/>
          <w:color w:val="000000"/>
          <w:lang w:val="en-US"/>
        </w:rPr>
        <w:t xml:space="preserve">PFS </w:t>
      </w:r>
      <w:r w:rsidRPr="00184341">
        <w:rPr>
          <w:rFonts w:eastAsia="Times New Roman" w:cs="Arial"/>
          <w:color w:val="000000"/>
          <w:lang w:eastAsia="bg-BG"/>
        </w:rPr>
        <w:t xml:space="preserve">е оценен чрез сляп независим радиологичен преглед, като са използвани критерии </w:t>
      </w:r>
      <w:r w:rsidRPr="00184341">
        <w:rPr>
          <w:rFonts w:eastAsia="Times New Roman" w:cs="Arial"/>
          <w:color w:val="000000"/>
          <w:lang w:val="en-US"/>
        </w:rPr>
        <w:t xml:space="preserve">RECIST. PFS </w:t>
      </w:r>
      <w:r w:rsidRPr="00184341">
        <w:rPr>
          <w:rFonts w:eastAsia="Times New Roman" w:cs="Arial"/>
          <w:color w:val="000000"/>
          <w:lang w:eastAsia="bg-BG"/>
        </w:rPr>
        <w:t xml:space="preserve">анализ е проведен на 342 случая при 769 пациенти. Средният </w:t>
      </w:r>
      <w:r w:rsidRPr="00184341">
        <w:rPr>
          <w:rFonts w:eastAsia="Times New Roman" w:cs="Arial"/>
          <w:color w:val="000000"/>
          <w:lang w:val="en-US"/>
        </w:rPr>
        <w:t xml:space="preserve">PFS </w:t>
      </w:r>
      <w:r w:rsidRPr="00184341">
        <w:rPr>
          <w:rFonts w:eastAsia="Times New Roman" w:cs="Arial"/>
          <w:color w:val="000000"/>
          <w:lang w:eastAsia="bg-BG"/>
        </w:rPr>
        <w:t xml:space="preserve">е 167 дни при пациентите, рандомизирани към сорафениб, в сравнение до 84 дни при пациентите на плацебо </w:t>
      </w:r>
      <w:r w:rsidRPr="00184341">
        <w:rPr>
          <w:rFonts w:eastAsia="Times New Roman" w:cs="Arial"/>
          <w:color w:val="000000"/>
          <w:lang w:val="en-US"/>
        </w:rPr>
        <w:t xml:space="preserve">(HR </w:t>
      </w:r>
      <w:r w:rsidRPr="00184341">
        <w:rPr>
          <w:rFonts w:eastAsia="Times New Roman" w:cs="Arial"/>
          <w:color w:val="000000"/>
          <w:lang w:eastAsia="bg-BG"/>
        </w:rPr>
        <w:t xml:space="preserve">= 0,44; 95 % </w:t>
      </w:r>
      <w:r w:rsidRPr="00184341">
        <w:rPr>
          <w:rFonts w:eastAsia="Times New Roman" w:cs="Arial"/>
          <w:color w:val="000000"/>
          <w:lang w:val="en-US"/>
        </w:rPr>
        <w:t xml:space="preserve">CI: </w:t>
      </w:r>
      <w:r w:rsidRPr="00184341">
        <w:rPr>
          <w:rFonts w:eastAsia="Times New Roman" w:cs="Arial"/>
          <w:color w:val="000000"/>
          <w:lang w:eastAsia="bg-BG"/>
        </w:rPr>
        <w:t xml:space="preserve">0,35 - 0,55; р &lt; 0,000001). Възрастта, </w:t>
      </w:r>
      <w:r w:rsidRPr="00184341">
        <w:rPr>
          <w:rFonts w:eastAsia="Times New Roman" w:cs="Arial"/>
          <w:color w:val="000000"/>
          <w:lang w:val="en-US"/>
        </w:rPr>
        <w:t xml:space="preserve">MSKCC </w:t>
      </w:r>
      <w:r w:rsidRPr="00184341">
        <w:rPr>
          <w:rFonts w:eastAsia="Times New Roman" w:cs="Arial"/>
          <w:color w:val="000000"/>
          <w:lang w:eastAsia="bg-BG"/>
        </w:rPr>
        <w:t xml:space="preserve">прогностична група, </w:t>
      </w:r>
      <w:r w:rsidRPr="00184341">
        <w:rPr>
          <w:rFonts w:eastAsia="Times New Roman" w:cs="Arial"/>
          <w:color w:val="000000"/>
          <w:lang w:val="en-US"/>
        </w:rPr>
        <w:t xml:space="preserve">ECOG PS </w:t>
      </w:r>
      <w:r w:rsidRPr="00184341">
        <w:rPr>
          <w:rFonts w:eastAsia="Times New Roman" w:cs="Arial"/>
          <w:color w:val="000000"/>
          <w:lang w:eastAsia="bg-BG"/>
        </w:rPr>
        <w:t>и първичната терапия не повлияват ефекта от лечение.</w:t>
      </w:r>
    </w:p>
    <w:p w14:paraId="59224CA7" w14:textId="77777777" w:rsidR="00184341" w:rsidRPr="00184341" w:rsidRDefault="00184341" w:rsidP="00184341">
      <w:pPr>
        <w:rPr>
          <w:rFonts w:eastAsia="Times New Roman" w:cs="Arial"/>
          <w:color w:val="000000"/>
          <w:lang w:eastAsia="bg-BG"/>
        </w:rPr>
      </w:pPr>
    </w:p>
    <w:p w14:paraId="62868BF6" w14:textId="7097535F" w:rsidR="00184341" w:rsidRPr="00184341" w:rsidRDefault="00184341" w:rsidP="00184341">
      <w:pPr>
        <w:rPr>
          <w:rFonts w:eastAsia="Times New Roman" w:cs="Arial"/>
          <w:color w:val="000000"/>
          <w:lang w:eastAsia="bg-BG"/>
        </w:rPr>
      </w:pPr>
      <w:r w:rsidRPr="00184341">
        <w:rPr>
          <w:rFonts w:eastAsia="Times New Roman" w:cs="Arial"/>
          <w:color w:val="000000"/>
          <w:lang w:eastAsia="bg-BG"/>
        </w:rPr>
        <w:t xml:space="preserve">Междинен анализ (втори междинен анализ) за цялостна преживяемост е проведен при 367 смъртни случаи при 903 пациенти, Номиналната алфа стойност за този анализ е била 0,0094. Медианата на преживяемост е 19,3 месеца при пациенти, рандомизирани към сорафениб, в сравнение с 15,9 месеца при пациентите на плацебо </w:t>
      </w:r>
      <w:r w:rsidRPr="00184341">
        <w:rPr>
          <w:rFonts w:eastAsia="Times New Roman" w:cs="Arial"/>
          <w:color w:val="000000"/>
          <w:lang w:val="en-US"/>
        </w:rPr>
        <w:t xml:space="preserve">(HR </w:t>
      </w:r>
      <w:r w:rsidRPr="00184341">
        <w:rPr>
          <w:rFonts w:eastAsia="Times New Roman" w:cs="Arial"/>
          <w:color w:val="000000"/>
          <w:lang w:eastAsia="bg-BG"/>
        </w:rPr>
        <w:t>= 0,77; 95 % С</w:t>
      </w:r>
      <w:r w:rsidRPr="00184341">
        <w:rPr>
          <w:rFonts w:eastAsia="Times New Roman" w:cs="Arial"/>
          <w:color w:val="000000"/>
          <w:lang w:val="en-US"/>
        </w:rPr>
        <w:t>I:</w:t>
      </w:r>
      <w:r w:rsidRPr="00184341">
        <w:rPr>
          <w:rFonts w:eastAsia="Times New Roman" w:cs="Arial"/>
          <w:color w:val="000000"/>
          <w:lang w:eastAsia="bg-BG"/>
        </w:rPr>
        <w:t xml:space="preserve"> 0,63 - 0,95; р &lt; 0,015). По време на този</w:t>
      </w:r>
      <w:r w:rsidRPr="00184341">
        <w:rPr>
          <w:rFonts w:eastAsia="Times New Roman" w:cs="Arial"/>
          <w:b/>
          <w:bCs/>
          <w:color w:val="000000"/>
          <w:lang w:eastAsia="bg-BG"/>
        </w:rPr>
        <w:t xml:space="preserve"> </w:t>
      </w:r>
      <w:r w:rsidRPr="00184341">
        <w:rPr>
          <w:rFonts w:eastAsia="Times New Roman" w:cs="Arial"/>
          <w:color w:val="000000"/>
          <w:lang w:eastAsia="bg-BG"/>
        </w:rPr>
        <w:t>анализ около 200 пациенти от плацебо групата са преминали към групата със сорафениб.</w:t>
      </w:r>
    </w:p>
    <w:p w14:paraId="78664E6E" w14:textId="07DBD9F6" w:rsidR="00184341" w:rsidRPr="00184341" w:rsidRDefault="00184341" w:rsidP="00184341">
      <w:pPr>
        <w:rPr>
          <w:rFonts w:eastAsia="Times New Roman" w:cs="Arial"/>
          <w:color w:val="000000"/>
          <w:lang w:eastAsia="bg-BG"/>
        </w:rPr>
      </w:pPr>
    </w:p>
    <w:p w14:paraId="6B3EBD6F" w14:textId="77777777" w:rsidR="00184341" w:rsidRPr="00184341" w:rsidRDefault="00184341" w:rsidP="00184341">
      <w:pPr>
        <w:spacing w:line="240" w:lineRule="auto"/>
        <w:rPr>
          <w:rFonts w:eastAsia="Times New Roman" w:cs="Arial"/>
          <w:sz w:val="28"/>
          <w:szCs w:val="28"/>
          <w:lang w:eastAsia="bg-BG"/>
        </w:rPr>
      </w:pPr>
      <w:r w:rsidRPr="00184341">
        <w:rPr>
          <w:rFonts w:eastAsia="Times New Roman" w:cs="Arial"/>
          <w:color w:val="000000"/>
          <w:lang w:eastAsia="bg-BG"/>
        </w:rPr>
        <w:t xml:space="preserve">Проучване 2 е фаза II рандомизирано, с прекъсване проучване при пациенти с метастатични малигнени заболявания, включително </w:t>
      </w:r>
      <w:r w:rsidRPr="00184341">
        <w:rPr>
          <w:rFonts w:eastAsia="Times New Roman" w:cs="Arial"/>
          <w:color w:val="000000"/>
          <w:lang w:val="en-US"/>
        </w:rPr>
        <w:t xml:space="preserve">RCC. </w:t>
      </w:r>
      <w:r w:rsidRPr="00184341">
        <w:rPr>
          <w:rFonts w:eastAsia="Times New Roman" w:cs="Arial"/>
          <w:color w:val="000000"/>
          <w:lang w:eastAsia="bg-BG"/>
        </w:rPr>
        <w:t xml:space="preserve">Пациентите със стабилизирано заболяване и лечение със сорафениб са рандомизирани към плацебо или продължават лечението със сорафениб. Преживяемостта без прогресиране на болестта при пациенти с </w:t>
      </w:r>
      <w:r w:rsidRPr="00184341">
        <w:rPr>
          <w:rFonts w:eastAsia="Times New Roman" w:cs="Arial"/>
          <w:color w:val="000000"/>
          <w:lang w:val="en-US"/>
        </w:rPr>
        <w:t xml:space="preserve">RCC </w:t>
      </w:r>
      <w:r w:rsidRPr="00184341">
        <w:rPr>
          <w:rFonts w:eastAsia="Times New Roman" w:cs="Arial"/>
          <w:color w:val="000000"/>
          <w:lang w:eastAsia="bg-BG"/>
        </w:rPr>
        <w:t xml:space="preserve">е била значително непродължителна в групата на сорафениб (163 дни), отколкото в плацебо групата (41 дни) (р= </w:t>
      </w:r>
      <w:r w:rsidRPr="00184341">
        <w:rPr>
          <w:rFonts w:eastAsia="Times New Roman" w:cs="Arial"/>
          <w:i/>
          <w:iCs/>
          <w:color w:val="000000"/>
          <w:lang w:eastAsia="bg-BG"/>
        </w:rPr>
        <w:t>0,0001,</w:t>
      </w:r>
      <w:r w:rsidRPr="00184341">
        <w:rPr>
          <w:rFonts w:eastAsia="Times New Roman" w:cs="Arial"/>
          <w:color w:val="000000"/>
          <w:lang w:eastAsia="bg-BG"/>
        </w:rPr>
        <w:t xml:space="preserve"> </w:t>
      </w:r>
      <w:r w:rsidRPr="00184341">
        <w:rPr>
          <w:rFonts w:eastAsia="Times New Roman" w:cs="Arial"/>
          <w:color w:val="000000"/>
          <w:lang w:val="en-US"/>
        </w:rPr>
        <w:t xml:space="preserve">HR </w:t>
      </w:r>
      <w:r w:rsidRPr="00184341">
        <w:rPr>
          <w:rFonts w:eastAsia="Times New Roman" w:cs="Arial"/>
          <w:color w:val="000000"/>
          <w:lang w:eastAsia="bg-BG"/>
        </w:rPr>
        <w:t>= 0,29).</w:t>
      </w:r>
    </w:p>
    <w:p w14:paraId="5C5C8263" w14:textId="77777777" w:rsidR="00184341" w:rsidRPr="00184341" w:rsidRDefault="00184341" w:rsidP="00184341">
      <w:pPr>
        <w:spacing w:line="240" w:lineRule="auto"/>
        <w:rPr>
          <w:rFonts w:eastAsia="Times New Roman" w:cs="Arial"/>
          <w:color w:val="000000"/>
          <w:u w:val="single"/>
          <w:lang w:eastAsia="bg-BG"/>
        </w:rPr>
      </w:pPr>
    </w:p>
    <w:p w14:paraId="60F642AF" w14:textId="10385689" w:rsidR="00184341" w:rsidRPr="00184341" w:rsidRDefault="00184341" w:rsidP="00184341">
      <w:pPr>
        <w:spacing w:line="240" w:lineRule="auto"/>
        <w:rPr>
          <w:rFonts w:eastAsia="Times New Roman" w:cs="Arial"/>
          <w:sz w:val="28"/>
          <w:szCs w:val="28"/>
          <w:lang w:eastAsia="bg-BG"/>
        </w:rPr>
      </w:pPr>
      <w:r w:rsidRPr="00184341">
        <w:rPr>
          <w:rFonts w:eastAsia="Times New Roman" w:cs="Arial"/>
          <w:color w:val="000000"/>
          <w:u w:val="single"/>
          <w:lang w:eastAsia="bg-BG"/>
        </w:rPr>
        <w:t>Удължаване на ОТ интервала</w:t>
      </w:r>
    </w:p>
    <w:p w14:paraId="62691B0C" w14:textId="77777777" w:rsidR="00184341" w:rsidRPr="00184341" w:rsidRDefault="00184341" w:rsidP="00184341">
      <w:pPr>
        <w:spacing w:line="240" w:lineRule="auto"/>
        <w:rPr>
          <w:rFonts w:eastAsia="Times New Roman" w:cs="Arial"/>
          <w:sz w:val="28"/>
          <w:szCs w:val="28"/>
          <w:lang w:eastAsia="bg-BG"/>
        </w:rPr>
      </w:pPr>
      <w:r w:rsidRPr="00184341">
        <w:rPr>
          <w:rFonts w:eastAsia="Times New Roman" w:cs="Arial"/>
          <w:color w:val="000000"/>
          <w:lang w:eastAsia="bg-BG"/>
        </w:rPr>
        <w:t xml:space="preserve">В клинично фармакологично изпитване са документирани измерванията на </w:t>
      </w:r>
      <w:r w:rsidRPr="00184341">
        <w:rPr>
          <w:rFonts w:eastAsia="Times New Roman" w:cs="Arial"/>
          <w:color w:val="000000"/>
          <w:lang w:val="en-US"/>
        </w:rPr>
        <w:t xml:space="preserve">QT/QTc </w:t>
      </w:r>
      <w:r w:rsidRPr="00184341">
        <w:rPr>
          <w:rFonts w:eastAsia="Times New Roman" w:cs="Arial"/>
          <w:color w:val="000000"/>
          <w:lang w:eastAsia="bg-BG"/>
        </w:rPr>
        <w:t xml:space="preserve">при 31 пациенти на изходно ниво (преди лечение) и след лечението. След един 28-дневен цикъл на лечение, в момента на максимална концентрация на сорафениб, </w:t>
      </w:r>
      <w:r w:rsidRPr="00184341">
        <w:rPr>
          <w:rFonts w:eastAsia="Times New Roman" w:cs="Arial"/>
          <w:color w:val="000000"/>
          <w:lang w:val="en-US"/>
        </w:rPr>
        <w:t xml:space="preserve">QTcB </w:t>
      </w:r>
      <w:r w:rsidRPr="00184341">
        <w:rPr>
          <w:rFonts w:eastAsia="Times New Roman" w:cs="Arial"/>
          <w:color w:val="000000"/>
          <w:lang w:eastAsia="bg-BG"/>
        </w:rPr>
        <w:t xml:space="preserve">е </w:t>
      </w:r>
      <w:r w:rsidRPr="00184341">
        <w:rPr>
          <w:rFonts w:eastAsia="Times New Roman" w:cs="Arial"/>
          <w:color w:val="000000"/>
          <w:lang w:eastAsia="bg-BG"/>
        </w:rPr>
        <w:lastRenderedPageBreak/>
        <w:t xml:space="preserve">удължен с 4 ±19 </w:t>
      </w:r>
      <w:r w:rsidRPr="00184341">
        <w:rPr>
          <w:rFonts w:eastAsia="Times New Roman" w:cs="Arial"/>
          <w:color w:val="000000"/>
          <w:lang w:val="en-US"/>
        </w:rPr>
        <w:t xml:space="preserve">msec </w:t>
      </w:r>
      <w:r w:rsidRPr="00184341">
        <w:rPr>
          <w:rFonts w:eastAsia="Times New Roman" w:cs="Arial"/>
          <w:color w:val="000000"/>
          <w:lang w:eastAsia="bg-BG"/>
        </w:rPr>
        <w:t xml:space="preserve">и </w:t>
      </w:r>
      <w:r w:rsidRPr="00184341">
        <w:rPr>
          <w:rFonts w:eastAsia="Times New Roman" w:cs="Arial"/>
          <w:color w:val="000000"/>
          <w:lang w:val="en-US"/>
        </w:rPr>
        <w:t xml:space="preserve">QTcF </w:t>
      </w:r>
      <w:r w:rsidRPr="00184341">
        <w:rPr>
          <w:rFonts w:eastAsia="Times New Roman" w:cs="Arial"/>
          <w:color w:val="000000"/>
          <w:lang w:eastAsia="bg-BG"/>
        </w:rPr>
        <w:t xml:space="preserve">с 9±18 </w:t>
      </w:r>
      <w:r w:rsidRPr="00184341">
        <w:rPr>
          <w:rFonts w:eastAsia="Times New Roman" w:cs="Arial"/>
          <w:color w:val="000000"/>
          <w:lang w:val="en-US"/>
        </w:rPr>
        <w:t xml:space="preserve">msec </w:t>
      </w:r>
      <w:r w:rsidRPr="00184341">
        <w:rPr>
          <w:rFonts w:eastAsia="Times New Roman" w:cs="Arial"/>
          <w:color w:val="000000"/>
          <w:lang w:eastAsia="bg-BG"/>
        </w:rPr>
        <w:t xml:space="preserve">в сравнение с изходно ниво на плацебо лечение. По време на ЕКГ мониторинга нито един участник не показва </w:t>
      </w:r>
      <w:r w:rsidRPr="00184341">
        <w:rPr>
          <w:rFonts w:eastAsia="Times New Roman" w:cs="Arial"/>
          <w:color w:val="000000"/>
          <w:lang w:val="en-US"/>
        </w:rPr>
        <w:t xml:space="preserve">QTcB </w:t>
      </w:r>
      <w:r w:rsidRPr="00184341">
        <w:rPr>
          <w:rFonts w:eastAsia="Times New Roman" w:cs="Arial"/>
          <w:color w:val="000000"/>
          <w:lang w:eastAsia="bg-BG"/>
        </w:rPr>
        <w:t xml:space="preserve">или </w:t>
      </w:r>
      <w:r w:rsidRPr="00184341">
        <w:rPr>
          <w:rFonts w:eastAsia="Times New Roman" w:cs="Arial"/>
          <w:color w:val="000000"/>
          <w:lang w:val="en-US"/>
        </w:rPr>
        <w:t xml:space="preserve">QTcF </w:t>
      </w:r>
      <w:r w:rsidRPr="00184341">
        <w:rPr>
          <w:rFonts w:eastAsia="Times New Roman" w:cs="Arial"/>
          <w:color w:val="000000"/>
          <w:lang w:eastAsia="bg-BG"/>
        </w:rPr>
        <w:t xml:space="preserve">&gt;500 </w:t>
      </w:r>
      <w:r w:rsidRPr="00184341">
        <w:rPr>
          <w:rFonts w:eastAsia="Times New Roman" w:cs="Arial"/>
          <w:color w:val="000000"/>
          <w:lang w:val="en-US"/>
        </w:rPr>
        <w:t xml:space="preserve">msec </w:t>
      </w:r>
      <w:r w:rsidRPr="00184341">
        <w:rPr>
          <w:rFonts w:eastAsia="Times New Roman" w:cs="Arial"/>
          <w:color w:val="000000"/>
          <w:lang w:eastAsia="bg-BG"/>
        </w:rPr>
        <w:t>след лечението (вж. точка 4.4),</w:t>
      </w:r>
    </w:p>
    <w:p w14:paraId="5E82B8FF" w14:textId="77777777" w:rsidR="00184341" w:rsidRPr="00184341" w:rsidRDefault="00184341" w:rsidP="00184341">
      <w:pPr>
        <w:spacing w:line="240" w:lineRule="auto"/>
        <w:rPr>
          <w:rFonts w:eastAsia="Times New Roman" w:cs="Arial"/>
          <w:color w:val="000000"/>
          <w:u w:val="single"/>
          <w:lang w:eastAsia="bg-BG"/>
        </w:rPr>
      </w:pPr>
    </w:p>
    <w:p w14:paraId="753F95A4" w14:textId="6402E7C7" w:rsidR="00184341" w:rsidRPr="00184341" w:rsidRDefault="00184341" w:rsidP="00184341">
      <w:pPr>
        <w:spacing w:line="240" w:lineRule="auto"/>
        <w:rPr>
          <w:rFonts w:eastAsia="Times New Roman" w:cs="Arial"/>
          <w:sz w:val="28"/>
          <w:szCs w:val="28"/>
          <w:lang w:eastAsia="bg-BG"/>
        </w:rPr>
      </w:pPr>
      <w:r w:rsidRPr="00184341">
        <w:rPr>
          <w:rFonts w:eastAsia="Times New Roman" w:cs="Arial"/>
          <w:color w:val="000000"/>
          <w:u w:val="single"/>
          <w:lang w:eastAsia="bg-BG"/>
        </w:rPr>
        <w:t>Педиатрична популация</w:t>
      </w:r>
    </w:p>
    <w:p w14:paraId="1845598F" w14:textId="14A24727" w:rsidR="00184341" w:rsidRPr="00184341" w:rsidRDefault="00184341" w:rsidP="00184341">
      <w:pPr>
        <w:rPr>
          <w:rFonts w:eastAsia="Times New Roman" w:cs="Arial"/>
          <w:color w:val="000000"/>
          <w:lang w:eastAsia="bg-BG"/>
        </w:rPr>
      </w:pPr>
      <w:r w:rsidRPr="00184341">
        <w:rPr>
          <w:rFonts w:eastAsia="Times New Roman" w:cs="Arial"/>
          <w:color w:val="000000"/>
          <w:lang w:eastAsia="bg-BG"/>
        </w:rPr>
        <w:t>Европейската агенция по лекарствата освобождава от задължението за предоставяне на резултатите от проучванията във всички подгрупи на педиатричната популация при бъбречен карцином и карцином на бъбречното легенче (с изключение на нефробластом, нефробластоматоза, светлоклетъчен сарком, мезобластен нефром, медуларен бъбречен карцином и рабдоиден тумор на бъбреците), и чернодробен карцином, и карцином на интрахепаталните жлъчни пътища (с изключение на хепатобластом) (вж. точка 4.2 за информация относно употреба в педиатрията)</w:t>
      </w:r>
      <w:r w:rsidRPr="00184341">
        <w:rPr>
          <w:rFonts w:eastAsia="Times New Roman" w:cs="Arial"/>
          <w:color w:val="000000"/>
          <w:lang w:eastAsia="bg-BG"/>
        </w:rPr>
        <w:t>.</w:t>
      </w:r>
    </w:p>
    <w:p w14:paraId="1B2EE1C0" w14:textId="77777777" w:rsidR="00184341" w:rsidRPr="00184341" w:rsidRDefault="00184341" w:rsidP="00184341"/>
    <w:p w14:paraId="436D48F6" w14:textId="2B59A8C9" w:rsidR="00BB22B4" w:rsidRDefault="002C50EE" w:rsidP="00471F10">
      <w:pPr>
        <w:pStyle w:val="Heading2"/>
      </w:pPr>
      <w:r>
        <w:t>5.2. Фармакокинетични свойства</w:t>
      </w:r>
    </w:p>
    <w:p w14:paraId="29ACE0F1" w14:textId="683E40AF" w:rsidR="00184341" w:rsidRDefault="00184341" w:rsidP="00184341"/>
    <w:p w14:paraId="60229CF6" w14:textId="77777777" w:rsidR="00184341" w:rsidRPr="00184341" w:rsidRDefault="00184341" w:rsidP="00184341">
      <w:pPr>
        <w:pStyle w:val="Heading3"/>
        <w:rPr>
          <w:rFonts w:eastAsia="Times New Roman"/>
          <w:sz w:val="28"/>
          <w:szCs w:val="28"/>
          <w:u w:val="single"/>
          <w:lang w:eastAsia="bg-BG"/>
        </w:rPr>
      </w:pPr>
      <w:r w:rsidRPr="00184341">
        <w:rPr>
          <w:rFonts w:eastAsia="Times New Roman"/>
          <w:u w:val="single"/>
          <w:lang w:eastAsia="bg-BG"/>
        </w:rPr>
        <w:t>Абсорбция и разпределение</w:t>
      </w:r>
    </w:p>
    <w:p w14:paraId="2AEC823A" w14:textId="77777777" w:rsidR="00184341" w:rsidRPr="00184341" w:rsidRDefault="00184341" w:rsidP="00184341">
      <w:pPr>
        <w:spacing w:line="240" w:lineRule="auto"/>
        <w:rPr>
          <w:rFonts w:eastAsia="Times New Roman" w:cs="Arial"/>
          <w:sz w:val="28"/>
          <w:szCs w:val="28"/>
          <w:lang w:eastAsia="bg-BG"/>
        </w:rPr>
      </w:pPr>
      <w:r w:rsidRPr="00184341">
        <w:rPr>
          <w:rFonts w:eastAsia="Times New Roman" w:cs="Arial"/>
          <w:color w:val="000000"/>
          <w:lang w:eastAsia="bg-BG"/>
        </w:rPr>
        <w:t>След приложение на сорафениб таблетки, средната относителна бионаличност е 38 - 49 %, когато се сравнява с пероралния разтвор. Абсолютната бионаличност не е известна. След перорално приложение, сорафениб достига пикови плазмени концентрации приблизително до 3 часа. Когато се прилага след консумация на храна със богато съдържание на мазнини, абсорбцията на сорафениб е редуцирана с 30 % в сравнение с приложението на гладно.</w:t>
      </w:r>
    </w:p>
    <w:p w14:paraId="4E4CC462" w14:textId="77777777" w:rsidR="00184341" w:rsidRPr="00184341" w:rsidRDefault="00184341" w:rsidP="00184341">
      <w:pPr>
        <w:spacing w:line="240" w:lineRule="auto"/>
        <w:rPr>
          <w:rFonts w:eastAsia="Times New Roman" w:cs="Arial"/>
          <w:sz w:val="28"/>
          <w:szCs w:val="28"/>
          <w:lang w:eastAsia="bg-BG"/>
        </w:rPr>
      </w:pPr>
      <w:r w:rsidRPr="00184341">
        <w:rPr>
          <w:rFonts w:eastAsia="Times New Roman" w:cs="Arial"/>
          <w:color w:val="000000"/>
          <w:lang w:eastAsia="bg-BG"/>
        </w:rPr>
        <w:t>Стойностите на С</w:t>
      </w:r>
      <w:r w:rsidRPr="00184341">
        <w:rPr>
          <w:rFonts w:eastAsia="Times New Roman" w:cs="Arial"/>
          <w:color w:val="000000"/>
          <w:lang w:val="en-US"/>
        </w:rPr>
        <w:t>max</w:t>
      </w:r>
      <w:r w:rsidRPr="00184341">
        <w:rPr>
          <w:rFonts w:eastAsia="Times New Roman" w:cs="Arial"/>
          <w:color w:val="000000"/>
          <w:lang w:eastAsia="bg-BG"/>
        </w:rPr>
        <w:t xml:space="preserve"> и </w:t>
      </w:r>
      <w:r w:rsidRPr="00184341">
        <w:rPr>
          <w:rFonts w:eastAsia="Times New Roman" w:cs="Arial"/>
          <w:color w:val="000000"/>
          <w:lang w:val="en-US"/>
        </w:rPr>
        <w:t xml:space="preserve">AUC </w:t>
      </w:r>
      <w:r w:rsidRPr="00184341">
        <w:rPr>
          <w:rFonts w:eastAsia="Times New Roman" w:cs="Arial"/>
          <w:color w:val="000000"/>
          <w:lang w:eastAsia="bg-BG"/>
        </w:rPr>
        <w:t xml:space="preserve">се повишават непропорционално при дози по-високи от 400 </w:t>
      </w:r>
      <w:r w:rsidRPr="00184341">
        <w:rPr>
          <w:rFonts w:eastAsia="Times New Roman" w:cs="Arial"/>
          <w:color w:val="000000"/>
          <w:lang w:val="en-US"/>
        </w:rPr>
        <w:t xml:space="preserve">mg </w:t>
      </w:r>
      <w:r w:rsidRPr="00184341">
        <w:rPr>
          <w:rFonts w:eastAsia="Times New Roman" w:cs="Arial"/>
          <w:color w:val="000000"/>
          <w:lang w:eastAsia="bg-BG"/>
        </w:rPr>
        <w:t xml:space="preserve">два пъти дневно. Свързването на сорафениб с пламените протеини е 99,5 % </w:t>
      </w:r>
      <w:r w:rsidRPr="00184341">
        <w:rPr>
          <w:rFonts w:eastAsia="Times New Roman" w:cs="Arial"/>
          <w:i/>
          <w:iCs/>
          <w:color w:val="000000"/>
          <w:lang w:val="en-US"/>
        </w:rPr>
        <w:t>in vitro.</w:t>
      </w:r>
    </w:p>
    <w:p w14:paraId="7216D138" w14:textId="77777777" w:rsidR="00184341" w:rsidRPr="00184341" w:rsidRDefault="00184341" w:rsidP="00184341">
      <w:pPr>
        <w:spacing w:line="240" w:lineRule="auto"/>
        <w:rPr>
          <w:rFonts w:eastAsia="Times New Roman" w:cs="Arial"/>
          <w:sz w:val="28"/>
          <w:szCs w:val="28"/>
          <w:lang w:eastAsia="bg-BG"/>
        </w:rPr>
      </w:pPr>
      <w:r w:rsidRPr="00184341">
        <w:rPr>
          <w:rFonts w:eastAsia="Times New Roman" w:cs="Arial"/>
          <w:color w:val="000000"/>
          <w:lang w:eastAsia="bg-BG"/>
        </w:rPr>
        <w:t>Многократното приложение на сорафениб за 7 дни води до 2,5 - 7-кратно кумулиране в сравнение с приложение на еднократна доза. Стационарните плазмени концентрации на сорафениб се постигат до 7 дни, с пиково до минимално отношение на средните концентрации по-малко от 2.</w:t>
      </w:r>
    </w:p>
    <w:p w14:paraId="76CFE689" w14:textId="77777777" w:rsidR="00184341" w:rsidRPr="00184341" w:rsidRDefault="00184341" w:rsidP="00184341">
      <w:pPr>
        <w:spacing w:line="240" w:lineRule="auto"/>
        <w:rPr>
          <w:rFonts w:eastAsia="Times New Roman" w:cs="Arial"/>
          <w:color w:val="000000"/>
          <w:u w:val="single"/>
          <w:lang w:eastAsia="bg-BG"/>
        </w:rPr>
      </w:pPr>
    </w:p>
    <w:p w14:paraId="70654794" w14:textId="2F44A08C" w:rsidR="00184341" w:rsidRPr="00184341" w:rsidRDefault="00184341" w:rsidP="00184341">
      <w:pPr>
        <w:pStyle w:val="Heading3"/>
        <w:rPr>
          <w:rFonts w:eastAsia="Times New Roman"/>
          <w:sz w:val="28"/>
          <w:szCs w:val="28"/>
          <w:u w:val="single"/>
          <w:lang w:eastAsia="bg-BG"/>
        </w:rPr>
      </w:pPr>
      <w:r w:rsidRPr="00184341">
        <w:rPr>
          <w:rFonts w:eastAsia="Times New Roman"/>
          <w:u w:val="single"/>
          <w:lang w:eastAsia="bg-BG"/>
        </w:rPr>
        <w:t>Биотоансформация и елиминиране</w:t>
      </w:r>
    </w:p>
    <w:p w14:paraId="7877EAE1" w14:textId="77777777" w:rsidR="00184341" w:rsidRPr="00184341" w:rsidRDefault="00184341" w:rsidP="00184341">
      <w:pPr>
        <w:spacing w:line="240" w:lineRule="auto"/>
        <w:rPr>
          <w:rFonts w:eastAsia="Times New Roman" w:cs="Arial"/>
          <w:sz w:val="28"/>
          <w:szCs w:val="28"/>
          <w:lang w:eastAsia="bg-BG"/>
        </w:rPr>
      </w:pPr>
      <w:r w:rsidRPr="00184341">
        <w:rPr>
          <w:rFonts w:eastAsia="Times New Roman" w:cs="Arial"/>
          <w:color w:val="000000"/>
          <w:lang w:eastAsia="bg-BG"/>
        </w:rPr>
        <w:t xml:space="preserve">Елиминационният лолуживот на сорафениб е приблизително 25 - 48 часа. Сорафениб се метаболизира предимно в черния дроб и е подложен на окислителен метаболизъм, медииран посредством цитохром </w:t>
      </w:r>
      <w:r w:rsidRPr="00184341">
        <w:rPr>
          <w:rFonts w:eastAsia="Times New Roman" w:cs="Arial"/>
          <w:color w:val="000000"/>
          <w:lang w:val="en-US"/>
        </w:rPr>
        <w:t xml:space="preserve">CYP </w:t>
      </w:r>
      <w:r w:rsidRPr="00184341">
        <w:rPr>
          <w:rFonts w:eastAsia="Times New Roman" w:cs="Arial"/>
          <w:color w:val="000000"/>
          <w:lang w:eastAsia="bg-BG"/>
        </w:rPr>
        <w:t xml:space="preserve">ЗА4, както и глюкурониране, посредством </w:t>
      </w:r>
      <w:r w:rsidRPr="00184341">
        <w:rPr>
          <w:rFonts w:eastAsia="Times New Roman" w:cs="Arial"/>
          <w:color w:val="000000"/>
          <w:lang w:val="en-US"/>
        </w:rPr>
        <w:t xml:space="preserve">UGT1A9. </w:t>
      </w:r>
      <w:r w:rsidRPr="00184341">
        <w:rPr>
          <w:rFonts w:eastAsia="Times New Roman" w:cs="Arial"/>
          <w:color w:val="000000"/>
          <w:lang w:eastAsia="bg-BG"/>
        </w:rPr>
        <w:t>Конюгираните съединения на сорафениб могат да бъдат разцепени в стомашно-чревния тракт от активността на бактериална глукуронидаза, позволяваща реабсорбцията на неконюгираното активно вещество. Доказано е, че едновременното прилагане на неомицин пречи на този процес, намалявайки средната бионаличност на сорафениб с 54%.</w:t>
      </w:r>
    </w:p>
    <w:p w14:paraId="56E5218A" w14:textId="77777777" w:rsidR="00184341" w:rsidRPr="00184341" w:rsidRDefault="00184341" w:rsidP="00184341">
      <w:pPr>
        <w:spacing w:line="240" w:lineRule="auto"/>
        <w:rPr>
          <w:rFonts w:eastAsia="Times New Roman" w:cs="Arial"/>
          <w:color w:val="000000"/>
          <w:lang w:eastAsia="bg-BG"/>
        </w:rPr>
      </w:pPr>
    </w:p>
    <w:p w14:paraId="7076B20C" w14:textId="77777777" w:rsidR="00184341" w:rsidRPr="00184341" w:rsidRDefault="00184341" w:rsidP="00184341">
      <w:pPr>
        <w:rPr>
          <w:rFonts w:eastAsia="Times New Roman" w:cs="Arial"/>
          <w:sz w:val="28"/>
          <w:szCs w:val="28"/>
          <w:lang w:eastAsia="bg-BG"/>
        </w:rPr>
      </w:pPr>
      <w:r w:rsidRPr="00184341">
        <w:rPr>
          <w:rFonts w:eastAsia="Times New Roman" w:cs="Arial"/>
          <w:color w:val="000000"/>
          <w:lang w:eastAsia="bg-BG"/>
        </w:rPr>
        <w:t>Сорафениб е приблизително 70 - 85 % от циркулиращи вещества в плазмата при стационарно</w:t>
      </w:r>
      <w:r w:rsidRPr="00184341">
        <w:rPr>
          <w:rFonts w:eastAsia="Times New Roman" w:cs="Arial"/>
          <w:b/>
          <w:bCs/>
          <w:color w:val="000000"/>
          <w:lang w:eastAsia="bg-BG"/>
        </w:rPr>
        <w:t xml:space="preserve"> </w:t>
      </w:r>
      <w:r w:rsidRPr="00184341">
        <w:rPr>
          <w:rFonts w:eastAsia="Times New Roman" w:cs="Arial"/>
          <w:color w:val="000000"/>
          <w:lang w:eastAsia="bg-BG"/>
        </w:rPr>
        <w:t xml:space="preserve">състояние. Идентифицирани са 8 метаболита на сорафениб, 5 от които се откривате в плазмата. Главният циркулиращ метаболит на сорафениб в плазмата, пиридин </w:t>
      </w:r>
      <w:r w:rsidRPr="00184341">
        <w:rPr>
          <w:rFonts w:eastAsia="Times New Roman" w:cs="Arial"/>
          <w:color w:val="000000"/>
          <w:lang w:val="en-US"/>
        </w:rPr>
        <w:t>N-</w:t>
      </w:r>
      <w:r w:rsidRPr="00184341">
        <w:rPr>
          <w:rFonts w:eastAsia="Times New Roman" w:cs="Arial"/>
          <w:color w:val="000000"/>
          <w:lang w:eastAsia="bg-BG"/>
        </w:rPr>
        <w:t xml:space="preserve">оксид, показва </w:t>
      </w:r>
      <w:r w:rsidRPr="00184341">
        <w:rPr>
          <w:rFonts w:eastAsia="Times New Roman" w:cs="Arial"/>
          <w:color w:val="000000"/>
          <w:lang w:val="en-US"/>
        </w:rPr>
        <w:t>in vitro</w:t>
      </w:r>
      <w:r w:rsidRPr="00184341">
        <w:rPr>
          <w:rFonts w:eastAsia="Times New Roman" w:cs="Arial"/>
          <w:color w:val="000000"/>
        </w:rPr>
        <w:t xml:space="preserve"> </w:t>
      </w:r>
      <w:r w:rsidRPr="00184341">
        <w:rPr>
          <w:rFonts w:eastAsia="Times New Roman" w:cs="Arial"/>
          <w:color w:val="000000"/>
          <w:lang w:eastAsia="bg-BG"/>
        </w:rPr>
        <w:t>активност, подобна на тази на сорафениб. Този метаболит представлява приблизително 9 -16% от циркулиращи вещества в стационарно състояние.</w:t>
      </w:r>
    </w:p>
    <w:p w14:paraId="3C71C6B3" w14:textId="77777777" w:rsidR="00184341" w:rsidRPr="00184341" w:rsidRDefault="00184341" w:rsidP="00184341">
      <w:pPr>
        <w:spacing w:line="240" w:lineRule="auto"/>
        <w:rPr>
          <w:rFonts w:eastAsia="Times New Roman" w:cs="Arial"/>
          <w:color w:val="000000"/>
          <w:lang w:eastAsia="bg-BG"/>
        </w:rPr>
      </w:pPr>
    </w:p>
    <w:p w14:paraId="14996B2D" w14:textId="49DCF362" w:rsidR="00184341" w:rsidRPr="00184341" w:rsidRDefault="00184341" w:rsidP="00184341">
      <w:pPr>
        <w:spacing w:line="240" w:lineRule="auto"/>
        <w:rPr>
          <w:rFonts w:eastAsia="Times New Roman" w:cs="Arial"/>
          <w:sz w:val="28"/>
          <w:szCs w:val="28"/>
          <w:lang w:eastAsia="bg-BG"/>
        </w:rPr>
      </w:pPr>
      <w:r w:rsidRPr="00184341">
        <w:rPr>
          <w:rFonts w:eastAsia="Times New Roman" w:cs="Arial"/>
          <w:color w:val="000000"/>
          <w:lang w:eastAsia="bg-BG"/>
        </w:rPr>
        <w:t xml:space="preserve">След перорално приложение на доза 100 </w:t>
      </w:r>
      <w:r w:rsidRPr="00184341">
        <w:rPr>
          <w:rFonts w:eastAsia="Times New Roman" w:cs="Arial"/>
          <w:color w:val="000000"/>
          <w:lang w:val="en-US"/>
        </w:rPr>
        <w:t xml:space="preserve">mg </w:t>
      </w:r>
      <w:r w:rsidRPr="00184341">
        <w:rPr>
          <w:rFonts w:eastAsia="Times New Roman" w:cs="Arial"/>
          <w:color w:val="000000"/>
          <w:lang w:eastAsia="bg-BG"/>
        </w:rPr>
        <w:t xml:space="preserve">разтвор сорафениб, 96 % от дозата се възстановява в рамките на 14 дни, 77 % от дозата се екскретира в изпражненията и 19 % се екскретира в урината като глюкуронирани метаболити. Непромененият сорафениб, </w:t>
      </w:r>
      <w:r w:rsidRPr="00184341">
        <w:rPr>
          <w:rFonts w:eastAsia="Times New Roman" w:cs="Arial"/>
          <w:color w:val="000000"/>
          <w:lang w:eastAsia="bg-BG"/>
        </w:rPr>
        <w:lastRenderedPageBreak/>
        <w:t>който представлява 51 % от дозата, е установен в изпражненията и не се установява в урината, което показва, че билиарната екскреция на непромененото активно вещество може да допринесе за елиминирането на сорафениб.</w:t>
      </w:r>
    </w:p>
    <w:p w14:paraId="0BA1DCD0" w14:textId="77777777" w:rsidR="00184341" w:rsidRPr="00184341" w:rsidRDefault="00184341" w:rsidP="00184341">
      <w:pPr>
        <w:spacing w:line="240" w:lineRule="auto"/>
        <w:rPr>
          <w:rFonts w:eastAsia="Times New Roman" w:cs="Arial"/>
          <w:color w:val="000000"/>
          <w:u w:val="single"/>
          <w:lang w:eastAsia="bg-BG"/>
        </w:rPr>
      </w:pPr>
    </w:p>
    <w:p w14:paraId="5CB157B7" w14:textId="73E0A188" w:rsidR="00184341" w:rsidRPr="00184341" w:rsidRDefault="00184341" w:rsidP="00184341">
      <w:pPr>
        <w:spacing w:line="240" w:lineRule="auto"/>
        <w:rPr>
          <w:rFonts w:eastAsia="Times New Roman" w:cs="Arial"/>
          <w:sz w:val="28"/>
          <w:szCs w:val="28"/>
          <w:lang w:eastAsia="bg-BG"/>
        </w:rPr>
      </w:pPr>
      <w:r w:rsidRPr="00184341">
        <w:rPr>
          <w:rFonts w:eastAsia="Times New Roman" w:cs="Arial"/>
          <w:color w:val="000000"/>
          <w:u w:val="single"/>
          <w:lang w:eastAsia="bg-BG"/>
        </w:rPr>
        <w:t>Фармакокинетика при специални популации</w:t>
      </w:r>
    </w:p>
    <w:p w14:paraId="1A7EF46E" w14:textId="77777777" w:rsidR="00184341" w:rsidRPr="00184341" w:rsidRDefault="00184341" w:rsidP="00184341">
      <w:pPr>
        <w:spacing w:line="240" w:lineRule="auto"/>
        <w:rPr>
          <w:rFonts w:eastAsia="Times New Roman" w:cs="Arial"/>
          <w:sz w:val="28"/>
          <w:szCs w:val="28"/>
          <w:lang w:eastAsia="bg-BG"/>
        </w:rPr>
      </w:pPr>
      <w:r w:rsidRPr="00184341">
        <w:rPr>
          <w:rFonts w:eastAsia="Times New Roman" w:cs="Arial"/>
          <w:color w:val="000000"/>
          <w:lang w:eastAsia="bg-BG"/>
        </w:rPr>
        <w:t>Анализът на демографските данни показва, че няма връзка между фармакокинетиката и възрастта (до 65 годишна възраст), пола или телесното тегло.</w:t>
      </w:r>
    </w:p>
    <w:p w14:paraId="451273DA" w14:textId="77777777" w:rsidR="00184341" w:rsidRPr="00184341" w:rsidRDefault="00184341" w:rsidP="00184341">
      <w:pPr>
        <w:spacing w:line="240" w:lineRule="auto"/>
        <w:rPr>
          <w:rFonts w:eastAsia="Times New Roman" w:cs="Arial"/>
          <w:color w:val="000000"/>
          <w:u w:val="single"/>
          <w:lang w:eastAsia="bg-BG"/>
        </w:rPr>
      </w:pPr>
    </w:p>
    <w:p w14:paraId="1373D77C" w14:textId="5BA0DB85" w:rsidR="00184341" w:rsidRPr="00184341" w:rsidRDefault="00184341" w:rsidP="00184341">
      <w:pPr>
        <w:spacing w:line="240" w:lineRule="auto"/>
        <w:rPr>
          <w:rFonts w:eastAsia="Times New Roman" w:cs="Arial"/>
          <w:sz w:val="28"/>
          <w:szCs w:val="28"/>
          <w:lang w:eastAsia="bg-BG"/>
        </w:rPr>
      </w:pPr>
      <w:r w:rsidRPr="00184341">
        <w:rPr>
          <w:rFonts w:eastAsia="Times New Roman" w:cs="Arial"/>
          <w:color w:val="000000"/>
          <w:u w:val="single"/>
          <w:lang w:eastAsia="bg-BG"/>
        </w:rPr>
        <w:t>Педиатрична популация</w:t>
      </w:r>
    </w:p>
    <w:p w14:paraId="5E1E7A60" w14:textId="77777777" w:rsidR="00184341" w:rsidRPr="00184341" w:rsidRDefault="00184341" w:rsidP="00184341">
      <w:pPr>
        <w:spacing w:line="240" w:lineRule="auto"/>
        <w:rPr>
          <w:rFonts w:eastAsia="Times New Roman" w:cs="Arial"/>
          <w:sz w:val="28"/>
          <w:szCs w:val="28"/>
          <w:lang w:eastAsia="bg-BG"/>
        </w:rPr>
      </w:pPr>
      <w:r w:rsidRPr="00184341">
        <w:rPr>
          <w:rFonts w:eastAsia="Times New Roman" w:cs="Arial"/>
          <w:color w:val="000000"/>
          <w:lang w:eastAsia="bg-BG"/>
        </w:rPr>
        <w:t>Не са проведени проучвания върху фармакокинетиката на сорафениб при педиатрични пациенти.</w:t>
      </w:r>
    </w:p>
    <w:p w14:paraId="0900C4AF" w14:textId="77777777" w:rsidR="00184341" w:rsidRPr="00184341" w:rsidRDefault="00184341" w:rsidP="00184341">
      <w:pPr>
        <w:spacing w:line="240" w:lineRule="auto"/>
        <w:rPr>
          <w:rFonts w:eastAsia="Times New Roman" w:cs="Arial"/>
          <w:color w:val="000000"/>
          <w:u w:val="single"/>
          <w:lang w:eastAsia="bg-BG"/>
        </w:rPr>
      </w:pPr>
    </w:p>
    <w:p w14:paraId="524995E8" w14:textId="28C42D0B" w:rsidR="00184341" w:rsidRPr="00184341" w:rsidRDefault="00184341" w:rsidP="00184341">
      <w:pPr>
        <w:spacing w:line="240" w:lineRule="auto"/>
        <w:rPr>
          <w:rFonts w:eastAsia="Times New Roman" w:cs="Arial"/>
          <w:sz w:val="28"/>
          <w:szCs w:val="28"/>
          <w:lang w:eastAsia="bg-BG"/>
        </w:rPr>
      </w:pPr>
      <w:r w:rsidRPr="00184341">
        <w:rPr>
          <w:rFonts w:eastAsia="Times New Roman" w:cs="Arial"/>
          <w:color w:val="000000"/>
          <w:u w:val="single"/>
          <w:lang w:eastAsia="bg-BG"/>
        </w:rPr>
        <w:t>Раса</w:t>
      </w:r>
    </w:p>
    <w:p w14:paraId="6C08C7BC" w14:textId="77777777" w:rsidR="00184341" w:rsidRPr="00184341" w:rsidRDefault="00184341" w:rsidP="00184341">
      <w:pPr>
        <w:spacing w:line="240" w:lineRule="auto"/>
        <w:rPr>
          <w:rFonts w:eastAsia="Times New Roman" w:cs="Arial"/>
          <w:sz w:val="28"/>
          <w:szCs w:val="28"/>
          <w:lang w:eastAsia="bg-BG"/>
        </w:rPr>
      </w:pPr>
      <w:r w:rsidRPr="00184341">
        <w:rPr>
          <w:rFonts w:eastAsia="Times New Roman" w:cs="Arial"/>
          <w:color w:val="000000"/>
          <w:lang w:eastAsia="bg-BG"/>
        </w:rPr>
        <w:t>Няма клинично значими различия във фармакокинетиките при кавказка и азиатска популация.</w:t>
      </w:r>
    </w:p>
    <w:p w14:paraId="65C3EF67" w14:textId="77777777" w:rsidR="00184341" w:rsidRPr="00184341" w:rsidRDefault="00184341" w:rsidP="00184341">
      <w:pPr>
        <w:spacing w:line="240" w:lineRule="auto"/>
        <w:rPr>
          <w:rFonts w:eastAsia="Times New Roman" w:cs="Arial"/>
          <w:color w:val="000000"/>
          <w:u w:val="single"/>
          <w:lang w:eastAsia="bg-BG"/>
        </w:rPr>
      </w:pPr>
    </w:p>
    <w:p w14:paraId="27E36B10" w14:textId="6FF359AB" w:rsidR="00184341" w:rsidRPr="00184341" w:rsidRDefault="00184341" w:rsidP="00184341">
      <w:pPr>
        <w:spacing w:line="240" w:lineRule="auto"/>
        <w:rPr>
          <w:rFonts w:eastAsia="Times New Roman" w:cs="Arial"/>
          <w:sz w:val="28"/>
          <w:szCs w:val="28"/>
          <w:lang w:eastAsia="bg-BG"/>
        </w:rPr>
      </w:pPr>
      <w:r w:rsidRPr="00184341">
        <w:rPr>
          <w:rFonts w:eastAsia="Times New Roman" w:cs="Arial"/>
          <w:color w:val="000000"/>
          <w:u w:val="single"/>
          <w:lang w:eastAsia="bg-BG"/>
        </w:rPr>
        <w:t>Бъбречно увреждане</w:t>
      </w:r>
    </w:p>
    <w:p w14:paraId="5A8F10B7" w14:textId="77777777" w:rsidR="00184341" w:rsidRPr="00184341" w:rsidRDefault="00184341" w:rsidP="00184341">
      <w:pPr>
        <w:spacing w:line="240" w:lineRule="auto"/>
        <w:rPr>
          <w:rFonts w:eastAsia="Times New Roman" w:cs="Arial"/>
          <w:sz w:val="28"/>
          <w:szCs w:val="28"/>
          <w:lang w:eastAsia="bg-BG"/>
        </w:rPr>
      </w:pPr>
      <w:r w:rsidRPr="00184341">
        <w:rPr>
          <w:rFonts w:eastAsia="Times New Roman" w:cs="Arial"/>
          <w:color w:val="000000"/>
          <w:lang w:eastAsia="bg-BG"/>
        </w:rPr>
        <w:t xml:space="preserve">В 4 клинични проучвания фаза I, стационарната експозиция е подобна при пациенти с леко до умерено бъбречно увреждане в сравнение с експозицията при пациенти с нормална бъбречна функция. При клинично фамакологично проучване (еднократна доза от 400 </w:t>
      </w:r>
      <w:r w:rsidRPr="00184341">
        <w:rPr>
          <w:rFonts w:eastAsia="Times New Roman" w:cs="Arial"/>
          <w:color w:val="000000"/>
          <w:lang w:val="en-US"/>
        </w:rPr>
        <w:t xml:space="preserve">mg </w:t>
      </w:r>
      <w:r w:rsidRPr="00184341">
        <w:rPr>
          <w:rFonts w:eastAsia="Times New Roman" w:cs="Arial"/>
          <w:color w:val="000000"/>
          <w:lang w:eastAsia="bg-BG"/>
        </w:rPr>
        <w:t>сорафениб) не е наблюдавана връзка между експозицията на сорафениб и бъбречната функция при лица с нормална бъбречна функция, леко, умерено или тежко бъбречно увреждане. Няма данни за пациентите, които се нуждаят от диализа.</w:t>
      </w:r>
    </w:p>
    <w:p w14:paraId="1D418650" w14:textId="77777777" w:rsidR="00184341" w:rsidRPr="00184341" w:rsidRDefault="00184341" w:rsidP="00184341">
      <w:pPr>
        <w:spacing w:line="240" w:lineRule="auto"/>
        <w:rPr>
          <w:rFonts w:eastAsia="Times New Roman" w:cs="Arial"/>
          <w:color w:val="000000"/>
          <w:u w:val="single"/>
          <w:lang w:eastAsia="bg-BG"/>
        </w:rPr>
      </w:pPr>
    </w:p>
    <w:p w14:paraId="3D811665" w14:textId="7D861E33" w:rsidR="00184341" w:rsidRPr="00184341" w:rsidRDefault="00184341" w:rsidP="00184341">
      <w:pPr>
        <w:spacing w:line="240" w:lineRule="auto"/>
        <w:rPr>
          <w:rFonts w:eastAsia="Times New Roman" w:cs="Arial"/>
          <w:sz w:val="28"/>
          <w:szCs w:val="28"/>
          <w:lang w:eastAsia="bg-BG"/>
        </w:rPr>
      </w:pPr>
      <w:r w:rsidRPr="00184341">
        <w:rPr>
          <w:rFonts w:eastAsia="Times New Roman" w:cs="Arial"/>
          <w:color w:val="000000"/>
          <w:u w:val="single"/>
          <w:lang w:eastAsia="bg-BG"/>
        </w:rPr>
        <w:t>Чернодробно увреждане</w:t>
      </w:r>
    </w:p>
    <w:p w14:paraId="1C44F956" w14:textId="77777777" w:rsidR="00184341" w:rsidRPr="00184341" w:rsidRDefault="00184341" w:rsidP="00184341">
      <w:pPr>
        <w:spacing w:line="240" w:lineRule="auto"/>
        <w:rPr>
          <w:rFonts w:eastAsia="Times New Roman" w:cs="Arial"/>
          <w:sz w:val="28"/>
          <w:szCs w:val="28"/>
          <w:lang w:eastAsia="bg-BG"/>
        </w:rPr>
      </w:pPr>
      <w:r w:rsidRPr="00184341">
        <w:rPr>
          <w:rFonts w:eastAsia="Times New Roman" w:cs="Arial"/>
          <w:color w:val="000000"/>
          <w:lang w:eastAsia="bg-BG"/>
        </w:rPr>
        <w:t xml:space="preserve">При пациенти с хепатоцелуларен карцином </w:t>
      </w:r>
      <w:r w:rsidRPr="00184341">
        <w:rPr>
          <w:rFonts w:eastAsia="Times New Roman" w:cs="Arial"/>
          <w:i/>
          <w:iCs/>
          <w:color w:val="000000"/>
          <w:lang w:eastAsia="bg-BG"/>
        </w:rPr>
        <w:t>(НСС)</w:t>
      </w:r>
      <w:r w:rsidRPr="00184341">
        <w:rPr>
          <w:rFonts w:eastAsia="Times New Roman" w:cs="Arial"/>
          <w:color w:val="000000"/>
          <w:lang w:eastAsia="bg-BG"/>
        </w:rPr>
        <w:t xml:space="preserve"> с </w:t>
      </w:r>
      <w:r w:rsidRPr="00184341">
        <w:rPr>
          <w:rFonts w:eastAsia="Times New Roman" w:cs="Arial"/>
          <w:color w:val="000000"/>
          <w:lang w:val="en-US"/>
        </w:rPr>
        <w:t xml:space="preserve">Child-Pugh </w:t>
      </w:r>
      <w:r w:rsidRPr="00184341">
        <w:rPr>
          <w:rFonts w:eastAsia="Times New Roman" w:cs="Arial"/>
          <w:color w:val="000000"/>
          <w:lang w:eastAsia="bg-BG"/>
        </w:rPr>
        <w:t xml:space="preserve">А или В (леко до умерено) чернодробно увреждане стойностите на експозицията са сравними и са в границите на експозициите, наблюдавани при пациенти без чернодробно увреждане. Фармакокинетиката (РК) на сорафениб при пациенти с </w:t>
      </w:r>
      <w:r w:rsidRPr="00184341">
        <w:rPr>
          <w:rFonts w:eastAsia="Times New Roman" w:cs="Arial"/>
          <w:color w:val="000000"/>
          <w:lang w:val="en-US"/>
        </w:rPr>
        <w:t xml:space="preserve">Child-Pugh </w:t>
      </w:r>
      <w:r w:rsidRPr="00184341">
        <w:rPr>
          <w:rFonts w:eastAsia="Times New Roman" w:cs="Arial"/>
          <w:color w:val="000000"/>
          <w:lang w:eastAsia="bg-BG"/>
        </w:rPr>
        <w:t xml:space="preserve">А или В без НСС е подобна на РК при здрави доброволци. Няма данни при пациенти с </w:t>
      </w:r>
      <w:r w:rsidRPr="00184341">
        <w:rPr>
          <w:rFonts w:eastAsia="Times New Roman" w:cs="Arial"/>
          <w:color w:val="000000"/>
          <w:lang w:val="en-US"/>
        </w:rPr>
        <w:t xml:space="preserve">Child-Pugh </w:t>
      </w:r>
      <w:r w:rsidRPr="00184341">
        <w:rPr>
          <w:rFonts w:eastAsia="Times New Roman" w:cs="Arial"/>
          <w:color w:val="000000"/>
          <w:lang w:eastAsia="bg-BG"/>
        </w:rPr>
        <w:t>С (тежко) чернодробно увреждане. Сорафениб се елиминира предимно чрез черния дроб и експозицията може да бъде повишена при тази група пациенти.</w:t>
      </w:r>
    </w:p>
    <w:p w14:paraId="37447030" w14:textId="77777777" w:rsidR="00184341" w:rsidRPr="00184341" w:rsidRDefault="00184341" w:rsidP="00184341"/>
    <w:p w14:paraId="4F31844C" w14:textId="06A3921F" w:rsidR="00875EEC" w:rsidRDefault="002C50EE" w:rsidP="005726E3">
      <w:pPr>
        <w:pStyle w:val="Heading2"/>
      </w:pPr>
      <w:r>
        <w:t>5.3. Предклинични данни за безопасност</w:t>
      </w:r>
    </w:p>
    <w:p w14:paraId="4C2973F8" w14:textId="6D52E096" w:rsidR="00184341" w:rsidRDefault="00184341" w:rsidP="00184341"/>
    <w:p w14:paraId="3B65A3F3" w14:textId="77777777" w:rsidR="00184341" w:rsidRPr="00184341" w:rsidRDefault="00184341" w:rsidP="00184341">
      <w:pPr>
        <w:spacing w:line="240" w:lineRule="auto"/>
        <w:rPr>
          <w:rFonts w:eastAsia="Times New Roman" w:cs="Arial"/>
          <w:sz w:val="28"/>
          <w:szCs w:val="28"/>
          <w:lang w:eastAsia="bg-BG"/>
        </w:rPr>
      </w:pPr>
      <w:r w:rsidRPr="00184341">
        <w:rPr>
          <w:rFonts w:eastAsia="Times New Roman" w:cs="Arial"/>
          <w:color w:val="000000"/>
          <w:lang w:eastAsia="bg-BG"/>
        </w:rPr>
        <w:t>Предклиничният профил на безопасност на сорафениб е оценен при мишки, плъхове, кучета и зайци.</w:t>
      </w:r>
    </w:p>
    <w:p w14:paraId="454F8502" w14:textId="77777777" w:rsidR="00184341" w:rsidRPr="00184341" w:rsidRDefault="00184341" w:rsidP="00184341">
      <w:pPr>
        <w:spacing w:line="240" w:lineRule="auto"/>
        <w:rPr>
          <w:rFonts w:eastAsia="Times New Roman" w:cs="Arial"/>
          <w:sz w:val="28"/>
          <w:szCs w:val="28"/>
          <w:lang w:eastAsia="bg-BG"/>
        </w:rPr>
      </w:pPr>
      <w:r w:rsidRPr="00184341">
        <w:rPr>
          <w:rFonts w:eastAsia="Times New Roman" w:cs="Arial"/>
          <w:color w:val="000000"/>
          <w:lang w:eastAsia="bg-BG"/>
        </w:rPr>
        <w:t xml:space="preserve">Проучванията за токсичност разкриват промени (дегенерационни и регенерационни) в различни органи при експозиция по-ниска от очакваната (въз основа на сравняване на </w:t>
      </w:r>
      <w:r w:rsidRPr="00184341">
        <w:rPr>
          <w:rFonts w:eastAsia="Times New Roman" w:cs="Arial"/>
          <w:color w:val="000000"/>
          <w:lang w:val="en-US"/>
        </w:rPr>
        <w:t>AUC).</w:t>
      </w:r>
    </w:p>
    <w:p w14:paraId="7ABD1EF6" w14:textId="77777777" w:rsidR="00184341" w:rsidRPr="00184341" w:rsidRDefault="00184341" w:rsidP="00184341">
      <w:pPr>
        <w:rPr>
          <w:rFonts w:eastAsia="Times New Roman" w:cs="Arial"/>
          <w:sz w:val="28"/>
          <w:szCs w:val="28"/>
          <w:lang w:eastAsia="bg-BG"/>
        </w:rPr>
      </w:pPr>
      <w:r w:rsidRPr="00184341">
        <w:rPr>
          <w:rFonts w:eastAsia="Times New Roman" w:cs="Arial"/>
          <w:color w:val="000000"/>
          <w:lang w:eastAsia="bg-BG"/>
        </w:rPr>
        <w:t>След многократно приложение при млади и подрастващи кучета са наблюдавани ефекти върху костите и зъбите при приложение на по-ниски дози. Промените се състоят във неправилно уплътняване на феморалната растежна плочка, хипоцелуларен костен мозък, непосредствено до</w:t>
      </w:r>
      <w:r w:rsidRPr="00184341">
        <w:rPr>
          <w:rFonts w:eastAsia="Times New Roman" w:cs="Arial"/>
          <w:color w:val="000000"/>
          <w:lang w:eastAsia="bg-BG"/>
        </w:rPr>
        <w:t xml:space="preserve"> </w:t>
      </w:r>
      <w:r w:rsidRPr="00184341">
        <w:rPr>
          <w:rFonts w:eastAsia="Times New Roman" w:cs="Arial"/>
          <w:color w:val="000000"/>
          <w:lang w:eastAsia="bg-BG"/>
        </w:rPr>
        <w:t>увредената растежна плочка и увреждане на състава на дентина. Подобни ефекти не са наблюдавани при възрастни кучета.</w:t>
      </w:r>
    </w:p>
    <w:p w14:paraId="3B5E3B1E" w14:textId="77777777" w:rsidR="00184341" w:rsidRPr="00184341" w:rsidRDefault="00184341" w:rsidP="00184341">
      <w:pPr>
        <w:spacing w:line="240" w:lineRule="auto"/>
        <w:rPr>
          <w:rFonts w:eastAsia="Times New Roman" w:cs="Arial"/>
          <w:color w:val="000000"/>
          <w:lang w:eastAsia="bg-BG"/>
        </w:rPr>
      </w:pPr>
    </w:p>
    <w:p w14:paraId="4459C871" w14:textId="4B2090C2" w:rsidR="00184341" w:rsidRPr="00184341" w:rsidRDefault="00184341" w:rsidP="00184341">
      <w:pPr>
        <w:spacing w:line="240" w:lineRule="auto"/>
        <w:rPr>
          <w:rFonts w:eastAsia="Times New Roman" w:cs="Arial"/>
          <w:sz w:val="28"/>
          <w:szCs w:val="28"/>
          <w:lang w:eastAsia="bg-BG"/>
        </w:rPr>
      </w:pPr>
      <w:r w:rsidRPr="00184341">
        <w:rPr>
          <w:rFonts w:eastAsia="Times New Roman" w:cs="Arial"/>
          <w:color w:val="000000"/>
          <w:lang w:eastAsia="bg-BG"/>
        </w:rPr>
        <w:t xml:space="preserve">Проведена е стандартна програма от проучвания върху генотоксичността и са получени положителни резултати, като повишаване на честотата на структурни хромозомни аберации при </w:t>
      </w:r>
      <w:r w:rsidRPr="00184341">
        <w:rPr>
          <w:rFonts w:eastAsia="Times New Roman" w:cs="Arial"/>
          <w:i/>
          <w:iCs/>
          <w:color w:val="000000"/>
          <w:lang w:val="en-US"/>
        </w:rPr>
        <w:t>in vitro</w:t>
      </w:r>
      <w:r w:rsidRPr="00184341">
        <w:rPr>
          <w:rFonts w:eastAsia="Times New Roman" w:cs="Arial"/>
          <w:color w:val="000000"/>
          <w:lang w:val="en-US"/>
        </w:rPr>
        <w:t xml:space="preserve"> </w:t>
      </w:r>
      <w:r w:rsidRPr="00184341">
        <w:rPr>
          <w:rFonts w:eastAsia="Times New Roman" w:cs="Arial"/>
          <w:color w:val="000000"/>
          <w:lang w:eastAsia="bg-BG"/>
        </w:rPr>
        <w:t xml:space="preserve">клетъчна линия от бозайник (яйчник от китайски хамстер) за кластогенност при присъствието на метаболитно активиране. Сорафениб не е </w:t>
      </w:r>
      <w:r w:rsidRPr="00184341">
        <w:rPr>
          <w:rFonts w:eastAsia="Times New Roman" w:cs="Arial"/>
          <w:color w:val="000000"/>
          <w:lang w:eastAsia="bg-BG"/>
        </w:rPr>
        <w:lastRenderedPageBreak/>
        <w:t xml:space="preserve">генотоксичен в тест на Еймс или в </w:t>
      </w:r>
      <w:r w:rsidRPr="00184341">
        <w:rPr>
          <w:rFonts w:eastAsia="Times New Roman" w:cs="Arial"/>
          <w:i/>
          <w:iCs/>
          <w:color w:val="000000"/>
          <w:lang w:val="en-US"/>
        </w:rPr>
        <w:t>in vivo</w:t>
      </w:r>
      <w:r w:rsidRPr="00184341">
        <w:rPr>
          <w:rFonts w:eastAsia="Times New Roman" w:cs="Arial"/>
          <w:color w:val="000000"/>
          <w:lang w:val="en-US"/>
        </w:rPr>
        <w:t xml:space="preserve"> </w:t>
      </w:r>
      <w:r w:rsidRPr="00184341">
        <w:rPr>
          <w:rFonts w:eastAsia="Times New Roman" w:cs="Arial"/>
          <w:color w:val="000000"/>
          <w:lang w:eastAsia="bg-BG"/>
        </w:rPr>
        <w:t xml:space="preserve">микронуклеарен тест при мишки. Един междинен продукт от производствения процес, който присъства в крайната активна субстанция (&lt;0,15 %), е бил положителен за мутагенност в </w:t>
      </w:r>
      <w:r w:rsidRPr="00184341">
        <w:rPr>
          <w:rFonts w:eastAsia="Times New Roman" w:cs="Arial"/>
          <w:i/>
          <w:iCs/>
          <w:color w:val="000000"/>
          <w:lang w:val="en-US"/>
        </w:rPr>
        <w:t xml:space="preserve">in vitro </w:t>
      </w:r>
      <w:r w:rsidRPr="00184341">
        <w:rPr>
          <w:rFonts w:eastAsia="Times New Roman" w:cs="Arial"/>
          <w:color w:val="000000"/>
          <w:lang w:eastAsia="bg-BG"/>
        </w:rPr>
        <w:t xml:space="preserve">бактериално клетъчно изследване </w:t>
      </w:r>
      <w:r w:rsidRPr="00184341">
        <w:rPr>
          <w:rFonts w:eastAsia="Times New Roman" w:cs="Arial"/>
          <w:color w:val="000000"/>
          <w:lang w:val="en-US"/>
        </w:rPr>
        <w:t xml:space="preserve">(Ames test). </w:t>
      </w:r>
      <w:r w:rsidRPr="00184341">
        <w:rPr>
          <w:rFonts w:eastAsia="Times New Roman" w:cs="Arial"/>
          <w:color w:val="000000"/>
          <w:lang w:eastAsia="bg-BG"/>
        </w:rPr>
        <w:t>Освен това, партидата сорафениб, изследвана със стандартен генотоксичен тест, включва 0,34 % РАРЕ.</w:t>
      </w:r>
    </w:p>
    <w:p w14:paraId="436B614E" w14:textId="290EC32B" w:rsidR="00184341" w:rsidRPr="00184341" w:rsidRDefault="00184341" w:rsidP="00184341">
      <w:pPr>
        <w:spacing w:line="240" w:lineRule="auto"/>
        <w:rPr>
          <w:rFonts w:eastAsia="Times New Roman" w:cs="Arial"/>
          <w:sz w:val="28"/>
          <w:szCs w:val="28"/>
          <w:lang w:eastAsia="bg-BG"/>
        </w:rPr>
      </w:pPr>
      <w:r w:rsidRPr="00184341">
        <w:rPr>
          <w:rFonts w:eastAsia="Times New Roman" w:cs="Arial"/>
          <w:color w:val="000000"/>
          <w:lang w:eastAsia="bg-BG"/>
        </w:rPr>
        <w:t>Не са проведени проучвания за карциногенност със сорафениб.</w:t>
      </w:r>
    </w:p>
    <w:p w14:paraId="631AADEC" w14:textId="77777777" w:rsidR="00184341" w:rsidRPr="00184341" w:rsidRDefault="00184341" w:rsidP="00184341">
      <w:pPr>
        <w:spacing w:line="240" w:lineRule="auto"/>
        <w:rPr>
          <w:rFonts w:eastAsia="Times New Roman" w:cs="Arial"/>
          <w:color w:val="000000"/>
          <w:lang w:eastAsia="bg-BG"/>
        </w:rPr>
      </w:pPr>
    </w:p>
    <w:p w14:paraId="0980C767" w14:textId="6C21ADEF" w:rsidR="00184341" w:rsidRPr="00184341" w:rsidRDefault="00184341" w:rsidP="00184341">
      <w:pPr>
        <w:spacing w:line="240" w:lineRule="auto"/>
        <w:rPr>
          <w:rFonts w:eastAsia="Times New Roman" w:cs="Arial"/>
          <w:sz w:val="28"/>
          <w:szCs w:val="28"/>
          <w:lang w:eastAsia="bg-BG"/>
        </w:rPr>
      </w:pPr>
      <w:r w:rsidRPr="00184341">
        <w:rPr>
          <w:rFonts w:eastAsia="Times New Roman" w:cs="Arial"/>
          <w:color w:val="000000"/>
          <w:lang w:eastAsia="bg-BG"/>
        </w:rPr>
        <w:t xml:space="preserve">Не са проведени специфични проучвания със сорафениб при животни, за да се оцени ефекта върху фертилитета. Нежелан ефект върху мъжкия и женски фертилитет може да се очаква, тъй като при проучвания за хронична токсичност са установени промени в репродуктивните органи на животните от двата пола, при дозировка по-ниска от клиничната доза (въз основа на </w:t>
      </w:r>
      <w:r w:rsidRPr="00184341">
        <w:rPr>
          <w:rFonts w:eastAsia="Times New Roman" w:cs="Arial"/>
          <w:color w:val="000000"/>
          <w:lang w:val="en-US"/>
        </w:rPr>
        <w:t xml:space="preserve">AUC). </w:t>
      </w:r>
      <w:r w:rsidRPr="00184341">
        <w:rPr>
          <w:rFonts w:eastAsia="Times New Roman" w:cs="Arial"/>
          <w:color w:val="000000"/>
          <w:lang w:eastAsia="bg-BG"/>
        </w:rPr>
        <w:t>Типичните промени се състоят от симптоми на дегенерация и забавяне на развитието на тестисите, епидидима, простата и семенните каналчета на плъхове. Женските плъхове показват централна некроза на корпус лутеум и спиране на развитието на фоликулите на яйчниците. Кучетата показват тубуларна дегенерация на тестисите и олигоспермия.</w:t>
      </w:r>
    </w:p>
    <w:p w14:paraId="0BD9FECF" w14:textId="77777777" w:rsidR="00184341" w:rsidRPr="00184341" w:rsidRDefault="00184341" w:rsidP="00184341">
      <w:pPr>
        <w:spacing w:line="240" w:lineRule="auto"/>
        <w:rPr>
          <w:rFonts w:eastAsia="Times New Roman" w:cs="Arial"/>
          <w:color w:val="000000"/>
          <w:lang w:eastAsia="bg-BG"/>
        </w:rPr>
      </w:pPr>
    </w:p>
    <w:p w14:paraId="2C6E7AA2" w14:textId="2C13BA2C" w:rsidR="00184341" w:rsidRPr="00184341" w:rsidRDefault="00184341" w:rsidP="00184341">
      <w:pPr>
        <w:spacing w:line="240" w:lineRule="auto"/>
        <w:rPr>
          <w:rFonts w:eastAsia="Times New Roman" w:cs="Arial"/>
          <w:sz w:val="28"/>
          <w:szCs w:val="28"/>
          <w:lang w:eastAsia="bg-BG"/>
        </w:rPr>
      </w:pPr>
      <w:r w:rsidRPr="00184341">
        <w:rPr>
          <w:rFonts w:eastAsia="Times New Roman" w:cs="Arial"/>
          <w:color w:val="000000"/>
          <w:lang w:eastAsia="bg-BG"/>
        </w:rPr>
        <w:t>Сорафениб е ембриотоксичен и тератогенен, когато се прилага на плъхове и зайци с експозиция на дози, по-ниски от клиничните. Наблюдаваните ефекти включват намаляване телесното тегло на майката и плода, повишена честота на резорбция на зародиша и повишен брой на външни и органни малфорации.</w:t>
      </w:r>
    </w:p>
    <w:p w14:paraId="39D4998E" w14:textId="77777777" w:rsidR="00184341" w:rsidRPr="00184341" w:rsidRDefault="00184341" w:rsidP="00184341">
      <w:pPr>
        <w:spacing w:line="240" w:lineRule="auto"/>
        <w:rPr>
          <w:rFonts w:eastAsia="Times New Roman" w:cs="Arial"/>
          <w:color w:val="000000"/>
          <w:lang w:eastAsia="bg-BG"/>
        </w:rPr>
      </w:pPr>
    </w:p>
    <w:p w14:paraId="256365E1" w14:textId="118F1991" w:rsidR="00184341" w:rsidRPr="00184341" w:rsidRDefault="00184341" w:rsidP="00184341">
      <w:pPr>
        <w:spacing w:line="240" w:lineRule="auto"/>
        <w:rPr>
          <w:rFonts w:ascii="Times New Roman" w:eastAsia="Times New Roman" w:hAnsi="Times New Roman" w:cs="Times New Roman"/>
          <w:sz w:val="24"/>
          <w:szCs w:val="24"/>
          <w:lang w:eastAsia="bg-BG"/>
        </w:rPr>
      </w:pPr>
      <w:r w:rsidRPr="00184341">
        <w:rPr>
          <w:rFonts w:eastAsia="Times New Roman" w:cs="Arial"/>
          <w:color w:val="000000"/>
          <w:lang w:eastAsia="bg-BG"/>
        </w:rPr>
        <w:t xml:space="preserve">Проучванията за оценка на риска за околната среда показват, че </w:t>
      </w:r>
      <w:r w:rsidRPr="00184341">
        <w:rPr>
          <w:rFonts w:eastAsia="Times New Roman" w:cs="Arial"/>
          <w:color w:val="000000"/>
          <w:lang w:val="en-US"/>
        </w:rPr>
        <w:t xml:space="preserve">sorafenib tosylate </w:t>
      </w:r>
      <w:r w:rsidRPr="00184341">
        <w:rPr>
          <w:rFonts w:eastAsia="Times New Roman" w:cs="Arial"/>
          <w:color w:val="000000"/>
          <w:lang w:eastAsia="bg-BG"/>
        </w:rPr>
        <w:t xml:space="preserve">има потенциал да бъде устойчив, биоакумулиращ и токсичен за околната среда. Информация относно оценка на риска за околната среда е налична в </w:t>
      </w:r>
      <w:r w:rsidRPr="00184341">
        <w:rPr>
          <w:rFonts w:eastAsia="Times New Roman" w:cs="Arial"/>
          <w:color w:val="000000"/>
          <w:lang w:val="en-US"/>
        </w:rPr>
        <w:t xml:space="preserve">EPAR </w:t>
      </w:r>
      <w:r w:rsidRPr="00184341">
        <w:rPr>
          <w:rFonts w:eastAsia="Times New Roman" w:cs="Arial"/>
          <w:color w:val="000000"/>
          <w:lang w:eastAsia="bg-BG"/>
        </w:rPr>
        <w:t>на този лекарствен продукт (вж. точка 6.6).</w:t>
      </w:r>
    </w:p>
    <w:p w14:paraId="656F04D1" w14:textId="77777777" w:rsidR="00184341" w:rsidRPr="00184341" w:rsidRDefault="00184341" w:rsidP="00184341"/>
    <w:p w14:paraId="357049A8" w14:textId="0504A542" w:rsidR="00BB22B4" w:rsidRDefault="002C50EE" w:rsidP="00471F10">
      <w:pPr>
        <w:pStyle w:val="Heading1"/>
      </w:pPr>
      <w:r>
        <w:t>7. ПРИТЕЖАТЕЛ НА РАЗРЕШЕНИЕТО ЗА УПОТРЕБА</w:t>
      </w:r>
    </w:p>
    <w:p w14:paraId="1E4480AA" w14:textId="4508A943" w:rsidR="00184341" w:rsidRDefault="00184341" w:rsidP="00184341"/>
    <w:p w14:paraId="25D83ECA" w14:textId="77777777" w:rsidR="00184341" w:rsidRPr="00184341" w:rsidRDefault="00184341" w:rsidP="00184341">
      <w:pPr>
        <w:rPr>
          <w:sz w:val="24"/>
          <w:szCs w:val="24"/>
          <w:lang w:val="en-US" w:eastAsia="bg-BG"/>
        </w:rPr>
      </w:pPr>
      <w:r w:rsidRPr="00184341">
        <w:rPr>
          <w:lang w:val="en-US"/>
        </w:rPr>
        <w:t>PHARMASCIENCE INTERNATIONAL LIMITED</w:t>
      </w:r>
    </w:p>
    <w:p w14:paraId="73ED8B85" w14:textId="77777777" w:rsidR="00184341" w:rsidRPr="00184341" w:rsidRDefault="00184341" w:rsidP="00184341">
      <w:pPr>
        <w:rPr>
          <w:sz w:val="24"/>
          <w:szCs w:val="24"/>
          <w:lang w:val="en-US" w:eastAsia="bg-BG"/>
        </w:rPr>
      </w:pPr>
      <w:r w:rsidRPr="00184341">
        <w:rPr>
          <w:lang w:eastAsia="bg-BG"/>
        </w:rPr>
        <w:t xml:space="preserve">1, </w:t>
      </w:r>
      <w:r w:rsidRPr="00184341">
        <w:rPr>
          <w:lang w:val="en-US"/>
        </w:rPr>
        <w:t>Lampousas Street, 1095,</w:t>
      </w:r>
    </w:p>
    <w:p w14:paraId="7B0E59BC" w14:textId="77777777" w:rsidR="00184341" w:rsidRPr="00184341" w:rsidRDefault="00184341" w:rsidP="00184341">
      <w:pPr>
        <w:rPr>
          <w:sz w:val="24"/>
          <w:szCs w:val="24"/>
          <w:lang w:val="en-US" w:eastAsia="bg-BG"/>
        </w:rPr>
      </w:pPr>
      <w:r w:rsidRPr="00184341">
        <w:rPr>
          <w:lang w:val="en-US"/>
        </w:rPr>
        <w:t>Nicosia,</w:t>
      </w:r>
    </w:p>
    <w:p w14:paraId="78524F52" w14:textId="70957B34" w:rsidR="00184341" w:rsidRPr="00184341" w:rsidRDefault="00184341" w:rsidP="00184341">
      <w:r w:rsidRPr="00184341">
        <w:rPr>
          <w:lang w:eastAsia="bg-BG"/>
        </w:rPr>
        <w:t>Кипър</w:t>
      </w:r>
    </w:p>
    <w:p w14:paraId="796B2EC6" w14:textId="4C10C2EC" w:rsidR="00BB22B4" w:rsidRDefault="00936AD0" w:rsidP="00471F10">
      <w:pPr>
        <w:pStyle w:val="Heading1"/>
      </w:pPr>
      <w:r>
        <w:t>8.</w:t>
      </w:r>
      <w:r w:rsidR="002C50EE">
        <w:t>НОМЕР НА РАЗРЕШЕНИЕТО ЗА УПОТРЕБА</w:t>
      </w:r>
    </w:p>
    <w:p w14:paraId="3A12C368" w14:textId="7CDF474B" w:rsidR="00184341" w:rsidRDefault="00184341" w:rsidP="00184341"/>
    <w:p w14:paraId="1CBEF246" w14:textId="5553A329" w:rsidR="00184341" w:rsidRPr="00184341" w:rsidRDefault="00184341" w:rsidP="00184341">
      <w:r>
        <w:rPr>
          <w:lang w:val="en-US"/>
        </w:rPr>
        <w:t>Pe</w:t>
      </w:r>
      <w:r>
        <w:t>г</w:t>
      </w:r>
      <w:r>
        <w:rPr>
          <w:lang w:val="en-US"/>
        </w:rPr>
        <w:t>. №</w:t>
      </w:r>
      <w:r>
        <w:t xml:space="preserve"> 20200229</w:t>
      </w:r>
    </w:p>
    <w:p w14:paraId="3715C10B" w14:textId="7AEFB471" w:rsidR="00BB22B4" w:rsidRDefault="002C50EE" w:rsidP="00471F10">
      <w:pPr>
        <w:pStyle w:val="Heading1"/>
      </w:pPr>
      <w:r>
        <w:t>9. ДАТА НА ПЪРВО РАЗРЕШАВАНЕ/ПОДНОВЯВАНЕ НА РАЗРЕШЕНИЕТО ЗА УПОТРЕБА</w:t>
      </w:r>
    </w:p>
    <w:p w14:paraId="58EA4A7C" w14:textId="2F386591" w:rsidR="00184341" w:rsidRDefault="00184341" w:rsidP="00184341"/>
    <w:p w14:paraId="219D4272" w14:textId="76B12B90" w:rsidR="00184341" w:rsidRPr="00184341" w:rsidRDefault="00184341" w:rsidP="00184341">
      <w:pPr>
        <w:rPr>
          <w:sz w:val="24"/>
          <w:szCs w:val="24"/>
          <w:lang w:eastAsia="bg-BG"/>
        </w:rPr>
      </w:pPr>
      <w:r w:rsidRPr="00184341">
        <w:rPr>
          <w:lang w:eastAsia="bg-BG"/>
        </w:rPr>
        <w:t>Дата на първо разрешаване: 30 ноември 2020 г.</w:t>
      </w:r>
    </w:p>
    <w:p w14:paraId="43FB38A2" w14:textId="0C18A683" w:rsidR="007C605B" w:rsidRDefault="002C50EE" w:rsidP="005726E3">
      <w:pPr>
        <w:pStyle w:val="Heading1"/>
      </w:pPr>
      <w:r>
        <w:t>10. ДАТА НА АКТУАЛИЗИРАНЕ НА ТЕКСТА</w:t>
      </w:r>
      <w:bookmarkEnd w:id="0"/>
    </w:p>
    <w:p w14:paraId="472617BD" w14:textId="6D3A49A0" w:rsidR="00BB22B4" w:rsidRPr="00BB22B4" w:rsidRDefault="00184341" w:rsidP="00184341">
      <w:r>
        <w:t>05/2022</w:t>
      </w:r>
    </w:p>
    <w:sectPr w:rsidR="00BB22B4" w:rsidRPr="00BB2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2F0791"/>
    <w:multiLevelType w:val="hybridMultilevel"/>
    <w:tmpl w:val="EEB41E06"/>
    <w:lvl w:ilvl="0" w:tplc="0409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3A6D37A7"/>
    <w:multiLevelType w:val="hybridMultilevel"/>
    <w:tmpl w:val="46CC86F0"/>
    <w:lvl w:ilvl="0" w:tplc="D1263D34">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9"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4"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16cid:durableId="1813405180">
    <w:abstractNumId w:val="30"/>
  </w:num>
  <w:num w:numId="2" w16cid:durableId="1804500570">
    <w:abstractNumId w:val="0"/>
  </w:num>
  <w:num w:numId="3" w16cid:durableId="107897102">
    <w:abstractNumId w:val="14"/>
  </w:num>
  <w:num w:numId="4" w16cid:durableId="1222667677">
    <w:abstractNumId w:val="3"/>
  </w:num>
  <w:num w:numId="5" w16cid:durableId="1485586052">
    <w:abstractNumId w:val="1"/>
  </w:num>
  <w:num w:numId="6" w16cid:durableId="2057701610">
    <w:abstractNumId w:val="19"/>
  </w:num>
  <w:num w:numId="7" w16cid:durableId="893279110">
    <w:abstractNumId w:val="12"/>
  </w:num>
  <w:num w:numId="8" w16cid:durableId="1157267315">
    <w:abstractNumId w:val="18"/>
  </w:num>
  <w:num w:numId="9" w16cid:durableId="1551266992">
    <w:abstractNumId w:val="2"/>
  </w:num>
  <w:num w:numId="10" w16cid:durableId="1248923167">
    <w:abstractNumId w:val="4"/>
  </w:num>
  <w:num w:numId="11" w16cid:durableId="1702244421">
    <w:abstractNumId w:val="33"/>
  </w:num>
  <w:num w:numId="12" w16cid:durableId="2052530290">
    <w:abstractNumId w:val="15"/>
  </w:num>
  <w:num w:numId="13" w16cid:durableId="411896860">
    <w:abstractNumId w:val="22"/>
  </w:num>
  <w:num w:numId="14" w16cid:durableId="1672444451">
    <w:abstractNumId w:val="13"/>
  </w:num>
  <w:num w:numId="15" w16cid:durableId="563176881">
    <w:abstractNumId w:val="32"/>
  </w:num>
  <w:num w:numId="16" w16cid:durableId="720404371">
    <w:abstractNumId w:val="11"/>
  </w:num>
  <w:num w:numId="17" w16cid:durableId="2035571914">
    <w:abstractNumId w:val="27"/>
  </w:num>
  <w:num w:numId="18" w16cid:durableId="384109869">
    <w:abstractNumId w:val="8"/>
  </w:num>
  <w:num w:numId="19" w16cid:durableId="1838645053">
    <w:abstractNumId w:val="29"/>
  </w:num>
  <w:num w:numId="20" w16cid:durableId="236787953">
    <w:abstractNumId w:val="26"/>
  </w:num>
  <w:num w:numId="21" w16cid:durableId="53822633">
    <w:abstractNumId w:val="20"/>
  </w:num>
  <w:num w:numId="22" w16cid:durableId="741874841">
    <w:abstractNumId w:val="28"/>
  </w:num>
  <w:num w:numId="23" w16cid:durableId="1320034883">
    <w:abstractNumId w:val="21"/>
  </w:num>
  <w:num w:numId="24" w16cid:durableId="704643299">
    <w:abstractNumId w:val="9"/>
  </w:num>
  <w:num w:numId="25" w16cid:durableId="379742581">
    <w:abstractNumId w:val="25"/>
  </w:num>
  <w:num w:numId="26" w16cid:durableId="1896623570">
    <w:abstractNumId w:val="24"/>
  </w:num>
  <w:num w:numId="27" w16cid:durableId="717120936">
    <w:abstractNumId w:val="34"/>
  </w:num>
  <w:num w:numId="28" w16cid:durableId="544218424">
    <w:abstractNumId w:val="6"/>
  </w:num>
  <w:num w:numId="29" w16cid:durableId="1286623137">
    <w:abstractNumId w:val="23"/>
  </w:num>
  <w:num w:numId="30" w16cid:durableId="1899902147">
    <w:abstractNumId w:val="37"/>
  </w:num>
  <w:num w:numId="31" w16cid:durableId="537932892">
    <w:abstractNumId w:val="5"/>
  </w:num>
  <w:num w:numId="32" w16cid:durableId="730423447">
    <w:abstractNumId w:val="36"/>
  </w:num>
  <w:num w:numId="33" w16cid:durableId="550272309">
    <w:abstractNumId w:val="31"/>
  </w:num>
  <w:num w:numId="34" w16cid:durableId="1980718438">
    <w:abstractNumId w:val="35"/>
  </w:num>
  <w:num w:numId="35" w16cid:durableId="2125465404">
    <w:abstractNumId w:val="7"/>
  </w:num>
  <w:num w:numId="36" w16cid:durableId="2018384845">
    <w:abstractNumId w:val="10"/>
  </w:num>
  <w:num w:numId="37" w16cid:durableId="617613226">
    <w:abstractNumId w:val="17"/>
  </w:num>
  <w:num w:numId="38" w16cid:durableId="149136177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00"/>
    <w:rsid w:val="00184341"/>
    <w:rsid w:val="00185A46"/>
    <w:rsid w:val="001915B6"/>
    <w:rsid w:val="001A6EBD"/>
    <w:rsid w:val="001D1B23"/>
    <w:rsid w:val="002B3C38"/>
    <w:rsid w:val="002B4DBB"/>
    <w:rsid w:val="002C50EE"/>
    <w:rsid w:val="00340A0A"/>
    <w:rsid w:val="003765DC"/>
    <w:rsid w:val="00395555"/>
    <w:rsid w:val="003E3126"/>
    <w:rsid w:val="00426E5F"/>
    <w:rsid w:val="00471F10"/>
    <w:rsid w:val="004A448E"/>
    <w:rsid w:val="004D4D6B"/>
    <w:rsid w:val="004F1CE7"/>
    <w:rsid w:val="004F498A"/>
    <w:rsid w:val="00517A5B"/>
    <w:rsid w:val="005726E3"/>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75EEC"/>
    <w:rsid w:val="00893B92"/>
    <w:rsid w:val="008A6AF2"/>
    <w:rsid w:val="008C70A2"/>
    <w:rsid w:val="00936AD0"/>
    <w:rsid w:val="009773E4"/>
    <w:rsid w:val="009B171C"/>
    <w:rsid w:val="009F1313"/>
    <w:rsid w:val="00A20351"/>
    <w:rsid w:val="00A65A81"/>
    <w:rsid w:val="00AA23EC"/>
    <w:rsid w:val="00AC63CE"/>
    <w:rsid w:val="00AE2107"/>
    <w:rsid w:val="00B275A8"/>
    <w:rsid w:val="00B6672E"/>
    <w:rsid w:val="00BB22B4"/>
    <w:rsid w:val="00BF2600"/>
    <w:rsid w:val="00C0049F"/>
    <w:rsid w:val="00C07B84"/>
    <w:rsid w:val="00C33464"/>
    <w:rsid w:val="00C40420"/>
    <w:rsid w:val="00C809A7"/>
    <w:rsid w:val="00C83063"/>
    <w:rsid w:val="00C87E90"/>
    <w:rsid w:val="00CA1B57"/>
    <w:rsid w:val="00CF77F7"/>
    <w:rsid w:val="00D86297"/>
    <w:rsid w:val="00D870F0"/>
    <w:rsid w:val="00DB32D3"/>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18</Pages>
  <Words>6097</Words>
  <Characters>34753</Characters>
  <Application>Microsoft Office Word</Application>
  <DocSecurity>0</DocSecurity>
  <Lines>289</Lines>
  <Paragraphs>81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ВАСИЛЕВ</cp:lastModifiedBy>
  <cp:revision>2</cp:revision>
  <dcterms:created xsi:type="dcterms:W3CDTF">2022-12-28T20:10:00Z</dcterms:created>
  <dcterms:modified xsi:type="dcterms:W3CDTF">2022-12-28T20:10:00Z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