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57A076CA" w:rsidR="00DB32D3" w:rsidRDefault="00DD466D" w:rsidP="005726E3">
      <w:pPr>
        <w:pStyle w:val="Heading1"/>
      </w:pPr>
      <w:r>
        <w:t>1.ИМЕ НА ЛЕКАРСТВЕНИЯ ПРОДУКТ</w:t>
      </w:r>
    </w:p>
    <w:p w14:paraId="41FA041E" w14:textId="2F7CB97B" w:rsidR="000128A4" w:rsidRDefault="000128A4" w:rsidP="000128A4"/>
    <w:p w14:paraId="54D99176" w14:textId="77777777" w:rsidR="000128A4" w:rsidRDefault="000128A4" w:rsidP="000128A4">
      <w:r>
        <w:t xml:space="preserve">Сорафениб Тева 200 </w:t>
      </w:r>
      <w:r>
        <w:rPr>
          <w:lang w:val="en-US"/>
        </w:rPr>
        <w:t xml:space="preserve">mg </w:t>
      </w:r>
      <w:r>
        <w:t xml:space="preserve">филмирани таблетки </w:t>
      </w:r>
    </w:p>
    <w:p w14:paraId="5EE48191" w14:textId="20F79345" w:rsidR="000128A4" w:rsidRPr="000128A4" w:rsidRDefault="000128A4" w:rsidP="000128A4">
      <w:r>
        <w:rPr>
          <w:lang w:val="en-US"/>
        </w:rPr>
        <w:t xml:space="preserve">Sorafenib Teva </w:t>
      </w:r>
      <w:r>
        <w:t xml:space="preserve">200 </w:t>
      </w:r>
      <w:r>
        <w:rPr>
          <w:lang w:val="en-US"/>
        </w:rPr>
        <w:t>mg film-coated tablets</w:t>
      </w:r>
    </w:p>
    <w:p w14:paraId="48E6CABE" w14:textId="260B0663" w:rsidR="00DB32D3" w:rsidRDefault="00DD466D" w:rsidP="005726E3">
      <w:pPr>
        <w:pStyle w:val="Heading1"/>
      </w:pPr>
      <w:r>
        <w:t>2. КАЧЕСТВЕН И КОЛИЧЕСТВЕН СЪСТАВ</w:t>
      </w:r>
    </w:p>
    <w:p w14:paraId="1000D291" w14:textId="0A9ACCE9" w:rsidR="000128A4" w:rsidRDefault="000128A4" w:rsidP="000128A4"/>
    <w:p w14:paraId="0DFEFF17" w14:textId="77777777" w:rsidR="000128A4" w:rsidRPr="000128A4" w:rsidRDefault="000128A4" w:rsidP="000128A4">
      <w:pPr>
        <w:rPr>
          <w:sz w:val="24"/>
          <w:szCs w:val="24"/>
          <w:lang w:eastAsia="bg-BG"/>
        </w:rPr>
      </w:pPr>
      <w:r w:rsidRPr="000128A4">
        <w:rPr>
          <w:lang w:eastAsia="bg-BG"/>
        </w:rPr>
        <w:t xml:space="preserve">Всяка филмирана таблетка съдържа 200 </w:t>
      </w:r>
      <w:r w:rsidRPr="000128A4">
        <w:rPr>
          <w:lang w:val="en-US"/>
        </w:rPr>
        <w:t xml:space="preserve">mg </w:t>
      </w:r>
      <w:r w:rsidRPr="000128A4">
        <w:rPr>
          <w:lang w:eastAsia="bg-BG"/>
        </w:rPr>
        <w:t xml:space="preserve">сорафениб </w:t>
      </w:r>
      <w:r w:rsidRPr="000128A4">
        <w:rPr>
          <w:lang w:val="en-US"/>
        </w:rPr>
        <w:t xml:space="preserve">(sorafenib), </w:t>
      </w:r>
      <w:r w:rsidRPr="000128A4">
        <w:rPr>
          <w:lang w:eastAsia="bg-BG"/>
        </w:rPr>
        <w:t xml:space="preserve">като тозилат </w:t>
      </w:r>
      <w:r w:rsidRPr="000128A4">
        <w:rPr>
          <w:lang w:val="en-US"/>
        </w:rPr>
        <w:t xml:space="preserve">(as </w:t>
      </w:r>
      <w:proofErr w:type="spellStart"/>
      <w:r w:rsidRPr="000128A4">
        <w:rPr>
          <w:lang w:val="en-US"/>
        </w:rPr>
        <w:t>tosylate</w:t>
      </w:r>
      <w:proofErr w:type="spellEnd"/>
      <w:r w:rsidRPr="000128A4">
        <w:rPr>
          <w:lang w:val="en-US"/>
        </w:rPr>
        <w:t>).</w:t>
      </w:r>
    </w:p>
    <w:p w14:paraId="611E707F" w14:textId="77777777" w:rsidR="000128A4" w:rsidRDefault="000128A4" w:rsidP="000128A4">
      <w:pPr>
        <w:rPr>
          <w:u w:val="single"/>
          <w:lang w:eastAsia="bg-BG"/>
        </w:rPr>
      </w:pPr>
    </w:p>
    <w:p w14:paraId="0A8CDD7A" w14:textId="1994160B" w:rsidR="000128A4" w:rsidRPr="000128A4" w:rsidRDefault="000128A4" w:rsidP="000128A4">
      <w:pPr>
        <w:rPr>
          <w:sz w:val="24"/>
          <w:szCs w:val="24"/>
          <w:lang w:eastAsia="bg-BG"/>
        </w:rPr>
      </w:pPr>
      <w:r w:rsidRPr="000128A4">
        <w:rPr>
          <w:u w:val="single"/>
          <w:lang w:eastAsia="bg-BG"/>
        </w:rPr>
        <w:t>Помощно вещество с известно действие.</w:t>
      </w:r>
    </w:p>
    <w:p w14:paraId="5919516C" w14:textId="77777777" w:rsidR="000128A4" w:rsidRPr="000128A4" w:rsidRDefault="000128A4" w:rsidP="000128A4">
      <w:pPr>
        <w:rPr>
          <w:sz w:val="24"/>
          <w:szCs w:val="24"/>
          <w:lang w:eastAsia="bg-BG"/>
        </w:rPr>
      </w:pPr>
      <w:r w:rsidRPr="000128A4">
        <w:rPr>
          <w:lang w:eastAsia="bg-BG"/>
        </w:rPr>
        <w:t xml:space="preserve">Всяка филмирана таблетка съдържа 5,37 </w:t>
      </w:r>
      <w:r w:rsidRPr="000128A4">
        <w:rPr>
          <w:lang w:val="en-US"/>
        </w:rPr>
        <w:t xml:space="preserve">mg </w:t>
      </w:r>
      <w:r w:rsidRPr="000128A4">
        <w:rPr>
          <w:lang w:eastAsia="bg-BG"/>
        </w:rPr>
        <w:t>натрий.</w:t>
      </w:r>
    </w:p>
    <w:p w14:paraId="6FB3BE04" w14:textId="77777777" w:rsidR="000128A4" w:rsidRPr="000128A4" w:rsidRDefault="000128A4" w:rsidP="000128A4"/>
    <w:p w14:paraId="763B21BA" w14:textId="489D793E" w:rsidR="001A6EBD" w:rsidRDefault="00DD466D" w:rsidP="00471F10">
      <w:pPr>
        <w:pStyle w:val="Heading1"/>
      </w:pPr>
      <w:r>
        <w:t>3. ЛЕКАРСТВЕНА ФОРМА</w:t>
      </w:r>
    </w:p>
    <w:p w14:paraId="5C411B76" w14:textId="48C752D6" w:rsidR="000128A4" w:rsidRDefault="000128A4" w:rsidP="000128A4"/>
    <w:p w14:paraId="1A981BB8" w14:textId="77777777" w:rsidR="000128A4" w:rsidRPr="000128A4" w:rsidRDefault="000128A4" w:rsidP="000128A4">
      <w:pPr>
        <w:rPr>
          <w:sz w:val="24"/>
          <w:szCs w:val="24"/>
          <w:lang w:eastAsia="bg-BG"/>
        </w:rPr>
      </w:pPr>
      <w:r w:rsidRPr="000128A4">
        <w:rPr>
          <w:lang w:eastAsia="bg-BG"/>
        </w:rPr>
        <w:t>Филмирана таблетка (таблетка).</w:t>
      </w:r>
    </w:p>
    <w:p w14:paraId="5D545CC2" w14:textId="77777777" w:rsidR="000128A4" w:rsidRDefault="000128A4" w:rsidP="000128A4">
      <w:pPr>
        <w:rPr>
          <w:lang w:eastAsia="bg-BG"/>
        </w:rPr>
      </w:pPr>
    </w:p>
    <w:p w14:paraId="586C286D" w14:textId="42AF6221" w:rsidR="000128A4" w:rsidRPr="000128A4" w:rsidRDefault="000128A4" w:rsidP="000128A4">
      <w:pPr>
        <w:rPr>
          <w:sz w:val="24"/>
          <w:szCs w:val="24"/>
          <w:lang w:eastAsia="bg-BG"/>
        </w:rPr>
      </w:pPr>
      <w:r w:rsidRPr="000128A4">
        <w:rPr>
          <w:lang w:eastAsia="bg-BG"/>
        </w:rPr>
        <w:t xml:space="preserve">Розова, кръгла, двойноизпъкнала филмирана таблетка, с вдлъбнато релефно обозначение </w:t>
      </w:r>
      <w:r w:rsidRPr="000128A4">
        <w:rPr>
          <w:lang w:val="en-US"/>
        </w:rPr>
        <w:t xml:space="preserve">"TV" </w:t>
      </w:r>
      <w:r w:rsidRPr="000128A4">
        <w:rPr>
          <w:lang w:eastAsia="bg-BG"/>
        </w:rPr>
        <w:t>от едната страна и "S3" от другата страна.</w:t>
      </w:r>
    </w:p>
    <w:p w14:paraId="4857BB7C" w14:textId="77777777" w:rsidR="000128A4" w:rsidRPr="000128A4" w:rsidRDefault="000128A4" w:rsidP="000128A4">
      <w:pPr>
        <w:rPr>
          <w:sz w:val="24"/>
          <w:szCs w:val="24"/>
          <w:lang w:eastAsia="bg-BG"/>
        </w:rPr>
      </w:pPr>
      <w:r w:rsidRPr="000128A4">
        <w:rPr>
          <w:lang w:eastAsia="bg-BG"/>
        </w:rPr>
        <w:t xml:space="preserve">Размери: приблизително 11 </w:t>
      </w:r>
      <w:r w:rsidRPr="000128A4">
        <w:rPr>
          <w:lang w:val="en-US"/>
        </w:rPr>
        <w:t xml:space="preserve">mm </w:t>
      </w:r>
      <w:r w:rsidRPr="000128A4">
        <w:rPr>
          <w:lang w:eastAsia="bg-BG"/>
        </w:rPr>
        <w:t>в диаметър.</w:t>
      </w:r>
    </w:p>
    <w:p w14:paraId="21C1B4D6" w14:textId="77777777" w:rsidR="000128A4" w:rsidRPr="000128A4" w:rsidRDefault="000128A4" w:rsidP="000128A4"/>
    <w:p w14:paraId="490FC2C4" w14:textId="6899DE43" w:rsidR="002C50EE" w:rsidRDefault="002C50EE" w:rsidP="002C50EE">
      <w:pPr>
        <w:pStyle w:val="Heading1"/>
      </w:pPr>
      <w:r>
        <w:t>4. КЛИНИЧНИ ДАННИ</w:t>
      </w:r>
    </w:p>
    <w:p w14:paraId="25C765CE" w14:textId="069EC2E2" w:rsidR="001A6EBD" w:rsidRDefault="002C50EE" w:rsidP="00471F10">
      <w:pPr>
        <w:pStyle w:val="Heading2"/>
      </w:pPr>
      <w:r>
        <w:t>4.1. Терапевтични показания</w:t>
      </w:r>
    </w:p>
    <w:p w14:paraId="13A6FCD2" w14:textId="083DB7EB" w:rsidR="000128A4" w:rsidRDefault="000128A4" w:rsidP="000128A4"/>
    <w:p w14:paraId="59F33895"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Хепатоцелуларен карцином</w:t>
      </w:r>
    </w:p>
    <w:p w14:paraId="62CE964D"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Сорафениб Тева е показан за лечение на хепатоцелуларен карцином (вж. точка 5.1)</w:t>
      </w:r>
    </w:p>
    <w:p w14:paraId="0BFB13A5" w14:textId="77777777" w:rsidR="000128A4" w:rsidRPr="000128A4" w:rsidRDefault="000128A4" w:rsidP="000128A4">
      <w:pPr>
        <w:spacing w:line="240" w:lineRule="auto"/>
        <w:rPr>
          <w:rFonts w:eastAsia="Times New Roman" w:cs="Arial"/>
          <w:color w:val="000000"/>
          <w:u w:val="single"/>
          <w:lang w:eastAsia="bg-BG"/>
        </w:rPr>
      </w:pPr>
    </w:p>
    <w:p w14:paraId="2A68F093" w14:textId="37ECA177"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Бъбречноклетьчен карцином</w:t>
      </w:r>
    </w:p>
    <w:p w14:paraId="16E200C3"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Сорафениб Тева е показан за лечение на пациенти с напреднал бъбречноклетьчен карцином, които преди това са лекувани неуспешно с алфа-интерферон или интерлевкин-2 или са неподходящи за тази терапия.</w:t>
      </w:r>
    </w:p>
    <w:p w14:paraId="42C56B9E" w14:textId="77777777" w:rsidR="000128A4" w:rsidRPr="000128A4" w:rsidRDefault="000128A4" w:rsidP="000128A4"/>
    <w:p w14:paraId="19026639" w14:textId="3D669B62" w:rsidR="001A6EBD" w:rsidRDefault="002C50EE" w:rsidP="00471F10">
      <w:pPr>
        <w:pStyle w:val="Heading2"/>
      </w:pPr>
      <w:r>
        <w:t>4.2. Дозировка и начин на приложение</w:t>
      </w:r>
    </w:p>
    <w:p w14:paraId="2463E674" w14:textId="278CC08A" w:rsidR="000128A4" w:rsidRDefault="000128A4" w:rsidP="000128A4"/>
    <w:p w14:paraId="46966A8B"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Лечението със Сорафениб Тева трябва да се контролира от лекар, с опит в противоракова терапия.</w:t>
      </w:r>
    </w:p>
    <w:p w14:paraId="0E58A741" w14:textId="77777777" w:rsidR="000128A4" w:rsidRPr="000128A4" w:rsidRDefault="000128A4" w:rsidP="000128A4">
      <w:pPr>
        <w:spacing w:line="240" w:lineRule="auto"/>
        <w:rPr>
          <w:rFonts w:eastAsia="Times New Roman" w:cs="Arial"/>
          <w:color w:val="000000"/>
          <w:u w:val="single"/>
          <w:lang w:eastAsia="bg-BG"/>
        </w:rPr>
      </w:pPr>
    </w:p>
    <w:p w14:paraId="13823642" w14:textId="224D6642" w:rsidR="000128A4" w:rsidRPr="000128A4" w:rsidRDefault="000128A4" w:rsidP="000128A4">
      <w:pPr>
        <w:pStyle w:val="Heading3"/>
        <w:rPr>
          <w:rFonts w:eastAsia="Times New Roman"/>
          <w:u w:val="single"/>
          <w:lang w:eastAsia="bg-BG"/>
        </w:rPr>
      </w:pPr>
      <w:r w:rsidRPr="000128A4">
        <w:rPr>
          <w:rFonts w:eastAsia="Times New Roman"/>
          <w:u w:val="single"/>
          <w:lang w:eastAsia="bg-BG"/>
        </w:rPr>
        <w:t>Дозировка</w:t>
      </w:r>
    </w:p>
    <w:p w14:paraId="05683AB4"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Препоръчителната доза Сорафениб Тева при възрастни е 400 </w:t>
      </w:r>
      <w:r w:rsidRPr="000128A4">
        <w:rPr>
          <w:rFonts w:eastAsia="Times New Roman" w:cs="Arial"/>
          <w:color w:val="000000"/>
          <w:lang w:val="en-US"/>
        </w:rPr>
        <w:t xml:space="preserve">mg </w:t>
      </w:r>
      <w:r w:rsidRPr="000128A4">
        <w:rPr>
          <w:rFonts w:eastAsia="Times New Roman" w:cs="Arial"/>
          <w:color w:val="000000"/>
          <w:lang w:eastAsia="bg-BG"/>
        </w:rPr>
        <w:t xml:space="preserve">сорафениб (две таблетки от 200 </w:t>
      </w:r>
      <w:r w:rsidRPr="000128A4">
        <w:rPr>
          <w:rFonts w:eastAsia="Times New Roman" w:cs="Arial"/>
          <w:color w:val="000000"/>
          <w:lang w:val="en-US"/>
        </w:rPr>
        <w:t xml:space="preserve">mg) </w:t>
      </w:r>
      <w:r w:rsidRPr="000128A4">
        <w:rPr>
          <w:rFonts w:eastAsia="Times New Roman" w:cs="Arial"/>
          <w:color w:val="000000"/>
          <w:lang w:eastAsia="bg-BG"/>
        </w:rPr>
        <w:t xml:space="preserve">два пъти дневно (еквивалентно на обща дневна доза от 800 </w:t>
      </w:r>
      <w:r w:rsidRPr="000128A4">
        <w:rPr>
          <w:rFonts w:eastAsia="Times New Roman" w:cs="Arial"/>
          <w:color w:val="000000"/>
          <w:lang w:val="en-US"/>
        </w:rPr>
        <w:t>mg).</w:t>
      </w:r>
    </w:p>
    <w:p w14:paraId="35F20F9A" w14:textId="77777777" w:rsidR="000128A4" w:rsidRPr="000128A4" w:rsidRDefault="000128A4" w:rsidP="000128A4">
      <w:pPr>
        <w:rPr>
          <w:rFonts w:eastAsia="Times New Roman" w:cs="Arial"/>
          <w:color w:val="000000"/>
          <w:lang w:eastAsia="bg-BG"/>
        </w:rPr>
      </w:pPr>
    </w:p>
    <w:p w14:paraId="5DC34426" w14:textId="7A1521B5" w:rsidR="000128A4" w:rsidRPr="000128A4" w:rsidRDefault="000128A4" w:rsidP="000128A4">
      <w:pPr>
        <w:rPr>
          <w:rFonts w:eastAsia="Times New Roman" w:cs="Arial"/>
          <w:color w:val="000000"/>
          <w:lang w:eastAsia="bg-BG"/>
        </w:rPr>
      </w:pPr>
      <w:r w:rsidRPr="000128A4">
        <w:rPr>
          <w:rFonts w:eastAsia="Times New Roman" w:cs="Arial"/>
          <w:color w:val="000000"/>
          <w:lang w:eastAsia="bg-BG"/>
        </w:rPr>
        <w:lastRenderedPageBreak/>
        <w:t>Лечението трябва да продължи докато се наблюдава клинична полза или до поява на неприемлива токсичност.</w:t>
      </w:r>
    </w:p>
    <w:p w14:paraId="17BB0655" w14:textId="7CEE9BCE" w:rsidR="000128A4" w:rsidRPr="000128A4" w:rsidRDefault="000128A4" w:rsidP="000128A4">
      <w:pPr>
        <w:rPr>
          <w:rFonts w:eastAsia="Times New Roman" w:cs="Arial"/>
          <w:color w:val="000000"/>
          <w:lang w:eastAsia="bg-BG"/>
        </w:rPr>
      </w:pPr>
    </w:p>
    <w:p w14:paraId="18B7E4E4"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Адаптиране на дозата</w:t>
      </w:r>
    </w:p>
    <w:p w14:paraId="61D4B97F"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Овладяването на подозираните нежелани реакции може да наложи временно прекъсване или редуциране на дозата при лечението със сорафениб.</w:t>
      </w:r>
    </w:p>
    <w:p w14:paraId="4FAA5ECD" w14:textId="77777777" w:rsidR="000128A4" w:rsidRPr="000128A4" w:rsidRDefault="000128A4" w:rsidP="000128A4">
      <w:pPr>
        <w:spacing w:line="240" w:lineRule="auto"/>
        <w:rPr>
          <w:rFonts w:eastAsia="Times New Roman" w:cs="Arial"/>
          <w:color w:val="000000"/>
          <w:lang w:eastAsia="bg-BG"/>
        </w:rPr>
      </w:pPr>
    </w:p>
    <w:p w14:paraId="38DD1F98" w14:textId="0433BB70"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Когато е необходимо редуциране на дозата по време на лечението на хепатоцелуларен карцином (НСС) и напреднал бъбречноклетьчен карцином </w:t>
      </w:r>
      <w:r w:rsidRPr="000128A4">
        <w:rPr>
          <w:rFonts w:eastAsia="Times New Roman" w:cs="Arial"/>
          <w:color w:val="000000"/>
          <w:lang w:val="en-US"/>
        </w:rPr>
        <w:t xml:space="preserve">(RCC), </w:t>
      </w:r>
      <w:r w:rsidRPr="000128A4">
        <w:rPr>
          <w:rFonts w:eastAsia="Times New Roman" w:cs="Arial"/>
          <w:color w:val="000000"/>
          <w:lang w:eastAsia="bg-BG"/>
        </w:rPr>
        <w:t xml:space="preserve">дозата на Сорафениб Тева трябва да бъде редуцирана на две таблетки от 200 </w:t>
      </w:r>
      <w:r w:rsidRPr="000128A4">
        <w:rPr>
          <w:rFonts w:eastAsia="Times New Roman" w:cs="Arial"/>
          <w:color w:val="000000"/>
          <w:lang w:val="en-US"/>
        </w:rPr>
        <w:t xml:space="preserve">mg </w:t>
      </w:r>
      <w:r w:rsidRPr="000128A4">
        <w:rPr>
          <w:rFonts w:eastAsia="Times New Roman" w:cs="Arial"/>
          <w:color w:val="000000"/>
          <w:lang w:eastAsia="bg-BG"/>
        </w:rPr>
        <w:t>сорафениб веднъж дневно (вж. точка 4.4).</w:t>
      </w:r>
    </w:p>
    <w:p w14:paraId="10616A32" w14:textId="77777777" w:rsidR="000128A4" w:rsidRPr="000128A4" w:rsidRDefault="000128A4" w:rsidP="000128A4">
      <w:pPr>
        <w:spacing w:line="240" w:lineRule="auto"/>
        <w:rPr>
          <w:rFonts w:eastAsia="Times New Roman" w:cs="Arial"/>
          <w:color w:val="000000"/>
          <w:lang w:eastAsia="bg-BG"/>
        </w:rPr>
      </w:pPr>
    </w:p>
    <w:p w14:paraId="1611D79F" w14:textId="198B4EF9"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Ако е необходимо допълнително понижаване, дозата Сорафениб Тева може да се редуцира до 400 </w:t>
      </w:r>
      <w:r w:rsidRPr="000128A4">
        <w:rPr>
          <w:rFonts w:eastAsia="Times New Roman" w:cs="Arial"/>
          <w:color w:val="000000"/>
          <w:lang w:val="en-US"/>
        </w:rPr>
        <w:t xml:space="preserve">mg </w:t>
      </w:r>
      <w:r w:rsidRPr="000128A4">
        <w:rPr>
          <w:rFonts w:eastAsia="Times New Roman" w:cs="Arial"/>
          <w:color w:val="000000"/>
          <w:lang w:eastAsia="bg-BG"/>
        </w:rPr>
        <w:t xml:space="preserve">сорафениб дневно на няколко приема (две таблетки от 200 </w:t>
      </w:r>
      <w:r w:rsidRPr="000128A4">
        <w:rPr>
          <w:rFonts w:eastAsia="Times New Roman" w:cs="Arial"/>
          <w:color w:val="000000"/>
          <w:lang w:val="en-US"/>
        </w:rPr>
        <w:t xml:space="preserve">mg </w:t>
      </w:r>
      <w:r w:rsidRPr="000128A4">
        <w:rPr>
          <w:rFonts w:eastAsia="Times New Roman" w:cs="Arial"/>
          <w:color w:val="000000"/>
          <w:lang w:eastAsia="bg-BG"/>
        </w:rPr>
        <w:t xml:space="preserve">с интервал от дванадесет часа между приемите) и ако е необходимо по-нататъшно редуциране - до една таблетка от 200 </w:t>
      </w:r>
      <w:r w:rsidRPr="000128A4">
        <w:rPr>
          <w:rFonts w:eastAsia="Times New Roman" w:cs="Arial"/>
          <w:color w:val="000000"/>
          <w:lang w:val="en-US"/>
        </w:rPr>
        <w:t xml:space="preserve">mg </w:t>
      </w:r>
      <w:r w:rsidRPr="000128A4">
        <w:rPr>
          <w:rFonts w:eastAsia="Times New Roman" w:cs="Arial"/>
          <w:color w:val="000000"/>
          <w:lang w:eastAsia="bg-BG"/>
        </w:rPr>
        <w:t>веднъж дневно. След подобрение на нехематологичните нежелани реакции, дозата на Сорафениб Тева може да бъде повишена.</w:t>
      </w:r>
    </w:p>
    <w:p w14:paraId="66B472E4" w14:textId="77777777" w:rsidR="000128A4" w:rsidRPr="000128A4" w:rsidRDefault="000128A4" w:rsidP="000128A4">
      <w:pPr>
        <w:spacing w:line="240" w:lineRule="auto"/>
        <w:rPr>
          <w:rFonts w:eastAsia="Times New Roman" w:cs="Arial"/>
          <w:i/>
          <w:iCs/>
          <w:color w:val="000000"/>
          <w:lang w:eastAsia="bg-BG"/>
        </w:rPr>
      </w:pPr>
    </w:p>
    <w:p w14:paraId="4589BA97" w14:textId="5603B144" w:rsidR="000128A4" w:rsidRPr="000128A4" w:rsidRDefault="000128A4" w:rsidP="000128A4">
      <w:pPr>
        <w:spacing w:line="240" w:lineRule="auto"/>
        <w:rPr>
          <w:rFonts w:eastAsia="Times New Roman" w:cs="Arial"/>
          <w:sz w:val="24"/>
          <w:szCs w:val="24"/>
          <w:lang w:eastAsia="bg-BG"/>
        </w:rPr>
      </w:pPr>
      <w:r w:rsidRPr="000128A4">
        <w:rPr>
          <w:rFonts w:eastAsia="Times New Roman" w:cs="Arial"/>
          <w:i/>
          <w:iCs/>
          <w:color w:val="000000"/>
          <w:lang w:eastAsia="bg-BG"/>
        </w:rPr>
        <w:t>Педиатрична популация</w:t>
      </w:r>
    </w:p>
    <w:p w14:paraId="4FC805CD"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Безопасността и ефикасността на сорафениб при деца и юноши на възраст до 18 години все още не са установени. Липсват данни.</w:t>
      </w:r>
    </w:p>
    <w:p w14:paraId="3AFBC5DD" w14:textId="77777777" w:rsidR="000128A4" w:rsidRPr="000128A4" w:rsidRDefault="000128A4" w:rsidP="000128A4">
      <w:pPr>
        <w:spacing w:line="240" w:lineRule="auto"/>
        <w:rPr>
          <w:rFonts w:eastAsia="Times New Roman" w:cs="Arial"/>
          <w:i/>
          <w:iCs/>
          <w:color w:val="000000"/>
          <w:lang w:eastAsia="bg-BG"/>
        </w:rPr>
      </w:pPr>
    </w:p>
    <w:p w14:paraId="4793663C" w14:textId="1B76E354" w:rsidR="000128A4" w:rsidRPr="000128A4" w:rsidRDefault="000128A4" w:rsidP="000128A4">
      <w:pPr>
        <w:spacing w:line="240" w:lineRule="auto"/>
        <w:rPr>
          <w:rFonts w:eastAsia="Times New Roman" w:cs="Arial"/>
          <w:sz w:val="24"/>
          <w:szCs w:val="24"/>
          <w:lang w:eastAsia="bg-BG"/>
        </w:rPr>
      </w:pPr>
      <w:r w:rsidRPr="000128A4">
        <w:rPr>
          <w:rFonts w:eastAsia="Times New Roman" w:cs="Arial"/>
          <w:i/>
          <w:iCs/>
          <w:color w:val="000000"/>
          <w:lang w:eastAsia="bg-BG"/>
        </w:rPr>
        <w:t>Популация в старческа възраст</w:t>
      </w:r>
    </w:p>
    <w:p w14:paraId="7CC5E0B0" w14:textId="33A871F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Не е необходимо адаптиране на дозата при пациенти в старческа възраст (пациенти на възраст над 65 години).</w:t>
      </w:r>
    </w:p>
    <w:p w14:paraId="765D7D32" w14:textId="77777777" w:rsidR="000128A4" w:rsidRPr="000128A4" w:rsidRDefault="000128A4" w:rsidP="000128A4">
      <w:pPr>
        <w:spacing w:line="240" w:lineRule="auto"/>
        <w:rPr>
          <w:rFonts w:eastAsia="Times New Roman" w:cs="Arial"/>
          <w:i/>
          <w:iCs/>
          <w:color w:val="000000"/>
          <w:lang w:eastAsia="bg-BG"/>
        </w:rPr>
      </w:pPr>
    </w:p>
    <w:p w14:paraId="4E49B86C" w14:textId="67E27989" w:rsidR="000128A4" w:rsidRPr="000128A4" w:rsidRDefault="000128A4" w:rsidP="000128A4">
      <w:pPr>
        <w:spacing w:line="240" w:lineRule="auto"/>
        <w:rPr>
          <w:rFonts w:eastAsia="Times New Roman" w:cs="Arial"/>
          <w:sz w:val="24"/>
          <w:szCs w:val="24"/>
          <w:lang w:eastAsia="bg-BG"/>
        </w:rPr>
      </w:pPr>
      <w:r w:rsidRPr="000128A4">
        <w:rPr>
          <w:rFonts w:eastAsia="Times New Roman" w:cs="Arial"/>
          <w:i/>
          <w:iCs/>
          <w:color w:val="000000"/>
          <w:lang w:eastAsia="bg-BG"/>
        </w:rPr>
        <w:t>Бъбречно увреждане</w:t>
      </w:r>
    </w:p>
    <w:p w14:paraId="7D34E411"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Не е необходимо адаптиране на дозата при пациенти с леко, умерено или тежко бъбречно увреждане. Няма данни при пациенти, които се нуждаят от диализа (вж. точка 5.2).</w:t>
      </w:r>
    </w:p>
    <w:p w14:paraId="55BB54DA" w14:textId="77777777" w:rsidR="000128A4" w:rsidRPr="000128A4" w:rsidRDefault="000128A4" w:rsidP="000128A4">
      <w:pPr>
        <w:spacing w:line="240" w:lineRule="auto"/>
        <w:rPr>
          <w:rFonts w:eastAsia="Times New Roman" w:cs="Arial"/>
          <w:color w:val="000000"/>
          <w:lang w:eastAsia="bg-BG"/>
        </w:rPr>
      </w:pPr>
    </w:p>
    <w:p w14:paraId="711E6266" w14:textId="66C60504"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Проследяването на баланса на течностите и електролитите е препоръчително при пациенти с риск за нарушена бъбречна функция.</w:t>
      </w:r>
    </w:p>
    <w:p w14:paraId="3019BF20" w14:textId="77777777" w:rsidR="000128A4" w:rsidRPr="000128A4" w:rsidRDefault="000128A4" w:rsidP="000128A4">
      <w:pPr>
        <w:spacing w:line="240" w:lineRule="auto"/>
        <w:rPr>
          <w:rFonts w:eastAsia="Times New Roman" w:cs="Arial"/>
          <w:i/>
          <w:iCs/>
          <w:color w:val="000000"/>
          <w:lang w:eastAsia="bg-BG"/>
        </w:rPr>
      </w:pPr>
    </w:p>
    <w:p w14:paraId="35B1D792" w14:textId="7B98CDBD" w:rsidR="000128A4" w:rsidRPr="000128A4" w:rsidRDefault="000128A4" w:rsidP="000128A4">
      <w:pPr>
        <w:spacing w:line="240" w:lineRule="auto"/>
        <w:rPr>
          <w:rFonts w:eastAsia="Times New Roman" w:cs="Arial"/>
          <w:sz w:val="24"/>
          <w:szCs w:val="24"/>
          <w:lang w:eastAsia="bg-BG"/>
        </w:rPr>
      </w:pPr>
      <w:r w:rsidRPr="000128A4">
        <w:rPr>
          <w:rFonts w:eastAsia="Times New Roman" w:cs="Arial"/>
          <w:i/>
          <w:iCs/>
          <w:color w:val="000000"/>
          <w:lang w:eastAsia="bg-BG"/>
        </w:rPr>
        <w:t>Чернодробно увреждане</w:t>
      </w:r>
    </w:p>
    <w:p w14:paraId="02A7C0E7"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Не е необходимо адаптиране на дозата при пациенти с </w:t>
      </w:r>
      <w:r w:rsidRPr="000128A4">
        <w:rPr>
          <w:rFonts w:eastAsia="Times New Roman" w:cs="Arial"/>
          <w:color w:val="000000"/>
          <w:lang w:val="en-US"/>
        </w:rPr>
        <w:t xml:space="preserve">Child Pugh </w:t>
      </w:r>
      <w:r w:rsidRPr="000128A4">
        <w:rPr>
          <w:rFonts w:eastAsia="Times New Roman" w:cs="Arial"/>
          <w:color w:val="000000"/>
          <w:lang w:eastAsia="bg-BG"/>
        </w:rPr>
        <w:t xml:space="preserve">А или В (леко до умерено) чернодробно увреждане. Няма данни при пациенти с </w:t>
      </w:r>
      <w:r w:rsidRPr="000128A4">
        <w:rPr>
          <w:rFonts w:eastAsia="Times New Roman" w:cs="Arial"/>
          <w:color w:val="000000"/>
          <w:lang w:val="en-US"/>
        </w:rPr>
        <w:t xml:space="preserve">Child Pugh </w:t>
      </w:r>
      <w:r w:rsidRPr="000128A4">
        <w:rPr>
          <w:rFonts w:eastAsia="Times New Roman" w:cs="Arial"/>
          <w:color w:val="000000"/>
          <w:lang w:eastAsia="bg-BG"/>
        </w:rPr>
        <w:t>С (тежко) чернодробно увреждане (вж. точки 4.4 и 5.2).</w:t>
      </w:r>
    </w:p>
    <w:p w14:paraId="0506F49A" w14:textId="77777777" w:rsidR="000128A4" w:rsidRPr="000128A4" w:rsidRDefault="000128A4" w:rsidP="000128A4">
      <w:pPr>
        <w:spacing w:line="240" w:lineRule="auto"/>
        <w:rPr>
          <w:rFonts w:eastAsia="Times New Roman" w:cs="Arial"/>
          <w:color w:val="000000"/>
          <w:u w:val="single"/>
          <w:lang w:eastAsia="bg-BG"/>
        </w:rPr>
      </w:pPr>
    </w:p>
    <w:p w14:paraId="78A00E9E" w14:textId="0EB30657" w:rsidR="000128A4" w:rsidRPr="000128A4" w:rsidRDefault="000128A4" w:rsidP="000128A4">
      <w:pPr>
        <w:pStyle w:val="Heading3"/>
        <w:rPr>
          <w:rFonts w:eastAsia="Times New Roman"/>
          <w:u w:val="single"/>
          <w:lang w:eastAsia="bg-BG"/>
        </w:rPr>
      </w:pPr>
      <w:r w:rsidRPr="000128A4">
        <w:rPr>
          <w:rFonts w:eastAsia="Times New Roman"/>
          <w:u w:val="single"/>
          <w:lang w:eastAsia="bg-BG"/>
        </w:rPr>
        <w:t>Начин на приложение</w:t>
      </w:r>
    </w:p>
    <w:p w14:paraId="2F5DC627"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За перорално приложение.</w:t>
      </w:r>
    </w:p>
    <w:p w14:paraId="3B878F39"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Препоръчва се сорафениб да се прилага на гладно или с храна с ниско или умерено съдържание на мазнини. Ако пациентът възнамерява да приема храна, богата на мазнини, таблетките сорафениб трябва да се вземат поне 1 час преди или 2 часа след хранене. Таблетките трябва да се приемат с чаша вода.</w:t>
      </w:r>
    </w:p>
    <w:p w14:paraId="68DC1F20" w14:textId="77777777" w:rsidR="000128A4" w:rsidRPr="000128A4" w:rsidRDefault="000128A4" w:rsidP="000128A4"/>
    <w:p w14:paraId="1BF2EFF4" w14:textId="5AB2AA8C" w:rsidR="001A6EBD" w:rsidRDefault="002C50EE" w:rsidP="00471F10">
      <w:pPr>
        <w:pStyle w:val="Heading2"/>
      </w:pPr>
      <w:r>
        <w:t>4.3. Противопоказания</w:t>
      </w:r>
    </w:p>
    <w:p w14:paraId="1345B293" w14:textId="73E07296" w:rsidR="000128A4" w:rsidRDefault="000128A4" w:rsidP="000128A4"/>
    <w:p w14:paraId="3BA22977" w14:textId="77777777" w:rsidR="000128A4" w:rsidRPr="000128A4" w:rsidRDefault="000128A4" w:rsidP="000128A4">
      <w:pPr>
        <w:rPr>
          <w:sz w:val="24"/>
          <w:szCs w:val="24"/>
          <w:lang w:eastAsia="bg-BG"/>
        </w:rPr>
      </w:pPr>
      <w:r w:rsidRPr="000128A4">
        <w:rPr>
          <w:lang w:eastAsia="bg-BG"/>
        </w:rPr>
        <w:lastRenderedPageBreak/>
        <w:t>Свръхчувствителност към активното вещество или към някое от помощните вещества, изброени в точка 6.1.</w:t>
      </w:r>
    </w:p>
    <w:p w14:paraId="0498E5BF" w14:textId="77777777" w:rsidR="000128A4" w:rsidRPr="000128A4" w:rsidRDefault="000128A4" w:rsidP="000128A4"/>
    <w:p w14:paraId="0C106098" w14:textId="3B00583F" w:rsidR="001A6EBD" w:rsidRDefault="002C50EE" w:rsidP="00471F10">
      <w:pPr>
        <w:pStyle w:val="Heading2"/>
      </w:pPr>
      <w:r>
        <w:t>4.4. Специални предупреждения и предпазни мерки при употреба</w:t>
      </w:r>
    </w:p>
    <w:p w14:paraId="17462E6C" w14:textId="7A6FAE49" w:rsidR="000128A4" w:rsidRDefault="000128A4" w:rsidP="000128A4"/>
    <w:p w14:paraId="47885305"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Дерматологична токсичност</w:t>
      </w:r>
    </w:p>
    <w:p w14:paraId="53E5C42E" w14:textId="6B65BF60"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 xml:space="preserve">Кожна реакция ръка-крак (палмарно-плантарна еритродизестезия) и обрив представляват най- честите нежелани лекарствени реакции със сорафениб. Обривът и кожната реакция ръка, крак са обикновено степен I и II по СТС </w:t>
      </w:r>
      <w:r w:rsidRPr="000128A4">
        <w:rPr>
          <w:rFonts w:eastAsia="Times New Roman" w:cs="Arial"/>
          <w:color w:val="000000"/>
          <w:lang w:val="en-US"/>
        </w:rPr>
        <w:t xml:space="preserve">(Common Toxicity Criteria </w:t>
      </w:r>
      <w:r w:rsidRPr="000128A4">
        <w:rPr>
          <w:rFonts w:eastAsia="Times New Roman" w:cs="Arial"/>
          <w:color w:val="000000"/>
          <w:lang w:eastAsia="bg-BG"/>
        </w:rPr>
        <w:t>- общи критерии за токсичност), и обикновено се появяват през първите 6 седмици на лечение със сорафениб. Овладяването на</w:t>
      </w:r>
    </w:p>
    <w:p w14:paraId="1F269340" w14:textId="77777777" w:rsidR="000128A4" w:rsidRPr="000128A4" w:rsidRDefault="000128A4" w:rsidP="000128A4">
      <w:pPr>
        <w:rPr>
          <w:rFonts w:eastAsia="Times New Roman" w:cs="Arial"/>
          <w:lang w:eastAsia="bg-BG"/>
        </w:rPr>
      </w:pPr>
      <w:r w:rsidRPr="000128A4">
        <w:rPr>
          <w:rFonts w:eastAsia="Times New Roman" w:cs="Arial"/>
          <w:color w:val="000000"/>
          <w:lang w:eastAsia="bg-BG"/>
        </w:rPr>
        <w:t>дерматологичната токсичност може да включва локално лечение за симптоматично</w:t>
      </w:r>
      <w:r w:rsidRPr="000128A4">
        <w:rPr>
          <w:rFonts w:eastAsia="Times New Roman" w:cs="Arial"/>
          <w:color w:val="000000"/>
          <w:lang w:eastAsia="bg-BG"/>
        </w:rPr>
        <w:t xml:space="preserve"> </w:t>
      </w:r>
      <w:r w:rsidRPr="000128A4">
        <w:rPr>
          <w:rFonts w:eastAsia="Times New Roman" w:cs="Arial"/>
          <w:color w:val="000000"/>
          <w:lang w:eastAsia="bg-BG"/>
        </w:rPr>
        <w:t>облекчаване, временно прекъсване и/или корекция на дозата сорафениб, или окончателно прекратяване на лечението със сорафениб при тежки и персистиращи случаи (вж. точка 4.8).</w:t>
      </w:r>
    </w:p>
    <w:p w14:paraId="3976A0FD" w14:textId="77777777" w:rsidR="000128A4" w:rsidRPr="000128A4" w:rsidRDefault="000128A4" w:rsidP="000128A4">
      <w:pPr>
        <w:spacing w:line="240" w:lineRule="auto"/>
        <w:rPr>
          <w:rFonts w:eastAsia="Times New Roman" w:cs="Arial"/>
          <w:color w:val="000000"/>
          <w:u w:val="single"/>
          <w:lang w:eastAsia="bg-BG"/>
        </w:rPr>
      </w:pPr>
    </w:p>
    <w:p w14:paraId="25EBB998" w14:textId="7C2884AB"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Хипогликемия</w:t>
      </w:r>
    </w:p>
    <w:p w14:paraId="5F3BD0A9"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По време на лечение със сорафениб, се съобщава за хипогликемия, в някои случаи с клинична симптоматика и налагаща се хоспитализация поради загуба на съзнание. В случай на симптоматична хипогликемия, сорафениб трябва да бъде временно прекъснат. Нивата на глюкозата в кръвта при пациенти с диабет трябва да се проверяват редовно, за да се прецени дали трябва да се адаптира дозата на антидиабетния лекарствен продукт.</w:t>
      </w:r>
    </w:p>
    <w:p w14:paraId="14D93091" w14:textId="77777777" w:rsidR="000128A4" w:rsidRPr="000128A4" w:rsidRDefault="000128A4" w:rsidP="000128A4">
      <w:pPr>
        <w:spacing w:line="240" w:lineRule="auto"/>
        <w:rPr>
          <w:rFonts w:eastAsia="Times New Roman" w:cs="Arial"/>
          <w:color w:val="000000"/>
          <w:u w:val="single"/>
          <w:lang w:eastAsia="bg-BG"/>
        </w:rPr>
      </w:pPr>
    </w:p>
    <w:p w14:paraId="14C0D86F" w14:textId="170ACFF9"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Хипертония</w:t>
      </w:r>
    </w:p>
    <w:p w14:paraId="453BE986"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Повишена честота на артериална хипертония е наблюдавана при пациенти, лекувани със сорафениб. Хипертонията обикновено е била лека до умерена, появила се е рано по време на курса на лечение и е била повлияна от стандартната антихипертензивна терапия. Кръвното налягане трябва да се мониторира редовно и ако е необходимо да се лекува, в съответствие със стандартната клинична практика. В случаи на тежка или персистираща хипертония, или на хипертонични кризи, въпреки въвеждането на антихипертензивно лечение, трябва да се обмисли окончателно прекратяване на лечението със сорафениб (вж. точка 4.8).</w:t>
      </w:r>
    </w:p>
    <w:p w14:paraId="1BDEF8D3" w14:textId="77777777" w:rsidR="000128A4" w:rsidRPr="000128A4" w:rsidRDefault="000128A4" w:rsidP="000128A4">
      <w:pPr>
        <w:spacing w:line="240" w:lineRule="auto"/>
        <w:rPr>
          <w:rFonts w:eastAsia="Times New Roman" w:cs="Arial"/>
          <w:color w:val="000000"/>
          <w:u w:val="single"/>
          <w:lang w:eastAsia="bg-BG"/>
        </w:rPr>
      </w:pPr>
    </w:p>
    <w:p w14:paraId="267A934C" w14:textId="6B28EB7D"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Кръвоизлив</w:t>
      </w:r>
    </w:p>
    <w:p w14:paraId="47718760"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Повишен риск от кръвоизлив може да се наблюдава след приложение на сорафениб. Ако случай на кървене налага медицинска интервенция, се препоръчва да се обмисли окончателно прекратяване на лечението със сорафениб (вж. точка 4.8).</w:t>
      </w:r>
    </w:p>
    <w:p w14:paraId="14BCCE75" w14:textId="77777777" w:rsidR="000128A4" w:rsidRPr="000128A4" w:rsidRDefault="000128A4" w:rsidP="000128A4">
      <w:pPr>
        <w:spacing w:line="240" w:lineRule="auto"/>
        <w:rPr>
          <w:rFonts w:eastAsia="Times New Roman" w:cs="Arial"/>
          <w:color w:val="000000"/>
          <w:u w:val="single"/>
          <w:lang w:eastAsia="bg-BG"/>
        </w:rPr>
      </w:pPr>
    </w:p>
    <w:p w14:paraId="696353A0" w14:textId="53FC6508"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Сърдечна исхемия и/или инфаркт</w:t>
      </w:r>
    </w:p>
    <w:p w14:paraId="228C1497"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В рандомизирано, плацебо-контролирано, двойно-сляпо проучване (проучване 1, вж. точка 5.1) честотата на изискващите спешно лечение случаи на сърдечна исхемия/инфаркт е по-висока в групата на сорафениб (4,9 %) в сравнение с плацебо групата (0,4 %). При проучване 3 (вж. точка 5.1), честотата на изискващите спешно лечение случаи на сърдечна исхемия/инфаркт е била 2,7 % при пациенти на сорафениб, в сравнение с 1,3 % при плацебо групата. Пациентите с нестабилна или наскоро претърпян миокарден инфаркт са изключени от тези проучвания. При пациенти, които развиват сърдечна исхемия и/или инфаркт, трябва да се обмисли временно или постоянно прекъсване на лечението със сорафениб (вж. точка 4.8).</w:t>
      </w:r>
    </w:p>
    <w:p w14:paraId="51F2C875" w14:textId="77777777" w:rsidR="000128A4" w:rsidRPr="000128A4" w:rsidRDefault="000128A4" w:rsidP="000128A4">
      <w:pPr>
        <w:spacing w:line="240" w:lineRule="auto"/>
        <w:rPr>
          <w:rFonts w:eastAsia="Times New Roman" w:cs="Arial"/>
          <w:color w:val="000000"/>
          <w:u w:val="single"/>
          <w:lang w:eastAsia="bg-BG"/>
        </w:rPr>
      </w:pPr>
    </w:p>
    <w:p w14:paraId="72FEBB2C" w14:textId="2A491D38"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lastRenderedPageBreak/>
        <w:t>Аневризми и артериални дисекацин</w:t>
      </w:r>
    </w:p>
    <w:p w14:paraId="315F6A6A"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 xml:space="preserve">Използването на инхибитори на пътя на </w:t>
      </w:r>
      <w:r w:rsidRPr="000128A4">
        <w:rPr>
          <w:rFonts w:eastAsia="Times New Roman" w:cs="Arial"/>
          <w:color w:val="000000"/>
          <w:lang w:val="en-US"/>
        </w:rPr>
        <w:t xml:space="preserve">VEGF </w:t>
      </w:r>
      <w:r w:rsidRPr="000128A4">
        <w:rPr>
          <w:rFonts w:eastAsia="Times New Roman" w:cs="Arial"/>
          <w:color w:val="000000"/>
          <w:lang w:eastAsia="bg-BG"/>
        </w:rPr>
        <w:t>при пациенти със или без хипертония може да подпомогне образуването на аневризми и/или артериални дисекации. Преди започването на лечение със Сорафениб Тева трябва внимателно да се прецени този риск при пациенти с рискови фактори като хипертония или анамнеза за аневризма.</w:t>
      </w:r>
    </w:p>
    <w:p w14:paraId="443EABEB" w14:textId="77777777" w:rsidR="000128A4" w:rsidRPr="000128A4" w:rsidRDefault="000128A4" w:rsidP="000128A4">
      <w:pPr>
        <w:spacing w:line="240" w:lineRule="auto"/>
        <w:rPr>
          <w:rFonts w:eastAsia="Times New Roman" w:cs="Arial"/>
          <w:color w:val="000000"/>
          <w:u w:val="single"/>
          <w:lang w:eastAsia="bg-BG"/>
        </w:rPr>
      </w:pPr>
    </w:p>
    <w:p w14:paraId="34823FD9" w14:textId="6A01058C"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 xml:space="preserve">Удължаване на </w:t>
      </w:r>
      <w:r w:rsidRPr="000128A4">
        <w:rPr>
          <w:rFonts w:eastAsia="Times New Roman" w:cs="Arial"/>
          <w:color w:val="000000"/>
          <w:u w:val="single"/>
          <w:lang w:val="en-US"/>
        </w:rPr>
        <w:t>Q</w:t>
      </w:r>
      <w:r w:rsidRPr="000128A4">
        <w:rPr>
          <w:rFonts w:eastAsia="Times New Roman" w:cs="Arial"/>
          <w:color w:val="000000"/>
          <w:u w:val="single"/>
          <w:lang w:eastAsia="bg-BG"/>
        </w:rPr>
        <w:t>Т интервала</w:t>
      </w:r>
    </w:p>
    <w:p w14:paraId="297E2A8B" w14:textId="252150EE" w:rsidR="000128A4" w:rsidRPr="000128A4" w:rsidRDefault="000128A4" w:rsidP="000128A4">
      <w:pPr>
        <w:spacing w:line="240" w:lineRule="auto"/>
        <w:rPr>
          <w:rFonts w:eastAsia="Times New Roman" w:cs="Arial"/>
          <w:color w:val="000000"/>
          <w:lang w:eastAsia="bg-BG"/>
        </w:rPr>
      </w:pPr>
      <w:r w:rsidRPr="000128A4">
        <w:rPr>
          <w:rFonts w:eastAsia="Times New Roman" w:cs="Arial"/>
          <w:color w:val="000000"/>
          <w:lang w:eastAsia="bg-BG"/>
        </w:rPr>
        <w:t xml:space="preserve">Сорафениб доказано удължава </w:t>
      </w:r>
      <w:r w:rsidRPr="000128A4">
        <w:rPr>
          <w:rFonts w:eastAsia="Times New Roman" w:cs="Arial"/>
          <w:color w:val="000000"/>
          <w:lang w:val="en-US"/>
        </w:rPr>
        <w:t xml:space="preserve">QT/QTc </w:t>
      </w:r>
      <w:r w:rsidRPr="000128A4">
        <w:rPr>
          <w:rFonts w:eastAsia="Times New Roman" w:cs="Arial"/>
          <w:color w:val="000000"/>
          <w:lang w:eastAsia="bg-BG"/>
        </w:rPr>
        <w:t xml:space="preserve">интервала (вж. точка 5.1), което може да доведе до повишен риск от камерни аритмии. Сорафениб трябва да се прилага с повишено внимание при пациенти, които имат или могат да развият удължен </w:t>
      </w:r>
      <w:r w:rsidRPr="000128A4">
        <w:rPr>
          <w:rFonts w:eastAsia="Times New Roman" w:cs="Arial"/>
          <w:color w:val="000000"/>
          <w:lang w:val="en-US"/>
        </w:rPr>
        <w:t xml:space="preserve">QTc </w:t>
      </w:r>
      <w:r w:rsidRPr="000128A4">
        <w:rPr>
          <w:rFonts w:eastAsia="Times New Roman" w:cs="Arial"/>
          <w:color w:val="000000"/>
          <w:lang w:eastAsia="bg-BG"/>
        </w:rPr>
        <w:t xml:space="preserve">интервал, като например пациенти с вроден синдром на удължен </w:t>
      </w:r>
      <w:r w:rsidRPr="000128A4">
        <w:rPr>
          <w:rFonts w:eastAsia="Times New Roman" w:cs="Arial"/>
          <w:color w:val="000000"/>
          <w:lang w:val="en-US"/>
        </w:rPr>
        <w:t xml:space="preserve">QT </w:t>
      </w:r>
      <w:r w:rsidRPr="000128A4">
        <w:rPr>
          <w:rFonts w:eastAsia="Times New Roman" w:cs="Arial"/>
          <w:color w:val="000000"/>
          <w:lang w:eastAsia="bg-BG"/>
        </w:rPr>
        <w:t>интервал, пациенти, лекувани с висока кумулативна_доза</w:t>
      </w:r>
      <w:r w:rsidRPr="000128A4">
        <w:rPr>
          <w:rFonts w:eastAsia="Times New Roman" w:cs="Arial"/>
          <w:color w:val="000000"/>
          <w:u w:val="single"/>
          <w:lang w:eastAsia="bg-BG"/>
        </w:rPr>
        <w:t xml:space="preserve"> </w:t>
      </w:r>
      <w:r w:rsidRPr="000128A4">
        <w:rPr>
          <w:rFonts w:eastAsia="Times New Roman" w:cs="Arial"/>
          <w:color w:val="000000"/>
          <w:lang w:eastAsia="bg-BG"/>
        </w:rPr>
        <w:t xml:space="preserve">антрациклини, пациенти, приемащи определени антиаритмични лекарства или други лекарствени продукти, които водят до удължаване на </w:t>
      </w:r>
      <w:r w:rsidRPr="000128A4">
        <w:rPr>
          <w:rFonts w:eastAsia="Times New Roman" w:cs="Arial"/>
          <w:color w:val="000000"/>
          <w:lang w:val="en-US"/>
        </w:rPr>
        <w:t xml:space="preserve">QT </w:t>
      </w:r>
      <w:r w:rsidRPr="000128A4">
        <w:rPr>
          <w:rFonts w:eastAsia="Times New Roman" w:cs="Arial"/>
          <w:color w:val="000000"/>
          <w:lang w:eastAsia="bg-BG"/>
        </w:rPr>
        <w:t>интервала, и такива с електролитни нарушения, като хипокалиемия, хипокалциемия или хипомагнезиемия. По време на употребата на сорафениб при такива пациенти трябва да се обмисли периодичен мониторинг с</w:t>
      </w:r>
      <w:r w:rsidRPr="000128A4">
        <w:rPr>
          <w:rFonts w:eastAsia="Times New Roman" w:cs="Arial"/>
          <w:lang w:eastAsia="bg-BG"/>
        </w:rPr>
        <w:t xml:space="preserve"> </w:t>
      </w:r>
      <w:r w:rsidRPr="000128A4">
        <w:rPr>
          <w:rFonts w:eastAsia="Times New Roman" w:cs="Arial"/>
          <w:color w:val="000000"/>
          <w:lang w:eastAsia="bg-BG"/>
        </w:rPr>
        <w:t>електрокардиограми и електролити (магнезий, калий, калций).</w:t>
      </w:r>
    </w:p>
    <w:p w14:paraId="0A2A6E77" w14:textId="18DC80F5" w:rsidR="000128A4" w:rsidRPr="000128A4" w:rsidRDefault="000128A4" w:rsidP="000128A4">
      <w:pPr>
        <w:spacing w:line="240" w:lineRule="auto"/>
        <w:rPr>
          <w:rFonts w:eastAsia="Times New Roman" w:cs="Arial"/>
          <w:color w:val="000000"/>
          <w:lang w:eastAsia="bg-BG"/>
        </w:rPr>
      </w:pPr>
    </w:p>
    <w:p w14:paraId="72E8D73F"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Стомашно-чревна перфорация</w:t>
      </w:r>
    </w:p>
    <w:p w14:paraId="699674A2"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Стомашно-чревната перфорация е нечесто събитие, за което се съобщава при по-малко от 1% от пациентите, приемащи сорафениб. В някои случаи това не се свързва с наличния интраабдоминален тумор. Терапията със сорафениб трябва да се преустанови (вж. точка 4.8).</w:t>
      </w:r>
    </w:p>
    <w:p w14:paraId="6223D34A" w14:textId="77777777" w:rsidR="000128A4" w:rsidRPr="000128A4" w:rsidRDefault="000128A4" w:rsidP="000128A4">
      <w:pPr>
        <w:spacing w:line="240" w:lineRule="auto"/>
        <w:rPr>
          <w:rFonts w:eastAsia="Times New Roman" w:cs="Arial"/>
          <w:color w:val="000000"/>
          <w:u w:val="single"/>
          <w:lang w:eastAsia="bg-BG"/>
        </w:rPr>
      </w:pPr>
    </w:p>
    <w:p w14:paraId="4C0568A8" w14:textId="3567974A"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Чернодробно увреждане</w:t>
      </w:r>
    </w:p>
    <w:p w14:paraId="068CCDE6"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 xml:space="preserve">Няма данни при пациенти с </w:t>
      </w:r>
      <w:r w:rsidRPr="000128A4">
        <w:rPr>
          <w:rFonts w:eastAsia="Times New Roman" w:cs="Arial"/>
          <w:color w:val="000000"/>
          <w:lang w:val="en-US"/>
        </w:rPr>
        <w:t xml:space="preserve">Child Pugh </w:t>
      </w:r>
      <w:r w:rsidRPr="000128A4">
        <w:rPr>
          <w:rFonts w:eastAsia="Times New Roman" w:cs="Arial"/>
          <w:color w:val="000000"/>
          <w:lang w:eastAsia="bg-BG"/>
        </w:rPr>
        <w:t>С (тежко) чернодробно увреждане по. Тъй като сорафениб се елиминира предимно чрез черния дроб, експозицията може да бъде повишена при пациенти с тежко чернодробно увреждане (вж. точки 4.2 и 5.2).</w:t>
      </w:r>
    </w:p>
    <w:p w14:paraId="6F25DD15" w14:textId="77777777" w:rsidR="000128A4" w:rsidRPr="000128A4" w:rsidRDefault="000128A4" w:rsidP="000128A4">
      <w:pPr>
        <w:spacing w:line="240" w:lineRule="auto"/>
        <w:rPr>
          <w:rFonts w:eastAsia="Times New Roman" w:cs="Arial"/>
          <w:color w:val="000000"/>
          <w:u w:val="single"/>
          <w:lang w:eastAsia="bg-BG"/>
        </w:rPr>
      </w:pPr>
    </w:p>
    <w:p w14:paraId="62C3B45D" w14:textId="136D9CD2"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 xml:space="preserve">Синдром на туморен лизис </w:t>
      </w:r>
      <w:r w:rsidRPr="000128A4">
        <w:rPr>
          <w:rFonts w:eastAsia="Times New Roman" w:cs="Arial"/>
          <w:color w:val="000000"/>
          <w:u w:val="single"/>
          <w:lang w:val="en-US"/>
        </w:rPr>
        <w:t>(TLS)</w:t>
      </w:r>
    </w:p>
    <w:p w14:paraId="08EB3C64"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 xml:space="preserve">При постмаркетингово наблюдение при пациенти, лекувани със сорафениб, се съобщава за случаи на </w:t>
      </w:r>
      <w:r w:rsidRPr="000128A4">
        <w:rPr>
          <w:rFonts w:eastAsia="Times New Roman" w:cs="Arial"/>
          <w:color w:val="000000"/>
          <w:lang w:val="en-US"/>
        </w:rPr>
        <w:t xml:space="preserve">TLS, </w:t>
      </w:r>
      <w:r w:rsidRPr="000128A4">
        <w:rPr>
          <w:rFonts w:eastAsia="Times New Roman" w:cs="Arial"/>
          <w:color w:val="000000"/>
          <w:lang w:eastAsia="bg-BG"/>
        </w:rPr>
        <w:t xml:space="preserve">някои от които летални. Рискови фактори за поява на </w:t>
      </w:r>
      <w:r w:rsidRPr="000128A4">
        <w:rPr>
          <w:rFonts w:eastAsia="Times New Roman" w:cs="Arial"/>
          <w:color w:val="000000"/>
          <w:lang w:val="en-US"/>
        </w:rPr>
        <w:t xml:space="preserve">TLS </w:t>
      </w:r>
      <w:r w:rsidRPr="000128A4">
        <w:rPr>
          <w:rFonts w:eastAsia="Times New Roman" w:cs="Arial"/>
          <w:color w:val="000000"/>
          <w:lang w:eastAsia="bg-BG"/>
        </w:rPr>
        <w:t>са висок туморен товар, наличие на хронична бъбречна недостатъчност, олигурия, дехидратация, хипотония и повишена киселинност на урината. Тези пациенти трябва да се наблюдават внимателно и да се лекуват незабавно, както е клинично показано, като трябва да се обмисли хидратация с профилактична цел.</w:t>
      </w:r>
    </w:p>
    <w:p w14:paraId="6F9A0813" w14:textId="77777777" w:rsidR="000128A4" w:rsidRPr="000128A4" w:rsidRDefault="000128A4" w:rsidP="000128A4">
      <w:pPr>
        <w:spacing w:line="240" w:lineRule="auto"/>
        <w:rPr>
          <w:rFonts w:eastAsia="Times New Roman" w:cs="Arial"/>
          <w:color w:val="000000"/>
          <w:u w:val="single"/>
          <w:lang w:eastAsia="bg-BG"/>
        </w:rPr>
      </w:pPr>
    </w:p>
    <w:p w14:paraId="43786B52" w14:textId="1A9F62B2"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Едновременно приложение на варфарин</w:t>
      </w:r>
    </w:p>
    <w:p w14:paraId="7DB9FBF5"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 xml:space="preserve">Редки случаи на кръвотечения или повишаване на </w:t>
      </w:r>
      <w:r w:rsidRPr="000128A4">
        <w:rPr>
          <w:rFonts w:eastAsia="Times New Roman" w:cs="Arial"/>
          <w:color w:val="000000"/>
          <w:lang w:val="en-US"/>
        </w:rPr>
        <w:t xml:space="preserve">INR (International Normalized Ratio) </w:t>
      </w:r>
      <w:r w:rsidRPr="000128A4">
        <w:rPr>
          <w:rFonts w:eastAsia="Times New Roman" w:cs="Arial"/>
          <w:color w:val="000000"/>
          <w:lang w:eastAsia="bg-BG"/>
        </w:rPr>
        <w:t xml:space="preserve">са съобщени при някои пациенти, които са приемали варфарин, докато са на лечение със сорафениб. Пациентите, които приемат едновременно варфарин или фенпрокумон трябва да се мониторират редовно за промени в протромбиновото време, </w:t>
      </w:r>
      <w:r w:rsidRPr="000128A4">
        <w:rPr>
          <w:rFonts w:eastAsia="Times New Roman" w:cs="Arial"/>
          <w:color w:val="000000"/>
          <w:lang w:val="en-US"/>
        </w:rPr>
        <w:t xml:space="preserve">INR </w:t>
      </w:r>
      <w:r w:rsidRPr="000128A4">
        <w:rPr>
          <w:rFonts w:eastAsia="Times New Roman" w:cs="Arial"/>
          <w:color w:val="000000"/>
          <w:lang w:eastAsia="bg-BG"/>
        </w:rPr>
        <w:t>или за епизоди на клинично изявени кръвоизливи (вж. точка 4.5 и 4.8).</w:t>
      </w:r>
    </w:p>
    <w:p w14:paraId="176B76CE" w14:textId="77777777" w:rsidR="000128A4" w:rsidRPr="000128A4" w:rsidRDefault="000128A4" w:rsidP="000128A4">
      <w:pPr>
        <w:spacing w:line="240" w:lineRule="auto"/>
        <w:rPr>
          <w:rFonts w:eastAsia="Times New Roman" w:cs="Arial"/>
          <w:color w:val="000000"/>
          <w:u w:val="single"/>
          <w:lang w:eastAsia="bg-BG"/>
        </w:rPr>
      </w:pPr>
    </w:p>
    <w:p w14:paraId="6303D7AB" w14:textId="0334B0B3"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Усложнения при зарастване на рани</w:t>
      </w:r>
    </w:p>
    <w:p w14:paraId="2575AA18"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Не са проведени специални проучвания за ефекта на сорафениб върху зарастването на рани. Препоръчва се временно прекъсване на лечението със сорафениб, като предпазна мярка при пациенти, претърпели големи хирургични операции. Има ограничен клиничен опит по отношение на лечението след големи хирургични интервенции. Следователно, решението да се поднови лечението със сорафениб след голяма хирургична интервенция трябва да се основава на клиничната преценка за адекватното заздравяване на раната.</w:t>
      </w:r>
    </w:p>
    <w:p w14:paraId="380A93BA" w14:textId="77777777" w:rsidR="000128A4" w:rsidRPr="000128A4" w:rsidRDefault="000128A4" w:rsidP="000128A4">
      <w:pPr>
        <w:spacing w:line="240" w:lineRule="auto"/>
        <w:rPr>
          <w:rFonts w:eastAsia="Times New Roman" w:cs="Arial"/>
          <w:color w:val="000000"/>
          <w:u w:val="single"/>
          <w:lang w:eastAsia="bg-BG"/>
        </w:rPr>
      </w:pPr>
    </w:p>
    <w:p w14:paraId="2E0B0E92" w14:textId="10B98406"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Популация в старческа възраст</w:t>
      </w:r>
    </w:p>
    <w:p w14:paraId="793AC530"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Съобщават се случаи на бъбречна недостатъчност. Трябва да се има предвид мониториране на бъбречната функция.</w:t>
      </w:r>
    </w:p>
    <w:p w14:paraId="7D524EEC" w14:textId="77777777" w:rsidR="000128A4" w:rsidRPr="000128A4" w:rsidRDefault="000128A4" w:rsidP="000128A4">
      <w:pPr>
        <w:spacing w:line="240" w:lineRule="auto"/>
        <w:rPr>
          <w:rFonts w:eastAsia="Times New Roman" w:cs="Arial"/>
          <w:color w:val="000000"/>
          <w:u w:val="single"/>
          <w:lang w:eastAsia="bg-BG"/>
        </w:rPr>
      </w:pPr>
    </w:p>
    <w:p w14:paraId="5EABAD95" w14:textId="08D20D3B"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Лекарствени взаимодействия</w:t>
      </w:r>
    </w:p>
    <w:p w14:paraId="7B2F23BD"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 xml:space="preserve">Препоръчва се повишено внимание, когато се прилага сорафениб със съединения, които се метаболизират/елиминират предимно чрез </w:t>
      </w:r>
      <w:r w:rsidRPr="000128A4">
        <w:rPr>
          <w:rFonts w:eastAsia="Times New Roman" w:cs="Arial"/>
          <w:color w:val="000000"/>
          <w:lang w:val="en-US"/>
        </w:rPr>
        <w:t xml:space="preserve">UGT1A1 </w:t>
      </w:r>
      <w:r w:rsidRPr="000128A4">
        <w:rPr>
          <w:rFonts w:eastAsia="Times New Roman" w:cs="Arial"/>
          <w:color w:val="000000"/>
          <w:lang w:eastAsia="bg-BG"/>
        </w:rPr>
        <w:t xml:space="preserve">(напр. иринотекан) или </w:t>
      </w:r>
      <w:r w:rsidRPr="000128A4">
        <w:rPr>
          <w:rFonts w:eastAsia="Times New Roman" w:cs="Arial"/>
          <w:color w:val="000000"/>
          <w:lang w:val="en-US"/>
        </w:rPr>
        <w:t>UGT1</w:t>
      </w:r>
      <w:r w:rsidRPr="000128A4">
        <w:rPr>
          <w:rFonts w:eastAsia="Times New Roman" w:cs="Arial"/>
          <w:color w:val="000000"/>
          <w:lang w:eastAsia="bg-BG"/>
        </w:rPr>
        <w:t>А9 (вж. точка 4.5).</w:t>
      </w:r>
    </w:p>
    <w:p w14:paraId="1012940F" w14:textId="77777777" w:rsidR="000128A4" w:rsidRPr="000128A4" w:rsidRDefault="000128A4" w:rsidP="000128A4">
      <w:pPr>
        <w:spacing w:line="240" w:lineRule="auto"/>
        <w:rPr>
          <w:rFonts w:eastAsia="Times New Roman" w:cs="Arial"/>
          <w:color w:val="000000"/>
          <w:lang w:eastAsia="bg-BG"/>
        </w:rPr>
      </w:pPr>
    </w:p>
    <w:p w14:paraId="5A7AF81A" w14:textId="57B684D4"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Препоръчва се повишено внимание при едновременното приложение на сорафениб с доцетаксел (вж. точка 4.5)</w:t>
      </w:r>
    </w:p>
    <w:p w14:paraId="01D4B1D2" w14:textId="77777777" w:rsidR="000128A4" w:rsidRPr="000128A4" w:rsidRDefault="000128A4" w:rsidP="000128A4">
      <w:pPr>
        <w:spacing w:line="240" w:lineRule="auto"/>
        <w:rPr>
          <w:rFonts w:eastAsia="Times New Roman" w:cs="Arial"/>
          <w:color w:val="000000"/>
          <w:lang w:eastAsia="bg-BG"/>
        </w:rPr>
      </w:pPr>
    </w:p>
    <w:p w14:paraId="5E4BF38B" w14:textId="33C6C22A" w:rsidR="000128A4" w:rsidRPr="000128A4" w:rsidRDefault="000128A4" w:rsidP="000128A4">
      <w:pPr>
        <w:spacing w:line="240" w:lineRule="auto"/>
        <w:rPr>
          <w:rFonts w:eastAsia="Times New Roman" w:cs="Arial"/>
          <w:color w:val="000000"/>
          <w:lang w:eastAsia="bg-BG"/>
        </w:rPr>
      </w:pPr>
      <w:r w:rsidRPr="000128A4">
        <w:rPr>
          <w:rFonts w:eastAsia="Times New Roman" w:cs="Arial"/>
          <w:color w:val="000000"/>
          <w:lang w:eastAsia="bg-BG"/>
        </w:rPr>
        <w:t>Едновременното приложение на неомицин или други антибиотици, които предизвикат значителни екологични смущения в стомашно-чревната микрофлора, могат да доведат до намаляване на бионаличността на сорафениб (вж. точка 4.5). Трябва да се има предивд рискът от понижени плазмени концентрации на сорафениб преди започването на курс на лечение антибиотици.</w:t>
      </w:r>
    </w:p>
    <w:p w14:paraId="6B13A05E" w14:textId="6AFC318E" w:rsidR="000128A4" w:rsidRPr="000128A4" w:rsidRDefault="000128A4" w:rsidP="000128A4">
      <w:pPr>
        <w:spacing w:line="240" w:lineRule="auto"/>
        <w:rPr>
          <w:rFonts w:eastAsia="Times New Roman" w:cs="Arial"/>
          <w:color w:val="000000"/>
          <w:lang w:eastAsia="bg-BG"/>
        </w:rPr>
      </w:pPr>
    </w:p>
    <w:p w14:paraId="01F87799"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 xml:space="preserve">Съобщава се за по-висока смъртност при пациенти с плоскоклетъчен карцином на белия дроб, лекувани със сорафениб в комбинация с химиотерапии на основата на платина. В две рандомизирани изпитвания, изследващи пациенти с недребноклетъчен карцином на белия дроб в подгрупата на пациенти с плоскоклетъчен карцином, лекувани със сорафениб като допълнение към паклитаксел/карбоплатин, коефициентът на риск </w:t>
      </w:r>
      <w:r w:rsidRPr="000128A4">
        <w:rPr>
          <w:rFonts w:eastAsia="Times New Roman" w:cs="Arial"/>
          <w:color w:val="000000"/>
          <w:lang w:val="en-US"/>
        </w:rPr>
        <w:t xml:space="preserve">(HR) </w:t>
      </w:r>
      <w:r w:rsidRPr="000128A4">
        <w:rPr>
          <w:rFonts w:eastAsia="Times New Roman" w:cs="Arial"/>
          <w:color w:val="000000"/>
          <w:lang w:eastAsia="bg-BG"/>
        </w:rPr>
        <w:t xml:space="preserve">за общата преживяемост е оценен на 1,81 (95% </w:t>
      </w:r>
      <w:r w:rsidRPr="000128A4">
        <w:rPr>
          <w:rFonts w:eastAsia="Times New Roman" w:cs="Arial"/>
          <w:color w:val="000000"/>
          <w:lang w:val="en-US"/>
        </w:rPr>
        <w:t xml:space="preserve">CI: </w:t>
      </w:r>
      <w:r w:rsidRPr="000128A4">
        <w:rPr>
          <w:rFonts w:eastAsia="Times New Roman" w:cs="Arial"/>
          <w:color w:val="000000"/>
          <w:lang w:eastAsia="bg-BG"/>
        </w:rPr>
        <w:t xml:space="preserve">1,19; 2,74), а като допълнение към гемцитабин/цисплатин - 1,22 (95% </w:t>
      </w:r>
      <w:r w:rsidRPr="000128A4">
        <w:rPr>
          <w:rFonts w:eastAsia="Times New Roman" w:cs="Arial"/>
          <w:color w:val="000000"/>
          <w:lang w:val="en-US"/>
        </w:rPr>
        <w:t xml:space="preserve">CI: </w:t>
      </w:r>
      <w:r w:rsidRPr="000128A4">
        <w:rPr>
          <w:rFonts w:eastAsia="Times New Roman" w:cs="Arial"/>
          <w:color w:val="000000"/>
          <w:lang w:eastAsia="bg-BG"/>
        </w:rPr>
        <w:t>0,82; 1,80). Няма доминираща причина за смъртността, но са наблюдавани по-висока честота на дихателна недостатъчност, кръвоизливи и инфекции, като нежелани събития при пациенти, лекувани със сорафениб като допълнение към химиотерапии на основата на платина.</w:t>
      </w:r>
    </w:p>
    <w:p w14:paraId="4A1ADF74" w14:textId="77777777" w:rsidR="000128A4" w:rsidRPr="000128A4" w:rsidRDefault="000128A4" w:rsidP="000128A4">
      <w:pPr>
        <w:spacing w:line="240" w:lineRule="auto"/>
        <w:rPr>
          <w:rFonts w:eastAsia="Times New Roman" w:cs="Arial"/>
          <w:color w:val="000000"/>
          <w:u w:val="single"/>
          <w:lang w:eastAsia="bg-BG"/>
        </w:rPr>
      </w:pPr>
    </w:p>
    <w:p w14:paraId="3410DBAF" w14:textId="7D694221"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Специфични предупреждения в зависимост от заболяването</w:t>
      </w:r>
    </w:p>
    <w:p w14:paraId="5B97533B" w14:textId="77777777" w:rsidR="000128A4" w:rsidRPr="000128A4" w:rsidRDefault="000128A4" w:rsidP="000128A4">
      <w:pPr>
        <w:spacing w:line="240" w:lineRule="auto"/>
        <w:rPr>
          <w:rFonts w:eastAsia="Times New Roman" w:cs="Arial"/>
          <w:i/>
          <w:iCs/>
          <w:color w:val="000000"/>
          <w:u w:val="single"/>
          <w:lang w:eastAsia="bg-BG"/>
        </w:rPr>
      </w:pPr>
    </w:p>
    <w:p w14:paraId="05C89DC6" w14:textId="03FB5277" w:rsidR="000128A4" w:rsidRPr="000128A4" w:rsidRDefault="000128A4" w:rsidP="000128A4">
      <w:pPr>
        <w:spacing w:line="240" w:lineRule="auto"/>
        <w:rPr>
          <w:rFonts w:eastAsia="Times New Roman" w:cs="Arial"/>
          <w:lang w:eastAsia="bg-BG"/>
        </w:rPr>
      </w:pPr>
      <w:r w:rsidRPr="000128A4">
        <w:rPr>
          <w:rFonts w:eastAsia="Times New Roman" w:cs="Arial"/>
          <w:i/>
          <w:iCs/>
          <w:color w:val="000000"/>
          <w:u w:val="single"/>
          <w:lang w:eastAsia="bg-BG"/>
        </w:rPr>
        <w:t>Бъбречноклетьчен кариином</w:t>
      </w:r>
    </w:p>
    <w:p w14:paraId="7C596D33"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 xml:space="preserve">Пациенти от прогностичната група с висок риск по </w:t>
      </w:r>
      <w:r w:rsidRPr="000128A4">
        <w:rPr>
          <w:rFonts w:eastAsia="Times New Roman" w:cs="Arial"/>
          <w:color w:val="000000"/>
          <w:lang w:val="en-US"/>
        </w:rPr>
        <w:t xml:space="preserve">MSKCC (Memorial Sloan Kettering Cancer Center) </w:t>
      </w:r>
      <w:r w:rsidRPr="000128A4">
        <w:rPr>
          <w:rFonts w:eastAsia="Times New Roman" w:cs="Arial"/>
          <w:color w:val="000000"/>
          <w:lang w:eastAsia="bg-BG"/>
        </w:rPr>
        <w:t>не са включени в клинично проучване фаза Ш при бъбречноклетьчен карцином (вж. проучване 1 в точка 5.1) и при тези пациенти не е оценявано съотношението полза-риск.</w:t>
      </w:r>
    </w:p>
    <w:p w14:paraId="39AC0339" w14:textId="77777777" w:rsidR="000128A4" w:rsidRPr="000128A4" w:rsidRDefault="000128A4" w:rsidP="000128A4">
      <w:pPr>
        <w:spacing w:line="240" w:lineRule="auto"/>
        <w:rPr>
          <w:rFonts w:eastAsia="Times New Roman" w:cs="Arial"/>
          <w:color w:val="000000"/>
          <w:u w:val="single"/>
          <w:lang w:eastAsia="bg-BG"/>
        </w:rPr>
      </w:pPr>
    </w:p>
    <w:p w14:paraId="0DBF272E" w14:textId="5760DA85" w:rsidR="000128A4" w:rsidRPr="000128A4" w:rsidRDefault="000128A4" w:rsidP="000128A4">
      <w:pPr>
        <w:spacing w:line="240" w:lineRule="auto"/>
        <w:rPr>
          <w:rFonts w:eastAsia="Times New Roman" w:cs="Arial"/>
          <w:lang w:eastAsia="bg-BG"/>
        </w:rPr>
      </w:pPr>
      <w:r w:rsidRPr="000128A4">
        <w:rPr>
          <w:rFonts w:eastAsia="Times New Roman" w:cs="Arial"/>
          <w:color w:val="000000"/>
          <w:u w:val="single"/>
          <w:lang w:eastAsia="bg-BG"/>
        </w:rPr>
        <w:t>Информация за помощните вещества</w:t>
      </w:r>
    </w:p>
    <w:p w14:paraId="794EC7AE" w14:textId="77777777" w:rsidR="000128A4" w:rsidRPr="000128A4" w:rsidRDefault="000128A4" w:rsidP="000128A4">
      <w:pPr>
        <w:spacing w:line="240" w:lineRule="auto"/>
        <w:rPr>
          <w:rFonts w:eastAsia="Times New Roman" w:cs="Arial"/>
          <w:lang w:eastAsia="bg-BG"/>
        </w:rPr>
      </w:pPr>
      <w:r w:rsidRPr="000128A4">
        <w:rPr>
          <w:rFonts w:eastAsia="Times New Roman" w:cs="Arial"/>
          <w:color w:val="000000"/>
          <w:lang w:eastAsia="bg-BG"/>
        </w:rPr>
        <w:t xml:space="preserve">Това лекарство съдържа по-малко от 1 </w:t>
      </w:r>
      <w:r w:rsidRPr="000128A4">
        <w:rPr>
          <w:rFonts w:eastAsia="Times New Roman" w:cs="Arial"/>
          <w:color w:val="000000"/>
          <w:lang w:val="en-US"/>
        </w:rPr>
        <w:t xml:space="preserve">mmol </w:t>
      </w:r>
      <w:r w:rsidRPr="000128A4">
        <w:rPr>
          <w:rFonts w:eastAsia="Times New Roman" w:cs="Arial"/>
          <w:color w:val="000000"/>
          <w:lang w:eastAsia="bg-BG"/>
        </w:rPr>
        <w:t xml:space="preserve">(23 </w:t>
      </w:r>
      <w:r w:rsidRPr="000128A4">
        <w:rPr>
          <w:rFonts w:eastAsia="Times New Roman" w:cs="Arial"/>
          <w:color w:val="000000"/>
          <w:lang w:val="en-US"/>
        </w:rPr>
        <w:t xml:space="preserve">mg) </w:t>
      </w:r>
      <w:r w:rsidRPr="000128A4">
        <w:rPr>
          <w:rFonts w:eastAsia="Times New Roman" w:cs="Arial"/>
          <w:color w:val="000000"/>
          <w:lang w:eastAsia="bg-BG"/>
        </w:rPr>
        <w:t>натрий за една таблетка, т.е може да се каже, че практически не съдържа натрий.</w:t>
      </w:r>
    </w:p>
    <w:p w14:paraId="6805F4B8" w14:textId="77777777" w:rsidR="000128A4" w:rsidRPr="000128A4" w:rsidRDefault="000128A4" w:rsidP="000128A4">
      <w:pPr>
        <w:spacing w:line="240" w:lineRule="auto"/>
        <w:rPr>
          <w:rFonts w:ascii="Times New Roman" w:eastAsia="Times New Roman" w:hAnsi="Times New Roman" w:cs="Times New Roman"/>
          <w:sz w:val="24"/>
          <w:szCs w:val="24"/>
          <w:lang w:eastAsia="bg-BG"/>
        </w:rPr>
      </w:pPr>
    </w:p>
    <w:p w14:paraId="524AC966" w14:textId="0254411B" w:rsidR="001A6EBD" w:rsidRDefault="002C50EE" w:rsidP="00471F1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755260C7" w14:textId="7457A66E" w:rsidR="000128A4" w:rsidRDefault="000128A4" w:rsidP="000128A4"/>
    <w:p w14:paraId="3967E341"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Индуктори на метаболитни ензими</w:t>
      </w:r>
    </w:p>
    <w:p w14:paraId="6185FFC4"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Приложението на рифампицин за 5 дни преди приложението на еднократна доза сорафениб води средно до 37% понижаване на </w:t>
      </w:r>
      <w:r w:rsidRPr="000128A4">
        <w:rPr>
          <w:rFonts w:eastAsia="Times New Roman" w:cs="Arial"/>
          <w:color w:val="000000"/>
          <w:lang w:val="en-US"/>
        </w:rPr>
        <w:t xml:space="preserve">AUC </w:t>
      </w:r>
      <w:r w:rsidRPr="000128A4">
        <w:rPr>
          <w:rFonts w:eastAsia="Times New Roman" w:cs="Arial"/>
          <w:color w:val="000000"/>
          <w:lang w:eastAsia="bg-BG"/>
        </w:rPr>
        <w:t xml:space="preserve">на сорафениб. Други индуктори на активността на </w:t>
      </w:r>
      <w:r w:rsidRPr="000128A4">
        <w:rPr>
          <w:rFonts w:eastAsia="Times New Roman" w:cs="Arial"/>
          <w:color w:val="000000"/>
          <w:lang w:val="en-US"/>
        </w:rPr>
        <w:t xml:space="preserve">CYP3 </w:t>
      </w:r>
      <w:r w:rsidRPr="000128A4">
        <w:rPr>
          <w:rFonts w:eastAsia="Times New Roman" w:cs="Arial"/>
          <w:color w:val="000000"/>
          <w:lang w:eastAsia="bg-BG"/>
        </w:rPr>
        <w:t xml:space="preserve">А4 и/или на глюкуронирането (напр. </w:t>
      </w:r>
      <w:r w:rsidRPr="000128A4">
        <w:rPr>
          <w:rFonts w:eastAsia="Times New Roman" w:cs="Arial"/>
          <w:i/>
          <w:iCs/>
          <w:color w:val="000000"/>
          <w:lang w:val="en-US"/>
        </w:rPr>
        <w:t xml:space="preserve">Hypericum </w:t>
      </w:r>
      <w:proofErr w:type="spellStart"/>
      <w:r w:rsidRPr="000128A4">
        <w:rPr>
          <w:rFonts w:eastAsia="Times New Roman" w:cs="Arial"/>
          <w:i/>
          <w:iCs/>
          <w:color w:val="000000"/>
          <w:lang w:val="en-US"/>
        </w:rPr>
        <w:t>perforatum</w:t>
      </w:r>
      <w:proofErr w:type="spellEnd"/>
      <w:r w:rsidRPr="000128A4">
        <w:rPr>
          <w:rFonts w:eastAsia="Times New Roman" w:cs="Arial"/>
          <w:i/>
          <w:iCs/>
          <w:color w:val="000000"/>
          <w:lang w:val="en-US"/>
        </w:rPr>
        <w:t>,</w:t>
      </w:r>
      <w:r w:rsidRPr="000128A4">
        <w:rPr>
          <w:rFonts w:eastAsia="Times New Roman" w:cs="Arial"/>
          <w:color w:val="000000"/>
          <w:lang w:val="en-US"/>
        </w:rPr>
        <w:t xml:space="preserve"> </w:t>
      </w:r>
      <w:r w:rsidRPr="000128A4">
        <w:rPr>
          <w:rFonts w:eastAsia="Times New Roman" w:cs="Arial"/>
          <w:color w:val="000000"/>
          <w:lang w:eastAsia="bg-BG"/>
        </w:rPr>
        <w:t xml:space="preserve">известен също като жълт кантарион, фенитоин, карбамазепин, фенобарбитал и дексаметазон) </w:t>
      </w:r>
      <w:r w:rsidRPr="000128A4">
        <w:rPr>
          <w:rFonts w:eastAsia="Times New Roman" w:cs="Arial"/>
          <w:color w:val="000000"/>
          <w:lang w:eastAsia="bg-BG"/>
        </w:rPr>
        <w:lastRenderedPageBreak/>
        <w:t>могат също да повишат метаболизма на сорафениб и по този начин да понижат концентрациите му.</w:t>
      </w:r>
    </w:p>
    <w:p w14:paraId="048424C4" w14:textId="77777777" w:rsidR="000128A4" w:rsidRPr="000128A4" w:rsidRDefault="000128A4" w:rsidP="000128A4">
      <w:pPr>
        <w:spacing w:line="240" w:lineRule="auto"/>
        <w:rPr>
          <w:rFonts w:eastAsia="Times New Roman" w:cs="Arial"/>
          <w:color w:val="000000"/>
          <w:u w:val="single"/>
          <w:lang w:eastAsia="bg-BG"/>
        </w:rPr>
      </w:pPr>
    </w:p>
    <w:p w14:paraId="6CB1E328" w14:textId="1F225E30"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 xml:space="preserve">Инхибитори на </w:t>
      </w:r>
      <w:r w:rsidRPr="000128A4">
        <w:rPr>
          <w:rFonts w:eastAsia="Times New Roman" w:cs="Arial"/>
          <w:color w:val="000000"/>
          <w:u w:val="single"/>
          <w:lang w:val="en-US"/>
        </w:rPr>
        <w:t>CYP3A4</w:t>
      </w:r>
    </w:p>
    <w:p w14:paraId="7F647761"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Кетоконазол, който е мощен инхибитор на </w:t>
      </w:r>
      <w:r w:rsidRPr="000128A4">
        <w:rPr>
          <w:rFonts w:eastAsia="Times New Roman" w:cs="Arial"/>
          <w:color w:val="000000"/>
          <w:lang w:val="en-US"/>
        </w:rPr>
        <w:t xml:space="preserve">CYP3A4, </w:t>
      </w:r>
      <w:r w:rsidRPr="000128A4">
        <w:rPr>
          <w:rFonts w:eastAsia="Times New Roman" w:cs="Arial"/>
          <w:color w:val="000000"/>
          <w:lang w:eastAsia="bg-BG"/>
        </w:rPr>
        <w:t xml:space="preserve">приложен веднъж дневно в продължение на 7 дни на здрави мъже доброволци, не променя средната </w:t>
      </w:r>
      <w:r w:rsidRPr="000128A4">
        <w:rPr>
          <w:rFonts w:eastAsia="Times New Roman" w:cs="Arial"/>
          <w:color w:val="000000"/>
          <w:lang w:val="en-US"/>
        </w:rPr>
        <w:t xml:space="preserve">AUC </w:t>
      </w:r>
      <w:r w:rsidRPr="000128A4">
        <w:rPr>
          <w:rFonts w:eastAsia="Times New Roman" w:cs="Arial"/>
          <w:color w:val="000000"/>
          <w:lang w:eastAsia="bg-BG"/>
        </w:rPr>
        <w:t xml:space="preserve">на единична доза от 50 </w:t>
      </w:r>
      <w:r w:rsidRPr="000128A4">
        <w:rPr>
          <w:rFonts w:eastAsia="Times New Roman" w:cs="Arial"/>
          <w:color w:val="000000"/>
          <w:lang w:val="en-US"/>
        </w:rPr>
        <w:t xml:space="preserve">mg </w:t>
      </w:r>
      <w:r w:rsidRPr="000128A4">
        <w:rPr>
          <w:rFonts w:eastAsia="Times New Roman" w:cs="Arial"/>
          <w:color w:val="000000"/>
          <w:lang w:eastAsia="bg-BG"/>
        </w:rPr>
        <w:t xml:space="preserve">сорафениб. Тези данни показват, че клиничните фармакокинетични взаимодействия на сорафениб с инхибиторите на </w:t>
      </w:r>
      <w:r w:rsidRPr="000128A4">
        <w:rPr>
          <w:rFonts w:eastAsia="Times New Roman" w:cs="Arial"/>
          <w:color w:val="000000"/>
          <w:lang w:val="en-US"/>
        </w:rPr>
        <w:t xml:space="preserve">CYP3A4 </w:t>
      </w:r>
      <w:r w:rsidRPr="000128A4">
        <w:rPr>
          <w:rFonts w:eastAsia="Times New Roman" w:cs="Arial"/>
          <w:color w:val="000000"/>
          <w:lang w:eastAsia="bg-BG"/>
        </w:rPr>
        <w:t>са малко вероятни.</w:t>
      </w:r>
    </w:p>
    <w:p w14:paraId="310A94E1" w14:textId="77777777" w:rsidR="000128A4" w:rsidRPr="000128A4" w:rsidRDefault="000128A4" w:rsidP="000128A4">
      <w:pPr>
        <w:spacing w:line="240" w:lineRule="auto"/>
        <w:rPr>
          <w:rFonts w:eastAsia="Times New Roman" w:cs="Arial"/>
          <w:color w:val="000000"/>
          <w:u w:val="single"/>
          <w:lang w:eastAsia="bg-BG"/>
        </w:rPr>
      </w:pPr>
    </w:p>
    <w:p w14:paraId="4C44BC33" w14:textId="5C833810"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 xml:space="preserve">Субстрати на </w:t>
      </w:r>
      <w:r w:rsidRPr="000128A4">
        <w:rPr>
          <w:rFonts w:eastAsia="Times New Roman" w:cs="Arial"/>
          <w:color w:val="000000"/>
          <w:u w:val="single"/>
          <w:lang w:val="en-US"/>
        </w:rPr>
        <w:t xml:space="preserve">CYP2B6, CYP2C8 </w:t>
      </w:r>
      <w:r w:rsidRPr="000128A4">
        <w:rPr>
          <w:rFonts w:eastAsia="Times New Roman" w:cs="Arial"/>
          <w:color w:val="000000"/>
          <w:u w:val="single"/>
          <w:lang w:eastAsia="bg-BG"/>
        </w:rPr>
        <w:t xml:space="preserve">и </w:t>
      </w:r>
      <w:r w:rsidRPr="000128A4">
        <w:rPr>
          <w:rFonts w:eastAsia="Times New Roman" w:cs="Arial"/>
          <w:color w:val="000000"/>
          <w:u w:val="single"/>
          <w:lang w:val="en-US"/>
        </w:rPr>
        <w:t>CYP2C9</w:t>
      </w:r>
    </w:p>
    <w:p w14:paraId="03F4C307"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Сорафениб инхибира </w:t>
      </w:r>
      <w:r w:rsidRPr="000128A4">
        <w:rPr>
          <w:rFonts w:eastAsia="Times New Roman" w:cs="Arial"/>
          <w:i/>
          <w:iCs/>
          <w:color w:val="000000"/>
          <w:lang w:val="en-US"/>
        </w:rPr>
        <w:t>in vitro</w:t>
      </w:r>
      <w:r w:rsidRPr="000128A4">
        <w:rPr>
          <w:rFonts w:eastAsia="Times New Roman" w:cs="Arial"/>
          <w:color w:val="000000"/>
          <w:lang w:val="en-US"/>
        </w:rPr>
        <w:t xml:space="preserve"> </w:t>
      </w:r>
      <w:r w:rsidRPr="000128A4">
        <w:rPr>
          <w:rFonts w:eastAsia="Times New Roman" w:cs="Arial"/>
          <w:color w:val="000000"/>
          <w:lang w:eastAsia="bg-BG"/>
        </w:rPr>
        <w:t xml:space="preserve">почти еднакво </w:t>
      </w:r>
      <w:r w:rsidRPr="000128A4">
        <w:rPr>
          <w:rFonts w:eastAsia="Times New Roman" w:cs="Arial"/>
          <w:color w:val="000000"/>
          <w:lang w:val="en-US"/>
        </w:rPr>
        <w:t xml:space="preserve">CYP2B6, CYP2C8 </w:t>
      </w:r>
      <w:r w:rsidRPr="000128A4">
        <w:rPr>
          <w:rFonts w:eastAsia="Times New Roman" w:cs="Arial"/>
          <w:color w:val="000000"/>
          <w:lang w:eastAsia="bg-BG"/>
        </w:rPr>
        <w:t xml:space="preserve">и </w:t>
      </w:r>
      <w:r w:rsidRPr="000128A4">
        <w:rPr>
          <w:rFonts w:eastAsia="Times New Roman" w:cs="Arial"/>
          <w:color w:val="000000"/>
          <w:lang w:val="en-US"/>
        </w:rPr>
        <w:t xml:space="preserve">CYP2C9. </w:t>
      </w:r>
      <w:r w:rsidRPr="000128A4">
        <w:rPr>
          <w:rFonts w:eastAsia="Times New Roman" w:cs="Arial"/>
          <w:color w:val="000000"/>
          <w:lang w:eastAsia="bg-BG"/>
        </w:rPr>
        <w:t xml:space="preserve">Въпреки това, в клинични фармакокинетични изпитвания едновременното приложение на 400 </w:t>
      </w:r>
      <w:r w:rsidRPr="000128A4">
        <w:rPr>
          <w:rFonts w:eastAsia="Times New Roman" w:cs="Arial"/>
          <w:color w:val="000000"/>
          <w:lang w:val="en-US"/>
        </w:rPr>
        <w:t xml:space="preserve">mg </w:t>
      </w:r>
      <w:r w:rsidRPr="000128A4">
        <w:rPr>
          <w:rFonts w:eastAsia="Times New Roman" w:cs="Arial"/>
          <w:color w:val="000000"/>
          <w:lang w:eastAsia="bg-BG"/>
        </w:rPr>
        <w:t xml:space="preserve">сорафениб два пъти дневно с циклофосфамид, който е субстрат на </w:t>
      </w:r>
      <w:r w:rsidRPr="000128A4">
        <w:rPr>
          <w:rFonts w:eastAsia="Times New Roman" w:cs="Arial"/>
          <w:color w:val="000000"/>
          <w:lang w:val="en-US"/>
        </w:rPr>
        <w:t xml:space="preserve">CYP2B6, </w:t>
      </w:r>
      <w:r w:rsidRPr="000128A4">
        <w:rPr>
          <w:rFonts w:eastAsia="Times New Roman" w:cs="Arial"/>
          <w:color w:val="000000"/>
          <w:lang w:eastAsia="bg-BG"/>
        </w:rPr>
        <w:t xml:space="preserve">или с паклитаксел, субстрат на </w:t>
      </w:r>
      <w:r w:rsidRPr="000128A4">
        <w:rPr>
          <w:rFonts w:eastAsia="Times New Roman" w:cs="Arial"/>
          <w:color w:val="000000"/>
          <w:lang w:val="en-US"/>
        </w:rPr>
        <w:t xml:space="preserve">CYP2C8, </w:t>
      </w:r>
      <w:r w:rsidRPr="000128A4">
        <w:rPr>
          <w:rFonts w:eastAsia="Times New Roman" w:cs="Arial"/>
          <w:color w:val="000000"/>
          <w:lang w:eastAsia="bg-BG"/>
        </w:rPr>
        <w:t xml:space="preserve">не води до клинично значимо инхибиране. Тези данни предполагат, че сорафениб в препоръчителната дозировка от 400 </w:t>
      </w:r>
      <w:r w:rsidRPr="000128A4">
        <w:rPr>
          <w:rFonts w:eastAsia="Times New Roman" w:cs="Arial"/>
          <w:color w:val="000000"/>
          <w:lang w:val="en-US"/>
        </w:rPr>
        <w:t xml:space="preserve">mg </w:t>
      </w:r>
      <w:r w:rsidRPr="000128A4">
        <w:rPr>
          <w:rFonts w:eastAsia="Times New Roman" w:cs="Arial"/>
          <w:color w:val="000000"/>
          <w:lang w:eastAsia="bg-BG"/>
        </w:rPr>
        <w:t xml:space="preserve">два пъти дневно не може да бъде </w:t>
      </w:r>
      <w:r w:rsidRPr="000128A4">
        <w:rPr>
          <w:rFonts w:eastAsia="Times New Roman" w:cs="Arial"/>
          <w:i/>
          <w:iCs/>
          <w:color w:val="000000"/>
          <w:lang w:val="en-US"/>
        </w:rPr>
        <w:t>in vivo</w:t>
      </w:r>
      <w:r w:rsidRPr="000128A4">
        <w:rPr>
          <w:rFonts w:eastAsia="Times New Roman" w:cs="Arial"/>
          <w:color w:val="000000"/>
          <w:lang w:val="en-US"/>
        </w:rPr>
        <w:t xml:space="preserve"> </w:t>
      </w:r>
      <w:r w:rsidRPr="000128A4">
        <w:rPr>
          <w:rFonts w:eastAsia="Times New Roman" w:cs="Arial"/>
          <w:color w:val="000000"/>
          <w:lang w:eastAsia="bg-BG"/>
        </w:rPr>
        <w:t xml:space="preserve">инхибитор на </w:t>
      </w:r>
      <w:r w:rsidRPr="000128A4">
        <w:rPr>
          <w:rFonts w:eastAsia="Times New Roman" w:cs="Arial"/>
          <w:color w:val="000000"/>
          <w:lang w:val="en-US"/>
        </w:rPr>
        <w:t xml:space="preserve">CYP2B6 </w:t>
      </w:r>
      <w:r w:rsidRPr="000128A4">
        <w:rPr>
          <w:rFonts w:eastAsia="Times New Roman" w:cs="Arial"/>
          <w:color w:val="000000"/>
          <w:lang w:eastAsia="bg-BG"/>
        </w:rPr>
        <w:t xml:space="preserve">и </w:t>
      </w:r>
      <w:r w:rsidRPr="000128A4">
        <w:rPr>
          <w:rFonts w:eastAsia="Times New Roman" w:cs="Arial"/>
          <w:color w:val="000000"/>
          <w:lang w:val="en-US"/>
        </w:rPr>
        <w:t>CYP2C8.</w:t>
      </w:r>
    </w:p>
    <w:p w14:paraId="6198CFB5" w14:textId="14746496"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В допълнение, едновременното лечение със сорафениб и варфарин, субстрат на </w:t>
      </w:r>
      <w:r w:rsidRPr="000128A4">
        <w:rPr>
          <w:rFonts w:eastAsia="Times New Roman" w:cs="Arial"/>
          <w:color w:val="000000"/>
          <w:lang w:val="en-US"/>
        </w:rPr>
        <w:t xml:space="preserve">CYP2C9, </w:t>
      </w:r>
      <w:r w:rsidRPr="000128A4">
        <w:rPr>
          <w:rFonts w:eastAsia="Times New Roman" w:cs="Arial"/>
          <w:color w:val="000000"/>
          <w:lang w:eastAsia="bg-BG"/>
        </w:rPr>
        <w:t xml:space="preserve">не води до изменение в средното </w:t>
      </w:r>
      <w:r w:rsidRPr="000128A4">
        <w:rPr>
          <w:rFonts w:eastAsia="Times New Roman" w:cs="Arial"/>
          <w:color w:val="000000"/>
          <w:lang w:val="en-US"/>
        </w:rPr>
        <w:t>PT-INR (</w:t>
      </w:r>
      <w:r w:rsidRPr="000128A4">
        <w:rPr>
          <w:rFonts w:eastAsia="Times New Roman" w:cs="Arial"/>
          <w:i/>
          <w:iCs/>
          <w:color w:val="000000"/>
          <w:lang w:val="en-US"/>
        </w:rPr>
        <w:t xml:space="preserve">Prothrombin Time-International </w:t>
      </w:r>
      <w:proofErr w:type="spellStart"/>
      <w:r w:rsidRPr="000128A4">
        <w:rPr>
          <w:rFonts w:eastAsia="Times New Roman" w:cs="Arial"/>
          <w:i/>
          <w:iCs/>
          <w:color w:val="000000"/>
          <w:lang w:val="en-US"/>
        </w:rPr>
        <w:t>Normalised</w:t>
      </w:r>
      <w:proofErr w:type="spellEnd"/>
      <w:r w:rsidRPr="000128A4">
        <w:rPr>
          <w:rFonts w:eastAsia="Times New Roman" w:cs="Arial"/>
          <w:i/>
          <w:iCs/>
          <w:color w:val="000000"/>
          <w:lang w:val="en-US"/>
        </w:rPr>
        <w:t xml:space="preserve"> Ratio),</w:t>
      </w:r>
      <w:r w:rsidRPr="000128A4">
        <w:rPr>
          <w:rFonts w:eastAsia="Times New Roman" w:cs="Arial"/>
          <w:i/>
          <w:iCs/>
          <w:color w:val="000000"/>
          <w:lang w:eastAsia="bg-BG"/>
        </w:rPr>
        <w:t xml:space="preserve"> в </w:t>
      </w:r>
      <w:r w:rsidRPr="000128A4">
        <w:rPr>
          <w:rFonts w:eastAsia="Times New Roman" w:cs="Arial"/>
          <w:color w:val="000000"/>
          <w:lang w:eastAsia="bg-BG"/>
        </w:rPr>
        <w:t xml:space="preserve">сравнение с плацебо. Следователно може да се очаква рискът от клинично значимо </w:t>
      </w:r>
      <w:r w:rsidRPr="000128A4">
        <w:rPr>
          <w:rFonts w:eastAsia="Times New Roman" w:cs="Arial"/>
          <w:color w:val="000000"/>
          <w:lang w:val="en-US"/>
        </w:rPr>
        <w:t>in vivo</w:t>
      </w:r>
      <w:r w:rsidRPr="000128A4">
        <w:rPr>
          <w:rFonts w:eastAsia="Times New Roman" w:cs="Arial"/>
          <w:sz w:val="24"/>
          <w:szCs w:val="24"/>
          <w:lang w:eastAsia="bg-BG"/>
        </w:rPr>
        <w:t xml:space="preserve"> </w:t>
      </w:r>
      <w:r w:rsidRPr="000128A4">
        <w:rPr>
          <w:rFonts w:eastAsia="Times New Roman" w:cs="Arial"/>
          <w:color w:val="000000"/>
          <w:lang w:eastAsia="bg-BG"/>
        </w:rPr>
        <w:t xml:space="preserve">инхибиране на </w:t>
      </w:r>
      <w:r w:rsidRPr="000128A4">
        <w:rPr>
          <w:rFonts w:eastAsia="Times New Roman" w:cs="Arial"/>
          <w:color w:val="000000"/>
          <w:lang w:val="en-US"/>
        </w:rPr>
        <w:t xml:space="preserve">CYP2C9 </w:t>
      </w:r>
      <w:r w:rsidRPr="000128A4">
        <w:rPr>
          <w:rFonts w:eastAsia="Times New Roman" w:cs="Arial"/>
          <w:color w:val="000000"/>
          <w:lang w:eastAsia="bg-BG"/>
        </w:rPr>
        <w:t>от сорафениб да бъде нисък. Все пак при</w:t>
      </w:r>
      <w:r w:rsidRPr="000128A4">
        <w:rPr>
          <w:rFonts w:eastAsia="Times New Roman" w:cs="Arial"/>
          <w:color w:val="000000"/>
          <w:lang w:val="en-US"/>
        </w:rPr>
        <w:t xml:space="preserve"> </w:t>
      </w:r>
      <w:r w:rsidRPr="000128A4">
        <w:rPr>
          <w:rFonts w:eastAsia="Times New Roman" w:cs="Arial"/>
          <w:color w:val="000000"/>
          <w:lang w:eastAsia="bg-BG"/>
        </w:rPr>
        <w:t xml:space="preserve">пациенти приемащи варфарин или фенпрокумон, </w:t>
      </w:r>
      <w:r w:rsidRPr="000128A4">
        <w:rPr>
          <w:rFonts w:eastAsia="Times New Roman" w:cs="Arial"/>
          <w:color w:val="000000"/>
          <w:lang w:val="en-US"/>
        </w:rPr>
        <w:t xml:space="preserve">INR </w:t>
      </w:r>
      <w:r w:rsidRPr="000128A4">
        <w:rPr>
          <w:rFonts w:eastAsia="Times New Roman" w:cs="Arial"/>
          <w:color w:val="000000"/>
          <w:lang w:eastAsia="bg-BG"/>
        </w:rPr>
        <w:t>трябва да се проверява редовно (вж. точка 4.4).</w:t>
      </w:r>
    </w:p>
    <w:p w14:paraId="21879C0B" w14:textId="6A7A125B" w:rsidR="000128A4" w:rsidRPr="000128A4" w:rsidRDefault="000128A4" w:rsidP="000128A4">
      <w:pPr>
        <w:rPr>
          <w:rFonts w:eastAsia="Times New Roman" w:cs="Arial"/>
          <w:color w:val="000000"/>
          <w:lang w:eastAsia="bg-BG"/>
        </w:rPr>
      </w:pPr>
    </w:p>
    <w:p w14:paraId="64F7AA4C"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 xml:space="preserve">Субстрати на </w:t>
      </w:r>
      <w:r w:rsidRPr="000128A4">
        <w:rPr>
          <w:rFonts w:eastAsia="Times New Roman" w:cs="Arial"/>
          <w:color w:val="000000"/>
          <w:u w:val="single"/>
          <w:lang w:val="en-US"/>
        </w:rPr>
        <w:t xml:space="preserve">CYP3A4. CYP2D6 </w:t>
      </w:r>
      <w:r w:rsidRPr="000128A4">
        <w:rPr>
          <w:rFonts w:eastAsia="Times New Roman" w:cs="Arial"/>
          <w:color w:val="000000"/>
          <w:u w:val="single"/>
          <w:lang w:eastAsia="bg-BG"/>
        </w:rPr>
        <w:t xml:space="preserve">и </w:t>
      </w:r>
      <w:r w:rsidRPr="000128A4">
        <w:rPr>
          <w:rFonts w:eastAsia="Times New Roman" w:cs="Arial"/>
          <w:color w:val="000000"/>
          <w:u w:val="single"/>
          <w:lang w:val="en-US"/>
        </w:rPr>
        <w:t>CYP2C19</w:t>
      </w:r>
    </w:p>
    <w:p w14:paraId="0C4D12DC"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Едновременно приложение на сорафениб и мидазолам, декстрометорфан или омепразол, които са субстрати съответно на цитохроми </w:t>
      </w:r>
      <w:r w:rsidRPr="000128A4">
        <w:rPr>
          <w:rFonts w:eastAsia="Times New Roman" w:cs="Arial"/>
          <w:color w:val="000000"/>
          <w:lang w:val="en-US"/>
        </w:rPr>
        <w:t xml:space="preserve">CYP3A4, CYP2D6 </w:t>
      </w:r>
      <w:r w:rsidRPr="000128A4">
        <w:rPr>
          <w:rFonts w:eastAsia="Times New Roman" w:cs="Arial"/>
          <w:color w:val="000000"/>
          <w:lang w:eastAsia="bg-BG"/>
        </w:rPr>
        <w:t xml:space="preserve">и </w:t>
      </w:r>
      <w:r w:rsidRPr="000128A4">
        <w:rPr>
          <w:rFonts w:eastAsia="Times New Roman" w:cs="Arial"/>
          <w:color w:val="000000"/>
          <w:lang w:val="en-US"/>
        </w:rPr>
        <w:t xml:space="preserve">CYP2C19, </w:t>
      </w:r>
      <w:r w:rsidRPr="000128A4">
        <w:rPr>
          <w:rFonts w:eastAsia="Times New Roman" w:cs="Arial"/>
          <w:color w:val="000000"/>
          <w:lang w:eastAsia="bg-BG"/>
        </w:rPr>
        <w:t>не повлиява експозицията на тези продукти. Това показва, че сорафениб не е нито инхибитор, нито индуктор на тези цитохром Р450 изоензими. Следователно, клинични фармакокинетични взаимодействия на сорафениб със субстратите на тези ензими са малко вероятни.</w:t>
      </w:r>
    </w:p>
    <w:p w14:paraId="49B56F11" w14:textId="77777777" w:rsidR="000128A4" w:rsidRPr="000128A4" w:rsidRDefault="000128A4" w:rsidP="000128A4">
      <w:pPr>
        <w:spacing w:line="240" w:lineRule="auto"/>
        <w:rPr>
          <w:rFonts w:eastAsia="Times New Roman" w:cs="Arial"/>
          <w:color w:val="000000"/>
          <w:u w:val="single"/>
          <w:lang w:eastAsia="bg-BG"/>
        </w:rPr>
      </w:pPr>
    </w:p>
    <w:p w14:paraId="03D92EF5" w14:textId="50438796"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 xml:space="preserve">Субстрати на </w:t>
      </w:r>
      <w:r w:rsidRPr="000128A4">
        <w:rPr>
          <w:rFonts w:eastAsia="Times New Roman" w:cs="Arial"/>
          <w:color w:val="000000"/>
          <w:u w:val="single"/>
          <w:lang w:val="en-US"/>
        </w:rPr>
        <w:t xml:space="preserve">UGT1A1 </w:t>
      </w:r>
      <w:r w:rsidRPr="000128A4">
        <w:rPr>
          <w:rFonts w:eastAsia="Times New Roman" w:cs="Arial"/>
          <w:color w:val="000000"/>
          <w:u w:val="single"/>
          <w:lang w:eastAsia="bg-BG"/>
        </w:rPr>
        <w:t xml:space="preserve">и </w:t>
      </w:r>
      <w:r w:rsidRPr="000128A4">
        <w:rPr>
          <w:rFonts w:eastAsia="Times New Roman" w:cs="Arial"/>
          <w:color w:val="000000"/>
          <w:u w:val="single"/>
          <w:lang w:val="en-US"/>
        </w:rPr>
        <w:t>UGT1A9</w:t>
      </w:r>
    </w:p>
    <w:p w14:paraId="3DEB26D9"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i/>
          <w:iCs/>
          <w:color w:val="000000"/>
          <w:lang w:val="en-US"/>
        </w:rPr>
        <w:t>In vitro</w:t>
      </w:r>
      <w:r w:rsidRPr="000128A4">
        <w:rPr>
          <w:rFonts w:eastAsia="Times New Roman" w:cs="Arial"/>
          <w:color w:val="000000"/>
          <w:lang w:val="en-US"/>
        </w:rPr>
        <w:t xml:space="preserve"> </w:t>
      </w:r>
      <w:r w:rsidRPr="000128A4">
        <w:rPr>
          <w:rFonts w:eastAsia="Times New Roman" w:cs="Arial"/>
          <w:color w:val="000000"/>
          <w:lang w:eastAsia="bg-BG"/>
        </w:rPr>
        <w:t xml:space="preserve">сорафениб инхибира глюкуронирането чрез </w:t>
      </w:r>
      <w:r w:rsidRPr="000128A4">
        <w:rPr>
          <w:rFonts w:eastAsia="Times New Roman" w:cs="Arial"/>
          <w:color w:val="000000"/>
          <w:lang w:val="en-US"/>
        </w:rPr>
        <w:t>UGT1</w:t>
      </w:r>
      <w:r w:rsidRPr="000128A4">
        <w:rPr>
          <w:rFonts w:eastAsia="Times New Roman" w:cs="Arial"/>
          <w:color w:val="000000"/>
          <w:lang w:eastAsia="bg-BG"/>
        </w:rPr>
        <w:t xml:space="preserve">А1 и </w:t>
      </w:r>
      <w:r w:rsidRPr="000128A4">
        <w:rPr>
          <w:rFonts w:eastAsia="Times New Roman" w:cs="Arial"/>
          <w:color w:val="000000"/>
          <w:lang w:val="en-US"/>
        </w:rPr>
        <w:t xml:space="preserve">UGT1A9. </w:t>
      </w:r>
      <w:r w:rsidRPr="000128A4">
        <w:rPr>
          <w:rFonts w:eastAsia="Times New Roman" w:cs="Arial"/>
          <w:color w:val="000000"/>
          <w:lang w:eastAsia="bg-BG"/>
        </w:rPr>
        <w:t>Клиничното значение на този факт не е известно (вж. по-долу и точка 4.4).</w:t>
      </w:r>
    </w:p>
    <w:p w14:paraId="5BCC04A6" w14:textId="77777777" w:rsidR="000128A4" w:rsidRPr="000128A4" w:rsidRDefault="000128A4" w:rsidP="000128A4">
      <w:pPr>
        <w:spacing w:line="240" w:lineRule="auto"/>
        <w:rPr>
          <w:rFonts w:eastAsia="Times New Roman" w:cs="Arial"/>
          <w:i/>
          <w:iCs/>
          <w:color w:val="000000"/>
          <w:u w:val="single"/>
          <w:lang w:val="en-US"/>
        </w:rPr>
      </w:pPr>
    </w:p>
    <w:p w14:paraId="013E355E" w14:textId="5072B664" w:rsidR="000128A4" w:rsidRPr="000128A4" w:rsidRDefault="000128A4" w:rsidP="000128A4">
      <w:pPr>
        <w:spacing w:line="240" w:lineRule="auto"/>
        <w:rPr>
          <w:rFonts w:eastAsia="Times New Roman" w:cs="Arial"/>
          <w:sz w:val="24"/>
          <w:szCs w:val="24"/>
          <w:lang w:eastAsia="bg-BG"/>
        </w:rPr>
      </w:pPr>
      <w:r w:rsidRPr="000128A4">
        <w:rPr>
          <w:rFonts w:eastAsia="Times New Roman" w:cs="Arial"/>
          <w:i/>
          <w:iCs/>
          <w:color w:val="000000"/>
          <w:u w:val="single"/>
          <w:lang w:val="en-US"/>
        </w:rPr>
        <w:t>In vitro</w:t>
      </w:r>
      <w:r w:rsidRPr="000128A4">
        <w:rPr>
          <w:rFonts w:eastAsia="Times New Roman" w:cs="Arial"/>
          <w:color w:val="000000"/>
          <w:u w:val="single"/>
          <w:lang w:val="en-US"/>
        </w:rPr>
        <w:t xml:space="preserve"> </w:t>
      </w:r>
      <w:r w:rsidRPr="000128A4">
        <w:rPr>
          <w:rFonts w:eastAsia="Times New Roman" w:cs="Arial"/>
          <w:color w:val="000000"/>
          <w:u w:val="single"/>
          <w:lang w:eastAsia="bg-BG"/>
        </w:rPr>
        <w:t xml:space="preserve">проучвания на </w:t>
      </w:r>
      <w:r w:rsidRPr="000128A4">
        <w:rPr>
          <w:rFonts w:eastAsia="Times New Roman" w:cs="Arial"/>
          <w:color w:val="000000"/>
          <w:u w:val="single"/>
          <w:lang w:val="en-US"/>
        </w:rPr>
        <w:t xml:space="preserve">CYP </w:t>
      </w:r>
      <w:r w:rsidRPr="000128A4">
        <w:rPr>
          <w:rFonts w:eastAsia="Times New Roman" w:cs="Arial"/>
          <w:color w:val="000000"/>
          <w:u w:val="single"/>
          <w:lang w:eastAsia="bg-BG"/>
        </w:rPr>
        <w:t>ензимна индукция</w:t>
      </w:r>
    </w:p>
    <w:p w14:paraId="4A920527"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Активността на </w:t>
      </w:r>
      <w:r w:rsidRPr="000128A4">
        <w:rPr>
          <w:rFonts w:eastAsia="Times New Roman" w:cs="Arial"/>
          <w:color w:val="000000"/>
          <w:lang w:val="en-US"/>
        </w:rPr>
        <w:t>CYP1</w:t>
      </w:r>
      <w:r w:rsidRPr="000128A4">
        <w:rPr>
          <w:rFonts w:eastAsia="Times New Roman" w:cs="Arial"/>
          <w:color w:val="000000"/>
          <w:lang w:eastAsia="bg-BG"/>
        </w:rPr>
        <w:t xml:space="preserve">А2 и </w:t>
      </w:r>
      <w:r w:rsidRPr="000128A4">
        <w:rPr>
          <w:rFonts w:eastAsia="Times New Roman" w:cs="Arial"/>
          <w:color w:val="000000"/>
          <w:lang w:val="en-US"/>
        </w:rPr>
        <w:t xml:space="preserve">CYP3A4 </w:t>
      </w:r>
      <w:r w:rsidRPr="000128A4">
        <w:rPr>
          <w:rFonts w:eastAsia="Times New Roman" w:cs="Arial"/>
          <w:color w:val="000000"/>
          <w:lang w:eastAsia="bg-BG"/>
        </w:rPr>
        <w:t xml:space="preserve">не се променя след третиране на култивирани човешки хепатоцити със сорафениб, което показва, че е малко вероятно сорафениб да бъде индуктор на </w:t>
      </w:r>
      <w:r w:rsidRPr="000128A4">
        <w:rPr>
          <w:rFonts w:eastAsia="Times New Roman" w:cs="Arial"/>
          <w:color w:val="000000"/>
          <w:lang w:val="en-US"/>
        </w:rPr>
        <w:t>CYP1A2HCYP3A4.</w:t>
      </w:r>
    </w:p>
    <w:p w14:paraId="43D30195" w14:textId="77777777" w:rsidR="000128A4" w:rsidRPr="000128A4" w:rsidRDefault="000128A4" w:rsidP="000128A4">
      <w:pPr>
        <w:spacing w:line="240" w:lineRule="auto"/>
        <w:rPr>
          <w:rFonts w:eastAsia="Times New Roman" w:cs="Arial"/>
          <w:color w:val="000000"/>
          <w:u w:val="single"/>
          <w:lang w:val="en-US"/>
        </w:rPr>
      </w:pPr>
    </w:p>
    <w:p w14:paraId="5EDC973D" w14:textId="3CDB4AD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val="en-US"/>
        </w:rPr>
        <w:t>P-</w:t>
      </w:r>
      <w:proofErr w:type="spellStart"/>
      <w:r w:rsidRPr="000128A4">
        <w:rPr>
          <w:rFonts w:eastAsia="Times New Roman" w:cs="Arial"/>
          <w:color w:val="000000"/>
          <w:u w:val="single"/>
          <w:lang w:val="en-US"/>
        </w:rPr>
        <w:t>gp</w:t>
      </w:r>
      <w:proofErr w:type="spellEnd"/>
      <w:r w:rsidRPr="000128A4">
        <w:rPr>
          <w:rFonts w:eastAsia="Times New Roman" w:cs="Arial"/>
          <w:color w:val="000000"/>
          <w:u w:val="single"/>
          <w:lang w:eastAsia="bg-BG"/>
        </w:rPr>
        <w:t>-субстрати</w:t>
      </w:r>
    </w:p>
    <w:p w14:paraId="4FA2DDF2"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i/>
          <w:iCs/>
          <w:color w:val="000000"/>
          <w:lang w:val="en-US"/>
        </w:rPr>
        <w:t xml:space="preserve">In vitro </w:t>
      </w:r>
      <w:r w:rsidRPr="000128A4">
        <w:rPr>
          <w:rFonts w:eastAsia="Times New Roman" w:cs="Arial"/>
          <w:i/>
          <w:iCs/>
          <w:color w:val="000000"/>
          <w:lang w:eastAsia="bg-BG"/>
        </w:rPr>
        <w:t>е</w:t>
      </w:r>
      <w:r w:rsidRPr="000128A4">
        <w:rPr>
          <w:rFonts w:eastAsia="Times New Roman" w:cs="Arial"/>
          <w:color w:val="000000"/>
          <w:lang w:eastAsia="bg-BG"/>
        </w:rPr>
        <w:t xml:space="preserve"> доказано, че сорафениб инхибира транспортния протеин р-гликопротеин </w:t>
      </w:r>
      <w:r w:rsidRPr="000128A4">
        <w:rPr>
          <w:rFonts w:eastAsia="Times New Roman" w:cs="Arial"/>
          <w:color w:val="000000"/>
          <w:lang w:val="en-US"/>
        </w:rPr>
        <w:t>(P-</w:t>
      </w:r>
      <w:proofErr w:type="spellStart"/>
      <w:r w:rsidRPr="000128A4">
        <w:rPr>
          <w:rFonts w:eastAsia="Times New Roman" w:cs="Arial"/>
          <w:color w:val="000000"/>
          <w:lang w:val="en-US"/>
        </w:rPr>
        <w:t>gp</w:t>
      </w:r>
      <w:proofErr w:type="spellEnd"/>
      <w:r w:rsidRPr="000128A4">
        <w:rPr>
          <w:rFonts w:eastAsia="Times New Roman" w:cs="Arial"/>
          <w:color w:val="000000"/>
          <w:lang w:val="en-US"/>
        </w:rPr>
        <w:t xml:space="preserve">). </w:t>
      </w:r>
      <w:r w:rsidRPr="000128A4">
        <w:rPr>
          <w:rFonts w:eastAsia="Times New Roman" w:cs="Arial"/>
          <w:color w:val="000000"/>
          <w:lang w:eastAsia="bg-BG"/>
        </w:rPr>
        <w:t xml:space="preserve">Повишените плазмени концентрации на субстрати на </w:t>
      </w:r>
      <w:r w:rsidRPr="000128A4">
        <w:rPr>
          <w:rFonts w:eastAsia="Times New Roman" w:cs="Arial"/>
          <w:color w:val="000000"/>
          <w:lang w:val="en-US"/>
        </w:rPr>
        <w:t>P-</w:t>
      </w:r>
      <w:proofErr w:type="spellStart"/>
      <w:r w:rsidRPr="000128A4">
        <w:rPr>
          <w:rFonts w:eastAsia="Times New Roman" w:cs="Arial"/>
          <w:color w:val="000000"/>
          <w:lang w:val="en-US"/>
        </w:rPr>
        <w:t>gp</w:t>
      </w:r>
      <w:proofErr w:type="spellEnd"/>
      <w:r w:rsidRPr="000128A4">
        <w:rPr>
          <w:rFonts w:eastAsia="Times New Roman" w:cs="Arial"/>
          <w:color w:val="000000"/>
          <w:lang w:val="en-US"/>
        </w:rPr>
        <w:t xml:space="preserve">, </w:t>
      </w:r>
      <w:r w:rsidRPr="000128A4">
        <w:rPr>
          <w:rFonts w:eastAsia="Times New Roman" w:cs="Arial"/>
          <w:color w:val="000000"/>
          <w:lang w:eastAsia="bg-BG"/>
        </w:rPr>
        <w:t>като дигоксин не могат да се изключат при едновременно лечение със сорафениб.</w:t>
      </w:r>
    </w:p>
    <w:p w14:paraId="762D07FB" w14:textId="77777777" w:rsidR="000128A4" w:rsidRPr="000128A4" w:rsidRDefault="000128A4" w:rsidP="000128A4">
      <w:pPr>
        <w:spacing w:line="240" w:lineRule="auto"/>
        <w:rPr>
          <w:rFonts w:eastAsia="Times New Roman" w:cs="Arial"/>
          <w:color w:val="000000"/>
          <w:u w:val="single"/>
          <w:lang w:eastAsia="bg-BG"/>
        </w:rPr>
      </w:pPr>
    </w:p>
    <w:p w14:paraId="36295E23" w14:textId="10F0850D"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Комбинация с други антинеопластични средства</w:t>
      </w:r>
    </w:p>
    <w:p w14:paraId="6C0D3AA8"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В клинични проучвания сорафениб е прилаган с широка гама от други антинеопластични средства с техните обичайни дозировки, включително гемцитабин, цисплатин, оксалиплатин, паклитаксел, карбоплатин, капецитабин, доксорубицин, иринотекан, доцетаксел и циклофосфамид. Сорафениб няма клинично значим ефект върху </w:t>
      </w:r>
      <w:r w:rsidRPr="000128A4">
        <w:rPr>
          <w:rFonts w:eastAsia="Times New Roman" w:cs="Arial"/>
          <w:color w:val="000000"/>
          <w:lang w:eastAsia="bg-BG"/>
        </w:rPr>
        <w:lastRenderedPageBreak/>
        <w:t>фармакокинетиката на гемцитабин, цисплатин, карбоплатин, оксалиплатин или циклофосфамид.</w:t>
      </w:r>
    </w:p>
    <w:p w14:paraId="3D4CF293" w14:textId="77777777" w:rsidR="000128A4" w:rsidRPr="000128A4" w:rsidRDefault="000128A4" w:rsidP="000128A4">
      <w:pPr>
        <w:spacing w:line="240" w:lineRule="auto"/>
        <w:rPr>
          <w:rFonts w:eastAsia="Times New Roman" w:cs="Arial"/>
          <w:color w:val="000000"/>
          <w:u w:val="single"/>
          <w:lang w:eastAsia="bg-BG"/>
        </w:rPr>
      </w:pPr>
    </w:p>
    <w:p w14:paraId="529025FB" w14:textId="3898143B"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Паклитаксел/карбоплатин</w:t>
      </w:r>
    </w:p>
    <w:p w14:paraId="1E9ECECE" w14:textId="77777777" w:rsidR="000128A4" w:rsidRPr="000128A4" w:rsidRDefault="000128A4" w:rsidP="000128A4">
      <w:pPr>
        <w:pStyle w:val="ListParagraph"/>
        <w:numPr>
          <w:ilvl w:val="0"/>
          <w:numId w:val="38"/>
        </w:numPr>
        <w:spacing w:line="240" w:lineRule="auto"/>
        <w:rPr>
          <w:rFonts w:eastAsia="Times New Roman" w:cs="Arial"/>
          <w:color w:val="000000"/>
          <w:lang w:eastAsia="bg-BG"/>
        </w:rPr>
      </w:pPr>
      <w:r w:rsidRPr="000128A4">
        <w:rPr>
          <w:rFonts w:eastAsia="Times New Roman" w:cs="Arial"/>
          <w:color w:val="000000"/>
          <w:lang w:eastAsia="bg-BG"/>
        </w:rPr>
        <w:t xml:space="preserve">Приложението на паклитаксел (225 </w:t>
      </w:r>
      <w:r w:rsidRPr="000128A4">
        <w:rPr>
          <w:rFonts w:eastAsia="Times New Roman" w:cs="Arial"/>
          <w:color w:val="000000"/>
          <w:lang w:val="en-US"/>
        </w:rPr>
        <w:t>mg/m</w:t>
      </w:r>
      <w:r w:rsidRPr="000128A4">
        <w:rPr>
          <w:rFonts w:eastAsia="Times New Roman" w:cs="Arial"/>
          <w:color w:val="000000"/>
          <w:vertAlign w:val="superscript"/>
          <w:lang w:val="en-US"/>
        </w:rPr>
        <w:t>2</w:t>
      </w:r>
      <w:r w:rsidRPr="000128A4">
        <w:rPr>
          <w:rFonts w:eastAsia="Times New Roman" w:cs="Arial"/>
          <w:color w:val="000000"/>
          <w:lang w:val="en-US"/>
        </w:rPr>
        <w:t xml:space="preserve">) </w:t>
      </w:r>
      <w:r w:rsidRPr="000128A4">
        <w:rPr>
          <w:rFonts w:eastAsia="Times New Roman" w:cs="Arial"/>
          <w:color w:val="000000"/>
          <w:lang w:eastAsia="bg-BG"/>
        </w:rPr>
        <w:t xml:space="preserve">и карбоплатин </w:t>
      </w:r>
      <w:r w:rsidRPr="000128A4">
        <w:rPr>
          <w:rFonts w:eastAsia="Times New Roman" w:cs="Arial"/>
          <w:color w:val="000000"/>
          <w:lang w:val="en-US"/>
        </w:rPr>
        <w:t xml:space="preserve">(AUC </w:t>
      </w:r>
      <w:r w:rsidRPr="000128A4">
        <w:rPr>
          <w:rFonts w:eastAsia="Times New Roman" w:cs="Arial"/>
          <w:color w:val="000000"/>
          <w:lang w:eastAsia="bg-BG"/>
        </w:rPr>
        <w:t xml:space="preserve">= 6) със сорафениб (≤400 </w:t>
      </w:r>
      <w:r w:rsidRPr="000128A4">
        <w:rPr>
          <w:rFonts w:eastAsia="Times New Roman" w:cs="Arial"/>
          <w:color w:val="000000"/>
          <w:lang w:val="en-US"/>
        </w:rPr>
        <w:t xml:space="preserve">mg </w:t>
      </w:r>
      <w:r w:rsidRPr="000128A4">
        <w:rPr>
          <w:rFonts w:eastAsia="Times New Roman" w:cs="Arial"/>
          <w:color w:val="000000"/>
          <w:lang w:eastAsia="bg-BG"/>
        </w:rPr>
        <w:t>два пъти дневно), приложени с 3-дневно прекъсване на приложението на сорафениб (два дни преди и в деня на приложение на паклитаксел/карбоплатин), не водят до значителен ефект върху фармакокинетиката на паклитаксел.</w:t>
      </w:r>
    </w:p>
    <w:p w14:paraId="56DDD992" w14:textId="5B59C9C7" w:rsidR="000128A4" w:rsidRPr="000128A4" w:rsidRDefault="000128A4" w:rsidP="000128A4">
      <w:pPr>
        <w:pStyle w:val="ListParagraph"/>
        <w:numPr>
          <w:ilvl w:val="0"/>
          <w:numId w:val="38"/>
        </w:numPr>
        <w:spacing w:line="240" w:lineRule="auto"/>
        <w:rPr>
          <w:rFonts w:eastAsia="Times New Roman" w:cs="Arial"/>
          <w:color w:val="000000"/>
          <w:lang w:eastAsia="bg-BG"/>
        </w:rPr>
      </w:pPr>
      <w:r w:rsidRPr="000128A4">
        <w:rPr>
          <w:rFonts w:eastAsia="Times New Roman" w:cs="Arial"/>
          <w:color w:val="000000"/>
          <w:lang w:eastAsia="bg-BG"/>
        </w:rPr>
        <w:t xml:space="preserve">Едновременното приложение на паклитаксел (225 </w:t>
      </w:r>
      <w:r w:rsidRPr="000128A4">
        <w:rPr>
          <w:rFonts w:eastAsia="Times New Roman" w:cs="Arial"/>
          <w:color w:val="000000"/>
          <w:lang w:val="en-US"/>
        </w:rPr>
        <w:t>mg/m</w:t>
      </w:r>
      <w:r w:rsidRPr="000128A4">
        <w:rPr>
          <w:rFonts w:eastAsia="Times New Roman" w:cs="Arial"/>
          <w:color w:val="000000"/>
          <w:vertAlign w:val="superscript"/>
          <w:lang w:val="en-US"/>
        </w:rPr>
        <w:t>2</w:t>
      </w:r>
      <w:r w:rsidRPr="000128A4">
        <w:rPr>
          <w:rFonts w:eastAsia="Times New Roman" w:cs="Arial"/>
          <w:color w:val="000000"/>
          <w:lang w:val="en-US"/>
        </w:rPr>
        <w:t xml:space="preserve"> </w:t>
      </w:r>
      <w:r w:rsidRPr="000128A4">
        <w:rPr>
          <w:rFonts w:eastAsia="Times New Roman" w:cs="Arial"/>
          <w:color w:val="000000"/>
          <w:lang w:eastAsia="bg-BG"/>
        </w:rPr>
        <w:t xml:space="preserve">веднъж на всеки 3 седмици) и карбоплатин </w:t>
      </w:r>
      <w:r w:rsidRPr="000128A4">
        <w:rPr>
          <w:rFonts w:eastAsia="Times New Roman" w:cs="Arial"/>
          <w:color w:val="000000"/>
          <w:lang w:val="en-US"/>
        </w:rPr>
        <w:t xml:space="preserve">(AUC </w:t>
      </w:r>
      <w:r w:rsidRPr="000128A4">
        <w:rPr>
          <w:rFonts w:eastAsia="Times New Roman" w:cs="Arial"/>
          <w:color w:val="000000"/>
          <w:lang w:eastAsia="bg-BG"/>
        </w:rPr>
        <w:t xml:space="preserve">= 6) със сорафениб (400 </w:t>
      </w:r>
      <w:r w:rsidRPr="000128A4">
        <w:rPr>
          <w:rFonts w:eastAsia="Times New Roman" w:cs="Arial"/>
          <w:color w:val="000000"/>
          <w:lang w:val="en-US"/>
        </w:rPr>
        <w:t xml:space="preserve">mg </w:t>
      </w:r>
      <w:r w:rsidRPr="000128A4">
        <w:rPr>
          <w:rFonts w:eastAsia="Times New Roman" w:cs="Arial"/>
          <w:color w:val="000000"/>
          <w:lang w:eastAsia="bg-BG"/>
        </w:rPr>
        <w:t>два пъти дневно, без прекъсване на приема) води до 47% повишаване на експозицията на сорафениб, 29% повишаване на експозицията на паклитаксел и 50% повишаване на експозицията на 6-ОН паклитаксел. Фармакокинетиката на карбоплатин не се повлиява.</w:t>
      </w:r>
    </w:p>
    <w:p w14:paraId="707D8745" w14:textId="77777777" w:rsidR="000128A4" w:rsidRPr="000128A4" w:rsidRDefault="000128A4" w:rsidP="000128A4">
      <w:pPr>
        <w:spacing w:line="240" w:lineRule="auto"/>
        <w:rPr>
          <w:rFonts w:eastAsia="Times New Roman" w:cs="Arial"/>
          <w:color w:val="000000"/>
          <w:lang w:eastAsia="bg-BG"/>
        </w:rPr>
      </w:pPr>
    </w:p>
    <w:p w14:paraId="17F09760" w14:textId="4D7083CF"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Тези данни показват, че не е необходимо адаптиране на дозата когато паклитаксел и карбоплатин се прилагат едновременно със сорафениб с 3-дневно прекъсване на приложението на сорафениб (два дни преди и в деня на приложение на паклитаксел/карбоплатин).</w:t>
      </w:r>
    </w:p>
    <w:p w14:paraId="03EBEF7B"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Клиничното значение на повишаването на експозицията на сорафениб и паклитаксел, </w:t>
      </w:r>
      <w:r w:rsidRPr="000128A4">
        <w:rPr>
          <w:rFonts w:eastAsia="Times New Roman" w:cs="Arial"/>
          <w:color w:val="000000"/>
          <w:u w:val="single"/>
          <w:lang w:eastAsia="bg-BG"/>
        </w:rPr>
        <w:t xml:space="preserve">при </w:t>
      </w:r>
      <w:r w:rsidRPr="000128A4">
        <w:rPr>
          <w:rFonts w:eastAsia="Times New Roman" w:cs="Arial"/>
          <w:color w:val="000000"/>
          <w:lang w:eastAsia="bg-BG"/>
        </w:rPr>
        <w:t>едновременното приложение със сорафениб без прекъсване на приема, не е извес^^г^^^^ч</w:t>
      </w:r>
    </w:p>
    <w:p w14:paraId="1F34BF95" w14:textId="77777777" w:rsidR="000128A4" w:rsidRPr="000128A4" w:rsidRDefault="000128A4" w:rsidP="000128A4">
      <w:pPr>
        <w:spacing w:line="240" w:lineRule="auto"/>
        <w:rPr>
          <w:rFonts w:eastAsia="Times New Roman" w:cs="Arial"/>
          <w:color w:val="000000"/>
          <w:u w:val="single"/>
          <w:lang w:eastAsia="bg-BG"/>
        </w:rPr>
      </w:pPr>
    </w:p>
    <w:p w14:paraId="0D4EFE9B" w14:textId="1ABB5190"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Капецитабин</w:t>
      </w:r>
    </w:p>
    <w:p w14:paraId="33424777" w14:textId="77777777" w:rsidR="000128A4" w:rsidRPr="000128A4" w:rsidRDefault="000128A4" w:rsidP="000128A4">
      <w:pPr>
        <w:rPr>
          <w:rFonts w:eastAsia="Times New Roman" w:cs="Arial"/>
          <w:sz w:val="24"/>
          <w:szCs w:val="24"/>
          <w:lang w:eastAsia="bg-BG"/>
        </w:rPr>
      </w:pPr>
      <w:r w:rsidRPr="000128A4">
        <w:rPr>
          <w:rFonts w:eastAsia="Times New Roman" w:cs="Arial"/>
          <w:color w:val="000000"/>
          <w:lang w:eastAsia="bg-BG"/>
        </w:rPr>
        <w:t xml:space="preserve">Едновременното приложение на капецитабин (750-1050 </w:t>
      </w:r>
      <w:r w:rsidRPr="000128A4">
        <w:rPr>
          <w:rFonts w:eastAsia="Times New Roman" w:cs="Arial"/>
          <w:color w:val="000000"/>
          <w:lang w:val="en-US"/>
        </w:rPr>
        <w:t>mg/m</w:t>
      </w:r>
      <w:r w:rsidRPr="000128A4">
        <w:rPr>
          <w:rFonts w:eastAsia="Times New Roman" w:cs="Arial"/>
          <w:color w:val="000000"/>
          <w:vertAlign w:val="superscript"/>
          <w:lang w:val="en-US"/>
        </w:rPr>
        <w:t>2</w:t>
      </w:r>
      <w:r w:rsidRPr="000128A4">
        <w:rPr>
          <w:rFonts w:eastAsia="Times New Roman" w:cs="Arial"/>
          <w:color w:val="000000"/>
          <w:lang w:val="en-US"/>
        </w:rPr>
        <w:t xml:space="preserve"> </w:t>
      </w:r>
      <w:r w:rsidRPr="000128A4">
        <w:rPr>
          <w:rFonts w:eastAsia="Times New Roman" w:cs="Arial"/>
          <w:color w:val="000000"/>
          <w:lang w:eastAsia="bg-BG"/>
        </w:rPr>
        <w:t xml:space="preserve">два пъти дневно, дни 1-14 на всеки 21 дни) и сорафениб (200 или 400 </w:t>
      </w:r>
      <w:r w:rsidRPr="000128A4">
        <w:rPr>
          <w:rFonts w:eastAsia="Times New Roman" w:cs="Arial"/>
          <w:color w:val="000000"/>
          <w:lang w:val="en-US"/>
        </w:rPr>
        <w:t xml:space="preserve">mg </w:t>
      </w:r>
      <w:r w:rsidRPr="000128A4">
        <w:rPr>
          <w:rFonts w:eastAsia="Times New Roman" w:cs="Arial"/>
          <w:color w:val="000000"/>
          <w:lang w:eastAsia="bg-BG"/>
        </w:rPr>
        <w:t>два пъти дневно, продължително непрекъснато приложение) не води до значителна промяна в експозицията на сорафениб, но води до</w:t>
      </w:r>
      <w:r w:rsidRPr="000128A4">
        <w:rPr>
          <w:rFonts w:eastAsia="Times New Roman" w:cs="Arial"/>
          <w:color w:val="000000"/>
          <w:lang w:eastAsia="bg-BG"/>
        </w:rPr>
        <w:t xml:space="preserve"> </w:t>
      </w:r>
      <w:r w:rsidRPr="000128A4">
        <w:rPr>
          <w:rFonts w:eastAsia="Times New Roman" w:cs="Arial"/>
          <w:color w:val="000000"/>
          <w:lang w:eastAsia="bg-BG"/>
        </w:rPr>
        <w:t xml:space="preserve">повишаване на експозицията на капецитабин с 15-50% и повишаване на експозицията на </w:t>
      </w:r>
      <w:r w:rsidRPr="000128A4">
        <w:rPr>
          <w:rFonts w:eastAsia="Times New Roman" w:cs="Arial"/>
          <w:color w:val="000000"/>
          <w:lang w:val="en-US"/>
        </w:rPr>
        <w:t xml:space="preserve">5-FU </w:t>
      </w:r>
      <w:r w:rsidRPr="000128A4">
        <w:rPr>
          <w:rFonts w:eastAsia="Times New Roman" w:cs="Arial"/>
          <w:color w:val="000000"/>
          <w:lang w:eastAsia="bg-BG"/>
        </w:rPr>
        <w:t xml:space="preserve">с 0 - 52%. Клиничното значение на тези малки до умерени повишения на експозицията на капецитабин и </w:t>
      </w:r>
      <w:r w:rsidRPr="000128A4">
        <w:rPr>
          <w:rFonts w:eastAsia="Times New Roman" w:cs="Arial"/>
          <w:color w:val="000000"/>
          <w:lang w:val="en-US"/>
        </w:rPr>
        <w:t xml:space="preserve">5-FU </w:t>
      </w:r>
      <w:r w:rsidRPr="000128A4">
        <w:rPr>
          <w:rFonts w:eastAsia="Times New Roman" w:cs="Arial"/>
          <w:color w:val="000000"/>
          <w:lang w:eastAsia="bg-BG"/>
        </w:rPr>
        <w:t>при едновременно приложение със сорафениб не е известно.</w:t>
      </w:r>
    </w:p>
    <w:p w14:paraId="37DBC2AD" w14:textId="77777777" w:rsidR="000128A4" w:rsidRPr="000128A4" w:rsidRDefault="000128A4" w:rsidP="000128A4">
      <w:pPr>
        <w:spacing w:line="240" w:lineRule="auto"/>
        <w:rPr>
          <w:rFonts w:eastAsia="Times New Roman" w:cs="Arial"/>
          <w:color w:val="000000"/>
          <w:u w:val="single"/>
          <w:lang w:eastAsia="bg-BG"/>
        </w:rPr>
      </w:pPr>
    </w:p>
    <w:p w14:paraId="10BC6518" w14:textId="51C619E2"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Доксорубицин/Иринотекан</w:t>
      </w:r>
    </w:p>
    <w:p w14:paraId="267EFA6D"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Едновременното лечение със сорафениб води до повишаване на </w:t>
      </w:r>
      <w:r w:rsidRPr="000128A4">
        <w:rPr>
          <w:rFonts w:eastAsia="Times New Roman" w:cs="Arial"/>
          <w:color w:val="000000"/>
          <w:lang w:val="en-US"/>
        </w:rPr>
        <w:t xml:space="preserve">AUC </w:t>
      </w:r>
      <w:r w:rsidRPr="000128A4">
        <w:rPr>
          <w:rFonts w:eastAsia="Times New Roman" w:cs="Arial"/>
          <w:color w:val="000000"/>
          <w:lang w:eastAsia="bg-BG"/>
        </w:rPr>
        <w:t xml:space="preserve">на доксорубицин с 21%. Когато се прилага с иринотекан, чийто активен метаболит </w:t>
      </w:r>
      <w:r w:rsidRPr="000128A4">
        <w:rPr>
          <w:rFonts w:eastAsia="Times New Roman" w:cs="Arial"/>
          <w:color w:val="000000"/>
          <w:lang w:val="en-US"/>
        </w:rPr>
        <w:t xml:space="preserve">SN-38 </w:t>
      </w:r>
      <w:r w:rsidRPr="000128A4">
        <w:rPr>
          <w:rFonts w:eastAsia="Times New Roman" w:cs="Arial"/>
          <w:color w:val="000000"/>
          <w:lang w:eastAsia="bg-BG"/>
        </w:rPr>
        <w:t xml:space="preserve">се метаболизира чрез </w:t>
      </w:r>
      <w:r w:rsidRPr="000128A4">
        <w:rPr>
          <w:rFonts w:eastAsia="Times New Roman" w:cs="Arial"/>
          <w:color w:val="000000"/>
          <w:lang w:val="en-US"/>
        </w:rPr>
        <w:t xml:space="preserve">UGT1A1, </w:t>
      </w:r>
      <w:r w:rsidRPr="000128A4">
        <w:rPr>
          <w:rFonts w:eastAsia="Times New Roman" w:cs="Arial"/>
          <w:color w:val="000000"/>
          <w:lang w:eastAsia="bg-BG"/>
        </w:rPr>
        <w:t xml:space="preserve">се наблюдава повишаване на </w:t>
      </w:r>
      <w:r w:rsidRPr="000128A4">
        <w:rPr>
          <w:rFonts w:eastAsia="Times New Roman" w:cs="Arial"/>
          <w:color w:val="000000"/>
          <w:lang w:val="en-US"/>
        </w:rPr>
        <w:t xml:space="preserve">AUC </w:t>
      </w:r>
      <w:r w:rsidRPr="000128A4">
        <w:rPr>
          <w:rFonts w:eastAsia="Times New Roman" w:cs="Arial"/>
          <w:color w:val="000000"/>
          <w:lang w:eastAsia="bg-BG"/>
        </w:rPr>
        <w:t xml:space="preserve">на </w:t>
      </w:r>
      <w:r w:rsidRPr="000128A4">
        <w:rPr>
          <w:rFonts w:eastAsia="Times New Roman" w:cs="Arial"/>
          <w:color w:val="000000"/>
          <w:lang w:val="en-US"/>
        </w:rPr>
        <w:t xml:space="preserve">SN-38 </w:t>
      </w:r>
      <w:r w:rsidRPr="000128A4">
        <w:rPr>
          <w:rFonts w:eastAsia="Times New Roman" w:cs="Arial"/>
          <w:color w:val="000000"/>
          <w:lang w:eastAsia="bg-BG"/>
        </w:rPr>
        <w:t xml:space="preserve">с 67 - 120% и повишаване на </w:t>
      </w:r>
      <w:r w:rsidRPr="000128A4">
        <w:rPr>
          <w:rFonts w:eastAsia="Times New Roman" w:cs="Arial"/>
          <w:color w:val="000000"/>
          <w:lang w:val="en-US"/>
        </w:rPr>
        <w:t xml:space="preserve">AUC </w:t>
      </w:r>
      <w:r w:rsidRPr="000128A4">
        <w:rPr>
          <w:rFonts w:eastAsia="Times New Roman" w:cs="Arial"/>
          <w:color w:val="000000"/>
          <w:lang w:eastAsia="bg-BG"/>
        </w:rPr>
        <w:t>на иринотекан с 26 - 42%. Клиничното значение на тези данни не е известно (вж. точка 4.4).</w:t>
      </w:r>
    </w:p>
    <w:p w14:paraId="10D6B814" w14:textId="77777777" w:rsidR="000128A4" w:rsidRPr="000128A4" w:rsidRDefault="000128A4" w:rsidP="000128A4">
      <w:pPr>
        <w:spacing w:line="240" w:lineRule="auto"/>
        <w:rPr>
          <w:rFonts w:eastAsia="Times New Roman" w:cs="Arial"/>
          <w:color w:val="000000"/>
          <w:u w:val="single"/>
          <w:lang w:eastAsia="bg-BG"/>
        </w:rPr>
      </w:pPr>
    </w:p>
    <w:p w14:paraId="7059DD9E" w14:textId="04C83CF2"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Доцетаксел</w:t>
      </w:r>
    </w:p>
    <w:p w14:paraId="4297F52D"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Доцетаксел (75 или 100 </w:t>
      </w:r>
      <w:r w:rsidRPr="000128A4">
        <w:rPr>
          <w:rFonts w:eastAsia="Times New Roman" w:cs="Arial"/>
          <w:color w:val="000000"/>
          <w:lang w:val="en-US"/>
        </w:rPr>
        <w:t>mg/m</w:t>
      </w:r>
      <w:r w:rsidRPr="000128A4">
        <w:rPr>
          <w:rFonts w:eastAsia="Times New Roman" w:cs="Arial"/>
          <w:color w:val="000000"/>
          <w:vertAlign w:val="superscript"/>
          <w:lang w:val="en-US"/>
        </w:rPr>
        <w:t>2</w:t>
      </w:r>
      <w:r w:rsidRPr="000128A4">
        <w:rPr>
          <w:rFonts w:eastAsia="Times New Roman" w:cs="Arial"/>
          <w:color w:val="000000"/>
          <w:lang w:val="en-US"/>
        </w:rPr>
        <w:t xml:space="preserve">, </w:t>
      </w:r>
      <w:r w:rsidRPr="000128A4">
        <w:rPr>
          <w:rFonts w:eastAsia="Times New Roman" w:cs="Arial"/>
          <w:color w:val="000000"/>
          <w:lang w:eastAsia="bg-BG"/>
        </w:rPr>
        <w:t xml:space="preserve">приложен еднократно на всеки 21 дни), когато се прилага едновременно със сорафениб (200 </w:t>
      </w:r>
      <w:r w:rsidRPr="000128A4">
        <w:rPr>
          <w:rFonts w:eastAsia="Times New Roman" w:cs="Arial"/>
          <w:color w:val="000000"/>
          <w:lang w:val="en-US"/>
        </w:rPr>
        <w:t xml:space="preserve">mg </w:t>
      </w:r>
      <w:r w:rsidRPr="000128A4">
        <w:rPr>
          <w:rFonts w:eastAsia="Times New Roman" w:cs="Arial"/>
          <w:color w:val="000000"/>
          <w:lang w:eastAsia="bg-BG"/>
        </w:rPr>
        <w:t xml:space="preserve">два пъти дневно или 400 </w:t>
      </w:r>
      <w:r w:rsidRPr="000128A4">
        <w:rPr>
          <w:rFonts w:eastAsia="Times New Roman" w:cs="Arial"/>
          <w:color w:val="000000"/>
          <w:lang w:val="en-US"/>
        </w:rPr>
        <w:t xml:space="preserve">mg </w:t>
      </w:r>
      <w:r w:rsidRPr="000128A4">
        <w:rPr>
          <w:rFonts w:eastAsia="Times New Roman" w:cs="Arial"/>
          <w:color w:val="000000"/>
          <w:lang w:eastAsia="bg-BG"/>
        </w:rPr>
        <w:t xml:space="preserve">два пъти дневно, приложени на ден 2 през 19 от 21-дневен цикъл с 3-дневно прекъсване на приложението, около приложението на доцетаксел), води до повишаване на </w:t>
      </w:r>
      <w:r w:rsidRPr="000128A4">
        <w:rPr>
          <w:rFonts w:eastAsia="Times New Roman" w:cs="Arial"/>
          <w:color w:val="000000"/>
          <w:lang w:val="en-US"/>
        </w:rPr>
        <w:t xml:space="preserve">AUC </w:t>
      </w:r>
      <w:r w:rsidRPr="000128A4">
        <w:rPr>
          <w:rFonts w:eastAsia="Times New Roman" w:cs="Arial"/>
          <w:color w:val="000000"/>
          <w:lang w:eastAsia="bg-BG"/>
        </w:rPr>
        <w:t>на доцетаксел с 36-80% и повишаване на Стах на доцетаксел с 16-32%. Препоръчва се повишено внимание, когато сорафениб се прилага едновременно с доцетаксел (вж. точка 4.4).</w:t>
      </w:r>
    </w:p>
    <w:p w14:paraId="4CC854E6" w14:textId="77777777" w:rsidR="000128A4" w:rsidRPr="000128A4" w:rsidRDefault="000128A4" w:rsidP="000128A4">
      <w:pPr>
        <w:spacing w:line="240" w:lineRule="auto"/>
        <w:rPr>
          <w:rFonts w:eastAsia="Times New Roman" w:cs="Arial"/>
          <w:color w:val="000000"/>
          <w:u w:val="single"/>
          <w:lang w:eastAsia="bg-BG"/>
        </w:rPr>
      </w:pPr>
    </w:p>
    <w:p w14:paraId="5AA5A613" w14:textId="18609888"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u w:val="single"/>
          <w:lang w:eastAsia="bg-BG"/>
        </w:rPr>
        <w:t>Комбинация с други средства</w:t>
      </w:r>
    </w:p>
    <w:p w14:paraId="5DE8069E" w14:textId="77777777" w:rsidR="000128A4" w:rsidRPr="000128A4" w:rsidRDefault="000128A4" w:rsidP="000128A4">
      <w:pPr>
        <w:spacing w:line="240" w:lineRule="auto"/>
        <w:rPr>
          <w:rFonts w:eastAsia="Times New Roman" w:cs="Arial"/>
          <w:i/>
          <w:iCs/>
          <w:color w:val="000000"/>
          <w:lang w:eastAsia="bg-BG"/>
        </w:rPr>
      </w:pPr>
    </w:p>
    <w:p w14:paraId="1FE101DE" w14:textId="3C6DDDF0" w:rsidR="000128A4" w:rsidRPr="000128A4" w:rsidRDefault="000128A4" w:rsidP="000128A4">
      <w:pPr>
        <w:spacing w:line="240" w:lineRule="auto"/>
        <w:rPr>
          <w:rFonts w:eastAsia="Times New Roman" w:cs="Arial"/>
          <w:sz w:val="24"/>
          <w:szCs w:val="24"/>
          <w:lang w:eastAsia="bg-BG"/>
        </w:rPr>
      </w:pPr>
      <w:r w:rsidRPr="000128A4">
        <w:rPr>
          <w:rFonts w:eastAsia="Times New Roman" w:cs="Arial"/>
          <w:i/>
          <w:iCs/>
          <w:color w:val="000000"/>
          <w:lang w:eastAsia="bg-BG"/>
        </w:rPr>
        <w:t>Неомицин</w:t>
      </w:r>
    </w:p>
    <w:p w14:paraId="161168C2"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lastRenderedPageBreak/>
        <w:t>Едновременното приложение на неомицин, несистемно антимикробно средство, използвано за ерадикация на стомашно-чревната флора, води до взаимодействие с ентерохепаталния кръговрат на сорафениб (вж. точка 5.2 Биотрансформация и Елиминиране) и в резултат на това до намалена експозиция на сорафениб. При здрави доброволци, лекувани с 5-дневна схема на неомицин, средната експозиция на сорафениб се понижава с 54%. Ефектите на други антибиотици не са проучвани, но вероятно ще зависят от тяхната способност да взаимодействат с микроорганизмите с глюкуронидазна активност.</w:t>
      </w:r>
    </w:p>
    <w:p w14:paraId="681F2E62" w14:textId="34EC9C6A" w:rsidR="000128A4" w:rsidRPr="000128A4" w:rsidRDefault="000128A4" w:rsidP="000128A4"/>
    <w:p w14:paraId="4762A32B" w14:textId="45EF9A61" w:rsidR="001A6EBD" w:rsidRDefault="002C50EE" w:rsidP="00471F10">
      <w:pPr>
        <w:pStyle w:val="Heading2"/>
      </w:pPr>
      <w:r>
        <w:t>4.6. Фертилитет, бременност и кърмене</w:t>
      </w:r>
    </w:p>
    <w:p w14:paraId="1402687D" w14:textId="3B6F3071" w:rsidR="000128A4" w:rsidRDefault="000128A4" w:rsidP="000128A4"/>
    <w:p w14:paraId="2142A923" w14:textId="77777777" w:rsidR="000128A4" w:rsidRPr="000128A4" w:rsidRDefault="000128A4" w:rsidP="000128A4">
      <w:pPr>
        <w:pStyle w:val="Heading3"/>
        <w:rPr>
          <w:rFonts w:eastAsia="Times New Roman"/>
          <w:u w:val="single"/>
          <w:lang w:eastAsia="bg-BG"/>
        </w:rPr>
      </w:pPr>
      <w:r w:rsidRPr="000128A4">
        <w:rPr>
          <w:rFonts w:eastAsia="Times New Roman"/>
          <w:u w:val="single"/>
          <w:lang w:eastAsia="bg-BG"/>
        </w:rPr>
        <w:t>Бременност</w:t>
      </w:r>
    </w:p>
    <w:p w14:paraId="155F6CEC"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Липсват данни от употребата на сорафениб при бременни жени. Проучванията при животни показват репродуктивна токсичност, включително малформации (вж. точка 5.3). При плъхове е доказано, че сорафениб и неговите метаболити преминават през плацентата и се очаква сорафениб да причини увреждащи ефекти върху плода. Сорафениб не трябва да се използва по време на бременност, освен ако не е абсолютно показан, след внимателно обсъждане на необходимостта за майката и риска за плода.</w:t>
      </w:r>
    </w:p>
    <w:p w14:paraId="08E25EF9"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Жени с детероден потенциал трябва да използват ефективна контрацепция по време на лечението.</w:t>
      </w:r>
    </w:p>
    <w:p w14:paraId="0DD64004" w14:textId="77777777" w:rsidR="000128A4" w:rsidRPr="000128A4" w:rsidRDefault="000128A4" w:rsidP="000128A4">
      <w:pPr>
        <w:spacing w:line="240" w:lineRule="auto"/>
        <w:rPr>
          <w:rFonts w:eastAsia="Times New Roman" w:cs="Arial"/>
          <w:color w:val="000000"/>
          <w:u w:val="single"/>
          <w:lang w:eastAsia="bg-BG"/>
        </w:rPr>
      </w:pPr>
    </w:p>
    <w:p w14:paraId="6F6223A3" w14:textId="09409664" w:rsidR="000128A4" w:rsidRPr="000128A4" w:rsidRDefault="000128A4" w:rsidP="000128A4">
      <w:pPr>
        <w:pStyle w:val="Heading3"/>
        <w:rPr>
          <w:rFonts w:eastAsia="Times New Roman"/>
          <w:u w:val="single"/>
          <w:lang w:eastAsia="bg-BG"/>
        </w:rPr>
      </w:pPr>
      <w:r w:rsidRPr="000128A4">
        <w:rPr>
          <w:rFonts w:eastAsia="Times New Roman"/>
          <w:u w:val="single"/>
          <w:lang w:eastAsia="bg-BG"/>
        </w:rPr>
        <w:t>Кърмене</w:t>
      </w:r>
    </w:p>
    <w:p w14:paraId="22FE125D"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Не е известно дали сорафениб се екскретира в кърмата. При животни сорафениб и/или неговите метаболити се екскретират в млякото. Тъй като сорафениб може да увреди растежа и развитието на новороденото (вж. точка 5.3), жените не трябва да кърмят по време на лечението със сорафениб.</w:t>
      </w:r>
    </w:p>
    <w:p w14:paraId="32581D0C" w14:textId="77777777" w:rsidR="000128A4" w:rsidRPr="000128A4" w:rsidRDefault="000128A4" w:rsidP="000128A4">
      <w:pPr>
        <w:spacing w:line="240" w:lineRule="auto"/>
        <w:rPr>
          <w:rFonts w:eastAsia="Times New Roman" w:cs="Arial"/>
          <w:color w:val="000000"/>
          <w:u w:val="single"/>
          <w:lang w:eastAsia="bg-BG"/>
        </w:rPr>
      </w:pPr>
    </w:p>
    <w:p w14:paraId="08132DDD" w14:textId="6F628A14" w:rsidR="000128A4" w:rsidRPr="000128A4" w:rsidRDefault="000128A4" w:rsidP="000128A4">
      <w:pPr>
        <w:pStyle w:val="Heading3"/>
        <w:rPr>
          <w:rFonts w:eastAsia="Times New Roman"/>
          <w:u w:val="single"/>
          <w:lang w:eastAsia="bg-BG"/>
        </w:rPr>
      </w:pPr>
      <w:r w:rsidRPr="000128A4">
        <w:rPr>
          <w:rFonts w:eastAsia="Times New Roman"/>
          <w:u w:val="single"/>
          <w:lang w:eastAsia="bg-BG"/>
        </w:rPr>
        <w:t>Фергилитет</w:t>
      </w:r>
    </w:p>
    <w:p w14:paraId="33A23F43" w14:textId="1A9B2764" w:rsidR="000128A4" w:rsidRDefault="000128A4" w:rsidP="000128A4">
      <w:pPr>
        <w:spacing w:line="240" w:lineRule="auto"/>
        <w:rPr>
          <w:rFonts w:eastAsia="Times New Roman" w:cs="Arial"/>
          <w:color w:val="000000"/>
          <w:lang w:eastAsia="bg-BG"/>
        </w:rPr>
      </w:pPr>
      <w:r w:rsidRPr="000128A4">
        <w:rPr>
          <w:rFonts w:eastAsia="Times New Roman" w:cs="Arial"/>
          <w:color w:val="000000"/>
          <w:lang w:eastAsia="bg-BG"/>
        </w:rPr>
        <w:t>Резултатите от проучвания върху животни показват, че сорафениб може да увреди мъжкия и</w:t>
      </w:r>
      <w:r>
        <w:rPr>
          <w:rFonts w:eastAsia="Times New Roman" w:cs="Arial"/>
          <w:sz w:val="24"/>
          <w:szCs w:val="24"/>
          <w:lang w:eastAsia="bg-BG"/>
        </w:rPr>
        <w:t xml:space="preserve"> </w:t>
      </w:r>
      <w:r w:rsidRPr="000128A4">
        <w:rPr>
          <w:rFonts w:eastAsia="Times New Roman" w:cs="Arial"/>
          <w:color w:val="000000"/>
          <w:lang w:eastAsia="bg-BG"/>
        </w:rPr>
        <w:t>женския фертилитет (вж. точка 5.3).</w:t>
      </w:r>
    </w:p>
    <w:p w14:paraId="4D42DF13" w14:textId="77777777" w:rsidR="000128A4" w:rsidRPr="000128A4" w:rsidRDefault="000128A4" w:rsidP="000128A4">
      <w:pPr>
        <w:spacing w:line="240" w:lineRule="auto"/>
        <w:rPr>
          <w:rFonts w:eastAsia="Times New Roman" w:cs="Arial"/>
          <w:sz w:val="24"/>
          <w:szCs w:val="24"/>
          <w:lang w:eastAsia="bg-BG"/>
        </w:rPr>
      </w:pPr>
    </w:p>
    <w:p w14:paraId="188B33B4" w14:textId="080117E1" w:rsidR="001A6EBD" w:rsidRDefault="002C50EE" w:rsidP="00471F10">
      <w:pPr>
        <w:pStyle w:val="Heading2"/>
      </w:pPr>
      <w:r>
        <w:t>4.7. Ефекти върху способността за шофиране и работа с машини</w:t>
      </w:r>
    </w:p>
    <w:p w14:paraId="2CFDCFCE" w14:textId="1974BB24" w:rsidR="000128A4" w:rsidRDefault="000128A4" w:rsidP="000128A4"/>
    <w:p w14:paraId="2E3C0263" w14:textId="025DDEE8" w:rsidR="000128A4" w:rsidRDefault="000128A4" w:rsidP="000128A4">
      <w:pPr>
        <w:rPr>
          <w:lang w:eastAsia="bg-BG"/>
        </w:rPr>
      </w:pPr>
      <w:r w:rsidRPr="000128A4">
        <w:rPr>
          <w:lang w:eastAsia="bg-BG"/>
        </w:rPr>
        <w:t>Не са провеждани проучвания за ефектите върху способността за шофиране и работа с машини. Няма доказателство, че сорафениб повлиява способността за шофиране и работа с машини.</w:t>
      </w:r>
    </w:p>
    <w:p w14:paraId="663D093A" w14:textId="77777777" w:rsidR="000128A4" w:rsidRPr="000128A4" w:rsidRDefault="000128A4" w:rsidP="000128A4">
      <w:pPr>
        <w:rPr>
          <w:sz w:val="24"/>
          <w:szCs w:val="24"/>
          <w:lang w:eastAsia="bg-BG"/>
        </w:rPr>
      </w:pPr>
    </w:p>
    <w:p w14:paraId="44CE30A3" w14:textId="0075EBB0" w:rsidR="007122AD" w:rsidRDefault="002C50EE" w:rsidP="00936AD0">
      <w:pPr>
        <w:pStyle w:val="Heading2"/>
      </w:pPr>
      <w:r>
        <w:t>4.8. Нежелани лекарствени реакции</w:t>
      </w:r>
    </w:p>
    <w:p w14:paraId="46DF5F75" w14:textId="4E97D096" w:rsidR="000128A4" w:rsidRDefault="000128A4" w:rsidP="000128A4"/>
    <w:p w14:paraId="4A1C29AB"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Най-важните сериозни нежелани реакции са миокарден инфаркт/исхемия, стомашно-чревна перфорация, индуциран от лекарството хепатит, кръвоизлив и хипертония/хипертонични кризи.</w:t>
      </w:r>
    </w:p>
    <w:p w14:paraId="3C4DE4AB" w14:textId="77777777" w:rsidR="000128A4" w:rsidRPr="000128A4" w:rsidRDefault="000128A4" w:rsidP="000128A4">
      <w:pPr>
        <w:spacing w:line="240" w:lineRule="auto"/>
        <w:rPr>
          <w:rFonts w:eastAsia="Times New Roman" w:cs="Arial"/>
          <w:color w:val="000000"/>
          <w:lang w:eastAsia="bg-BG"/>
        </w:rPr>
      </w:pPr>
    </w:p>
    <w:p w14:paraId="3577597E" w14:textId="09D49B13"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 xml:space="preserve">Най-честите нежелани реакции, свързани с лекарството са диария, умора, алопеция, инфекция, кожна реакция ръка-крак (съответства на синдром на палмаро-плантарна еритродизестезия по </w:t>
      </w:r>
      <w:r w:rsidRPr="000128A4">
        <w:rPr>
          <w:rFonts w:eastAsia="Times New Roman" w:cs="Arial"/>
          <w:color w:val="000000"/>
          <w:lang w:val="en-US"/>
        </w:rPr>
        <w:t xml:space="preserve">MedDRA) </w:t>
      </w:r>
      <w:r w:rsidRPr="000128A4">
        <w:rPr>
          <w:rFonts w:eastAsia="Times New Roman" w:cs="Arial"/>
          <w:color w:val="000000"/>
          <w:lang w:eastAsia="bg-BG"/>
        </w:rPr>
        <w:t>и обрив.</w:t>
      </w:r>
    </w:p>
    <w:p w14:paraId="2666B37A" w14:textId="77777777" w:rsidR="000128A4" w:rsidRPr="000128A4" w:rsidRDefault="000128A4" w:rsidP="000128A4">
      <w:pPr>
        <w:spacing w:line="240" w:lineRule="auto"/>
        <w:rPr>
          <w:rFonts w:eastAsia="Times New Roman" w:cs="Arial"/>
          <w:color w:val="000000"/>
          <w:lang w:eastAsia="bg-BG"/>
        </w:rPr>
      </w:pPr>
    </w:p>
    <w:p w14:paraId="3EB0FE7B" w14:textId="134A59E0"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lastRenderedPageBreak/>
        <w:t xml:space="preserve">Нежеланите реакции, докладвани в множество клинични изпитвания или по време на постмаркетинговата употреба, са представени по-долу в таблица 1, подредени по системо- органни класове </w:t>
      </w:r>
      <w:r w:rsidRPr="000128A4">
        <w:rPr>
          <w:rFonts w:eastAsia="Times New Roman" w:cs="Arial"/>
          <w:color w:val="000000"/>
          <w:lang w:val="en-US"/>
        </w:rPr>
        <w:t xml:space="preserve">(MedDRA) </w:t>
      </w:r>
      <w:r w:rsidRPr="000128A4">
        <w:rPr>
          <w:rFonts w:eastAsia="Times New Roman" w:cs="Arial"/>
          <w:color w:val="000000"/>
          <w:lang w:eastAsia="bg-BG"/>
        </w:rPr>
        <w:t>и по честота. Честотата се определя като: много чести (≥1/10), чести (≥1/100 до &lt;1/10), нечести (≥1/1 000 до &lt;1/100), редки (≥1/10 000 до &lt;1/1 000), с неизвестна честота (от наличните данни не може да бъде направена оценка).</w:t>
      </w:r>
    </w:p>
    <w:p w14:paraId="271F8801" w14:textId="77777777" w:rsidR="000128A4" w:rsidRPr="000128A4" w:rsidRDefault="000128A4" w:rsidP="000128A4">
      <w:pPr>
        <w:spacing w:line="240" w:lineRule="auto"/>
        <w:rPr>
          <w:rFonts w:eastAsia="Times New Roman" w:cs="Arial"/>
          <w:sz w:val="24"/>
          <w:szCs w:val="24"/>
          <w:lang w:eastAsia="bg-BG"/>
        </w:rPr>
      </w:pPr>
      <w:r w:rsidRPr="000128A4">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19B0C1A6" w14:textId="77777777" w:rsidR="000128A4" w:rsidRPr="000128A4" w:rsidRDefault="000128A4" w:rsidP="000128A4">
      <w:pPr>
        <w:spacing w:line="240" w:lineRule="auto"/>
        <w:rPr>
          <w:rFonts w:eastAsia="Times New Roman" w:cs="Arial"/>
          <w:b/>
          <w:bCs/>
          <w:color w:val="000000"/>
          <w:lang w:eastAsia="bg-BG"/>
        </w:rPr>
      </w:pPr>
    </w:p>
    <w:p w14:paraId="7FB16799" w14:textId="2841221C" w:rsidR="000128A4" w:rsidRDefault="000128A4" w:rsidP="000128A4">
      <w:pPr>
        <w:spacing w:line="240" w:lineRule="auto"/>
        <w:rPr>
          <w:rFonts w:eastAsia="Times New Roman" w:cs="Arial"/>
          <w:b/>
          <w:bCs/>
          <w:color w:val="000000"/>
          <w:lang w:eastAsia="bg-BG"/>
        </w:rPr>
      </w:pPr>
      <w:r w:rsidRPr="000128A4">
        <w:rPr>
          <w:rFonts w:eastAsia="Times New Roman" w:cs="Arial"/>
          <w:b/>
          <w:bCs/>
          <w:color w:val="000000"/>
          <w:lang w:eastAsia="bg-BG"/>
        </w:rPr>
        <w:t>Таблица 1: Всички нежелани лекарствени реакции, докладвани в множество клинични изпитвания или по време на постмаркетинговата употреба</w:t>
      </w:r>
    </w:p>
    <w:tbl>
      <w:tblPr>
        <w:tblStyle w:val="TableGrid"/>
        <w:tblW w:w="0" w:type="auto"/>
        <w:tblLook w:val="04A0" w:firstRow="1" w:lastRow="0" w:firstColumn="1" w:lastColumn="0" w:noHBand="0" w:noVBand="1"/>
      </w:tblPr>
      <w:tblGrid>
        <w:gridCol w:w="1430"/>
        <w:gridCol w:w="1645"/>
        <w:gridCol w:w="1662"/>
        <w:gridCol w:w="1759"/>
        <w:gridCol w:w="1287"/>
        <w:gridCol w:w="1567"/>
      </w:tblGrid>
      <w:tr w:rsidR="000128A4" w14:paraId="66980999" w14:textId="77777777" w:rsidTr="00BE40DA">
        <w:tc>
          <w:tcPr>
            <w:tcW w:w="1465" w:type="dxa"/>
          </w:tcPr>
          <w:p w14:paraId="3B65976C" w14:textId="5BFAAD2D" w:rsidR="000128A4" w:rsidRPr="000128A4" w:rsidRDefault="000128A4" w:rsidP="000128A4">
            <w:pPr>
              <w:spacing w:line="240" w:lineRule="auto"/>
              <w:rPr>
                <w:rFonts w:eastAsia="Times New Roman" w:cs="Arial"/>
                <w:lang w:eastAsia="bg-BG"/>
              </w:rPr>
            </w:pPr>
            <w:r w:rsidRPr="000128A4">
              <w:t>Системо- органни класове</w:t>
            </w:r>
          </w:p>
        </w:tc>
        <w:tc>
          <w:tcPr>
            <w:tcW w:w="1685" w:type="dxa"/>
          </w:tcPr>
          <w:p w14:paraId="436ECCD9" w14:textId="3AD28C76" w:rsidR="000128A4" w:rsidRPr="000128A4" w:rsidRDefault="000128A4" w:rsidP="000128A4">
            <w:pPr>
              <w:spacing w:line="240" w:lineRule="auto"/>
              <w:rPr>
                <w:rFonts w:eastAsia="Times New Roman" w:cs="Arial"/>
                <w:lang w:eastAsia="bg-BG"/>
              </w:rPr>
            </w:pPr>
            <w:r w:rsidRPr="000128A4">
              <w:t>Много чести</w:t>
            </w:r>
          </w:p>
        </w:tc>
        <w:tc>
          <w:tcPr>
            <w:tcW w:w="1702" w:type="dxa"/>
          </w:tcPr>
          <w:p w14:paraId="0CB566AB" w14:textId="3A636109" w:rsidR="000128A4" w:rsidRPr="000128A4" w:rsidRDefault="000128A4" w:rsidP="000128A4">
            <w:pPr>
              <w:spacing w:line="240" w:lineRule="auto"/>
              <w:rPr>
                <w:rFonts w:eastAsia="Times New Roman" w:cs="Arial"/>
                <w:lang w:eastAsia="bg-BG"/>
              </w:rPr>
            </w:pPr>
            <w:r w:rsidRPr="000128A4">
              <w:t>Чести</w:t>
            </w:r>
          </w:p>
        </w:tc>
        <w:tc>
          <w:tcPr>
            <w:tcW w:w="1802" w:type="dxa"/>
          </w:tcPr>
          <w:p w14:paraId="26306CB0" w14:textId="118E6BC4" w:rsidR="000128A4" w:rsidRPr="000128A4" w:rsidRDefault="000128A4" w:rsidP="000128A4">
            <w:pPr>
              <w:spacing w:line="240" w:lineRule="auto"/>
              <w:rPr>
                <w:rFonts w:eastAsia="Times New Roman" w:cs="Arial"/>
                <w:lang w:eastAsia="bg-BG"/>
              </w:rPr>
            </w:pPr>
            <w:r w:rsidRPr="000128A4">
              <w:t>Нечести</w:t>
            </w:r>
          </w:p>
        </w:tc>
        <w:tc>
          <w:tcPr>
            <w:tcW w:w="1317" w:type="dxa"/>
          </w:tcPr>
          <w:p w14:paraId="2AC6691E" w14:textId="1FC8FB59" w:rsidR="000128A4" w:rsidRPr="000128A4" w:rsidRDefault="000128A4" w:rsidP="000128A4">
            <w:pPr>
              <w:spacing w:line="240" w:lineRule="auto"/>
              <w:rPr>
                <w:rFonts w:eastAsia="Times New Roman" w:cs="Arial"/>
                <w:lang w:eastAsia="bg-BG"/>
              </w:rPr>
            </w:pPr>
            <w:r w:rsidRPr="000128A4">
              <w:t>Редки</w:t>
            </w:r>
          </w:p>
        </w:tc>
        <w:tc>
          <w:tcPr>
            <w:tcW w:w="1605" w:type="dxa"/>
          </w:tcPr>
          <w:p w14:paraId="18BB5AD3" w14:textId="7C5F4132" w:rsidR="000128A4" w:rsidRPr="000128A4" w:rsidRDefault="000128A4" w:rsidP="000128A4">
            <w:pPr>
              <w:spacing w:line="240" w:lineRule="auto"/>
              <w:rPr>
                <w:rFonts w:eastAsia="Times New Roman" w:cs="Arial"/>
                <w:lang w:eastAsia="bg-BG"/>
              </w:rPr>
            </w:pPr>
            <w:r w:rsidRPr="000128A4">
              <w:t>С неизвестна честота</w:t>
            </w:r>
          </w:p>
        </w:tc>
      </w:tr>
      <w:tr w:rsidR="000128A4" w14:paraId="58758504" w14:textId="77777777" w:rsidTr="00BE40DA">
        <w:tc>
          <w:tcPr>
            <w:tcW w:w="1465" w:type="dxa"/>
            <w:vAlign w:val="bottom"/>
          </w:tcPr>
          <w:p w14:paraId="71B50E37" w14:textId="6D552062" w:rsidR="000128A4" w:rsidRPr="000128A4" w:rsidRDefault="000128A4" w:rsidP="000128A4">
            <w:pPr>
              <w:spacing w:line="240" w:lineRule="auto"/>
              <w:rPr>
                <w:rFonts w:eastAsia="Times New Roman" w:cs="Arial"/>
                <w:lang w:eastAsia="bg-BG"/>
              </w:rPr>
            </w:pPr>
            <w:r w:rsidRPr="000128A4">
              <w:t>Инфекции и инфестации</w:t>
            </w:r>
          </w:p>
        </w:tc>
        <w:tc>
          <w:tcPr>
            <w:tcW w:w="1685" w:type="dxa"/>
          </w:tcPr>
          <w:p w14:paraId="49EF59CD" w14:textId="75C84E4D" w:rsidR="000128A4" w:rsidRPr="000128A4" w:rsidRDefault="000128A4" w:rsidP="000128A4">
            <w:pPr>
              <w:spacing w:line="240" w:lineRule="auto"/>
              <w:rPr>
                <w:rFonts w:eastAsia="Times New Roman" w:cs="Arial"/>
                <w:lang w:eastAsia="bg-BG"/>
              </w:rPr>
            </w:pPr>
            <w:r w:rsidRPr="000128A4">
              <w:t>инфекция</w:t>
            </w:r>
          </w:p>
        </w:tc>
        <w:tc>
          <w:tcPr>
            <w:tcW w:w="1702" w:type="dxa"/>
          </w:tcPr>
          <w:p w14:paraId="7E54F731" w14:textId="2070E62C" w:rsidR="000128A4" w:rsidRPr="000128A4" w:rsidRDefault="000128A4" w:rsidP="000128A4">
            <w:pPr>
              <w:spacing w:line="240" w:lineRule="auto"/>
              <w:rPr>
                <w:rFonts w:eastAsia="Times New Roman" w:cs="Arial"/>
                <w:lang w:eastAsia="bg-BG"/>
              </w:rPr>
            </w:pPr>
            <w:r w:rsidRPr="000128A4">
              <w:t>фоликулит</w:t>
            </w:r>
          </w:p>
        </w:tc>
        <w:tc>
          <w:tcPr>
            <w:tcW w:w="1802" w:type="dxa"/>
          </w:tcPr>
          <w:p w14:paraId="1C9C1E52" w14:textId="77777777" w:rsidR="000128A4" w:rsidRPr="000128A4" w:rsidRDefault="000128A4" w:rsidP="000128A4">
            <w:pPr>
              <w:spacing w:line="240" w:lineRule="auto"/>
              <w:rPr>
                <w:rFonts w:eastAsia="Times New Roman" w:cs="Arial"/>
                <w:lang w:eastAsia="bg-BG"/>
              </w:rPr>
            </w:pPr>
          </w:p>
        </w:tc>
        <w:tc>
          <w:tcPr>
            <w:tcW w:w="1317" w:type="dxa"/>
          </w:tcPr>
          <w:p w14:paraId="2C43EBA9" w14:textId="77777777" w:rsidR="000128A4" w:rsidRPr="000128A4" w:rsidRDefault="000128A4" w:rsidP="000128A4">
            <w:pPr>
              <w:spacing w:line="240" w:lineRule="auto"/>
              <w:rPr>
                <w:rFonts w:eastAsia="Times New Roman" w:cs="Arial"/>
                <w:lang w:eastAsia="bg-BG"/>
              </w:rPr>
            </w:pPr>
          </w:p>
        </w:tc>
        <w:tc>
          <w:tcPr>
            <w:tcW w:w="1605" w:type="dxa"/>
          </w:tcPr>
          <w:p w14:paraId="44B46AE4" w14:textId="77777777" w:rsidR="000128A4" w:rsidRPr="000128A4" w:rsidRDefault="000128A4" w:rsidP="000128A4">
            <w:pPr>
              <w:spacing w:line="240" w:lineRule="auto"/>
              <w:rPr>
                <w:rFonts w:eastAsia="Times New Roman" w:cs="Arial"/>
                <w:lang w:eastAsia="bg-BG"/>
              </w:rPr>
            </w:pPr>
          </w:p>
        </w:tc>
      </w:tr>
      <w:tr w:rsidR="000128A4" w14:paraId="254A2220" w14:textId="77777777" w:rsidTr="00BE40DA">
        <w:tc>
          <w:tcPr>
            <w:tcW w:w="1465" w:type="dxa"/>
          </w:tcPr>
          <w:p w14:paraId="2F7CE2A4" w14:textId="263AE5C0" w:rsidR="000128A4" w:rsidRPr="000128A4" w:rsidRDefault="000128A4" w:rsidP="000128A4">
            <w:pPr>
              <w:spacing w:line="240" w:lineRule="auto"/>
              <w:rPr>
                <w:rFonts w:eastAsia="Times New Roman" w:cs="Arial"/>
                <w:lang w:eastAsia="bg-BG"/>
              </w:rPr>
            </w:pPr>
            <w:r w:rsidRPr="000128A4">
              <w:t>Нарушения на кръвта и лимфната система</w:t>
            </w:r>
          </w:p>
        </w:tc>
        <w:tc>
          <w:tcPr>
            <w:tcW w:w="1685" w:type="dxa"/>
          </w:tcPr>
          <w:p w14:paraId="650F6E8A" w14:textId="3C8CC055" w:rsidR="000128A4" w:rsidRPr="000128A4" w:rsidRDefault="000128A4" w:rsidP="000128A4">
            <w:pPr>
              <w:spacing w:line="240" w:lineRule="auto"/>
              <w:rPr>
                <w:rFonts w:eastAsia="Times New Roman" w:cs="Arial"/>
                <w:lang w:eastAsia="bg-BG"/>
              </w:rPr>
            </w:pPr>
            <w:r w:rsidRPr="000128A4">
              <w:t>лимфопения</w:t>
            </w:r>
          </w:p>
        </w:tc>
        <w:tc>
          <w:tcPr>
            <w:tcW w:w="1702" w:type="dxa"/>
            <w:vAlign w:val="bottom"/>
          </w:tcPr>
          <w:p w14:paraId="7EBB3E96" w14:textId="77777777" w:rsidR="000128A4" w:rsidRPr="000128A4" w:rsidRDefault="000128A4" w:rsidP="000128A4">
            <w:r w:rsidRPr="000128A4">
              <w:t>левкопения</w:t>
            </w:r>
          </w:p>
          <w:p w14:paraId="705D0C28" w14:textId="77777777" w:rsidR="000128A4" w:rsidRPr="000128A4" w:rsidRDefault="000128A4" w:rsidP="000128A4">
            <w:r w:rsidRPr="000128A4">
              <w:t>неутропения</w:t>
            </w:r>
          </w:p>
          <w:p w14:paraId="3CA84A8D" w14:textId="77777777" w:rsidR="000128A4" w:rsidRPr="000128A4" w:rsidRDefault="000128A4" w:rsidP="000128A4">
            <w:r w:rsidRPr="000128A4">
              <w:t>анемия</w:t>
            </w:r>
          </w:p>
          <w:p w14:paraId="1C10907B" w14:textId="1F40CBFB" w:rsidR="000128A4" w:rsidRPr="000128A4" w:rsidRDefault="000128A4" w:rsidP="000128A4">
            <w:pPr>
              <w:spacing w:line="240" w:lineRule="auto"/>
              <w:rPr>
                <w:rFonts w:eastAsia="Times New Roman" w:cs="Arial"/>
                <w:lang w:eastAsia="bg-BG"/>
              </w:rPr>
            </w:pPr>
            <w:r w:rsidRPr="000128A4">
              <w:t>тромбоцитопения</w:t>
            </w:r>
          </w:p>
        </w:tc>
        <w:tc>
          <w:tcPr>
            <w:tcW w:w="1802" w:type="dxa"/>
          </w:tcPr>
          <w:p w14:paraId="42838B30" w14:textId="77777777" w:rsidR="000128A4" w:rsidRPr="000128A4" w:rsidRDefault="000128A4" w:rsidP="000128A4">
            <w:pPr>
              <w:spacing w:line="240" w:lineRule="auto"/>
              <w:rPr>
                <w:rFonts w:eastAsia="Times New Roman" w:cs="Arial"/>
                <w:lang w:eastAsia="bg-BG"/>
              </w:rPr>
            </w:pPr>
          </w:p>
        </w:tc>
        <w:tc>
          <w:tcPr>
            <w:tcW w:w="1317" w:type="dxa"/>
          </w:tcPr>
          <w:p w14:paraId="4B7F755F" w14:textId="77777777" w:rsidR="000128A4" w:rsidRPr="000128A4" w:rsidRDefault="000128A4" w:rsidP="000128A4">
            <w:pPr>
              <w:spacing w:line="240" w:lineRule="auto"/>
              <w:rPr>
                <w:rFonts w:eastAsia="Times New Roman" w:cs="Arial"/>
                <w:lang w:eastAsia="bg-BG"/>
              </w:rPr>
            </w:pPr>
          </w:p>
        </w:tc>
        <w:tc>
          <w:tcPr>
            <w:tcW w:w="1605" w:type="dxa"/>
          </w:tcPr>
          <w:p w14:paraId="73C69B8B" w14:textId="77777777" w:rsidR="000128A4" w:rsidRPr="000128A4" w:rsidRDefault="000128A4" w:rsidP="000128A4">
            <w:pPr>
              <w:spacing w:line="240" w:lineRule="auto"/>
              <w:rPr>
                <w:rFonts w:eastAsia="Times New Roman" w:cs="Arial"/>
                <w:lang w:eastAsia="bg-BG"/>
              </w:rPr>
            </w:pPr>
          </w:p>
        </w:tc>
      </w:tr>
      <w:tr w:rsidR="000128A4" w14:paraId="1FB5F938" w14:textId="77777777" w:rsidTr="00BE40DA">
        <w:tc>
          <w:tcPr>
            <w:tcW w:w="1465" w:type="dxa"/>
          </w:tcPr>
          <w:p w14:paraId="280BFE91" w14:textId="13DE1DF9" w:rsidR="000128A4" w:rsidRPr="000128A4" w:rsidRDefault="000128A4" w:rsidP="000128A4">
            <w:pPr>
              <w:spacing w:line="240" w:lineRule="auto"/>
              <w:rPr>
                <w:rFonts w:eastAsia="Times New Roman" w:cs="Arial"/>
                <w:lang w:eastAsia="bg-BG"/>
              </w:rPr>
            </w:pPr>
            <w:r w:rsidRPr="000128A4">
              <w:t>Нарушения на имунната система</w:t>
            </w:r>
          </w:p>
        </w:tc>
        <w:tc>
          <w:tcPr>
            <w:tcW w:w="1685" w:type="dxa"/>
          </w:tcPr>
          <w:p w14:paraId="6F31CB74" w14:textId="77777777" w:rsidR="000128A4" w:rsidRPr="000128A4" w:rsidRDefault="000128A4" w:rsidP="000128A4">
            <w:pPr>
              <w:spacing w:line="240" w:lineRule="auto"/>
              <w:rPr>
                <w:rFonts w:eastAsia="Times New Roman" w:cs="Arial"/>
                <w:lang w:eastAsia="bg-BG"/>
              </w:rPr>
            </w:pPr>
          </w:p>
        </w:tc>
        <w:tc>
          <w:tcPr>
            <w:tcW w:w="1702" w:type="dxa"/>
          </w:tcPr>
          <w:p w14:paraId="6457059E" w14:textId="77777777" w:rsidR="000128A4" w:rsidRPr="000128A4" w:rsidRDefault="000128A4" w:rsidP="000128A4">
            <w:pPr>
              <w:spacing w:line="240" w:lineRule="auto"/>
              <w:rPr>
                <w:rFonts w:eastAsia="Times New Roman" w:cs="Arial"/>
                <w:lang w:eastAsia="bg-BG"/>
              </w:rPr>
            </w:pPr>
          </w:p>
        </w:tc>
        <w:tc>
          <w:tcPr>
            <w:tcW w:w="1802" w:type="dxa"/>
            <w:vAlign w:val="bottom"/>
          </w:tcPr>
          <w:p w14:paraId="4B309F5D" w14:textId="77777777" w:rsidR="000128A4" w:rsidRPr="000128A4" w:rsidRDefault="000128A4" w:rsidP="000128A4">
            <w:r w:rsidRPr="000128A4">
              <w:t>реакции на свръхчувствител</w:t>
            </w:r>
            <w:r w:rsidRPr="000128A4">
              <w:softHyphen/>
              <w:t>ност</w:t>
            </w:r>
          </w:p>
          <w:p w14:paraId="235E9EAF" w14:textId="77777777" w:rsidR="000128A4" w:rsidRPr="000128A4" w:rsidRDefault="000128A4" w:rsidP="000128A4">
            <w:r w:rsidRPr="000128A4">
              <w:t>(включително кожни реакции и уртикария</w:t>
            </w:r>
          </w:p>
          <w:p w14:paraId="797F6E90" w14:textId="7FFA68A0" w:rsidR="000128A4" w:rsidRPr="000128A4" w:rsidRDefault="000128A4" w:rsidP="000128A4">
            <w:pPr>
              <w:spacing w:line="240" w:lineRule="auto"/>
              <w:rPr>
                <w:rFonts w:eastAsia="Times New Roman" w:cs="Arial"/>
                <w:lang w:eastAsia="bg-BG"/>
              </w:rPr>
            </w:pPr>
            <w:r w:rsidRPr="000128A4">
              <w:t>анафилактична реакция</w:t>
            </w:r>
          </w:p>
        </w:tc>
        <w:tc>
          <w:tcPr>
            <w:tcW w:w="1317" w:type="dxa"/>
          </w:tcPr>
          <w:p w14:paraId="28C1874B" w14:textId="448CC626" w:rsidR="000128A4" w:rsidRPr="000128A4" w:rsidRDefault="000128A4" w:rsidP="000128A4">
            <w:pPr>
              <w:spacing w:line="240" w:lineRule="auto"/>
              <w:rPr>
                <w:rFonts w:eastAsia="Times New Roman" w:cs="Arial"/>
                <w:lang w:eastAsia="bg-BG"/>
              </w:rPr>
            </w:pPr>
            <w:r w:rsidRPr="000128A4">
              <w:t>ангиоедем</w:t>
            </w:r>
          </w:p>
        </w:tc>
        <w:tc>
          <w:tcPr>
            <w:tcW w:w="1605" w:type="dxa"/>
          </w:tcPr>
          <w:p w14:paraId="23702130" w14:textId="77777777" w:rsidR="000128A4" w:rsidRPr="000128A4" w:rsidRDefault="000128A4" w:rsidP="000128A4">
            <w:pPr>
              <w:spacing w:line="240" w:lineRule="auto"/>
              <w:rPr>
                <w:rFonts w:eastAsia="Times New Roman" w:cs="Arial"/>
                <w:lang w:eastAsia="bg-BG"/>
              </w:rPr>
            </w:pPr>
          </w:p>
        </w:tc>
      </w:tr>
      <w:tr w:rsidR="000128A4" w14:paraId="339DFEB0" w14:textId="77777777" w:rsidTr="00BE40DA">
        <w:tc>
          <w:tcPr>
            <w:tcW w:w="1465" w:type="dxa"/>
            <w:vAlign w:val="bottom"/>
          </w:tcPr>
          <w:p w14:paraId="23269776" w14:textId="679A7BBD" w:rsidR="000128A4" w:rsidRPr="000128A4" w:rsidRDefault="000128A4" w:rsidP="000128A4">
            <w:pPr>
              <w:spacing w:line="240" w:lineRule="auto"/>
              <w:rPr>
                <w:rFonts w:eastAsia="Times New Roman" w:cs="Arial"/>
                <w:lang w:eastAsia="bg-BG"/>
              </w:rPr>
            </w:pPr>
            <w:r w:rsidRPr="000128A4">
              <w:t>Нарушения на ендокринната система</w:t>
            </w:r>
          </w:p>
        </w:tc>
        <w:tc>
          <w:tcPr>
            <w:tcW w:w="1685" w:type="dxa"/>
          </w:tcPr>
          <w:p w14:paraId="1A8D5399" w14:textId="77777777" w:rsidR="000128A4" w:rsidRPr="000128A4" w:rsidRDefault="000128A4" w:rsidP="000128A4">
            <w:pPr>
              <w:spacing w:line="240" w:lineRule="auto"/>
              <w:rPr>
                <w:rFonts w:eastAsia="Times New Roman" w:cs="Arial"/>
                <w:lang w:eastAsia="bg-BG"/>
              </w:rPr>
            </w:pPr>
          </w:p>
        </w:tc>
        <w:tc>
          <w:tcPr>
            <w:tcW w:w="1702" w:type="dxa"/>
          </w:tcPr>
          <w:p w14:paraId="3ACCE43B" w14:textId="2C89FCFE" w:rsidR="000128A4" w:rsidRPr="000128A4" w:rsidRDefault="000128A4" w:rsidP="000128A4">
            <w:pPr>
              <w:spacing w:line="240" w:lineRule="auto"/>
              <w:rPr>
                <w:rFonts w:eastAsia="Times New Roman" w:cs="Arial"/>
                <w:lang w:eastAsia="bg-BG"/>
              </w:rPr>
            </w:pPr>
            <w:r w:rsidRPr="000128A4">
              <w:t>хипотиреоидизъм</w:t>
            </w:r>
          </w:p>
        </w:tc>
        <w:tc>
          <w:tcPr>
            <w:tcW w:w="1802" w:type="dxa"/>
          </w:tcPr>
          <w:p w14:paraId="615C887E" w14:textId="44BB755D" w:rsidR="000128A4" w:rsidRPr="000128A4" w:rsidRDefault="000128A4" w:rsidP="000128A4">
            <w:pPr>
              <w:spacing w:line="240" w:lineRule="auto"/>
              <w:rPr>
                <w:rFonts w:eastAsia="Times New Roman" w:cs="Arial"/>
                <w:lang w:eastAsia="bg-BG"/>
              </w:rPr>
            </w:pPr>
            <w:r w:rsidRPr="000128A4">
              <w:t>хипертиреоидизъм</w:t>
            </w:r>
          </w:p>
        </w:tc>
        <w:tc>
          <w:tcPr>
            <w:tcW w:w="1317" w:type="dxa"/>
          </w:tcPr>
          <w:p w14:paraId="35ED3A8B" w14:textId="77777777" w:rsidR="000128A4" w:rsidRPr="000128A4" w:rsidRDefault="000128A4" w:rsidP="000128A4">
            <w:pPr>
              <w:spacing w:line="240" w:lineRule="auto"/>
              <w:rPr>
                <w:rFonts w:eastAsia="Times New Roman" w:cs="Arial"/>
                <w:lang w:eastAsia="bg-BG"/>
              </w:rPr>
            </w:pPr>
          </w:p>
        </w:tc>
        <w:tc>
          <w:tcPr>
            <w:tcW w:w="1605" w:type="dxa"/>
          </w:tcPr>
          <w:p w14:paraId="68EBA822" w14:textId="77777777" w:rsidR="000128A4" w:rsidRPr="000128A4" w:rsidRDefault="000128A4" w:rsidP="000128A4">
            <w:pPr>
              <w:spacing w:line="240" w:lineRule="auto"/>
              <w:rPr>
                <w:rFonts w:eastAsia="Times New Roman" w:cs="Arial"/>
                <w:lang w:eastAsia="bg-BG"/>
              </w:rPr>
            </w:pPr>
          </w:p>
        </w:tc>
      </w:tr>
      <w:tr w:rsidR="000128A4" w14:paraId="5F4759CF" w14:textId="77777777" w:rsidTr="00BE40DA">
        <w:tc>
          <w:tcPr>
            <w:tcW w:w="1465" w:type="dxa"/>
          </w:tcPr>
          <w:p w14:paraId="4F4073B6" w14:textId="66924980" w:rsidR="000128A4" w:rsidRPr="000128A4" w:rsidRDefault="000128A4" w:rsidP="000128A4">
            <w:pPr>
              <w:spacing w:line="240" w:lineRule="auto"/>
              <w:rPr>
                <w:rFonts w:eastAsia="Times New Roman" w:cs="Arial"/>
                <w:lang w:eastAsia="bg-BG"/>
              </w:rPr>
            </w:pPr>
            <w:r w:rsidRPr="000128A4">
              <w:t>Нарушения на метаболизма и храненето</w:t>
            </w:r>
          </w:p>
        </w:tc>
        <w:tc>
          <w:tcPr>
            <w:tcW w:w="1685" w:type="dxa"/>
          </w:tcPr>
          <w:p w14:paraId="151A8FBD" w14:textId="77777777" w:rsidR="000128A4" w:rsidRPr="000128A4" w:rsidRDefault="000128A4" w:rsidP="000128A4">
            <w:r w:rsidRPr="000128A4">
              <w:t>анорексия</w:t>
            </w:r>
          </w:p>
          <w:p w14:paraId="76A3FBC9" w14:textId="37091024" w:rsidR="000128A4" w:rsidRPr="000128A4" w:rsidRDefault="000128A4" w:rsidP="000128A4">
            <w:pPr>
              <w:spacing w:line="240" w:lineRule="auto"/>
              <w:rPr>
                <w:rFonts w:eastAsia="Times New Roman" w:cs="Arial"/>
                <w:lang w:eastAsia="bg-BG"/>
              </w:rPr>
            </w:pPr>
            <w:r w:rsidRPr="000128A4">
              <w:t>хипофосфатемия</w:t>
            </w:r>
          </w:p>
        </w:tc>
        <w:tc>
          <w:tcPr>
            <w:tcW w:w="1702" w:type="dxa"/>
            <w:vAlign w:val="bottom"/>
          </w:tcPr>
          <w:p w14:paraId="71BCFDAE" w14:textId="77777777" w:rsidR="000128A4" w:rsidRPr="000128A4" w:rsidRDefault="000128A4" w:rsidP="000128A4">
            <w:r w:rsidRPr="000128A4">
              <w:t>хипокалциемия хипокалиемия</w:t>
            </w:r>
          </w:p>
          <w:p w14:paraId="0BFF32BA" w14:textId="7A5CFCC9" w:rsidR="000128A4" w:rsidRPr="000128A4" w:rsidRDefault="000128A4" w:rsidP="000128A4">
            <w:pPr>
              <w:spacing w:line="240" w:lineRule="auto"/>
              <w:rPr>
                <w:rFonts w:eastAsia="Times New Roman" w:cs="Arial"/>
                <w:lang w:eastAsia="bg-BG"/>
              </w:rPr>
            </w:pPr>
            <w:r w:rsidRPr="000128A4">
              <w:t>хипонатриемия хипогликемия</w:t>
            </w:r>
          </w:p>
        </w:tc>
        <w:tc>
          <w:tcPr>
            <w:tcW w:w="1802" w:type="dxa"/>
          </w:tcPr>
          <w:p w14:paraId="5849C1D7" w14:textId="5C5A9F88" w:rsidR="000128A4" w:rsidRPr="000128A4" w:rsidRDefault="000128A4" w:rsidP="000128A4">
            <w:pPr>
              <w:spacing w:line="240" w:lineRule="auto"/>
              <w:rPr>
                <w:rFonts w:eastAsia="Times New Roman" w:cs="Arial"/>
                <w:lang w:eastAsia="bg-BG"/>
              </w:rPr>
            </w:pPr>
            <w:r w:rsidRPr="000128A4">
              <w:t>дехидратация</w:t>
            </w:r>
          </w:p>
        </w:tc>
        <w:tc>
          <w:tcPr>
            <w:tcW w:w="1317" w:type="dxa"/>
          </w:tcPr>
          <w:p w14:paraId="209E3EC2" w14:textId="77777777" w:rsidR="000128A4" w:rsidRPr="000128A4" w:rsidRDefault="000128A4" w:rsidP="000128A4">
            <w:pPr>
              <w:spacing w:line="240" w:lineRule="auto"/>
              <w:rPr>
                <w:rFonts w:eastAsia="Times New Roman" w:cs="Arial"/>
                <w:lang w:eastAsia="bg-BG"/>
              </w:rPr>
            </w:pPr>
          </w:p>
        </w:tc>
        <w:tc>
          <w:tcPr>
            <w:tcW w:w="1605" w:type="dxa"/>
          </w:tcPr>
          <w:p w14:paraId="71DA504C" w14:textId="1BA70FA2" w:rsidR="000128A4" w:rsidRPr="000128A4" w:rsidRDefault="000128A4" w:rsidP="000128A4">
            <w:pPr>
              <w:spacing w:line="240" w:lineRule="auto"/>
              <w:rPr>
                <w:rFonts w:eastAsia="Times New Roman" w:cs="Arial"/>
                <w:lang w:eastAsia="bg-BG"/>
              </w:rPr>
            </w:pPr>
            <w:r w:rsidRPr="000128A4">
              <w:t>синдром на туморен лизис</w:t>
            </w:r>
          </w:p>
        </w:tc>
      </w:tr>
      <w:tr w:rsidR="000128A4" w14:paraId="314A794D" w14:textId="77777777" w:rsidTr="00BE40DA">
        <w:tc>
          <w:tcPr>
            <w:tcW w:w="1465" w:type="dxa"/>
            <w:vAlign w:val="bottom"/>
          </w:tcPr>
          <w:p w14:paraId="4F4D511C" w14:textId="730F6A8D" w:rsidR="000128A4" w:rsidRPr="000128A4" w:rsidRDefault="000128A4" w:rsidP="000128A4">
            <w:pPr>
              <w:spacing w:line="240" w:lineRule="auto"/>
              <w:rPr>
                <w:rFonts w:eastAsia="Times New Roman" w:cs="Arial"/>
                <w:lang w:eastAsia="bg-BG"/>
              </w:rPr>
            </w:pPr>
            <w:r w:rsidRPr="000128A4">
              <w:t>Психични нарушения</w:t>
            </w:r>
          </w:p>
        </w:tc>
        <w:tc>
          <w:tcPr>
            <w:tcW w:w="1685" w:type="dxa"/>
          </w:tcPr>
          <w:p w14:paraId="642D8320" w14:textId="77777777" w:rsidR="000128A4" w:rsidRPr="000128A4" w:rsidRDefault="000128A4" w:rsidP="000128A4">
            <w:pPr>
              <w:spacing w:line="240" w:lineRule="auto"/>
              <w:rPr>
                <w:rFonts w:eastAsia="Times New Roman" w:cs="Arial"/>
                <w:lang w:eastAsia="bg-BG"/>
              </w:rPr>
            </w:pPr>
          </w:p>
        </w:tc>
        <w:tc>
          <w:tcPr>
            <w:tcW w:w="1702" w:type="dxa"/>
          </w:tcPr>
          <w:p w14:paraId="410C484E" w14:textId="3177A5F9" w:rsidR="000128A4" w:rsidRPr="000128A4" w:rsidRDefault="000128A4" w:rsidP="000128A4">
            <w:pPr>
              <w:spacing w:line="240" w:lineRule="auto"/>
              <w:rPr>
                <w:rFonts w:eastAsia="Times New Roman" w:cs="Arial"/>
                <w:lang w:eastAsia="bg-BG"/>
              </w:rPr>
            </w:pPr>
            <w:r w:rsidRPr="000128A4">
              <w:t>депресия</w:t>
            </w:r>
          </w:p>
        </w:tc>
        <w:tc>
          <w:tcPr>
            <w:tcW w:w="1802" w:type="dxa"/>
          </w:tcPr>
          <w:p w14:paraId="0F3E9E79" w14:textId="77777777" w:rsidR="000128A4" w:rsidRPr="000128A4" w:rsidRDefault="000128A4" w:rsidP="000128A4">
            <w:pPr>
              <w:spacing w:line="240" w:lineRule="auto"/>
              <w:rPr>
                <w:rFonts w:eastAsia="Times New Roman" w:cs="Arial"/>
                <w:lang w:eastAsia="bg-BG"/>
              </w:rPr>
            </w:pPr>
          </w:p>
        </w:tc>
        <w:tc>
          <w:tcPr>
            <w:tcW w:w="1317" w:type="dxa"/>
            <w:vAlign w:val="bottom"/>
          </w:tcPr>
          <w:p w14:paraId="70523C08" w14:textId="77777777" w:rsidR="000128A4" w:rsidRPr="000128A4" w:rsidRDefault="000128A4" w:rsidP="000128A4">
            <w:pPr>
              <w:spacing w:line="240" w:lineRule="auto"/>
              <w:rPr>
                <w:rFonts w:eastAsia="Times New Roman" w:cs="Arial"/>
                <w:lang w:eastAsia="bg-BG"/>
              </w:rPr>
            </w:pPr>
          </w:p>
        </w:tc>
        <w:tc>
          <w:tcPr>
            <w:tcW w:w="1605" w:type="dxa"/>
            <w:vAlign w:val="bottom"/>
          </w:tcPr>
          <w:p w14:paraId="1DD5E1F7" w14:textId="77777777" w:rsidR="000128A4" w:rsidRPr="000128A4" w:rsidRDefault="000128A4" w:rsidP="000128A4">
            <w:pPr>
              <w:spacing w:line="240" w:lineRule="auto"/>
              <w:rPr>
                <w:rFonts w:eastAsia="Times New Roman" w:cs="Arial"/>
                <w:lang w:eastAsia="bg-BG"/>
              </w:rPr>
            </w:pPr>
          </w:p>
        </w:tc>
      </w:tr>
      <w:tr w:rsidR="000128A4" w14:paraId="6691FF86" w14:textId="77777777" w:rsidTr="00BE40DA">
        <w:tc>
          <w:tcPr>
            <w:tcW w:w="1465" w:type="dxa"/>
          </w:tcPr>
          <w:p w14:paraId="111C5E23" w14:textId="6A536524" w:rsidR="000128A4" w:rsidRPr="000128A4" w:rsidRDefault="000128A4" w:rsidP="000128A4">
            <w:pPr>
              <w:spacing w:line="240" w:lineRule="auto"/>
              <w:rPr>
                <w:rFonts w:eastAsia="Times New Roman" w:cs="Arial"/>
                <w:lang w:eastAsia="bg-BG"/>
              </w:rPr>
            </w:pPr>
            <w:r w:rsidRPr="000128A4">
              <w:rPr>
                <w:rFonts w:cs="Arial"/>
              </w:rPr>
              <w:t>Нарушения на нервната система</w:t>
            </w:r>
          </w:p>
        </w:tc>
        <w:tc>
          <w:tcPr>
            <w:tcW w:w="1685" w:type="dxa"/>
          </w:tcPr>
          <w:p w14:paraId="08540C0E" w14:textId="77777777" w:rsidR="000128A4" w:rsidRPr="000128A4" w:rsidRDefault="000128A4" w:rsidP="000128A4">
            <w:pPr>
              <w:spacing w:line="240" w:lineRule="auto"/>
              <w:rPr>
                <w:rFonts w:eastAsia="Times New Roman" w:cs="Arial"/>
                <w:lang w:eastAsia="bg-BG"/>
              </w:rPr>
            </w:pPr>
          </w:p>
        </w:tc>
        <w:tc>
          <w:tcPr>
            <w:tcW w:w="1702" w:type="dxa"/>
            <w:vAlign w:val="bottom"/>
          </w:tcPr>
          <w:p w14:paraId="1C5C1310" w14:textId="77777777" w:rsidR="000128A4" w:rsidRPr="000128A4" w:rsidRDefault="000128A4" w:rsidP="000128A4">
            <w:pPr>
              <w:rPr>
                <w:rFonts w:cs="Arial"/>
              </w:rPr>
            </w:pPr>
            <w:r w:rsidRPr="000128A4">
              <w:rPr>
                <w:rFonts w:cs="Arial"/>
              </w:rPr>
              <w:t>периферна сензорна невропатия</w:t>
            </w:r>
          </w:p>
          <w:p w14:paraId="1B5F366D" w14:textId="1353FF64" w:rsidR="000128A4" w:rsidRPr="000128A4" w:rsidRDefault="000128A4" w:rsidP="000128A4">
            <w:pPr>
              <w:spacing w:line="240" w:lineRule="auto"/>
              <w:rPr>
                <w:rFonts w:eastAsia="Times New Roman" w:cs="Arial"/>
                <w:lang w:eastAsia="bg-BG"/>
              </w:rPr>
            </w:pPr>
            <w:r w:rsidRPr="000128A4">
              <w:rPr>
                <w:rFonts w:cs="Arial"/>
              </w:rPr>
              <w:t>дисгеузия</w:t>
            </w:r>
          </w:p>
        </w:tc>
        <w:tc>
          <w:tcPr>
            <w:tcW w:w="1802" w:type="dxa"/>
          </w:tcPr>
          <w:p w14:paraId="2EB7B60F" w14:textId="18796A1C" w:rsidR="000128A4" w:rsidRPr="000128A4" w:rsidRDefault="000128A4" w:rsidP="000128A4">
            <w:pPr>
              <w:spacing w:line="240" w:lineRule="auto"/>
              <w:rPr>
                <w:rFonts w:eastAsia="Times New Roman" w:cs="Arial"/>
                <w:lang w:eastAsia="bg-BG"/>
              </w:rPr>
            </w:pPr>
            <w:r w:rsidRPr="000128A4">
              <w:rPr>
                <w:rFonts w:cs="Arial"/>
              </w:rPr>
              <w:t>обратима постериорна левкоенцефало- патия*</w:t>
            </w:r>
          </w:p>
        </w:tc>
        <w:tc>
          <w:tcPr>
            <w:tcW w:w="1317" w:type="dxa"/>
          </w:tcPr>
          <w:p w14:paraId="58D03BB5" w14:textId="77777777" w:rsidR="000128A4" w:rsidRPr="000128A4" w:rsidRDefault="000128A4" w:rsidP="000128A4">
            <w:pPr>
              <w:spacing w:line="240" w:lineRule="auto"/>
              <w:rPr>
                <w:rFonts w:eastAsia="Times New Roman" w:cs="Arial"/>
                <w:lang w:eastAsia="bg-BG"/>
              </w:rPr>
            </w:pPr>
          </w:p>
        </w:tc>
        <w:tc>
          <w:tcPr>
            <w:tcW w:w="1605" w:type="dxa"/>
          </w:tcPr>
          <w:p w14:paraId="478F7BED" w14:textId="04E8724B" w:rsidR="000128A4" w:rsidRPr="000128A4" w:rsidRDefault="000128A4" w:rsidP="000128A4">
            <w:pPr>
              <w:spacing w:line="240" w:lineRule="auto"/>
              <w:rPr>
                <w:rFonts w:eastAsia="Times New Roman" w:cs="Arial"/>
                <w:lang w:eastAsia="bg-BG"/>
              </w:rPr>
            </w:pPr>
            <w:r w:rsidRPr="000128A4">
              <w:rPr>
                <w:rFonts w:cs="Arial"/>
              </w:rPr>
              <w:t>енцефалопатия</w:t>
            </w:r>
            <w:r w:rsidRPr="000128A4">
              <w:rPr>
                <w:rFonts w:cs="Arial"/>
                <w:vertAlign w:val="superscript"/>
              </w:rPr>
              <w:t>о</w:t>
            </w:r>
          </w:p>
        </w:tc>
      </w:tr>
      <w:tr w:rsidR="000128A4" w14:paraId="453FB410" w14:textId="77777777" w:rsidTr="00BE40DA">
        <w:tc>
          <w:tcPr>
            <w:tcW w:w="1465" w:type="dxa"/>
            <w:vAlign w:val="bottom"/>
          </w:tcPr>
          <w:p w14:paraId="0A049C03" w14:textId="64754A9C" w:rsidR="000128A4" w:rsidRPr="000128A4" w:rsidRDefault="000128A4" w:rsidP="000128A4">
            <w:pPr>
              <w:spacing w:line="240" w:lineRule="auto"/>
              <w:rPr>
                <w:rFonts w:eastAsia="Times New Roman" w:cs="Arial"/>
                <w:lang w:eastAsia="bg-BG"/>
              </w:rPr>
            </w:pPr>
            <w:r w:rsidRPr="000128A4">
              <w:rPr>
                <w:rFonts w:cs="Arial"/>
              </w:rPr>
              <w:lastRenderedPageBreak/>
              <w:t>Нарушения на ухото и лабиринта</w:t>
            </w:r>
          </w:p>
        </w:tc>
        <w:tc>
          <w:tcPr>
            <w:tcW w:w="1685" w:type="dxa"/>
          </w:tcPr>
          <w:p w14:paraId="6DE1DAE1" w14:textId="77777777" w:rsidR="000128A4" w:rsidRPr="000128A4" w:rsidRDefault="000128A4" w:rsidP="000128A4">
            <w:pPr>
              <w:spacing w:line="240" w:lineRule="auto"/>
              <w:rPr>
                <w:rFonts w:eastAsia="Times New Roman" w:cs="Arial"/>
                <w:lang w:eastAsia="bg-BG"/>
              </w:rPr>
            </w:pPr>
          </w:p>
        </w:tc>
        <w:tc>
          <w:tcPr>
            <w:tcW w:w="1702" w:type="dxa"/>
          </w:tcPr>
          <w:p w14:paraId="0C96E7FF" w14:textId="02BC38B0" w:rsidR="000128A4" w:rsidRPr="000128A4" w:rsidRDefault="000128A4" w:rsidP="000128A4">
            <w:pPr>
              <w:spacing w:line="240" w:lineRule="auto"/>
              <w:rPr>
                <w:rFonts w:eastAsia="Times New Roman" w:cs="Arial"/>
                <w:lang w:eastAsia="bg-BG"/>
              </w:rPr>
            </w:pPr>
            <w:r w:rsidRPr="000128A4">
              <w:rPr>
                <w:rFonts w:cs="Arial"/>
              </w:rPr>
              <w:t>тинитус</w:t>
            </w:r>
          </w:p>
        </w:tc>
        <w:tc>
          <w:tcPr>
            <w:tcW w:w="1802" w:type="dxa"/>
          </w:tcPr>
          <w:p w14:paraId="144ED7AA" w14:textId="77777777" w:rsidR="000128A4" w:rsidRPr="000128A4" w:rsidRDefault="000128A4" w:rsidP="000128A4">
            <w:pPr>
              <w:spacing w:line="240" w:lineRule="auto"/>
              <w:rPr>
                <w:rFonts w:eastAsia="Times New Roman" w:cs="Arial"/>
                <w:lang w:eastAsia="bg-BG"/>
              </w:rPr>
            </w:pPr>
          </w:p>
        </w:tc>
        <w:tc>
          <w:tcPr>
            <w:tcW w:w="1317" w:type="dxa"/>
          </w:tcPr>
          <w:p w14:paraId="2FB446D0" w14:textId="77777777" w:rsidR="000128A4" w:rsidRPr="000128A4" w:rsidRDefault="000128A4" w:rsidP="000128A4">
            <w:pPr>
              <w:spacing w:line="240" w:lineRule="auto"/>
              <w:rPr>
                <w:rFonts w:eastAsia="Times New Roman" w:cs="Arial"/>
                <w:lang w:eastAsia="bg-BG"/>
              </w:rPr>
            </w:pPr>
          </w:p>
        </w:tc>
        <w:tc>
          <w:tcPr>
            <w:tcW w:w="1605" w:type="dxa"/>
          </w:tcPr>
          <w:p w14:paraId="320D59ED" w14:textId="77777777" w:rsidR="000128A4" w:rsidRPr="000128A4" w:rsidRDefault="000128A4" w:rsidP="000128A4">
            <w:pPr>
              <w:spacing w:line="240" w:lineRule="auto"/>
              <w:rPr>
                <w:rFonts w:eastAsia="Times New Roman" w:cs="Arial"/>
                <w:lang w:eastAsia="bg-BG"/>
              </w:rPr>
            </w:pPr>
          </w:p>
        </w:tc>
      </w:tr>
      <w:tr w:rsidR="000128A4" w14:paraId="7E4D0CF0" w14:textId="77777777" w:rsidTr="00BE40DA">
        <w:tc>
          <w:tcPr>
            <w:tcW w:w="1465" w:type="dxa"/>
          </w:tcPr>
          <w:p w14:paraId="37EB90EC" w14:textId="09D76EA4" w:rsidR="000128A4" w:rsidRPr="000128A4" w:rsidRDefault="000128A4" w:rsidP="000128A4">
            <w:pPr>
              <w:spacing w:line="240" w:lineRule="auto"/>
              <w:rPr>
                <w:rFonts w:eastAsia="Times New Roman" w:cs="Arial"/>
                <w:lang w:eastAsia="bg-BG"/>
              </w:rPr>
            </w:pPr>
            <w:r w:rsidRPr="000128A4">
              <w:rPr>
                <w:rFonts w:cs="Arial"/>
              </w:rPr>
              <w:t>Сърдечни нарушения</w:t>
            </w:r>
          </w:p>
        </w:tc>
        <w:tc>
          <w:tcPr>
            <w:tcW w:w="1685" w:type="dxa"/>
          </w:tcPr>
          <w:p w14:paraId="63236FAB" w14:textId="77777777" w:rsidR="000128A4" w:rsidRPr="000128A4" w:rsidRDefault="000128A4" w:rsidP="000128A4">
            <w:pPr>
              <w:spacing w:line="240" w:lineRule="auto"/>
              <w:rPr>
                <w:rFonts w:eastAsia="Times New Roman" w:cs="Arial"/>
                <w:lang w:eastAsia="bg-BG"/>
              </w:rPr>
            </w:pPr>
          </w:p>
        </w:tc>
        <w:tc>
          <w:tcPr>
            <w:tcW w:w="1702" w:type="dxa"/>
            <w:vAlign w:val="bottom"/>
          </w:tcPr>
          <w:p w14:paraId="28BC2D9F" w14:textId="77777777" w:rsidR="000128A4" w:rsidRPr="000128A4" w:rsidRDefault="000128A4" w:rsidP="000128A4">
            <w:pPr>
              <w:rPr>
                <w:rFonts w:cs="Arial"/>
              </w:rPr>
            </w:pPr>
            <w:r w:rsidRPr="000128A4">
              <w:rPr>
                <w:rFonts w:cs="Arial"/>
              </w:rPr>
              <w:t>застойна сърдечна недостатъчност*</w:t>
            </w:r>
          </w:p>
          <w:p w14:paraId="617FED54" w14:textId="562F0564" w:rsidR="000128A4" w:rsidRPr="000128A4" w:rsidRDefault="000128A4" w:rsidP="000128A4">
            <w:pPr>
              <w:spacing w:line="240" w:lineRule="auto"/>
              <w:rPr>
                <w:rFonts w:eastAsia="Times New Roman" w:cs="Arial"/>
                <w:lang w:eastAsia="bg-BG"/>
              </w:rPr>
            </w:pPr>
            <w:r w:rsidRPr="000128A4">
              <w:rPr>
                <w:rFonts w:cs="Arial"/>
              </w:rPr>
              <w:t>миокардна исхемия и инфаркт*</w:t>
            </w:r>
          </w:p>
        </w:tc>
        <w:tc>
          <w:tcPr>
            <w:tcW w:w="1802" w:type="dxa"/>
          </w:tcPr>
          <w:p w14:paraId="03C0932D" w14:textId="77777777" w:rsidR="000128A4" w:rsidRPr="000128A4" w:rsidRDefault="000128A4" w:rsidP="000128A4">
            <w:pPr>
              <w:spacing w:line="240" w:lineRule="auto"/>
              <w:rPr>
                <w:rFonts w:eastAsia="Times New Roman" w:cs="Arial"/>
                <w:lang w:eastAsia="bg-BG"/>
              </w:rPr>
            </w:pPr>
          </w:p>
        </w:tc>
        <w:tc>
          <w:tcPr>
            <w:tcW w:w="1317" w:type="dxa"/>
          </w:tcPr>
          <w:p w14:paraId="0DDAC8CB" w14:textId="64EEB9B6" w:rsidR="000128A4" w:rsidRPr="000128A4" w:rsidRDefault="000128A4" w:rsidP="000128A4">
            <w:pPr>
              <w:spacing w:line="240" w:lineRule="auto"/>
              <w:rPr>
                <w:rFonts w:eastAsia="Times New Roman" w:cs="Arial"/>
                <w:lang w:eastAsia="bg-BG"/>
              </w:rPr>
            </w:pPr>
            <w:r w:rsidRPr="000128A4">
              <w:rPr>
                <w:rFonts w:cs="Arial"/>
              </w:rPr>
              <w:t xml:space="preserve">удължаване на </w:t>
            </w:r>
            <w:r w:rsidRPr="000128A4">
              <w:rPr>
                <w:rFonts w:cs="Arial"/>
                <w:lang w:val="en-US"/>
              </w:rPr>
              <w:t xml:space="preserve">QT </w:t>
            </w:r>
            <w:r w:rsidRPr="000128A4">
              <w:rPr>
                <w:rFonts w:cs="Arial"/>
              </w:rPr>
              <w:t>интервала</w:t>
            </w:r>
          </w:p>
        </w:tc>
        <w:tc>
          <w:tcPr>
            <w:tcW w:w="1605" w:type="dxa"/>
          </w:tcPr>
          <w:p w14:paraId="1D55C401" w14:textId="77777777" w:rsidR="000128A4" w:rsidRPr="000128A4" w:rsidRDefault="000128A4" w:rsidP="000128A4">
            <w:pPr>
              <w:spacing w:line="240" w:lineRule="auto"/>
              <w:rPr>
                <w:rFonts w:eastAsia="Times New Roman" w:cs="Arial"/>
                <w:lang w:eastAsia="bg-BG"/>
              </w:rPr>
            </w:pPr>
          </w:p>
        </w:tc>
      </w:tr>
      <w:tr w:rsidR="000128A4" w14:paraId="6AB8EB25" w14:textId="77777777" w:rsidTr="00BE40DA">
        <w:tc>
          <w:tcPr>
            <w:tcW w:w="1465" w:type="dxa"/>
          </w:tcPr>
          <w:p w14:paraId="6CF64454" w14:textId="35575E53" w:rsidR="000128A4" w:rsidRPr="000128A4" w:rsidRDefault="000128A4" w:rsidP="000128A4">
            <w:pPr>
              <w:spacing w:line="240" w:lineRule="auto"/>
              <w:rPr>
                <w:rFonts w:eastAsia="Times New Roman" w:cs="Arial"/>
                <w:lang w:eastAsia="bg-BG"/>
              </w:rPr>
            </w:pPr>
            <w:r w:rsidRPr="000128A4">
              <w:rPr>
                <w:rFonts w:cs="Arial"/>
              </w:rPr>
              <w:t>Съдови нарушения</w:t>
            </w:r>
          </w:p>
        </w:tc>
        <w:tc>
          <w:tcPr>
            <w:tcW w:w="1685" w:type="dxa"/>
            <w:vAlign w:val="bottom"/>
          </w:tcPr>
          <w:p w14:paraId="73CA5C82" w14:textId="77777777" w:rsidR="000128A4" w:rsidRPr="000128A4" w:rsidRDefault="000128A4" w:rsidP="000128A4">
            <w:pPr>
              <w:rPr>
                <w:rFonts w:cs="Arial"/>
              </w:rPr>
            </w:pPr>
            <w:r w:rsidRPr="000128A4">
              <w:rPr>
                <w:rFonts w:cs="Arial"/>
              </w:rPr>
              <w:t>кръвоизлив</w:t>
            </w:r>
          </w:p>
          <w:p w14:paraId="354BD692" w14:textId="77777777" w:rsidR="000128A4" w:rsidRPr="000128A4" w:rsidRDefault="000128A4" w:rsidP="000128A4">
            <w:pPr>
              <w:rPr>
                <w:rFonts w:cs="Arial"/>
              </w:rPr>
            </w:pPr>
            <w:r w:rsidRPr="000128A4">
              <w:rPr>
                <w:rFonts w:cs="Arial"/>
              </w:rPr>
              <w:t>(вкл.</w:t>
            </w:r>
          </w:p>
          <w:p w14:paraId="397375E2" w14:textId="77777777" w:rsidR="000128A4" w:rsidRPr="000128A4" w:rsidRDefault="000128A4" w:rsidP="000128A4">
            <w:pPr>
              <w:rPr>
                <w:rFonts w:cs="Arial"/>
              </w:rPr>
            </w:pPr>
            <w:r w:rsidRPr="000128A4">
              <w:rPr>
                <w:rFonts w:cs="Arial"/>
              </w:rPr>
              <w:t>гастроинтестина- лен*, от</w:t>
            </w:r>
          </w:p>
          <w:p w14:paraId="1D7E2696" w14:textId="77777777" w:rsidR="000128A4" w:rsidRPr="000128A4" w:rsidRDefault="000128A4" w:rsidP="000128A4">
            <w:pPr>
              <w:rPr>
                <w:rFonts w:cs="Arial"/>
              </w:rPr>
            </w:pPr>
            <w:r w:rsidRPr="000128A4">
              <w:rPr>
                <w:rFonts w:cs="Arial"/>
              </w:rPr>
              <w:t>респираторния тракт* и церебрален*)</w:t>
            </w:r>
          </w:p>
          <w:p w14:paraId="3EA82F25" w14:textId="0B9B06E9" w:rsidR="000128A4" w:rsidRPr="000128A4" w:rsidRDefault="000128A4" w:rsidP="000128A4">
            <w:pPr>
              <w:spacing w:line="240" w:lineRule="auto"/>
              <w:rPr>
                <w:rFonts w:eastAsia="Times New Roman" w:cs="Arial"/>
                <w:lang w:eastAsia="bg-BG"/>
              </w:rPr>
            </w:pPr>
            <w:r w:rsidRPr="000128A4">
              <w:rPr>
                <w:rFonts w:cs="Arial"/>
              </w:rPr>
              <w:t>хипертония</w:t>
            </w:r>
          </w:p>
        </w:tc>
        <w:tc>
          <w:tcPr>
            <w:tcW w:w="1702" w:type="dxa"/>
          </w:tcPr>
          <w:p w14:paraId="5525762E" w14:textId="5564D7E2" w:rsidR="000128A4" w:rsidRPr="000128A4" w:rsidRDefault="000128A4" w:rsidP="000128A4">
            <w:pPr>
              <w:spacing w:line="240" w:lineRule="auto"/>
              <w:rPr>
                <w:rFonts w:eastAsia="Times New Roman" w:cs="Arial"/>
                <w:lang w:eastAsia="bg-BG"/>
              </w:rPr>
            </w:pPr>
            <w:r w:rsidRPr="000128A4">
              <w:rPr>
                <w:rFonts w:cs="Arial"/>
              </w:rPr>
              <w:t>зачервяване</w:t>
            </w:r>
          </w:p>
        </w:tc>
        <w:tc>
          <w:tcPr>
            <w:tcW w:w="1802" w:type="dxa"/>
          </w:tcPr>
          <w:p w14:paraId="1933B774" w14:textId="18BADEA2" w:rsidR="000128A4" w:rsidRPr="000128A4" w:rsidRDefault="000128A4" w:rsidP="000128A4">
            <w:pPr>
              <w:spacing w:line="240" w:lineRule="auto"/>
              <w:rPr>
                <w:rFonts w:eastAsia="Times New Roman" w:cs="Arial"/>
                <w:lang w:eastAsia="bg-BG"/>
              </w:rPr>
            </w:pPr>
            <w:r w:rsidRPr="000128A4">
              <w:rPr>
                <w:rFonts w:cs="Arial"/>
              </w:rPr>
              <w:t>хипертензивни кризи*</w:t>
            </w:r>
          </w:p>
        </w:tc>
        <w:tc>
          <w:tcPr>
            <w:tcW w:w="1317" w:type="dxa"/>
          </w:tcPr>
          <w:p w14:paraId="70119077" w14:textId="77777777" w:rsidR="000128A4" w:rsidRPr="000128A4" w:rsidRDefault="000128A4" w:rsidP="000128A4">
            <w:pPr>
              <w:spacing w:line="240" w:lineRule="auto"/>
              <w:rPr>
                <w:rFonts w:eastAsia="Times New Roman" w:cs="Arial"/>
                <w:lang w:eastAsia="bg-BG"/>
              </w:rPr>
            </w:pPr>
          </w:p>
        </w:tc>
        <w:tc>
          <w:tcPr>
            <w:tcW w:w="1605" w:type="dxa"/>
          </w:tcPr>
          <w:p w14:paraId="6CE00F54" w14:textId="53FBA50C" w:rsidR="000128A4" w:rsidRPr="000128A4" w:rsidRDefault="000128A4" w:rsidP="000128A4">
            <w:pPr>
              <w:spacing w:line="240" w:lineRule="auto"/>
              <w:rPr>
                <w:rFonts w:eastAsia="Times New Roman" w:cs="Arial"/>
                <w:lang w:eastAsia="bg-BG"/>
              </w:rPr>
            </w:pPr>
            <w:r w:rsidRPr="000128A4">
              <w:rPr>
                <w:rFonts w:cs="Arial"/>
              </w:rPr>
              <w:t>аневризми и артериални дисекации</w:t>
            </w:r>
          </w:p>
        </w:tc>
      </w:tr>
      <w:tr w:rsidR="000128A4" w14:paraId="6339C8E6" w14:textId="77777777" w:rsidTr="00BE40DA">
        <w:tc>
          <w:tcPr>
            <w:tcW w:w="1465" w:type="dxa"/>
          </w:tcPr>
          <w:p w14:paraId="5321DE5B" w14:textId="77F7A009" w:rsidR="000128A4" w:rsidRPr="000128A4" w:rsidRDefault="000128A4" w:rsidP="000128A4">
            <w:pPr>
              <w:spacing w:line="240" w:lineRule="auto"/>
              <w:rPr>
                <w:rFonts w:eastAsia="Times New Roman" w:cs="Arial"/>
                <w:lang w:eastAsia="bg-BG"/>
              </w:rPr>
            </w:pPr>
            <w:r w:rsidRPr="000128A4">
              <w:rPr>
                <w:rFonts w:cs="Arial"/>
              </w:rPr>
              <w:t>Респиратор</w:t>
            </w:r>
            <w:r w:rsidRPr="000128A4">
              <w:rPr>
                <w:rFonts w:cs="Arial"/>
              </w:rPr>
              <w:softHyphen/>
              <w:t>ни, гръдни и медиастиналн и нарушения</w:t>
            </w:r>
          </w:p>
        </w:tc>
        <w:tc>
          <w:tcPr>
            <w:tcW w:w="1685" w:type="dxa"/>
          </w:tcPr>
          <w:p w14:paraId="555C22D2" w14:textId="77777777" w:rsidR="000128A4" w:rsidRPr="000128A4" w:rsidRDefault="000128A4" w:rsidP="000128A4">
            <w:pPr>
              <w:spacing w:line="240" w:lineRule="auto"/>
              <w:rPr>
                <w:rFonts w:eastAsia="Times New Roman" w:cs="Arial"/>
                <w:lang w:eastAsia="bg-BG"/>
              </w:rPr>
            </w:pPr>
          </w:p>
        </w:tc>
        <w:tc>
          <w:tcPr>
            <w:tcW w:w="1702" w:type="dxa"/>
          </w:tcPr>
          <w:p w14:paraId="71C381F0" w14:textId="77777777" w:rsidR="000128A4" w:rsidRPr="000128A4" w:rsidRDefault="000128A4" w:rsidP="000128A4">
            <w:pPr>
              <w:rPr>
                <w:rFonts w:cs="Arial"/>
              </w:rPr>
            </w:pPr>
            <w:r w:rsidRPr="000128A4">
              <w:rPr>
                <w:rFonts w:cs="Arial"/>
              </w:rPr>
              <w:t>ринорея</w:t>
            </w:r>
          </w:p>
          <w:p w14:paraId="4AB0C35B" w14:textId="745CBA03" w:rsidR="000128A4" w:rsidRPr="000128A4" w:rsidRDefault="000128A4" w:rsidP="000128A4">
            <w:pPr>
              <w:spacing w:line="240" w:lineRule="auto"/>
              <w:rPr>
                <w:rFonts w:eastAsia="Times New Roman" w:cs="Arial"/>
                <w:lang w:eastAsia="bg-BG"/>
              </w:rPr>
            </w:pPr>
            <w:r w:rsidRPr="000128A4">
              <w:rPr>
                <w:rFonts w:cs="Arial"/>
              </w:rPr>
              <w:t>дисфония</w:t>
            </w:r>
          </w:p>
        </w:tc>
        <w:tc>
          <w:tcPr>
            <w:tcW w:w="1802" w:type="dxa"/>
            <w:vAlign w:val="bottom"/>
          </w:tcPr>
          <w:p w14:paraId="7A435791" w14:textId="2458FF9A" w:rsidR="000128A4" w:rsidRPr="000128A4" w:rsidRDefault="000128A4" w:rsidP="000128A4">
            <w:pPr>
              <w:spacing w:line="240" w:lineRule="auto"/>
              <w:rPr>
                <w:rFonts w:eastAsia="Times New Roman" w:cs="Arial"/>
                <w:lang w:eastAsia="bg-BG"/>
              </w:rPr>
            </w:pPr>
            <w:r w:rsidRPr="000128A4">
              <w:rPr>
                <w:rFonts w:cs="Arial"/>
              </w:rPr>
              <w:t>събития, подобни на тези при интерстициална белодробна болест* (пневмонит, радиационен пневмонит, остър респираторен дистрес и т.н.)</w:t>
            </w:r>
          </w:p>
        </w:tc>
        <w:tc>
          <w:tcPr>
            <w:tcW w:w="1317" w:type="dxa"/>
          </w:tcPr>
          <w:p w14:paraId="048349E5" w14:textId="77777777" w:rsidR="000128A4" w:rsidRPr="000128A4" w:rsidRDefault="000128A4" w:rsidP="000128A4">
            <w:pPr>
              <w:spacing w:line="240" w:lineRule="auto"/>
              <w:rPr>
                <w:rFonts w:eastAsia="Times New Roman" w:cs="Arial"/>
                <w:lang w:eastAsia="bg-BG"/>
              </w:rPr>
            </w:pPr>
          </w:p>
        </w:tc>
        <w:tc>
          <w:tcPr>
            <w:tcW w:w="1605" w:type="dxa"/>
          </w:tcPr>
          <w:p w14:paraId="3BB67F2E" w14:textId="77777777" w:rsidR="000128A4" w:rsidRPr="000128A4" w:rsidRDefault="000128A4" w:rsidP="000128A4">
            <w:pPr>
              <w:spacing w:line="240" w:lineRule="auto"/>
              <w:rPr>
                <w:rFonts w:eastAsia="Times New Roman" w:cs="Arial"/>
                <w:lang w:eastAsia="bg-BG"/>
              </w:rPr>
            </w:pPr>
          </w:p>
        </w:tc>
      </w:tr>
      <w:tr w:rsidR="000128A4" w14:paraId="3EA4F546" w14:textId="77777777" w:rsidTr="00BE40DA">
        <w:tc>
          <w:tcPr>
            <w:tcW w:w="1465" w:type="dxa"/>
          </w:tcPr>
          <w:p w14:paraId="3ADCFA71" w14:textId="055269D3" w:rsidR="000128A4" w:rsidRPr="000128A4" w:rsidRDefault="000128A4" w:rsidP="000128A4">
            <w:pPr>
              <w:spacing w:line="240" w:lineRule="auto"/>
              <w:rPr>
                <w:rFonts w:eastAsia="Times New Roman" w:cs="Arial"/>
                <w:lang w:eastAsia="bg-BG"/>
              </w:rPr>
            </w:pPr>
            <w:r w:rsidRPr="000128A4">
              <w:rPr>
                <w:rFonts w:cs="Arial"/>
              </w:rPr>
              <w:t>Стомашно- чревни нарушения</w:t>
            </w:r>
          </w:p>
        </w:tc>
        <w:tc>
          <w:tcPr>
            <w:tcW w:w="1685" w:type="dxa"/>
          </w:tcPr>
          <w:p w14:paraId="45B283F1" w14:textId="77777777" w:rsidR="000128A4" w:rsidRPr="000128A4" w:rsidRDefault="000128A4" w:rsidP="000128A4">
            <w:pPr>
              <w:rPr>
                <w:rFonts w:cs="Arial"/>
              </w:rPr>
            </w:pPr>
            <w:r w:rsidRPr="000128A4">
              <w:rPr>
                <w:rFonts w:cs="Arial"/>
              </w:rPr>
              <w:t>диария</w:t>
            </w:r>
          </w:p>
          <w:p w14:paraId="4A80A78D" w14:textId="6C7C888B" w:rsidR="000128A4" w:rsidRPr="000128A4" w:rsidRDefault="000128A4" w:rsidP="000128A4">
            <w:pPr>
              <w:spacing w:line="240" w:lineRule="auto"/>
              <w:rPr>
                <w:rFonts w:eastAsia="Times New Roman" w:cs="Arial"/>
                <w:lang w:eastAsia="bg-BG"/>
              </w:rPr>
            </w:pPr>
            <w:r w:rsidRPr="000128A4">
              <w:rPr>
                <w:rFonts w:cs="Arial"/>
              </w:rPr>
              <w:t>гадене повръщане констипация</w:t>
            </w:r>
          </w:p>
        </w:tc>
        <w:tc>
          <w:tcPr>
            <w:tcW w:w="1702" w:type="dxa"/>
            <w:vAlign w:val="bottom"/>
          </w:tcPr>
          <w:p w14:paraId="008F2E17" w14:textId="77777777" w:rsidR="000128A4" w:rsidRPr="000128A4" w:rsidRDefault="000128A4" w:rsidP="000128A4">
            <w:pPr>
              <w:rPr>
                <w:rFonts w:cs="Arial"/>
              </w:rPr>
            </w:pPr>
            <w:r w:rsidRPr="000128A4">
              <w:rPr>
                <w:rFonts w:cs="Arial"/>
              </w:rPr>
              <w:t>стоматит (включително сухота в устата и глосодиния)</w:t>
            </w:r>
          </w:p>
          <w:p w14:paraId="0FE7E9EC" w14:textId="77777777" w:rsidR="000128A4" w:rsidRPr="000128A4" w:rsidRDefault="000128A4" w:rsidP="000128A4">
            <w:pPr>
              <w:rPr>
                <w:rFonts w:cs="Arial"/>
              </w:rPr>
            </w:pPr>
            <w:r w:rsidRPr="000128A4">
              <w:rPr>
                <w:rFonts w:cs="Arial"/>
              </w:rPr>
              <w:t>диспепсия</w:t>
            </w:r>
          </w:p>
          <w:p w14:paraId="4F05B3BD" w14:textId="77777777" w:rsidR="000128A4" w:rsidRPr="000128A4" w:rsidRDefault="000128A4" w:rsidP="000128A4">
            <w:pPr>
              <w:rPr>
                <w:rFonts w:cs="Arial"/>
              </w:rPr>
            </w:pPr>
            <w:r w:rsidRPr="000128A4">
              <w:rPr>
                <w:rFonts w:cs="Arial"/>
              </w:rPr>
              <w:t>дисфагия</w:t>
            </w:r>
          </w:p>
          <w:p w14:paraId="44A8B8A5" w14:textId="28CD370F" w:rsidR="000128A4" w:rsidRPr="000128A4" w:rsidRDefault="000128A4" w:rsidP="000128A4">
            <w:pPr>
              <w:spacing w:line="240" w:lineRule="auto"/>
              <w:rPr>
                <w:rFonts w:eastAsia="Times New Roman" w:cs="Arial"/>
                <w:lang w:eastAsia="bg-BG"/>
              </w:rPr>
            </w:pPr>
            <w:r w:rsidRPr="000128A4">
              <w:rPr>
                <w:rFonts w:cs="Arial"/>
              </w:rPr>
              <w:t>гасроезофагеал на рефлуксна болест</w:t>
            </w:r>
          </w:p>
        </w:tc>
        <w:tc>
          <w:tcPr>
            <w:tcW w:w="1802" w:type="dxa"/>
          </w:tcPr>
          <w:p w14:paraId="63C61111" w14:textId="77777777" w:rsidR="000128A4" w:rsidRPr="000128A4" w:rsidRDefault="000128A4" w:rsidP="000128A4">
            <w:pPr>
              <w:rPr>
                <w:rFonts w:cs="Arial"/>
              </w:rPr>
            </w:pPr>
            <w:r w:rsidRPr="000128A4">
              <w:rPr>
                <w:rFonts w:cs="Arial"/>
              </w:rPr>
              <w:t>панкреатит</w:t>
            </w:r>
          </w:p>
          <w:p w14:paraId="4089921E" w14:textId="77777777" w:rsidR="000128A4" w:rsidRPr="000128A4" w:rsidRDefault="000128A4" w:rsidP="000128A4">
            <w:pPr>
              <w:rPr>
                <w:rFonts w:cs="Arial"/>
              </w:rPr>
            </w:pPr>
            <w:r w:rsidRPr="000128A4">
              <w:rPr>
                <w:rFonts w:cs="Arial"/>
              </w:rPr>
              <w:t>гастрит</w:t>
            </w:r>
          </w:p>
          <w:p w14:paraId="17C0656A" w14:textId="78B753AC" w:rsidR="000128A4" w:rsidRPr="000128A4" w:rsidRDefault="000128A4" w:rsidP="000128A4">
            <w:pPr>
              <w:spacing w:line="240" w:lineRule="auto"/>
              <w:rPr>
                <w:rFonts w:eastAsia="Times New Roman" w:cs="Arial"/>
                <w:lang w:eastAsia="bg-BG"/>
              </w:rPr>
            </w:pPr>
            <w:r w:rsidRPr="000128A4">
              <w:rPr>
                <w:rFonts w:cs="Arial"/>
              </w:rPr>
              <w:t>стомашно-чревни перфорации*</w:t>
            </w:r>
          </w:p>
        </w:tc>
        <w:tc>
          <w:tcPr>
            <w:tcW w:w="1317" w:type="dxa"/>
          </w:tcPr>
          <w:p w14:paraId="4AFF5452" w14:textId="77777777" w:rsidR="000128A4" w:rsidRPr="000128A4" w:rsidRDefault="000128A4" w:rsidP="000128A4">
            <w:pPr>
              <w:spacing w:line="240" w:lineRule="auto"/>
              <w:rPr>
                <w:rFonts w:eastAsia="Times New Roman" w:cs="Arial"/>
                <w:lang w:eastAsia="bg-BG"/>
              </w:rPr>
            </w:pPr>
          </w:p>
        </w:tc>
        <w:tc>
          <w:tcPr>
            <w:tcW w:w="1605" w:type="dxa"/>
          </w:tcPr>
          <w:p w14:paraId="4052AC33" w14:textId="77777777" w:rsidR="000128A4" w:rsidRPr="000128A4" w:rsidRDefault="000128A4" w:rsidP="000128A4">
            <w:pPr>
              <w:spacing w:line="240" w:lineRule="auto"/>
              <w:rPr>
                <w:rFonts w:eastAsia="Times New Roman" w:cs="Arial"/>
                <w:lang w:eastAsia="bg-BG"/>
              </w:rPr>
            </w:pPr>
          </w:p>
        </w:tc>
      </w:tr>
      <w:tr w:rsidR="000128A4" w14:paraId="3391CA59" w14:textId="77777777" w:rsidTr="00BE40DA">
        <w:tc>
          <w:tcPr>
            <w:tcW w:w="1465" w:type="dxa"/>
          </w:tcPr>
          <w:p w14:paraId="5962429D" w14:textId="2C11F854" w:rsidR="000128A4" w:rsidRPr="000128A4" w:rsidRDefault="000128A4" w:rsidP="000128A4">
            <w:pPr>
              <w:spacing w:line="240" w:lineRule="auto"/>
              <w:rPr>
                <w:rFonts w:eastAsia="Times New Roman" w:cs="Arial"/>
                <w:lang w:eastAsia="bg-BG"/>
              </w:rPr>
            </w:pPr>
            <w:r w:rsidRPr="000128A4">
              <w:rPr>
                <w:rFonts w:cs="Arial"/>
              </w:rPr>
              <w:t>Хепато- билиарни нарушения</w:t>
            </w:r>
          </w:p>
        </w:tc>
        <w:tc>
          <w:tcPr>
            <w:tcW w:w="1685" w:type="dxa"/>
          </w:tcPr>
          <w:p w14:paraId="29A2661D" w14:textId="77777777" w:rsidR="000128A4" w:rsidRPr="000128A4" w:rsidRDefault="000128A4" w:rsidP="000128A4">
            <w:pPr>
              <w:spacing w:line="240" w:lineRule="auto"/>
              <w:rPr>
                <w:rFonts w:eastAsia="Times New Roman" w:cs="Arial"/>
                <w:lang w:eastAsia="bg-BG"/>
              </w:rPr>
            </w:pPr>
          </w:p>
        </w:tc>
        <w:tc>
          <w:tcPr>
            <w:tcW w:w="1702" w:type="dxa"/>
          </w:tcPr>
          <w:p w14:paraId="563441A6" w14:textId="77777777" w:rsidR="000128A4" w:rsidRPr="000128A4" w:rsidRDefault="000128A4" w:rsidP="000128A4">
            <w:pPr>
              <w:spacing w:line="240" w:lineRule="auto"/>
              <w:rPr>
                <w:rFonts w:eastAsia="Times New Roman" w:cs="Arial"/>
                <w:lang w:eastAsia="bg-BG"/>
              </w:rPr>
            </w:pPr>
          </w:p>
        </w:tc>
        <w:tc>
          <w:tcPr>
            <w:tcW w:w="1802" w:type="dxa"/>
            <w:vAlign w:val="bottom"/>
          </w:tcPr>
          <w:p w14:paraId="48707852" w14:textId="77777777" w:rsidR="000128A4" w:rsidRPr="000128A4" w:rsidRDefault="000128A4" w:rsidP="000128A4">
            <w:pPr>
              <w:rPr>
                <w:rFonts w:cs="Arial"/>
              </w:rPr>
            </w:pPr>
            <w:r w:rsidRPr="000128A4">
              <w:rPr>
                <w:rFonts w:cs="Arial"/>
              </w:rPr>
              <w:t>повишен билирубин и жълтеница</w:t>
            </w:r>
          </w:p>
          <w:p w14:paraId="1DC4B869" w14:textId="77777777" w:rsidR="000128A4" w:rsidRPr="000128A4" w:rsidRDefault="000128A4" w:rsidP="000128A4">
            <w:pPr>
              <w:rPr>
                <w:rFonts w:cs="Arial"/>
              </w:rPr>
            </w:pPr>
            <w:r w:rsidRPr="000128A4">
              <w:rPr>
                <w:rFonts w:cs="Arial"/>
              </w:rPr>
              <w:t>холецистит</w:t>
            </w:r>
          </w:p>
          <w:p w14:paraId="2DC7525A" w14:textId="1EE346B9" w:rsidR="000128A4" w:rsidRPr="000128A4" w:rsidRDefault="000128A4" w:rsidP="000128A4">
            <w:pPr>
              <w:spacing w:line="240" w:lineRule="auto"/>
              <w:rPr>
                <w:rFonts w:eastAsia="Times New Roman" w:cs="Arial"/>
                <w:lang w:eastAsia="bg-BG"/>
              </w:rPr>
            </w:pPr>
            <w:r w:rsidRPr="000128A4">
              <w:rPr>
                <w:rFonts w:cs="Arial"/>
              </w:rPr>
              <w:t>холангит</w:t>
            </w:r>
          </w:p>
        </w:tc>
        <w:tc>
          <w:tcPr>
            <w:tcW w:w="1317" w:type="dxa"/>
          </w:tcPr>
          <w:p w14:paraId="52AF0064" w14:textId="101CF1FD" w:rsidR="000128A4" w:rsidRPr="000128A4" w:rsidRDefault="000128A4" w:rsidP="000128A4">
            <w:pPr>
              <w:spacing w:line="240" w:lineRule="auto"/>
              <w:rPr>
                <w:rFonts w:eastAsia="Times New Roman" w:cs="Arial"/>
                <w:lang w:eastAsia="bg-BG"/>
              </w:rPr>
            </w:pPr>
            <w:r w:rsidRPr="000128A4">
              <w:rPr>
                <w:rFonts w:cs="Arial"/>
              </w:rPr>
              <w:t>лекарствено индуциран хепатит*</w:t>
            </w:r>
          </w:p>
        </w:tc>
        <w:tc>
          <w:tcPr>
            <w:tcW w:w="1605" w:type="dxa"/>
          </w:tcPr>
          <w:p w14:paraId="1EAED0ED" w14:textId="77777777" w:rsidR="000128A4" w:rsidRPr="000128A4" w:rsidRDefault="000128A4" w:rsidP="000128A4">
            <w:pPr>
              <w:spacing w:line="240" w:lineRule="auto"/>
              <w:rPr>
                <w:rFonts w:eastAsia="Times New Roman" w:cs="Arial"/>
                <w:lang w:eastAsia="bg-BG"/>
              </w:rPr>
            </w:pPr>
          </w:p>
        </w:tc>
      </w:tr>
      <w:tr w:rsidR="00BE40DA" w14:paraId="4C81965B" w14:textId="77777777" w:rsidTr="00BE40DA">
        <w:tc>
          <w:tcPr>
            <w:tcW w:w="1465" w:type="dxa"/>
          </w:tcPr>
          <w:p w14:paraId="7B0C7F49" w14:textId="0152F82C" w:rsidR="00BE40DA" w:rsidRPr="00BE40DA" w:rsidRDefault="00BE40DA" w:rsidP="00BE40DA">
            <w:pPr>
              <w:spacing w:line="240" w:lineRule="auto"/>
              <w:rPr>
                <w:rFonts w:eastAsia="Times New Roman" w:cs="Arial"/>
                <w:lang w:eastAsia="bg-BG"/>
              </w:rPr>
            </w:pPr>
            <w:r w:rsidRPr="00BE40DA">
              <w:rPr>
                <w:rFonts w:cs="Arial"/>
              </w:rPr>
              <w:lastRenderedPageBreak/>
              <w:t>Нарушения на кожата и подкожната тъкан</w:t>
            </w:r>
          </w:p>
        </w:tc>
        <w:tc>
          <w:tcPr>
            <w:tcW w:w="1685" w:type="dxa"/>
          </w:tcPr>
          <w:p w14:paraId="67076CE6" w14:textId="77777777" w:rsidR="00BE40DA" w:rsidRPr="00BE40DA" w:rsidRDefault="00BE40DA" w:rsidP="00BE40DA">
            <w:pPr>
              <w:rPr>
                <w:rFonts w:cs="Arial"/>
              </w:rPr>
            </w:pPr>
            <w:r w:rsidRPr="00BE40DA">
              <w:rPr>
                <w:rFonts w:cs="Arial"/>
              </w:rPr>
              <w:t>суха кожа обрив алопеция</w:t>
            </w:r>
          </w:p>
          <w:p w14:paraId="22E9A73F" w14:textId="77777777" w:rsidR="00BE40DA" w:rsidRPr="00BE40DA" w:rsidRDefault="00BE40DA" w:rsidP="00BE40DA">
            <w:pPr>
              <w:rPr>
                <w:rFonts w:cs="Arial"/>
              </w:rPr>
            </w:pPr>
            <w:r w:rsidRPr="00BE40DA">
              <w:rPr>
                <w:rFonts w:cs="Arial"/>
              </w:rPr>
              <w:t>кожни реакции ръка-крак**</w:t>
            </w:r>
          </w:p>
          <w:p w14:paraId="297C1440" w14:textId="78C1EC35" w:rsidR="00BE40DA" w:rsidRPr="00BE40DA" w:rsidRDefault="00BE40DA" w:rsidP="00BE40DA">
            <w:pPr>
              <w:spacing w:line="240" w:lineRule="auto"/>
              <w:rPr>
                <w:rFonts w:eastAsia="Times New Roman" w:cs="Arial"/>
                <w:lang w:eastAsia="bg-BG"/>
              </w:rPr>
            </w:pPr>
            <w:r w:rsidRPr="00BE40DA">
              <w:rPr>
                <w:rFonts w:cs="Arial"/>
              </w:rPr>
              <w:t>еритема пруритус</w:t>
            </w:r>
          </w:p>
        </w:tc>
        <w:tc>
          <w:tcPr>
            <w:tcW w:w="1702" w:type="dxa"/>
          </w:tcPr>
          <w:p w14:paraId="428FA2AB" w14:textId="77777777" w:rsidR="00BE40DA" w:rsidRPr="00BE40DA" w:rsidRDefault="00BE40DA" w:rsidP="00BE40DA">
            <w:pPr>
              <w:rPr>
                <w:rFonts w:cs="Arial"/>
              </w:rPr>
            </w:pPr>
            <w:r w:rsidRPr="00BE40DA">
              <w:rPr>
                <w:rFonts w:cs="Arial"/>
              </w:rPr>
              <w:t>кератоакантом/ сквамозно клетъчен рак на кожата</w:t>
            </w:r>
          </w:p>
          <w:p w14:paraId="1B6045E0" w14:textId="77777777" w:rsidR="00BE40DA" w:rsidRPr="00BE40DA" w:rsidRDefault="00BE40DA" w:rsidP="00BE40DA">
            <w:pPr>
              <w:rPr>
                <w:rFonts w:cs="Arial"/>
              </w:rPr>
            </w:pPr>
            <w:r w:rsidRPr="00BE40DA">
              <w:rPr>
                <w:rFonts w:cs="Arial"/>
              </w:rPr>
              <w:t>ексфолиативен дерматит</w:t>
            </w:r>
          </w:p>
          <w:p w14:paraId="57656E5A" w14:textId="77777777" w:rsidR="00BE40DA" w:rsidRPr="00BE40DA" w:rsidRDefault="00BE40DA" w:rsidP="00BE40DA">
            <w:pPr>
              <w:rPr>
                <w:rFonts w:cs="Arial"/>
              </w:rPr>
            </w:pPr>
            <w:r w:rsidRPr="00BE40DA">
              <w:rPr>
                <w:rFonts w:cs="Arial"/>
              </w:rPr>
              <w:t>акне</w:t>
            </w:r>
          </w:p>
          <w:p w14:paraId="18219120" w14:textId="69475393" w:rsidR="00BE40DA" w:rsidRPr="00BE40DA" w:rsidRDefault="00BE40DA" w:rsidP="00BE40DA">
            <w:pPr>
              <w:spacing w:line="240" w:lineRule="auto"/>
              <w:rPr>
                <w:rFonts w:eastAsia="Times New Roman" w:cs="Arial"/>
                <w:lang w:eastAsia="bg-BG"/>
              </w:rPr>
            </w:pPr>
            <w:r w:rsidRPr="00BE40DA">
              <w:rPr>
                <w:rFonts w:cs="Arial"/>
              </w:rPr>
              <w:t>кожна десквамация хиперкератоза</w:t>
            </w:r>
          </w:p>
        </w:tc>
        <w:tc>
          <w:tcPr>
            <w:tcW w:w="1802" w:type="dxa"/>
          </w:tcPr>
          <w:p w14:paraId="705E2948" w14:textId="77777777" w:rsidR="00BE40DA" w:rsidRPr="00BE40DA" w:rsidRDefault="00BE40DA" w:rsidP="00BE40DA">
            <w:pPr>
              <w:rPr>
                <w:rFonts w:cs="Arial"/>
              </w:rPr>
            </w:pPr>
            <w:r w:rsidRPr="00BE40DA">
              <w:rPr>
                <w:rFonts w:cs="Arial"/>
              </w:rPr>
              <w:t>екзема</w:t>
            </w:r>
          </w:p>
          <w:p w14:paraId="5AC9431A" w14:textId="6762AB29" w:rsidR="00BE40DA" w:rsidRPr="00BE40DA" w:rsidRDefault="00BE40DA" w:rsidP="00BE40DA">
            <w:pPr>
              <w:spacing w:line="240" w:lineRule="auto"/>
              <w:rPr>
                <w:rFonts w:eastAsia="Times New Roman" w:cs="Arial"/>
                <w:lang w:eastAsia="bg-BG"/>
              </w:rPr>
            </w:pPr>
            <w:r w:rsidRPr="00BE40DA">
              <w:rPr>
                <w:rFonts w:cs="Arial"/>
              </w:rPr>
              <w:t>еритема мултиформе</w:t>
            </w:r>
          </w:p>
        </w:tc>
        <w:tc>
          <w:tcPr>
            <w:tcW w:w="1317" w:type="dxa"/>
          </w:tcPr>
          <w:p w14:paraId="4F4D3569" w14:textId="77777777" w:rsidR="00BE40DA" w:rsidRPr="00BE40DA" w:rsidRDefault="00BE40DA" w:rsidP="00BE40DA">
            <w:pPr>
              <w:rPr>
                <w:rFonts w:cs="Arial"/>
              </w:rPr>
            </w:pPr>
            <w:r w:rsidRPr="00BE40DA">
              <w:rPr>
                <w:rFonts w:cs="Arial"/>
              </w:rPr>
              <w:t>късен</w:t>
            </w:r>
          </w:p>
          <w:p w14:paraId="6006DE1A" w14:textId="77777777" w:rsidR="00BE40DA" w:rsidRPr="00BE40DA" w:rsidRDefault="00BE40DA" w:rsidP="00BE40DA">
            <w:pPr>
              <w:rPr>
                <w:rFonts w:cs="Arial"/>
              </w:rPr>
            </w:pPr>
            <w:r w:rsidRPr="00BE40DA">
              <w:rPr>
                <w:rFonts w:cs="Arial"/>
              </w:rPr>
              <w:t>радиационен дерматит</w:t>
            </w:r>
          </w:p>
          <w:p w14:paraId="028366F0" w14:textId="77777777" w:rsidR="00BE40DA" w:rsidRPr="00BE40DA" w:rsidRDefault="00BE40DA" w:rsidP="00BE40DA">
            <w:pPr>
              <w:rPr>
                <w:rFonts w:cs="Arial"/>
              </w:rPr>
            </w:pPr>
            <w:r w:rsidRPr="00BE40DA">
              <w:rPr>
                <w:rFonts w:cs="Arial"/>
              </w:rPr>
              <w:t xml:space="preserve">синдром на </w:t>
            </w:r>
            <w:r w:rsidRPr="00BE40DA">
              <w:rPr>
                <w:rFonts w:cs="Arial"/>
                <w:lang w:val="en-US"/>
              </w:rPr>
              <w:t>Stevens-</w:t>
            </w:r>
          </w:p>
          <w:p w14:paraId="0610B05A" w14:textId="77777777" w:rsidR="00BE40DA" w:rsidRPr="00BE40DA" w:rsidRDefault="00BE40DA" w:rsidP="00BE40DA">
            <w:pPr>
              <w:rPr>
                <w:rFonts w:cs="Arial"/>
              </w:rPr>
            </w:pPr>
            <w:r w:rsidRPr="00BE40DA">
              <w:rPr>
                <w:rFonts w:cs="Arial"/>
                <w:lang w:val="en-US"/>
              </w:rPr>
              <w:t>Johnson</w:t>
            </w:r>
          </w:p>
          <w:p w14:paraId="494A11C9" w14:textId="77777777" w:rsidR="00BE40DA" w:rsidRPr="00BE40DA" w:rsidRDefault="00BE40DA" w:rsidP="00BE40DA">
            <w:pPr>
              <w:rPr>
                <w:rFonts w:cs="Arial"/>
              </w:rPr>
            </w:pPr>
            <w:r w:rsidRPr="00BE40DA">
              <w:rPr>
                <w:rFonts w:cs="Arial"/>
              </w:rPr>
              <w:t>левкоцито- кластичен васкулит</w:t>
            </w:r>
          </w:p>
          <w:p w14:paraId="76202B69" w14:textId="3999397B" w:rsidR="00BE40DA" w:rsidRPr="00BE40DA" w:rsidRDefault="00BE40DA" w:rsidP="00BE40DA">
            <w:pPr>
              <w:spacing w:line="240" w:lineRule="auto"/>
              <w:rPr>
                <w:rFonts w:eastAsia="Times New Roman" w:cs="Arial"/>
                <w:lang w:eastAsia="bg-BG"/>
              </w:rPr>
            </w:pPr>
            <w:r w:rsidRPr="00BE40DA">
              <w:rPr>
                <w:rFonts w:cs="Arial"/>
              </w:rPr>
              <w:t>токсична епидермал- на некролиза *</w:t>
            </w:r>
          </w:p>
        </w:tc>
        <w:tc>
          <w:tcPr>
            <w:tcW w:w="1605" w:type="dxa"/>
          </w:tcPr>
          <w:p w14:paraId="4B2E5BB9" w14:textId="77777777" w:rsidR="00BE40DA" w:rsidRPr="00BE40DA" w:rsidRDefault="00BE40DA" w:rsidP="00BE40DA">
            <w:pPr>
              <w:spacing w:line="240" w:lineRule="auto"/>
              <w:rPr>
                <w:rFonts w:eastAsia="Times New Roman" w:cs="Arial"/>
                <w:lang w:eastAsia="bg-BG"/>
              </w:rPr>
            </w:pPr>
          </w:p>
        </w:tc>
      </w:tr>
      <w:tr w:rsidR="00BE40DA" w14:paraId="5606CC76" w14:textId="77777777" w:rsidTr="00BE40DA">
        <w:tc>
          <w:tcPr>
            <w:tcW w:w="1465" w:type="dxa"/>
          </w:tcPr>
          <w:p w14:paraId="22720C35" w14:textId="463EFCB3" w:rsidR="00BE40DA" w:rsidRPr="00BE40DA" w:rsidRDefault="00BE40DA" w:rsidP="00BE40DA">
            <w:pPr>
              <w:spacing w:line="240" w:lineRule="auto"/>
              <w:rPr>
                <w:rFonts w:eastAsia="Times New Roman" w:cs="Arial"/>
                <w:lang w:eastAsia="bg-BG"/>
              </w:rPr>
            </w:pPr>
            <w:r w:rsidRPr="00BE40DA">
              <w:rPr>
                <w:rFonts w:cs="Arial"/>
              </w:rPr>
              <w:t>Нарушения на мускулно- скелетната система и съединител</w:t>
            </w:r>
            <w:r w:rsidRPr="00BE40DA">
              <w:rPr>
                <w:rFonts w:cs="Arial"/>
              </w:rPr>
              <w:softHyphen/>
              <w:t>ната тъкан</w:t>
            </w:r>
          </w:p>
        </w:tc>
        <w:tc>
          <w:tcPr>
            <w:tcW w:w="1685" w:type="dxa"/>
          </w:tcPr>
          <w:p w14:paraId="0C4B1D5B" w14:textId="797130C5" w:rsidR="00BE40DA" w:rsidRPr="00BE40DA" w:rsidRDefault="00BE40DA" w:rsidP="00BE40DA">
            <w:pPr>
              <w:spacing w:line="240" w:lineRule="auto"/>
              <w:rPr>
                <w:rFonts w:eastAsia="Times New Roman" w:cs="Arial"/>
                <w:lang w:eastAsia="bg-BG"/>
              </w:rPr>
            </w:pPr>
            <w:r w:rsidRPr="00BE40DA">
              <w:rPr>
                <w:rFonts w:cs="Arial"/>
              </w:rPr>
              <w:t>артралгия</w:t>
            </w:r>
          </w:p>
        </w:tc>
        <w:tc>
          <w:tcPr>
            <w:tcW w:w="1702" w:type="dxa"/>
          </w:tcPr>
          <w:p w14:paraId="0668FC4B" w14:textId="77777777" w:rsidR="00BE40DA" w:rsidRPr="00BE40DA" w:rsidRDefault="00BE40DA" w:rsidP="00BE40DA">
            <w:pPr>
              <w:rPr>
                <w:rFonts w:cs="Arial"/>
              </w:rPr>
            </w:pPr>
            <w:r w:rsidRPr="00BE40DA">
              <w:rPr>
                <w:rFonts w:cs="Arial"/>
              </w:rPr>
              <w:t>миалгия</w:t>
            </w:r>
          </w:p>
          <w:p w14:paraId="38B1E634" w14:textId="04A36D24" w:rsidR="00BE40DA" w:rsidRPr="00BE40DA" w:rsidRDefault="00BE40DA" w:rsidP="00BE40DA">
            <w:pPr>
              <w:spacing w:line="240" w:lineRule="auto"/>
              <w:rPr>
                <w:rFonts w:eastAsia="Times New Roman" w:cs="Arial"/>
                <w:lang w:eastAsia="bg-BG"/>
              </w:rPr>
            </w:pPr>
            <w:r w:rsidRPr="00BE40DA">
              <w:rPr>
                <w:rFonts w:cs="Arial"/>
              </w:rPr>
              <w:t>мускулни спазми</w:t>
            </w:r>
          </w:p>
        </w:tc>
        <w:tc>
          <w:tcPr>
            <w:tcW w:w="1802" w:type="dxa"/>
          </w:tcPr>
          <w:p w14:paraId="1BD930EF" w14:textId="77777777" w:rsidR="00BE40DA" w:rsidRPr="00BE40DA" w:rsidRDefault="00BE40DA" w:rsidP="00BE40DA">
            <w:pPr>
              <w:spacing w:line="240" w:lineRule="auto"/>
              <w:rPr>
                <w:rFonts w:eastAsia="Times New Roman" w:cs="Arial"/>
                <w:lang w:eastAsia="bg-BG"/>
              </w:rPr>
            </w:pPr>
          </w:p>
        </w:tc>
        <w:tc>
          <w:tcPr>
            <w:tcW w:w="1317" w:type="dxa"/>
          </w:tcPr>
          <w:p w14:paraId="763704B5" w14:textId="0C9EB1C8" w:rsidR="00BE40DA" w:rsidRPr="00BE40DA" w:rsidRDefault="00BE40DA" w:rsidP="00BE40DA">
            <w:pPr>
              <w:spacing w:line="240" w:lineRule="auto"/>
              <w:rPr>
                <w:rFonts w:eastAsia="Times New Roman" w:cs="Arial"/>
                <w:lang w:eastAsia="bg-BG"/>
              </w:rPr>
            </w:pPr>
            <w:r w:rsidRPr="00BE40DA">
              <w:rPr>
                <w:rFonts w:cs="Arial"/>
              </w:rPr>
              <w:t>рабдомио- лиза</w:t>
            </w:r>
          </w:p>
        </w:tc>
        <w:tc>
          <w:tcPr>
            <w:tcW w:w="1605" w:type="dxa"/>
          </w:tcPr>
          <w:p w14:paraId="37BC8353" w14:textId="77777777" w:rsidR="00BE40DA" w:rsidRPr="00BE40DA" w:rsidRDefault="00BE40DA" w:rsidP="00BE40DA">
            <w:pPr>
              <w:spacing w:line="240" w:lineRule="auto"/>
              <w:rPr>
                <w:rFonts w:eastAsia="Times New Roman" w:cs="Arial"/>
                <w:lang w:eastAsia="bg-BG"/>
              </w:rPr>
            </w:pPr>
          </w:p>
        </w:tc>
      </w:tr>
      <w:tr w:rsidR="00BE40DA" w14:paraId="5E27EF63" w14:textId="77777777" w:rsidTr="00BE40DA">
        <w:tc>
          <w:tcPr>
            <w:tcW w:w="1465" w:type="dxa"/>
          </w:tcPr>
          <w:p w14:paraId="5DDEA561" w14:textId="3F1705DF" w:rsidR="00BE40DA" w:rsidRPr="00BE40DA" w:rsidRDefault="00BE40DA" w:rsidP="00BE40DA">
            <w:pPr>
              <w:spacing w:line="240" w:lineRule="auto"/>
              <w:rPr>
                <w:rFonts w:eastAsia="Times New Roman" w:cs="Arial"/>
                <w:lang w:eastAsia="bg-BG"/>
              </w:rPr>
            </w:pPr>
            <w:r w:rsidRPr="00BE40DA">
              <w:rPr>
                <w:rFonts w:cs="Arial"/>
              </w:rPr>
              <w:t>Нарушения на бъбреците и пикочните пътища</w:t>
            </w:r>
          </w:p>
        </w:tc>
        <w:tc>
          <w:tcPr>
            <w:tcW w:w="1685" w:type="dxa"/>
          </w:tcPr>
          <w:p w14:paraId="417B6443" w14:textId="77777777" w:rsidR="00BE40DA" w:rsidRPr="00BE40DA" w:rsidRDefault="00BE40DA" w:rsidP="00BE40DA">
            <w:pPr>
              <w:spacing w:line="240" w:lineRule="auto"/>
              <w:rPr>
                <w:rFonts w:eastAsia="Times New Roman" w:cs="Arial"/>
                <w:lang w:eastAsia="bg-BG"/>
              </w:rPr>
            </w:pPr>
          </w:p>
        </w:tc>
        <w:tc>
          <w:tcPr>
            <w:tcW w:w="1702" w:type="dxa"/>
          </w:tcPr>
          <w:p w14:paraId="35C23901" w14:textId="71490909" w:rsidR="00BE40DA" w:rsidRPr="00BE40DA" w:rsidRDefault="00BE40DA" w:rsidP="00BE40DA">
            <w:pPr>
              <w:spacing w:line="240" w:lineRule="auto"/>
              <w:rPr>
                <w:rFonts w:eastAsia="Times New Roman" w:cs="Arial"/>
                <w:lang w:eastAsia="bg-BG"/>
              </w:rPr>
            </w:pPr>
            <w:r w:rsidRPr="00BE40DA">
              <w:rPr>
                <w:rFonts w:cs="Arial"/>
              </w:rPr>
              <w:t>бъбречна недостатъчност протеинурия</w:t>
            </w:r>
          </w:p>
        </w:tc>
        <w:tc>
          <w:tcPr>
            <w:tcW w:w="1802" w:type="dxa"/>
          </w:tcPr>
          <w:p w14:paraId="7711ACF5" w14:textId="77777777" w:rsidR="00BE40DA" w:rsidRPr="00BE40DA" w:rsidRDefault="00BE40DA" w:rsidP="00BE40DA">
            <w:pPr>
              <w:spacing w:line="240" w:lineRule="auto"/>
              <w:rPr>
                <w:rFonts w:eastAsia="Times New Roman" w:cs="Arial"/>
                <w:lang w:eastAsia="bg-BG"/>
              </w:rPr>
            </w:pPr>
          </w:p>
        </w:tc>
        <w:tc>
          <w:tcPr>
            <w:tcW w:w="1317" w:type="dxa"/>
          </w:tcPr>
          <w:p w14:paraId="7C252BC9" w14:textId="19EC93FC" w:rsidR="00BE40DA" w:rsidRPr="00BE40DA" w:rsidRDefault="00BE40DA" w:rsidP="00BE40DA">
            <w:pPr>
              <w:spacing w:line="240" w:lineRule="auto"/>
              <w:rPr>
                <w:rFonts w:eastAsia="Times New Roman" w:cs="Arial"/>
                <w:lang w:eastAsia="bg-BG"/>
              </w:rPr>
            </w:pPr>
            <w:r w:rsidRPr="00BE40DA">
              <w:rPr>
                <w:rFonts w:cs="Arial"/>
              </w:rPr>
              <w:t>нефротичен синдром</w:t>
            </w:r>
          </w:p>
        </w:tc>
        <w:tc>
          <w:tcPr>
            <w:tcW w:w="1605" w:type="dxa"/>
          </w:tcPr>
          <w:p w14:paraId="390DB6BB" w14:textId="77777777" w:rsidR="00BE40DA" w:rsidRPr="00BE40DA" w:rsidRDefault="00BE40DA" w:rsidP="00BE40DA">
            <w:pPr>
              <w:spacing w:line="240" w:lineRule="auto"/>
              <w:rPr>
                <w:rFonts w:eastAsia="Times New Roman" w:cs="Arial"/>
                <w:lang w:eastAsia="bg-BG"/>
              </w:rPr>
            </w:pPr>
          </w:p>
        </w:tc>
      </w:tr>
      <w:tr w:rsidR="00BE40DA" w14:paraId="37C6676A" w14:textId="77777777" w:rsidTr="00BE40DA">
        <w:tc>
          <w:tcPr>
            <w:tcW w:w="1465" w:type="dxa"/>
          </w:tcPr>
          <w:p w14:paraId="3D177F6F" w14:textId="23F5EBD0" w:rsidR="00BE40DA" w:rsidRPr="00BE40DA" w:rsidRDefault="00BE40DA" w:rsidP="00BE40DA">
            <w:pPr>
              <w:spacing w:line="240" w:lineRule="auto"/>
              <w:rPr>
                <w:rFonts w:eastAsia="Times New Roman" w:cs="Arial"/>
                <w:lang w:eastAsia="bg-BG"/>
              </w:rPr>
            </w:pPr>
            <w:r w:rsidRPr="00BE40DA">
              <w:rPr>
                <w:rFonts w:cs="Arial"/>
              </w:rPr>
              <w:t>Нарушения на възпроизводит елната система и гърдата</w:t>
            </w:r>
          </w:p>
        </w:tc>
        <w:tc>
          <w:tcPr>
            <w:tcW w:w="1685" w:type="dxa"/>
          </w:tcPr>
          <w:p w14:paraId="49809054" w14:textId="77777777" w:rsidR="00BE40DA" w:rsidRPr="00BE40DA" w:rsidRDefault="00BE40DA" w:rsidP="00BE40DA">
            <w:pPr>
              <w:spacing w:line="240" w:lineRule="auto"/>
              <w:rPr>
                <w:rFonts w:eastAsia="Times New Roman" w:cs="Arial"/>
                <w:lang w:eastAsia="bg-BG"/>
              </w:rPr>
            </w:pPr>
          </w:p>
        </w:tc>
        <w:tc>
          <w:tcPr>
            <w:tcW w:w="1702" w:type="dxa"/>
          </w:tcPr>
          <w:p w14:paraId="642DB989" w14:textId="2C64460F" w:rsidR="00BE40DA" w:rsidRPr="00BE40DA" w:rsidRDefault="00BE40DA" w:rsidP="00BE40DA">
            <w:pPr>
              <w:spacing w:line="240" w:lineRule="auto"/>
              <w:rPr>
                <w:rFonts w:eastAsia="Times New Roman" w:cs="Arial"/>
                <w:lang w:eastAsia="bg-BG"/>
              </w:rPr>
            </w:pPr>
            <w:r w:rsidRPr="00BE40DA">
              <w:rPr>
                <w:rFonts w:cs="Arial"/>
              </w:rPr>
              <w:t>еректилна дисфункция</w:t>
            </w:r>
          </w:p>
        </w:tc>
        <w:tc>
          <w:tcPr>
            <w:tcW w:w="1802" w:type="dxa"/>
          </w:tcPr>
          <w:p w14:paraId="4933A080" w14:textId="1DE06978" w:rsidR="00BE40DA" w:rsidRPr="00BE40DA" w:rsidRDefault="00BE40DA" w:rsidP="00BE40DA">
            <w:pPr>
              <w:spacing w:line="240" w:lineRule="auto"/>
              <w:rPr>
                <w:rFonts w:eastAsia="Times New Roman" w:cs="Arial"/>
                <w:lang w:eastAsia="bg-BG"/>
              </w:rPr>
            </w:pPr>
            <w:r w:rsidRPr="00BE40DA">
              <w:rPr>
                <w:rFonts w:cs="Arial"/>
              </w:rPr>
              <w:t>гинекомастия</w:t>
            </w:r>
          </w:p>
        </w:tc>
        <w:tc>
          <w:tcPr>
            <w:tcW w:w="1317" w:type="dxa"/>
          </w:tcPr>
          <w:p w14:paraId="5CA11F45" w14:textId="77777777" w:rsidR="00BE40DA" w:rsidRPr="00BE40DA" w:rsidRDefault="00BE40DA" w:rsidP="00BE40DA">
            <w:pPr>
              <w:spacing w:line="240" w:lineRule="auto"/>
              <w:rPr>
                <w:rFonts w:eastAsia="Times New Roman" w:cs="Arial"/>
                <w:lang w:eastAsia="bg-BG"/>
              </w:rPr>
            </w:pPr>
          </w:p>
        </w:tc>
        <w:tc>
          <w:tcPr>
            <w:tcW w:w="1605" w:type="dxa"/>
          </w:tcPr>
          <w:p w14:paraId="2C3992ED" w14:textId="77777777" w:rsidR="00BE40DA" w:rsidRPr="00BE40DA" w:rsidRDefault="00BE40DA" w:rsidP="00BE40DA">
            <w:pPr>
              <w:spacing w:line="240" w:lineRule="auto"/>
              <w:rPr>
                <w:rFonts w:eastAsia="Times New Roman" w:cs="Arial"/>
                <w:lang w:eastAsia="bg-BG"/>
              </w:rPr>
            </w:pPr>
          </w:p>
        </w:tc>
      </w:tr>
      <w:tr w:rsidR="00BE40DA" w14:paraId="01DC09A3" w14:textId="77777777" w:rsidTr="00BE40DA">
        <w:tc>
          <w:tcPr>
            <w:tcW w:w="1465" w:type="dxa"/>
          </w:tcPr>
          <w:p w14:paraId="517A14C4" w14:textId="453AE707" w:rsidR="00BE40DA" w:rsidRPr="00BE40DA" w:rsidRDefault="00BE40DA" w:rsidP="00BE40DA">
            <w:pPr>
              <w:spacing w:line="240" w:lineRule="auto"/>
              <w:rPr>
                <w:rFonts w:eastAsia="Times New Roman" w:cs="Arial"/>
                <w:lang w:eastAsia="bg-BG"/>
              </w:rPr>
            </w:pPr>
            <w:r w:rsidRPr="00BE40DA">
              <w:rPr>
                <w:rFonts w:cs="Arial"/>
              </w:rPr>
              <w:t>Общи нарушения и ефекти на мястото на приложение</w:t>
            </w:r>
          </w:p>
        </w:tc>
        <w:tc>
          <w:tcPr>
            <w:tcW w:w="1685" w:type="dxa"/>
          </w:tcPr>
          <w:p w14:paraId="7FBDC77D" w14:textId="77777777" w:rsidR="00BE40DA" w:rsidRPr="00BE40DA" w:rsidRDefault="00BE40DA" w:rsidP="00BE40DA">
            <w:pPr>
              <w:rPr>
                <w:rFonts w:cs="Arial"/>
              </w:rPr>
            </w:pPr>
            <w:r w:rsidRPr="00BE40DA">
              <w:rPr>
                <w:rFonts w:cs="Arial"/>
              </w:rPr>
              <w:t>умора</w:t>
            </w:r>
          </w:p>
          <w:p w14:paraId="2E9AFF59" w14:textId="77777777" w:rsidR="00BE40DA" w:rsidRPr="00BE40DA" w:rsidRDefault="00BE40DA" w:rsidP="00BE40DA">
            <w:pPr>
              <w:rPr>
                <w:rFonts w:cs="Arial"/>
              </w:rPr>
            </w:pPr>
            <w:r w:rsidRPr="00BE40DA">
              <w:rPr>
                <w:rFonts w:cs="Arial"/>
              </w:rPr>
              <w:t>болка (включително в устата, абдоминална, костна, туморна болка и главоболие)</w:t>
            </w:r>
          </w:p>
          <w:p w14:paraId="537B7313" w14:textId="0B42B368" w:rsidR="00BE40DA" w:rsidRPr="00BE40DA" w:rsidRDefault="00BE40DA" w:rsidP="00BE40DA">
            <w:pPr>
              <w:spacing w:line="240" w:lineRule="auto"/>
              <w:rPr>
                <w:rFonts w:eastAsia="Times New Roman" w:cs="Arial"/>
                <w:lang w:eastAsia="bg-BG"/>
              </w:rPr>
            </w:pPr>
            <w:r w:rsidRPr="00BE40DA">
              <w:rPr>
                <w:rFonts w:cs="Arial"/>
              </w:rPr>
              <w:t>треска</w:t>
            </w:r>
          </w:p>
        </w:tc>
        <w:tc>
          <w:tcPr>
            <w:tcW w:w="1702" w:type="dxa"/>
          </w:tcPr>
          <w:p w14:paraId="18E9477E" w14:textId="77777777" w:rsidR="00BE40DA" w:rsidRPr="00BE40DA" w:rsidRDefault="00BE40DA" w:rsidP="00BE40DA">
            <w:pPr>
              <w:rPr>
                <w:rFonts w:cs="Arial"/>
              </w:rPr>
            </w:pPr>
            <w:r w:rsidRPr="00BE40DA">
              <w:rPr>
                <w:rFonts w:cs="Arial"/>
              </w:rPr>
              <w:t>астения</w:t>
            </w:r>
          </w:p>
          <w:p w14:paraId="486874C8" w14:textId="77777777" w:rsidR="00BE40DA" w:rsidRPr="00BE40DA" w:rsidRDefault="00BE40DA" w:rsidP="00BE40DA">
            <w:pPr>
              <w:rPr>
                <w:rFonts w:cs="Arial"/>
              </w:rPr>
            </w:pPr>
            <w:r w:rsidRPr="00BE40DA">
              <w:rPr>
                <w:rFonts w:cs="Arial"/>
              </w:rPr>
              <w:t>грипоподобно заболяване</w:t>
            </w:r>
          </w:p>
          <w:p w14:paraId="6A54E57C" w14:textId="77777777" w:rsidR="00BE40DA" w:rsidRPr="00BE40DA" w:rsidRDefault="00BE40DA" w:rsidP="00BE40DA">
            <w:pPr>
              <w:rPr>
                <w:rFonts w:cs="Arial"/>
              </w:rPr>
            </w:pPr>
            <w:r w:rsidRPr="00BE40DA">
              <w:rPr>
                <w:rFonts w:cs="Arial"/>
              </w:rPr>
              <w:t>възпаление на</w:t>
            </w:r>
          </w:p>
          <w:p w14:paraId="41FA91DE" w14:textId="55F4B52A" w:rsidR="00BE40DA" w:rsidRPr="00BE40DA" w:rsidRDefault="00BE40DA" w:rsidP="00BE40DA">
            <w:pPr>
              <w:spacing w:line="240" w:lineRule="auto"/>
              <w:rPr>
                <w:rFonts w:eastAsia="Times New Roman" w:cs="Arial"/>
                <w:lang w:eastAsia="bg-BG"/>
              </w:rPr>
            </w:pPr>
            <w:r w:rsidRPr="00BE40DA">
              <w:rPr>
                <w:rFonts w:cs="Arial"/>
              </w:rPr>
              <w:t>лигавиците</w:t>
            </w:r>
          </w:p>
        </w:tc>
        <w:tc>
          <w:tcPr>
            <w:tcW w:w="1802" w:type="dxa"/>
          </w:tcPr>
          <w:p w14:paraId="44BAD60D" w14:textId="77777777" w:rsidR="00BE40DA" w:rsidRPr="00BE40DA" w:rsidRDefault="00BE40DA" w:rsidP="00BE40DA">
            <w:pPr>
              <w:spacing w:line="240" w:lineRule="auto"/>
              <w:rPr>
                <w:rFonts w:eastAsia="Times New Roman" w:cs="Arial"/>
                <w:lang w:eastAsia="bg-BG"/>
              </w:rPr>
            </w:pPr>
          </w:p>
        </w:tc>
        <w:tc>
          <w:tcPr>
            <w:tcW w:w="1317" w:type="dxa"/>
          </w:tcPr>
          <w:p w14:paraId="4EB299D9" w14:textId="77777777" w:rsidR="00BE40DA" w:rsidRPr="00BE40DA" w:rsidRDefault="00BE40DA" w:rsidP="00BE40DA">
            <w:pPr>
              <w:spacing w:line="240" w:lineRule="auto"/>
              <w:rPr>
                <w:rFonts w:eastAsia="Times New Roman" w:cs="Arial"/>
                <w:lang w:eastAsia="bg-BG"/>
              </w:rPr>
            </w:pPr>
          </w:p>
        </w:tc>
        <w:tc>
          <w:tcPr>
            <w:tcW w:w="1605" w:type="dxa"/>
          </w:tcPr>
          <w:p w14:paraId="34C4ED9A" w14:textId="77777777" w:rsidR="00BE40DA" w:rsidRPr="00BE40DA" w:rsidRDefault="00BE40DA" w:rsidP="00BE40DA">
            <w:pPr>
              <w:spacing w:line="240" w:lineRule="auto"/>
              <w:rPr>
                <w:rFonts w:eastAsia="Times New Roman" w:cs="Arial"/>
                <w:lang w:eastAsia="bg-BG"/>
              </w:rPr>
            </w:pPr>
          </w:p>
        </w:tc>
      </w:tr>
      <w:tr w:rsidR="00BE40DA" w14:paraId="13CAB442" w14:textId="77777777" w:rsidTr="00BE40DA">
        <w:tc>
          <w:tcPr>
            <w:tcW w:w="1465" w:type="dxa"/>
          </w:tcPr>
          <w:p w14:paraId="716A59C6" w14:textId="27D6F469" w:rsidR="00BE40DA" w:rsidRPr="00BE40DA" w:rsidRDefault="00BE40DA" w:rsidP="00BE40DA">
            <w:pPr>
              <w:spacing w:line="240" w:lineRule="auto"/>
              <w:rPr>
                <w:rFonts w:eastAsia="Times New Roman" w:cs="Arial"/>
                <w:lang w:eastAsia="bg-BG"/>
              </w:rPr>
            </w:pPr>
            <w:r w:rsidRPr="00BE40DA">
              <w:rPr>
                <w:rFonts w:cs="Arial"/>
              </w:rPr>
              <w:t>Изследвания</w:t>
            </w:r>
          </w:p>
        </w:tc>
        <w:tc>
          <w:tcPr>
            <w:tcW w:w="1685" w:type="dxa"/>
          </w:tcPr>
          <w:p w14:paraId="7C6B260D" w14:textId="77777777" w:rsidR="00BE40DA" w:rsidRPr="00BE40DA" w:rsidRDefault="00BE40DA" w:rsidP="00BE40DA">
            <w:pPr>
              <w:rPr>
                <w:rFonts w:cs="Arial"/>
              </w:rPr>
            </w:pPr>
            <w:r w:rsidRPr="00BE40DA">
              <w:rPr>
                <w:rFonts w:cs="Arial"/>
              </w:rPr>
              <w:t>намалено тегло</w:t>
            </w:r>
          </w:p>
          <w:p w14:paraId="359FAC9F" w14:textId="77777777" w:rsidR="00BE40DA" w:rsidRPr="00BE40DA" w:rsidRDefault="00BE40DA" w:rsidP="00BE40DA">
            <w:pPr>
              <w:rPr>
                <w:rFonts w:cs="Arial"/>
              </w:rPr>
            </w:pPr>
            <w:r w:rsidRPr="00BE40DA">
              <w:rPr>
                <w:rFonts w:cs="Arial"/>
              </w:rPr>
              <w:lastRenderedPageBreak/>
              <w:t>повишена</w:t>
            </w:r>
          </w:p>
          <w:p w14:paraId="49AE18D1" w14:textId="77777777" w:rsidR="00BE40DA" w:rsidRPr="00BE40DA" w:rsidRDefault="00BE40DA" w:rsidP="00BE40DA">
            <w:pPr>
              <w:rPr>
                <w:rFonts w:cs="Arial"/>
              </w:rPr>
            </w:pPr>
            <w:r w:rsidRPr="00BE40DA">
              <w:rPr>
                <w:rFonts w:cs="Arial"/>
              </w:rPr>
              <w:t>амилаза</w:t>
            </w:r>
          </w:p>
          <w:p w14:paraId="1802FD8A" w14:textId="36FAE796" w:rsidR="00BE40DA" w:rsidRPr="00BE40DA" w:rsidRDefault="00BE40DA" w:rsidP="00BE40DA">
            <w:pPr>
              <w:spacing w:line="240" w:lineRule="auto"/>
              <w:rPr>
                <w:rFonts w:eastAsia="Times New Roman" w:cs="Arial"/>
                <w:lang w:eastAsia="bg-BG"/>
              </w:rPr>
            </w:pPr>
            <w:r w:rsidRPr="00BE40DA">
              <w:rPr>
                <w:rFonts w:cs="Arial"/>
              </w:rPr>
              <w:t>повишена липаза</w:t>
            </w:r>
          </w:p>
        </w:tc>
        <w:tc>
          <w:tcPr>
            <w:tcW w:w="1702" w:type="dxa"/>
          </w:tcPr>
          <w:p w14:paraId="45C5643C" w14:textId="52934147" w:rsidR="00BE40DA" w:rsidRPr="00BE40DA" w:rsidRDefault="00BE40DA" w:rsidP="00BE40DA">
            <w:pPr>
              <w:spacing w:line="240" w:lineRule="auto"/>
              <w:rPr>
                <w:rFonts w:eastAsia="Times New Roman" w:cs="Arial"/>
                <w:lang w:eastAsia="bg-BG"/>
              </w:rPr>
            </w:pPr>
            <w:r w:rsidRPr="00BE40DA">
              <w:rPr>
                <w:rFonts w:cs="Arial"/>
              </w:rPr>
              <w:lastRenderedPageBreak/>
              <w:t xml:space="preserve">преходно повишаване </w:t>
            </w:r>
            <w:r w:rsidRPr="00BE40DA">
              <w:rPr>
                <w:rFonts w:cs="Arial"/>
              </w:rPr>
              <w:lastRenderedPageBreak/>
              <w:t>на трансаминазите</w:t>
            </w:r>
          </w:p>
        </w:tc>
        <w:tc>
          <w:tcPr>
            <w:tcW w:w="1802" w:type="dxa"/>
          </w:tcPr>
          <w:p w14:paraId="763C2E2F" w14:textId="77777777" w:rsidR="00BE40DA" w:rsidRPr="00BE40DA" w:rsidRDefault="00BE40DA" w:rsidP="00BE40DA">
            <w:pPr>
              <w:rPr>
                <w:rFonts w:cs="Arial"/>
              </w:rPr>
            </w:pPr>
            <w:r w:rsidRPr="00BE40DA">
              <w:rPr>
                <w:rFonts w:cs="Arial"/>
              </w:rPr>
              <w:lastRenderedPageBreak/>
              <w:t xml:space="preserve">преходно повишаване </w:t>
            </w:r>
            <w:r w:rsidRPr="00BE40DA">
              <w:rPr>
                <w:rFonts w:cs="Arial"/>
              </w:rPr>
              <w:lastRenderedPageBreak/>
              <w:t>на алкалната фосфатаза в кръвта</w:t>
            </w:r>
          </w:p>
          <w:p w14:paraId="40A3281D" w14:textId="7DC4C8C4" w:rsidR="00BE40DA" w:rsidRPr="00BE40DA" w:rsidRDefault="00BE40DA" w:rsidP="00BE40DA">
            <w:pPr>
              <w:spacing w:line="240" w:lineRule="auto"/>
              <w:rPr>
                <w:rFonts w:eastAsia="Times New Roman" w:cs="Arial"/>
                <w:lang w:eastAsia="bg-BG"/>
              </w:rPr>
            </w:pPr>
            <w:r w:rsidRPr="00BE40DA">
              <w:rPr>
                <w:rFonts w:cs="Arial"/>
              </w:rPr>
              <w:t xml:space="preserve">отклонения в </w:t>
            </w:r>
            <w:r w:rsidRPr="00BE40DA">
              <w:rPr>
                <w:rFonts w:cs="Arial"/>
                <w:lang w:val="en-US"/>
              </w:rPr>
              <w:t xml:space="preserve">INR, </w:t>
            </w:r>
            <w:r w:rsidRPr="00BE40DA">
              <w:rPr>
                <w:rFonts w:cs="Arial"/>
              </w:rPr>
              <w:t>отклонения в стойностите на протромбиновото време</w:t>
            </w:r>
          </w:p>
        </w:tc>
        <w:tc>
          <w:tcPr>
            <w:tcW w:w="1317" w:type="dxa"/>
          </w:tcPr>
          <w:p w14:paraId="4E46C3F7" w14:textId="77777777" w:rsidR="00BE40DA" w:rsidRPr="00BE40DA" w:rsidRDefault="00BE40DA" w:rsidP="00BE40DA">
            <w:pPr>
              <w:spacing w:line="240" w:lineRule="auto"/>
              <w:rPr>
                <w:rFonts w:eastAsia="Times New Roman" w:cs="Arial"/>
                <w:lang w:eastAsia="bg-BG"/>
              </w:rPr>
            </w:pPr>
          </w:p>
        </w:tc>
        <w:tc>
          <w:tcPr>
            <w:tcW w:w="1605" w:type="dxa"/>
          </w:tcPr>
          <w:p w14:paraId="0BD8B5FF" w14:textId="77777777" w:rsidR="00BE40DA" w:rsidRPr="00BE40DA" w:rsidRDefault="00BE40DA" w:rsidP="00BE40DA">
            <w:pPr>
              <w:spacing w:line="240" w:lineRule="auto"/>
              <w:rPr>
                <w:rFonts w:eastAsia="Times New Roman" w:cs="Arial"/>
                <w:lang w:eastAsia="bg-BG"/>
              </w:rPr>
            </w:pPr>
          </w:p>
        </w:tc>
      </w:tr>
    </w:tbl>
    <w:p w14:paraId="44F58C8A" w14:textId="77777777" w:rsidR="00BE40DA" w:rsidRPr="00BE40DA" w:rsidRDefault="00BE40DA" w:rsidP="00BE40DA">
      <w:pPr>
        <w:spacing w:line="240" w:lineRule="auto"/>
        <w:rPr>
          <w:rFonts w:eastAsia="Times New Roman" w:cs="Arial"/>
          <w:lang w:eastAsia="bg-BG"/>
        </w:rPr>
      </w:pPr>
      <w:r w:rsidRPr="00BE40DA">
        <w:rPr>
          <w:rFonts w:eastAsia="Times New Roman" w:cs="Arial"/>
          <w:color w:val="000000"/>
          <w:lang w:eastAsia="bg-BG"/>
        </w:rPr>
        <w:t>* Нежеланите реакции могат да имат животозастрашаващ или фатален изход. Такива събития са или нечести, или по-редки от нечести.</w:t>
      </w:r>
    </w:p>
    <w:p w14:paraId="1B1D6DA4" w14:textId="77777777" w:rsidR="00BE40DA" w:rsidRPr="00BE40DA" w:rsidRDefault="00BE40DA" w:rsidP="00BE40DA">
      <w:pPr>
        <w:spacing w:line="240" w:lineRule="auto"/>
        <w:rPr>
          <w:rFonts w:eastAsia="Times New Roman" w:cs="Arial"/>
          <w:lang w:eastAsia="bg-BG"/>
        </w:rPr>
      </w:pPr>
      <w:r w:rsidRPr="00BE40DA">
        <w:rPr>
          <w:rFonts w:eastAsia="Times New Roman" w:cs="Arial"/>
          <w:color w:val="000000"/>
          <w:lang w:eastAsia="bg-BG"/>
        </w:rPr>
        <w:t xml:space="preserve">** Кожната реакция ръка-крак съответства на синдрома на палмарно-плантарна еритродизестезия в </w:t>
      </w:r>
      <w:r w:rsidRPr="00BE40DA">
        <w:rPr>
          <w:rFonts w:eastAsia="Times New Roman" w:cs="Arial"/>
          <w:color w:val="000000"/>
          <w:lang w:val="en-US"/>
        </w:rPr>
        <w:t>MedDRA.</w:t>
      </w:r>
    </w:p>
    <w:p w14:paraId="65C6615D" w14:textId="5303E872" w:rsidR="000128A4" w:rsidRPr="000128A4" w:rsidRDefault="00BE40DA" w:rsidP="00BE40DA">
      <w:pPr>
        <w:spacing w:line="240" w:lineRule="auto"/>
        <w:rPr>
          <w:rFonts w:eastAsia="Times New Roman" w:cs="Arial"/>
          <w:lang w:eastAsia="bg-BG"/>
        </w:rPr>
      </w:pPr>
      <w:r w:rsidRPr="00BE40DA">
        <w:rPr>
          <w:rFonts w:eastAsia="Times New Roman" w:cs="Arial"/>
          <w:color w:val="000000"/>
          <w:lang w:eastAsia="bg-BG"/>
        </w:rPr>
        <w:t>° Случаи, докладвани в постмаркетинговия период.</w:t>
      </w:r>
    </w:p>
    <w:p w14:paraId="3129E528" w14:textId="5F0D67BB" w:rsidR="000128A4" w:rsidRPr="00BE40DA" w:rsidRDefault="000128A4" w:rsidP="000128A4">
      <w:pPr>
        <w:rPr>
          <w:rFonts w:cs="Arial"/>
        </w:rPr>
      </w:pPr>
    </w:p>
    <w:p w14:paraId="01253F15" w14:textId="77777777" w:rsidR="00BE40DA" w:rsidRPr="00BE40DA" w:rsidRDefault="00BE40DA" w:rsidP="00BE40DA">
      <w:pPr>
        <w:spacing w:line="240" w:lineRule="auto"/>
        <w:rPr>
          <w:rFonts w:eastAsia="Times New Roman" w:cs="Arial"/>
          <w:lang w:eastAsia="bg-BG"/>
        </w:rPr>
      </w:pPr>
      <w:r w:rsidRPr="00BE40DA">
        <w:rPr>
          <w:rFonts w:eastAsia="Times New Roman" w:cs="Arial"/>
          <w:color w:val="000000"/>
          <w:u w:val="single"/>
          <w:lang w:eastAsia="bg-BG"/>
        </w:rPr>
        <w:t>Допълнителна информация относно избрани нежелани лекарствени реакции</w:t>
      </w:r>
    </w:p>
    <w:p w14:paraId="7F0B36FB" w14:textId="77777777" w:rsidR="00BE40DA" w:rsidRPr="00BE40DA" w:rsidRDefault="00BE40DA" w:rsidP="00BE40DA">
      <w:pPr>
        <w:spacing w:line="240" w:lineRule="auto"/>
        <w:rPr>
          <w:rFonts w:eastAsia="Times New Roman" w:cs="Arial"/>
          <w:i/>
          <w:iCs/>
          <w:color w:val="000000"/>
          <w:lang w:eastAsia="bg-BG"/>
        </w:rPr>
      </w:pPr>
    </w:p>
    <w:p w14:paraId="0CF1AD46" w14:textId="5AE0D9AA" w:rsidR="00BE40DA" w:rsidRPr="00BE40DA" w:rsidRDefault="00BE40DA" w:rsidP="00BE40DA">
      <w:pPr>
        <w:spacing w:line="240" w:lineRule="auto"/>
        <w:rPr>
          <w:rFonts w:eastAsia="Times New Roman" w:cs="Arial"/>
          <w:lang w:eastAsia="bg-BG"/>
        </w:rPr>
      </w:pPr>
      <w:r w:rsidRPr="00BE40DA">
        <w:rPr>
          <w:rFonts w:eastAsia="Times New Roman" w:cs="Arial"/>
          <w:i/>
          <w:iCs/>
          <w:color w:val="000000"/>
          <w:lang w:eastAsia="bg-BG"/>
        </w:rPr>
        <w:t>Застойна сърдечна недостатъчност</w:t>
      </w:r>
    </w:p>
    <w:p w14:paraId="2E910317" w14:textId="77777777" w:rsidR="00BE40DA" w:rsidRPr="00BE40DA" w:rsidRDefault="00BE40DA" w:rsidP="00BE40DA">
      <w:pPr>
        <w:spacing w:line="240" w:lineRule="auto"/>
        <w:rPr>
          <w:rFonts w:eastAsia="Times New Roman" w:cs="Arial"/>
          <w:lang w:eastAsia="bg-BG"/>
        </w:rPr>
      </w:pPr>
      <w:r w:rsidRPr="00BE40DA">
        <w:rPr>
          <w:rFonts w:eastAsia="Times New Roman" w:cs="Arial"/>
          <w:color w:val="000000"/>
          <w:lang w:eastAsia="bg-BG"/>
        </w:rPr>
        <w:t xml:space="preserve">В клинични проучвания, спонсорирани от фирмата, застойна сърдечна недостатъчност се съобщава като нежелано събитие при 1,9% от пациентите, лекувани със сорафениб </w:t>
      </w:r>
      <w:r w:rsidRPr="00BE40DA">
        <w:rPr>
          <w:rFonts w:eastAsia="Times New Roman" w:cs="Arial"/>
          <w:color w:val="000000"/>
          <w:lang w:val="en-US"/>
        </w:rPr>
        <w:t xml:space="preserve">(N=2 </w:t>
      </w:r>
      <w:r w:rsidRPr="00BE40DA">
        <w:rPr>
          <w:rFonts w:eastAsia="Times New Roman" w:cs="Arial"/>
          <w:color w:val="000000"/>
          <w:lang w:eastAsia="bg-BG"/>
        </w:rPr>
        <w:t xml:space="preserve">276). В проучване 11213 </w:t>
      </w:r>
      <w:r w:rsidRPr="00BE40DA">
        <w:rPr>
          <w:rFonts w:eastAsia="Times New Roman" w:cs="Arial"/>
          <w:color w:val="000000"/>
          <w:lang w:val="en-US"/>
        </w:rPr>
        <w:t xml:space="preserve">(RCC) </w:t>
      </w:r>
      <w:r w:rsidRPr="00BE40DA">
        <w:rPr>
          <w:rFonts w:eastAsia="Times New Roman" w:cs="Arial"/>
          <w:color w:val="000000"/>
          <w:lang w:eastAsia="bg-BG"/>
        </w:rPr>
        <w:t>нежелани събития, съответстващи на застойна сърдечна недостатъчност, са докладвани при 1,7% от пациентите, лекувани със сорафениб и при 0,7% от получаващите плацебо. В проучване 100554 (НСС) при 0,99% от лекуваните със сорафениб и при 1,1% от приелите плацебо са съобщени такива събития.</w:t>
      </w:r>
    </w:p>
    <w:p w14:paraId="4E86CD29" w14:textId="77777777" w:rsidR="00BE40DA" w:rsidRPr="00BE40DA" w:rsidRDefault="00BE40DA" w:rsidP="00BE40DA">
      <w:pPr>
        <w:spacing w:line="240" w:lineRule="auto"/>
        <w:rPr>
          <w:rFonts w:eastAsia="Times New Roman" w:cs="Arial"/>
          <w:i/>
          <w:iCs/>
          <w:color w:val="000000"/>
          <w:lang w:eastAsia="bg-BG"/>
        </w:rPr>
      </w:pPr>
    </w:p>
    <w:p w14:paraId="0C30523A" w14:textId="6C492E6C" w:rsidR="00BE40DA" w:rsidRPr="00BE40DA" w:rsidRDefault="00BE40DA" w:rsidP="00BE40DA">
      <w:pPr>
        <w:spacing w:line="240" w:lineRule="auto"/>
        <w:rPr>
          <w:rFonts w:eastAsia="Times New Roman" w:cs="Arial"/>
          <w:lang w:eastAsia="bg-BG"/>
        </w:rPr>
      </w:pPr>
      <w:r w:rsidRPr="00BE40DA">
        <w:rPr>
          <w:rFonts w:eastAsia="Times New Roman" w:cs="Arial"/>
          <w:i/>
          <w:iCs/>
          <w:color w:val="000000"/>
          <w:lang w:eastAsia="bg-BG"/>
        </w:rPr>
        <w:t>Допълнителна информация за специални популации</w:t>
      </w:r>
    </w:p>
    <w:p w14:paraId="34CF3421" w14:textId="77777777" w:rsidR="00BE40DA" w:rsidRPr="00BE40DA" w:rsidRDefault="00BE40DA" w:rsidP="00BE40DA">
      <w:pPr>
        <w:spacing w:line="240" w:lineRule="auto"/>
        <w:rPr>
          <w:rFonts w:eastAsia="Times New Roman" w:cs="Arial"/>
          <w:lang w:eastAsia="bg-BG"/>
        </w:rPr>
      </w:pPr>
      <w:r w:rsidRPr="00BE40DA">
        <w:rPr>
          <w:rFonts w:eastAsia="Times New Roman" w:cs="Arial"/>
          <w:color w:val="000000"/>
          <w:lang w:eastAsia="bg-BG"/>
        </w:rPr>
        <w:t>В клинични изпитвания, някои нежелани лекарствени реакции като кожна реакция ръка-крак, диария, алопеция, намаляване на телесното тегло, хипертония, хипокалциемия и кератоакантом/сквамозноклетьчен карцином на кожата са наблюдавани със значително по- голяма честота при пациенти с диференциран тиреоиден карцином в сравнение с пациентите от проучвания за бъбречно-клетъчен или хепатоцелуларен карцином.</w:t>
      </w:r>
    </w:p>
    <w:p w14:paraId="62973D1B" w14:textId="77777777" w:rsidR="00BE40DA" w:rsidRPr="00BE40DA" w:rsidRDefault="00BE40DA" w:rsidP="00BE40DA">
      <w:pPr>
        <w:spacing w:line="240" w:lineRule="auto"/>
        <w:rPr>
          <w:rFonts w:eastAsia="Times New Roman" w:cs="Arial"/>
          <w:color w:val="000000"/>
          <w:u w:val="single"/>
          <w:lang w:eastAsia="bg-BG"/>
        </w:rPr>
      </w:pPr>
    </w:p>
    <w:p w14:paraId="0C0FA8E6" w14:textId="24797556" w:rsidR="00BE40DA" w:rsidRPr="00BE40DA" w:rsidRDefault="00BE40DA" w:rsidP="00BE40DA">
      <w:pPr>
        <w:spacing w:line="240" w:lineRule="auto"/>
        <w:rPr>
          <w:rFonts w:eastAsia="Times New Roman" w:cs="Arial"/>
          <w:lang w:eastAsia="bg-BG"/>
        </w:rPr>
      </w:pPr>
      <w:r w:rsidRPr="00BE40DA">
        <w:rPr>
          <w:rFonts w:eastAsia="Times New Roman" w:cs="Arial"/>
          <w:color w:val="000000"/>
          <w:u w:val="single"/>
          <w:lang w:eastAsia="bg-BG"/>
        </w:rPr>
        <w:t xml:space="preserve">Отклонения в лабораторните изследвания при пациенти с НСС (проучване 3) и с </w:t>
      </w:r>
      <w:r w:rsidRPr="00BE40DA">
        <w:rPr>
          <w:rFonts w:eastAsia="Times New Roman" w:cs="Arial"/>
          <w:color w:val="000000"/>
          <w:u w:val="single"/>
          <w:lang w:val="en-US"/>
        </w:rPr>
        <w:t xml:space="preserve">RCC </w:t>
      </w:r>
      <w:r w:rsidRPr="00BE40DA">
        <w:rPr>
          <w:rFonts w:eastAsia="Times New Roman" w:cs="Arial"/>
          <w:color w:val="000000"/>
          <w:u w:val="single"/>
          <w:lang w:eastAsia="bg-BG"/>
        </w:rPr>
        <w:t>(проучване 1)</w:t>
      </w:r>
    </w:p>
    <w:p w14:paraId="08816BCA" w14:textId="77777777" w:rsidR="00BE40DA" w:rsidRPr="00BE40DA" w:rsidRDefault="00BE40DA" w:rsidP="00BE40DA">
      <w:pPr>
        <w:spacing w:line="240" w:lineRule="auto"/>
        <w:rPr>
          <w:rFonts w:eastAsia="Times New Roman" w:cs="Arial"/>
          <w:color w:val="000000"/>
          <w:lang w:eastAsia="bg-BG"/>
        </w:rPr>
      </w:pPr>
    </w:p>
    <w:p w14:paraId="4FCF45A6" w14:textId="5F101EFB" w:rsidR="00BE40DA" w:rsidRPr="00BE40DA" w:rsidRDefault="00BE40DA" w:rsidP="00BE40DA">
      <w:pPr>
        <w:spacing w:line="240" w:lineRule="auto"/>
        <w:rPr>
          <w:rFonts w:eastAsia="Times New Roman" w:cs="Arial"/>
          <w:lang w:eastAsia="bg-BG"/>
        </w:rPr>
      </w:pPr>
      <w:r w:rsidRPr="00BE40DA">
        <w:rPr>
          <w:rFonts w:eastAsia="Times New Roman" w:cs="Arial"/>
          <w:color w:val="000000"/>
          <w:lang w:eastAsia="bg-BG"/>
        </w:rPr>
        <w:t xml:space="preserve">Повишена липаза и амилаза са докладвани много често. Повишени стойности на липаза СТСАЕ от степен 3 или 4 се проявяват при 11% и при 9% от пациентите в групата на сорафениб, съответно, при проучване 1 </w:t>
      </w:r>
      <w:r w:rsidRPr="00BE40DA">
        <w:rPr>
          <w:rFonts w:eastAsia="Times New Roman" w:cs="Arial"/>
          <w:color w:val="000000"/>
          <w:lang w:val="en-US"/>
        </w:rPr>
        <w:t xml:space="preserve">(RCC) </w:t>
      </w:r>
      <w:r w:rsidRPr="00BE40DA">
        <w:rPr>
          <w:rFonts w:eastAsia="Times New Roman" w:cs="Arial"/>
          <w:color w:val="000000"/>
          <w:lang w:eastAsia="bg-BG"/>
        </w:rPr>
        <w:t>и проучване 3 (НСС), в сравнение със 7% и 9% от пациентите в групата на плацебо. Повишени стойности на амилазата СТСАЕ степен 3 или 4 се проявяват при 1% и 2 % от пациентите в групата на сорафениб, съответно в проучване 1 и проучване 3, в сравнение с 3% от пациентите във всяка плацебо група. Клиничен панкреатит е докладван при двама от 451 пациенти, лекувани със сорафениб (СТСАЕ степен 4) в проучване 1, при 1 от 297 пациенти лекувани със сорафениб в проучване 3 (СТСАЕ степен 2) и при един от 451 пациенти (СТСАЕ степен 2) в групата на плацебо от проучване 1.</w:t>
      </w:r>
    </w:p>
    <w:p w14:paraId="66BD810B" w14:textId="77777777" w:rsidR="00BE40DA" w:rsidRPr="00BE40DA" w:rsidRDefault="00BE40DA" w:rsidP="00BE40DA">
      <w:pPr>
        <w:spacing w:line="240" w:lineRule="auto"/>
        <w:rPr>
          <w:rFonts w:eastAsia="Times New Roman" w:cs="Arial"/>
          <w:color w:val="000000"/>
          <w:lang w:eastAsia="bg-BG"/>
        </w:rPr>
      </w:pPr>
    </w:p>
    <w:p w14:paraId="5DAFDB70" w14:textId="6810C75F" w:rsidR="00BE40DA" w:rsidRPr="00BE40DA" w:rsidRDefault="00BE40DA" w:rsidP="00BE40DA">
      <w:pPr>
        <w:spacing w:line="240" w:lineRule="auto"/>
        <w:rPr>
          <w:rFonts w:eastAsia="Times New Roman" w:cs="Arial"/>
          <w:lang w:eastAsia="bg-BG"/>
        </w:rPr>
      </w:pPr>
      <w:r w:rsidRPr="00BE40DA">
        <w:rPr>
          <w:rFonts w:eastAsia="Times New Roman" w:cs="Arial"/>
          <w:color w:val="000000"/>
          <w:lang w:eastAsia="bg-BG"/>
        </w:rPr>
        <w:t xml:space="preserve">Хипофосфатемията е много честа лабораторна находка, наблюдавана при 45% и 35% от лекуваните със сорафениб пациенти в сравнение със съответно 12% и 11% от пациентите в групата на плацебо в проучване 1 и проучване 3. Хипофосфатемия СТСАЕ </w:t>
      </w:r>
      <w:r w:rsidRPr="00BE40DA">
        <w:rPr>
          <w:rFonts w:eastAsia="Times New Roman" w:cs="Arial"/>
          <w:color w:val="000000"/>
          <w:lang w:eastAsia="bg-BG"/>
        </w:rPr>
        <w:lastRenderedPageBreak/>
        <w:t xml:space="preserve">степен 3(1-2 </w:t>
      </w:r>
      <w:r w:rsidRPr="00BE40DA">
        <w:rPr>
          <w:rFonts w:eastAsia="Times New Roman" w:cs="Arial"/>
          <w:color w:val="000000"/>
          <w:lang w:val="en-US"/>
        </w:rPr>
        <w:t xml:space="preserve">mg/dl) </w:t>
      </w:r>
      <w:r w:rsidRPr="00BE40DA">
        <w:rPr>
          <w:rFonts w:eastAsia="Times New Roman" w:cs="Arial"/>
          <w:color w:val="000000"/>
          <w:lang w:eastAsia="bg-BG"/>
        </w:rPr>
        <w:t xml:space="preserve">в проучване 1 се е проявила при 13% от пациентите, лекувани със сорафениб и при 3% от пациентите в групата на плацебо, а в проучване 3 при 11% от пациентите лекувани със сорафениб и 2% от пациентите в плацебо групата. Няма случаи на хипофосфатемия СТСАЕ степен 4 (&lt;1 </w:t>
      </w:r>
      <w:r w:rsidRPr="00BE40DA">
        <w:rPr>
          <w:rFonts w:eastAsia="Times New Roman" w:cs="Arial"/>
          <w:color w:val="000000"/>
          <w:lang w:val="en-US"/>
        </w:rPr>
        <w:t xml:space="preserve">mg/dl), </w:t>
      </w:r>
      <w:r w:rsidRPr="00BE40DA">
        <w:rPr>
          <w:rFonts w:eastAsia="Times New Roman" w:cs="Arial"/>
          <w:color w:val="000000"/>
          <w:lang w:eastAsia="bg-BG"/>
        </w:rPr>
        <w:t>съобщени в групата на сорафениб или групата на плацебо в проучване 1, а 1 случай е наблюдаван в плацебо групата на проучване 3. Етиологията на хипофосфатемията, свързана със сорафениб не е известна.</w:t>
      </w:r>
    </w:p>
    <w:p w14:paraId="6BE46649" w14:textId="77777777" w:rsidR="00BE40DA" w:rsidRPr="00BE40DA" w:rsidRDefault="00BE40DA" w:rsidP="00BE40DA">
      <w:pPr>
        <w:spacing w:line="240" w:lineRule="auto"/>
        <w:rPr>
          <w:rFonts w:eastAsia="Times New Roman" w:cs="Arial"/>
          <w:color w:val="000000"/>
          <w:lang w:eastAsia="bg-BG"/>
        </w:rPr>
      </w:pPr>
    </w:p>
    <w:p w14:paraId="3E825006" w14:textId="0F0C74AA" w:rsidR="00BE40DA" w:rsidRPr="00BE40DA" w:rsidRDefault="00BE40DA" w:rsidP="00BE40DA">
      <w:pPr>
        <w:spacing w:line="240" w:lineRule="auto"/>
        <w:rPr>
          <w:rFonts w:eastAsia="Times New Roman" w:cs="Arial"/>
          <w:lang w:eastAsia="bg-BG"/>
        </w:rPr>
      </w:pPr>
      <w:r w:rsidRPr="00BE40DA">
        <w:rPr>
          <w:rFonts w:eastAsia="Times New Roman" w:cs="Arial"/>
          <w:color w:val="000000"/>
          <w:lang w:eastAsia="bg-BG"/>
        </w:rPr>
        <w:t>При СТСАЕ степен 3 или 4 са наблюдавани отклонения в лабораторните показатели при 5% от пациентите, лекувани със сорафениб, включително лимфопения и неутропения.</w:t>
      </w:r>
    </w:p>
    <w:p w14:paraId="6F1FDC55" w14:textId="77777777" w:rsidR="00BE40DA" w:rsidRPr="00BE40DA" w:rsidRDefault="00BE40DA" w:rsidP="00BE40DA">
      <w:pPr>
        <w:spacing w:line="240" w:lineRule="auto"/>
        <w:rPr>
          <w:rFonts w:eastAsia="Times New Roman" w:cs="Arial"/>
          <w:color w:val="000000"/>
          <w:lang w:eastAsia="bg-BG"/>
        </w:rPr>
      </w:pPr>
    </w:p>
    <w:p w14:paraId="2844C515" w14:textId="3434F821" w:rsidR="00BE40DA" w:rsidRPr="00BE40DA" w:rsidRDefault="00BE40DA" w:rsidP="00BE40DA">
      <w:pPr>
        <w:spacing w:line="240" w:lineRule="auto"/>
        <w:rPr>
          <w:rFonts w:eastAsia="Times New Roman" w:cs="Arial"/>
          <w:lang w:eastAsia="bg-BG"/>
        </w:rPr>
      </w:pPr>
      <w:r w:rsidRPr="00BE40DA">
        <w:rPr>
          <w:rFonts w:eastAsia="Times New Roman" w:cs="Arial"/>
          <w:color w:val="000000"/>
          <w:lang w:eastAsia="bg-BG"/>
        </w:rPr>
        <w:t>Хипокалциемия е докладвана при 12% и 26,5% от пациентите, лекувани със сорафениб, сравнено със 7,5% и 14,8% от пациентите на плацебо, съответно в проучване 1 и проучване 3. Мнозинството докладвани случаи на хипокалциемия са нисък клас (СТСАЕ степен 1 и 2). Хипокалциемия СТСАЕ степен 3 (6,</w:t>
      </w:r>
      <w:r w:rsidRPr="00BE40DA">
        <w:rPr>
          <w:rFonts w:eastAsia="Times New Roman" w:cs="Arial"/>
          <w:i/>
          <w:iCs/>
          <w:color w:val="000000"/>
          <w:lang w:eastAsia="bg-BG"/>
        </w:rPr>
        <w:t>0-7,0</w:t>
      </w:r>
      <w:r w:rsidRPr="00BE40DA">
        <w:rPr>
          <w:rFonts w:eastAsia="Times New Roman" w:cs="Arial"/>
          <w:color w:val="000000"/>
          <w:lang w:eastAsia="bg-BG"/>
        </w:rPr>
        <w:t xml:space="preserve"> </w:t>
      </w:r>
      <w:r w:rsidRPr="00BE40DA">
        <w:rPr>
          <w:rFonts w:eastAsia="Times New Roman" w:cs="Arial"/>
          <w:color w:val="000000"/>
          <w:lang w:val="en-US"/>
        </w:rPr>
        <w:t xml:space="preserve">mg/dl) </w:t>
      </w:r>
      <w:r w:rsidRPr="00BE40DA">
        <w:rPr>
          <w:rFonts w:eastAsia="Times New Roman" w:cs="Arial"/>
          <w:color w:val="000000"/>
          <w:lang w:eastAsia="bg-BG"/>
        </w:rPr>
        <w:t xml:space="preserve">се наблюдава при 1,1% и 1,8% от пациентите, лекувани със сорафениб и при 0,2% и 1,1% от пациентите в групата на плацебо, а хипокалциемия СТСАЕ степен 4 (&lt; 6,0 </w:t>
      </w:r>
      <w:r w:rsidRPr="00BE40DA">
        <w:rPr>
          <w:rFonts w:eastAsia="Times New Roman" w:cs="Arial"/>
          <w:color w:val="000000"/>
          <w:lang w:val="en-US"/>
        </w:rPr>
        <w:t xml:space="preserve">mg/dl) </w:t>
      </w:r>
      <w:r w:rsidRPr="00BE40DA">
        <w:rPr>
          <w:rFonts w:eastAsia="Times New Roman" w:cs="Arial"/>
          <w:color w:val="000000"/>
          <w:lang w:eastAsia="bg-BG"/>
        </w:rPr>
        <w:t>се наблюдава при 1,1% и 0,4% от пациентите, лекувани със сорафениб, и при 0,5% и 0% от пациентите в групата на плацебо, съответно в проучване 1 и 3. Етиологията на хипокалциемията, свързана със сорафениб, не е известна.</w:t>
      </w:r>
    </w:p>
    <w:p w14:paraId="2CBC9569" w14:textId="77777777" w:rsidR="00BE40DA" w:rsidRPr="00BE40DA" w:rsidRDefault="00BE40DA" w:rsidP="00BE40DA">
      <w:pPr>
        <w:spacing w:line="240" w:lineRule="auto"/>
        <w:rPr>
          <w:rFonts w:eastAsia="Times New Roman" w:cs="Arial"/>
          <w:color w:val="000000"/>
          <w:lang w:eastAsia="bg-BG"/>
        </w:rPr>
      </w:pPr>
    </w:p>
    <w:p w14:paraId="7149745E" w14:textId="34549A9F" w:rsidR="00BE40DA" w:rsidRPr="00BE40DA" w:rsidRDefault="00BE40DA" w:rsidP="00BE40DA">
      <w:pPr>
        <w:spacing w:line="240" w:lineRule="auto"/>
        <w:rPr>
          <w:rFonts w:eastAsia="Times New Roman" w:cs="Arial"/>
          <w:lang w:eastAsia="bg-BG"/>
        </w:rPr>
      </w:pPr>
      <w:r w:rsidRPr="00BE40DA">
        <w:rPr>
          <w:rFonts w:eastAsia="Times New Roman" w:cs="Arial"/>
          <w:color w:val="000000"/>
          <w:lang w:eastAsia="bg-BG"/>
        </w:rPr>
        <w:t>При проучвания 1 и 3 се наблюдава понижение на калия при 5,4% и 9,5% от пациентите на лечение със сорафениб в сравнение със съответно 0,7% и 5,9% от пациентите на плацебо. Повечето от съобщаваните случаи на хипокалиемия са с ниска степен (</w:t>
      </w:r>
      <w:r w:rsidRPr="00BE40DA">
        <w:rPr>
          <w:rFonts w:eastAsia="Times New Roman" w:cs="Arial"/>
          <w:color w:val="000000"/>
          <w:lang w:val="en-US"/>
        </w:rPr>
        <w:t xml:space="preserve">CTCAE </w:t>
      </w:r>
      <w:r w:rsidRPr="00BE40DA">
        <w:rPr>
          <w:rFonts w:eastAsia="Times New Roman" w:cs="Arial"/>
          <w:color w:val="000000"/>
          <w:lang w:eastAsia="bg-BG"/>
        </w:rPr>
        <w:t>степен 1). При</w:t>
      </w:r>
    </w:p>
    <w:p w14:paraId="2E04DF7B" w14:textId="77777777" w:rsidR="00BE40DA" w:rsidRPr="00BE40DA" w:rsidRDefault="00BE40DA" w:rsidP="00BE40DA">
      <w:pPr>
        <w:rPr>
          <w:rFonts w:eastAsia="Times New Roman" w:cs="Arial"/>
          <w:lang w:eastAsia="bg-BG"/>
        </w:rPr>
      </w:pPr>
      <w:r w:rsidRPr="00BE40DA">
        <w:rPr>
          <w:rFonts w:eastAsia="Times New Roman" w:cs="Arial"/>
          <w:color w:val="000000"/>
          <w:lang w:eastAsia="bg-BG"/>
        </w:rPr>
        <w:t>тези проучвания хипокалиемия СТСАЕ степен 3 се развива при 1,1% и 0,4% от пациентите на</w:t>
      </w:r>
      <w:r w:rsidRPr="00BE40DA">
        <w:rPr>
          <w:rFonts w:eastAsia="Times New Roman" w:cs="Arial"/>
          <w:color w:val="000000"/>
          <w:lang w:eastAsia="bg-BG"/>
        </w:rPr>
        <w:t xml:space="preserve"> </w:t>
      </w:r>
      <w:r w:rsidRPr="00BE40DA">
        <w:rPr>
          <w:rFonts w:eastAsia="Times New Roman" w:cs="Arial"/>
          <w:color w:val="000000"/>
          <w:lang w:eastAsia="bg-BG"/>
        </w:rPr>
        <w:t>лечение със сорафениб и при 0,2% и 0,7% от пациентите в групата на плацебо. Няма съобщения за хипокалиемия СТСАЕ степен 4.</w:t>
      </w:r>
    </w:p>
    <w:p w14:paraId="1412E93C" w14:textId="77777777" w:rsidR="00BE40DA" w:rsidRPr="00BE40DA" w:rsidRDefault="00BE40DA" w:rsidP="00BE40DA">
      <w:pPr>
        <w:spacing w:line="240" w:lineRule="auto"/>
        <w:rPr>
          <w:rFonts w:eastAsia="Times New Roman" w:cs="Arial"/>
          <w:color w:val="000000"/>
          <w:u w:val="single"/>
          <w:lang w:eastAsia="bg-BG"/>
        </w:rPr>
      </w:pPr>
    </w:p>
    <w:p w14:paraId="0BFE2DDB" w14:textId="7F7058FD" w:rsidR="00BE40DA" w:rsidRPr="00BE40DA" w:rsidRDefault="00BE40DA" w:rsidP="00BE40DA">
      <w:pPr>
        <w:spacing w:line="240" w:lineRule="auto"/>
        <w:rPr>
          <w:rFonts w:eastAsia="Times New Roman" w:cs="Arial"/>
          <w:lang w:eastAsia="bg-BG"/>
        </w:rPr>
      </w:pPr>
      <w:r w:rsidRPr="00BE40DA">
        <w:rPr>
          <w:rFonts w:eastAsia="Times New Roman" w:cs="Arial"/>
          <w:color w:val="000000"/>
          <w:u w:val="single"/>
          <w:lang w:eastAsia="bg-BG"/>
        </w:rPr>
        <w:t>Съобщаване на подозирани нежелани реакции</w:t>
      </w:r>
    </w:p>
    <w:p w14:paraId="3131D891" w14:textId="77777777" w:rsidR="00BE40DA" w:rsidRPr="00BE40DA" w:rsidRDefault="00BE40DA" w:rsidP="00BE40DA">
      <w:pPr>
        <w:spacing w:line="240" w:lineRule="auto"/>
        <w:rPr>
          <w:rFonts w:eastAsia="Times New Roman" w:cs="Arial"/>
          <w:lang w:eastAsia="bg-BG"/>
        </w:rPr>
      </w:pPr>
      <w:r w:rsidRPr="00BE40D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8903417, уебсайт: </w:t>
      </w:r>
      <w:r w:rsidRPr="00BE40DA">
        <w:rPr>
          <w:rFonts w:eastAsia="Times New Roman" w:cs="Arial"/>
          <w:lang w:eastAsia="bg-BG"/>
        </w:rPr>
        <w:fldChar w:fldCharType="begin"/>
      </w:r>
      <w:r w:rsidRPr="00BE40DA">
        <w:rPr>
          <w:rFonts w:eastAsia="Times New Roman" w:cs="Arial"/>
          <w:lang w:eastAsia="bg-BG"/>
        </w:rPr>
        <w:instrText xml:space="preserve"> HYPERLINK "http://www.bda.bg" </w:instrText>
      </w:r>
      <w:r w:rsidRPr="00BE40DA">
        <w:rPr>
          <w:rFonts w:eastAsia="Times New Roman" w:cs="Arial"/>
          <w:lang w:eastAsia="bg-BG"/>
        </w:rPr>
      </w:r>
      <w:r w:rsidRPr="00BE40DA">
        <w:rPr>
          <w:rFonts w:eastAsia="Times New Roman" w:cs="Arial"/>
          <w:lang w:eastAsia="bg-BG"/>
        </w:rPr>
        <w:fldChar w:fldCharType="separate"/>
      </w:r>
      <w:r w:rsidRPr="00BE40DA">
        <w:rPr>
          <w:rFonts w:eastAsia="Times New Roman" w:cs="Arial"/>
          <w:color w:val="000000"/>
          <w:lang w:val="en-US"/>
        </w:rPr>
        <w:t>www.bda.bg</w:t>
      </w:r>
      <w:r w:rsidRPr="00BE40DA">
        <w:rPr>
          <w:rFonts w:eastAsia="Times New Roman" w:cs="Arial"/>
          <w:lang w:eastAsia="bg-BG"/>
        </w:rPr>
        <w:fldChar w:fldCharType="end"/>
      </w:r>
      <w:r w:rsidRPr="00BE40DA">
        <w:rPr>
          <w:rFonts w:eastAsia="Times New Roman" w:cs="Arial"/>
          <w:color w:val="000000"/>
          <w:lang w:val="en-US"/>
        </w:rPr>
        <w:t>.</w:t>
      </w:r>
    </w:p>
    <w:p w14:paraId="20514EE5" w14:textId="77777777" w:rsidR="00BE40DA" w:rsidRPr="000128A4" w:rsidRDefault="00BE40DA" w:rsidP="000128A4"/>
    <w:p w14:paraId="5A87DBA3" w14:textId="6DCC99DD" w:rsidR="007122AD" w:rsidRDefault="002C50EE" w:rsidP="00936AD0">
      <w:pPr>
        <w:pStyle w:val="Heading2"/>
      </w:pPr>
      <w:r>
        <w:t>4.9. Предозиране</w:t>
      </w:r>
    </w:p>
    <w:p w14:paraId="5D37A76C" w14:textId="3B1EC90E" w:rsidR="00BE40DA" w:rsidRDefault="00BE40DA" w:rsidP="00BE40DA"/>
    <w:p w14:paraId="3747F84D" w14:textId="70A3B2B6" w:rsidR="00BE40DA" w:rsidRDefault="00BE40DA" w:rsidP="00BE40DA">
      <w:pPr>
        <w:rPr>
          <w:sz w:val="24"/>
          <w:szCs w:val="24"/>
          <w:lang w:eastAsia="bg-BG"/>
        </w:rPr>
      </w:pPr>
      <w:r w:rsidRPr="00BE40DA">
        <w:rPr>
          <w:lang w:eastAsia="bg-BG"/>
        </w:rPr>
        <w:t xml:space="preserve">Няма специфично лечение при предозирането на сорафениб. Най-високата доза сорафениб, проучвана клинично е 800 </w:t>
      </w:r>
      <w:r w:rsidRPr="00BE40DA">
        <w:rPr>
          <w:lang w:val="en-US"/>
        </w:rPr>
        <w:t xml:space="preserve">mg, </w:t>
      </w:r>
      <w:r w:rsidRPr="00BE40DA">
        <w:rPr>
          <w:lang w:eastAsia="bg-BG"/>
        </w:rPr>
        <w:t>два пъти дневно. Нежеланите реакции, наблюдавани при тази доза са били предимно диария и дерматологични прояви. В случай на подозирано предозиране, употребата на сорафениб трябва да се прекрати и да се започне поддържащо лечение, когато е необходимо.</w:t>
      </w:r>
    </w:p>
    <w:p w14:paraId="530BEFA5" w14:textId="77777777" w:rsidR="00BE40DA" w:rsidRPr="00BE40DA" w:rsidRDefault="00BE40DA" w:rsidP="00BE40DA">
      <w:pPr>
        <w:rPr>
          <w:sz w:val="24"/>
          <w:szCs w:val="24"/>
          <w:lang w:eastAsia="bg-BG"/>
        </w:rPr>
      </w:pPr>
    </w:p>
    <w:p w14:paraId="02081B24" w14:textId="36FE76F4" w:rsidR="00395555" w:rsidRPr="00395555" w:rsidRDefault="002C50EE" w:rsidP="008A6AF2">
      <w:pPr>
        <w:pStyle w:val="Heading1"/>
      </w:pPr>
      <w:r>
        <w:t>5. ФАРМАКОЛОГИЧНИ СВОЙСТВА</w:t>
      </w:r>
    </w:p>
    <w:p w14:paraId="68A24A1A" w14:textId="1BED9487" w:rsidR="001A6EBD" w:rsidRDefault="002C50EE" w:rsidP="00471F10">
      <w:pPr>
        <w:pStyle w:val="Heading2"/>
      </w:pPr>
      <w:r>
        <w:t>5.1. Фармакодинамични свойства</w:t>
      </w:r>
    </w:p>
    <w:p w14:paraId="0467C40E" w14:textId="0BF56CC7" w:rsidR="00BE40DA" w:rsidRDefault="00BE40DA" w:rsidP="00BE40DA"/>
    <w:p w14:paraId="2D7F02F4"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lastRenderedPageBreak/>
        <w:t xml:space="preserve">Фармакотерапевтична група: Антинеопластични средства, протеинкиназни инхибитори, АТС код: </w:t>
      </w:r>
      <w:r w:rsidRPr="00BE40DA">
        <w:rPr>
          <w:rFonts w:eastAsia="Times New Roman" w:cs="Arial"/>
          <w:color w:val="000000"/>
          <w:lang w:val="en-US"/>
        </w:rPr>
        <w:t>L01EX02.</w:t>
      </w:r>
    </w:p>
    <w:p w14:paraId="30E14283" w14:textId="77777777" w:rsidR="00BE40DA" w:rsidRPr="00BE40DA" w:rsidRDefault="00BE40DA" w:rsidP="00BE40DA">
      <w:pPr>
        <w:spacing w:line="240" w:lineRule="auto"/>
        <w:rPr>
          <w:rFonts w:eastAsia="Times New Roman" w:cs="Arial"/>
          <w:color w:val="000000"/>
          <w:lang w:eastAsia="bg-BG"/>
        </w:rPr>
      </w:pPr>
    </w:p>
    <w:p w14:paraId="7CA10C33" w14:textId="089E02E2"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Сорафениб е мултикиназен инхибитор, който проявява антипролиферативни и антиангиогенни свойства </w:t>
      </w:r>
      <w:r w:rsidRPr="00BE40DA">
        <w:rPr>
          <w:rFonts w:eastAsia="Times New Roman" w:cs="Arial"/>
          <w:i/>
          <w:iCs/>
          <w:color w:val="000000"/>
          <w:lang w:val="en-US"/>
        </w:rPr>
        <w:t xml:space="preserve">in vitro </w:t>
      </w:r>
      <w:r w:rsidRPr="00BE40DA">
        <w:rPr>
          <w:rFonts w:eastAsia="Times New Roman" w:cs="Arial"/>
          <w:i/>
          <w:iCs/>
          <w:color w:val="000000"/>
          <w:lang w:eastAsia="bg-BG"/>
        </w:rPr>
        <w:t xml:space="preserve">и </w:t>
      </w:r>
      <w:r w:rsidRPr="00BE40DA">
        <w:rPr>
          <w:rFonts w:eastAsia="Times New Roman" w:cs="Arial"/>
          <w:i/>
          <w:iCs/>
          <w:color w:val="000000"/>
          <w:lang w:val="en-US"/>
        </w:rPr>
        <w:t>in vivo.</w:t>
      </w:r>
    </w:p>
    <w:p w14:paraId="33A91B4F" w14:textId="77777777" w:rsidR="00BE40DA" w:rsidRPr="00BE40DA" w:rsidRDefault="00BE40DA" w:rsidP="00BE40DA">
      <w:pPr>
        <w:spacing w:line="240" w:lineRule="auto"/>
        <w:rPr>
          <w:rFonts w:eastAsia="Times New Roman" w:cs="Arial"/>
          <w:color w:val="000000"/>
          <w:u w:val="single"/>
          <w:lang w:eastAsia="bg-BG"/>
        </w:rPr>
      </w:pPr>
    </w:p>
    <w:p w14:paraId="495DFE42" w14:textId="4CC16E16"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u w:val="single"/>
          <w:lang w:eastAsia="bg-BG"/>
        </w:rPr>
        <w:t>Механизъм на действие и фармакодинамични ефекти</w:t>
      </w:r>
    </w:p>
    <w:p w14:paraId="35EFFC06"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Сорафениб е мултикиназен инхибитор, който намалява пролиферацията на туморни клетки </w:t>
      </w:r>
      <w:r w:rsidRPr="00BE40DA">
        <w:rPr>
          <w:rFonts w:eastAsia="Times New Roman" w:cs="Arial"/>
          <w:i/>
          <w:iCs/>
          <w:color w:val="000000"/>
          <w:lang w:val="en-US"/>
        </w:rPr>
        <w:t>in vitro.</w:t>
      </w:r>
      <w:r w:rsidRPr="00BE40DA">
        <w:rPr>
          <w:rFonts w:eastAsia="Times New Roman" w:cs="Arial"/>
          <w:color w:val="000000"/>
          <w:lang w:val="en-US"/>
        </w:rPr>
        <w:t xml:space="preserve"> </w:t>
      </w:r>
      <w:r w:rsidRPr="00BE40DA">
        <w:rPr>
          <w:rFonts w:eastAsia="Times New Roman" w:cs="Arial"/>
          <w:color w:val="000000"/>
          <w:lang w:eastAsia="bg-BG"/>
        </w:rPr>
        <w:t xml:space="preserve">Сорафениб инхибира туморния растеж на широк спектър човешки туморни присадки в мишки с отстранен тимус, придружени от редукция на туморната ангиогенеза. Сорафениб инхибира активността на таргетите, присъстващи в туморната клетка </w:t>
      </w:r>
      <w:r w:rsidRPr="00BE40DA">
        <w:rPr>
          <w:rFonts w:eastAsia="Times New Roman" w:cs="Arial"/>
          <w:color w:val="000000"/>
          <w:lang w:val="en-US"/>
        </w:rPr>
        <w:t xml:space="preserve">(CRAF, BRAF, V600E BRAF, c-K.IT </w:t>
      </w:r>
      <w:r w:rsidRPr="00BE40DA">
        <w:rPr>
          <w:rFonts w:eastAsia="Times New Roman" w:cs="Arial"/>
          <w:color w:val="000000"/>
          <w:lang w:eastAsia="bg-BG"/>
        </w:rPr>
        <w:t xml:space="preserve">и </w:t>
      </w:r>
      <w:r w:rsidRPr="00BE40DA">
        <w:rPr>
          <w:rFonts w:eastAsia="Times New Roman" w:cs="Arial"/>
          <w:color w:val="000000"/>
          <w:lang w:val="en-US"/>
        </w:rPr>
        <w:t xml:space="preserve">FLT-3) </w:t>
      </w:r>
      <w:r w:rsidRPr="00BE40DA">
        <w:rPr>
          <w:rFonts w:eastAsia="Times New Roman" w:cs="Arial"/>
          <w:color w:val="000000"/>
          <w:lang w:eastAsia="bg-BG"/>
        </w:rPr>
        <w:t xml:space="preserve">и в туморните съдове </w:t>
      </w:r>
      <w:r w:rsidRPr="00BE40DA">
        <w:rPr>
          <w:rFonts w:eastAsia="Times New Roman" w:cs="Arial"/>
          <w:color w:val="000000"/>
          <w:lang w:val="en-US"/>
        </w:rPr>
        <w:t xml:space="preserve">(CRAF, VEGFR-2, VEGFR-3 </w:t>
      </w:r>
      <w:r w:rsidRPr="00BE40DA">
        <w:rPr>
          <w:rFonts w:eastAsia="Times New Roman" w:cs="Arial"/>
          <w:color w:val="000000"/>
          <w:lang w:eastAsia="bg-BG"/>
        </w:rPr>
        <w:t xml:space="preserve">и </w:t>
      </w:r>
      <w:r w:rsidRPr="00BE40DA">
        <w:rPr>
          <w:rFonts w:eastAsia="Times New Roman" w:cs="Arial"/>
          <w:color w:val="000000"/>
          <w:lang w:val="en-US"/>
        </w:rPr>
        <w:t>PDGFR-</w:t>
      </w:r>
      <w:r w:rsidRPr="00BE40DA">
        <w:rPr>
          <w:rFonts w:eastAsia="Times New Roman" w:cs="Arial"/>
          <w:color w:val="000000"/>
          <w:lang w:eastAsia="bg-BG"/>
        </w:rPr>
        <w:t>β</w:t>
      </w:r>
      <w:r w:rsidRPr="00BE40DA">
        <w:rPr>
          <w:rFonts w:eastAsia="Times New Roman" w:cs="Arial"/>
          <w:color w:val="000000"/>
          <w:lang w:val="en-US"/>
        </w:rPr>
        <w:t xml:space="preserve">). RAF- </w:t>
      </w:r>
      <w:r w:rsidRPr="00BE40DA">
        <w:rPr>
          <w:rFonts w:eastAsia="Times New Roman" w:cs="Arial"/>
          <w:color w:val="000000"/>
          <w:lang w:eastAsia="bg-BG"/>
        </w:rPr>
        <w:t>киназите са серин/треонинкинази, докато с-</w:t>
      </w:r>
      <w:r w:rsidRPr="00BE40DA">
        <w:rPr>
          <w:rFonts w:eastAsia="Times New Roman" w:cs="Arial"/>
          <w:color w:val="000000"/>
          <w:lang w:val="en-US"/>
        </w:rPr>
        <w:t>KIT</w:t>
      </w:r>
      <w:r w:rsidRPr="00BE40DA">
        <w:rPr>
          <w:rFonts w:eastAsia="Times New Roman" w:cs="Arial"/>
          <w:color w:val="000000"/>
          <w:lang w:eastAsia="bg-BG"/>
        </w:rPr>
        <w:t xml:space="preserve">, </w:t>
      </w:r>
      <w:r w:rsidRPr="00BE40DA">
        <w:rPr>
          <w:rFonts w:eastAsia="Times New Roman" w:cs="Arial"/>
          <w:color w:val="000000"/>
          <w:lang w:val="en-US"/>
        </w:rPr>
        <w:t xml:space="preserve">FTL-3, VEGFR-2, VEGFR-3 </w:t>
      </w:r>
      <w:r w:rsidRPr="00BE40DA">
        <w:rPr>
          <w:rFonts w:eastAsia="Times New Roman" w:cs="Arial"/>
          <w:color w:val="000000"/>
          <w:lang w:eastAsia="bg-BG"/>
        </w:rPr>
        <w:t xml:space="preserve">и </w:t>
      </w:r>
      <w:r w:rsidRPr="00BE40DA">
        <w:rPr>
          <w:rFonts w:eastAsia="Times New Roman" w:cs="Arial"/>
          <w:color w:val="000000"/>
          <w:lang w:val="en-US"/>
        </w:rPr>
        <w:t>PDGFR-</w:t>
      </w:r>
      <w:r w:rsidRPr="00BE40DA">
        <w:rPr>
          <w:rFonts w:eastAsia="Times New Roman" w:cs="Arial"/>
          <w:color w:val="000000"/>
          <w:lang w:eastAsia="bg-BG"/>
        </w:rPr>
        <w:t>β</w:t>
      </w:r>
      <w:r w:rsidRPr="00BE40DA">
        <w:rPr>
          <w:rFonts w:eastAsia="Times New Roman" w:cs="Arial"/>
          <w:color w:val="000000"/>
          <w:lang w:val="en-US"/>
        </w:rPr>
        <w:t xml:space="preserve"> </w:t>
      </w:r>
      <w:r w:rsidRPr="00BE40DA">
        <w:rPr>
          <w:rFonts w:eastAsia="Times New Roman" w:cs="Arial"/>
          <w:color w:val="000000"/>
          <w:lang w:eastAsia="bg-BG"/>
        </w:rPr>
        <w:t>са рецептор тирозинкинази.</w:t>
      </w:r>
    </w:p>
    <w:p w14:paraId="065696C1" w14:textId="77777777" w:rsidR="00BE40DA" w:rsidRPr="00BE40DA" w:rsidRDefault="00BE40DA" w:rsidP="00BE40DA">
      <w:pPr>
        <w:spacing w:line="240" w:lineRule="auto"/>
        <w:rPr>
          <w:rFonts w:eastAsia="Times New Roman" w:cs="Arial"/>
          <w:color w:val="000000"/>
          <w:u w:val="single"/>
          <w:lang w:eastAsia="bg-BG"/>
        </w:rPr>
      </w:pPr>
    </w:p>
    <w:p w14:paraId="52A4480C" w14:textId="4BB1FD7E"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u w:val="single"/>
          <w:lang w:eastAsia="bg-BG"/>
        </w:rPr>
        <w:t>Клинична ефикасност</w:t>
      </w:r>
    </w:p>
    <w:p w14:paraId="036CD459"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Клиничната безопасност и ефикасност на сорафениб са проучени при пациенти с хепатоцелуларен карцином (НСС) и при пациенти с авансирал бъбречно-клетъчен карцином </w:t>
      </w:r>
      <w:r w:rsidRPr="00BE40DA">
        <w:rPr>
          <w:rFonts w:eastAsia="Times New Roman" w:cs="Arial"/>
          <w:color w:val="000000"/>
          <w:lang w:val="en-US"/>
        </w:rPr>
        <w:t>(RCC).</w:t>
      </w:r>
    </w:p>
    <w:p w14:paraId="2825C2E1" w14:textId="77777777" w:rsidR="00BE40DA" w:rsidRPr="00BE40DA" w:rsidRDefault="00BE40DA" w:rsidP="00BE40DA">
      <w:pPr>
        <w:spacing w:line="240" w:lineRule="auto"/>
        <w:rPr>
          <w:rFonts w:eastAsia="Times New Roman" w:cs="Arial"/>
          <w:color w:val="000000"/>
          <w:u w:val="single"/>
          <w:lang w:eastAsia="bg-BG"/>
        </w:rPr>
      </w:pPr>
    </w:p>
    <w:p w14:paraId="011B0199" w14:textId="79896CF4"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u w:val="single"/>
          <w:lang w:eastAsia="bg-BG"/>
        </w:rPr>
        <w:t>Хепатоцелуларен карцином</w:t>
      </w:r>
    </w:p>
    <w:p w14:paraId="615ACDFB" w14:textId="4DBA2527" w:rsidR="00BE40DA" w:rsidRPr="00BE40DA" w:rsidRDefault="00BE40DA" w:rsidP="00BE40DA">
      <w:pPr>
        <w:spacing w:line="240" w:lineRule="auto"/>
        <w:rPr>
          <w:rFonts w:eastAsia="Times New Roman" w:cs="Arial"/>
          <w:color w:val="000000"/>
          <w:lang w:eastAsia="bg-BG"/>
        </w:rPr>
      </w:pPr>
      <w:r w:rsidRPr="00BE40DA">
        <w:rPr>
          <w:rFonts w:eastAsia="Times New Roman" w:cs="Arial"/>
          <w:color w:val="000000"/>
          <w:lang w:eastAsia="bg-BG"/>
        </w:rPr>
        <w:t xml:space="preserve">Проучване 3 (проучване 100554) е фаза </w:t>
      </w:r>
      <w:r w:rsidRPr="00BE40DA">
        <w:rPr>
          <w:rFonts w:eastAsia="Times New Roman" w:cs="Arial"/>
          <w:color w:val="000000"/>
          <w:lang w:val="en-US"/>
        </w:rPr>
        <w:t>III</w:t>
      </w:r>
      <w:r w:rsidRPr="00BE40DA">
        <w:rPr>
          <w:rFonts w:eastAsia="Times New Roman" w:cs="Arial"/>
          <w:color w:val="000000"/>
          <w:lang w:eastAsia="bg-BG"/>
        </w:rPr>
        <w:t>, международно, многоцентрово, рандомизирано, двойно сляпо, плацебо-контролирано проучване при 602 пациенти с хепатоцелуларен карцином. Демографските показатели и характеристиките на заболяването на изходно ниво са били сравними между групата на сорафениб и плацебо групата по отношение на</w:t>
      </w:r>
      <w:r w:rsidRPr="00BE40DA">
        <w:rPr>
          <w:rFonts w:eastAsia="Times New Roman" w:cs="Arial"/>
          <w:color w:val="000000"/>
          <w:lang w:val="en-US"/>
        </w:rPr>
        <w:t xml:space="preserve"> ECOG </w:t>
      </w:r>
      <w:r w:rsidRPr="00BE40DA">
        <w:rPr>
          <w:rFonts w:eastAsia="Times New Roman" w:cs="Arial"/>
          <w:color w:val="000000"/>
          <w:lang w:eastAsia="bg-BG"/>
        </w:rPr>
        <w:t xml:space="preserve">статус (статус 0: 54% спрямо 54%; статус 1: 38% спрямо 39%; статус 2: 8% спрямо 7%). </w:t>
      </w:r>
      <w:r w:rsidRPr="00BE40DA">
        <w:rPr>
          <w:rFonts w:eastAsia="Times New Roman" w:cs="Arial"/>
          <w:color w:val="000000"/>
          <w:lang w:val="en-US"/>
        </w:rPr>
        <w:t xml:space="preserve">TNM </w:t>
      </w:r>
      <w:r w:rsidRPr="00BE40DA">
        <w:rPr>
          <w:rFonts w:eastAsia="Times New Roman" w:cs="Arial"/>
          <w:color w:val="000000"/>
          <w:lang w:eastAsia="bg-BG"/>
        </w:rPr>
        <w:t xml:space="preserve">стадий (стадий I: &lt;1% спрямо &lt;1%; стадий </w:t>
      </w:r>
      <w:r w:rsidRPr="00BE40DA">
        <w:rPr>
          <w:rFonts w:eastAsia="Times New Roman" w:cs="Arial"/>
          <w:color w:val="000000"/>
          <w:lang w:val="en-US"/>
        </w:rPr>
        <w:t>II</w:t>
      </w:r>
      <w:r w:rsidRPr="00BE40DA">
        <w:rPr>
          <w:rFonts w:eastAsia="Times New Roman" w:cs="Arial"/>
          <w:color w:val="000000"/>
          <w:lang w:eastAsia="bg-BG"/>
        </w:rPr>
        <w:t xml:space="preserve">: 10,4% спрямо 8,3%; стадий </w:t>
      </w:r>
      <w:r w:rsidRPr="00BE40DA">
        <w:rPr>
          <w:rFonts w:eastAsia="Times New Roman" w:cs="Arial"/>
          <w:color w:val="000000"/>
          <w:lang w:val="en-US"/>
        </w:rPr>
        <w:t>III</w:t>
      </w:r>
      <w:r w:rsidRPr="00BE40DA">
        <w:rPr>
          <w:rFonts w:eastAsia="Times New Roman" w:cs="Arial"/>
          <w:color w:val="000000"/>
          <w:lang w:eastAsia="bg-BG"/>
        </w:rPr>
        <w:t>: 37,8%</w:t>
      </w:r>
      <w:r w:rsidRPr="00BE40DA">
        <w:rPr>
          <w:rFonts w:eastAsia="Times New Roman" w:cs="Arial"/>
          <w:color w:val="000000"/>
          <w:lang w:val="en-US"/>
        </w:rPr>
        <w:t xml:space="preserve"> </w:t>
      </w:r>
      <w:r w:rsidRPr="00BE40DA">
        <w:rPr>
          <w:rFonts w:eastAsia="Times New Roman" w:cs="Arial"/>
          <w:color w:val="000000"/>
          <w:lang w:eastAsia="bg-BG"/>
        </w:rPr>
        <w:t>спрямо 43,6%</w:t>
      </w:r>
      <w:r w:rsidRPr="00BE40DA">
        <w:rPr>
          <w:rFonts w:eastAsia="Times New Roman" w:cs="Arial"/>
          <w:sz w:val="24"/>
          <w:szCs w:val="24"/>
          <w:lang w:eastAsia="bg-BG"/>
        </w:rPr>
        <w:t xml:space="preserve"> </w:t>
      </w:r>
      <w:r w:rsidRPr="00BE40DA">
        <w:rPr>
          <w:rFonts w:eastAsia="Times New Roman" w:cs="Arial"/>
          <w:color w:val="000000"/>
          <w:lang w:eastAsia="bg-BG"/>
        </w:rPr>
        <w:t xml:space="preserve">стадий IV: 50,8% спрямо 46,9%) и </w:t>
      </w:r>
      <w:r w:rsidRPr="00BE40DA">
        <w:rPr>
          <w:rFonts w:eastAsia="Times New Roman" w:cs="Arial"/>
          <w:color w:val="000000"/>
          <w:lang w:val="en-US"/>
        </w:rPr>
        <w:t xml:space="preserve">BCLC </w:t>
      </w:r>
      <w:r w:rsidRPr="00BE40DA">
        <w:rPr>
          <w:rFonts w:eastAsia="Times New Roman" w:cs="Arial"/>
          <w:color w:val="000000"/>
          <w:lang w:eastAsia="bg-BG"/>
        </w:rPr>
        <w:t xml:space="preserve">стадий (стадий В: 18,1% спрямо 16,8%; стадии </w:t>
      </w:r>
      <w:r w:rsidRPr="00BE40DA">
        <w:rPr>
          <w:rFonts w:eastAsia="Times New Roman" w:cs="Arial"/>
          <w:color w:val="000000"/>
          <w:lang w:val="en-US"/>
        </w:rPr>
        <w:t>C:</w:t>
      </w:r>
      <w:r w:rsidRPr="00BE40DA">
        <w:rPr>
          <w:rFonts w:eastAsia="Times New Roman" w:cs="Arial"/>
          <w:color w:val="000000"/>
          <w:lang w:eastAsia="bg-BG"/>
        </w:rPr>
        <w:t xml:space="preserve"> 81,6% спрямо 83,2%; стадий </w:t>
      </w:r>
      <w:r w:rsidRPr="00BE40DA">
        <w:rPr>
          <w:rFonts w:eastAsia="Times New Roman" w:cs="Arial"/>
          <w:color w:val="000000"/>
          <w:lang w:val="en-US"/>
        </w:rPr>
        <w:t xml:space="preserve">D: </w:t>
      </w:r>
      <w:r w:rsidRPr="00BE40DA">
        <w:rPr>
          <w:rFonts w:eastAsia="Times New Roman" w:cs="Arial"/>
          <w:color w:val="000000"/>
          <w:lang w:eastAsia="bg-BG"/>
        </w:rPr>
        <w:t>&lt;1% спрямо 0 %).</w:t>
      </w:r>
    </w:p>
    <w:p w14:paraId="79303AAE" w14:textId="4A482C88" w:rsidR="00BE40DA" w:rsidRPr="00BE40DA" w:rsidRDefault="00BE40DA" w:rsidP="00BE40DA">
      <w:pPr>
        <w:spacing w:line="240" w:lineRule="auto"/>
        <w:rPr>
          <w:rFonts w:eastAsia="Times New Roman" w:cs="Arial"/>
          <w:color w:val="000000"/>
          <w:lang w:eastAsia="bg-BG"/>
        </w:rPr>
      </w:pPr>
    </w:p>
    <w:p w14:paraId="35CC96D4"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Проучването е спряно, след като планиран междинен анализ на </w:t>
      </w:r>
      <w:r w:rsidRPr="00BE40DA">
        <w:rPr>
          <w:rFonts w:eastAsia="Times New Roman" w:cs="Arial"/>
          <w:color w:val="000000"/>
          <w:lang w:val="en-US"/>
        </w:rPr>
        <w:t xml:space="preserve">OS </w:t>
      </w:r>
      <w:r w:rsidRPr="00BE40DA">
        <w:rPr>
          <w:rFonts w:eastAsia="Times New Roman" w:cs="Arial"/>
          <w:color w:val="000000"/>
          <w:lang w:eastAsia="bg-BG"/>
        </w:rPr>
        <w:t xml:space="preserve">е преминал предварително определената граница на ефикасност. Този анализ на </w:t>
      </w:r>
      <w:r w:rsidRPr="00BE40DA">
        <w:rPr>
          <w:rFonts w:eastAsia="Times New Roman" w:cs="Arial"/>
          <w:color w:val="000000"/>
          <w:lang w:val="en-US"/>
        </w:rPr>
        <w:t xml:space="preserve">OS </w:t>
      </w:r>
      <w:r w:rsidRPr="00BE40DA">
        <w:rPr>
          <w:rFonts w:eastAsia="Times New Roman" w:cs="Arial"/>
          <w:color w:val="000000"/>
          <w:lang w:eastAsia="bg-BG"/>
        </w:rPr>
        <w:t xml:space="preserve">показва статистически значимо предимство на сорафениб спрямо плацебо за </w:t>
      </w:r>
      <w:r w:rsidRPr="00BE40DA">
        <w:rPr>
          <w:rFonts w:eastAsia="Times New Roman" w:cs="Arial"/>
          <w:color w:val="000000"/>
          <w:lang w:val="en-US"/>
        </w:rPr>
        <w:t xml:space="preserve">OS (HR: </w:t>
      </w:r>
      <w:r w:rsidRPr="00BE40DA">
        <w:rPr>
          <w:rFonts w:eastAsia="Times New Roman" w:cs="Arial"/>
          <w:color w:val="000000"/>
          <w:lang w:eastAsia="bg-BG"/>
        </w:rPr>
        <w:t>0,69, р=0,00058, вж. таблица 2).</w:t>
      </w:r>
    </w:p>
    <w:p w14:paraId="13C19E6B" w14:textId="77777777" w:rsidR="00BE40DA" w:rsidRPr="00BE40DA" w:rsidRDefault="00BE40DA" w:rsidP="00BE40DA">
      <w:pPr>
        <w:spacing w:line="240" w:lineRule="auto"/>
        <w:rPr>
          <w:rFonts w:eastAsia="Times New Roman" w:cs="Arial"/>
          <w:color w:val="000000"/>
          <w:lang w:eastAsia="bg-BG"/>
        </w:rPr>
      </w:pPr>
    </w:p>
    <w:p w14:paraId="04C30B53" w14:textId="5F17165C"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Има ограничени данни от това проучване при пациенти с чернодробно увреждане </w:t>
      </w:r>
      <w:r w:rsidRPr="00BE40DA">
        <w:rPr>
          <w:rFonts w:eastAsia="Times New Roman" w:cs="Arial"/>
          <w:color w:val="000000"/>
          <w:lang w:val="en-US"/>
        </w:rPr>
        <w:t xml:space="preserve">Child Pugh </w:t>
      </w:r>
      <w:r w:rsidRPr="00BE40DA">
        <w:rPr>
          <w:rFonts w:eastAsia="Times New Roman" w:cs="Arial"/>
          <w:color w:val="000000"/>
          <w:lang w:eastAsia="bg-BG"/>
        </w:rPr>
        <w:t xml:space="preserve">В и е включен само един пациент с </w:t>
      </w:r>
      <w:r w:rsidRPr="00BE40DA">
        <w:rPr>
          <w:rFonts w:eastAsia="Times New Roman" w:cs="Arial"/>
          <w:color w:val="000000"/>
          <w:lang w:val="en-US"/>
        </w:rPr>
        <w:t xml:space="preserve">Child Pugh </w:t>
      </w:r>
      <w:r w:rsidRPr="00BE40DA">
        <w:rPr>
          <w:rFonts w:eastAsia="Times New Roman" w:cs="Arial"/>
          <w:color w:val="000000"/>
          <w:lang w:eastAsia="bg-BG"/>
        </w:rPr>
        <w:t>С.</w:t>
      </w:r>
    </w:p>
    <w:p w14:paraId="04918E91" w14:textId="77777777" w:rsidR="00BE40DA" w:rsidRPr="00BE40DA" w:rsidRDefault="00BE40DA" w:rsidP="00BE40DA">
      <w:pPr>
        <w:spacing w:line="240" w:lineRule="auto"/>
        <w:rPr>
          <w:rFonts w:eastAsia="Times New Roman" w:cs="Arial"/>
          <w:b/>
          <w:bCs/>
          <w:color w:val="000000"/>
          <w:lang w:eastAsia="bg-BG"/>
        </w:rPr>
      </w:pPr>
    </w:p>
    <w:p w14:paraId="49962D7E" w14:textId="3748F2A6" w:rsidR="00BE40DA" w:rsidRPr="00BE40DA" w:rsidRDefault="00BE40DA" w:rsidP="00BE40DA">
      <w:pPr>
        <w:spacing w:line="240" w:lineRule="auto"/>
        <w:rPr>
          <w:rFonts w:eastAsia="Times New Roman" w:cs="Arial"/>
          <w:sz w:val="24"/>
          <w:szCs w:val="24"/>
          <w:lang w:eastAsia="bg-BG"/>
        </w:rPr>
      </w:pPr>
      <w:r w:rsidRPr="00BE40DA">
        <w:rPr>
          <w:rFonts w:eastAsia="Times New Roman" w:cs="Arial"/>
          <w:b/>
          <w:bCs/>
          <w:color w:val="000000"/>
          <w:lang w:eastAsia="bg-BG"/>
        </w:rPr>
        <w:t xml:space="preserve">Таблица </w:t>
      </w:r>
      <w:r w:rsidRPr="00BE40DA">
        <w:rPr>
          <w:rFonts w:eastAsia="Times New Roman" w:cs="Arial"/>
          <w:b/>
          <w:bCs/>
          <w:i/>
          <w:iCs/>
          <w:color w:val="000000"/>
          <w:lang w:eastAsia="bg-BG"/>
        </w:rPr>
        <w:t>2: Резултати</w:t>
      </w:r>
      <w:r w:rsidRPr="00BE40DA">
        <w:rPr>
          <w:rFonts w:eastAsia="Times New Roman" w:cs="Arial"/>
          <w:b/>
          <w:bCs/>
          <w:color w:val="000000"/>
          <w:lang w:eastAsia="bg-BG"/>
        </w:rPr>
        <w:t xml:space="preserve"> за ефикасност от проучване 3 (проучване 100554) при хепатоцелуларен карцином</w:t>
      </w:r>
    </w:p>
    <w:tbl>
      <w:tblPr>
        <w:tblStyle w:val="TableGrid"/>
        <w:tblW w:w="0" w:type="auto"/>
        <w:tblLook w:val="04A0" w:firstRow="1" w:lastRow="0" w:firstColumn="1" w:lastColumn="0" w:noHBand="0" w:noVBand="1"/>
      </w:tblPr>
      <w:tblGrid>
        <w:gridCol w:w="1889"/>
        <w:gridCol w:w="1875"/>
        <w:gridCol w:w="1859"/>
        <w:gridCol w:w="1860"/>
        <w:gridCol w:w="1867"/>
      </w:tblGrid>
      <w:tr w:rsidR="00BE40DA" w14:paraId="79ED4DD2" w14:textId="77777777" w:rsidTr="00BE40DA">
        <w:tc>
          <w:tcPr>
            <w:tcW w:w="1900" w:type="dxa"/>
          </w:tcPr>
          <w:p w14:paraId="3F008CA3" w14:textId="21122D1D" w:rsidR="00BE40DA" w:rsidRPr="00BE40DA" w:rsidRDefault="00BE40DA" w:rsidP="00BE40DA">
            <w:pPr>
              <w:spacing w:line="240" w:lineRule="auto"/>
              <w:rPr>
                <w:rFonts w:ascii="Times New Roman" w:eastAsia="Times New Roman" w:hAnsi="Times New Roman" w:cs="Times New Roman"/>
                <w:lang w:eastAsia="bg-BG"/>
              </w:rPr>
            </w:pPr>
            <w:r w:rsidRPr="00BE40DA">
              <w:t>Параметри на ефикасност</w:t>
            </w:r>
          </w:p>
        </w:tc>
        <w:tc>
          <w:tcPr>
            <w:tcW w:w="1900" w:type="dxa"/>
          </w:tcPr>
          <w:p w14:paraId="13201D83" w14:textId="51596E14" w:rsidR="00BE40DA" w:rsidRPr="00BE40DA" w:rsidRDefault="00BE40DA" w:rsidP="00BE40DA">
            <w:pPr>
              <w:spacing w:line="240" w:lineRule="auto"/>
              <w:rPr>
                <w:rFonts w:ascii="Times New Roman" w:eastAsia="Times New Roman" w:hAnsi="Times New Roman" w:cs="Times New Roman"/>
                <w:lang w:eastAsia="bg-BG"/>
              </w:rPr>
            </w:pPr>
            <w:r w:rsidRPr="00BE40DA">
              <w:t xml:space="preserve">Сорафениб </w:t>
            </w:r>
            <w:r w:rsidRPr="00BE40DA">
              <w:rPr>
                <w:lang w:val="en-US"/>
              </w:rPr>
              <w:t>(N=299)</w:t>
            </w:r>
          </w:p>
        </w:tc>
        <w:tc>
          <w:tcPr>
            <w:tcW w:w="1900" w:type="dxa"/>
          </w:tcPr>
          <w:p w14:paraId="5218EB54" w14:textId="6EE0DD1D" w:rsidR="00BE40DA" w:rsidRPr="00BE40DA" w:rsidRDefault="00BE40DA" w:rsidP="00BE40DA">
            <w:pPr>
              <w:spacing w:line="240" w:lineRule="auto"/>
              <w:rPr>
                <w:rFonts w:ascii="Times New Roman" w:eastAsia="Times New Roman" w:hAnsi="Times New Roman" w:cs="Times New Roman"/>
                <w:lang w:eastAsia="bg-BG"/>
              </w:rPr>
            </w:pPr>
            <w:r w:rsidRPr="00BE40DA">
              <w:t xml:space="preserve">Плацебо </w:t>
            </w:r>
            <w:r w:rsidRPr="00BE40DA">
              <w:rPr>
                <w:lang w:val="en-US"/>
              </w:rPr>
              <w:t>(N=303)</w:t>
            </w:r>
          </w:p>
        </w:tc>
        <w:tc>
          <w:tcPr>
            <w:tcW w:w="1900" w:type="dxa"/>
          </w:tcPr>
          <w:p w14:paraId="2108CCF6" w14:textId="64D1C436" w:rsidR="00BE40DA" w:rsidRPr="00BE40DA" w:rsidRDefault="00BE40DA" w:rsidP="00BE40DA">
            <w:pPr>
              <w:spacing w:line="240" w:lineRule="auto"/>
              <w:rPr>
                <w:rFonts w:ascii="Times New Roman" w:eastAsia="Times New Roman" w:hAnsi="Times New Roman" w:cs="Times New Roman"/>
                <w:lang w:eastAsia="bg-BG"/>
              </w:rPr>
            </w:pPr>
            <w:r w:rsidRPr="00BE40DA">
              <w:t>р-стойност</w:t>
            </w:r>
          </w:p>
        </w:tc>
        <w:tc>
          <w:tcPr>
            <w:tcW w:w="1900" w:type="dxa"/>
          </w:tcPr>
          <w:p w14:paraId="76D271B3" w14:textId="77777777" w:rsidR="00BE40DA" w:rsidRPr="00BE40DA" w:rsidRDefault="00BE40DA" w:rsidP="00BE40DA">
            <w:r w:rsidRPr="00BE40DA">
              <w:rPr>
                <w:lang w:val="en-US"/>
              </w:rPr>
              <w:t>HR</w:t>
            </w:r>
          </w:p>
          <w:p w14:paraId="69ABABDE" w14:textId="0260D4EB" w:rsidR="00BE40DA" w:rsidRPr="00BE40DA" w:rsidRDefault="00BE40DA" w:rsidP="00BE40DA">
            <w:pPr>
              <w:spacing w:line="240" w:lineRule="auto"/>
              <w:rPr>
                <w:rFonts w:ascii="Times New Roman" w:eastAsia="Times New Roman" w:hAnsi="Times New Roman" w:cs="Times New Roman"/>
                <w:lang w:eastAsia="bg-BG"/>
              </w:rPr>
            </w:pPr>
            <w:r w:rsidRPr="00BE40DA">
              <w:t xml:space="preserve">(95% </w:t>
            </w:r>
            <w:r w:rsidRPr="00BE40DA">
              <w:rPr>
                <w:lang w:val="en-US"/>
              </w:rPr>
              <w:t>CI)</w:t>
            </w:r>
          </w:p>
        </w:tc>
      </w:tr>
      <w:tr w:rsidR="00BE40DA" w14:paraId="101D0EE9" w14:textId="77777777" w:rsidTr="00BE40DA">
        <w:tc>
          <w:tcPr>
            <w:tcW w:w="1900" w:type="dxa"/>
          </w:tcPr>
          <w:p w14:paraId="1FCF59E4" w14:textId="57D4FCA2" w:rsidR="00BE40DA" w:rsidRPr="00BE40DA" w:rsidRDefault="00BE40DA" w:rsidP="00BE40DA">
            <w:pPr>
              <w:spacing w:line="240" w:lineRule="auto"/>
              <w:rPr>
                <w:rFonts w:ascii="Times New Roman" w:eastAsia="Times New Roman" w:hAnsi="Times New Roman" w:cs="Times New Roman"/>
                <w:lang w:eastAsia="bg-BG"/>
              </w:rPr>
            </w:pPr>
            <w:r w:rsidRPr="00BE40DA">
              <w:t xml:space="preserve">Обща преживяемост </w:t>
            </w:r>
            <w:r w:rsidRPr="00BE40DA">
              <w:rPr>
                <w:lang w:val="en-US"/>
              </w:rPr>
              <w:t xml:space="preserve">(OS) </w:t>
            </w:r>
            <w:r w:rsidRPr="00BE40DA">
              <w:t xml:space="preserve">[медиана, седмици (95% </w:t>
            </w:r>
            <w:r w:rsidRPr="00BE40DA">
              <w:rPr>
                <w:lang w:val="en-US"/>
              </w:rPr>
              <w:t>CI)]</w:t>
            </w:r>
          </w:p>
        </w:tc>
        <w:tc>
          <w:tcPr>
            <w:tcW w:w="1900" w:type="dxa"/>
          </w:tcPr>
          <w:p w14:paraId="20ECB4B6" w14:textId="77777777" w:rsidR="00BE40DA" w:rsidRPr="00BE40DA" w:rsidRDefault="00BE40DA" w:rsidP="00BE40DA">
            <w:r w:rsidRPr="00BE40DA">
              <w:t>46,3</w:t>
            </w:r>
          </w:p>
          <w:p w14:paraId="70B8492E" w14:textId="33DD7D24" w:rsidR="00BE40DA" w:rsidRPr="00BE40DA" w:rsidRDefault="00BE40DA" w:rsidP="00BE40DA">
            <w:pPr>
              <w:spacing w:line="240" w:lineRule="auto"/>
              <w:rPr>
                <w:rFonts w:ascii="Times New Roman" w:eastAsia="Times New Roman" w:hAnsi="Times New Roman" w:cs="Times New Roman"/>
                <w:lang w:eastAsia="bg-BG"/>
              </w:rPr>
            </w:pPr>
            <w:r w:rsidRPr="00BE40DA">
              <w:t>(40,9, 57,9)</w:t>
            </w:r>
          </w:p>
        </w:tc>
        <w:tc>
          <w:tcPr>
            <w:tcW w:w="1900" w:type="dxa"/>
          </w:tcPr>
          <w:p w14:paraId="53168B72" w14:textId="77777777" w:rsidR="00BE40DA" w:rsidRPr="00BE40DA" w:rsidRDefault="00BE40DA" w:rsidP="00BE40DA">
            <w:r w:rsidRPr="00BE40DA">
              <w:t>34,4</w:t>
            </w:r>
          </w:p>
          <w:p w14:paraId="68DC633E" w14:textId="22F06530" w:rsidR="00BE40DA" w:rsidRPr="00BE40DA" w:rsidRDefault="00BE40DA" w:rsidP="00BE40DA">
            <w:pPr>
              <w:spacing w:line="240" w:lineRule="auto"/>
              <w:rPr>
                <w:rFonts w:ascii="Times New Roman" w:eastAsia="Times New Roman" w:hAnsi="Times New Roman" w:cs="Times New Roman"/>
                <w:lang w:eastAsia="bg-BG"/>
              </w:rPr>
            </w:pPr>
            <w:r w:rsidRPr="00BE40DA">
              <w:t>(29,4, 39,4)</w:t>
            </w:r>
          </w:p>
        </w:tc>
        <w:tc>
          <w:tcPr>
            <w:tcW w:w="1900" w:type="dxa"/>
          </w:tcPr>
          <w:p w14:paraId="69D83356" w14:textId="7B66B4EE" w:rsidR="00BE40DA" w:rsidRPr="00BE40DA" w:rsidRDefault="00BE40DA" w:rsidP="00BE40DA">
            <w:pPr>
              <w:spacing w:line="240" w:lineRule="auto"/>
              <w:rPr>
                <w:rFonts w:ascii="Times New Roman" w:eastAsia="Times New Roman" w:hAnsi="Times New Roman" w:cs="Times New Roman"/>
                <w:lang w:eastAsia="bg-BG"/>
              </w:rPr>
            </w:pPr>
            <w:r w:rsidRPr="00BE40DA">
              <w:t>0,00058*</w:t>
            </w:r>
          </w:p>
        </w:tc>
        <w:tc>
          <w:tcPr>
            <w:tcW w:w="1900" w:type="dxa"/>
          </w:tcPr>
          <w:p w14:paraId="2E380E24" w14:textId="77777777" w:rsidR="00BE40DA" w:rsidRPr="00BE40DA" w:rsidRDefault="00BE40DA" w:rsidP="00BE40DA">
            <w:r w:rsidRPr="00BE40DA">
              <w:t>0,69</w:t>
            </w:r>
          </w:p>
          <w:p w14:paraId="26366713" w14:textId="37834256" w:rsidR="00BE40DA" w:rsidRPr="00BE40DA" w:rsidRDefault="00BE40DA" w:rsidP="00BE40DA">
            <w:pPr>
              <w:spacing w:line="240" w:lineRule="auto"/>
              <w:rPr>
                <w:rFonts w:ascii="Times New Roman" w:eastAsia="Times New Roman" w:hAnsi="Times New Roman" w:cs="Times New Roman"/>
                <w:lang w:eastAsia="bg-BG"/>
              </w:rPr>
            </w:pPr>
            <w:r w:rsidRPr="00BE40DA">
              <w:t>(0,55,0,87)</w:t>
            </w:r>
          </w:p>
        </w:tc>
      </w:tr>
      <w:tr w:rsidR="00BE40DA" w14:paraId="107EB139" w14:textId="77777777" w:rsidTr="00BE40DA">
        <w:tc>
          <w:tcPr>
            <w:tcW w:w="1900" w:type="dxa"/>
          </w:tcPr>
          <w:p w14:paraId="45D1AD4D" w14:textId="4194AD1E" w:rsidR="00BE40DA" w:rsidRPr="00BE40DA" w:rsidRDefault="00BE40DA" w:rsidP="00BE40DA">
            <w:pPr>
              <w:spacing w:line="240" w:lineRule="auto"/>
              <w:rPr>
                <w:rFonts w:ascii="Times New Roman" w:eastAsia="Times New Roman" w:hAnsi="Times New Roman" w:cs="Times New Roman"/>
                <w:lang w:eastAsia="bg-BG"/>
              </w:rPr>
            </w:pPr>
            <w:r w:rsidRPr="00BE40DA">
              <w:t xml:space="preserve">Време до прогресия (ТТР) [медиана, </w:t>
            </w:r>
            <w:r w:rsidRPr="00BE40DA">
              <w:lastRenderedPageBreak/>
              <w:t xml:space="preserve">седмици (95% </w:t>
            </w:r>
            <w:r w:rsidRPr="00BE40DA">
              <w:rPr>
                <w:lang w:val="en-US"/>
              </w:rPr>
              <w:t>CI)]**</w:t>
            </w:r>
          </w:p>
        </w:tc>
        <w:tc>
          <w:tcPr>
            <w:tcW w:w="1900" w:type="dxa"/>
          </w:tcPr>
          <w:p w14:paraId="7FC2237F" w14:textId="77777777" w:rsidR="00BE40DA" w:rsidRPr="00BE40DA" w:rsidRDefault="00BE40DA" w:rsidP="00BE40DA">
            <w:r w:rsidRPr="00BE40DA">
              <w:lastRenderedPageBreak/>
              <w:t>24,0</w:t>
            </w:r>
          </w:p>
          <w:p w14:paraId="17F246B4" w14:textId="55D8C9E7" w:rsidR="00BE40DA" w:rsidRPr="00BE40DA" w:rsidRDefault="00BE40DA" w:rsidP="00BE40DA">
            <w:pPr>
              <w:spacing w:line="240" w:lineRule="auto"/>
              <w:rPr>
                <w:rFonts w:ascii="Times New Roman" w:eastAsia="Times New Roman" w:hAnsi="Times New Roman" w:cs="Times New Roman"/>
                <w:lang w:eastAsia="bg-BG"/>
              </w:rPr>
            </w:pPr>
            <w:r w:rsidRPr="00BE40DA">
              <w:t>(18,0, 30,0)</w:t>
            </w:r>
          </w:p>
        </w:tc>
        <w:tc>
          <w:tcPr>
            <w:tcW w:w="1900" w:type="dxa"/>
          </w:tcPr>
          <w:p w14:paraId="78C68C0A" w14:textId="77777777" w:rsidR="00BE40DA" w:rsidRPr="00BE40DA" w:rsidRDefault="00BE40DA" w:rsidP="00BE40DA">
            <w:r w:rsidRPr="00BE40DA">
              <w:t>12,3</w:t>
            </w:r>
          </w:p>
          <w:p w14:paraId="448F382A" w14:textId="73F755C3" w:rsidR="00BE40DA" w:rsidRPr="00BE40DA" w:rsidRDefault="00BE40DA" w:rsidP="00BE40DA">
            <w:pPr>
              <w:spacing w:line="240" w:lineRule="auto"/>
              <w:rPr>
                <w:rFonts w:ascii="Times New Roman" w:eastAsia="Times New Roman" w:hAnsi="Times New Roman" w:cs="Times New Roman"/>
                <w:lang w:eastAsia="bg-BG"/>
              </w:rPr>
            </w:pPr>
            <w:r w:rsidRPr="00BE40DA">
              <w:t>(11,7, 17,1)</w:t>
            </w:r>
          </w:p>
        </w:tc>
        <w:tc>
          <w:tcPr>
            <w:tcW w:w="1900" w:type="dxa"/>
          </w:tcPr>
          <w:p w14:paraId="456A75C1" w14:textId="72A21D09" w:rsidR="00BE40DA" w:rsidRPr="00BE40DA" w:rsidRDefault="00BE40DA" w:rsidP="00BE40DA">
            <w:pPr>
              <w:spacing w:line="240" w:lineRule="auto"/>
              <w:rPr>
                <w:rFonts w:ascii="Times New Roman" w:eastAsia="Times New Roman" w:hAnsi="Times New Roman" w:cs="Times New Roman"/>
                <w:lang w:eastAsia="bg-BG"/>
              </w:rPr>
            </w:pPr>
            <w:r w:rsidRPr="00BE40DA">
              <w:t>0,000007</w:t>
            </w:r>
          </w:p>
        </w:tc>
        <w:tc>
          <w:tcPr>
            <w:tcW w:w="1900" w:type="dxa"/>
          </w:tcPr>
          <w:p w14:paraId="5040E492" w14:textId="77777777" w:rsidR="00BE40DA" w:rsidRPr="00BE40DA" w:rsidRDefault="00BE40DA" w:rsidP="00BE40DA">
            <w:r w:rsidRPr="00BE40DA">
              <w:t>0,58</w:t>
            </w:r>
          </w:p>
          <w:p w14:paraId="2034466E" w14:textId="648D8A15" w:rsidR="00BE40DA" w:rsidRPr="00BE40DA" w:rsidRDefault="00BE40DA" w:rsidP="00BE40DA">
            <w:pPr>
              <w:spacing w:line="240" w:lineRule="auto"/>
              <w:rPr>
                <w:rFonts w:ascii="Times New Roman" w:eastAsia="Times New Roman" w:hAnsi="Times New Roman" w:cs="Times New Roman"/>
                <w:lang w:eastAsia="bg-BG"/>
              </w:rPr>
            </w:pPr>
            <w:r w:rsidRPr="00BE40DA">
              <w:t>(0,45,0,74)</w:t>
            </w:r>
          </w:p>
        </w:tc>
      </w:tr>
    </w:tbl>
    <w:p w14:paraId="264B76A9"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С</w:t>
      </w:r>
      <w:r w:rsidRPr="00BE40DA">
        <w:rPr>
          <w:rFonts w:eastAsia="Times New Roman" w:cs="Arial"/>
          <w:color w:val="000000"/>
          <w:lang w:val="en-US"/>
        </w:rPr>
        <w:t>I</w:t>
      </w:r>
      <w:r w:rsidRPr="00BE40DA">
        <w:rPr>
          <w:rFonts w:eastAsia="Times New Roman" w:cs="Arial"/>
          <w:color w:val="000000"/>
          <w:lang w:eastAsia="bg-BG"/>
        </w:rPr>
        <w:t xml:space="preserve">= доверителен интервал, </w:t>
      </w:r>
      <w:r w:rsidRPr="00BE40DA">
        <w:rPr>
          <w:rFonts w:eastAsia="Times New Roman" w:cs="Arial"/>
          <w:color w:val="000000"/>
          <w:lang w:val="en-US"/>
        </w:rPr>
        <w:t xml:space="preserve">HR= </w:t>
      </w:r>
      <w:r w:rsidRPr="00BE40DA">
        <w:rPr>
          <w:rFonts w:eastAsia="Times New Roman" w:cs="Arial"/>
          <w:color w:val="000000"/>
          <w:lang w:eastAsia="bg-BG"/>
        </w:rPr>
        <w:t>коефициент на риск (сорафениб спрямо плацебо)</w:t>
      </w:r>
    </w:p>
    <w:p w14:paraId="3813FC79" w14:textId="6B7E8515"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*статистически значимо като р-стойността е под предварително определената </w:t>
      </w:r>
      <w:r w:rsidRPr="00BE40DA">
        <w:rPr>
          <w:rFonts w:eastAsia="Times New Roman" w:cs="Arial"/>
          <w:color w:val="000000"/>
          <w:lang w:val="en-US"/>
        </w:rPr>
        <w:t xml:space="preserve">O’Brien Fleming </w:t>
      </w:r>
      <w:r w:rsidRPr="00BE40DA">
        <w:rPr>
          <w:rFonts w:eastAsia="Times New Roman" w:cs="Arial"/>
          <w:color w:val="000000"/>
          <w:lang w:eastAsia="bg-BG"/>
        </w:rPr>
        <w:t>гранична стойност от 0,0077</w:t>
      </w:r>
    </w:p>
    <w:p w14:paraId="71C987F1"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независим радиологичен преглед</w:t>
      </w:r>
    </w:p>
    <w:p w14:paraId="5EEA3CE1" w14:textId="77777777" w:rsidR="00BE40DA" w:rsidRPr="00BE40DA" w:rsidRDefault="00BE40DA" w:rsidP="00BE40DA">
      <w:pPr>
        <w:spacing w:line="240" w:lineRule="auto"/>
        <w:rPr>
          <w:rFonts w:eastAsia="Times New Roman" w:cs="Arial"/>
          <w:color w:val="000000"/>
          <w:lang w:eastAsia="bg-BG"/>
        </w:rPr>
      </w:pPr>
    </w:p>
    <w:p w14:paraId="5B712E85" w14:textId="6FC475DB"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Второ международно, многоцентрово, рандомизирано, двойно-сляпо, плацебо-контролирано проучване фаза III (проучване 4,</w:t>
      </w:r>
      <w:r w:rsidRPr="00BE40DA">
        <w:rPr>
          <w:rFonts w:eastAsia="Times New Roman" w:cs="Arial"/>
          <w:color w:val="000000"/>
          <w:lang w:val="en-US"/>
        </w:rPr>
        <w:t xml:space="preserve"> </w:t>
      </w:r>
      <w:r w:rsidRPr="00BE40DA">
        <w:rPr>
          <w:rFonts w:eastAsia="Times New Roman" w:cs="Arial"/>
          <w:color w:val="000000"/>
          <w:lang w:eastAsia="bg-BG"/>
        </w:rPr>
        <w:t xml:space="preserve">11849) оценява клиничната полза от сорафениб при 226 пациенти с напреднал хепатоцелуларен карцином. Това проучване, проведено в Китай, Корея и Тайван потвърждава резултатите от проучване 3 по отношение на благоприятното съотношение полза-риск на сорафениб </w:t>
      </w:r>
      <w:r w:rsidRPr="00BE40DA">
        <w:rPr>
          <w:rFonts w:eastAsia="Times New Roman" w:cs="Arial"/>
          <w:color w:val="000000"/>
          <w:lang w:val="en-US"/>
        </w:rPr>
        <w:t xml:space="preserve">(HR (OS): </w:t>
      </w:r>
      <w:r w:rsidRPr="00BE40DA">
        <w:rPr>
          <w:rFonts w:eastAsia="Times New Roman" w:cs="Arial"/>
          <w:color w:val="000000"/>
          <w:lang w:eastAsia="bg-BG"/>
        </w:rPr>
        <w:t>0,68, р=0,01414).</w:t>
      </w:r>
    </w:p>
    <w:p w14:paraId="211896C7" w14:textId="77777777" w:rsidR="00BE40DA" w:rsidRPr="00BE40DA" w:rsidRDefault="00BE40DA" w:rsidP="00BE40DA">
      <w:pPr>
        <w:spacing w:line="240" w:lineRule="auto"/>
        <w:rPr>
          <w:rFonts w:eastAsia="Times New Roman" w:cs="Arial"/>
          <w:color w:val="000000"/>
          <w:lang w:eastAsia="bg-BG"/>
        </w:rPr>
      </w:pPr>
    </w:p>
    <w:p w14:paraId="20129BD4" w14:textId="5B2E7A59"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В предварително определените стратификационни фактори </w:t>
      </w:r>
      <w:r w:rsidRPr="00BE40DA">
        <w:rPr>
          <w:rFonts w:eastAsia="Times New Roman" w:cs="Arial"/>
          <w:color w:val="000000"/>
          <w:lang w:val="en-US"/>
        </w:rPr>
        <w:t xml:space="preserve">(ECOG </w:t>
      </w:r>
      <w:r w:rsidRPr="00BE40DA">
        <w:rPr>
          <w:rFonts w:eastAsia="Times New Roman" w:cs="Arial"/>
          <w:color w:val="000000"/>
          <w:lang w:eastAsia="bg-BG"/>
        </w:rPr>
        <w:t xml:space="preserve">статус, наличие или отсъствие на макроскопска съдова инвазия и/или разпространение на тумора извън черния дроб) както на проучване 3, така и на проучване 4, </w:t>
      </w:r>
      <w:r w:rsidRPr="00BE40DA">
        <w:rPr>
          <w:rFonts w:eastAsia="Times New Roman" w:cs="Arial"/>
          <w:color w:val="000000"/>
          <w:lang w:val="en-US"/>
        </w:rPr>
        <w:t xml:space="preserve">HR </w:t>
      </w:r>
      <w:r w:rsidRPr="00BE40DA">
        <w:rPr>
          <w:rFonts w:eastAsia="Times New Roman" w:cs="Arial"/>
          <w:color w:val="000000"/>
          <w:lang w:eastAsia="bg-BG"/>
        </w:rPr>
        <w:t>представя значително по-добри резултати на сорафениб спрямо плацебо. Експлораторните анализи на подгрупите показват по- слабо изразен ефект от лечението при пациенти с отдалечени метастази в изходното ниво на заболяването.</w:t>
      </w:r>
    </w:p>
    <w:p w14:paraId="5AA4FD5A" w14:textId="77777777" w:rsidR="00BE40DA" w:rsidRPr="00BE40DA" w:rsidRDefault="00BE40DA" w:rsidP="00BE40DA">
      <w:pPr>
        <w:spacing w:line="240" w:lineRule="auto"/>
        <w:rPr>
          <w:rFonts w:eastAsia="Times New Roman" w:cs="Arial"/>
          <w:color w:val="000000"/>
          <w:u w:val="single"/>
          <w:lang w:eastAsia="bg-BG"/>
        </w:rPr>
      </w:pPr>
    </w:p>
    <w:p w14:paraId="04F0E2FE" w14:textId="475D201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u w:val="single"/>
          <w:lang w:eastAsia="bg-BG"/>
        </w:rPr>
        <w:t>Бъбречноклетьчен карцином</w:t>
      </w:r>
    </w:p>
    <w:p w14:paraId="2840EEFC" w14:textId="06984E39"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Безопасността и ефикасността на сорафениб при лечението на авансирал бъбречноклетьчен карцином </w:t>
      </w:r>
      <w:r w:rsidRPr="00BE40DA">
        <w:rPr>
          <w:rFonts w:eastAsia="Times New Roman" w:cs="Arial"/>
          <w:color w:val="000000"/>
          <w:lang w:val="en-US"/>
        </w:rPr>
        <w:t xml:space="preserve">(RCC) </w:t>
      </w:r>
      <w:r w:rsidRPr="00BE40DA">
        <w:rPr>
          <w:rFonts w:eastAsia="Times New Roman" w:cs="Arial"/>
          <w:color w:val="000000"/>
          <w:lang w:eastAsia="bg-BG"/>
        </w:rPr>
        <w:t>са проучвани в две клинични проучвания:</w:t>
      </w:r>
    </w:p>
    <w:p w14:paraId="3921E905" w14:textId="77777777" w:rsidR="00BE40DA" w:rsidRPr="00BE40DA" w:rsidRDefault="00BE40DA" w:rsidP="00BE40DA">
      <w:pPr>
        <w:spacing w:line="240" w:lineRule="auto"/>
        <w:rPr>
          <w:rFonts w:eastAsia="Times New Roman" w:cs="Arial"/>
          <w:color w:val="000000"/>
          <w:lang w:eastAsia="bg-BG"/>
        </w:rPr>
      </w:pPr>
    </w:p>
    <w:p w14:paraId="5E1D02AD" w14:textId="6C66A702"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Проучване 1 (проучване 11213) е фаза III многоцентрово, рандомизирано, двойно-сляпо, плацебо-контролирано проучване с 903 пациенти. Включени са само пациентите със светлоклетьчен карцином на бъбрека и с нисък и междинен риск </w:t>
      </w:r>
      <w:r w:rsidRPr="00BE40DA">
        <w:rPr>
          <w:rFonts w:eastAsia="Times New Roman" w:cs="Arial"/>
          <w:color w:val="000000"/>
          <w:lang w:val="en-US"/>
        </w:rPr>
        <w:t xml:space="preserve">MSKCC (Memorial Sloan Kettering Cancer Center). </w:t>
      </w:r>
      <w:r w:rsidRPr="00BE40DA">
        <w:rPr>
          <w:rFonts w:eastAsia="Times New Roman" w:cs="Arial"/>
          <w:color w:val="000000"/>
          <w:lang w:eastAsia="bg-BG"/>
        </w:rPr>
        <w:t xml:space="preserve">Първичните крайни точки са обща преживяемост и преживяемост без прогресия </w:t>
      </w:r>
      <w:r w:rsidRPr="00BE40DA">
        <w:rPr>
          <w:rFonts w:eastAsia="Times New Roman" w:cs="Arial"/>
          <w:color w:val="000000"/>
          <w:lang w:val="en-US"/>
        </w:rPr>
        <w:t>(PFS).</w:t>
      </w:r>
    </w:p>
    <w:p w14:paraId="19FC8B7B"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Приблизително половината от пациентите имат </w:t>
      </w:r>
      <w:r w:rsidRPr="00BE40DA">
        <w:rPr>
          <w:rFonts w:eastAsia="Times New Roman" w:cs="Arial"/>
          <w:color w:val="000000"/>
          <w:lang w:val="en-US"/>
        </w:rPr>
        <w:t xml:space="preserve">ECOG </w:t>
      </w:r>
      <w:r w:rsidRPr="00BE40DA">
        <w:rPr>
          <w:rFonts w:eastAsia="Times New Roman" w:cs="Arial"/>
          <w:color w:val="000000"/>
          <w:lang w:eastAsia="bg-BG"/>
        </w:rPr>
        <w:t xml:space="preserve">статус 0 н половината от пациентите са били в ниска </w:t>
      </w:r>
      <w:r w:rsidRPr="00BE40DA">
        <w:rPr>
          <w:rFonts w:eastAsia="Times New Roman" w:cs="Arial"/>
          <w:color w:val="000000"/>
          <w:lang w:val="en-US"/>
        </w:rPr>
        <w:t xml:space="preserve">MSKCC </w:t>
      </w:r>
      <w:r w:rsidRPr="00BE40DA">
        <w:rPr>
          <w:rFonts w:eastAsia="Times New Roman" w:cs="Arial"/>
          <w:color w:val="000000"/>
          <w:lang w:eastAsia="bg-BG"/>
        </w:rPr>
        <w:t>прогностична група.</w:t>
      </w:r>
    </w:p>
    <w:p w14:paraId="087F9EFD"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val="en-US"/>
        </w:rPr>
        <w:t xml:space="preserve">PFS </w:t>
      </w:r>
      <w:r w:rsidRPr="00BE40DA">
        <w:rPr>
          <w:rFonts w:eastAsia="Times New Roman" w:cs="Arial"/>
          <w:color w:val="000000"/>
          <w:lang w:eastAsia="bg-BG"/>
        </w:rPr>
        <w:t xml:space="preserve">е оценен чрез заслепен независим радиологичен преглед, като са използвани критерии по </w:t>
      </w:r>
      <w:r w:rsidRPr="00BE40DA">
        <w:rPr>
          <w:rFonts w:eastAsia="Times New Roman" w:cs="Arial"/>
          <w:color w:val="000000"/>
          <w:lang w:val="en-US"/>
        </w:rPr>
        <w:t xml:space="preserve">RECIST. PFS </w:t>
      </w:r>
      <w:r w:rsidRPr="00BE40DA">
        <w:rPr>
          <w:rFonts w:eastAsia="Times New Roman" w:cs="Arial"/>
          <w:color w:val="000000"/>
          <w:lang w:eastAsia="bg-BG"/>
        </w:rPr>
        <w:t xml:space="preserve">анализ е проведен на 342 събития при 769 пациенти. Медианата на </w:t>
      </w:r>
      <w:r w:rsidRPr="00BE40DA">
        <w:rPr>
          <w:rFonts w:eastAsia="Times New Roman" w:cs="Arial"/>
          <w:color w:val="000000"/>
          <w:lang w:val="en-US"/>
        </w:rPr>
        <w:t xml:space="preserve">PFS </w:t>
      </w:r>
      <w:r w:rsidRPr="00BE40DA">
        <w:rPr>
          <w:rFonts w:eastAsia="Times New Roman" w:cs="Arial"/>
          <w:color w:val="000000"/>
          <w:lang w:eastAsia="bg-BG"/>
        </w:rPr>
        <w:t>е 167 дни при пациентите, рандомизирани на сорафениб, в сравнение до 84 дни при пациент</w:t>
      </w:r>
      <w:r w:rsidRPr="00BE40DA">
        <w:rPr>
          <w:rFonts w:eastAsia="Times New Roman" w:cs="Arial"/>
          <w:color w:val="000000"/>
          <w:u w:val="single"/>
          <w:lang w:eastAsia="bg-BG"/>
        </w:rPr>
        <w:t xml:space="preserve">ите на </w:t>
      </w:r>
      <w:r w:rsidRPr="00BE40DA">
        <w:rPr>
          <w:rFonts w:eastAsia="Times New Roman" w:cs="Arial"/>
          <w:color w:val="000000"/>
          <w:lang w:eastAsia="bg-BG"/>
        </w:rPr>
        <w:t xml:space="preserve">плацебо </w:t>
      </w:r>
      <w:r w:rsidRPr="00BE40DA">
        <w:rPr>
          <w:rFonts w:eastAsia="Times New Roman" w:cs="Arial"/>
          <w:color w:val="000000"/>
          <w:lang w:val="en-US"/>
        </w:rPr>
        <w:t xml:space="preserve">(HR=0,44; </w:t>
      </w:r>
      <w:r w:rsidRPr="00BE40DA">
        <w:rPr>
          <w:rFonts w:eastAsia="Times New Roman" w:cs="Arial"/>
          <w:color w:val="000000"/>
          <w:lang w:eastAsia="bg-BG"/>
        </w:rPr>
        <w:t xml:space="preserve">95% </w:t>
      </w:r>
      <w:r w:rsidRPr="00BE40DA">
        <w:rPr>
          <w:rFonts w:eastAsia="Times New Roman" w:cs="Arial"/>
          <w:color w:val="000000"/>
          <w:lang w:val="en-US"/>
        </w:rPr>
        <w:t xml:space="preserve">CI: </w:t>
      </w:r>
      <w:r w:rsidRPr="00BE40DA">
        <w:rPr>
          <w:rFonts w:eastAsia="Times New Roman" w:cs="Arial"/>
          <w:color w:val="000000"/>
          <w:lang w:eastAsia="bg-BG"/>
        </w:rPr>
        <w:t xml:space="preserve">0,35-0,55; р&lt;0,000001). Възрастта, </w:t>
      </w:r>
      <w:r w:rsidRPr="00BE40DA">
        <w:rPr>
          <w:rFonts w:eastAsia="Times New Roman" w:cs="Arial"/>
          <w:color w:val="000000"/>
          <w:lang w:val="en-US"/>
        </w:rPr>
        <w:t xml:space="preserve">MSKCC </w:t>
      </w:r>
      <w:r w:rsidRPr="00BE40DA">
        <w:rPr>
          <w:rFonts w:eastAsia="Times New Roman" w:cs="Arial"/>
          <w:color w:val="000000"/>
          <w:lang w:eastAsia="bg-BG"/>
        </w:rPr>
        <w:t>прогностичната група</w:t>
      </w:r>
    </w:p>
    <w:p w14:paraId="2D609C80" w14:textId="231A3FC1" w:rsidR="00BE40DA" w:rsidRPr="00BE40DA" w:rsidRDefault="00BE40DA" w:rsidP="00BE40DA">
      <w:pPr>
        <w:spacing w:line="240" w:lineRule="auto"/>
        <w:rPr>
          <w:rFonts w:eastAsia="Times New Roman" w:cs="Arial"/>
          <w:color w:val="000000"/>
          <w:lang w:eastAsia="bg-BG"/>
        </w:rPr>
      </w:pPr>
      <w:r w:rsidRPr="00BE40DA">
        <w:rPr>
          <w:rFonts w:eastAsia="Times New Roman" w:cs="Arial"/>
          <w:color w:val="000000"/>
          <w:lang w:val="en-US"/>
        </w:rPr>
        <w:t xml:space="preserve">ECOG PS </w:t>
      </w:r>
      <w:r w:rsidRPr="00BE40DA">
        <w:rPr>
          <w:rFonts w:eastAsia="Times New Roman" w:cs="Arial"/>
          <w:color w:val="000000"/>
          <w:lang w:eastAsia="bg-BG"/>
        </w:rPr>
        <w:t>и предходната терапия не се отразяват върху ефекта от лечението</w:t>
      </w:r>
      <w:r w:rsidRPr="00BE40DA">
        <w:rPr>
          <w:rFonts w:eastAsia="Times New Roman" w:cs="Arial"/>
          <w:color w:val="000000"/>
          <w:lang w:eastAsia="bg-BG"/>
        </w:rPr>
        <w:t>.</w:t>
      </w:r>
    </w:p>
    <w:p w14:paraId="0D890F93" w14:textId="77777777" w:rsidR="00BE40DA" w:rsidRPr="00BE40DA" w:rsidRDefault="00BE40DA" w:rsidP="00BE40DA">
      <w:pPr>
        <w:spacing w:line="240" w:lineRule="auto"/>
        <w:rPr>
          <w:rFonts w:eastAsia="Times New Roman" w:cs="Arial"/>
          <w:color w:val="000000"/>
          <w:lang w:eastAsia="bg-BG"/>
        </w:rPr>
      </w:pPr>
    </w:p>
    <w:p w14:paraId="23031752" w14:textId="6E60AAE5"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Междинен анализ (втори междинен анализ) за обща преживяемост е проведен при 367 смъртни случаи от 903 пациенти. Номиналната алфа стойност за този анализ е била 0,0094. Медианата</w:t>
      </w:r>
    </w:p>
    <w:p w14:paraId="6DCAD5EC" w14:textId="77777777" w:rsidR="00BE40DA" w:rsidRPr="00BE40DA" w:rsidRDefault="00BE40DA" w:rsidP="00BE40DA">
      <w:pPr>
        <w:rPr>
          <w:rFonts w:eastAsia="Times New Roman" w:cs="Arial"/>
          <w:sz w:val="24"/>
          <w:szCs w:val="24"/>
          <w:lang w:eastAsia="bg-BG"/>
        </w:rPr>
      </w:pPr>
      <w:r w:rsidRPr="00BE40DA">
        <w:rPr>
          <w:rFonts w:eastAsia="Times New Roman" w:cs="Arial"/>
          <w:color w:val="000000"/>
          <w:lang w:eastAsia="bg-BG"/>
        </w:rPr>
        <w:t>на преживяемостта е 19,3 месеца при пациенти, рандомизирани на сорафениб, в сравнение с</w:t>
      </w:r>
      <w:r w:rsidRPr="00BE40DA">
        <w:rPr>
          <w:rFonts w:eastAsia="Times New Roman" w:cs="Arial"/>
          <w:color w:val="000000"/>
          <w:lang w:eastAsia="bg-BG"/>
        </w:rPr>
        <w:t xml:space="preserve"> </w:t>
      </w:r>
      <w:r w:rsidRPr="00BE40DA">
        <w:rPr>
          <w:rFonts w:eastAsia="Times New Roman" w:cs="Arial"/>
          <w:color w:val="000000"/>
          <w:lang w:eastAsia="bg-BG"/>
        </w:rPr>
        <w:t xml:space="preserve">15,9 месеца при пациентите на плацебо </w:t>
      </w:r>
      <w:r w:rsidRPr="00BE40DA">
        <w:rPr>
          <w:rFonts w:eastAsia="Times New Roman" w:cs="Arial"/>
          <w:color w:val="000000"/>
          <w:lang w:val="en-US"/>
        </w:rPr>
        <w:t xml:space="preserve">(HR=0,77; </w:t>
      </w:r>
      <w:r w:rsidRPr="00BE40DA">
        <w:rPr>
          <w:rFonts w:eastAsia="Times New Roman" w:cs="Arial"/>
          <w:color w:val="000000"/>
          <w:lang w:eastAsia="bg-BG"/>
        </w:rPr>
        <w:t xml:space="preserve">95% </w:t>
      </w:r>
      <w:r w:rsidRPr="00BE40DA">
        <w:rPr>
          <w:rFonts w:eastAsia="Times New Roman" w:cs="Arial"/>
          <w:color w:val="000000"/>
          <w:lang w:val="en-US"/>
        </w:rPr>
        <w:t xml:space="preserve">CI: </w:t>
      </w:r>
      <w:r w:rsidRPr="00BE40DA">
        <w:rPr>
          <w:rFonts w:eastAsia="Times New Roman" w:cs="Arial"/>
          <w:color w:val="000000"/>
          <w:lang w:eastAsia="bg-BG"/>
        </w:rPr>
        <w:t>0,63-0,95; р&lt;0,015). По време на този анализ около 200 пациенти от плацебо групата са преминали към групата на сорафениб.</w:t>
      </w:r>
    </w:p>
    <w:p w14:paraId="25650266" w14:textId="77777777" w:rsidR="00BE40DA" w:rsidRPr="00BE40DA" w:rsidRDefault="00BE40DA" w:rsidP="00BE40DA">
      <w:pPr>
        <w:spacing w:line="240" w:lineRule="auto"/>
        <w:rPr>
          <w:rFonts w:eastAsia="Times New Roman" w:cs="Arial"/>
          <w:color w:val="000000"/>
          <w:lang w:eastAsia="bg-BG"/>
        </w:rPr>
      </w:pPr>
    </w:p>
    <w:p w14:paraId="197DBDF7" w14:textId="4D92A519"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Проучване 2 е проучване фаза </w:t>
      </w:r>
      <w:r w:rsidRPr="00BE40DA">
        <w:rPr>
          <w:rFonts w:eastAsia="Times New Roman" w:cs="Arial"/>
          <w:color w:val="000000"/>
          <w:lang w:val="en-US" w:eastAsia="bg-BG"/>
        </w:rPr>
        <w:t>II</w:t>
      </w:r>
      <w:r w:rsidRPr="00BE40DA">
        <w:rPr>
          <w:rFonts w:eastAsia="Times New Roman" w:cs="Arial"/>
          <w:color w:val="000000"/>
          <w:lang w:eastAsia="bg-BG"/>
        </w:rPr>
        <w:t xml:space="preserve">, с прекъсване при пациенти с метастатични малигнени заболявания, включително </w:t>
      </w:r>
      <w:r w:rsidRPr="00BE40DA">
        <w:rPr>
          <w:rFonts w:eastAsia="Times New Roman" w:cs="Arial"/>
          <w:color w:val="000000"/>
          <w:lang w:val="en-US"/>
        </w:rPr>
        <w:t xml:space="preserve">RCC. </w:t>
      </w:r>
      <w:r w:rsidRPr="00BE40DA">
        <w:rPr>
          <w:rFonts w:eastAsia="Times New Roman" w:cs="Arial"/>
          <w:color w:val="000000"/>
          <w:lang w:eastAsia="bg-BG"/>
        </w:rPr>
        <w:t xml:space="preserve">Пациентите със стабилно заболяване на лечение със сорафениб са рандомизирани на плацебо или продължават лечението с сорафениб. </w:t>
      </w:r>
      <w:r w:rsidRPr="00BE40DA">
        <w:rPr>
          <w:rFonts w:eastAsia="Times New Roman" w:cs="Arial"/>
          <w:color w:val="000000"/>
          <w:lang w:eastAsia="bg-BG"/>
        </w:rPr>
        <w:lastRenderedPageBreak/>
        <w:t xml:space="preserve">Преживяемостта без прогресия при пациенти с </w:t>
      </w:r>
      <w:r w:rsidRPr="00BE40DA">
        <w:rPr>
          <w:rFonts w:eastAsia="Times New Roman" w:cs="Arial"/>
          <w:color w:val="000000"/>
          <w:lang w:val="en-US"/>
        </w:rPr>
        <w:t xml:space="preserve">RCC </w:t>
      </w:r>
      <w:r w:rsidRPr="00BE40DA">
        <w:rPr>
          <w:rFonts w:eastAsia="Times New Roman" w:cs="Arial"/>
          <w:color w:val="000000"/>
          <w:lang w:eastAsia="bg-BG"/>
        </w:rPr>
        <w:t xml:space="preserve">е била значително по-продължителна в групата на сорафениб (163 дни), отколкото в плацебо групата (41 дни) (р=0,0001, </w:t>
      </w:r>
      <w:r w:rsidRPr="00BE40DA">
        <w:rPr>
          <w:rFonts w:eastAsia="Times New Roman" w:cs="Arial"/>
          <w:color w:val="000000"/>
          <w:lang w:val="en-US"/>
        </w:rPr>
        <w:t>HR=0,29).</w:t>
      </w:r>
    </w:p>
    <w:p w14:paraId="0B1A12F3" w14:textId="77777777" w:rsidR="00BE40DA" w:rsidRPr="00BE40DA" w:rsidRDefault="00BE40DA" w:rsidP="00BE40DA">
      <w:pPr>
        <w:spacing w:line="240" w:lineRule="auto"/>
        <w:rPr>
          <w:rFonts w:eastAsia="Times New Roman" w:cs="Arial"/>
          <w:color w:val="000000"/>
          <w:u w:val="single"/>
          <w:lang w:eastAsia="bg-BG"/>
        </w:rPr>
      </w:pPr>
    </w:p>
    <w:p w14:paraId="07ED70B2" w14:textId="57B8CD1D"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u w:val="single"/>
          <w:lang w:eastAsia="bg-BG"/>
        </w:rPr>
        <w:t xml:space="preserve">Удължаване на </w:t>
      </w:r>
      <w:r w:rsidRPr="00BE40DA">
        <w:rPr>
          <w:rFonts w:eastAsia="Times New Roman" w:cs="Arial"/>
          <w:color w:val="000000"/>
          <w:u w:val="single"/>
          <w:lang w:val="en-US" w:eastAsia="bg-BG"/>
        </w:rPr>
        <w:t>Q</w:t>
      </w:r>
      <w:r w:rsidRPr="00BE40DA">
        <w:rPr>
          <w:rFonts w:eastAsia="Times New Roman" w:cs="Arial"/>
          <w:color w:val="000000"/>
          <w:u w:val="single"/>
          <w:lang w:eastAsia="bg-BG"/>
        </w:rPr>
        <w:t>Т интервала</w:t>
      </w:r>
    </w:p>
    <w:p w14:paraId="3B09067A"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В клинично фармакологично изпитване са документирани измерванията на </w:t>
      </w:r>
      <w:r w:rsidRPr="00BE40DA">
        <w:rPr>
          <w:rFonts w:eastAsia="Times New Roman" w:cs="Arial"/>
          <w:color w:val="000000"/>
          <w:lang w:val="en-US"/>
        </w:rPr>
        <w:t xml:space="preserve">QT/QTc </w:t>
      </w:r>
      <w:r w:rsidRPr="00BE40DA">
        <w:rPr>
          <w:rFonts w:eastAsia="Times New Roman" w:cs="Arial"/>
          <w:color w:val="000000"/>
          <w:lang w:eastAsia="bg-BG"/>
        </w:rPr>
        <w:t xml:space="preserve">при 31 пациенти на изходно ниво (преди лечение) и след лечението. След един 28-дневен цикъл на лечение, по време на максимална концентрация на сорафениб, </w:t>
      </w:r>
      <w:r w:rsidRPr="00BE40DA">
        <w:rPr>
          <w:rFonts w:eastAsia="Times New Roman" w:cs="Arial"/>
          <w:color w:val="000000"/>
          <w:lang w:val="en-US"/>
        </w:rPr>
        <w:t xml:space="preserve">QTcB </w:t>
      </w:r>
      <w:r w:rsidRPr="00BE40DA">
        <w:rPr>
          <w:rFonts w:eastAsia="Times New Roman" w:cs="Arial"/>
          <w:color w:val="000000"/>
          <w:lang w:eastAsia="bg-BG"/>
        </w:rPr>
        <w:t xml:space="preserve">е удължен с 4 ±19 </w:t>
      </w:r>
      <w:r w:rsidRPr="00BE40DA">
        <w:rPr>
          <w:rFonts w:eastAsia="Times New Roman" w:cs="Arial"/>
          <w:color w:val="000000"/>
          <w:lang w:val="en-US"/>
        </w:rPr>
        <w:t xml:space="preserve">msec, </w:t>
      </w:r>
      <w:r w:rsidRPr="00BE40DA">
        <w:rPr>
          <w:rFonts w:eastAsia="Times New Roman" w:cs="Arial"/>
          <w:color w:val="000000"/>
          <w:lang w:eastAsia="bg-BG"/>
        </w:rPr>
        <w:t xml:space="preserve">а </w:t>
      </w:r>
      <w:proofErr w:type="spellStart"/>
      <w:r w:rsidRPr="00BE40DA">
        <w:rPr>
          <w:rFonts w:eastAsia="Times New Roman" w:cs="Arial"/>
          <w:color w:val="000000"/>
          <w:lang w:val="en-US"/>
        </w:rPr>
        <w:t>QTcF</w:t>
      </w:r>
      <w:proofErr w:type="spellEnd"/>
      <w:r w:rsidRPr="00BE40DA">
        <w:rPr>
          <w:rFonts w:eastAsia="Times New Roman" w:cs="Arial"/>
          <w:color w:val="000000"/>
          <w:lang w:val="en-US"/>
        </w:rPr>
        <w:t xml:space="preserve"> </w:t>
      </w:r>
      <w:r w:rsidRPr="00BE40DA">
        <w:rPr>
          <w:rFonts w:eastAsia="Times New Roman" w:cs="Arial"/>
          <w:i/>
          <w:iCs/>
          <w:color w:val="000000"/>
          <w:lang w:eastAsia="bg-BG"/>
        </w:rPr>
        <w:t>с</w:t>
      </w:r>
      <w:r w:rsidRPr="00BE40DA">
        <w:rPr>
          <w:rFonts w:eastAsia="Times New Roman" w:cs="Arial"/>
          <w:color w:val="000000"/>
          <w:lang w:eastAsia="bg-BG"/>
        </w:rPr>
        <w:t xml:space="preserve"> 9 ±18 </w:t>
      </w:r>
      <w:r w:rsidRPr="00BE40DA">
        <w:rPr>
          <w:rFonts w:eastAsia="Times New Roman" w:cs="Arial"/>
          <w:color w:val="000000"/>
          <w:lang w:val="en-US"/>
        </w:rPr>
        <w:t xml:space="preserve">msec </w:t>
      </w:r>
      <w:r w:rsidRPr="00BE40DA">
        <w:rPr>
          <w:rFonts w:eastAsia="Times New Roman" w:cs="Arial"/>
          <w:color w:val="000000"/>
          <w:lang w:eastAsia="bg-BG"/>
        </w:rPr>
        <w:t xml:space="preserve">в сравнение с изходно ниво на плацебо лечението. По време на ЕКГ мониторинга след лечението нито един участник не показва </w:t>
      </w:r>
      <w:r w:rsidRPr="00BE40DA">
        <w:rPr>
          <w:rFonts w:eastAsia="Times New Roman" w:cs="Arial"/>
          <w:color w:val="000000"/>
          <w:lang w:val="en-US"/>
        </w:rPr>
        <w:t xml:space="preserve">QTcB </w:t>
      </w:r>
      <w:r w:rsidRPr="00BE40DA">
        <w:rPr>
          <w:rFonts w:eastAsia="Times New Roman" w:cs="Arial"/>
          <w:color w:val="000000"/>
          <w:lang w:eastAsia="bg-BG"/>
        </w:rPr>
        <w:t xml:space="preserve">или </w:t>
      </w:r>
      <w:proofErr w:type="spellStart"/>
      <w:r w:rsidRPr="00BE40DA">
        <w:rPr>
          <w:rFonts w:eastAsia="Times New Roman" w:cs="Arial"/>
          <w:color w:val="000000"/>
          <w:lang w:val="en-US"/>
        </w:rPr>
        <w:t>QTcF</w:t>
      </w:r>
      <w:proofErr w:type="spellEnd"/>
      <w:r w:rsidRPr="00BE40DA">
        <w:rPr>
          <w:rFonts w:eastAsia="Times New Roman" w:cs="Arial"/>
          <w:color w:val="000000"/>
          <w:lang w:val="en-US"/>
        </w:rPr>
        <w:t xml:space="preserve"> </w:t>
      </w:r>
      <w:r w:rsidRPr="00BE40DA">
        <w:rPr>
          <w:rFonts w:eastAsia="Times New Roman" w:cs="Arial"/>
          <w:color w:val="000000"/>
          <w:lang w:eastAsia="bg-BG"/>
        </w:rPr>
        <w:t xml:space="preserve">&gt;500 </w:t>
      </w:r>
      <w:r w:rsidRPr="00BE40DA">
        <w:rPr>
          <w:rFonts w:eastAsia="Times New Roman" w:cs="Arial"/>
          <w:color w:val="000000"/>
          <w:lang w:val="en-US"/>
        </w:rPr>
        <w:t xml:space="preserve">msec </w:t>
      </w:r>
      <w:r w:rsidRPr="00BE40DA">
        <w:rPr>
          <w:rFonts w:eastAsia="Times New Roman" w:cs="Arial"/>
          <w:color w:val="000000"/>
          <w:lang w:eastAsia="bg-BG"/>
        </w:rPr>
        <w:t>(вж. точка 4.4).</w:t>
      </w:r>
    </w:p>
    <w:p w14:paraId="2AD50B81" w14:textId="77777777" w:rsidR="00BE40DA" w:rsidRPr="00BE40DA" w:rsidRDefault="00BE40DA" w:rsidP="00BE40DA">
      <w:pPr>
        <w:spacing w:line="240" w:lineRule="auto"/>
        <w:rPr>
          <w:rFonts w:eastAsia="Times New Roman" w:cs="Arial"/>
          <w:color w:val="000000"/>
          <w:u w:val="single"/>
          <w:lang w:eastAsia="bg-BG"/>
        </w:rPr>
      </w:pPr>
    </w:p>
    <w:p w14:paraId="644A376E" w14:textId="0255A62F"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u w:val="single"/>
          <w:lang w:eastAsia="bg-BG"/>
        </w:rPr>
        <w:t>Педиатрична популация</w:t>
      </w:r>
    </w:p>
    <w:p w14:paraId="0E3D713F"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Европейската агенция по </w:t>
      </w:r>
      <w:r w:rsidRPr="00BE40DA">
        <w:rPr>
          <w:rFonts w:eastAsia="Times New Roman" w:cs="Arial"/>
          <w:color w:val="000000"/>
          <w:vertAlign w:val="subscript"/>
          <w:lang w:eastAsia="bg-BG"/>
        </w:rPr>
        <w:t>лекарствата</w:t>
      </w:r>
      <w:r w:rsidRPr="00BE40DA">
        <w:rPr>
          <w:rFonts w:eastAsia="Times New Roman" w:cs="Arial"/>
          <w:color w:val="000000"/>
          <w:lang w:eastAsia="bg-BG"/>
        </w:rPr>
        <w:t xml:space="preserve"> освобождава от задължението за предоставяне на резултатите от проучванията във всички подгрупи на педиатричната популация при бъбречен карцином и карцином на бъбречното легенче (с изключение на нефробластом, нефробластоматоза, светлоклетьчен сарком, мезобластен нефром, медуларен бъбречен карцином и рабдоиден тумор на бъбреците) и чернодробен карцином и карцином на интрахепаталните жлъчни пътища (с изключение на хепатобластом) и диференциран карцином на щитовидната жлеза (вж. точка 4.2 за информация относно употреба в педиатрията).</w:t>
      </w:r>
    </w:p>
    <w:p w14:paraId="4DE1390B" w14:textId="77777777" w:rsidR="00BE40DA" w:rsidRPr="00BE40DA" w:rsidRDefault="00BE40DA" w:rsidP="00BE40DA">
      <w:pPr>
        <w:spacing w:line="240" w:lineRule="auto"/>
        <w:rPr>
          <w:rFonts w:ascii="Times New Roman" w:eastAsia="Times New Roman" w:hAnsi="Times New Roman" w:cs="Times New Roman"/>
          <w:sz w:val="24"/>
          <w:szCs w:val="24"/>
          <w:lang w:eastAsia="bg-BG"/>
        </w:rPr>
      </w:pPr>
    </w:p>
    <w:p w14:paraId="436D48F6" w14:textId="65E58706" w:rsidR="00BB22B4" w:rsidRDefault="002C50EE" w:rsidP="00471F10">
      <w:pPr>
        <w:pStyle w:val="Heading2"/>
      </w:pPr>
      <w:r>
        <w:t>5.2. Фармакокинетични свойства</w:t>
      </w:r>
    </w:p>
    <w:p w14:paraId="3179E1B9" w14:textId="2BD5494E" w:rsidR="00BE40DA" w:rsidRDefault="00BE40DA" w:rsidP="00BE40DA"/>
    <w:p w14:paraId="2ACD69C2" w14:textId="77777777" w:rsidR="00BE40DA" w:rsidRPr="00BE40DA" w:rsidRDefault="00BE40DA" w:rsidP="00BE40DA">
      <w:pPr>
        <w:pStyle w:val="Heading3"/>
        <w:rPr>
          <w:rFonts w:eastAsia="Times New Roman"/>
          <w:u w:val="single"/>
          <w:lang w:eastAsia="bg-BG"/>
        </w:rPr>
      </w:pPr>
      <w:r w:rsidRPr="00BE40DA">
        <w:rPr>
          <w:rFonts w:eastAsia="Times New Roman"/>
          <w:u w:val="single"/>
          <w:lang w:eastAsia="bg-BG"/>
        </w:rPr>
        <w:t>Абсорбция и разпределение</w:t>
      </w:r>
    </w:p>
    <w:p w14:paraId="255F0601"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След приложение на сорафениб таблетки, средната относителна бионаличност е 38-49%, когато се сравнява с пероралния разтвор. Абсолютната бионаличност не е известна. След перорално приложение, сорафениб достига максимални плазмени концентрации приблизително до 3 часа. Когато се прилага след консумация на храна с богато съдържание на мазнини, абсорбцията на сорафениб е редуцирана с 30% в сравнение с приложението на гладно.</w:t>
      </w:r>
    </w:p>
    <w:p w14:paraId="497615A0"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Средните С</w:t>
      </w:r>
      <w:r w:rsidRPr="00BE40DA">
        <w:rPr>
          <w:rFonts w:eastAsia="Times New Roman" w:cs="Arial"/>
          <w:color w:val="000000"/>
          <w:vertAlign w:val="subscript"/>
          <w:lang w:val="en-US"/>
        </w:rPr>
        <w:t>max</w:t>
      </w:r>
      <w:r w:rsidRPr="00BE40DA">
        <w:rPr>
          <w:rFonts w:eastAsia="Times New Roman" w:cs="Arial"/>
          <w:color w:val="000000"/>
          <w:lang w:eastAsia="bg-BG"/>
        </w:rPr>
        <w:t xml:space="preserve"> и </w:t>
      </w:r>
      <w:r w:rsidRPr="00BE40DA">
        <w:rPr>
          <w:rFonts w:eastAsia="Times New Roman" w:cs="Arial"/>
          <w:color w:val="000000"/>
          <w:lang w:val="en-US"/>
        </w:rPr>
        <w:t xml:space="preserve">AUC </w:t>
      </w:r>
      <w:r w:rsidRPr="00BE40DA">
        <w:rPr>
          <w:rFonts w:eastAsia="Times New Roman" w:cs="Arial"/>
          <w:color w:val="000000"/>
          <w:lang w:eastAsia="bg-BG"/>
        </w:rPr>
        <w:t xml:space="preserve">се повишават по-слабо от пропорционалното при дози по-високи от 400 </w:t>
      </w:r>
      <w:r w:rsidRPr="00BE40DA">
        <w:rPr>
          <w:rFonts w:eastAsia="Times New Roman" w:cs="Arial"/>
          <w:color w:val="000000"/>
          <w:lang w:val="en-US"/>
        </w:rPr>
        <w:t xml:space="preserve">mg, </w:t>
      </w:r>
      <w:r w:rsidRPr="00BE40DA">
        <w:rPr>
          <w:rFonts w:eastAsia="Times New Roman" w:cs="Arial"/>
          <w:color w:val="000000"/>
          <w:lang w:eastAsia="bg-BG"/>
        </w:rPr>
        <w:t xml:space="preserve">прилагани два пъти дневно. Свързването на сорафениб с пламените протеини е 99,5 % </w:t>
      </w:r>
      <w:r w:rsidRPr="00BE40DA">
        <w:rPr>
          <w:rFonts w:eastAsia="Times New Roman" w:cs="Arial"/>
          <w:i/>
          <w:iCs/>
          <w:color w:val="000000"/>
          <w:lang w:val="en-US"/>
        </w:rPr>
        <w:t>in vitro.</w:t>
      </w:r>
    </w:p>
    <w:p w14:paraId="52287CFB"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Многократното приложение на сорафениб за 7 дни води до 2,5 до 7-кратно кумулиране в сравнение с приложение на еднократна доза. Равновесни плазмени концентрации на сорафениб се постигат до 7 дни, с максимално до минимално отношение на средните концентрации по- малко от 2.</w:t>
      </w:r>
    </w:p>
    <w:p w14:paraId="20DA48FB" w14:textId="77777777" w:rsidR="00BE40DA" w:rsidRPr="00BE40DA" w:rsidRDefault="00BE40DA" w:rsidP="00BE40DA">
      <w:pPr>
        <w:spacing w:line="240" w:lineRule="auto"/>
        <w:rPr>
          <w:rFonts w:eastAsia="Times New Roman" w:cs="Arial"/>
          <w:color w:val="000000"/>
          <w:lang w:eastAsia="bg-BG"/>
        </w:rPr>
      </w:pPr>
    </w:p>
    <w:p w14:paraId="764F8B90" w14:textId="712E979A" w:rsidR="00BE40DA" w:rsidRPr="00BE40DA" w:rsidRDefault="00BE40DA" w:rsidP="00BE40DA">
      <w:pPr>
        <w:spacing w:line="240" w:lineRule="auto"/>
        <w:rPr>
          <w:rFonts w:eastAsia="Times New Roman" w:cs="Arial"/>
          <w:color w:val="000000"/>
          <w:lang w:eastAsia="bg-BG"/>
        </w:rPr>
      </w:pPr>
      <w:r w:rsidRPr="00BE40DA">
        <w:rPr>
          <w:rFonts w:eastAsia="Times New Roman" w:cs="Arial"/>
          <w:color w:val="000000"/>
          <w:lang w:eastAsia="bg-BG"/>
        </w:rPr>
        <w:t xml:space="preserve">Равновесните концентрации на сорафениб, приложен в доза </w:t>
      </w:r>
      <w:r w:rsidRPr="00BE40DA">
        <w:rPr>
          <w:rFonts w:eastAsia="Times New Roman" w:cs="Arial"/>
          <w:color w:val="000000"/>
          <w:lang w:val="en-US"/>
        </w:rPr>
        <w:t xml:space="preserve">400mg </w:t>
      </w:r>
      <w:r w:rsidRPr="00BE40DA">
        <w:rPr>
          <w:rFonts w:eastAsia="Times New Roman" w:cs="Arial"/>
          <w:color w:val="000000"/>
          <w:lang w:eastAsia="bg-BG"/>
        </w:rPr>
        <w:t xml:space="preserve">два пъти дневно, са оценени при пациенти с </w:t>
      </w:r>
      <w:r w:rsidRPr="00BE40DA">
        <w:rPr>
          <w:rFonts w:eastAsia="Times New Roman" w:cs="Arial"/>
          <w:color w:val="000000"/>
          <w:lang w:val="en-US"/>
        </w:rPr>
        <w:t xml:space="preserve">DTC, RCC </w:t>
      </w:r>
      <w:r w:rsidRPr="00BE40DA">
        <w:rPr>
          <w:rFonts w:eastAsia="Times New Roman" w:cs="Arial"/>
          <w:color w:val="000000"/>
          <w:lang w:eastAsia="bg-BG"/>
        </w:rPr>
        <w:t xml:space="preserve">и НСС. Най-висока средна концентрация се наблюдава при пациенти с </w:t>
      </w:r>
      <w:r w:rsidRPr="00BE40DA">
        <w:rPr>
          <w:rFonts w:eastAsia="Times New Roman" w:cs="Arial"/>
          <w:color w:val="000000"/>
          <w:lang w:val="en-US"/>
        </w:rPr>
        <w:t xml:space="preserve">DTC </w:t>
      </w:r>
      <w:r w:rsidRPr="00BE40DA">
        <w:rPr>
          <w:rFonts w:eastAsia="Times New Roman" w:cs="Arial"/>
          <w:color w:val="000000"/>
          <w:lang w:eastAsia="bg-BG"/>
        </w:rPr>
        <w:t xml:space="preserve">(приблизително два пъти по-висока от тази, наблюдавана при пациенти с </w:t>
      </w:r>
      <w:r w:rsidRPr="00BE40DA">
        <w:rPr>
          <w:rFonts w:eastAsia="Times New Roman" w:cs="Arial"/>
          <w:color w:val="000000"/>
          <w:lang w:val="en-US"/>
        </w:rPr>
        <w:t xml:space="preserve">RCC </w:t>
      </w:r>
      <w:r w:rsidRPr="00BE40DA">
        <w:rPr>
          <w:rFonts w:eastAsia="Times New Roman" w:cs="Arial"/>
          <w:color w:val="000000"/>
          <w:lang w:eastAsia="bg-BG"/>
        </w:rPr>
        <w:t xml:space="preserve">и НСС), въпреки че при всички видове тумори вариабилността е била висока. Причината за повишената концентрация при пациенти с </w:t>
      </w:r>
      <w:r w:rsidRPr="00BE40DA">
        <w:rPr>
          <w:rFonts w:eastAsia="Times New Roman" w:cs="Arial"/>
          <w:color w:val="000000"/>
          <w:lang w:val="en-US"/>
        </w:rPr>
        <w:t xml:space="preserve">DTC </w:t>
      </w:r>
      <w:r w:rsidRPr="00BE40DA">
        <w:rPr>
          <w:rFonts w:eastAsia="Times New Roman" w:cs="Arial"/>
          <w:color w:val="000000"/>
          <w:lang w:eastAsia="bg-BG"/>
        </w:rPr>
        <w:t>не е известна.</w:t>
      </w:r>
    </w:p>
    <w:p w14:paraId="237AE7A8" w14:textId="3D15E37C" w:rsidR="00BE40DA" w:rsidRPr="00BE40DA" w:rsidRDefault="00BE40DA" w:rsidP="00BE40DA">
      <w:pPr>
        <w:spacing w:line="240" w:lineRule="auto"/>
        <w:rPr>
          <w:rFonts w:eastAsia="Times New Roman" w:cs="Arial"/>
          <w:color w:val="000000"/>
          <w:lang w:eastAsia="bg-BG"/>
        </w:rPr>
      </w:pPr>
    </w:p>
    <w:p w14:paraId="52888CDC" w14:textId="77777777" w:rsidR="00BE40DA" w:rsidRPr="00BE40DA" w:rsidRDefault="00BE40DA" w:rsidP="00BE40DA">
      <w:pPr>
        <w:pStyle w:val="Heading3"/>
        <w:rPr>
          <w:rFonts w:eastAsia="Times New Roman"/>
          <w:u w:val="single"/>
          <w:lang w:eastAsia="bg-BG"/>
        </w:rPr>
      </w:pPr>
      <w:r w:rsidRPr="00BE40DA">
        <w:rPr>
          <w:rFonts w:eastAsia="Times New Roman"/>
          <w:u w:val="single"/>
          <w:lang w:eastAsia="bg-BG"/>
        </w:rPr>
        <w:t>Биотрансформация и елиминиране</w:t>
      </w:r>
    </w:p>
    <w:p w14:paraId="5B90C43D"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Елиминационният полуживот на сорафениб е приблизително 25-48 часа. Сорафениб се метаболизира предимно в черния дроб и е подложен на окислителен метаболизъм, </w:t>
      </w:r>
      <w:r w:rsidRPr="00BE40DA">
        <w:rPr>
          <w:rFonts w:eastAsia="Times New Roman" w:cs="Arial"/>
          <w:color w:val="000000"/>
          <w:lang w:eastAsia="bg-BG"/>
        </w:rPr>
        <w:lastRenderedPageBreak/>
        <w:t xml:space="preserve">медииран посредством цитохром </w:t>
      </w:r>
      <w:r w:rsidRPr="00BE40DA">
        <w:rPr>
          <w:rFonts w:eastAsia="Times New Roman" w:cs="Arial"/>
          <w:color w:val="000000"/>
          <w:lang w:val="en-US"/>
        </w:rPr>
        <w:t xml:space="preserve">CYP </w:t>
      </w:r>
      <w:r w:rsidRPr="00BE40DA">
        <w:rPr>
          <w:rFonts w:eastAsia="Times New Roman" w:cs="Arial"/>
          <w:color w:val="000000"/>
          <w:lang w:eastAsia="bg-BG"/>
        </w:rPr>
        <w:t xml:space="preserve">ЗА4, както и на глюкурониране, посредством </w:t>
      </w:r>
      <w:r w:rsidRPr="00BE40DA">
        <w:rPr>
          <w:rFonts w:eastAsia="Times New Roman" w:cs="Arial"/>
          <w:color w:val="000000"/>
          <w:lang w:val="en-US"/>
        </w:rPr>
        <w:t>UGT1A9.</w:t>
      </w:r>
    </w:p>
    <w:p w14:paraId="5BC53CB6"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Конюгатите на сорафениб могат да бъдат разцепени в стомашно-чревния тракт от активността на бактериална глукуронидаза, позволяваща реабсорбцията на неконюгираното активно вещество. Доказано е, че едновременното прилагане на неомицин пречи на този процес, намалявайки средната бионаличност на сорафениб с 54%.</w:t>
      </w:r>
    </w:p>
    <w:p w14:paraId="2E4F63DB" w14:textId="77777777" w:rsidR="00BE40DA" w:rsidRPr="00BE40DA" w:rsidRDefault="00BE40DA" w:rsidP="00BE40DA">
      <w:pPr>
        <w:spacing w:line="240" w:lineRule="auto"/>
        <w:rPr>
          <w:rFonts w:eastAsia="Times New Roman" w:cs="Arial"/>
          <w:color w:val="000000"/>
          <w:lang w:eastAsia="bg-BG"/>
        </w:rPr>
      </w:pPr>
    </w:p>
    <w:p w14:paraId="38B7092E" w14:textId="2940998C"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Количеството на сорафениб е приблизително 70-85% от циркулиращи вещества, анализирани в плазмата при стационарно състояние. Идентифицирани са осем метаболита на сорафениб, пет от които се откриват в плазмата. Главният циркулиращ метаболит на сорафениб в плазмата - пиридин </w:t>
      </w:r>
      <w:r w:rsidRPr="00BE40DA">
        <w:rPr>
          <w:rFonts w:eastAsia="Times New Roman" w:cs="Arial"/>
          <w:color w:val="000000"/>
          <w:lang w:val="en-US"/>
        </w:rPr>
        <w:t>N</w:t>
      </w:r>
      <w:r w:rsidRPr="00BE40DA">
        <w:rPr>
          <w:rFonts w:eastAsia="Times New Roman" w:cs="Arial"/>
          <w:color w:val="000000"/>
          <w:lang w:eastAsia="bg-BG"/>
        </w:rPr>
        <w:t xml:space="preserve">-оксид, показва </w:t>
      </w:r>
      <w:r w:rsidRPr="00BE40DA">
        <w:rPr>
          <w:rFonts w:eastAsia="Times New Roman" w:cs="Arial"/>
          <w:i/>
          <w:iCs/>
          <w:color w:val="000000"/>
          <w:lang w:val="en-US"/>
        </w:rPr>
        <w:t>in vitro</w:t>
      </w:r>
      <w:r w:rsidRPr="00BE40DA">
        <w:rPr>
          <w:rFonts w:eastAsia="Times New Roman" w:cs="Arial"/>
          <w:color w:val="000000"/>
          <w:lang w:val="en-US"/>
        </w:rPr>
        <w:t xml:space="preserve"> </w:t>
      </w:r>
      <w:r w:rsidRPr="00BE40DA">
        <w:rPr>
          <w:rFonts w:eastAsia="Times New Roman" w:cs="Arial"/>
          <w:color w:val="000000"/>
          <w:lang w:eastAsia="bg-BG"/>
        </w:rPr>
        <w:t>активност, подобна на тази на сорафениб. Този метаболит представлява приблизително 9-16% от циркулиращите вещества в стационарно състояние.</w:t>
      </w:r>
    </w:p>
    <w:p w14:paraId="15506DF3" w14:textId="77777777" w:rsidR="00BE40DA" w:rsidRPr="00BE40DA" w:rsidRDefault="00BE40DA" w:rsidP="00BE40DA">
      <w:pPr>
        <w:spacing w:line="240" w:lineRule="auto"/>
        <w:rPr>
          <w:rFonts w:eastAsia="Times New Roman" w:cs="Arial"/>
          <w:color w:val="000000"/>
          <w:lang w:eastAsia="bg-BG"/>
        </w:rPr>
      </w:pPr>
    </w:p>
    <w:p w14:paraId="60E7F53D" w14:textId="36B693CA"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След перорално приложение на доза от 100 </w:t>
      </w:r>
      <w:r w:rsidRPr="00BE40DA">
        <w:rPr>
          <w:rFonts w:eastAsia="Times New Roman" w:cs="Arial"/>
          <w:color w:val="000000"/>
          <w:lang w:val="en-US"/>
        </w:rPr>
        <w:t xml:space="preserve">mg </w:t>
      </w:r>
      <w:r w:rsidRPr="00BE40DA">
        <w:rPr>
          <w:rFonts w:eastAsia="Times New Roman" w:cs="Arial"/>
          <w:color w:val="000000"/>
          <w:lang w:eastAsia="bg-BG"/>
        </w:rPr>
        <w:t>разтвор на сорафениб, 96% от дозата се възстановява в рамките на 14 дни, като 77% от дозата се екскретира чрез фецеса и 19% се екскретира в урината като глюкуронирани метаболити. Непромененият сорафениб, който представлява 51% от дозата, е установен в изпражненията и не се установява в урината, което показва, че жлъчната екскреция на непромененото активно вещество може да допринесе за елиминирането на сорафениб.</w:t>
      </w:r>
    </w:p>
    <w:p w14:paraId="358F000E" w14:textId="77777777" w:rsidR="00BE40DA" w:rsidRPr="00BE40DA" w:rsidRDefault="00BE40DA" w:rsidP="00BE40DA">
      <w:pPr>
        <w:pStyle w:val="Heading3"/>
        <w:rPr>
          <w:rFonts w:eastAsia="Times New Roman"/>
          <w:u w:val="single"/>
          <w:lang w:eastAsia="bg-BG"/>
        </w:rPr>
      </w:pPr>
    </w:p>
    <w:p w14:paraId="3DB80299" w14:textId="4996B448" w:rsidR="00BE40DA" w:rsidRPr="00BE40DA" w:rsidRDefault="00BE40DA" w:rsidP="00BE40DA">
      <w:pPr>
        <w:pStyle w:val="Heading3"/>
        <w:rPr>
          <w:rFonts w:eastAsia="Times New Roman"/>
          <w:u w:val="single"/>
          <w:lang w:eastAsia="bg-BG"/>
        </w:rPr>
      </w:pPr>
      <w:r w:rsidRPr="00BE40DA">
        <w:rPr>
          <w:rFonts w:eastAsia="Times New Roman"/>
          <w:u w:val="single"/>
          <w:lang w:eastAsia="bg-BG"/>
        </w:rPr>
        <w:t>Фармакокинетика при специални популации</w:t>
      </w:r>
    </w:p>
    <w:p w14:paraId="57486E77"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Анализът на демографските данни показва, че няма връзка между фармакокинетиката и възрастта (до 65 годишна възраст), пола или телесното тегло.</w:t>
      </w:r>
    </w:p>
    <w:p w14:paraId="45223EAE" w14:textId="77777777" w:rsidR="00BE40DA" w:rsidRPr="00BE40DA" w:rsidRDefault="00BE40DA" w:rsidP="00BE40DA">
      <w:pPr>
        <w:spacing w:line="240" w:lineRule="auto"/>
        <w:rPr>
          <w:rFonts w:eastAsia="Times New Roman" w:cs="Arial"/>
          <w:color w:val="000000"/>
          <w:u w:val="single"/>
          <w:lang w:eastAsia="bg-BG"/>
        </w:rPr>
      </w:pPr>
    </w:p>
    <w:p w14:paraId="10C29EA1" w14:textId="4A01E104"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u w:val="single"/>
          <w:lang w:eastAsia="bg-BG"/>
        </w:rPr>
        <w:t>Педиатрична популация</w:t>
      </w:r>
    </w:p>
    <w:p w14:paraId="154C4056"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Не са проведени проучвания върху фармакокинетиката на сорафениб при педиатрични пациенти.</w:t>
      </w:r>
    </w:p>
    <w:p w14:paraId="0F1841C5" w14:textId="77777777" w:rsidR="00BE40DA" w:rsidRPr="00BE40DA" w:rsidRDefault="00BE40DA" w:rsidP="00BE40DA">
      <w:pPr>
        <w:spacing w:line="240" w:lineRule="auto"/>
        <w:rPr>
          <w:rFonts w:eastAsia="Times New Roman" w:cs="Arial"/>
          <w:color w:val="000000"/>
          <w:u w:val="single"/>
          <w:lang w:eastAsia="bg-BG"/>
        </w:rPr>
      </w:pPr>
    </w:p>
    <w:p w14:paraId="294CDF69" w14:textId="4DCB6616"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u w:val="single"/>
          <w:lang w:eastAsia="bg-BG"/>
        </w:rPr>
        <w:t>Раса</w:t>
      </w:r>
    </w:p>
    <w:p w14:paraId="05239385"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Няма клинично значими различия във фармакокинетиките между кавказка и азиатска популация.</w:t>
      </w:r>
    </w:p>
    <w:p w14:paraId="022D6FC8" w14:textId="77777777" w:rsidR="00BE40DA" w:rsidRPr="00BE40DA" w:rsidRDefault="00BE40DA" w:rsidP="00BE40DA">
      <w:pPr>
        <w:spacing w:line="240" w:lineRule="auto"/>
        <w:rPr>
          <w:rFonts w:eastAsia="Times New Roman" w:cs="Arial"/>
          <w:color w:val="000000"/>
          <w:u w:val="single"/>
          <w:lang w:eastAsia="bg-BG"/>
        </w:rPr>
      </w:pPr>
    </w:p>
    <w:p w14:paraId="40DEF6A9" w14:textId="309FEBFF"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u w:val="single"/>
          <w:lang w:eastAsia="bg-BG"/>
        </w:rPr>
        <w:t>Бъбречно увреждане</w:t>
      </w:r>
    </w:p>
    <w:p w14:paraId="44A984B7"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В 4 клинични проучвания фаза I, стационарната експозиция на сорафениб е подобна при пациенти с леко до умерено бъбречно увреждане в сравнение с експозицията при пациенти с нормална бъбречна функция. При клинично фамакологично проучване (еднократна доза от 400 </w:t>
      </w:r>
      <w:r w:rsidRPr="00BE40DA">
        <w:rPr>
          <w:rFonts w:eastAsia="Times New Roman" w:cs="Arial"/>
          <w:color w:val="000000"/>
          <w:lang w:val="en-US"/>
        </w:rPr>
        <w:t xml:space="preserve">mg </w:t>
      </w:r>
      <w:r w:rsidRPr="00BE40DA">
        <w:rPr>
          <w:rFonts w:eastAsia="Times New Roman" w:cs="Arial"/>
          <w:color w:val="000000"/>
          <w:lang w:eastAsia="bg-BG"/>
        </w:rPr>
        <w:t>сорафениб) не се наблюдава връзка между експозицията на сорафениб и бъбречната функция при лица с нормална бъбречна функция, леко, умерено или тежко бъбречно увреждане, Няма данни при пациентите, които се нуждаят от диализа.</w:t>
      </w:r>
    </w:p>
    <w:p w14:paraId="5DEDCD3A" w14:textId="77777777" w:rsidR="00BE40DA" w:rsidRPr="00BE40DA" w:rsidRDefault="00BE40DA" w:rsidP="00BE40DA">
      <w:pPr>
        <w:spacing w:line="240" w:lineRule="auto"/>
        <w:rPr>
          <w:rFonts w:eastAsia="Times New Roman" w:cs="Arial"/>
          <w:color w:val="000000"/>
          <w:u w:val="single"/>
          <w:lang w:eastAsia="bg-BG"/>
        </w:rPr>
      </w:pPr>
    </w:p>
    <w:p w14:paraId="365539B9" w14:textId="2425EC7A"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u w:val="single"/>
          <w:lang w:eastAsia="bg-BG"/>
        </w:rPr>
        <w:t>Чернодробно увреждане</w:t>
      </w:r>
    </w:p>
    <w:p w14:paraId="0BC4E285" w14:textId="7E942E7E"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При пациенти с хепатоцелуларен карцином (НСС) с </w:t>
      </w:r>
      <w:r w:rsidRPr="00BE40DA">
        <w:rPr>
          <w:rFonts w:eastAsia="Times New Roman" w:cs="Arial"/>
          <w:color w:val="000000"/>
          <w:lang w:val="en-US"/>
        </w:rPr>
        <w:t xml:space="preserve">Child-Pugh </w:t>
      </w:r>
      <w:r w:rsidRPr="00BE40DA">
        <w:rPr>
          <w:rFonts w:eastAsia="Times New Roman" w:cs="Arial"/>
          <w:color w:val="000000"/>
          <w:lang w:eastAsia="bg-BG"/>
        </w:rPr>
        <w:t xml:space="preserve">А или В (леко до умерено) чернодробно увреждане стойностите на експозицията са сравними и са в границите на експозициите, наблюдавани при пациенти без чернодробно увреждане. Фармакокинетиката (РК) на сорафениб при пациенти с </w:t>
      </w:r>
      <w:r w:rsidRPr="00BE40DA">
        <w:rPr>
          <w:rFonts w:eastAsia="Times New Roman" w:cs="Arial"/>
          <w:color w:val="000000"/>
          <w:lang w:val="en-US"/>
        </w:rPr>
        <w:t xml:space="preserve">Child-Pugh </w:t>
      </w:r>
      <w:r w:rsidRPr="00BE40DA">
        <w:rPr>
          <w:rFonts w:eastAsia="Times New Roman" w:cs="Arial"/>
          <w:color w:val="000000"/>
          <w:lang w:eastAsia="bg-BG"/>
        </w:rPr>
        <w:t xml:space="preserve">А или В без НСС е подобна на РК при здрави доброволци. Няма данни при пациенти с </w:t>
      </w:r>
      <w:r w:rsidRPr="00BE40DA">
        <w:rPr>
          <w:rFonts w:eastAsia="Times New Roman" w:cs="Arial"/>
          <w:color w:val="000000"/>
          <w:lang w:val="en-US"/>
        </w:rPr>
        <w:t xml:space="preserve">Child-Pugh </w:t>
      </w:r>
      <w:r w:rsidRPr="00BE40DA">
        <w:rPr>
          <w:rFonts w:eastAsia="Times New Roman" w:cs="Arial"/>
          <w:color w:val="000000"/>
          <w:lang w:eastAsia="bg-BG"/>
        </w:rPr>
        <w:t xml:space="preserve">С (тежко) </w:t>
      </w:r>
      <w:r w:rsidRPr="00BE40DA">
        <w:rPr>
          <w:rFonts w:eastAsia="Times New Roman" w:cs="Arial"/>
          <w:color w:val="000000"/>
          <w:lang w:eastAsia="bg-BG"/>
        </w:rPr>
        <w:lastRenderedPageBreak/>
        <w:t>чернодробно увреждане Сорафениб се елиминира предимно чрез черния дроб и експозицията може да бъде повишена при тази група пациенти.</w:t>
      </w:r>
    </w:p>
    <w:p w14:paraId="3069F9AC" w14:textId="77777777" w:rsidR="00BE40DA" w:rsidRPr="00BE40DA" w:rsidRDefault="00BE40DA" w:rsidP="00BE40DA"/>
    <w:p w14:paraId="4F31844C" w14:textId="3FDEDC10" w:rsidR="00875EEC" w:rsidRDefault="002C50EE" w:rsidP="005726E3">
      <w:pPr>
        <w:pStyle w:val="Heading2"/>
      </w:pPr>
      <w:r>
        <w:t>5.3. Предклинични данни за безопасност</w:t>
      </w:r>
    </w:p>
    <w:p w14:paraId="63AD2A14" w14:textId="05341A0F" w:rsidR="00BE40DA" w:rsidRDefault="00BE40DA" w:rsidP="00BE40DA"/>
    <w:p w14:paraId="4D02652D"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Предклиничният профил на безопасност на сорафениб е оценен при мишки, плъхове, кучета и зайци.</w:t>
      </w:r>
    </w:p>
    <w:p w14:paraId="6FF052A0"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Проучванията за токсичност след многократно приложение разкриват промени (дегенерационни и регенерационни) в различни органи при експозиция по-ниска от очакваната (въз основа на сравняване на </w:t>
      </w:r>
      <w:r w:rsidRPr="00BE40DA">
        <w:rPr>
          <w:rFonts w:eastAsia="Times New Roman" w:cs="Arial"/>
          <w:color w:val="000000"/>
          <w:lang w:val="en-US"/>
        </w:rPr>
        <w:t>AUC).</w:t>
      </w:r>
    </w:p>
    <w:p w14:paraId="719EB7D0" w14:textId="77777777"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След многократно приложение при млади и подрастващи кучета са наблюдавани ефекти върху костите и зъбите при експозиция под клиничната експозиция. Промените се състоят във неправилно уплътняване на феморалната растежна плочка, хипоцелуларен костен мозък, непосредствено до увредената растежна плочка и увреждане на състава на дентина. Подобни ефекти не са наблюдавани при възрастни кучета.</w:t>
      </w:r>
    </w:p>
    <w:p w14:paraId="2942E6E5" w14:textId="77777777" w:rsidR="00BE40DA" w:rsidRPr="00BE40DA" w:rsidRDefault="00BE40DA" w:rsidP="00BE40DA">
      <w:pPr>
        <w:spacing w:line="240" w:lineRule="auto"/>
        <w:rPr>
          <w:rFonts w:eastAsia="Times New Roman" w:cs="Arial"/>
          <w:color w:val="000000"/>
          <w:lang w:eastAsia="bg-BG"/>
        </w:rPr>
      </w:pPr>
    </w:p>
    <w:p w14:paraId="70FE91C8" w14:textId="709BEF94"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Проведена е стандартна програма от проучвания върху генотоксичността и са получени положителни резултати, като повишаване на честотата на структурни хромозомни аберации при </w:t>
      </w:r>
      <w:r w:rsidRPr="00BE40DA">
        <w:rPr>
          <w:rFonts w:eastAsia="Times New Roman" w:cs="Arial"/>
          <w:i/>
          <w:iCs/>
          <w:color w:val="000000"/>
          <w:lang w:val="en-US"/>
        </w:rPr>
        <w:t>in vitro</w:t>
      </w:r>
      <w:r w:rsidRPr="00BE40DA">
        <w:rPr>
          <w:rFonts w:eastAsia="Times New Roman" w:cs="Arial"/>
          <w:color w:val="000000"/>
          <w:lang w:val="en-US"/>
        </w:rPr>
        <w:t xml:space="preserve"> </w:t>
      </w:r>
      <w:r w:rsidRPr="00BE40DA">
        <w:rPr>
          <w:rFonts w:eastAsia="Times New Roman" w:cs="Arial"/>
          <w:color w:val="000000"/>
          <w:lang w:eastAsia="bg-BG"/>
        </w:rPr>
        <w:t xml:space="preserve">клетъчна линия от бозайник (яйчник от китайски хамстер) за кластогенност при присъствието на метаболитно активиране. Сорафениб не е генотоксичен в тест на </w:t>
      </w:r>
      <w:r w:rsidRPr="00BE40DA">
        <w:rPr>
          <w:rFonts w:eastAsia="Times New Roman" w:cs="Arial"/>
          <w:color w:val="000000"/>
          <w:lang w:val="en-US"/>
        </w:rPr>
        <w:t xml:space="preserve">Ames </w:t>
      </w:r>
      <w:r w:rsidRPr="00BE40DA">
        <w:rPr>
          <w:rFonts w:eastAsia="Times New Roman" w:cs="Arial"/>
          <w:color w:val="000000"/>
          <w:lang w:eastAsia="bg-BG"/>
        </w:rPr>
        <w:t xml:space="preserve">или в </w:t>
      </w:r>
      <w:r w:rsidRPr="00BE40DA">
        <w:rPr>
          <w:rFonts w:eastAsia="Times New Roman" w:cs="Arial"/>
          <w:i/>
          <w:iCs/>
          <w:color w:val="000000"/>
          <w:lang w:val="en-US"/>
        </w:rPr>
        <w:t>in vivo</w:t>
      </w:r>
      <w:r w:rsidRPr="00BE40DA">
        <w:rPr>
          <w:rFonts w:eastAsia="Times New Roman" w:cs="Arial"/>
          <w:color w:val="000000"/>
          <w:lang w:val="en-US"/>
        </w:rPr>
        <w:t xml:space="preserve"> </w:t>
      </w:r>
      <w:r w:rsidRPr="00BE40DA">
        <w:rPr>
          <w:rFonts w:eastAsia="Times New Roman" w:cs="Arial"/>
          <w:color w:val="000000"/>
          <w:lang w:eastAsia="bg-BG"/>
        </w:rPr>
        <w:t xml:space="preserve">микронуклеарен тест при мишки. Един междинен продукт от производствения процес, който присъства в крайната активна субстанция (&lt; 0,15%) е бил положителен за мутагенност в </w:t>
      </w:r>
      <w:r w:rsidRPr="00BE40DA">
        <w:rPr>
          <w:rFonts w:eastAsia="Times New Roman" w:cs="Arial"/>
          <w:i/>
          <w:iCs/>
          <w:color w:val="000000"/>
          <w:lang w:val="en-US"/>
        </w:rPr>
        <w:t>in vitro</w:t>
      </w:r>
      <w:r w:rsidRPr="00BE40DA">
        <w:rPr>
          <w:rFonts w:eastAsia="Times New Roman" w:cs="Arial"/>
          <w:color w:val="000000"/>
          <w:lang w:val="en-US"/>
        </w:rPr>
        <w:t xml:space="preserve"> </w:t>
      </w:r>
      <w:r w:rsidRPr="00BE40DA">
        <w:rPr>
          <w:rFonts w:eastAsia="Times New Roman" w:cs="Arial"/>
          <w:color w:val="000000"/>
          <w:lang w:eastAsia="bg-BG"/>
        </w:rPr>
        <w:t xml:space="preserve">бактериално клетъчно изследване </w:t>
      </w:r>
      <w:r w:rsidRPr="00BE40DA">
        <w:rPr>
          <w:rFonts w:eastAsia="Times New Roman" w:cs="Arial"/>
          <w:color w:val="000000"/>
          <w:lang w:val="en-US"/>
        </w:rPr>
        <w:t xml:space="preserve">(Ames test). </w:t>
      </w:r>
      <w:r w:rsidRPr="00BE40DA">
        <w:rPr>
          <w:rFonts w:eastAsia="Times New Roman" w:cs="Arial"/>
          <w:color w:val="000000"/>
          <w:lang w:eastAsia="bg-BG"/>
        </w:rPr>
        <w:t>Освен това, партидата сорафениб, изследвана със стандартен генотоксичен тест, включва 0,34% РАРЕ.</w:t>
      </w:r>
    </w:p>
    <w:p w14:paraId="712BA329" w14:textId="06A0A8DA"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Не са проведени проучвания за карциногенност със сорафениб.</w:t>
      </w:r>
    </w:p>
    <w:p w14:paraId="21136CF6" w14:textId="77777777" w:rsidR="00BE40DA" w:rsidRPr="00BE40DA" w:rsidRDefault="00BE40DA" w:rsidP="00BE40DA">
      <w:pPr>
        <w:spacing w:line="240" w:lineRule="auto"/>
        <w:rPr>
          <w:rFonts w:eastAsia="Times New Roman" w:cs="Arial"/>
          <w:color w:val="000000"/>
          <w:lang w:eastAsia="bg-BG"/>
        </w:rPr>
      </w:pPr>
    </w:p>
    <w:p w14:paraId="321F3F53" w14:textId="5C2F63C5"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Не са проведени специфични проучвания със сорафениб при животни, за да се оцени ефектът върху фертилитета. Нежелан ефект върху мъжкия и женски фертилитет може да се очаква, тъй като при проучвания за хронична токсичност са установени промени в репродуктивните органи на животните от двата пола, при дозировка по-ниска от клиничната доза (въз основа на </w:t>
      </w:r>
      <w:r w:rsidRPr="00BE40DA">
        <w:rPr>
          <w:rFonts w:eastAsia="Times New Roman" w:cs="Arial"/>
          <w:color w:val="000000"/>
          <w:lang w:val="en-US"/>
        </w:rPr>
        <w:t xml:space="preserve">AUC). </w:t>
      </w:r>
      <w:r w:rsidRPr="00BE40DA">
        <w:rPr>
          <w:rFonts w:eastAsia="Times New Roman" w:cs="Arial"/>
          <w:color w:val="000000"/>
          <w:lang w:eastAsia="bg-BG"/>
        </w:rPr>
        <w:t>Типичните промени се състоят от симптоми на дегенерация и забавяне на развитието на тестисите, епидидима, простата и семенните каналчета на плъхове. Женските плъхове показват централна некроза на корпус лутеум и спиране на развитието на фоликулите на яйчниците. Кучетата показват тубулна дегенерация на тестисите и олигоспермия.</w:t>
      </w:r>
    </w:p>
    <w:p w14:paraId="745BCA56" w14:textId="77777777" w:rsidR="00BE40DA" w:rsidRPr="00BE40DA" w:rsidRDefault="00BE40DA" w:rsidP="00BE40DA">
      <w:pPr>
        <w:spacing w:line="240" w:lineRule="auto"/>
        <w:rPr>
          <w:rFonts w:eastAsia="Times New Roman" w:cs="Arial"/>
          <w:color w:val="000000"/>
          <w:lang w:eastAsia="bg-BG"/>
        </w:rPr>
      </w:pPr>
    </w:p>
    <w:p w14:paraId="73CD2E7D" w14:textId="74FEF722" w:rsidR="00BE40DA" w:rsidRPr="00BE40DA" w:rsidRDefault="00BE40DA" w:rsidP="00BE40DA">
      <w:pPr>
        <w:spacing w:line="240" w:lineRule="auto"/>
        <w:rPr>
          <w:rFonts w:eastAsia="Times New Roman" w:cs="Arial"/>
          <w:color w:val="000000"/>
          <w:lang w:eastAsia="bg-BG"/>
        </w:rPr>
      </w:pPr>
      <w:r w:rsidRPr="00BE40DA">
        <w:rPr>
          <w:rFonts w:eastAsia="Times New Roman" w:cs="Arial"/>
          <w:color w:val="000000"/>
          <w:lang w:eastAsia="bg-BG"/>
        </w:rPr>
        <w:t>Сорафениб е ембриотоксичен и тератогенен, когато се прилага на плъхове и зайци с експозиция на дози, по-ниски от клиничните. Наблюдаваните ефекти включват намаляване телесното тегло на майката и плода, повишена честота на резорбция на зародиша и повишен брой на външни и органни малфорации.</w:t>
      </w:r>
    </w:p>
    <w:p w14:paraId="1E3A9CE4" w14:textId="77777777" w:rsidR="00BE40DA" w:rsidRPr="00BE40DA" w:rsidRDefault="00BE40DA" w:rsidP="00BE40DA">
      <w:pPr>
        <w:spacing w:line="240" w:lineRule="auto"/>
        <w:rPr>
          <w:rFonts w:eastAsia="Times New Roman" w:cs="Arial"/>
          <w:color w:val="000000"/>
          <w:lang w:eastAsia="bg-BG"/>
        </w:rPr>
      </w:pPr>
    </w:p>
    <w:p w14:paraId="217D5B5C" w14:textId="006E302B" w:rsidR="00BE40DA" w:rsidRPr="00BE40DA" w:rsidRDefault="00BE40DA" w:rsidP="00BE40DA">
      <w:pPr>
        <w:spacing w:line="240" w:lineRule="auto"/>
        <w:rPr>
          <w:rFonts w:eastAsia="Times New Roman" w:cs="Arial"/>
          <w:sz w:val="24"/>
          <w:szCs w:val="24"/>
          <w:lang w:eastAsia="bg-BG"/>
        </w:rPr>
      </w:pPr>
      <w:r w:rsidRPr="00BE40DA">
        <w:rPr>
          <w:rFonts w:eastAsia="Times New Roman" w:cs="Arial"/>
          <w:color w:val="000000"/>
          <w:lang w:eastAsia="bg-BG"/>
        </w:rPr>
        <w:t xml:space="preserve">Проучванията за оценка на риска за околната среда показват, че сорафениб тозилат има потенциал да бъде устойчив, биокумулиращ и токсичен за околната среда. Информация относно оценка на риска за околната среда е налична в </w:t>
      </w:r>
      <w:r w:rsidRPr="00BE40DA">
        <w:rPr>
          <w:rFonts w:eastAsia="Times New Roman" w:cs="Arial"/>
          <w:color w:val="000000"/>
          <w:lang w:val="en-US"/>
        </w:rPr>
        <w:t xml:space="preserve">EPAR </w:t>
      </w:r>
      <w:r w:rsidRPr="00BE40DA">
        <w:rPr>
          <w:rFonts w:eastAsia="Times New Roman" w:cs="Arial"/>
          <w:color w:val="000000"/>
          <w:lang w:eastAsia="bg-BG"/>
        </w:rPr>
        <w:t>за този лекарствен продукт (вж. точка 6.6).</w:t>
      </w:r>
    </w:p>
    <w:p w14:paraId="3AD86E4B" w14:textId="77777777" w:rsidR="00BE40DA" w:rsidRPr="00BE40DA" w:rsidRDefault="00BE40DA" w:rsidP="00BE40DA"/>
    <w:p w14:paraId="357049A8" w14:textId="5CA5BFB3" w:rsidR="00BB22B4" w:rsidRDefault="002C50EE" w:rsidP="00471F10">
      <w:pPr>
        <w:pStyle w:val="Heading1"/>
      </w:pPr>
      <w:r>
        <w:t>7. ПРИТЕЖАТЕЛ НА РАЗРЕШЕНИЕТО ЗА УПОТРЕБА</w:t>
      </w:r>
    </w:p>
    <w:p w14:paraId="5DB81F3A" w14:textId="7B92CECE" w:rsidR="00BE40DA" w:rsidRDefault="00BE40DA" w:rsidP="00BE40DA"/>
    <w:p w14:paraId="6EDCF13B" w14:textId="77777777" w:rsidR="00BE40DA" w:rsidRPr="00BE40DA" w:rsidRDefault="00BE40DA" w:rsidP="00BE40DA">
      <w:pPr>
        <w:rPr>
          <w:sz w:val="24"/>
          <w:szCs w:val="24"/>
          <w:lang w:val="en-US" w:eastAsia="bg-BG"/>
        </w:rPr>
      </w:pPr>
      <w:r w:rsidRPr="00BE40DA">
        <w:rPr>
          <w:lang w:val="en-US"/>
        </w:rPr>
        <w:lastRenderedPageBreak/>
        <w:t>Teva B.V.</w:t>
      </w:r>
    </w:p>
    <w:p w14:paraId="2D1F56B3" w14:textId="77777777" w:rsidR="00BE40DA" w:rsidRPr="00BE40DA" w:rsidRDefault="00BE40DA" w:rsidP="00BE40DA">
      <w:pPr>
        <w:rPr>
          <w:sz w:val="24"/>
          <w:szCs w:val="24"/>
          <w:lang w:val="en-US" w:eastAsia="bg-BG"/>
        </w:rPr>
      </w:pPr>
      <w:proofErr w:type="spellStart"/>
      <w:r w:rsidRPr="00BE40DA">
        <w:rPr>
          <w:lang w:val="en-US"/>
        </w:rPr>
        <w:t>Swensweg</w:t>
      </w:r>
      <w:proofErr w:type="spellEnd"/>
      <w:r w:rsidRPr="00BE40DA">
        <w:rPr>
          <w:lang w:val="en-US"/>
        </w:rPr>
        <w:t xml:space="preserve"> </w:t>
      </w:r>
      <w:r w:rsidRPr="00BE40DA">
        <w:rPr>
          <w:lang w:eastAsia="bg-BG"/>
        </w:rPr>
        <w:t>5</w:t>
      </w:r>
    </w:p>
    <w:p w14:paraId="264DEB05" w14:textId="77777777" w:rsidR="00BE40DA" w:rsidRPr="00BE40DA" w:rsidRDefault="00BE40DA" w:rsidP="00BE40DA">
      <w:pPr>
        <w:rPr>
          <w:sz w:val="24"/>
          <w:szCs w:val="24"/>
          <w:lang w:val="en-US" w:eastAsia="bg-BG"/>
        </w:rPr>
      </w:pPr>
      <w:r w:rsidRPr="00BE40DA">
        <w:rPr>
          <w:lang w:eastAsia="bg-BG"/>
        </w:rPr>
        <w:t xml:space="preserve">2031 </w:t>
      </w:r>
      <w:r w:rsidRPr="00BE40DA">
        <w:rPr>
          <w:lang w:val="en-US"/>
        </w:rPr>
        <w:t>GA Haarlem</w:t>
      </w:r>
    </w:p>
    <w:p w14:paraId="4A14B3C4" w14:textId="163DD811" w:rsidR="00BE40DA" w:rsidRPr="00BE40DA" w:rsidRDefault="00BE40DA" w:rsidP="00BE40DA">
      <w:r w:rsidRPr="00BE40DA">
        <w:rPr>
          <w:lang w:eastAsia="bg-BG"/>
        </w:rPr>
        <w:t>Нидерландия</w:t>
      </w:r>
    </w:p>
    <w:p w14:paraId="796B2EC6" w14:textId="1868AB93" w:rsidR="00BB22B4" w:rsidRDefault="00936AD0" w:rsidP="00471F10">
      <w:pPr>
        <w:pStyle w:val="Heading1"/>
      </w:pPr>
      <w:r>
        <w:t>8.</w:t>
      </w:r>
      <w:r w:rsidR="002C50EE">
        <w:t>НОМЕР НА РАЗРЕШЕНИЕТО ЗА УПОТРЕБА</w:t>
      </w:r>
    </w:p>
    <w:p w14:paraId="028AE4E6" w14:textId="257BEB67" w:rsidR="00BE40DA" w:rsidRDefault="00BE40DA" w:rsidP="00BE40DA"/>
    <w:p w14:paraId="1E028977" w14:textId="4940D7DA" w:rsidR="00BE40DA" w:rsidRPr="00BE40DA" w:rsidRDefault="00BE40DA" w:rsidP="00BE40DA">
      <w:r>
        <w:rPr>
          <w:lang w:val="en-US"/>
        </w:rPr>
        <w:t xml:space="preserve">Per. </w:t>
      </w:r>
      <w:r>
        <w:t>№ 20190075</w:t>
      </w:r>
    </w:p>
    <w:p w14:paraId="3715C10B" w14:textId="6347D4DC" w:rsidR="00BB22B4" w:rsidRDefault="002C50EE" w:rsidP="00471F10">
      <w:pPr>
        <w:pStyle w:val="Heading1"/>
      </w:pPr>
      <w:r>
        <w:t>9. ДАТА НА ПЪРВО РАЗРЕШАВАНЕ/ПОДНОВЯВАНЕ НА РАЗРЕШЕНИЕТО ЗА УПОТРЕБА</w:t>
      </w:r>
    </w:p>
    <w:p w14:paraId="55BDE92B" w14:textId="71A6EA03" w:rsidR="00BE40DA" w:rsidRDefault="00BE40DA" w:rsidP="00BE40DA"/>
    <w:p w14:paraId="2B6C7BAA" w14:textId="2B59407C" w:rsidR="00BE40DA" w:rsidRPr="00BE40DA" w:rsidRDefault="00BE40DA" w:rsidP="00BE40DA">
      <w:pPr>
        <w:rPr>
          <w:sz w:val="24"/>
          <w:szCs w:val="24"/>
          <w:lang w:eastAsia="bg-BG"/>
        </w:rPr>
      </w:pPr>
      <w:r w:rsidRPr="00BE40DA">
        <w:rPr>
          <w:lang w:eastAsia="bg-BG"/>
        </w:rPr>
        <w:t>Дата на първо разрешаване: 12.04.2019</w:t>
      </w:r>
    </w:p>
    <w:p w14:paraId="43FB38A2" w14:textId="0C18A683" w:rsidR="007C605B" w:rsidRDefault="002C50EE" w:rsidP="005726E3">
      <w:pPr>
        <w:pStyle w:val="Heading1"/>
      </w:pPr>
      <w:r>
        <w:t>10. ДАТА НА АКТУАЛИЗИРАНЕ НА ТЕКСТА</w:t>
      </w:r>
      <w:bookmarkEnd w:id="0"/>
    </w:p>
    <w:p w14:paraId="0749D2D8" w14:textId="4267F3C0" w:rsidR="00BE40DA" w:rsidRPr="00BB22B4" w:rsidRDefault="00BE40DA" w:rsidP="00BE40DA">
      <w:r>
        <w:t>03.05.2022</w:t>
      </w:r>
    </w:p>
    <w:sectPr w:rsidR="00BE40DA"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A4E22"/>
    <w:multiLevelType w:val="hybridMultilevel"/>
    <w:tmpl w:val="618CC4E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420177035">
    <w:abstractNumId w:val="30"/>
  </w:num>
  <w:num w:numId="2" w16cid:durableId="110130056">
    <w:abstractNumId w:val="0"/>
  </w:num>
  <w:num w:numId="3" w16cid:durableId="2104837595">
    <w:abstractNumId w:val="15"/>
  </w:num>
  <w:num w:numId="4" w16cid:durableId="658071245">
    <w:abstractNumId w:val="3"/>
  </w:num>
  <w:num w:numId="5" w16cid:durableId="299193095">
    <w:abstractNumId w:val="1"/>
  </w:num>
  <w:num w:numId="6" w16cid:durableId="491220456">
    <w:abstractNumId w:val="19"/>
  </w:num>
  <w:num w:numId="7" w16cid:durableId="1316422228">
    <w:abstractNumId w:val="13"/>
  </w:num>
  <w:num w:numId="8" w16cid:durableId="909313910">
    <w:abstractNumId w:val="18"/>
  </w:num>
  <w:num w:numId="9" w16cid:durableId="1411191813">
    <w:abstractNumId w:val="2"/>
  </w:num>
  <w:num w:numId="10" w16cid:durableId="1017197032">
    <w:abstractNumId w:val="4"/>
  </w:num>
  <w:num w:numId="11" w16cid:durableId="1559123335">
    <w:abstractNumId w:val="33"/>
  </w:num>
  <w:num w:numId="12" w16cid:durableId="1654875058">
    <w:abstractNumId w:val="16"/>
  </w:num>
  <w:num w:numId="13" w16cid:durableId="1400976756">
    <w:abstractNumId w:val="22"/>
  </w:num>
  <w:num w:numId="14" w16cid:durableId="930509499">
    <w:abstractNumId w:val="14"/>
  </w:num>
  <w:num w:numId="15" w16cid:durableId="85344905">
    <w:abstractNumId w:val="32"/>
  </w:num>
  <w:num w:numId="16" w16cid:durableId="892160352">
    <w:abstractNumId w:val="12"/>
  </w:num>
  <w:num w:numId="17" w16cid:durableId="1574700382">
    <w:abstractNumId w:val="27"/>
  </w:num>
  <w:num w:numId="18" w16cid:durableId="351691740">
    <w:abstractNumId w:val="8"/>
  </w:num>
  <w:num w:numId="19" w16cid:durableId="965085929">
    <w:abstractNumId w:val="29"/>
  </w:num>
  <w:num w:numId="20" w16cid:durableId="734818024">
    <w:abstractNumId w:val="26"/>
  </w:num>
  <w:num w:numId="21" w16cid:durableId="2140370965">
    <w:abstractNumId w:val="20"/>
  </w:num>
  <w:num w:numId="22" w16cid:durableId="1326087678">
    <w:abstractNumId w:val="28"/>
  </w:num>
  <w:num w:numId="23" w16cid:durableId="188495127">
    <w:abstractNumId w:val="21"/>
  </w:num>
  <w:num w:numId="24" w16cid:durableId="1812861752">
    <w:abstractNumId w:val="10"/>
  </w:num>
  <w:num w:numId="25" w16cid:durableId="1146898688">
    <w:abstractNumId w:val="25"/>
  </w:num>
  <w:num w:numId="26" w16cid:durableId="224726364">
    <w:abstractNumId w:val="24"/>
  </w:num>
  <w:num w:numId="27" w16cid:durableId="2097969761">
    <w:abstractNumId w:val="34"/>
  </w:num>
  <w:num w:numId="28" w16cid:durableId="1364328650">
    <w:abstractNumId w:val="6"/>
  </w:num>
  <w:num w:numId="29" w16cid:durableId="1659378680">
    <w:abstractNumId w:val="23"/>
  </w:num>
  <w:num w:numId="30" w16cid:durableId="1085540057">
    <w:abstractNumId w:val="37"/>
  </w:num>
  <w:num w:numId="31" w16cid:durableId="1206603892">
    <w:abstractNumId w:val="5"/>
  </w:num>
  <w:num w:numId="32" w16cid:durableId="1574315580">
    <w:abstractNumId w:val="36"/>
  </w:num>
  <w:num w:numId="33" w16cid:durableId="1654020145">
    <w:abstractNumId w:val="31"/>
  </w:num>
  <w:num w:numId="34" w16cid:durableId="922372992">
    <w:abstractNumId w:val="35"/>
  </w:num>
  <w:num w:numId="35" w16cid:durableId="87122908">
    <w:abstractNumId w:val="7"/>
  </w:num>
  <w:num w:numId="36" w16cid:durableId="862011585">
    <w:abstractNumId w:val="11"/>
  </w:num>
  <w:num w:numId="37" w16cid:durableId="1961763786">
    <w:abstractNumId w:val="17"/>
  </w:num>
  <w:num w:numId="38" w16cid:durableId="14439571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128A4"/>
    <w:rsid w:val="00185A46"/>
    <w:rsid w:val="001915B6"/>
    <w:rsid w:val="001A6EBD"/>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B22B4"/>
    <w:rsid w:val="00BE40DA"/>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6249</Words>
  <Characters>35625</Characters>
  <Application>Microsoft Office Word</Application>
  <DocSecurity>0</DocSecurity>
  <Lines>296</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2022-12-28T22:51:00Z</dcterms:created>
  <dcterms:modified xsi:type="dcterms:W3CDTF">2022-12-28T22:51:00Z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