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149CD35C" w14:textId="77777777" w:rsidR="00CF751E" w:rsidRPr="00CF751E" w:rsidRDefault="00CF751E" w:rsidP="00CF751E">
      <w:pPr>
        <w:spacing w:line="240" w:lineRule="auto"/>
        <w:rPr>
          <w:rFonts w:eastAsia="Times New Roman" w:cs="Arial"/>
          <w:sz w:val="28"/>
          <w:szCs w:val="24"/>
          <w:lang w:eastAsia="bg-BG"/>
        </w:rPr>
      </w:pPr>
      <w:r w:rsidRPr="00CF751E">
        <w:rPr>
          <w:rFonts w:eastAsia="Times New Roman" w:cs="Arial"/>
          <w:color w:val="000000"/>
          <w:szCs w:val="20"/>
          <w:lang w:eastAsia="bg-BG"/>
        </w:rPr>
        <w:t xml:space="preserve">Сорбифер Дурулес 320 </w:t>
      </w:r>
      <w:r w:rsidRPr="00CF751E">
        <w:rPr>
          <w:rFonts w:eastAsia="Times New Roman" w:cs="Arial"/>
          <w:color w:val="000000"/>
          <w:szCs w:val="20"/>
          <w:lang w:val="en-US"/>
        </w:rPr>
        <w:t xml:space="preserve">mg </w:t>
      </w:r>
      <w:r w:rsidRPr="00CF751E">
        <w:rPr>
          <w:rFonts w:eastAsia="Times New Roman" w:cs="Arial"/>
          <w:color w:val="000000"/>
          <w:szCs w:val="20"/>
          <w:lang w:eastAsia="bg-BG"/>
        </w:rPr>
        <w:t>таблетки с удължено освобождаване</w:t>
      </w:r>
    </w:p>
    <w:p w14:paraId="1429985A" w14:textId="77777777" w:rsidR="00CF751E" w:rsidRPr="00CF751E" w:rsidRDefault="00CF751E" w:rsidP="00CF751E">
      <w:pPr>
        <w:rPr>
          <w:rFonts w:eastAsia="Times New Roman" w:cs="Arial"/>
          <w:color w:val="000000"/>
          <w:szCs w:val="20"/>
          <w:lang w:val="en-US"/>
        </w:rPr>
      </w:pPr>
    </w:p>
    <w:p w14:paraId="69AC8148" w14:textId="499FD7E0" w:rsidR="00EC41ED" w:rsidRPr="00CF751E" w:rsidRDefault="00CF751E" w:rsidP="00CF751E">
      <w:pPr>
        <w:rPr>
          <w:rFonts w:cs="Arial"/>
          <w:sz w:val="24"/>
        </w:rPr>
      </w:pPr>
      <w:proofErr w:type="spellStart"/>
      <w:r w:rsidRPr="00CF751E">
        <w:rPr>
          <w:rFonts w:eastAsia="Times New Roman" w:cs="Arial"/>
          <w:color w:val="000000"/>
          <w:szCs w:val="20"/>
          <w:lang w:val="en-US"/>
        </w:rPr>
        <w:t>Sorbifer</w:t>
      </w:r>
      <w:proofErr w:type="spellEnd"/>
      <w:r w:rsidRPr="00CF751E">
        <w:rPr>
          <w:rFonts w:eastAsia="Times New Roman" w:cs="Arial"/>
          <w:color w:val="000000"/>
          <w:szCs w:val="20"/>
          <w:lang w:val="en-US"/>
        </w:rPr>
        <w:t xml:space="preserve"> </w:t>
      </w:r>
      <w:proofErr w:type="spellStart"/>
      <w:r w:rsidRPr="00CF751E">
        <w:rPr>
          <w:rFonts w:eastAsia="Times New Roman" w:cs="Arial"/>
          <w:color w:val="000000"/>
          <w:szCs w:val="20"/>
          <w:lang w:val="en-US"/>
        </w:rPr>
        <w:t>Durules</w:t>
      </w:r>
      <w:proofErr w:type="spellEnd"/>
      <w:r w:rsidRPr="00CF751E">
        <w:rPr>
          <w:rFonts w:eastAsia="Times New Roman" w:cs="Arial"/>
          <w:color w:val="000000"/>
          <w:szCs w:val="20"/>
          <w:lang w:val="en-US"/>
        </w:rPr>
        <w:t xml:space="preserve"> </w:t>
      </w:r>
      <w:r w:rsidRPr="00CF751E">
        <w:rPr>
          <w:rFonts w:eastAsia="Times New Roman" w:cs="Arial"/>
          <w:color w:val="000000"/>
          <w:szCs w:val="20"/>
          <w:lang w:eastAsia="bg-BG"/>
        </w:rPr>
        <w:t xml:space="preserve">320 </w:t>
      </w:r>
      <w:r w:rsidRPr="00CF751E">
        <w:rPr>
          <w:rFonts w:eastAsia="Times New Roman" w:cs="Arial"/>
          <w:color w:val="000000"/>
          <w:szCs w:val="20"/>
          <w:lang w:val="en-US"/>
        </w:rPr>
        <w:t>mg prolonged-release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19B1A6FA" w14:textId="77777777" w:rsidR="00CF751E" w:rsidRPr="00CF751E" w:rsidRDefault="00CF751E" w:rsidP="00CF751E">
      <w:pPr>
        <w:spacing w:line="240" w:lineRule="auto"/>
        <w:rPr>
          <w:rFonts w:eastAsia="Times New Roman" w:cs="Arial"/>
          <w:sz w:val="28"/>
          <w:szCs w:val="24"/>
          <w:lang w:eastAsia="bg-BG"/>
        </w:rPr>
      </w:pPr>
      <w:r w:rsidRPr="00CF751E">
        <w:rPr>
          <w:rFonts w:eastAsia="Times New Roman" w:cs="Arial"/>
          <w:color w:val="000000"/>
          <w:szCs w:val="20"/>
          <w:u w:val="single"/>
          <w:lang w:eastAsia="bg-BG"/>
        </w:rPr>
        <w:t>Всяка таблетка с удължено освобождаване съдържа</w:t>
      </w:r>
      <w:r w:rsidRPr="00CF751E">
        <w:rPr>
          <w:rFonts w:eastAsia="Times New Roman" w:cs="Arial"/>
          <w:color w:val="000000"/>
          <w:szCs w:val="20"/>
          <w:lang w:eastAsia="bg-BG"/>
        </w:rPr>
        <w:t xml:space="preserve"> 320 </w:t>
      </w:r>
      <w:r w:rsidRPr="00CF751E">
        <w:rPr>
          <w:rFonts w:eastAsia="Times New Roman" w:cs="Arial"/>
          <w:color w:val="000000"/>
          <w:szCs w:val="20"/>
          <w:lang w:val="en-US"/>
        </w:rPr>
        <w:t xml:space="preserve">mg </w:t>
      </w:r>
      <w:r w:rsidRPr="00CF751E">
        <w:rPr>
          <w:rFonts w:eastAsia="Times New Roman" w:cs="Arial"/>
          <w:color w:val="000000"/>
          <w:szCs w:val="20"/>
          <w:lang w:eastAsia="bg-BG"/>
        </w:rPr>
        <w:t>ферусулфат, изсушен</w:t>
      </w:r>
    </w:p>
    <w:p w14:paraId="4F5F91C5" w14:textId="77777777" w:rsidR="00CF751E" w:rsidRPr="00CF751E" w:rsidRDefault="00CF751E" w:rsidP="00CF751E">
      <w:pPr>
        <w:spacing w:line="240" w:lineRule="auto"/>
        <w:rPr>
          <w:rFonts w:eastAsia="Times New Roman" w:cs="Arial"/>
          <w:sz w:val="28"/>
          <w:szCs w:val="24"/>
          <w:lang w:eastAsia="bg-BG"/>
        </w:rPr>
      </w:pPr>
      <w:r w:rsidRPr="00CF751E">
        <w:rPr>
          <w:rFonts w:eastAsia="Times New Roman" w:cs="Arial"/>
          <w:color w:val="000000"/>
          <w:szCs w:val="20"/>
          <w:lang w:eastAsia="bg-BG"/>
        </w:rPr>
        <w:t xml:space="preserve">[съответстващ на 100 </w:t>
      </w:r>
      <w:r w:rsidRPr="00CF751E">
        <w:rPr>
          <w:rFonts w:eastAsia="Times New Roman" w:cs="Arial"/>
          <w:color w:val="000000"/>
          <w:szCs w:val="20"/>
          <w:lang w:val="en-US"/>
        </w:rPr>
        <w:t>mg Fe(II)].</w:t>
      </w:r>
      <w:r w:rsidRPr="00CF751E">
        <w:rPr>
          <w:rFonts w:eastAsia="Times New Roman" w:cs="Arial"/>
          <w:color w:val="000000"/>
          <w:szCs w:val="20"/>
          <w:lang w:val="en-US"/>
        </w:rPr>
        <w:tab/>
      </w:r>
    </w:p>
    <w:p w14:paraId="20682150" w14:textId="77777777" w:rsidR="00CF751E" w:rsidRPr="00CF751E" w:rsidRDefault="00CF751E" w:rsidP="00CF751E">
      <w:pPr>
        <w:spacing w:line="240" w:lineRule="auto"/>
        <w:rPr>
          <w:rFonts w:eastAsia="Times New Roman" w:cs="Arial"/>
          <w:sz w:val="28"/>
          <w:szCs w:val="24"/>
          <w:lang w:eastAsia="bg-BG"/>
        </w:rPr>
      </w:pPr>
    </w:p>
    <w:p w14:paraId="54632B43" w14:textId="55D2BF5F" w:rsidR="00EC41ED" w:rsidRPr="00CF751E" w:rsidRDefault="00CF751E" w:rsidP="00CF751E">
      <w:pPr>
        <w:rPr>
          <w:rFonts w:cs="Arial"/>
          <w:sz w:val="24"/>
        </w:rPr>
      </w:pPr>
      <w:r w:rsidRPr="00CF751E">
        <w:rPr>
          <w:rFonts w:eastAsia="Times New Roman" w:cs="Arial"/>
          <w:color w:val="000000"/>
          <w:szCs w:val="2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1B980869" w14:textId="77777777" w:rsidR="00CF751E" w:rsidRPr="00CF751E" w:rsidRDefault="00CF751E" w:rsidP="00CF751E">
      <w:pPr>
        <w:spacing w:line="240" w:lineRule="auto"/>
        <w:rPr>
          <w:rFonts w:eastAsia="Times New Roman" w:cs="Arial"/>
          <w:sz w:val="28"/>
          <w:szCs w:val="24"/>
          <w:lang w:eastAsia="bg-BG"/>
        </w:rPr>
      </w:pPr>
      <w:r w:rsidRPr="00CF751E">
        <w:rPr>
          <w:rFonts w:eastAsia="Times New Roman" w:cs="Arial"/>
          <w:color w:val="000000"/>
          <w:szCs w:val="20"/>
          <w:lang w:eastAsia="bg-BG"/>
        </w:rPr>
        <w:t>Таблетка с удължено освобождаване</w:t>
      </w:r>
    </w:p>
    <w:p w14:paraId="13B6B268" w14:textId="77777777" w:rsidR="00CF751E" w:rsidRPr="00CF751E" w:rsidRDefault="00CF751E" w:rsidP="00CF751E">
      <w:pPr>
        <w:rPr>
          <w:rFonts w:eastAsia="Times New Roman" w:cs="Arial"/>
          <w:color w:val="000000"/>
          <w:szCs w:val="20"/>
          <w:lang w:eastAsia="bg-BG"/>
        </w:rPr>
      </w:pPr>
    </w:p>
    <w:p w14:paraId="743244F0" w14:textId="0D5BBEE3" w:rsidR="00EC41ED" w:rsidRPr="00CF751E" w:rsidRDefault="00CF751E" w:rsidP="00CF751E">
      <w:pPr>
        <w:rPr>
          <w:rFonts w:cs="Arial"/>
          <w:sz w:val="24"/>
        </w:rPr>
      </w:pPr>
      <w:r w:rsidRPr="00CF751E">
        <w:rPr>
          <w:rFonts w:eastAsia="Times New Roman" w:cs="Arial"/>
          <w:color w:val="000000"/>
          <w:szCs w:val="20"/>
          <w:lang w:eastAsia="bg-BG"/>
        </w:rPr>
        <w:t xml:space="preserve">Охрено жълти, лещовидни, леко конвексни филмирани таблетки и с надпис </w:t>
      </w:r>
      <w:r w:rsidRPr="00CF751E">
        <w:rPr>
          <w:rFonts w:eastAsia="Times New Roman" w:cs="Arial"/>
          <w:color w:val="000000"/>
          <w:szCs w:val="20"/>
          <w:lang w:val="en-US"/>
        </w:rPr>
        <w:t xml:space="preserve">„Z“ </w:t>
      </w:r>
      <w:r w:rsidRPr="00CF751E">
        <w:rPr>
          <w:rFonts w:eastAsia="Times New Roman" w:cs="Arial"/>
          <w:color w:val="000000"/>
          <w:szCs w:val="20"/>
          <w:lang w:eastAsia="bg-BG"/>
        </w:rPr>
        <w:t>от едната страна.</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6DFA4B9D" w14:textId="291A2488" w:rsidR="0091385D" w:rsidRPr="00CF751E" w:rsidRDefault="00CF751E" w:rsidP="0091385D">
      <w:pPr>
        <w:rPr>
          <w:rFonts w:cs="Arial"/>
          <w:sz w:val="24"/>
        </w:rPr>
      </w:pPr>
      <w:r w:rsidRPr="00CF751E">
        <w:rPr>
          <w:rFonts w:cs="Arial"/>
          <w:szCs w:val="20"/>
        </w:rPr>
        <w:t>• Профилактика и лечение на желязо-дефицитна анемия.</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672ED08C" w14:textId="77777777" w:rsidR="00CF751E" w:rsidRPr="00CF751E" w:rsidRDefault="00CF751E" w:rsidP="00CF751E">
      <w:pPr>
        <w:pStyle w:val="Heading3"/>
        <w:rPr>
          <w:rFonts w:eastAsia="Times New Roman"/>
          <w:sz w:val="28"/>
          <w:u w:val="single"/>
          <w:lang w:eastAsia="bg-BG"/>
        </w:rPr>
      </w:pPr>
      <w:r w:rsidRPr="00CF751E">
        <w:rPr>
          <w:rFonts w:eastAsia="Times New Roman"/>
          <w:u w:val="single"/>
          <w:lang w:eastAsia="bg-BG"/>
        </w:rPr>
        <w:t>Дозировка</w:t>
      </w:r>
    </w:p>
    <w:p w14:paraId="6EF449A4" w14:textId="77777777" w:rsidR="00CF751E" w:rsidRPr="00CF751E" w:rsidRDefault="00CF751E" w:rsidP="00CF751E">
      <w:pPr>
        <w:spacing w:line="240" w:lineRule="auto"/>
        <w:rPr>
          <w:rFonts w:eastAsia="Times New Roman" w:cs="Arial"/>
          <w:i/>
          <w:iCs/>
          <w:color w:val="000000"/>
          <w:szCs w:val="20"/>
          <w:lang w:eastAsia="bg-BG"/>
        </w:rPr>
      </w:pPr>
    </w:p>
    <w:p w14:paraId="0A038944" w14:textId="763F217A" w:rsidR="00CF751E" w:rsidRPr="00CF751E" w:rsidRDefault="00CF751E" w:rsidP="00CF751E">
      <w:pPr>
        <w:spacing w:line="240" w:lineRule="auto"/>
        <w:rPr>
          <w:rFonts w:eastAsia="Times New Roman" w:cs="Arial"/>
          <w:sz w:val="28"/>
          <w:szCs w:val="24"/>
          <w:lang w:eastAsia="bg-BG"/>
        </w:rPr>
      </w:pPr>
      <w:r w:rsidRPr="00CF751E">
        <w:rPr>
          <w:rFonts w:eastAsia="Times New Roman" w:cs="Arial"/>
          <w:i/>
          <w:iCs/>
          <w:color w:val="000000"/>
          <w:szCs w:val="20"/>
          <w:lang w:eastAsia="bg-BG"/>
        </w:rPr>
        <w:t>Възрастни и юноши над 12 години</w:t>
      </w:r>
    </w:p>
    <w:p w14:paraId="44B5B997" w14:textId="77777777" w:rsidR="00CF751E" w:rsidRPr="00CF751E" w:rsidRDefault="00CF751E" w:rsidP="00CF751E">
      <w:pPr>
        <w:spacing w:line="240" w:lineRule="auto"/>
        <w:rPr>
          <w:rFonts w:eastAsia="Times New Roman" w:cs="Arial"/>
          <w:sz w:val="28"/>
          <w:szCs w:val="24"/>
          <w:lang w:eastAsia="bg-BG"/>
        </w:rPr>
      </w:pPr>
      <w:r w:rsidRPr="00CF751E">
        <w:rPr>
          <w:rFonts w:eastAsia="Times New Roman" w:cs="Arial"/>
          <w:color w:val="000000"/>
          <w:szCs w:val="20"/>
          <w:lang w:eastAsia="bg-BG"/>
        </w:rPr>
        <w:t>За възрастни и юноши (над 12-годишна възраст), препоръчваната доза е 2* 1 таблетка дневно. Ако е необходимо, поради нежеланите ефекти, дозата може да бъде намалена наполовина (1 таблетка дневно). Ако се изисква при желязо-дефицитна анемия, дозата може да бъде увеличена до 3-4 таблетки дневно, разделени в два приема (сутринта и вечерта).</w:t>
      </w:r>
    </w:p>
    <w:p w14:paraId="58F97D0C" w14:textId="77777777" w:rsidR="00CF751E" w:rsidRPr="00CF751E" w:rsidRDefault="00CF751E" w:rsidP="00CF751E">
      <w:pPr>
        <w:spacing w:line="240" w:lineRule="auto"/>
        <w:rPr>
          <w:rFonts w:eastAsia="Times New Roman" w:cs="Arial"/>
          <w:i/>
          <w:iCs/>
          <w:color w:val="000000"/>
          <w:szCs w:val="20"/>
          <w:lang w:eastAsia="bg-BG"/>
        </w:rPr>
      </w:pPr>
    </w:p>
    <w:p w14:paraId="0A9D9F10" w14:textId="29C72C41" w:rsidR="00CF751E" w:rsidRPr="00CF751E" w:rsidRDefault="00CF751E" w:rsidP="00CF751E">
      <w:pPr>
        <w:spacing w:line="240" w:lineRule="auto"/>
        <w:rPr>
          <w:rFonts w:eastAsia="Times New Roman" w:cs="Arial"/>
          <w:sz w:val="28"/>
          <w:szCs w:val="24"/>
          <w:lang w:eastAsia="bg-BG"/>
        </w:rPr>
      </w:pPr>
      <w:r w:rsidRPr="00CF751E">
        <w:rPr>
          <w:rFonts w:eastAsia="Times New Roman" w:cs="Arial"/>
          <w:i/>
          <w:iCs/>
          <w:color w:val="000000"/>
          <w:szCs w:val="20"/>
          <w:lang w:eastAsia="bg-BG"/>
        </w:rPr>
        <w:t>Педиатрична популация</w:t>
      </w:r>
    </w:p>
    <w:p w14:paraId="5BEBEE0B" w14:textId="77777777" w:rsidR="00CF751E" w:rsidRPr="00CF751E" w:rsidRDefault="00CF751E" w:rsidP="00CF751E">
      <w:pPr>
        <w:spacing w:line="240" w:lineRule="auto"/>
        <w:rPr>
          <w:rFonts w:eastAsia="Times New Roman" w:cs="Arial"/>
          <w:sz w:val="28"/>
          <w:szCs w:val="24"/>
          <w:lang w:eastAsia="bg-BG"/>
        </w:rPr>
      </w:pPr>
      <w:r w:rsidRPr="00CF751E">
        <w:rPr>
          <w:rFonts w:eastAsia="Times New Roman" w:cs="Arial"/>
          <w:color w:val="000000"/>
          <w:szCs w:val="20"/>
          <w:lang w:eastAsia="bg-BG"/>
        </w:rPr>
        <w:lastRenderedPageBreak/>
        <w:t>Това лекарство не трябва да се прилага при бебета и малки деца (под 12-годишна възраст).</w:t>
      </w:r>
    </w:p>
    <w:p w14:paraId="257F9015" w14:textId="77777777" w:rsidR="00CF751E" w:rsidRPr="00CF751E" w:rsidRDefault="00CF751E" w:rsidP="00CF751E">
      <w:pPr>
        <w:spacing w:line="240" w:lineRule="auto"/>
        <w:rPr>
          <w:rFonts w:eastAsia="Times New Roman" w:cs="Arial"/>
          <w:i/>
          <w:iCs/>
          <w:color w:val="000000"/>
          <w:szCs w:val="20"/>
          <w:lang w:eastAsia="bg-BG"/>
        </w:rPr>
      </w:pPr>
    </w:p>
    <w:p w14:paraId="051815E9" w14:textId="37752E57" w:rsidR="00CF751E" w:rsidRPr="00CF751E" w:rsidRDefault="00CF751E" w:rsidP="00CF751E">
      <w:pPr>
        <w:spacing w:line="240" w:lineRule="auto"/>
        <w:rPr>
          <w:rFonts w:eastAsia="Times New Roman" w:cs="Arial"/>
          <w:sz w:val="28"/>
          <w:szCs w:val="24"/>
          <w:lang w:eastAsia="bg-BG"/>
        </w:rPr>
      </w:pPr>
      <w:r w:rsidRPr="00CF751E">
        <w:rPr>
          <w:rFonts w:eastAsia="Times New Roman" w:cs="Arial"/>
          <w:i/>
          <w:iCs/>
          <w:color w:val="000000"/>
          <w:szCs w:val="20"/>
          <w:lang w:eastAsia="bg-BG"/>
        </w:rPr>
        <w:t>Бременност и кърмене</w:t>
      </w:r>
    </w:p>
    <w:p w14:paraId="080D2D11" w14:textId="77777777" w:rsidR="00CF751E" w:rsidRPr="00CF751E" w:rsidRDefault="00CF751E" w:rsidP="00CF751E">
      <w:pPr>
        <w:spacing w:line="240" w:lineRule="auto"/>
        <w:rPr>
          <w:rFonts w:eastAsia="Times New Roman" w:cs="Arial"/>
          <w:sz w:val="28"/>
          <w:szCs w:val="24"/>
          <w:lang w:eastAsia="bg-BG"/>
        </w:rPr>
      </w:pPr>
      <w:r w:rsidRPr="00CF751E">
        <w:rPr>
          <w:rFonts w:eastAsia="Times New Roman" w:cs="Arial"/>
          <w:color w:val="000000"/>
          <w:szCs w:val="20"/>
          <w:lang w:eastAsia="bg-BG"/>
        </w:rPr>
        <w:t>При бременност препоръчителната доза е 1 таблетка дневно през първите 6 месеца и 2</w:t>
      </w:r>
      <w:r w:rsidRPr="00CF751E">
        <w:rPr>
          <w:rFonts w:eastAsia="Times New Roman" w:cs="Arial"/>
          <w:color w:val="000000"/>
          <w:szCs w:val="20"/>
          <w:lang w:val="en-US"/>
        </w:rPr>
        <w:t xml:space="preserve"> x 1</w:t>
      </w:r>
      <w:r w:rsidRPr="00CF751E">
        <w:rPr>
          <w:rFonts w:eastAsia="Times New Roman" w:cs="Arial"/>
          <w:color w:val="000000"/>
          <w:szCs w:val="20"/>
          <w:lang w:eastAsia="bg-BG"/>
        </w:rPr>
        <w:t xml:space="preserve"> таблетка дневно в последния триместьр от бременността и по време на кърмене.</w:t>
      </w:r>
    </w:p>
    <w:p w14:paraId="7C869919" w14:textId="77777777" w:rsidR="00CF751E" w:rsidRPr="00CF751E" w:rsidRDefault="00CF751E" w:rsidP="00CF751E">
      <w:pPr>
        <w:spacing w:line="240" w:lineRule="auto"/>
        <w:rPr>
          <w:rFonts w:eastAsia="Times New Roman" w:cs="Arial"/>
          <w:sz w:val="28"/>
          <w:szCs w:val="24"/>
          <w:lang w:eastAsia="bg-BG"/>
        </w:rPr>
      </w:pPr>
    </w:p>
    <w:p w14:paraId="7FBF1BCE" w14:textId="2CBA1064" w:rsidR="00EC41ED" w:rsidRPr="00CF751E" w:rsidRDefault="00CF751E" w:rsidP="00CF751E">
      <w:pPr>
        <w:rPr>
          <w:rFonts w:eastAsia="Times New Roman" w:cs="Arial"/>
          <w:i/>
          <w:iCs/>
          <w:color w:val="000000"/>
          <w:szCs w:val="20"/>
          <w:lang w:eastAsia="bg-BG"/>
        </w:rPr>
      </w:pPr>
      <w:r w:rsidRPr="00CF751E">
        <w:rPr>
          <w:rFonts w:eastAsia="Times New Roman" w:cs="Arial"/>
          <w:i/>
          <w:iCs/>
          <w:color w:val="000000"/>
          <w:szCs w:val="20"/>
          <w:lang w:eastAsia="bg-BG"/>
        </w:rPr>
        <w:t>Продължителност на лечението</w:t>
      </w:r>
    </w:p>
    <w:p w14:paraId="63B89B9F" w14:textId="77777777" w:rsidR="00CF751E" w:rsidRPr="00CF751E" w:rsidRDefault="00CF751E" w:rsidP="00CF751E">
      <w:pPr>
        <w:spacing w:line="240" w:lineRule="auto"/>
        <w:rPr>
          <w:rFonts w:eastAsia="Times New Roman" w:cs="Arial"/>
          <w:sz w:val="28"/>
          <w:szCs w:val="24"/>
          <w:lang w:eastAsia="bg-BG"/>
        </w:rPr>
      </w:pPr>
      <w:r w:rsidRPr="00CF751E">
        <w:rPr>
          <w:rFonts w:eastAsia="Times New Roman" w:cs="Arial"/>
          <w:color w:val="000000"/>
          <w:szCs w:val="20"/>
          <w:lang w:eastAsia="bg-BG"/>
        </w:rPr>
        <w:t>Продължителността на лечението трябва да се индивидуализира въз основа на изследвания за метаболизма на желязото. Приложението на това лекарство трябва да се преустанови след постигане на нормални нива на хемоглобина, но трябва да се продължи докато се запълнят железните депа (около 2 месеца). При манифестен железен дефицит средната продължителност на лечението е 3 до 6 месеца.</w:t>
      </w:r>
    </w:p>
    <w:p w14:paraId="53210135" w14:textId="77777777" w:rsidR="00CF751E" w:rsidRPr="00CF751E" w:rsidRDefault="00CF751E" w:rsidP="00CF751E">
      <w:pPr>
        <w:spacing w:line="240" w:lineRule="auto"/>
        <w:rPr>
          <w:rFonts w:eastAsia="Times New Roman" w:cs="Arial"/>
          <w:color w:val="000000"/>
          <w:szCs w:val="20"/>
          <w:u w:val="single"/>
          <w:lang w:eastAsia="bg-BG"/>
        </w:rPr>
      </w:pPr>
    </w:p>
    <w:p w14:paraId="3C370C1D" w14:textId="5C69616D" w:rsidR="00CF751E" w:rsidRDefault="00CF751E" w:rsidP="00CF751E">
      <w:pPr>
        <w:pStyle w:val="Heading3"/>
        <w:rPr>
          <w:rFonts w:eastAsia="Times New Roman"/>
          <w:u w:val="single"/>
          <w:lang w:eastAsia="bg-BG"/>
        </w:rPr>
      </w:pPr>
      <w:r w:rsidRPr="00CF751E">
        <w:rPr>
          <w:rFonts w:eastAsia="Times New Roman"/>
          <w:u w:val="single"/>
          <w:lang w:eastAsia="bg-BG"/>
        </w:rPr>
        <w:t>Начин на прилагане</w:t>
      </w:r>
    </w:p>
    <w:p w14:paraId="51CB726E" w14:textId="77777777" w:rsidR="00CF751E" w:rsidRPr="00CF751E" w:rsidRDefault="00CF751E" w:rsidP="00CF751E">
      <w:pPr>
        <w:rPr>
          <w:lang w:eastAsia="bg-BG"/>
        </w:rPr>
      </w:pPr>
    </w:p>
    <w:p w14:paraId="26D876D9" w14:textId="77777777" w:rsidR="00CF751E" w:rsidRPr="00CF751E" w:rsidRDefault="00CF751E" w:rsidP="00CF751E">
      <w:pPr>
        <w:spacing w:line="240" w:lineRule="auto"/>
        <w:rPr>
          <w:rFonts w:eastAsia="Times New Roman" w:cs="Arial"/>
          <w:sz w:val="28"/>
          <w:szCs w:val="24"/>
          <w:lang w:eastAsia="bg-BG"/>
        </w:rPr>
      </w:pPr>
      <w:r w:rsidRPr="00CF751E">
        <w:rPr>
          <w:rFonts w:eastAsia="Times New Roman" w:cs="Arial"/>
          <w:color w:val="000000"/>
          <w:szCs w:val="20"/>
          <w:lang w:eastAsia="bg-BG"/>
        </w:rPr>
        <w:t>Перорално приложение.</w:t>
      </w:r>
    </w:p>
    <w:p w14:paraId="59543327" w14:textId="77777777" w:rsidR="00CF751E" w:rsidRPr="00CF751E" w:rsidRDefault="00CF751E" w:rsidP="00CF751E">
      <w:pPr>
        <w:spacing w:line="240" w:lineRule="auto"/>
        <w:rPr>
          <w:rFonts w:eastAsia="Times New Roman" w:cs="Arial"/>
          <w:sz w:val="28"/>
          <w:szCs w:val="24"/>
          <w:lang w:eastAsia="bg-BG"/>
        </w:rPr>
      </w:pPr>
      <w:r w:rsidRPr="00CF751E">
        <w:rPr>
          <w:rFonts w:eastAsia="Times New Roman" w:cs="Arial"/>
          <w:color w:val="000000"/>
          <w:szCs w:val="20"/>
          <w:lang w:eastAsia="bg-BG"/>
        </w:rPr>
        <w:t>Таблетките не трябва да се смучат, дъвчат и държат в устата, а трябва да се поглъщат цели с вода. Таблетките трябва да се приемат преди или по време на хранене, в зависимост от стомашно-чревната поносимост.</w:t>
      </w:r>
    </w:p>
    <w:p w14:paraId="791390E2" w14:textId="0E3B5495" w:rsidR="00CF751E" w:rsidRPr="00CF751E" w:rsidRDefault="00CF751E" w:rsidP="00CF751E">
      <w:pPr>
        <w:rPr>
          <w:rFonts w:cs="Arial"/>
          <w:sz w:val="24"/>
        </w:rPr>
      </w:pPr>
      <w:r w:rsidRPr="00CF751E">
        <w:rPr>
          <w:rFonts w:eastAsia="Times New Roman" w:cs="Arial"/>
          <w:color w:val="000000"/>
          <w:szCs w:val="20"/>
          <w:lang w:eastAsia="bg-BG"/>
        </w:rPr>
        <w:t>Таблетките никога не трябва да се поглъщат в легнало положение.</w:t>
      </w:r>
    </w:p>
    <w:p w14:paraId="132F3111" w14:textId="77777777" w:rsidR="005B0F27" w:rsidRPr="0091385D" w:rsidRDefault="005B0F27"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10BAD2D3" w14:textId="77777777" w:rsidR="00CF751E" w:rsidRPr="00CF751E" w:rsidRDefault="00CF751E" w:rsidP="00CF751E">
      <w:pPr>
        <w:spacing w:line="240" w:lineRule="auto"/>
        <w:rPr>
          <w:rFonts w:eastAsia="Times New Roman" w:cs="Arial"/>
          <w:sz w:val="28"/>
          <w:szCs w:val="24"/>
          <w:lang w:eastAsia="bg-BG"/>
        </w:rPr>
      </w:pPr>
      <w:r w:rsidRPr="00CF751E">
        <w:rPr>
          <w:rFonts w:eastAsia="Times New Roman" w:cs="Arial"/>
          <w:color w:val="000000"/>
          <w:szCs w:val="20"/>
          <w:lang w:eastAsia="bg-BG"/>
        </w:rPr>
        <w:t>•</w:t>
      </w:r>
      <w:r w:rsidRPr="00CF751E">
        <w:rPr>
          <w:rFonts w:eastAsia="Times New Roman" w:cs="Arial"/>
          <w:color w:val="000000"/>
          <w:szCs w:val="20"/>
          <w:lang w:eastAsia="bg-BG"/>
        </w:rPr>
        <w:tab/>
        <w:t>Свръхчувствителност към активното вещество или към някое от помощните вещества, изброени в т. 6.1.</w:t>
      </w:r>
    </w:p>
    <w:p w14:paraId="6A36A737" w14:textId="77777777" w:rsidR="00CF751E" w:rsidRPr="00CF751E" w:rsidRDefault="00CF751E" w:rsidP="00CF751E">
      <w:pPr>
        <w:spacing w:line="240" w:lineRule="auto"/>
        <w:rPr>
          <w:rFonts w:eastAsia="Times New Roman" w:cs="Arial"/>
          <w:sz w:val="28"/>
          <w:szCs w:val="24"/>
          <w:lang w:eastAsia="bg-BG"/>
        </w:rPr>
      </w:pPr>
      <w:r w:rsidRPr="00CF751E">
        <w:rPr>
          <w:rFonts w:eastAsia="Times New Roman" w:cs="Arial"/>
          <w:color w:val="000000"/>
          <w:szCs w:val="20"/>
          <w:lang w:eastAsia="bg-BG"/>
        </w:rPr>
        <w:t>•</w:t>
      </w:r>
      <w:r w:rsidRPr="00CF751E">
        <w:rPr>
          <w:rFonts w:eastAsia="Times New Roman" w:cs="Arial"/>
          <w:color w:val="000000"/>
          <w:szCs w:val="20"/>
          <w:lang w:eastAsia="bg-BG"/>
        </w:rPr>
        <w:tab/>
        <w:t>Стеноза на хранопровода и/или други обструктивни нарушения на стомашно-чревния тракт.</w:t>
      </w:r>
    </w:p>
    <w:p w14:paraId="4DB9DC85" w14:textId="77777777" w:rsidR="00CF751E" w:rsidRPr="00CF751E" w:rsidRDefault="00CF751E" w:rsidP="00CF751E">
      <w:pPr>
        <w:spacing w:line="240" w:lineRule="auto"/>
        <w:rPr>
          <w:rFonts w:eastAsia="Times New Roman" w:cs="Arial"/>
          <w:sz w:val="28"/>
          <w:szCs w:val="24"/>
          <w:lang w:eastAsia="bg-BG"/>
        </w:rPr>
      </w:pPr>
      <w:r w:rsidRPr="00CF751E">
        <w:rPr>
          <w:rFonts w:eastAsia="Times New Roman" w:cs="Arial"/>
          <w:color w:val="000000"/>
          <w:szCs w:val="20"/>
          <w:lang w:eastAsia="bg-BG"/>
        </w:rPr>
        <w:t>•</w:t>
      </w:r>
      <w:r w:rsidRPr="00CF751E">
        <w:rPr>
          <w:rFonts w:eastAsia="Times New Roman" w:cs="Arial"/>
          <w:color w:val="000000"/>
          <w:szCs w:val="20"/>
          <w:lang w:eastAsia="bg-BG"/>
        </w:rPr>
        <w:tab/>
        <w:t>Нарушения, свързани с повишено натрупване на желязо (напр. хемохроматоза, хемосидероза).</w:t>
      </w:r>
    </w:p>
    <w:p w14:paraId="6E4DB79A" w14:textId="77777777" w:rsidR="00CF751E" w:rsidRPr="00CF751E" w:rsidRDefault="00CF751E" w:rsidP="00CF751E">
      <w:pPr>
        <w:spacing w:line="240" w:lineRule="auto"/>
        <w:rPr>
          <w:rFonts w:eastAsia="Times New Roman" w:cs="Arial"/>
          <w:sz w:val="28"/>
          <w:szCs w:val="24"/>
          <w:lang w:eastAsia="bg-BG"/>
        </w:rPr>
      </w:pPr>
      <w:r w:rsidRPr="00CF751E">
        <w:rPr>
          <w:rFonts w:eastAsia="Times New Roman" w:cs="Arial"/>
          <w:color w:val="000000"/>
          <w:szCs w:val="20"/>
          <w:lang w:eastAsia="bg-BG"/>
        </w:rPr>
        <w:t>•</w:t>
      </w:r>
      <w:r w:rsidRPr="00CF751E">
        <w:rPr>
          <w:rFonts w:eastAsia="Times New Roman" w:cs="Arial"/>
          <w:color w:val="000000"/>
          <w:szCs w:val="20"/>
          <w:lang w:eastAsia="bg-BG"/>
        </w:rPr>
        <w:tab/>
        <w:t>Повторни кръвопреливания.</w:t>
      </w:r>
    </w:p>
    <w:p w14:paraId="030B6A4D" w14:textId="36896E41" w:rsidR="00EC41ED" w:rsidRPr="00E95210" w:rsidRDefault="00CF751E" w:rsidP="00CF751E">
      <w:pPr>
        <w:rPr>
          <w:rFonts w:cs="Arial"/>
          <w:sz w:val="24"/>
        </w:rPr>
      </w:pPr>
      <w:r w:rsidRPr="00E95210">
        <w:rPr>
          <w:rFonts w:eastAsia="Times New Roman" w:cs="Arial"/>
          <w:color w:val="000000"/>
          <w:szCs w:val="20"/>
          <w:lang w:eastAsia="bg-BG"/>
        </w:rPr>
        <w:t>•</w:t>
      </w:r>
      <w:r w:rsidRPr="00E95210">
        <w:rPr>
          <w:rFonts w:eastAsia="Times New Roman" w:cs="Arial"/>
          <w:color w:val="000000"/>
          <w:szCs w:val="20"/>
          <w:lang w:eastAsia="bg-BG"/>
        </w:rPr>
        <w:tab/>
        <w:t>Друга анемия, която не е свързана с железен дефицит, освен при наличие на железен дефицит.</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5F5BE3EA" w14:textId="77777777" w:rsidR="00CF751E" w:rsidRPr="00CF751E" w:rsidRDefault="00CF751E" w:rsidP="00CF751E">
      <w:pPr>
        <w:spacing w:line="240" w:lineRule="auto"/>
        <w:rPr>
          <w:rFonts w:eastAsia="Times New Roman" w:cs="Arial"/>
          <w:sz w:val="28"/>
          <w:szCs w:val="24"/>
          <w:lang w:eastAsia="bg-BG"/>
        </w:rPr>
      </w:pPr>
      <w:r w:rsidRPr="00CF751E">
        <w:rPr>
          <w:rFonts w:eastAsia="Times New Roman" w:cs="Arial"/>
          <w:color w:val="000000"/>
          <w:szCs w:val="20"/>
          <w:lang w:eastAsia="bg-BG"/>
        </w:rPr>
        <w:t>Това лекарство е ефективно само при железен дефицит. Диагнозата железен дефицит трябва да бъде потвърдена (ниски серумни нива на желязото, висок общ желязо-свързващ капацитет в серума) преди започване приема на това лекарство. Това лекарство не е от полза при други видове анемии, различни от желязо-дефицитна такава (инфекциозна анемия, анемия, свързана с хронични заболявания, таласемия).</w:t>
      </w:r>
    </w:p>
    <w:p w14:paraId="1B9B2CDF" w14:textId="77777777" w:rsidR="00CF751E" w:rsidRPr="00E95210" w:rsidRDefault="00CF751E" w:rsidP="00CF751E">
      <w:pPr>
        <w:spacing w:line="240" w:lineRule="auto"/>
        <w:rPr>
          <w:rFonts w:eastAsia="Times New Roman" w:cs="Arial"/>
          <w:color w:val="000000"/>
          <w:szCs w:val="20"/>
          <w:lang w:eastAsia="bg-BG"/>
        </w:rPr>
      </w:pPr>
    </w:p>
    <w:p w14:paraId="63438403" w14:textId="4F3E143C" w:rsidR="00CF751E" w:rsidRPr="00CF751E" w:rsidRDefault="00CF751E" w:rsidP="00CF751E">
      <w:pPr>
        <w:spacing w:line="240" w:lineRule="auto"/>
        <w:rPr>
          <w:rFonts w:eastAsia="Times New Roman" w:cs="Arial"/>
          <w:sz w:val="28"/>
          <w:szCs w:val="24"/>
          <w:lang w:eastAsia="bg-BG"/>
        </w:rPr>
      </w:pPr>
      <w:r w:rsidRPr="00CF751E">
        <w:rPr>
          <w:rFonts w:eastAsia="Times New Roman" w:cs="Arial"/>
          <w:color w:val="000000"/>
          <w:szCs w:val="20"/>
          <w:lang w:eastAsia="bg-BG"/>
        </w:rPr>
        <w:t>Поради риска от образуване на улцерации в устата и потъмняване на зъбите, таблетките не трябва да се смучат, дъвчат и държат в устата, а да се поглъщат цели с вода.</w:t>
      </w:r>
    </w:p>
    <w:p w14:paraId="66E4B9B4" w14:textId="77777777" w:rsidR="00CF751E" w:rsidRPr="00E95210" w:rsidRDefault="00CF751E" w:rsidP="00CF751E">
      <w:pPr>
        <w:spacing w:line="240" w:lineRule="auto"/>
        <w:rPr>
          <w:rFonts w:eastAsia="Times New Roman" w:cs="Arial"/>
          <w:color w:val="000000"/>
          <w:szCs w:val="20"/>
          <w:lang w:eastAsia="bg-BG"/>
        </w:rPr>
      </w:pPr>
    </w:p>
    <w:p w14:paraId="302C5888" w14:textId="2B153025" w:rsidR="00CF751E" w:rsidRPr="00CF751E" w:rsidRDefault="00CF751E" w:rsidP="00CF751E">
      <w:pPr>
        <w:spacing w:line="240" w:lineRule="auto"/>
        <w:rPr>
          <w:rFonts w:eastAsia="Times New Roman" w:cs="Arial"/>
          <w:sz w:val="28"/>
          <w:szCs w:val="24"/>
          <w:lang w:eastAsia="bg-BG"/>
        </w:rPr>
      </w:pPr>
      <w:r w:rsidRPr="00CF751E">
        <w:rPr>
          <w:rFonts w:eastAsia="Times New Roman" w:cs="Arial"/>
          <w:color w:val="000000"/>
          <w:szCs w:val="20"/>
          <w:lang w:eastAsia="bg-BG"/>
        </w:rPr>
        <w:t xml:space="preserve">Аспирацията с таблетки, съдържащи железен сулфат, може да причини некроза на бронхиалната мукоза, което да се прояви чрез кашлица, кръвохрак, бронхостеноза и/или белодробна инфекция (дори когато аспирирането се е случило дни до месеци преди появяването на тези симптоми). При пациенти в старческа възраст и при тези, които имат </w:t>
      </w:r>
      <w:r w:rsidRPr="00CF751E">
        <w:rPr>
          <w:rFonts w:eastAsia="Times New Roman" w:cs="Arial"/>
          <w:color w:val="000000"/>
          <w:szCs w:val="20"/>
          <w:lang w:eastAsia="bg-BG"/>
        </w:rPr>
        <w:lastRenderedPageBreak/>
        <w:t>затруднения при преглъщане, таблетки, съдържащи железен сулфат могат да бъдат прилагани само след внимателна индивидуална преценка на риска от задавяне при всеки пациент. В тези случаи трябва да се обмислят алтернативни лекарствени форми. Пациентите трябва да потърсят медицинска помощ в случай, че подозират задавяне.</w:t>
      </w:r>
    </w:p>
    <w:p w14:paraId="1475F2A5" w14:textId="77777777" w:rsidR="00CF751E" w:rsidRPr="00E95210" w:rsidRDefault="00CF751E" w:rsidP="00CF751E">
      <w:pPr>
        <w:spacing w:line="240" w:lineRule="auto"/>
        <w:rPr>
          <w:rFonts w:eastAsia="Times New Roman" w:cs="Arial"/>
          <w:color w:val="000000"/>
          <w:szCs w:val="20"/>
          <w:lang w:eastAsia="bg-BG"/>
        </w:rPr>
      </w:pPr>
    </w:p>
    <w:p w14:paraId="695673A3" w14:textId="77777777" w:rsidR="00CF751E" w:rsidRPr="00E95210" w:rsidRDefault="00CF751E" w:rsidP="00CF751E">
      <w:pPr>
        <w:spacing w:line="240" w:lineRule="auto"/>
        <w:rPr>
          <w:rFonts w:eastAsia="Times New Roman" w:cs="Arial"/>
          <w:sz w:val="28"/>
          <w:szCs w:val="24"/>
          <w:lang w:eastAsia="bg-BG"/>
        </w:rPr>
      </w:pPr>
      <w:r w:rsidRPr="00CF751E">
        <w:rPr>
          <w:rFonts w:eastAsia="Times New Roman" w:cs="Arial"/>
          <w:color w:val="000000"/>
          <w:szCs w:val="20"/>
          <w:lang w:eastAsia="bg-BG"/>
        </w:rPr>
        <w:t>Възпалителните заболявания и язвената болест на стомашно-чревния тракт може да се влошат по време на терапевтичния курс с орално желязо.</w:t>
      </w:r>
    </w:p>
    <w:p w14:paraId="58CD9403" w14:textId="77777777" w:rsidR="00CF751E" w:rsidRPr="00E95210" w:rsidRDefault="00CF751E" w:rsidP="00CF751E">
      <w:pPr>
        <w:spacing w:line="240" w:lineRule="auto"/>
        <w:rPr>
          <w:rFonts w:eastAsia="Times New Roman" w:cs="Arial"/>
          <w:sz w:val="28"/>
          <w:szCs w:val="24"/>
          <w:lang w:eastAsia="bg-BG"/>
        </w:rPr>
      </w:pPr>
    </w:p>
    <w:p w14:paraId="1CB9894D" w14:textId="349F27FB" w:rsidR="00CF751E" w:rsidRPr="00CF751E" w:rsidRDefault="00CF751E" w:rsidP="00CF751E">
      <w:pPr>
        <w:spacing w:line="240" w:lineRule="auto"/>
        <w:rPr>
          <w:rFonts w:eastAsia="Times New Roman" w:cs="Arial"/>
          <w:sz w:val="28"/>
          <w:szCs w:val="24"/>
          <w:lang w:eastAsia="bg-BG"/>
        </w:rPr>
      </w:pPr>
      <w:r w:rsidRPr="00CF751E">
        <w:rPr>
          <w:rFonts w:eastAsia="Times New Roman" w:cs="Arial"/>
          <w:color w:val="000000"/>
          <w:szCs w:val="20"/>
          <w:lang w:eastAsia="bg-BG"/>
        </w:rPr>
        <w:t>Това лекарство може да доведе до оцветяване на изпражненията в черно.</w:t>
      </w:r>
    </w:p>
    <w:p w14:paraId="52F1D808" w14:textId="77777777" w:rsidR="00CF751E" w:rsidRPr="00E95210" w:rsidRDefault="00CF751E" w:rsidP="00CF751E">
      <w:pPr>
        <w:rPr>
          <w:rFonts w:eastAsia="Times New Roman" w:cs="Arial"/>
          <w:i/>
          <w:iCs/>
          <w:color w:val="000000"/>
          <w:szCs w:val="20"/>
          <w:lang w:eastAsia="bg-BG"/>
        </w:rPr>
      </w:pPr>
    </w:p>
    <w:p w14:paraId="0E28BBDE" w14:textId="22F97FCD" w:rsidR="007A2185" w:rsidRPr="00E95210" w:rsidRDefault="00CF751E" w:rsidP="00CF751E">
      <w:pPr>
        <w:rPr>
          <w:rFonts w:eastAsia="Times New Roman" w:cs="Arial"/>
          <w:i/>
          <w:iCs/>
          <w:color w:val="000000"/>
          <w:szCs w:val="20"/>
          <w:lang w:eastAsia="bg-BG"/>
        </w:rPr>
      </w:pPr>
      <w:r w:rsidRPr="00E95210">
        <w:rPr>
          <w:rFonts w:eastAsia="Times New Roman" w:cs="Arial"/>
          <w:i/>
          <w:iCs/>
          <w:color w:val="000000"/>
          <w:szCs w:val="20"/>
          <w:lang w:eastAsia="bg-BG"/>
        </w:rPr>
        <w:t>Педиатрична популация</w:t>
      </w:r>
    </w:p>
    <w:p w14:paraId="58A8AD98" w14:textId="10B7A191" w:rsidR="00CF751E" w:rsidRPr="00E95210" w:rsidRDefault="00CF751E" w:rsidP="00CF751E">
      <w:pPr>
        <w:rPr>
          <w:rFonts w:cs="Arial"/>
          <w:sz w:val="24"/>
        </w:rPr>
      </w:pPr>
      <w:r w:rsidRPr="00E95210">
        <w:rPr>
          <w:rFonts w:cs="Arial"/>
          <w:szCs w:val="20"/>
        </w:rPr>
        <w:t>Това лекарство не трябва да се прилага при кърмачета и малки деца на възраст под 12 години (вж. точка 4.2).</w:t>
      </w:r>
    </w:p>
    <w:p w14:paraId="24E3E82F" w14:textId="77777777" w:rsidR="0091385D" w:rsidRPr="0091385D" w:rsidRDefault="0091385D"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6BE8B9E3" w14:textId="77777777" w:rsidR="00CF751E" w:rsidRPr="00CF751E" w:rsidRDefault="00CF751E" w:rsidP="00CF751E">
      <w:pPr>
        <w:spacing w:line="240" w:lineRule="auto"/>
        <w:rPr>
          <w:rFonts w:eastAsia="Times New Roman" w:cs="Arial"/>
          <w:sz w:val="28"/>
          <w:szCs w:val="24"/>
          <w:lang w:eastAsia="bg-BG"/>
        </w:rPr>
      </w:pPr>
      <w:r w:rsidRPr="00CF751E">
        <w:rPr>
          <w:rFonts w:eastAsia="Times New Roman" w:cs="Arial"/>
          <w:color w:val="000000"/>
          <w:szCs w:val="20"/>
          <w:lang w:eastAsia="bg-BG"/>
        </w:rPr>
        <w:t>Трябва да се избягва едновременното приложение с:</w:t>
      </w:r>
    </w:p>
    <w:p w14:paraId="7171604E" w14:textId="77777777" w:rsidR="00E95210" w:rsidRPr="00E95210" w:rsidRDefault="00CF751E" w:rsidP="00E95210">
      <w:pPr>
        <w:pStyle w:val="ListParagraph"/>
        <w:numPr>
          <w:ilvl w:val="0"/>
          <w:numId w:val="36"/>
        </w:numPr>
        <w:spacing w:line="240" w:lineRule="auto"/>
        <w:rPr>
          <w:rFonts w:eastAsia="Times New Roman" w:cs="Arial"/>
          <w:color w:val="000000"/>
          <w:szCs w:val="20"/>
          <w:u w:val="single"/>
          <w:lang w:eastAsia="bg-BG"/>
        </w:rPr>
      </w:pPr>
      <w:r w:rsidRPr="00E95210">
        <w:rPr>
          <w:rFonts w:eastAsia="Times New Roman" w:cs="Arial"/>
          <w:color w:val="000000"/>
          <w:szCs w:val="20"/>
          <w:u w:val="single"/>
          <w:lang w:eastAsia="bg-BG"/>
        </w:rPr>
        <w:t>ципроФлоксацин</w:t>
      </w:r>
      <w:r w:rsidRPr="00E95210">
        <w:rPr>
          <w:rFonts w:eastAsia="Times New Roman" w:cs="Arial"/>
          <w:color w:val="000000"/>
          <w:szCs w:val="20"/>
          <w:lang w:eastAsia="bg-BG"/>
        </w:rPr>
        <w:t>: едновременното приложение намалява абсорбцията с около 50% и съществува риск плазмените концентрации на ципрофлоксацин да останат по-ниски, отколкото терапевтичните плазмени нива.</w:t>
      </w:r>
    </w:p>
    <w:p w14:paraId="4DDB9B1E" w14:textId="77777777" w:rsidR="00E95210" w:rsidRPr="00E95210" w:rsidRDefault="00CF751E" w:rsidP="00E95210">
      <w:pPr>
        <w:pStyle w:val="ListParagraph"/>
        <w:numPr>
          <w:ilvl w:val="0"/>
          <w:numId w:val="36"/>
        </w:numPr>
        <w:spacing w:line="240" w:lineRule="auto"/>
        <w:rPr>
          <w:rFonts w:eastAsia="Times New Roman" w:cs="Arial"/>
          <w:color w:val="000000"/>
          <w:szCs w:val="20"/>
          <w:u w:val="single"/>
          <w:lang w:eastAsia="bg-BG"/>
        </w:rPr>
      </w:pPr>
      <w:r w:rsidRPr="00E95210">
        <w:rPr>
          <w:rFonts w:eastAsia="Times New Roman" w:cs="Arial"/>
          <w:color w:val="000000"/>
          <w:szCs w:val="20"/>
          <w:u w:val="single"/>
          <w:lang w:eastAsia="bg-BG"/>
        </w:rPr>
        <w:t>левофлоксацин</w:t>
      </w:r>
      <w:r w:rsidRPr="00E95210">
        <w:rPr>
          <w:rFonts w:eastAsia="Times New Roman" w:cs="Arial"/>
          <w:color w:val="000000"/>
          <w:szCs w:val="20"/>
          <w:lang w:eastAsia="bg-BG"/>
        </w:rPr>
        <w:t>: едновременното приложение намалява абсорбцията на левофлоксацин.</w:t>
      </w:r>
    </w:p>
    <w:p w14:paraId="3A9D43CE" w14:textId="77777777" w:rsidR="00E95210" w:rsidRPr="00E95210" w:rsidRDefault="00CF751E" w:rsidP="00E95210">
      <w:pPr>
        <w:pStyle w:val="ListParagraph"/>
        <w:numPr>
          <w:ilvl w:val="0"/>
          <w:numId w:val="36"/>
        </w:numPr>
        <w:spacing w:line="240" w:lineRule="auto"/>
        <w:rPr>
          <w:rFonts w:eastAsia="Times New Roman" w:cs="Arial"/>
          <w:color w:val="000000"/>
          <w:szCs w:val="20"/>
          <w:u w:val="single"/>
          <w:lang w:eastAsia="bg-BG"/>
        </w:rPr>
      </w:pPr>
      <w:r w:rsidRPr="00E95210">
        <w:rPr>
          <w:rFonts w:eastAsia="Times New Roman" w:cs="Arial"/>
          <w:color w:val="000000"/>
          <w:szCs w:val="20"/>
          <w:u w:val="single"/>
          <w:lang w:eastAsia="bg-BG"/>
        </w:rPr>
        <w:t>моксифлоксацин</w:t>
      </w:r>
      <w:r w:rsidRPr="00E95210">
        <w:rPr>
          <w:rFonts w:eastAsia="Times New Roman" w:cs="Arial"/>
          <w:color w:val="000000"/>
          <w:szCs w:val="20"/>
          <w:lang w:eastAsia="bg-BG"/>
        </w:rPr>
        <w:t>: едновременното приложение намалява бионаличността на моксифлоксацин с около 40%, поради което ако се налага едновременна употреба, трябва да се осигури най-дългия възможен период (минимум 6 часа) между приемите на моксифлоксацин и Сорбифер Дурулес.</w:t>
      </w:r>
    </w:p>
    <w:p w14:paraId="24A14895" w14:textId="77777777" w:rsidR="00E95210" w:rsidRPr="00E95210" w:rsidRDefault="00CF751E" w:rsidP="00E95210">
      <w:pPr>
        <w:pStyle w:val="ListParagraph"/>
        <w:numPr>
          <w:ilvl w:val="0"/>
          <w:numId w:val="36"/>
        </w:numPr>
        <w:spacing w:line="240" w:lineRule="auto"/>
        <w:rPr>
          <w:rFonts w:eastAsia="Times New Roman" w:cs="Arial"/>
          <w:color w:val="000000"/>
          <w:szCs w:val="20"/>
          <w:u w:val="single"/>
          <w:lang w:eastAsia="bg-BG"/>
        </w:rPr>
      </w:pPr>
      <w:r w:rsidRPr="00E95210">
        <w:rPr>
          <w:rFonts w:eastAsia="Times New Roman" w:cs="Arial"/>
          <w:color w:val="000000"/>
          <w:szCs w:val="20"/>
          <w:u w:val="single"/>
          <w:lang w:eastAsia="bg-BG"/>
        </w:rPr>
        <w:t>норфлоксацин</w:t>
      </w:r>
      <w:r w:rsidRPr="00E95210">
        <w:rPr>
          <w:rFonts w:eastAsia="Times New Roman" w:cs="Arial"/>
          <w:color w:val="000000"/>
          <w:szCs w:val="20"/>
          <w:lang w:eastAsia="bg-BG"/>
        </w:rPr>
        <w:t>: едновременното приложение намалява абсорбцията на норфлоксацин с около 75%.</w:t>
      </w:r>
    </w:p>
    <w:p w14:paraId="5342DCFF" w14:textId="17C611B0" w:rsidR="00CF751E" w:rsidRPr="00E95210" w:rsidRDefault="00CF751E" w:rsidP="00E95210">
      <w:pPr>
        <w:pStyle w:val="ListParagraph"/>
        <w:numPr>
          <w:ilvl w:val="0"/>
          <w:numId w:val="36"/>
        </w:numPr>
        <w:spacing w:line="240" w:lineRule="auto"/>
        <w:rPr>
          <w:rFonts w:eastAsia="Times New Roman" w:cs="Arial"/>
          <w:color w:val="000000"/>
          <w:szCs w:val="20"/>
          <w:u w:val="single"/>
          <w:lang w:eastAsia="bg-BG"/>
        </w:rPr>
      </w:pPr>
      <w:r w:rsidRPr="00E95210">
        <w:rPr>
          <w:rFonts w:eastAsia="Times New Roman" w:cs="Arial"/>
          <w:color w:val="000000"/>
          <w:szCs w:val="20"/>
          <w:u w:val="single"/>
          <w:lang w:eastAsia="bg-BG"/>
        </w:rPr>
        <w:t>офлоксацин</w:t>
      </w:r>
      <w:r w:rsidRPr="00E95210">
        <w:rPr>
          <w:rFonts w:eastAsia="Times New Roman" w:cs="Arial"/>
          <w:color w:val="000000"/>
          <w:szCs w:val="20"/>
          <w:lang w:eastAsia="bg-BG"/>
        </w:rPr>
        <w:t>: едновременното приложение намалява абсорбцията на офлоксацин с около 30%.</w:t>
      </w:r>
    </w:p>
    <w:p w14:paraId="16FABE6B" w14:textId="77777777" w:rsidR="00E95210" w:rsidRPr="00E95210" w:rsidRDefault="00E95210" w:rsidP="00CF751E">
      <w:pPr>
        <w:spacing w:line="240" w:lineRule="auto"/>
        <w:rPr>
          <w:rFonts w:eastAsia="Times New Roman" w:cs="Arial"/>
          <w:color w:val="000000"/>
          <w:szCs w:val="20"/>
          <w:lang w:eastAsia="bg-BG"/>
        </w:rPr>
      </w:pPr>
    </w:p>
    <w:p w14:paraId="4724F2E3" w14:textId="6677A4D0" w:rsidR="00CF751E" w:rsidRPr="00CF751E" w:rsidRDefault="00CF751E" w:rsidP="00CF751E">
      <w:pPr>
        <w:spacing w:line="240" w:lineRule="auto"/>
        <w:rPr>
          <w:rFonts w:eastAsia="Times New Roman" w:cs="Arial"/>
          <w:sz w:val="28"/>
          <w:szCs w:val="24"/>
          <w:lang w:eastAsia="bg-BG"/>
        </w:rPr>
      </w:pPr>
      <w:r w:rsidRPr="00CF751E">
        <w:rPr>
          <w:rFonts w:eastAsia="Times New Roman" w:cs="Arial"/>
          <w:color w:val="000000"/>
          <w:szCs w:val="20"/>
          <w:lang w:eastAsia="bg-BG"/>
        </w:rPr>
        <w:t>Едновременното приложение на Сорбифер Дурулес и долупосочените лекарства може да изисква коригиране на дозата за тези лекарства. Ако се прилагат едновременно, трябва да се осигури най-дългия възможен период (минимум 2 часа) между приемите на Сорбифер Дурулес и долуизброените лекарства.</w:t>
      </w:r>
    </w:p>
    <w:p w14:paraId="485DBDE6" w14:textId="77777777" w:rsidR="00E95210" w:rsidRPr="00E95210" w:rsidRDefault="00CF751E" w:rsidP="00E95210">
      <w:pPr>
        <w:pStyle w:val="ListParagraph"/>
        <w:numPr>
          <w:ilvl w:val="0"/>
          <w:numId w:val="37"/>
        </w:numPr>
        <w:spacing w:line="240" w:lineRule="auto"/>
        <w:rPr>
          <w:rFonts w:eastAsia="Times New Roman" w:cs="Arial"/>
          <w:color w:val="000000"/>
          <w:szCs w:val="20"/>
          <w:lang w:eastAsia="bg-BG"/>
        </w:rPr>
      </w:pPr>
      <w:r w:rsidRPr="00E95210">
        <w:rPr>
          <w:rFonts w:eastAsia="Times New Roman" w:cs="Arial"/>
          <w:color w:val="000000"/>
          <w:szCs w:val="20"/>
          <w:lang w:eastAsia="bg-BG"/>
        </w:rPr>
        <w:t xml:space="preserve">хранителни добавки, съдържащи </w:t>
      </w:r>
      <w:r w:rsidRPr="00E95210">
        <w:rPr>
          <w:rFonts w:eastAsia="Times New Roman" w:cs="Arial"/>
          <w:color w:val="000000"/>
          <w:szCs w:val="20"/>
          <w:u w:val="single"/>
          <w:lang w:eastAsia="bg-BG"/>
        </w:rPr>
        <w:t>калциев</w:t>
      </w:r>
      <w:r w:rsidRPr="00E95210">
        <w:rPr>
          <w:rFonts w:eastAsia="Times New Roman" w:cs="Arial"/>
          <w:color w:val="000000"/>
          <w:szCs w:val="20"/>
          <w:lang w:eastAsia="bg-BG"/>
        </w:rPr>
        <w:t xml:space="preserve"> или магнезиев карбонат и алуминиев хидроксид или антиациди, съдържащи калциев или магнезиев карбонат, образуват съединение с железните соли, с което намаляват взаимно абсорбцията си.</w:t>
      </w:r>
    </w:p>
    <w:p w14:paraId="2211B850" w14:textId="77777777" w:rsidR="00E95210" w:rsidRPr="00E95210" w:rsidRDefault="00CF751E" w:rsidP="00E95210">
      <w:pPr>
        <w:pStyle w:val="ListParagraph"/>
        <w:numPr>
          <w:ilvl w:val="0"/>
          <w:numId w:val="37"/>
        </w:numPr>
        <w:spacing w:line="240" w:lineRule="auto"/>
        <w:rPr>
          <w:rFonts w:eastAsia="Times New Roman" w:cs="Arial"/>
          <w:color w:val="000000"/>
          <w:szCs w:val="20"/>
          <w:lang w:eastAsia="bg-BG"/>
        </w:rPr>
      </w:pPr>
      <w:r w:rsidRPr="00E95210">
        <w:rPr>
          <w:rFonts w:eastAsia="Times New Roman" w:cs="Arial"/>
          <w:color w:val="000000"/>
          <w:szCs w:val="20"/>
          <w:u w:val="single"/>
          <w:lang w:eastAsia="bg-BG"/>
        </w:rPr>
        <w:t>каптоприл</w:t>
      </w:r>
      <w:r w:rsidRPr="00E95210">
        <w:rPr>
          <w:rFonts w:eastAsia="Times New Roman" w:cs="Arial"/>
          <w:color w:val="000000"/>
          <w:szCs w:val="20"/>
          <w:lang w:eastAsia="bg-BG"/>
        </w:rPr>
        <w:t>: едновременното приложение намалява областта под кривата на плазмената концентрация на каптоприл с около 37%, най-вероятно поради химична реакция в стомашно-чревния тракт.</w:t>
      </w:r>
    </w:p>
    <w:p w14:paraId="5C2CB739" w14:textId="77777777" w:rsidR="00E95210" w:rsidRPr="00E95210" w:rsidRDefault="00CF751E" w:rsidP="00E95210">
      <w:pPr>
        <w:pStyle w:val="ListParagraph"/>
        <w:numPr>
          <w:ilvl w:val="0"/>
          <w:numId w:val="37"/>
        </w:numPr>
        <w:spacing w:line="240" w:lineRule="auto"/>
        <w:rPr>
          <w:rFonts w:eastAsia="Times New Roman" w:cs="Arial"/>
          <w:color w:val="000000"/>
          <w:szCs w:val="20"/>
          <w:lang w:eastAsia="bg-BG"/>
        </w:rPr>
      </w:pPr>
      <w:r w:rsidRPr="00E95210">
        <w:rPr>
          <w:rFonts w:eastAsia="Times New Roman" w:cs="Arial"/>
          <w:color w:val="000000"/>
          <w:szCs w:val="20"/>
          <w:u w:val="single"/>
          <w:lang w:eastAsia="bg-BG"/>
        </w:rPr>
        <w:t>цинк</w:t>
      </w:r>
      <w:r w:rsidRPr="00E95210">
        <w:rPr>
          <w:rFonts w:eastAsia="Times New Roman" w:cs="Arial"/>
          <w:color w:val="000000"/>
          <w:szCs w:val="20"/>
          <w:lang w:eastAsia="bg-BG"/>
        </w:rPr>
        <w:t>: едновременното приложение намалява абсорбцията на цинковите соли.</w:t>
      </w:r>
    </w:p>
    <w:p w14:paraId="15B5DB54" w14:textId="77777777" w:rsidR="00E95210" w:rsidRPr="00E95210" w:rsidRDefault="00CF751E" w:rsidP="00E95210">
      <w:pPr>
        <w:pStyle w:val="ListParagraph"/>
        <w:numPr>
          <w:ilvl w:val="0"/>
          <w:numId w:val="37"/>
        </w:numPr>
        <w:spacing w:line="240" w:lineRule="auto"/>
        <w:rPr>
          <w:rFonts w:eastAsia="Times New Roman" w:cs="Arial"/>
          <w:color w:val="000000"/>
          <w:szCs w:val="20"/>
          <w:lang w:eastAsia="bg-BG"/>
        </w:rPr>
      </w:pPr>
      <w:r w:rsidRPr="00E95210">
        <w:rPr>
          <w:rFonts w:eastAsia="Times New Roman" w:cs="Arial"/>
          <w:color w:val="000000"/>
          <w:szCs w:val="20"/>
          <w:u w:val="single"/>
          <w:lang w:eastAsia="bg-BG"/>
        </w:rPr>
        <w:t>клодронат</w:t>
      </w:r>
      <w:r w:rsidRPr="00E95210">
        <w:rPr>
          <w:rFonts w:eastAsia="Times New Roman" w:cs="Arial"/>
          <w:color w:val="000000"/>
          <w:szCs w:val="20"/>
          <w:lang w:eastAsia="bg-BG"/>
        </w:rPr>
        <w:t xml:space="preserve">: </w:t>
      </w:r>
      <w:r w:rsidRPr="00E95210">
        <w:rPr>
          <w:rFonts w:eastAsia="Times New Roman" w:cs="Arial"/>
          <w:i/>
          <w:iCs/>
          <w:color w:val="000000"/>
          <w:szCs w:val="20"/>
          <w:lang w:val="en-US"/>
        </w:rPr>
        <w:t>in vitro</w:t>
      </w:r>
      <w:r w:rsidRPr="00E95210">
        <w:rPr>
          <w:rFonts w:eastAsia="Times New Roman" w:cs="Arial"/>
          <w:color w:val="000000"/>
          <w:szCs w:val="20"/>
          <w:lang w:val="en-US"/>
        </w:rPr>
        <w:t xml:space="preserve"> </w:t>
      </w:r>
      <w:r w:rsidRPr="00E95210">
        <w:rPr>
          <w:rFonts w:eastAsia="Times New Roman" w:cs="Arial"/>
          <w:color w:val="000000"/>
          <w:szCs w:val="20"/>
          <w:lang w:eastAsia="bg-BG"/>
        </w:rPr>
        <w:t xml:space="preserve">проучванията показаха, че желязо-съдържащите лекарства образуват комплекс с клодронат. Въпреки че няма проведени проучвания за взаимодействия </w:t>
      </w:r>
      <w:r w:rsidRPr="00E95210">
        <w:rPr>
          <w:rFonts w:eastAsia="Times New Roman" w:cs="Arial"/>
          <w:i/>
          <w:iCs/>
          <w:color w:val="000000"/>
          <w:szCs w:val="20"/>
          <w:lang w:val="en-US"/>
        </w:rPr>
        <w:t xml:space="preserve">in vivo, </w:t>
      </w:r>
      <w:r w:rsidRPr="00E95210">
        <w:rPr>
          <w:rFonts w:eastAsia="Times New Roman" w:cs="Arial"/>
          <w:color w:val="000000"/>
          <w:szCs w:val="20"/>
          <w:lang w:eastAsia="bg-BG"/>
        </w:rPr>
        <w:t>трябва да се предположи, че едновременното приложение намалява абсорбцията на клодронат.</w:t>
      </w:r>
    </w:p>
    <w:p w14:paraId="75D7200D" w14:textId="77777777" w:rsidR="00E95210" w:rsidRPr="00E95210" w:rsidRDefault="00CF751E" w:rsidP="00E95210">
      <w:pPr>
        <w:pStyle w:val="ListParagraph"/>
        <w:numPr>
          <w:ilvl w:val="0"/>
          <w:numId w:val="37"/>
        </w:numPr>
        <w:spacing w:line="240" w:lineRule="auto"/>
        <w:rPr>
          <w:rFonts w:eastAsia="Times New Roman" w:cs="Arial"/>
          <w:color w:val="000000"/>
          <w:szCs w:val="20"/>
          <w:lang w:eastAsia="bg-BG"/>
        </w:rPr>
      </w:pPr>
      <w:r w:rsidRPr="00E95210">
        <w:rPr>
          <w:rFonts w:eastAsia="Times New Roman" w:cs="Arial"/>
          <w:color w:val="000000"/>
          <w:szCs w:val="20"/>
          <w:u w:val="single"/>
          <w:lang w:eastAsia="bg-BG"/>
        </w:rPr>
        <w:t>дезфероксамин</w:t>
      </w:r>
      <w:r w:rsidRPr="00E95210">
        <w:rPr>
          <w:rFonts w:eastAsia="Times New Roman" w:cs="Arial"/>
          <w:color w:val="000000"/>
          <w:szCs w:val="20"/>
          <w:lang w:eastAsia="bg-BG"/>
        </w:rPr>
        <w:t>: приложението в комбинация намалява абсорбцията както на дезфероксамин, така и на желязото поради образуването на комплекси.</w:t>
      </w:r>
    </w:p>
    <w:p w14:paraId="0D6EC333" w14:textId="77777777" w:rsidR="00E95210" w:rsidRPr="00E95210" w:rsidRDefault="00CF751E" w:rsidP="00E95210">
      <w:pPr>
        <w:pStyle w:val="ListParagraph"/>
        <w:numPr>
          <w:ilvl w:val="0"/>
          <w:numId w:val="37"/>
        </w:numPr>
        <w:spacing w:line="240" w:lineRule="auto"/>
        <w:rPr>
          <w:rFonts w:eastAsia="Times New Roman" w:cs="Arial"/>
          <w:color w:val="000000"/>
          <w:szCs w:val="20"/>
          <w:lang w:eastAsia="bg-BG"/>
        </w:rPr>
      </w:pPr>
      <w:r w:rsidRPr="00E95210">
        <w:rPr>
          <w:rFonts w:eastAsia="Times New Roman" w:cs="Arial"/>
          <w:color w:val="000000"/>
          <w:szCs w:val="20"/>
          <w:u w:val="single"/>
          <w:lang w:eastAsia="bg-BG"/>
        </w:rPr>
        <w:lastRenderedPageBreak/>
        <w:t>леводопа</w:t>
      </w:r>
      <w:r w:rsidRPr="00E95210">
        <w:rPr>
          <w:rFonts w:eastAsia="Times New Roman" w:cs="Arial"/>
          <w:color w:val="000000"/>
          <w:szCs w:val="20"/>
          <w:lang w:eastAsia="bg-BG"/>
        </w:rPr>
        <w:t>: ако се прилага едновременно с леводопа или карбидопа, железният сулфат намалява бионаличността на единичните дози леводопа с около 50% и тази на единичните дози карбидопа с около 75%, вероятно поради образуването на хелатни комплекси.</w:t>
      </w:r>
    </w:p>
    <w:p w14:paraId="30483A8A" w14:textId="77777777" w:rsidR="00E95210" w:rsidRPr="00E95210" w:rsidRDefault="00CF751E" w:rsidP="00E95210">
      <w:pPr>
        <w:pStyle w:val="ListParagraph"/>
        <w:numPr>
          <w:ilvl w:val="0"/>
          <w:numId w:val="37"/>
        </w:numPr>
        <w:spacing w:line="240" w:lineRule="auto"/>
        <w:rPr>
          <w:rFonts w:eastAsia="Times New Roman" w:cs="Arial"/>
          <w:color w:val="000000"/>
          <w:szCs w:val="20"/>
          <w:lang w:eastAsia="bg-BG"/>
        </w:rPr>
      </w:pPr>
      <w:r w:rsidRPr="00E95210">
        <w:rPr>
          <w:rFonts w:eastAsia="Times New Roman" w:cs="Arial"/>
          <w:color w:val="000000"/>
          <w:szCs w:val="20"/>
          <w:u w:val="single"/>
          <w:lang w:eastAsia="bg-BG"/>
        </w:rPr>
        <w:t>метилдопа</w:t>
      </w:r>
      <w:r w:rsidRPr="00E95210">
        <w:rPr>
          <w:rFonts w:eastAsia="Times New Roman" w:cs="Arial"/>
          <w:color w:val="000000"/>
          <w:szCs w:val="20"/>
          <w:lang w:eastAsia="bg-BG"/>
        </w:rPr>
        <w:t>: ако едновременно се прилагат метилдопа и железни соли (железен сулфат или железен глюконат), бионаличността на метилдопа намалява вероятно поради образуването на хелатни комплекси, което може да доведе до понижаване на антихипертензивните ефекти.</w:t>
      </w:r>
    </w:p>
    <w:p w14:paraId="16AE4C39" w14:textId="77777777" w:rsidR="00E95210" w:rsidRPr="00E95210" w:rsidRDefault="00CF751E" w:rsidP="00CF751E">
      <w:pPr>
        <w:pStyle w:val="ListParagraph"/>
        <w:numPr>
          <w:ilvl w:val="0"/>
          <w:numId w:val="37"/>
        </w:numPr>
        <w:spacing w:line="240" w:lineRule="auto"/>
        <w:rPr>
          <w:rFonts w:eastAsia="Times New Roman" w:cs="Arial"/>
          <w:color w:val="000000"/>
          <w:szCs w:val="20"/>
          <w:lang w:eastAsia="bg-BG"/>
        </w:rPr>
      </w:pPr>
      <w:r w:rsidRPr="00E95210">
        <w:rPr>
          <w:rFonts w:eastAsia="Times New Roman" w:cs="Arial"/>
          <w:color w:val="000000"/>
          <w:szCs w:val="20"/>
          <w:u w:val="single"/>
          <w:lang w:eastAsia="bg-BG"/>
        </w:rPr>
        <w:t>пенициламин</w:t>
      </w:r>
      <w:r w:rsidRPr="00E95210">
        <w:rPr>
          <w:rFonts w:eastAsia="Times New Roman" w:cs="Arial"/>
          <w:color w:val="000000"/>
          <w:szCs w:val="20"/>
          <w:lang w:eastAsia="bg-BG"/>
        </w:rPr>
        <w:t>: едновременното приложение на пенициламин и железни соли намалява абсорбцията както на пенициламин, така и на железните соли, вероятно поради образуването на хелатни комплекси.</w:t>
      </w:r>
    </w:p>
    <w:p w14:paraId="5B2761C5" w14:textId="2F9232A9" w:rsidR="0091385D" w:rsidRPr="00E95210" w:rsidRDefault="00CF751E" w:rsidP="00CF751E">
      <w:pPr>
        <w:pStyle w:val="ListParagraph"/>
        <w:numPr>
          <w:ilvl w:val="0"/>
          <w:numId w:val="37"/>
        </w:numPr>
        <w:spacing w:line="240" w:lineRule="auto"/>
        <w:rPr>
          <w:rFonts w:eastAsia="Times New Roman" w:cs="Arial"/>
          <w:color w:val="000000"/>
          <w:szCs w:val="20"/>
          <w:lang w:eastAsia="bg-BG"/>
        </w:rPr>
      </w:pPr>
      <w:r w:rsidRPr="00E95210">
        <w:rPr>
          <w:rFonts w:eastAsia="Times New Roman" w:cs="Arial"/>
          <w:color w:val="000000"/>
          <w:szCs w:val="20"/>
          <w:u w:val="single"/>
          <w:lang w:eastAsia="bg-BG"/>
        </w:rPr>
        <w:t>ризедронат</w:t>
      </w:r>
      <w:r w:rsidRPr="00E95210">
        <w:rPr>
          <w:rFonts w:eastAsia="Times New Roman" w:cs="Arial"/>
          <w:color w:val="000000"/>
          <w:szCs w:val="20"/>
          <w:lang w:eastAsia="bg-BG"/>
        </w:rPr>
        <w:t xml:space="preserve">: </w:t>
      </w:r>
      <w:r w:rsidRPr="00E95210">
        <w:rPr>
          <w:rFonts w:eastAsia="Times New Roman" w:cs="Arial"/>
          <w:i/>
          <w:iCs/>
          <w:color w:val="000000"/>
          <w:szCs w:val="20"/>
          <w:lang w:val="en-US"/>
        </w:rPr>
        <w:t>in vitro</w:t>
      </w:r>
      <w:r w:rsidRPr="00E95210">
        <w:rPr>
          <w:rFonts w:eastAsia="Times New Roman" w:cs="Arial"/>
          <w:color w:val="000000"/>
          <w:szCs w:val="20"/>
          <w:lang w:val="en-US"/>
        </w:rPr>
        <w:t xml:space="preserve"> </w:t>
      </w:r>
      <w:r w:rsidRPr="00E95210">
        <w:rPr>
          <w:rFonts w:eastAsia="Times New Roman" w:cs="Arial"/>
          <w:color w:val="000000"/>
          <w:szCs w:val="20"/>
          <w:lang w:eastAsia="bg-BG"/>
        </w:rPr>
        <w:t xml:space="preserve">проучванията показват, че желязо-съдържащите лекарства образуват комплекс с ризедронат. Въпреки, че няма проведени проучвания върху взаимодействието </w:t>
      </w:r>
      <w:r w:rsidRPr="00E95210">
        <w:rPr>
          <w:rFonts w:eastAsia="Times New Roman" w:cs="Arial"/>
          <w:i/>
          <w:iCs/>
          <w:color w:val="000000"/>
          <w:szCs w:val="20"/>
          <w:lang w:val="en-US"/>
        </w:rPr>
        <w:t>in vivo,</w:t>
      </w:r>
      <w:r w:rsidRPr="00E95210">
        <w:rPr>
          <w:rFonts w:eastAsia="Times New Roman" w:cs="Arial"/>
          <w:color w:val="000000"/>
          <w:szCs w:val="20"/>
          <w:lang w:val="en-US"/>
        </w:rPr>
        <w:t xml:space="preserve"> </w:t>
      </w:r>
      <w:r w:rsidRPr="00E95210">
        <w:rPr>
          <w:rFonts w:eastAsia="Times New Roman" w:cs="Arial"/>
          <w:color w:val="000000"/>
          <w:szCs w:val="20"/>
          <w:lang w:eastAsia="bg-BG"/>
        </w:rPr>
        <w:t>може да се предположи, че едновременното приложение намалява абсорбцията на ризедронат.</w:t>
      </w:r>
    </w:p>
    <w:p w14:paraId="5F0E549E" w14:textId="77777777" w:rsidR="00E95210" w:rsidRPr="00E95210" w:rsidRDefault="00E95210" w:rsidP="00E95210">
      <w:pPr>
        <w:numPr>
          <w:ilvl w:val="0"/>
          <w:numId w:val="37"/>
        </w:numPr>
        <w:spacing w:line="240" w:lineRule="auto"/>
        <w:rPr>
          <w:rFonts w:eastAsia="Times New Roman" w:cs="Arial"/>
          <w:color w:val="000000"/>
          <w:szCs w:val="20"/>
          <w:u w:val="single"/>
          <w:lang w:eastAsia="bg-BG"/>
        </w:rPr>
      </w:pPr>
      <w:r w:rsidRPr="00E95210">
        <w:rPr>
          <w:rFonts w:eastAsia="Times New Roman" w:cs="Arial"/>
          <w:color w:val="000000"/>
          <w:szCs w:val="20"/>
          <w:u w:val="single"/>
          <w:lang w:eastAsia="bg-BG"/>
        </w:rPr>
        <w:t>тетрациклини</w:t>
      </w:r>
      <w:r w:rsidRPr="00E95210">
        <w:rPr>
          <w:rFonts w:eastAsia="Times New Roman" w:cs="Arial"/>
          <w:color w:val="000000"/>
          <w:szCs w:val="20"/>
          <w:lang w:eastAsia="bg-BG"/>
        </w:rPr>
        <w:t>: едновременното приложение намалява абсорбцията както на тетрациклините, така и на желязото, поради което ако едновременното приложение е необходимо, трябва да се осигури възможно най-дългия период (минимум 3 часа) между приемите на тетрациклин и Сорбифер Дурулес. Орално приложеното желязо инхибира ентерохепаталното кръвообращение на окситетрациклин (Доксициклин), дори и ако последният се прилага венозно.</w:t>
      </w:r>
    </w:p>
    <w:p w14:paraId="4ECDEB7C" w14:textId="77777777" w:rsidR="00E95210" w:rsidRPr="00E95210" w:rsidRDefault="00E95210" w:rsidP="00E95210">
      <w:pPr>
        <w:numPr>
          <w:ilvl w:val="0"/>
          <w:numId w:val="37"/>
        </w:numPr>
        <w:spacing w:line="240" w:lineRule="auto"/>
        <w:rPr>
          <w:rFonts w:eastAsia="Times New Roman" w:cs="Arial"/>
          <w:color w:val="000000"/>
          <w:szCs w:val="20"/>
          <w:u w:val="single"/>
          <w:lang w:eastAsia="bg-BG"/>
        </w:rPr>
      </w:pPr>
      <w:r w:rsidRPr="00E95210">
        <w:rPr>
          <w:rFonts w:eastAsia="Times New Roman" w:cs="Arial"/>
          <w:color w:val="000000"/>
          <w:szCs w:val="20"/>
          <w:u w:val="single"/>
          <w:lang w:eastAsia="bg-BG"/>
        </w:rPr>
        <w:t>щитовидни хормони</w:t>
      </w:r>
      <w:r w:rsidRPr="00E95210">
        <w:rPr>
          <w:rFonts w:eastAsia="Times New Roman" w:cs="Arial"/>
          <w:color w:val="000000"/>
          <w:szCs w:val="20"/>
          <w:lang w:eastAsia="bg-BG"/>
        </w:rPr>
        <w:t xml:space="preserve">: комбинираното приложение на лекарства, съдържащи желязо и тироксин може да намали абсорбцията на последния, което може да изложи на риск успеха на заместващата </w:t>
      </w:r>
    </w:p>
    <w:p w14:paraId="43D127A3" w14:textId="79FF362A" w:rsidR="00E95210" w:rsidRPr="00E95210" w:rsidRDefault="00E95210" w:rsidP="00E95210">
      <w:pPr>
        <w:spacing w:line="240" w:lineRule="auto"/>
        <w:ind w:left="720"/>
        <w:rPr>
          <w:rFonts w:eastAsia="Times New Roman" w:cs="Arial"/>
          <w:color w:val="000000"/>
          <w:szCs w:val="20"/>
          <w:u w:val="single"/>
          <w:lang w:eastAsia="bg-BG"/>
        </w:rPr>
      </w:pPr>
      <w:r w:rsidRPr="00E95210">
        <w:rPr>
          <w:rFonts w:eastAsia="Times New Roman" w:cs="Arial"/>
          <w:color w:val="000000"/>
          <w:szCs w:val="20"/>
          <w:lang w:eastAsia="bg-BG"/>
        </w:rPr>
        <w:t>терапия.</w:t>
      </w:r>
    </w:p>
    <w:p w14:paraId="5959E34F" w14:textId="77777777" w:rsidR="00E95210" w:rsidRPr="00E95210" w:rsidRDefault="00E95210" w:rsidP="00E95210">
      <w:pPr>
        <w:spacing w:line="240" w:lineRule="auto"/>
        <w:rPr>
          <w:rFonts w:eastAsia="Times New Roman" w:cs="Arial"/>
          <w:color w:val="000000"/>
          <w:szCs w:val="20"/>
          <w:lang w:eastAsia="bg-BG"/>
        </w:rPr>
      </w:pPr>
    </w:p>
    <w:p w14:paraId="49EA63D1" w14:textId="4CCFC232"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lang w:eastAsia="bg-BG"/>
        </w:rPr>
        <w:t>Когато Сорбифер Дурулес се прилага едновременно с циметидин, намаленото производство на стомашна киселина поради ефекта на циметидин намалява абсорбцията на желязото.</w:t>
      </w:r>
    </w:p>
    <w:p w14:paraId="40042D54" w14:textId="77777777"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lang w:eastAsia="bg-BG"/>
        </w:rPr>
        <w:t>Следователно трябва да изминат поне два часа между приемите на тези две лекарства.</w:t>
      </w:r>
    </w:p>
    <w:p w14:paraId="02ADB968" w14:textId="77777777" w:rsidR="00E95210" w:rsidRPr="00E95210" w:rsidRDefault="00E95210" w:rsidP="00E95210">
      <w:pPr>
        <w:spacing w:line="240" w:lineRule="auto"/>
        <w:rPr>
          <w:rFonts w:eastAsia="Times New Roman" w:cs="Arial"/>
          <w:color w:val="000000"/>
          <w:szCs w:val="20"/>
          <w:lang w:eastAsia="bg-BG"/>
        </w:rPr>
      </w:pPr>
    </w:p>
    <w:p w14:paraId="7B4BD8A3" w14:textId="68724429"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lang w:eastAsia="bg-BG"/>
        </w:rPr>
        <w:t>Ако се приемат с чай, кафе, яйца, млечни продукти, пълнозърнест пшеничен хляб, зърнени храни и храни, богати на растителни фибри, то абсорбцията на желязото може да се понижи.</w:t>
      </w:r>
    </w:p>
    <w:p w14:paraId="09E97EC2" w14:textId="77777777" w:rsidR="00E95210" w:rsidRPr="00E95210" w:rsidRDefault="00E95210" w:rsidP="00E95210">
      <w:pPr>
        <w:rPr>
          <w:rFonts w:eastAsia="Times New Roman" w:cs="Arial"/>
          <w:color w:val="000000"/>
          <w:szCs w:val="20"/>
          <w:lang w:eastAsia="bg-BG"/>
        </w:rPr>
      </w:pPr>
    </w:p>
    <w:p w14:paraId="0395BD2E" w14:textId="31AD3F44" w:rsidR="007A2185" w:rsidRPr="00E95210" w:rsidRDefault="00E95210" w:rsidP="00E95210">
      <w:pPr>
        <w:rPr>
          <w:rFonts w:eastAsia="Times New Roman" w:cs="Arial"/>
          <w:color w:val="000000"/>
          <w:szCs w:val="20"/>
          <w:lang w:eastAsia="bg-BG"/>
        </w:rPr>
      </w:pPr>
      <w:r w:rsidRPr="00E95210">
        <w:rPr>
          <w:rFonts w:eastAsia="Times New Roman" w:cs="Arial"/>
          <w:color w:val="000000"/>
          <w:szCs w:val="20"/>
          <w:lang w:eastAsia="bg-BG"/>
        </w:rPr>
        <w:t>Едновременната употреба на хлорамфеникол може да причини отлагане в развитието на клиничните ефекти от терапията с желязото.</w:t>
      </w:r>
    </w:p>
    <w:p w14:paraId="5E60ECF1" w14:textId="77777777" w:rsidR="00E95210" w:rsidRPr="00E95210" w:rsidRDefault="00E95210" w:rsidP="00E95210">
      <w:pPr>
        <w:rPr>
          <w:rFonts w:ascii="Times New Roman" w:eastAsia="Times New Roman" w:hAnsi="Times New Roman" w:cs="Times New Roman"/>
          <w:color w:val="000000"/>
          <w:sz w:val="20"/>
          <w:szCs w:val="20"/>
          <w:lang w:eastAsia="bg-BG"/>
        </w:rPr>
      </w:pPr>
    </w:p>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102F0D07" w14:textId="74D27379" w:rsidR="007A2185" w:rsidRPr="00E95210" w:rsidRDefault="00E95210" w:rsidP="0091385D">
      <w:pPr>
        <w:rPr>
          <w:rFonts w:cs="Arial"/>
          <w:sz w:val="24"/>
        </w:rPr>
      </w:pPr>
      <w:r w:rsidRPr="00E95210">
        <w:rPr>
          <w:rFonts w:cs="Arial"/>
          <w:szCs w:val="20"/>
        </w:rPr>
        <w:t>При тези състояния могат да се прилагат обичайните дози. Вижте точка 4.2.,Дозировка и начин на приложение“.</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1C9ABB96" w14:textId="6E0465FD" w:rsidR="007A2185" w:rsidRPr="00E95210" w:rsidRDefault="00E95210" w:rsidP="0091385D">
      <w:pPr>
        <w:rPr>
          <w:rFonts w:cs="Arial"/>
          <w:sz w:val="24"/>
        </w:rPr>
      </w:pPr>
      <w:r w:rsidRPr="00E95210">
        <w:rPr>
          <w:rFonts w:cs="Arial"/>
          <w:szCs w:val="20"/>
        </w:rPr>
        <w:t>Няма данни, които да сочат, че това лекарство повлиява тези способности.</w:t>
      </w:r>
    </w:p>
    <w:p w14:paraId="35801A15" w14:textId="77777777" w:rsidR="0091385D" w:rsidRPr="0091385D" w:rsidRDefault="0091385D" w:rsidP="0091385D"/>
    <w:p w14:paraId="4838F52A" w14:textId="058F0B9C" w:rsidR="0091385D" w:rsidRDefault="002C50EE" w:rsidP="007A2185">
      <w:pPr>
        <w:pStyle w:val="Heading2"/>
      </w:pPr>
      <w:r>
        <w:lastRenderedPageBreak/>
        <w:t>4.8. Нежелани лекарствени реакции</w:t>
      </w:r>
    </w:p>
    <w:p w14:paraId="76E0B7A2" w14:textId="5BBD2581" w:rsidR="005B0F27" w:rsidRDefault="005B0F27" w:rsidP="0091385D"/>
    <w:p w14:paraId="622CC0D1" w14:textId="77777777"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lang w:eastAsia="bg-BG"/>
        </w:rPr>
        <w:t>Следните нежелани реакции са наблюдавани по време на лечение. Те са групирани по органна система и честота на възникване.</w:t>
      </w:r>
    </w:p>
    <w:p w14:paraId="69EE0ED4" w14:textId="77777777"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lang w:eastAsia="bg-BG"/>
        </w:rPr>
        <w:t>Определенията за честота, използвани по-долу за посочване на честотата на възникване на нежеланите реакции, са дефинирани както следва: Чести (≥1/100 до &lt;1/10)</w:t>
      </w:r>
    </w:p>
    <w:p w14:paraId="6CBBD359" w14:textId="77777777" w:rsidR="00E95210" w:rsidRPr="00E95210" w:rsidRDefault="00E95210" w:rsidP="00E95210">
      <w:pPr>
        <w:spacing w:line="240" w:lineRule="auto"/>
        <w:rPr>
          <w:rFonts w:eastAsia="Times New Roman" w:cs="Arial"/>
          <w:sz w:val="28"/>
          <w:szCs w:val="24"/>
          <w:lang w:eastAsia="bg-BG"/>
        </w:rPr>
      </w:pPr>
      <w:r w:rsidRPr="00E95210">
        <w:rPr>
          <w:rFonts w:eastAsia="Times New Roman" w:cs="Arial"/>
          <w:i/>
          <w:iCs/>
          <w:color w:val="000000"/>
          <w:szCs w:val="20"/>
          <w:lang w:eastAsia="bg-BG"/>
        </w:rPr>
        <w:t>Редки (≥1/10 000 до &lt;1/1000)</w:t>
      </w:r>
    </w:p>
    <w:p w14:paraId="7CA7F297" w14:textId="77777777" w:rsidR="00E95210" w:rsidRPr="00E95210" w:rsidRDefault="00E95210" w:rsidP="00E95210">
      <w:pPr>
        <w:spacing w:line="240" w:lineRule="auto"/>
        <w:rPr>
          <w:rFonts w:eastAsia="Times New Roman" w:cs="Arial"/>
          <w:sz w:val="28"/>
          <w:szCs w:val="24"/>
          <w:lang w:eastAsia="bg-BG"/>
        </w:rPr>
      </w:pPr>
      <w:r w:rsidRPr="00E95210">
        <w:rPr>
          <w:rFonts w:eastAsia="Times New Roman" w:cs="Arial"/>
          <w:i/>
          <w:iCs/>
          <w:color w:val="000000"/>
          <w:szCs w:val="20"/>
          <w:lang w:eastAsia="bg-BG"/>
        </w:rPr>
        <w:t>С</w:t>
      </w:r>
      <w:r w:rsidRPr="00E95210">
        <w:rPr>
          <w:rFonts w:eastAsia="Times New Roman" w:cs="Arial"/>
          <w:color w:val="000000"/>
          <w:szCs w:val="20"/>
          <w:lang w:eastAsia="bg-BG"/>
        </w:rPr>
        <w:t xml:space="preserve"> неизвестна честота (от наличните данни не може да бъде направена оценка на честотата)</w:t>
      </w:r>
    </w:p>
    <w:p w14:paraId="01A5D22D" w14:textId="77777777" w:rsidR="00E95210" w:rsidRPr="00E95210" w:rsidRDefault="00E95210" w:rsidP="00E95210">
      <w:pPr>
        <w:spacing w:line="240" w:lineRule="auto"/>
        <w:rPr>
          <w:rFonts w:eastAsia="Times New Roman" w:cs="Arial"/>
          <w:color w:val="000000"/>
          <w:szCs w:val="20"/>
          <w:u w:val="single"/>
          <w:lang w:eastAsia="bg-BG"/>
        </w:rPr>
      </w:pPr>
    </w:p>
    <w:p w14:paraId="52129566" w14:textId="41D774BA"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u w:val="single"/>
          <w:lang w:eastAsia="bg-BG"/>
        </w:rPr>
        <w:t>Нарушения на имунната система:</w:t>
      </w:r>
    </w:p>
    <w:p w14:paraId="2DFA3E5A" w14:textId="77777777"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lang w:eastAsia="bg-BG"/>
        </w:rPr>
        <w:t>С неизвестна честота: Реакции на свръхчувствителност (напр. обрив, анафилактична реакция, ангионевротичен оток).</w:t>
      </w:r>
    </w:p>
    <w:p w14:paraId="7D3DAB09" w14:textId="77777777" w:rsidR="00E95210" w:rsidRPr="00E95210" w:rsidRDefault="00E95210" w:rsidP="00E95210">
      <w:pPr>
        <w:spacing w:line="240" w:lineRule="auto"/>
        <w:rPr>
          <w:rFonts w:eastAsia="Times New Roman" w:cs="Arial"/>
          <w:color w:val="000000"/>
          <w:szCs w:val="20"/>
          <w:u w:val="single"/>
          <w:lang w:eastAsia="bg-BG"/>
        </w:rPr>
      </w:pPr>
    </w:p>
    <w:p w14:paraId="7436C36E" w14:textId="1ECEC3E3"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u w:val="single"/>
          <w:lang w:eastAsia="bg-BG"/>
        </w:rPr>
        <w:t>Стомашно-чревни нарушения:</w:t>
      </w:r>
    </w:p>
    <w:p w14:paraId="73F450C3" w14:textId="77777777"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lang w:eastAsia="bg-BG"/>
        </w:rPr>
        <w:t>Чести: гадене, коремна болка, диария, запек.</w:t>
      </w:r>
    </w:p>
    <w:p w14:paraId="7ECB4824" w14:textId="77777777"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lang w:eastAsia="bg-BG"/>
        </w:rPr>
        <w:t>Редки: язви на хранопровода, стеноза на хранопровода.</w:t>
      </w:r>
    </w:p>
    <w:p w14:paraId="3F96FF59" w14:textId="77777777" w:rsidR="00E95210" w:rsidRPr="00E95210" w:rsidRDefault="00E95210" w:rsidP="00E95210">
      <w:pPr>
        <w:spacing w:line="240" w:lineRule="auto"/>
        <w:rPr>
          <w:rFonts w:eastAsia="Times New Roman" w:cs="Arial"/>
          <w:color w:val="000000"/>
          <w:szCs w:val="20"/>
          <w:lang w:eastAsia="bg-BG"/>
        </w:rPr>
      </w:pPr>
    </w:p>
    <w:p w14:paraId="579B7E4B" w14:textId="08DCF6CC" w:rsidR="00E95210" w:rsidRPr="00E95210" w:rsidRDefault="00E95210" w:rsidP="00E95210">
      <w:pPr>
        <w:pStyle w:val="ListParagraph"/>
        <w:numPr>
          <w:ilvl w:val="0"/>
          <w:numId w:val="38"/>
        </w:numPr>
        <w:spacing w:line="240" w:lineRule="auto"/>
        <w:rPr>
          <w:rFonts w:eastAsia="Times New Roman" w:cs="Arial"/>
          <w:sz w:val="28"/>
          <w:szCs w:val="24"/>
          <w:lang w:eastAsia="bg-BG"/>
        </w:rPr>
      </w:pPr>
      <w:r w:rsidRPr="00E95210">
        <w:rPr>
          <w:rFonts w:eastAsia="Times New Roman" w:cs="Arial"/>
          <w:color w:val="000000"/>
          <w:szCs w:val="20"/>
          <w:lang w:eastAsia="bg-BG"/>
        </w:rPr>
        <w:t>От постмаркетинговия период:</w:t>
      </w:r>
    </w:p>
    <w:p w14:paraId="0254AACC" w14:textId="0348EEC6" w:rsidR="007A2185" w:rsidRPr="00E95210" w:rsidRDefault="00E95210" w:rsidP="00E95210">
      <w:pPr>
        <w:rPr>
          <w:rFonts w:cs="Arial"/>
          <w:sz w:val="24"/>
        </w:rPr>
      </w:pPr>
      <w:r w:rsidRPr="00E95210">
        <w:rPr>
          <w:rFonts w:eastAsia="Times New Roman" w:cs="Arial"/>
          <w:color w:val="000000"/>
          <w:szCs w:val="20"/>
          <w:lang w:eastAsia="bg-BG"/>
        </w:rPr>
        <w:t>Следните НЛР са съобщавани през периода на постмаркетингово наблюдение. Честотата на тези реакции се счита за неизвестна (от наличните данни не може да бъде направена оценка на честотата).</w:t>
      </w:r>
    </w:p>
    <w:p w14:paraId="15E8E0D5" w14:textId="77777777" w:rsidR="00E95210" w:rsidRDefault="00E95210" w:rsidP="00E95210">
      <w:pPr>
        <w:spacing w:line="240" w:lineRule="auto"/>
        <w:rPr>
          <w:rFonts w:ascii="Times New Roman" w:eastAsia="Times New Roman" w:hAnsi="Times New Roman" w:cs="Times New Roman"/>
          <w:color w:val="000000"/>
          <w:sz w:val="20"/>
          <w:szCs w:val="20"/>
          <w:lang w:eastAsia="bg-BG"/>
        </w:rPr>
      </w:pPr>
    </w:p>
    <w:p w14:paraId="071445CF" w14:textId="77777777" w:rsidR="00E95210" w:rsidRPr="00E95210" w:rsidRDefault="00E95210" w:rsidP="00E95210">
      <w:pPr>
        <w:spacing w:line="240" w:lineRule="auto"/>
        <w:rPr>
          <w:rFonts w:eastAsia="Times New Roman" w:cs="Arial"/>
          <w:color w:val="000000"/>
          <w:lang w:eastAsia="bg-BG"/>
        </w:rPr>
      </w:pPr>
      <w:r w:rsidRPr="00E95210">
        <w:rPr>
          <w:rFonts w:eastAsia="Times New Roman" w:cs="Arial"/>
          <w:color w:val="000000"/>
          <w:lang w:eastAsia="bg-BG"/>
        </w:rPr>
        <w:t xml:space="preserve">Респираторни, гръдни и медиастиални увреждания: </w:t>
      </w:r>
    </w:p>
    <w:p w14:paraId="5A97886E" w14:textId="3A8B24EC" w:rsidR="00E95210" w:rsidRPr="00E95210" w:rsidRDefault="00E95210" w:rsidP="00E95210">
      <w:pPr>
        <w:pStyle w:val="ListParagraph"/>
        <w:numPr>
          <w:ilvl w:val="0"/>
          <w:numId w:val="38"/>
        </w:numPr>
        <w:spacing w:line="240" w:lineRule="auto"/>
        <w:rPr>
          <w:rFonts w:eastAsia="Times New Roman" w:cs="Arial"/>
          <w:lang w:eastAsia="bg-BG"/>
        </w:rPr>
      </w:pPr>
      <w:r w:rsidRPr="00E95210">
        <w:rPr>
          <w:rFonts w:eastAsia="Times New Roman" w:cs="Arial"/>
          <w:color w:val="000000"/>
          <w:lang w:eastAsia="bg-BG"/>
        </w:rPr>
        <w:t>бронхиална стеноза (виж точка 4.4)</w:t>
      </w:r>
    </w:p>
    <w:p w14:paraId="661C9275" w14:textId="77777777" w:rsidR="00E95210" w:rsidRPr="00E95210" w:rsidRDefault="00E95210" w:rsidP="00E95210">
      <w:pPr>
        <w:spacing w:line="240" w:lineRule="auto"/>
        <w:rPr>
          <w:rFonts w:eastAsia="Times New Roman" w:cs="Arial"/>
          <w:color w:val="000000"/>
          <w:u w:val="single"/>
          <w:lang w:eastAsia="bg-BG"/>
        </w:rPr>
      </w:pPr>
    </w:p>
    <w:p w14:paraId="0547335F" w14:textId="77777777" w:rsidR="00E95210" w:rsidRPr="00E95210" w:rsidRDefault="00E95210" w:rsidP="00E95210">
      <w:pPr>
        <w:spacing w:line="240" w:lineRule="auto"/>
        <w:rPr>
          <w:rFonts w:eastAsia="Times New Roman" w:cs="Arial"/>
          <w:color w:val="000000"/>
          <w:u w:val="single"/>
          <w:lang w:eastAsia="bg-BG"/>
        </w:rPr>
      </w:pPr>
      <w:r w:rsidRPr="00E95210">
        <w:rPr>
          <w:rFonts w:eastAsia="Times New Roman" w:cs="Arial"/>
          <w:color w:val="000000"/>
          <w:u w:val="single"/>
          <w:lang w:eastAsia="bg-BG"/>
        </w:rPr>
        <w:t xml:space="preserve">Стомашно-чревни нарушения: </w:t>
      </w:r>
    </w:p>
    <w:p w14:paraId="3BF2796A" w14:textId="77777777" w:rsidR="00E95210" w:rsidRPr="00E95210" w:rsidRDefault="00E95210" w:rsidP="00E95210">
      <w:pPr>
        <w:pStyle w:val="ListParagraph"/>
        <w:numPr>
          <w:ilvl w:val="0"/>
          <w:numId w:val="38"/>
        </w:numPr>
        <w:spacing w:line="240" w:lineRule="auto"/>
        <w:rPr>
          <w:rFonts w:eastAsia="Times New Roman" w:cs="Arial"/>
          <w:lang w:eastAsia="bg-BG"/>
        </w:rPr>
      </w:pPr>
      <w:r w:rsidRPr="00E95210">
        <w:rPr>
          <w:rFonts w:eastAsia="Times New Roman" w:cs="Arial"/>
          <w:color w:val="000000"/>
          <w:lang w:eastAsia="bg-BG"/>
        </w:rPr>
        <w:t xml:space="preserve">улцерации в устата* </w:t>
      </w:r>
    </w:p>
    <w:p w14:paraId="0259C11A" w14:textId="06210611" w:rsidR="00E95210" w:rsidRPr="00E95210" w:rsidRDefault="00E95210" w:rsidP="00E95210">
      <w:pPr>
        <w:pStyle w:val="ListParagraph"/>
        <w:numPr>
          <w:ilvl w:val="0"/>
          <w:numId w:val="38"/>
        </w:numPr>
        <w:spacing w:line="240" w:lineRule="auto"/>
        <w:rPr>
          <w:rFonts w:eastAsia="Times New Roman" w:cs="Arial"/>
          <w:lang w:eastAsia="bg-BG"/>
        </w:rPr>
      </w:pPr>
      <w:r w:rsidRPr="00E95210">
        <w:rPr>
          <w:rFonts w:eastAsia="Times New Roman" w:cs="Arial"/>
          <w:color w:val="000000"/>
          <w:lang w:eastAsia="bg-BG"/>
        </w:rPr>
        <w:t>повръщане.</w:t>
      </w:r>
    </w:p>
    <w:p w14:paraId="2CC0ECE5" w14:textId="77777777" w:rsidR="00E95210" w:rsidRPr="00E95210" w:rsidRDefault="00E95210" w:rsidP="00E95210">
      <w:pPr>
        <w:spacing w:line="240" w:lineRule="auto"/>
        <w:rPr>
          <w:rFonts w:eastAsia="Times New Roman" w:cs="Arial"/>
          <w:color w:val="000000"/>
          <w:lang w:eastAsia="bg-BG"/>
        </w:rPr>
      </w:pPr>
    </w:p>
    <w:p w14:paraId="4851AD74" w14:textId="712B7F56" w:rsidR="00E95210" w:rsidRPr="00E95210" w:rsidRDefault="00E95210" w:rsidP="00E95210">
      <w:pPr>
        <w:spacing w:line="240" w:lineRule="auto"/>
        <w:rPr>
          <w:rFonts w:eastAsia="Times New Roman" w:cs="Arial"/>
          <w:lang w:eastAsia="bg-BG"/>
        </w:rPr>
      </w:pPr>
      <w:r w:rsidRPr="00E95210">
        <w:rPr>
          <w:rFonts w:eastAsia="Times New Roman" w:cs="Arial"/>
          <w:color w:val="000000"/>
          <w:lang w:eastAsia="bg-BG"/>
        </w:rPr>
        <w:t>* в случаи на неправилно приложение, когато таблетките се дъвчат, смучат или държат в устата.</w:t>
      </w:r>
    </w:p>
    <w:p w14:paraId="206D7969" w14:textId="77777777" w:rsidR="00E95210" w:rsidRPr="00E95210" w:rsidRDefault="00E95210" w:rsidP="00E95210">
      <w:pPr>
        <w:spacing w:line="240" w:lineRule="auto"/>
        <w:rPr>
          <w:rFonts w:eastAsia="Times New Roman" w:cs="Arial"/>
          <w:color w:val="000000"/>
          <w:lang w:eastAsia="bg-BG"/>
        </w:rPr>
      </w:pPr>
    </w:p>
    <w:p w14:paraId="00781F07" w14:textId="004CE157" w:rsidR="00E95210" w:rsidRPr="00E95210" w:rsidRDefault="00E95210" w:rsidP="00E95210">
      <w:pPr>
        <w:spacing w:line="240" w:lineRule="auto"/>
        <w:rPr>
          <w:rFonts w:eastAsia="Times New Roman" w:cs="Arial"/>
          <w:lang w:eastAsia="bg-BG"/>
        </w:rPr>
      </w:pPr>
      <w:r w:rsidRPr="00E95210">
        <w:rPr>
          <w:rFonts w:eastAsia="Times New Roman" w:cs="Arial"/>
          <w:color w:val="000000"/>
          <w:lang w:eastAsia="bg-BG"/>
        </w:rPr>
        <w:t>При пациенти в старческа възраст или със затруднения при преглъщане също може да има повишен риск от възникване на лезии в хранопровода или бронхиална некроза, в случай на неправилен път.</w:t>
      </w:r>
    </w:p>
    <w:p w14:paraId="3D1C3DBC" w14:textId="77777777" w:rsidR="00E95210" w:rsidRPr="00E95210" w:rsidRDefault="00E95210" w:rsidP="00E95210">
      <w:pPr>
        <w:spacing w:line="240" w:lineRule="auto"/>
        <w:rPr>
          <w:rFonts w:eastAsia="Times New Roman" w:cs="Arial"/>
          <w:color w:val="000000"/>
          <w:u w:val="single"/>
          <w:lang w:eastAsia="bg-BG"/>
        </w:rPr>
      </w:pPr>
    </w:p>
    <w:p w14:paraId="1B4AF888" w14:textId="22D76A78" w:rsidR="00E95210" w:rsidRPr="00E95210" w:rsidRDefault="00E95210" w:rsidP="00E95210">
      <w:pPr>
        <w:spacing w:line="240" w:lineRule="auto"/>
        <w:rPr>
          <w:rFonts w:eastAsia="Times New Roman" w:cs="Arial"/>
          <w:lang w:eastAsia="bg-BG"/>
        </w:rPr>
      </w:pPr>
      <w:r w:rsidRPr="00E95210">
        <w:rPr>
          <w:rFonts w:eastAsia="Times New Roman" w:cs="Arial"/>
          <w:color w:val="000000"/>
          <w:u w:val="single"/>
          <w:lang w:eastAsia="bg-BG"/>
        </w:rPr>
        <w:t>Съобщаване на подозирани нежелани реакции</w:t>
      </w:r>
    </w:p>
    <w:p w14:paraId="443BC107" w14:textId="262D3A99" w:rsidR="005B0F27" w:rsidRPr="00E95210" w:rsidRDefault="00E95210" w:rsidP="00E95210">
      <w:pPr>
        <w:rPr>
          <w:rFonts w:cs="Arial"/>
        </w:rPr>
      </w:pPr>
      <w:r w:rsidRPr="00E95210">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в Изпълнителна агенция по лекарствата ул. „Дамян Груев“ № 8, 1303 София, тел.: +35 928903417, уебсайт: </w:t>
      </w:r>
      <w:r w:rsidRPr="00E95210">
        <w:rPr>
          <w:rFonts w:eastAsia="Times New Roman" w:cs="Arial"/>
          <w:lang w:eastAsia="bg-BG"/>
        </w:rPr>
        <w:fldChar w:fldCharType="begin"/>
      </w:r>
      <w:r w:rsidRPr="00E95210">
        <w:rPr>
          <w:rFonts w:eastAsia="Times New Roman" w:cs="Arial"/>
          <w:lang w:eastAsia="bg-BG"/>
        </w:rPr>
        <w:instrText xml:space="preserve"> HYPERLINK "http://www.bd" </w:instrText>
      </w:r>
      <w:r w:rsidRPr="00E95210">
        <w:rPr>
          <w:rFonts w:eastAsia="Times New Roman" w:cs="Arial"/>
          <w:lang w:eastAsia="bg-BG"/>
        </w:rPr>
      </w:r>
      <w:r w:rsidRPr="00E95210">
        <w:rPr>
          <w:rFonts w:eastAsia="Times New Roman" w:cs="Arial"/>
          <w:lang w:eastAsia="bg-BG"/>
        </w:rPr>
        <w:fldChar w:fldCharType="separate"/>
      </w:r>
      <w:r w:rsidRPr="00E95210">
        <w:rPr>
          <w:rFonts w:eastAsia="Times New Roman" w:cs="Arial"/>
          <w:color w:val="000000"/>
          <w:u w:val="single"/>
          <w:lang w:val="en-US"/>
        </w:rPr>
        <w:t>www.bd</w:t>
      </w:r>
      <w:r w:rsidRPr="00E95210">
        <w:rPr>
          <w:rFonts w:eastAsia="Times New Roman" w:cs="Arial"/>
          <w:lang w:eastAsia="bg-BG"/>
        </w:rPr>
        <w:fldChar w:fldCharType="end"/>
      </w:r>
      <w:r w:rsidRPr="00E95210">
        <w:rPr>
          <w:rFonts w:eastAsia="Times New Roman" w:cs="Arial"/>
          <w:color w:val="000000"/>
          <w:lang w:val="en-US"/>
        </w:rPr>
        <w:t>a.bg</w:t>
      </w:r>
    </w:p>
    <w:p w14:paraId="07070CCA" w14:textId="7F791B5A" w:rsidR="00E95210" w:rsidRPr="0091385D" w:rsidRDefault="00E95210"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5579306D" w14:textId="77777777"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lang w:eastAsia="bg-BG"/>
        </w:rPr>
        <w:t xml:space="preserve">Сравнително малки количества желязо могат да предизвикат симптоми на токсичност. Съобщавано е, че количество над еквивалентното за 20 </w:t>
      </w:r>
      <w:r w:rsidRPr="00E95210">
        <w:rPr>
          <w:rFonts w:eastAsia="Times New Roman" w:cs="Arial"/>
          <w:color w:val="000000"/>
          <w:szCs w:val="20"/>
          <w:lang w:val="en-US"/>
        </w:rPr>
        <w:t xml:space="preserve">mg/kg </w:t>
      </w:r>
      <w:r w:rsidRPr="00E95210">
        <w:rPr>
          <w:rFonts w:eastAsia="Times New Roman" w:cs="Arial"/>
          <w:color w:val="000000"/>
          <w:szCs w:val="20"/>
          <w:lang w:eastAsia="bg-BG"/>
        </w:rPr>
        <w:t xml:space="preserve">желязо може да доведе до </w:t>
      </w:r>
      <w:r w:rsidRPr="00E95210">
        <w:rPr>
          <w:rFonts w:eastAsia="Times New Roman" w:cs="Arial"/>
          <w:color w:val="000000"/>
          <w:szCs w:val="20"/>
          <w:lang w:eastAsia="bg-BG"/>
        </w:rPr>
        <w:lastRenderedPageBreak/>
        <w:t xml:space="preserve">някои симптоми на токсичност и е по-вероятна появата на токсичност при употреба на дози, съдържащи количество над еквивалентното за приблизително 60 </w:t>
      </w:r>
      <w:r w:rsidRPr="00E95210">
        <w:rPr>
          <w:rFonts w:eastAsia="Times New Roman" w:cs="Arial"/>
          <w:color w:val="000000"/>
          <w:szCs w:val="20"/>
          <w:lang w:val="en-US"/>
        </w:rPr>
        <w:t xml:space="preserve">mg/kg </w:t>
      </w:r>
      <w:r w:rsidRPr="00E95210">
        <w:rPr>
          <w:rFonts w:eastAsia="Times New Roman" w:cs="Arial"/>
          <w:color w:val="000000"/>
          <w:szCs w:val="20"/>
          <w:lang w:eastAsia="bg-BG"/>
        </w:rPr>
        <w:t xml:space="preserve">желязо; количество, еквивалентно на 200 до 250 </w:t>
      </w:r>
      <w:r w:rsidRPr="00E95210">
        <w:rPr>
          <w:rFonts w:eastAsia="Times New Roman" w:cs="Arial"/>
          <w:color w:val="000000"/>
          <w:szCs w:val="20"/>
          <w:lang w:val="en-US"/>
        </w:rPr>
        <w:t xml:space="preserve">mg/kg </w:t>
      </w:r>
      <w:r w:rsidRPr="00E95210">
        <w:rPr>
          <w:rFonts w:eastAsia="Times New Roman" w:cs="Arial"/>
          <w:color w:val="000000"/>
          <w:szCs w:val="20"/>
          <w:lang w:eastAsia="bg-BG"/>
        </w:rPr>
        <w:t>желязо се счита за потенциално фатално.</w:t>
      </w:r>
    </w:p>
    <w:p w14:paraId="4A64F96A" w14:textId="77777777" w:rsidR="00E95210" w:rsidRPr="00E95210" w:rsidRDefault="00E95210" w:rsidP="00E95210">
      <w:pPr>
        <w:spacing w:line="240" w:lineRule="auto"/>
        <w:rPr>
          <w:rFonts w:eastAsia="Times New Roman" w:cs="Arial"/>
          <w:color w:val="000000"/>
          <w:szCs w:val="20"/>
          <w:u w:val="single"/>
          <w:lang w:eastAsia="bg-BG"/>
        </w:rPr>
      </w:pPr>
    </w:p>
    <w:p w14:paraId="2543B192" w14:textId="71D9C4EF" w:rsidR="00E95210" w:rsidRPr="00204D5A" w:rsidRDefault="00E95210" w:rsidP="00204D5A">
      <w:pPr>
        <w:pStyle w:val="Heading3"/>
        <w:rPr>
          <w:rFonts w:eastAsia="Times New Roman"/>
          <w:sz w:val="28"/>
          <w:u w:val="single"/>
          <w:lang w:eastAsia="bg-BG"/>
        </w:rPr>
      </w:pPr>
      <w:r w:rsidRPr="00204D5A">
        <w:rPr>
          <w:rFonts w:eastAsia="Times New Roman"/>
          <w:u w:val="single"/>
          <w:lang w:eastAsia="bg-BG"/>
        </w:rPr>
        <w:t>Симптоми</w:t>
      </w:r>
    </w:p>
    <w:p w14:paraId="30FFFE10" w14:textId="77777777"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lang w:eastAsia="bg-BG"/>
        </w:rPr>
        <w:t>Серумните концентрации на желязо могат да са в помощ при оценяване тежестта на отравянето. Въпреки че не винаги са пропорционални на симптомите, концентрациите, измерени около 4 часа след прием обикновено показват тежестта на отравянето, както следва:</w:t>
      </w:r>
    </w:p>
    <w:p w14:paraId="72728D50" w14:textId="77777777" w:rsidR="00E95210" w:rsidRPr="00E95210" w:rsidRDefault="00E95210" w:rsidP="00E95210">
      <w:pPr>
        <w:spacing w:line="240" w:lineRule="auto"/>
        <w:rPr>
          <w:rFonts w:eastAsia="Times New Roman" w:cs="Arial"/>
          <w:color w:val="000000"/>
          <w:szCs w:val="20"/>
          <w:lang w:eastAsia="bg-BG"/>
        </w:rPr>
      </w:pPr>
    </w:p>
    <w:p w14:paraId="2BD1DF39" w14:textId="77777777" w:rsidR="00E95210" w:rsidRPr="00E95210" w:rsidRDefault="00E95210" w:rsidP="00E95210">
      <w:pPr>
        <w:pStyle w:val="ListParagraph"/>
        <w:numPr>
          <w:ilvl w:val="0"/>
          <w:numId w:val="39"/>
        </w:numPr>
        <w:spacing w:line="240" w:lineRule="auto"/>
        <w:rPr>
          <w:rFonts w:eastAsia="Times New Roman" w:cs="Arial"/>
          <w:sz w:val="28"/>
          <w:szCs w:val="24"/>
          <w:lang w:eastAsia="bg-BG"/>
        </w:rPr>
      </w:pPr>
      <w:r w:rsidRPr="00E95210">
        <w:rPr>
          <w:rFonts w:eastAsia="Times New Roman" w:cs="Arial"/>
          <w:color w:val="000000"/>
          <w:szCs w:val="20"/>
          <w:lang w:eastAsia="bg-BG"/>
        </w:rPr>
        <w:t>под 3 микрограма</w:t>
      </w:r>
      <w:r w:rsidRPr="00E95210">
        <w:rPr>
          <w:rFonts w:eastAsia="Times New Roman" w:cs="Arial"/>
          <w:color w:val="000000"/>
          <w:szCs w:val="20"/>
          <w:lang w:val="en-US"/>
        </w:rPr>
        <w:t xml:space="preserve">/ml </w:t>
      </w:r>
      <w:r w:rsidRPr="00E95210">
        <w:rPr>
          <w:rFonts w:eastAsia="Times New Roman" w:cs="Arial"/>
          <w:color w:val="000000"/>
          <w:szCs w:val="20"/>
          <w:lang w:eastAsia="bg-BG"/>
        </w:rPr>
        <w:t>леко отравяне</w:t>
      </w:r>
    </w:p>
    <w:p w14:paraId="2FFA63B2" w14:textId="77777777" w:rsidR="00E95210" w:rsidRPr="00E95210" w:rsidRDefault="00E95210" w:rsidP="00E95210">
      <w:pPr>
        <w:pStyle w:val="ListParagraph"/>
        <w:numPr>
          <w:ilvl w:val="0"/>
          <w:numId w:val="39"/>
        </w:numPr>
        <w:spacing w:line="240" w:lineRule="auto"/>
        <w:rPr>
          <w:rFonts w:eastAsia="Times New Roman" w:cs="Arial"/>
          <w:sz w:val="28"/>
          <w:szCs w:val="24"/>
          <w:lang w:eastAsia="bg-BG"/>
        </w:rPr>
      </w:pPr>
      <w:r w:rsidRPr="00E95210">
        <w:rPr>
          <w:rFonts w:eastAsia="Times New Roman" w:cs="Arial"/>
          <w:color w:val="000000"/>
          <w:szCs w:val="20"/>
          <w:lang w:eastAsia="bg-BG"/>
        </w:rPr>
        <w:t>3 до 5 микрограма</w:t>
      </w:r>
      <w:r w:rsidRPr="00E95210">
        <w:rPr>
          <w:rFonts w:eastAsia="Times New Roman" w:cs="Arial"/>
          <w:color w:val="000000"/>
          <w:szCs w:val="20"/>
          <w:lang w:val="en-US"/>
        </w:rPr>
        <w:t xml:space="preserve">/ml, </w:t>
      </w:r>
      <w:r w:rsidRPr="00E95210">
        <w:rPr>
          <w:rFonts w:eastAsia="Times New Roman" w:cs="Arial"/>
          <w:color w:val="000000"/>
          <w:szCs w:val="20"/>
          <w:lang w:eastAsia="bg-BG"/>
        </w:rPr>
        <w:t xml:space="preserve">умерено тежко отравяне </w:t>
      </w:r>
    </w:p>
    <w:p w14:paraId="2C82A9DC" w14:textId="50037709" w:rsidR="00E95210" w:rsidRPr="00E95210" w:rsidRDefault="00E95210" w:rsidP="00E95210">
      <w:pPr>
        <w:pStyle w:val="ListParagraph"/>
        <w:numPr>
          <w:ilvl w:val="0"/>
          <w:numId w:val="39"/>
        </w:numPr>
        <w:spacing w:line="240" w:lineRule="auto"/>
        <w:rPr>
          <w:rFonts w:eastAsia="Times New Roman" w:cs="Arial"/>
          <w:sz w:val="28"/>
          <w:szCs w:val="24"/>
          <w:lang w:eastAsia="bg-BG"/>
        </w:rPr>
      </w:pPr>
      <w:r w:rsidRPr="00E95210">
        <w:rPr>
          <w:rFonts w:eastAsia="Times New Roman" w:cs="Arial"/>
          <w:color w:val="000000"/>
          <w:szCs w:val="20"/>
          <w:lang w:eastAsia="bg-BG"/>
        </w:rPr>
        <w:t>над 5 микрограма</w:t>
      </w:r>
      <w:r w:rsidRPr="00E95210">
        <w:rPr>
          <w:rFonts w:eastAsia="Times New Roman" w:cs="Arial"/>
          <w:color w:val="000000"/>
          <w:szCs w:val="20"/>
          <w:lang w:val="en-US"/>
        </w:rPr>
        <w:t xml:space="preserve">/ml, </w:t>
      </w:r>
      <w:r w:rsidRPr="00E95210">
        <w:rPr>
          <w:rFonts w:eastAsia="Times New Roman" w:cs="Arial"/>
          <w:color w:val="000000"/>
          <w:szCs w:val="20"/>
          <w:lang w:eastAsia="bg-BG"/>
        </w:rPr>
        <w:t>тежко отравяне</w:t>
      </w:r>
    </w:p>
    <w:p w14:paraId="4AD0D44B" w14:textId="77777777" w:rsidR="00E95210" w:rsidRPr="00E95210" w:rsidRDefault="00E95210" w:rsidP="00E95210">
      <w:pPr>
        <w:spacing w:line="240" w:lineRule="auto"/>
        <w:rPr>
          <w:rFonts w:eastAsia="Times New Roman" w:cs="Arial"/>
          <w:color w:val="000000"/>
          <w:szCs w:val="20"/>
          <w:lang w:eastAsia="bg-BG"/>
        </w:rPr>
      </w:pPr>
    </w:p>
    <w:p w14:paraId="2BBB206F" w14:textId="54155D1A"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lang w:eastAsia="bg-BG"/>
        </w:rPr>
        <w:t>Пиковите концентрации на желязо се наблюдават приблизително 4 до 6 часа след прием.</w:t>
      </w:r>
    </w:p>
    <w:p w14:paraId="1A4C6650" w14:textId="77777777" w:rsidR="00E95210" w:rsidRPr="00E95210" w:rsidRDefault="00E95210" w:rsidP="00E95210">
      <w:pPr>
        <w:spacing w:line="240" w:lineRule="auto"/>
        <w:rPr>
          <w:rFonts w:eastAsia="Times New Roman" w:cs="Arial"/>
          <w:color w:val="000000"/>
          <w:szCs w:val="20"/>
          <w:lang w:eastAsia="bg-BG"/>
        </w:rPr>
      </w:pPr>
    </w:p>
    <w:p w14:paraId="44D80F0D" w14:textId="52A18A88"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lang w:eastAsia="bg-BG"/>
        </w:rPr>
        <w:t>ЛЕКО ДО УМЕРЕНО ТЕЖКО ОТРАВЯНЕ: Може да възникнат повръщане и диария в рамките на 6 часа след прием.</w:t>
      </w:r>
    </w:p>
    <w:p w14:paraId="2FC63F90" w14:textId="77777777"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lang w:eastAsia="bg-BG"/>
        </w:rPr>
        <w:t>ТЕЖКО ОТРАВЯНЕ: Тежко повръщане и диария, летаргия, метаболитна ацидоза, шок, стомашно-чревен кръвоизлив, кома, припадъци, хепатотоксичност и късна поява на стомашно- чревни стриктури. Тежката токсичност също предизвиква чернодробна некроза и иктер, хипогликемия, коагулационни нарушения, олигурия или бъбречна недостатъчност, и белодробен оток.</w:t>
      </w:r>
    </w:p>
    <w:p w14:paraId="48EA531C" w14:textId="77777777" w:rsidR="00E95210" w:rsidRPr="00E95210" w:rsidRDefault="00E95210" w:rsidP="00E95210">
      <w:pPr>
        <w:rPr>
          <w:rFonts w:eastAsia="Times New Roman" w:cs="Arial"/>
          <w:color w:val="000000"/>
          <w:szCs w:val="20"/>
          <w:lang w:eastAsia="bg-BG"/>
        </w:rPr>
      </w:pPr>
    </w:p>
    <w:p w14:paraId="6A43B8F3" w14:textId="7FFDDBE8" w:rsidR="007A2185" w:rsidRPr="00E95210" w:rsidRDefault="00E95210" w:rsidP="00E95210">
      <w:pPr>
        <w:rPr>
          <w:rFonts w:cs="Arial"/>
          <w:sz w:val="24"/>
        </w:rPr>
      </w:pPr>
      <w:r w:rsidRPr="00E95210">
        <w:rPr>
          <w:rFonts w:eastAsia="Times New Roman" w:cs="Arial"/>
          <w:color w:val="000000"/>
          <w:szCs w:val="20"/>
          <w:lang w:eastAsia="bg-BG"/>
        </w:rPr>
        <w:t>Предозирането на железни соли е особено опасно при малки деца.</w:t>
      </w:r>
    </w:p>
    <w:p w14:paraId="48FF1584" w14:textId="32BBB5F7" w:rsidR="0091385D" w:rsidRPr="00E95210" w:rsidRDefault="0091385D" w:rsidP="0091385D">
      <w:pPr>
        <w:rPr>
          <w:rFonts w:cs="Arial"/>
          <w:sz w:val="24"/>
        </w:rPr>
      </w:pPr>
    </w:p>
    <w:p w14:paraId="51925F8B" w14:textId="77777777"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lang w:eastAsia="bg-BG"/>
        </w:rPr>
        <w:t xml:space="preserve">Предозиране </w:t>
      </w:r>
      <w:bookmarkStart w:id="1" w:name="_GoBack"/>
      <w:bookmarkEnd w:id="1"/>
      <w:r w:rsidRPr="00E95210">
        <w:rPr>
          <w:rFonts w:eastAsia="Times New Roman" w:cs="Arial"/>
          <w:color w:val="000000"/>
          <w:szCs w:val="20"/>
          <w:lang w:eastAsia="bg-BG"/>
        </w:rPr>
        <w:t>с витамин С (аскорбинова киселина) може да причини тежка ацидоза и хемолитична анемия при предразположените индивиди (с дефицит на глюкозо-6-фосфат дехидрогеназата).</w:t>
      </w:r>
    </w:p>
    <w:p w14:paraId="16AB023A" w14:textId="77777777" w:rsidR="00E95210" w:rsidRPr="00E95210" w:rsidRDefault="00E95210" w:rsidP="00E95210">
      <w:pPr>
        <w:spacing w:line="240" w:lineRule="auto"/>
        <w:rPr>
          <w:rFonts w:eastAsia="Times New Roman" w:cs="Arial"/>
          <w:color w:val="000000"/>
          <w:szCs w:val="20"/>
          <w:u w:val="single"/>
          <w:lang w:eastAsia="bg-BG"/>
        </w:rPr>
      </w:pPr>
    </w:p>
    <w:p w14:paraId="2BFBD5D3" w14:textId="042FD1AA" w:rsidR="00E95210" w:rsidRPr="00204D5A" w:rsidRDefault="00E95210" w:rsidP="00204D5A">
      <w:pPr>
        <w:pStyle w:val="Heading3"/>
        <w:rPr>
          <w:rFonts w:eastAsia="Times New Roman"/>
          <w:color w:val="auto"/>
          <w:sz w:val="28"/>
          <w:u w:val="single"/>
          <w:lang w:eastAsia="bg-BG"/>
        </w:rPr>
      </w:pPr>
      <w:r w:rsidRPr="00204D5A">
        <w:rPr>
          <w:rFonts w:eastAsia="Times New Roman"/>
          <w:u w:val="single"/>
          <w:lang w:eastAsia="bg-BG"/>
        </w:rPr>
        <w:t>Лечение</w:t>
      </w:r>
    </w:p>
    <w:p w14:paraId="033AD6BB" w14:textId="034C7F0E" w:rsidR="00E95210" w:rsidRPr="00E95210" w:rsidRDefault="00E95210" w:rsidP="00E95210">
      <w:pPr>
        <w:spacing w:line="240" w:lineRule="auto"/>
        <w:rPr>
          <w:rFonts w:eastAsia="Times New Roman" w:cs="Arial"/>
          <w:color w:val="000000"/>
          <w:szCs w:val="20"/>
          <w:lang w:eastAsia="bg-BG"/>
        </w:rPr>
      </w:pPr>
    </w:p>
    <w:p w14:paraId="41AAF29E" w14:textId="28B2FBA1" w:rsidR="00E95210" w:rsidRPr="00E95210" w:rsidRDefault="00E95210" w:rsidP="00E95210">
      <w:pPr>
        <w:pStyle w:val="ListParagraph"/>
        <w:numPr>
          <w:ilvl w:val="0"/>
          <w:numId w:val="40"/>
        </w:numPr>
        <w:spacing w:line="240" w:lineRule="auto"/>
        <w:rPr>
          <w:rFonts w:eastAsia="Times New Roman" w:cs="Arial"/>
          <w:color w:val="000000"/>
          <w:szCs w:val="20"/>
          <w:lang w:eastAsia="bg-BG"/>
        </w:rPr>
      </w:pPr>
      <w:r w:rsidRPr="00E95210">
        <w:rPr>
          <w:rFonts w:eastAsia="Times New Roman" w:cs="Arial"/>
          <w:color w:val="000000"/>
          <w:szCs w:val="20"/>
          <w:lang w:eastAsia="bg-BG"/>
        </w:rPr>
        <w:t>Прием на мляко или еметични течности.</w:t>
      </w:r>
    </w:p>
    <w:p w14:paraId="756C1B29" w14:textId="77777777" w:rsidR="00E95210" w:rsidRPr="00E95210" w:rsidRDefault="00E95210" w:rsidP="00E95210">
      <w:pPr>
        <w:pStyle w:val="ListParagraph"/>
        <w:spacing w:line="240" w:lineRule="auto"/>
        <w:rPr>
          <w:rFonts w:eastAsia="Times New Roman" w:cs="Arial"/>
          <w:color w:val="000000"/>
          <w:szCs w:val="20"/>
          <w:lang w:eastAsia="bg-BG"/>
        </w:rPr>
      </w:pPr>
    </w:p>
    <w:p w14:paraId="3382E3BD" w14:textId="77777777" w:rsidR="00E95210" w:rsidRPr="00E95210" w:rsidRDefault="00E95210" w:rsidP="00E95210">
      <w:pPr>
        <w:pStyle w:val="ListParagraph"/>
        <w:numPr>
          <w:ilvl w:val="0"/>
          <w:numId w:val="40"/>
        </w:numPr>
        <w:spacing w:line="240" w:lineRule="auto"/>
        <w:rPr>
          <w:rFonts w:eastAsia="Times New Roman" w:cs="Arial"/>
          <w:color w:val="000000"/>
          <w:szCs w:val="20"/>
          <w:lang w:eastAsia="bg-BG"/>
        </w:rPr>
      </w:pPr>
      <w:r w:rsidRPr="00E95210">
        <w:rPr>
          <w:rFonts w:eastAsia="Times New Roman" w:cs="Arial"/>
          <w:color w:val="000000"/>
          <w:szCs w:val="20"/>
          <w:lang w:eastAsia="bg-BG"/>
        </w:rPr>
        <w:t xml:space="preserve">Стомашна промивка с 5% натриев бикарбонат и очистителни средства (напр. натриев сулфат 30 </w:t>
      </w:r>
      <w:r w:rsidRPr="00E95210">
        <w:rPr>
          <w:rFonts w:eastAsia="Times New Roman" w:cs="Arial"/>
          <w:color w:val="000000"/>
          <w:szCs w:val="20"/>
          <w:lang w:val="en-US"/>
        </w:rPr>
        <w:t xml:space="preserve">g </w:t>
      </w:r>
      <w:r w:rsidRPr="00E95210">
        <w:rPr>
          <w:rFonts w:eastAsia="Times New Roman" w:cs="Arial"/>
          <w:color w:val="000000"/>
          <w:szCs w:val="20"/>
          <w:lang w:eastAsia="bg-BG"/>
        </w:rPr>
        <w:t xml:space="preserve">при възрастни), мляко и яйца с 5 </w:t>
      </w:r>
      <w:r w:rsidRPr="00E95210">
        <w:rPr>
          <w:rFonts w:eastAsia="Times New Roman" w:cs="Arial"/>
          <w:color w:val="000000"/>
          <w:szCs w:val="20"/>
          <w:lang w:val="en-US"/>
        </w:rPr>
        <w:t xml:space="preserve">g </w:t>
      </w:r>
      <w:r w:rsidRPr="00E95210">
        <w:rPr>
          <w:rFonts w:eastAsia="Times New Roman" w:cs="Arial"/>
          <w:color w:val="000000"/>
          <w:szCs w:val="20"/>
          <w:lang w:eastAsia="bg-BG"/>
        </w:rPr>
        <w:t xml:space="preserve">бисмутов карбонат на всеки час като демулциращи средства. </w:t>
      </w:r>
    </w:p>
    <w:p w14:paraId="002E4FEE" w14:textId="098AF919" w:rsidR="00E95210" w:rsidRPr="00E95210" w:rsidRDefault="00E95210" w:rsidP="00E95210">
      <w:pPr>
        <w:pStyle w:val="ListParagraph"/>
        <w:spacing w:line="240" w:lineRule="auto"/>
        <w:rPr>
          <w:rFonts w:eastAsia="Times New Roman" w:cs="Arial"/>
          <w:color w:val="000000"/>
          <w:szCs w:val="20"/>
          <w:lang w:eastAsia="bg-BG"/>
        </w:rPr>
      </w:pPr>
      <w:r w:rsidRPr="00E95210">
        <w:rPr>
          <w:rFonts w:eastAsia="Times New Roman" w:cs="Arial"/>
          <w:color w:val="000000"/>
          <w:szCs w:val="20"/>
          <w:lang w:eastAsia="bg-BG"/>
        </w:rPr>
        <w:t xml:space="preserve">Стомашната промивка трябва да бъде последвана от инжектиране на 50-100 </w:t>
      </w:r>
      <w:r w:rsidRPr="00E95210">
        <w:rPr>
          <w:rFonts w:eastAsia="Times New Roman" w:cs="Arial"/>
          <w:color w:val="000000"/>
          <w:szCs w:val="20"/>
          <w:lang w:val="en-US"/>
        </w:rPr>
        <w:t xml:space="preserve">ml </w:t>
      </w:r>
      <w:r w:rsidRPr="00E95210">
        <w:rPr>
          <w:rFonts w:eastAsia="Times New Roman" w:cs="Arial"/>
          <w:color w:val="000000"/>
          <w:szCs w:val="20"/>
          <w:lang w:eastAsia="bg-BG"/>
        </w:rPr>
        <w:t xml:space="preserve">вода, съдържаща 5 </w:t>
      </w:r>
      <w:r w:rsidRPr="00E95210">
        <w:rPr>
          <w:rFonts w:eastAsia="Times New Roman" w:cs="Arial"/>
          <w:color w:val="000000"/>
          <w:szCs w:val="20"/>
          <w:lang w:val="en-US"/>
        </w:rPr>
        <w:t xml:space="preserve">g </w:t>
      </w:r>
      <w:r w:rsidRPr="00E95210">
        <w:rPr>
          <w:rFonts w:eastAsia="Times New Roman" w:cs="Arial"/>
          <w:color w:val="000000"/>
          <w:szCs w:val="20"/>
          <w:lang w:eastAsia="bg-BG"/>
        </w:rPr>
        <w:t>дезфероксамин, който се оставя в стомаха. Възрастните могат да имат полза, ако пият манитол или сорбитол, така че да се улесни чревната перисталтика. Предизвикването на диария при деца може да бъде опасно, особено при по-малки деца, поради което трябва да бъде избягвано. Пациентът трябва да се бъде поставен под стриктно наблюдение за навременно установяване на възможна аспирация.</w:t>
      </w:r>
    </w:p>
    <w:p w14:paraId="22509C5A" w14:textId="77777777" w:rsidR="00E95210" w:rsidRPr="00E95210" w:rsidRDefault="00E95210" w:rsidP="00E95210">
      <w:pPr>
        <w:pStyle w:val="ListParagraph"/>
        <w:spacing w:line="240" w:lineRule="auto"/>
        <w:rPr>
          <w:rFonts w:eastAsia="Times New Roman" w:cs="Arial"/>
          <w:color w:val="000000"/>
          <w:szCs w:val="20"/>
          <w:lang w:eastAsia="bg-BG"/>
        </w:rPr>
      </w:pPr>
    </w:p>
    <w:p w14:paraId="70D62146" w14:textId="7BA97FA5" w:rsidR="00E95210" w:rsidRPr="00E95210" w:rsidRDefault="00E95210" w:rsidP="00E95210">
      <w:pPr>
        <w:pStyle w:val="ListParagraph"/>
        <w:numPr>
          <w:ilvl w:val="0"/>
          <w:numId w:val="40"/>
        </w:numPr>
        <w:spacing w:line="240" w:lineRule="auto"/>
        <w:rPr>
          <w:rFonts w:eastAsia="Times New Roman" w:cs="Arial"/>
          <w:color w:val="000000"/>
          <w:szCs w:val="20"/>
          <w:lang w:eastAsia="bg-BG"/>
        </w:rPr>
      </w:pPr>
      <w:r w:rsidRPr="00E95210">
        <w:rPr>
          <w:rFonts w:eastAsia="Times New Roman" w:cs="Arial"/>
          <w:color w:val="000000"/>
          <w:szCs w:val="20"/>
          <w:lang w:eastAsia="bg-BG"/>
        </w:rPr>
        <w:t>Таблетките абсорбират рентгенови лъчи, като по този начин рентгеновото изследване може да разкрие броя на филмираните таблетки, които са останали в стомашно-чревния тракт след индуциране повръщане и стомашна промивка.</w:t>
      </w:r>
    </w:p>
    <w:p w14:paraId="3092CF0F" w14:textId="77777777" w:rsidR="00E95210" w:rsidRPr="00E95210" w:rsidRDefault="00E95210" w:rsidP="00E95210">
      <w:pPr>
        <w:pStyle w:val="ListParagraph"/>
        <w:spacing w:line="240" w:lineRule="auto"/>
        <w:rPr>
          <w:rFonts w:eastAsia="Times New Roman" w:cs="Arial"/>
          <w:color w:val="000000"/>
          <w:szCs w:val="20"/>
          <w:lang w:eastAsia="bg-BG"/>
        </w:rPr>
      </w:pPr>
    </w:p>
    <w:p w14:paraId="4D2C462A" w14:textId="1EBC0B59" w:rsidR="00E95210" w:rsidRPr="00E95210" w:rsidRDefault="00E95210" w:rsidP="00E95210">
      <w:pPr>
        <w:pStyle w:val="ListParagraph"/>
        <w:numPr>
          <w:ilvl w:val="0"/>
          <w:numId w:val="40"/>
        </w:numPr>
        <w:spacing w:line="240" w:lineRule="auto"/>
        <w:rPr>
          <w:rFonts w:eastAsia="Times New Roman" w:cs="Arial"/>
          <w:color w:val="000000"/>
          <w:szCs w:val="20"/>
          <w:lang w:eastAsia="bg-BG"/>
        </w:rPr>
      </w:pPr>
      <w:r w:rsidRPr="00E95210">
        <w:rPr>
          <w:rFonts w:eastAsia="Times New Roman" w:cs="Arial"/>
          <w:color w:val="000000"/>
          <w:szCs w:val="20"/>
          <w:lang w:eastAsia="bg-BG"/>
        </w:rPr>
        <w:lastRenderedPageBreak/>
        <w:t xml:space="preserve">Може да се опита прилагане на хелатиращи средства (напр. динатриев калциев едетат) (500 </w:t>
      </w:r>
      <w:r w:rsidRPr="00E95210">
        <w:rPr>
          <w:rFonts w:eastAsia="Times New Roman" w:cs="Arial"/>
          <w:color w:val="000000"/>
          <w:szCs w:val="20"/>
          <w:lang w:val="en-US"/>
        </w:rPr>
        <w:t xml:space="preserve">mg/500 ml </w:t>
      </w:r>
      <w:r w:rsidRPr="00E95210">
        <w:rPr>
          <w:rFonts w:eastAsia="Times New Roman" w:cs="Arial"/>
          <w:color w:val="000000"/>
          <w:szCs w:val="20"/>
          <w:lang w:eastAsia="bg-BG"/>
        </w:rPr>
        <w:t xml:space="preserve">чрез непрекъсната интравенозна инфузия). Не трябва да се използва димеркапрол, тъй като образува токсичен комплекс с желязо. Дезфероксамин е специфичен железен хелатиращ агент и тежко остро отравяне при кърмачета трябва винаги да се лекува с дезфероксамин в дози от 90 </w:t>
      </w:r>
      <w:r w:rsidRPr="00E95210">
        <w:rPr>
          <w:rFonts w:eastAsia="Times New Roman" w:cs="Arial"/>
          <w:color w:val="000000"/>
          <w:szCs w:val="20"/>
          <w:lang w:val="en-US"/>
        </w:rPr>
        <w:t xml:space="preserve">mg/kg </w:t>
      </w:r>
      <w:r w:rsidRPr="00E95210">
        <w:rPr>
          <w:rFonts w:eastAsia="Times New Roman" w:cs="Arial"/>
          <w:color w:val="000000"/>
          <w:szCs w:val="20"/>
          <w:lang w:eastAsia="bg-BG"/>
        </w:rPr>
        <w:t xml:space="preserve">интрамускулно, последвано от 15 </w:t>
      </w:r>
      <w:r w:rsidRPr="00E95210">
        <w:rPr>
          <w:rFonts w:eastAsia="Times New Roman" w:cs="Arial"/>
          <w:color w:val="000000"/>
          <w:szCs w:val="20"/>
          <w:lang w:val="en-US"/>
        </w:rPr>
        <w:t xml:space="preserve">mg/kg </w:t>
      </w:r>
      <w:r w:rsidRPr="00E95210">
        <w:rPr>
          <w:rFonts w:eastAsia="Times New Roman" w:cs="Arial"/>
          <w:color w:val="000000"/>
          <w:szCs w:val="20"/>
          <w:lang w:eastAsia="bg-BG"/>
        </w:rPr>
        <w:t>на час интравенозно, докато серумната концентрация на желязо достигне капацитета за плазмено свързване. Твърде висока скорост на инфузия може да доведе до хипотония.</w:t>
      </w:r>
    </w:p>
    <w:p w14:paraId="2F0C085C" w14:textId="77777777" w:rsidR="00E95210" w:rsidRPr="00E95210" w:rsidRDefault="00E95210" w:rsidP="00E95210">
      <w:pPr>
        <w:pStyle w:val="ListParagraph"/>
        <w:spacing w:line="240" w:lineRule="auto"/>
        <w:rPr>
          <w:rFonts w:eastAsia="Times New Roman" w:cs="Arial"/>
          <w:color w:val="000000"/>
          <w:szCs w:val="20"/>
          <w:lang w:eastAsia="bg-BG"/>
        </w:rPr>
      </w:pPr>
    </w:p>
    <w:p w14:paraId="18063FA3" w14:textId="42C41F0A" w:rsidR="00E95210" w:rsidRPr="00E95210" w:rsidRDefault="00E95210" w:rsidP="00E95210">
      <w:pPr>
        <w:pStyle w:val="ListParagraph"/>
        <w:numPr>
          <w:ilvl w:val="0"/>
          <w:numId w:val="40"/>
        </w:numPr>
        <w:spacing w:line="240" w:lineRule="auto"/>
        <w:rPr>
          <w:rFonts w:eastAsia="Times New Roman" w:cs="Arial"/>
          <w:color w:val="000000"/>
          <w:szCs w:val="20"/>
          <w:lang w:eastAsia="bg-BG"/>
        </w:rPr>
      </w:pPr>
      <w:r w:rsidRPr="00E95210">
        <w:rPr>
          <w:rFonts w:eastAsia="Times New Roman" w:cs="Arial"/>
          <w:color w:val="000000"/>
          <w:szCs w:val="20"/>
          <w:lang w:eastAsia="bg-BG"/>
        </w:rPr>
        <w:t xml:space="preserve">При по-леки интоксикации дезфероксамин може да се приложи интрамускулно (50 </w:t>
      </w:r>
      <w:r w:rsidRPr="00E95210">
        <w:rPr>
          <w:rFonts w:eastAsia="Times New Roman" w:cs="Arial"/>
          <w:color w:val="000000"/>
          <w:szCs w:val="20"/>
          <w:lang w:val="en-US"/>
        </w:rPr>
        <w:t xml:space="preserve">mg/kg, </w:t>
      </w:r>
      <w:r w:rsidRPr="00E95210">
        <w:rPr>
          <w:rFonts w:eastAsia="Times New Roman" w:cs="Arial"/>
          <w:color w:val="000000"/>
          <w:szCs w:val="20"/>
          <w:lang w:eastAsia="bg-BG"/>
        </w:rPr>
        <w:t xml:space="preserve">максимална обща доза от 4 </w:t>
      </w:r>
      <w:r w:rsidRPr="00E95210">
        <w:rPr>
          <w:rFonts w:eastAsia="Times New Roman" w:cs="Arial"/>
          <w:color w:val="000000"/>
          <w:szCs w:val="20"/>
          <w:lang w:val="en-US"/>
        </w:rPr>
        <w:t>g).</w:t>
      </w:r>
    </w:p>
    <w:p w14:paraId="78E79FC4" w14:textId="77777777" w:rsidR="00E95210" w:rsidRPr="00E95210" w:rsidRDefault="00E95210" w:rsidP="00E95210">
      <w:pPr>
        <w:pStyle w:val="ListParagraph"/>
        <w:spacing w:line="240" w:lineRule="auto"/>
        <w:rPr>
          <w:rFonts w:eastAsia="Times New Roman" w:cs="Arial"/>
          <w:color w:val="000000"/>
          <w:szCs w:val="20"/>
          <w:lang w:eastAsia="bg-BG"/>
        </w:rPr>
      </w:pPr>
    </w:p>
    <w:p w14:paraId="1BDE61A7" w14:textId="4BA1C4C3" w:rsidR="00E95210" w:rsidRPr="00E95210" w:rsidRDefault="00E95210" w:rsidP="00E95210">
      <w:pPr>
        <w:pStyle w:val="ListParagraph"/>
        <w:numPr>
          <w:ilvl w:val="0"/>
          <w:numId w:val="40"/>
        </w:numPr>
        <w:spacing w:line="240" w:lineRule="auto"/>
        <w:rPr>
          <w:rFonts w:eastAsia="Times New Roman" w:cs="Arial"/>
          <w:color w:val="000000"/>
          <w:szCs w:val="20"/>
          <w:lang w:eastAsia="bg-BG"/>
        </w:rPr>
      </w:pPr>
      <w:r w:rsidRPr="00E95210">
        <w:rPr>
          <w:rFonts w:eastAsia="Times New Roman" w:cs="Arial"/>
          <w:color w:val="000000"/>
          <w:szCs w:val="20"/>
          <w:lang w:eastAsia="bg-BG"/>
        </w:rPr>
        <w:t>При тежка интоксикация: при шок и/или кома, и в случай на високи серумни концентрации на желязо (&gt;90 μ</w:t>
      </w:r>
      <w:proofErr w:type="spellStart"/>
      <w:r w:rsidRPr="00E95210">
        <w:rPr>
          <w:rFonts w:eastAsia="Times New Roman" w:cs="Arial"/>
          <w:color w:val="000000"/>
          <w:szCs w:val="20"/>
          <w:lang w:val="en-US"/>
        </w:rPr>
        <w:t>mol</w:t>
      </w:r>
      <w:proofErr w:type="spellEnd"/>
      <w:r w:rsidRPr="00E95210">
        <w:rPr>
          <w:rFonts w:eastAsia="Times New Roman" w:cs="Arial"/>
          <w:color w:val="000000"/>
          <w:szCs w:val="20"/>
          <w:lang w:val="en-US"/>
        </w:rPr>
        <w:t xml:space="preserve">/l </w:t>
      </w:r>
      <w:r w:rsidRPr="00E95210">
        <w:rPr>
          <w:rFonts w:eastAsia="Times New Roman" w:cs="Arial"/>
          <w:color w:val="000000"/>
          <w:szCs w:val="20"/>
          <w:lang w:eastAsia="bg-BG"/>
        </w:rPr>
        <w:t>при деца, &gt;142 μ</w:t>
      </w:r>
      <w:proofErr w:type="spellStart"/>
      <w:r w:rsidRPr="00E95210">
        <w:rPr>
          <w:rFonts w:eastAsia="Times New Roman" w:cs="Arial"/>
          <w:color w:val="000000"/>
          <w:szCs w:val="20"/>
          <w:lang w:val="en-US"/>
        </w:rPr>
        <w:t>mol</w:t>
      </w:r>
      <w:proofErr w:type="spellEnd"/>
      <w:r w:rsidRPr="00E95210">
        <w:rPr>
          <w:rFonts w:eastAsia="Times New Roman" w:cs="Arial"/>
          <w:color w:val="000000"/>
          <w:szCs w:val="20"/>
          <w:lang w:val="en-US"/>
        </w:rPr>
        <w:t xml:space="preserve">/l </w:t>
      </w:r>
      <w:r w:rsidRPr="00E95210">
        <w:rPr>
          <w:rFonts w:eastAsia="Times New Roman" w:cs="Arial"/>
          <w:color w:val="000000"/>
          <w:szCs w:val="20"/>
          <w:lang w:eastAsia="bg-BG"/>
        </w:rPr>
        <w:t>при възрастни), трябва незабавно да се започне интензивна поддържаща терапия. Да се приложи трансфузия на кръв или плазма при шок, кислород при затруднено дишане.</w:t>
      </w:r>
    </w:p>
    <w:p w14:paraId="7FF3341A" w14:textId="77777777" w:rsidR="00E95210" w:rsidRPr="00E95210" w:rsidRDefault="00E95210" w:rsidP="00E95210">
      <w:pPr>
        <w:pStyle w:val="ListParagraph"/>
        <w:spacing w:line="240" w:lineRule="auto"/>
        <w:rPr>
          <w:rFonts w:eastAsia="Times New Roman" w:cs="Arial"/>
          <w:color w:val="000000"/>
          <w:szCs w:val="20"/>
          <w:lang w:eastAsia="bg-BG"/>
        </w:rPr>
      </w:pPr>
    </w:p>
    <w:p w14:paraId="6C35920C" w14:textId="5FA36ECC" w:rsidR="00E95210" w:rsidRPr="00E95210" w:rsidRDefault="00E95210" w:rsidP="00E95210">
      <w:pPr>
        <w:pStyle w:val="ListParagraph"/>
        <w:numPr>
          <w:ilvl w:val="0"/>
          <w:numId w:val="40"/>
        </w:numPr>
        <w:spacing w:line="240" w:lineRule="auto"/>
        <w:rPr>
          <w:rFonts w:eastAsia="Times New Roman" w:cs="Arial"/>
          <w:color w:val="000000"/>
          <w:szCs w:val="20"/>
          <w:lang w:eastAsia="bg-BG"/>
        </w:rPr>
      </w:pPr>
      <w:r w:rsidRPr="00E95210">
        <w:rPr>
          <w:rFonts w:eastAsia="Times New Roman" w:cs="Arial"/>
          <w:color w:val="000000"/>
          <w:szCs w:val="20"/>
          <w:lang w:eastAsia="bg-BG"/>
        </w:rPr>
        <w:t>Препоръчва се проследяване на серумните нива на желязо по време на целия период на интоксикацията.</w:t>
      </w:r>
    </w:p>
    <w:p w14:paraId="37682E0F" w14:textId="77777777" w:rsidR="00E95210" w:rsidRPr="0091385D" w:rsidRDefault="00E95210"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269E5C5D" w14:textId="77777777"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lang w:eastAsia="bg-BG"/>
        </w:rPr>
        <w:t>Фармакотерапевтична група: Антианемични средства, железни бивалентни, перорални средства, АТС код: ВОЗА А07</w:t>
      </w:r>
    </w:p>
    <w:p w14:paraId="18FB0827" w14:textId="77777777" w:rsidR="00E95210" w:rsidRPr="00E95210" w:rsidRDefault="00E95210" w:rsidP="00E95210">
      <w:pPr>
        <w:spacing w:line="240" w:lineRule="auto"/>
        <w:rPr>
          <w:rFonts w:eastAsia="Times New Roman" w:cs="Arial"/>
          <w:color w:val="000000"/>
          <w:szCs w:val="20"/>
          <w:lang w:eastAsia="bg-BG"/>
        </w:rPr>
      </w:pPr>
    </w:p>
    <w:p w14:paraId="244A2CDC" w14:textId="3684A001"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lang w:eastAsia="bg-BG"/>
        </w:rPr>
        <w:t>Това лекарство е предназначено за субституция на желязо.</w:t>
      </w:r>
    </w:p>
    <w:p w14:paraId="1E4872CD" w14:textId="77777777" w:rsidR="00E95210" w:rsidRPr="00E95210" w:rsidRDefault="00E95210" w:rsidP="00E95210">
      <w:pPr>
        <w:spacing w:line="240" w:lineRule="auto"/>
        <w:rPr>
          <w:rFonts w:eastAsia="Times New Roman" w:cs="Arial"/>
          <w:color w:val="000000"/>
          <w:szCs w:val="20"/>
          <w:u w:val="single"/>
          <w:lang w:eastAsia="bg-BG"/>
        </w:rPr>
      </w:pPr>
    </w:p>
    <w:p w14:paraId="4CA7BBED" w14:textId="71748613"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u w:val="single"/>
          <w:lang w:eastAsia="bg-BG"/>
        </w:rPr>
        <w:t>Механизъм на действие</w:t>
      </w:r>
    </w:p>
    <w:p w14:paraId="038F692B" w14:textId="5C68EB87" w:rsidR="007A2185" w:rsidRPr="00E95210" w:rsidRDefault="00E95210" w:rsidP="00E95210">
      <w:pPr>
        <w:rPr>
          <w:rFonts w:eastAsia="Times New Roman" w:cs="Arial"/>
          <w:color w:val="000000"/>
          <w:szCs w:val="20"/>
          <w:lang w:eastAsia="bg-BG"/>
        </w:rPr>
      </w:pPr>
      <w:r w:rsidRPr="00E95210">
        <w:rPr>
          <w:rFonts w:eastAsia="Times New Roman" w:cs="Arial"/>
          <w:color w:val="000000"/>
          <w:szCs w:val="20"/>
          <w:lang w:eastAsia="bg-BG"/>
        </w:rPr>
        <w:t>Значение на желязото за организма:</w:t>
      </w:r>
    </w:p>
    <w:p w14:paraId="1B2A7961" w14:textId="77777777"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lang w:eastAsia="bg-BG"/>
        </w:rPr>
        <w:t>Като част от протопорфириновата простетична група на хемоглобина, желязото(П) играе важна роля в свързването и транспорта на кислорода и въглеродния диоксид.</w:t>
      </w:r>
    </w:p>
    <w:p w14:paraId="7CF2BB77" w14:textId="77777777" w:rsidR="00E95210" w:rsidRPr="00E95210" w:rsidRDefault="00E95210" w:rsidP="00E95210">
      <w:pPr>
        <w:spacing w:line="240" w:lineRule="auto"/>
        <w:rPr>
          <w:rFonts w:eastAsia="Times New Roman" w:cs="Arial"/>
          <w:color w:val="000000"/>
          <w:szCs w:val="20"/>
          <w:u w:val="single"/>
          <w:lang w:eastAsia="bg-BG"/>
        </w:rPr>
      </w:pPr>
    </w:p>
    <w:p w14:paraId="477F34DC" w14:textId="32DA54C4"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u w:val="single"/>
          <w:lang w:eastAsia="bg-BG"/>
        </w:rPr>
        <w:t>Фармакодинамични ефекти</w:t>
      </w:r>
    </w:p>
    <w:p w14:paraId="761BC5B8" w14:textId="77777777"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lang w:eastAsia="bg-BG"/>
        </w:rPr>
        <w:t xml:space="preserve">Желязото в протопорфириновата група на цитохром ензимите играе ключова роля в процесите на електронен транспорт. При тези процеси вносът и износът на електрони е възможен посредством обратимото преобразуване на </w:t>
      </w:r>
      <w:r w:rsidRPr="00E95210">
        <w:rPr>
          <w:rFonts w:eastAsia="Times New Roman" w:cs="Arial"/>
          <w:color w:val="000000"/>
          <w:szCs w:val="20"/>
          <w:lang w:val="en-US"/>
        </w:rPr>
        <w:t>Fe(II)&lt;</w:t>
      </w:r>
      <w:r w:rsidRPr="00E95210">
        <w:rPr>
          <w:rFonts w:eastAsia="Times New Roman" w:cs="Arial"/>
          <w:color w:val="000000"/>
          <w:szCs w:val="20"/>
          <w:lang w:eastAsia="bg-BG"/>
        </w:rPr>
        <w:t xml:space="preserve">—&gt; </w:t>
      </w:r>
      <w:r w:rsidRPr="00E95210">
        <w:rPr>
          <w:rFonts w:eastAsia="Times New Roman" w:cs="Arial"/>
          <w:color w:val="000000"/>
          <w:szCs w:val="20"/>
          <w:lang w:val="en-US"/>
        </w:rPr>
        <w:t>Fe(III).</w:t>
      </w:r>
    </w:p>
    <w:p w14:paraId="402077B4" w14:textId="227D0FF8" w:rsidR="00E95210" w:rsidRPr="00E95210" w:rsidRDefault="00E95210" w:rsidP="00E95210">
      <w:pPr>
        <w:rPr>
          <w:rFonts w:cs="Arial"/>
          <w:sz w:val="24"/>
        </w:rPr>
      </w:pPr>
      <w:r w:rsidRPr="00E95210">
        <w:rPr>
          <w:rFonts w:eastAsia="Times New Roman" w:cs="Arial"/>
          <w:color w:val="000000"/>
          <w:szCs w:val="20"/>
          <w:lang w:eastAsia="bg-BG"/>
        </w:rPr>
        <w:t>Високо съдържание на желязо може също така да бъде установено в миоглобиновите молекули в мускулите.</w:t>
      </w:r>
    </w:p>
    <w:p w14:paraId="36152471" w14:textId="77777777" w:rsidR="0091385D" w:rsidRPr="0091385D" w:rsidRDefault="0091385D"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01BD5462" w14:textId="77777777" w:rsidR="00E95210" w:rsidRPr="00E95210" w:rsidRDefault="00E95210" w:rsidP="00E95210">
      <w:pPr>
        <w:pStyle w:val="Heading3"/>
        <w:rPr>
          <w:rFonts w:eastAsia="Times New Roman"/>
          <w:sz w:val="28"/>
          <w:u w:val="single"/>
          <w:lang w:eastAsia="bg-BG"/>
        </w:rPr>
      </w:pPr>
      <w:r w:rsidRPr="00E95210">
        <w:rPr>
          <w:rFonts w:eastAsia="Times New Roman"/>
          <w:u w:val="single"/>
          <w:lang w:eastAsia="bg-BG"/>
        </w:rPr>
        <w:t>Абсорбция</w:t>
      </w:r>
    </w:p>
    <w:p w14:paraId="575AF22A" w14:textId="77777777"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lang w:eastAsia="bg-BG"/>
        </w:rPr>
        <w:t>Производственият процес на таблетките осигурява забавено отделяне на железни (II) йони. По време на пасажа в стомашно-чревния тракт железните (II) йони се освобождават забавено от порьозната матрица за около 6 часа.</w:t>
      </w:r>
    </w:p>
    <w:p w14:paraId="570928CC" w14:textId="77777777"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lang w:eastAsia="bg-BG"/>
        </w:rPr>
        <w:lastRenderedPageBreak/>
        <w:t>Забавеното освобождаване на активната субстанция води до това, че локално не се получават вредни високи концентрации на желязото, така че дразненето на чревния епител може да бъде избегнато чрез използване на Сорбифир Дурулес.</w:t>
      </w:r>
    </w:p>
    <w:p w14:paraId="156F0E67" w14:textId="77777777"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lang w:eastAsia="bg-BG"/>
        </w:rPr>
        <w:t xml:space="preserve">Желязото се абсорбира от дуоденума и от горния сегмент на йеюнума. Скоростта на абсорбция на свързаното с хемоглобина желязо е около 20% докато тази на не-свързаното с хемоглобина желязо е около 10%. За добра абсорбция желязото трябва бъде под формата на </w:t>
      </w:r>
      <w:r w:rsidRPr="00E95210">
        <w:rPr>
          <w:rFonts w:eastAsia="Times New Roman" w:cs="Arial"/>
          <w:color w:val="000000"/>
          <w:szCs w:val="20"/>
          <w:lang w:val="en-US"/>
        </w:rPr>
        <w:t>Fe(II).</w:t>
      </w:r>
    </w:p>
    <w:p w14:paraId="6088354C" w14:textId="77777777"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lang w:eastAsia="bg-BG"/>
        </w:rPr>
        <w:t xml:space="preserve">Хидрохлорната киселина в стомаха и витамин С подпомагат желязната абсорбция като намалява </w:t>
      </w:r>
      <w:r w:rsidRPr="00E95210">
        <w:rPr>
          <w:rFonts w:eastAsia="Times New Roman" w:cs="Arial"/>
          <w:color w:val="000000"/>
          <w:szCs w:val="20"/>
          <w:lang w:val="en-US"/>
        </w:rPr>
        <w:t xml:space="preserve">Fe(III) </w:t>
      </w:r>
      <w:r w:rsidRPr="00E95210">
        <w:rPr>
          <w:rFonts w:eastAsia="Times New Roman" w:cs="Arial"/>
          <w:color w:val="000000"/>
          <w:szCs w:val="20"/>
          <w:lang w:eastAsia="bg-BG"/>
        </w:rPr>
        <w:t xml:space="preserve">до </w:t>
      </w:r>
      <w:r w:rsidRPr="00E95210">
        <w:rPr>
          <w:rFonts w:eastAsia="Times New Roman" w:cs="Arial"/>
          <w:color w:val="000000"/>
          <w:szCs w:val="20"/>
          <w:lang w:val="en-US"/>
        </w:rPr>
        <w:t>Fe(II).</w:t>
      </w:r>
    </w:p>
    <w:p w14:paraId="64718112" w14:textId="77777777"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lang w:eastAsia="bg-BG"/>
        </w:rPr>
        <w:t xml:space="preserve">Желязото </w:t>
      </w:r>
      <w:r w:rsidRPr="00E95210">
        <w:rPr>
          <w:rFonts w:eastAsia="Times New Roman" w:cs="Arial"/>
          <w:color w:val="000000"/>
          <w:szCs w:val="20"/>
          <w:lang w:val="en-US"/>
        </w:rPr>
        <w:t xml:space="preserve">(Fe(II) </w:t>
      </w:r>
      <w:r w:rsidRPr="00E95210">
        <w:rPr>
          <w:rFonts w:eastAsia="Times New Roman" w:cs="Arial"/>
          <w:color w:val="000000"/>
          <w:szCs w:val="20"/>
          <w:lang w:eastAsia="bg-BG"/>
        </w:rPr>
        <w:t xml:space="preserve">- феро), което навлиза в чревните епителни клетки се окислява до </w:t>
      </w:r>
      <w:r w:rsidRPr="00E95210">
        <w:rPr>
          <w:rFonts w:eastAsia="Times New Roman" w:cs="Arial"/>
          <w:color w:val="000000"/>
          <w:szCs w:val="20"/>
          <w:lang w:val="en-US"/>
        </w:rPr>
        <w:t xml:space="preserve">Fe(III)- </w:t>
      </w:r>
      <w:r w:rsidRPr="00E95210">
        <w:rPr>
          <w:rFonts w:eastAsia="Times New Roman" w:cs="Arial"/>
          <w:color w:val="000000"/>
          <w:szCs w:val="20"/>
          <w:lang w:eastAsia="bg-BG"/>
        </w:rPr>
        <w:t>фери желязо вътре в клетките и се свързва с апоферитин. Една част от апоферитина навлиза в кръвообращението, а друга част остава временно в чревните епителни клетки под формата на феритин, който или влиза в циркулацията след 1 до 2 дни, или остава в организма в изпражненията заедно с десквамираните епителни клетки.</w:t>
      </w:r>
    </w:p>
    <w:p w14:paraId="02BA4181" w14:textId="77777777" w:rsidR="00E95210" w:rsidRPr="00E95210" w:rsidRDefault="00E95210" w:rsidP="00E95210">
      <w:pPr>
        <w:spacing w:line="240" w:lineRule="auto"/>
        <w:rPr>
          <w:rFonts w:eastAsia="Times New Roman" w:cs="Arial"/>
          <w:color w:val="000000"/>
          <w:szCs w:val="20"/>
          <w:u w:val="single"/>
          <w:lang w:eastAsia="bg-BG"/>
        </w:rPr>
      </w:pPr>
    </w:p>
    <w:p w14:paraId="71716EEC" w14:textId="076682F2" w:rsidR="00E95210" w:rsidRPr="00E95210" w:rsidRDefault="00E95210" w:rsidP="00E95210">
      <w:pPr>
        <w:pStyle w:val="Heading3"/>
        <w:rPr>
          <w:rFonts w:eastAsia="Times New Roman"/>
          <w:sz w:val="28"/>
          <w:u w:val="single"/>
          <w:lang w:eastAsia="bg-BG"/>
        </w:rPr>
      </w:pPr>
      <w:r w:rsidRPr="00E95210">
        <w:rPr>
          <w:rFonts w:eastAsia="Times New Roman"/>
          <w:u w:val="single"/>
          <w:lang w:eastAsia="bg-BG"/>
        </w:rPr>
        <w:t>Разпределение</w:t>
      </w:r>
    </w:p>
    <w:p w14:paraId="45551830" w14:textId="27B93658" w:rsidR="007A2185" w:rsidRPr="00E95210" w:rsidRDefault="00E95210" w:rsidP="00E95210">
      <w:pPr>
        <w:rPr>
          <w:rFonts w:cs="Arial"/>
          <w:sz w:val="24"/>
        </w:rPr>
      </w:pPr>
      <w:r w:rsidRPr="00E95210">
        <w:rPr>
          <w:rFonts w:eastAsia="Times New Roman" w:cs="Arial"/>
          <w:color w:val="000000"/>
          <w:szCs w:val="20"/>
          <w:lang w:eastAsia="bg-BG"/>
        </w:rPr>
        <w:t xml:space="preserve">Около 1/3 от желязото, което влиза в циркулацията е свързано с апотрансферин, след което молекулата се трансформира в трансферни. Желязото се транспортира до прицелните органи под формата на трансферни, който след свързване с извънклетъчните рецептори навлиза в цитоплазмата посредством ендоцитоза. Тук желязото се дисоциира от трансферни и се свързва отново с апоферитин. Желязото се окислява от апоферитин и окислената форма </w:t>
      </w:r>
      <w:r w:rsidRPr="00E95210">
        <w:rPr>
          <w:rFonts w:eastAsia="Times New Roman" w:cs="Arial"/>
          <w:color w:val="000000"/>
          <w:szCs w:val="20"/>
          <w:lang w:val="en-US"/>
        </w:rPr>
        <w:t xml:space="preserve">(Fe(III)) </w:t>
      </w:r>
      <w:r w:rsidRPr="00E95210">
        <w:rPr>
          <w:rFonts w:eastAsia="Times New Roman" w:cs="Arial"/>
          <w:color w:val="000000"/>
          <w:szCs w:val="20"/>
          <w:lang w:eastAsia="bg-BG"/>
        </w:rPr>
        <w:t xml:space="preserve">се редуцира до </w:t>
      </w:r>
      <w:r w:rsidRPr="00E95210">
        <w:rPr>
          <w:rFonts w:eastAsia="Times New Roman" w:cs="Arial"/>
          <w:color w:val="000000"/>
          <w:szCs w:val="20"/>
          <w:lang w:val="en-US"/>
        </w:rPr>
        <w:t xml:space="preserve">Fe(II) </w:t>
      </w:r>
      <w:r w:rsidRPr="00E95210">
        <w:rPr>
          <w:rFonts w:eastAsia="Times New Roman" w:cs="Arial"/>
          <w:color w:val="000000"/>
          <w:szCs w:val="20"/>
          <w:lang w:eastAsia="bg-BG"/>
        </w:rPr>
        <w:t>от флавопротеини.</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0ED1DFE5" w14:textId="77777777"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lang w:eastAsia="bg-BG"/>
        </w:rPr>
        <w:t>До момента няма значими данни по отношение на токсичността на желязото.</w:t>
      </w:r>
    </w:p>
    <w:p w14:paraId="2486FA7B" w14:textId="77777777"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lang w:eastAsia="bg-BG"/>
        </w:rPr>
        <w:t>След като бременните жени също приемат това лечение от десетилетия за третиране на железен дефицит, човешкият опит надделява над липсата на експериментални данни, получени от проучвания за тератогенността при животни.</w:t>
      </w:r>
    </w:p>
    <w:p w14:paraId="6944138D" w14:textId="77777777"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lang w:eastAsia="bg-BG"/>
        </w:rPr>
        <w:t>Високи дози на аскорбинова киселина са давани на бременни мишки. Репродуктивните данни не показват ембриотоксични или фетотоксични ефекти и не са наблюдавани признаци за токсичност спрямо майката.</w:t>
      </w:r>
    </w:p>
    <w:p w14:paraId="13A7B62A" w14:textId="50093EA3" w:rsidR="007A2185" w:rsidRPr="00E95210" w:rsidRDefault="00E95210" w:rsidP="00E95210">
      <w:pPr>
        <w:rPr>
          <w:rFonts w:cs="Arial"/>
          <w:sz w:val="24"/>
          <w:lang w:val="en-US"/>
        </w:rPr>
      </w:pPr>
      <w:r w:rsidRPr="00E95210">
        <w:rPr>
          <w:rFonts w:eastAsia="Times New Roman" w:cs="Arial"/>
          <w:color w:val="000000"/>
          <w:szCs w:val="20"/>
          <w:lang w:eastAsia="bg-BG"/>
        </w:rPr>
        <w:t>Токсичността на полиетиленовата пудра беше проучена след повторно перорално приложение при плъхове за три месеца. Не е наблюдавана клинична реакция вследствие на приложението на съединението, нито пък може да се отбележи някакъв ефект върху телесното тегло.</w:t>
      </w:r>
      <w:r w:rsidRPr="00E95210">
        <w:rPr>
          <w:rFonts w:eastAsia="Times New Roman" w:cs="Arial"/>
          <w:i/>
          <w:iCs/>
          <w:color w:val="000000"/>
          <w:sz w:val="18"/>
          <w:szCs w:val="16"/>
          <w:lang w:eastAsia="bg-BG"/>
        </w:rPr>
        <w:t xml:space="preserve"> </w:t>
      </w:r>
      <w:r w:rsidRPr="00E95210">
        <w:rPr>
          <w:rFonts w:eastAsia="Times New Roman" w:cs="Arial"/>
          <w:color w:val="000000"/>
          <w:szCs w:val="20"/>
          <w:lang w:eastAsia="bg-BG"/>
        </w:rPr>
        <w:t>Хематологичните показатели, химичният кръвен анализ и изследването на урината не показват</w:t>
      </w:r>
      <w:r w:rsidRPr="00E95210">
        <w:rPr>
          <w:rFonts w:eastAsia="Times New Roman" w:cs="Arial"/>
          <w:color w:val="000000"/>
          <w:szCs w:val="20"/>
          <w:lang w:val="en-US" w:eastAsia="bg-BG"/>
        </w:rPr>
        <w:t xml:space="preserve"> </w:t>
      </w:r>
      <w:r w:rsidRPr="00E95210">
        <w:rPr>
          <w:rFonts w:cs="Arial"/>
          <w:szCs w:val="20"/>
        </w:rPr>
        <w:t>промени, които да са свързани с приложението на полиетиленовата пудра. Макро- и микроскопски патологичните изследвания не показват някакви находки, свързани с лечението с полиетиленова пудра.</w:t>
      </w:r>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1A4B60A8" w14:textId="77777777"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lang w:val="en-US"/>
        </w:rPr>
        <w:t>Egis Pharmaceuticals PLC</w:t>
      </w:r>
    </w:p>
    <w:p w14:paraId="58C7C201" w14:textId="77777777"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lang w:eastAsia="bg-BG"/>
        </w:rPr>
        <w:t xml:space="preserve">1106 </w:t>
      </w:r>
      <w:r w:rsidRPr="00E95210">
        <w:rPr>
          <w:rFonts w:eastAsia="Times New Roman" w:cs="Arial"/>
          <w:color w:val="000000"/>
          <w:szCs w:val="20"/>
          <w:lang w:val="en-US"/>
        </w:rPr>
        <w:t xml:space="preserve">Budapest, </w:t>
      </w:r>
      <w:r w:rsidRPr="00E95210">
        <w:rPr>
          <w:rFonts w:eastAsia="Times New Roman" w:cs="Arial"/>
          <w:color w:val="000000"/>
          <w:szCs w:val="20"/>
          <w:lang w:eastAsia="bg-BG"/>
        </w:rPr>
        <w:t>Keresztúri út</w:t>
      </w:r>
      <w:r w:rsidRPr="00E95210">
        <w:rPr>
          <w:rFonts w:eastAsia="Times New Roman" w:cs="Arial"/>
          <w:color w:val="000000"/>
          <w:szCs w:val="20"/>
          <w:lang w:val="en-US"/>
        </w:rPr>
        <w:t xml:space="preserve"> 30-38.</w:t>
      </w:r>
    </w:p>
    <w:p w14:paraId="026A8A51" w14:textId="77777777"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lang w:eastAsia="bg-BG"/>
        </w:rPr>
        <w:t>Унгария</w:t>
      </w:r>
    </w:p>
    <w:p w14:paraId="7FADB136" w14:textId="77777777" w:rsidR="00E95210" w:rsidRPr="00E95210" w:rsidRDefault="00E95210" w:rsidP="00E95210">
      <w:pPr>
        <w:rPr>
          <w:rFonts w:eastAsia="Times New Roman" w:cs="Arial"/>
          <w:color w:val="000000"/>
          <w:szCs w:val="20"/>
          <w:lang w:val="en-US"/>
        </w:rPr>
      </w:pPr>
    </w:p>
    <w:p w14:paraId="4F02909F" w14:textId="2595D233" w:rsidR="007A2185" w:rsidRPr="00E95210" w:rsidRDefault="00E95210" w:rsidP="00E95210">
      <w:pPr>
        <w:rPr>
          <w:rFonts w:cs="Arial"/>
          <w:sz w:val="24"/>
        </w:rPr>
      </w:pPr>
      <w:proofErr w:type="spellStart"/>
      <w:r w:rsidRPr="00E95210">
        <w:rPr>
          <w:rFonts w:eastAsia="Times New Roman" w:cs="Arial"/>
          <w:color w:val="000000"/>
          <w:szCs w:val="20"/>
          <w:lang w:val="en-US"/>
        </w:rPr>
        <w:lastRenderedPageBreak/>
        <w:t>Sorbifer</w:t>
      </w:r>
      <w:proofErr w:type="spellEnd"/>
      <w:r w:rsidRPr="00E95210">
        <w:rPr>
          <w:rFonts w:eastAsia="Times New Roman" w:cs="Arial"/>
          <w:color w:val="000000"/>
          <w:szCs w:val="20"/>
          <w:lang w:val="en-US"/>
        </w:rPr>
        <w:t xml:space="preserve">™ </w:t>
      </w:r>
      <w:r w:rsidRPr="00E95210">
        <w:rPr>
          <w:rFonts w:eastAsia="Times New Roman" w:cs="Arial"/>
          <w:color w:val="000000"/>
          <w:szCs w:val="20"/>
          <w:lang w:eastAsia="bg-BG"/>
        </w:rPr>
        <w:t xml:space="preserve">е интелектуална собственост на Егис. Използването на запазената марка </w:t>
      </w:r>
      <w:proofErr w:type="spellStart"/>
      <w:r w:rsidRPr="00E95210">
        <w:rPr>
          <w:rFonts w:eastAsia="Times New Roman" w:cs="Arial"/>
          <w:color w:val="000000"/>
          <w:szCs w:val="20"/>
          <w:lang w:val="en-US"/>
        </w:rPr>
        <w:t>Durules</w:t>
      </w:r>
      <w:proofErr w:type="spellEnd"/>
      <w:r w:rsidRPr="00E95210">
        <w:rPr>
          <w:rFonts w:eastAsia="Times New Roman" w:cs="Arial"/>
          <w:color w:val="000000"/>
          <w:szCs w:val="20"/>
          <w:lang w:val="en-US"/>
        </w:rPr>
        <w:t xml:space="preserve">® </w:t>
      </w:r>
      <w:r w:rsidRPr="00E95210">
        <w:rPr>
          <w:rFonts w:eastAsia="Times New Roman" w:cs="Arial"/>
          <w:color w:val="000000"/>
          <w:szCs w:val="20"/>
          <w:lang w:eastAsia="bg-BG"/>
        </w:rPr>
        <w:t xml:space="preserve">от Егис е по лиценз на </w:t>
      </w:r>
      <w:r w:rsidRPr="00E95210">
        <w:rPr>
          <w:rFonts w:eastAsia="Times New Roman" w:cs="Arial"/>
          <w:color w:val="000000"/>
          <w:szCs w:val="20"/>
          <w:lang w:val="en-US"/>
        </w:rPr>
        <w:t>AstraZeneca.</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46161304" w14:textId="6E5EAF23" w:rsidR="007A2185" w:rsidRPr="00E95210" w:rsidRDefault="00E95210" w:rsidP="0091385D">
      <w:pPr>
        <w:rPr>
          <w:rFonts w:cs="Arial"/>
        </w:rPr>
      </w:pPr>
      <w:r w:rsidRPr="00E95210">
        <w:rPr>
          <w:rFonts w:cs="Arial"/>
          <w:szCs w:val="20"/>
        </w:rPr>
        <w:t xml:space="preserve">Сорбифер Дурулес 320 </w:t>
      </w:r>
      <w:r w:rsidRPr="00E95210">
        <w:rPr>
          <w:rFonts w:cs="Arial"/>
          <w:szCs w:val="20"/>
          <w:lang w:val="en-US"/>
        </w:rPr>
        <w:t xml:space="preserve">mg: </w:t>
      </w:r>
      <w:proofErr w:type="spellStart"/>
      <w:r w:rsidRPr="00E95210">
        <w:rPr>
          <w:rFonts w:cs="Arial"/>
          <w:szCs w:val="20"/>
          <w:lang w:val="en-US"/>
        </w:rPr>
        <w:t>Pe</w:t>
      </w:r>
      <w:proofErr w:type="spellEnd"/>
      <w:r w:rsidRPr="00E95210">
        <w:rPr>
          <w:rFonts w:cs="Arial"/>
          <w:szCs w:val="20"/>
        </w:rPr>
        <w:t>г.</w:t>
      </w:r>
      <w:r w:rsidRPr="00E95210">
        <w:rPr>
          <w:rFonts w:cs="Arial"/>
          <w:szCs w:val="20"/>
          <w:lang w:val="en-US"/>
        </w:rPr>
        <w:t xml:space="preserve"> </w:t>
      </w:r>
      <w:r w:rsidRPr="00E95210">
        <w:rPr>
          <w:rFonts w:cs="Arial"/>
          <w:szCs w:val="20"/>
        </w:rPr>
        <w:t>№: 2000 0500</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55F651CB" w14:textId="77777777" w:rsidR="00E95210" w:rsidRPr="00E95210" w:rsidRDefault="00E95210" w:rsidP="00E95210">
      <w:pPr>
        <w:spacing w:line="240" w:lineRule="auto"/>
        <w:rPr>
          <w:rFonts w:eastAsia="Times New Roman" w:cs="Arial"/>
          <w:sz w:val="28"/>
          <w:szCs w:val="24"/>
          <w:lang w:eastAsia="bg-BG"/>
        </w:rPr>
      </w:pPr>
      <w:r w:rsidRPr="00E95210">
        <w:rPr>
          <w:rFonts w:eastAsia="Times New Roman" w:cs="Arial"/>
          <w:color w:val="000000"/>
          <w:szCs w:val="20"/>
          <w:lang w:eastAsia="bg-BG"/>
        </w:rPr>
        <w:t>Дата на първо разрешаване за употреба: 29.11.1994 г.</w:t>
      </w:r>
    </w:p>
    <w:p w14:paraId="6C57D8B6" w14:textId="65ACCE3B" w:rsidR="007A2185" w:rsidRPr="00E95210" w:rsidRDefault="00E95210" w:rsidP="00E95210">
      <w:pPr>
        <w:rPr>
          <w:rFonts w:cs="Arial"/>
          <w:sz w:val="24"/>
        </w:rPr>
      </w:pPr>
      <w:r w:rsidRPr="00E95210">
        <w:rPr>
          <w:rFonts w:eastAsia="Times New Roman" w:cs="Arial"/>
          <w:color w:val="000000"/>
          <w:szCs w:val="20"/>
          <w:lang w:eastAsia="bg-BG"/>
        </w:rPr>
        <w:t>Дата на последно подновяване: 12.08.2011 г.</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6AD2AB49" w:rsidR="007A2185" w:rsidRPr="00E95210" w:rsidRDefault="00E95210" w:rsidP="0091385D">
      <w:pPr>
        <w:rPr>
          <w:rFonts w:cs="Arial"/>
          <w:sz w:val="24"/>
        </w:rPr>
      </w:pPr>
      <w:r w:rsidRPr="00E95210">
        <w:rPr>
          <w:rFonts w:cs="Arial"/>
          <w:szCs w:val="20"/>
        </w:rPr>
        <w:t>Май, 2020 г.</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404B3"/>
    <w:multiLevelType w:val="hybridMultilevel"/>
    <w:tmpl w:val="5F8CEE1A"/>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64DE9"/>
    <w:multiLevelType w:val="hybridMultilevel"/>
    <w:tmpl w:val="59D0F1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01ECE"/>
    <w:multiLevelType w:val="hybridMultilevel"/>
    <w:tmpl w:val="1018C19C"/>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3F3C222D"/>
    <w:multiLevelType w:val="hybridMultilevel"/>
    <w:tmpl w:val="A2480EB4"/>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93A0F"/>
    <w:multiLevelType w:val="hybridMultilevel"/>
    <w:tmpl w:val="FD02DB3E"/>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2"/>
  </w:num>
  <w:num w:numId="2">
    <w:abstractNumId w:val="0"/>
  </w:num>
  <w:num w:numId="3">
    <w:abstractNumId w:val="13"/>
  </w:num>
  <w:num w:numId="4">
    <w:abstractNumId w:val="3"/>
  </w:num>
  <w:num w:numId="5">
    <w:abstractNumId w:val="1"/>
  </w:num>
  <w:num w:numId="6">
    <w:abstractNumId w:val="20"/>
  </w:num>
  <w:num w:numId="7">
    <w:abstractNumId w:val="11"/>
  </w:num>
  <w:num w:numId="8">
    <w:abstractNumId w:val="18"/>
  </w:num>
  <w:num w:numId="9">
    <w:abstractNumId w:val="2"/>
  </w:num>
  <w:num w:numId="10">
    <w:abstractNumId w:val="4"/>
  </w:num>
  <w:num w:numId="11">
    <w:abstractNumId w:val="35"/>
  </w:num>
  <w:num w:numId="12">
    <w:abstractNumId w:val="16"/>
  </w:num>
  <w:num w:numId="13">
    <w:abstractNumId w:val="23"/>
  </w:num>
  <w:num w:numId="14">
    <w:abstractNumId w:val="12"/>
  </w:num>
  <w:num w:numId="15">
    <w:abstractNumId w:val="34"/>
  </w:num>
  <w:num w:numId="16">
    <w:abstractNumId w:val="10"/>
  </w:num>
  <w:num w:numId="17">
    <w:abstractNumId w:val="28"/>
  </w:num>
  <w:num w:numId="18">
    <w:abstractNumId w:val="7"/>
  </w:num>
  <w:num w:numId="19">
    <w:abstractNumId w:val="30"/>
  </w:num>
  <w:num w:numId="20">
    <w:abstractNumId w:val="27"/>
  </w:num>
  <w:num w:numId="21">
    <w:abstractNumId w:val="21"/>
  </w:num>
  <w:num w:numId="22">
    <w:abstractNumId w:val="29"/>
  </w:num>
  <w:num w:numId="23">
    <w:abstractNumId w:val="22"/>
  </w:num>
  <w:num w:numId="24">
    <w:abstractNumId w:val="8"/>
  </w:num>
  <w:num w:numId="25">
    <w:abstractNumId w:val="26"/>
  </w:num>
  <w:num w:numId="26">
    <w:abstractNumId w:val="25"/>
  </w:num>
  <w:num w:numId="27">
    <w:abstractNumId w:val="36"/>
  </w:num>
  <w:num w:numId="28">
    <w:abstractNumId w:val="6"/>
  </w:num>
  <w:num w:numId="29">
    <w:abstractNumId w:val="24"/>
  </w:num>
  <w:num w:numId="30">
    <w:abstractNumId w:val="39"/>
  </w:num>
  <w:num w:numId="31">
    <w:abstractNumId w:val="5"/>
  </w:num>
  <w:num w:numId="32">
    <w:abstractNumId w:val="38"/>
  </w:num>
  <w:num w:numId="33">
    <w:abstractNumId w:val="33"/>
  </w:num>
  <w:num w:numId="34">
    <w:abstractNumId w:val="37"/>
  </w:num>
  <w:num w:numId="35">
    <w:abstractNumId w:val="15"/>
  </w:num>
  <w:num w:numId="36">
    <w:abstractNumId w:val="17"/>
  </w:num>
  <w:num w:numId="37">
    <w:abstractNumId w:val="31"/>
  </w:num>
  <w:num w:numId="38">
    <w:abstractNumId w:val="9"/>
  </w:num>
  <w:num w:numId="39">
    <w:abstractNumId w:val="19"/>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04D5A"/>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5649D"/>
    <w:rsid w:val="007A2185"/>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B3B9C"/>
    <w:rsid w:val="00BF2600"/>
    <w:rsid w:val="00C0049F"/>
    <w:rsid w:val="00C07B84"/>
    <w:rsid w:val="00C33464"/>
    <w:rsid w:val="00C40420"/>
    <w:rsid w:val="00C809A7"/>
    <w:rsid w:val="00C83063"/>
    <w:rsid w:val="00C87E90"/>
    <w:rsid w:val="00CA1B57"/>
    <w:rsid w:val="00CF751E"/>
    <w:rsid w:val="00CF77F7"/>
    <w:rsid w:val="00D86297"/>
    <w:rsid w:val="00DD466D"/>
    <w:rsid w:val="00E95210"/>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2711</Words>
  <Characters>15454</Characters>
  <Application>Microsoft Office Word</Application>
  <DocSecurity>0</DocSecurity>
  <Lines>128</Lines>
  <Paragraphs>36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2023-05-29T16:07:00Z</dcterms:created>
  <dcterms:modified xsi:type="dcterms:W3CDTF">2023-05-29T16:07:00Z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