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402B04A6" w:rsidR="00DB32D3" w:rsidRDefault="00DD466D" w:rsidP="005726E3">
      <w:pPr>
        <w:pStyle w:val="Heading1"/>
      </w:pPr>
      <w:r>
        <w:t>1.ИМЕ НА ЛЕКАРСТВЕНИЯ ПРОДУКТ</w:t>
      </w:r>
    </w:p>
    <w:p w14:paraId="4D5E19B0" w14:textId="2E0C566C" w:rsidR="00563A21" w:rsidRDefault="00563A21" w:rsidP="00563A21"/>
    <w:p w14:paraId="4273B384" w14:textId="77777777" w:rsidR="00563A21" w:rsidRPr="00563A21" w:rsidRDefault="00563A21" w:rsidP="00563A21">
      <w:pPr>
        <w:rPr>
          <w:sz w:val="24"/>
          <w:szCs w:val="24"/>
        </w:rPr>
      </w:pPr>
      <w:r w:rsidRPr="00563A21">
        <w:rPr>
          <w:lang w:eastAsia="bg-BG"/>
        </w:rPr>
        <w:t xml:space="preserve">Сотагамма 80 </w:t>
      </w:r>
      <w:r w:rsidRPr="00563A21">
        <w:rPr>
          <w:lang w:val="en-US"/>
        </w:rPr>
        <w:t>mg</w:t>
      </w:r>
      <w:r w:rsidRPr="00563A21">
        <w:t xml:space="preserve"> </w:t>
      </w:r>
      <w:r w:rsidRPr="00563A21">
        <w:rPr>
          <w:lang w:eastAsia="bg-BG"/>
        </w:rPr>
        <w:t>таблетки</w:t>
      </w:r>
    </w:p>
    <w:p w14:paraId="2A5C2CC6" w14:textId="6BBA9828" w:rsidR="00563A21" w:rsidRPr="00563A21" w:rsidRDefault="00563A21" w:rsidP="00563A21">
      <w:proofErr w:type="spellStart"/>
      <w:r w:rsidRPr="00563A21">
        <w:rPr>
          <w:lang w:val="en-US"/>
        </w:rPr>
        <w:t>Sotagamma</w:t>
      </w:r>
      <w:proofErr w:type="spellEnd"/>
      <w:r w:rsidRPr="00563A21">
        <w:t xml:space="preserve"> </w:t>
      </w:r>
      <w:r w:rsidRPr="00563A21">
        <w:rPr>
          <w:lang w:eastAsia="bg-BG"/>
        </w:rPr>
        <w:t xml:space="preserve">80 </w:t>
      </w:r>
      <w:r w:rsidRPr="00563A21">
        <w:rPr>
          <w:lang w:val="en-US"/>
        </w:rPr>
        <w:t>mg</w:t>
      </w:r>
      <w:r w:rsidRPr="00563A21">
        <w:t xml:space="preserve"> </w:t>
      </w:r>
      <w:r w:rsidRPr="00563A21">
        <w:rPr>
          <w:lang w:val="en-US"/>
        </w:rPr>
        <w:t>tablets</w:t>
      </w:r>
    </w:p>
    <w:p w14:paraId="48E6CABE" w14:textId="706C2220" w:rsidR="00DB32D3" w:rsidRDefault="00DD466D" w:rsidP="005726E3">
      <w:pPr>
        <w:pStyle w:val="Heading1"/>
      </w:pPr>
      <w:r>
        <w:t>2. КАЧЕСТВЕН И КОЛИЧЕСТВЕН СЪСТАВ</w:t>
      </w:r>
    </w:p>
    <w:p w14:paraId="7F661F88" w14:textId="0BD492A1" w:rsidR="00563A21" w:rsidRDefault="00563A21" w:rsidP="00563A21"/>
    <w:p w14:paraId="484C78F3" w14:textId="77777777" w:rsidR="00563A21" w:rsidRPr="00563A21" w:rsidRDefault="00563A21" w:rsidP="00563A21">
      <w:pPr>
        <w:rPr>
          <w:sz w:val="24"/>
          <w:szCs w:val="24"/>
        </w:rPr>
      </w:pPr>
      <w:r w:rsidRPr="00563A21">
        <w:rPr>
          <w:lang w:eastAsia="bg-BG"/>
        </w:rPr>
        <w:t xml:space="preserve">Една таблетка Сотагамма 80 </w:t>
      </w:r>
      <w:r w:rsidRPr="00563A21">
        <w:rPr>
          <w:lang w:val="en-US"/>
        </w:rPr>
        <w:t>mg</w:t>
      </w:r>
      <w:r w:rsidRPr="00563A21">
        <w:rPr>
          <w:lang w:val="ru-RU"/>
        </w:rPr>
        <w:t xml:space="preserve"> </w:t>
      </w:r>
      <w:r w:rsidRPr="00563A21">
        <w:rPr>
          <w:lang w:eastAsia="bg-BG"/>
        </w:rPr>
        <w:t>съдържа:</w:t>
      </w:r>
    </w:p>
    <w:p w14:paraId="7509E574" w14:textId="38C8D7D9" w:rsidR="00563A21" w:rsidRPr="00563A21" w:rsidRDefault="00563A21" w:rsidP="00563A21">
      <w:r w:rsidRPr="00563A21">
        <w:rPr>
          <w:lang w:eastAsia="bg-BG"/>
        </w:rPr>
        <w:t xml:space="preserve">Активно вещество: 80 </w:t>
      </w:r>
      <w:r w:rsidRPr="00563A21">
        <w:rPr>
          <w:lang w:val="en-US"/>
        </w:rPr>
        <w:t>mg</w:t>
      </w:r>
      <w:r w:rsidRPr="00563A21">
        <w:t xml:space="preserve"> </w:t>
      </w:r>
      <w:r w:rsidRPr="00563A21">
        <w:rPr>
          <w:lang w:eastAsia="bg-BG"/>
        </w:rPr>
        <w:t xml:space="preserve">Соталол хидрохлорид </w:t>
      </w:r>
      <w:r w:rsidRPr="00563A21">
        <w:rPr>
          <w:i/>
          <w:iCs/>
        </w:rPr>
        <w:t>(</w:t>
      </w:r>
      <w:proofErr w:type="spellStart"/>
      <w:r w:rsidRPr="00563A21">
        <w:rPr>
          <w:i/>
          <w:iCs/>
          <w:lang w:val="en-US"/>
        </w:rPr>
        <w:t>Sotalol</w:t>
      </w:r>
      <w:proofErr w:type="spellEnd"/>
      <w:r w:rsidRPr="00563A21">
        <w:rPr>
          <w:i/>
          <w:iCs/>
        </w:rPr>
        <w:t xml:space="preserve"> </w:t>
      </w:r>
      <w:r w:rsidRPr="00563A21">
        <w:rPr>
          <w:i/>
          <w:iCs/>
          <w:lang w:val="en-US"/>
        </w:rPr>
        <w:t>hydrochloride</w:t>
      </w:r>
      <w:r w:rsidRPr="00563A21">
        <w:rPr>
          <w:i/>
          <w:iCs/>
        </w:rPr>
        <w:t>).</w:t>
      </w:r>
    </w:p>
    <w:p w14:paraId="614984C4" w14:textId="0C0D63F2" w:rsidR="008A6AF2" w:rsidRDefault="00DD466D" w:rsidP="002C50EE">
      <w:pPr>
        <w:pStyle w:val="Heading1"/>
      </w:pPr>
      <w:r>
        <w:t>3. ЛЕКАРСТВЕНА ФОРМА</w:t>
      </w:r>
    </w:p>
    <w:p w14:paraId="78BFF2A8" w14:textId="76CD1CA0" w:rsidR="00563A21" w:rsidRDefault="00563A21" w:rsidP="00563A21"/>
    <w:p w14:paraId="35D0213C" w14:textId="26FE5D37" w:rsidR="00563A21" w:rsidRPr="00563A21" w:rsidRDefault="00563A21" w:rsidP="00563A21">
      <w:r>
        <w:t>Таблетка</w:t>
      </w:r>
    </w:p>
    <w:p w14:paraId="490FC2C4" w14:textId="6899DE43" w:rsidR="002C50EE" w:rsidRDefault="002C50EE" w:rsidP="002C50EE">
      <w:pPr>
        <w:pStyle w:val="Heading1"/>
      </w:pPr>
      <w:r>
        <w:t>4. КЛИНИЧНИ ДАННИ</w:t>
      </w:r>
    </w:p>
    <w:p w14:paraId="0771830A" w14:textId="074ABC55" w:rsidR="00DB32D3" w:rsidRDefault="002C50EE" w:rsidP="005726E3">
      <w:pPr>
        <w:pStyle w:val="Heading2"/>
      </w:pPr>
      <w:r>
        <w:t>4.1. Терапевтични показания</w:t>
      </w:r>
    </w:p>
    <w:p w14:paraId="5927C8F1" w14:textId="6654AB00" w:rsidR="00563A21" w:rsidRDefault="00563A21" w:rsidP="00563A21"/>
    <w:p w14:paraId="413886E3" w14:textId="77777777" w:rsidR="00563A21" w:rsidRPr="00563A21" w:rsidRDefault="00563A21" w:rsidP="00563A21">
      <w:pPr>
        <w:pStyle w:val="ListParagraph"/>
        <w:numPr>
          <w:ilvl w:val="0"/>
          <w:numId w:val="37"/>
        </w:numPr>
        <w:spacing w:line="240" w:lineRule="auto"/>
        <w:rPr>
          <w:rFonts w:eastAsia="Times New Roman" w:cs="Arial"/>
          <w:color w:val="000000"/>
          <w:szCs w:val="20"/>
          <w:lang w:eastAsia="bg-BG"/>
        </w:rPr>
      </w:pPr>
      <w:r w:rsidRPr="00563A21">
        <w:rPr>
          <w:rFonts w:eastAsia="Times New Roman" w:cs="Arial"/>
          <w:color w:val="000000"/>
          <w:szCs w:val="20"/>
          <w:lang w:eastAsia="bg-BG"/>
        </w:rPr>
        <w:t>Тежки симптоматични тахикардни камерни ритьмни нарушения;</w:t>
      </w:r>
    </w:p>
    <w:p w14:paraId="58264DB3" w14:textId="6636859F" w:rsidR="00563A21" w:rsidRPr="00563A21" w:rsidRDefault="00563A21" w:rsidP="00563A21">
      <w:pPr>
        <w:pStyle w:val="ListParagraph"/>
        <w:numPr>
          <w:ilvl w:val="0"/>
          <w:numId w:val="37"/>
        </w:numPr>
        <w:spacing w:line="240" w:lineRule="auto"/>
        <w:rPr>
          <w:rFonts w:eastAsia="Times New Roman" w:cs="Arial"/>
          <w:color w:val="000000"/>
          <w:szCs w:val="20"/>
          <w:lang w:eastAsia="bg-BG"/>
        </w:rPr>
      </w:pPr>
      <w:r w:rsidRPr="00563A21">
        <w:rPr>
          <w:rFonts w:eastAsia="Times New Roman" w:cs="Arial"/>
          <w:color w:val="000000"/>
          <w:szCs w:val="20"/>
          <w:lang w:eastAsia="bg-BG"/>
        </w:rPr>
        <w:t>Симптоматични тахикардни надкамерни ритьмни нарушения, изискващи лечение, като</w:t>
      </w:r>
      <w:r w:rsidRPr="00563A21">
        <w:rPr>
          <w:rFonts w:eastAsia="Times New Roman" w:cs="Arial"/>
          <w:color w:val="000000"/>
          <w:szCs w:val="20"/>
          <w:lang w:val="ru-RU" w:eastAsia="bg-BG"/>
        </w:rPr>
        <w:t>:</w:t>
      </w:r>
    </w:p>
    <w:p w14:paraId="2A6C9456" w14:textId="77777777" w:rsidR="00563A21" w:rsidRPr="00563A21" w:rsidRDefault="00563A21" w:rsidP="00563A21">
      <w:pPr>
        <w:pStyle w:val="ListParagraph"/>
        <w:numPr>
          <w:ilvl w:val="0"/>
          <w:numId w:val="38"/>
        </w:numPr>
        <w:spacing w:line="240" w:lineRule="auto"/>
        <w:rPr>
          <w:rFonts w:eastAsia="Times New Roman" w:cs="Arial"/>
          <w:color w:val="000000"/>
          <w:szCs w:val="20"/>
          <w:lang w:eastAsia="bg-BG"/>
        </w:rPr>
      </w:pPr>
      <w:r w:rsidRPr="00563A21">
        <w:rPr>
          <w:rFonts w:eastAsia="Times New Roman" w:cs="Arial"/>
          <w:color w:val="000000"/>
          <w:szCs w:val="20"/>
          <w:lang w:eastAsia="bg-BG"/>
        </w:rPr>
        <w:t>Профилактика на хронично предсърдно мъждене след електрошококова терапия</w:t>
      </w:r>
    </w:p>
    <w:p w14:paraId="5A4F1D81" w14:textId="30B1A751" w:rsidR="00563A21" w:rsidRPr="00563A21" w:rsidRDefault="00563A21" w:rsidP="00563A21">
      <w:pPr>
        <w:pStyle w:val="ListParagraph"/>
        <w:numPr>
          <w:ilvl w:val="0"/>
          <w:numId w:val="38"/>
        </w:numPr>
        <w:spacing w:line="240" w:lineRule="auto"/>
        <w:rPr>
          <w:rFonts w:eastAsia="Times New Roman" w:cs="Arial"/>
          <w:color w:val="000000"/>
          <w:szCs w:val="20"/>
          <w:lang w:eastAsia="bg-BG"/>
        </w:rPr>
      </w:pPr>
      <w:r w:rsidRPr="00563A21">
        <w:rPr>
          <w:rFonts w:eastAsia="Times New Roman" w:cs="Arial"/>
          <w:color w:val="000000"/>
          <w:szCs w:val="20"/>
          <w:lang w:eastAsia="bg-BG"/>
        </w:rPr>
        <w:t>Профилактика на пароксизмално предсърдно мъждене.</w:t>
      </w:r>
    </w:p>
    <w:p w14:paraId="59311CF4" w14:textId="77777777" w:rsidR="00563A21" w:rsidRPr="00563A21" w:rsidRDefault="00563A21" w:rsidP="00563A21"/>
    <w:p w14:paraId="7647A102" w14:textId="6B09AA55" w:rsidR="00DB32D3" w:rsidRDefault="002C50EE" w:rsidP="005726E3">
      <w:pPr>
        <w:pStyle w:val="Heading2"/>
      </w:pPr>
      <w:r>
        <w:t>4.2. Дозировка и начин на приложение</w:t>
      </w:r>
    </w:p>
    <w:p w14:paraId="6CD87C9B" w14:textId="48313EB8" w:rsidR="00563A21" w:rsidRDefault="00563A21" w:rsidP="00563A21"/>
    <w:p w14:paraId="66C95E74"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u w:val="single"/>
          <w:lang w:eastAsia="bg-BG"/>
        </w:rPr>
        <w:t>Дозировка с единични и дневни дози</w:t>
      </w:r>
    </w:p>
    <w:p w14:paraId="56396F8A"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Назначаването на антиаритмичен лекарствен продукт изисква грижливо кардиологично наблюдение и може да се извърши само при наличието на кардиологично оборудване за спешни случаи и възможност за мониториране. По време на лечението трябва да се провеждат редовни контролни изследвания (например стандартна ЕКГ веднъж месечно и дълъг ЕКГ-запис). Преценка на назначеното лечение трябва да се направи при влошаване на някои параметри:</w:t>
      </w:r>
    </w:p>
    <w:p w14:paraId="68872DB8" w14:textId="77777777" w:rsidR="00563A21" w:rsidRPr="00563A21" w:rsidRDefault="00563A21" w:rsidP="00563A21">
      <w:pPr>
        <w:pStyle w:val="ListParagraph"/>
        <w:numPr>
          <w:ilvl w:val="0"/>
          <w:numId w:val="38"/>
        </w:numPr>
        <w:spacing w:line="240" w:lineRule="auto"/>
        <w:rPr>
          <w:rFonts w:eastAsia="Times New Roman" w:cs="Arial"/>
          <w:sz w:val="28"/>
          <w:szCs w:val="24"/>
        </w:rPr>
      </w:pPr>
      <w:r w:rsidRPr="00563A21">
        <w:rPr>
          <w:rFonts w:eastAsia="Times New Roman" w:cs="Arial"/>
          <w:color w:val="000000"/>
          <w:szCs w:val="20"/>
          <w:lang w:eastAsia="bg-BG"/>
        </w:rPr>
        <w:t xml:space="preserve">напр. удължаване на </w:t>
      </w:r>
      <w:r w:rsidRPr="00563A21">
        <w:rPr>
          <w:rFonts w:eastAsia="Times New Roman" w:cs="Arial"/>
          <w:color w:val="000000"/>
          <w:szCs w:val="20"/>
          <w:lang w:val="en-US"/>
        </w:rPr>
        <w:t>QRS</w:t>
      </w:r>
      <w:r w:rsidRPr="00563A21">
        <w:rPr>
          <w:rFonts w:eastAsia="Times New Roman" w:cs="Arial"/>
          <w:color w:val="000000"/>
          <w:szCs w:val="20"/>
          <w:lang w:eastAsia="bg-BG"/>
        </w:rPr>
        <w:t xml:space="preserve">-времето, съответно на </w:t>
      </w:r>
      <w:r w:rsidRPr="00563A21">
        <w:rPr>
          <w:rFonts w:eastAsia="Times New Roman" w:cs="Arial"/>
          <w:color w:val="000000"/>
          <w:szCs w:val="20"/>
          <w:lang w:val="en-US"/>
        </w:rPr>
        <w:t>QT</w:t>
      </w:r>
      <w:r w:rsidRPr="00563A21">
        <w:rPr>
          <w:rFonts w:eastAsia="Times New Roman" w:cs="Arial"/>
          <w:color w:val="000000"/>
          <w:szCs w:val="20"/>
          <w:lang w:eastAsia="bg-BG"/>
        </w:rPr>
        <w:t>-времето с повече от 25% или</w:t>
      </w:r>
    </w:p>
    <w:p w14:paraId="21C374B8" w14:textId="77777777" w:rsidR="00563A21" w:rsidRPr="00563A21" w:rsidRDefault="00563A21" w:rsidP="00563A21">
      <w:pPr>
        <w:pStyle w:val="ListParagraph"/>
        <w:numPr>
          <w:ilvl w:val="0"/>
          <w:numId w:val="38"/>
        </w:numPr>
        <w:spacing w:line="240" w:lineRule="auto"/>
        <w:rPr>
          <w:rFonts w:eastAsia="Times New Roman" w:cs="Arial"/>
          <w:sz w:val="28"/>
          <w:szCs w:val="24"/>
        </w:rPr>
      </w:pPr>
      <w:r w:rsidRPr="00563A21">
        <w:rPr>
          <w:rFonts w:eastAsia="Times New Roman" w:cs="Arial"/>
          <w:color w:val="000000"/>
          <w:szCs w:val="20"/>
          <w:lang w:eastAsia="bg-BG"/>
        </w:rPr>
        <w:t xml:space="preserve">на </w:t>
      </w:r>
      <w:r w:rsidRPr="00563A21">
        <w:rPr>
          <w:rFonts w:eastAsia="Times New Roman" w:cs="Arial"/>
          <w:color w:val="000000"/>
          <w:szCs w:val="20"/>
          <w:lang w:val="en-US"/>
        </w:rPr>
        <w:t>PQ</w:t>
      </w:r>
      <w:r w:rsidRPr="00563A21">
        <w:rPr>
          <w:rFonts w:eastAsia="Times New Roman" w:cs="Arial"/>
          <w:color w:val="000000"/>
          <w:szCs w:val="20"/>
          <w:lang w:eastAsia="bg-BG"/>
        </w:rPr>
        <w:t>-времето с повече от 50 %,</w:t>
      </w:r>
    </w:p>
    <w:p w14:paraId="1A8C3FAF" w14:textId="77777777" w:rsidR="00563A21" w:rsidRPr="00563A21" w:rsidRDefault="00563A21" w:rsidP="00563A21">
      <w:pPr>
        <w:pStyle w:val="ListParagraph"/>
        <w:numPr>
          <w:ilvl w:val="0"/>
          <w:numId w:val="38"/>
        </w:numPr>
        <w:spacing w:line="240" w:lineRule="auto"/>
        <w:rPr>
          <w:rFonts w:eastAsia="Times New Roman" w:cs="Arial"/>
          <w:sz w:val="28"/>
          <w:szCs w:val="24"/>
        </w:rPr>
      </w:pPr>
      <w:r w:rsidRPr="00563A21">
        <w:rPr>
          <w:rFonts w:eastAsia="Times New Roman" w:cs="Arial"/>
          <w:color w:val="000000"/>
          <w:szCs w:val="20"/>
          <w:lang w:eastAsia="bg-BG"/>
        </w:rPr>
        <w:t xml:space="preserve">удължаване на </w:t>
      </w:r>
      <w:r w:rsidRPr="00563A21">
        <w:rPr>
          <w:rFonts w:eastAsia="Times New Roman" w:cs="Arial"/>
          <w:color w:val="000000"/>
          <w:szCs w:val="20"/>
          <w:lang w:val="en-US"/>
        </w:rPr>
        <w:t>QT</w:t>
      </w:r>
      <w:r w:rsidRPr="00563A21">
        <w:rPr>
          <w:rFonts w:eastAsia="Times New Roman" w:cs="Arial"/>
          <w:color w:val="000000"/>
          <w:szCs w:val="20"/>
          <w:lang w:val="ru-RU"/>
        </w:rPr>
        <w:t>-</w:t>
      </w:r>
      <w:r w:rsidRPr="00563A21">
        <w:rPr>
          <w:rFonts w:eastAsia="Times New Roman" w:cs="Arial"/>
          <w:color w:val="000000"/>
          <w:szCs w:val="20"/>
          <w:lang w:eastAsia="bg-BG"/>
        </w:rPr>
        <w:t xml:space="preserve">интервал а на повече от 500 </w:t>
      </w:r>
      <w:proofErr w:type="spellStart"/>
      <w:r w:rsidRPr="00563A21">
        <w:rPr>
          <w:rFonts w:eastAsia="Times New Roman" w:cs="Arial"/>
          <w:color w:val="000000"/>
          <w:szCs w:val="20"/>
          <w:lang w:val="en-US"/>
        </w:rPr>
        <w:t>ms</w:t>
      </w:r>
      <w:proofErr w:type="spellEnd"/>
      <w:r w:rsidRPr="00563A21">
        <w:rPr>
          <w:rFonts w:eastAsia="Times New Roman" w:cs="Arial"/>
          <w:color w:val="000000"/>
          <w:szCs w:val="20"/>
          <w:lang w:val="ru-RU"/>
        </w:rPr>
        <w:t xml:space="preserve"> </w:t>
      </w:r>
      <w:r w:rsidRPr="00563A21">
        <w:rPr>
          <w:rFonts w:eastAsia="Times New Roman" w:cs="Arial"/>
          <w:color w:val="000000"/>
          <w:szCs w:val="20"/>
          <w:lang w:eastAsia="bg-BG"/>
        </w:rPr>
        <w:t>или</w:t>
      </w:r>
    </w:p>
    <w:p w14:paraId="10374F26" w14:textId="72D2C2E8" w:rsidR="00563A21" w:rsidRPr="00563A21" w:rsidRDefault="00563A21" w:rsidP="00563A21">
      <w:pPr>
        <w:pStyle w:val="ListParagraph"/>
        <w:numPr>
          <w:ilvl w:val="0"/>
          <w:numId w:val="38"/>
        </w:numPr>
        <w:spacing w:line="240" w:lineRule="auto"/>
        <w:rPr>
          <w:rFonts w:eastAsia="Times New Roman" w:cs="Arial"/>
          <w:sz w:val="28"/>
          <w:szCs w:val="24"/>
        </w:rPr>
      </w:pPr>
      <w:r w:rsidRPr="00563A21">
        <w:rPr>
          <w:rFonts w:eastAsia="Times New Roman" w:cs="Arial"/>
          <w:color w:val="000000"/>
          <w:szCs w:val="20"/>
          <w:lang w:eastAsia="bg-BG"/>
        </w:rPr>
        <w:t>нарастване на броя или на тежестта на ритъмните нарушения.</w:t>
      </w:r>
    </w:p>
    <w:p w14:paraId="22D0200A" w14:textId="77777777" w:rsidR="00563A21" w:rsidRPr="00563A21" w:rsidRDefault="00563A21" w:rsidP="00563A21">
      <w:pPr>
        <w:spacing w:line="240" w:lineRule="auto"/>
        <w:rPr>
          <w:rFonts w:eastAsia="Times New Roman" w:cs="Arial"/>
          <w:i/>
          <w:iCs/>
          <w:color w:val="000000"/>
          <w:szCs w:val="20"/>
          <w:lang w:eastAsia="bg-BG"/>
        </w:rPr>
      </w:pPr>
    </w:p>
    <w:p w14:paraId="34E42039" w14:textId="72BB9F03" w:rsidR="00563A21" w:rsidRPr="00563A21" w:rsidRDefault="00563A21" w:rsidP="00563A21">
      <w:pPr>
        <w:spacing w:line="240" w:lineRule="auto"/>
        <w:rPr>
          <w:rFonts w:eastAsia="Times New Roman" w:cs="Arial"/>
          <w:sz w:val="28"/>
          <w:szCs w:val="24"/>
        </w:rPr>
      </w:pPr>
      <w:r w:rsidRPr="00563A21">
        <w:rPr>
          <w:rFonts w:eastAsia="Times New Roman" w:cs="Arial"/>
          <w:i/>
          <w:iCs/>
          <w:color w:val="000000"/>
          <w:szCs w:val="20"/>
          <w:lang w:eastAsia="bg-BG"/>
        </w:rPr>
        <w:t>Тежки симптоматични тахикардни камерни ритьмни нарушения</w:t>
      </w:r>
    </w:p>
    <w:p w14:paraId="2EB5061F"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 xml:space="preserve">В началото на терапията - 2 пъти дневно по 80 </w:t>
      </w:r>
      <w:r w:rsidRPr="00563A21">
        <w:rPr>
          <w:rFonts w:eastAsia="Times New Roman" w:cs="Arial"/>
          <w:color w:val="000000"/>
          <w:szCs w:val="20"/>
          <w:lang w:val="en-US"/>
        </w:rPr>
        <w:t>mg</w:t>
      </w:r>
      <w:r w:rsidRPr="00563A21">
        <w:rPr>
          <w:rFonts w:eastAsia="Times New Roman" w:cs="Arial"/>
          <w:color w:val="000000"/>
          <w:szCs w:val="20"/>
          <w:lang w:val="ru-RU"/>
        </w:rPr>
        <w:t xml:space="preserve">. </w:t>
      </w:r>
      <w:r w:rsidRPr="00563A21">
        <w:rPr>
          <w:rFonts w:eastAsia="Times New Roman" w:cs="Arial"/>
          <w:color w:val="000000"/>
          <w:szCs w:val="20"/>
          <w:lang w:eastAsia="bg-BG"/>
        </w:rPr>
        <w:t xml:space="preserve">Ако ефектът не е достатъчен, дозата може да се увеличи на три пъти дневно по 80 </w:t>
      </w:r>
      <w:r w:rsidRPr="00563A21">
        <w:rPr>
          <w:rFonts w:eastAsia="Times New Roman" w:cs="Arial"/>
          <w:color w:val="000000"/>
          <w:szCs w:val="20"/>
          <w:lang w:val="en-US"/>
        </w:rPr>
        <w:t>mg</w:t>
      </w:r>
      <w:r w:rsidRPr="00563A21">
        <w:rPr>
          <w:rFonts w:eastAsia="Times New Roman" w:cs="Arial"/>
          <w:color w:val="000000"/>
          <w:szCs w:val="20"/>
          <w:lang w:val="ru-RU"/>
        </w:rPr>
        <w:t xml:space="preserve"> </w:t>
      </w:r>
      <w:r w:rsidRPr="00563A21">
        <w:rPr>
          <w:rFonts w:eastAsia="Times New Roman" w:cs="Arial"/>
          <w:color w:val="000000"/>
          <w:szCs w:val="20"/>
          <w:lang w:eastAsia="bg-BG"/>
        </w:rPr>
        <w:t xml:space="preserve">или на два пъти дневно по 160 </w:t>
      </w:r>
      <w:r w:rsidRPr="00563A21">
        <w:rPr>
          <w:rFonts w:eastAsia="Times New Roman" w:cs="Arial"/>
          <w:color w:val="000000"/>
          <w:szCs w:val="20"/>
          <w:lang w:val="en-US"/>
        </w:rPr>
        <w:t>mg</w:t>
      </w:r>
      <w:r w:rsidRPr="00563A21">
        <w:rPr>
          <w:rFonts w:eastAsia="Times New Roman" w:cs="Arial"/>
          <w:color w:val="000000"/>
          <w:szCs w:val="20"/>
          <w:lang w:val="ru-RU"/>
        </w:rPr>
        <w:t>.</w:t>
      </w:r>
    </w:p>
    <w:p w14:paraId="71B89DD0"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lastRenderedPageBreak/>
        <w:t xml:space="preserve">При животозастрашаващи аритмии дозата може да се увеличи до 480 </w:t>
      </w:r>
      <w:r w:rsidRPr="00563A21">
        <w:rPr>
          <w:rFonts w:eastAsia="Times New Roman" w:cs="Arial"/>
          <w:color w:val="000000"/>
          <w:szCs w:val="20"/>
          <w:lang w:val="en-US"/>
        </w:rPr>
        <w:t>mg</w:t>
      </w:r>
      <w:r w:rsidRPr="00563A21">
        <w:rPr>
          <w:rFonts w:eastAsia="Times New Roman" w:cs="Arial"/>
          <w:color w:val="000000"/>
          <w:szCs w:val="20"/>
          <w:lang w:eastAsia="bg-BG"/>
        </w:rPr>
        <w:t>/дневно соталол хидрохлорид, разделени в два или три приема. В този случай, увеличаване на дозата може да бъде предприето, ако потенциалната полза е по-голяма от увеличения риск от възможни тежки нежелани действия (особено проаритмично действие).</w:t>
      </w:r>
    </w:p>
    <w:p w14:paraId="528B2A80" w14:textId="00983BEA"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Дозата трябва да се увеличава след интервал не по-малък от 2 - 3 дни.</w:t>
      </w:r>
    </w:p>
    <w:p w14:paraId="6CAE72F9" w14:textId="77777777" w:rsidR="00563A21" w:rsidRPr="00563A21" w:rsidRDefault="00563A21" w:rsidP="00563A21">
      <w:pPr>
        <w:spacing w:line="240" w:lineRule="auto"/>
        <w:rPr>
          <w:rFonts w:eastAsia="Times New Roman" w:cs="Arial"/>
          <w:i/>
          <w:iCs/>
          <w:color w:val="000000"/>
          <w:szCs w:val="20"/>
          <w:lang w:eastAsia="bg-BG"/>
        </w:rPr>
      </w:pPr>
    </w:p>
    <w:p w14:paraId="3FEA46BE" w14:textId="2569F37B" w:rsidR="00563A21" w:rsidRPr="00563A21" w:rsidRDefault="00563A21" w:rsidP="00563A21">
      <w:pPr>
        <w:spacing w:line="240" w:lineRule="auto"/>
        <w:rPr>
          <w:rFonts w:eastAsia="Times New Roman" w:cs="Arial"/>
          <w:sz w:val="28"/>
          <w:szCs w:val="24"/>
        </w:rPr>
      </w:pPr>
      <w:r w:rsidRPr="00563A21">
        <w:rPr>
          <w:rFonts w:eastAsia="Times New Roman" w:cs="Arial"/>
          <w:i/>
          <w:iCs/>
          <w:color w:val="000000"/>
          <w:szCs w:val="20"/>
          <w:lang w:eastAsia="bg-BG"/>
        </w:rPr>
        <w:t>Предсърдно мъждене:</w:t>
      </w:r>
    </w:p>
    <w:p w14:paraId="19A8C37D"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 xml:space="preserve">В началото на терапията - 2 пъти дневно по 80 </w:t>
      </w:r>
      <w:r w:rsidRPr="00563A21">
        <w:rPr>
          <w:rFonts w:eastAsia="Times New Roman" w:cs="Arial"/>
          <w:color w:val="000000"/>
          <w:szCs w:val="20"/>
          <w:lang w:val="en-US"/>
        </w:rPr>
        <w:t>mg</w:t>
      </w:r>
      <w:r w:rsidRPr="00563A21">
        <w:rPr>
          <w:rFonts w:eastAsia="Times New Roman" w:cs="Arial"/>
          <w:color w:val="000000"/>
          <w:szCs w:val="20"/>
          <w:lang w:val="ru-RU"/>
        </w:rPr>
        <w:t xml:space="preserve">. </w:t>
      </w:r>
      <w:r w:rsidRPr="00563A21">
        <w:rPr>
          <w:rFonts w:eastAsia="Times New Roman" w:cs="Arial"/>
          <w:color w:val="000000"/>
          <w:szCs w:val="20"/>
          <w:lang w:eastAsia="bg-BG"/>
        </w:rPr>
        <w:t>Ако ефектът не е достатъчен, дозата може да се</w:t>
      </w:r>
      <w:r w:rsidRPr="00563A21">
        <w:rPr>
          <w:rFonts w:eastAsia="Times New Roman" w:cs="Arial"/>
          <w:color w:val="000000"/>
          <w:szCs w:val="20"/>
          <w:vertAlign w:val="superscript"/>
          <w:lang w:eastAsia="bg-BG"/>
        </w:rPr>
        <w:t xml:space="preserve"> </w:t>
      </w:r>
      <w:r w:rsidRPr="00563A21">
        <w:rPr>
          <w:rFonts w:eastAsia="Times New Roman" w:cs="Arial"/>
          <w:color w:val="000000"/>
          <w:szCs w:val="20"/>
          <w:lang w:eastAsia="bg-BG"/>
        </w:rPr>
        <w:t xml:space="preserve">увеличи до три пъти дневно по 80 </w:t>
      </w:r>
      <w:r w:rsidRPr="00563A21">
        <w:rPr>
          <w:rFonts w:eastAsia="Times New Roman" w:cs="Arial"/>
          <w:color w:val="000000"/>
          <w:szCs w:val="20"/>
          <w:lang w:val="en-US"/>
        </w:rPr>
        <w:t>mg</w:t>
      </w:r>
      <w:r w:rsidRPr="00563A21">
        <w:rPr>
          <w:rFonts w:eastAsia="Times New Roman" w:cs="Arial"/>
          <w:color w:val="000000"/>
          <w:szCs w:val="20"/>
          <w:lang w:val="ru-RU"/>
        </w:rPr>
        <w:t xml:space="preserve">. </w:t>
      </w:r>
      <w:r w:rsidRPr="00563A21">
        <w:rPr>
          <w:rFonts w:eastAsia="Times New Roman" w:cs="Arial"/>
          <w:color w:val="000000"/>
          <w:szCs w:val="20"/>
          <w:lang w:eastAsia="bg-BG"/>
        </w:rPr>
        <w:t xml:space="preserve">При </w:t>
      </w:r>
      <w:r w:rsidRPr="00563A21">
        <w:rPr>
          <w:rFonts w:eastAsia="Times New Roman" w:cs="Arial"/>
          <w:color w:val="000000"/>
          <w:szCs w:val="20"/>
          <w:u w:val="single"/>
          <w:lang w:eastAsia="bg-BG"/>
        </w:rPr>
        <w:t>пароксизмално предсърдно</w:t>
      </w:r>
      <w:r w:rsidRPr="00563A21">
        <w:rPr>
          <w:rFonts w:eastAsia="Times New Roman" w:cs="Arial"/>
          <w:color w:val="000000"/>
          <w:szCs w:val="20"/>
          <w:lang w:eastAsia="bg-BG"/>
        </w:rPr>
        <w:t xml:space="preserve"> мъждене тази доза не трябва да се превишава.</w:t>
      </w:r>
    </w:p>
    <w:p w14:paraId="7A604B6D"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 xml:space="preserve">При пациенти с </w:t>
      </w:r>
      <w:r w:rsidRPr="00563A21">
        <w:rPr>
          <w:rFonts w:eastAsia="Times New Roman" w:cs="Arial"/>
          <w:color w:val="000000"/>
          <w:szCs w:val="20"/>
          <w:u w:val="single"/>
          <w:lang w:eastAsia="bg-BG"/>
        </w:rPr>
        <w:t>хронично предсърдно мъждене</w:t>
      </w:r>
      <w:r w:rsidRPr="00563A21">
        <w:rPr>
          <w:rFonts w:eastAsia="Times New Roman" w:cs="Arial"/>
          <w:color w:val="000000"/>
          <w:szCs w:val="20"/>
          <w:lang w:eastAsia="bg-BG"/>
        </w:rPr>
        <w:t xml:space="preserve"> и недостатъчен ефект, дозировката може да се увеличи най-много до 2 пъти дневно по 160 </w:t>
      </w:r>
      <w:r w:rsidRPr="00563A21">
        <w:rPr>
          <w:rFonts w:eastAsia="Times New Roman" w:cs="Arial"/>
          <w:color w:val="000000"/>
          <w:szCs w:val="20"/>
          <w:lang w:val="en-US"/>
        </w:rPr>
        <w:t>mg</w:t>
      </w:r>
      <w:r w:rsidRPr="00563A21">
        <w:rPr>
          <w:rFonts w:eastAsia="Times New Roman" w:cs="Arial"/>
          <w:color w:val="000000"/>
          <w:szCs w:val="20"/>
          <w:lang w:val="ru-RU"/>
        </w:rPr>
        <w:t>.</w:t>
      </w:r>
    </w:p>
    <w:p w14:paraId="243FEECA" w14:textId="1173EABA" w:rsidR="00563A21" w:rsidRPr="00563A21" w:rsidRDefault="00563A21" w:rsidP="00563A21">
      <w:pPr>
        <w:rPr>
          <w:rFonts w:eastAsia="Times New Roman" w:cs="Arial"/>
          <w:color w:val="000000"/>
          <w:szCs w:val="20"/>
          <w:lang w:eastAsia="bg-BG"/>
        </w:rPr>
      </w:pPr>
      <w:r w:rsidRPr="00563A21">
        <w:rPr>
          <w:rFonts w:eastAsia="Times New Roman" w:cs="Arial"/>
          <w:color w:val="000000"/>
          <w:szCs w:val="20"/>
          <w:lang w:eastAsia="bg-BG"/>
        </w:rPr>
        <w:t>Дозата трябва да се увеличава след интервал не по-малък от 2 - 3 дни.</w:t>
      </w:r>
    </w:p>
    <w:p w14:paraId="2700A65B" w14:textId="5EFAC128" w:rsidR="00563A21" w:rsidRPr="00563A21" w:rsidRDefault="00563A21" w:rsidP="00563A21">
      <w:pPr>
        <w:rPr>
          <w:rFonts w:eastAsia="Times New Roman" w:cs="Arial"/>
          <w:color w:val="000000"/>
          <w:szCs w:val="20"/>
          <w:lang w:eastAsia="bg-BG"/>
        </w:rPr>
      </w:pPr>
    </w:p>
    <w:p w14:paraId="7F482459" w14:textId="77777777" w:rsidR="00563A21" w:rsidRPr="00563A21" w:rsidRDefault="00563A21" w:rsidP="00563A21">
      <w:pPr>
        <w:spacing w:line="240" w:lineRule="auto"/>
        <w:rPr>
          <w:rFonts w:eastAsia="Times New Roman" w:cs="Arial"/>
          <w:sz w:val="28"/>
          <w:szCs w:val="24"/>
        </w:rPr>
      </w:pPr>
      <w:r w:rsidRPr="00563A21">
        <w:rPr>
          <w:rFonts w:eastAsia="Times New Roman" w:cs="Arial"/>
          <w:i/>
          <w:iCs/>
          <w:color w:val="000000"/>
          <w:szCs w:val="20"/>
          <w:lang w:eastAsia="bg-BG"/>
        </w:rPr>
        <w:t>Препоръчителни дозировки при ограничена бъбречна функция</w:t>
      </w:r>
    </w:p>
    <w:p w14:paraId="0DA76990"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При пациенти с нарушена бъбречна функция съществува опасност от акумулация на соталол хидрохлорид при многократен прием. Затова при тях дозата трябва да се съобрази с реналния клирънс, вземайки предвид сърдечната честота (не по-малко от 50 удара/мин) и клиничната ефективност. При тежка бъбречна недостатъчност соталол хидрохлорид се препоръчва само при провеждане на по-чест ЕКГ-контрол, както и проследяване на серумната концентрация.</w:t>
      </w:r>
    </w:p>
    <w:p w14:paraId="6A897D45"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 xml:space="preserve">При намаляване на стойностите на креатининовия клирънс на 10 - 30 </w:t>
      </w:r>
      <w:r w:rsidRPr="00563A21">
        <w:rPr>
          <w:rFonts w:eastAsia="Times New Roman" w:cs="Arial"/>
          <w:color w:val="000000"/>
          <w:szCs w:val="20"/>
          <w:lang w:val="en-US"/>
        </w:rPr>
        <w:t>ml</w:t>
      </w:r>
      <w:r w:rsidRPr="00563A21">
        <w:rPr>
          <w:rFonts w:eastAsia="Times New Roman" w:cs="Arial"/>
          <w:color w:val="000000"/>
          <w:szCs w:val="20"/>
          <w:lang w:val="ru-RU"/>
        </w:rPr>
        <w:t>/</w:t>
      </w:r>
      <w:r w:rsidRPr="00563A21">
        <w:rPr>
          <w:rFonts w:eastAsia="Times New Roman" w:cs="Arial"/>
          <w:color w:val="000000"/>
          <w:szCs w:val="20"/>
          <w:lang w:val="en-US"/>
        </w:rPr>
        <w:t>min</w:t>
      </w:r>
      <w:r w:rsidRPr="00563A21">
        <w:rPr>
          <w:rFonts w:eastAsia="Times New Roman" w:cs="Arial"/>
          <w:color w:val="000000"/>
          <w:szCs w:val="20"/>
          <w:lang w:val="ru-RU"/>
        </w:rPr>
        <w:t xml:space="preserve"> </w:t>
      </w:r>
      <w:r w:rsidRPr="00563A21">
        <w:rPr>
          <w:rFonts w:eastAsia="Times New Roman" w:cs="Arial"/>
          <w:color w:val="000000"/>
          <w:szCs w:val="20"/>
          <w:lang w:eastAsia="bg-BG"/>
        </w:rPr>
        <w:t xml:space="preserve">(серумен креатинин 2 - </w:t>
      </w:r>
      <w:r w:rsidRPr="00563A21">
        <w:rPr>
          <w:rFonts w:eastAsia="Times New Roman" w:cs="Arial"/>
          <w:color w:val="000000"/>
          <w:szCs w:val="20"/>
          <w:lang w:val="ru-RU"/>
        </w:rPr>
        <w:t>5</w:t>
      </w:r>
      <w:r w:rsidRPr="00563A21">
        <w:rPr>
          <w:rFonts w:eastAsia="Times New Roman" w:cs="Arial"/>
          <w:color w:val="000000"/>
          <w:szCs w:val="20"/>
          <w:lang w:val="en-US"/>
        </w:rPr>
        <w:t>mg</w:t>
      </w:r>
      <w:r w:rsidRPr="00563A21">
        <w:rPr>
          <w:rFonts w:eastAsia="Times New Roman" w:cs="Arial"/>
          <w:color w:val="000000"/>
          <w:szCs w:val="20"/>
          <w:lang w:val="ru-RU"/>
        </w:rPr>
        <w:t>/</w:t>
      </w:r>
      <w:r w:rsidRPr="00563A21">
        <w:rPr>
          <w:rFonts w:eastAsia="Times New Roman" w:cs="Arial"/>
          <w:color w:val="000000"/>
          <w:szCs w:val="20"/>
          <w:lang w:val="en-US"/>
        </w:rPr>
        <w:t>dl</w:t>
      </w:r>
      <w:r w:rsidRPr="00563A21">
        <w:rPr>
          <w:rFonts w:eastAsia="Times New Roman" w:cs="Arial"/>
          <w:color w:val="000000"/>
          <w:szCs w:val="20"/>
          <w:lang w:val="ru-RU"/>
        </w:rPr>
        <w:t xml:space="preserve">) </w:t>
      </w:r>
      <w:r w:rsidRPr="00563A21">
        <w:rPr>
          <w:rFonts w:eastAsia="Times New Roman" w:cs="Arial"/>
          <w:color w:val="000000"/>
          <w:szCs w:val="20"/>
          <w:lang w:eastAsia="bg-BG"/>
        </w:rPr>
        <w:t xml:space="preserve">дозата трябва да се намали наполовина, а при стойности под </w:t>
      </w:r>
      <w:r w:rsidRPr="00563A21">
        <w:rPr>
          <w:rFonts w:eastAsia="Times New Roman" w:cs="Arial"/>
          <w:color w:val="000000"/>
          <w:szCs w:val="20"/>
          <w:lang w:val="en-US"/>
        </w:rPr>
        <w:t>l</w:t>
      </w:r>
      <w:r w:rsidRPr="00563A21">
        <w:rPr>
          <w:rFonts w:eastAsia="Times New Roman" w:cs="Arial"/>
          <w:color w:val="000000"/>
          <w:szCs w:val="20"/>
          <w:lang w:val="ru-RU"/>
        </w:rPr>
        <w:t>0</w:t>
      </w:r>
      <w:r w:rsidRPr="00563A21">
        <w:rPr>
          <w:rFonts w:eastAsia="Times New Roman" w:cs="Arial"/>
          <w:color w:val="000000"/>
          <w:szCs w:val="20"/>
          <w:lang w:val="en-US"/>
        </w:rPr>
        <w:t>ml</w:t>
      </w:r>
      <w:r w:rsidRPr="00563A21">
        <w:rPr>
          <w:rFonts w:eastAsia="Times New Roman" w:cs="Arial"/>
          <w:color w:val="000000"/>
          <w:szCs w:val="20"/>
          <w:lang w:val="ru-RU"/>
        </w:rPr>
        <w:t>/</w:t>
      </w:r>
      <w:r w:rsidRPr="00563A21">
        <w:rPr>
          <w:rFonts w:eastAsia="Times New Roman" w:cs="Arial"/>
          <w:color w:val="000000"/>
          <w:szCs w:val="20"/>
          <w:lang w:val="en-US"/>
        </w:rPr>
        <w:t>min</w:t>
      </w:r>
      <w:r w:rsidRPr="00563A21">
        <w:rPr>
          <w:rFonts w:eastAsia="Times New Roman" w:cs="Arial"/>
          <w:color w:val="000000"/>
          <w:szCs w:val="20"/>
          <w:lang w:val="ru-RU"/>
        </w:rPr>
        <w:t xml:space="preserve"> </w:t>
      </w:r>
      <w:r w:rsidRPr="00563A21">
        <w:rPr>
          <w:rFonts w:eastAsia="Times New Roman" w:cs="Arial"/>
          <w:color w:val="000000"/>
          <w:szCs w:val="20"/>
          <w:lang w:eastAsia="bg-BG"/>
        </w:rPr>
        <w:t xml:space="preserve">(серумен креатинин &gt; </w:t>
      </w:r>
      <w:r w:rsidRPr="00563A21">
        <w:rPr>
          <w:rFonts w:eastAsia="Times New Roman" w:cs="Arial"/>
          <w:color w:val="000000"/>
          <w:szCs w:val="20"/>
          <w:lang w:val="ru-RU"/>
        </w:rPr>
        <w:t>5</w:t>
      </w:r>
      <w:r w:rsidRPr="00563A21">
        <w:rPr>
          <w:rFonts w:eastAsia="Times New Roman" w:cs="Arial"/>
          <w:color w:val="000000"/>
          <w:szCs w:val="20"/>
          <w:lang w:val="en-US"/>
        </w:rPr>
        <w:t>mg</w:t>
      </w:r>
      <w:r w:rsidRPr="00563A21">
        <w:rPr>
          <w:rFonts w:eastAsia="Times New Roman" w:cs="Arial"/>
          <w:color w:val="000000"/>
          <w:szCs w:val="20"/>
          <w:lang w:val="ru-RU"/>
        </w:rPr>
        <w:t>/</w:t>
      </w:r>
      <w:r w:rsidRPr="00563A21">
        <w:rPr>
          <w:rFonts w:eastAsia="Times New Roman" w:cs="Arial"/>
          <w:color w:val="000000"/>
          <w:szCs w:val="20"/>
          <w:lang w:val="en-US"/>
        </w:rPr>
        <w:t>dl</w:t>
      </w:r>
      <w:r w:rsidRPr="00563A21">
        <w:rPr>
          <w:rFonts w:eastAsia="Times New Roman" w:cs="Arial"/>
          <w:color w:val="000000"/>
          <w:szCs w:val="20"/>
          <w:lang w:val="ru-RU"/>
        </w:rPr>
        <w:t xml:space="preserve">) </w:t>
      </w:r>
      <w:r w:rsidRPr="00563A21">
        <w:rPr>
          <w:rFonts w:eastAsia="Times New Roman" w:cs="Arial"/>
          <w:color w:val="000000"/>
          <w:szCs w:val="20"/>
          <w:lang w:eastAsia="bg-BG"/>
        </w:rPr>
        <w:t>се препоръчва намаляване на една четвърт.</w:t>
      </w:r>
    </w:p>
    <w:p w14:paraId="3797B69B"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Таблетките се приемат с малко течност, без да се дъвчат.</w:t>
      </w:r>
    </w:p>
    <w:p w14:paraId="5245196C"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Соталол хидрохлорид не трябва да се приема по време на хранене (особено с мляко и млечни продукти), тъй като това може да намали абсорбцията на активното вещество - соталол.</w:t>
      </w:r>
    </w:p>
    <w:p w14:paraId="3FED1828"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Пациенти, прекарали миокарден инфаркт или със значително намалена сърдечна функция, се нуждаят от особено внимателно мониториране при назначаване на антиаритмично лечение. Прегледи трябва да се извършват редовно в хода на лечението.</w:t>
      </w:r>
    </w:p>
    <w:p w14:paraId="05C47ACB"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При пациенти с коронарно сърдечно заболяване и/или нарушение на сърдечния ритъм или след дълго използване на лекарствения продукт, спирането на лечението трябва да стане постепенно, тъй като рязкото прекъсване може да доведе до влошаване картината на заболяването.</w:t>
      </w:r>
    </w:p>
    <w:p w14:paraId="707ACC58" w14:textId="77777777" w:rsidR="00563A21" w:rsidRPr="00563A21" w:rsidRDefault="00563A21" w:rsidP="00563A21">
      <w:pPr>
        <w:spacing w:line="240" w:lineRule="auto"/>
        <w:rPr>
          <w:rFonts w:eastAsia="Times New Roman" w:cs="Arial"/>
          <w:color w:val="000000"/>
          <w:szCs w:val="20"/>
          <w:lang w:eastAsia="bg-BG"/>
        </w:rPr>
      </w:pPr>
    </w:p>
    <w:p w14:paraId="5DA7836E" w14:textId="2F55250A"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Продължителността на лечението определя лекуващият лекар.</w:t>
      </w:r>
    </w:p>
    <w:p w14:paraId="7FE03237" w14:textId="77777777" w:rsidR="00563A21" w:rsidRPr="00563A21" w:rsidRDefault="00563A21" w:rsidP="00563A21">
      <w:pPr>
        <w:spacing w:line="240" w:lineRule="auto"/>
        <w:rPr>
          <w:rFonts w:eastAsia="Times New Roman" w:cs="Arial"/>
          <w:i/>
          <w:iCs/>
          <w:color w:val="000000"/>
          <w:szCs w:val="20"/>
          <w:lang w:eastAsia="bg-BG"/>
        </w:rPr>
      </w:pPr>
    </w:p>
    <w:p w14:paraId="7E69E9F3" w14:textId="31FE3266" w:rsidR="00563A21" w:rsidRPr="00563A21" w:rsidRDefault="00563A21" w:rsidP="00563A21">
      <w:pPr>
        <w:spacing w:line="240" w:lineRule="auto"/>
        <w:rPr>
          <w:rFonts w:eastAsia="Times New Roman" w:cs="Arial"/>
          <w:sz w:val="28"/>
          <w:szCs w:val="24"/>
        </w:rPr>
      </w:pPr>
      <w:r w:rsidRPr="00563A21">
        <w:rPr>
          <w:rFonts w:eastAsia="Times New Roman" w:cs="Arial"/>
          <w:i/>
          <w:iCs/>
          <w:color w:val="000000"/>
          <w:szCs w:val="20"/>
          <w:lang w:eastAsia="bg-BG"/>
        </w:rPr>
        <w:t>Деца</w:t>
      </w:r>
    </w:p>
    <w:p w14:paraId="40410B0F"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Соталол хидрохлорид не трябва да се прилага при деца поради липса на опит в тази възрастова група.</w:t>
      </w:r>
    </w:p>
    <w:p w14:paraId="53A5BCBF" w14:textId="77777777" w:rsidR="00563A21" w:rsidRPr="00563A21" w:rsidRDefault="00563A21" w:rsidP="00563A21">
      <w:pPr>
        <w:spacing w:line="240" w:lineRule="auto"/>
        <w:rPr>
          <w:rFonts w:eastAsia="Times New Roman" w:cs="Arial"/>
          <w:i/>
          <w:iCs/>
          <w:color w:val="000000"/>
          <w:szCs w:val="20"/>
          <w:lang w:eastAsia="bg-BG"/>
        </w:rPr>
      </w:pPr>
    </w:p>
    <w:p w14:paraId="1A521AFD" w14:textId="56F36CE7" w:rsidR="00563A21" w:rsidRPr="00563A21" w:rsidRDefault="00563A21" w:rsidP="00563A21">
      <w:pPr>
        <w:spacing w:line="240" w:lineRule="auto"/>
        <w:rPr>
          <w:rFonts w:eastAsia="Times New Roman" w:cs="Arial"/>
          <w:sz w:val="28"/>
          <w:szCs w:val="24"/>
        </w:rPr>
      </w:pPr>
      <w:r w:rsidRPr="00563A21">
        <w:rPr>
          <w:rFonts w:eastAsia="Times New Roman" w:cs="Arial"/>
          <w:i/>
          <w:iCs/>
          <w:color w:val="000000"/>
          <w:szCs w:val="20"/>
          <w:lang w:eastAsia="bg-BG"/>
        </w:rPr>
        <w:t>Пациенти в напреднала възраст</w:t>
      </w:r>
    </w:p>
    <w:p w14:paraId="54D0FC0A" w14:textId="7B59D917" w:rsidR="00563A21" w:rsidRDefault="00563A21" w:rsidP="00563A21">
      <w:pPr>
        <w:rPr>
          <w:rFonts w:eastAsia="Times New Roman" w:cs="Arial"/>
          <w:color w:val="000000"/>
          <w:szCs w:val="20"/>
          <w:lang w:eastAsia="bg-BG"/>
        </w:rPr>
      </w:pPr>
      <w:r w:rsidRPr="00563A21">
        <w:rPr>
          <w:rFonts w:eastAsia="Times New Roman" w:cs="Arial"/>
          <w:color w:val="000000"/>
          <w:szCs w:val="20"/>
          <w:lang w:eastAsia="bg-BG"/>
        </w:rPr>
        <w:t>При лечение на пациенти в напреднала възраст трябва да се има предвид евентуално настъпило ограничение на бъбречната функция.</w:t>
      </w:r>
    </w:p>
    <w:p w14:paraId="40EA392C" w14:textId="77777777" w:rsidR="00563A21" w:rsidRPr="00563A21" w:rsidRDefault="00563A21" w:rsidP="00563A21">
      <w:pPr>
        <w:rPr>
          <w:rFonts w:cs="Arial"/>
          <w:sz w:val="24"/>
        </w:rPr>
      </w:pPr>
    </w:p>
    <w:p w14:paraId="74903285" w14:textId="3984E6B9" w:rsidR="00DB32D3" w:rsidRDefault="002C50EE" w:rsidP="005726E3">
      <w:pPr>
        <w:pStyle w:val="Heading2"/>
      </w:pPr>
      <w:r>
        <w:t>4.3. Противопоказания</w:t>
      </w:r>
    </w:p>
    <w:p w14:paraId="3A94125C" w14:textId="74A02386" w:rsidR="00563A21" w:rsidRDefault="00563A21" w:rsidP="00563A21"/>
    <w:p w14:paraId="56260894" w14:textId="77777777" w:rsidR="00563A21" w:rsidRPr="00563A21" w:rsidRDefault="00563A21" w:rsidP="00563A21">
      <w:pPr>
        <w:spacing w:line="240" w:lineRule="auto"/>
        <w:rPr>
          <w:rFonts w:eastAsia="Times New Roman" w:cs="Arial"/>
          <w:sz w:val="28"/>
          <w:szCs w:val="24"/>
        </w:rPr>
      </w:pPr>
      <w:r w:rsidRPr="00563A21">
        <w:rPr>
          <w:rFonts w:eastAsia="Times New Roman" w:cs="Arial"/>
          <w:b/>
          <w:bCs/>
          <w:color w:val="000000"/>
          <w:szCs w:val="20"/>
          <w:lang w:eastAsia="bg-BG"/>
        </w:rPr>
        <w:t xml:space="preserve">Сотагамма </w:t>
      </w:r>
      <w:r w:rsidRPr="00563A21">
        <w:rPr>
          <w:rFonts w:eastAsia="Times New Roman" w:cs="Arial"/>
          <w:color w:val="000000"/>
          <w:szCs w:val="20"/>
          <w:lang w:eastAsia="bg-BG"/>
        </w:rPr>
        <w:t>не трябва да се приема при:</w:t>
      </w:r>
    </w:p>
    <w:p w14:paraId="0854D4AF" w14:textId="77777777" w:rsidR="00563A21" w:rsidRPr="00563A21" w:rsidRDefault="00563A21" w:rsidP="00563A21">
      <w:pPr>
        <w:pStyle w:val="ListParagraph"/>
        <w:numPr>
          <w:ilvl w:val="0"/>
          <w:numId w:val="38"/>
        </w:numPr>
        <w:spacing w:line="240" w:lineRule="auto"/>
        <w:rPr>
          <w:rFonts w:eastAsia="Times New Roman" w:cs="Arial"/>
          <w:sz w:val="28"/>
          <w:szCs w:val="24"/>
        </w:rPr>
      </w:pPr>
      <w:r w:rsidRPr="00563A21">
        <w:rPr>
          <w:rFonts w:eastAsia="Times New Roman" w:cs="Arial"/>
          <w:color w:val="000000"/>
          <w:szCs w:val="20"/>
          <w:lang w:eastAsia="bg-BG"/>
        </w:rPr>
        <w:lastRenderedPageBreak/>
        <w:t>известна свръхчувствителност към соталол хидрохлорид и сулфонамиди или някое от помощните вещества на лекарствения продукт</w:t>
      </w:r>
    </w:p>
    <w:p w14:paraId="2BF49FFA" w14:textId="77777777" w:rsidR="00563A21" w:rsidRPr="00563A21" w:rsidRDefault="00563A21" w:rsidP="00563A21">
      <w:pPr>
        <w:pStyle w:val="ListParagraph"/>
        <w:numPr>
          <w:ilvl w:val="0"/>
          <w:numId w:val="38"/>
        </w:numPr>
        <w:spacing w:line="240" w:lineRule="auto"/>
        <w:rPr>
          <w:rFonts w:eastAsia="Times New Roman" w:cs="Arial"/>
          <w:sz w:val="28"/>
          <w:szCs w:val="24"/>
        </w:rPr>
      </w:pPr>
      <w:r w:rsidRPr="00563A21">
        <w:rPr>
          <w:rFonts w:eastAsia="Times New Roman" w:cs="Arial"/>
          <w:color w:val="000000"/>
          <w:szCs w:val="20"/>
          <w:lang w:eastAsia="bg-BG"/>
        </w:rPr>
        <w:t xml:space="preserve">сърдечна недостатъчност клас IV по </w:t>
      </w:r>
      <w:r w:rsidRPr="00563A21">
        <w:rPr>
          <w:rFonts w:eastAsia="Times New Roman" w:cs="Arial"/>
          <w:color w:val="000000"/>
          <w:szCs w:val="20"/>
          <w:lang w:val="en-US"/>
        </w:rPr>
        <w:t>NYHA</w:t>
      </w:r>
      <w:r w:rsidRPr="00563A21">
        <w:rPr>
          <w:rFonts w:eastAsia="Times New Roman" w:cs="Arial"/>
          <w:color w:val="000000"/>
          <w:szCs w:val="20"/>
          <w:lang w:val="ru-RU"/>
        </w:rPr>
        <w:t xml:space="preserve">; </w:t>
      </w:r>
      <w:r w:rsidRPr="00563A21">
        <w:rPr>
          <w:rFonts w:eastAsia="Times New Roman" w:cs="Arial"/>
          <w:color w:val="000000"/>
          <w:szCs w:val="20"/>
          <w:lang w:eastAsia="bg-BG"/>
        </w:rPr>
        <w:t>некомпенсирана сърдечна недостатъчност остър миокарен инфаркт</w:t>
      </w:r>
    </w:p>
    <w:p w14:paraId="2B50E9E2" w14:textId="77777777" w:rsidR="00563A21" w:rsidRPr="00563A21" w:rsidRDefault="00563A21" w:rsidP="00563A21">
      <w:pPr>
        <w:pStyle w:val="ListParagraph"/>
        <w:numPr>
          <w:ilvl w:val="0"/>
          <w:numId w:val="38"/>
        </w:numPr>
        <w:spacing w:line="240" w:lineRule="auto"/>
        <w:rPr>
          <w:rFonts w:eastAsia="Times New Roman" w:cs="Arial"/>
          <w:sz w:val="28"/>
          <w:szCs w:val="24"/>
        </w:rPr>
      </w:pPr>
      <w:r w:rsidRPr="00563A21">
        <w:rPr>
          <w:rFonts w:eastAsia="Times New Roman" w:cs="Arial"/>
          <w:color w:val="000000"/>
          <w:szCs w:val="20"/>
          <w:lang w:eastAsia="bg-BG"/>
        </w:rPr>
        <w:t>шок</w:t>
      </w:r>
    </w:p>
    <w:p w14:paraId="177EB026" w14:textId="761B3D9A" w:rsidR="00563A21" w:rsidRPr="00563A21" w:rsidRDefault="00563A21" w:rsidP="00563A21">
      <w:pPr>
        <w:pStyle w:val="ListParagraph"/>
        <w:numPr>
          <w:ilvl w:val="0"/>
          <w:numId w:val="38"/>
        </w:numPr>
        <w:spacing w:line="240" w:lineRule="auto"/>
        <w:rPr>
          <w:rFonts w:eastAsia="Times New Roman" w:cs="Arial"/>
          <w:sz w:val="28"/>
          <w:szCs w:val="24"/>
        </w:rPr>
      </w:pPr>
      <w:r w:rsidRPr="00563A21">
        <w:rPr>
          <w:rFonts w:eastAsia="Times New Roman" w:cs="Arial"/>
          <w:color w:val="000000"/>
          <w:szCs w:val="20"/>
          <w:lang w:val="en-US"/>
        </w:rPr>
        <w:t>AV</w:t>
      </w:r>
      <w:r w:rsidRPr="00563A21">
        <w:rPr>
          <w:rFonts w:eastAsia="Times New Roman" w:cs="Arial"/>
          <w:color w:val="000000"/>
          <w:szCs w:val="20"/>
          <w:lang w:eastAsia="bg-BG"/>
        </w:rPr>
        <w:t>-блок II. и III. Степен</w:t>
      </w:r>
    </w:p>
    <w:p w14:paraId="333A5BD4" w14:textId="77777777" w:rsidR="00563A21" w:rsidRPr="00563A21" w:rsidRDefault="00563A21" w:rsidP="00563A21">
      <w:pPr>
        <w:pStyle w:val="ListParagraph"/>
        <w:numPr>
          <w:ilvl w:val="0"/>
          <w:numId w:val="38"/>
        </w:numPr>
        <w:spacing w:line="240" w:lineRule="auto"/>
        <w:rPr>
          <w:rFonts w:eastAsia="Times New Roman" w:cs="Arial"/>
          <w:sz w:val="28"/>
          <w:szCs w:val="24"/>
        </w:rPr>
      </w:pPr>
      <w:r w:rsidRPr="00563A21">
        <w:rPr>
          <w:rFonts w:eastAsia="Times New Roman" w:cs="Arial"/>
          <w:color w:val="000000"/>
          <w:szCs w:val="20"/>
          <w:lang w:val="en-US"/>
        </w:rPr>
        <w:t>SA</w:t>
      </w:r>
      <w:r w:rsidRPr="00563A21">
        <w:rPr>
          <w:rFonts w:eastAsia="Times New Roman" w:cs="Arial"/>
          <w:color w:val="000000"/>
          <w:szCs w:val="20"/>
          <w:lang w:eastAsia="bg-BG"/>
        </w:rPr>
        <w:t>-блок</w:t>
      </w:r>
    </w:p>
    <w:p w14:paraId="1DC23506" w14:textId="77777777" w:rsidR="00563A21" w:rsidRPr="00563A21" w:rsidRDefault="00563A21" w:rsidP="00563A21">
      <w:pPr>
        <w:pStyle w:val="ListParagraph"/>
        <w:numPr>
          <w:ilvl w:val="0"/>
          <w:numId w:val="38"/>
        </w:numPr>
        <w:spacing w:line="240" w:lineRule="auto"/>
        <w:rPr>
          <w:rFonts w:eastAsia="Times New Roman" w:cs="Arial"/>
          <w:sz w:val="28"/>
          <w:szCs w:val="24"/>
        </w:rPr>
      </w:pPr>
      <w:r w:rsidRPr="00563A21">
        <w:rPr>
          <w:rFonts w:eastAsia="Times New Roman" w:cs="Arial"/>
          <w:color w:val="000000"/>
          <w:szCs w:val="20"/>
          <w:lang w:eastAsia="bg-BG"/>
        </w:rPr>
        <w:t>синдром на болния синусов възел</w:t>
      </w:r>
    </w:p>
    <w:p w14:paraId="022D2159" w14:textId="77777777" w:rsidR="00563A21" w:rsidRPr="00563A21" w:rsidRDefault="00563A21" w:rsidP="00563A21">
      <w:pPr>
        <w:pStyle w:val="ListParagraph"/>
        <w:numPr>
          <w:ilvl w:val="0"/>
          <w:numId w:val="38"/>
        </w:numPr>
        <w:spacing w:line="240" w:lineRule="auto"/>
        <w:rPr>
          <w:rFonts w:eastAsia="Times New Roman" w:cs="Arial"/>
          <w:sz w:val="28"/>
          <w:szCs w:val="24"/>
        </w:rPr>
      </w:pPr>
      <w:r w:rsidRPr="00563A21">
        <w:rPr>
          <w:rFonts w:eastAsia="Times New Roman" w:cs="Arial"/>
          <w:color w:val="000000"/>
          <w:szCs w:val="20"/>
          <w:lang w:eastAsia="bg-BG"/>
        </w:rPr>
        <w:t>брадикардия (&lt; 50 удара/мин.)</w:t>
      </w:r>
    </w:p>
    <w:p w14:paraId="34F46964" w14:textId="77777777" w:rsidR="00563A21" w:rsidRPr="00563A21" w:rsidRDefault="00563A21" w:rsidP="00563A21">
      <w:pPr>
        <w:pStyle w:val="ListParagraph"/>
        <w:numPr>
          <w:ilvl w:val="0"/>
          <w:numId w:val="38"/>
        </w:numPr>
        <w:spacing w:line="240" w:lineRule="auto"/>
        <w:rPr>
          <w:rFonts w:eastAsia="Times New Roman" w:cs="Arial"/>
          <w:sz w:val="28"/>
          <w:szCs w:val="24"/>
        </w:rPr>
      </w:pPr>
      <w:r w:rsidRPr="00563A21">
        <w:rPr>
          <w:rFonts w:eastAsia="Times New Roman" w:cs="Arial"/>
          <w:color w:val="000000"/>
          <w:szCs w:val="20"/>
          <w:lang w:eastAsia="bg-BG"/>
        </w:rPr>
        <w:t xml:space="preserve">предшестващо удължаване на </w:t>
      </w:r>
      <w:r w:rsidRPr="00563A21">
        <w:rPr>
          <w:rFonts w:eastAsia="Times New Roman" w:cs="Arial"/>
          <w:color w:val="000000"/>
          <w:szCs w:val="20"/>
          <w:lang w:val="en-US"/>
        </w:rPr>
        <w:t>QT</w:t>
      </w:r>
      <w:r w:rsidRPr="00563A21">
        <w:rPr>
          <w:rFonts w:eastAsia="Times New Roman" w:cs="Arial"/>
          <w:color w:val="000000"/>
          <w:szCs w:val="20"/>
          <w:lang w:eastAsia="bg-BG"/>
        </w:rPr>
        <w:t>-интервала</w:t>
      </w:r>
    </w:p>
    <w:p w14:paraId="562A8D65" w14:textId="77777777" w:rsidR="00563A21" w:rsidRPr="00563A21" w:rsidRDefault="00563A21" w:rsidP="00563A21">
      <w:pPr>
        <w:pStyle w:val="ListParagraph"/>
        <w:numPr>
          <w:ilvl w:val="0"/>
          <w:numId w:val="38"/>
        </w:numPr>
        <w:spacing w:line="240" w:lineRule="auto"/>
        <w:rPr>
          <w:rFonts w:eastAsia="Times New Roman" w:cs="Arial"/>
          <w:sz w:val="28"/>
          <w:szCs w:val="24"/>
        </w:rPr>
      </w:pPr>
      <w:r w:rsidRPr="00563A21">
        <w:rPr>
          <w:rFonts w:eastAsia="Times New Roman" w:cs="Arial"/>
          <w:color w:val="000000"/>
          <w:szCs w:val="20"/>
          <w:lang w:eastAsia="bg-BG"/>
        </w:rPr>
        <w:t>хипокалиемия</w:t>
      </w:r>
    </w:p>
    <w:p w14:paraId="06B0E0AB" w14:textId="77777777" w:rsidR="00563A21" w:rsidRPr="00563A21" w:rsidRDefault="00563A21" w:rsidP="00563A21">
      <w:pPr>
        <w:pStyle w:val="ListParagraph"/>
        <w:numPr>
          <w:ilvl w:val="0"/>
          <w:numId w:val="38"/>
        </w:numPr>
        <w:spacing w:line="240" w:lineRule="auto"/>
        <w:rPr>
          <w:rFonts w:eastAsia="Times New Roman" w:cs="Arial"/>
          <w:sz w:val="28"/>
          <w:szCs w:val="24"/>
        </w:rPr>
      </w:pPr>
      <w:r w:rsidRPr="00563A21">
        <w:rPr>
          <w:rFonts w:eastAsia="Times New Roman" w:cs="Arial"/>
          <w:color w:val="000000"/>
          <w:szCs w:val="20"/>
          <w:lang w:eastAsia="bg-BG"/>
        </w:rPr>
        <w:t>хипомагнезиемия</w:t>
      </w:r>
    </w:p>
    <w:p w14:paraId="2D8A0668" w14:textId="77777777" w:rsidR="00563A21" w:rsidRPr="00563A21" w:rsidRDefault="00563A21" w:rsidP="00563A21">
      <w:pPr>
        <w:pStyle w:val="ListParagraph"/>
        <w:numPr>
          <w:ilvl w:val="0"/>
          <w:numId w:val="38"/>
        </w:numPr>
        <w:spacing w:line="240" w:lineRule="auto"/>
        <w:rPr>
          <w:rFonts w:eastAsia="Times New Roman" w:cs="Arial"/>
          <w:sz w:val="28"/>
          <w:szCs w:val="24"/>
        </w:rPr>
      </w:pPr>
      <w:r w:rsidRPr="00563A21">
        <w:rPr>
          <w:rFonts w:eastAsia="Times New Roman" w:cs="Arial"/>
          <w:color w:val="000000"/>
          <w:szCs w:val="20"/>
          <w:lang w:eastAsia="bg-BG"/>
        </w:rPr>
        <w:t>хипотония</w:t>
      </w:r>
    </w:p>
    <w:p w14:paraId="33874194" w14:textId="77777777" w:rsidR="00563A21" w:rsidRPr="00563A21" w:rsidRDefault="00563A21" w:rsidP="00563A21">
      <w:pPr>
        <w:pStyle w:val="ListParagraph"/>
        <w:numPr>
          <w:ilvl w:val="0"/>
          <w:numId w:val="38"/>
        </w:numPr>
        <w:spacing w:line="240" w:lineRule="auto"/>
        <w:rPr>
          <w:rFonts w:eastAsia="Times New Roman" w:cs="Arial"/>
          <w:sz w:val="28"/>
          <w:szCs w:val="24"/>
        </w:rPr>
      </w:pPr>
      <w:r w:rsidRPr="00563A21">
        <w:rPr>
          <w:rFonts w:eastAsia="Times New Roman" w:cs="Arial"/>
          <w:color w:val="000000"/>
          <w:szCs w:val="20"/>
          <w:lang w:eastAsia="bg-BG"/>
        </w:rPr>
        <w:t>късни стадии на нарушено периферно кръвоснабдяване</w:t>
      </w:r>
    </w:p>
    <w:p w14:paraId="6139C4C8" w14:textId="77777777" w:rsidR="00563A21" w:rsidRPr="00563A21" w:rsidRDefault="00563A21" w:rsidP="00563A21">
      <w:pPr>
        <w:pStyle w:val="ListParagraph"/>
        <w:numPr>
          <w:ilvl w:val="0"/>
          <w:numId w:val="38"/>
        </w:numPr>
        <w:spacing w:line="240" w:lineRule="auto"/>
        <w:rPr>
          <w:rFonts w:eastAsia="Times New Roman" w:cs="Arial"/>
          <w:sz w:val="28"/>
          <w:szCs w:val="24"/>
        </w:rPr>
      </w:pPr>
      <w:r w:rsidRPr="00563A21">
        <w:rPr>
          <w:rFonts w:eastAsia="Times New Roman" w:cs="Arial"/>
          <w:color w:val="000000"/>
          <w:szCs w:val="20"/>
          <w:lang w:eastAsia="bg-BG"/>
        </w:rPr>
        <w:t>обструктивни заболявания на дихателните пътища</w:t>
      </w:r>
    </w:p>
    <w:p w14:paraId="2DE987D1" w14:textId="77777777" w:rsidR="00563A21" w:rsidRPr="00563A21" w:rsidRDefault="00563A21" w:rsidP="00563A21">
      <w:pPr>
        <w:pStyle w:val="ListParagraph"/>
        <w:numPr>
          <w:ilvl w:val="0"/>
          <w:numId w:val="38"/>
        </w:numPr>
        <w:spacing w:line="240" w:lineRule="auto"/>
        <w:rPr>
          <w:rFonts w:eastAsia="Times New Roman" w:cs="Arial"/>
          <w:sz w:val="28"/>
          <w:szCs w:val="24"/>
        </w:rPr>
      </w:pPr>
      <w:r w:rsidRPr="00563A21">
        <w:rPr>
          <w:rFonts w:eastAsia="Times New Roman" w:cs="Arial"/>
          <w:color w:val="000000"/>
          <w:szCs w:val="20"/>
          <w:lang w:eastAsia="bg-BG"/>
        </w:rPr>
        <w:t>метаболитна ацидоза</w:t>
      </w:r>
    </w:p>
    <w:p w14:paraId="4661BEA3" w14:textId="57ECAE5A" w:rsidR="00563A21" w:rsidRPr="00563A21" w:rsidRDefault="00563A21" w:rsidP="00563A21">
      <w:pPr>
        <w:pStyle w:val="ListParagraph"/>
        <w:numPr>
          <w:ilvl w:val="0"/>
          <w:numId w:val="38"/>
        </w:numPr>
        <w:spacing w:line="240" w:lineRule="auto"/>
        <w:rPr>
          <w:rFonts w:eastAsia="Times New Roman" w:cs="Arial"/>
          <w:sz w:val="28"/>
          <w:szCs w:val="24"/>
        </w:rPr>
      </w:pPr>
      <w:r w:rsidRPr="00563A21">
        <w:rPr>
          <w:rFonts w:eastAsia="Times New Roman" w:cs="Arial"/>
          <w:color w:val="000000"/>
          <w:szCs w:val="20"/>
          <w:lang w:eastAsia="bg-BG"/>
        </w:rPr>
        <w:t>нелекуван феохромоцитом (виж раздел 4.4).</w:t>
      </w:r>
    </w:p>
    <w:p w14:paraId="2B68CBA9" w14:textId="77777777" w:rsidR="00563A21" w:rsidRPr="00563A21" w:rsidRDefault="00563A21" w:rsidP="00563A21">
      <w:pPr>
        <w:spacing w:line="240" w:lineRule="auto"/>
        <w:rPr>
          <w:rFonts w:eastAsia="Times New Roman" w:cs="Arial"/>
          <w:color w:val="000000"/>
          <w:szCs w:val="20"/>
          <w:lang w:eastAsia="bg-BG"/>
        </w:rPr>
      </w:pPr>
    </w:p>
    <w:p w14:paraId="3E7FC404" w14:textId="3B480883"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При венозно приложение на калциеви антагонисти от верапамилов и дилтиаземов тип или други антиаритмици (като дизопирамид) приложението на соталол хидрохлорид е  противопоказно (с</w:t>
      </w:r>
      <w:r w:rsidRPr="00563A21">
        <w:rPr>
          <w:rFonts w:eastAsia="Times New Roman" w:cs="Arial"/>
          <w:sz w:val="28"/>
          <w:szCs w:val="24"/>
          <w:lang w:val="ru-RU"/>
        </w:rPr>
        <w:t xml:space="preserve"> </w:t>
      </w:r>
      <w:r w:rsidRPr="00563A21">
        <w:rPr>
          <w:rFonts w:eastAsia="Times New Roman" w:cs="Arial"/>
          <w:color w:val="000000"/>
          <w:szCs w:val="20"/>
          <w:lang w:eastAsia="bg-BG"/>
        </w:rPr>
        <w:t>изключение на интензивно лечение).</w:t>
      </w:r>
    </w:p>
    <w:p w14:paraId="269348BA" w14:textId="77777777" w:rsidR="00563A21" w:rsidRPr="00563A21" w:rsidRDefault="00563A21" w:rsidP="00563A21"/>
    <w:p w14:paraId="76DC8E58" w14:textId="557B684C" w:rsidR="00DB32D3" w:rsidRDefault="002C50EE" w:rsidP="005726E3">
      <w:pPr>
        <w:pStyle w:val="Heading2"/>
      </w:pPr>
      <w:r>
        <w:t>4.4. Специални предупреждения и предпазни мерки при употреба</w:t>
      </w:r>
    </w:p>
    <w:p w14:paraId="7A5D1C39" w14:textId="6110B722" w:rsidR="00563A21" w:rsidRDefault="00563A21" w:rsidP="00563A21"/>
    <w:p w14:paraId="594E7A14" w14:textId="29D1E0BB" w:rsidR="00563A21" w:rsidRPr="00563A21" w:rsidRDefault="00563A21" w:rsidP="00563A21">
      <w:pPr>
        <w:rPr>
          <w:rFonts w:cs="Arial"/>
          <w:szCs w:val="20"/>
        </w:rPr>
      </w:pPr>
      <w:r w:rsidRPr="00563A21">
        <w:rPr>
          <w:rFonts w:cs="Arial"/>
          <w:szCs w:val="20"/>
        </w:rPr>
        <w:t>Специално мониториране е необходимо при:</w:t>
      </w:r>
    </w:p>
    <w:p w14:paraId="57CC7615" w14:textId="77777777" w:rsidR="00563A21" w:rsidRPr="00563A21" w:rsidRDefault="00563A21" w:rsidP="00563A21">
      <w:pPr>
        <w:pStyle w:val="ListParagraph"/>
        <w:numPr>
          <w:ilvl w:val="0"/>
          <w:numId w:val="39"/>
        </w:numPr>
        <w:spacing w:line="240" w:lineRule="auto"/>
        <w:rPr>
          <w:rFonts w:eastAsia="Times New Roman" w:cs="Arial"/>
          <w:sz w:val="28"/>
          <w:szCs w:val="24"/>
        </w:rPr>
      </w:pPr>
      <w:r w:rsidRPr="00563A21">
        <w:rPr>
          <w:rFonts w:eastAsia="Times New Roman" w:cs="Arial"/>
          <w:color w:val="000000"/>
          <w:szCs w:val="20"/>
          <w:lang w:eastAsia="bg-BG"/>
        </w:rPr>
        <w:t>пациенти с ограничена бъбречна функция (намаляване на дозата; виж раздел 4.2); серумния креатинин и/или серумните нива на соталол хидрохлорид трябва да се проверяват редовно в хода на терапията;</w:t>
      </w:r>
    </w:p>
    <w:p w14:paraId="540D9B74" w14:textId="77777777" w:rsidR="00563A21" w:rsidRPr="00563A21" w:rsidRDefault="00563A21" w:rsidP="00563A21">
      <w:pPr>
        <w:pStyle w:val="ListParagraph"/>
        <w:numPr>
          <w:ilvl w:val="0"/>
          <w:numId w:val="39"/>
        </w:numPr>
        <w:spacing w:line="240" w:lineRule="auto"/>
        <w:rPr>
          <w:rFonts w:eastAsia="Times New Roman" w:cs="Arial"/>
          <w:sz w:val="28"/>
          <w:szCs w:val="24"/>
        </w:rPr>
      </w:pPr>
      <w:r w:rsidRPr="00563A21">
        <w:rPr>
          <w:rFonts w:eastAsia="Times New Roman" w:cs="Arial"/>
          <w:color w:val="000000"/>
          <w:szCs w:val="20"/>
          <w:lang w:eastAsia="bg-BG"/>
        </w:rPr>
        <w:t>захарен диабет с големи колебания в нивата на кръвната захар - симптомите на хипогликемия могат да бъдат маскирани. Нивата на кръвната захар трябва да бъдат мониторирани по време на лечението със соталол хидрохлорид;</w:t>
      </w:r>
    </w:p>
    <w:p w14:paraId="03D25E34" w14:textId="77777777" w:rsidR="00563A21" w:rsidRPr="00563A21" w:rsidRDefault="00563A21" w:rsidP="00563A21">
      <w:pPr>
        <w:pStyle w:val="ListParagraph"/>
        <w:numPr>
          <w:ilvl w:val="0"/>
          <w:numId w:val="39"/>
        </w:numPr>
        <w:spacing w:line="240" w:lineRule="auto"/>
        <w:rPr>
          <w:rFonts w:eastAsia="Times New Roman" w:cs="Arial"/>
          <w:sz w:val="28"/>
          <w:szCs w:val="24"/>
        </w:rPr>
      </w:pPr>
      <w:r w:rsidRPr="00563A21">
        <w:rPr>
          <w:rFonts w:eastAsia="Times New Roman" w:cs="Arial"/>
          <w:color w:val="000000"/>
          <w:szCs w:val="20"/>
          <w:lang w:eastAsia="bg-BG"/>
        </w:rPr>
        <w:t>строго постене;</w:t>
      </w:r>
    </w:p>
    <w:p w14:paraId="58DE735A" w14:textId="77777777" w:rsidR="00563A21" w:rsidRPr="00563A21" w:rsidRDefault="00563A21" w:rsidP="00563A21">
      <w:pPr>
        <w:pStyle w:val="ListParagraph"/>
        <w:numPr>
          <w:ilvl w:val="0"/>
          <w:numId w:val="39"/>
        </w:numPr>
        <w:spacing w:line="240" w:lineRule="auto"/>
        <w:rPr>
          <w:rFonts w:eastAsia="Times New Roman" w:cs="Arial"/>
          <w:sz w:val="28"/>
          <w:szCs w:val="24"/>
        </w:rPr>
      </w:pPr>
      <w:r w:rsidRPr="00563A21">
        <w:rPr>
          <w:rFonts w:eastAsia="Times New Roman" w:cs="Arial"/>
          <w:color w:val="000000"/>
          <w:szCs w:val="20"/>
          <w:lang w:eastAsia="bg-BG"/>
        </w:rPr>
        <w:t>хипертиреоидизъм - адренергичните симптоми могат да бъдат замаскирани;</w:t>
      </w:r>
    </w:p>
    <w:p w14:paraId="2D6B2B91" w14:textId="77777777" w:rsidR="00563A21" w:rsidRPr="00563A21" w:rsidRDefault="00563A21" w:rsidP="00563A21">
      <w:pPr>
        <w:pStyle w:val="ListParagraph"/>
        <w:numPr>
          <w:ilvl w:val="0"/>
          <w:numId w:val="39"/>
        </w:numPr>
        <w:spacing w:line="240" w:lineRule="auto"/>
        <w:rPr>
          <w:rFonts w:eastAsia="Times New Roman" w:cs="Arial"/>
          <w:sz w:val="28"/>
          <w:szCs w:val="24"/>
        </w:rPr>
      </w:pPr>
      <w:r w:rsidRPr="00563A21">
        <w:rPr>
          <w:rFonts w:eastAsia="Times New Roman" w:cs="Arial"/>
          <w:color w:val="000000"/>
          <w:szCs w:val="20"/>
          <w:lang w:eastAsia="bg-BG"/>
        </w:rPr>
        <w:t xml:space="preserve">периферни циркулаторни нарушения, като синдром на </w:t>
      </w:r>
      <w:r w:rsidRPr="00563A21">
        <w:rPr>
          <w:rFonts w:eastAsia="Times New Roman" w:cs="Arial"/>
          <w:i/>
          <w:iCs/>
          <w:color w:val="000000"/>
          <w:szCs w:val="20"/>
          <w:lang w:val="en-US"/>
        </w:rPr>
        <w:t>Raynaud</w:t>
      </w:r>
      <w:r w:rsidRPr="00563A21">
        <w:rPr>
          <w:rFonts w:eastAsia="Times New Roman" w:cs="Arial"/>
          <w:color w:val="000000"/>
          <w:szCs w:val="20"/>
          <w:lang w:val="ru-RU"/>
        </w:rPr>
        <w:t xml:space="preserve"> </w:t>
      </w:r>
      <w:r w:rsidRPr="00563A21">
        <w:rPr>
          <w:rFonts w:eastAsia="Times New Roman" w:cs="Arial"/>
          <w:color w:val="000000"/>
          <w:szCs w:val="20"/>
          <w:lang w:eastAsia="bg-BG"/>
        </w:rPr>
        <w:t>и периодично накуцване: симптомите могат да станат тежки, особено в началото на терапията;</w:t>
      </w:r>
    </w:p>
    <w:p w14:paraId="0BC8F3A4" w14:textId="1DF725A0" w:rsidR="00563A21" w:rsidRPr="00563A21" w:rsidRDefault="00563A21" w:rsidP="00563A21">
      <w:pPr>
        <w:pStyle w:val="ListParagraph"/>
        <w:numPr>
          <w:ilvl w:val="0"/>
          <w:numId w:val="39"/>
        </w:numPr>
        <w:spacing w:line="240" w:lineRule="auto"/>
        <w:rPr>
          <w:rFonts w:eastAsia="Times New Roman" w:cs="Arial"/>
          <w:sz w:val="28"/>
          <w:szCs w:val="24"/>
        </w:rPr>
      </w:pPr>
      <w:r w:rsidRPr="00563A21">
        <w:rPr>
          <w:rFonts w:eastAsia="Times New Roman" w:cs="Arial"/>
          <w:color w:val="000000"/>
          <w:szCs w:val="20"/>
          <w:lang w:eastAsia="bg-BG"/>
        </w:rPr>
        <w:t>Пациенти с феохромоцитом (виж раздел 4.3) - соталол хидрохлорид може да се приложи само след блокада на алфа-рецепторите.</w:t>
      </w:r>
    </w:p>
    <w:p w14:paraId="7102D4DF" w14:textId="77777777" w:rsidR="00563A21" w:rsidRPr="00563A21" w:rsidRDefault="00563A21" w:rsidP="00563A21">
      <w:pPr>
        <w:spacing w:line="240" w:lineRule="auto"/>
        <w:rPr>
          <w:rFonts w:eastAsia="Times New Roman" w:cs="Arial"/>
          <w:color w:val="000000"/>
          <w:szCs w:val="20"/>
          <w:lang w:eastAsia="bg-BG"/>
        </w:rPr>
      </w:pPr>
    </w:p>
    <w:p w14:paraId="37379DCA" w14:textId="0373153F"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В единични случаи фармацевтични продукти с действие на бета-рецепторни-блокери могат да провокират псориазис, да засилят симптомите на това заболяване или да предизвикат псориазоподобен екзантем.</w:t>
      </w:r>
    </w:p>
    <w:p w14:paraId="5909CB56" w14:textId="77777777" w:rsidR="00563A21" w:rsidRPr="00563A21" w:rsidRDefault="00563A21" w:rsidP="00563A21">
      <w:pPr>
        <w:spacing w:line="240" w:lineRule="auto"/>
        <w:rPr>
          <w:rFonts w:eastAsia="Times New Roman" w:cs="Arial"/>
          <w:color w:val="000000"/>
          <w:szCs w:val="20"/>
          <w:lang w:eastAsia="bg-BG"/>
        </w:rPr>
      </w:pPr>
    </w:p>
    <w:p w14:paraId="6BAD2599" w14:textId="14AD57B1"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Соталол хидрохлорид, като бета-рецепторен-блокер, може да увеличи чувствителността към алергени и силата на анафилактичните реакции. При пациенти с тежки реакции на свръхчувствителност в миналото и при пациенти, при които е била провеждана десенсибилизираща терапия, може да има засилени анафилактични реакции.</w:t>
      </w:r>
    </w:p>
    <w:p w14:paraId="5D7469E5" w14:textId="77777777" w:rsidR="00563A21" w:rsidRPr="00563A21" w:rsidRDefault="00563A21" w:rsidP="00563A21">
      <w:pPr>
        <w:spacing w:line="240" w:lineRule="auto"/>
        <w:rPr>
          <w:rFonts w:eastAsia="Times New Roman" w:cs="Arial"/>
          <w:color w:val="000000"/>
          <w:szCs w:val="20"/>
          <w:lang w:eastAsia="bg-BG"/>
        </w:rPr>
      </w:pPr>
    </w:p>
    <w:p w14:paraId="6C8848E7" w14:textId="67CA7842"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При пациенти след миокарден инфаркт или с нарушена камерна функция съществува риск от увеличение на сърдечните ритьмни нарушения (проаритмии).</w:t>
      </w:r>
    </w:p>
    <w:p w14:paraId="272D15AC" w14:textId="77777777" w:rsidR="00563A21" w:rsidRPr="00563A21" w:rsidRDefault="00563A21" w:rsidP="00563A21">
      <w:pPr>
        <w:spacing w:line="240" w:lineRule="auto"/>
        <w:rPr>
          <w:rFonts w:eastAsia="Times New Roman" w:cs="Arial"/>
          <w:color w:val="000000"/>
          <w:szCs w:val="20"/>
          <w:lang w:eastAsia="bg-BG"/>
        </w:rPr>
      </w:pPr>
    </w:p>
    <w:p w14:paraId="4361BC88" w14:textId="560F61F0"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lastRenderedPageBreak/>
        <w:t xml:space="preserve">В случаи на комбинирана терапия с клас I антиаритмици, трябва да се избягва прилагането на продукти, които могат да доведат до разширяване на </w:t>
      </w:r>
      <w:r w:rsidRPr="00563A21">
        <w:rPr>
          <w:rFonts w:eastAsia="Times New Roman" w:cs="Arial"/>
          <w:color w:val="000000"/>
          <w:szCs w:val="20"/>
          <w:lang w:val="en-US"/>
        </w:rPr>
        <w:t>QRS</w:t>
      </w:r>
      <w:r w:rsidRPr="00563A21">
        <w:rPr>
          <w:rFonts w:eastAsia="Times New Roman" w:cs="Arial"/>
          <w:color w:val="000000"/>
          <w:szCs w:val="20"/>
          <w:lang w:val="ru-RU"/>
        </w:rPr>
        <w:t xml:space="preserve"> </w:t>
      </w:r>
      <w:r w:rsidRPr="00563A21">
        <w:rPr>
          <w:rFonts w:eastAsia="Times New Roman" w:cs="Arial"/>
          <w:color w:val="000000"/>
          <w:szCs w:val="20"/>
          <w:lang w:eastAsia="bg-BG"/>
        </w:rPr>
        <w:t xml:space="preserve">комплекса (особенно хинидино-подобни), тъй като може да се стигне до извънредно голямо удължаване на </w:t>
      </w:r>
      <w:r w:rsidRPr="00563A21">
        <w:rPr>
          <w:rFonts w:eastAsia="Times New Roman" w:cs="Arial"/>
          <w:color w:val="000000"/>
          <w:szCs w:val="20"/>
          <w:lang w:val="en-US"/>
        </w:rPr>
        <w:t>QT</w:t>
      </w:r>
      <w:r w:rsidRPr="00563A21">
        <w:rPr>
          <w:rFonts w:eastAsia="Times New Roman" w:cs="Arial"/>
          <w:color w:val="000000"/>
          <w:szCs w:val="20"/>
          <w:lang w:eastAsia="bg-BG"/>
        </w:rPr>
        <w:t xml:space="preserve">-интервала и опасност от по- лесно възникване на камерни аритмии. По същите причини да се избягва едновременното приложение с други антиаритмични средства от </w:t>
      </w:r>
      <w:r w:rsidRPr="00563A21">
        <w:rPr>
          <w:rFonts w:eastAsia="Times New Roman" w:cs="Arial"/>
          <w:color w:val="000000"/>
          <w:szCs w:val="20"/>
          <w:lang w:val="en-US"/>
        </w:rPr>
        <w:t>III</w:t>
      </w:r>
      <w:r w:rsidRPr="00563A21">
        <w:rPr>
          <w:rFonts w:eastAsia="Times New Roman" w:cs="Arial"/>
          <w:color w:val="000000"/>
          <w:szCs w:val="20"/>
          <w:lang w:eastAsia="bg-BG"/>
        </w:rPr>
        <w:t>-клас.</w:t>
      </w:r>
    </w:p>
    <w:p w14:paraId="65D6EC37" w14:textId="77777777" w:rsidR="00563A21" w:rsidRPr="00563A21" w:rsidRDefault="00563A21" w:rsidP="00563A21">
      <w:pPr>
        <w:spacing w:line="240" w:lineRule="auto"/>
        <w:rPr>
          <w:rFonts w:eastAsia="Times New Roman" w:cs="Arial"/>
          <w:color w:val="000000"/>
          <w:szCs w:val="20"/>
          <w:lang w:eastAsia="bg-BG"/>
        </w:rPr>
      </w:pPr>
    </w:p>
    <w:p w14:paraId="4D37630D" w14:textId="77777777" w:rsidR="00563A21" w:rsidRPr="00563A21" w:rsidRDefault="00563A21" w:rsidP="00563A21">
      <w:pPr>
        <w:spacing w:line="240" w:lineRule="auto"/>
        <w:rPr>
          <w:rFonts w:eastAsia="Times New Roman" w:cs="Arial"/>
          <w:color w:val="000000"/>
          <w:szCs w:val="20"/>
          <w:lang w:eastAsia="bg-BG"/>
        </w:rPr>
      </w:pPr>
      <w:r w:rsidRPr="00563A21">
        <w:rPr>
          <w:rFonts w:eastAsia="Times New Roman" w:cs="Arial"/>
          <w:color w:val="000000"/>
          <w:szCs w:val="20"/>
          <w:lang w:eastAsia="bg-BG"/>
        </w:rPr>
        <w:t xml:space="preserve">При случаи на тежка персистираща диария или едновременен прием на лекарствени продукти, които водят до загуба на магнезий и/или калий, електролитният баланс и алкално-киселинното равновесие трябва строго </w:t>
      </w:r>
    </w:p>
    <w:p w14:paraId="178A7591" w14:textId="0130EE6C"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да се мониторират.</w:t>
      </w:r>
    </w:p>
    <w:p w14:paraId="0286B227" w14:textId="77777777" w:rsidR="00563A21" w:rsidRPr="00563A21" w:rsidRDefault="00563A21" w:rsidP="00563A21">
      <w:pPr>
        <w:spacing w:line="240" w:lineRule="auto"/>
        <w:rPr>
          <w:rFonts w:eastAsia="Times New Roman" w:cs="Arial"/>
          <w:color w:val="000000"/>
          <w:szCs w:val="20"/>
          <w:lang w:eastAsia="bg-BG"/>
        </w:rPr>
      </w:pPr>
    </w:p>
    <w:p w14:paraId="35CCEC15" w14:textId="60DFBDF1"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 xml:space="preserve">Поради наличието на соталол хидрохлорид в урината, фотометричното определяне на метанефрин може да покаже погрешно завишени стойности. При пациенти, лекуващи се със соталол хидрохлорид, при които има съмнение за феохромоцитом, урината трябва да се анализира чрез </w:t>
      </w:r>
      <w:r w:rsidRPr="00563A21">
        <w:rPr>
          <w:rFonts w:eastAsia="Times New Roman" w:cs="Arial"/>
          <w:color w:val="000000"/>
          <w:szCs w:val="20"/>
          <w:lang w:val="en-US"/>
        </w:rPr>
        <w:t>HPLC</w:t>
      </w:r>
      <w:r w:rsidRPr="00563A21">
        <w:rPr>
          <w:rFonts w:eastAsia="Times New Roman" w:cs="Arial"/>
          <w:color w:val="000000"/>
          <w:szCs w:val="20"/>
          <w:lang w:val="ru-RU"/>
        </w:rPr>
        <w:t xml:space="preserve"> </w:t>
      </w:r>
      <w:r w:rsidRPr="00563A21">
        <w:rPr>
          <w:rFonts w:eastAsia="Times New Roman" w:cs="Arial"/>
          <w:color w:val="000000"/>
          <w:szCs w:val="20"/>
          <w:lang w:eastAsia="bg-BG"/>
        </w:rPr>
        <w:t>с твърдофазна екстракция.</w:t>
      </w:r>
    </w:p>
    <w:p w14:paraId="1F9EFB3A" w14:textId="77777777" w:rsidR="00563A21" w:rsidRPr="00563A21" w:rsidRDefault="00563A21" w:rsidP="00563A21">
      <w:pPr>
        <w:spacing w:line="240" w:lineRule="auto"/>
        <w:rPr>
          <w:rFonts w:eastAsia="Times New Roman" w:cs="Arial"/>
          <w:color w:val="000000"/>
          <w:szCs w:val="20"/>
          <w:lang w:eastAsia="bg-BG"/>
        </w:rPr>
      </w:pPr>
    </w:p>
    <w:p w14:paraId="1AC0F54D" w14:textId="6E744CD8" w:rsidR="00563A21" w:rsidRPr="00563A21" w:rsidRDefault="00563A21" w:rsidP="00563A21">
      <w:pPr>
        <w:spacing w:line="240" w:lineRule="auto"/>
        <w:rPr>
          <w:rFonts w:eastAsia="Times New Roman" w:cs="Arial"/>
          <w:i/>
          <w:color w:val="000000"/>
          <w:szCs w:val="20"/>
          <w:lang w:eastAsia="bg-BG"/>
        </w:rPr>
      </w:pPr>
      <w:r w:rsidRPr="00563A21">
        <w:rPr>
          <w:rFonts w:eastAsia="Times New Roman" w:cs="Arial"/>
          <w:i/>
          <w:color w:val="000000"/>
          <w:szCs w:val="20"/>
          <w:lang w:val="en-US" w:eastAsia="bg-BG"/>
        </w:rPr>
        <w:t>Д</w:t>
      </w:r>
      <w:r w:rsidRPr="00563A21">
        <w:rPr>
          <w:rFonts w:eastAsia="Times New Roman" w:cs="Arial"/>
          <w:i/>
          <w:color w:val="000000"/>
          <w:szCs w:val="20"/>
          <w:lang w:eastAsia="bg-BG"/>
        </w:rPr>
        <w:t>еца</w:t>
      </w:r>
    </w:p>
    <w:p w14:paraId="1189A225" w14:textId="3118AD66"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Соталол хидрохлорид не трябва да се прилага при деца, поради липса на опит в тази възрастова група.</w:t>
      </w:r>
    </w:p>
    <w:p w14:paraId="6BBE577A" w14:textId="77777777" w:rsidR="00563A21" w:rsidRPr="00563A21" w:rsidRDefault="00563A21" w:rsidP="00563A21">
      <w:pPr>
        <w:spacing w:line="240" w:lineRule="auto"/>
        <w:rPr>
          <w:rFonts w:eastAsia="Times New Roman" w:cs="Arial"/>
          <w:i/>
          <w:iCs/>
          <w:color w:val="000000"/>
          <w:szCs w:val="20"/>
          <w:lang w:eastAsia="bg-BG"/>
        </w:rPr>
      </w:pPr>
    </w:p>
    <w:p w14:paraId="681E27FA" w14:textId="046D2F5B" w:rsidR="00563A21" w:rsidRPr="00563A21" w:rsidRDefault="00563A21" w:rsidP="00563A21">
      <w:pPr>
        <w:spacing w:line="240" w:lineRule="auto"/>
        <w:rPr>
          <w:rFonts w:eastAsia="Times New Roman" w:cs="Arial"/>
          <w:sz w:val="28"/>
          <w:szCs w:val="24"/>
        </w:rPr>
      </w:pPr>
      <w:r w:rsidRPr="00563A21">
        <w:rPr>
          <w:rFonts w:eastAsia="Times New Roman" w:cs="Arial"/>
          <w:i/>
          <w:iCs/>
          <w:color w:val="000000"/>
          <w:szCs w:val="20"/>
          <w:lang w:eastAsia="bg-BG"/>
        </w:rPr>
        <w:t>Пациенти в напреднала възраст</w:t>
      </w:r>
    </w:p>
    <w:p w14:paraId="67F0870C"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При лечение на пациенти с напреднала възраст трябва да се има предвид възможността за наличие на ограничена бъбречна функция.</w:t>
      </w:r>
    </w:p>
    <w:p w14:paraId="3E7E95DE" w14:textId="05E616FF" w:rsidR="00563A21" w:rsidRPr="00563A21" w:rsidRDefault="00563A21" w:rsidP="00563A21"/>
    <w:p w14:paraId="71ED2EC5" w14:textId="77777777" w:rsidR="00563A21"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4A0E8903" w14:textId="77777777" w:rsidR="00563A21" w:rsidRDefault="00563A21" w:rsidP="00563A21"/>
    <w:p w14:paraId="2B8EE7C5" w14:textId="77777777" w:rsidR="00563A21" w:rsidRPr="00563A21" w:rsidRDefault="00563A21" w:rsidP="00563A21">
      <w:pPr>
        <w:rPr>
          <w:rFonts w:cs="Arial"/>
          <w:szCs w:val="20"/>
        </w:rPr>
      </w:pPr>
      <w:r w:rsidRPr="00563A21">
        <w:rPr>
          <w:rFonts w:cs="Arial"/>
          <w:szCs w:val="20"/>
        </w:rPr>
        <w:t xml:space="preserve">При едновременното приемане на соталол хидрохлорид и калциеви антагонисти от верапамилов и дилтиаземов тип (като дизопирамид) може да се стигне до по-значителен спад на кръвното налягане; до брадикардни нарушения на сърдечния ритъм и високостепенни атрио-вентрикуларни нарушения в предаването на импулсите в резултат от комбинираното действие върху синусовия и </w:t>
      </w:r>
      <w:r w:rsidRPr="00563A21">
        <w:rPr>
          <w:rFonts w:cs="Arial"/>
          <w:szCs w:val="20"/>
          <w:lang w:val="en-US"/>
        </w:rPr>
        <w:t>AV</w:t>
      </w:r>
      <w:r w:rsidRPr="00563A21">
        <w:rPr>
          <w:rFonts w:cs="Arial"/>
          <w:szCs w:val="20"/>
          <w:lang w:val="ru-RU"/>
        </w:rPr>
        <w:t>-</w:t>
      </w:r>
      <w:r w:rsidRPr="00563A21">
        <w:rPr>
          <w:rFonts w:cs="Arial"/>
          <w:szCs w:val="20"/>
        </w:rPr>
        <w:t>възли Противопоказано е венозно приложение на калциеви антагонисти от верапамилов и дилтиназемов тип при пациенти, които се лекуват със соталол хидрохлорид (изключение - при спешни състояния)</w:t>
      </w:r>
    </w:p>
    <w:p w14:paraId="4FAFB115" w14:textId="77777777" w:rsidR="00563A21" w:rsidRPr="00563A21" w:rsidRDefault="00563A21" w:rsidP="00563A21">
      <w:pPr>
        <w:rPr>
          <w:rFonts w:cs="Arial"/>
          <w:szCs w:val="20"/>
        </w:rPr>
      </w:pPr>
    </w:p>
    <w:p w14:paraId="667E1758"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 xml:space="preserve">При комбинирано лечение с антиаритмични препарати от клас I (особено хинидиноподобни субстанции) и други антиаритмици от клас III, съществува опасност от значително удължаване на </w:t>
      </w:r>
      <w:r w:rsidRPr="00563A21">
        <w:rPr>
          <w:rFonts w:eastAsia="Times New Roman" w:cs="Arial"/>
          <w:color w:val="000000"/>
          <w:szCs w:val="20"/>
          <w:lang w:val="en-US"/>
        </w:rPr>
        <w:t>QT</w:t>
      </w:r>
      <w:r w:rsidRPr="00563A21">
        <w:rPr>
          <w:rFonts w:eastAsia="Times New Roman" w:cs="Arial"/>
          <w:color w:val="000000"/>
          <w:szCs w:val="20"/>
          <w:lang w:val="ru-RU"/>
        </w:rPr>
        <w:t xml:space="preserve">, </w:t>
      </w:r>
      <w:r w:rsidRPr="00563A21">
        <w:rPr>
          <w:rFonts w:eastAsia="Times New Roman" w:cs="Arial"/>
          <w:color w:val="000000"/>
          <w:szCs w:val="20"/>
          <w:lang w:eastAsia="bg-BG"/>
        </w:rPr>
        <w:t>свързано с повишен риск от настъпване на камерни аритмии.</w:t>
      </w:r>
    </w:p>
    <w:p w14:paraId="328F6D7F" w14:textId="77777777" w:rsidR="00563A21" w:rsidRPr="00563A21" w:rsidRDefault="00563A21" w:rsidP="00563A21">
      <w:pPr>
        <w:spacing w:line="240" w:lineRule="auto"/>
        <w:rPr>
          <w:rFonts w:eastAsia="Times New Roman" w:cs="Arial"/>
          <w:color w:val="000000"/>
          <w:szCs w:val="20"/>
          <w:lang w:eastAsia="bg-BG"/>
        </w:rPr>
      </w:pPr>
    </w:p>
    <w:p w14:paraId="0E5274D9" w14:textId="01F1C140"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Едновременният прием на соталол хидрохлорид с други лекарствени продукти, които притежават свойства на бета-рецепторни-блокери, може да доведе до адитивни ефекти тип клас II (понижение на кръвното налягане и забавяне сърдечна честота).</w:t>
      </w:r>
    </w:p>
    <w:p w14:paraId="18F54080" w14:textId="77777777" w:rsidR="00563A21" w:rsidRPr="00563A21" w:rsidRDefault="00563A21" w:rsidP="00563A21">
      <w:pPr>
        <w:spacing w:line="240" w:lineRule="auto"/>
        <w:rPr>
          <w:rFonts w:eastAsia="Times New Roman" w:cs="Arial"/>
          <w:color w:val="000000"/>
          <w:szCs w:val="20"/>
          <w:lang w:eastAsia="bg-BG"/>
        </w:rPr>
      </w:pPr>
    </w:p>
    <w:p w14:paraId="0C594F33" w14:textId="43687249"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 xml:space="preserve">При едновременно прилагане на соталол и лекарствени продукти, които могат да удължат </w:t>
      </w:r>
      <w:r w:rsidRPr="00563A21">
        <w:rPr>
          <w:rFonts w:eastAsia="Times New Roman" w:cs="Arial"/>
          <w:color w:val="000000"/>
          <w:szCs w:val="20"/>
          <w:lang w:val="en-US"/>
        </w:rPr>
        <w:t>QT</w:t>
      </w:r>
      <w:r w:rsidRPr="00563A21">
        <w:rPr>
          <w:rFonts w:eastAsia="Times New Roman" w:cs="Arial"/>
          <w:color w:val="000000"/>
          <w:szCs w:val="20"/>
          <w:lang w:val="ru-RU"/>
        </w:rPr>
        <w:t xml:space="preserve">- </w:t>
      </w:r>
      <w:r w:rsidRPr="00563A21">
        <w:rPr>
          <w:rFonts w:eastAsia="Times New Roman" w:cs="Arial"/>
          <w:color w:val="000000"/>
          <w:szCs w:val="20"/>
          <w:lang w:eastAsia="bg-BG"/>
        </w:rPr>
        <w:t xml:space="preserve">интервала, като например три- и тетрациклични антидепресанти (имипрамин, мапротолин), антихистаминови (астемизол, терфенадин), хинолинови антибиотици (спрафлоксацин), макролидни антибиотици (еритромицин), пробукол, </w:t>
      </w:r>
      <w:r w:rsidRPr="00563A21">
        <w:rPr>
          <w:rFonts w:eastAsia="Times New Roman" w:cs="Arial"/>
          <w:color w:val="000000"/>
          <w:szCs w:val="20"/>
          <w:lang w:eastAsia="bg-BG"/>
        </w:rPr>
        <w:lastRenderedPageBreak/>
        <w:t xml:space="preserve">халоперидол и халофантрин има повишен риск от поява на проаритмии </w:t>
      </w:r>
      <w:r w:rsidRPr="00563A21">
        <w:rPr>
          <w:rFonts w:eastAsia="Times New Roman" w:cs="Arial"/>
          <w:color w:val="000000"/>
          <w:szCs w:val="20"/>
          <w:lang w:val="ru-RU"/>
        </w:rPr>
        <w:t>(</w:t>
      </w:r>
      <w:r w:rsidRPr="00563A21">
        <w:rPr>
          <w:rFonts w:eastAsia="Times New Roman" w:cs="Arial"/>
          <w:color w:val="000000"/>
          <w:szCs w:val="20"/>
          <w:lang w:val="en-US"/>
        </w:rPr>
        <w:t>Torsade</w:t>
      </w:r>
      <w:r w:rsidRPr="00563A21">
        <w:rPr>
          <w:rFonts w:eastAsia="Times New Roman" w:cs="Arial"/>
          <w:color w:val="000000"/>
          <w:szCs w:val="20"/>
          <w:lang w:val="ru-RU"/>
        </w:rPr>
        <w:t xml:space="preserve"> </w:t>
      </w:r>
      <w:r w:rsidRPr="00563A21">
        <w:rPr>
          <w:rFonts w:eastAsia="Times New Roman" w:cs="Arial"/>
          <w:color w:val="000000"/>
          <w:szCs w:val="20"/>
          <w:lang w:val="en-US"/>
        </w:rPr>
        <w:t>de</w:t>
      </w:r>
      <w:r w:rsidRPr="00563A21">
        <w:rPr>
          <w:rFonts w:eastAsia="Times New Roman" w:cs="Arial"/>
          <w:color w:val="000000"/>
          <w:szCs w:val="20"/>
          <w:lang w:val="ru-RU"/>
        </w:rPr>
        <w:t xml:space="preserve"> </w:t>
      </w:r>
      <w:r w:rsidRPr="00563A21">
        <w:rPr>
          <w:rFonts w:eastAsia="Times New Roman" w:cs="Arial"/>
          <w:color w:val="000000"/>
          <w:szCs w:val="20"/>
          <w:lang w:val="en-US"/>
        </w:rPr>
        <w:t>pointes</w:t>
      </w:r>
      <w:r w:rsidRPr="00563A21">
        <w:rPr>
          <w:rFonts w:eastAsia="Times New Roman" w:cs="Arial"/>
          <w:color w:val="000000"/>
          <w:szCs w:val="20"/>
          <w:lang w:val="ru-RU"/>
        </w:rPr>
        <w:t>).</w:t>
      </w:r>
    </w:p>
    <w:p w14:paraId="1B359766" w14:textId="77777777" w:rsidR="00563A21" w:rsidRPr="00563A21" w:rsidRDefault="00563A21" w:rsidP="00563A21">
      <w:pPr>
        <w:spacing w:line="240" w:lineRule="auto"/>
        <w:rPr>
          <w:rFonts w:eastAsia="Times New Roman" w:cs="Arial"/>
          <w:color w:val="000000"/>
          <w:szCs w:val="20"/>
          <w:lang w:eastAsia="bg-BG"/>
        </w:rPr>
      </w:pPr>
    </w:p>
    <w:p w14:paraId="59400B00" w14:textId="13B82A25"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При едновременно прилагане на калциеви антагонисти от нифедипинов тип може да се стигне до по- голям спад на кръвното налягане. Предполага се по-значимо потискане на синусовия възел.</w:t>
      </w:r>
    </w:p>
    <w:p w14:paraId="08F2F70A"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При едновременно прилагане на соталол хидрохлорид и норадреналин или МАО-инхибитори, както и след рязко прекъсване на едновременния прием на клонидин, може значително да се повиши кръвното налягане.</w:t>
      </w:r>
    </w:p>
    <w:p w14:paraId="33DD5B96" w14:textId="77777777" w:rsidR="00563A21" w:rsidRPr="00563A21" w:rsidRDefault="00563A21" w:rsidP="00563A21">
      <w:pPr>
        <w:spacing w:line="240" w:lineRule="auto"/>
        <w:rPr>
          <w:rFonts w:eastAsia="Times New Roman" w:cs="Arial"/>
          <w:color w:val="000000"/>
          <w:szCs w:val="20"/>
          <w:lang w:eastAsia="bg-BG"/>
        </w:rPr>
      </w:pPr>
    </w:p>
    <w:p w14:paraId="6BFBEDA8" w14:textId="71FDE23E"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При едновременен прием на бета-2-рецепторни антагонисти като салбутамол, тербуталин и изопреналин със соталол хидрохлорид може да се окаже необходимо да се повиши дозата на бета-2- рецепторния антагонист.</w:t>
      </w:r>
    </w:p>
    <w:p w14:paraId="3D405E20" w14:textId="77777777" w:rsidR="00563A21" w:rsidRPr="00563A21" w:rsidRDefault="00563A21" w:rsidP="00563A21">
      <w:pPr>
        <w:spacing w:line="240" w:lineRule="auto"/>
        <w:rPr>
          <w:rFonts w:eastAsia="Times New Roman" w:cs="Arial"/>
          <w:color w:val="000000"/>
          <w:szCs w:val="20"/>
          <w:lang w:eastAsia="bg-BG"/>
        </w:rPr>
      </w:pPr>
    </w:p>
    <w:p w14:paraId="3AD93A9F" w14:textId="4E0F5518"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Едновременното прилагане на соталол хидрохлорид и трициклични антидепресанти, барбитурати, фенотиазинови и наркотични препарати, както и антихипертензивни медикаменти, диуретици и вазодилататори може да доведе до по-голям спад на кръвното налягане.</w:t>
      </w:r>
    </w:p>
    <w:p w14:paraId="4B6DAE79" w14:textId="77777777" w:rsidR="00563A21" w:rsidRPr="00563A21" w:rsidRDefault="00563A21" w:rsidP="00563A21">
      <w:pPr>
        <w:spacing w:line="240" w:lineRule="auto"/>
        <w:rPr>
          <w:rFonts w:eastAsia="Times New Roman" w:cs="Arial"/>
          <w:color w:val="000000"/>
          <w:szCs w:val="20"/>
          <w:lang w:eastAsia="bg-BG"/>
        </w:rPr>
      </w:pPr>
    </w:p>
    <w:p w14:paraId="3AAAB184" w14:textId="2D9BC1FC"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Отрицателното инотропно действие на соталол и наркотични вещества или антиаритмици може да се потенцира.</w:t>
      </w:r>
    </w:p>
    <w:p w14:paraId="4A800DBC" w14:textId="77777777" w:rsidR="00563A21" w:rsidRPr="00563A21" w:rsidRDefault="00563A21" w:rsidP="00563A21">
      <w:pPr>
        <w:spacing w:line="240" w:lineRule="auto"/>
        <w:rPr>
          <w:rFonts w:eastAsia="Times New Roman" w:cs="Arial"/>
          <w:color w:val="000000"/>
          <w:szCs w:val="20"/>
          <w:lang w:eastAsia="bg-BG"/>
        </w:rPr>
      </w:pPr>
    </w:p>
    <w:p w14:paraId="4168E0EE" w14:textId="6967B462"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Отрицателното хронотропно и отрицателното дромотропно действие на соталол хидрохлорид може да нарастне при едновременно прилагане на резерпин, клонидин, алфа-метилдопа, гуанфацин и сърдечни гликозиди.</w:t>
      </w:r>
    </w:p>
    <w:p w14:paraId="12B836FE" w14:textId="77777777" w:rsidR="00563A21" w:rsidRPr="00563A21" w:rsidRDefault="00563A21" w:rsidP="00563A21">
      <w:pPr>
        <w:spacing w:line="240" w:lineRule="auto"/>
        <w:rPr>
          <w:rFonts w:eastAsia="Times New Roman" w:cs="Arial"/>
          <w:color w:val="000000"/>
          <w:szCs w:val="20"/>
          <w:lang w:eastAsia="bg-BG"/>
        </w:rPr>
      </w:pPr>
    </w:p>
    <w:p w14:paraId="6F89EB57" w14:textId="49CB2E33"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Невромускулната блокада чрез тубокурарин може да бъде засилена, поради потискането на бета- рецегггорите.</w:t>
      </w:r>
    </w:p>
    <w:p w14:paraId="02E18ADB" w14:textId="77777777" w:rsidR="00563A21" w:rsidRPr="00563A21" w:rsidRDefault="00563A21" w:rsidP="00563A21">
      <w:pPr>
        <w:spacing w:line="240" w:lineRule="auto"/>
        <w:rPr>
          <w:rFonts w:eastAsia="Times New Roman" w:cs="Arial"/>
          <w:color w:val="000000"/>
          <w:szCs w:val="20"/>
          <w:lang w:eastAsia="bg-BG"/>
        </w:rPr>
      </w:pPr>
    </w:p>
    <w:p w14:paraId="1916637E" w14:textId="4022674B"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Едновременното прилагане на соталол хидрохлорид и инсулин или орални антидиабетни средства (особено при физическо натоварване) може да предизвика хипогликемия със завоалиране на симптомите.</w:t>
      </w:r>
    </w:p>
    <w:p w14:paraId="7886535B" w14:textId="77777777" w:rsidR="00563A21" w:rsidRPr="00563A21" w:rsidRDefault="00563A21" w:rsidP="00563A21">
      <w:pPr>
        <w:spacing w:line="240" w:lineRule="auto"/>
        <w:rPr>
          <w:rFonts w:eastAsia="Times New Roman" w:cs="Arial"/>
          <w:color w:val="000000"/>
          <w:szCs w:val="20"/>
          <w:lang w:eastAsia="bg-BG"/>
        </w:rPr>
      </w:pPr>
    </w:p>
    <w:p w14:paraId="0AF3880F" w14:textId="2198A889"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При едновременно приемане на диуретици, свързани със загуба на калий (напр. фуроземид, хидрохлоротиазид) съществува повишена опасност от нарушаване на сърдечния ритъм в резултат от хипокалиемията.</w:t>
      </w:r>
    </w:p>
    <w:p w14:paraId="1E7B4321" w14:textId="77777777" w:rsidR="00563A21" w:rsidRPr="00563A21" w:rsidRDefault="00563A21" w:rsidP="00563A21">
      <w:pPr>
        <w:rPr>
          <w:rFonts w:eastAsia="Times New Roman" w:cs="Arial"/>
          <w:color w:val="000000"/>
          <w:szCs w:val="20"/>
          <w:lang w:eastAsia="bg-BG"/>
        </w:rPr>
      </w:pPr>
    </w:p>
    <w:p w14:paraId="760BE860" w14:textId="5438B4C1" w:rsidR="00563A21" w:rsidRDefault="00563A21" w:rsidP="00563A21">
      <w:r w:rsidRPr="00563A21">
        <w:rPr>
          <w:rFonts w:eastAsia="Times New Roman" w:cs="Arial"/>
          <w:color w:val="000000"/>
          <w:szCs w:val="20"/>
          <w:lang w:eastAsia="bg-BG"/>
        </w:rPr>
        <w:t>Едновременно прилагане на трициклични антидепресанти или алкохол и соталол хидрохлорид трябва да се избягва, поради възможност за поява на камерни аритмии (описани са единични случаи).</w:t>
      </w:r>
      <w:r w:rsidR="002C50EE" w:rsidRPr="00563A21">
        <w:rPr>
          <w:sz w:val="24"/>
        </w:rPr>
        <w:t xml:space="preserve"> </w:t>
      </w:r>
    </w:p>
    <w:p w14:paraId="4C1C6AA2" w14:textId="77777777" w:rsidR="00563A21" w:rsidRPr="00563A21" w:rsidRDefault="00563A21" w:rsidP="00563A21"/>
    <w:p w14:paraId="006BE4EC" w14:textId="748A164B" w:rsidR="00DB32D3" w:rsidRDefault="002C50EE" w:rsidP="005726E3">
      <w:pPr>
        <w:pStyle w:val="Heading2"/>
      </w:pPr>
      <w:r>
        <w:t>4.6. Фертилитет, бременност и кърмене</w:t>
      </w:r>
    </w:p>
    <w:p w14:paraId="70862EEF" w14:textId="66C3720B" w:rsidR="00563A21" w:rsidRDefault="00563A21" w:rsidP="00563A21"/>
    <w:p w14:paraId="5BBA3EEC" w14:textId="77777777" w:rsidR="00563A21" w:rsidRPr="00563A21" w:rsidRDefault="00563A21" w:rsidP="00563A21">
      <w:pPr>
        <w:rPr>
          <w:sz w:val="24"/>
          <w:szCs w:val="24"/>
        </w:rPr>
      </w:pPr>
      <w:r w:rsidRPr="00563A21">
        <w:rPr>
          <w:lang w:eastAsia="bg-BG"/>
        </w:rPr>
        <w:t>Соталол хидрохлорид може да се прилага само при строги показания и стриктна преценка на съотношението полза - възможен риск, тъй като до момента няма достатъчен опит при бременни. Проучвания с животни са показали потенциална репродуктивна токсичност (виж раздел 5.3)</w:t>
      </w:r>
    </w:p>
    <w:p w14:paraId="358E3E67" w14:textId="77777777" w:rsidR="00563A21" w:rsidRPr="00563A21" w:rsidRDefault="00563A21" w:rsidP="00563A21">
      <w:pPr>
        <w:rPr>
          <w:sz w:val="24"/>
          <w:szCs w:val="24"/>
        </w:rPr>
      </w:pPr>
      <w:r w:rsidRPr="00563A21">
        <w:rPr>
          <w:lang w:eastAsia="bg-BG"/>
        </w:rPr>
        <w:t xml:space="preserve">Този медикамент преминава през плацентата и достига фармакологично ефективни концентрации в плода, така че брадикардия, хипотония и хипогликемия трябва да се </w:t>
      </w:r>
      <w:r w:rsidRPr="00563A21">
        <w:rPr>
          <w:lang w:eastAsia="bg-BG"/>
        </w:rPr>
        <w:lastRenderedPageBreak/>
        <w:t>очакват при плода или новороденото. Поради тази причина лечението трябва да бъде спряно 48-72 часа преди предвидения</w:t>
      </w:r>
      <w:r>
        <w:rPr>
          <w:lang w:eastAsia="bg-BG"/>
        </w:rPr>
        <w:t xml:space="preserve"> </w:t>
      </w:r>
      <w:r w:rsidRPr="00563A21">
        <w:rPr>
          <w:lang w:eastAsia="bg-BG"/>
        </w:rPr>
        <w:t>срок на раждане. След раждането детето трябва също да бъде наблюдавано за известен период от време за признаци на бета-рецепторен блок.</w:t>
      </w:r>
    </w:p>
    <w:p w14:paraId="72FB0D80" w14:textId="7A31E270" w:rsidR="00563A21" w:rsidRDefault="00563A21" w:rsidP="00563A21">
      <w:pPr>
        <w:rPr>
          <w:lang w:eastAsia="bg-BG"/>
        </w:rPr>
      </w:pPr>
      <w:r w:rsidRPr="00563A21">
        <w:rPr>
          <w:lang w:eastAsia="bg-BG"/>
        </w:rPr>
        <w:t>Соталол хидрохлорид акумулира в майчиното мляко, с достигане на нива на активното вещество 3-5 пъти по-високи от плазмените нива при майката. При кърмене по време на терапията със соталол хидрохлорид, новороденото трябва да се наблюдава за признаци на бета-рецепторен блок.</w:t>
      </w:r>
    </w:p>
    <w:p w14:paraId="66C8DC72" w14:textId="77777777" w:rsidR="00563A21" w:rsidRPr="00563A21" w:rsidRDefault="00563A21" w:rsidP="00563A21"/>
    <w:p w14:paraId="128BA3A8" w14:textId="42BDE1B2" w:rsidR="00DB32D3" w:rsidRDefault="002C50EE" w:rsidP="005726E3">
      <w:pPr>
        <w:pStyle w:val="Heading2"/>
      </w:pPr>
      <w:r>
        <w:t>4.7. Ефекти върху способността за шофиране и работа с машини</w:t>
      </w:r>
    </w:p>
    <w:p w14:paraId="0988532B" w14:textId="4DEB4281" w:rsidR="00563A21" w:rsidRDefault="00563A21" w:rsidP="00563A21"/>
    <w:p w14:paraId="1F90F2EF" w14:textId="77777777" w:rsidR="00563A21" w:rsidRPr="00563A21" w:rsidRDefault="00563A21" w:rsidP="00563A21">
      <w:pPr>
        <w:rPr>
          <w:sz w:val="24"/>
          <w:szCs w:val="24"/>
        </w:rPr>
      </w:pPr>
      <w:r w:rsidRPr="00563A21">
        <w:rPr>
          <w:lang w:eastAsia="bg-BG"/>
        </w:rPr>
        <w:t>Дори когато се използва по предназначение, според инструкциите, този лекарствен продукт може да повлияе реакциите до степен на нарушение на способността за шофиране, работа с машини или на места с липса на стабилна опора. Това се отнася особено за началото на терапията, когато дозите се увеличават, когато се сменя препарата или в комбинация с алкохол.</w:t>
      </w:r>
    </w:p>
    <w:p w14:paraId="55633D4E" w14:textId="77777777" w:rsidR="00563A21" w:rsidRPr="00563A21" w:rsidRDefault="00563A21" w:rsidP="00563A21"/>
    <w:p w14:paraId="44CE30A3" w14:textId="16C48E26" w:rsidR="007122AD" w:rsidRDefault="002C50EE" w:rsidP="00936AD0">
      <w:pPr>
        <w:pStyle w:val="Heading2"/>
      </w:pPr>
      <w:r>
        <w:t>4.8. Нежелани лекарствени реакции</w:t>
      </w:r>
    </w:p>
    <w:p w14:paraId="0D8DFAAF" w14:textId="1AD6CBDE" w:rsidR="00563A21" w:rsidRDefault="00563A21" w:rsidP="00563A21"/>
    <w:p w14:paraId="33CDE1F0"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t>При оценяването на нежеланите лекарствени реакции са използвани следните данни за честотата на тяхното проявление:</w:t>
      </w:r>
    </w:p>
    <w:p w14:paraId="5B16CFF2" w14:textId="77777777" w:rsidR="00563A21" w:rsidRPr="00563A21" w:rsidRDefault="00563A21" w:rsidP="00563A21">
      <w:pPr>
        <w:spacing w:line="240" w:lineRule="auto"/>
        <w:rPr>
          <w:rFonts w:eastAsia="Times New Roman" w:cs="Arial"/>
          <w:color w:val="000000"/>
          <w:lang w:eastAsia="bg-BG"/>
        </w:rPr>
      </w:pPr>
    </w:p>
    <w:p w14:paraId="7C6191D8" w14:textId="42E4B594" w:rsidR="00563A21" w:rsidRPr="00563A21" w:rsidRDefault="00563A21" w:rsidP="00563A21">
      <w:pPr>
        <w:spacing w:line="240" w:lineRule="auto"/>
        <w:rPr>
          <w:rFonts w:eastAsia="Times New Roman" w:cs="Arial"/>
        </w:rPr>
      </w:pPr>
      <w:r w:rsidRPr="00563A21">
        <w:rPr>
          <w:rFonts w:eastAsia="Times New Roman" w:cs="Arial"/>
          <w:color w:val="000000"/>
          <w:lang w:eastAsia="bg-BG"/>
        </w:rPr>
        <w:t>Много чести: (≥1/10)</w:t>
      </w:r>
    </w:p>
    <w:p w14:paraId="46250D9F" w14:textId="494FF280" w:rsidR="00563A21" w:rsidRPr="00563A21" w:rsidRDefault="00563A21" w:rsidP="00563A21">
      <w:pPr>
        <w:spacing w:line="240" w:lineRule="auto"/>
        <w:rPr>
          <w:rFonts w:eastAsia="Times New Roman" w:cs="Arial"/>
        </w:rPr>
      </w:pPr>
      <w:r w:rsidRPr="00563A21">
        <w:rPr>
          <w:rFonts w:eastAsia="Times New Roman" w:cs="Arial"/>
          <w:color w:val="000000"/>
          <w:lang w:eastAsia="bg-BG"/>
        </w:rPr>
        <w:t>Чести: (≥1/100 до &lt;1/10)</w:t>
      </w:r>
    </w:p>
    <w:p w14:paraId="168853DF" w14:textId="6E831E84" w:rsidR="00563A21" w:rsidRPr="00563A21" w:rsidRDefault="00563A21" w:rsidP="00563A21">
      <w:pPr>
        <w:spacing w:line="240" w:lineRule="auto"/>
        <w:rPr>
          <w:rFonts w:eastAsia="Times New Roman" w:cs="Arial"/>
        </w:rPr>
      </w:pPr>
      <w:r w:rsidRPr="00563A21">
        <w:rPr>
          <w:rFonts w:eastAsia="Times New Roman" w:cs="Arial"/>
          <w:color w:val="000000"/>
          <w:lang w:eastAsia="bg-BG"/>
        </w:rPr>
        <w:t>Нечести: (≥1/1,000 до &lt;1/100)</w:t>
      </w:r>
    </w:p>
    <w:p w14:paraId="070653F4" w14:textId="7F6D56B0" w:rsidR="00563A21" w:rsidRPr="00563A21" w:rsidRDefault="00563A21" w:rsidP="00563A21">
      <w:pPr>
        <w:spacing w:line="240" w:lineRule="auto"/>
        <w:rPr>
          <w:rFonts w:eastAsia="Times New Roman" w:cs="Arial"/>
        </w:rPr>
      </w:pPr>
      <w:r w:rsidRPr="00563A21">
        <w:rPr>
          <w:rFonts w:eastAsia="Times New Roman" w:cs="Arial"/>
          <w:color w:val="000000"/>
          <w:lang w:eastAsia="bg-BG"/>
        </w:rPr>
        <w:t>Редки: (≥1/10,000 до &lt;1/1,000)</w:t>
      </w:r>
    </w:p>
    <w:p w14:paraId="18CF6520"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t>Много редки: (&lt;1/10,000)</w:t>
      </w:r>
    </w:p>
    <w:p w14:paraId="676739EA"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t>С неизвестна честота (от наличните данни не може да бъде направена оценка)</w:t>
      </w:r>
    </w:p>
    <w:p w14:paraId="3F4FE453" w14:textId="77777777" w:rsidR="00563A21" w:rsidRPr="00563A21" w:rsidRDefault="00563A21" w:rsidP="00563A21">
      <w:pPr>
        <w:spacing w:line="240" w:lineRule="auto"/>
        <w:rPr>
          <w:rFonts w:eastAsia="Times New Roman" w:cs="Arial"/>
          <w:i/>
          <w:iCs/>
          <w:color w:val="000000"/>
          <w:lang w:eastAsia="bg-BG"/>
        </w:rPr>
      </w:pPr>
    </w:p>
    <w:p w14:paraId="7E25B62C" w14:textId="20A399CC" w:rsidR="00563A21" w:rsidRPr="00563A21" w:rsidRDefault="00563A21" w:rsidP="00563A21">
      <w:pPr>
        <w:spacing w:line="240" w:lineRule="auto"/>
        <w:rPr>
          <w:rFonts w:eastAsia="Times New Roman" w:cs="Arial"/>
        </w:rPr>
      </w:pPr>
      <w:r w:rsidRPr="00563A21">
        <w:rPr>
          <w:rFonts w:eastAsia="Times New Roman" w:cs="Arial"/>
          <w:i/>
          <w:iCs/>
          <w:color w:val="000000"/>
          <w:lang w:eastAsia="bg-BG"/>
        </w:rPr>
        <w:t>Метаболитни и хранителни нарушения</w:t>
      </w:r>
    </w:p>
    <w:p w14:paraId="07CAB2F8"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t xml:space="preserve">Хипогликемия: белезите на пониженото ниво на кръвната захар (особено тахикардията) може да бъдат маскирани по време на терапията със соталол хидрохлорид. Това трябва да се има предвид, особено по време на строги гладувания, както и в случаи на диабетици с анамнеза за спонтанни хипогликемии. Дислипопротеинемии: увеличен общ холестерол и триглицериди, намален </w:t>
      </w:r>
      <w:r w:rsidRPr="00563A21">
        <w:rPr>
          <w:rFonts w:eastAsia="Times New Roman" w:cs="Arial"/>
          <w:color w:val="000000"/>
          <w:lang w:val="en-US"/>
        </w:rPr>
        <w:t>HDL</w:t>
      </w:r>
      <w:r w:rsidRPr="00563A21">
        <w:rPr>
          <w:rFonts w:eastAsia="Times New Roman" w:cs="Arial"/>
          <w:color w:val="000000"/>
          <w:lang w:val="ru-RU"/>
        </w:rPr>
        <w:t xml:space="preserve"> </w:t>
      </w:r>
      <w:r w:rsidRPr="00563A21">
        <w:rPr>
          <w:rFonts w:eastAsia="Times New Roman" w:cs="Arial"/>
          <w:color w:val="000000"/>
          <w:lang w:eastAsia="bg-BG"/>
        </w:rPr>
        <w:t>холестерол.</w:t>
      </w:r>
    </w:p>
    <w:p w14:paraId="0393B070" w14:textId="77777777" w:rsidR="00563A21" w:rsidRPr="00563A21" w:rsidRDefault="00563A21" w:rsidP="00563A21">
      <w:pPr>
        <w:spacing w:line="240" w:lineRule="auto"/>
        <w:rPr>
          <w:rFonts w:eastAsia="Times New Roman" w:cs="Arial"/>
          <w:i/>
          <w:iCs/>
          <w:color w:val="000000"/>
          <w:lang w:eastAsia="bg-BG"/>
        </w:rPr>
      </w:pPr>
    </w:p>
    <w:p w14:paraId="064086AD" w14:textId="76F72D59" w:rsidR="00563A21" w:rsidRPr="00563A21" w:rsidRDefault="00563A21" w:rsidP="00563A21">
      <w:pPr>
        <w:spacing w:line="240" w:lineRule="auto"/>
        <w:rPr>
          <w:rFonts w:eastAsia="Times New Roman" w:cs="Arial"/>
        </w:rPr>
      </w:pPr>
      <w:r w:rsidRPr="00563A21">
        <w:rPr>
          <w:rFonts w:eastAsia="Times New Roman" w:cs="Arial"/>
          <w:i/>
          <w:iCs/>
          <w:color w:val="000000"/>
          <w:lang w:eastAsia="bg-BG"/>
        </w:rPr>
        <w:t>Психични нарушения</w:t>
      </w:r>
    </w:p>
    <w:p w14:paraId="7CE85AFF" w14:textId="77777777" w:rsidR="00563A21" w:rsidRPr="00563A21" w:rsidRDefault="00563A21" w:rsidP="00563A21">
      <w:pPr>
        <w:spacing w:line="240" w:lineRule="auto"/>
        <w:rPr>
          <w:rFonts w:eastAsia="Times New Roman" w:cs="Arial"/>
          <w:color w:val="000000"/>
          <w:lang w:eastAsia="bg-BG"/>
        </w:rPr>
      </w:pPr>
      <w:r w:rsidRPr="00563A21">
        <w:rPr>
          <w:rFonts w:eastAsia="Times New Roman" w:cs="Arial"/>
          <w:color w:val="000000"/>
          <w:lang w:eastAsia="bg-BG"/>
        </w:rPr>
        <w:t xml:space="preserve">Чести: тревожност, обърканост, вариране в настроенията, халюцинации, засилено сънуване, депресивни </w:t>
      </w:r>
    </w:p>
    <w:p w14:paraId="747B3F43" w14:textId="53E46AF7" w:rsidR="00563A21" w:rsidRPr="00563A21" w:rsidRDefault="00563A21" w:rsidP="00563A21">
      <w:pPr>
        <w:spacing w:line="240" w:lineRule="auto"/>
        <w:rPr>
          <w:rFonts w:eastAsia="Times New Roman" w:cs="Arial"/>
        </w:rPr>
      </w:pPr>
      <w:r w:rsidRPr="00563A21">
        <w:rPr>
          <w:rFonts w:eastAsia="Times New Roman" w:cs="Arial"/>
          <w:color w:val="000000"/>
          <w:lang w:eastAsia="bg-BG"/>
        </w:rPr>
        <w:t>настроения.</w:t>
      </w:r>
    </w:p>
    <w:p w14:paraId="57FD2540" w14:textId="77777777" w:rsidR="00563A21" w:rsidRPr="00563A21" w:rsidRDefault="00563A21" w:rsidP="00563A21">
      <w:pPr>
        <w:spacing w:line="240" w:lineRule="auto"/>
        <w:rPr>
          <w:rFonts w:eastAsia="Times New Roman" w:cs="Arial"/>
          <w:i/>
          <w:iCs/>
          <w:color w:val="000000"/>
          <w:lang w:eastAsia="bg-BG"/>
        </w:rPr>
      </w:pPr>
    </w:p>
    <w:p w14:paraId="3736D1D2" w14:textId="78F7DD99" w:rsidR="00563A21" w:rsidRPr="00563A21" w:rsidRDefault="00563A21" w:rsidP="00563A21">
      <w:pPr>
        <w:spacing w:line="240" w:lineRule="auto"/>
        <w:rPr>
          <w:rFonts w:eastAsia="Times New Roman" w:cs="Arial"/>
        </w:rPr>
      </w:pPr>
      <w:r w:rsidRPr="00563A21">
        <w:rPr>
          <w:rFonts w:eastAsia="Times New Roman" w:cs="Arial"/>
          <w:i/>
          <w:iCs/>
          <w:color w:val="000000"/>
          <w:lang w:eastAsia="bg-BG"/>
        </w:rPr>
        <w:t>Нарушения на нервната система</w:t>
      </w:r>
    </w:p>
    <w:p w14:paraId="4D1C2F18"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t>Чести: замаяност, унесеност, главоболие, нарушения в съня, парестезии и усещане за студени крайници.</w:t>
      </w:r>
    </w:p>
    <w:p w14:paraId="5DB40B25" w14:textId="77777777" w:rsidR="00563A21" w:rsidRPr="00563A21" w:rsidRDefault="00563A21" w:rsidP="00563A21">
      <w:pPr>
        <w:spacing w:line="240" w:lineRule="auto"/>
        <w:rPr>
          <w:rFonts w:eastAsia="Times New Roman" w:cs="Arial"/>
          <w:i/>
          <w:iCs/>
          <w:color w:val="000000"/>
          <w:lang w:eastAsia="bg-BG"/>
        </w:rPr>
      </w:pPr>
    </w:p>
    <w:p w14:paraId="4D478256" w14:textId="258AED08" w:rsidR="00563A21" w:rsidRPr="00563A21" w:rsidRDefault="00563A21" w:rsidP="00563A21">
      <w:pPr>
        <w:spacing w:line="240" w:lineRule="auto"/>
        <w:rPr>
          <w:rFonts w:eastAsia="Times New Roman" w:cs="Arial"/>
        </w:rPr>
      </w:pPr>
      <w:r w:rsidRPr="00563A21">
        <w:rPr>
          <w:rFonts w:eastAsia="Times New Roman" w:cs="Arial"/>
          <w:i/>
          <w:iCs/>
          <w:color w:val="000000"/>
          <w:lang w:eastAsia="bg-BG"/>
        </w:rPr>
        <w:t>Очни нарушения</w:t>
      </w:r>
    </w:p>
    <w:p w14:paraId="4B5FF62F" w14:textId="538A7111" w:rsidR="00563A21" w:rsidRPr="00563A21" w:rsidRDefault="00563A21" w:rsidP="00563A21">
      <w:pPr>
        <w:spacing w:line="240" w:lineRule="auto"/>
        <w:rPr>
          <w:rFonts w:eastAsia="Times New Roman" w:cs="Arial"/>
        </w:rPr>
      </w:pPr>
      <w:r w:rsidRPr="00563A21">
        <w:rPr>
          <w:rFonts w:eastAsia="Times New Roman" w:cs="Arial"/>
          <w:color w:val="000000"/>
          <w:lang w:eastAsia="bg-BG"/>
        </w:rPr>
        <w:t>Чести: зрителни смущения.</w:t>
      </w:r>
    </w:p>
    <w:p w14:paraId="3B7433DA" w14:textId="65C8F859" w:rsidR="00563A21" w:rsidRPr="00563A21" w:rsidRDefault="00563A21" w:rsidP="00563A21">
      <w:pPr>
        <w:spacing w:line="240" w:lineRule="auto"/>
        <w:rPr>
          <w:rFonts w:eastAsia="Times New Roman" w:cs="Arial"/>
        </w:rPr>
      </w:pPr>
      <w:r w:rsidRPr="00563A21">
        <w:rPr>
          <w:rFonts w:eastAsia="Times New Roman" w:cs="Arial"/>
          <w:color w:val="000000"/>
          <w:lang w:eastAsia="bg-BG"/>
        </w:rPr>
        <w:t>Нечести: конюктивит.</w:t>
      </w:r>
    </w:p>
    <w:p w14:paraId="73F616AC"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t>Много редки: кератоконюктивит.</w:t>
      </w:r>
    </w:p>
    <w:p w14:paraId="42D0B494"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lastRenderedPageBreak/>
        <w:t>Намалено сълзоотделяне (трябва да се има предвид при употребата на контактни лещи!).</w:t>
      </w:r>
    </w:p>
    <w:p w14:paraId="53C3FF51" w14:textId="77777777" w:rsidR="00563A21" w:rsidRPr="00563A21" w:rsidRDefault="00563A21" w:rsidP="00563A21">
      <w:pPr>
        <w:spacing w:line="240" w:lineRule="auto"/>
        <w:rPr>
          <w:rFonts w:eastAsia="Times New Roman" w:cs="Arial"/>
          <w:i/>
          <w:iCs/>
          <w:color w:val="000000"/>
          <w:lang w:eastAsia="bg-BG"/>
        </w:rPr>
      </w:pPr>
    </w:p>
    <w:p w14:paraId="5BAC616A" w14:textId="01206B60" w:rsidR="00563A21" w:rsidRPr="00563A21" w:rsidRDefault="00563A21" w:rsidP="00563A21">
      <w:pPr>
        <w:spacing w:line="240" w:lineRule="auto"/>
        <w:rPr>
          <w:rFonts w:eastAsia="Times New Roman" w:cs="Arial"/>
        </w:rPr>
      </w:pPr>
      <w:r w:rsidRPr="00563A21">
        <w:rPr>
          <w:rFonts w:eastAsia="Times New Roman" w:cs="Arial"/>
          <w:i/>
          <w:iCs/>
          <w:color w:val="000000"/>
          <w:lang w:eastAsia="bg-BG"/>
        </w:rPr>
        <w:t>Нарушения на ухото и вътрешното ухо</w:t>
      </w:r>
    </w:p>
    <w:p w14:paraId="7F21FC91"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t>Чести:</w:t>
      </w:r>
      <w:r w:rsidRPr="00563A21">
        <w:rPr>
          <w:rFonts w:eastAsia="Times New Roman" w:cs="Arial"/>
          <w:color w:val="000000"/>
          <w:lang w:eastAsia="bg-BG"/>
        </w:rPr>
        <w:tab/>
        <w:t>нарушения в слуха.</w:t>
      </w:r>
    </w:p>
    <w:p w14:paraId="618EB175" w14:textId="77777777" w:rsidR="00563A21" w:rsidRPr="00563A21" w:rsidRDefault="00563A21" w:rsidP="00563A21">
      <w:pPr>
        <w:spacing w:line="240" w:lineRule="auto"/>
        <w:rPr>
          <w:rFonts w:eastAsia="Times New Roman" w:cs="Arial"/>
          <w:i/>
          <w:iCs/>
          <w:color w:val="000000"/>
          <w:lang w:eastAsia="bg-BG"/>
        </w:rPr>
      </w:pPr>
    </w:p>
    <w:p w14:paraId="55E33771" w14:textId="21269E2C" w:rsidR="00563A21" w:rsidRPr="00563A21" w:rsidRDefault="00563A21" w:rsidP="00563A21">
      <w:pPr>
        <w:spacing w:line="240" w:lineRule="auto"/>
        <w:rPr>
          <w:rFonts w:eastAsia="Times New Roman" w:cs="Arial"/>
        </w:rPr>
      </w:pPr>
      <w:r w:rsidRPr="00563A21">
        <w:rPr>
          <w:rFonts w:eastAsia="Times New Roman" w:cs="Arial"/>
          <w:i/>
          <w:iCs/>
          <w:color w:val="000000"/>
          <w:lang w:eastAsia="bg-BG"/>
        </w:rPr>
        <w:t>Нарушение на сърцето и кръвообращението</w:t>
      </w:r>
    </w:p>
    <w:p w14:paraId="08D2D221"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t xml:space="preserve">Чести: болки в гърдите, нежелан спад в кръвното налягане, увеличение на сърдечната недостатъчност, брадикардия, палпитации, ЕКГ-отклонения, </w:t>
      </w:r>
      <w:r w:rsidRPr="00563A21">
        <w:rPr>
          <w:rFonts w:eastAsia="Times New Roman" w:cs="Arial"/>
          <w:color w:val="000000"/>
          <w:lang w:val="en-US"/>
        </w:rPr>
        <w:t>AV</w:t>
      </w:r>
      <w:r w:rsidRPr="00563A21">
        <w:rPr>
          <w:rFonts w:eastAsia="Times New Roman" w:cs="Arial"/>
          <w:color w:val="000000"/>
          <w:lang w:eastAsia="bg-BG"/>
        </w:rPr>
        <w:t>-проводни нарушения, синкопи или пре-синкопни състояния, едем.</w:t>
      </w:r>
    </w:p>
    <w:p w14:paraId="1AD3FAEE"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t>Много рядко: засилване на ангинозните атаки и нарушенията на периферната циркулация.</w:t>
      </w:r>
    </w:p>
    <w:p w14:paraId="3D57B148" w14:textId="3A3ACD8A" w:rsidR="00563A21" w:rsidRPr="00563A21" w:rsidRDefault="00563A21" w:rsidP="00563A21">
      <w:pPr>
        <w:rPr>
          <w:rFonts w:eastAsia="Times New Roman" w:cs="Arial"/>
          <w:color w:val="000000"/>
          <w:lang w:eastAsia="bg-BG"/>
        </w:rPr>
      </w:pPr>
      <w:r w:rsidRPr="00563A21">
        <w:rPr>
          <w:rFonts w:eastAsia="Times New Roman" w:cs="Arial"/>
          <w:color w:val="000000"/>
          <w:lang w:eastAsia="bg-BG"/>
        </w:rPr>
        <w:t>Често се проявява проаритмично действие, под формата на промяна или обостряне на наришенията на сърдечния ритъм, което може да доведе до сериозно увреждане на сърдечната дейност с възможна последица - спиране на сърцето. Аритмогенни ефекти могат да настъпят най-вече при пациенти с животозастрашаващи нарушения на сърдечния ритъм и нарушена функция на лявата камера.</w:t>
      </w:r>
    </w:p>
    <w:p w14:paraId="7CEC0085" w14:textId="04DCE2E9" w:rsidR="00563A21" w:rsidRPr="00563A21" w:rsidRDefault="00563A21" w:rsidP="00563A21">
      <w:pPr>
        <w:rPr>
          <w:rFonts w:cs="Arial"/>
        </w:rPr>
      </w:pPr>
    </w:p>
    <w:p w14:paraId="25A71231"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t xml:space="preserve">Тъй като соталол хидрохлорид удължава </w:t>
      </w:r>
      <w:r w:rsidRPr="00563A21">
        <w:rPr>
          <w:rFonts w:eastAsia="Times New Roman" w:cs="Arial"/>
          <w:color w:val="000000"/>
          <w:lang w:val="en-US"/>
        </w:rPr>
        <w:t>QT</w:t>
      </w:r>
      <w:r w:rsidRPr="00563A21">
        <w:rPr>
          <w:rFonts w:eastAsia="Times New Roman" w:cs="Arial"/>
          <w:color w:val="000000"/>
          <w:lang w:eastAsia="bg-BG"/>
        </w:rPr>
        <w:t xml:space="preserve">-времето, може да се стигне до настъпване на камерни тахиартимии (вкл. </w:t>
      </w:r>
      <w:proofErr w:type="spellStart"/>
      <w:r w:rsidRPr="00563A21">
        <w:rPr>
          <w:rFonts w:eastAsia="Times New Roman" w:cs="Arial"/>
          <w:color w:val="000000"/>
          <w:lang w:val="en-US"/>
        </w:rPr>
        <w:t>Torsades</w:t>
      </w:r>
      <w:proofErr w:type="spellEnd"/>
      <w:r w:rsidRPr="00563A21">
        <w:rPr>
          <w:rFonts w:eastAsia="Times New Roman" w:cs="Arial"/>
          <w:color w:val="000000"/>
          <w:lang w:val="ru-RU"/>
        </w:rPr>
        <w:t xml:space="preserve"> </w:t>
      </w:r>
      <w:r w:rsidRPr="00563A21">
        <w:rPr>
          <w:rFonts w:eastAsia="Times New Roman" w:cs="Arial"/>
          <w:color w:val="000000"/>
          <w:lang w:val="en-US"/>
        </w:rPr>
        <w:t>de</w:t>
      </w:r>
      <w:r w:rsidRPr="00563A21">
        <w:rPr>
          <w:rFonts w:eastAsia="Times New Roman" w:cs="Arial"/>
          <w:color w:val="000000"/>
          <w:lang w:val="ru-RU"/>
        </w:rPr>
        <w:t xml:space="preserve"> </w:t>
      </w:r>
      <w:r w:rsidRPr="00563A21">
        <w:rPr>
          <w:rFonts w:eastAsia="Times New Roman" w:cs="Arial"/>
          <w:color w:val="000000"/>
          <w:lang w:val="en-US"/>
        </w:rPr>
        <w:t>pointes</w:t>
      </w:r>
      <w:r w:rsidRPr="00563A21">
        <w:rPr>
          <w:rFonts w:eastAsia="Times New Roman" w:cs="Arial"/>
          <w:color w:val="000000"/>
          <w:lang w:val="ru-RU"/>
        </w:rPr>
        <w:t xml:space="preserve">) </w:t>
      </w:r>
      <w:r w:rsidRPr="00563A21">
        <w:rPr>
          <w:rFonts w:eastAsia="Times New Roman" w:cs="Arial"/>
          <w:color w:val="000000"/>
          <w:lang w:eastAsia="bg-BG"/>
        </w:rPr>
        <w:t>- предимно при предозиране и в резултат - изразена брадикардия.</w:t>
      </w:r>
    </w:p>
    <w:p w14:paraId="1571B93F"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t xml:space="preserve">Тежките проаритмии (упорита камерна тахикардия, камерно трептене/мъждене или </w:t>
      </w:r>
      <w:r w:rsidRPr="00563A21">
        <w:rPr>
          <w:rFonts w:eastAsia="Times New Roman" w:cs="Arial"/>
          <w:color w:val="000000"/>
          <w:lang w:val="en-US"/>
        </w:rPr>
        <w:t>Torsade</w:t>
      </w:r>
      <w:r w:rsidRPr="00563A21">
        <w:rPr>
          <w:rFonts w:eastAsia="Times New Roman" w:cs="Arial"/>
          <w:color w:val="000000"/>
          <w:lang w:val="ru-RU"/>
        </w:rPr>
        <w:t xml:space="preserve"> </w:t>
      </w:r>
      <w:r w:rsidRPr="00563A21">
        <w:rPr>
          <w:rFonts w:eastAsia="Times New Roman" w:cs="Arial"/>
          <w:color w:val="000000"/>
          <w:lang w:val="en-US"/>
        </w:rPr>
        <w:t>de</w:t>
      </w:r>
      <w:r w:rsidRPr="00563A21">
        <w:rPr>
          <w:rFonts w:eastAsia="Times New Roman" w:cs="Arial"/>
          <w:color w:val="000000"/>
          <w:lang w:val="ru-RU"/>
        </w:rPr>
        <w:t xml:space="preserve"> </w:t>
      </w:r>
      <w:r w:rsidRPr="00563A21">
        <w:rPr>
          <w:rFonts w:eastAsia="Times New Roman" w:cs="Arial"/>
          <w:color w:val="000000"/>
          <w:lang w:val="en-US"/>
        </w:rPr>
        <w:t>pointes</w:t>
      </w:r>
      <w:r w:rsidRPr="00563A21">
        <w:rPr>
          <w:rFonts w:eastAsia="Times New Roman" w:cs="Arial"/>
          <w:color w:val="000000"/>
          <w:lang w:val="ru-RU"/>
        </w:rPr>
        <w:t xml:space="preserve">) </w:t>
      </w:r>
      <w:r w:rsidRPr="00563A21">
        <w:rPr>
          <w:rFonts w:eastAsia="Times New Roman" w:cs="Arial"/>
          <w:color w:val="000000"/>
          <w:lang w:eastAsia="bg-BG"/>
        </w:rPr>
        <w:t>са предимно дозозависими и се появяват в ранен етап на лечението или след увеличаване на дозата.</w:t>
      </w:r>
    </w:p>
    <w:p w14:paraId="2314C916" w14:textId="77777777" w:rsidR="00563A21" w:rsidRPr="00563A21" w:rsidRDefault="00563A21" w:rsidP="00563A21">
      <w:pPr>
        <w:spacing w:line="240" w:lineRule="auto"/>
        <w:rPr>
          <w:rFonts w:eastAsia="Times New Roman" w:cs="Arial"/>
          <w:i/>
          <w:iCs/>
          <w:color w:val="000000"/>
          <w:lang w:eastAsia="bg-BG"/>
        </w:rPr>
      </w:pPr>
    </w:p>
    <w:p w14:paraId="46DC5863" w14:textId="562D4DF6" w:rsidR="00563A21" w:rsidRPr="00563A21" w:rsidRDefault="00563A21" w:rsidP="00563A21">
      <w:pPr>
        <w:spacing w:line="240" w:lineRule="auto"/>
        <w:rPr>
          <w:rFonts w:eastAsia="Times New Roman" w:cs="Arial"/>
        </w:rPr>
      </w:pPr>
      <w:r w:rsidRPr="00563A21">
        <w:rPr>
          <w:rFonts w:eastAsia="Times New Roman" w:cs="Arial"/>
          <w:i/>
          <w:iCs/>
          <w:color w:val="000000"/>
          <w:lang w:eastAsia="bg-BG"/>
        </w:rPr>
        <w:t>Нарушения на дихателните пътища</w:t>
      </w:r>
    </w:p>
    <w:p w14:paraId="0E37B824" w14:textId="51C1D0E7" w:rsidR="00563A21" w:rsidRPr="00563A21" w:rsidRDefault="00563A21" w:rsidP="00563A21">
      <w:pPr>
        <w:spacing w:line="240" w:lineRule="auto"/>
        <w:rPr>
          <w:rFonts w:eastAsia="Times New Roman" w:cs="Arial"/>
        </w:rPr>
      </w:pPr>
      <w:r w:rsidRPr="00563A21">
        <w:rPr>
          <w:rFonts w:eastAsia="Times New Roman" w:cs="Arial"/>
          <w:color w:val="000000"/>
          <w:lang w:eastAsia="bg-BG"/>
        </w:rPr>
        <w:t>Чести: диспнея.</w:t>
      </w:r>
    </w:p>
    <w:p w14:paraId="0A9FFF51" w14:textId="2DE51808" w:rsidR="00563A21" w:rsidRPr="00563A21" w:rsidRDefault="00563A21" w:rsidP="00563A21">
      <w:pPr>
        <w:spacing w:line="240" w:lineRule="auto"/>
        <w:rPr>
          <w:rFonts w:eastAsia="Times New Roman" w:cs="Arial"/>
        </w:rPr>
      </w:pPr>
      <w:r w:rsidRPr="00563A21">
        <w:rPr>
          <w:rFonts w:eastAsia="Times New Roman" w:cs="Arial"/>
          <w:color w:val="000000"/>
          <w:lang w:eastAsia="bg-BG"/>
        </w:rPr>
        <w:t>Нечести: респираторен дистрес може да се отключи при пациенти с обструктивни дихателни</w:t>
      </w:r>
    </w:p>
    <w:p w14:paraId="37128FC8"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t>нарушения.</w:t>
      </w:r>
    </w:p>
    <w:p w14:paraId="5E22BED3"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t>Много редки: алергичен бронхит с фиброзиране.</w:t>
      </w:r>
    </w:p>
    <w:p w14:paraId="0107958C" w14:textId="77777777" w:rsidR="00563A21" w:rsidRPr="00563A21" w:rsidRDefault="00563A21" w:rsidP="00563A21">
      <w:pPr>
        <w:spacing w:line="240" w:lineRule="auto"/>
        <w:rPr>
          <w:rFonts w:eastAsia="Times New Roman" w:cs="Arial"/>
          <w:i/>
          <w:iCs/>
          <w:color w:val="000000"/>
          <w:lang w:eastAsia="bg-BG"/>
        </w:rPr>
      </w:pPr>
    </w:p>
    <w:p w14:paraId="75FF9651" w14:textId="13781699" w:rsidR="00563A21" w:rsidRPr="00563A21" w:rsidRDefault="00563A21" w:rsidP="00563A21">
      <w:pPr>
        <w:spacing w:line="240" w:lineRule="auto"/>
        <w:rPr>
          <w:rFonts w:eastAsia="Times New Roman" w:cs="Arial"/>
        </w:rPr>
      </w:pPr>
      <w:r w:rsidRPr="00563A21">
        <w:rPr>
          <w:rFonts w:eastAsia="Times New Roman" w:cs="Arial"/>
          <w:i/>
          <w:iCs/>
          <w:color w:val="000000"/>
          <w:lang w:eastAsia="bg-BG"/>
        </w:rPr>
        <w:t>Нарушения на стомашно-чревния тракт</w:t>
      </w:r>
    </w:p>
    <w:p w14:paraId="69369051"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t>Чести:</w:t>
      </w:r>
      <w:r w:rsidRPr="00563A21">
        <w:rPr>
          <w:rFonts w:eastAsia="Times New Roman" w:cs="Arial"/>
          <w:color w:val="000000"/>
          <w:lang w:eastAsia="bg-BG"/>
        </w:rPr>
        <w:tab/>
        <w:t>промяна на вкуса, болки в корема, гадене, повръщане, диария, диспепсия,</w:t>
      </w:r>
    </w:p>
    <w:p w14:paraId="6D4B6D08"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t>флатуленция, сухота в устата.</w:t>
      </w:r>
    </w:p>
    <w:p w14:paraId="0780FA8B" w14:textId="77777777" w:rsidR="00563A21" w:rsidRPr="00563A21" w:rsidRDefault="00563A21" w:rsidP="00563A21">
      <w:pPr>
        <w:spacing w:line="240" w:lineRule="auto"/>
        <w:rPr>
          <w:rFonts w:eastAsia="Times New Roman" w:cs="Arial"/>
          <w:i/>
          <w:iCs/>
          <w:color w:val="000000"/>
          <w:lang w:eastAsia="bg-BG"/>
        </w:rPr>
      </w:pPr>
    </w:p>
    <w:p w14:paraId="2D6BDD41" w14:textId="77777777" w:rsidR="00563A21" w:rsidRPr="00563A21" w:rsidRDefault="00563A21" w:rsidP="00563A21">
      <w:pPr>
        <w:spacing w:line="240" w:lineRule="auto"/>
        <w:rPr>
          <w:rFonts w:eastAsia="Times New Roman" w:cs="Arial"/>
          <w:i/>
          <w:iCs/>
          <w:color w:val="000000"/>
          <w:lang w:eastAsia="bg-BG"/>
        </w:rPr>
      </w:pPr>
      <w:r w:rsidRPr="00563A21">
        <w:rPr>
          <w:rFonts w:eastAsia="Times New Roman" w:cs="Arial"/>
          <w:i/>
          <w:iCs/>
          <w:color w:val="000000"/>
          <w:lang w:eastAsia="bg-BG"/>
        </w:rPr>
        <w:t xml:space="preserve">Нарушения на кожата и подкожната тъкан </w:t>
      </w:r>
    </w:p>
    <w:p w14:paraId="01A2C48C" w14:textId="2FD22F43" w:rsidR="00563A21" w:rsidRPr="00563A21" w:rsidRDefault="00563A21" w:rsidP="00563A21">
      <w:pPr>
        <w:spacing w:line="240" w:lineRule="auto"/>
        <w:rPr>
          <w:rFonts w:eastAsia="Times New Roman" w:cs="Arial"/>
        </w:rPr>
      </w:pPr>
      <w:r w:rsidRPr="00563A21">
        <w:rPr>
          <w:rFonts w:eastAsia="Times New Roman" w:cs="Arial"/>
          <w:color w:val="000000"/>
          <w:lang w:eastAsia="bg-BG"/>
        </w:rPr>
        <w:t>Чести: зачервяване, сърбеж, екзантем.</w:t>
      </w:r>
    </w:p>
    <w:p w14:paraId="5C5ACD0E"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t>С неизвестна алопеция, хиперхидроза. честота</w:t>
      </w:r>
    </w:p>
    <w:p w14:paraId="227973A5"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t>В много редки случаи бета-блокерите могат да отключат псориазис, да влошат симптомите на това заболяване, или да доведат до псориазоподобни екзантеми.</w:t>
      </w:r>
    </w:p>
    <w:p w14:paraId="11DA973C" w14:textId="77777777" w:rsidR="00563A21" w:rsidRPr="00563A21" w:rsidRDefault="00563A21" w:rsidP="00563A21">
      <w:pPr>
        <w:spacing w:line="240" w:lineRule="auto"/>
        <w:rPr>
          <w:rFonts w:eastAsia="Times New Roman" w:cs="Arial"/>
          <w:i/>
          <w:iCs/>
          <w:color w:val="000000"/>
          <w:lang w:eastAsia="bg-BG"/>
        </w:rPr>
      </w:pPr>
    </w:p>
    <w:p w14:paraId="40040088" w14:textId="77777777" w:rsidR="00563A21" w:rsidRPr="00563A21" w:rsidRDefault="00563A21" w:rsidP="00563A21">
      <w:pPr>
        <w:spacing w:line="240" w:lineRule="auto"/>
        <w:rPr>
          <w:rFonts w:eastAsia="Times New Roman" w:cs="Arial"/>
          <w:i/>
          <w:iCs/>
          <w:color w:val="000000"/>
          <w:lang w:eastAsia="bg-BG"/>
        </w:rPr>
      </w:pPr>
      <w:r w:rsidRPr="00563A21">
        <w:rPr>
          <w:rFonts w:eastAsia="Times New Roman" w:cs="Arial"/>
          <w:i/>
          <w:iCs/>
          <w:color w:val="000000"/>
          <w:lang w:eastAsia="bg-BG"/>
        </w:rPr>
        <w:t xml:space="preserve">Нарушения на опорнодвигателния апарат </w:t>
      </w:r>
    </w:p>
    <w:p w14:paraId="285652EA" w14:textId="16331046" w:rsidR="00563A21" w:rsidRPr="00563A21" w:rsidRDefault="00563A21" w:rsidP="00563A21">
      <w:pPr>
        <w:spacing w:line="240" w:lineRule="auto"/>
        <w:rPr>
          <w:rFonts w:eastAsia="Times New Roman" w:cs="Arial"/>
        </w:rPr>
      </w:pPr>
      <w:r w:rsidRPr="00563A21">
        <w:rPr>
          <w:rFonts w:eastAsia="Times New Roman" w:cs="Arial"/>
          <w:color w:val="000000"/>
          <w:lang w:eastAsia="bg-BG"/>
        </w:rPr>
        <w:t>Мускулни крампи или мускулна слабост.</w:t>
      </w:r>
    </w:p>
    <w:p w14:paraId="3890F428" w14:textId="77777777" w:rsidR="00563A21" w:rsidRPr="00563A21" w:rsidRDefault="00563A21" w:rsidP="00563A21">
      <w:pPr>
        <w:spacing w:line="240" w:lineRule="auto"/>
        <w:rPr>
          <w:rFonts w:eastAsia="Times New Roman" w:cs="Arial"/>
          <w:i/>
          <w:iCs/>
          <w:color w:val="000000"/>
          <w:lang w:eastAsia="bg-BG"/>
        </w:rPr>
      </w:pPr>
    </w:p>
    <w:p w14:paraId="2246EE5C" w14:textId="77777777" w:rsidR="00563A21" w:rsidRPr="00563A21" w:rsidRDefault="00563A21" w:rsidP="00563A21">
      <w:pPr>
        <w:spacing w:line="240" w:lineRule="auto"/>
        <w:rPr>
          <w:rFonts w:eastAsia="Times New Roman" w:cs="Arial"/>
          <w:i/>
          <w:iCs/>
          <w:color w:val="000000"/>
          <w:lang w:eastAsia="bg-BG"/>
        </w:rPr>
      </w:pPr>
      <w:r w:rsidRPr="00563A21">
        <w:rPr>
          <w:rFonts w:eastAsia="Times New Roman" w:cs="Arial"/>
          <w:i/>
          <w:iCs/>
          <w:color w:val="000000"/>
          <w:lang w:eastAsia="bg-BG"/>
        </w:rPr>
        <w:t xml:space="preserve">Нарушения на репродуктивните органи </w:t>
      </w:r>
    </w:p>
    <w:p w14:paraId="12B7A9E9" w14:textId="33641A05" w:rsidR="00563A21" w:rsidRPr="00563A21" w:rsidRDefault="00563A21" w:rsidP="00563A21">
      <w:pPr>
        <w:spacing w:line="240" w:lineRule="auto"/>
        <w:rPr>
          <w:rFonts w:eastAsia="Times New Roman" w:cs="Arial"/>
        </w:rPr>
      </w:pPr>
      <w:r w:rsidRPr="00563A21">
        <w:rPr>
          <w:rFonts w:eastAsia="Times New Roman" w:cs="Arial"/>
          <w:color w:val="000000"/>
          <w:lang w:eastAsia="bg-BG"/>
        </w:rPr>
        <w:t>Импотентност.</w:t>
      </w:r>
    </w:p>
    <w:p w14:paraId="3422BAC6" w14:textId="77777777" w:rsidR="00563A21" w:rsidRPr="00563A21" w:rsidRDefault="00563A21" w:rsidP="00563A21">
      <w:pPr>
        <w:spacing w:line="240" w:lineRule="auto"/>
        <w:rPr>
          <w:rFonts w:eastAsia="Times New Roman" w:cs="Arial"/>
          <w:i/>
          <w:iCs/>
          <w:color w:val="000000"/>
          <w:lang w:eastAsia="bg-BG"/>
        </w:rPr>
      </w:pPr>
    </w:p>
    <w:p w14:paraId="2AFE0D63" w14:textId="2BF3697D" w:rsidR="00563A21" w:rsidRPr="00563A21" w:rsidRDefault="00563A21" w:rsidP="00563A21">
      <w:pPr>
        <w:spacing w:line="240" w:lineRule="auto"/>
        <w:rPr>
          <w:rFonts w:eastAsia="Times New Roman" w:cs="Arial"/>
        </w:rPr>
      </w:pPr>
      <w:r w:rsidRPr="00563A21">
        <w:rPr>
          <w:rFonts w:eastAsia="Times New Roman" w:cs="Arial"/>
          <w:i/>
          <w:iCs/>
          <w:color w:val="000000"/>
          <w:lang w:eastAsia="bg-BG"/>
        </w:rPr>
        <w:t>Общи нарушения</w:t>
      </w:r>
    </w:p>
    <w:p w14:paraId="6F545C37" w14:textId="4909A677" w:rsidR="00563A21" w:rsidRPr="00563A21" w:rsidRDefault="00563A21" w:rsidP="00563A21">
      <w:pPr>
        <w:spacing w:line="240" w:lineRule="auto"/>
        <w:rPr>
          <w:rFonts w:eastAsia="Times New Roman" w:cs="Arial"/>
        </w:rPr>
      </w:pPr>
      <w:r w:rsidRPr="00563A21">
        <w:rPr>
          <w:rFonts w:eastAsia="Times New Roman" w:cs="Arial"/>
          <w:color w:val="000000"/>
          <w:lang w:eastAsia="bg-BG"/>
        </w:rPr>
        <w:t>Чести: треска, умора.</w:t>
      </w:r>
    </w:p>
    <w:p w14:paraId="12628E3D"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lastRenderedPageBreak/>
        <w:t>Поради свойствата си на бета-рецепторен-блокер, соталол хидрохлоридът може да увеличи чувствителността към алергени и силата на анафилактичните реакции. При пациенти с тежки реакции на свръхчувствителност в миналото, и такива при които е провеждана десенсибилизираща терапия, може да има засилени анафилактични реакции.</w:t>
      </w:r>
    </w:p>
    <w:p w14:paraId="7D4987BA" w14:textId="77777777" w:rsidR="00563A21" w:rsidRPr="00563A21" w:rsidRDefault="00563A21" w:rsidP="00563A21">
      <w:pPr>
        <w:spacing w:line="240" w:lineRule="auto"/>
        <w:rPr>
          <w:rFonts w:eastAsia="Times New Roman" w:cs="Arial"/>
          <w:i/>
          <w:iCs/>
          <w:color w:val="000000"/>
          <w:lang w:eastAsia="bg-BG"/>
        </w:rPr>
      </w:pPr>
    </w:p>
    <w:p w14:paraId="699AB876" w14:textId="77777777" w:rsidR="00563A21" w:rsidRPr="00563A21" w:rsidRDefault="00563A21" w:rsidP="00563A21">
      <w:pPr>
        <w:spacing w:line="240" w:lineRule="auto"/>
        <w:rPr>
          <w:rFonts w:eastAsia="Times New Roman" w:cs="Arial"/>
          <w:i/>
          <w:iCs/>
          <w:color w:val="000000"/>
          <w:lang w:eastAsia="bg-BG"/>
        </w:rPr>
      </w:pPr>
      <w:r w:rsidRPr="00563A21">
        <w:rPr>
          <w:rFonts w:eastAsia="Times New Roman" w:cs="Arial"/>
          <w:i/>
          <w:iCs/>
          <w:color w:val="000000"/>
          <w:lang w:eastAsia="bg-BG"/>
        </w:rPr>
        <w:t xml:space="preserve">Нарушения на кръвта и лимфната система </w:t>
      </w:r>
    </w:p>
    <w:p w14:paraId="69F76F22" w14:textId="08E8E4B5" w:rsidR="00563A21" w:rsidRPr="00563A21" w:rsidRDefault="00563A21" w:rsidP="00563A21">
      <w:pPr>
        <w:spacing w:line="240" w:lineRule="auto"/>
        <w:rPr>
          <w:rFonts w:eastAsia="Times New Roman" w:cs="Arial"/>
        </w:rPr>
      </w:pPr>
      <w:r w:rsidRPr="00563A21">
        <w:rPr>
          <w:rFonts w:eastAsia="Times New Roman" w:cs="Arial"/>
          <w:color w:val="000000"/>
          <w:lang w:eastAsia="bg-BG"/>
        </w:rPr>
        <w:t>С неизвестна тромбоцитопения честота</w:t>
      </w:r>
    </w:p>
    <w:p w14:paraId="7B3D77D1" w14:textId="77777777" w:rsidR="00563A21" w:rsidRPr="00563A21" w:rsidRDefault="00563A21" w:rsidP="00563A21">
      <w:pPr>
        <w:spacing w:line="240" w:lineRule="auto"/>
        <w:rPr>
          <w:rFonts w:eastAsia="Times New Roman" w:cs="Arial"/>
          <w:b/>
          <w:bCs/>
          <w:color w:val="000000"/>
          <w:u w:val="single"/>
          <w:lang w:eastAsia="bg-BG"/>
        </w:rPr>
      </w:pPr>
      <w:bookmarkStart w:id="1" w:name="bookmark0"/>
    </w:p>
    <w:p w14:paraId="546F554D" w14:textId="1E13DE22" w:rsidR="00563A21" w:rsidRPr="00563A21" w:rsidRDefault="00563A21" w:rsidP="00563A21">
      <w:pPr>
        <w:spacing w:line="240" w:lineRule="auto"/>
        <w:rPr>
          <w:rFonts w:eastAsia="Times New Roman" w:cs="Arial"/>
        </w:rPr>
      </w:pPr>
      <w:r w:rsidRPr="00563A21">
        <w:rPr>
          <w:rFonts w:eastAsia="Times New Roman" w:cs="Arial"/>
          <w:b/>
          <w:bCs/>
          <w:color w:val="000000"/>
          <w:u w:val="single"/>
          <w:lang w:eastAsia="bg-BG"/>
        </w:rPr>
        <w:t>Съобщаване на подозирани нежелани реакции</w:t>
      </w:r>
      <w:bookmarkEnd w:id="1"/>
    </w:p>
    <w:p w14:paraId="4E283EAB" w14:textId="77777777" w:rsidR="00563A21" w:rsidRPr="00563A21" w:rsidRDefault="00563A21" w:rsidP="00563A21">
      <w:pPr>
        <w:spacing w:line="240" w:lineRule="auto"/>
        <w:rPr>
          <w:rFonts w:eastAsia="Times New Roman" w:cs="Arial"/>
        </w:rPr>
      </w:pPr>
      <w:r w:rsidRPr="00563A21">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w:t>
      </w:r>
    </w:p>
    <w:p w14:paraId="78F8FBD6" w14:textId="77777777" w:rsidR="00563A21" w:rsidRPr="00563A21" w:rsidRDefault="00563A21" w:rsidP="00563A21">
      <w:pPr>
        <w:spacing w:line="240" w:lineRule="auto"/>
        <w:rPr>
          <w:rFonts w:eastAsia="Times New Roman" w:cs="Arial"/>
        </w:rPr>
      </w:pPr>
      <w:bookmarkStart w:id="2" w:name="bookmark2"/>
      <w:r w:rsidRPr="00563A21">
        <w:rPr>
          <w:rFonts w:eastAsia="Times New Roman" w:cs="Arial"/>
          <w:b/>
          <w:bCs/>
          <w:color w:val="000000"/>
          <w:lang w:eastAsia="bg-BG"/>
        </w:rPr>
        <w:t>България</w:t>
      </w:r>
      <w:bookmarkEnd w:id="2"/>
    </w:p>
    <w:p w14:paraId="539B80DE" w14:textId="77777777" w:rsidR="00563A21" w:rsidRPr="00563A21" w:rsidRDefault="00563A21" w:rsidP="00563A21">
      <w:pPr>
        <w:spacing w:line="240" w:lineRule="auto"/>
        <w:rPr>
          <w:rFonts w:eastAsia="Times New Roman" w:cs="Arial"/>
          <w:color w:val="000000"/>
          <w:lang w:eastAsia="bg-BG"/>
        </w:rPr>
      </w:pPr>
      <w:r w:rsidRPr="00563A21">
        <w:rPr>
          <w:rFonts w:eastAsia="Times New Roman" w:cs="Arial"/>
          <w:color w:val="000000"/>
          <w:lang w:eastAsia="bg-BG"/>
        </w:rPr>
        <w:t xml:space="preserve">Изпълнителна агенция по лекарствата </w:t>
      </w:r>
    </w:p>
    <w:p w14:paraId="2E4DD192" w14:textId="77777777" w:rsidR="00563A21" w:rsidRPr="00563A21" w:rsidRDefault="00563A21" w:rsidP="00563A21">
      <w:pPr>
        <w:spacing w:line="240" w:lineRule="auto"/>
        <w:rPr>
          <w:rFonts w:eastAsia="Times New Roman" w:cs="Arial"/>
          <w:color w:val="000000"/>
          <w:lang w:eastAsia="bg-BG"/>
        </w:rPr>
      </w:pPr>
      <w:r w:rsidRPr="00563A21">
        <w:rPr>
          <w:rFonts w:eastAsia="Times New Roman" w:cs="Arial"/>
          <w:color w:val="000000"/>
          <w:lang w:eastAsia="bg-BG"/>
        </w:rPr>
        <w:t xml:space="preserve">ул. „Дамян Груев” № 8 </w:t>
      </w:r>
    </w:p>
    <w:p w14:paraId="5C582E33" w14:textId="77777777" w:rsidR="00563A21" w:rsidRPr="00563A21" w:rsidRDefault="00563A21" w:rsidP="00563A21">
      <w:pPr>
        <w:spacing w:line="240" w:lineRule="auto"/>
        <w:rPr>
          <w:rFonts w:eastAsia="Times New Roman" w:cs="Arial"/>
          <w:color w:val="000000"/>
          <w:lang w:eastAsia="bg-BG"/>
        </w:rPr>
      </w:pPr>
      <w:r w:rsidRPr="00563A21">
        <w:rPr>
          <w:rFonts w:eastAsia="Times New Roman" w:cs="Arial"/>
          <w:color w:val="000000"/>
          <w:lang w:eastAsia="bg-BG"/>
        </w:rPr>
        <w:t xml:space="preserve">1303 София </w:t>
      </w:r>
    </w:p>
    <w:p w14:paraId="6E411477" w14:textId="77777777" w:rsidR="00563A21" w:rsidRPr="00563A21" w:rsidRDefault="00563A21" w:rsidP="00563A21">
      <w:pPr>
        <w:spacing w:line="240" w:lineRule="auto"/>
        <w:rPr>
          <w:rFonts w:eastAsia="Times New Roman" w:cs="Arial"/>
          <w:color w:val="000000"/>
          <w:lang w:eastAsia="bg-BG"/>
        </w:rPr>
      </w:pPr>
      <w:r w:rsidRPr="00563A21">
        <w:rPr>
          <w:rFonts w:eastAsia="Times New Roman" w:cs="Arial"/>
          <w:color w:val="000000"/>
          <w:lang w:eastAsia="bg-BG"/>
        </w:rPr>
        <w:t xml:space="preserve">Тел.:+35 928903417 </w:t>
      </w:r>
    </w:p>
    <w:p w14:paraId="02E23928" w14:textId="3DF15470" w:rsidR="00563A21" w:rsidRPr="00563A21" w:rsidRDefault="00563A21" w:rsidP="00563A21">
      <w:pPr>
        <w:spacing w:line="240" w:lineRule="auto"/>
        <w:rPr>
          <w:rFonts w:ascii="Times New Roman" w:eastAsia="Times New Roman" w:hAnsi="Times New Roman" w:cs="Times New Roman"/>
          <w:color w:val="000000"/>
          <w:sz w:val="20"/>
          <w:szCs w:val="20"/>
          <w:lang w:eastAsia="bg-BG"/>
        </w:rPr>
      </w:pPr>
      <w:r w:rsidRPr="00563A21">
        <w:rPr>
          <w:rFonts w:eastAsia="Times New Roman" w:cs="Arial"/>
          <w:color w:val="000000"/>
          <w:lang w:eastAsia="bg-BG"/>
        </w:rPr>
        <w:t>уебсайт:</w:t>
      </w:r>
      <w:r w:rsidRPr="00563A21">
        <w:rPr>
          <w:lang w:eastAsia="bg-BG"/>
        </w:rPr>
        <w:t xml:space="preserve"> </w:t>
      </w:r>
      <w:hyperlink r:id="rId5" w:history="1">
        <w:r w:rsidRPr="00563A21">
          <w:rPr>
            <w:lang w:val="en-US"/>
          </w:rPr>
          <w:t>www</w:t>
        </w:r>
        <w:r w:rsidRPr="00563A21">
          <w:rPr>
            <w:lang w:val="ru-RU"/>
          </w:rPr>
          <w:t>.</w:t>
        </w:r>
        <w:proofErr w:type="spellStart"/>
        <w:r w:rsidRPr="00563A21">
          <w:rPr>
            <w:lang w:val="en-US"/>
          </w:rPr>
          <w:t>bda</w:t>
        </w:r>
        <w:proofErr w:type="spellEnd"/>
        <w:r w:rsidRPr="00563A21">
          <w:rPr>
            <w:lang w:val="ru-RU"/>
          </w:rPr>
          <w:t>.</w:t>
        </w:r>
        <w:proofErr w:type="spellStart"/>
        <w:r w:rsidRPr="00563A21">
          <w:rPr>
            <w:lang w:val="en-US"/>
          </w:rPr>
          <w:t>bg</w:t>
        </w:r>
        <w:proofErr w:type="spellEnd"/>
      </w:hyperlink>
    </w:p>
    <w:p w14:paraId="28F9AA09" w14:textId="77777777" w:rsidR="00563A21" w:rsidRPr="00563A21" w:rsidRDefault="00563A21" w:rsidP="00563A21"/>
    <w:p w14:paraId="5A87DBA3" w14:textId="19C117BD" w:rsidR="007122AD" w:rsidRDefault="002C50EE" w:rsidP="00936AD0">
      <w:pPr>
        <w:pStyle w:val="Heading2"/>
      </w:pPr>
      <w:r>
        <w:t>4.9. Предозиране</w:t>
      </w:r>
    </w:p>
    <w:p w14:paraId="1FB86D94" w14:textId="015077EC" w:rsidR="00563A21" w:rsidRDefault="00563A21" w:rsidP="00563A21"/>
    <w:p w14:paraId="69C5EB3F" w14:textId="77777777" w:rsidR="00563A21" w:rsidRPr="00563A21" w:rsidRDefault="00563A21" w:rsidP="00563A21">
      <w:pPr>
        <w:pStyle w:val="Heading3"/>
        <w:rPr>
          <w:rFonts w:eastAsia="Times New Roman"/>
          <w:i/>
          <w:sz w:val="28"/>
        </w:rPr>
      </w:pPr>
      <w:r w:rsidRPr="00563A21">
        <w:rPr>
          <w:rFonts w:eastAsia="Times New Roman"/>
          <w:i/>
          <w:lang w:eastAsia="bg-BG"/>
        </w:rPr>
        <w:t>Симптоми</w:t>
      </w:r>
    </w:p>
    <w:p w14:paraId="6B95E1D2"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Симптоматиката на интоксикация със соталол хидрохлорид основно зависи от изходното състояние на сърцето (левокамерна функция, аритмии). При изразена сърдечна недостатъчност и по-малки дози могат да доведат до влошаване на състоянието на сърцето.</w:t>
      </w:r>
    </w:p>
    <w:p w14:paraId="700531F8"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 xml:space="preserve">В зависимост от тежестта на интоксикацията, клиничната картина се характеризира основно със сърдечно-съдови и централно нервни симптоми като: умора, безсъзнание, разширяване на зениците, понякога и генерализирани гърчове, хипотония, брадикардия до асистолия (на ЕКГ-запис често се виждат ритьмни нарушения), декомпенсирана сърдечна недостатъчност, но също и </w:t>
      </w:r>
      <w:r w:rsidRPr="00563A21">
        <w:rPr>
          <w:rFonts w:eastAsia="Times New Roman" w:cs="Arial"/>
          <w:color w:val="000000"/>
          <w:szCs w:val="20"/>
          <w:lang w:val="en-US"/>
        </w:rPr>
        <w:t>Torsade</w:t>
      </w:r>
      <w:r w:rsidRPr="00563A21">
        <w:rPr>
          <w:rFonts w:eastAsia="Times New Roman" w:cs="Arial"/>
          <w:color w:val="000000"/>
          <w:szCs w:val="20"/>
          <w:lang w:val="ru-RU"/>
        </w:rPr>
        <w:t xml:space="preserve"> </w:t>
      </w:r>
      <w:r w:rsidRPr="00563A21">
        <w:rPr>
          <w:rFonts w:eastAsia="Times New Roman" w:cs="Arial"/>
          <w:color w:val="000000"/>
          <w:szCs w:val="20"/>
          <w:lang w:val="en-US"/>
        </w:rPr>
        <w:t>de</w:t>
      </w:r>
      <w:r w:rsidRPr="00563A21">
        <w:rPr>
          <w:rFonts w:eastAsia="Times New Roman" w:cs="Arial"/>
          <w:color w:val="000000"/>
          <w:szCs w:val="20"/>
          <w:lang w:val="ru-RU"/>
        </w:rPr>
        <w:t xml:space="preserve"> </w:t>
      </w:r>
      <w:r w:rsidRPr="00563A21">
        <w:rPr>
          <w:rFonts w:eastAsia="Times New Roman" w:cs="Arial"/>
          <w:color w:val="000000"/>
          <w:szCs w:val="20"/>
          <w:lang w:val="en-US"/>
        </w:rPr>
        <w:t>pointes</w:t>
      </w:r>
      <w:r w:rsidRPr="00563A21">
        <w:rPr>
          <w:rFonts w:eastAsia="Times New Roman" w:cs="Arial"/>
          <w:color w:val="000000"/>
          <w:szCs w:val="20"/>
          <w:lang w:val="ru-RU"/>
        </w:rPr>
        <w:t xml:space="preserve"> </w:t>
      </w:r>
      <w:r w:rsidRPr="00563A21">
        <w:rPr>
          <w:rFonts w:eastAsia="Times New Roman" w:cs="Arial"/>
          <w:color w:val="000000"/>
          <w:szCs w:val="20"/>
          <w:lang w:eastAsia="bg-BG"/>
        </w:rPr>
        <w:t>и симптоми на циркулаторен шок.</w:t>
      </w:r>
    </w:p>
    <w:p w14:paraId="125ADA87"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Много редки са случаите, в които предозирането на соталол хидрохлорид е довело до смърт.</w:t>
      </w:r>
    </w:p>
    <w:p w14:paraId="4727C6DF" w14:textId="77777777" w:rsidR="00563A21" w:rsidRPr="00563A21" w:rsidRDefault="00563A21" w:rsidP="00563A21">
      <w:pPr>
        <w:spacing w:line="240" w:lineRule="auto"/>
        <w:rPr>
          <w:rFonts w:eastAsia="Times New Roman" w:cs="Arial"/>
          <w:i/>
          <w:iCs/>
          <w:color w:val="000000"/>
          <w:szCs w:val="20"/>
          <w:lang w:eastAsia="bg-BG"/>
        </w:rPr>
      </w:pPr>
    </w:p>
    <w:p w14:paraId="427E2204" w14:textId="5D59553C" w:rsidR="00563A21" w:rsidRPr="00563A21" w:rsidRDefault="00563A21" w:rsidP="00563A21">
      <w:pPr>
        <w:pStyle w:val="Heading3"/>
        <w:rPr>
          <w:rFonts w:eastAsia="Times New Roman"/>
          <w:i/>
          <w:sz w:val="28"/>
        </w:rPr>
      </w:pPr>
      <w:r w:rsidRPr="00563A21">
        <w:rPr>
          <w:rFonts w:eastAsia="Times New Roman"/>
          <w:i/>
          <w:lang w:eastAsia="bg-BG"/>
        </w:rPr>
        <w:t>Терапевтични мерки</w:t>
      </w:r>
    </w:p>
    <w:p w14:paraId="50347314" w14:textId="77777777" w:rsidR="00563A21" w:rsidRPr="00563A21" w:rsidRDefault="00563A21" w:rsidP="00563A21">
      <w:pPr>
        <w:spacing w:line="240" w:lineRule="auto"/>
        <w:rPr>
          <w:rFonts w:eastAsia="Times New Roman" w:cs="Arial"/>
          <w:color w:val="000000"/>
          <w:szCs w:val="20"/>
          <w:lang w:eastAsia="bg-BG"/>
        </w:rPr>
      </w:pPr>
    </w:p>
    <w:p w14:paraId="7BEBDD66" w14:textId="5C053E50"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Заедно с общите мерки за първоначално отстраняване на субстанцията, в условията на интензивно отделение, трябва да се следят виталните параметри и при нужда да бъдат коригирани.</w:t>
      </w:r>
    </w:p>
    <w:p w14:paraId="22998C1D"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Като противодействащи средства могат да се приложат:</w:t>
      </w:r>
    </w:p>
    <w:p w14:paraId="77A10A53" w14:textId="346CF886" w:rsidR="00563A21" w:rsidRPr="00563A21" w:rsidRDefault="00563A21" w:rsidP="00563A21">
      <w:pPr>
        <w:pStyle w:val="ListParagraph"/>
        <w:numPr>
          <w:ilvl w:val="0"/>
          <w:numId w:val="39"/>
        </w:numPr>
        <w:spacing w:line="240" w:lineRule="auto"/>
        <w:rPr>
          <w:rFonts w:eastAsia="Times New Roman" w:cs="Arial"/>
          <w:sz w:val="28"/>
          <w:szCs w:val="24"/>
        </w:rPr>
      </w:pPr>
      <w:proofErr w:type="spellStart"/>
      <w:r w:rsidRPr="00563A21">
        <w:rPr>
          <w:rFonts w:eastAsia="Times New Roman" w:cs="Arial"/>
          <w:color w:val="000000"/>
          <w:szCs w:val="20"/>
          <w:lang w:val="en-US"/>
        </w:rPr>
        <w:t>Atropin</w:t>
      </w:r>
      <w:proofErr w:type="spellEnd"/>
      <w:r w:rsidRPr="00563A21">
        <w:rPr>
          <w:rFonts w:eastAsia="Times New Roman" w:cs="Arial"/>
          <w:color w:val="000000"/>
          <w:szCs w:val="20"/>
        </w:rPr>
        <w:t>:</w:t>
      </w:r>
    </w:p>
    <w:p w14:paraId="78161187"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 xml:space="preserve">1 - 2 </w:t>
      </w:r>
      <w:r w:rsidRPr="00563A21">
        <w:rPr>
          <w:rFonts w:eastAsia="Times New Roman" w:cs="Arial"/>
          <w:color w:val="000000"/>
          <w:szCs w:val="20"/>
          <w:lang w:val="en-US"/>
        </w:rPr>
        <w:t>mg</w:t>
      </w:r>
      <w:r w:rsidRPr="00563A21">
        <w:rPr>
          <w:rFonts w:eastAsia="Times New Roman" w:cs="Arial"/>
          <w:color w:val="000000"/>
          <w:szCs w:val="20"/>
        </w:rPr>
        <w:t xml:space="preserve"> </w:t>
      </w:r>
      <w:r w:rsidRPr="00563A21">
        <w:rPr>
          <w:rFonts w:eastAsia="Times New Roman" w:cs="Arial"/>
          <w:color w:val="000000"/>
          <w:szCs w:val="20"/>
          <w:lang w:eastAsia="bg-BG"/>
        </w:rPr>
        <w:t>венозно като болус</w:t>
      </w:r>
    </w:p>
    <w:p w14:paraId="35A706DD" w14:textId="77777777" w:rsidR="00563A21" w:rsidRPr="00563A21" w:rsidRDefault="00563A21" w:rsidP="00563A21">
      <w:pPr>
        <w:pStyle w:val="ListParagraph"/>
        <w:numPr>
          <w:ilvl w:val="0"/>
          <w:numId w:val="39"/>
        </w:numPr>
        <w:spacing w:line="240" w:lineRule="auto"/>
        <w:rPr>
          <w:rFonts w:eastAsia="Times New Roman" w:cs="Arial"/>
          <w:sz w:val="28"/>
          <w:szCs w:val="24"/>
        </w:rPr>
      </w:pPr>
      <w:r w:rsidRPr="00563A21">
        <w:rPr>
          <w:rFonts w:eastAsia="Times New Roman" w:cs="Arial"/>
          <w:color w:val="000000"/>
          <w:szCs w:val="20"/>
          <w:lang w:eastAsia="bg-BG"/>
        </w:rPr>
        <w:t xml:space="preserve">бета-симпатикомиметици в зависимост от телесната маса и ефект: </w:t>
      </w:r>
      <w:proofErr w:type="spellStart"/>
      <w:r w:rsidRPr="00563A21">
        <w:rPr>
          <w:rFonts w:eastAsia="Times New Roman" w:cs="Arial"/>
          <w:color w:val="000000"/>
          <w:szCs w:val="20"/>
          <w:lang w:val="en-US"/>
        </w:rPr>
        <w:t>Dopamin</w:t>
      </w:r>
      <w:proofErr w:type="spellEnd"/>
      <w:r w:rsidRPr="00563A21">
        <w:rPr>
          <w:rFonts w:eastAsia="Times New Roman" w:cs="Arial"/>
          <w:color w:val="000000"/>
          <w:szCs w:val="20"/>
        </w:rPr>
        <w:t xml:space="preserve">, </w:t>
      </w:r>
      <w:proofErr w:type="spellStart"/>
      <w:r w:rsidRPr="00563A21">
        <w:rPr>
          <w:rFonts w:eastAsia="Times New Roman" w:cs="Arial"/>
          <w:color w:val="000000"/>
          <w:szCs w:val="20"/>
          <w:lang w:val="en-US"/>
        </w:rPr>
        <w:t>Dobutamin</w:t>
      </w:r>
      <w:proofErr w:type="spellEnd"/>
      <w:r w:rsidRPr="00563A21">
        <w:rPr>
          <w:rFonts w:eastAsia="Times New Roman" w:cs="Arial"/>
          <w:color w:val="000000"/>
          <w:szCs w:val="20"/>
        </w:rPr>
        <w:t xml:space="preserve">, </w:t>
      </w:r>
      <w:proofErr w:type="spellStart"/>
      <w:r w:rsidRPr="00563A21">
        <w:rPr>
          <w:rFonts w:eastAsia="Times New Roman" w:cs="Arial"/>
          <w:color w:val="000000"/>
          <w:szCs w:val="20"/>
          <w:lang w:val="en-US"/>
        </w:rPr>
        <w:t>Isoprenalin</w:t>
      </w:r>
      <w:proofErr w:type="spellEnd"/>
      <w:r w:rsidRPr="00563A21">
        <w:rPr>
          <w:rFonts w:eastAsia="Times New Roman" w:cs="Arial"/>
          <w:color w:val="000000"/>
          <w:szCs w:val="20"/>
        </w:rPr>
        <w:t xml:space="preserve">, </w:t>
      </w:r>
      <w:proofErr w:type="spellStart"/>
      <w:r w:rsidRPr="00563A21">
        <w:rPr>
          <w:rFonts w:eastAsia="Times New Roman" w:cs="Arial"/>
          <w:color w:val="000000"/>
          <w:szCs w:val="20"/>
          <w:lang w:val="en-US"/>
        </w:rPr>
        <w:t>Orciprenalin</w:t>
      </w:r>
      <w:proofErr w:type="spellEnd"/>
      <w:r w:rsidRPr="00563A21">
        <w:rPr>
          <w:rFonts w:eastAsia="Times New Roman" w:cs="Arial"/>
          <w:color w:val="000000"/>
          <w:szCs w:val="20"/>
        </w:rPr>
        <w:t xml:space="preserve"> </w:t>
      </w:r>
      <w:r w:rsidRPr="00563A21">
        <w:rPr>
          <w:rFonts w:eastAsia="Times New Roman" w:cs="Arial"/>
          <w:color w:val="000000"/>
          <w:szCs w:val="20"/>
          <w:lang w:eastAsia="bg-BG"/>
        </w:rPr>
        <w:t xml:space="preserve">и </w:t>
      </w:r>
      <w:r w:rsidRPr="00563A21">
        <w:rPr>
          <w:rFonts w:eastAsia="Times New Roman" w:cs="Arial"/>
          <w:color w:val="000000"/>
          <w:szCs w:val="20"/>
          <w:lang w:val="en-US"/>
        </w:rPr>
        <w:t>Adrenalin</w:t>
      </w:r>
      <w:r w:rsidRPr="00563A21">
        <w:rPr>
          <w:rFonts w:eastAsia="Times New Roman" w:cs="Arial"/>
          <w:color w:val="000000"/>
          <w:szCs w:val="20"/>
        </w:rPr>
        <w:t>.</w:t>
      </w:r>
    </w:p>
    <w:p w14:paraId="2694989A" w14:textId="58D67082" w:rsidR="00563A21" w:rsidRPr="00563A21" w:rsidRDefault="00563A21" w:rsidP="00563A21">
      <w:pPr>
        <w:pStyle w:val="ListParagraph"/>
        <w:numPr>
          <w:ilvl w:val="0"/>
          <w:numId w:val="39"/>
        </w:numPr>
        <w:spacing w:line="240" w:lineRule="auto"/>
        <w:rPr>
          <w:rFonts w:eastAsia="Times New Roman" w:cs="Arial"/>
          <w:sz w:val="28"/>
          <w:szCs w:val="24"/>
        </w:rPr>
      </w:pPr>
      <w:r w:rsidRPr="00563A21">
        <w:rPr>
          <w:rFonts w:eastAsia="Times New Roman" w:cs="Arial"/>
          <w:color w:val="000000"/>
          <w:szCs w:val="20"/>
          <w:lang w:val="en-US"/>
        </w:rPr>
        <w:t>Glucagon</w:t>
      </w:r>
      <w:r w:rsidRPr="00563A21">
        <w:rPr>
          <w:rFonts w:eastAsia="Times New Roman" w:cs="Arial"/>
          <w:color w:val="000000"/>
          <w:szCs w:val="20"/>
          <w:lang w:val="ru-RU"/>
        </w:rPr>
        <w:t>:</w:t>
      </w:r>
    </w:p>
    <w:p w14:paraId="2DAF1D06"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 xml:space="preserve">в началото </w:t>
      </w:r>
      <w:r w:rsidRPr="00563A21">
        <w:rPr>
          <w:rFonts w:eastAsia="Times New Roman" w:cs="Arial"/>
          <w:color w:val="000000"/>
          <w:szCs w:val="20"/>
          <w:lang w:val="ru-RU"/>
        </w:rPr>
        <w:t xml:space="preserve">1-10 </w:t>
      </w:r>
      <w:r w:rsidRPr="00563A21">
        <w:rPr>
          <w:rFonts w:eastAsia="Times New Roman" w:cs="Arial"/>
          <w:color w:val="000000"/>
          <w:szCs w:val="20"/>
          <w:lang w:val="en-US"/>
        </w:rPr>
        <w:t>mg</w:t>
      </w:r>
      <w:r w:rsidRPr="00563A21">
        <w:rPr>
          <w:rFonts w:eastAsia="Times New Roman" w:cs="Arial"/>
          <w:color w:val="000000"/>
          <w:szCs w:val="20"/>
          <w:lang w:val="ru-RU"/>
        </w:rPr>
        <w:t xml:space="preserve"> </w:t>
      </w:r>
      <w:r w:rsidRPr="00563A21">
        <w:rPr>
          <w:rFonts w:eastAsia="Times New Roman" w:cs="Arial"/>
          <w:color w:val="000000"/>
          <w:szCs w:val="20"/>
          <w:lang w:eastAsia="bg-BG"/>
        </w:rPr>
        <w:t>венозно,</w:t>
      </w:r>
    </w:p>
    <w:p w14:paraId="31F927D4"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lastRenderedPageBreak/>
        <w:t xml:space="preserve">след това по </w:t>
      </w:r>
      <w:r w:rsidRPr="00563A21">
        <w:rPr>
          <w:rFonts w:eastAsia="Times New Roman" w:cs="Arial"/>
          <w:color w:val="000000"/>
          <w:szCs w:val="20"/>
          <w:lang w:val="ru-RU"/>
        </w:rPr>
        <w:t xml:space="preserve">2 - </w:t>
      </w:r>
      <w:r w:rsidRPr="00563A21">
        <w:rPr>
          <w:rFonts w:eastAsia="Times New Roman" w:cs="Arial"/>
          <w:color w:val="000000"/>
          <w:szCs w:val="20"/>
          <w:lang w:eastAsia="bg-BG"/>
        </w:rPr>
        <w:t xml:space="preserve">2,5 </w:t>
      </w:r>
      <w:r w:rsidRPr="00563A21">
        <w:rPr>
          <w:rFonts w:eastAsia="Times New Roman" w:cs="Arial"/>
          <w:color w:val="000000"/>
          <w:szCs w:val="20"/>
          <w:lang w:val="en-US"/>
        </w:rPr>
        <w:t>mg</w:t>
      </w:r>
      <w:r w:rsidRPr="00563A21">
        <w:rPr>
          <w:rFonts w:eastAsia="Times New Roman" w:cs="Arial"/>
          <w:color w:val="000000"/>
          <w:szCs w:val="20"/>
          <w:lang w:val="ru-RU"/>
        </w:rPr>
        <w:t xml:space="preserve"> </w:t>
      </w:r>
      <w:r w:rsidRPr="00563A21">
        <w:rPr>
          <w:rFonts w:eastAsia="Times New Roman" w:cs="Arial"/>
          <w:color w:val="000000"/>
          <w:szCs w:val="20"/>
          <w:lang w:eastAsia="bg-BG"/>
        </w:rPr>
        <w:t>на час като продължителна инфузия.</w:t>
      </w:r>
    </w:p>
    <w:p w14:paraId="37FE0199" w14:textId="77777777" w:rsidR="00563A21" w:rsidRPr="00563A21" w:rsidRDefault="00563A21" w:rsidP="00563A21">
      <w:pPr>
        <w:spacing w:line="240" w:lineRule="auto"/>
        <w:rPr>
          <w:rFonts w:eastAsia="Times New Roman" w:cs="Arial"/>
          <w:color w:val="000000"/>
          <w:szCs w:val="20"/>
          <w:lang w:eastAsia="bg-BG"/>
        </w:rPr>
      </w:pPr>
    </w:p>
    <w:p w14:paraId="3E79AFC8" w14:textId="63BF2BBE"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При рефракгерна на медикаментозното лечение брадикардия трябва да се постави временен пейс-мейкър. Соталол хидрохлорид може да се отстрани чрез диализа.</w:t>
      </w:r>
    </w:p>
    <w:p w14:paraId="07155235" w14:textId="77777777" w:rsidR="00563A21" w:rsidRPr="00563A21" w:rsidRDefault="00563A21" w:rsidP="00563A21"/>
    <w:p w14:paraId="02081B24" w14:textId="36FE76F4" w:rsidR="00395555" w:rsidRPr="00395555" w:rsidRDefault="002C50EE" w:rsidP="008A6AF2">
      <w:pPr>
        <w:pStyle w:val="Heading1"/>
      </w:pPr>
      <w:r>
        <w:t>5. ФАРМАКОЛОГИЧНИ СВОЙСТВА</w:t>
      </w:r>
    </w:p>
    <w:p w14:paraId="6339E404" w14:textId="162C23F6" w:rsidR="00875EEC" w:rsidRDefault="002C50EE" w:rsidP="005726E3">
      <w:pPr>
        <w:pStyle w:val="Heading2"/>
      </w:pPr>
      <w:r>
        <w:t>5.1. Фармакодинамични свойства</w:t>
      </w:r>
    </w:p>
    <w:p w14:paraId="366C4F90" w14:textId="74350DD1" w:rsidR="00563A21" w:rsidRDefault="00563A21" w:rsidP="00563A21"/>
    <w:p w14:paraId="0DA038F4"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Терапевтичен клас: клас III антиаритмик с изразена бета-рецепторна блокада</w:t>
      </w:r>
    </w:p>
    <w:p w14:paraId="56B5A70E"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АТС код: С 07 АА 07</w:t>
      </w:r>
    </w:p>
    <w:p w14:paraId="26E3A937" w14:textId="77777777" w:rsidR="00563A21" w:rsidRPr="00563A21" w:rsidRDefault="00563A21" w:rsidP="00563A21">
      <w:pPr>
        <w:spacing w:line="240" w:lineRule="auto"/>
        <w:rPr>
          <w:rFonts w:eastAsia="Times New Roman" w:cs="Arial"/>
          <w:color w:val="000000"/>
          <w:szCs w:val="20"/>
          <w:lang w:val="en-US"/>
        </w:rPr>
      </w:pPr>
    </w:p>
    <w:p w14:paraId="11D6A9B1" w14:textId="5FF075CA"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val="en-US"/>
        </w:rPr>
        <w:t>D</w:t>
      </w:r>
      <w:proofErr w:type="gramStart"/>
      <w:r w:rsidRPr="00563A21">
        <w:rPr>
          <w:rFonts w:eastAsia="Times New Roman" w:cs="Arial"/>
          <w:color w:val="000000"/>
          <w:szCs w:val="20"/>
          <w:lang w:val="ru-RU"/>
        </w:rPr>
        <w:t>,</w:t>
      </w:r>
      <w:r w:rsidRPr="00563A21">
        <w:rPr>
          <w:rFonts w:eastAsia="Times New Roman" w:cs="Arial"/>
          <w:color w:val="000000"/>
          <w:szCs w:val="20"/>
          <w:lang w:val="en-US"/>
        </w:rPr>
        <w:t>L</w:t>
      </w:r>
      <w:proofErr w:type="gramEnd"/>
      <w:r w:rsidRPr="00563A21">
        <w:rPr>
          <w:rFonts w:eastAsia="Times New Roman" w:cs="Arial"/>
          <w:color w:val="000000"/>
          <w:szCs w:val="20"/>
          <w:lang w:val="ru-RU"/>
        </w:rPr>
        <w:t>-</w:t>
      </w:r>
      <w:proofErr w:type="spellStart"/>
      <w:r w:rsidRPr="00563A21">
        <w:rPr>
          <w:rFonts w:eastAsia="Times New Roman" w:cs="Arial"/>
          <w:color w:val="000000"/>
          <w:szCs w:val="20"/>
          <w:lang w:val="en-US"/>
        </w:rPr>
        <w:t>sotalol</w:t>
      </w:r>
      <w:proofErr w:type="spellEnd"/>
      <w:r w:rsidRPr="00563A21">
        <w:rPr>
          <w:rFonts w:eastAsia="Times New Roman" w:cs="Arial"/>
          <w:color w:val="000000"/>
          <w:szCs w:val="20"/>
          <w:lang w:val="ru-RU"/>
        </w:rPr>
        <w:t xml:space="preserve"> </w:t>
      </w:r>
      <w:r w:rsidRPr="00563A21">
        <w:rPr>
          <w:rFonts w:eastAsia="Times New Roman" w:cs="Arial"/>
          <w:color w:val="000000"/>
          <w:szCs w:val="20"/>
          <w:lang w:val="en-US"/>
        </w:rPr>
        <w:t>hydrochloride</w:t>
      </w:r>
      <w:r w:rsidRPr="00563A21">
        <w:rPr>
          <w:rFonts w:eastAsia="Times New Roman" w:cs="Arial"/>
          <w:color w:val="000000"/>
          <w:szCs w:val="20"/>
          <w:lang w:val="ru-RU"/>
        </w:rPr>
        <w:t xml:space="preserve"> </w:t>
      </w:r>
      <w:r w:rsidRPr="00563A21">
        <w:rPr>
          <w:rFonts w:eastAsia="Times New Roman" w:cs="Arial"/>
          <w:color w:val="000000"/>
          <w:szCs w:val="20"/>
          <w:lang w:eastAsia="bg-BG"/>
        </w:rPr>
        <w:t xml:space="preserve">е хидрофилен антиаритмичен препарат от клас </w:t>
      </w:r>
      <w:r w:rsidRPr="00563A21">
        <w:rPr>
          <w:rFonts w:eastAsia="Times New Roman" w:cs="Arial"/>
          <w:color w:val="000000"/>
          <w:szCs w:val="20"/>
          <w:lang w:val="en-US"/>
        </w:rPr>
        <w:t>III</w:t>
      </w:r>
      <w:r w:rsidRPr="00563A21">
        <w:rPr>
          <w:rFonts w:eastAsia="Times New Roman" w:cs="Arial"/>
          <w:color w:val="000000"/>
          <w:szCs w:val="20"/>
          <w:lang w:eastAsia="bg-BG"/>
        </w:rPr>
        <w:t xml:space="preserve"> с изразено бета-рецепторно блокиращо действие. Антиаритмичното действие на продуктите от клас III се основава на остро започващо удължаване на монофазния акционен потенциал без повлияване на скоростта на проводимост. Абсолютният рефрактерен период се удължава. Този електрофизиологичен механизъм на действие е свързан както с дясно- така и с лявовъртящия изомер и е доказан и в предсърдието, </w:t>
      </w:r>
      <w:r w:rsidRPr="00563A21">
        <w:rPr>
          <w:rFonts w:eastAsia="Times New Roman" w:cs="Arial"/>
          <w:color w:val="000000"/>
          <w:szCs w:val="20"/>
          <w:lang w:val="en-US"/>
        </w:rPr>
        <w:t>AV</w:t>
      </w:r>
      <w:r w:rsidRPr="00563A21">
        <w:rPr>
          <w:rFonts w:eastAsia="Times New Roman" w:cs="Arial"/>
          <w:color w:val="000000"/>
          <w:szCs w:val="20"/>
          <w:lang w:val="ru-RU"/>
        </w:rPr>
        <w:t xml:space="preserve"> </w:t>
      </w:r>
      <w:r w:rsidRPr="00563A21">
        <w:rPr>
          <w:rFonts w:eastAsia="Times New Roman" w:cs="Arial"/>
          <w:color w:val="000000"/>
          <w:szCs w:val="20"/>
          <w:lang w:eastAsia="bg-BG"/>
        </w:rPr>
        <w:t>- възела, допълнителните преводни пътища и камерата.</w:t>
      </w:r>
    </w:p>
    <w:p w14:paraId="7338AA76"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 xml:space="preserve">Бета-рецепторната блокада без вътрешна симпатикомиметична активност, свързана с лявовъртящия изомер, се изявява с относително еднаква сила върху β1- и β2-рецепторите. В зависимост от нивото на симпатикусовия тонус, субстанцията намалява честотата и силата на сърдечните съкращения, </w:t>
      </w:r>
      <w:r w:rsidRPr="00563A21">
        <w:rPr>
          <w:rFonts w:eastAsia="Times New Roman" w:cs="Arial"/>
          <w:color w:val="000000"/>
          <w:szCs w:val="20"/>
          <w:lang w:val="en-US"/>
        </w:rPr>
        <w:t>AV</w:t>
      </w:r>
      <w:r w:rsidRPr="00563A21">
        <w:rPr>
          <w:rFonts w:eastAsia="Times New Roman" w:cs="Arial"/>
          <w:color w:val="000000"/>
          <w:szCs w:val="20"/>
          <w:lang w:val="ru-RU"/>
        </w:rPr>
        <w:t xml:space="preserve">- </w:t>
      </w:r>
      <w:r w:rsidRPr="00563A21">
        <w:rPr>
          <w:rFonts w:eastAsia="Times New Roman" w:cs="Arial"/>
          <w:color w:val="000000"/>
          <w:szCs w:val="20"/>
          <w:lang w:eastAsia="bg-BG"/>
        </w:rPr>
        <w:t>проводната скорост и плазмената ренинова активност. Тя може да предизвика увеличаване на гладкомускулния тонус чрез подтискане на β2-рецептори.</w:t>
      </w:r>
    </w:p>
    <w:p w14:paraId="32600835" w14:textId="77777777" w:rsidR="00563A21" w:rsidRPr="00563A21" w:rsidRDefault="00563A21" w:rsidP="00563A21"/>
    <w:p w14:paraId="346B622B" w14:textId="348C7D0C" w:rsidR="00875EEC" w:rsidRDefault="002C50EE" w:rsidP="005726E3">
      <w:pPr>
        <w:pStyle w:val="Heading2"/>
      </w:pPr>
      <w:r>
        <w:t>5.2. Фармакокинетични свойства</w:t>
      </w:r>
    </w:p>
    <w:p w14:paraId="0CA60084" w14:textId="576E828C" w:rsidR="00563A21" w:rsidRDefault="00563A21" w:rsidP="00563A21"/>
    <w:p w14:paraId="289F6C5F"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Соталолът се резорбира в 75 % - 90 % в стомашно-чревния тракт. В резултат на липсващ ефект на първо преминаване, абсолютната бионаличност възлиза на 75% - 90%. След орален прием максималните плазмени нива се достигат след 2-3 часа.</w:t>
      </w:r>
    </w:p>
    <w:p w14:paraId="070D3FEC"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 xml:space="preserve">Обемът на разпределение възлиза на 1,6 - 2,4 </w:t>
      </w:r>
      <w:r w:rsidRPr="00563A21">
        <w:rPr>
          <w:rFonts w:eastAsia="Times New Roman" w:cs="Arial"/>
          <w:color w:val="000000"/>
          <w:szCs w:val="20"/>
          <w:lang w:val="en-US"/>
        </w:rPr>
        <w:t>l</w:t>
      </w:r>
      <w:r w:rsidRPr="00563A21">
        <w:rPr>
          <w:rFonts w:eastAsia="Times New Roman" w:cs="Arial"/>
          <w:color w:val="000000"/>
          <w:szCs w:val="20"/>
          <w:lang w:val="ru-RU"/>
        </w:rPr>
        <w:t>/</w:t>
      </w:r>
      <w:r w:rsidRPr="00563A21">
        <w:rPr>
          <w:rFonts w:eastAsia="Times New Roman" w:cs="Arial"/>
          <w:color w:val="000000"/>
          <w:szCs w:val="20"/>
          <w:lang w:val="en-US"/>
        </w:rPr>
        <w:t>kg</w:t>
      </w:r>
      <w:r w:rsidRPr="00563A21">
        <w:rPr>
          <w:rFonts w:eastAsia="Times New Roman" w:cs="Arial"/>
          <w:color w:val="000000"/>
          <w:szCs w:val="20"/>
          <w:lang w:val="ru-RU"/>
        </w:rPr>
        <w:t xml:space="preserve">, </w:t>
      </w:r>
      <w:r w:rsidRPr="00563A21">
        <w:rPr>
          <w:rFonts w:eastAsia="Times New Roman" w:cs="Arial"/>
          <w:color w:val="000000"/>
          <w:szCs w:val="20"/>
          <w:lang w:eastAsia="bg-BG"/>
        </w:rPr>
        <w:t>свързване с плазмените белтъци -0%</w:t>
      </w:r>
    </w:p>
    <w:p w14:paraId="2259F82F"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Досега не са доказани фармакологично активни метаболити.</w:t>
      </w:r>
    </w:p>
    <w:p w14:paraId="7092E66F"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Соталолът се елиминира изключително чрез бъбреците.</w:t>
      </w:r>
    </w:p>
    <w:p w14:paraId="4E9F157A"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 xml:space="preserve">Реналният клирънс възлиза на 120 </w:t>
      </w:r>
      <w:r w:rsidRPr="00563A21">
        <w:rPr>
          <w:rFonts w:eastAsia="Times New Roman" w:cs="Arial"/>
          <w:color w:val="000000"/>
          <w:szCs w:val="20"/>
          <w:lang w:val="en-US"/>
        </w:rPr>
        <w:t>ml</w:t>
      </w:r>
      <w:r w:rsidRPr="00563A21">
        <w:rPr>
          <w:rFonts w:eastAsia="Times New Roman" w:cs="Arial"/>
          <w:color w:val="000000"/>
          <w:szCs w:val="20"/>
          <w:lang w:val="ru-RU"/>
        </w:rPr>
        <w:t>/</w:t>
      </w:r>
      <w:r w:rsidRPr="00563A21">
        <w:rPr>
          <w:rFonts w:eastAsia="Times New Roman" w:cs="Arial"/>
          <w:color w:val="000000"/>
          <w:szCs w:val="20"/>
          <w:lang w:val="en-US"/>
        </w:rPr>
        <w:t>min</w:t>
      </w:r>
      <w:r w:rsidRPr="00563A21">
        <w:rPr>
          <w:rFonts w:eastAsia="Times New Roman" w:cs="Arial"/>
          <w:color w:val="000000"/>
          <w:szCs w:val="20"/>
          <w:lang w:val="ru-RU"/>
        </w:rPr>
        <w:t xml:space="preserve"> </w:t>
      </w:r>
      <w:r w:rsidRPr="00563A21">
        <w:rPr>
          <w:rFonts w:eastAsia="Times New Roman" w:cs="Arial"/>
          <w:color w:val="000000"/>
          <w:szCs w:val="20"/>
          <w:lang w:eastAsia="bg-BG"/>
        </w:rPr>
        <w:t>и отговоря на общия телесен клирънс.</w:t>
      </w:r>
    </w:p>
    <w:p w14:paraId="45931059" w14:textId="6E18BF14" w:rsidR="00563A21" w:rsidRPr="00563A21" w:rsidRDefault="00563A21" w:rsidP="00563A21">
      <w:pPr>
        <w:rPr>
          <w:rFonts w:eastAsia="Times New Roman" w:cs="Arial"/>
          <w:color w:val="000000"/>
          <w:szCs w:val="20"/>
          <w:lang w:eastAsia="bg-BG"/>
        </w:rPr>
      </w:pPr>
      <w:r w:rsidRPr="00563A21">
        <w:rPr>
          <w:rFonts w:eastAsia="Times New Roman" w:cs="Arial"/>
          <w:color w:val="000000"/>
          <w:szCs w:val="20"/>
          <w:lang w:eastAsia="bg-BG"/>
        </w:rPr>
        <w:t>Времето на полуелиминиране е около 15 часа. То може да достигне до 42 часа, при терминална бъбречна недостатъчност.</w:t>
      </w:r>
    </w:p>
    <w:p w14:paraId="466760D2" w14:textId="77777777" w:rsidR="00563A21" w:rsidRPr="00563A21" w:rsidRDefault="00563A21" w:rsidP="00563A21"/>
    <w:p w14:paraId="4F31844C" w14:textId="69BF6D5F" w:rsidR="00875EEC" w:rsidRDefault="002C50EE" w:rsidP="005726E3">
      <w:pPr>
        <w:pStyle w:val="Heading2"/>
      </w:pPr>
      <w:r>
        <w:t>5.3. Предклинични данни за безопасност</w:t>
      </w:r>
    </w:p>
    <w:p w14:paraId="6FD3C8C0" w14:textId="2AC95587" w:rsidR="00563A21" w:rsidRDefault="00563A21" w:rsidP="00563A21"/>
    <w:p w14:paraId="42F3E9F6" w14:textId="77777777"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Предклиничните данни са въз основа на стандартни фармакологични проучвания за безопасност, хронична токсичност, репродуктивна токсичност и канцерогенност, и не са показали данни за особен риск при хора.</w:t>
      </w:r>
    </w:p>
    <w:p w14:paraId="1342C45D" w14:textId="77777777" w:rsidR="00563A21" w:rsidRPr="00563A21" w:rsidRDefault="00563A21" w:rsidP="00563A21">
      <w:pPr>
        <w:spacing w:line="240" w:lineRule="auto"/>
        <w:rPr>
          <w:rFonts w:eastAsia="Times New Roman" w:cs="Arial"/>
          <w:color w:val="000000"/>
          <w:szCs w:val="20"/>
          <w:lang w:eastAsia="bg-BG"/>
        </w:rPr>
      </w:pPr>
    </w:p>
    <w:p w14:paraId="22635B9C" w14:textId="58BE2FF6" w:rsidR="00563A21" w:rsidRPr="00563A21" w:rsidRDefault="00563A21" w:rsidP="00563A21">
      <w:pPr>
        <w:spacing w:line="240" w:lineRule="auto"/>
        <w:rPr>
          <w:rFonts w:eastAsia="Times New Roman" w:cs="Arial"/>
          <w:sz w:val="28"/>
          <w:szCs w:val="24"/>
        </w:rPr>
      </w:pPr>
      <w:r w:rsidRPr="00563A21">
        <w:rPr>
          <w:rFonts w:eastAsia="Times New Roman" w:cs="Arial"/>
          <w:color w:val="000000"/>
          <w:szCs w:val="20"/>
          <w:lang w:eastAsia="bg-BG"/>
        </w:rPr>
        <w:t xml:space="preserve">Репродуктивни токсикологични изследвания с плъхове и зайци не са установили тератогенни действия на соталол хидрохлорид. При дози, по-високи от терапевтичните при хора, е имало ембриолетални ефекти при плъхове и зайци, както и намалено тегло на </w:t>
      </w:r>
      <w:r w:rsidRPr="00563A21">
        <w:rPr>
          <w:rFonts w:eastAsia="Times New Roman" w:cs="Arial"/>
          <w:color w:val="000000"/>
          <w:szCs w:val="20"/>
          <w:lang w:eastAsia="bg-BG"/>
        </w:rPr>
        <w:lastRenderedPageBreak/>
        <w:t>новородените, промени в рецепторната плътност в мозъка и промени в поведението при плъхове.</w:t>
      </w:r>
    </w:p>
    <w:p w14:paraId="08E2E58D" w14:textId="77777777" w:rsidR="00563A21" w:rsidRPr="00563A21" w:rsidRDefault="00563A21" w:rsidP="00563A21"/>
    <w:p w14:paraId="1BA6531D" w14:textId="08E326D3" w:rsidR="00B6672E" w:rsidRDefault="002C50EE" w:rsidP="00936AD0">
      <w:pPr>
        <w:pStyle w:val="Heading1"/>
      </w:pPr>
      <w:r>
        <w:t>7. ПРИТЕЖАТЕЛ НА РАЗРЕШЕНИЕТО ЗА УПОТРЕБА</w:t>
      </w:r>
    </w:p>
    <w:p w14:paraId="0D551830" w14:textId="148DB15F" w:rsidR="00563A21" w:rsidRDefault="00563A21" w:rsidP="00563A21"/>
    <w:p w14:paraId="2317C448" w14:textId="77777777" w:rsidR="00563A21" w:rsidRPr="00563A21" w:rsidRDefault="00563A21" w:rsidP="00563A21">
      <w:pPr>
        <w:rPr>
          <w:sz w:val="24"/>
          <w:szCs w:val="24"/>
          <w:lang w:val="en-US"/>
        </w:rPr>
      </w:pPr>
      <w:proofErr w:type="spellStart"/>
      <w:r w:rsidRPr="00563A21">
        <w:rPr>
          <w:lang w:val="en-US"/>
        </w:rPr>
        <w:t>Worwag</w:t>
      </w:r>
      <w:proofErr w:type="spellEnd"/>
      <w:r w:rsidRPr="00563A21">
        <w:rPr>
          <w:lang w:val="en-US"/>
        </w:rPr>
        <w:t xml:space="preserve"> Pharma GmbH </w:t>
      </w:r>
      <w:r w:rsidRPr="00563A21">
        <w:rPr>
          <w:lang w:eastAsia="bg-BG"/>
        </w:rPr>
        <w:t xml:space="preserve">&amp; </w:t>
      </w:r>
      <w:r w:rsidRPr="00563A21">
        <w:rPr>
          <w:lang w:val="en-US"/>
        </w:rPr>
        <w:t>Co. KG</w:t>
      </w:r>
    </w:p>
    <w:p w14:paraId="61D1B12E" w14:textId="77777777" w:rsidR="00563A21" w:rsidRPr="00563A21" w:rsidRDefault="00563A21" w:rsidP="00563A21">
      <w:pPr>
        <w:rPr>
          <w:sz w:val="24"/>
          <w:szCs w:val="24"/>
          <w:lang w:val="en-US"/>
        </w:rPr>
      </w:pPr>
      <w:proofErr w:type="spellStart"/>
      <w:r w:rsidRPr="00563A21">
        <w:rPr>
          <w:lang w:val="en-US"/>
        </w:rPr>
        <w:t>Flugfeld-Allee</w:t>
      </w:r>
      <w:proofErr w:type="spellEnd"/>
      <w:r w:rsidRPr="00563A21">
        <w:rPr>
          <w:lang w:val="en-US"/>
        </w:rPr>
        <w:t xml:space="preserve"> 24</w:t>
      </w:r>
    </w:p>
    <w:p w14:paraId="4487264D" w14:textId="77777777" w:rsidR="00563A21" w:rsidRPr="00563A21" w:rsidRDefault="00563A21" w:rsidP="00563A21">
      <w:pPr>
        <w:rPr>
          <w:sz w:val="24"/>
          <w:szCs w:val="24"/>
          <w:lang w:val="ru-RU"/>
        </w:rPr>
      </w:pPr>
      <w:r w:rsidRPr="00563A21">
        <w:rPr>
          <w:lang w:val="ru-RU"/>
        </w:rPr>
        <w:t xml:space="preserve">71034 </w:t>
      </w:r>
      <w:proofErr w:type="spellStart"/>
      <w:r w:rsidRPr="00563A21">
        <w:rPr>
          <w:lang w:val="en-US"/>
        </w:rPr>
        <w:t>Boblingen</w:t>
      </w:r>
      <w:proofErr w:type="spellEnd"/>
    </w:p>
    <w:p w14:paraId="1ADA4B60" w14:textId="0FD523BA" w:rsidR="00563A21" w:rsidRPr="00563A21" w:rsidRDefault="00563A21" w:rsidP="00563A21">
      <w:r w:rsidRPr="00563A21">
        <w:rPr>
          <w:lang w:eastAsia="bg-BG"/>
        </w:rPr>
        <w:t>Германия</w:t>
      </w:r>
    </w:p>
    <w:p w14:paraId="508F3A54" w14:textId="7EC8628B" w:rsidR="00B6672E" w:rsidRDefault="00936AD0" w:rsidP="00936AD0">
      <w:pPr>
        <w:pStyle w:val="Heading1"/>
      </w:pPr>
      <w:r>
        <w:t>8.</w:t>
      </w:r>
      <w:r w:rsidR="002C50EE">
        <w:t>НОМЕР НА РАЗРЕШЕНИЕТО ЗА УПОТРЕБА</w:t>
      </w:r>
    </w:p>
    <w:p w14:paraId="687975BD" w14:textId="16A6CE9F" w:rsidR="00563A21" w:rsidRDefault="00563A21" w:rsidP="00563A21"/>
    <w:p w14:paraId="18516003" w14:textId="6B164660" w:rsidR="00563A21" w:rsidRPr="00563A21" w:rsidRDefault="00563A21" w:rsidP="00563A21">
      <w:r>
        <w:t>20020520</w:t>
      </w:r>
    </w:p>
    <w:p w14:paraId="3BC5EC53" w14:textId="5096BFEB" w:rsidR="00875EEC" w:rsidRDefault="002C50EE" w:rsidP="005726E3">
      <w:pPr>
        <w:pStyle w:val="Heading1"/>
      </w:pPr>
      <w:r>
        <w:t>9. ДАТА НА ПЪРВО РАЗРЕШАВАНЕ/ПОДНОВЯВАНЕ НА РАЗРЕШЕНИЕТО ЗА УПОТРЕБА</w:t>
      </w:r>
    </w:p>
    <w:p w14:paraId="424D7BB4" w14:textId="318F805C" w:rsidR="00563A21" w:rsidRDefault="00563A21" w:rsidP="00563A21"/>
    <w:p w14:paraId="5A269820" w14:textId="77777777" w:rsidR="00563A21" w:rsidRPr="00563A21" w:rsidRDefault="00563A21" w:rsidP="00563A21">
      <w:pPr>
        <w:rPr>
          <w:sz w:val="24"/>
          <w:szCs w:val="24"/>
        </w:rPr>
      </w:pPr>
      <w:r w:rsidRPr="00563A21">
        <w:rPr>
          <w:lang w:eastAsia="bg-BG"/>
        </w:rPr>
        <w:t>Дата на първо разрешаване: 25 Юни 2002 г.</w:t>
      </w:r>
    </w:p>
    <w:p w14:paraId="15A6FBAA" w14:textId="77777777" w:rsidR="00563A21" w:rsidRPr="00563A21" w:rsidRDefault="00563A21" w:rsidP="00563A21">
      <w:pPr>
        <w:rPr>
          <w:sz w:val="24"/>
          <w:szCs w:val="24"/>
        </w:rPr>
      </w:pPr>
      <w:r w:rsidRPr="00563A21">
        <w:rPr>
          <w:lang w:eastAsia="bg-BG"/>
        </w:rPr>
        <w:t>Дата на последно подновяване: 15 Октомври 2007 г.</w:t>
      </w:r>
    </w:p>
    <w:p w14:paraId="693C0656" w14:textId="77777777" w:rsidR="00563A21" w:rsidRPr="00563A21" w:rsidRDefault="00563A21" w:rsidP="00563A21"/>
    <w:p w14:paraId="43FB38A2" w14:textId="42115BC9" w:rsidR="007C605B" w:rsidRDefault="002C50EE" w:rsidP="005726E3">
      <w:pPr>
        <w:pStyle w:val="Heading1"/>
      </w:pPr>
      <w:r>
        <w:t>10. ДАТА НА АКТУАЛИЗИРАНЕ НА ТЕКСТА</w:t>
      </w:r>
      <w:bookmarkEnd w:id="0"/>
    </w:p>
    <w:p w14:paraId="723D078D" w14:textId="41CDE50C" w:rsidR="00563A21" w:rsidRPr="00563A21" w:rsidRDefault="00563A21" w:rsidP="00563A21">
      <w:r>
        <w:t>10/2021</w:t>
      </w:r>
      <w:bookmarkStart w:id="3" w:name="_GoBack"/>
      <w:bookmarkEnd w:id="3"/>
    </w:p>
    <w:sectPr w:rsidR="00563A21" w:rsidRPr="00563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82B337A"/>
    <w:multiLevelType w:val="hybridMultilevel"/>
    <w:tmpl w:val="04C8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B0834"/>
    <w:multiLevelType w:val="hybridMultilevel"/>
    <w:tmpl w:val="7A22F9F0"/>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F0081"/>
    <w:multiLevelType w:val="hybridMultilevel"/>
    <w:tmpl w:val="F4B0B99A"/>
    <w:lvl w:ilvl="0" w:tplc="61A8CAF0">
      <w:start w:val="4"/>
      <w:numFmt w:val="bullet"/>
      <w:lvlText w:val="-"/>
      <w:lvlJc w:val="left"/>
      <w:pPr>
        <w:ind w:left="1080" w:hanging="360"/>
      </w:pPr>
      <w:rPr>
        <w:rFonts w:ascii="Arial" w:eastAsiaTheme="minorHAnsi" w:hAnsi="Aria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5"/>
  </w:num>
  <w:num w:numId="4">
    <w:abstractNumId w:val="3"/>
  </w:num>
  <w:num w:numId="5">
    <w:abstractNumId w:val="1"/>
  </w:num>
  <w:num w:numId="6">
    <w:abstractNumId w:val="19"/>
  </w:num>
  <w:num w:numId="7">
    <w:abstractNumId w:val="12"/>
  </w:num>
  <w:num w:numId="8">
    <w:abstractNumId w:val="18"/>
  </w:num>
  <w:num w:numId="9">
    <w:abstractNumId w:val="2"/>
  </w:num>
  <w:num w:numId="10">
    <w:abstractNumId w:val="4"/>
  </w:num>
  <w:num w:numId="11">
    <w:abstractNumId w:val="34"/>
  </w:num>
  <w:num w:numId="12">
    <w:abstractNumId w:val="16"/>
  </w:num>
  <w:num w:numId="13">
    <w:abstractNumId w:val="22"/>
  </w:num>
  <w:num w:numId="14">
    <w:abstractNumId w:val="14"/>
  </w:num>
  <w:num w:numId="15">
    <w:abstractNumId w:val="33"/>
  </w:num>
  <w:num w:numId="16">
    <w:abstractNumId w:val="11"/>
  </w:num>
  <w:num w:numId="17">
    <w:abstractNumId w:val="27"/>
  </w:num>
  <w:num w:numId="18">
    <w:abstractNumId w:val="8"/>
  </w:num>
  <w:num w:numId="19">
    <w:abstractNumId w:val="29"/>
  </w:num>
  <w:num w:numId="20">
    <w:abstractNumId w:val="26"/>
  </w:num>
  <w:num w:numId="21">
    <w:abstractNumId w:val="20"/>
  </w:num>
  <w:num w:numId="22">
    <w:abstractNumId w:val="28"/>
  </w:num>
  <w:num w:numId="23">
    <w:abstractNumId w:val="21"/>
  </w:num>
  <w:num w:numId="24">
    <w:abstractNumId w:val="9"/>
  </w:num>
  <w:num w:numId="25">
    <w:abstractNumId w:val="25"/>
  </w:num>
  <w:num w:numId="26">
    <w:abstractNumId w:val="24"/>
  </w:num>
  <w:num w:numId="27">
    <w:abstractNumId w:val="35"/>
  </w:num>
  <w:num w:numId="28">
    <w:abstractNumId w:val="6"/>
  </w:num>
  <w:num w:numId="29">
    <w:abstractNumId w:val="23"/>
  </w:num>
  <w:num w:numId="30">
    <w:abstractNumId w:val="38"/>
  </w:num>
  <w:num w:numId="31">
    <w:abstractNumId w:val="5"/>
  </w:num>
  <w:num w:numId="32">
    <w:abstractNumId w:val="37"/>
  </w:num>
  <w:num w:numId="33">
    <w:abstractNumId w:val="31"/>
  </w:num>
  <w:num w:numId="34">
    <w:abstractNumId w:val="36"/>
  </w:num>
  <w:num w:numId="35">
    <w:abstractNumId w:val="7"/>
  </w:num>
  <w:num w:numId="36">
    <w:abstractNumId w:val="10"/>
  </w:num>
  <w:num w:numId="37">
    <w:abstractNumId w:val="13"/>
  </w:num>
  <w:num w:numId="38">
    <w:abstractNumId w:val="3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63A21"/>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3086</Words>
  <Characters>17596</Characters>
  <Application>Microsoft Office Word</Application>
  <DocSecurity>0</DocSecurity>
  <Lines>146</Lines>
  <Paragraphs>41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2022-11-29T22:02:00Z</dcterms:created>
  <dcterms:modified xsi:type="dcterms:W3CDTF">2022-11-29T22:02:00Z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