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5FAC1DEF" w:rsidR="00DB32D3" w:rsidRDefault="00DD466D" w:rsidP="005726E3">
      <w:pPr>
        <w:pStyle w:val="Heading1"/>
      </w:pPr>
      <w:r>
        <w:t>1.ИМЕ НА ЛЕКАРСТВЕНИЯ ПРОДУКТ</w:t>
      </w:r>
    </w:p>
    <w:p w14:paraId="69053EC0" w14:textId="09453F4B" w:rsidR="00BC0E16" w:rsidRDefault="00BC0E16" w:rsidP="00BC0E16"/>
    <w:p w14:paraId="23758846" w14:textId="77777777" w:rsidR="00BC0E16" w:rsidRPr="00BC0E16" w:rsidRDefault="00BC0E16" w:rsidP="00BC0E16">
      <w:pPr>
        <w:rPr>
          <w:sz w:val="24"/>
          <w:szCs w:val="24"/>
        </w:rPr>
      </w:pPr>
      <w:r w:rsidRPr="00BC0E16">
        <w:rPr>
          <w:lang w:eastAsia="bg-BG"/>
        </w:rPr>
        <w:t xml:space="preserve">Сотахексал 160 </w:t>
      </w:r>
      <w:r w:rsidRPr="00BC0E16">
        <w:rPr>
          <w:lang w:val="en-US"/>
        </w:rPr>
        <w:t>mg</w:t>
      </w:r>
      <w:r w:rsidRPr="00BC0E16">
        <w:t xml:space="preserve"> </w:t>
      </w:r>
      <w:r w:rsidRPr="00BC0E16">
        <w:rPr>
          <w:lang w:eastAsia="bg-BG"/>
        </w:rPr>
        <w:t>таблетки</w:t>
      </w:r>
    </w:p>
    <w:p w14:paraId="6EF9A6C4" w14:textId="77777777" w:rsidR="00BC0E16" w:rsidRPr="00BC0E16" w:rsidRDefault="00BC0E16" w:rsidP="00BC0E16">
      <w:pPr>
        <w:rPr>
          <w:sz w:val="24"/>
          <w:szCs w:val="24"/>
        </w:rPr>
      </w:pPr>
      <w:proofErr w:type="spellStart"/>
      <w:r w:rsidRPr="00BC0E16">
        <w:rPr>
          <w:lang w:val="en-US"/>
        </w:rPr>
        <w:t>Sotahexal</w:t>
      </w:r>
      <w:proofErr w:type="spellEnd"/>
      <w:r w:rsidRPr="00BC0E16">
        <w:t xml:space="preserve"> </w:t>
      </w:r>
      <w:r w:rsidRPr="00BC0E16">
        <w:rPr>
          <w:lang w:eastAsia="bg-BG"/>
        </w:rPr>
        <w:t xml:space="preserve">160 </w:t>
      </w:r>
      <w:r w:rsidRPr="00BC0E16">
        <w:rPr>
          <w:lang w:val="en-US"/>
        </w:rPr>
        <w:t>mg</w:t>
      </w:r>
      <w:r w:rsidRPr="00BC0E16">
        <w:t xml:space="preserve"> </w:t>
      </w:r>
      <w:r w:rsidRPr="00BC0E16">
        <w:rPr>
          <w:lang w:val="en-US"/>
        </w:rPr>
        <w:t>tablets</w:t>
      </w:r>
    </w:p>
    <w:p w14:paraId="30246922" w14:textId="77777777" w:rsidR="00BC0E16" w:rsidRDefault="00BC0E16" w:rsidP="00BC0E16">
      <w:pPr>
        <w:rPr>
          <w:lang w:eastAsia="bg-BG"/>
        </w:rPr>
      </w:pPr>
    </w:p>
    <w:p w14:paraId="7A7F9606" w14:textId="49E34D97" w:rsidR="00BC0E16" w:rsidRPr="00BC0E16" w:rsidRDefault="00BC0E16" w:rsidP="00BC0E16">
      <w:pPr>
        <w:rPr>
          <w:sz w:val="24"/>
          <w:szCs w:val="24"/>
        </w:rPr>
      </w:pPr>
      <w:r w:rsidRPr="00BC0E16">
        <w:rPr>
          <w:lang w:eastAsia="bg-BG"/>
        </w:rPr>
        <w:t xml:space="preserve">Сотахексал </w:t>
      </w:r>
      <w:r w:rsidRPr="00BC0E16">
        <w:t xml:space="preserve">80 </w:t>
      </w:r>
      <w:r w:rsidRPr="00BC0E16">
        <w:rPr>
          <w:lang w:val="en-US"/>
        </w:rPr>
        <w:t>mg</w:t>
      </w:r>
      <w:r w:rsidRPr="00BC0E16">
        <w:t xml:space="preserve"> </w:t>
      </w:r>
      <w:r w:rsidRPr="00BC0E16">
        <w:rPr>
          <w:lang w:eastAsia="bg-BG"/>
        </w:rPr>
        <w:t>таблетки</w:t>
      </w:r>
    </w:p>
    <w:p w14:paraId="0BAB68E2" w14:textId="77777777" w:rsidR="00BC0E16" w:rsidRPr="00BC0E16" w:rsidRDefault="00BC0E16" w:rsidP="00BC0E16">
      <w:pPr>
        <w:rPr>
          <w:sz w:val="24"/>
          <w:szCs w:val="24"/>
        </w:rPr>
      </w:pPr>
      <w:proofErr w:type="spellStart"/>
      <w:r w:rsidRPr="00BC0E16">
        <w:rPr>
          <w:lang w:val="en-US"/>
        </w:rPr>
        <w:t>Sotahexal</w:t>
      </w:r>
      <w:proofErr w:type="spellEnd"/>
      <w:r w:rsidRPr="00BC0E16">
        <w:t xml:space="preserve"> 80 </w:t>
      </w:r>
      <w:r w:rsidRPr="00BC0E16">
        <w:rPr>
          <w:lang w:val="en-US"/>
        </w:rPr>
        <w:t>mg</w:t>
      </w:r>
      <w:r w:rsidRPr="00BC0E16">
        <w:t xml:space="preserve"> </w:t>
      </w:r>
      <w:r w:rsidRPr="00BC0E16">
        <w:rPr>
          <w:lang w:val="en-US"/>
        </w:rPr>
        <w:t>tablets</w:t>
      </w:r>
    </w:p>
    <w:p w14:paraId="4099D72B" w14:textId="77777777" w:rsidR="00BC0E16" w:rsidRPr="00BC0E16" w:rsidRDefault="00BC0E16" w:rsidP="00BC0E16"/>
    <w:p w14:paraId="48E6CABE" w14:textId="7FE1F791" w:rsidR="00DB32D3" w:rsidRDefault="00DD466D" w:rsidP="005726E3">
      <w:pPr>
        <w:pStyle w:val="Heading1"/>
      </w:pPr>
      <w:r>
        <w:t>2. КАЧЕСТВЕН И КОЛИЧЕСТВЕН СЪСТАВ</w:t>
      </w:r>
    </w:p>
    <w:p w14:paraId="1AE37B0D" w14:textId="23F4617D" w:rsidR="00BC0E16" w:rsidRDefault="00BC0E16" w:rsidP="00BC0E16"/>
    <w:p w14:paraId="714CC1FD" w14:textId="2C728223" w:rsidR="00BC0E16" w:rsidRPr="00BC0E16" w:rsidRDefault="00BC0E16" w:rsidP="00BC0E16">
      <w:r>
        <w:t xml:space="preserve">Всяка таблетка съдържа 80 или 160 </w:t>
      </w:r>
      <w:r>
        <w:rPr>
          <w:lang w:val="en-US"/>
        </w:rPr>
        <w:t>mg</w:t>
      </w:r>
      <w:r w:rsidRPr="00BC0E16">
        <w:t xml:space="preserve"> </w:t>
      </w:r>
      <w:r>
        <w:t xml:space="preserve">соталолов хидрохлорид </w:t>
      </w:r>
      <w:r w:rsidRPr="00BC0E16">
        <w:rPr>
          <w:i/>
          <w:iCs/>
        </w:rPr>
        <w:t>(</w:t>
      </w:r>
      <w:proofErr w:type="spellStart"/>
      <w:r>
        <w:rPr>
          <w:i/>
          <w:iCs/>
          <w:lang w:val="en-US"/>
        </w:rPr>
        <w:t>sotalol</w:t>
      </w:r>
      <w:proofErr w:type="spellEnd"/>
      <w:r w:rsidRPr="00BC0E16">
        <w:rPr>
          <w:i/>
          <w:iCs/>
        </w:rPr>
        <w:t xml:space="preserve"> </w:t>
      </w:r>
      <w:r>
        <w:rPr>
          <w:i/>
          <w:iCs/>
          <w:lang w:val="en-US"/>
        </w:rPr>
        <w:t>hydrochloride</w:t>
      </w:r>
      <w:r w:rsidRPr="00BC0E16">
        <w:rPr>
          <w:i/>
          <w:iCs/>
        </w:rPr>
        <w:t>).</w:t>
      </w:r>
    </w:p>
    <w:p w14:paraId="614984C4" w14:textId="3FF7334F" w:rsidR="008A6AF2" w:rsidRDefault="00DD466D" w:rsidP="002C50EE">
      <w:pPr>
        <w:pStyle w:val="Heading1"/>
      </w:pPr>
      <w:r>
        <w:t>3. ЛЕКАРСТВЕНА ФОРМА</w:t>
      </w:r>
    </w:p>
    <w:p w14:paraId="09783931" w14:textId="6436B7F5" w:rsidR="00BC0E16" w:rsidRDefault="00BC0E16" w:rsidP="00BC0E16"/>
    <w:p w14:paraId="223C23D2" w14:textId="16B36C78" w:rsidR="00BC0E16" w:rsidRPr="00BC0E16" w:rsidRDefault="00BC0E16" w:rsidP="00BC0E16">
      <w:r>
        <w:t>Таблетки.</w:t>
      </w:r>
    </w:p>
    <w:p w14:paraId="490FC2C4" w14:textId="6899DE43" w:rsidR="002C50EE" w:rsidRDefault="002C50EE" w:rsidP="002C50EE">
      <w:pPr>
        <w:pStyle w:val="Heading1"/>
      </w:pPr>
      <w:r>
        <w:t>4. КЛИНИЧНИ ДАННИ</w:t>
      </w:r>
    </w:p>
    <w:p w14:paraId="0771830A" w14:textId="7C54FC7D" w:rsidR="00DB32D3" w:rsidRDefault="002C50EE" w:rsidP="005726E3">
      <w:pPr>
        <w:pStyle w:val="Heading2"/>
      </w:pPr>
      <w:r>
        <w:t>4.1. Терапевтични показания</w:t>
      </w:r>
    </w:p>
    <w:p w14:paraId="63673524" w14:textId="096E93B4" w:rsidR="00BC0E16" w:rsidRDefault="00BC0E16" w:rsidP="00BC0E16"/>
    <w:p w14:paraId="01A08FC8" w14:textId="77777777" w:rsidR="00BC0E16" w:rsidRPr="00BC0E16" w:rsidRDefault="00BC0E16" w:rsidP="00BC0E16">
      <w:pPr>
        <w:spacing w:line="240" w:lineRule="auto"/>
        <w:rPr>
          <w:rFonts w:eastAsia="Times New Roman" w:cs="Arial"/>
          <w:sz w:val="12"/>
          <w:szCs w:val="24"/>
        </w:rPr>
      </w:pPr>
      <w:r w:rsidRPr="00BC0E16">
        <w:rPr>
          <w:rFonts w:eastAsia="Times New Roman" w:cs="Arial"/>
          <w:color w:val="000000"/>
          <w:szCs w:val="44"/>
          <w:lang w:eastAsia="bg-BG"/>
        </w:rPr>
        <w:t>Тежки симптоматични тахикардни камерни аритмии.</w:t>
      </w:r>
    </w:p>
    <w:p w14:paraId="07B88D3A" w14:textId="77777777" w:rsidR="00BC0E16" w:rsidRPr="00BC0E16" w:rsidRDefault="00BC0E16" w:rsidP="00BC0E16">
      <w:pPr>
        <w:spacing w:line="240" w:lineRule="auto"/>
        <w:rPr>
          <w:rFonts w:eastAsia="Times New Roman" w:cs="Arial"/>
          <w:sz w:val="12"/>
          <w:szCs w:val="24"/>
        </w:rPr>
      </w:pPr>
      <w:r w:rsidRPr="00BC0E16">
        <w:rPr>
          <w:rFonts w:eastAsia="Times New Roman" w:cs="Arial"/>
          <w:color w:val="000000"/>
          <w:szCs w:val="44"/>
          <w:lang w:eastAsia="bg-BG"/>
        </w:rPr>
        <w:t>Симптоматични камерни аритмии, изискващи лечение като:</w:t>
      </w:r>
    </w:p>
    <w:p w14:paraId="46F1A7DF" w14:textId="77777777" w:rsidR="00BC0E16" w:rsidRDefault="00BC0E16" w:rsidP="00BC0E16">
      <w:pPr>
        <w:pStyle w:val="ListParagraph"/>
        <w:numPr>
          <w:ilvl w:val="0"/>
          <w:numId w:val="37"/>
        </w:numPr>
        <w:spacing w:line="240" w:lineRule="auto"/>
        <w:rPr>
          <w:rFonts w:eastAsia="Times New Roman" w:cs="Arial"/>
          <w:color w:val="000000"/>
          <w:szCs w:val="44"/>
          <w:lang w:eastAsia="bg-BG"/>
        </w:rPr>
      </w:pPr>
      <w:r w:rsidRPr="00BC0E16">
        <w:rPr>
          <w:rFonts w:eastAsia="Times New Roman" w:cs="Arial"/>
          <w:color w:val="000000"/>
          <w:szCs w:val="44"/>
          <w:lang w:eastAsia="bg-BG"/>
        </w:rPr>
        <w:t>Профилактика на хронично предсърдно мъждене след елекродефибрилация.</w:t>
      </w:r>
    </w:p>
    <w:p w14:paraId="23E6C834" w14:textId="7539D6C8" w:rsidR="00BC0E16" w:rsidRPr="00BC0E16" w:rsidRDefault="00BC0E16" w:rsidP="00BC0E16">
      <w:pPr>
        <w:pStyle w:val="ListParagraph"/>
        <w:numPr>
          <w:ilvl w:val="0"/>
          <w:numId w:val="37"/>
        </w:numPr>
        <w:spacing w:line="240" w:lineRule="auto"/>
        <w:rPr>
          <w:rFonts w:eastAsia="Times New Roman" w:cs="Arial"/>
          <w:color w:val="000000"/>
          <w:szCs w:val="44"/>
          <w:lang w:eastAsia="bg-BG"/>
        </w:rPr>
      </w:pPr>
      <w:r w:rsidRPr="00BC0E16">
        <w:rPr>
          <w:rFonts w:eastAsia="Times New Roman" w:cs="Arial"/>
          <w:color w:val="000000"/>
          <w:szCs w:val="44"/>
          <w:lang w:eastAsia="bg-BG"/>
        </w:rPr>
        <w:t>Профилактика на пароксизмално предсърдно мъждене.</w:t>
      </w:r>
    </w:p>
    <w:p w14:paraId="722509E6" w14:textId="77777777" w:rsidR="00BC0E16" w:rsidRPr="00BC0E16" w:rsidRDefault="00BC0E16" w:rsidP="00BC0E16"/>
    <w:p w14:paraId="7647A102" w14:textId="3FC20189" w:rsidR="00DB32D3" w:rsidRDefault="002C50EE" w:rsidP="005726E3">
      <w:pPr>
        <w:pStyle w:val="Heading2"/>
      </w:pPr>
      <w:r>
        <w:t>4.2. Дозировка и начин на приложение</w:t>
      </w:r>
    </w:p>
    <w:p w14:paraId="10C1B159" w14:textId="71BD6F3B" w:rsidR="00BC0E16" w:rsidRDefault="00BC0E16" w:rsidP="00BC0E16"/>
    <w:p w14:paraId="0EE56662"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Определянето на дозировката при камерни аритмии изисква внимателно кардиологично мониториране и може да бъде проведено само при наличие на екипировка за спешна кардиологична намеса и при възможно мониториране. По време на лечението трябва да бъдат провеждани редовно контролни прегледи (със стандартна ЕКГ или продължителна ЕКГ). Терапията трябва да се преразгледа, ако индивидуалните параметри в ЕКГ се влошат, напр. удължаване на </w:t>
      </w:r>
      <w:r w:rsidRPr="00BC0E16">
        <w:rPr>
          <w:rFonts w:eastAsia="Times New Roman" w:cs="Arial"/>
          <w:color w:val="000000"/>
          <w:lang w:val="en-US"/>
        </w:rPr>
        <w:t>QRS</w:t>
      </w:r>
      <w:r w:rsidRPr="00BC0E16">
        <w:rPr>
          <w:rFonts w:eastAsia="Times New Roman" w:cs="Arial"/>
          <w:color w:val="000000"/>
          <w:lang w:val="ru-RU"/>
        </w:rPr>
        <w:t xml:space="preserve"> </w:t>
      </w:r>
      <w:r w:rsidRPr="00BC0E16">
        <w:rPr>
          <w:rFonts w:eastAsia="Times New Roman" w:cs="Arial"/>
          <w:color w:val="000000"/>
          <w:lang w:eastAsia="bg-BG"/>
        </w:rPr>
        <w:t xml:space="preserve">или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с повече от 25% или </w:t>
      </w:r>
      <w:r w:rsidRPr="00BC0E16">
        <w:rPr>
          <w:rFonts w:eastAsia="Times New Roman" w:cs="Arial"/>
          <w:color w:val="000000"/>
          <w:lang w:val="en-US"/>
        </w:rPr>
        <w:t>PQ</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с повече от 50%, или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удължаване до повече от 500 </w:t>
      </w:r>
      <w:proofErr w:type="spellStart"/>
      <w:r w:rsidRPr="00BC0E16">
        <w:rPr>
          <w:rFonts w:eastAsia="Times New Roman" w:cs="Arial"/>
          <w:color w:val="000000"/>
          <w:lang w:val="en-US"/>
        </w:rPr>
        <w:t>ms</w:t>
      </w:r>
      <w:proofErr w:type="spellEnd"/>
      <w:r w:rsidRPr="00BC0E16">
        <w:rPr>
          <w:rFonts w:eastAsia="Times New Roman" w:cs="Arial"/>
          <w:color w:val="000000"/>
          <w:lang w:val="ru-RU"/>
        </w:rPr>
        <w:t xml:space="preserve"> </w:t>
      </w:r>
      <w:r w:rsidRPr="00BC0E16">
        <w:rPr>
          <w:rFonts w:eastAsia="Times New Roman" w:cs="Arial"/>
          <w:color w:val="000000"/>
          <w:lang w:eastAsia="bg-BG"/>
        </w:rPr>
        <w:t>или увеличаване честотата/тежестта на аритмиите.</w:t>
      </w:r>
    </w:p>
    <w:p w14:paraId="0B8588D0" w14:textId="77777777" w:rsidR="00BC0E16" w:rsidRDefault="00BC0E16" w:rsidP="00BC0E16">
      <w:pPr>
        <w:spacing w:line="240" w:lineRule="auto"/>
        <w:rPr>
          <w:rFonts w:eastAsia="Times New Roman" w:cs="Arial"/>
          <w:color w:val="000000"/>
          <w:u w:val="single"/>
          <w:lang w:eastAsia="bg-BG"/>
        </w:rPr>
      </w:pPr>
    </w:p>
    <w:p w14:paraId="11956E3C" w14:textId="4B761161"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Тежки симптоматични тахикардни камерни аритмии:</w:t>
      </w:r>
    </w:p>
    <w:p w14:paraId="2CB2A2DA"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Началната доза е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соталолов хидрохлорид два пъти дневно. Ако не се постига желаният ефект, дозата може да бъде повишена от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соталолов хидрохлорид 3 пъти дневно до 160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два пъти дневно.</w:t>
      </w:r>
    </w:p>
    <w:p w14:paraId="5C1E61BB"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Ако ефектът не е задоволителен, в случай на животозастрашаващи аритмии, дозата може да се повиши до 480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соталолов хидрохлорид дневно, приложена в 2 или 3 единични дози. В тези случаи дозата трябва да бъде повишавана само ако ползата </w:t>
      </w:r>
      <w:r w:rsidRPr="00BC0E16">
        <w:rPr>
          <w:rFonts w:eastAsia="Times New Roman" w:cs="Arial"/>
          <w:color w:val="000000"/>
          <w:lang w:eastAsia="bg-BG"/>
        </w:rPr>
        <w:lastRenderedPageBreak/>
        <w:t>надвишава потенциалния риск от нежелани лекарствени реакции (особено проаритмичните ефекти).</w:t>
      </w:r>
    </w:p>
    <w:p w14:paraId="174F512F" w14:textId="77777777" w:rsidR="00BC0E16" w:rsidRDefault="00BC0E16" w:rsidP="00BC0E16">
      <w:pPr>
        <w:spacing w:line="240" w:lineRule="auto"/>
        <w:rPr>
          <w:rFonts w:eastAsia="Times New Roman" w:cs="Arial"/>
          <w:color w:val="000000"/>
          <w:lang w:eastAsia="bg-BG"/>
        </w:rPr>
      </w:pPr>
    </w:p>
    <w:p w14:paraId="1498294A" w14:textId="1CDE4D7C" w:rsidR="00BC0E16" w:rsidRPr="00BC0E16" w:rsidRDefault="00BC0E16" w:rsidP="00BC0E16">
      <w:pPr>
        <w:spacing w:line="240" w:lineRule="auto"/>
        <w:rPr>
          <w:rFonts w:eastAsia="Times New Roman" w:cs="Arial"/>
        </w:rPr>
      </w:pPr>
      <w:r w:rsidRPr="00BC0E16">
        <w:rPr>
          <w:rFonts w:eastAsia="Times New Roman" w:cs="Arial"/>
          <w:color w:val="000000"/>
          <w:lang w:eastAsia="bg-BG"/>
        </w:rPr>
        <w:t>Дозата трябва да бъде повишавана през интервали от 2-3 дни.</w:t>
      </w:r>
    </w:p>
    <w:p w14:paraId="2EE5603C" w14:textId="77777777" w:rsidR="00BC0E16" w:rsidRDefault="00BC0E16" w:rsidP="00BC0E16">
      <w:pPr>
        <w:spacing w:line="240" w:lineRule="auto"/>
        <w:rPr>
          <w:rFonts w:eastAsia="Times New Roman" w:cs="Arial"/>
          <w:color w:val="000000"/>
          <w:u w:val="single"/>
          <w:lang w:eastAsia="bg-BG"/>
        </w:rPr>
      </w:pPr>
    </w:p>
    <w:p w14:paraId="2C74B401" w14:textId="30A9AD99" w:rsidR="00BC0E16" w:rsidRDefault="00BC0E16" w:rsidP="00BC0E16">
      <w:pPr>
        <w:spacing w:line="240" w:lineRule="auto"/>
        <w:rPr>
          <w:rFonts w:eastAsia="Times New Roman" w:cs="Arial"/>
          <w:color w:val="000000"/>
          <w:u w:val="single"/>
          <w:lang w:eastAsia="bg-BG"/>
        </w:rPr>
      </w:pPr>
      <w:r w:rsidRPr="00BC0E16">
        <w:rPr>
          <w:rFonts w:eastAsia="Times New Roman" w:cs="Arial"/>
          <w:color w:val="000000"/>
          <w:u w:val="single"/>
          <w:lang w:eastAsia="bg-BG"/>
        </w:rPr>
        <w:t>Предсърдно мъждене</w:t>
      </w:r>
    </w:p>
    <w:p w14:paraId="31E70227"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Началната доза е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соталолов хидрохлорид два пъти дневно. Ако ефекта не е задоволителен, дозата може да се повиши до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соталолов хидрохлорид 3 пъти дневно. Тази доза не трябва да се надвишава в случаи на пароксизмално предсърдно мъждене.</w:t>
      </w:r>
    </w:p>
    <w:p w14:paraId="31AC0FA6" w14:textId="77777777" w:rsidR="00BC0E16" w:rsidRDefault="00BC0E16" w:rsidP="00BC0E16">
      <w:pPr>
        <w:spacing w:line="240" w:lineRule="auto"/>
        <w:rPr>
          <w:rFonts w:eastAsia="Times New Roman" w:cs="Arial"/>
          <w:color w:val="000000"/>
          <w:lang w:eastAsia="bg-BG"/>
        </w:rPr>
      </w:pPr>
    </w:p>
    <w:p w14:paraId="064A5070" w14:textId="5F4D4063"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Ако не е достатъчно ефективна при пациенти с </w:t>
      </w:r>
      <w:r w:rsidRPr="00BC0E16">
        <w:rPr>
          <w:rFonts w:eastAsia="Times New Roman" w:cs="Arial"/>
          <w:color w:val="000000"/>
          <w:u w:val="single"/>
          <w:lang w:eastAsia="bg-BG"/>
        </w:rPr>
        <w:t>хронично предсърдно мъждене.</w:t>
      </w:r>
      <w:r w:rsidRPr="00BC0E16">
        <w:rPr>
          <w:rFonts w:eastAsia="Times New Roman" w:cs="Arial"/>
          <w:color w:val="000000"/>
          <w:lang w:eastAsia="bg-BG"/>
        </w:rPr>
        <w:t xml:space="preserve"> дозата може да бъде повишена до максимум 160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соталолов хидрохлорид два пъти дневно.</w:t>
      </w:r>
    </w:p>
    <w:p w14:paraId="48B1927A" w14:textId="77777777" w:rsidR="00BC0E16" w:rsidRDefault="00BC0E16" w:rsidP="00BC0E16">
      <w:pPr>
        <w:spacing w:line="240" w:lineRule="auto"/>
        <w:rPr>
          <w:rFonts w:eastAsia="Times New Roman" w:cs="Arial"/>
          <w:color w:val="000000"/>
          <w:lang w:eastAsia="bg-BG"/>
        </w:rPr>
      </w:pPr>
    </w:p>
    <w:p w14:paraId="6BFC89FD" w14:textId="6E3A2BDC" w:rsidR="00BC0E16" w:rsidRPr="00BC0E16" w:rsidRDefault="00BC0E16" w:rsidP="00BC0E16">
      <w:pPr>
        <w:spacing w:line="240" w:lineRule="auto"/>
        <w:rPr>
          <w:rFonts w:eastAsia="Times New Roman" w:cs="Arial"/>
        </w:rPr>
      </w:pPr>
      <w:r w:rsidRPr="00BC0E16">
        <w:rPr>
          <w:rFonts w:eastAsia="Times New Roman" w:cs="Arial"/>
          <w:color w:val="000000"/>
          <w:lang w:eastAsia="bg-BG"/>
        </w:rPr>
        <w:t>Дозата трябва да бъде повишавана само след интервал от поне 2-3 дни.</w:t>
      </w:r>
    </w:p>
    <w:p w14:paraId="3827E99E" w14:textId="77777777" w:rsidR="00BC0E16" w:rsidRDefault="00BC0E16" w:rsidP="00BC0E16">
      <w:pPr>
        <w:spacing w:line="240" w:lineRule="auto"/>
        <w:rPr>
          <w:rFonts w:eastAsia="Times New Roman" w:cs="Arial"/>
          <w:color w:val="000000"/>
          <w:u w:val="single"/>
          <w:lang w:eastAsia="bg-BG"/>
        </w:rPr>
      </w:pPr>
    </w:p>
    <w:p w14:paraId="52469CAE" w14:textId="6375C588"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Препоръчителни дозировки при нарушена бъбречна функция</w:t>
      </w:r>
    </w:p>
    <w:p w14:paraId="79F59D18"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Поради съществуващия риск от кумулиране при многократно прилагане при пациенти с нарушена бъбречна функция, дозировката в тези случаи трябва да бъде адаптирана към бъбречния клирънс, докато се установи сърдечната честота (не по-малка от 50 уд./мин) и клиничния ефект.</w:t>
      </w:r>
    </w:p>
    <w:p w14:paraId="4976B726" w14:textId="77777777" w:rsidR="00BC0E16" w:rsidRDefault="00BC0E16" w:rsidP="00BC0E16">
      <w:pPr>
        <w:spacing w:line="240" w:lineRule="auto"/>
        <w:rPr>
          <w:rFonts w:eastAsia="Times New Roman" w:cs="Arial"/>
          <w:color w:val="000000"/>
          <w:lang w:eastAsia="bg-BG"/>
        </w:rPr>
      </w:pPr>
    </w:p>
    <w:p w14:paraId="5E989269" w14:textId="30E12C8C"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Ако креатининовият клирънс е между 10-30 </w:t>
      </w:r>
      <w:r w:rsidRPr="00BC0E16">
        <w:rPr>
          <w:rFonts w:eastAsia="Times New Roman" w:cs="Arial"/>
          <w:color w:val="000000"/>
          <w:lang w:val="en-US"/>
        </w:rPr>
        <w:t>ml</w:t>
      </w:r>
      <w:r w:rsidRPr="00BC0E16">
        <w:rPr>
          <w:rFonts w:eastAsia="Times New Roman" w:cs="Arial"/>
          <w:color w:val="000000"/>
          <w:lang w:val="ru-RU"/>
        </w:rPr>
        <w:t>/</w:t>
      </w:r>
      <w:r w:rsidRPr="00BC0E16">
        <w:rPr>
          <w:rFonts w:eastAsia="Times New Roman" w:cs="Arial"/>
          <w:color w:val="000000"/>
          <w:lang w:val="en-US"/>
        </w:rPr>
        <w:t>min</w:t>
      </w:r>
      <w:r w:rsidRPr="00BC0E16">
        <w:rPr>
          <w:rFonts w:eastAsia="Times New Roman" w:cs="Arial"/>
          <w:color w:val="000000"/>
          <w:lang w:val="ru-RU"/>
        </w:rPr>
        <w:t xml:space="preserve"> </w:t>
      </w:r>
      <w:r w:rsidRPr="00BC0E16">
        <w:rPr>
          <w:rFonts w:eastAsia="Times New Roman" w:cs="Arial"/>
          <w:color w:val="000000"/>
          <w:lang w:eastAsia="bg-BG"/>
        </w:rPr>
        <w:t xml:space="preserve">(серумен креатинин между 2-5 </w:t>
      </w:r>
      <w:r w:rsidRPr="00BC0E16">
        <w:rPr>
          <w:rFonts w:eastAsia="Times New Roman" w:cs="Arial"/>
          <w:color w:val="000000"/>
          <w:lang w:val="en-US"/>
        </w:rPr>
        <w:t>mg</w:t>
      </w:r>
      <w:r w:rsidRPr="00BC0E16">
        <w:rPr>
          <w:rFonts w:eastAsia="Times New Roman" w:cs="Arial"/>
          <w:color w:val="000000"/>
          <w:lang w:val="ru-RU"/>
        </w:rPr>
        <w:t>/</w:t>
      </w:r>
      <w:r w:rsidRPr="00BC0E16">
        <w:rPr>
          <w:rFonts w:eastAsia="Times New Roman" w:cs="Arial"/>
          <w:color w:val="000000"/>
          <w:lang w:val="en-US"/>
        </w:rPr>
        <w:t>dl</w:t>
      </w:r>
      <w:r w:rsidRPr="00BC0E16">
        <w:rPr>
          <w:rFonts w:eastAsia="Times New Roman" w:cs="Arial"/>
          <w:color w:val="000000"/>
          <w:lang w:val="ru-RU"/>
        </w:rPr>
        <w:t xml:space="preserve">), </w:t>
      </w:r>
      <w:r w:rsidRPr="00BC0E16">
        <w:rPr>
          <w:rFonts w:eastAsia="Times New Roman" w:cs="Arial"/>
          <w:color w:val="000000"/>
          <w:lang w:eastAsia="bg-BG"/>
        </w:rPr>
        <w:t xml:space="preserve">препоръчителната доза трябва да бъде намалена наполовина. Ако креатининовият клирънс е под 10 </w:t>
      </w:r>
      <w:r w:rsidRPr="00BC0E16">
        <w:rPr>
          <w:rFonts w:eastAsia="Times New Roman" w:cs="Arial"/>
          <w:color w:val="000000"/>
          <w:lang w:val="en-US"/>
        </w:rPr>
        <w:t>ml</w:t>
      </w:r>
      <w:r w:rsidRPr="00BC0E16">
        <w:rPr>
          <w:rFonts w:eastAsia="Times New Roman" w:cs="Arial"/>
          <w:color w:val="000000"/>
          <w:lang w:val="ru-RU"/>
        </w:rPr>
        <w:t>/</w:t>
      </w:r>
      <w:r w:rsidRPr="00BC0E16">
        <w:rPr>
          <w:rFonts w:eastAsia="Times New Roman" w:cs="Arial"/>
          <w:color w:val="000000"/>
          <w:lang w:val="en-US"/>
        </w:rPr>
        <w:t>min</w:t>
      </w:r>
      <w:r w:rsidRPr="00BC0E16">
        <w:rPr>
          <w:rFonts w:eastAsia="Times New Roman" w:cs="Arial"/>
          <w:color w:val="000000"/>
          <w:lang w:val="ru-RU"/>
        </w:rPr>
        <w:t xml:space="preserve"> </w:t>
      </w:r>
      <w:r w:rsidRPr="00BC0E16">
        <w:rPr>
          <w:rFonts w:eastAsia="Times New Roman" w:cs="Arial"/>
          <w:color w:val="000000"/>
          <w:lang w:eastAsia="bg-BG"/>
        </w:rPr>
        <w:t xml:space="preserve">(серумен креатинин &gt; 5 </w:t>
      </w:r>
      <w:r w:rsidRPr="00BC0E16">
        <w:rPr>
          <w:rFonts w:eastAsia="Times New Roman" w:cs="Arial"/>
          <w:color w:val="000000"/>
          <w:lang w:val="en-US"/>
        </w:rPr>
        <w:t>mg</w:t>
      </w:r>
      <w:r w:rsidRPr="00BC0E16">
        <w:rPr>
          <w:rFonts w:eastAsia="Times New Roman" w:cs="Arial"/>
          <w:color w:val="000000"/>
          <w:lang w:val="ru-RU"/>
        </w:rPr>
        <w:t>/</w:t>
      </w:r>
      <w:r w:rsidRPr="00BC0E16">
        <w:rPr>
          <w:rFonts w:eastAsia="Times New Roman" w:cs="Arial"/>
          <w:color w:val="000000"/>
          <w:lang w:val="en-US"/>
        </w:rPr>
        <w:t>dl</w:t>
      </w:r>
      <w:r w:rsidRPr="00BC0E16">
        <w:rPr>
          <w:rFonts w:eastAsia="Times New Roman" w:cs="Arial"/>
          <w:color w:val="000000"/>
          <w:lang w:val="ru-RU"/>
        </w:rPr>
        <w:t xml:space="preserve">), </w:t>
      </w:r>
      <w:r w:rsidRPr="00BC0E16">
        <w:rPr>
          <w:rFonts w:eastAsia="Times New Roman" w:cs="Arial"/>
          <w:color w:val="000000"/>
          <w:lang w:eastAsia="bg-BG"/>
        </w:rPr>
        <w:t>препоръчителната доза трябва да бъде редуцирана на 1/4.</w:t>
      </w:r>
    </w:p>
    <w:p w14:paraId="0CF483B4" w14:textId="77777777" w:rsidR="00BC0E16" w:rsidRDefault="00BC0E16" w:rsidP="00BC0E16">
      <w:pPr>
        <w:spacing w:line="240" w:lineRule="auto"/>
        <w:rPr>
          <w:rFonts w:eastAsia="Times New Roman" w:cs="Arial"/>
          <w:color w:val="000000"/>
          <w:lang w:eastAsia="bg-BG"/>
        </w:rPr>
      </w:pPr>
    </w:p>
    <w:p w14:paraId="1E35A72E" w14:textId="6A5D00CC" w:rsidR="00BC0E16" w:rsidRPr="00BC0E16" w:rsidRDefault="00BC0E16" w:rsidP="00BC0E16">
      <w:pPr>
        <w:spacing w:line="240" w:lineRule="auto"/>
        <w:rPr>
          <w:rFonts w:eastAsia="Times New Roman" w:cs="Arial"/>
        </w:rPr>
      </w:pPr>
      <w:r w:rsidRPr="00BC0E16">
        <w:rPr>
          <w:rFonts w:eastAsia="Times New Roman" w:cs="Arial"/>
          <w:color w:val="000000"/>
          <w:lang w:eastAsia="bg-BG"/>
        </w:rPr>
        <w:t>В случаи на тежка бъбречна недостатъчност се препоръчва соталолов хидрохлорид да се прилага само при чест ЕКГ контрол, както и при мониториране на серумните концентрации.</w:t>
      </w:r>
    </w:p>
    <w:p w14:paraId="4BEDD502" w14:textId="77777777" w:rsidR="00BC0E16" w:rsidRDefault="00BC0E16" w:rsidP="00BC0E16">
      <w:pPr>
        <w:spacing w:line="240" w:lineRule="auto"/>
        <w:rPr>
          <w:rFonts w:eastAsia="Times New Roman" w:cs="Arial"/>
          <w:color w:val="000000"/>
          <w:lang w:eastAsia="bg-BG"/>
        </w:rPr>
      </w:pPr>
    </w:p>
    <w:p w14:paraId="0B5B4BCF" w14:textId="1B6D51F5" w:rsidR="00BC0E16" w:rsidRPr="00BC0E16" w:rsidRDefault="00BC0E16" w:rsidP="00BC0E16">
      <w:pPr>
        <w:spacing w:line="240" w:lineRule="auto"/>
        <w:rPr>
          <w:rFonts w:eastAsia="Times New Roman" w:cs="Arial"/>
        </w:rPr>
      </w:pPr>
      <w:r w:rsidRPr="00BC0E16">
        <w:rPr>
          <w:rFonts w:eastAsia="Times New Roman" w:cs="Arial"/>
          <w:color w:val="000000"/>
          <w:lang w:eastAsia="bg-BG"/>
        </w:rPr>
        <w:t>Сотахексал не трябва да се приема по време на хранене, тъй като резорбцията на активното вещество соталолов хидрохлорид от гастроинтестиналния тракт може да бъде понижена при едновременно приемане с храна (особено мляко и млечни продукти).</w:t>
      </w:r>
    </w:p>
    <w:p w14:paraId="0059E50F" w14:textId="77777777" w:rsidR="00BC0E16" w:rsidRDefault="00BC0E16" w:rsidP="00BC0E16">
      <w:pPr>
        <w:spacing w:line="240" w:lineRule="auto"/>
        <w:rPr>
          <w:rFonts w:eastAsia="Times New Roman" w:cs="Arial"/>
          <w:color w:val="000000"/>
          <w:lang w:eastAsia="bg-BG"/>
        </w:rPr>
      </w:pPr>
    </w:p>
    <w:p w14:paraId="4877EB3D" w14:textId="7E117F9F"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след прекаран инфаркт на миокарда или сериозно нарушена сърдечна дейност определянето на дозата на антиаритмичния продукт изисква особено внимателно наблюдение (чрез мониториране). По време на лечението трябва да се правят редовно контролни прегледи.</w:t>
      </w:r>
    </w:p>
    <w:p w14:paraId="2957F3F1" w14:textId="77777777" w:rsidR="00BC0E16" w:rsidRDefault="00BC0E16" w:rsidP="00BC0E16">
      <w:pPr>
        <w:spacing w:line="240" w:lineRule="auto"/>
        <w:rPr>
          <w:rFonts w:eastAsia="Times New Roman" w:cs="Arial"/>
          <w:color w:val="000000"/>
          <w:lang w:eastAsia="bg-BG"/>
        </w:rPr>
      </w:pPr>
    </w:p>
    <w:p w14:paraId="3B884EFD" w14:textId="13B53250"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с коронарно сърдечно заболяване и/или аритмии или след продължително приложение, лечението трябва да бъде прекъснато постепенно, тъй като рязкото спиране може да доведе до влошаване на клиничната картина.</w:t>
      </w:r>
    </w:p>
    <w:p w14:paraId="70826D61" w14:textId="77777777" w:rsidR="00BC0E16" w:rsidRDefault="00BC0E16" w:rsidP="00BC0E16">
      <w:pPr>
        <w:spacing w:line="240" w:lineRule="auto"/>
        <w:rPr>
          <w:rFonts w:eastAsia="Times New Roman" w:cs="Arial"/>
          <w:color w:val="000000"/>
          <w:u w:val="single"/>
          <w:lang w:eastAsia="bg-BG"/>
        </w:rPr>
      </w:pPr>
    </w:p>
    <w:p w14:paraId="774B12DA" w14:textId="2E363455"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Педиатрична популация</w:t>
      </w:r>
    </w:p>
    <w:p w14:paraId="161F385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Няма достатъчно терапевтичен опит и затова соталол не трябва да бъде използван при деца.</w:t>
      </w:r>
    </w:p>
    <w:p w14:paraId="7B331ECD" w14:textId="77777777" w:rsidR="00BC0E16" w:rsidRDefault="00BC0E16" w:rsidP="00BC0E16">
      <w:pPr>
        <w:spacing w:line="240" w:lineRule="auto"/>
        <w:rPr>
          <w:rFonts w:eastAsia="Times New Roman" w:cs="Arial"/>
          <w:color w:val="000000"/>
          <w:u w:val="single"/>
          <w:lang w:eastAsia="bg-BG"/>
        </w:rPr>
      </w:pPr>
    </w:p>
    <w:p w14:paraId="46C076D5" w14:textId="56AB0D89"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Пациенти в старческа възраст</w:t>
      </w:r>
    </w:p>
    <w:p w14:paraId="609BA96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лечение на такива пациенти трябва да се има предвид възможно нарушение на бъбречната функция.</w:t>
      </w:r>
    </w:p>
    <w:p w14:paraId="5164C762" w14:textId="77777777" w:rsidR="00BC0E16" w:rsidRDefault="00BC0E16" w:rsidP="00BC0E16">
      <w:pPr>
        <w:spacing w:line="240" w:lineRule="auto"/>
        <w:rPr>
          <w:rFonts w:eastAsia="Times New Roman" w:cs="Arial"/>
          <w:i/>
          <w:iCs/>
          <w:color w:val="000000"/>
          <w:lang w:eastAsia="bg-BG"/>
        </w:rPr>
      </w:pPr>
    </w:p>
    <w:p w14:paraId="4EC00248" w14:textId="73319D19"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Начин и продължителност на приложение:</w:t>
      </w:r>
    </w:p>
    <w:p w14:paraId="372460C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Таблетките трябва да се приемат цели, без да се сдъвкват, с достатъчно течност (напр. чаша вода) преди хранене.</w:t>
      </w:r>
    </w:p>
    <w:p w14:paraId="09A12C87"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Продължителността на приложение се определя от лекуващия лекар.</w:t>
      </w:r>
    </w:p>
    <w:p w14:paraId="0B612AB7" w14:textId="2241EBD2" w:rsidR="00BC0E16" w:rsidRPr="00BC0E16" w:rsidRDefault="00BC0E16" w:rsidP="00BC0E16"/>
    <w:p w14:paraId="74903285" w14:textId="56009C5F" w:rsidR="00DB32D3" w:rsidRDefault="002C50EE" w:rsidP="005726E3">
      <w:pPr>
        <w:pStyle w:val="Heading2"/>
      </w:pPr>
      <w:r>
        <w:t>4.3. Противопоказания</w:t>
      </w:r>
    </w:p>
    <w:p w14:paraId="707BD47B" w14:textId="59936912" w:rsidR="00BC0E16" w:rsidRDefault="00BC0E16" w:rsidP="00BC0E16"/>
    <w:p w14:paraId="1807A4E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Сотахексал не трябва да се прилага при:</w:t>
      </w:r>
    </w:p>
    <w:p w14:paraId="2636F0BB"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свръхчувствителност към соталолов хидрохлорид и сулфонамиди или към някое от помощните вещества, изброени в точка 6.1;</w:t>
      </w:r>
    </w:p>
    <w:p w14:paraId="66D8A88B"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 xml:space="preserve">сърдечна недостатъчност от клас IV по </w:t>
      </w:r>
      <w:r w:rsidRPr="00BC0E16">
        <w:rPr>
          <w:rFonts w:eastAsia="Times New Roman" w:cs="Arial"/>
          <w:color w:val="000000"/>
          <w:lang w:val="en-US"/>
        </w:rPr>
        <w:t>NYHA</w:t>
      </w:r>
      <w:r w:rsidRPr="00BC0E16">
        <w:rPr>
          <w:rFonts w:eastAsia="Times New Roman" w:cs="Arial"/>
          <w:color w:val="000000"/>
          <w:lang w:val="ru-RU"/>
        </w:rPr>
        <w:t xml:space="preserve">; </w:t>
      </w:r>
      <w:r w:rsidRPr="00BC0E16">
        <w:rPr>
          <w:rFonts w:eastAsia="Times New Roman" w:cs="Arial"/>
          <w:color w:val="000000"/>
          <w:lang w:eastAsia="bg-BG"/>
        </w:rPr>
        <w:t>декомпенсирана сърдечна недостатъчност, в т.ч. застойна сърдечна недостатъчност на дясната камера след белодробна хипертония;</w:t>
      </w:r>
    </w:p>
    <w:p w14:paraId="69C750F3"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остър инфаркт на миокарда;</w:t>
      </w:r>
    </w:p>
    <w:p w14:paraId="2FB6D658"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кардиогенен шок;</w:t>
      </w:r>
    </w:p>
    <w:p w14:paraId="4EBD3B80"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val="en-US"/>
        </w:rPr>
        <w:t>AV</w:t>
      </w:r>
      <w:r w:rsidRPr="00BC0E16">
        <w:rPr>
          <w:rFonts w:eastAsia="Times New Roman" w:cs="Arial"/>
          <w:color w:val="000000"/>
          <w:lang w:eastAsia="bg-BG"/>
        </w:rPr>
        <w:t xml:space="preserve">-блок от II и III степен, освен при наличие на функциониращ електрокардиостимулатор; </w:t>
      </w:r>
    </w:p>
    <w:p w14:paraId="55D9A0C6" w14:textId="18F01E0B"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синдром на болния синусов възел, включително синоатриален блок, освен при наличие на функциониращ електрокардиостимулатор;</w:t>
      </w:r>
    </w:p>
    <w:p w14:paraId="279FFF50"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симптоматична синусова брадикардия (&lt; 45-50 удара</w:t>
      </w:r>
      <w:r w:rsidRPr="00BC0E16">
        <w:rPr>
          <w:rFonts w:eastAsia="Times New Roman" w:cs="Arial"/>
          <w:color w:val="000000"/>
          <w:lang w:val="ru-RU"/>
        </w:rPr>
        <w:t>/</w:t>
      </w:r>
      <w:r w:rsidRPr="00BC0E16">
        <w:rPr>
          <w:rFonts w:eastAsia="Times New Roman" w:cs="Arial"/>
          <w:color w:val="000000"/>
          <w:lang w:val="en-US"/>
        </w:rPr>
        <w:t>min</w:t>
      </w:r>
      <w:r w:rsidRPr="00BC0E16">
        <w:rPr>
          <w:rFonts w:eastAsia="Times New Roman" w:cs="Arial"/>
          <w:color w:val="000000"/>
          <w:lang w:val="ru-RU"/>
        </w:rPr>
        <w:t>);</w:t>
      </w:r>
    </w:p>
    <w:p w14:paraId="10D4B8D8"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 xml:space="preserve">вроден или придобит синдром на удължения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 или прием на лекарства, свързани с възможно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интервала (вж. точка 4.5);</w:t>
      </w:r>
    </w:p>
    <w:p w14:paraId="60132106" w14:textId="77777777" w:rsidR="00BC0E16" w:rsidRPr="00BC0E16" w:rsidRDefault="00BC0E16" w:rsidP="00BC0E16">
      <w:pPr>
        <w:pStyle w:val="ListParagraph"/>
        <w:numPr>
          <w:ilvl w:val="0"/>
          <w:numId w:val="38"/>
        </w:numPr>
        <w:spacing w:line="240" w:lineRule="auto"/>
        <w:rPr>
          <w:rFonts w:eastAsia="Times New Roman" w:cs="Arial"/>
        </w:rPr>
      </w:pP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points</w:t>
      </w:r>
      <w:r w:rsidRPr="00BC0E16">
        <w:rPr>
          <w:rFonts w:eastAsia="Times New Roman" w:cs="Arial"/>
          <w:color w:val="000000"/>
          <w:lang w:val="ru-RU"/>
        </w:rPr>
        <w:t xml:space="preserve"> </w:t>
      </w:r>
      <w:r w:rsidRPr="00BC0E16">
        <w:rPr>
          <w:rFonts w:eastAsia="Times New Roman" w:cs="Arial"/>
          <w:color w:val="000000"/>
          <w:lang w:eastAsia="bg-BG"/>
        </w:rPr>
        <w:t>или прием на лекарства, свързани с това състояние (вж, точка 4.5); хипокалиемия;</w:t>
      </w:r>
    </w:p>
    <w:p w14:paraId="0661815F"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хипомагнезиемия;</w:t>
      </w:r>
    </w:p>
    <w:p w14:paraId="6C313F07"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хипотония (освен ако се дължи на аритмия);</w:t>
      </w:r>
    </w:p>
    <w:p w14:paraId="57600016"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синдром на Рейно и тежки форми на периферни циркулаторни нарушения;</w:t>
      </w:r>
    </w:p>
    <w:p w14:paraId="43FACBAC"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 xml:space="preserve">анамнеза за хронични обструктивни респираторни заболявания или бронхиална астма; </w:t>
      </w:r>
    </w:p>
    <w:p w14:paraId="36D65506"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метаболитна ацидоза;</w:t>
      </w:r>
    </w:p>
    <w:p w14:paraId="155BF9ED"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нелекуван феохромоцитом (вж. точка 4.4.);</w:t>
      </w:r>
    </w:p>
    <w:p w14:paraId="4D9269CC"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анестезия, която предизвиква потискане на миокарда;</w:t>
      </w:r>
    </w:p>
    <w:p w14:paraId="39A4ABBF" w14:textId="47E8EB29"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 xml:space="preserve">бъбречна недостатъчност (креатининов клирънс &lt; 10 </w:t>
      </w:r>
      <w:r w:rsidRPr="00BC0E16">
        <w:rPr>
          <w:rFonts w:eastAsia="Times New Roman" w:cs="Arial"/>
          <w:color w:val="000000"/>
          <w:lang w:val="en-US"/>
        </w:rPr>
        <w:t>ml</w:t>
      </w:r>
      <w:r w:rsidRPr="00BC0E16">
        <w:rPr>
          <w:rFonts w:eastAsia="Times New Roman" w:cs="Arial"/>
          <w:color w:val="000000"/>
          <w:lang w:val="ru-RU"/>
        </w:rPr>
        <w:t>/</w:t>
      </w:r>
      <w:r w:rsidRPr="00BC0E16">
        <w:rPr>
          <w:rFonts w:eastAsia="Times New Roman" w:cs="Arial"/>
          <w:color w:val="000000"/>
          <w:lang w:val="en-US"/>
        </w:rPr>
        <w:t>min</w:t>
      </w:r>
      <w:r w:rsidRPr="00BC0E16">
        <w:rPr>
          <w:rFonts w:eastAsia="Times New Roman" w:cs="Arial"/>
          <w:color w:val="000000"/>
          <w:lang w:val="ru-RU"/>
        </w:rPr>
        <w:t>).</w:t>
      </w:r>
    </w:p>
    <w:p w14:paraId="428089E1" w14:textId="77777777" w:rsidR="00BC0E16" w:rsidRPr="00BC0E16" w:rsidRDefault="00BC0E16" w:rsidP="00BC0E16">
      <w:pPr>
        <w:spacing w:line="240" w:lineRule="auto"/>
        <w:rPr>
          <w:rFonts w:eastAsia="Times New Roman" w:cs="Arial"/>
          <w:color w:val="000000"/>
          <w:lang w:eastAsia="bg-BG"/>
        </w:rPr>
      </w:pPr>
    </w:p>
    <w:p w14:paraId="7D5D93CD" w14:textId="04F19227" w:rsidR="00BC0E16" w:rsidRPr="00BC0E16" w:rsidRDefault="00BC0E16" w:rsidP="00BC0E16">
      <w:pPr>
        <w:spacing w:line="240" w:lineRule="auto"/>
        <w:rPr>
          <w:rFonts w:eastAsia="Times New Roman" w:cs="Arial"/>
          <w:lang w:val="ru-RU"/>
        </w:rPr>
      </w:pPr>
      <w:r w:rsidRPr="00BC0E16">
        <w:rPr>
          <w:rFonts w:eastAsia="Times New Roman" w:cs="Arial"/>
          <w:color w:val="000000"/>
          <w:lang w:eastAsia="bg-BG"/>
        </w:rPr>
        <w:lastRenderedPageBreak/>
        <w:t>При пациенти, лекувани със соталолов хидрохлорид (с изключение на спешни състояния) е противопоказано интравенозното приложение на калциеви антагонисти от верапамилов и дилтиаземов тип или на други антиаритмици (като дизопирамид).</w:t>
      </w:r>
    </w:p>
    <w:p w14:paraId="76E305A1" w14:textId="77777777" w:rsidR="00BC0E16" w:rsidRPr="00BC0E16" w:rsidRDefault="00BC0E16" w:rsidP="00BC0E16">
      <w:pPr>
        <w:spacing w:line="240" w:lineRule="auto"/>
        <w:rPr>
          <w:rFonts w:ascii="Times New Roman" w:eastAsia="Times New Roman" w:hAnsi="Times New Roman" w:cs="Times New Roman"/>
          <w:sz w:val="24"/>
          <w:szCs w:val="24"/>
        </w:rPr>
      </w:pPr>
    </w:p>
    <w:p w14:paraId="76DC8E58" w14:textId="1649EAB1" w:rsidR="00DB32D3" w:rsidRDefault="002C50EE" w:rsidP="005726E3">
      <w:pPr>
        <w:pStyle w:val="Heading2"/>
      </w:pPr>
      <w:r>
        <w:t>4.4. Специални предупреждения и предпазни мерки при употреба</w:t>
      </w:r>
    </w:p>
    <w:p w14:paraId="2CBD38B5" w14:textId="72353844" w:rsidR="00BC0E16" w:rsidRDefault="00BC0E16" w:rsidP="00BC0E16"/>
    <w:p w14:paraId="0AA789C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Лекарско наблюдение с повишено внимание се изисква в случай на:</w:t>
      </w:r>
    </w:p>
    <w:p w14:paraId="605305E4"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пациенти с нарушена бъбречна функция (намаляване на дозата; вж. 4.2.), серумния креатинин и/или серумните нива на соталолов хидрохлорид трябва да бъдат мониторирани редовно;</w:t>
      </w:r>
    </w:p>
    <w:p w14:paraId="3F12E2E3"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захарен диабет със значително променливи нива на кръвната захар; симптомите на хипогликемия могат да бъдат маскирани. По време на лечението със соталолов хидрохлорид трябва да се мониторират нивата на глюкоза в кръвта.</w:t>
      </w:r>
    </w:p>
    <w:p w14:paraId="11FEA360"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строга диета;</w:t>
      </w:r>
    </w:p>
    <w:p w14:paraId="1E940AEE"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хипертиреоидизъм; могат да бъдат маскирани адренергичните симптоми;</w:t>
      </w:r>
    </w:p>
    <w:p w14:paraId="40E76DA5" w14:textId="77777777"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периферни циркулаторни нарушения, като синдром на Рейно и клаудикацио интермитенс (оплакванията могат да се засилят в началото на лечението);</w:t>
      </w:r>
    </w:p>
    <w:p w14:paraId="249C101A" w14:textId="06107865" w:rsidR="00BC0E16" w:rsidRPr="00BC0E16" w:rsidRDefault="00BC0E16" w:rsidP="00BC0E16">
      <w:pPr>
        <w:pStyle w:val="ListParagraph"/>
        <w:numPr>
          <w:ilvl w:val="0"/>
          <w:numId w:val="38"/>
        </w:numPr>
        <w:spacing w:line="240" w:lineRule="auto"/>
        <w:rPr>
          <w:rFonts w:eastAsia="Times New Roman" w:cs="Arial"/>
        </w:rPr>
      </w:pPr>
      <w:r w:rsidRPr="00BC0E16">
        <w:rPr>
          <w:rFonts w:eastAsia="Times New Roman" w:cs="Arial"/>
          <w:color w:val="000000"/>
          <w:lang w:eastAsia="bg-BG"/>
        </w:rPr>
        <w:t>пациенти с феохромоцитом (вж. точка 4.3); соталолов хидрохлорид може да се прилага само след блокиране на алфа-рецепторите.</w:t>
      </w:r>
    </w:p>
    <w:p w14:paraId="2D07E667" w14:textId="77777777" w:rsidR="00BC0E16" w:rsidRDefault="00BC0E16" w:rsidP="00BC0E16">
      <w:pPr>
        <w:spacing w:line="240" w:lineRule="auto"/>
        <w:rPr>
          <w:rFonts w:eastAsia="Times New Roman" w:cs="Arial"/>
          <w:color w:val="000000"/>
          <w:u w:val="single"/>
          <w:lang w:eastAsia="bg-BG"/>
        </w:rPr>
      </w:pPr>
    </w:p>
    <w:p w14:paraId="122272E4" w14:textId="09661A34"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Рязко спиране на терапията</w:t>
      </w:r>
    </w:p>
    <w:p w14:paraId="4E9E463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Свръхчувствителност към кетохоламини е наблюдавана в случаи на спиране на терапията при пациенти с бета-блокери. Отделни случаи на обостряне на стенокардия, аритмии и, в някои случаи, инфаркт на миокарда, са съобщавани след рязко спиране на терапията. Поради това се препоръчва стриктно наблюдаване на пациентите в случай на прекратяване на продължителна терапия със соталол, главно при пациентите с исхемично сърдечно заболяване. По възможност дозата трябва да бъде намалявана постепенно в рамките на една или две седмици и, ако е необходимо, едновременно може да започне заместваща терапия. Рязкото спиране на терапията може да прикрие латентна коронарна недостатъчност. В допълнение, може да се развие хипертония.</w:t>
      </w:r>
    </w:p>
    <w:p w14:paraId="6F12A938" w14:textId="77777777" w:rsidR="00BC0E16" w:rsidRDefault="00BC0E16" w:rsidP="00BC0E16">
      <w:pPr>
        <w:spacing w:line="240" w:lineRule="auto"/>
        <w:rPr>
          <w:rFonts w:eastAsia="Times New Roman" w:cs="Arial"/>
          <w:color w:val="000000"/>
          <w:u w:val="single"/>
          <w:lang w:eastAsia="bg-BG"/>
        </w:rPr>
      </w:pPr>
    </w:p>
    <w:p w14:paraId="28F82DA1" w14:textId="231EC906"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Проаритмии</w:t>
      </w:r>
    </w:p>
    <w:p w14:paraId="1955C371" w14:textId="24A95D45"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Най-опасният нежелан ефект на антиаритмиците е влошаването на съществуващи аритмии или провокирането на нови аритмии. Лекарствата, които удължават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интервали, могат да</w:t>
      </w:r>
      <w:r w:rsidRPr="00BC0E16">
        <w:rPr>
          <w:rFonts w:eastAsia="Times New Roman" w:cs="Arial"/>
          <w:lang w:val="ru-RU"/>
        </w:rPr>
        <w:t xml:space="preserve"> </w:t>
      </w:r>
      <w:r w:rsidRPr="00BC0E16">
        <w:rPr>
          <w:rFonts w:eastAsia="Times New Roman" w:cs="Arial"/>
          <w:color w:val="000000"/>
          <w:lang w:eastAsia="bg-BG"/>
        </w:rPr>
        <w:t xml:space="preserve">предизвикат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r w:rsidRPr="00BC0E16">
        <w:rPr>
          <w:rFonts w:eastAsia="Times New Roman" w:cs="Arial"/>
          <w:color w:val="000000"/>
          <w:lang w:val="ru-RU"/>
        </w:rPr>
        <w:t xml:space="preserve"> </w:t>
      </w:r>
      <w:r w:rsidRPr="00BC0E16">
        <w:rPr>
          <w:rFonts w:eastAsia="Times New Roman" w:cs="Arial"/>
          <w:color w:val="000000"/>
          <w:lang w:eastAsia="bg-BG"/>
        </w:rPr>
        <w:t xml:space="preserve">полиморфна камерна тахикардия, свързана с удължаване на </w:t>
      </w:r>
      <w:r w:rsidRPr="00BC0E16">
        <w:rPr>
          <w:rFonts w:eastAsia="Times New Roman" w:cs="Arial"/>
          <w:color w:val="000000"/>
          <w:lang w:val="en-US"/>
        </w:rPr>
        <w:t>QT</w:t>
      </w:r>
      <w:r w:rsidRPr="00BC0E16">
        <w:rPr>
          <w:rFonts w:eastAsia="Times New Roman" w:cs="Arial"/>
          <w:lang w:val="ru-RU"/>
        </w:rPr>
        <w:t xml:space="preserve"> </w:t>
      </w:r>
      <w:r w:rsidRPr="00BC0E16">
        <w:rPr>
          <w:rFonts w:eastAsia="Times New Roman" w:cs="Arial"/>
          <w:color w:val="000000"/>
          <w:lang w:eastAsia="bg-BG"/>
        </w:rPr>
        <w:t xml:space="preserve">интервала. Наличните данни показват, че рискът от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color w:val="000000"/>
          <w:lang w:val="ru-RU"/>
        </w:rPr>
        <w:t xml:space="preserve"> </w:t>
      </w:r>
      <w:r w:rsidRPr="00BC0E16">
        <w:rPr>
          <w:rFonts w:eastAsia="Times New Roman" w:cs="Arial"/>
          <w:color w:val="000000"/>
          <w:lang w:eastAsia="bg-BG"/>
        </w:rPr>
        <w:t xml:space="preserve">е свързан с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понижаване на сърдечната честота, понижаване на нивото на калий и магнезий в серума, висока концентрация на соталол в плазмата и с едновременна употреба на соталол и други лекарства, които са свързани с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proofErr w:type="spellStart"/>
      <w:r w:rsidRPr="00BC0E16">
        <w:rPr>
          <w:rFonts w:eastAsia="Times New Roman" w:cs="Arial"/>
          <w:i/>
          <w:iCs/>
          <w:color w:val="000000"/>
          <w:lang w:val="en-US"/>
        </w:rPr>
        <w:t>depointes</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(вж. точка 4.5). Възможно е пациентите от женски пол да са изложени на повишен риск от развитие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p>
    <w:p w14:paraId="15F25266" w14:textId="77777777" w:rsidR="00BC0E16" w:rsidRDefault="00BC0E16" w:rsidP="00BC0E16">
      <w:pPr>
        <w:spacing w:line="240" w:lineRule="auto"/>
        <w:rPr>
          <w:rFonts w:eastAsia="Times New Roman" w:cs="Arial"/>
          <w:color w:val="000000"/>
          <w:lang w:eastAsia="bg-BG"/>
        </w:rPr>
      </w:pPr>
    </w:p>
    <w:p w14:paraId="0A377E2D" w14:textId="106BE30E"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Честотата на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color w:val="000000"/>
          <w:lang w:val="ru-RU"/>
        </w:rPr>
        <w:t xml:space="preserve"> </w:t>
      </w:r>
      <w:r w:rsidRPr="00BC0E16">
        <w:rPr>
          <w:rFonts w:eastAsia="Times New Roman" w:cs="Arial"/>
          <w:color w:val="000000"/>
          <w:lang w:eastAsia="bg-BG"/>
        </w:rPr>
        <w:t xml:space="preserve">зависи от дозата. Това състояние обикновено възниква скоро след започване на терапията или след повишаване на дозата и изчезва спонтанно при повечето пациенти. Въпреки че повечето епизоди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lastRenderedPageBreak/>
        <w:t>pointes</w:t>
      </w:r>
      <w:r w:rsidRPr="00BC0E16">
        <w:rPr>
          <w:rFonts w:eastAsia="Times New Roman" w:cs="Arial"/>
          <w:color w:val="000000"/>
          <w:lang w:val="ru-RU"/>
        </w:rPr>
        <w:t xml:space="preserve"> </w:t>
      </w:r>
      <w:r w:rsidRPr="00BC0E16">
        <w:rPr>
          <w:rFonts w:eastAsia="Times New Roman" w:cs="Arial"/>
          <w:color w:val="000000"/>
          <w:lang w:eastAsia="bg-BG"/>
        </w:rPr>
        <w:t>са самоограничаващи се или симптомите им се сливат (напр. синкоп), те могат да прогресират до камерно мъждене.</w:t>
      </w:r>
    </w:p>
    <w:p w14:paraId="6FD2CF49" w14:textId="77777777" w:rsidR="00BC0E16" w:rsidRDefault="00BC0E16" w:rsidP="00BC0E16">
      <w:pPr>
        <w:spacing w:line="240" w:lineRule="auto"/>
        <w:rPr>
          <w:rFonts w:eastAsia="Times New Roman" w:cs="Arial"/>
          <w:color w:val="000000"/>
          <w:lang w:eastAsia="bg-BG"/>
        </w:rPr>
      </w:pPr>
    </w:p>
    <w:p w14:paraId="0DF039B3" w14:textId="0C4FE362"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В клинични проучвания при пациенти с продължителна КТ/КМ честотата на тежка проаритмия </w:t>
      </w:r>
      <w:r w:rsidRPr="00BC0E16">
        <w:rPr>
          <w:rFonts w:eastAsia="Times New Roman" w:cs="Arial"/>
          <w:i/>
          <w:iCs/>
          <w:color w:val="000000"/>
          <w:lang w:val="ru-RU"/>
        </w:rPr>
        <w:t>{</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color w:val="000000"/>
          <w:lang w:val="ru-RU"/>
        </w:rPr>
        <w:t xml:space="preserve"> </w:t>
      </w:r>
      <w:r w:rsidRPr="00BC0E16">
        <w:rPr>
          <w:rFonts w:eastAsia="Times New Roman" w:cs="Arial"/>
          <w:color w:val="000000"/>
          <w:lang w:eastAsia="bg-BG"/>
        </w:rPr>
        <w:t xml:space="preserve">или нововъзникнала продължителна КТ/КМ) е &lt; 2% при дози до 320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При по-високи дози честотата е повече от 2 пъти по-висока.</w:t>
      </w:r>
    </w:p>
    <w:p w14:paraId="5EB2FA78" w14:textId="77777777" w:rsidR="00BC0E16" w:rsidRDefault="00BC0E16" w:rsidP="00BC0E16">
      <w:pPr>
        <w:spacing w:line="240" w:lineRule="auto"/>
        <w:rPr>
          <w:rFonts w:eastAsia="Times New Roman" w:cs="Arial"/>
          <w:color w:val="000000"/>
          <w:lang w:eastAsia="bg-BG"/>
        </w:rPr>
      </w:pPr>
    </w:p>
    <w:p w14:paraId="53E24817" w14:textId="05671590"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Други рискови фактори за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color w:val="000000"/>
          <w:lang w:val="ru-RU"/>
        </w:rPr>
        <w:t xml:space="preserve"> </w:t>
      </w:r>
      <w:r w:rsidRPr="00BC0E16">
        <w:rPr>
          <w:rFonts w:eastAsia="Times New Roman" w:cs="Arial"/>
          <w:color w:val="000000"/>
          <w:lang w:eastAsia="bg-BG"/>
        </w:rPr>
        <w:t xml:space="preserve">са били прекомерно удължаване на </w:t>
      </w:r>
      <w:proofErr w:type="spellStart"/>
      <w:r w:rsidRPr="00BC0E16">
        <w:rPr>
          <w:rFonts w:eastAsia="Times New Roman" w:cs="Arial"/>
          <w:color w:val="000000"/>
          <w:lang w:val="en-US"/>
        </w:rPr>
        <w:t>QTc</w:t>
      </w:r>
      <w:proofErr w:type="spellEnd"/>
      <w:r w:rsidRPr="00BC0E16">
        <w:rPr>
          <w:rFonts w:eastAsia="Times New Roman" w:cs="Arial"/>
          <w:color w:val="000000"/>
          <w:lang w:val="ru-RU"/>
        </w:rPr>
        <w:t xml:space="preserve"> </w:t>
      </w:r>
      <w:r w:rsidRPr="00BC0E16">
        <w:rPr>
          <w:rFonts w:eastAsia="Times New Roman" w:cs="Arial"/>
          <w:color w:val="000000"/>
          <w:lang w:eastAsia="bg-BG"/>
        </w:rPr>
        <w:t>интервала и анамнеза за кардиомегалия или застойна сърдечна недостатъчност.</w:t>
      </w:r>
    </w:p>
    <w:p w14:paraId="2AF47FCF" w14:textId="56618766" w:rsidR="00BC0E16" w:rsidRPr="00BC0E16" w:rsidRDefault="00BC0E16" w:rsidP="00BC0E16">
      <w:pPr>
        <w:spacing w:line="240" w:lineRule="auto"/>
        <w:rPr>
          <w:rFonts w:eastAsia="Times New Roman" w:cs="Arial"/>
        </w:rPr>
      </w:pPr>
      <w:r w:rsidRPr="00BC0E16">
        <w:rPr>
          <w:rFonts w:eastAsia="Times New Roman" w:cs="Arial"/>
          <w:color w:val="000000"/>
          <w:lang w:eastAsia="bg-BG"/>
        </w:rPr>
        <w:t>Пациентите с продължителна камерна тахикардия и анамнеза за застойна сърдечна недостатъчност са били изложени на най-висок риск за възникване на проаритимия (7%).</w:t>
      </w:r>
    </w:p>
    <w:p w14:paraId="2D837DEF" w14:textId="77777777" w:rsidR="00BC0E16" w:rsidRDefault="00BC0E16" w:rsidP="00BC0E16">
      <w:pPr>
        <w:spacing w:line="240" w:lineRule="auto"/>
        <w:rPr>
          <w:rFonts w:eastAsia="Times New Roman" w:cs="Arial"/>
          <w:color w:val="000000"/>
          <w:lang w:eastAsia="bg-BG"/>
        </w:rPr>
      </w:pPr>
    </w:p>
    <w:p w14:paraId="00D7FFCB" w14:textId="76942CB1"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Проаритмични събития следва да се очакват не само при започване на терапията, но и при всяко повишаване на дозата. Рискът от проаритмия е по-малък при започване на терапията с доза от 80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 xml:space="preserve">последвано от постепенно повишаване на дозата. Соталол трябва да се прилага при стриктно проследяване дали </w:t>
      </w:r>
      <w:proofErr w:type="spellStart"/>
      <w:r w:rsidRPr="00BC0E16">
        <w:rPr>
          <w:rFonts w:eastAsia="Times New Roman" w:cs="Arial"/>
          <w:color w:val="000000"/>
          <w:lang w:val="en-US"/>
        </w:rPr>
        <w:t>QTc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интервалът е над 480 </w:t>
      </w:r>
      <w:proofErr w:type="spellStart"/>
      <w:r w:rsidRPr="00BC0E16">
        <w:rPr>
          <w:rFonts w:eastAsia="Times New Roman" w:cs="Arial"/>
          <w:color w:val="000000"/>
          <w:lang w:val="en-US"/>
        </w:rPr>
        <w:t>msec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като следва да се обмисли сериозно възможността за намаляване на дозата или прекратяване на терапията, когато </w:t>
      </w:r>
      <w:proofErr w:type="spellStart"/>
      <w:r w:rsidRPr="00BC0E16">
        <w:rPr>
          <w:rFonts w:eastAsia="Times New Roman" w:cs="Arial"/>
          <w:color w:val="000000"/>
          <w:lang w:val="en-US"/>
        </w:rPr>
        <w:t>QTc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интервалът надхвърли 550 </w:t>
      </w:r>
      <w:proofErr w:type="spellStart"/>
      <w:r w:rsidRPr="00BC0E16">
        <w:rPr>
          <w:rFonts w:eastAsia="Times New Roman" w:cs="Arial"/>
          <w:color w:val="000000"/>
          <w:lang w:val="en-US"/>
        </w:rPr>
        <w:t>msec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Поради множеството рискови фактори, свързани с възникването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r w:rsidRPr="00BC0E16">
        <w:rPr>
          <w:rFonts w:eastAsia="Times New Roman" w:cs="Arial"/>
          <w:color w:val="000000"/>
          <w:lang w:val="ru-RU"/>
        </w:rPr>
        <w:t xml:space="preserve"> </w:t>
      </w:r>
      <w:r w:rsidRPr="00BC0E16">
        <w:rPr>
          <w:rFonts w:eastAsia="Times New Roman" w:cs="Arial"/>
          <w:color w:val="000000"/>
          <w:lang w:eastAsia="bg-BG"/>
        </w:rPr>
        <w:t xml:space="preserve">обаче, повишено внимание е необходимо независимо от продължителността на удължаването на </w:t>
      </w:r>
      <w:proofErr w:type="spellStart"/>
      <w:r w:rsidRPr="00BC0E16">
        <w:rPr>
          <w:rFonts w:eastAsia="Times New Roman" w:cs="Arial"/>
          <w:color w:val="000000"/>
          <w:lang w:val="en-US"/>
        </w:rPr>
        <w:t>QTc</w:t>
      </w:r>
      <w:proofErr w:type="spellEnd"/>
      <w:r w:rsidRPr="00BC0E16">
        <w:rPr>
          <w:rFonts w:eastAsia="Times New Roman" w:cs="Arial"/>
          <w:color w:val="000000"/>
          <w:lang w:val="ru-RU"/>
        </w:rPr>
        <w:t xml:space="preserve"> </w:t>
      </w:r>
      <w:r w:rsidRPr="00BC0E16">
        <w:rPr>
          <w:rFonts w:eastAsia="Times New Roman" w:cs="Arial"/>
          <w:color w:val="000000"/>
          <w:lang w:eastAsia="bg-BG"/>
        </w:rPr>
        <w:t>интервала.</w:t>
      </w:r>
    </w:p>
    <w:p w14:paraId="45ECC592" w14:textId="77777777" w:rsidR="00BC0E16" w:rsidRDefault="00BC0E16" w:rsidP="00BC0E16">
      <w:pPr>
        <w:spacing w:line="240" w:lineRule="auto"/>
        <w:rPr>
          <w:rFonts w:eastAsia="Times New Roman" w:cs="Arial"/>
          <w:color w:val="000000"/>
          <w:u w:val="single"/>
          <w:lang w:eastAsia="bg-BG"/>
        </w:rPr>
      </w:pPr>
    </w:p>
    <w:p w14:paraId="797CCF2E" w14:textId="28830893"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Застойна сърдечна недостатъчност</w:t>
      </w:r>
    </w:p>
    <w:p w14:paraId="44252002"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Бета-блокадата може допълнително да потисне миокардния контрактилитет и да ускори влошаването на сърдечната недостатъчност. Повишено внимание е необходимо при започване на терапията при пациенти с левокамерна дисфункция, контролирана медикаментозно (напр. с АСЕ инхибитори, диуретици, дигиталисови лекарства и др.); подходящи са ниска начална доза и внимателно титриране на дозата.</w:t>
      </w:r>
    </w:p>
    <w:p w14:paraId="4D190FE9" w14:textId="77777777" w:rsidR="00BC0E16" w:rsidRDefault="00BC0E16" w:rsidP="00BC0E16">
      <w:pPr>
        <w:spacing w:line="240" w:lineRule="auto"/>
        <w:rPr>
          <w:rFonts w:eastAsia="Times New Roman" w:cs="Arial"/>
          <w:color w:val="000000"/>
          <w:u w:val="single"/>
          <w:lang w:eastAsia="bg-BG"/>
        </w:rPr>
      </w:pPr>
    </w:p>
    <w:p w14:paraId="5F49BB53" w14:textId="27644789"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Скорошен ИМ</w:t>
      </w:r>
    </w:p>
    <w:p w14:paraId="2AA44DC0"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прекарали наскоро ИМ, на фона на влошена левокамерна функция, трябва се прецени риска спрямо ползата от употребата на соталол. От съществено значение са наблюдение в клинична обстановка и титриране на дозата при започване на проследяване на терапията. Употреба на соталол трябва да се избягва при пациенти с левокамерна фракция на изтласкване ≤ 40%, без сериозни камерни аритмии.</w:t>
      </w:r>
    </w:p>
    <w:p w14:paraId="4D93533C" w14:textId="77777777" w:rsidR="00BC0E16" w:rsidRDefault="00BC0E16" w:rsidP="00BC0E16">
      <w:pPr>
        <w:spacing w:line="240" w:lineRule="auto"/>
        <w:rPr>
          <w:rFonts w:eastAsia="Times New Roman" w:cs="Arial"/>
          <w:color w:val="000000"/>
          <w:u w:val="single"/>
          <w:lang w:eastAsia="bg-BG"/>
        </w:rPr>
      </w:pPr>
    </w:p>
    <w:p w14:paraId="7C47761E" w14:textId="55843FE0"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Промени в електрокардиографията</w:t>
      </w:r>
    </w:p>
    <w:p w14:paraId="3FEB608D" w14:textId="27ECFCFD" w:rsidR="00BC0E16" w:rsidRDefault="00BC0E16" w:rsidP="00BC0E16">
      <w:pPr>
        <w:rPr>
          <w:rFonts w:eastAsia="Times New Roman" w:cs="Arial"/>
          <w:color w:val="000000"/>
          <w:lang w:eastAsia="bg-BG"/>
        </w:rPr>
      </w:pPr>
      <w:r w:rsidRPr="00BC0E16">
        <w:rPr>
          <w:rFonts w:eastAsia="Times New Roman" w:cs="Arial"/>
          <w:color w:val="000000"/>
          <w:lang w:eastAsia="bg-BG"/>
        </w:rPr>
        <w:t xml:space="preserve">Прекомерното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&gt;550 </w:t>
      </w:r>
      <w:proofErr w:type="spellStart"/>
      <w:r w:rsidRPr="00BC0E16">
        <w:rPr>
          <w:rFonts w:eastAsia="Times New Roman" w:cs="Arial"/>
          <w:color w:val="000000"/>
          <w:lang w:val="en-US"/>
        </w:rPr>
        <w:t>msec</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може да бъде признак за токсичност и трябва да се избягва (вж., Дроаритмии” по-горе). Синусова брадикардия е наблюдавана много често при пациенти с аритмия, приемащи соталол в клинични изпитвания. Брадикардията повишава риска от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r w:rsidRPr="00BC0E16">
        <w:rPr>
          <w:rFonts w:eastAsia="Times New Roman" w:cs="Arial"/>
          <w:color w:val="000000"/>
          <w:lang w:val="ru-RU"/>
        </w:rPr>
        <w:t xml:space="preserve"> </w:t>
      </w:r>
      <w:r w:rsidRPr="00BC0E16">
        <w:rPr>
          <w:rFonts w:eastAsia="Times New Roman" w:cs="Arial"/>
          <w:color w:val="000000"/>
          <w:lang w:eastAsia="bg-BG"/>
        </w:rPr>
        <w:t xml:space="preserve">Синусова пауза, синусов арест и дисфункция на синусовия възел възникват при по-малко от 1 % от пациентите. Честотата на </w:t>
      </w:r>
      <w:r w:rsidRPr="00BC0E16">
        <w:rPr>
          <w:rFonts w:eastAsia="Times New Roman" w:cs="Arial"/>
          <w:color w:val="000000"/>
          <w:lang w:val="en-US"/>
        </w:rPr>
        <w:t>AV</w:t>
      </w:r>
      <w:r w:rsidRPr="00BC0E16">
        <w:rPr>
          <w:rFonts w:eastAsia="Times New Roman" w:cs="Arial"/>
          <w:color w:val="000000"/>
          <w:lang w:eastAsia="bg-BG"/>
        </w:rPr>
        <w:t xml:space="preserve"> блок от II и III степен е около 1%.</w:t>
      </w:r>
    </w:p>
    <w:p w14:paraId="49B247BB" w14:textId="5776B842" w:rsidR="00BC0E16" w:rsidRDefault="00BC0E16" w:rsidP="00BC0E16">
      <w:pPr>
        <w:rPr>
          <w:rFonts w:eastAsia="Times New Roman" w:cs="Arial"/>
          <w:color w:val="000000"/>
          <w:lang w:eastAsia="bg-BG"/>
        </w:rPr>
      </w:pPr>
    </w:p>
    <w:p w14:paraId="4D0E0A34"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Пациенти след прекаран миокарден инфаркт или с данни за лоша камерна функция са с повишен риск от екзацербация на аритмия (проаритмичен ефект). В тези случаи е уместно започване на лечението в болнична обстановка при адекватен кардиологичен контрол.</w:t>
      </w:r>
    </w:p>
    <w:p w14:paraId="75AF550A" w14:textId="77777777" w:rsidR="00BC0E16" w:rsidRDefault="00BC0E16" w:rsidP="00BC0E16">
      <w:pPr>
        <w:spacing w:line="240" w:lineRule="auto"/>
        <w:rPr>
          <w:rFonts w:eastAsia="Times New Roman" w:cs="Arial"/>
          <w:color w:val="000000"/>
          <w:lang w:eastAsia="bg-BG"/>
        </w:rPr>
      </w:pPr>
    </w:p>
    <w:p w14:paraId="2EAA5DF5" w14:textId="44D9E3A3" w:rsidR="00BC0E16" w:rsidRPr="00BC0E16" w:rsidRDefault="00BC0E16" w:rsidP="00BC0E16">
      <w:pPr>
        <w:spacing w:line="240" w:lineRule="auto"/>
        <w:rPr>
          <w:rFonts w:eastAsia="Times New Roman" w:cs="Arial"/>
        </w:rPr>
      </w:pPr>
      <w:r w:rsidRPr="00BC0E16">
        <w:rPr>
          <w:rFonts w:eastAsia="Times New Roman" w:cs="Arial"/>
          <w:color w:val="000000"/>
          <w:lang w:eastAsia="bg-BG"/>
        </w:rPr>
        <w:lastRenderedPageBreak/>
        <w:t xml:space="preserve">При комбинирана терапия с клас I антиаритмици трябва да се избягват тези вещества, които могат да удължат </w:t>
      </w:r>
      <w:r w:rsidRPr="00BC0E16">
        <w:rPr>
          <w:rFonts w:eastAsia="Times New Roman" w:cs="Arial"/>
          <w:color w:val="000000"/>
          <w:lang w:val="en-US"/>
        </w:rPr>
        <w:t>QRS</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(особено хинидиноподобни вещества). В противен случай, силното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интервала може да доведе до понижен праг на възникване на камерни аритмии. Едновременното приложени</w:t>
      </w:r>
      <w:r>
        <w:rPr>
          <w:rFonts w:eastAsia="Times New Roman" w:cs="Arial"/>
          <w:color w:val="000000"/>
          <w:lang w:eastAsia="bg-BG"/>
        </w:rPr>
        <w:t xml:space="preserve">е с други антиаритмици от клас </w:t>
      </w:r>
      <w:r>
        <w:rPr>
          <w:rFonts w:eastAsia="Times New Roman" w:cs="Arial"/>
          <w:color w:val="000000"/>
          <w:lang w:val="en-US" w:eastAsia="bg-BG"/>
        </w:rPr>
        <w:t>III</w:t>
      </w:r>
      <w:r w:rsidRPr="00BC0E16">
        <w:rPr>
          <w:rFonts w:eastAsia="Times New Roman" w:cs="Arial"/>
          <w:color w:val="000000"/>
          <w:lang w:eastAsia="bg-BG"/>
        </w:rPr>
        <w:t xml:space="preserve"> трябва да се избягва също поради възможно силно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интервала.</w:t>
      </w:r>
    </w:p>
    <w:p w14:paraId="47A8BDF3" w14:textId="77777777" w:rsidR="00BC0E16" w:rsidRDefault="00BC0E16" w:rsidP="00BC0E16">
      <w:pPr>
        <w:spacing w:line="240" w:lineRule="auto"/>
        <w:rPr>
          <w:rFonts w:eastAsia="Times New Roman" w:cs="Arial"/>
          <w:color w:val="000000"/>
          <w:u w:val="single"/>
          <w:lang w:eastAsia="bg-BG"/>
        </w:rPr>
      </w:pPr>
    </w:p>
    <w:p w14:paraId="58E35D83" w14:textId="75FEB669"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Нарушения на електролитния баланс</w:t>
      </w:r>
    </w:p>
    <w:p w14:paraId="25875ECE"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Соталол не трябва да се прилага при пациенти с хипокалиемия или хипомагнезиемия, преди това нарушение да бъде коригирано. Тези нарушения могат да повишат степента на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 xml:space="preserve">интервала и да усилят потенциала за възникване на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r w:rsidRPr="00BC0E16">
        <w:rPr>
          <w:rFonts w:eastAsia="Times New Roman" w:cs="Arial"/>
          <w:i/>
          <w:iCs/>
          <w:color w:val="000000"/>
          <w:lang w:val="en-US"/>
        </w:rPr>
        <w:t>de</w:t>
      </w:r>
      <w:r w:rsidRPr="00BC0E16">
        <w:rPr>
          <w:rFonts w:eastAsia="Times New Roman" w:cs="Arial"/>
          <w:i/>
          <w:iCs/>
          <w:color w:val="000000"/>
          <w:lang w:val="ru-RU"/>
        </w:rPr>
        <w:t xml:space="preserve"> </w:t>
      </w:r>
      <w:r w:rsidRPr="00BC0E16">
        <w:rPr>
          <w:rFonts w:eastAsia="Times New Roman" w:cs="Arial"/>
          <w:i/>
          <w:iCs/>
          <w:color w:val="000000"/>
          <w:lang w:val="en-US"/>
        </w:rPr>
        <w:t>pointes</w:t>
      </w:r>
      <w:r w:rsidRPr="00BC0E16">
        <w:rPr>
          <w:rFonts w:eastAsia="Times New Roman" w:cs="Arial"/>
          <w:i/>
          <w:iCs/>
          <w:color w:val="000000"/>
          <w:lang w:val="ru-RU"/>
        </w:rPr>
        <w:t>.</w:t>
      </w:r>
      <w:r w:rsidRPr="00BC0E16">
        <w:rPr>
          <w:rFonts w:eastAsia="Times New Roman" w:cs="Arial"/>
          <w:color w:val="000000"/>
          <w:lang w:val="ru-RU"/>
        </w:rPr>
        <w:t xml:space="preserve"> </w:t>
      </w:r>
      <w:r w:rsidRPr="00BC0E16">
        <w:rPr>
          <w:rFonts w:eastAsia="Times New Roman" w:cs="Arial"/>
          <w:color w:val="000000"/>
          <w:lang w:eastAsia="bg-BG"/>
        </w:rPr>
        <w:t>Специално внимание трябва да се отдели на електролитния и киселинно-основния баланс при пациенти с тежка или продължителна диария, или при такива, които приемат едновременно лекарства, изчерпващи магнезия и/или калия.</w:t>
      </w:r>
    </w:p>
    <w:p w14:paraId="25C3ED31" w14:textId="77777777" w:rsidR="00BC0E16" w:rsidRDefault="00BC0E16" w:rsidP="00BC0E16">
      <w:pPr>
        <w:spacing w:line="240" w:lineRule="auto"/>
        <w:rPr>
          <w:rFonts w:eastAsia="Times New Roman" w:cs="Arial"/>
          <w:color w:val="000000"/>
          <w:u w:val="single"/>
          <w:lang w:eastAsia="bg-BG"/>
        </w:rPr>
      </w:pPr>
    </w:p>
    <w:p w14:paraId="554CD41C" w14:textId="2F8BEB05"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Псориазис</w:t>
      </w:r>
    </w:p>
    <w:p w14:paraId="7F7216C0"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Лекарствени продукти, блокиращи бета-рецепторите могат да предизвикат псориазис в редки случаи, да влошат симптомите на псориазис или да доведат до псориазиформена екзантема.</w:t>
      </w:r>
    </w:p>
    <w:p w14:paraId="10898783" w14:textId="77777777" w:rsidR="00BC0E16" w:rsidRDefault="00BC0E16" w:rsidP="00BC0E16">
      <w:pPr>
        <w:spacing w:line="240" w:lineRule="auto"/>
        <w:rPr>
          <w:rFonts w:eastAsia="Times New Roman" w:cs="Arial"/>
          <w:color w:val="000000"/>
          <w:u w:val="single"/>
          <w:lang w:eastAsia="bg-BG"/>
        </w:rPr>
      </w:pPr>
    </w:p>
    <w:p w14:paraId="56DFC91F" w14:textId="686F4A7D"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Анафилаксия</w:t>
      </w:r>
    </w:p>
    <w:p w14:paraId="6233906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Поради своето блокиращо действие върху бета-рецепторите, соталолов хидрохлорид може да повиши чувствителността към алергени и тежестта на анафилактичните реакции. Пациенти с тежки реакции на свръхчувствителност в анамнезата и пациенти на десенситизираща терапия могат да проявят ексцесивни анафилактични реакции. Пациенти с анамнеза за анафилактична реакция към множество алергени могат да получат по-тежка реакция в случай на многократна експозиция при едновременен прием на бета-блокери. Възможно е тези пациенти да не се повлияят от дозите адреналин, които се използват обикновено за лечение на алергична реакция.</w:t>
      </w:r>
    </w:p>
    <w:p w14:paraId="013D3067" w14:textId="77777777" w:rsidR="00BC0E16" w:rsidRDefault="00BC0E16" w:rsidP="00BC0E16">
      <w:pPr>
        <w:spacing w:line="240" w:lineRule="auto"/>
        <w:rPr>
          <w:rFonts w:eastAsia="Times New Roman" w:cs="Arial"/>
          <w:color w:val="000000"/>
          <w:u w:val="single"/>
          <w:lang w:eastAsia="bg-BG"/>
        </w:rPr>
      </w:pPr>
    </w:p>
    <w:p w14:paraId="6F3715E8" w14:textId="072067DD"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Анестезия</w:t>
      </w:r>
    </w:p>
    <w:p w14:paraId="2F504D5C"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Соталол трябва да се прилага с повишено внимание при пациенти, които се подлагат на хирургична интервенция, при която се използват анестетици, причиняващи потискане на миокарда, като циклопропан или трихлороетилен.</w:t>
      </w:r>
    </w:p>
    <w:p w14:paraId="15DFF906" w14:textId="77777777" w:rsidR="00BC0E16" w:rsidRDefault="00BC0E16" w:rsidP="00BC0E16">
      <w:pPr>
        <w:spacing w:line="240" w:lineRule="auto"/>
        <w:rPr>
          <w:rFonts w:eastAsia="Times New Roman" w:cs="Arial"/>
          <w:color w:val="000000"/>
          <w:u w:val="single"/>
          <w:lang w:eastAsia="bg-BG"/>
        </w:rPr>
      </w:pPr>
    </w:p>
    <w:p w14:paraId="36B48170" w14:textId="44B3CB29" w:rsidR="00BC0E16" w:rsidRPr="00BC0E16" w:rsidRDefault="00BC0E16" w:rsidP="00BC0E16">
      <w:pPr>
        <w:spacing w:line="240" w:lineRule="auto"/>
        <w:rPr>
          <w:rFonts w:eastAsia="Times New Roman" w:cs="Arial"/>
        </w:rPr>
      </w:pPr>
      <w:r>
        <w:rPr>
          <w:rFonts w:eastAsia="Times New Roman" w:cs="Arial"/>
          <w:color w:val="000000"/>
          <w:u w:val="single"/>
          <w:lang w:eastAsia="bg-BG"/>
        </w:rPr>
        <w:t>Т</w:t>
      </w:r>
      <w:r w:rsidRPr="00BC0E16">
        <w:rPr>
          <w:rFonts w:eastAsia="Times New Roman" w:cs="Arial"/>
          <w:color w:val="000000"/>
          <w:u w:val="single"/>
          <w:lang w:eastAsia="bg-BG"/>
        </w:rPr>
        <w:t>иреотоксикоза</w:t>
      </w:r>
    </w:p>
    <w:p w14:paraId="45D6764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Бета-блокадата може да прикрие някои клинични признаци за хипертиреоидизъм (напр. тахикардия). Пациентите със съмнения за развиваща се тиреотоксикоза трябва да бъдат стриктно наблюдавани, за да се избегне рязко спиране на бета-блокадата, което може да бъде последвано от обостряне на симптомите на хипертиреоидизъм, в т.ч, тиреотоксична криза.</w:t>
      </w:r>
    </w:p>
    <w:p w14:paraId="675C34FE" w14:textId="77777777" w:rsidR="00BC0E16" w:rsidRDefault="00BC0E16" w:rsidP="00BC0E16">
      <w:pPr>
        <w:spacing w:line="240" w:lineRule="auto"/>
        <w:rPr>
          <w:rFonts w:eastAsia="Times New Roman" w:cs="Arial"/>
          <w:color w:val="000000"/>
          <w:u w:val="single"/>
          <w:lang w:eastAsia="bg-BG"/>
        </w:rPr>
      </w:pPr>
    </w:p>
    <w:p w14:paraId="4F859F9F" w14:textId="4085C826"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Бъбречно увреждане</w:t>
      </w:r>
    </w:p>
    <w:p w14:paraId="5449785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с увредена бъбречна функция дозата на соталол трябва да бъде коригирана, тъй като соталол се елиминира предимно през бъбреците (вж. точка 4.2).</w:t>
      </w:r>
    </w:p>
    <w:p w14:paraId="2199A84C"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Поради наличие на соталолов хидрохлорид в урината, фотометричното определяне на метанефрин може да доведе до фалшиво повишени стойности. При пациенти, приемащи соталолов хидрохлорид и със съмнение за феохромоцитом, урината трябва да се изследва с ВЕТХ чрез екстракция от твърда фаза.</w:t>
      </w:r>
    </w:p>
    <w:p w14:paraId="11685C76" w14:textId="77777777" w:rsidR="00BC0E16" w:rsidRDefault="00BC0E16" w:rsidP="00BC0E16">
      <w:pPr>
        <w:spacing w:line="240" w:lineRule="auto"/>
        <w:rPr>
          <w:rFonts w:eastAsia="Times New Roman" w:cs="Arial"/>
          <w:color w:val="000000"/>
          <w:u w:val="single"/>
          <w:lang w:eastAsia="bg-BG"/>
        </w:rPr>
      </w:pPr>
    </w:p>
    <w:p w14:paraId="1EDA4287" w14:textId="5769D049"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Захарен диабет</w:t>
      </w:r>
    </w:p>
    <w:p w14:paraId="255DAFD2" w14:textId="77777777" w:rsidR="00BC0E16" w:rsidRPr="00BC0E16" w:rsidRDefault="00BC0E16" w:rsidP="00BC0E16">
      <w:pPr>
        <w:rPr>
          <w:rFonts w:eastAsia="Times New Roman" w:cs="Arial"/>
        </w:rPr>
      </w:pPr>
      <w:r w:rsidRPr="00BC0E16">
        <w:rPr>
          <w:rFonts w:eastAsia="Times New Roman" w:cs="Arial"/>
          <w:color w:val="000000"/>
          <w:lang w:eastAsia="bg-BG"/>
        </w:rPr>
        <w:lastRenderedPageBreak/>
        <w:t>Соталол трябва да се използва с повишено внимание при пациенти с диабет (особено в нестабилна форма) или с анамнеза за епизоди на спонтанна хипогликемия тъй като бета</w:t>
      </w:r>
      <w:r w:rsidRPr="00BC0E16">
        <w:rPr>
          <w:rFonts w:eastAsia="Times New Roman" w:cs="Arial"/>
          <w:color w:val="000000"/>
          <w:lang w:val="ru-RU" w:eastAsia="bg-BG"/>
        </w:rPr>
        <w:t xml:space="preserve"> </w:t>
      </w:r>
      <w:r w:rsidRPr="00BC0E16">
        <w:rPr>
          <w:rFonts w:eastAsia="Times New Roman" w:cs="Arial"/>
          <w:color w:val="000000"/>
          <w:lang w:eastAsia="bg-BG"/>
        </w:rPr>
        <w:t>блокадата може да прикрие някои важни признаци за начало на остра хипогликемия, напр. тахикардия.</w:t>
      </w:r>
    </w:p>
    <w:p w14:paraId="162EC237"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тези пациенти следва да се има предвид, че 1 таблетка съдържа по-малко от 0,01 въглехидратна единица.</w:t>
      </w:r>
    </w:p>
    <w:p w14:paraId="527809FC" w14:textId="77777777" w:rsidR="00BC0E16" w:rsidRDefault="00BC0E16" w:rsidP="00BC0E16">
      <w:pPr>
        <w:spacing w:line="240" w:lineRule="auto"/>
        <w:rPr>
          <w:rFonts w:eastAsia="Times New Roman" w:cs="Arial"/>
          <w:i/>
          <w:iCs/>
          <w:color w:val="000000"/>
          <w:lang w:eastAsia="bg-BG"/>
        </w:rPr>
      </w:pPr>
    </w:p>
    <w:p w14:paraId="1ADD70EE" w14:textId="4AB30FF5"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Нарушения на метаболизма и храненето</w:t>
      </w:r>
    </w:p>
    <w:p w14:paraId="3C420FBC" w14:textId="77777777"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Хипогликемия</w:t>
      </w:r>
    </w:p>
    <w:p w14:paraId="4D627EC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Симптомите на понижаване на кръвната захар (в частност тахикардия) могат да бъдат маскирани по време на терапията със соталолов хидрохлорид. Това трябва да се има предвид при спазване на строга диета, както и при пациенти с диабет и при такива със спонтанна хипогликемия в анамнезата.</w:t>
      </w:r>
    </w:p>
    <w:p w14:paraId="199BF481" w14:textId="77777777" w:rsidR="00BC0E16" w:rsidRDefault="00BC0E16" w:rsidP="00BC0E16">
      <w:pPr>
        <w:spacing w:line="240" w:lineRule="auto"/>
        <w:rPr>
          <w:rFonts w:eastAsia="Times New Roman" w:cs="Arial"/>
          <w:i/>
          <w:iCs/>
          <w:color w:val="000000"/>
          <w:lang w:eastAsia="bg-BG"/>
        </w:rPr>
      </w:pPr>
    </w:p>
    <w:p w14:paraId="56A59BB0" w14:textId="6223FC89"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Нарушения в обмяната на липидите</w:t>
      </w:r>
    </w:p>
    <w:p w14:paraId="2A528628"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Повишаване на общия холестерол и триглицеридите, намаляване на </w:t>
      </w:r>
      <w:r w:rsidRPr="00BC0E16">
        <w:rPr>
          <w:rFonts w:eastAsia="Times New Roman" w:cs="Arial"/>
          <w:color w:val="000000"/>
          <w:lang w:val="en-US"/>
        </w:rPr>
        <w:t>HDL</w:t>
      </w:r>
      <w:r w:rsidRPr="00BC0E16">
        <w:rPr>
          <w:rFonts w:eastAsia="Times New Roman" w:cs="Arial"/>
          <w:color w:val="000000"/>
          <w:lang w:val="ru-RU"/>
        </w:rPr>
        <w:t xml:space="preserve"> </w:t>
      </w:r>
      <w:r w:rsidRPr="00BC0E16">
        <w:rPr>
          <w:rFonts w:eastAsia="Times New Roman" w:cs="Arial"/>
          <w:color w:val="000000"/>
          <w:lang w:eastAsia="bg-BG"/>
        </w:rPr>
        <w:t>холестерола</w:t>
      </w:r>
    </w:p>
    <w:p w14:paraId="0460564E" w14:textId="77777777" w:rsidR="00BC0E16" w:rsidRDefault="00BC0E16" w:rsidP="00BC0E16">
      <w:pPr>
        <w:spacing w:line="240" w:lineRule="auto"/>
        <w:rPr>
          <w:rFonts w:eastAsia="Times New Roman" w:cs="Arial"/>
          <w:b/>
          <w:bCs/>
          <w:color w:val="000000"/>
          <w:lang w:eastAsia="bg-BG"/>
        </w:rPr>
      </w:pPr>
      <w:bookmarkStart w:id="1" w:name="bookmark0"/>
    </w:p>
    <w:p w14:paraId="3AF1707E" w14:textId="0EFFBF73" w:rsidR="00BC0E16" w:rsidRPr="00BC0E16" w:rsidRDefault="00BC0E16" w:rsidP="00BC0E16">
      <w:pPr>
        <w:spacing w:line="240" w:lineRule="auto"/>
        <w:rPr>
          <w:rFonts w:eastAsia="Times New Roman" w:cs="Arial"/>
        </w:rPr>
      </w:pPr>
      <w:r w:rsidRPr="00BC0E16">
        <w:rPr>
          <w:rFonts w:eastAsia="Times New Roman" w:cs="Arial"/>
          <w:b/>
          <w:bCs/>
          <w:color w:val="000000"/>
          <w:lang w:eastAsia="bg-BG"/>
        </w:rPr>
        <w:t>Сотахексал съдържа натрий и лактоза</w:t>
      </w:r>
      <w:bookmarkEnd w:id="1"/>
    </w:p>
    <w:p w14:paraId="5B7561F2"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Пациенти с рядка наследствена галактозна непоносимост, обща лактазна недостатъчност или глюкозо-галактозна малабсорбция не трябва да приемат Сотахексал.</w:t>
      </w:r>
    </w:p>
    <w:p w14:paraId="48887501" w14:textId="77777777" w:rsidR="00BC0E16" w:rsidRDefault="00BC0E16" w:rsidP="00BC0E16">
      <w:pPr>
        <w:spacing w:line="240" w:lineRule="auto"/>
        <w:rPr>
          <w:rFonts w:eastAsia="Times New Roman" w:cs="Arial"/>
          <w:color w:val="000000"/>
          <w:lang w:eastAsia="bg-BG"/>
        </w:rPr>
      </w:pPr>
    </w:p>
    <w:p w14:paraId="413B6864" w14:textId="7EDB924C"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Това лекарство съдържа по-малко от 1 </w:t>
      </w:r>
      <w:proofErr w:type="spellStart"/>
      <w:r w:rsidRPr="00BC0E16">
        <w:rPr>
          <w:rFonts w:eastAsia="Times New Roman" w:cs="Arial"/>
          <w:color w:val="000000"/>
          <w:lang w:val="en-US"/>
        </w:rPr>
        <w:t>mmol</w:t>
      </w:r>
      <w:proofErr w:type="spellEnd"/>
      <w:r w:rsidRPr="00BC0E16">
        <w:rPr>
          <w:rFonts w:eastAsia="Times New Roman" w:cs="Arial"/>
          <w:color w:val="000000"/>
          <w:lang w:val="ru-RU"/>
        </w:rPr>
        <w:t xml:space="preserve"> </w:t>
      </w:r>
      <w:r w:rsidRPr="00BC0E16">
        <w:rPr>
          <w:rFonts w:eastAsia="Times New Roman" w:cs="Arial"/>
          <w:color w:val="000000"/>
          <w:lang w:eastAsia="bg-BG"/>
        </w:rPr>
        <w:t xml:space="preserve">натрий (23 </w:t>
      </w:r>
      <w:r w:rsidRPr="00BC0E16">
        <w:rPr>
          <w:rFonts w:eastAsia="Times New Roman" w:cs="Arial"/>
          <w:color w:val="000000"/>
          <w:lang w:val="en-US"/>
        </w:rPr>
        <w:t>mg</w:t>
      </w:r>
      <w:r w:rsidRPr="00BC0E16">
        <w:rPr>
          <w:rFonts w:eastAsia="Times New Roman" w:cs="Arial"/>
          <w:color w:val="000000"/>
          <w:lang w:val="ru-RU"/>
        </w:rPr>
        <w:t xml:space="preserve">) </w:t>
      </w:r>
      <w:r w:rsidRPr="00BC0E16">
        <w:rPr>
          <w:rFonts w:eastAsia="Times New Roman" w:cs="Arial"/>
          <w:color w:val="000000"/>
          <w:lang w:eastAsia="bg-BG"/>
        </w:rPr>
        <w:t>в една таблетка, т.е. може да се каже, че практически не съдържа натрий.</w:t>
      </w:r>
    </w:p>
    <w:p w14:paraId="0087A854" w14:textId="6BAFC978" w:rsidR="00BC0E16" w:rsidRPr="00BC0E16" w:rsidRDefault="00BC0E16" w:rsidP="00BC0E16">
      <w:pPr>
        <w:rPr>
          <w:rFonts w:cs="Arial"/>
        </w:rPr>
      </w:pPr>
    </w:p>
    <w:p w14:paraId="62F27C9B" w14:textId="35FD89E5"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A9FEA8F" w14:textId="43F65E05" w:rsidR="00BC0E16" w:rsidRDefault="00BC0E16" w:rsidP="00BC0E16"/>
    <w:p w14:paraId="394A3E41" w14:textId="77777777"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Непрепоръчителни комбинации</w:t>
      </w:r>
    </w:p>
    <w:p w14:paraId="190CF48B" w14:textId="77777777" w:rsidR="00BC0E16" w:rsidRDefault="00BC0E16" w:rsidP="00BC0E16">
      <w:pPr>
        <w:spacing w:line="240" w:lineRule="auto"/>
        <w:rPr>
          <w:rFonts w:eastAsia="Times New Roman" w:cs="Arial"/>
          <w:i/>
          <w:iCs/>
          <w:color w:val="000000"/>
          <w:lang w:eastAsia="bg-BG"/>
        </w:rPr>
      </w:pPr>
    </w:p>
    <w:p w14:paraId="7043162E" w14:textId="38C7F4F9" w:rsidR="00BC0E16" w:rsidRPr="00BC0E16" w:rsidRDefault="00BC0E16" w:rsidP="00BC0E16">
      <w:pPr>
        <w:spacing w:line="240" w:lineRule="auto"/>
        <w:rPr>
          <w:rFonts w:eastAsia="Times New Roman" w:cs="Arial"/>
        </w:rPr>
      </w:pPr>
      <w:r>
        <w:rPr>
          <w:rFonts w:eastAsia="Times New Roman" w:cs="Arial"/>
          <w:i/>
          <w:iCs/>
          <w:color w:val="000000"/>
          <w:lang w:eastAsia="bg-BG"/>
        </w:rPr>
        <w:t>А</w:t>
      </w:r>
      <w:r w:rsidRPr="00BC0E16">
        <w:rPr>
          <w:rFonts w:eastAsia="Times New Roman" w:cs="Arial"/>
          <w:i/>
          <w:iCs/>
          <w:color w:val="000000"/>
          <w:lang w:eastAsia="bg-BG"/>
        </w:rPr>
        <w:t>нтиаритмици</w:t>
      </w:r>
    </w:p>
    <w:p w14:paraId="58B6E95B"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Употребата на антиаритмични лекарства от клас </w:t>
      </w:r>
      <w:r w:rsidRPr="00BC0E16">
        <w:rPr>
          <w:rFonts w:eastAsia="Times New Roman" w:cs="Arial"/>
          <w:color w:val="000000"/>
          <w:lang w:val="en-US"/>
        </w:rPr>
        <w:t>I</w:t>
      </w:r>
      <w:r w:rsidRPr="00BC0E16">
        <w:rPr>
          <w:rFonts w:eastAsia="Times New Roman" w:cs="Arial"/>
          <w:color w:val="000000"/>
          <w:lang w:eastAsia="bg-BG"/>
        </w:rPr>
        <w:t xml:space="preserve">а, като дизопирамид, хинидин, прокаинамид и флекаинид, както и други антиаритмици, като амиодарон и бепридил, не се препоръчва като съпътстваща терапия със соталол поради техния потенциал за удължаване на рефрактерността (вж. точка 4.4). Едновременното приложение на други бета-блокери със соталол може да предизвика адитивни ефекти от клас </w:t>
      </w:r>
      <w:r w:rsidRPr="00BC0E16">
        <w:rPr>
          <w:rFonts w:eastAsia="Times New Roman" w:cs="Arial"/>
          <w:color w:val="000000"/>
          <w:lang w:val="en-US"/>
        </w:rPr>
        <w:t>II</w:t>
      </w:r>
      <w:r w:rsidRPr="00BC0E16">
        <w:rPr>
          <w:rFonts w:eastAsia="Times New Roman" w:cs="Arial"/>
          <w:color w:val="000000"/>
          <w:lang w:eastAsia="bg-BG"/>
        </w:rPr>
        <w:t>.</w:t>
      </w:r>
    </w:p>
    <w:p w14:paraId="7C2331A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Комбинираната терапия с антиаритмични продукти от клас I (особено хинидиноподобни вещества) или други клас III антиаритмици може да доведе до силно удължаване на </w:t>
      </w:r>
      <w:r w:rsidRPr="00BC0E16">
        <w:rPr>
          <w:rFonts w:eastAsia="Times New Roman" w:cs="Arial"/>
          <w:color w:val="000000"/>
          <w:lang w:val="en-US"/>
        </w:rPr>
        <w:t>QT</w:t>
      </w:r>
      <w:r w:rsidRPr="00BC0E16">
        <w:rPr>
          <w:rFonts w:eastAsia="Times New Roman" w:cs="Arial"/>
          <w:color w:val="000000"/>
          <w:lang w:val="ru-RU"/>
        </w:rPr>
        <w:t xml:space="preserve">, </w:t>
      </w:r>
      <w:r w:rsidRPr="00BC0E16">
        <w:rPr>
          <w:rFonts w:eastAsia="Times New Roman" w:cs="Arial"/>
          <w:color w:val="000000"/>
          <w:lang w:eastAsia="bg-BG"/>
        </w:rPr>
        <w:t>което е свързано с повишен риск от поява на камерни аритмии.</w:t>
      </w:r>
    </w:p>
    <w:p w14:paraId="2E0F1286" w14:textId="77777777" w:rsidR="00BC0E16" w:rsidRDefault="00BC0E16" w:rsidP="00BC0E16">
      <w:pPr>
        <w:spacing w:line="240" w:lineRule="auto"/>
        <w:rPr>
          <w:rFonts w:eastAsia="Times New Roman" w:cs="Arial"/>
          <w:color w:val="000000"/>
          <w:lang w:eastAsia="bg-BG"/>
        </w:rPr>
      </w:pPr>
    </w:p>
    <w:p w14:paraId="6D33EB11" w14:textId="6A0DCA19"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соталолов хидрохлорид с други лекарствени продукти, блокиращи бета-рецепторите, може да доведе до засилване на клас II ефектите (спад на кръвното налягане и сърдечната честота).</w:t>
      </w:r>
    </w:p>
    <w:p w14:paraId="119017BC" w14:textId="77777777" w:rsidR="00BC0E16" w:rsidRDefault="00BC0E16" w:rsidP="00BC0E16">
      <w:pPr>
        <w:spacing w:line="240" w:lineRule="auto"/>
        <w:rPr>
          <w:rFonts w:eastAsia="Times New Roman" w:cs="Arial"/>
          <w:i/>
          <w:iCs/>
          <w:color w:val="000000"/>
          <w:lang w:eastAsia="bg-BG"/>
        </w:rPr>
      </w:pPr>
    </w:p>
    <w:p w14:paraId="7BCDD57F" w14:textId="134678AC"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 xml:space="preserve">Други лекарства, които удължават </w:t>
      </w:r>
      <w:r w:rsidRPr="00BC0E16">
        <w:rPr>
          <w:rFonts w:eastAsia="Times New Roman" w:cs="Arial"/>
          <w:i/>
          <w:iCs/>
          <w:color w:val="000000"/>
          <w:lang w:val="en-US"/>
        </w:rPr>
        <w:t>QT</w:t>
      </w:r>
      <w:r w:rsidRPr="00BC0E16">
        <w:rPr>
          <w:rFonts w:eastAsia="Times New Roman" w:cs="Arial"/>
          <w:i/>
          <w:iCs/>
          <w:color w:val="000000"/>
          <w:lang w:val="ru-RU"/>
        </w:rPr>
        <w:t xml:space="preserve"> </w:t>
      </w:r>
      <w:r w:rsidRPr="00BC0E16">
        <w:rPr>
          <w:rFonts w:eastAsia="Times New Roman" w:cs="Arial"/>
          <w:i/>
          <w:iCs/>
          <w:color w:val="000000"/>
          <w:lang w:eastAsia="bg-BG"/>
        </w:rPr>
        <w:t>интервала</w:t>
      </w:r>
    </w:p>
    <w:p w14:paraId="22845FC0"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Соталол трябва да се прилага със силно повишено внимание в комбинация с други лекарства, за които е известно, че удължават </w:t>
      </w:r>
      <w:r w:rsidRPr="00BC0E16">
        <w:rPr>
          <w:rFonts w:eastAsia="Times New Roman" w:cs="Arial"/>
          <w:color w:val="000000"/>
          <w:lang w:val="en-US"/>
        </w:rPr>
        <w:t>QT</w:t>
      </w:r>
      <w:r w:rsidRPr="00BC0E16">
        <w:rPr>
          <w:rFonts w:eastAsia="Times New Roman" w:cs="Arial"/>
          <w:color w:val="000000"/>
          <w:lang w:eastAsia="bg-BG"/>
        </w:rPr>
        <w:t xml:space="preserve">-интервала, като фенотиазини, трициклични антидепресанти и тетрациклични антидепресанти (имипрамин, мапротилин) и антихистамини (терфенадин, астемизол). Други лекарства се свързват с повишен риск от възникване на </w:t>
      </w:r>
      <w:proofErr w:type="spellStart"/>
      <w:r w:rsidRPr="00BC0E16">
        <w:rPr>
          <w:rFonts w:eastAsia="Times New Roman" w:cs="Arial"/>
          <w:i/>
          <w:iCs/>
          <w:color w:val="000000"/>
          <w:u w:val="single"/>
          <w:lang w:val="en-US"/>
        </w:rPr>
        <w:t>torsades</w:t>
      </w:r>
      <w:proofErr w:type="spellEnd"/>
      <w:r w:rsidRPr="00BC0E16">
        <w:rPr>
          <w:rFonts w:eastAsia="Times New Roman" w:cs="Arial"/>
          <w:i/>
          <w:iCs/>
          <w:color w:val="000000"/>
          <w:u w:val="single"/>
        </w:rPr>
        <w:t xml:space="preserve"> </w:t>
      </w:r>
      <w:r w:rsidRPr="00BC0E16">
        <w:rPr>
          <w:rFonts w:eastAsia="Times New Roman" w:cs="Arial"/>
          <w:i/>
          <w:iCs/>
          <w:color w:val="000000"/>
          <w:u w:val="single"/>
          <w:lang w:val="en-US"/>
        </w:rPr>
        <w:t>de</w:t>
      </w:r>
      <w:r w:rsidRPr="00BC0E16">
        <w:rPr>
          <w:rFonts w:eastAsia="Times New Roman" w:cs="Arial"/>
          <w:i/>
          <w:iCs/>
          <w:color w:val="000000"/>
          <w:u w:val="single"/>
        </w:rPr>
        <w:t xml:space="preserve"> </w:t>
      </w:r>
      <w:r w:rsidRPr="00BC0E16">
        <w:rPr>
          <w:rFonts w:eastAsia="Times New Roman" w:cs="Arial"/>
          <w:i/>
          <w:iCs/>
          <w:color w:val="000000"/>
          <w:u w:val="single"/>
          <w:lang w:val="en-US"/>
        </w:rPr>
        <w:t>pointes</w:t>
      </w:r>
      <w:r w:rsidRPr="00BC0E16">
        <w:rPr>
          <w:rFonts w:eastAsia="Times New Roman" w:cs="Arial"/>
          <w:i/>
          <w:iCs/>
          <w:color w:val="000000"/>
          <w:u w:val="single"/>
        </w:rPr>
        <w:t xml:space="preserve">, </w:t>
      </w:r>
      <w:r w:rsidRPr="00BC0E16">
        <w:rPr>
          <w:rFonts w:eastAsia="Times New Roman" w:cs="Arial"/>
          <w:color w:val="000000"/>
          <w:lang w:eastAsia="bg-BG"/>
        </w:rPr>
        <w:t xml:space="preserve">включително макролиди (еритромицин за </w:t>
      </w:r>
      <w:r w:rsidRPr="00BC0E16">
        <w:rPr>
          <w:rFonts w:eastAsia="Times New Roman" w:cs="Arial"/>
          <w:color w:val="000000"/>
          <w:lang w:eastAsia="bg-BG"/>
        </w:rPr>
        <w:lastRenderedPageBreak/>
        <w:t>интравенозно приложение), халофантрин, пентамидин ,хинолонови антибиотици (напр. спарфлоксацин), пробукол и халоперидол.</w:t>
      </w:r>
    </w:p>
    <w:p w14:paraId="5CED1E9A" w14:textId="77777777" w:rsidR="00BC0E16" w:rsidRDefault="00BC0E16" w:rsidP="00BC0E16">
      <w:pPr>
        <w:spacing w:line="240" w:lineRule="auto"/>
        <w:rPr>
          <w:rFonts w:eastAsia="Times New Roman" w:cs="Arial"/>
          <w:i/>
          <w:iCs/>
          <w:color w:val="000000"/>
          <w:lang w:eastAsia="bg-BG"/>
        </w:rPr>
      </w:pPr>
    </w:p>
    <w:p w14:paraId="4B5A10E8" w14:textId="5FEB3214"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Флоктафенин</w:t>
      </w:r>
    </w:p>
    <w:p w14:paraId="59476B0C"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Бета-адренергичните блокери могат да възпрепятстват компенсаторните сърдечносъдови реакции, свързани с хипотония или шок, които могат да бъдат предизвикани от флоктафенин</w:t>
      </w:r>
    </w:p>
    <w:p w14:paraId="364DB9F3" w14:textId="77777777" w:rsidR="00BC0E16" w:rsidRDefault="00BC0E16" w:rsidP="00BC0E16">
      <w:pPr>
        <w:spacing w:line="240" w:lineRule="auto"/>
        <w:rPr>
          <w:rFonts w:eastAsia="Times New Roman" w:cs="Arial"/>
          <w:i/>
          <w:iCs/>
          <w:color w:val="000000"/>
          <w:lang w:eastAsia="bg-BG"/>
        </w:rPr>
      </w:pPr>
    </w:p>
    <w:p w14:paraId="23E2923D" w14:textId="0FBBE505"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Блокери на калциевите канали</w:t>
      </w:r>
    </w:p>
    <w:p w14:paraId="291AACF0"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бета-блокери и блокери на калциевите канали води до хипотония, брадикардия, преводни нарушения и сърдечна недостатъчност. Употребата на бета- блокери трябва да се избягва в комбинация с блокери на калциевите канали, потискащи сърдечната функция, като верапамил дилтиазем или други антиаритмици (като дизопирамид, поради адитивните ефекти върху атриовентрикуларната проводимост и камерната функция (атриовентрикурания и синусовия възел).</w:t>
      </w:r>
    </w:p>
    <w:p w14:paraId="77B3D123" w14:textId="77777777" w:rsidR="00BC0E16" w:rsidRDefault="00BC0E16" w:rsidP="00BC0E16">
      <w:pPr>
        <w:spacing w:line="240" w:lineRule="auto"/>
        <w:rPr>
          <w:rFonts w:eastAsia="Times New Roman" w:cs="Arial"/>
          <w:color w:val="000000"/>
          <w:lang w:eastAsia="bg-BG"/>
        </w:rPr>
      </w:pPr>
    </w:p>
    <w:p w14:paraId="7F693A4A" w14:textId="42C41704"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пациенти, лекувани със соталолов хидрохлорид (с изключение на спешни състояния) е противопоказано интравенозното приложение на калциеви антагонисти от верапамилов и дилтиаземов тип или на други антиаритмици (като дизопирамид).</w:t>
      </w:r>
    </w:p>
    <w:p w14:paraId="50B79C9B" w14:textId="77777777" w:rsidR="00BC0E16" w:rsidRDefault="00BC0E16" w:rsidP="00BC0E16">
      <w:pPr>
        <w:spacing w:line="240" w:lineRule="auto"/>
        <w:rPr>
          <w:rFonts w:eastAsia="Times New Roman" w:cs="Arial"/>
          <w:color w:val="000000"/>
          <w:lang w:eastAsia="bg-BG"/>
        </w:rPr>
      </w:pPr>
    </w:p>
    <w:p w14:paraId="02EE378D" w14:textId="486B2001"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с калциеви антагонисти от нифедипинов тип може да доведе до силно спадане на кръвното налягане - допуска се засилено потискане на синусовия възел.</w:t>
      </w:r>
    </w:p>
    <w:p w14:paraId="24DFDEF4" w14:textId="77777777" w:rsidR="00BC0E16" w:rsidRDefault="00BC0E16" w:rsidP="00BC0E16">
      <w:pPr>
        <w:spacing w:line="240" w:lineRule="auto"/>
        <w:rPr>
          <w:rFonts w:eastAsia="Times New Roman" w:cs="Arial"/>
          <w:i/>
          <w:iCs/>
          <w:color w:val="000000"/>
          <w:lang w:eastAsia="bg-BG"/>
        </w:rPr>
      </w:pPr>
    </w:p>
    <w:p w14:paraId="07D5C9B5" w14:textId="2EFFC2C5"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Калий- губещи диуретици</w:t>
      </w:r>
    </w:p>
    <w:p w14:paraId="2FA7E20D"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Възможно е възникването на хипокалиемия или хипомагнезиемия, които могат да повишат потенциала за </w:t>
      </w:r>
      <w:proofErr w:type="spellStart"/>
      <w:r w:rsidRPr="00BC0E16">
        <w:rPr>
          <w:rFonts w:eastAsia="Times New Roman" w:cs="Arial"/>
          <w:i/>
          <w:iCs/>
          <w:color w:val="000000"/>
          <w:lang w:val="en-US"/>
        </w:rPr>
        <w:t>torsades</w:t>
      </w:r>
      <w:proofErr w:type="spellEnd"/>
      <w:r w:rsidRPr="00BC0E16">
        <w:rPr>
          <w:rFonts w:eastAsia="Times New Roman" w:cs="Arial"/>
          <w:i/>
          <w:iCs/>
          <w:color w:val="000000"/>
          <w:lang w:val="ru-RU"/>
        </w:rPr>
        <w:t xml:space="preserve"> </w:t>
      </w:r>
      <w:proofErr w:type="spellStart"/>
      <w:r w:rsidRPr="00BC0E16">
        <w:rPr>
          <w:rFonts w:eastAsia="Times New Roman" w:cs="Arial"/>
          <w:i/>
          <w:iCs/>
          <w:color w:val="000000"/>
          <w:lang w:val="en-US"/>
        </w:rPr>
        <w:t>depointes</w:t>
      </w:r>
      <w:proofErr w:type="spellEnd"/>
      <w:r w:rsidRPr="00BC0E16">
        <w:rPr>
          <w:rFonts w:eastAsia="Times New Roman" w:cs="Arial"/>
          <w:color w:val="000000"/>
          <w:lang w:val="ru-RU"/>
        </w:rPr>
        <w:t xml:space="preserve"> </w:t>
      </w:r>
      <w:r w:rsidRPr="00BC0E16">
        <w:rPr>
          <w:rFonts w:eastAsia="Times New Roman" w:cs="Arial"/>
          <w:color w:val="000000"/>
          <w:lang w:eastAsia="bg-BG"/>
        </w:rPr>
        <w:t>(вж. точка 4.4), При едновременно приложение на калий-несъхраняващи диуретици (напр. фуроземид, хидрохлоротиазид) или други лекарствени продукти, предизвикващи загуба на калий или магнезий, съществува повишен риск от възникване на индуцирани от хипокалиемия аритмии.</w:t>
      </w:r>
    </w:p>
    <w:p w14:paraId="2A0AA371" w14:textId="77777777" w:rsidR="00BC0E16" w:rsidRDefault="00BC0E16" w:rsidP="00BC0E16">
      <w:pPr>
        <w:spacing w:line="240" w:lineRule="auto"/>
        <w:rPr>
          <w:rFonts w:eastAsia="Times New Roman" w:cs="Arial"/>
          <w:i/>
          <w:iCs/>
          <w:color w:val="000000"/>
          <w:lang w:eastAsia="bg-BG"/>
        </w:rPr>
      </w:pPr>
    </w:p>
    <w:p w14:paraId="5697C728" w14:textId="3B78F2E2"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Други калий-губещи диуретици</w:t>
      </w:r>
    </w:p>
    <w:p w14:paraId="17C02E3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Амфотерицин В (ингравенозно), кортикостероиди (системно) и някои лаксативи също могат да са свързани със хипокалиемия. Нивата на калий трябва да бъдат проследявани и съответно коригирани при комбинирано приложение със соталол.</w:t>
      </w:r>
    </w:p>
    <w:p w14:paraId="570BE5E9" w14:textId="77777777" w:rsidR="00BC0E16" w:rsidRDefault="00BC0E16" w:rsidP="00BC0E16">
      <w:pPr>
        <w:spacing w:line="240" w:lineRule="auto"/>
        <w:rPr>
          <w:rFonts w:eastAsia="Times New Roman" w:cs="Arial"/>
          <w:i/>
          <w:iCs/>
          <w:color w:val="000000"/>
          <w:lang w:eastAsia="bg-BG"/>
        </w:rPr>
      </w:pPr>
    </w:p>
    <w:p w14:paraId="42B92275" w14:textId="752CE9A2"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Клонидин</w:t>
      </w:r>
    </w:p>
    <w:p w14:paraId="536BCABA"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Бета-блокерите могат да усилят обратния хипертензивен ефект, който понякога се наблюдава след прекратяване приема на клонидин. Поради това е необходимо бавно прекратяване в продължение на няколко дни на бета-блокера, преди постепенното спиране на клонидин. Едновременното приложение на соталолов хидрохлорид и норепинефрин или МАО- инхибитори, както и след рязко спиране на съпътстващо приложен клонидин, може бързо да повиши кръвното налягане.</w:t>
      </w:r>
    </w:p>
    <w:p w14:paraId="0D5E2EB5" w14:textId="77777777" w:rsidR="00BC0E16" w:rsidRDefault="00BC0E16" w:rsidP="00BC0E16">
      <w:pPr>
        <w:spacing w:line="240" w:lineRule="auto"/>
        <w:rPr>
          <w:rFonts w:eastAsia="Times New Roman" w:cs="Arial"/>
          <w:color w:val="000000"/>
          <w:u w:val="single"/>
          <w:lang w:eastAsia="bg-BG"/>
        </w:rPr>
      </w:pPr>
    </w:p>
    <w:p w14:paraId="694D34CF" w14:textId="7E7FF16F"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Предпазни мерки при употреба</w:t>
      </w:r>
    </w:p>
    <w:p w14:paraId="51EFD0F9" w14:textId="77777777" w:rsidR="00BC0E16" w:rsidRPr="00BC0E16" w:rsidRDefault="00BC0E16" w:rsidP="00BC0E16">
      <w:pPr>
        <w:spacing w:line="240" w:lineRule="auto"/>
        <w:rPr>
          <w:rFonts w:eastAsia="Times New Roman" w:cs="Arial"/>
        </w:rPr>
      </w:pPr>
      <w:r w:rsidRPr="00BC0E16">
        <w:rPr>
          <w:rFonts w:eastAsia="Times New Roman" w:cs="Arial"/>
          <w:i/>
          <w:iCs/>
          <w:color w:val="000000"/>
          <w:u w:val="single"/>
          <w:lang w:eastAsia="bg-BG"/>
        </w:rPr>
        <w:t>Дигиталисови гликозиди</w:t>
      </w:r>
    </w:p>
    <w:p w14:paraId="7830D03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Една или повече дози на соталол не оказват значимо влияние върху серумните нива на дигоксин.</w:t>
      </w:r>
    </w:p>
    <w:p w14:paraId="03B2016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Проаритмичните събития са по-чести при пациенти, лекувани със соталол, които приемат също дигиталисови гликозиди. Това обаче може да е свързано със съществуваща застойна сърдечна недостатъчност, която е известен рисков фактор за проаритмия при </w:t>
      </w:r>
      <w:r w:rsidRPr="00BC0E16">
        <w:rPr>
          <w:rFonts w:eastAsia="Times New Roman" w:cs="Arial"/>
          <w:color w:val="000000"/>
          <w:lang w:eastAsia="bg-BG"/>
        </w:rPr>
        <w:lastRenderedPageBreak/>
        <w:t>пациенти, приемащи дигиталисови гликозиди. Връзката на дигиталисовите гликозиди с бета-блокерите може да повиши продължителността на атриовентрикуларното провеждане.</w:t>
      </w:r>
    </w:p>
    <w:p w14:paraId="3990FC13" w14:textId="77777777" w:rsidR="00BC0E16" w:rsidRDefault="00BC0E16" w:rsidP="00BC0E16">
      <w:pPr>
        <w:spacing w:line="240" w:lineRule="auto"/>
        <w:rPr>
          <w:rFonts w:eastAsia="Times New Roman" w:cs="Arial"/>
          <w:i/>
          <w:iCs/>
          <w:color w:val="000000"/>
          <w:lang w:eastAsia="bg-BG"/>
        </w:rPr>
      </w:pPr>
    </w:p>
    <w:p w14:paraId="5EEC2095" w14:textId="71328122"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Катехоламин-изчерпващи лекарства</w:t>
      </w:r>
    </w:p>
    <w:p w14:paraId="23AAEA5E"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катехоламин-изчерпващи лекарства, като резерпин, гванетидин или алфа-метилдопа, с бета-блокер може да предизвика прекомерно намаляване на остатъчния симпатиков нервен тонус. Необходимо е стриктно наблюдение на пац</w:t>
      </w:r>
      <w:r w:rsidRPr="00BC0E16">
        <w:rPr>
          <w:rFonts w:eastAsia="Times New Roman" w:cs="Arial"/>
          <w:color w:val="000000"/>
          <w:u w:val="single"/>
          <w:lang w:eastAsia="bg-BG"/>
        </w:rPr>
        <w:t>иенти</w:t>
      </w:r>
      <w:r w:rsidRPr="00BC0E16">
        <w:rPr>
          <w:rFonts w:eastAsia="Times New Roman" w:cs="Arial"/>
          <w:color w:val="000000"/>
          <w:lang w:eastAsia="bg-BG"/>
        </w:rPr>
        <w:t>те за установяване на признаци на хипотония и/или изявена брадикардия, която може да прдизвика синкоп.</w:t>
      </w:r>
    </w:p>
    <w:p w14:paraId="5D81B923" w14:textId="0A232F29" w:rsidR="00BC0E16" w:rsidRDefault="00BC0E16" w:rsidP="00BC0E16">
      <w:pPr>
        <w:rPr>
          <w:rFonts w:eastAsia="Times New Roman" w:cs="Arial"/>
          <w:color w:val="000000"/>
          <w:lang w:eastAsia="bg-BG"/>
        </w:rPr>
      </w:pPr>
      <w:r w:rsidRPr="00BC0E16">
        <w:rPr>
          <w:rFonts w:eastAsia="Times New Roman" w:cs="Arial"/>
          <w:color w:val="000000"/>
          <w:lang w:eastAsia="bg-BG"/>
        </w:rPr>
        <w:t>Негативните хронотропен и дромотропен ефекти на соталолов хидрохлорид могат да се потенцират при едновременно приложение на резерпин, клонидин, а-метилдопа  сърдечни гликозиди.</w:t>
      </w:r>
    </w:p>
    <w:p w14:paraId="02D4EB99" w14:textId="3D5F0CCC" w:rsidR="00BC0E16" w:rsidRDefault="00BC0E16" w:rsidP="00BC0E16">
      <w:pPr>
        <w:rPr>
          <w:rFonts w:eastAsia="Times New Roman" w:cs="Arial"/>
          <w:color w:val="000000"/>
          <w:lang w:eastAsia="bg-BG"/>
        </w:rPr>
      </w:pPr>
    </w:p>
    <w:p w14:paraId="1561A6A6" w14:textId="77777777"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Инсулин и хипогликемични средства</w:t>
      </w:r>
    </w:p>
    <w:p w14:paraId="5E42F39D"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Възможно е възникването на хипергликемия, като дозата на антидиабетното средство може се нуждае от коригиране.</w:t>
      </w:r>
    </w:p>
    <w:p w14:paraId="4988A88C"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соталолов хидрохлорид и инсулин или перорални антидиабетни продукти - особено през периоди на физически стрес - може да доведе до хипогликемия (тахикардия), симптомите на която да бъдат маскирани.</w:t>
      </w:r>
    </w:p>
    <w:p w14:paraId="1B5A66AD" w14:textId="77777777" w:rsidR="00BC0E16" w:rsidRDefault="00BC0E16" w:rsidP="00BC0E16">
      <w:pPr>
        <w:spacing w:line="240" w:lineRule="auto"/>
        <w:rPr>
          <w:rFonts w:eastAsia="Times New Roman" w:cs="Arial"/>
          <w:i/>
          <w:iCs/>
          <w:color w:val="000000"/>
          <w:lang w:eastAsia="bg-BG"/>
        </w:rPr>
      </w:pPr>
    </w:p>
    <w:p w14:paraId="1AB6ECE3" w14:textId="1E075BD3"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Невромускулни блокери, напр. тубокурарин</w:t>
      </w:r>
    </w:p>
    <w:p w14:paraId="76AA74C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Нервно-мускулната блокада от тубокурарин може да бъде удължена от бета-блокадата.</w:t>
      </w:r>
    </w:p>
    <w:p w14:paraId="0679C8B2" w14:textId="77777777" w:rsidR="00BC0E16" w:rsidRDefault="00BC0E16" w:rsidP="00BC0E16">
      <w:pPr>
        <w:spacing w:line="240" w:lineRule="auto"/>
        <w:rPr>
          <w:rFonts w:eastAsia="Times New Roman" w:cs="Arial"/>
          <w:color w:val="000000"/>
          <w:u w:val="single"/>
          <w:lang w:eastAsia="bg-BG"/>
        </w:rPr>
      </w:pPr>
    </w:p>
    <w:p w14:paraId="044E54CE" w14:textId="7621B716" w:rsidR="00BC0E16" w:rsidRPr="00BC0E16" w:rsidRDefault="00BC0E16" w:rsidP="00BC0E16">
      <w:pPr>
        <w:spacing w:line="240" w:lineRule="auto"/>
        <w:rPr>
          <w:rFonts w:eastAsia="Times New Roman" w:cs="Arial"/>
        </w:rPr>
      </w:pPr>
      <w:r w:rsidRPr="00BC0E16">
        <w:rPr>
          <w:rFonts w:eastAsia="Times New Roman" w:cs="Arial"/>
          <w:color w:val="000000"/>
          <w:u w:val="single"/>
          <w:lang w:eastAsia="bg-BG"/>
        </w:rPr>
        <w:t>Следва да се има предвид:</w:t>
      </w:r>
    </w:p>
    <w:p w14:paraId="4C180EF8" w14:textId="77777777"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Стимулатори на бета-2 рецепторите</w:t>
      </w:r>
    </w:p>
    <w:p w14:paraId="52031968"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Ако бета-2-рецепторни агонисти като салбутамол, тербуталин и изопреналин се прилагат едновременно със соталолов хидрохлорид, може да е необходимо повишаване на дозата на бета-2-рецепторния агонист.</w:t>
      </w:r>
    </w:p>
    <w:p w14:paraId="095302D2" w14:textId="77777777" w:rsidR="00BC0E16" w:rsidRDefault="00BC0E16" w:rsidP="00BC0E16">
      <w:pPr>
        <w:spacing w:line="240" w:lineRule="auto"/>
        <w:rPr>
          <w:rFonts w:eastAsia="Times New Roman" w:cs="Arial"/>
          <w:color w:val="000000"/>
          <w:lang w:eastAsia="bg-BG"/>
        </w:rPr>
      </w:pPr>
    </w:p>
    <w:p w14:paraId="5BF29866" w14:textId="09151854" w:rsidR="00BC0E16" w:rsidRPr="00BC0E16" w:rsidRDefault="00BC0E16" w:rsidP="00BC0E16">
      <w:pPr>
        <w:spacing w:line="240" w:lineRule="auto"/>
        <w:rPr>
          <w:rFonts w:eastAsia="Times New Roman" w:cs="Arial"/>
        </w:rPr>
      </w:pPr>
      <w:r w:rsidRPr="00BC0E16">
        <w:rPr>
          <w:rFonts w:eastAsia="Times New Roman" w:cs="Arial"/>
          <w:color w:val="000000"/>
          <w:lang w:eastAsia="bg-BG"/>
        </w:rPr>
        <w:t>Негативните инотропни ефекти на соталолов хидрохлорид и наркотиците или антиаритмичните продукти могат да бъдат адитивни.</w:t>
      </w:r>
    </w:p>
    <w:p w14:paraId="2002301A" w14:textId="77777777" w:rsidR="00BC0E16" w:rsidRDefault="00BC0E16" w:rsidP="00BC0E16">
      <w:pPr>
        <w:spacing w:line="240" w:lineRule="auto"/>
        <w:rPr>
          <w:rFonts w:eastAsia="Times New Roman" w:cs="Arial"/>
          <w:color w:val="000000"/>
          <w:lang w:eastAsia="bg-BG"/>
        </w:rPr>
      </w:pPr>
    </w:p>
    <w:p w14:paraId="04CD774C" w14:textId="509FDD86"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соталолов хидрохлорид и трициклични антидепресанти, барбитурати, фенотиазини и наркотици, както и антихипертензивни средства, диуретици и вазодилататори може да доведе до бързо спадане на кръвното налягане.</w:t>
      </w:r>
    </w:p>
    <w:p w14:paraId="7A8F621F" w14:textId="77777777" w:rsidR="00BC0E16" w:rsidRDefault="00BC0E16" w:rsidP="00BC0E16">
      <w:pPr>
        <w:spacing w:line="240" w:lineRule="auto"/>
        <w:rPr>
          <w:rFonts w:eastAsia="Times New Roman" w:cs="Arial"/>
          <w:color w:val="000000"/>
          <w:lang w:eastAsia="bg-BG"/>
        </w:rPr>
      </w:pPr>
    </w:p>
    <w:p w14:paraId="596643D9" w14:textId="0EFC27CB" w:rsidR="00BC0E16" w:rsidRPr="00BC0E16" w:rsidRDefault="00BC0E16" w:rsidP="00BC0E16">
      <w:pPr>
        <w:spacing w:line="240" w:lineRule="auto"/>
        <w:rPr>
          <w:rFonts w:eastAsia="Times New Roman" w:cs="Arial"/>
        </w:rPr>
      </w:pPr>
      <w:r w:rsidRPr="00BC0E16">
        <w:rPr>
          <w:rFonts w:eastAsia="Times New Roman" w:cs="Arial"/>
          <w:color w:val="000000"/>
          <w:lang w:eastAsia="bg-BG"/>
        </w:rPr>
        <w:t>Едновременното приложение на трициклични антидепресанти или алкохол и соталолов хидрохлорид трябва да се избягва поради възможния по-нисък праг за индуциране на камерни аритмии (описани са отделни случаи).</w:t>
      </w:r>
    </w:p>
    <w:p w14:paraId="4166DBD3" w14:textId="77777777" w:rsidR="00BC0E16" w:rsidRDefault="00BC0E16" w:rsidP="00BC0E16">
      <w:pPr>
        <w:spacing w:line="240" w:lineRule="auto"/>
        <w:rPr>
          <w:rFonts w:eastAsia="Times New Roman" w:cs="Arial"/>
          <w:i/>
          <w:iCs/>
          <w:color w:val="000000"/>
          <w:lang w:eastAsia="bg-BG"/>
        </w:rPr>
      </w:pPr>
    </w:p>
    <w:p w14:paraId="4345C03C" w14:textId="69B4351F"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Взаимодействие между лекарството и лабораторни изследвания</w:t>
      </w:r>
    </w:p>
    <w:p w14:paraId="65ECA6EB"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При наличие на соталол в урината, фотометричното определяне на метанефрин може да доведе до недействително повишени стойности. При пациенти, приемащи соталолов хидрохлорид и със съмнение за феохромоцитом, урината трябва да се изследва с ВЕТХ чрез екстракция от твърда фаза</w:t>
      </w:r>
    </w:p>
    <w:p w14:paraId="027ABB24" w14:textId="77777777" w:rsidR="00BC0E16" w:rsidRPr="00BC0E16" w:rsidRDefault="00BC0E16" w:rsidP="00BC0E16">
      <w:pPr>
        <w:rPr>
          <w:rFonts w:cs="Arial"/>
        </w:rPr>
      </w:pPr>
    </w:p>
    <w:p w14:paraId="006BE4EC" w14:textId="220C0745" w:rsidR="00DB32D3" w:rsidRDefault="002C50EE" w:rsidP="005726E3">
      <w:pPr>
        <w:pStyle w:val="Heading2"/>
      </w:pPr>
      <w:r>
        <w:t>4.6. Фертилитет, бременност и кърмене</w:t>
      </w:r>
    </w:p>
    <w:p w14:paraId="427F9ED5" w14:textId="34FD3722" w:rsidR="00BC0E16" w:rsidRDefault="00BC0E16" w:rsidP="00BC0E16"/>
    <w:p w14:paraId="4882DDB4" w14:textId="77777777" w:rsidR="00BC0E16" w:rsidRPr="00BC0E16" w:rsidRDefault="00BC0E16" w:rsidP="00BC0E16">
      <w:pPr>
        <w:pStyle w:val="Heading3"/>
        <w:rPr>
          <w:rFonts w:eastAsia="Times New Roman"/>
          <w:u w:val="single"/>
        </w:rPr>
      </w:pPr>
      <w:r w:rsidRPr="00BC0E16">
        <w:rPr>
          <w:rFonts w:eastAsia="Times New Roman"/>
          <w:u w:val="single"/>
          <w:lang w:eastAsia="bg-BG"/>
        </w:rPr>
        <w:lastRenderedPageBreak/>
        <w:t>Бременност</w:t>
      </w:r>
    </w:p>
    <w:p w14:paraId="5F8017F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Проучванията при животни със соталолов хидрохлорид не са показали данни за тератогенност или други негативни ефекти върху фетуса. Въпреки липсата на адекватни и подходящо контролирани проучвания при бременни жени, доказано е, че соталолов хидрохлорид преминава плацентата и се открива в амниотичната течност, като достига фармакологични активни концентрации във фетурса, поради което могат да се очакват нежелани реакции у фетуса и новороденото, като брадикардия, хипотония и хипогликемия. По тази причина терапията трябва да се преустанови 48-72 часа преди термина. Бета-блокерите намаляват плацентарната перфузия, което може да предизвика вътрематочна смърт на фетуса, раждане на неразвит фетус или преждевременно раждане. Съществува повишен риск от възникване на сърдечни и белодробни усложнения при новороденото през следродовия период. Поради това соталол трябва да се използва през бременността, само ако потенциалните ползи надвишават възможния риск за фетуса. Новороденото трябва да бъде под стриктно наблюдение в продължение на 48-72 часа след раждането, ако не е било възможно майката д</w:t>
      </w:r>
      <w:r w:rsidRPr="00BC0E16">
        <w:rPr>
          <w:rFonts w:eastAsia="Times New Roman" w:cs="Arial"/>
          <w:color w:val="000000"/>
          <w:lang w:val="en-US"/>
        </w:rPr>
        <w:t>a</w:t>
      </w:r>
      <w:r w:rsidRPr="00BC0E16">
        <w:rPr>
          <w:rFonts w:eastAsia="Times New Roman" w:cs="Arial"/>
          <w:color w:val="000000"/>
          <w:lang w:val="ru-RU"/>
        </w:rPr>
        <w:t xml:space="preserve"> </w:t>
      </w:r>
      <w:r w:rsidRPr="00BC0E16">
        <w:rPr>
          <w:rFonts w:eastAsia="Times New Roman" w:cs="Arial"/>
          <w:color w:val="000000"/>
          <w:lang w:eastAsia="bg-BG"/>
        </w:rPr>
        <w:t>прекъсне лечението си със соталол 2-3 дни преди деня на раждане. Новородените трябва внимателно да бъдат наблюдавани за симптоми на бета-блокада за достатъчен период от време след раждането.</w:t>
      </w:r>
    </w:p>
    <w:p w14:paraId="165F0533" w14:textId="77777777" w:rsidR="00BC0E16" w:rsidRPr="00BC0E16" w:rsidRDefault="00BC0E16" w:rsidP="00BC0E16">
      <w:pPr>
        <w:rPr>
          <w:rFonts w:eastAsia="Times New Roman" w:cs="Arial"/>
          <w:color w:val="000000"/>
          <w:u w:val="single"/>
          <w:lang w:eastAsia="bg-BG"/>
        </w:rPr>
      </w:pPr>
    </w:p>
    <w:p w14:paraId="7138E073" w14:textId="565723D5" w:rsidR="00BC0E16" w:rsidRPr="00BC0E16" w:rsidRDefault="00BC0E16" w:rsidP="00BC0E16">
      <w:pPr>
        <w:pStyle w:val="Heading3"/>
        <w:rPr>
          <w:rFonts w:eastAsia="Times New Roman"/>
          <w:u w:val="single"/>
          <w:lang w:eastAsia="bg-BG"/>
        </w:rPr>
      </w:pPr>
      <w:r w:rsidRPr="00BC0E16">
        <w:rPr>
          <w:rFonts w:eastAsia="Times New Roman"/>
          <w:u w:val="single"/>
          <w:lang w:eastAsia="bg-BG"/>
        </w:rPr>
        <w:t>Кърмене</w:t>
      </w:r>
    </w:p>
    <w:p w14:paraId="18D0304A"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Повечето бета-блокери, по-специално липофилните съединения, преминават в кърмата в различна степен. Соталолов хидрохлорид кумулира в майчиното мляко като се достигат нива 3- 5 пъти по-високи от плазмените нива в майчиния организъм. Поради това не се препоръчва кърмене през периода на прием на тези съединения. В случай на кърмене по време на терапията със соталолов хидрохлорид кърмачетата трябва да бъдат наблюдавани за симптоми на бета- блокада.</w:t>
      </w:r>
    </w:p>
    <w:p w14:paraId="4A9221AB" w14:textId="77777777" w:rsidR="00BC0E16" w:rsidRPr="00BC0E16" w:rsidRDefault="00BC0E16" w:rsidP="00BC0E16">
      <w:pPr>
        <w:spacing w:line="240" w:lineRule="auto"/>
        <w:rPr>
          <w:rFonts w:eastAsia="Times New Roman" w:cs="Arial"/>
          <w:color w:val="000000"/>
          <w:u w:val="single"/>
          <w:lang w:eastAsia="bg-BG"/>
        </w:rPr>
      </w:pPr>
    </w:p>
    <w:p w14:paraId="05D958B5" w14:textId="1982D0D4" w:rsidR="00BC0E16" w:rsidRPr="00BC0E16" w:rsidRDefault="00BC0E16" w:rsidP="00BC0E16">
      <w:pPr>
        <w:pStyle w:val="Heading3"/>
        <w:rPr>
          <w:rFonts w:eastAsia="Times New Roman"/>
          <w:u w:val="single"/>
        </w:rPr>
      </w:pPr>
      <w:r w:rsidRPr="00BC0E16">
        <w:rPr>
          <w:rFonts w:eastAsia="Times New Roman"/>
          <w:u w:val="single"/>
          <w:lang w:eastAsia="bg-BG"/>
        </w:rPr>
        <w:t>Фертилитет</w:t>
      </w:r>
    </w:p>
    <w:p w14:paraId="680685F5" w14:textId="1526F3C7" w:rsidR="00BC0E16" w:rsidRDefault="00BC0E16" w:rsidP="00BC0E16">
      <w:pPr>
        <w:rPr>
          <w:rFonts w:eastAsia="Times New Roman" w:cs="Arial"/>
          <w:color w:val="000000"/>
          <w:lang w:eastAsia="bg-BG"/>
        </w:rPr>
      </w:pPr>
      <w:r w:rsidRPr="00BC0E16">
        <w:rPr>
          <w:rFonts w:eastAsia="Times New Roman" w:cs="Arial"/>
          <w:color w:val="000000"/>
          <w:lang w:eastAsia="bg-BG"/>
        </w:rPr>
        <w:t>Проучванията при животни показват потенциал за репродуктивна токсичност (вж. точка 5.3 „Предклинични данни за безопасност” ).</w:t>
      </w:r>
    </w:p>
    <w:p w14:paraId="1262CC8C" w14:textId="77777777" w:rsidR="00BC0E16" w:rsidRPr="00BC0E16" w:rsidRDefault="00BC0E16" w:rsidP="00BC0E16">
      <w:pPr>
        <w:rPr>
          <w:rFonts w:eastAsia="Times New Roman" w:cs="Arial"/>
          <w:color w:val="000000"/>
          <w:lang w:eastAsia="bg-BG"/>
        </w:rPr>
      </w:pPr>
    </w:p>
    <w:p w14:paraId="128BA3A8" w14:textId="1DAD1A31" w:rsidR="00DB32D3" w:rsidRDefault="002C50EE" w:rsidP="005726E3">
      <w:pPr>
        <w:pStyle w:val="Heading2"/>
      </w:pPr>
      <w:r>
        <w:t>4.7. Ефекти върху способността за шофиране и работа с машини</w:t>
      </w:r>
    </w:p>
    <w:p w14:paraId="14D29B8D" w14:textId="734DD3A0" w:rsidR="00BC0E16" w:rsidRDefault="00BC0E16" w:rsidP="00BC0E16"/>
    <w:p w14:paraId="1DFF80B4" w14:textId="77777777" w:rsidR="00BC0E16" w:rsidRPr="00BC0E16" w:rsidRDefault="00BC0E16" w:rsidP="00BC0E16">
      <w:pPr>
        <w:rPr>
          <w:sz w:val="24"/>
          <w:szCs w:val="24"/>
        </w:rPr>
      </w:pPr>
      <w:r w:rsidRPr="00BC0E16">
        <w:rPr>
          <w:lang w:eastAsia="bg-BG"/>
        </w:rPr>
        <w:t>Въпреки че няма достатъчно данни, следва да се има предвид, че в някои случаи възникват нежелани реакции, като замайване или изтощение (вж. точка 4.8). Дори и прилаган в препоръчителните дозировки, този лекарствен продукт може да промени бързината на реакциите до такава степен, че да наруши способността за шофиране, работа с машини или в несигурно положение. Това трябва да се има предвид особено в началото на лечението, при смяна на дозировката или терапията, както и в комбинация с алкохол.</w:t>
      </w:r>
    </w:p>
    <w:p w14:paraId="0BBC86E2" w14:textId="77777777" w:rsidR="00BC0E16" w:rsidRPr="00BC0E16" w:rsidRDefault="00BC0E16" w:rsidP="00BC0E16"/>
    <w:p w14:paraId="44CE30A3" w14:textId="6DF93EEC" w:rsidR="007122AD" w:rsidRDefault="002C50EE" w:rsidP="00936AD0">
      <w:pPr>
        <w:pStyle w:val="Heading2"/>
      </w:pPr>
      <w:r>
        <w:t>4.8. Нежелани лекарствени реакции</w:t>
      </w:r>
    </w:p>
    <w:p w14:paraId="0DEFD328" w14:textId="44845CE7" w:rsidR="00BC0E16" w:rsidRDefault="00BC0E16" w:rsidP="00BC0E16"/>
    <w:p w14:paraId="0424A89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 xml:space="preserve">Ако се използва съгласно указанията, соталол е с добра поносимост при повечето пациенти. Най-честите нежелани реакции се дължат на неговите свойства за блокиране на бета- рецепторите. При възникването на нежелани реакции, те обикновено изчезват след намаляване на дозата. Въпреки това, най-значимите нежелани реакции се онези, които се дължат на проаритмия, в т.ч. </w:t>
      </w:r>
      <w:proofErr w:type="spellStart"/>
      <w:proofErr w:type="gramStart"/>
      <w:r w:rsidRPr="00BC0E16">
        <w:rPr>
          <w:rFonts w:eastAsia="Times New Roman" w:cs="Arial"/>
          <w:i/>
          <w:iCs/>
          <w:color w:val="000000"/>
          <w:lang w:val="en-US"/>
        </w:rPr>
        <w:t>torsades</w:t>
      </w:r>
      <w:proofErr w:type="spellEnd"/>
      <w:proofErr w:type="gramEnd"/>
      <w:r w:rsidRPr="00BC0E16">
        <w:rPr>
          <w:rFonts w:eastAsia="Times New Roman" w:cs="Arial"/>
          <w:i/>
          <w:iCs/>
          <w:color w:val="000000"/>
          <w:lang w:val="ru-RU"/>
        </w:rPr>
        <w:t xml:space="preserve"> </w:t>
      </w:r>
      <w:proofErr w:type="spellStart"/>
      <w:r w:rsidRPr="00BC0E16">
        <w:rPr>
          <w:rFonts w:eastAsia="Times New Roman" w:cs="Arial"/>
          <w:i/>
          <w:iCs/>
          <w:color w:val="000000"/>
          <w:lang w:val="en-US"/>
        </w:rPr>
        <w:t>depointes</w:t>
      </w:r>
      <w:proofErr w:type="spellEnd"/>
      <w:r w:rsidRPr="00BC0E16">
        <w:rPr>
          <w:rFonts w:eastAsia="Times New Roman" w:cs="Arial"/>
          <w:color w:val="000000"/>
          <w:lang w:val="ru-RU"/>
        </w:rPr>
        <w:t xml:space="preserve"> </w:t>
      </w:r>
      <w:r w:rsidRPr="00BC0E16">
        <w:rPr>
          <w:rFonts w:eastAsia="Times New Roman" w:cs="Arial"/>
          <w:color w:val="000000"/>
          <w:lang w:eastAsia="bg-BG"/>
        </w:rPr>
        <w:t>(вж. точка 4.4).</w:t>
      </w:r>
    </w:p>
    <w:p w14:paraId="0D659E27"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lastRenderedPageBreak/>
        <w:t>Нежеланите реакции са наблюдавани в клинични изпитвания и след пускане в продажба.</w:t>
      </w:r>
    </w:p>
    <w:p w14:paraId="0E70EF19"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Според честотата си нежеланите реакции се определят както следва:</w:t>
      </w:r>
    </w:p>
    <w:p w14:paraId="1D915D03"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Много чести: (≥1/10)</w:t>
      </w:r>
    </w:p>
    <w:p w14:paraId="6CAA0824"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Чести:</w:t>
      </w:r>
      <w:r w:rsidRPr="00BC0E16">
        <w:rPr>
          <w:rFonts w:eastAsia="Times New Roman" w:cs="Arial"/>
          <w:color w:val="000000"/>
          <w:lang w:eastAsia="bg-BG"/>
        </w:rPr>
        <w:tab/>
        <w:t>(≥ 1/100 до &lt; 1/10)</w:t>
      </w:r>
    </w:p>
    <w:p w14:paraId="520734EE" w14:textId="44503337" w:rsidR="00BC0E16" w:rsidRPr="00BC0E16" w:rsidRDefault="00BC0E16" w:rsidP="00BC0E16">
      <w:pPr>
        <w:spacing w:line="240" w:lineRule="auto"/>
        <w:rPr>
          <w:rFonts w:eastAsia="Times New Roman" w:cs="Arial"/>
        </w:rPr>
      </w:pPr>
      <w:r>
        <w:rPr>
          <w:rFonts w:eastAsia="Times New Roman" w:cs="Arial"/>
          <w:color w:val="000000"/>
          <w:lang w:eastAsia="bg-BG"/>
        </w:rPr>
        <w:t xml:space="preserve">Нечести: </w:t>
      </w:r>
      <w:r w:rsidRPr="00BC0E16">
        <w:rPr>
          <w:rFonts w:eastAsia="Times New Roman" w:cs="Arial"/>
          <w:color w:val="000000"/>
          <w:lang w:eastAsia="bg-BG"/>
        </w:rPr>
        <w:t>(≥ 1/1 000 до &lt; 1/100)</w:t>
      </w:r>
    </w:p>
    <w:p w14:paraId="79865F01"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Редки:</w:t>
      </w:r>
      <w:r w:rsidRPr="00BC0E16">
        <w:rPr>
          <w:rFonts w:eastAsia="Times New Roman" w:cs="Arial"/>
          <w:color w:val="000000"/>
          <w:lang w:eastAsia="bg-BG"/>
        </w:rPr>
        <w:tab/>
        <w:t>(≥ 1/10 000 до &lt; 1/1 000)</w:t>
      </w:r>
    </w:p>
    <w:p w14:paraId="32F7B3AF"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Много редки: (&lt; 1/10 000)</w:t>
      </w:r>
    </w:p>
    <w:p w14:paraId="63B50009"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 неизвестна честота: (от наличните данни не може да бъде направена оценка)</w:t>
      </w:r>
    </w:p>
    <w:p w14:paraId="7A4BBF89" w14:textId="77777777" w:rsidR="00BC0E16" w:rsidRDefault="00BC0E16" w:rsidP="00BC0E16">
      <w:pPr>
        <w:spacing w:line="240" w:lineRule="auto"/>
        <w:rPr>
          <w:rFonts w:eastAsia="Times New Roman" w:cs="Arial"/>
          <w:i/>
          <w:iCs/>
          <w:color w:val="000000"/>
          <w:lang w:eastAsia="bg-BG"/>
        </w:rPr>
      </w:pPr>
    </w:p>
    <w:p w14:paraId="31CF53B4" w14:textId="53C9A856"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Психични нарушения</w:t>
      </w:r>
    </w:p>
    <w:p w14:paraId="79CAF29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Чести: тревожност, обърканост, промени в настроението, халюцинации, често сънуване, нарушения на съня, депресивно настроение.</w:t>
      </w:r>
    </w:p>
    <w:p w14:paraId="5F232F74" w14:textId="77777777" w:rsidR="00BC0E16" w:rsidRDefault="00BC0E16" w:rsidP="00BC0E16">
      <w:pPr>
        <w:spacing w:line="240" w:lineRule="auto"/>
        <w:rPr>
          <w:rFonts w:eastAsia="Times New Roman" w:cs="Arial"/>
          <w:i/>
          <w:iCs/>
          <w:color w:val="000000"/>
          <w:lang w:eastAsia="bg-BG"/>
        </w:rPr>
      </w:pPr>
    </w:p>
    <w:p w14:paraId="79C9484B" w14:textId="46FFD1DF"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Нарушения на нервната система</w:t>
      </w:r>
    </w:p>
    <w:p w14:paraId="39E7635A"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Чести:</w:t>
      </w:r>
      <w:r w:rsidRPr="00BC0E16">
        <w:rPr>
          <w:rFonts w:eastAsia="Times New Roman" w:cs="Arial"/>
          <w:color w:val="000000"/>
          <w:lang w:eastAsia="bg-BG"/>
        </w:rPr>
        <w:tab/>
        <w:t>световъртеж, замаяност, сънливост, главоболие, нарушен сън, парестезия,</w:t>
      </w:r>
    </w:p>
    <w:p w14:paraId="7CDB4224"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синкоп, пресинкоп и усещане за студ в крайниците, нарушено вкусово усещане.</w:t>
      </w:r>
    </w:p>
    <w:p w14:paraId="2F1D668A" w14:textId="77777777" w:rsidR="00BC0E16" w:rsidRDefault="00BC0E16" w:rsidP="00BC0E16">
      <w:pPr>
        <w:spacing w:line="240" w:lineRule="auto"/>
        <w:rPr>
          <w:rFonts w:eastAsia="Times New Roman" w:cs="Arial"/>
          <w:i/>
          <w:iCs/>
          <w:color w:val="000000"/>
          <w:lang w:eastAsia="bg-BG"/>
        </w:rPr>
      </w:pPr>
    </w:p>
    <w:p w14:paraId="0285661A" w14:textId="63E04E01" w:rsidR="00BC0E16" w:rsidRPr="00BC0E16" w:rsidRDefault="00BC0E16" w:rsidP="00BC0E16">
      <w:pPr>
        <w:spacing w:line="240" w:lineRule="auto"/>
        <w:rPr>
          <w:rFonts w:eastAsia="Times New Roman" w:cs="Arial"/>
        </w:rPr>
      </w:pPr>
      <w:r w:rsidRPr="00BC0E16">
        <w:rPr>
          <w:rFonts w:eastAsia="Times New Roman" w:cs="Arial"/>
          <w:i/>
          <w:iCs/>
          <w:color w:val="000000"/>
          <w:lang w:eastAsia="bg-BG"/>
        </w:rPr>
        <w:t>Нарушения на очите</w:t>
      </w:r>
    </w:p>
    <w:p w14:paraId="52AAB335" w14:textId="77777777" w:rsidR="00BC0E16" w:rsidRPr="00BC0E16" w:rsidRDefault="00BC0E16" w:rsidP="00BC0E16">
      <w:pPr>
        <w:spacing w:line="240" w:lineRule="auto"/>
        <w:rPr>
          <w:rFonts w:eastAsia="Times New Roman" w:cs="Arial"/>
        </w:rPr>
      </w:pPr>
      <w:r w:rsidRPr="00BC0E16">
        <w:rPr>
          <w:rFonts w:eastAsia="Times New Roman" w:cs="Arial"/>
          <w:color w:val="000000"/>
          <w:lang w:eastAsia="bg-BG"/>
        </w:rPr>
        <w:t>Чести:</w:t>
      </w:r>
      <w:r w:rsidRPr="00BC0E16">
        <w:rPr>
          <w:rFonts w:eastAsia="Times New Roman" w:cs="Arial"/>
          <w:color w:val="000000"/>
          <w:lang w:eastAsia="bg-BG"/>
        </w:rPr>
        <w:tab/>
        <w:t>дизопия, нарушения на зрението.</w:t>
      </w:r>
    </w:p>
    <w:p w14:paraId="79A9E832" w14:textId="78F0D6D1" w:rsidR="00BC0E16" w:rsidRPr="00BC0E16" w:rsidRDefault="00BC0E16" w:rsidP="00BC0E16">
      <w:pPr>
        <w:spacing w:line="240" w:lineRule="auto"/>
        <w:rPr>
          <w:rFonts w:eastAsia="Times New Roman" w:cs="Arial"/>
        </w:rPr>
      </w:pPr>
      <w:r>
        <w:rPr>
          <w:rFonts w:eastAsia="Times New Roman" w:cs="Arial"/>
          <w:color w:val="000000"/>
          <w:lang w:eastAsia="bg-BG"/>
        </w:rPr>
        <w:t xml:space="preserve">Нечести: </w:t>
      </w:r>
      <w:r w:rsidRPr="00BC0E16">
        <w:rPr>
          <w:rFonts w:eastAsia="Times New Roman" w:cs="Arial"/>
          <w:color w:val="000000"/>
          <w:lang w:eastAsia="bg-BG"/>
        </w:rPr>
        <w:t>конюнктивит.</w:t>
      </w:r>
    </w:p>
    <w:p w14:paraId="24ECECAD" w14:textId="0AC4B7C4" w:rsidR="00BC0E16" w:rsidRPr="00BC0E16" w:rsidRDefault="00BC0E16" w:rsidP="00BC0E16">
      <w:pPr>
        <w:rPr>
          <w:rFonts w:eastAsia="Times New Roman" w:cs="Arial"/>
          <w:color w:val="000000"/>
          <w:lang w:eastAsia="bg-BG"/>
        </w:rPr>
      </w:pPr>
      <w:r w:rsidRPr="00BC0E16">
        <w:rPr>
          <w:rFonts w:eastAsia="Times New Roman" w:cs="Arial"/>
          <w:color w:val="000000"/>
          <w:lang w:eastAsia="bg-BG"/>
        </w:rPr>
        <w:t>Много редки: кератоконюнктивит, намалено сълзоотделяне (важно при ползване на контактни лещи).</w:t>
      </w:r>
    </w:p>
    <w:p w14:paraId="37CA7E52" w14:textId="56B5DB41" w:rsidR="00BC0E16" w:rsidRDefault="00BC0E16" w:rsidP="00BC0E16"/>
    <w:p w14:paraId="4F1F76BA" w14:textId="77777777"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Нарушения на ухото и лабиринта</w:t>
      </w:r>
    </w:p>
    <w:p w14:paraId="051A9DB5"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нарушение на слуха</w:t>
      </w:r>
    </w:p>
    <w:p w14:paraId="3C0BF921" w14:textId="77777777" w:rsidR="006C0C91" w:rsidRDefault="006C0C91" w:rsidP="006C0C91">
      <w:pPr>
        <w:spacing w:line="240" w:lineRule="auto"/>
        <w:rPr>
          <w:rFonts w:eastAsia="Times New Roman" w:cs="Arial"/>
          <w:i/>
          <w:iCs/>
          <w:color w:val="000000"/>
          <w:lang w:eastAsia="bg-BG"/>
        </w:rPr>
      </w:pPr>
    </w:p>
    <w:p w14:paraId="6920DDF3" w14:textId="5FAAF1D2"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Сърдечни нарушения</w:t>
      </w:r>
    </w:p>
    <w:p w14:paraId="2CEFB222"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r>
      <w:proofErr w:type="spellStart"/>
      <w:r w:rsidRPr="006C0C91">
        <w:rPr>
          <w:rFonts w:eastAsia="Times New Roman" w:cs="Arial"/>
          <w:i/>
          <w:iCs/>
          <w:color w:val="000000"/>
          <w:lang w:val="en-US"/>
        </w:rPr>
        <w:t>torsades</w:t>
      </w:r>
      <w:proofErr w:type="spellEnd"/>
      <w:r w:rsidRPr="006C0C91">
        <w:rPr>
          <w:rFonts w:eastAsia="Times New Roman" w:cs="Arial"/>
          <w:i/>
          <w:iCs/>
          <w:color w:val="000000"/>
          <w:lang w:val="ru-RU"/>
        </w:rPr>
        <w:t xml:space="preserve"> </w:t>
      </w:r>
      <w:r w:rsidRPr="006C0C91">
        <w:rPr>
          <w:rFonts w:eastAsia="Times New Roman" w:cs="Arial"/>
          <w:i/>
          <w:iCs/>
          <w:color w:val="000000"/>
          <w:lang w:val="en-US"/>
        </w:rPr>
        <w:t>de</w:t>
      </w:r>
      <w:r w:rsidRPr="006C0C91">
        <w:rPr>
          <w:rFonts w:eastAsia="Times New Roman" w:cs="Arial"/>
          <w:i/>
          <w:iCs/>
          <w:color w:val="000000"/>
          <w:lang w:val="ru-RU"/>
        </w:rPr>
        <w:t xml:space="preserve"> </w:t>
      </w:r>
      <w:r w:rsidRPr="006C0C91">
        <w:rPr>
          <w:rFonts w:eastAsia="Times New Roman" w:cs="Arial"/>
          <w:i/>
          <w:iCs/>
          <w:color w:val="000000"/>
          <w:lang w:val="en-US"/>
        </w:rPr>
        <w:t>pointes</w:t>
      </w:r>
      <w:r w:rsidRPr="006C0C91">
        <w:rPr>
          <w:rFonts w:eastAsia="Times New Roman" w:cs="Arial"/>
          <w:i/>
          <w:iCs/>
          <w:color w:val="000000"/>
          <w:lang w:val="ru-RU"/>
        </w:rPr>
        <w:t>,</w:t>
      </w:r>
      <w:r w:rsidRPr="006C0C91">
        <w:rPr>
          <w:rFonts w:eastAsia="Times New Roman" w:cs="Arial"/>
          <w:color w:val="000000"/>
          <w:lang w:val="ru-RU"/>
        </w:rPr>
        <w:t xml:space="preserve"> </w:t>
      </w:r>
      <w:r w:rsidRPr="006C0C91">
        <w:rPr>
          <w:rFonts w:eastAsia="Times New Roman" w:cs="Arial"/>
          <w:color w:val="000000"/>
          <w:lang w:eastAsia="bg-BG"/>
        </w:rPr>
        <w:t>аритмия, проаритмия, задух, болка в гърдите, сърдечна</w:t>
      </w:r>
    </w:p>
    <w:p w14:paraId="029189B0"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недостатъчност (виж точка 4.4), брадикардия, палпитации, ЕКГ аномалии, нарушена </w:t>
      </w:r>
      <w:r w:rsidRPr="006C0C91">
        <w:rPr>
          <w:rFonts w:eastAsia="Times New Roman" w:cs="Arial"/>
          <w:color w:val="000000"/>
          <w:lang w:val="en-US"/>
        </w:rPr>
        <w:t>AV</w:t>
      </w:r>
      <w:r w:rsidRPr="006C0C91">
        <w:rPr>
          <w:rFonts w:eastAsia="Times New Roman" w:cs="Arial"/>
          <w:color w:val="000000"/>
          <w:lang w:val="ru-RU"/>
        </w:rPr>
        <w:t xml:space="preserve"> </w:t>
      </w:r>
      <w:r w:rsidRPr="006C0C91">
        <w:rPr>
          <w:rFonts w:eastAsia="Times New Roman" w:cs="Arial"/>
          <w:color w:val="000000"/>
          <w:lang w:eastAsia="bg-BG"/>
        </w:rPr>
        <w:t>проводимост, синкоп или пресинкопни състояния,.</w:t>
      </w:r>
    </w:p>
    <w:p w14:paraId="245BD56B"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Много редки: учестяване на пристъпите на ангина пекторис.</w:t>
      </w:r>
    </w:p>
    <w:p w14:paraId="56F2A2D8" w14:textId="77777777" w:rsidR="006C0C91" w:rsidRDefault="006C0C91" w:rsidP="006C0C91">
      <w:pPr>
        <w:spacing w:line="240" w:lineRule="auto"/>
        <w:rPr>
          <w:rFonts w:eastAsia="Times New Roman" w:cs="Arial"/>
          <w:i/>
          <w:iCs/>
          <w:color w:val="000000"/>
          <w:lang w:eastAsia="bg-BG"/>
        </w:rPr>
      </w:pPr>
    </w:p>
    <w:p w14:paraId="7217315A" w14:textId="326139C9"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Съдови нарушения</w:t>
      </w:r>
    </w:p>
    <w:p w14:paraId="7ECD4579"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 хипотония, оток</w:t>
      </w:r>
    </w:p>
    <w:p w14:paraId="23EF35DC"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Много редки: периферни циркулаторни нарушения</w:t>
      </w:r>
    </w:p>
    <w:p w14:paraId="659DF497" w14:textId="59AE0D31" w:rsidR="006C0C91" w:rsidRPr="006C0C91" w:rsidRDefault="006C0C91" w:rsidP="006C0C91">
      <w:pPr>
        <w:spacing w:line="240" w:lineRule="auto"/>
        <w:rPr>
          <w:rFonts w:eastAsia="Times New Roman" w:cs="Arial"/>
        </w:rPr>
      </w:pPr>
      <w:r w:rsidRPr="006C0C91">
        <w:rPr>
          <w:rFonts w:eastAsia="Times New Roman" w:cs="Arial"/>
          <w:color w:val="000000"/>
          <w:lang w:eastAsia="bg-BG"/>
        </w:rPr>
        <w:t>С неизвестна</w:t>
      </w:r>
      <w:r w:rsidRPr="006C0C91">
        <w:rPr>
          <w:rFonts w:eastAsia="Times New Roman" w:cs="Arial"/>
          <w:lang w:val="ru-RU"/>
        </w:rPr>
        <w:t xml:space="preserve"> </w:t>
      </w:r>
      <w:r>
        <w:rPr>
          <w:rFonts w:eastAsia="Times New Roman" w:cs="Arial"/>
          <w:color w:val="000000"/>
          <w:lang w:eastAsia="bg-BG"/>
        </w:rPr>
        <w:t xml:space="preserve">честота: </w:t>
      </w:r>
      <w:r w:rsidRPr="006C0C91">
        <w:rPr>
          <w:rFonts w:eastAsia="Times New Roman" w:cs="Arial"/>
          <w:color w:val="000000"/>
          <w:lang w:eastAsia="bg-BG"/>
        </w:rPr>
        <w:t>синдром на Рейно, влошаване на клаудикацио интермитенс, болка и усещане за</w:t>
      </w:r>
      <w:r w:rsidRPr="006C0C91">
        <w:rPr>
          <w:rFonts w:eastAsia="Times New Roman" w:cs="Arial"/>
          <w:lang w:val="ru-RU"/>
        </w:rPr>
        <w:t xml:space="preserve"> </w:t>
      </w:r>
      <w:r w:rsidRPr="006C0C91">
        <w:rPr>
          <w:rFonts w:eastAsia="Times New Roman" w:cs="Arial"/>
          <w:color w:val="000000"/>
          <w:lang w:eastAsia="bg-BG"/>
        </w:rPr>
        <w:t>студ в крайниците</w:t>
      </w:r>
    </w:p>
    <w:p w14:paraId="1027430B" w14:textId="77777777" w:rsidR="006C0C91" w:rsidRDefault="006C0C91" w:rsidP="006C0C91">
      <w:pPr>
        <w:spacing w:line="240" w:lineRule="auto"/>
        <w:rPr>
          <w:rFonts w:eastAsia="Times New Roman" w:cs="Arial"/>
          <w:color w:val="000000"/>
          <w:lang w:eastAsia="bg-BG"/>
        </w:rPr>
      </w:pPr>
    </w:p>
    <w:p w14:paraId="77BD2BA7" w14:textId="053CFFA0"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Често възникват проаритмични ефекти - под формата на промени или засилване на аритмиите - които могат да доведат до значително нарушение на сърдечната дейност със сърдечен арест като възможно последствие. Аритмогенни ефекти могат да възникнат по-често при пациенти с животозастрашаващи аритмии и нарушена левокамерна функция.</w:t>
      </w:r>
    </w:p>
    <w:p w14:paraId="3851A994" w14:textId="77777777" w:rsidR="006C0C91" w:rsidRDefault="006C0C91" w:rsidP="006C0C91">
      <w:pPr>
        <w:spacing w:line="240" w:lineRule="auto"/>
        <w:rPr>
          <w:rFonts w:eastAsia="Times New Roman" w:cs="Arial"/>
          <w:color w:val="000000"/>
          <w:lang w:eastAsia="bg-BG"/>
        </w:rPr>
      </w:pPr>
    </w:p>
    <w:p w14:paraId="2F40ADF7" w14:textId="4D43AD06"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Тъй като соталолов хидрохлорид удължава </w:t>
      </w:r>
      <w:r w:rsidRPr="006C0C91">
        <w:rPr>
          <w:rFonts w:eastAsia="Times New Roman" w:cs="Arial"/>
          <w:color w:val="000000"/>
          <w:lang w:val="en-US"/>
        </w:rPr>
        <w:t>QT</w:t>
      </w:r>
      <w:r w:rsidRPr="006C0C91">
        <w:rPr>
          <w:rFonts w:eastAsia="Times New Roman" w:cs="Arial"/>
          <w:color w:val="000000"/>
        </w:rPr>
        <w:t xml:space="preserve"> </w:t>
      </w:r>
      <w:r w:rsidRPr="006C0C91">
        <w:rPr>
          <w:rFonts w:eastAsia="Times New Roman" w:cs="Arial"/>
          <w:color w:val="000000"/>
          <w:lang w:eastAsia="bg-BG"/>
        </w:rPr>
        <w:t xml:space="preserve">интервала е възможно да възникне камерна тахиаритмия (вкл. </w:t>
      </w:r>
      <w:proofErr w:type="spellStart"/>
      <w:proofErr w:type="gramStart"/>
      <w:r w:rsidRPr="006C0C91">
        <w:rPr>
          <w:rFonts w:eastAsia="Times New Roman" w:cs="Arial"/>
          <w:i/>
          <w:iCs/>
          <w:color w:val="000000"/>
          <w:lang w:val="en-US"/>
        </w:rPr>
        <w:t>torsades</w:t>
      </w:r>
      <w:proofErr w:type="spellEnd"/>
      <w:proofErr w:type="gramEnd"/>
      <w:r w:rsidRPr="006C0C91">
        <w:rPr>
          <w:rFonts w:eastAsia="Times New Roman" w:cs="Arial"/>
          <w:i/>
          <w:iCs/>
          <w:color w:val="000000"/>
        </w:rPr>
        <w:t xml:space="preserve"> </w:t>
      </w:r>
      <w:r w:rsidRPr="006C0C91">
        <w:rPr>
          <w:rFonts w:eastAsia="Times New Roman" w:cs="Arial"/>
          <w:i/>
          <w:iCs/>
          <w:color w:val="000000"/>
          <w:lang w:val="en-US"/>
        </w:rPr>
        <w:t>de</w:t>
      </w:r>
      <w:r w:rsidRPr="006C0C91">
        <w:rPr>
          <w:rFonts w:eastAsia="Times New Roman" w:cs="Arial"/>
          <w:i/>
          <w:iCs/>
          <w:color w:val="000000"/>
        </w:rPr>
        <w:t xml:space="preserve"> </w:t>
      </w:r>
      <w:r w:rsidRPr="006C0C91">
        <w:rPr>
          <w:rFonts w:eastAsia="Times New Roman" w:cs="Arial"/>
          <w:i/>
          <w:iCs/>
          <w:color w:val="000000"/>
          <w:lang w:val="en-US"/>
        </w:rPr>
        <w:t>pointes</w:t>
      </w:r>
      <w:r w:rsidRPr="006C0C91">
        <w:rPr>
          <w:rFonts w:eastAsia="Times New Roman" w:cs="Arial"/>
          <w:i/>
          <w:iCs/>
          <w:color w:val="000000"/>
        </w:rPr>
        <w:t>),</w:t>
      </w:r>
      <w:r w:rsidRPr="006C0C91">
        <w:rPr>
          <w:rFonts w:eastAsia="Times New Roman" w:cs="Arial"/>
          <w:color w:val="000000"/>
        </w:rPr>
        <w:t xml:space="preserve"> </w:t>
      </w:r>
      <w:r w:rsidRPr="006C0C91">
        <w:rPr>
          <w:rFonts w:eastAsia="Times New Roman" w:cs="Arial"/>
          <w:color w:val="000000"/>
          <w:lang w:eastAsia="bg-BG"/>
        </w:rPr>
        <w:t>особено при предозиране, и изразена брадикардия.</w:t>
      </w:r>
    </w:p>
    <w:p w14:paraId="4262CCA3" w14:textId="77777777" w:rsidR="006C0C91" w:rsidRDefault="006C0C91" w:rsidP="006C0C91">
      <w:pPr>
        <w:spacing w:line="240" w:lineRule="auto"/>
        <w:rPr>
          <w:rFonts w:eastAsia="Times New Roman" w:cs="Arial"/>
          <w:color w:val="000000"/>
          <w:lang w:eastAsia="bg-BG"/>
        </w:rPr>
      </w:pPr>
    </w:p>
    <w:p w14:paraId="5F5E9FCA" w14:textId="2FE369E9"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Тежките проаритмии (продължителна камерна тахикардия или камерно трептене/мъждене или </w:t>
      </w:r>
      <w:proofErr w:type="spellStart"/>
      <w:r w:rsidRPr="006C0C91">
        <w:rPr>
          <w:rFonts w:eastAsia="Times New Roman" w:cs="Arial"/>
          <w:i/>
          <w:iCs/>
          <w:color w:val="000000"/>
          <w:lang w:val="en-US"/>
        </w:rPr>
        <w:t>torsades</w:t>
      </w:r>
      <w:proofErr w:type="spellEnd"/>
      <w:r w:rsidRPr="006C0C91">
        <w:rPr>
          <w:rFonts w:eastAsia="Times New Roman" w:cs="Arial"/>
          <w:i/>
          <w:iCs/>
          <w:color w:val="000000"/>
          <w:lang w:val="ru-RU"/>
        </w:rPr>
        <w:t xml:space="preserve"> </w:t>
      </w:r>
      <w:r w:rsidRPr="006C0C91">
        <w:rPr>
          <w:rFonts w:eastAsia="Times New Roman" w:cs="Arial"/>
          <w:i/>
          <w:iCs/>
          <w:color w:val="000000"/>
          <w:lang w:val="en-US"/>
        </w:rPr>
        <w:t>de</w:t>
      </w:r>
      <w:r w:rsidRPr="006C0C91">
        <w:rPr>
          <w:rFonts w:eastAsia="Times New Roman" w:cs="Arial"/>
          <w:i/>
          <w:iCs/>
          <w:color w:val="000000"/>
          <w:lang w:val="ru-RU"/>
        </w:rPr>
        <w:t xml:space="preserve"> </w:t>
      </w:r>
      <w:r w:rsidRPr="006C0C91">
        <w:rPr>
          <w:rFonts w:eastAsia="Times New Roman" w:cs="Arial"/>
          <w:i/>
          <w:iCs/>
          <w:color w:val="000000"/>
          <w:lang w:val="en-US"/>
        </w:rPr>
        <w:t>pointes</w:t>
      </w:r>
      <w:r w:rsidRPr="006C0C91">
        <w:rPr>
          <w:rFonts w:eastAsia="Times New Roman" w:cs="Arial"/>
          <w:i/>
          <w:iCs/>
          <w:color w:val="000000"/>
          <w:lang w:val="ru-RU"/>
        </w:rPr>
        <w:t>)</w:t>
      </w:r>
      <w:r w:rsidRPr="006C0C91">
        <w:rPr>
          <w:rFonts w:eastAsia="Times New Roman" w:cs="Arial"/>
          <w:color w:val="000000"/>
          <w:lang w:val="ru-RU"/>
        </w:rPr>
        <w:t xml:space="preserve"> </w:t>
      </w:r>
      <w:r w:rsidRPr="006C0C91">
        <w:rPr>
          <w:rFonts w:eastAsia="Times New Roman" w:cs="Arial"/>
          <w:color w:val="000000"/>
          <w:lang w:eastAsia="bg-BG"/>
        </w:rPr>
        <w:t>са дозозависими и главно възникват в началото на терапията и при повишаване на дозата.</w:t>
      </w:r>
    </w:p>
    <w:p w14:paraId="437D2B54" w14:textId="77777777" w:rsidR="006C0C91" w:rsidRDefault="006C0C91" w:rsidP="006C0C91">
      <w:pPr>
        <w:spacing w:line="240" w:lineRule="auto"/>
        <w:rPr>
          <w:rFonts w:eastAsia="Times New Roman" w:cs="Arial"/>
          <w:i/>
          <w:iCs/>
          <w:color w:val="000000"/>
          <w:lang w:eastAsia="bg-BG"/>
        </w:rPr>
      </w:pPr>
    </w:p>
    <w:p w14:paraId="4C24F807" w14:textId="63515D82"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lastRenderedPageBreak/>
        <w:t>Нарушения на кръвта и лимфната система</w:t>
      </w:r>
    </w:p>
    <w:p w14:paraId="414BF0BF"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С неизвестна честота: тромбоцитопения</w:t>
      </w:r>
    </w:p>
    <w:p w14:paraId="34A1EBDF" w14:textId="77777777" w:rsidR="006C0C91" w:rsidRDefault="006C0C91" w:rsidP="006C0C91">
      <w:pPr>
        <w:spacing w:line="240" w:lineRule="auto"/>
        <w:rPr>
          <w:rFonts w:eastAsia="Times New Roman" w:cs="Arial"/>
          <w:i/>
          <w:iCs/>
          <w:color w:val="000000"/>
          <w:lang w:eastAsia="bg-BG"/>
        </w:rPr>
      </w:pPr>
    </w:p>
    <w:p w14:paraId="195F9ED0" w14:textId="33F40CF5"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Респираторни гръдни и медиастинални нарушения</w:t>
      </w:r>
    </w:p>
    <w:p w14:paraId="045C59B9"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диспнея.</w:t>
      </w:r>
    </w:p>
    <w:p w14:paraId="65EABE9C" w14:textId="09878930" w:rsidR="006C0C91" w:rsidRPr="006C0C91" w:rsidRDefault="006C0C91" w:rsidP="006C0C91">
      <w:pPr>
        <w:spacing w:line="240" w:lineRule="auto"/>
        <w:rPr>
          <w:rFonts w:eastAsia="Times New Roman" w:cs="Arial"/>
        </w:rPr>
      </w:pPr>
      <w:r>
        <w:rPr>
          <w:rFonts w:eastAsia="Times New Roman" w:cs="Arial"/>
          <w:color w:val="000000"/>
          <w:lang w:eastAsia="bg-BG"/>
        </w:rPr>
        <w:t xml:space="preserve">Нечести: </w:t>
      </w:r>
      <w:r w:rsidRPr="006C0C91">
        <w:rPr>
          <w:rFonts w:eastAsia="Times New Roman" w:cs="Arial"/>
          <w:color w:val="000000"/>
          <w:lang w:eastAsia="bg-BG"/>
        </w:rPr>
        <w:t>предизвикана диспнея при пациенти с обструктивно белодробно заболяване;</w:t>
      </w:r>
    </w:p>
    <w:p w14:paraId="799F4D8C"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бронхоспазъм при пациенти с бронхиална астма или анамнеза за астматични проблеми.</w:t>
      </w:r>
    </w:p>
    <w:p w14:paraId="6F6EDCC2"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Много редки: алергичен бронхит с фиброза.'</w:t>
      </w:r>
    </w:p>
    <w:p w14:paraId="26D17331" w14:textId="77777777" w:rsidR="006C0C91" w:rsidRDefault="006C0C91" w:rsidP="006C0C91">
      <w:pPr>
        <w:spacing w:line="240" w:lineRule="auto"/>
        <w:rPr>
          <w:rFonts w:eastAsia="Times New Roman" w:cs="Arial"/>
          <w:i/>
          <w:iCs/>
          <w:color w:val="000000"/>
          <w:lang w:eastAsia="bg-BG"/>
        </w:rPr>
      </w:pPr>
    </w:p>
    <w:p w14:paraId="0B17E3B5" w14:textId="2FA6A33F"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Стомашно-чревни нарушения</w:t>
      </w:r>
    </w:p>
    <w:p w14:paraId="2E875984"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коремна болка, гадене, повръщане, диария, диспепсия, флатуленция,</w:t>
      </w:r>
    </w:p>
    <w:p w14:paraId="1981F0BA"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ксеростомия.</w:t>
      </w:r>
    </w:p>
    <w:p w14:paraId="57837B20" w14:textId="77777777" w:rsidR="006C0C91" w:rsidRDefault="006C0C91" w:rsidP="006C0C91">
      <w:pPr>
        <w:spacing w:line="240" w:lineRule="auto"/>
        <w:rPr>
          <w:rFonts w:eastAsia="Times New Roman" w:cs="Arial"/>
          <w:i/>
          <w:iCs/>
          <w:color w:val="000000"/>
          <w:lang w:eastAsia="bg-BG"/>
        </w:rPr>
      </w:pPr>
    </w:p>
    <w:p w14:paraId="28FCC5E5" w14:textId="4C3CE755"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Нарушения на кожата и подкожната тъкан</w:t>
      </w:r>
    </w:p>
    <w:p w14:paraId="0440B01F"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еритем, пруритус, екзантем,</w:t>
      </w:r>
    </w:p>
    <w:p w14:paraId="40B14524" w14:textId="3182F25A" w:rsidR="006C0C91" w:rsidRPr="006C0C91" w:rsidRDefault="006C0C91" w:rsidP="006C0C91">
      <w:pPr>
        <w:spacing w:line="240" w:lineRule="auto"/>
        <w:rPr>
          <w:rFonts w:eastAsia="Times New Roman" w:cs="Arial"/>
        </w:rPr>
      </w:pPr>
      <w:r>
        <w:rPr>
          <w:rFonts w:eastAsia="Times New Roman" w:cs="Arial"/>
          <w:color w:val="000000"/>
          <w:lang w:eastAsia="bg-BG"/>
        </w:rPr>
        <w:t xml:space="preserve">Нечести: </w:t>
      </w:r>
      <w:r w:rsidRPr="006C0C91">
        <w:rPr>
          <w:rFonts w:eastAsia="Times New Roman" w:cs="Arial"/>
          <w:color w:val="000000"/>
          <w:lang w:eastAsia="bg-BG"/>
        </w:rPr>
        <w:t>алопеция.</w:t>
      </w:r>
    </w:p>
    <w:p w14:paraId="6BB6528A"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С неизвестна честота: обрив, обостряне симптомите на псориазис, хиперхидроза.</w:t>
      </w:r>
    </w:p>
    <w:p w14:paraId="235E2858" w14:textId="77777777" w:rsidR="006C0C91" w:rsidRDefault="006C0C91" w:rsidP="006C0C91">
      <w:pPr>
        <w:spacing w:line="240" w:lineRule="auto"/>
        <w:rPr>
          <w:rFonts w:eastAsia="Times New Roman" w:cs="Arial"/>
          <w:color w:val="000000"/>
          <w:lang w:eastAsia="bg-BG"/>
        </w:rPr>
      </w:pPr>
    </w:p>
    <w:p w14:paraId="4C895784" w14:textId="4686259F" w:rsidR="006C0C91" w:rsidRPr="006C0C91" w:rsidRDefault="006C0C91" w:rsidP="006C0C91">
      <w:pPr>
        <w:spacing w:line="240" w:lineRule="auto"/>
        <w:rPr>
          <w:rFonts w:eastAsia="Times New Roman" w:cs="Arial"/>
        </w:rPr>
      </w:pPr>
      <w:r w:rsidRPr="006C0C91">
        <w:rPr>
          <w:rFonts w:eastAsia="Times New Roman" w:cs="Arial"/>
          <w:color w:val="000000"/>
          <w:lang w:eastAsia="bg-BG"/>
        </w:rPr>
        <w:t>Лекарствата с блокиращо действие върху бета-рецепторите могат да индуцират псориазис в много редки случаи, да влошат симптомите на това заболяване или да предизвикат псориазиформен екзантем.</w:t>
      </w:r>
    </w:p>
    <w:p w14:paraId="75472C94" w14:textId="77777777" w:rsidR="006C0C91" w:rsidRDefault="006C0C91" w:rsidP="006C0C91">
      <w:pPr>
        <w:spacing w:line="240" w:lineRule="auto"/>
        <w:rPr>
          <w:rFonts w:eastAsia="Times New Roman" w:cs="Arial"/>
          <w:i/>
          <w:iCs/>
          <w:color w:val="000000"/>
          <w:lang w:eastAsia="bg-BG"/>
        </w:rPr>
      </w:pPr>
    </w:p>
    <w:p w14:paraId="4BEF45A2" w14:textId="07983573"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Нарушения на мускулно-скелетната система и съединителната тъкан</w:t>
      </w:r>
    </w:p>
    <w:p w14:paraId="354F3A29" w14:textId="6E3E7ACD" w:rsidR="006C0C91" w:rsidRDefault="006C0C91" w:rsidP="006C0C91">
      <w:pPr>
        <w:spacing w:line="240" w:lineRule="auto"/>
        <w:rPr>
          <w:rFonts w:eastAsia="Times New Roman" w:cs="Arial"/>
          <w:color w:val="000000"/>
          <w:lang w:eastAsia="bg-BG"/>
        </w:rPr>
      </w:pPr>
      <w:r w:rsidRPr="006C0C91">
        <w:rPr>
          <w:rFonts w:eastAsia="Times New Roman" w:cs="Arial"/>
          <w:color w:val="000000"/>
          <w:lang w:eastAsia="bg-BG"/>
        </w:rPr>
        <w:t>Чести:</w:t>
      </w:r>
      <w:r w:rsidRPr="006C0C91">
        <w:rPr>
          <w:rFonts w:eastAsia="Times New Roman" w:cs="Arial"/>
          <w:color w:val="000000"/>
          <w:lang w:eastAsia="bg-BG"/>
        </w:rPr>
        <w:tab/>
        <w:t>Мускулни крампи</w:t>
      </w:r>
    </w:p>
    <w:p w14:paraId="6DFA0B92" w14:textId="2C9ADF0B" w:rsidR="006C0C91" w:rsidRDefault="006C0C91" w:rsidP="006C0C91">
      <w:pPr>
        <w:spacing w:line="240" w:lineRule="auto"/>
        <w:rPr>
          <w:rFonts w:eastAsia="Times New Roman" w:cs="Arial"/>
          <w:color w:val="000000"/>
          <w:lang w:eastAsia="bg-BG"/>
        </w:rPr>
      </w:pPr>
    </w:p>
    <w:p w14:paraId="70D84917" w14:textId="77777777"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Нарушения на възпроизводителната система и гърдата</w:t>
      </w:r>
    </w:p>
    <w:p w14:paraId="3478F337"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Чести:</w:t>
      </w:r>
      <w:r w:rsidRPr="006C0C91">
        <w:rPr>
          <w:rFonts w:eastAsia="Times New Roman" w:cs="Arial"/>
          <w:color w:val="000000"/>
          <w:lang w:eastAsia="bg-BG"/>
        </w:rPr>
        <w:tab/>
        <w:t>Нарушена сексуална функция</w:t>
      </w:r>
    </w:p>
    <w:p w14:paraId="384BB4A0" w14:textId="77777777" w:rsidR="006C0C91" w:rsidRDefault="006C0C91" w:rsidP="006C0C91">
      <w:pPr>
        <w:spacing w:line="240" w:lineRule="auto"/>
        <w:rPr>
          <w:rFonts w:eastAsia="Times New Roman" w:cs="Arial"/>
          <w:i/>
          <w:iCs/>
          <w:color w:val="000000"/>
          <w:lang w:eastAsia="bg-BG"/>
        </w:rPr>
      </w:pPr>
    </w:p>
    <w:p w14:paraId="1F174233" w14:textId="2D5F339C"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 xml:space="preserve">Общи нарушения и ефекти на мястото на приложение </w:t>
      </w:r>
      <w:r w:rsidRPr="006C0C91">
        <w:rPr>
          <w:rFonts w:eastAsia="Times New Roman" w:cs="Arial"/>
          <w:color w:val="000000"/>
          <w:lang w:eastAsia="bg-BG"/>
        </w:rPr>
        <w:t>Чести: фебрилитет, умора, астения, оток.</w:t>
      </w:r>
    </w:p>
    <w:p w14:paraId="4F9B0E89" w14:textId="77777777" w:rsidR="006C0C91" w:rsidRDefault="006C0C91" w:rsidP="006C0C91">
      <w:pPr>
        <w:spacing w:line="240" w:lineRule="auto"/>
        <w:rPr>
          <w:rFonts w:eastAsia="Times New Roman" w:cs="Arial"/>
          <w:i/>
          <w:iCs/>
          <w:color w:val="000000"/>
          <w:lang w:eastAsia="bg-BG"/>
        </w:rPr>
      </w:pPr>
    </w:p>
    <w:p w14:paraId="5A53615D" w14:textId="4B5D2681" w:rsidR="006C0C91" w:rsidRPr="006C0C91" w:rsidRDefault="006C0C91" w:rsidP="006C0C91">
      <w:pPr>
        <w:spacing w:line="240" w:lineRule="auto"/>
        <w:rPr>
          <w:rFonts w:eastAsia="Times New Roman" w:cs="Arial"/>
        </w:rPr>
      </w:pPr>
      <w:r w:rsidRPr="006C0C91">
        <w:rPr>
          <w:rFonts w:eastAsia="Times New Roman" w:cs="Arial"/>
          <w:i/>
          <w:iCs/>
          <w:color w:val="000000"/>
          <w:lang w:eastAsia="bg-BG"/>
        </w:rPr>
        <w:t>Изследвания</w:t>
      </w:r>
    </w:p>
    <w:p w14:paraId="4BCB0786"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С неизвестна честота: Образуване на антинуклеарни антитела</w:t>
      </w:r>
    </w:p>
    <w:p w14:paraId="56D84C2E" w14:textId="77777777" w:rsidR="006C0C91" w:rsidRDefault="006C0C91" w:rsidP="006C0C91">
      <w:pPr>
        <w:spacing w:line="240" w:lineRule="auto"/>
        <w:rPr>
          <w:rFonts w:eastAsia="Times New Roman" w:cs="Arial"/>
          <w:color w:val="000000"/>
          <w:lang w:eastAsia="bg-BG"/>
        </w:rPr>
      </w:pPr>
    </w:p>
    <w:p w14:paraId="46EC783F" w14:textId="0A897849" w:rsidR="006C0C91" w:rsidRPr="006C0C91" w:rsidRDefault="006C0C91" w:rsidP="006C0C91">
      <w:pPr>
        <w:spacing w:line="240" w:lineRule="auto"/>
        <w:rPr>
          <w:rFonts w:eastAsia="Times New Roman" w:cs="Arial"/>
        </w:rPr>
      </w:pPr>
      <w:r w:rsidRPr="006C0C91">
        <w:rPr>
          <w:rFonts w:eastAsia="Times New Roman" w:cs="Arial"/>
          <w:color w:val="000000"/>
          <w:lang w:eastAsia="bg-BG"/>
        </w:rPr>
        <w:t>Поради своето блокиращо действие върху бета-рецепторите, соталолов хидрохлорид може да повиши чувствителността към алергени и тежестта на анафилактичните реакции. Пациенти с тежки реакции на свръхчувствителност в анамнезата и пациенти на десенситизираща терапия могат да проявят ексцесивни анафилактични реакции.</w:t>
      </w:r>
    </w:p>
    <w:p w14:paraId="73914378" w14:textId="77777777" w:rsidR="006C0C91" w:rsidRDefault="006C0C91" w:rsidP="006C0C91">
      <w:pPr>
        <w:spacing w:line="240" w:lineRule="auto"/>
        <w:rPr>
          <w:rFonts w:eastAsia="Times New Roman" w:cs="Arial"/>
          <w:color w:val="000000"/>
          <w:lang w:eastAsia="bg-BG"/>
        </w:rPr>
      </w:pPr>
    </w:p>
    <w:p w14:paraId="78CDD72F" w14:textId="42EF5B60" w:rsidR="006C0C91" w:rsidRPr="006C0C91" w:rsidRDefault="006C0C91" w:rsidP="006C0C91">
      <w:pPr>
        <w:spacing w:line="240" w:lineRule="auto"/>
        <w:rPr>
          <w:rFonts w:eastAsia="Times New Roman" w:cs="Arial"/>
        </w:rPr>
      </w:pPr>
      <w:r w:rsidRPr="006C0C91">
        <w:rPr>
          <w:rFonts w:eastAsia="Times New Roman" w:cs="Arial"/>
          <w:color w:val="000000"/>
          <w:lang w:eastAsia="bg-BG"/>
        </w:rPr>
        <w:t>В изпитвания при пациенти със сърдечна аритмия най-често съобщаваните нежелани събития, водещи до прекратяване приема на соталол, са били умора - 4%, брадикардия (&lt;50 уд./мин.) - 3%, диспнея - 3%, проаритмия - 2% , астения 2 % и замайване - 2%.</w:t>
      </w:r>
    </w:p>
    <w:p w14:paraId="06169A97" w14:textId="77777777" w:rsidR="006C0C91" w:rsidRDefault="006C0C91" w:rsidP="006C0C91">
      <w:pPr>
        <w:spacing w:line="240" w:lineRule="auto"/>
        <w:rPr>
          <w:rFonts w:eastAsia="Times New Roman" w:cs="Arial"/>
          <w:color w:val="000000"/>
          <w:u w:val="single"/>
          <w:lang w:eastAsia="bg-BG"/>
        </w:rPr>
      </w:pPr>
    </w:p>
    <w:p w14:paraId="0BC51F29" w14:textId="26D64B61"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Съобщаване на подозирани нежелани реакции</w:t>
      </w:r>
    </w:p>
    <w:p w14:paraId="24492FC1"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6C0C91">
        <w:rPr>
          <w:rFonts w:eastAsia="Times New Roman" w:cs="Arial"/>
        </w:rPr>
        <w:fldChar w:fldCharType="begin"/>
      </w:r>
      <w:r w:rsidRPr="006C0C91">
        <w:rPr>
          <w:rFonts w:eastAsia="Times New Roman" w:cs="Arial"/>
        </w:rPr>
        <w:instrText xml:space="preserve"> HYPERLINK "http://www.bda.bg" </w:instrText>
      </w:r>
      <w:r w:rsidRPr="006C0C91">
        <w:rPr>
          <w:rFonts w:eastAsia="Times New Roman" w:cs="Arial"/>
        </w:rPr>
      </w:r>
      <w:r w:rsidRPr="006C0C91">
        <w:rPr>
          <w:rFonts w:eastAsia="Times New Roman" w:cs="Arial"/>
        </w:rPr>
        <w:fldChar w:fldCharType="separate"/>
      </w:r>
      <w:r w:rsidRPr="006C0C91">
        <w:rPr>
          <w:rFonts w:eastAsia="Times New Roman" w:cs="Arial"/>
          <w:color w:val="000000"/>
          <w:lang w:val="en-US"/>
        </w:rPr>
        <w:t>www.bda.bg</w:t>
      </w:r>
      <w:r w:rsidRPr="006C0C91">
        <w:rPr>
          <w:rFonts w:eastAsia="Times New Roman" w:cs="Arial"/>
        </w:rPr>
        <w:fldChar w:fldCharType="end"/>
      </w:r>
      <w:r w:rsidRPr="006C0C91">
        <w:rPr>
          <w:rFonts w:eastAsia="Times New Roman" w:cs="Arial"/>
          <w:color w:val="000000"/>
          <w:lang w:val="en-US"/>
        </w:rPr>
        <w:t>.</w:t>
      </w:r>
    </w:p>
    <w:p w14:paraId="4C6B7E57" w14:textId="77777777" w:rsidR="006C0C91" w:rsidRPr="006C0C91" w:rsidRDefault="006C0C91" w:rsidP="006C0C91">
      <w:pPr>
        <w:spacing w:line="240" w:lineRule="auto"/>
        <w:rPr>
          <w:rFonts w:eastAsia="Times New Roman" w:cs="Arial"/>
        </w:rPr>
      </w:pPr>
    </w:p>
    <w:p w14:paraId="19A94314" w14:textId="77777777" w:rsidR="006C0C91" w:rsidRPr="00BC0E16" w:rsidRDefault="006C0C91" w:rsidP="00BC0E16"/>
    <w:p w14:paraId="5A87DBA3" w14:textId="2C3537DF" w:rsidR="007122AD" w:rsidRDefault="002C50EE" w:rsidP="00936AD0">
      <w:pPr>
        <w:pStyle w:val="Heading2"/>
      </w:pPr>
      <w:r>
        <w:t>4.9. Предозиране</w:t>
      </w:r>
    </w:p>
    <w:p w14:paraId="10AD3584" w14:textId="5FEAB1B6" w:rsidR="006C0C91" w:rsidRDefault="006C0C91" w:rsidP="006C0C91"/>
    <w:p w14:paraId="1B9167F5" w14:textId="77777777"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 xml:space="preserve">Преднамереното или случайно предозиране със соталол в редки случаи завършва със смърт. </w:t>
      </w:r>
      <w:r w:rsidRPr="006C0C91">
        <w:rPr>
          <w:rFonts w:eastAsia="Times New Roman" w:cs="Arial"/>
          <w:color w:val="000000"/>
          <w:lang w:eastAsia="bg-BG"/>
        </w:rPr>
        <w:t>Ч</w:t>
      </w:r>
      <w:r w:rsidRPr="006C0C91">
        <w:rPr>
          <w:rFonts w:eastAsia="Times New Roman" w:cs="Arial"/>
          <w:color w:val="000000"/>
          <w:u w:val="single"/>
          <w:lang w:eastAsia="bg-BG"/>
        </w:rPr>
        <w:t>рез хемодиализа се намалява значително плазмената концентрация на соталол.</w:t>
      </w:r>
    </w:p>
    <w:p w14:paraId="44D7AED7" w14:textId="77777777" w:rsidR="006C0C91" w:rsidRDefault="006C0C91" w:rsidP="006C0C91">
      <w:pPr>
        <w:spacing w:line="240" w:lineRule="auto"/>
        <w:rPr>
          <w:rFonts w:eastAsia="Times New Roman" w:cs="Arial"/>
          <w:color w:val="000000"/>
          <w:u w:val="single"/>
          <w:lang w:eastAsia="bg-BG"/>
        </w:rPr>
      </w:pPr>
    </w:p>
    <w:p w14:paraId="344DE97D" w14:textId="42C96FED"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Симптоми</w:t>
      </w:r>
    </w:p>
    <w:p w14:paraId="2C031ED4"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Симптоматиката на интоксикация със соталолов хидрохлорид зависи от основното кардиологично състояние на пациента (левокамерна функция, сърдечни аритмии). При изразена сърдечна недостатъчност дори ниски дози от продукта могат да предизвикат влошаване състоянието на сърцето.</w:t>
      </w:r>
    </w:p>
    <w:p w14:paraId="45E3E096" w14:textId="77777777" w:rsidR="006C0C91" w:rsidRDefault="006C0C91" w:rsidP="006C0C91">
      <w:pPr>
        <w:spacing w:line="240" w:lineRule="auto"/>
        <w:rPr>
          <w:rFonts w:eastAsia="Times New Roman" w:cs="Arial"/>
          <w:color w:val="000000"/>
          <w:lang w:eastAsia="bg-BG"/>
        </w:rPr>
      </w:pPr>
    </w:p>
    <w:p w14:paraId="0EC26A42" w14:textId="215B47F2"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Най-честите признаци, които могат да се очакват, са: брадикардия, хипотония, застойна сърдечна недостатъчност, бронхоспазъм и хипогликемия. В случаи на масивно преднамерено предозиране (2-16 </w:t>
      </w:r>
      <w:r w:rsidRPr="006C0C91">
        <w:rPr>
          <w:rFonts w:eastAsia="Times New Roman" w:cs="Arial"/>
          <w:color w:val="000000"/>
          <w:lang w:val="en-US"/>
        </w:rPr>
        <w:t>g</w:t>
      </w:r>
      <w:r w:rsidRPr="006C0C91">
        <w:rPr>
          <w:rFonts w:eastAsia="Times New Roman" w:cs="Arial"/>
          <w:color w:val="000000"/>
          <w:lang w:val="ru-RU"/>
        </w:rPr>
        <w:t xml:space="preserve">) </w:t>
      </w:r>
      <w:r w:rsidRPr="006C0C91">
        <w:rPr>
          <w:rFonts w:eastAsia="Times New Roman" w:cs="Arial"/>
          <w:color w:val="000000"/>
          <w:lang w:eastAsia="bg-BG"/>
        </w:rPr>
        <w:t xml:space="preserve">на соталол са наблюдавани следните клинични прояви: хипотония, брадикардия, удължаване на </w:t>
      </w:r>
      <w:r w:rsidRPr="006C0C91">
        <w:rPr>
          <w:rFonts w:eastAsia="Times New Roman" w:cs="Arial"/>
          <w:color w:val="000000"/>
          <w:lang w:val="en-US"/>
        </w:rPr>
        <w:t>QT</w:t>
      </w:r>
      <w:r w:rsidRPr="006C0C91">
        <w:rPr>
          <w:rFonts w:eastAsia="Times New Roman" w:cs="Arial"/>
          <w:color w:val="000000"/>
          <w:lang w:val="ru-RU"/>
        </w:rPr>
        <w:t xml:space="preserve"> </w:t>
      </w:r>
      <w:r w:rsidRPr="006C0C91">
        <w:rPr>
          <w:rFonts w:eastAsia="Times New Roman" w:cs="Arial"/>
          <w:color w:val="000000"/>
          <w:lang w:eastAsia="bg-BG"/>
        </w:rPr>
        <w:t xml:space="preserve">интервала, преждевременни камерни комплекси, камерна тахикардия, </w:t>
      </w:r>
      <w:proofErr w:type="spellStart"/>
      <w:r w:rsidRPr="006C0C91">
        <w:rPr>
          <w:rFonts w:eastAsia="Times New Roman" w:cs="Arial"/>
          <w:i/>
          <w:iCs/>
          <w:color w:val="000000"/>
          <w:lang w:val="en-US"/>
        </w:rPr>
        <w:t>torsades</w:t>
      </w:r>
      <w:proofErr w:type="spellEnd"/>
      <w:r w:rsidRPr="006C0C91">
        <w:rPr>
          <w:rFonts w:eastAsia="Times New Roman" w:cs="Arial"/>
          <w:i/>
          <w:iCs/>
          <w:color w:val="000000"/>
          <w:lang w:val="ru-RU"/>
        </w:rPr>
        <w:t xml:space="preserve"> </w:t>
      </w:r>
      <w:r w:rsidRPr="006C0C91">
        <w:rPr>
          <w:rFonts w:eastAsia="Times New Roman" w:cs="Arial"/>
          <w:i/>
          <w:iCs/>
          <w:color w:val="000000"/>
          <w:lang w:val="en-US"/>
        </w:rPr>
        <w:t>de</w:t>
      </w:r>
      <w:r w:rsidRPr="006C0C91">
        <w:rPr>
          <w:rFonts w:eastAsia="Times New Roman" w:cs="Arial"/>
          <w:i/>
          <w:iCs/>
          <w:color w:val="000000"/>
          <w:lang w:val="ru-RU"/>
        </w:rPr>
        <w:t xml:space="preserve"> </w:t>
      </w:r>
      <w:r w:rsidRPr="006C0C91">
        <w:rPr>
          <w:rFonts w:eastAsia="Times New Roman" w:cs="Arial"/>
          <w:i/>
          <w:iCs/>
          <w:color w:val="000000"/>
          <w:lang w:val="en-US"/>
        </w:rPr>
        <w:t>pointes</w:t>
      </w:r>
      <w:r w:rsidRPr="006C0C91">
        <w:rPr>
          <w:rFonts w:eastAsia="Times New Roman" w:cs="Arial"/>
          <w:i/>
          <w:iCs/>
          <w:color w:val="000000"/>
          <w:lang w:val="ru-RU"/>
        </w:rPr>
        <w:t>.</w:t>
      </w:r>
    </w:p>
    <w:p w14:paraId="53732524"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В зависимост от степента на интоксикация клиничната картина показва кардиоваскуларни и ЦНС симптоми като: умора, безсъзнание, разширени зеници и рядко генерализирани гърчове, брадикардия до асистолия (в ЕКГ често се наблюдава излизане от ритъм), декомпенсирана сърдечна недостатъчност и симптоми на кардиоваскуларен шок.</w:t>
      </w:r>
    </w:p>
    <w:p w14:paraId="71A0B353" w14:textId="77777777" w:rsidR="006C0C91" w:rsidRDefault="006C0C91" w:rsidP="006C0C91">
      <w:pPr>
        <w:spacing w:line="240" w:lineRule="auto"/>
        <w:rPr>
          <w:rFonts w:eastAsia="Times New Roman" w:cs="Arial"/>
          <w:color w:val="000000"/>
          <w:u w:val="single"/>
          <w:lang w:eastAsia="bg-BG"/>
        </w:rPr>
      </w:pPr>
    </w:p>
    <w:p w14:paraId="0364B4A4" w14:textId="522BB3E1"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Терапия на предозиране</w:t>
      </w:r>
    </w:p>
    <w:p w14:paraId="4972B3E5"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В случай на предозиране лечението със соталол трябва да бъде прекратено и съст</w:t>
      </w:r>
      <w:r w:rsidRPr="006C0C91">
        <w:rPr>
          <w:rFonts w:eastAsia="Times New Roman" w:cs="Arial"/>
          <w:color w:val="000000"/>
          <w:u w:val="single"/>
          <w:lang w:eastAsia="bg-BG"/>
        </w:rPr>
        <w:t>ояниет</w:t>
      </w:r>
      <w:r w:rsidRPr="006C0C91">
        <w:rPr>
          <w:rFonts w:eastAsia="Times New Roman" w:cs="Arial"/>
          <w:color w:val="000000"/>
          <w:lang w:eastAsia="bg-BG"/>
        </w:rPr>
        <w:t>о на пациента да бъде стриктно наблюдавано.</w:t>
      </w:r>
    </w:p>
    <w:p w14:paraId="49B08C20" w14:textId="6AE72C25" w:rsidR="006C0C91" w:rsidRDefault="006C0C91" w:rsidP="006C0C91">
      <w:pPr>
        <w:spacing w:line="240" w:lineRule="auto"/>
        <w:rPr>
          <w:rFonts w:eastAsia="Times New Roman" w:cs="Arial"/>
          <w:color w:val="000000"/>
          <w:lang w:eastAsia="bg-BG"/>
        </w:rPr>
      </w:pPr>
      <w:r w:rsidRPr="006C0C91">
        <w:rPr>
          <w:rFonts w:eastAsia="Times New Roman" w:cs="Arial"/>
          <w:color w:val="000000"/>
          <w:lang w:eastAsia="bg-BG"/>
        </w:rPr>
        <w:t>Заедно с общите мерки за първично елиминиране на веществото, жизнените парамери трябва да бъдат мониторирани в условията на интензивно лечение и, ако е необходимо, да бъдат</w:t>
      </w:r>
      <w:r w:rsidRPr="006C0C91">
        <w:rPr>
          <w:rFonts w:eastAsia="Times New Roman" w:cs="Arial"/>
          <w:lang w:val="ru-RU"/>
        </w:rPr>
        <w:t xml:space="preserve"> </w:t>
      </w:r>
      <w:r w:rsidRPr="006C0C91">
        <w:rPr>
          <w:rFonts w:eastAsia="Times New Roman" w:cs="Arial"/>
          <w:color w:val="000000"/>
          <w:lang w:eastAsia="bg-BG"/>
        </w:rPr>
        <w:t>коригирани.</w:t>
      </w:r>
    </w:p>
    <w:p w14:paraId="419583D3" w14:textId="1FEEFD36" w:rsidR="006C0C91" w:rsidRDefault="006C0C91" w:rsidP="006C0C91">
      <w:pPr>
        <w:spacing w:line="240" w:lineRule="auto"/>
        <w:rPr>
          <w:rFonts w:eastAsia="Times New Roman" w:cs="Arial"/>
          <w:color w:val="000000"/>
          <w:lang w:eastAsia="bg-BG"/>
        </w:rPr>
      </w:pPr>
    </w:p>
    <w:p w14:paraId="63397CBB"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Абсорбцията на соталол може да бъде предотвратена чрез стомашна промивка, прилагане на активен въглен и лаксатив. Може да е необходимо апаратно дишане.</w:t>
      </w:r>
    </w:p>
    <w:p w14:paraId="2F72F657"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Освен това се препоръчват следните терапевтични мерки:</w:t>
      </w:r>
    </w:p>
    <w:p w14:paraId="73B3AFC7" w14:textId="77777777" w:rsidR="006C0C91" w:rsidRDefault="006C0C91" w:rsidP="006C0C91">
      <w:pPr>
        <w:spacing w:line="240" w:lineRule="auto"/>
        <w:rPr>
          <w:rFonts w:eastAsia="Times New Roman" w:cs="Arial"/>
          <w:color w:val="000000"/>
          <w:u w:val="single"/>
          <w:lang w:eastAsia="bg-BG"/>
        </w:rPr>
      </w:pPr>
    </w:p>
    <w:p w14:paraId="68612A5D" w14:textId="4AE5F9F9"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При брадикардия</w:t>
      </w:r>
      <w:r w:rsidRPr="006C0C91">
        <w:rPr>
          <w:rFonts w:eastAsia="Times New Roman" w:cs="Arial"/>
          <w:color w:val="000000"/>
          <w:lang w:eastAsia="bg-BG"/>
        </w:rPr>
        <w:t xml:space="preserve">: атропин (0,5-2 </w:t>
      </w:r>
      <w:r w:rsidRPr="006C0C91">
        <w:rPr>
          <w:rFonts w:eastAsia="Times New Roman" w:cs="Arial"/>
          <w:color w:val="000000"/>
          <w:lang w:val="en-US"/>
        </w:rPr>
        <w:t>mg</w:t>
      </w:r>
      <w:r w:rsidRPr="006C0C91">
        <w:rPr>
          <w:rFonts w:eastAsia="Times New Roman" w:cs="Arial"/>
          <w:color w:val="000000"/>
          <w:lang w:val="ru-RU"/>
        </w:rPr>
        <w:t xml:space="preserve"> </w:t>
      </w:r>
      <w:r w:rsidRPr="006C0C91">
        <w:rPr>
          <w:rFonts w:eastAsia="Times New Roman" w:cs="Arial"/>
          <w:color w:val="000000"/>
          <w:lang w:eastAsia="bg-BG"/>
        </w:rPr>
        <w:t>интравенозно като болус), друг антихолинергичен лекарствен продукт, бета-адренергичен агонист (изопреналин, 5 микрограма в минута, до 25 микрограма, приложен като бавна интравенозна инжекция). При рефрактерна брадикардия трябва временно да бъде включен пейсмейкър трансвенозно.</w:t>
      </w:r>
    </w:p>
    <w:p w14:paraId="1956D8B5" w14:textId="77777777" w:rsidR="006C0C91" w:rsidRDefault="006C0C91" w:rsidP="006C0C91">
      <w:pPr>
        <w:spacing w:line="240" w:lineRule="auto"/>
        <w:rPr>
          <w:rFonts w:eastAsia="Times New Roman" w:cs="Arial"/>
          <w:color w:val="000000"/>
          <w:u w:val="single"/>
          <w:lang w:eastAsia="bg-BG"/>
        </w:rPr>
      </w:pPr>
    </w:p>
    <w:p w14:paraId="72A32BEA" w14:textId="1E616470"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Сърдечен блок (II и III степен)</w:t>
      </w:r>
      <w:r w:rsidRPr="006C0C91">
        <w:rPr>
          <w:rFonts w:eastAsia="Times New Roman" w:cs="Arial"/>
          <w:color w:val="000000"/>
          <w:lang w:eastAsia="bg-BG"/>
        </w:rPr>
        <w:t>: трансвенозно включване на пейсмейкър</w:t>
      </w:r>
    </w:p>
    <w:p w14:paraId="64AEBBA4" w14:textId="77777777" w:rsidR="006C0C91" w:rsidRDefault="006C0C91" w:rsidP="006C0C91">
      <w:pPr>
        <w:spacing w:line="240" w:lineRule="auto"/>
        <w:rPr>
          <w:rFonts w:eastAsia="Times New Roman" w:cs="Arial"/>
          <w:color w:val="000000"/>
          <w:u w:val="single"/>
          <w:lang w:eastAsia="bg-BG"/>
        </w:rPr>
      </w:pPr>
    </w:p>
    <w:p w14:paraId="78D8B30E" w14:textId="4F6B5BD4"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Хипотония:</w:t>
      </w:r>
      <w:r w:rsidRPr="006C0C91">
        <w:rPr>
          <w:rFonts w:eastAsia="Times New Roman" w:cs="Arial"/>
          <w:color w:val="000000"/>
          <w:lang w:eastAsia="bg-BG"/>
        </w:rPr>
        <w:t xml:space="preserve"> адреналин може да има по-добър ефект в сравнение с изопреналин или норадреналин, в зависимост от свързаните фактори</w:t>
      </w:r>
    </w:p>
    <w:p w14:paraId="0F5E2764" w14:textId="77777777" w:rsidR="006C0C91" w:rsidRDefault="006C0C91" w:rsidP="006C0C91">
      <w:pPr>
        <w:spacing w:line="240" w:lineRule="auto"/>
        <w:rPr>
          <w:rFonts w:eastAsia="Times New Roman" w:cs="Arial"/>
          <w:color w:val="000000"/>
          <w:u w:val="single"/>
          <w:lang w:eastAsia="bg-BG"/>
        </w:rPr>
      </w:pPr>
    </w:p>
    <w:p w14:paraId="2C5A1473" w14:textId="33C45E30" w:rsidR="006C0C91" w:rsidRPr="006C0C91" w:rsidRDefault="006C0C91" w:rsidP="006C0C91">
      <w:pPr>
        <w:spacing w:line="240" w:lineRule="auto"/>
        <w:rPr>
          <w:rFonts w:eastAsia="Times New Roman" w:cs="Arial"/>
        </w:rPr>
      </w:pPr>
      <w:r w:rsidRPr="006C0C91">
        <w:rPr>
          <w:rFonts w:eastAsia="Times New Roman" w:cs="Arial"/>
          <w:color w:val="000000"/>
          <w:u w:val="single"/>
          <w:lang w:eastAsia="bg-BG"/>
        </w:rPr>
        <w:t>Бронхоспазъм:</w:t>
      </w:r>
      <w:r w:rsidRPr="006C0C91">
        <w:rPr>
          <w:rFonts w:eastAsia="Times New Roman" w:cs="Arial"/>
          <w:color w:val="000000"/>
          <w:lang w:eastAsia="bg-BG"/>
        </w:rPr>
        <w:t xml:space="preserve"> Аминофилин или стимулатори на бета-2 рецепторите (аерозолна форма)</w:t>
      </w:r>
    </w:p>
    <w:p w14:paraId="3BD50F0E" w14:textId="77777777" w:rsidR="006C0C91" w:rsidRDefault="006C0C91" w:rsidP="006C0C91">
      <w:pPr>
        <w:spacing w:line="240" w:lineRule="auto"/>
        <w:rPr>
          <w:rFonts w:eastAsia="Times New Roman" w:cs="Arial"/>
          <w:i/>
          <w:iCs/>
          <w:color w:val="000000"/>
          <w:u w:val="single"/>
        </w:rPr>
      </w:pPr>
    </w:p>
    <w:p w14:paraId="16CF5D11" w14:textId="2A19D38A" w:rsidR="006C0C91" w:rsidRPr="006C0C91" w:rsidRDefault="006C0C91" w:rsidP="006C0C91">
      <w:pPr>
        <w:spacing w:line="240" w:lineRule="auto"/>
        <w:rPr>
          <w:rFonts w:eastAsia="Times New Roman" w:cs="Arial"/>
        </w:rPr>
      </w:pPr>
      <w:proofErr w:type="spellStart"/>
      <w:r w:rsidRPr="006C0C91">
        <w:rPr>
          <w:rFonts w:eastAsia="Times New Roman" w:cs="Arial"/>
          <w:i/>
          <w:iCs/>
          <w:color w:val="000000"/>
          <w:u w:val="single"/>
          <w:lang w:val="en-US"/>
        </w:rPr>
        <w:t>Torsades</w:t>
      </w:r>
      <w:proofErr w:type="spellEnd"/>
      <w:r w:rsidRPr="006C0C91">
        <w:rPr>
          <w:rFonts w:eastAsia="Times New Roman" w:cs="Arial"/>
          <w:i/>
          <w:iCs/>
          <w:color w:val="000000"/>
          <w:u w:val="single"/>
        </w:rPr>
        <w:t xml:space="preserve"> </w:t>
      </w:r>
      <w:proofErr w:type="spellStart"/>
      <w:r w:rsidRPr="006C0C91">
        <w:rPr>
          <w:rFonts w:eastAsia="Times New Roman" w:cs="Arial"/>
          <w:i/>
          <w:iCs/>
          <w:color w:val="000000"/>
          <w:u w:val="single"/>
          <w:lang w:val="en-US"/>
        </w:rPr>
        <w:t>depointes</w:t>
      </w:r>
      <w:proofErr w:type="spellEnd"/>
      <w:r w:rsidRPr="006C0C91">
        <w:rPr>
          <w:rFonts w:eastAsia="Times New Roman" w:cs="Arial"/>
          <w:i/>
          <w:iCs/>
          <w:color w:val="000000"/>
          <w:u w:val="single"/>
        </w:rPr>
        <w:t>:</w:t>
      </w:r>
      <w:r w:rsidRPr="006C0C91">
        <w:rPr>
          <w:rFonts w:eastAsia="Times New Roman" w:cs="Arial"/>
          <w:color w:val="000000"/>
        </w:rPr>
        <w:t xml:space="preserve"> </w:t>
      </w:r>
      <w:r w:rsidRPr="006C0C91">
        <w:rPr>
          <w:rFonts w:eastAsia="Times New Roman" w:cs="Arial"/>
          <w:color w:val="000000"/>
          <w:lang w:eastAsia="bg-BG"/>
        </w:rPr>
        <w:t>кардиоверзио. трансвенозно включване на пейсмейкър, адреналин и магнезиев сулфат.</w:t>
      </w:r>
    </w:p>
    <w:p w14:paraId="1B7F0DF5" w14:textId="77777777" w:rsidR="006C0C91" w:rsidRDefault="006C0C91" w:rsidP="006C0C91">
      <w:pPr>
        <w:spacing w:line="240" w:lineRule="auto"/>
        <w:rPr>
          <w:rFonts w:eastAsia="Times New Roman" w:cs="Arial"/>
          <w:color w:val="000000"/>
          <w:lang w:eastAsia="bg-BG"/>
        </w:rPr>
      </w:pPr>
    </w:p>
    <w:p w14:paraId="2C320E1F" w14:textId="77AF4F38" w:rsidR="006C0C91" w:rsidRPr="006C0C91" w:rsidRDefault="006C0C91" w:rsidP="006C0C91">
      <w:pPr>
        <w:spacing w:line="240" w:lineRule="auto"/>
        <w:rPr>
          <w:rFonts w:eastAsia="Times New Roman" w:cs="Arial"/>
        </w:rPr>
      </w:pPr>
      <w:r w:rsidRPr="006C0C91">
        <w:rPr>
          <w:rFonts w:eastAsia="Times New Roman" w:cs="Arial"/>
          <w:color w:val="000000"/>
          <w:lang w:eastAsia="bg-BG"/>
        </w:rPr>
        <w:t>Бета-симпатикомиметици, пропорционално на телесното тегло и постигнатия ефект: допамин, добутамин, изопреналин, орципреналин и адреналин;</w:t>
      </w:r>
    </w:p>
    <w:p w14:paraId="2E74C601" w14:textId="6B4253A9" w:rsidR="006C0C91" w:rsidRPr="006C0C91" w:rsidRDefault="006C0C91" w:rsidP="006C0C91">
      <w:pPr>
        <w:spacing w:line="240" w:lineRule="auto"/>
        <w:rPr>
          <w:rFonts w:eastAsia="Times New Roman" w:cs="Arial"/>
        </w:rPr>
      </w:pPr>
      <w:r w:rsidRPr="006C0C91">
        <w:rPr>
          <w:rFonts w:eastAsia="Times New Roman" w:cs="Arial"/>
          <w:color w:val="000000"/>
          <w:lang w:eastAsia="bg-BG"/>
        </w:rPr>
        <w:lastRenderedPageBreak/>
        <w:t xml:space="preserve">Глюкагон: начално 1-10 </w:t>
      </w:r>
      <w:r w:rsidRPr="006C0C91">
        <w:rPr>
          <w:rFonts w:eastAsia="Times New Roman" w:cs="Arial"/>
          <w:color w:val="000000"/>
          <w:lang w:val="en-US"/>
        </w:rPr>
        <w:t>mg</w:t>
      </w:r>
      <w:r w:rsidRPr="006C0C91">
        <w:rPr>
          <w:rFonts w:eastAsia="Times New Roman" w:cs="Arial"/>
          <w:color w:val="000000"/>
          <w:lang w:val="ru-RU"/>
        </w:rPr>
        <w:t xml:space="preserve"> </w:t>
      </w:r>
      <w:r w:rsidRPr="006C0C91">
        <w:rPr>
          <w:rFonts w:eastAsia="Times New Roman" w:cs="Arial"/>
          <w:color w:val="000000"/>
          <w:lang w:eastAsia="bg-BG"/>
        </w:rPr>
        <w:t xml:space="preserve">интравенозно, последвани от 2-2,5 </w:t>
      </w:r>
      <w:r w:rsidRPr="006C0C91">
        <w:rPr>
          <w:rFonts w:eastAsia="Times New Roman" w:cs="Arial"/>
          <w:color w:val="000000"/>
          <w:lang w:val="en-US"/>
        </w:rPr>
        <w:t>mg</w:t>
      </w:r>
      <w:r w:rsidRPr="006C0C91">
        <w:rPr>
          <w:rFonts w:eastAsia="Times New Roman" w:cs="Arial"/>
          <w:color w:val="000000"/>
          <w:lang w:eastAsia="bg-BG"/>
        </w:rPr>
        <w:t>/час като продължителна инфузия.</w:t>
      </w:r>
    </w:p>
    <w:p w14:paraId="02081B24" w14:textId="36FE76F4" w:rsidR="00395555" w:rsidRPr="00395555" w:rsidRDefault="002C50EE" w:rsidP="008A6AF2">
      <w:pPr>
        <w:pStyle w:val="Heading1"/>
      </w:pPr>
      <w:r>
        <w:t>5. ФАРМАКОЛОГИЧНИ СВОЙСТВА</w:t>
      </w:r>
    </w:p>
    <w:p w14:paraId="6339E404" w14:textId="6A90616B" w:rsidR="00875EEC" w:rsidRDefault="002C50EE" w:rsidP="005726E3">
      <w:pPr>
        <w:pStyle w:val="Heading2"/>
      </w:pPr>
      <w:r>
        <w:t>5.1. Фармакодинамични свойства</w:t>
      </w:r>
    </w:p>
    <w:p w14:paraId="3FF63CC8" w14:textId="6486A89C" w:rsidR="006C0C91" w:rsidRDefault="006C0C91" w:rsidP="006C0C91"/>
    <w:p w14:paraId="687AF531"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Фармакотерапевтична група: клас III антиаритмични продукти с изявена бета- адренорецепторна блокада</w:t>
      </w:r>
    </w:p>
    <w:p w14:paraId="395994E6" w14:textId="77777777" w:rsidR="006C0C91" w:rsidRDefault="006C0C91" w:rsidP="006C0C91">
      <w:pPr>
        <w:spacing w:line="240" w:lineRule="auto"/>
        <w:rPr>
          <w:rFonts w:eastAsia="Times New Roman" w:cs="Arial"/>
          <w:color w:val="000000"/>
          <w:lang w:val="en-US"/>
        </w:rPr>
      </w:pPr>
    </w:p>
    <w:p w14:paraId="501D4033" w14:textId="7DC2E860" w:rsidR="006C0C91" w:rsidRPr="006C0C91" w:rsidRDefault="006C0C91" w:rsidP="006C0C91">
      <w:pPr>
        <w:spacing w:line="240" w:lineRule="auto"/>
        <w:rPr>
          <w:rFonts w:eastAsia="Times New Roman" w:cs="Arial"/>
        </w:rPr>
      </w:pPr>
      <w:r w:rsidRPr="006C0C91">
        <w:rPr>
          <w:rFonts w:eastAsia="Times New Roman" w:cs="Arial"/>
          <w:color w:val="000000"/>
          <w:lang w:val="en-US"/>
        </w:rPr>
        <w:t>D</w:t>
      </w:r>
      <w:r w:rsidRPr="006C0C91">
        <w:rPr>
          <w:rFonts w:eastAsia="Times New Roman" w:cs="Arial"/>
          <w:color w:val="000000"/>
          <w:lang w:val="ru-RU"/>
        </w:rPr>
        <w:t xml:space="preserve">, </w:t>
      </w:r>
      <w:r w:rsidRPr="006C0C91">
        <w:rPr>
          <w:rFonts w:eastAsia="Times New Roman" w:cs="Arial"/>
          <w:color w:val="000000"/>
          <w:lang w:val="en-US"/>
        </w:rPr>
        <w:t>L</w:t>
      </w:r>
      <w:r w:rsidRPr="006C0C91">
        <w:rPr>
          <w:rFonts w:eastAsia="Times New Roman" w:cs="Arial"/>
          <w:color w:val="000000"/>
          <w:lang w:eastAsia="bg-BG"/>
        </w:rPr>
        <w:t xml:space="preserve">-соталолов хидрохлорид е хидрофилно лекарство, принадлежащо към клас III антиаритмични средства с изразена блокада на бета-адренергичните рецептори. Клас III- антиаритмичният ефект се изразява в остро удължаване терминалната фаза на монофазния акционен потенциал без повлияване скоростта на провеждане. Абсолютният рефрактерен период е удължен. Този електрофизиологичен механизъм на действие не е свързан само с дясно, но и с ляво въртящите изомери и е доказан в предсърдието, </w:t>
      </w:r>
      <w:r w:rsidRPr="006C0C91">
        <w:rPr>
          <w:rFonts w:eastAsia="Times New Roman" w:cs="Arial"/>
          <w:color w:val="000000"/>
          <w:lang w:val="en-US"/>
        </w:rPr>
        <w:t>AV</w:t>
      </w:r>
      <w:r w:rsidRPr="006C0C91">
        <w:rPr>
          <w:rFonts w:eastAsia="Times New Roman" w:cs="Arial"/>
          <w:color w:val="000000"/>
          <w:lang w:val="ru-RU"/>
        </w:rPr>
        <w:t xml:space="preserve"> </w:t>
      </w:r>
      <w:r w:rsidRPr="006C0C91">
        <w:rPr>
          <w:rFonts w:eastAsia="Times New Roman" w:cs="Arial"/>
          <w:color w:val="000000"/>
          <w:lang w:eastAsia="bg-BG"/>
        </w:rPr>
        <w:t>възела, аксцесорния сноп и камерата.</w:t>
      </w:r>
    </w:p>
    <w:p w14:paraId="170E13D0" w14:textId="77777777" w:rsidR="006C0C91" w:rsidRDefault="006C0C91" w:rsidP="006C0C91">
      <w:pPr>
        <w:spacing w:line="240" w:lineRule="auto"/>
        <w:rPr>
          <w:rFonts w:eastAsia="Times New Roman" w:cs="Arial"/>
          <w:color w:val="000000"/>
          <w:lang w:eastAsia="bg-BG"/>
        </w:rPr>
      </w:pPr>
    </w:p>
    <w:p w14:paraId="0D34D7D8" w14:textId="2C315102" w:rsidR="006C0C91" w:rsidRPr="006C0C91" w:rsidRDefault="006C0C91" w:rsidP="006C0C91">
      <w:pPr>
        <w:spacing w:line="240" w:lineRule="auto"/>
        <w:rPr>
          <w:rFonts w:eastAsia="Times New Roman" w:cs="Arial"/>
        </w:rPr>
      </w:pPr>
      <w:r w:rsidRPr="006C0C91">
        <w:rPr>
          <w:rFonts w:eastAsia="Times New Roman" w:cs="Arial"/>
          <w:color w:val="000000"/>
          <w:lang w:eastAsia="bg-BG"/>
        </w:rPr>
        <w:t>Бета-адренергичната блокада без собствена симпатомимети</w:t>
      </w:r>
      <w:r>
        <w:rPr>
          <w:rFonts w:eastAsia="Times New Roman" w:cs="Arial"/>
          <w:color w:val="000000"/>
          <w:lang w:eastAsia="bg-BG"/>
        </w:rPr>
        <w:t>чна активност, свързана с ляво-</w:t>
      </w:r>
      <w:r w:rsidRPr="006C0C91">
        <w:rPr>
          <w:rFonts w:eastAsia="Times New Roman" w:cs="Arial"/>
          <w:color w:val="000000"/>
          <w:lang w:eastAsia="bg-BG"/>
        </w:rPr>
        <w:t>въртящия изомер, се отнася в еднаква степен до бета</w:t>
      </w:r>
      <w:r w:rsidRPr="006C0C91">
        <w:rPr>
          <w:rFonts w:eastAsia="Times New Roman" w:cs="Arial"/>
          <w:color w:val="000000"/>
          <w:vertAlign w:val="subscript"/>
          <w:lang w:eastAsia="bg-BG"/>
        </w:rPr>
        <w:t>1</w:t>
      </w:r>
      <w:r w:rsidRPr="006C0C91">
        <w:rPr>
          <w:rFonts w:eastAsia="Times New Roman" w:cs="Arial"/>
          <w:color w:val="000000"/>
          <w:lang w:eastAsia="bg-BG"/>
        </w:rPr>
        <w:t xml:space="preserve"> и бета</w:t>
      </w:r>
      <w:r w:rsidRPr="006C0C91">
        <w:rPr>
          <w:rFonts w:eastAsia="Times New Roman" w:cs="Arial"/>
          <w:color w:val="000000"/>
          <w:vertAlign w:val="subscript"/>
          <w:lang w:eastAsia="bg-BG"/>
        </w:rPr>
        <w:t>1</w:t>
      </w:r>
      <w:r w:rsidRPr="006C0C91">
        <w:rPr>
          <w:rFonts w:eastAsia="Times New Roman" w:cs="Arial"/>
          <w:color w:val="000000"/>
          <w:lang w:eastAsia="bg-BG"/>
        </w:rPr>
        <w:t xml:space="preserve">-адренергичните рецептори. Субстанцията намалява, пропорционално на симпатиковия тонус, честотата и контрактилитета на сърцето, </w:t>
      </w:r>
      <w:r w:rsidRPr="006C0C91">
        <w:rPr>
          <w:rFonts w:eastAsia="Times New Roman" w:cs="Arial"/>
          <w:color w:val="000000"/>
          <w:lang w:val="en-US"/>
        </w:rPr>
        <w:t>AV</w:t>
      </w:r>
      <w:r w:rsidRPr="006C0C91">
        <w:rPr>
          <w:rFonts w:eastAsia="Times New Roman" w:cs="Arial"/>
          <w:color w:val="000000"/>
          <w:lang w:val="ru-RU"/>
        </w:rPr>
        <w:t xml:space="preserve"> </w:t>
      </w:r>
      <w:r w:rsidRPr="006C0C91">
        <w:rPr>
          <w:rFonts w:eastAsia="Times New Roman" w:cs="Arial"/>
          <w:color w:val="000000"/>
          <w:lang w:eastAsia="bg-BG"/>
        </w:rPr>
        <w:t>проводимостта и плазмената ренинова активност. Чрез инхибиране на бета</w:t>
      </w:r>
      <w:r w:rsidRPr="006C0C91">
        <w:rPr>
          <w:rFonts w:eastAsia="Times New Roman" w:cs="Arial"/>
          <w:color w:val="000000"/>
          <w:vertAlign w:val="subscript"/>
          <w:lang w:eastAsia="bg-BG"/>
        </w:rPr>
        <w:t>2</w:t>
      </w:r>
      <w:r w:rsidRPr="006C0C91">
        <w:rPr>
          <w:rFonts w:eastAsia="Times New Roman" w:cs="Arial"/>
          <w:color w:val="000000"/>
          <w:lang w:eastAsia="bg-BG"/>
        </w:rPr>
        <w:t>- рецепторите може да предизвика елевация на тонуса на гладката мускулатура.</w:t>
      </w:r>
    </w:p>
    <w:p w14:paraId="1CFF4E5A" w14:textId="77777777" w:rsidR="006C0C91" w:rsidRPr="006C0C91" w:rsidRDefault="006C0C91" w:rsidP="006C0C91"/>
    <w:p w14:paraId="346B622B" w14:textId="7AFD8194" w:rsidR="00875EEC" w:rsidRDefault="002C50EE" w:rsidP="005726E3">
      <w:pPr>
        <w:pStyle w:val="Heading2"/>
      </w:pPr>
      <w:r>
        <w:t>5.2. Фармакокинетични свойства</w:t>
      </w:r>
    </w:p>
    <w:p w14:paraId="6A611262" w14:textId="290B311D" w:rsidR="006C0C91" w:rsidRDefault="006C0C91" w:rsidP="006C0C91"/>
    <w:p w14:paraId="405BF15A"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75-90 % от приетия соталолов хидрохлорид се резорбира в гастроинтестиналния тракт. Поради липсата на ефект на първо преминаване през черния дроб, абсолютната бионаличност възлиза на 75-90%. Максимални плазмени нива се достигат в рамките на 2-3 часа след перорално приложение. Обемът на разпределение е 1,6-2,4 </w:t>
      </w:r>
      <w:r w:rsidRPr="006C0C91">
        <w:rPr>
          <w:rFonts w:eastAsia="Times New Roman" w:cs="Arial"/>
          <w:color w:val="000000"/>
          <w:lang w:val="ru-RU"/>
        </w:rPr>
        <w:t>1/</w:t>
      </w:r>
      <w:r w:rsidRPr="006C0C91">
        <w:rPr>
          <w:rFonts w:eastAsia="Times New Roman" w:cs="Arial"/>
          <w:color w:val="000000"/>
          <w:lang w:val="en-US"/>
        </w:rPr>
        <w:t>kg</w:t>
      </w:r>
      <w:r w:rsidRPr="006C0C91">
        <w:rPr>
          <w:rFonts w:eastAsia="Times New Roman" w:cs="Arial"/>
          <w:color w:val="000000"/>
          <w:lang w:val="ru-RU"/>
        </w:rPr>
        <w:t xml:space="preserve">; </w:t>
      </w:r>
      <w:r w:rsidRPr="006C0C91">
        <w:rPr>
          <w:rFonts w:eastAsia="Times New Roman" w:cs="Arial"/>
          <w:color w:val="000000"/>
          <w:lang w:eastAsia="bg-BG"/>
        </w:rPr>
        <w:t>нивото на свързване на плазмените протеини е 0%.</w:t>
      </w:r>
    </w:p>
    <w:p w14:paraId="433359AA" w14:textId="77777777" w:rsidR="006C0C91" w:rsidRPr="006C0C91" w:rsidRDefault="006C0C91" w:rsidP="006C0C91">
      <w:pPr>
        <w:spacing w:line="240" w:lineRule="auto"/>
        <w:rPr>
          <w:rFonts w:eastAsia="Times New Roman" w:cs="Arial"/>
          <w:color w:val="000000"/>
          <w:lang w:eastAsia="bg-BG"/>
        </w:rPr>
      </w:pPr>
    </w:p>
    <w:p w14:paraId="2246D0E1" w14:textId="2403B2CA" w:rsidR="006C0C91" w:rsidRPr="006C0C91" w:rsidRDefault="006C0C91" w:rsidP="006C0C91">
      <w:pPr>
        <w:spacing w:line="240" w:lineRule="auto"/>
        <w:rPr>
          <w:rFonts w:eastAsia="Times New Roman" w:cs="Arial"/>
          <w:color w:val="000000"/>
          <w:lang w:eastAsia="bg-BG"/>
        </w:rPr>
      </w:pPr>
      <w:r w:rsidRPr="006C0C91">
        <w:rPr>
          <w:rFonts w:eastAsia="Times New Roman" w:cs="Arial"/>
          <w:color w:val="000000"/>
          <w:lang w:eastAsia="bg-BG"/>
        </w:rPr>
        <w:t>Досега не са открити фармакологично активни метаболити.</w:t>
      </w:r>
    </w:p>
    <w:p w14:paraId="3CEEB5AB" w14:textId="2CBC2322" w:rsidR="006C0C91" w:rsidRPr="006C0C91" w:rsidRDefault="006C0C91" w:rsidP="006C0C91">
      <w:pPr>
        <w:spacing w:line="240" w:lineRule="auto"/>
        <w:rPr>
          <w:rFonts w:eastAsia="Times New Roman" w:cs="Arial"/>
          <w:color w:val="000000"/>
          <w:lang w:eastAsia="bg-BG"/>
        </w:rPr>
      </w:pPr>
    </w:p>
    <w:p w14:paraId="3D0E2CCD" w14:textId="77777777" w:rsidR="006C0C91" w:rsidRPr="006C0C91" w:rsidRDefault="006C0C91" w:rsidP="006C0C91">
      <w:pPr>
        <w:spacing w:line="240" w:lineRule="auto"/>
        <w:rPr>
          <w:rFonts w:eastAsia="Times New Roman" w:cs="Arial"/>
        </w:rPr>
      </w:pPr>
      <w:r w:rsidRPr="006C0C91">
        <w:rPr>
          <w:rFonts w:eastAsia="Times New Roman" w:cs="Arial"/>
          <w:color w:val="000000"/>
          <w:lang w:eastAsia="bg-BG"/>
        </w:rPr>
        <w:t xml:space="preserve">Соталолов хидрохлорид се екскретира предимно чрез бъбреците. Бъбречният клирънс е 120 </w:t>
      </w:r>
      <w:r w:rsidRPr="006C0C91">
        <w:rPr>
          <w:rFonts w:eastAsia="Times New Roman" w:cs="Arial"/>
          <w:color w:val="000000"/>
          <w:lang w:val="en-US"/>
        </w:rPr>
        <w:t>ml</w:t>
      </w:r>
      <w:r w:rsidRPr="006C0C91">
        <w:rPr>
          <w:rFonts w:eastAsia="Times New Roman" w:cs="Arial"/>
          <w:color w:val="000000"/>
          <w:lang w:val="ru-RU"/>
        </w:rPr>
        <w:t>/</w:t>
      </w:r>
      <w:r w:rsidRPr="006C0C91">
        <w:rPr>
          <w:rFonts w:eastAsia="Times New Roman" w:cs="Arial"/>
          <w:color w:val="000000"/>
          <w:lang w:val="en-US"/>
        </w:rPr>
        <w:t>min</w:t>
      </w:r>
      <w:r w:rsidRPr="006C0C91">
        <w:rPr>
          <w:rFonts w:eastAsia="Times New Roman" w:cs="Arial"/>
          <w:color w:val="000000"/>
          <w:lang w:val="ru-RU"/>
        </w:rPr>
        <w:t xml:space="preserve"> </w:t>
      </w:r>
      <w:r w:rsidRPr="006C0C91">
        <w:rPr>
          <w:rFonts w:eastAsia="Times New Roman" w:cs="Arial"/>
          <w:color w:val="000000"/>
          <w:lang w:eastAsia="bg-BG"/>
        </w:rPr>
        <w:t>и съответства на тоталния клирънс.</w:t>
      </w:r>
    </w:p>
    <w:p w14:paraId="2513ED75" w14:textId="77777777" w:rsidR="006C0C91" w:rsidRPr="006C0C91" w:rsidRDefault="006C0C91" w:rsidP="006C0C91">
      <w:pPr>
        <w:spacing w:line="240" w:lineRule="auto"/>
        <w:rPr>
          <w:rFonts w:eastAsia="Times New Roman" w:cs="Arial"/>
          <w:color w:val="000000"/>
          <w:lang w:eastAsia="bg-BG"/>
        </w:rPr>
      </w:pPr>
    </w:p>
    <w:p w14:paraId="63D99295" w14:textId="2CD93D5D" w:rsidR="006C0C91" w:rsidRPr="006C0C91" w:rsidRDefault="006C0C91" w:rsidP="006C0C91">
      <w:pPr>
        <w:spacing w:line="240" w:lineRule="auto"/>
        <w:rPr>
          <w:rFonts w:eastAsia="Times New Roman" w:cs="Arial"/>
        </w:rPr>
      </w:pPr>
      <w:r w:rsidRPr="006C0C91">
        <w:rPr>
          <w:rFonts w:eastAsia="Times New Roman" w:cs="Arial"/>
          <w:color w:val="000000"/>
          <w:lang w:eastAsia="bg-BG"/>
        </w:rPr>
        <w:t>Плазменият полуживот възлиза на около 15 часа, но може да се увеличи до 42 часа при пациенти с терминална бъбречна недостатъчност.</w:t>
      </w:r>
    </w:p>
    <w:p w14:paraId="489CAA2A" w14:textId="77777777" w:rsidR="006C0C91" w:rsidRPr="006C0C91" w:rsidRDefault="006C0C91" w:rsidP="006C0C91">
      <w:pPr>
        <w:spacing w:line="240" w:lineRule="auto"/>
        <w:rPr>
          <w:rFonts w:ascii="Times New Roman" w:eastAsia="Times New Roman" w:hAnsi="Times New Roman" w:cs="Times New Roman"/>
          <w:sz w:val="24"/>
          <w:szCs w:val="24"/>
        </w:rPr>
      </w:pPr>
    </w:p>
    <w:p w14:paraId="2D67F483" w14:textId="77777777" w:rsidR="006C0C91" w:rsidRPr="006C0C91" w:rsidRDefault="006C0C91" w:rsidP="006C0C91"/>
    <w:p w14:paraId="4F31844C" w14:textId="3B6C5ABC" w:rsidR="00875EEC" w:rsidRDefault="002C50EE" w:rsidP="005726E3">
      <w:pPr>
        <w:pStyle w:val="Heading2"/>
      </w:pPr>
      <w:r>
        <w:t>5.3. Предклинични данни за безопасност</w:t>
      </w:r>
    </w:p>
    <w:p w14:paraId="46E1B6DD" w14:textId="5C310A95" w:rsidR="006C0C91" w:rsidRDefault="006C0C91" w:rsidP="006C0C91"/>
    <w:p w14:paraId="0BB6E3B7" w14:textId="77777777" w:rsidR="006C0C91" w:rsidRPr="006C0C91" w:rsidRDefault="006C0C91" w:rsidP="006C0C91">
      <w:pPr>
        <w:rPr>
          <w:sz w:val="24"/>
          <w:szCs w:val="24"/>
        </w:rPr>
      </w:pPr>
      <w:r w:rsidRPr="006C0C91">
        <w:rPr>
          <w:lang w:eastAsia="bg-BG"/>
        </w:rPr>
        <w:t>Предклиничните данни, базирани на конвенционални фармакологични проучвания на безопасност, хронична токсичност, генотоксичност и канцерогенност не показват някакви особени рискове при хора.</w:t>
      </w:r>
    </w:p>
    <w:p w14:paraId="7BB954C3" w14:textId="77777777" w:rsidR="006C0C91" w:rsidRDefault="006C0C91" w:rsidP="006C0C91">
      <w:pPr>
        <w:rPr>
          <w:lang w:eastAsia="bg-BG"/>
        </w:rPr>
      </w:pPr>
    </w:p>
    <w:p w14:paraId="024AA86B" w14:textId="052BC88C" w:rsidR="006C0C91" w:rsidRPr="006C0C91" w:rsidRDefault="006C0C91" w:rsidP="006C0C91">
      <w:pPr>
        <w:rPr>
          <w:sz w:val="24"/>
          <w:szCs w:val="24"/>
        </w:rPr>
      </w:pPr>
      <w:r w:rsidRPr="006C0C91">
        <w:rPr>
          <w:lang w:eastAsia="bg-BG"/>
        </w:rPr>
        <w:lastRenderedPageBreak/>
        <w:t>Репродуктивно-токсикологични проучвания при плъхове и зайци не показват данни за тератогенни ефекти на соталолов хидрохлорид. При дозировки над човешките терапевтични дози са възникнали ембриотоксични ефекти с летален изход при плъхове и зайци, както и понижено тегло при раждане, променена рецепторна плътност в мозъка и поведенчески промени при плъховете.</w:t>
      </w:r>
    </w:p>
    <w:p w14:paraId="606FEF36" w14:textId="77777777" w:rsidR="006C0C91" w:rsidRPr="006C0C91" w:rsidRDefault="006C0C91" w:rsidP="006C0C91"/>
    <w:p w14:paraId="1BA6531D" w14:textId="0FF5ACA0" w:rsidR="00B6672E" w:rsidRDefault="002C50EE" w:rsidP="00936AD0">
      <w:pPr>
        <w:pStyle w:val="Heading1"/>
      </w:pPr>
      <w:r>
        <w:t>7. ПРИТЕЖАТЕЛ НА РАЗРЕШЕНИЕТО ЗА УПОТРЕБА</w:t>
      </w:r>
    </w:p>
    <w:p w14:paraId="5EEC4120" w14:textId="288B6203" w:rsidR="006C0C91" w:rsidRDefault="006C0C91" w:rsidP="006C0C91"/>
    <w:p w14:paraId="7977E202" w14:textId="77777777" w:rsidR="006C0C91" w:rsidRPr="006C0C91" w:rsidRDefault="006C0C91" w:rsidP="006C0C91">
      <w:pPr>
        <w:rPr>
          <w:sz w:val="24"/>
          <w:szCs w:val="24"/>
          <w:lang w:val="ru-RU"/>
        </w:rPr>
      </w:pPr>
      <w:r w:rsidRPr="006C0C91">
        <w:rPr>
          <w:lang w:val="en-US"/>
        </w:rPr>
        <w:t>HEXAL</w:t>
      </w:r>
      <w:r w:rsidRPr="006C0C91">
        <w:rPr>
          <w:lang w:val="ru-RU"/>
        </w:rPr>
        <w:t xml:space="preserve"> </w:t>
      </w:r>
      <w:r w:rsidRPr="006C0C91">
        <w:rPr>
          <w:lang w:val="en-US"/>
        </w:rPr>
        <w:t>AG</w:t>
      </w:r>
    </w:p>
    <w:p w14:paraId="14E9A6C7" w14:textId="77777777" w:rsidR="006C0C91" w:rsidRDefault="006C0C91" w:rsidP="006C0C91">
      <w:pPr>
        <w:rPr>
          <w:lang w:val="ru-RU"/>
        </w:rPr>
      </w:pPr>
      <w:proofErr w:type="spellStart"/>
      <w:r w:rsidRPr="006C0C91">
        <w:rPr>
          <w:lang w:val="en-US"/>
        </w:rPr>
        <w:t>Industriestrasse</w:t>
      </w:r>
      <w:proofErr w:type="spellEnd"/>
      <w:r w:rsidRPr="006C0C91">
        <w:rPr>
          <w:lang w:val="ru-RU"/>
        </w:rPr>
        <w:t xml:space="preserve"> </w:t>
      </w:r>
      <w:r w:rsidRPr="006C0C91">
        <w:rPr>
          <w:lang w:eastAsia="bg-BG"/>
        </w:rPr>
        <w:t xml:space="preserve">25, </w:t>
      </w:r>
      <w:r w:rsidRPr="006C0C91">
        <w:rPr>
          <w:lang w:val="en-US"/>
        </w:rPr>
        <w:t>D</w:t>
      </w:r>
      <w:r w:rsidRPr="006C0C91">
        <w:rPr>
          <w:lang w:val="ru-RU"/>
        </w:rPr>
        <w:t xml:space="preserve">-83607 </w:t>
      </w:r>
      <w:proofErr w:type="spellStart"/>
      <w:r w:rsidRPr="006C0C91">
        <w:rPr>
          <w:lang w:val="en-US"/>
        </w:rPr>
        <w:t>Holzkirchen</w:t>
      </w:r>
      <w:proofErr w:type="spellEnd"/>
      <w:r w:rsidRPr="006C0C91">
        <w:rPr>
          <w:lang w:val="ru-RU"/>
        </w:rPr>
        <w:t xml:space="preserve">, </w:t>
      </w:r>
    </w:p>
    <w:p w14:paraId="063BCA76" w14:textId="6902364A" w:rsidR="006C0C91" w:rsidRPr="006C0C91" w:rsidRDefault="006C0C91" w:rsidP="006C0C91">
      <w:r w:rsidRPr="006C0C91">
        <w:rPr>
          <w:lang w:eastAsia="bg-BG"/>
        </w:rPr>
        <w:t>Германия</w:t>
      </w:r>
    </w:p>
    <w:p w14:paraId="508F3A54" w14:textId="62AFD75D" w:rsidR="00B6672E" w:rsidRDefault="00936AD0" w:rsidP="00936AD0">
      <w:pPr>
        <w:pStyle w:val="Heading1"/>
      </w:pPr>
      <w:r>
        <w:t>8.</w:t>
      </w:r>
      <w:r w:rsidR="002C50EE">
        <w:t>НОМЕР НА РАЗРЕШЕНИЕТО ЗА УПОТРЕБА</w:t>
      </w:r>
    </w:p>
    <w:p w14:paraId="0EE5F809" w14:textId="27691E4E" w:rsidR="006C0C91" w:rsidRDefault="006C0C91" w:rsidP="006C0C91"/>
    <w:p w14:paraId="73409B15" w14:textId="77777777" w:rsidR="006C0C91" w:rsidRPr="006C0C91" w:rsidRDefault="006C0C91" w:rsidP="006C0C91">
      <w:pPr>
        <w:rPr>
          <w:sz w:val="24"/>
          <w:szCs w:val="24"/>
        </w:rPr>
      </w:pPr>
      <w:r w:rsidRPr="006C0C91">
        <w:rPr>
          <w:lang w:eastAsia="bg-BG"/>
        </w:rPr>
        <w:t xml:space="preserve">Сотахексал 80 </w:t>
      </w:r>
      <w:r w:rsidRPr="006C0C91">
        <w:rPr>
          <w:lang w:val="en-US"/>
        </w:rPr>
        <w:t>mg</w:t>
      </w:r>
      <w:r w:rsidRPr="006C0C91">
        <w:rPr>
          <w:lang w:val="ru-RU"/>
        </w:rPr>
        <w:t xml:space="preserve"> </w:t>
      </w:r>
      <w:r w:rsidRPr="006C0C91">
        <w:rPr>
          <w:lang w:eastAsia="bg-BG"/>
        </w:rPr>
        <w:t>- 20020377</w:t>
      </w:r>
    </w:p>
    <w:p w14:paraId="06BC502F" w14:textId="4B371CAC" w:rsidR="006C0C91" w:rsidRDefault="006C0C91" w:rsidP="006C0C91">
      <w:pPr>
        <w:rPr>
          <w:lang w:eastAsia="bg-BG"/>
        </w:rPr>
      </w:pPr>
      <w:r w:rsidRPr="006C0C91">
        <w:rPr>
          <w:lang w:eastAsia="bg-BG"/>
        </w:rPr>
        <w:t xml:space="preserve">Сотахексал 160 </w:t>
      </w:r>
      <w:r w:rsidRPr="006C0C91">
        <w:rPr>
          <w:lang w:val="en-US"/>
        </w:rPr>
        <w:t>mg</w:t>
      </w:r>
      <w:r w:rsidRPr="006C0C91">
        <w:rPr>
          <w:lang w:val="ru-RU"/>
        </w:rPr>
        <w:t xml:space="preserve"> </w:t>
      </w:r>
      <w:r>
        <w:rPr>
          <w:lang w:eastAsia="bg-BG"/>
        </w:rPr>
        <w:t>–</w:t>
      </w:r>
      <w:r w:rsidRPr="006C0C91">
        <w:rPr>
          <w:lang w:eastAsia="bg-BG"/>
        </w:rPr>
        <w:t xml:space="preserve"> 20020378</w:t>
      </w:r>
    </w:p>
    <w:p w14:paraId="2D5D4EA8" w14:textId="77777777" w:rsidR="006C0C91" w:rsidRPr="006C0C91" w:rsidRDefault="006C0C91" w:rsidP="006C0C91"/>
    <w:p w14:paraId="3BC5EC53" w14:textId="1C53D2EB" w:rsidR="00875EEC" w:rsidRDefault="002C50EE" w:rsidP="005726E3">
      <w:pPr>
        <w:pStyle w:val="Heading1"/>
      </w:pPr>
      <w:r>
        <w:t>9. ДАТА НА ПЪРВО РАЗРЕШАВАНЕ/ПОДНОВЯВАНЕ НА РАЗРЕШЕНИЕТО ЗА УПОТРЕБА</w:t>
      </w:r>
    </w:p>
    <w:p w14:paraId="56CF5271" w14:textId="6A9AA76B" w:rsidR="006C0C91" w:rsidRDefault="006C0C91" w:rsidP="006C0C91"/>
    <w:p w14:paraId="232EA334" w14:textId="77777777" w:rsidR="006C0C91" w:rsidRPr="006C0C91" w:rsidRDefault="006C0C91" w:rsidP="006C0C91">
      <w:pPr>
        <w:rPr>
          <w:sz w:val="24"/>
          <w:szCs w:val="24"/>
        </w:rPr>
      </w:pPr>
      <w:r w:rsidRPr="006C0C91">
        <w:rPr>
          <w:lang w:eastAsia="bg-BG"/>
        </w:rPr>
        <w:t>Първо РУ: 16.05.2002</w:t>
      </w:r>
    </w:p>
    <w:p w14:paraId="4F37B7EA" w14:textId="77777777" w:rsidR="006C0C91" w:rsidRPr="006C0C91" w:rsidRDefault="006C0C91" w:rsidP="006C0C91">
      <w:pPr>
        <w:rPr>
          <w:sz w:val="24"/>
          <w:szCs w:val="24"/>
        </w:rPr>
      </w:pPr>
      <w:r w:rsidRPr="006C0C91">
        <w:rPr>
          <w:lang w:eastAsia="bg-BG"/>
        </w:rPr>
        <w:t>Подновяване на РУ: 15.10.2007</w:t>
      </w:r>
    </w:p>
    <w:p w14:paraId="4A15A310" w14:textId="77777777" w:rsidR="006C0C91" w:rsidRPr="006C0C91" w:rsidRDefault="006C0C91" w:rsidP="006C0C91"/>
    <w:p w14:paraId="43FB38A2" w14:textId="2797646D" w:rsidR="007C605B" w:rsidRDefault="002C50EE" w:rsidP="005726E3">
      <w:pPr>
        <w:pStyle w:val="Heading1"/>
      </w:pPr>
      <w:r>
        <w:t>10. ДАТА НА АКТУАЛИЗИРАНЕ НА ТЕКСТА</w:t>
      </w:r>
      <w:bookmarkEnd w:id="0"/>
    </w:p>
    <w:p w14:paraId="75F469F5" w14:textId="5B38194B" w:rsidR="006C0C91" w:rsidRPr="006C0C91" w:rsidRDefault="006C0C91" w:rsidP="006C0C91">
      <w:r>
        <w:t>06/2020</w:t>
      </w:r>
      <w:bookmarkStart w:id="2" w:name="_GoBack"/>
      <w:bookmarkEnd w:id="2"/>
    </w:p>
    <w:sectPr w:rsidR="006C0C91" w:rsidRPr="006C0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5A5701D"/>
    <w:multiLevelType w:val="hybridMultilevel"/>
    <w:tmpl w:val="E966B1F4"/>
    <w:lvl w:ilvl="0" w:tplc="F652648C">
      <w:start w:val="4"/>
      <w:numFmt w:val="bullet"/>
      <w:lvlText w:val="-"/>
      <w:lvlJc w:val="left"/>
      <w:pPr>
        <w:ind w:left="720" w:hanging="360"/>
      </w:pPr>
      <w:rPr>
        <w:rFonts w:ascii="Times New Roman" w:eastAsia="Times New Roman" w:hAnsi="Times New Roman" w:cs="Times New Roman" w:hint="default"/>
        <w:color w:val="000000"/>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6023B"/>
    <w:multiLevelType w:val="hybridMultilevel"/>
    <w:tmpl w:val="951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3"/>
  </w:num>
  <w:num w:numId="12">
    <w:abstractNumId w:val="16"/>
  </w:num>
  <w:num w:numId="13">
    <w:abstractNumId w:val="21"/>
  </w:num>
  <w:num w:numId="14">
    <w:abstractNumId w:val="14"/>
  </w:num>
  <w:num w:numId="15">
    <w:abstractNumId w:val="32"/>
  </w:num>
  <w:num w:numId="16">
    <w:abstractNumId w:val="11"/>
  </w:num>
  <w:num w:numId="17">
    <w:abstractNumId w:val="27"/>
  </w:num>
  <w:num w:numId="18">
    <w:abstractNumId w:val="8"/>
  </w:num>
  <w:num w:numId="19">
    <w:abstractNumId w:val="29"/>
  </w:num>
  <w:num w:numId="20">
    <w:abstractNumId w:val="25"/>
  </w:num>
  <w:num w:numId="21">
    <w:abstractNumId w:val="19"/>
  </w:num>
  <w:num w:numId="22">
    <w:abstractNumId w:val="28"/>
  </w:num>
  <w:num w:numId="23">
    <w:abstractNumId w:val="20"/>
  </w:num>
  <w:num w:numId="24">
    <w:abstractNumId w:val="9"/>
  </w:num>
  <w:num w:numId="25">
    <w:abstractNumId w:val="24"/>
  </w:num>
  <w:num w:numId="26">
    <w:abstractNumId w:val="23"/>
  </w:num>
  <w:num w:numId="27">
    <w:abstractNumId w:val="34"/>
  </w:num>
  <w:num w:numId="28">
    <w:abstractNumId w:val="6"/>
  </w:num>
  <w:num w:numId="29">
    <w:abstractNumId w:val="22"/>
  </w:num>
  <w:num w:numId="30">
    <w:abstractNumId w:val="37"/>
  </w:num>
  <w:num w:numId="31">
    <w:abstractNumId w:val="5"/>
  </w:num>
  <w:num w:numId="32">
    <w:abstractNumId w:val="36"/>
  </w:num>
  <w:num w:numId="33">
    <w:abstractNumId w:val="31"/>
  </w:num>
  <w:num w:numId="34">
    <w:abstractNumId w:val="35"/>
  </w:num>
  <w:num w:numId="35">
    <w:abstractNumId w:val="7"/>
  </w:num>
  <w:num w:numId="36">
    <w:abstractNumId w:val="10"/>
  </w:num>
  <w:num w:numId="37">
    <w:abstractNumId w:val="2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6C0C91"/>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C0E16"/>
    <w:rsid w:val="00BF2600"/>
    <w:rsid w:val="00C0049F"/>
    <w:rsid w:val="00C07B84"/>
    <w:rsid w:val="00C33464"/>
    <w:rsid w:val="00C40420"/>
    <w:rsid w:val="00C809A7"/>
    <w:rsid w:val="00C83063"/>
    <w:rsid w:val="00C87E90"/>
    <w:rsid w:val="00CA1B57"/>
    <w:rsid w:val="00CF77F7"/>
    <w:rsid w:val="00D86297"/>
    <w:rsid w:val="00DB32D3"/>
    <w:rsid w:val="00DD466D"/>
    <w:rsid w:val="00E85E5A"/>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5150</Words>
  <Characters>29359</Characters>
  <Application>Microsoft Office Word</Application>
  <DocSecurity>0</DocSecurity>
  <Lines>244</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2022-11-29T22:38:00Z</dcterms:created>
  <dcterms:modified xsi:type="dcterms:W3CDTF">2022-11-29T22:38:00Z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