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53E0407D" w:rsidR="00C07B84" w:rsidRDefault="00DD466D" w:rsidP="00DD466D">
      <w:pPr>
        <w:pStyle w:val="Heading1"/>
      </w:pPr>
      <w:r>
        <w:t>1.ИМЕ НА ЛЕКАРСТВЕНИЯ ПРОДУКТ</w:t>
      </w:r>
    </w:p>
    <w:p w14:paraId="67831A41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 xml:space="preserve"> таблетки</w:t>
      </w:r>
    </w:p>
    <w:p w14:paraId="5D16D3AD" w14:textId="4892B71D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t>Spasmalgon</w:t>
      </w:r>
      <w:proofErr w:type="spellEnd"/>
      <w:r w:rsidRPr="00227FF0">
        <w:t xml:space="preserve"> </w:t>
      </w:r>
      <w:proofErr w:type="spellStart"/>
      <w:r w:rsidRPr="00227FF0">
        <w:t>tablets</w:t>
      </w:r>
      <w:proofErr w:type="spellEnd"/>
    </w:p>
    <w:p w14:paraId="3A916BC0" w14:textId="4BD811DA" w:rsidR="00DD466D" w:rsidRDefault="00DD466D" w:rsidP="00DD466D">
      <w:pPr>
        <w:pStyle w:val="Heading1"/>
      </w:pPr>
      <w:r>
        <w:t>2. КАЧЕСТВЕН И КОЛИЧЕСТВЕН СЪСТАВ</w:t>
      </w:r>
    </w:p>
    <w:p w14:paraId="2A56A846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Всяка таблетка съдържа 500 </w:t>
      </w:r>
      <w:proofErr w:type="spellStart"/>
      <w:r w:rsidRPr="00227FF0">
        <w:t>mg</w:t>
      </w:r>
      <w:proofErr w:type="spellEnd"/>
      <w:r w:rsidRPr="00227FF0">
        <w:t xml:space="preserve">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натрий </w:t>
      </w:r>
      <w:r w:rsidRPr="00227FF0">
        <w:rPr>
          <w:i/>
          <w:iCs/>
        </w:rPr>
        <w:t>(</w:t>
      </w:r>
      <w:proofErr w:type="spellStart"/>
      <w:r w:rsidRPr="00227FF0">
        <w:rPr>
          <w:i/>
          <w:iCs/>
        </w:rPr>
        <w:t>metamizole</w:t>
      </w:r>
      <w:proofErr w:type="spellEnd"/>
      <w:r w:rsidRPr="00227FF0">
        <w:rPr>
          <w:i/>
          <w:iCs/>
        </w:rPr>
        <w:t xml:space="preserve"> </w:t>
      </w:r>
      <w:proofErr w:type="spellStart"/>
      <w:r w:rsidRPr="00227FF0">
        <w:rPr>
          <w:i/>
          <w:iCs/>
        </w:rPr>
        <w:t>sodium</w:t>
      </w:r>
      <w:proofErr w:type="spellEnd"/>
      <w:r w:rsidRPr="00227FF0">
        <w:rPr>
          <w:i/>
          <w:iCs/>
        </w:rPr>
        <w:t>),</w:t>
      </w:r>
      <w:r w:rsidRPr="00227FF0">
        <w:t xml:space="preserve"> </w:t>
      </w:r>
      <w:r w:rsidRPr="00227FF0">
        <w:rPr>
          <w:lang w:eastAsia="bg-BG"/>
        </w:rPr>
        <w:t xml:space="preserve">5 </w:t>
      </w:r>
      <w:proofErr w:type="spellStart"/>
      <w:r w:rsidRPr="00227FF0">
        <w:t>mg</w:t>
      </w:r>
      <w:proofErr w:type="spellEnd"/>
      <w:r w:rsidRPr="00227FF0">
        <w:t xml:space="preserve"> </w:t>
      </w:r>
      <w:proofErr w:type="spellStart"/>
      <w:r w:rsidRPr="00227FF0">
        <w:rPr>
          <w:lang w:eastAsia="bg-BG"/>
        </w:rPr>
        <w:t>питофенонов</w:t>
      </w:r>
      <w:proofErr w:type="spellEnd"/>
      <w:r w:rsidRPr="00227FF0">
        <w:rPr>
          <w:lang w:eastAsia="bg-BG"/>
        </w:rPr>
        <w:t xml:space="preserve"> хидрохлорид </w:t>
      </w:r>
      <w:r w:rsidRPr="00227FF0">
        <w:rPr>
          <w:i/>
          <w:iCs/>
        </w:rPr>
        <w:t>(</w:t>
      </w:r>
      <w:proofErr w:type="spellStart"/>
      <w:r w:rsidRPr="00227FF0">
        <w:rPr>
          <w:i/>
          <w:iCs/>
        </w:rPr>
        <w:t>pitofenone</w:t>
      </w:r>
      <w:proofErr w:type="spellEnd"/>
      <w:r w:rsidRPr="00227FF0">
        <w:rPr>
          <w:i/>
          <w:iCs/>
        </w:rPr>
        <w:t xml:space="preserve"> </w:t>
      </w:r>
      <w:proofErr w:type="spellStart"/>
      <w:r w:rsidRPr="00227FF0">
        <w:rPr>
          <w:i/>
          <w:iCs/>
        </w:rPr>
        <w:t>hydrochloride</w:t>
      </w:r>
      <w:proofErr w:type="spellEnd"/>
      <w:r w:rsidRPr="00227FF0">
        <w:rPr>
          <w:i/>
          <w:iCs/>
        </w:rPr>
        <w:t>)</w:t>
      </w:r>
      <w:r w:rsidRPr="00227FF0">
        <w:t xml:space="preserve"> </w:t>
      </w:r>
      <w:r w:rsidRPr="00227FF0">
        <w:rPr>
          <w:lang w:eastAsia="bg-BG"/>
        </w:rPr>
        <w:t xml:space="preserve">и 0,1 </w:t>
      </w:r>
      <w:proofErr w:type="spellStart"/>
      <w:r w:rsidRPr="00227FF0">
        <w:t>mg</w:t>
      </w:r>
      <w:proofErr w:type="spellEnd"/>
      <w:r w:rsidRPr="00227FF0">
        <w:t xml:space="preserve"> </w:t>
      </w:r>
      <w:proofErr w:type="spellStart"/>
      <w:r w:rsidRPr="00227FF0">
        <w:rPr>
          <w:lang w:eastAsia="bg-BG"/>
        </w:rPr>
        <w:t>фенпивериниев</w:t>
      </w:r>
      <w:proofErr w:type="spellEnd"/>
      <w:r w:rsidRPr="00227FF0">
        <w:rPr>
          <w:lang w:eastAsia="bg-BG"/>
        </w:rPr>
        <w:t xml:space="preserve"> бромид </w:t>
      </w:r>
      <w:r w:rsidRPr="00227FF0">
        <w:rPr>
          <w:i/>
          <w:iCs/>
        </w:rPr>
        <w:t>(</w:t>
      </w:r>
      <w:proofErr w:type="spellStart"/>
      <w:r w:rsidRPr="00227FF0">
        <w:rPr>
          <w:i/>
          <w:iCs/>
        </w:rPr>
        <w:t>fenpiverinium</w:t>
      </w:r>
      <w:proofErr w:type="spellEnd"/>
      <w:r w:rsidRPr="00227FF0">
        <w:rPr>
          <w:i/>
          <w:iCs/>
        </w:rPr>
        <w:t xml:space="preserve"> </w:t>
      </w:r>
      <w:proofErr w:type="spellStart"/>
      <w:r w:rsidRPr="00227FF0">
        <w:rPr>
          <w:i/>
          <w:iCs/>
        </w:rPr>
        <w:t>bromide</w:t>
      </w:r>
      <w:proofErr w:type="spellEnd"/>
      <w:r w:rsidRPr="00227FF0">
        <w:rPr>
          <w:i/>
          <w:iCs/>
        </w:rPr>
        <w:t>).</w:t>
      </w:r>
    </w:p>
    <w:p w14:paraId="186EEF0D" w14:textId="77777777" w:rsidR="00227FF0" w:rsidRDefault="00227FF0" w:rsidP="00227FF0">
      <w:pPr>
        <w:rPr>
          <w:u w:val="single"/>
          <w:lang w:eastAsia="bg-BG"/>
        </w:rPr>
      </w:pPr>
    </w:p>
    <w:p w14:paraId="5982530E" w14:textId="142CDEE0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u w:val="single"/>
          <w:lang w:eastAsia="bg-BG"/>
        </w:rPr>
        <w:t>Помощни вещества с известно действие:</w:t>
      </w:r>
    </w:p>
    <w:p w14:paraId="3B31A9DE" w14:textId="77B920D1" w:rsidR="00227FF0" w:rsidRPr="00227FF0" w:rsidRDefault="00227FF0" w:rsidP="00227FF0">
      <w:r w:rsidRPr="00227FF0">
        <w:rPr>
          <w:lang w:eastAsia="bg-BG"/>
        </w:rPr>
        <w:t xml:space="preserve">Всяка таблетка съдържа 10 </w:t>
      </w:r>
      <w:proofErr w:type="spellStart"/>
      <w:r w:rsidRPr="00227FF0">
        <w:t>mg</w:t>
      </w:r>
      <w:proofErr w:type="spellEnd"/>
      <w:r w:rsidRPr="00227FF0">
        <w:t xml:space="preserve"> </w:t>
      </w:r>
      <w:r w:rsidRPr="00227FF0">
        <w:rPr>
          <w:lang w:eastAsia="bg-BG"/>
        </w:rPr>
        <w:t xml:space="preserve">лактоза </w:t>
      </w:r>
      <w:proofErr w:type="spellStart"/>
      <w:r w:rsidRPr="00227FF0">
        <w:rPr>
          <w:lang w:eastAsia="bg-BG"/>
        </w:rPr>
        <w:t>монохидрат</w:t>
      </w:r>
      <w:proofErr w:type="spellEnd"/>
      <w:r w:rsidRPr="00227FF0">
        <w:rPr>
          <w:lang w:eastAsia="bg-BG"/>
        </w:rPr>
        <w:t xml:space="preserve"> и 85,9 </w:t>
      </w:r>
      <w:proofErr w:type="spellStart"/>
      <w:r w:rsidRPr="00227FF0">
        <w:t>mg</w:t>
      </w:r>
      <w:proofErr w:type="spellEnd"/>
      <w:r w:rsidRPr="00227FF0">
        <w:t xml:space="preserve"> </w:t>
      </w:r>
      <w:r w:rsidRPr="00227FF0">
        <w:rPr>
          <w:lang w:eastAsia="bg-BG"/>
        </w:rPr>
        <w:t>пшенично нишесте.</w:t>
      </w:r>
    </w:p>
    <w:p w14:paraId="74A1D0A0" w14:textId="72D5779F" w:rsidR="002B4DBB" w:rsidRDefault="00DD466D" w:rsidP="00C07B84">
      <w:pPr>
        <w:pStyle w:val="Heading1"/>
      </w:pPr>
      <w:r>
        <w:t>3. ЛЕКАРСТВЕНА ФОРМА</w:t>
      </w:r>
    </w:p>
    <w:p w14:paraId="6E75E5E3" w14:textId="77777777" w:rsidR="00227FF0" w:rsidRDefault="00227FF0" w:rsidP="00227FF0">
      <w:pPr>
        <w:rPr>
          <w:lang w:eastAsia="bg-BG"/>
        </w:rPr>
      </w:pPr>
    </w:p>
    <w:p w14:paraId="2D95BD62" w14:textId="460FFD51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Таблетка</w:t>
      </w:r>
    </w:p>
    <w:p w14:paraId="14C27AE4" w14:textId="77777777" w:rsidR="00227FF0" w:rsidRDefault="00227FF0" w:rsidP="00227FF0">
      <w:pPr>
        <w:rPr>
          <w:lang w:eastAsia="bg-BG"/>
        </w:rPr>
      </w:pPr>
    </w:p>
    <w:p w14:paraId="648F34B0" w14:textId="3C013106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Бели или почти бели, кръгли, плоски таблетки с двустранна фасета, с черта от едната страна и диаметър 13 </w:t>
      </w:r>
      <w:r w:rsidRPr="00227FF0">
        <w:t>mm.</w:t>
      </w:r>
    </w:p>
    <w:p w14:paraId="025B0DEB" w14:textId="152113A2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Таблетката може да бъде разделена на две равни дози.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03F129CA" w:rsidR="002B4DBB" w:rsidRDefault="002C50EE" w:rsidP="00C07B84">
      <w:pPr>
        <w:pStyle w:val="Heading2"/>
      </w:pPr>
      <w:r>
        <w:t>4.1. Терапевтични показания</w:t>
      </w:r>
    </w:p>
    <w:p w14:paraId="02D4F8AF" w14:textId="77777777" w:rsidR="00227FF0" w:rsidRDefault="00227FF0" w:rsidP="00227FF0">
      <w:pPr>
        <w:rPr>
          <w:lang w:eastAsia="bg-BG"/>
        </w:rPr>
      </w:pPr>
    </w:p>
    <w:p w14:paraId="6BF2304B" w14:textId="36A569B4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Симптоматично лечение на слабо или умерено изразен </w:t>
      </w:r>
      <w:proofErr w:type="spellStart"/>
      <w:r w:rsidRPr="00227FF0">
        <w:rPr>
          <w:lang w:eastAsia="bg-BG"/>
        </w:rPr>
        <w:t>болков</w:t>
      </w:r>
      <w:proofErr w:type="spellEnd"/>
      <w:r w:rsidRPr="00227FF0">
        <w:rPr>
          <w:lang w:eastAsia="bg-BG"/>
        </w:rPr>
        <w:t xml:space="preserve"> синдром, вследствие спазми на гладката мускулатура на вътрешните органи:</w:t>
      </w:r>
    </w:p>
    <w:p w14:paraId="45339E9D" w14:textId="77777777" w:rsidR="00227FF0" w:rsidRPr="00227FF0" w:rsidRDefault="00227FF0" w:rsidP="00227FF0">
      <w:pPr>
        <w:pStyle w:val="ListParagraph"/>
        <w:numPr>
          <w:ilvl w:val="0"/>
          <w:numId w:val="18"/>
        </w:numPr>
        <w:rPr>
          <w:lang w:eastAsia="bg-BG"/>
        </w:rPr>
      </w:pPr>
      <w:proofErr w:type="spellStart"/>
      <w:r w:rsidRPr="00227FF0">
        <w:rPr>
          <w:lang w:eastAsia="bg-BG"/>
        </w:rPr>
        <w:t>нефролитиаза</w:t>
      </w:r>
      <w:proofErr w:type="spellEnd"/>
      <w:r w:rsidRPr="00227FF0">
        <w:rPr>
          <w:lang w:eastAsia="bg-BG"/>
        </w:rPr>
        <w:t xml:space="preserve"> и възпалителни заболявания на пикочните пътища, протичащи с болка и </w:t>
      </w:r>
      <w:proofErr w:type="spellStart"/>
      <w:r w:rsidRPr="00227FF0">
        <w:rPr>
          <w:lang w:eastAsia="bg-BG"/>
        </w:rPr>
        <w:t>дизурични</w:t>
      </w:r>
      <w:proofErr w:type="spellEnd"/>
      <w:r w:rsidRPr="00227FF0">
        <w:rPr>
          <w:lang w:eastAsia="bg-BG"/>
        </w:rPr>
        <w:t xml:space="preserve"> смущения;</w:t>
      </w:r>
    </w:p>
    <w:p w14:paraId="6858C021" w14:textId="77777777" w:rsidR="00227FF0" w:rsidRPr="00227FF0" w:rsidRDefault="00227FF0" w:rsidP="00227FF0">
      <w:pPr>
        <w:pStyle w:val="ListParagraph"/>
        <w:numPr>
          <w:ilvl w:val="0"/>
          <w:numId w:val="18"/>
        </w:numPr>
        <w:rPr>
          <w:lang w:eastAsia="bg-BG"/>
        </w:rPr>
      </w:pPr>
      <w:r w:rsidRPr="00227FF0">
        <w:rPr>
          <w:lang w:eastAsia="bg-BG"/>
        </w:rPr>
        <w:t xml:space="preserve">стомашни и чревни колики, </w:t>
      </w:r>
      <w:proofErr w:type="spellStart"/>
      <w:r w:rsidRPr="00227FF0">
        <w:rPr>
          <w:lang w:eastAsia="bg-BG"/>
        </w:rPr>
        <w:t>холелитиаза</w:t>
      </w:r>
      <w:proofErr w:type="spellEnd"/>
      <w:r w:rsidRPr="00227FF0">
        <w:rPr>
          <w:lang w:eastAsia="bg-BG"/>
        </w:rPr>
        <w:t>, дискинезия на жлъчните пътища;</w:t>
      </w:r>
    </w:p>
    <w:p w14:paraId="2FCF9CB0" w14:textId="77777777" w:rsidR="00227FF0" w:rsidRPr="00227FF0" w:rsidRDefault="00227FF0" w:rsidP="00227FF0">
      <w:pPr>
        <w:pStyle w:val="ListParagraph"/>
        <w:numPr>
          <w:ilvl w:val="0"/>
          <w:numId w:val="18"/>
        </w:numPr>
        <w:rPr>
          <w:lang w:eastAsia="bg-BG"/>
        </w:rPr>
      </w:pPr>
      <w:proofErr w:type="spellStart"/>
      <w:r w:rsidRPr="00227FF0">
        <w:rPr>
          <w:lang w:eastAsia="bg-BG"/>
        </w:rPr>
        <w:t>дисменорея</w:t>
      </w:r>
      <w:proofErr w:type="spellEnd"/>
      <w:r w:rsidRPr="00227FF0">
        <w:rPr>
          <w:lang w:eastAsia="bg-BG"/>
        </w:rPr>
        <w:t>.</w:t>
      </w:r>
    </w:p>
    <w:p w14:paraId="55DCDD42" w14:textId="77777777" w:rsidR="00227FF0" w:rsidRPr="00227FF0" w:rsidRDefault="00227FF0" w:rsidP="00227FF0"/>
    <w:p w14:paraId="71891A7D" w14:textId="3C325B8E" w:rsidR="001915B6" w:rsidRDefault="002C50EE" w:rsidP="00C07B84">
      <w:pPr>
        <w:pStyle w:val="Heading2"/>
      </w:pPr>
      <w:r>
        <w:t>4.2. Дозировка и начин на приложение</w:t>
      </w:r>
    </w:p>
    <w:p w14:paraId="13F0E7A4" w14:textId="77777777" w:rsidR="00227FF0" w:rsidRDefault="00227FF0" w:rsidP="00227FF0">
      <w:pPr>
        <w:spacing w:line="240" w:lineRule="auto"/>
        <w:rPr>
          <w:rFonts w:ascii="Cambria" w:eastAsia="Times New Roman" w:hAnsi="Cambria" w:cs="Cambria"/>
          <w:b/>
          <w:bCs/>
          <w:color w:val="000000"/>
          <w:sz w:val="18"/>
          <w:szCs w:val="18"/>
          <w:u w:val="single"/>
          <w:lang w:eastAsia="bg-BG"/>
        </w:rPr>
      </w:pPr>
    </w:p>
    <w:p w14:paraId="26989967" w14:textId="0BB40357" w:rsidR="00227FF0" w:rsidRPr="00227FF0" w:rsidRDefault="00227FF0" w:rsidP="00227FF0">
      <w:pPr>
        <w:pStyle w:val="Heading3"/>
        <w:rPr>
          <w:rFonts w:ascii="Times New Roman" w:eastAsia="Times New Roman" w:hAnsi="Times New Roman" w:cs="Times New Roman"/>
          <w:u w:val="single"/>
        </w:rPr>
      </w:pPr>
      <w:r w:rsidRPr="00227FF0">
        <w:rPr>
          <w:rFonts w:eastAsia="Times New Roman"/>
          <w:u w:val="single"/>
          <w:lang w:eastAsia="bg-BG"/>
        </w:rPr>
        <w:t>Дозировка</w:t>
      </w:r>
    </w:p>
    <w:p w14:paraId="4741DCAF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Препоръчителни дневни дози:</w:t>
      </w:r>
    </w:p>
    <w:p w14:paraId="44BBFE5D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FF0">
        <w:rPr>
          <w:i/>
          <w:iCs/>
          <w:u w:val="single"/>
          <w:lang w:eastAsia="bg-BG"/>
        </w:rPr>
        <w:t xml:space="preserve">Възрастни и </w:t>
      </w:r>
      <w:proofErr w:type="spellStart"/>
      <w:r w:rsidRPr="00227FF0">
        <w:rPr>
          <w:i/>
          <w:iCs/>
          <w:u w:val="single"/>
          <w:lang w:eastAsia="bg-BG"/>
        </w:rPr>
        <w:t>деиа</w:t>
      </w:r>
      <w:proofErr w:type="spellEnd"/>
      <w:r w:rsidRPr="00227FF0">
        <w:rPr>
          <w:i/>
          <w:iCs/>
          <w:u w:val="single"/>
          <w:lang w:eastAsia="bg-BG"/>
        </w:rPr>
        <w:t xml:space="preserve"> над 15-годишна възраст:</w:t>
      </w:r>
    </w:p>
    <w:p w14:paraId="7B1A18FD" w14:textId="0D084134" w:rsidR="00227FF0" w:rsidRPr="00227FF0" w:rsidRDefault="00227FF0" w:rsidP="00227F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1-2 таблетки, 2-3 пъти дневно. Максимална дневна доза - 6 таблетки.</w:t>
      </w:r>
    </w:p>
    <w:p w14:paraId="5CF387D3" w14:textId="77777777" w:rsidR="00227FF0" w:rsidRDefault="00227FF0" w:rsidP="00227FF0">
      <w:pPr>
        <w:rPr>
          <w:i/>
          <w:iCs/>
          <w:lang w:eastAsia="bg-BG"/>
        </w:rPr>
      </w:pPr>
    </w:p>
    <w:p w14:paraId="333D8EA2" w14:textId="1BF3398D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FF0">
        <w:rPr>
          <w:i/>
          <w:iCs/>
          <w:u w:val="single"/>
          <w:lang w:eastAsia="bg-BG"/>
        </w:rPr>
        <w:t>Педиатрична популация</w:t>
      </w:r>
    </w:p>
    <w:p w14:paraId="2C4AC47C" w14:textId="77777777" w:rsidR="00227FF0" w:rsidRPr="00227FF0" w:rsidRDefault="00227FF0" w:rsidP="00227F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Деца на възраст от 12 до 15 години -1 табл. 2-3 пъти дневно. Максимална дневна доза - 3 таблетки.</w:t>
      </w:r>
    </w:p>
    <w:p w14:paraId="72EF2927" w14:textId="41937E96" w:rsidR="00227FF0" w:rsidRPr="00227FF0" w:rsidRDefault="00227FF0" w:rsidP="00227F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Деца на възраст от 9 до 12 години -1/2 табл. 2-3 пъти дневно. Максимална дневна доза - 2 таблетки.</w:t>
      </w:r>
    </w:p>
    <w:p w14:paraId="5049AEA8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lastRenderedPageBreak/>
        <w:t>Специални популации</w:t>
      </w:r>
    </w:p>
    <w:p w14:paraId="1E0DC7F5" w14:textId="77777777" w:rsidR="00227FF0" w:rsidRDefault="00227FF0" w:rsidP="00227FF0">
      <w:pPr>
        <w:rPr>
          <w:i/>
          <w:iCs/>
          <w:lang w:eastAsia="bg-BG"/>
        </w:rPr>
      </w:pPr>
    </w:p>
    <w:p w14:paraId="35BE3381" w14:textId="3B4D42F0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FF0">
        <w:rPr>
          <w:i/>
          <w:iCs/>
          <w:u w:val="single"/>
          <w:lang w:eastAsia="bg-BG"/>
        </w:rPr>
        <w:t xml:space="preserve">Популация в старческа възраст, изтощени </w:t>
      </w:r>
      <w:proofErr w:type="spellStart"/>
      <w:r w:rsidRPr="00227FF0">
        <w:rPr>
          <w:i/>
          <w:iCs/>
          <w:u w:val="single"/>
          <w:lang w:eastAsia="bg-BG"/>
        </w:rPr>
        <w:t>паииенти</w:t>
      </w:r>
      <w:proofErr w:type="spellEnd"/>
      <w:r w:rsidRPr="00227FF0">
        <w:rPr>
          <w:i/>
          <w:iCs/>
          <w:u w:val="single"/>
          <w:lang w:eastAsia="bg-BG"/>
        </w:rPr>
        <w:t xml:space="preserve"> и </w:t>
      </w:r>
      <w:proofErr w:type="spellStart"/>
      <w:r w:rsidRPr="00227FF0">
        <w:rPr>
          <w:i/>
          <w:iCs/>
          <w:u w:val="single"/>
          <w:lang w:eastAsia="bg-BG"/>
        </w:rPr>
        <w:t>паииенти</w:t>
      </w:r>
      <w:proofErr w:type="spellEnd"/>
      <w:r w:rsidRPr="00227FF0">
        <w:rPr>
          <w:i/>
          <w:iCs/>
          <w:u w:val="single"/>
          <w:lang w:eastAsia="bg-BG"/>
        </w:rPr>
        <w:t xml:space="preserve"> с намален </w:t>
      </w:r>
      <w:proofErr w:type="spellStart"/>
      <w:r w:rsidRPr="00227FF0">
        <w:rPr>
          <w:i/>
          <w:iCs/>
          <w:u w:val="single"/>
          <w:lang w:eastAsia="bg-BG"/>
        </w:rPr>
        <w:t>креатининов</w:t>
      </w:r>
      <w:proofErr w:type="spellEnd"/>
      <w:r w:rsidRPr="00227FF0">
        <w:rPr>
          <w:i/>
          <w:iCs/>
          <w:u w:val="single"/>
          <w:lang w:eastAsia="bg-BG"/>
        </w:rPr>
        <w:t xml:space="preserve"> клирънс</w:t>
      </w:r>
    </w:p>
    <w:p w14:paraId="5CCAB8D9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i/>
          <w:iCs/>
          <w:lang w:eastAsia="bg-BG"/>
        </w:rPr>
        <w:t xml:space="preserve">Данни свързани с </w:t>
      </w:r>
      <w:proofErr w:type="spellStart"/>
      <w:r w:rsidRPr="00227FF0">
        <w:rPr>
          <w:i/>
          <w:iCs/>
          <w:lang w:eastAsia="bg-BG"/>
        </w:rPr>
        <w:t>метамизол</w:t>
      </w:r>
      <w:proofErr w:type="spellEnd"/>
    </w:p>
    <w:p w14:paraId="682246A1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Дозата трябва да се намали при пациенти в старческа възраст, при изтощени пациенти и при пациенти с намален </w:t>
      </w:r>
      <w:proofErr w:type="spellStart"/>
      <w:r w:rsidRPr="00227FF0">
        <w:rPr>
          <w:lang w:eastAsia="bg-BG"/>
        </w:rPr>
        <w:t>креатининов</w:t>
      </w:r>
      <w:proofErr w:type="spellEnd"/>
      <w:r w:rsidRPr="00227FF0">
        <w:rPr>
          <w:lang w:eastAsia="bg-BG"/>
        </w:rPr>
        <w:t xml:space="preserve"> клирънс, тъй като елиминирането на метаболитните продукти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може да се удължи.</w:t>
      </w:r>
    </w:p>
    <w:p w14:paraId="14D699DF" w14:textId="77777777" w:rsidR="00227FF0" w:rsidRDefault="00227FF0" w:rsidP="00227FF0">
      <w:pPr>
        <w:rPr>
          <w:i/>
          <w:iCs/>
          <w:lang w:eastAsia="bg-BG"/>
        </w:rPr>
      </w:pPr>
    </w:p>
    <w:p w14:paraId="05FC7A9D" w14:textId="10EDFB83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FF0">
        <w:rPr>
          <w:i/>
          <w:iCs/>
          <w:u w:val="single"/>
          <w:lang w:eastAsia="bg-BG"/>
        </w:rPr>
        <w:t>Чернодробно или бъбречно увреждане</w:t>
      </w:r>
    </w:p>
    <w:p w14:paraId="41F890A2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i/>
          <w:iCs/>
          <w:lang w:eastAsia="bg-BG"/>
        </w:rPr>
        <w:t xml:space="preserve">Данни, свързани с </w:t>
      </w:r>
      <w:proofErr w:type="spellStart"/>
      <w:r w:rsidRPr="00227FF0">
        <w:rPr>
          <w:i/>
          <w:iCs/>
          <w:lang w:eastAsia="bg-BG"/>
        </w:rPr>
        <w:t>метамизол</w:t>
      </w:r>
      <w:proofErr w:type="spellEnd"/>
    </w:p>
    <w:p w14:paraId="77D16825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Тъй като скоростта на елиминиране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е намалена, когато бъбречната или чернодробната функция е нарушена, многократни високи дози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трябва да се избягват. Не се налага намаляване на дозата, когато се прилага само за кратко време. Към днешна дата няма достатъчно опит с дългосрочната употреба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при пациенти с тежко чернодробно и бъбречно увреждане.</w:t>
      </w:r>
    </w:p>
    <w:p w14:paraId="497C2967" w14:textId="77777777" w:rsidR="00227FF0" w:rsidRDefault="00227FF0" w:rsidP="00227FF0">
      <w:pPr>
        <w:pStyle w:val="Heading3"/>
        <w:rPr>
          <w:lang w:eastAsia="bg-BG"/>
        </w:rPr>
      </w:pPr>
    </w:p>
    <w:p w14:paraId="379556B7" w14:textId="07D9CC38" w:rsidR="00227FF0" w:rsidRPr="00227FF0" w:rsidRDefault="00227FF0" w:rsidP="00227FF0">
      <w:pPr>
        <w:pStyle w:val="Heading3"/>
        <w:rPr>
          <w:rFonts w:ascii="Times New Roman" w:eastAsia="Times New Roman" w:hAnsi="Times New Roman" w:cs="Times New Roman"/>
          <w:u w:val="single"/>
        </w:rPr>
      </w:pPr>
      <w:r w:rsidRPr="00227FF0">
        <w:rPr>
          <w:rFonts w:eastAsia="Times New Roman"/>
          <w:u w:val="single"/>
          <w:lang w:eastAsia="bg-BG"/>
        </w:rPr>
        <w:t>Начин на приложение</w:t>
      </w:r>
    </w:p>
    <w:p w14:paraId="772C8D4F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Перорално приложение</w:t>
      </w:r>
    </w:p>
    <w:p w14:paraId="0335FFF2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Таблетките се приемат с вода след хранене.</w:t>
      </w:r>
    </w:p>
    <w:p w14:paraId="526C183B" w14:textId="569BD26C" w:rsidR="00227FF0" w:rsidRDefault="00227FF0" w:rsidP="00227FF0">
      <w:pPr>
        <w:rPr>
          <w:lang w:eastAsia="bg-BG"/>
        </w:rPr>
      </w:pPr>
      <w:r w:rsidRPr="00227FF0">
        <w:rPr>
          <w:lang w:eastAsia="bg-BG"/>
        </w:rPr>
        <w:t>Продължителността на лечението не трябва да надвишава 3 дни.</w:t>
      </w:r>
    </w:p>
    <w:p w14:paraId="32E46249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</w:p>
    <w:p w14:paraId="3194B1C9" w14:textId="11BCC285" w:rsidR="001915B6" w:rsidRDefault="002C50EE" w:rsidP="00C07B84">
      <w:pPr>
        <w:pStyle w:val="Heading2"/>
      </w:pPr>
      <w:r>
        <w:t>4.3. Противопоказания</w:t>
      </w:r>
    </w:p>
    <w:p w14:paraId="10942DA1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Свръхчувствителност към активните вещества или към някое от помощните вещества, изброени в точка 6.1;</w:t>
      </w:r>
    </w:p>
    <w:p w14:paraId="1FA73535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r w:rsidRPr="00227FF0">
        <w:rPr>
          <w:lang w:eastAsia="bg-BG"/>
        </w:rPr>
        <w:t xml:space="preserve">Свръхчувствителност към други </w:t>
      </w:r>
      <w:proofErr w:type="spellStart"/>
      <w:r w:rsidRPr="00227FF0">
        <w:rPr>
          <w:lang w:eastAsia="bg-BG"/>
        </w:rPr>
        <w:t>пиразолонови</w:t>
      </w:r>
      <w:proofErr w:type="spellEnd"/>
      <w:r w:rsidRPr="00227FF0">
        <w:rPr>
          <w:lang w:eastAsia="bg-BG"/>
        </w:rPr>
        <w:t xml:space="preserve"> или </w:t>
      </w:r>
      <w:proofErr w:type="spellStart"/>
      <w:r w:rsidRPr="00227FF0">
        <w:rPr>
          <w:lang w:eastAsia="bg-BG"/>
        </w:rPr>
        <w:t>пиразолидинови</w:t>
      </w:r>
      <w:proofErr w:type="spellEnd"/>
      <w:r w:rsidRPr="00227FF0">
        <w:rPr>
          <w:lang w:eastAsia="bg-BG"/>
        </w:rPr>
        <w:t xml:space="preserve"> производни;</w:t>
      </w:r>
    </w:p>
    <w:p w14:paraId="6CB1032D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r w:rsidRPr="00227FF0">
        <w:rPr>
          <w:lang w:eastAsia="bg-BG"/>
        </w:rPr>
        <w:t xml:space="preserve">Стомашно-чревна непроходимост и </w:t>
      </w:r>
      <w:proofErr w:type="spellStart"/>
      <w:r w:rsidRPr="00227FF0">
        <w:rPr>
          <w:lang w:eastAsia="bg-BG"/>
        </w:rPr>
        <w:t>мегаколон</w:t>
      </w:r>
      <w:proofErr w:type="spellEnd"/>
      <w:r w:rsidRPr="00227FF0">
        <w:rPr>
          <w:lang w:eastAsia="bg-BG"/>
        </w:rPr>
        <w:t>;</w:t>
      </w:r>
    </w:p>
    <w:p w14:paraId="5DD3B5C7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proofErr w:type="spellStart"/>
      <w:r w:rsidRPr="00227FF0">
        <w:rPr>
          <w:lang w:eastAsia="bg-BG"/>
        </w:rPr>
        <w:t>Атония</w:t>
      </w:r>
      <w:proofErr w:type="spellEnd"/>
      <w:r w:rsidRPr="00227FF0">
        <w:rPr>
          <w:lang w:eastAsia="bg-BG"/>
        </w:rPr>
        <w:t xml:space="preserve"> на жлъчния и пикочния мехур;</w:t>
      </w:r>
    </w:p>
    <w:p w14:paraId="1DF18ACE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r w:rsidRPr="00227FF0">
        <w:rPr>
          <w:lang w:eastAsia="bg-BG"/>
        </w:rPr>
        <w:t>Тежка бъбречна и чернодробна недостатъчност,</w:t>
      </w:r>
    </w:p>
    <w:p w14:paraId="5666CFCF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r w:rsidRPr="00227FF0">
        <w:rPr>
          <w:lang w:eastAsia="bg-BG"/>
        </w:rPr>
        <w:t>Хематологични заболявания (</w:t>
      </w:r>
      <w:proofErr w:type="spellStart"/>
      <w:r w:rsidRPr="00227FF0">
        <w:rPr>
          <w:lang w:eastAsia="bg-BG"/>
        </w:rPr>
        <w:t>агранулоцитоза</w:t>
      </w:r>
      <w:proofErr w:type="spellEnd"/>
      <w:r w:rsidRPr="00227FF0">
        <w:rPr>
          <w:lang w:eastAsia="bg-BG"/>
        </w:rPr>
        <w:t xml:space="preserve"> и </w:t>
      </w:r>
      <w:proofErr w:type="spellStart"/>
      <w:r w:rsidRPr="00227FF0">
        <w:rPr>
          <w:lang w:eastAsia="bg-BG"/>
        </w:rPr>
        <w:t>левкопения</w:t>
      </w:r>
      <w:proofErr w:type="spellEnd"/>
      <w:r w:rsidRPr="00227FF0">
        <w:rPr>
          <w:lang w:eastAsia="bg-BG"/>
        </w:rPr>
        <w:t>);</w:t>
      </w:r>
    </w:p>
    <w:p w14:paraId="413F2346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r w:rsidRPr="00227FF0">
        <w:rPr>
          <w:lang w:eastAsia="bg-BG"/>
        </w:rPr>
        <w:t>Дефицит на глюкозо-6-фосфатдехидрогеназа;</w:t>
      </w:r>
    </w:p>
    <w:p w14:paraId="2E38FD90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proofErr w:type="spellStart"/>
      <w:r w:rsidRPr="00227FF0">
        <w:rPr>
          <w:lang w:eastAsia="bg-BG"/>
        </w:rPr>
        <w:t>Порфирия</w:t>
      </w:r>
      <w:proofErr w:type="spellEnd"/>
      <w:r w:rsidRPr="00227FF0">
        <w:rPr>
          <w:lang w:eastAsia="bg-BG"/>
        </w:rPr>
        <w:t>;</w:t>
      </w:r>
    </w:p>
    <w:p w14:paraId="5B643B94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proofErr w:type="spellStart"/>
      <w:r w:rsidRPr="00227FF0">
        <w:rPr>
          <w:lang w:eastAsia="bg-BG"/>
        </w:rPr>
        <w:t>Закритоъгълна</w:t>
      </w:r>
      <w:proofErr w:type="spellEnd"/>
      <w:r w:rsidRPr="00227FF0">
        <w:rPr>
          <w:lang w:eastAsia="bg-BG"/>
        </w:rPr>
        <w:t xml:space="preserve"> глаукома.</w:t>
      </w:r>
    </w:p>
    <w:p w14:paraId="2F4E746F" w14:textId="77777777" w:rsidR="00227FF0" w:rsidRPr="00227FF0" w:rsidRDefault="00227FF0" w:rsidP="00227FF0">
      <w:pPr>
        <w:pStyle w:val="ListParagraph"/>
        <w:numPr>
          <w:ilvl w:val="0"/>
          <w:numId w:val="21"/>
        </w:numPr>
        <w:rPr>
          <w:lang w:eastAsia="bg-BG"/>
        </w:rPr>
      </w:pPr>
      <w:r w:rsidRPr="00227FF0">
        <w:rPr>
          <w:lang w:eastAsia="bg-BG"/>
        </w:rPr>
        <w:t>Трети триместър от бременността.</w:t>
      </w:r>
    </w:p>
    <w:p w14:paraId="117F2ADB" w14:textId="77777777" w:rsidR="00227FF0" w:rsidRPr="00227FF0" w:rsidRDefault="00227FF0" w:rsidP="00227FF0"/>
    <w:p w14:paraId="4B2B2AB1" w14:textId="11B50CE1" w:rsidR="00605BCA" w:rsidRDefault="002C50EE" w:rsidP="00C07B84">
      <w:pPr>
        <w:pStyle w:val="Heading2"/>
      </w:pPr>
      <w:r>
        <w:t>4.4. Специални предупреждения и предпазни мерки при употреба</w:t>
      </w:r>
    </w:p>
    <w:p w14:paraId="4B0AFD90" w14:textId="77777777" w:rsidR="00227FF0" w:rsidRDefault="00227FF0" w:rsidP="00227FF0"/>
    <w:p w14:paraId="69BBDFCA" w14:textId="53BE6A90" w:rsidR="00227FF0" w:rsidRDefault="00227FF0" w:rsidP="00227FF0">
      <w:r>
        <w:t xml:space="preserve">Продуктът трябва да се прилага с повишено внимание при болни с нарушена бъбречна и/или чернодробна функция, </w:t>
      </w:r>
      <w:proofErr w:type="spellStart"/>
      <w:r>
        <w:t>ахалазия</w:t>
      </w:r>
      <w:proofErr w:type="spellEnd"/>
      <w:r>
        <w:t xml:space="preserve">, </w:t>
      </w:r>
      <w:proofErr w:type="spellStart"/>
      <w:r>
        <w:t>гастроезофагеален</w:t>
      </w:r>
      <w:proofErr w:type="spellEnd"/>
      <w:r>
        <w:t xml:space="preserve"> </w:t>
      </w:r>
      <w:proofErr w:type="spellStart"/>
      <w:r>
        <w:t>рефлукс</w:t>
      </w:r>
      <w:proofErr w:type="spellEnd"/>
      <w:r>
        <w:t xml:space="preserve">, </w:t>
      </w:r>
      <w:proofErr w:type="spellStart"/>
      <w:r>
        <w:t>стеноза</w:t>
      </w:r>
      <w:proofErr w:type="spellEnd"/>
      <w:r>
        <w:t xml:space="preserve"> на </w:t>
      </w:r>
      <w:proofErr w:type="spellStart"/>
      <w:r>
        <w:t>пилора</w:t>
      </w:r>
      <w:proofErr w:type="spellEnd"/>
      <w:r>
        <w:t xml:space="preserve">, хипертрофия на простатата, </w:t>
      </w:r>
      <w:proofErr w:type="spellStart"/>
      <w:r>
        <w:t>хипертиреоидизъм</w:t>
      </w:r>
      <w:proofErr w:type="spellEnd"/>
      <w:r>
        <w:t xml:space="preserve">, склонност към хипотония, тежки ритъмни нарушения, исхемична болест на сърцето (особено при пресен миокарден инфаркт), напреднала застойна сърдечна недостатъчност, хроничен бронхит и </w:t>
      </w:r>
      <w:proofErr w:type="spellStart"/>
      <w:r>
        <w:t>бронхоспазъм</w:t>
      </w:r>
      <w:proofErr w:type="spellEnd"/>
      <w:r>
        <w:t xml:space="preserve"> (поради повишаване вискозитета на бронхиалния секрет), при данни за свръхчувствителност към нестероидни противовъзпалителни продукти и ненаркотични аналгетици или при </w:t>
      </w:r>
      <w:proofErr w:type="spellStart"/>
      <w:r>
        <w:t>атопични</w:t>
      </w:r>
      <w:proofErr w:type="spellEnd"/>
      <w:r>
        <w:t xml:space="preserve"> прояви (алергичен ринит, бронхиална астма).</w:t>
      </w:r>
    </w:p>
    <w:p w14:paraId="2E81BBE5" w14:textId="42121D41" w:rsidR="00227FF0" w:rsidRDefault="00227FF0" w:rsidP="00227FF0"/>
    <w:p w14:paraId="676D423F" w14:textId="77777777" w:rsidR="00227FF0" w:rsidRPr="00227FF0" w:rsidRDefault="00227FF0" w:rsidP="00227FF0">
      <w:pPr>
        <w:rPr>
          <w:rFonts w:ascii="Times New Roman" w:eastAsia="Times New Roman" w:hAnsi="Times New Roman" w:cs="Times New Roman"/>
          <w:sz w:val="24"/>
          <w:szCs w:val="24"/>
        </w:rPr>
      </w:pPr>
      <w:r w:rsidRPr="00227FF0">
        <w:rPr>
          <w:rFonts w:eastAsia="Times New Roman"/>
          <w:color w:val="000000"/>
          <w:lang w:eastAsia="bg-BG"/>
        </w:rPr>
        <w:lastRenderedPageBreak/>
        <w:t>При продължително приемане на продукта (повече от седем дни) е необходим контрол на периферната кръвна картина и функционалното състояние на черния дроб.</w:t>
      </w:r>
    </w:p>
    <w:p w14:paraId="48A742E7" w14:textId="77777777" w:rsidR="00227FF0" w:rsidRDefault="00227FF0" w:rsidP="00227FF0">
      <w:pPr>
        <w:rPr>
          <w:rFonts w:eastAsia="Times New Roman"/>
          <w:color w:val="000000"/>
          <w:u w:val="single"/>
          <w:lang w:eastAsia="bg-BG"/>
        </w:rPr>
      </w:pPr>
    </w:p>
    <w:p w14:paraId="65935C40" w14:textId="7B56B694" w:rsidR="00227FF0" w:rsidRPr="00227FF0" w:rsidRDefault="00227FF0" w:rsidP="00227FF0">
      <w:pPr>
        <w:rPr>
          <w:rFonts w:ascii="Times New Roman" w:eastAsia="Times New Roman" w:hAnsi="Times New Roman" w:cs="Times New Roman"/>
          <w:sz w:val="24"/>
          <w:szCs w:val="24"/>
        </w:rPr>
      </w:pPr>
      <w:r w:rsidRPr="00227FF0">
        <w:rPr>
          <w:rFonts w:eastAsia="Times New Roman"/>
          <w:color w:val="000000"/>
          <w:u w:val="single"/>
          <w:lang w:eastAsia="bg-BG"/>
        </w:rPr>
        <w:t>Лекарствено индуциране чернодробно увреждане</w:t>
      </w:r>
    </w:p>
    <w:p w14:paraId="71CD8738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Съобщени са случаи на остър хепатит, предимно от </w:t>
      </w:r>
      <w:proofErr w:type="spellStart"/>
      <w:r w:rsidRPr="00227FF0">
        <w:rPr>
          <w:lang w:eastAsia="bg-BG"/>
        </w:rPr>
        <w:t>хепатоцелуларен</w:t>
      </w:r>
      <w:proofErr w:type="spellEnd"/>
      <w:r w:rsidRPr="00227FF0">
        <w:rPr>
          <w:lang w:eastAsia="bg-BG"/>
        </w:rPr>
        <w:t xml:space="preserve"> тип, при пациенти лекувани с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>, с начало от няколко дни до няколко месеца след започване на лечението. Признаците и симптомите включват повишени чернодробни ензими в серума със или без жълтеница, често в контекста на други реакции на свръхчувствителност към лекарството (напр.</w:t>
      </w:r>
      <w:r>
        <w:rPr>
          <w:lang w:eastAsia="bg-BG"/>
        </w:rPr>
        <w:t xml:space="preserve"> </w:t>
      </w:r>
      <w:proofErr w:type="spellStart"/>
      <w:r w:rsidRPr="00227FF0">
        <w:rPr>
          <w:lang w:eastAsia="bg-BG"/>
        </w:rPr>
        <w:t>ожен</w:t>
      </w:r>
      <w:proofErr w:type="spellEnd"/>
      <w:r w:rsidRPr="00227FF0">
        <w:rPr>
          <w:lang w:eastAsia="bg-BG"/>
        </w:rPr>
        <w:t xml:space="preserve"> обрив, кръвни </w:t>
      </w:r>
      <w:proofErr w:type="spellStart"/>
      <w:r w:rsidRPr="00227FF0">
        <w:rPr>
          <w:lang w:eastAsia="bg-BG"/>
        </w:rPr>
        <w:t>дискразии</w:t>
      </w:r>
      <w:proofErr w:type="spellEnd"/>
      <w:r w:rsidRPr="00227FF0">
        <w:rPr>
          <w:lang w:eastAsia="bg-BG"/>
        </w:rPr>
        <w:t xml:space="preserve">, повишена температура и </w:t>
      </w:r>
      <w:proofErr w:type="spellStart"/>
      <w:r w:rsidRPr="00227FF0">
        <w:rPr>
          <w:lang w:eastAsia="bg-BG"/>
        </w:rPr>
        <w:t>еозинофилия</w:t>
      </w:r>
      <w:proofErr w:type="spellEnd"/>
      <w:r w:rsidRPr="00227FF0">
        <w:rPr>
          <w:lang w:eastAsia="bg-BG"/>
        </w:rPr>
        <w:t xml:space="preserve">) или придружени от характеристики на автоимунен хепатит. Повечето пациенти са се възстановили при прекратяване на лечението с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>; въпреки това в отделни случаи има съобщения за прогресия до остра чернодробна недостатъчност, налагаща чернодробна трансплантация.</w:t>
      </w:r>
    </w:p>
    <w:p w14:paraId="2B52C30E" w14:textId="77777777" w:rsidR="00227FF0" w:rsidRDefault="00227FF0" w:rsidP="00227FF0">
      <w:pPr>
        <w:rPr>
          <w:lang w:eastAsia="bg-BG"/>
        </w:rPr>
      </w:pPr>
    </w:p>
    <w:p w14:paraId="74C97649" w14:textId="7E1CA0D3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Механизмът на индуцираното от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чернодробно увреждане не е изяснен напълно, но данните показват </w:t>
      </w:r>
      <w:proofErr w:type="spellStart"/>
      <w:r w:rsidRPr="00227FF0">
        <w:rPr>
          <w:lang w:eastAsia="bg-BG"/>
        </w:rPr>
        <w:t>имуноалергичен</w:t>
      </w:r>
      <w:proofErr w:type="spellEnd"/>
      <w:r w:rsidRPr="00227FF0">
        <w:rPr>
          <w:lang w:eastAsia="bg-BG"/>
        </w:rPr>
        <w:t xml:space="preserve"> механизъм.</w:t>
      </w:r>
    </w:p>
    <w:p w14:paraId="3FF2B7FF" w14:textId="77777777" w:rsidR="00227FF0" w:rsidRDefault="00227FF0" w:rsidP="00227FF0">
      <w:pPr>
        <w:rPr>
          <w:lang w:eastAsia="bg-BG"/>
        </w:rPr>
      </w:pPr>
    </w:p>
    <w:p w14:paraId="6FCBD3F7" w14:textId="2111B8FE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Пациентите трябва да бъдат инструктирани да се свържат със своя лекар в случай на поява на симптоми, предполагащи чернодробно увреждане. При такива пациенти употребата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трябва да се преустанови и да се оцени чернодробната функция.</w:t>
      </w:r>
    </w:p>
    <w:p w14:paraId="023F8768" w14:textId="77777777" w:rsidR="00227FF0" w:rsidRDefault="00227FF0" w:rsidP="00227FF0">
      <w:pPr>
        <w:rPr>
          <w:lang w:eastAsia="bg-BG"/>
        </w:rPr>
      </w:pPr>
    </w:p>
    <w:p w14:paraId="798F97E6" w14:textId="5D8995AA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не трябва да се въвежда повторно при пациенти с епизод на чернодробно увреждане по време на лечение с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>, при които не е установена друга причина за чернодробното увреждане.</w:t>
      </w:r>
    </w:p>
    <w:p w14:paraId="38D1B086" w14:textId="77777777" w:rsidR="00227FF0" w:rsidRDefault="00227FF0" w:rsidP="00227FF0">
      <w:pPr>
        <w:rPr>
          <w:lang w:eastAsia="bg-BG"/>
        </w:rPr>
      </w:pPr>
    </w:p>
    <w:p w14:paraId="14C3456C" w14:textId="766FC47C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Възможно е да се появи или да се влоши налично главоболие след продължително аналгетично лечение (&gt;3 месеца) с използване на аналгетици през ден или по-често. Главоболие, причинено от свръхупотреба на аналгетици, не бива да се лекува с увеличаване на дозата им. В такива случаи аналгетичното лечение трябва да се прекрати след консултация с лекар.</w:t>
      </w:r>
    </w:p>
    <w:p w14:paraId="0CECE091" w14:textId="77777777" w:rsidR="00227FF0" w:rsidRDefault="00227FF0" w:rsidP="00227FF0">
      <w:pPr>
        <w:rPr>
          <w:lang w:eastAsia="bg-BG"/>
        </w:rPr>
      </w:pPr>
    </w:p>
    <w:p w14:paraId="224B053F" w14:textId="5A3A62CB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Метаболитите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могат да оцветят урината в червено, което е без клинична значимост.</w:t>
      </w:r>
    </w:p>
    <w:p w14:paraId="33150087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Продуктът може да повлияе психофизиологичното състояние на пациентите при едновременна употреба с алкохол и продукти, потискащи функцията на централната нервна система.</w:t>
      </w:r>
    </w:p>
    <w:p w14:paraId="141E3014" w14:textId="77777777" w:rsidR="00227FF0" w:rsidRDefault="00227FF0" w:rsidP="00227FF0">
      <w:pPr>
        <w:rPr>
          <w:u w:val="single"/>
          <w:lang w:eastAsia="bg-BG"/>
        </w:rPr>
      </w:pPr>
    </w:p>
    <w:p w14:paraId="47C20F30" w14:textId="5F6DD8AC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u w:val="single"/>
          <w:lang w:eastAsia="bg-BG"/>
        </w:rPr>
        <w:t>Помощни вещества</w:t>
      </w:r>
    </w:p>
    <w:p w14:paraId="7ACD7D99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i/>
          <w:iCs/>
          <w:lang w:eastAsia="bg-BG"/>
        </w:rPr>
        <w:t>Лактоза</w:t>
      </w:r>
    </w:p>
    <w:p w14:paraId="38585CA1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Пациенти с редки наследствени проблеми на непоносимост към </w:t>
      </w:r>
      <w:proofErr w:type="spellStart"/>
      <w:r w:rsidRPr="00227FF0">
        <w:rPr>
          <w:lang w:eastAsia="bg-BG"/>
        </w:rPr>
        <w:t>галактоза</w:t>
      </w:r>
      <w:proofErr w:type="spellEnd"/>
      <w:r w:rsidRPr="00227FF0">
        <w:rPr>
          <w:lang w:eastAsia="bg-BG"/>
        </w:rPr>
        <w:t xml:space="preserve">, пълен </w:t>
      </w:r>
      <w:proofErr w:type="spellStart"/>
      <w:r w:rsidRPr="00227FF0">
        <w:rPr>
          <w:lang w:eastAsia="bg-BG"/>
        </w:rPr>
        <w:t>лактазен</w:t>
      </w:r>
      <w:proofErr w:type="spellEnd"/>
      <w:r w:rsidRPr="00227FF0">
        <w:rPr>
          <w:lang w:eastAsia="bg-BG"/>
        </w:rPr>
        <w:t xml:space="preserve"> дефицит или </w:t>
      </w:r>
      <w:proofErr w:type="spellStart"/>
      <w:r w:rsidRPr="00227FF0">
        <w:rPr>
          <w:lang w:eastAsia="bg-BG"/>
        </w:rPr>
        <w:t>глюкозо-галактозна</w:t>
      </w:r>
      <w:proofErr w:type="spellEnd"/>
      <w:r w:rsidRPr="00227FF0">
        <w:rPr>
          <w:lang w:eastAsia="bg-BG"/>
        </w:rPr>
        <w:t xml:space="preserve"> малабсорбция не трябва да приемат това лекарство.</w:t>
      </w:r>
    </w:p>
    <w:p w14:paraId="59BA3F6E" w14:textId="77777777" w:rsidR="00227FF0" w:rsidRDefault="00227FF0" w:rsidP="00227FF0">
      <w:pPr>
        <w:rPr>
          <w:i/>
          <w:iCs/>
          <w:lang w:eastAsia="bg-BG"/>
        </w:rPr>
      </w:pPr>
    </w:p>
    <w:p w14:paraId="30E664AE" w14:textId="43ACDD80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i/>
          <w:iCs/>
          <w:lang w:eastAsia="bg-BG"/>
        </w:rPr>
        <w:t>Пшенично нишесте</w:t>
      </w:r>
    </w:p>
    <w:p w14:paraId="11B13909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Пшеничното нишесте в този лекарствен продукт съдържа съвсем малки количества глутен (счита се че не съдържа глутен) и е много малко вероятно да предизвика проблеми при пациенти с </w:t>
      </w:r>
      <w:proofErr w:type="spellStart"/>
      <w:r w:rsidRPr="00227FF0">
        <w:rPr>
          <w:lang w:eastAsia="bg-BG"/>
        </w:rPr>
        <w:t>цьолиакия</w:t>
      </w:r>
      <w:proofErr w:type="spellEnd"/>
      <w:r w:rsidRPr="00227FF0">
        <w:rPr>
          <w:lang w:eastAsia="bg-BG"/>
        </w:rPr>
        <w:t xml:space="preserve">. Една таблетка съдържа не повече от 8,59 </w:t>
      </w:r>
      <w:r w:rsidRPr="00227FF0">
        <w:rPr>
          <w:lang w:eastAsia="bg-BG"/>
        </w:rPr>
        <w:lastRenderedPageBreak/>
        <w:t xml:space="preserve">микрограма глутен. Пациенти с алергия към пшеница (различна от </w:t>
      </w:r>
      <w:proofErr w:type="spellStart"/>
      <w:r w:rsidRPr="00227FF0">
        <w:rPr>
          <w:lang w:eastAsia="bg-BG"/>
        </w:rPr>
        <w:t>цьолиакия</w:t>
      </w:r>
      <w:proofErr w:type="spellEnd"/>
      <w:r w:rsidRPr="00227FF0">
        <w:rPr>
          <w:lang w:eastAsia="bg-BG"/>
        </w:rPr>
        <w:t>) не трябва да приемат този лекарствен продукт.</w:t>
      </w:r>
    </w:p>
    <w:p w14:paraId="2B890C62" w14:textId="77777777" w:rsidR="00227FF0" w:rsidRDefault="00227FF0" w:rsidP="00227FF0">
      <w:pPr>
        <w:rPr>
          <w:i/>
          <w:iCs/>
          <w:lang w:eastAsia="bg-BG"/>
        </w:rPr>
      </w:pPr>
    </w:p>
    <w:p w14:paraId="56E5CF3B" w14:textId="652730D3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i/>
          <w:iCs/>
          <w:lang w:eastAsia="bg-BG"/>
        </w:rPr>
        <w:t>Натрий</w:t>
      </w:r>
    </w:p>
    <w:p w14:paraId="494BF6C8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Този лекарствен продукт съдържа по-малко от 1 </w:t>
      </w:r>
      <w:r w:rsidRPr="00227FF0">
        <w:rPr>
          <w:lang w:val="en-US"/>
        </w:rPr>
        <w:t xml:space="preserve">mmol </w:t>
      </w:r>
      <w:r w:rsidRPr="00227FF0">
        <w:rPr>
          <w:lang w:eastAsia="bg-BG"/>
        </w:rPr>
        <w:t xml:space="preserve">натрий (23 </w:t>
      </w:r>
      <w:r w:rsidRPr="00227FF0">
        <w:rPr>
          <w:lang w:val="en-US"/>
        </w:rPr>
        <w:t xml:space="preserve">mg) </w:t>
      </w:r>
      <w:r w:rsidRPr="00227FF0">
        <w:rPr>
          <w:lang w:eastAsia="bg-BG"/>
        </w:rPr>
        <w:t>на таблетка, т.е. може да се каже, че практически не съдържа натрий.</w:t>
      </w:r>
    </w:p>
    <w:p w14:paraId="4BF91104" w14:textId="0247232A" w:rsidR="00227FF0" w:rsidRPr="00227FF0" w:rsidRDefault="00227FF0" w:rsidP="00227FF0"/>
    <w:p w14:paraId="0F88E48F" w14:textId="77777777" w:rsidR="00227FF0" w:rsidRDefault="002C50EE" w:rsidP="002C50EE">
      <w:pPr>
        <w:pStyle w:val="Heading2"/>
      </w:pPr>
      <w:r>
        <w:t>4.5. Взаимодействие с други лекарствени продукти и други форми</w:t>
      </w:r>
    </w:p>
    <w:p w14:paraId="78BEBB3D" w14:textId="5920472F" w:rsidR="002C50EE" w:rsidRDefault="002C50EE" w:rsidP="002C50EE">
      <w:pPr>
        <w:pStyle w:val="Heading2"/>
      </w:pPr>
      <w:r>
        <w:t xml:space="preserve"> на взаимодействие</w:t>
      </w:r>
    </w:p>
    <w:p w14:paraId="054D3CBF" w14:textId="77777777" w:rsidR="00227FF0" w:rsidRDefault="00227FF0" w:rsidP="00227FF0">
      <w:pPr>
        <w:rPr>
          <w:lang w:eastAsia="bg-BG"/>
        </w:rPr>
      </w:pPr>
    </w:p>
    <w:p w14:paraId="40CC894B" w14:textId="7F29E543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повишава плазмените концентрации на </w:t>
      </w:r>
      <w:proofErr w:type="spellStart"/>
      <w:r w:rsidRPr="00227FF0">
        <w:rPr>
          <w:lang w:eastAsia="bg-BG"/>
        </w:rPr>
        <w:t>антипротозойния</w:t>
      </w:r>
      <w:proofErr w:type="spellEnd"/>
      <w:r w:rsidRPr="00227FF0">
        <w:rPr>
          <w:lang w:eastAsia="bg-BG"/>
        </w:rPr>
        <w:t xml:space="preserve"> продукт хлорохин и намалява плазмените концентрации на </w:t>
      </w:r>
      <w:proofErr w:type="spellStart"/>
      <w:r w:rsidRPr="00227FF0">
        <w:rPr>
          <w:lang w:eastAsia="bg-BG"/>
        </w:rPr>
        <w:t>кумариновите</w:t>
      </w:r>
      <w:proofErr w:type="spellEnd"/>
      <w:r w:rsidRPr="00227FF0">
        <w:rPr>
          <w:lang w:eastAsia="bg-BG"/>
        </w:rPr>
        <w:t xml:space="preserve"> антикоагуланти. Той повишава токсичния ефект на </w:t>
      </w:r>
      <w:proofErr w:type="spellStart"/>
      <w:r w:rsidRPr="00227FF0">
        <w:rPr>
          <w:lang w:eastAsia="bg-BG"/>
        </w:rPr>
        <w:t>миелотоксичните</w:t>
      </w:r>
      <w:proofErr w:type="spellEnd"/>
      <w:r w:rsidRPr="00227FF0">
        <w:rPr>
          <w:lang w:eastAsia="bg-BG"/>
        </w:rPr>
        <w:t xml:space="preserve"> лекарства и на </w:t>
      </w:r>
      <w:proofErr w:type="spellStart"/>
      <w:r w:rsidRPr="00227FF0">
        <w:rPr>
          <w:lang w:eastAsia="bg-BG"/>
        </w:rPr>
        <w:t>хлорамфеникол</w:t>
      </w:r>
      <w:proofErr w:type="spellEnd"/>
      <w:r w:rsidRPr="00227FF0">
        <w:rPr>
          <w:lang w:eastAsia="bg-BG"/>
        </w:rPr>
        <w:t>.</w:t>
      </w:r>
    </w:p>
    <w:p w14:paraId="0C8C6A23" w14:textId="77777777" w:rsidR="00227FF0" w:rsidRDefault="00227FF0" w:rsidP="00227FF0">
      <w:pPr>
        <w:rPr>
          <w:lang w:eastAsia="bg-BG"/>
        </w:rPr>
      </w:pPr>
    </w:p>
    <w:p w14:paraId="01BBDB57" w14:textId="7F20132C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може да намали </w:t>
      </w:r>
      <w:proofErr w:type="spellStart"/>
      <w:r w:rsidRPr="00227FF0">
        <w:rPr>
          <w:lang w:eastAsia="bg-BG"/>
        </w:rPr>
        <w:t>антитромботичното</w:t>
      </w:r>
      <w:proofErr w:type="spellEnd"/>
      <w:r w:rsidRPr="00227FF0">
        <w:rPr>
          <w:lang w:eastAsia="bg-BG"/>
        </w:rPr>
        <w:t xml:space="preserve"> действие на ацетилсалициловата киселина в ниска доза при едновременната им употреба. Поради това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трябва да се използва с повишено внимание при пациенти, приемащи ниска доза ацетилсалицилова киселина за </w:t>
      </w:r>
      <w:proofErr w:type="spellStart"/>
      <w:r w:rsidRPr="00227FF0">
        <w:rPr>
          <w:lang w:eastAsia="bg-BG"/>
        </w:rPr>
        <w:t>кардиопротекция</w:t>
      </w:r>
      <w:proofErr w:type="spellEnd"/>
      <w:r w:rsidRPr="00227FF0">
        <w:rPr>
          <w:lang w:eastAsia="bg-BG"/>
        </w:rPr>
        <w:t>.</w:t>
      </w:r>
    </w:p>
    <w:p w14:paraId="6FF0AD01" w14:textId="77777777" w:rsidR="00227FF0" w:rsidRDefault="00227FF0" w:rsidP="00227FF0">
      <w:pPr>
        <w:rPr>
          <w:lang w:eastAsia="bg-BG"/>
        </w:rPr>
      </w:pPr>
    </w:p>
    <w:p w14:paraId="1EDA4AF6" w14:textId="2AA20258" w:rsidR="00227FF0" w:rsidRDefault="00227FF0" w:rsidP="00227FF0">
      <w:pPr>
        <w:rPr>
          <w:lang w:eastAsia="bg-BG"/>
        </w:rPr>
      </w:pPr>
      <w:proofErr w:type="spellStart"/>
      <w:r w:rsidRPr="00227FF0">
        <w:rPr>
          <w:lang w:eastAsia="bg-BG"/>
        </w:rPr>
        <w:t>Невролептици</w:t>
      </w:r>
      <w:proofErr w:type="spellEnd"/>
      <w:r w:rsidRPr="00227FF0">
        <w:rPr>
          <w:lang w:eastAsia="bg-BG"/>
        </w:rPr>
        <w:t xml:space="preserve"> и транквилизатори </w:t>
      </w:r>
      <w:proofErr w:type="spellStart"/>
      <w:r w:rsidRPr="00227FF0">
        <w:rPr>
          <w:lang w:eastAsia="bg-BG"/>
        </w:rPr>
        <w:t>потенцират</w:t>
      </w:r>
      <w:proofErr w:type="spellEnd"/>
      <w:r w:rsidRPr="00227FF0">
        <w:rPr>
          <w:lang w:eastAsia="bg-BG"/>
        </w:rPr>
        <w:t xml:space="preserve"> аналгетичното действие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>.</w:t>
      </w:r>
    </w:p>
    <w:p w14:paraId="2440C59C" w14:textId="63E9AAC4" w:rsidR="00227FF0" w:rsidRDefault="00227FF0" w:rsidP="00227FF0">
      <w:pPr>
        <w:rPr>
          <w:lang w:eastAsia="bg-BG"/>
        </w:rPr>
      </w:pPr>
    </w:p>
    <w:p w14:paraId="04EA513C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Трицикличните антидепресанти, пероралните противозачатъчни продукти, </w:t>
      </w:r>
      <w:proofErr w:type="spellStart"/>
      <w:r w:rsidRPr="00227FF0">
        <w:rPr>
          <w:lang w:eastAsia="bg-BG"/>
        </w:rPr>
        <w:t>алопуринол</w:t>
      </w:r>
      <w:proofErr w:type="spellEnd"/>
      <w:r w:rsidRPr="00227FF0">
        <w:rPr>
          <w:lang w:eastAsia="bg-BG"/>
        </w:rPr>
        <w:t xml:space="preserve"> забавят метаболизма на </w:t>
      </w:r>
      <w:proofErr w:type="spellStart"/>
      <w:r w:rsidRPr="00227FF0">
        <w:rPr>
          <w:lang w:eastAsia="bg-BG"/>
        </w:rPr>
        <w:t>метамизола</w:t>
      </w:r>
      <w:proofErr w:type="spellEnd"/>
      <w:r w:rsidRPr="00227FF0">
        <w:rPr>
          <w:lang w:eastAsia="bg-BG"/>
        </w:rPr>
        <w:t xml:space="preserve"> и повишават токсичността му. </w:t>
      </w:r>
      <w:proofErr w:type="spellStart"/>
      <w:r w:rsidRPr="00227FF0">
        <w:rPr>
          <w:lang w:eastAsia="bg-BG"/>
        </w:rPr>
        <w:t>Барбитурати</w:t>
      </w:r>
      <w:proofErr w:type="spellEnd"/>
      <w:r w:rsidRPr="00227FF0">
        <w:rPr>
          <w:lang w:eastAsia="bg-BG"/>
        </w:rPr>
        <w:t xml:space="preserve">, </w:t>
      </w:r>
      <w:proofErr w:type="spellStart"/>
      <w:r w:rsidRPr="00227FF0">
        <w:rPr>
          <w:lang w:eastAsia="bg-BG"/>
        </w:rPr>
        <w:t>фенилбутазон</w:t>
      </w:r>
      <w:proofErr w:type="spellEnd"/>
      <w:r w:rsidRPr="00227FF0">
        <w:rPr>
          <w:lang w:eastAsia="bg-BG"/>
        </w:rPr>
        <w:t xml:space="preserve"> и други индуктори на </w:t>
      </w:r>
      <w:proofErr w:type="spellStart"/>
      <w:r w:rsidRPr="00227FF0">
        <w:rPr>
          <w:lang w:eastAsia="bg-BG"/>
        </w:rPr>
        <w:t>микрозомалните</w:t>
      </w:r>
      <w:proofErr w:type="spellEnd"/>
      <w:r w:rsidRPr="00227FF0">
        <w:rPr>
          <w:lang w:eastAsia="bg-BG"/>
        </w:rPr>
        <w:t xml:space="preserve"> ензими на черния дроб могат да намалят ефектите на </w:t>
      </w:r>
      <w:proofErr w:type="spellStart"/>
      <w:r w:rsidRPr="00227FF0">
        <w:rPr>
          <w:lang w:eastAsia="bg-BG"/>
        </w:rPr>
        <w:t>метамизола</w:t>
      </w:r>
      <w:proofErr w:type="spellEnd"/>
      <w:r w:rsidRPr="00227FF0">
        <w:rPr>
          <w:lang w:eastAsia="bg-BG"/>
        </w:rPr>
        <w:t>.</w:t>
      </w:r>
    </w:p>
    <w:p w14:paraId="5F95A314" w14:textId="77777777" w:rsidR="00227FF0" w:rsidRDefault="00227FF0" w:rsidP="00227FF0">
      <w:pPr>
        <w:rPr>
          <w:lang w:eastAsia="bg-BG"/>
        </w:rPr>
      </w:pPr>
    </w:p>
    <w:p w14:paraId="2C3B25D8" w14:textId="2353C412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Седативните продукти и транквилизатори засилват обезболяващото действие на </w:t>
      </w: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>.</w:t>
      </w:r>
    </w:p>
    <w:p w14:paraId="1E5E0CD5" w14:textId="77777777" w:rsidR="00227FF0" w:rsidRDefault="00227FF0" w:rsidP="00227FF0">
      <w:pPr>
        <w:rPr>
          <w:lang w:eastAsia="bg-BG"/>
        </w:rPr>
      </w:pPr>
    </w:p>
    <w:p w14:paraId="74278809" w14:textId="191EFEE8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Едновременната употреба на </w:t>
      </w: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 xml:space="preserve"> с други аналгетици и </w:t>
      </w:r>
      <w:proofErr w:type="spellStart"/>
      <w:r w:rsidRPr="00227FF0">
        <w:rPr>
          <w:lang w:eastAsia="bg-BG"/>
        </w:rPr>
        <w:t>нестероадни</w:t>
      </w:r>
      <w:proofErr w:type="spellEnd"/>
      <w:r w:rsidRPr="00227FF0">
        <w:rPr>
          <w:lang w:eastAsia="bg-BG"/>
        </w:rPr>
        <w:t xml:space="preserve"> противовъзпалителни средства повишава риска от възникване на алергични реакции.</w:t>
      </w:r>
    </w:p>
    <w:p w14:paraId="1F00E7DC" w14:textId="77777777" w:rsidR="00227FF0" w:rsidRDefault="00227FF0" w:rsidP="00227FF0">
      <w:pPr>
        <w:rPr>
          <w:lang w:eastAsia="bg-BG"/>
        </w:rPr>
      </w:pPr>
    </w:p>
    <w:p w14:paraId="16490AC8" w14:textId="6BC92798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Комбинирането на </w:t>
      </w: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 xml:space="preserve"> с други лекарствени продукти изисква повишено внимание, поради съдържанието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, който е ензимен индуктор.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може да индуцира лекарство-</w:t>
      </w:r>
      <w:proofErr w:type="spellStart"/>
      <w:r w:rsidRPr="00227FF0">
        <w:rPr>
          <w:lang w:eastAsia="bg-BG"/>
        </w:rPr>
        <w:t>метаболизиращи</w:t>
      </w:r>
      <w:proofErr w:type="spellEnd"/>
      <w:r w:rsidRPr="00227FF0">
        <w:rPr>
          <w:lang w:eastAsia="bg-BG"/>
        </w:rPr>
        <w:t xml:space="preserve"> ензими, включително </w:t>
      </w:r>
      <w:r w:rsidRPr="00227FF0">
        <w:rPr>
          <w:lang w:val="en-US"/>
        </w:rPr>
        <w:t xml:space="preserve">CYP2B6 </w:t>
      </w:r>
      <w:r w:rsidRPr="00227FF0">
        <w:rPr>
          <w:lang w:eastAsia="bg-BG"/>
        </w:rPr>
        <w:t xml:space="preserve">и </w:t>
      </w:r>
      <w:r w:rsidRPr="00227FF0">
        <w:rPr>
          <w:lang w:val="en-US"/>
        </w:rPr>
        <w:t xml:space="preserve">CYP3A4. </w:t>
      </w:r>
      <w:r w:rsidRPr="00227FF0">
        <w:rPr>
          <w:lang w:eastAsia="bg-BG"/>
        </w:rPr>
        <w:t xml:space="preserve">Едновременното приложение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с </w:t>
      </w:r>
      <w:proofErr w:type="spellStart"/>
      <w:r w:rsidRPr="00227FF0">
        <w:rPr>
          <w:lang w:eastAsia="bg-BG"/>
        </w:rPr>
        <w:t>бупропион</w:t>
      </w:r>
      <w:proofErr w:type="spellEnd"/>
      <w:r w:rsidRPr="00227FF0">
        <w:rPr>
          <w:lang w:eastAsia="bg-BG"/>
        </w:rPr>
        <w:t xml:space="preserve">, </w:t>
      </w:r>
      <w:proofErr w:type="spellStart"/>
      <w:r w:rsidRPr="00227FF0">
        <w:rPr>
          <w:lang w:eastAsia="bg-BG"/>
        </w:rPr>
        <w:t>ефавиренц</w:t>
      </w:r>
      <w:proofErr w:type="spellEnd"/>
      <w:r w:rsidRPr="00227FF0">
        <w:rPr>
          <w:lang w:eastAsia="bg-BG"/>
        </w:rPr>
        <w:t xml:space="preserve">, </w:t>
      </w:r>
      <w:proofErr w:type="spellStart"/>
      <w:r w:rsidRPr="00227FF0">
        <w:rPr>
          <w:lang w:eastAsia="bg-BG"/>
        </w:rPr>
        <w:t>метадон</w:t>
      </w:r>
      <w:proofErr w:type="spellEnd"/>
      <w:r w:rsidRPr="00227FF0">
        <w:rPr>
          <w:lang w:eastAsia="bg-BG"/>
        </w:rPr>
        <w:t xml:space="preserve">, валпроат, циклоспорин, </w:t>
      </w:r>
      <w:proofErr w:type="spellStart"/>
      <w:r w:rsidRPr="00227FF0">
        <w:rPr>
          <w:lang w:eastAsia="bg-BG"/>
        </w:rPr>
        <w:t>такролимус</w:t>
      </w:r>
      <w:proofErr w:type="spellEnd"/>
      <w:r w:rsidRPr="00227FF0">
        <w:rPr>
          <w:lang w:eastAsia="bg-BG"/>
        </w:rPr>
        <w:t xml:space="preserve"> или </w:t>
      </w:r>
      <w:proofErr w:type="spellStart"/>
      <w:r w:rsidRPr="00227FF0">
        <w:rPr>
          <w:lang w:eastAsia="bg-BG"/>
        </w:rPr>
        <w:t>сертралин</w:t>
      </w:r>
      <w:proofErr w:type="spellEnd"/>
      <w:r w:rsidRPr="00227FF0">
        <w:rPr>
          <w:lang w:eastAsia="bg-BG"/>
        </w:rPr>
        <w:t xml:space="preserve"> може да доведе до намаляване на плазмените концентрации на тези лекарства с потенциално намаляване на клиничната ефикасност. Поради това се препоръчва повишено внимание при едновременно приложение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>; клиничният отговор и/или нивата на лекарствата трябва да се проследяват по подходящ начин.</w:t>
      </w:r>
    </w:p>
    <w:p w14:paraId="4657C950" w14:textId="77777777" w:rsidR="00227FF0" w:rsidRPr="00227FF0" w:rsidRDefault="00227FF0" w:rsidP="00227FF0"/>
    <w:p w14:paraId="48221AB5" w14:textId="01D06A9B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55B1E6E1" w14:textId="77777777" w:rsidR="00227FF0" w:rsidRDefault="00227FF0" w:rsidP="00227FF0">
      <w:pPr>
        <w:spacing w:line="240" w:lineRule="auto"/>
        <w:rPr>
          <w:rFonts w:ascii="Cambria" w:eastAsia="Times New Roman" w:hAnsi="Cambria" w:cs="Cambria"/>
          <w:b/>
          <w:bCs/>
          <w:color w:val="000000"/>
          <w:sz w:val="18"/>
          <w:szCs w:val="18"/>
          <w:u w:val="single"/>
          <w:lang w:eastAsia="bg-BG"/>
        </w:rPr>
      </w:pPr>
    </w:p>
    <w:p w14:paraId="3FE8F317" w14:textId="0F01DE18" w:rsidR="00227FF0" w:rsidRPr="00227FF0" w:rsidRDefault="00227FF0" w:rsidP="00227FF0">
      <w:pPr>
        <w:pStyle w:val="Heading3"/>
        <w:rPr>
          <w:rFonts w:ascii="Times New Roman" w:eastAsia="Times New Roman" w:hAnsi="Times New Roman" w:cs="Times New Roman"/>
          <w:u w:val="single"/>
        </w:rPr>
      </w:pPr>
      <w:r w:rsidRPr="00227FF0">
        <w:rPr>
          <w:rFonts w:eastAsia="Times New Roman"/>
          <w:u w:val="single"/>
          <w:lang w:eastAsia="bg-BG"/>
        </w:rPr>
        <w:t>Бременност</w:t>
      </w:r>
    </w:p>
    <w:p w14:paraId="66C29D9C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 xml:space="preserve"> не трябва да се прилага по време на бременност.</w:t>
      </w:r>
    </w:p>
    <w:p w14:paraId="20202AA5" w14:textId="77777777" w:rsidR="00227FF0" w:rsidRDefault="00227FF0" w:rsidP="00227FF0">
      <w:pPr>
        <w:rPr>
          <w:i/>
          <w:iCs/>
          <w:lang w:eastAsia="bg-BG"/>
        </w:rPr>
      </w:pPr>
    </w:p>
    <w:p w14:paraId="532544DC" w14:textId="24F32D5E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i/>
          <w:iCs/>
          <w:lang w:eastAsia="bg-BG"/>
        </w:rPr>
        <w:lastRenderedPageBreak/>
        <w:t xml:space="preserve">Данни, свързани с </w:t>
      </w:r>
      <w:proofErr w:type="spellStart"/>
      <w:r w:rsidRPr="00227FF0">
        <w:rPr>
          <w:i/>
          <w:iCs/>
          <w:lang w:eastAsia="bg-BG"/>
        </w:rPr>
        <w:t>метамизол</w:t>
      </w:r>
      <w:proofErr w:type="spellEnd"/>
    </w:p>
    <w:p w14:paraId="57CF87EF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Налични са само ограничени данни за употребата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при бременни жени.</w:t>
      </w:r>
    </w:p>
    <w:p w14:paraId="556E1ECC" w14:textId="77777777" w:rsidR="00227FF0" w:rsidRDefault="00227FF0" w:rsidP="00227FF0">
      <w:pPr>
        <w:rPr>
          <w:lang w:eastAsia="bg-BG"/>
        </w:rPr>
      </w:pPr>
    </w:p>
    <w:p w14:paraId="4F9EB7C3" w14:textId="0D10B7F6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Въз основа на публикуваните данни от бременни жени с експозиция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през първия триместър (</w:t>
      </w:r>
      <w:r w:rsidRPr="00227FF0">
        <w:rPr>
          <w:lang w:val="en-US"/>
        </w:rPr>
        <w:t>n</w:t>
      </w:r>
      <w:r w:rsidRPr="00227FF0">
        <w:rPr>
          <w:lang w:eastAsia="bg-BG"/>
        </w:rPr>
        <w:t xml:space="preserve"> = 568), не са установени тератогенни или </w:t>
      </w:r>
      <w:proofErr w:type="spellStart"/>
      <w:r w:rsidRPr="00227FF0">
        <w:rPr>
          <w:lang w:eastAsia="bg-BG"/>
        </w:rPr>
        <w:t>ембриотоксични</w:t>
      </w:r>
      <w:proofErr w:type="spellEnd"/>
      <w:r w:rsidRPr="00227FF0">
        <w:rPr>
          <w:lang w:eastAsia="bg-BG"/>
        </w:rPr>
        <w:t xml:space="preserve"> ефекти. В отделни случаи, когато не съществуват други възможности за лечение, прилагането на единични дози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може да се допусне през първия и втория триместър. По принцип не се препоръчва прилагането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през първия и втория триместър. Употребата по време на третия триместър е свързана с </w:t>
      </w:r>
      <w:proofErr w:type="spellStart"/>
      <w:r w:rsidRPr="00227FF0">
        <w:rPr>
          <w:lang w:eastAsia="bg-BG"/>
        </w:rPr>
        <w:t>фетотоксичност</w:t>
      </w:r>
      <w:proofErr w:type="spellEnd"/>
      <w:r w:rsidRPr="00227FF0">
        <w:rPr>
          <w:lang w:eastAsia="bg-BG"/>
        </w:rPr>
        <w:t xml:space="preserve"> (бъбречно увреждане и </w:t>
      </w:r>
      <w:proofErr w:type="spellStart"/>
      <w:r w:rsidRPr="00227FF0">
        <w:rPr>
          <w:lang w:eastAsia="bg-BG"/>
        </w:rPr>
        <w:t>констрикция</w:t>
      </w:r>
      <w:proofErr w:type="spellEnd"/>
      <w:r w:rsidRPr="00227FF0">
        <w:rPr>
          <w:lang w:eastAsia="bg-BG"/>
        </w:rPr>
        <w:t xml:space="preserve"> на </w:t>
      </w:r>
      <w:proofErr w:type="spellStart"/>
      <w:r w:rsidRPr="00227FF0">
        <w:rPr>
          <w:lang w:eastAsia="bg-BG"/>
        </w:rPr>
        <w:t>дуктус</w:t>
      </w:r>
      <w:proofErr w:type="spellEnd"/>
      <w:r w:rsidRPr="00227FF0">
        <w:rPr>
          <w:lang w:eastAsia="bg-BG"/>
        </w:rPr>
        <w:t xml:space="preserve"> </w:t>
      </w:r>
      <w:proofErr w:type="spellStart"/>
      <w:r w:rsidRPr="00227FF0">
        <w:rPr>
          <w:lang w:eastAsia="bg-BG"/>
        </w:rPr>
        <w:t>артериозус</w:t>
      </w:r>
      <w:proofErr w:type="spellEnd"/>
      <w:r w:rsidRPr="00227FF0">
        <w:rPr>
          <w:lang w:eastAsia="bg-BG"/>
        </w:rPr>
        <w:t xml:space="preserve">) и следователно употребата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е противопоказана по време на третия триместър на бременността (вж. точка 4.3). При случайно прилагане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по време на третия триместър </w:t>
      </w:r>
      <w:proofErr w:type="spellStart"/>
      <w:r w:rsidRPr="00227FF0">
        <w:rPr>
          <w:lang w:eastAsia="bg-BG"/>
        </w:rPr>
        <w:t>амниотичната</w:t>
      </w:r>
      <w:proofErr w:type="spellEnd"/>
      <w:r w:rsidRPr="00227FF0">
        <w:rPr>
          <w:lang w:eastAsia="bg-BG"/>
        </w:rPr>
        <w:t xml:space="preserve"> течност и </w:t>
      </w:r>
      <w:proofErr w:type="spellStart"/>
      <w:r w:rsidRPr="00227FF0">
        <w:rPr>
          <w:lang w:eastAsia="bg-BG"/>
        </w:rPr>
        <w:t>дуктус</w:t>
      </w:r>
      <w:proofErr w:type="spellEnd"/>
      <w:r w:rsidRPr="00227FF0">
        <w:rPr>
          <w:lang w:eastAsia="bg-BG"/>
        </w:rPr>
        <w:t xml:space="preserve"> </w:t>
      </w:r>
      <w:proofErr w:type="spellStart"/>
      <w:r w:rsidRPr="00227FF0">
        <w:rPr>
          <w:lang w:eastAsia="bg-BG"/>
        </w:rPr>
        <w:t>артериозус</w:t>
      </w:r>
      <w:proofErr w:type="spellEnd"/>
      <w:r w:rsidRPr="00227FF0">
        <w:rPr>
          <w:lang w:eastAsia="bg-BG"/>
        </w:rPr>
        <w:t xml:space="preserve"> трябва да се контролират чрез ултразвук и </w:t>
      </w:r>
      <w:proofErr w:type="spellStart"/>
      <w:r w:rsidRPr="00227FF0">
        <w:rPr>
          <w:lang w:eastAsia="bg-BG"/>
        </w:rPr>
        <w:t>ехокардиография</w:t>
      </w:r>
      <w:proofErr w:type="spellEnd"/>
      <w:r w:rsidRPr="00227FF0">
        <w:rPr>
          <w:lang w:eastAsia="bg-BG"/>
        </w:rPr>
        <w:t>.</w:t>
      </w:r>
    </w:p>
    <w:p w14:paraId="31B8F7CE" w14:textId="77777777" w:rsidR="00227FF0" w:rsidRDefault="00227FF0" w:rsidP="00227FF0">
      <w:pPr>
        <w:rPr>
          <w:lang w:eastAsia="bg-BG"/>
        </w:rPr>
      </w:pPr>
    </w:p>
    <w:p w14:paraId="16FC88D0" w14:textId="7CA06E6B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преминава през </w:t>
      </w:r>
      <w:proofErr w:type="spellStart"/>
      <w:r w:rsidRPr="00227FF0">
        <w:rPr>
          <w:lang w:eastAsia="bg-BG"/>
        </w:rPr>
        <w:t>плацентарната</w:t>
      </w:r>
      <w:proofErr w:type="spellEnd"/>
      <w:r w:rsidRPr="00227FF0">
        <w:rPr>
          <w:lang w:eastAsia="bg-BG"/>
        </w:rPr>
        <w:t xml:space="preserve"> бариера.</w:t>
      </w:r>
    </w:p>
    <w:p w14:paraId="59EA7A23" w14:textId="77777777" w:rsidR="00227FF0" w:rsidRDefault="00227FF0" w:rsidP="00227FF0">
      <w:pPr>
        <w:rPr>
          <w:lang w:eastAsia="bg-BG"/>
        </w:rPr>
      </w:pPr>
    </w:p>
    <w:p w14:paraId="71194649" w14:textId="20077A45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При животни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индуцира репродуктивна токсичност, но не и </w:t>
      </w:r>
      <w:proofErr w:type="spellStart"/>
      <w:r w:rsidRPr="00227FF0">
        <w:rPr>
          <w:lang w:eastAsia="bg-BG"/>
        </w:rPr>
        <w:t>тератогенност</w:t>
      </w:r>
      <w:proofErr w:type="spellEnd"/>
      <w:r w:rsidRPr="00227FF0">
        <w:rPr>
          <w:lang w:eastAsia="bg-BG"/>
        </w:rPr>
        <w:t xml:space="preserve"> (вж. точка 5.3).</w:t>
      </w:r>
    </w:p>
    <w:p w14:paraId="5E8437D2" w14:textId="77777777" w:rsidR="00227FF0" w:rsidRDefault="00227FF0" w:rsidP="00227FF0">
      <w:pPr>
        <w:rPr>
          <w:lang w:eastAsia="bg-BG"/>
        </w:rPr>
      </w:pPr>
    </w:p>
    <w:p w14:paraId="71AA5D98" w14:textId="135C7F16" w:rsidR="00227FF0" w:rsidRPr="00227FF0" w:rsidRDefault="00227FF0" w:rsidP="00227FF0">
      <w:pPr>
        <w:pStyle w:val="Heading3"/>
        <w:rPr>
          <w:rFonts w:ascii="Times New Roman" w:eastAsia="Times New Roman" w:hAnsi="Times New Roman" w:cs="Times New Roman"/>
          <w:u w:val="single"/>
        </w:rPr>
      </w:pPr>
      <w:r w:rsidRPr="00227FF0">
        <w:rPr>
          <w:rFonts w:eastAsia="Times New Roman"/>
          <w:u w:val="single"/>
          <w:lang w:eastAsia="bg-BG"/>
        </w:rPr>
        <w:t>Кърмене</w:t>
      </w:r>
    </w:p>
    <w:p w14:paraId="2FD592D2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 xml:space="preserve"> не трябва да се прилага по време на кърмене.</w:t>
      </w:r>
    </w:p>
    <w:p w14:paraId="6CF217EE" w14:textId="77777777" w:rsidR="00227FF0" w:rsidRDefault="00227FF0" w:rsidP="00227FF0">
      <w:pPr>
        <w:rPr>
          <w:i/>
          <w:iCs/>
          <w:lang w:eastAsia="bg-BG"/>
        </w:rPr>
      </w:pPr>
    </w:p>
    <w:p w14:paraId="2F6E4CD8" w14:textId="115E6269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i/>
          <w:iCs/>
          <w:lang w:eastAsia="bg-BG"/>
        </w:rPr>
        <w:t xml:space="preserve">Данни, свързани с </w:t>
      </w:r>
      <w:proofErr w:type="spellStart"/>
      <w:r w:rsidRPr="00227FF0">
        <w:rPr>
          <w:i/>
          <w:iCs/>
          <w:lang w:eastAsia="bg-BG"/>
        </w:rPr>
        <w:t>метамизол</w:t>
      </w:r>
      <w:proofErr w:type="spellEnd"/>
    </w:p>
    <w:p w14:paraId="3586CA0B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Продуктите от разграждането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преминават в кърмата в значителни количества и не може да се изключи риск за кърмачето. Поради това многократната употреба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по време на кърмене трябва да се избягва. В случай на еднократно приложение на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>, на майките се препоръчва да събират и изхвърлят кърмата в продължение на 48 часа след прилагането на дозата.</w:t>
      </w:r>
    </w:p>
    <w:p w14:paraId="33965E07" w14:textId="77777777" w:rsidR="00227FF0" w:rsidRPr="00227FF0" w:rsidRDefault="00227FF0" w:rsidP="00227FF0"/>
    <w:p w14:paraId="5F675BDB" w14:textId="1E8CF1BC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1DB199BC" w14:textId="77777777" w:rsidR="00227FF0" w:rsidRDefault="00227FF0" w:rsidP="00227FF0">
      <w:pPr>
        <w:rPr>
          <w:lang w:eastAsia="bg-BG"/>
        </w:rPr>
      </w:pPr>
    </w:p>
    <w:p w14:paraId="3503AFEF" w14:textId="69813A9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Да се прилага с повишено внимание при пациенти, които шофират или работят с машини, тъй като поради наличие на </w:t>
      </w:r>
      <w:proofErr w:type="spellStart"/>
      <w:r w:rsidRPr="00227FF0">
        <w:rPr>
          <w:lang w:eastAsia="bg-BG"/>
        </w:rPr>
        <w:t>холинолитичен</w:t>
      </w:r>
      <w:proofErr w:type="spellEnd"/>
      <w:r w:rsidRPr="00227FF0">
        <w:rPr>
          <w:lang w:eastAsia="bg-BG"/>
        </w:rPr>
        <w:t xml:space="preserve"> ефект продължителното приемане на </w:t>
      </w: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 xml:space="preserve"> може да доведе до световъртеж и нарушение в акомодацията.</w:t>
      </w:r>
    </w:p>
    <w:p w14:paraId="20227EE8" w14:textId="77777777" w:rsidR="00227FF0" w:rsidRPr="00227FF0" w:rsidRDefault="00227FF0" w:rsidP="00227FF0"/>
    <w:p w14:paraId="1B3BD30D" w14:textId="416383D5" w:rsidR="002C50EE" w:rsidRDefault="002C50EE" w:rsidP="002C50EE">
      <w:pPr>
        <w:pStyle w:val="Heading2"/>
      </w:pPr>
      <w:r>
        <w:t>4.8. Нежелани лекарствени реакции</w:t>
      </w:r>
    </w:p>
    <w:p w14:paraId="6BA2DF85" w14:textId="77777777" w:rsidR="00227FF0" w:rsidRDefault="00227FF0" w:rsidP="00227FF0">
      <w:pPr>
        <w:rPr>
          <w:lang w:eastAsia="bg-BG"/>
        </w:rPr>
      </w:pPr>
    </w:p>
    <w:p w14:paraId="3FCB5D58" w14:textId="77C8C10C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Честотата на нежеланите реакции се класифицира както следва: много чести (</w:t>
      </w:r>
      <w:r w:rsidRPr="00227FF0">
        <w:rPr>
          <w:lang w:val="en-US"/>
        </w:rPr>
        <w:t>≥</w:t>
      </w:r>
      <w:r w:rsidRPr="00227FF0">
        <w:rPr>
          <w:lang w:eastAsia="bg-BG"/>
        </w:rPr>
        <w:t xml:space="preserve"> 1/10), чести (</w:t>
      </w:r>
      <w:r w:rsidRPr="00227FF0">
        <w:rPr>
          <w:lang w:val="en-US"/>
        </w:rPr>
        <w:t>≥</w:t>
      </w:r>
      <w:r w:rsidRPr="00227FF0">
        <w:rPr>
          <w:lang w:eastAsia="bg-BG"/>
        </w:rPr>
        <w:t xml:space="preserve"> 1/100 до &lt; 1/10), нечести (</w:t>
      </w:r>
      <w:r w:rsidRPr="00227FF0">
        <w:rPr>
          <w:lang w:val="en-US"/>
        </w:rPr>
        <w:t>≥</w:t>
      </w:r>
      <w:r w:rsidRPr="00227FF0">
        <w:rPr>
          <w:lang w:eastAsia="bg-BG"/>
        </w:rPr>
        <w:t xml:space="preserve"> 1 /1 000 до &lt; 1/100), редки (</w:t>
      </w:r>
      <w:r w:rsidRPr="00227FF0">
        <w:rPr>
          <w:lang w:val="en-US"/>
        </w:rPr>
        <w:t>≥</w:t>
      </w:r>
      <w:r w:rsidRPr="00227FF0">
        <w:rPr>
          <w:lang w:eastAsia="bg-BG"/>
        </w:rPr>
        <w:t xml:space="preserve"> 1/10 000 до &lt; 1 /1 000), много редки (&lt; 1/10 000), с неизвестна честота (от наличните данни не може да бъде направена оценка).</w:t>
      </w:r>
    </w:p>
    <w:p w14:paraId="21C5679C" w14:textId="6265DC63" w:rsidR="00227FF0" w:rsidRDefault="00227FF0" w:rsidP="00227FF0"/>
    <w:p w14:paraId="6E56A6AD" w14:textId="65114628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Нарушения на кръвта и лимфната система</w:t>
      </w:r>
      <w:r>
        <w:rPr>
          <w:lang w:eastAsia="bg-BG"/>
        </w:rPr>
        <w:t>:</w:t>
      </w:r>
    </w:p>
    <w:p w14:paraId="0D451DAE" w14:textId="315507AD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proofErr w:type="spellStart"/>
      <w:r w:rsidRPr="00227FF0">
        <w:rPr>
          <w:lang w:eastAsia="bg-BG"/>
        </w:rPr>
        <w:t>агранулоцитоза</w:t>
      </w:r>
      <w:proofErr w:type="spellEnd"/>
      <w:r w:rsidRPr="00227FF0">
        <w:rPr>
          <w:lang w:eastAsia="bg-BG"/>
        </w:rPr>
        <w:t xml:space="preserve">, </w:t>
      </w:r>
      <w:proofErr w:type="spellStart"/>
      <w:r w:rsidRPr="00227FF0">
        <w:rPr>
          <w:lang w:eastAsia="bg-BG"/>
        </w:rPr>
        <w:t>тромбоцитопения</w:t>
      </w:r>
      <w:proofErr w:type="spellEnd"/>
      <w:r w:rsidRPr="00227FF0">
        <w:rPr>
          <w:lang w:eastAsia="bg-BG"/>
        </w:rPr>
        <w:t xml:space="preserve">, </w:t>
      </w:r>
      <w:proofErr w:type="spellStart"/>
      <w:r w:rsidRPr="00227FF0">
        <w:rPr>
          <w:lang w:eastAsia="bg-BG"/>
        </w:rPr>
        <w:t>левкопения</w:t>
      </w:r>
      <w:proofErr w:type="spellEnd"/>
    </w:p>
    <w:p w14:paraId="3BCA01D0" w14:textId="77777777" w:rsidR="00227FF0" w:rsidRDefault="00227FF0" w:rsidP="00227FF0">
      <w:pPr>
        <w:rPr>
          <w:lang w:eastAsia="bg-BG"/>
        </w:rPr>
      </w:pPr>
    </w:p>
    <w:p w14:paraId="2F90662B" w14:textId="65565364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Нарушения на имунната система</w:t>
      </w:r>
    </w:p>
    <w:p w14:paraId="51AC3DD0" w14:textId="276395AE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proofErr w:type="spellStart"/>
      <w:r w:rsidRPr="00227FF0">
        <w:rPr>
          <w:lang w:eastAsia="bg-BG"/>
        </w:rPr>
        <w:t>анафилактичен</w:t>
      </w:r>
      <w:proofErr w:type="spellEnd"/>
      <w:r w:rsidRPr="00227FF0">
        <w:rPr>
          <w:lang w:eastAsia="bg-BG"/>
        </w:rPr>
        <w:t xml:space="preserve"> шок</w:t>
      </w:r>
    </w:p>
    <w:p w14:paraId="0F30FC93" w14:textId="77777777" w:rsidR="00227FF0" w:rsidRDefault="00227FF0" w:rsidP="00227FF0">
      <w:pPr>
        <w:rPr>
          <w:lang w:eastAsia="bg-BG"/>
        </w:rPr>
      </w:pPr>
    </w:p>
    <w:p w14:paraId="57CC2542" w14:textId="01A2FEB0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Нарушения на очите</w:t>
      </w:r>
      <w:r>
        <w:rPr>
          <w:lang w:eastAsia="bg-BG"/>
        </w:rPr>
        <w:t>:</w:t>
      </w:r>
    </w:p>
    <w:p w14:paraId="4DBE46DE" w14:textId="390C1464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r w:rsidRPr="00227FF0">
        <w:rPr>
          <w:lang w:eastAsia="bg-BG"/>
        </w:rPr>
        <w:t>нарушение в зрението</w:t>
      </w:r>
    </w:p>
    <w:p w14:paraId="5677B7DB" w14:textId="77777777" w:rsidR="00227FF0" w:rsidRDefault="00227FF0" w:rsidP="00227FF0">
      <w:pPr>
        <w:rPr>
          <w:lang w:eastAsia="bg-BG"/>
        </w:rPr>
      </w:pPr>
    </w:p>
    <w:p w14:paraId="17B19016" w14:textId="6118708F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Нарушения на ухото и лабиринта</w:t>
      </w:r>
      <w:r>
        <w:rPr>
          <w:lang w:eastAsia="bg-BG"/>
        </w:rPr>
        <w:t>:</w:t>
      </w:r>
    </w:p>
    <w:p w14:paraId="11F162E1" w14:textId="6A8343CD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proofErr w:type="spellStart"/>
      <w:r w:rsidRPr="00227FF0">
        <w:rPr>
          <w:lang w:eastAsia="bg-BG"/>
        </w:rPr>
        <w:t>вергиго</w:t>
      </w:r>
      <w:proofErr w:type="spellEnd"/>
    </w:p>
    <w:p w14:paraId="12EC74AF" w14:textId="77777777" w:rsidR="00227FF0" w:rsidRDefault="00227FF0" w:rsidP="00227FF0">
      <w:pPr>
        <w:rPr>
          <w:lang w:eastAsia="bg-BG"/>
        </w:rPr>
      </w:pPr>
    </w:p>
    <w:p w14:paraId="746AFEC4" w14:textId="45DA41BB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Сърдечни нарушения</w:t>
      </w:r>
      <w:r>
        <w:rPr>
          <w:lang w:eastAsia="bg-BG"/>
        </w:rPr>
        <w:t>:</w:t>
      </w:r>
    </w:p>
    <w:p w14:paraId="47BCABC6" w14:textId="587CCFEF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proofErr w:type="spellStart"/>
      <w:r w:rsidRPr="00227FF0">
        <w:rPr>
          <w:lang w:eastAsia="bg-BG"/>
        </w:rPr>
        <w:t>палпитации</w:t>
      </w:r>
      <w:proofErr w:type="spellEnd"/>
      <w:r w:rsidRPr="00227FF0">
        <w:rPr>
          <w:lang w:eastAsia="bg-BG"/>
        </w:rPr>
        <w:t>, тахикардия, ритъмни нарушения</w:t>
      </w:r>
    </w:p>
    <w:p w14:paraId="3A9D3B06" w14:textId="77777777" w:rsidR="00227FF0" w:rsidRDefault="00227FF0" w:rsidP="00227FF0">
      <w:pPr>
        <w:rPr>
          <w:lang w:eastAsia="bg-BG"/>
        </w:rPr>
      </w:pPr>
    </w:p>
    <w:p w14:paraId="2C16AD76" w14:textId="19CF6ECC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Съдови нарушения</w:t>
      </w:r>
      <w:r>
        <w:rPr>
          <w:lang w:eastAsia="bg-BG"/>
        </w:rPr>
        <w:t>:</w:t>
      </w:r>
    </w:p>
    <w:p w14:paraId="7D095C3C" w14:textId="778F991D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r w:rsidRPr="00227FF0">
        <w:rPr>
          <w:lang w:eastAsia="bg-BG"/>
        </w:rPr>
        <w:t>хипотония</w:t>
      </w:r>
    </w:p>
    <w:p w14:paraId="1521EBF0" w14:textId="77777777" w:rsidR="00227FF0" w:rsidRDefault="00227FF0" w:rsidP="00227FF0">
      <w:pPr>
        <w:rPr>
          <w:lang w:eastAsia="bg-BG"/>
        </w:rPr>
      </w:pPr>
    </w:p>
    <w:p w14:paraId="6B2457DD" w14:textId="0D8DF3D2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Респираторни, гръдни и </w:t>
      </w:r>
      <w:proofErr w:type="spellStart"/>
      <w:r w:rsidRPr="00227FF0">
        <w:rPr>
          <w:lang w:eastAsia="bg-BG"/>
        </w:rPr>
        <w:t>медиастинални</w:t>
      </w:r>
      <w:proofErr w:type="spellEnd"/>
      <w:r w:rsidRPr="00227FF0">
        <w:rPr>
          <w:lang w:eastAsia="bg-BG"/>
        </w:rPr>
        <w:t xml:space="preserve"> нарушения</w:t>
      </w:r>
      <w:r>
        <w:rPr>
          <w:lang w:eastAsia="bg-BG"/>
        </w:rPr>
        <w:t>:</w:t>
      </w:r>
    </w:p>
    <w:p w14:paraId="6C4BB30B" w14:textId="0EFAD4D2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proofErr w:type="spellStart"/>
      <w:r w:rsidRPr="00227FF0">
        <w:rPr>
          <w:lang w:eastAsia="bg-BG"/>
        </w:rPr>
        <w:t>бронхоспазъм</w:t>
      </w:r>
      <w:proofErr w:type="spellEnd"/>
    </w:p>
    <w:p w14:paraId="2AC380DB" w14:textId="77777777" w:rsidR="00227FF0" w:rsidRDefault="00227FF0" w:rsidP="00227FF0">
      <w:pPr>
        <w:rPr>
          <w:lang w:eastAsia="bg-BG"/>
        </w:rPr>
      </w:pPr>
    </w:p>
    <w:p w14:paraId="2F208D48" w14:textId="51650026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Стомашно-чревни нарушения</w:t>
      </w:r>
    </w:p>
    <w:p w14:paraId="0ED8C65F" w14:textId="4D670A72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</w:t>
      </w:r>
      <w:r w:rsidRPr="00227FF0">
        <w:rPr>
          <w:lang w:eastAsia="bg-BG"/>
        </w:rPr>
        <w:t xml:space="preserve"> стомашно</w:t>
      </w:r>
      <w:r>
        <w:rPr>
          <w:lang w:eastAsia="bg-BG"/>
        </w:rPr>
        <w:t xml:space="preserve"> </w:t>
      </w:r>
      <w:r w:rsidRPr="00227FF0">
        <w:rPr>
          <w:lang w:eastAsia="bg-BG"/>
        </w:rPr>
        <w:t xml:space="preserve">чревен дискомфорт, сухота в устата, </w:t>
      </w:r>
      <w:proofErr w:type="spellStart"/>
      <w:r w:rsidRPr="00227FF0">
        <w:rPr>
          <w:lang w:eastAsia="bg-BG"/>
        </w:rPr>
        <w:t>обстипация</w:t>
      </w:r>
      <w:proofErr w:type="spellEnd"/>
      <w:r w:rsidRPr="00227FF0">
        <w:rPr>
          <w:lang w:eastAsia="bg-BG"/>
        </w:rPr>
        <w:t xml:space="preserve">, </w:t>
      </w:r>
      <w:proofErr w:type="spellStart"/>
      <w:r w:rsidRPr="00227FF0">
        <w:rPr>
          <w:lang w:eastAsia="bg-BG"/>
        </w:rPr>
        <w:t>екзацербация</w:t>
      </w:r>
      <w:proofErr w:type="spellEnd"/>
      <w:r w:rsidRPr="00227FF0">
        <w:rPr>
          <w:lang w:eastAsia="bg-BG"/>
        </w:rPr>
        <w:t xml:space="preserve"> на гастрит и язвена болест</w:t>
      </w:r>
    </w:p>
    <w:p w14:paraId="28F5722C" w14:textId="77777777" w:rsidR="00227FF0" w:rsidRDefault="00227FF0" w:rsidP="00227FF0">
      <w:pPr>
        <w:rPr>
          <w:lang w:eastAsia="bg-BG"/>
        </w:rPr>
      </w:pPr>
    </w:p>
    <w:p w14:paraId="2D3EDB5E" w14:textId="320920F0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Хепатобилиарни</w:t>
      </w:r>
      <w:proofErr w:type="spellEnd"/>
      <w:r w:rsidRPr="00227FF0">
        <w:rPr>
          <w:lang w:eastAsia="bg-BG"/>
        </w:rPr>
        <w:t xml:space="preserve"> нарушения</w:t>
      </w:r>
      <w:r>
        <w:rPr>
          <w:lang w:eastAsia="bg-BG"/>
        </w:rPr>
        <w:t>:</w:t>
      </w:r>
    </w:p>
    <w:p w14:paraId="5F72691B" w14:textId="1BE818B9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r w:rsidRPr="00227FF0">
        <w:rPr>
          <w:lang w:eastAsia="bg-BG"/>
        </w:rPr>
        <w:t>лекарствено индуциране чернодробно увреждане,</w:t>
      </w:r>
      <w:r>
        <w:rPr>
          <w:lang w:eastAsia="bg-BG"/>
        </w:rPr>
        <w:t xml:space="preserve"> </w:t>
      </w:r>
      <w:r w:rsidRPr="00227FF0">
        <w:rPr>
          <w:lang w:eastAsia="bg-BG"/>
        </w:rPr>
        <w:t>включително</w:t>
      </w:r>
    </w:p>
    <w:p w14:paraId="43372758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остър хепатит, жълтеница, повишени чернодробни ензими (вж. точка 4.4).</w:t>
      </w:r>
    </w:p>
    <w:p w14:paraId="3BCF8E45" w14:textId="77777777" w:rsidR="00227FF0" w:rsidRDefault="00227FF0" w:rsidP="00227FF0">
      <w:pPr>
        <w:rPr>
          <w:lang w:eastAsia="bg-BG"/>
        </w:rPr>
      </w:pPr>
    </w:p>
    <w:p w14:paraId="35ED4272" w14:textId="234165B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Нарушения на кожата и подкожната тъкан</w:t>
      </w:r>
      <w:r>
        <w:rPr>
          <w:lang w:eastAsia="bg-BG"/>
        </w:rPr>
        <w:t>:</w:t>
      </w:r>
    </w:p>
    <w:p w14:paraId="6A1AE355" w14:textId="20BC5DB2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 </w:t>
      </w:r>
      <w:r w:rsidRPr="00227FF0">
        <w:rPr>
          <w:lang w:eastAsia="bg-BG"/>
        </w:rPr>
        <w:t xml:space="preserve">уртикария, </w:t>
      </w:r>
      <w:proofErr w:type="spellStart"/>
      <w:r w:rsidRPr="00227FF0">
        <w:rPr>
          <w:lang w:eastAsia="bg-BG"/>
        </w:rPr>
        <w:t>пруритус</w:t>
      </w:r>
      <w:proofErr w:type="spellEnd"/>
      <w:r w:rsidRPr="00227FF0">
        <w:rPr>
          <w:lang w:eastAsia="bg-BG"/>
        </w:rPr>
        <w:t xml:space="preserve">, ангиоедем, токсична </w:t>
      </w:r>
      <w:proofErr w:type="spellStart"/>
      <w:r w:rsidRPr="00227FF0">
        <w:rPr>
          <w:lang w:eastAsia="bg-BG"/>
        </w:rPr>
        <w:t>епцдермална</w:t>
      </w:r>
      <w:proofErr w:type="spellEnd"/>
    </w:p>
    <w:p w14:paraId="24901E81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некролиза</w:t>
      </w:r>
      <w:proofErr w:type="spellEnd"/>
      <w:r w:rsidRPr="00227FF0">
        <w:rPr>
          <w:lang w:eastAsia="bg-BG"/>
        </w:rPr>
        <w:t xml:space="preserve"> и синдром на </w:t>
      </w:r>
      <w:r w:rsidRPr="00227FF0">
        <w:rPr>
          <w:lang w:val="en-US"/>
        </w:rPr>
        <w:t>Stevens-Johnson</w:t>
      </w:r>
    </w:p>
    <w:p w14:paraId="077184FE" w14:textId="77777777" w:rsidR="00227FF0" w:rsidRDefault="00227FF0" w:rsidP="00227FF0">
      <w:pPr>
        <w:rPr>
          <w:lang w:eastAsia="bg-BG"/>
        </w:rPr>
      </w:pPr>
    </w:p>
    <w:p w14:paraId="47EF008C" w14:textId="7563459C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Нарушения на бъбреците и пикочните пътища</w:t>
      </w:r>
      <w:r>
        <w:rPr>
          <w:lang w:eastAsia="bg-BG"/>
        </w:rPr>
        <w:t>:</w:t>
      </w:r>
    </w:p>
    <w:p w14:paraId="1CA0B709" w14:textId="77777777" w:rsidR="00227FF0" w:rsidRPr="00227FF0" w:rsidRDefault="00227FF0" w:rsidP="00227FF0">
      <w:r w:rsidRPr="00227FF0">
        <w:rPr>
          <w:lang w:eastAsia="bg-BG"/>
        </w:rPr>
        <w:t>С неизвестна честота</w:t>
      </w:r>
      <w:r>
        <w:rPr>
          <w:lang w:eastAsia="bg-BG"/>
        </w:rPr>
        <w:t xml:space="preserve"> -</w:t>
      </w:r>
      <w:r w:rsidRPr="00227FF0">
        <w:rPr>
          <w:lang w:eastAsia="bg-BG"/>
        </w:rPr>
        <w:t xml:space="preserve"> </w:t>
      </w:r>
      <w:proofErr w:type="spellStart"/>
      <w:r w:rsidRPr="00227FF0">
        <w:rPr>
          <w:lang w:eastAsia="bg-BG"/>
        </w:rPr>
        <w:t>ретенция</w:t>
      </w:r>
      <w:proofErr w:type="spellEnd"/>
      <w:r w:rsidRPr="00227FF0">
        <w:rPr>
          <w:lang w:eastAsia="bg-BG"/>
        </w:rPr>
        <w:t xml:space="preserve"> на урината, при продължителен прием на високи дози е възможно намаляване на бъбречната функция (особено при</w:t>
      </w:r>
      <w:r>
        <w:rPr>
          <w:lang w:eastAsia="bg-BG"/>
        </w:rPr>
        <w:t xml:space="preserve"> </w:t>
      </w:r>
      <w:r w:rsidRPr="00227FF0">
        <w:rPr>
          <w:lang w:eastAsia="bg-BG"/>
        </w:rPr>
        <w:t xml:space="preserve">болни с предварително увредена такава) и в единични случаи </w:t>
      </w:r>
      <w:proofErr w:type="spellStart"/>
      <w:r w:rsidRPr="00227FF0">
        <w:rPr>
          <w:lang w:eastAsia="bg-BG"/>
        </w:rPr>
        <w:t>папиларна</w:t>
      </w:r>
      <w:proofErr w:type="spellEnd"/>
      <w:r w:rsidRPr="00227FF0">
        <w:rPr>
          <w:lang w:eastAsia="bg-BG"/>
        </w:rPr>
        <w:t xml:space="preserve"> некроза.</w:t>
      </w:r>
    </w:p>
    <w:p w14:paraId="78C4B188" w14:textId="32E6CC6C" w:rsidR="00227FF0" w:rsidRDefault="00227FF0" w:rsidP="00227FF0"/>
    <w:p w14:paraId="7B02EC43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FF0">
        <w:rPr>
          <w:u w:val="single"/>
          <w:lang w:eastAsia="bg-BG"/>
        </w:rPr>
        <w:t>Съобщаване на подозирани нежелани реакции</w:t>
      </w:r>
    </w:p>
    <w:p w14:paraId="3A2EBFCD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02 8903417, уебсайт: </w:t>
      </w:r>
      <w:hyperlink r:id="rId5" w:history="1">
        <w:r w:rsidRPr="00227FF0">
          <w:rPr>
            <w:lang w:val="en-US"/>
          </w:rPr>
          <w:t>www.bda.bg</w:t>
        </w:r>
      </w:hyperlink>
      <w:r w:rsidRPr="00227FF0">
        <w:rPr>
          <w:lang w:val="en-US"/>
        </w:rPr>
        <w:t>.</w:t>
      </w:r>
    </w:p>
    <w:p w14:paraId="5B3D28D2" w14:textId="77777777" w:rsidR="00227FF0" w:rsidRPr="00227FF0" w:rsidRDefault="00227FF0" w:rsidP="00227FF0"/>
    <w:p w14:paraId="611C622D" w14:textId="2E80DFE2" w:rsidR="002C50EE" w:rsidRDefault="002C50EE" w:rsidP="002C50EE">
      <w:pPr>
        <w:pStyle w:val="Heading2"/>
      </w:pPr>
      <w:r>
        <w:t>4.9. Предозиране</w:t>
      </w:r>
    </w:p>
    <w:p w14:paraId="52A8119B" w14:textId="77777777" w:rsidR="00227FF0" w:rsidRDefault="00227FF0" w:rsidP="00227FF0">
      <w:pPr>
        <w:rPr>
          <w:lang w:eastAsia="bg-BG"/>
        </w:rPr>
      </w:pPr>
    </w:p>
    <w:p w14:paraId="412B91CD" w14:textId="7425367B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При предозиране доминират симптомите на </w:t>
      </w:r>
      <w:proofErr w:type="spellStart"/>
      <w:r w:rsidRPr="00227FF0">
        <w:rPr>
          <w:lang w:eastAsia="bg-BG"/>
        </w:rPr>
        <w:t>метамизоловата</w:t>
      </w:r>
      <w:proofErr w:type="spellEnd"/>
      <w:r w:rsidRPr="00227FF0">
        <w:rPr>
          <w:lang w:eastAsia="bg-BG"/>
        </w:rPr>
        <w:t xml:space="preserve"> интоксикация, в комбинация с </w:t>
      </w:r>
      <w:proofErr w:type="spellStart"/>
      <w:r w:rsidRPr="00227FF0">
        <w:rPr>
          <w:lang w:eastAsia="bg-BG"/>
        </w:rPr>
        <w:t>холинолитични</w:t>
      </w:r>
      <w:proofErr w:type="spellEnd"/>
      <w:r w:rsidRPr="00227FF0">
        <w:rPr>
          <w:lang w:eastAsia="bg-BG"/>
        </w:rPr>
        <w:t xml:space="preserve"> ефекти. Най-често се наблюдава </w:t>
      </w:r>
      <w:proofErr w:type="spellStart"/>
      <w:r w:rsidRPr="00227FF0">
        <w:rPr>
          <w:lang w:eastAsia="bg-BG"/>
        </w:rPr>
        <w:t>токсоалергичен</w:t>
      </w:r>
      <w:proofErr w:type="spellEnd"/>
      <w:r w:rsidRPr="00227FF0">
        <w:rPr>
          <w:lang w:eastAsia="bg-BG"/>
        </w:rPr>
        <w:t xml:space="preserve"> синдром, симптоми на </w:t>
      </w:r>
      <w:proofErr w:type="spellStart"/>
      <w:r w:rsidRPr="00227FF0">
        <w:rPr>
          <w:lang w:eastAsia="bg-BG"/>
        </w:rPr>
        <w:t>хематотоксичност</w:t>
      </w:r>
      <w:proofErr w:type="spellEnd"/>
      <w:r w:rsidRPr="00227FF0">
        <w:rPr>
          <w:lang w:eastAsia="bg-BG"/>
        </w:rPr>
        <w:t>, гастроинтестинални нарушения, в тежки случаи и церебрални симптоми.</w:t>
      </w:r>
    </w:p>
    <w:p w14:paraId="587DFB79" w14:textId="77777777" w:rsidR="00227FF0" w:rsidRDefault="00227FF0" w:rsidP="00227FF0">
      <w:pPr>
        <w:rPr>
          <w:lang w:eastAsia="bg-BG"/>
        </w:rPr>
      </w:pPr>
    </w:p>
    <w:p w14:paraId="2119B4B9" w14:textId="731A716B" w:rsidR="00227FF0" w:rsidRPr="00227FF0" w:rsidRDefault="00227FF0" w:rsidP="00227FF0">
      <w:r w:rsidRPr="00227FF0">
        <w:rPr>
          <w:lang w:eastAsia="bg-BG"/>
        </w:rPr>
        <w:t xml:space="preserve">Необходимо е прекратяване приема на продукта и предприемане на мерки за бързо елиминиране на лекарството от организма (повръщане, </w:t>
      </w:r>
      <w:proofErr w:type="spellStart"/>
      <w:r w:rsidRPr="00227FF0">
        <w:rPr>
          <w:lang w:eastAsia="bg-BG"/>
        </w:rPr>
        <w:t>лаваж</w:t>
      </w:r>
      <w:proofErr w:type="spellEnd"/>
      <w:r w:rsidRPr="00227FF0">
        <w:rPr>
          <w:lang w:eastAsia="bg-BG"/>
        </w:rPr>
        <w:t xml:space="preserve"> на стомаха, форсирана </w:t>
      </w:r>
      <w:proofErr w:type="spellStart"/>
      <w:r w:rsidRPr="00227FF0">
        <w:rPr>
          <w:lang w:eastAsia="bg-BG"/>
        </w:rPr>
        <w:t>диуреза</w:t>
      </w:r>
      <w:proofErr w:type="spellEnd"/>
      <w:r w:rsidRPr="00227FF0">
        <w:rPr>
          <w:lang w:eastAsia="bg-BG"/>
        </w:rPr>
        <w:t>). Прилагат се симптоматични средства. Няма специфичен антидот.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14B84A24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1E675C3" w14:textId="37AD18D4" w:rsidR="00227FF0" w:rsidRPr="00227FF0" w:rsidRDefault="00227FF0" w:rsidP="00227FF0">
      <w:pPr>
        <w:rPr>
          <w:lang w:eastAsia="bg-BG"/>
        </w:rPr>
      </w:pPr>
      <w:proofErr w:type="spellStart"/>
      <w:r w:rsidRPr="00227FF0">
        <w:rPr>
          <w:lang w:eastAsia="bg-BG"/>
        </w:rPr>
        <w:t>Фармакотерапевтична</w:t>
      </w:r>
      <w:proofErr w:type="spellEnd"/>
      <w:r w:rsidRPr="00227FF0">
        <w:rPr>
          <w:lang w:eastAsia="bg-BG"/>
        </w:rPr>
        <w:t xml:space="preserve"> група: Спазмолитични продукти, комбинирани с аналгетици, АТС код: </w:t>
      </w:r>
      <w:r w:rsidRPr="00227FF0">
        <w:rPr>
          <w:lang w:val="en-US"/>
        </w:rPr>
        <w:t>A03DA02.</w:t>
      </w:r>
    </w:p>
    <w:p w14:paraId="72775C91" w14:textId="77777777" w:rsid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</w:p>
    <w:p w14:paraId="3140C030" w14:textId="39BF143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Спазмалгон</w:t>
      </w:r>
      <w:proofErr w:type="spellEnd"/>
      <w:r w:rsidRPr="00227FF0">
        <w:rPr>
          <w:lang w:eastAsia="bg-BG"/>
        </w:rPr>
        <w:t xml:space="preserve"> съчетава аналгетична, спазмолитична (</w:t>
      </w:r>
      <w:proofErr w:type="spellStart"/>
      <w:r w:rsidRPr="00227FF0">
        <w:rPr>
          <w:lang w:eastAsia="bg-BG"/>
        </w:rPr>
        <w:t>папавериноподобна</w:t>
      </w:r>
      <w:proofErr w:type="spellEnd"/>
      <w:r w:rsidRPr="00227FF0">
        <w:rPr>
          <w:lang w:eastAsia="bg-BG"/>
        </w:rPr>
        <w:t xml:space="preserve">), </w:t>
      </w:r>
      <w:proofErr w:type="spellStart"/>
      <w:r w:rsidRPr="00227FF0">
        <w:rPr>
          <w:lang w:eastAsia="bg-BG"/>
        </w:rPr>
        <w:t>холинолитична</w:t>
      </w:r>
      <w:proofErr w:type="spellEnd"/>
      <w:r w:rsidRPr="00227FF0">
        <w:rPr>
          <w:lang w:eastAsia="bg-BG"/>
        </w:rPr>
        <w:t xml:space="preserve"> (</w:t>
      </w:r>
      <w:proofErr w:type="spellStart"/>
      <w:r w:rsidRPr="00227FF0">
        <w:rPr>
          <w:lang w:eastAsia="bg-BG"/>
        </w:rPr>
        <w:t>атропиноподобна</w:t>
      </w:r>
      <w:proofErr w:type="spellEnd"/>
      <w:r w:rsidRPr="00227FF0">
        <w:rPr>
          <w:lang w:eastAsia="bg-BG"/>
        </w:rPr>
        <w:t xml:space="preserve">) и известна противовъзпалителна активност.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притежава изразено аналгетично и </w:t>
      </w:r>
      <w:proofErr w:type="spellStart"/>
      <w:r w:rsidRPr="00227FF0">
        <w:rPr>
          <w:lang w:eastAsia="bg-BG"/>
        </w:rPr>
        <w:t>антипиретично</w:t>
      </w:r>
      <w:proofErr w:type="spellEnd"/>
      <w:r w:rsidRPr="00227FF0">
        <w:rPr>
          <w:lang w:eastAsia="bg-BG"/>
        </w:rPr>
        <w:t xml:space="preserve"> действие, комбинирано с по-слаба противовъзпалителна и спазмолитична активност. Ефектите му са резултат от инхибиране на </w:t>
      </w:r>
      <w:proofErr w:type="spellStart"/>
      <w:r w:rsidRPr="00227FF0">
        <w:rPr>
          <w:lang w:eastAsia="bg-BG"/>
        </w:rPr>
        <w:t>простагландиновата</w:t>
      </w:r>
      <w:proofErr w:type="spellEnd"/>
      <w:r w:rsidRPr="00227FF0">
        <w:rPr>
          <w:lang w:eastAsia="bg-BG"/>
        </w:rPr>
        <w:t xml:space="preserve"> синтеза и синтезата на ендогенни </w:t>
      </w:r>
      <w:proofErr w:type="spellStart"/>
      <w:r w:rsidRPr="00227FF0">
        <w:rPr>
          <w:lang w:eastAsia="bg-BG"/>
        </w:rPr>
        <w:t>алгогени</w:t>
      </w:r>
      <w:proofErr w:type="spellEnd"/>
      <w:r w:rsidRPr="00227FF0">
        <w:rPr>
          <w:lang w:eastAsia="bg-BG"/>
        </w:rPr>
        <w:t xml:space="preserve">, повишаване на прага на възбудимост в </w:t>
      </w:r>
      <w:proofErr w:type="spellStart"/>
      <w:r w:rsidRPr="00227FF0">
        <w:rPr>
          <w:lang w:eastAsia="bg-BG"/>
        </w:rPr>
        <w:t>таламуса</w:t>
      </w:r>
      <w:proofErr w:type="spellEnd"/>
      <w:r w:rsidRPr="00227FF0">
        <w:rPr>
          <w:lang w:eastAsia="bg-BG"/>
        </w:rPr>
        <w:t xml:space="preserve"> и на провеждането на </w:t>
      </w:r>
      <w:proofErr w:type="spellStart"/>
      <w:r w:rsidRPr="00227FF0">
        <w:rPr>
          <w:lang w:eastAsia="bg-BG"/>
        </w:rPr>
        <w:t>болковите</w:t>
      </w:r>
      <w:proofErr w:type="spellEnd"/>
      <w:r w:rsidRPr="00227FF0">
        <w:rPr>
          <w:lang w:eastAsia="bg-BG"/>
        </w:rPr>
        <w:t xml:space="preserve"> </w:t>
      </w:r>
      <w:proofErr w:type="spellStart"/>
      <w:r w:rsidRPr="00227FF0">
        <w:rPr>
          <w:lang w:eastAsia="bg-BG"/>
        </w:rPr>
        <w:t>екстеро</w:t>
      </w:r>
      <w:proofErr w:type="spellEnd"/>
      <w:r w:rsidRPr="00227FF0">
        <w:rPr>
          <w:lang w:eastAsia="bg-BG"/>
        </w:rPr>
        <w:t xml:space="preserve">- и </w:t>
      </w:r>
      <w:proofErr w:type="spellStart"/>
      <w:r w:rsidRPr="00227FF0">
        <w:rPr>
          <w:lang w:eastAsia="bg-BG"/>
        </w:rPr>
        <w:t>интероцептивни</w:t>
      </w:r>
      <w:proofErr w:type="spellEnd"/>
      <w:r w:rsidRPr="00227FF0">
        <w:rPr>
          <w:lang w:eastAsia="bg-BG"/>
        </w:rPr>
        <w:t xml:space="preserve"> импулси в ЦНС, а също така и повлияване върху хипоталамуса и формиране на ендогенни </w:t>
      </w:r>
      <w:proofErr w:type="spellStart"/>
      <w:r w:rsidRPr="00227FF0">
        <w:rPr>
          <w:lang w:eastAsia="bg-BG"/>
        </w:rPr>
        <w:t>пирогени</w:t>
      </w:r>
      <w:proofErr w:type="spellEnd"/>
      <w:r w:rsidRPr="00227FF0">
        <w:rPr>
          <w:lang w:eastAsia="bg-BG"/>
        </w:rPr>
        <w:t>.</w:t>
      </w:r>
    </w:p>
    <w:p w14:paraId="1C19BF24" w14:textId="35929055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Фенпиверин</w:t>
      </w:r>
      <w:proofErr w:type="spellEnd"/>
      <w:r w:rsidRPr="00227FF0">
        <w:rPr>
          <w:lang w:eastAsia="bg-BG"/>
        </w:rPr>
        <w:t xml:space="preserve"> притежава умерено </w:t>
      </w:r>
      <w:proofErr w:type="spellStart"/>
      <w:r w:rsidRPr="00227FF0">
        <w:rPr>
          <w:lang w:eastAsia="bg-BG"/>
        </w:rPr>
        <w:t>ганглиоблокиращо</w:t>
      </w:r>
      <w:proofErr w:type="spellEnd"/>
      <w:r w:rsidRPr="00227FF0">
        <w:rPr>
          <w:lang w:eastAsia="bg-BG"/>
        </w:rPr>
        <w:t xml:space="preserve"> и </w:t>
      </w:r>
      <w:proofErr w:type="spellStart"/>
      <w:r w:rsidRPr="00227FF0">
        <w:rPr>
          <w:lang w:eastAsia="bg-BG"/>
        </w:rPr>
        <w:t>парасимпатиколитично</w:t>
      </w:r>
      <w:proofErr w:type="spellEnd"/>
      <w:r w:rsidRPr="00227FF0">
        <w:rPr>
          <w:lang w:eastAsia="bg-BG"/>
        </w:rPr>
        <w:t xml:space="preserve"> действие, намалява тонуса и моториката на гладката мускулатура на стомаха, червата, жлъчните и пикочни пътища.</w:t>
      </w:r>
    </w:p>
    <w:p w14:paraId="22C6896B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Питофенон</w:t>
      </w:r>
      <w:proofErr w:type="spellEnd"/>
      <w:r w:rsidRPr="00227FF0">
        <w:rPr>
          <w:lang w:eastAsia="bg-BG"/>
        </w:rPr>
        <w:t xml:space="preserve"> проявява </w:t>
      </w:r>
      <w:proofErr w:type="spellStart"/>
      <w:r w:rsidRPr="00227FF0">
        <w:rPr>
          <w:lang w:eastAsia="bg-BG"/>
        </w:rPr>
        <w:t>папавериноподобно</w:t>
      </w:r>
      <w:proofErr w:type="spellEnd"/>
      <w:r w:rsidRPr="00227FF0">
        <w:rPr>
          <w:lang w:eastAsia="bg-BG"/>
        </w:rPr>
        <w:t xml:space="preserve"> действие с изразена спазмолитична активност върху съдовата и </w:t>
      </w:r>
      <w:proofErr w:type="spellStart"/>
      <w:r w:rsidRPr="00227FF0">
        <w:rPr>
          <w:lang w:eastAsia="bg-BG"/>
        </w:rPr>
        <w:t>екстраваскуларна</w:t>
      </w:r>
      <w:proofErr w:type="spellEnd"/>
      <w:r w:rsidRPr="00227FF0">
        <w:rPr>
          <w:lang w:eastAsia="bg-BG"/>
        </w:rPr>
        <w:t xml:space="preserve"> гладка мускулатура.</w:t>
      </w:r>
    </w:p>
    <w:p w14:paraId="7D0110F4" w14:textId="77777777" w:rsidR="00227FF0" w:rsidRPr="00227FF0" w:rsidRDefault="00227FF0" w:rsidP="00227FF0"/>
    <w:p w14:paraId="788B4E5E" w14:textId="682717AA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61AC732" w14:textId="77777777" w:rsidR="00227FF0" w:rsidRDefault="00227FF0" w:rsidP="00227FF0">
      <w:pPr>
        <w:rPr>
          <w:lang w:eastAsia="bg-BG"/>
        </w:rPr>
      </w:pPr>
    </w:p>
    <w:p w14:paraId="3EB448A5" w14:textId="72104B04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се характеризира с бърза и пълна резорбция - 30 мин. след перорално приложение в серума се откриват количества, представляващи 50% от максималната серумна концентрация. Свързва се частично с плазмените протеини. В организма се подлага на интензивна биотрансформация като основните му метаболити са фармакологично активни. Елиминира се чрез екскреция с урината под формата на метаболити като само 3% от излъченото количество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е в непроменен вид. Върху степента на биотрансформация влияние оказва и генетично детерминирания тип на </w:t>
      </w:r>
      <w:proofErr w:type="spellStart"/>
      <w:r w:rsidRPr="00227FF0">
        <w:rPr>
          <w:lang w:eastAsia="bg-BG"/>
        </w:rPr>
        <w:t>ацетилиране</w:t>
      </w:r>
      <w:proofErr w:type="spellEnd"/>
      <w:r w:rsidRPr="00227FF0">
        <w:rPr>
          <w:lang w:eastAsia="bg-BG"/>
        </w:rPr>
        <w:t>.</w:t>
      </w:r>
    </w:p>
    <w:p w14:paraId="4F8CEF6C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Данните в достъпната медицинска литература по отношение на процесите на резорбция и разпределение на </w:t>
      </w:r>
      <w:proofErr w:type="spellStart"/>
      <w:r w:rsidRPr="00227FF0">
        <w:rPr>
          <w:lang w:eastAsia="bg-BG"/>
        </w:rPr>
        <w:t>питофенон</w:t>
      </w:r>
      <w:proofErr w:type="spellEnd"/>
      <w:r w:rsidRPr="00227FF0">
        <w:rPr>
          <w:lang w:eastAsia="bg-BG"/>
        </w:rPr>
        <w:t xml:space="preserve"> и </w:t>
      </w:r>
      <w:proofErr w:type="spellStart"/>
      <w:r w:rsidRPr="00227FF0">
        <w:rPr>
          <w:lang w:eastAsia="bg-BG"/>
        </w:rPr>
        <w:t>фенпиверин</w:t>
      </w:r>
      <w:proofErr w:type="spellEnd"/>
      <w:r w:rsidRPr="00227FF0">
        <w:rPr>
          <w:lang w:eastAsia="bg-BG"/>
        </w:rPr>
        <w:t xml:space="preserve"> са оскъдни. Известно е, че резорбцията се осъществява в горните отдели на гастроинтестиналния тракт и е непълна. Като химически съединения претърпяват процес на значителна йонизация и имат слаба </w:t>
      </w:r>
      <w:proofErr w:type="spellStart"/>
      <w:r w:rsidRPr="00227FF0">
        <w:rPr>
          <w:lang w:eastAsia="bg-BG"/>
        </w:rPr>
        <w:t>липоразтворимост</w:t>
      </w:r>
      <w:proofErr w:type="spellEnd"/>
      <w:r w:rsidRPr="00227FF0">
        <w:rPr>
          <w:lang w:eastAsia="bg-BG"/>
        </w:rPr>
        <w:t>, което предопределя слабата степен на проникване през кръвно-мозъчната бариера. Профилът</w:t>
      </w:r>
      <w:r>
        <w:rPr>
          <w:lang w:eastAsia="bg-BG"/>
        </w:rPr>
        <w:t xml:space="preserve"> </w:t>
      </w:r>
      <w:r w:rsidRPr="00227FF0">
        <w:rPr>
          <w:lang w:eastAsia="bg-BG"/>
        </w:rPr>
        <w:t xml:space="preserve">на техните плазмени концентрации има </w:t>
      </w:r>
      <w:proofErr w:type="spellStart"/>
      <w:r w:rsidRPr="00227FF0">
        <w:rPr>
          <w:lang w:eastAsia="bg-BG"/>
        </w:rPr>
        <w:t>бифазен</w:t>
      </w:r>
      <w:proofErr w:type="spellEnd"/>
      <w:r w:rsidRPr="00227FF0">
        <w:rPr>
          <w:lang w:eastAsia="bg-BG"/>
        </w:rPr>
        <w:t xml:space="preserve"> характер.</w:t>
      </w:r>
    </w:p>
    <w:p w14:paraId="6CC9F087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Питофенон</w:t>
      </w:r>
      <w:proofErr w:type="spellEnd"/>
      <w:r w:rsidRPr="00227FF0">
        <w:rPr>
          <w:lang w:eastAsia="bg-BG"/>
        </w:rPr>
        <w:t xml:space="preserve"> и </w:t>
      </w:r>
      <w:proofErr w:type="spellStart"/>
      <w:r w:rsidRPr="00227FF0">
        <w:rPr>
          <w:lang w:eastAsia="bg-BG"/>
        </w:rPr>
        <w:t>фенпиверин</w:t>
      </w:r>
      <w:proofErr w:type="spellEnd"/>
      <w:r w:rsidRPr="00227FF0">
        <w:rPr>
          <w:lang w:eastAsia="bg-BG"/>
        </w:rPr>
        <w:t xml:space="preserve"> се </w:t>
      </w:r>
      <w:proofErr w:type="spellStart"/>
      <w:r w:rsidRPr="00227FF0">
        <w:rPr>
          <w:lang w:eastAsia="bg-BG"/>
        </w:rPr>
        <w:t>метаболизират</w:t>
      </w:r>
      <w:proofErr w:type="spellEnd"/>
      <w:r w:rsidRPr="00227FF0">
        <w:rPr>
          <w:lang w:eastAsia="bg-BG"/>
        </w:rPr>
        <w:t xml:space="preserve"> в черния дроб основно по пътя на окислението, като около 90% от </w:t>
      </w:r>
      <w:proofErr w:type="spellStart"/>
      <w:r w:rsidRPr="00227FF0">
        <w:rPr>
          <w:lang w:eastAsia="bg-BG"/>
        </w:rPr>
        <w:t>метаболизираното</w:t>
      </w:r>
      <w:proofErr w:type="spellEnd"/>
      <w:r w:rsidRPr="00227FF0">
        <w:rPr>
          <w:lang w:eastAsia="bg-BG"/>
        </w:rPr>
        <w:t xml:space="preserve"> вещество се отделя с урината и около 10% с фекалиите като непроменено съединение. Има данни, че плазменият им полуживот е около 10 часа.</w:t>
      </w:r>
    </w:p>
    <w:p w14:paraId="3EC3D1AA" w14:textId="1A1D5345" w:rsidR="00227FF0" w:rsidRPr="00227FF0" w:rsidRDefault="00227FF0" w:rsidP="00227FF0">
      <w:r w:rsidRPr="00227FF0">
        <w:rPr>
          <w:lang w:eastAsia="bg-BG"/>
        </w:rPr>
        <w:t xml:space="preserve">Отделните компоненти се </w:t>
      </w:r>
      <w:proofErr w:type="spellStart"/>
      <w:r w:rsidRPr="00227FF0">
        <w:rPr>
          <w:lang w:eastAsia="bg-BG"/>
        </w:rPr>
        <w:t>екскретират</w:t>
      </w:r>
      <w:proofErr w:type="spellEnd"/>
      <w:r w:rsidRPr="00227FF0">
        <w:rPr>
          <w:lang w:eastAsia="bg-BG"/>
        </w:rPr>
        <w:t xml:space="preserve"> в кърмата.</w:t>
      </w:r>
    </w:p>
    <w:p w14:paraId="134A69A8" w14:textId="7C58B4FC" w:rsidR="002C50EE" w:rsidRDefault="002C50EE" w:rsidP="002C50EE">
      <w:pPr>
        <w:pStyle w:val="Heading2"/>
      </w:pPr>
      <w:r>
        <w:lastRenderedPageBreak/>
        <w:t>5.3. Предклинични данни за безопасност</w:t>
      </w:r>
    </w:p>
    <w:p w14:paraId="05659164" w14:textId="77777777" w:rsidR="00227FF0" w:rsidRDefault="00227FF0" w:rsidP="00227FF0">
      <w:pPr>
        <w:rPr>
          <w:lang w:eastAsia="bg-BG"/>
        </w:rPr>
      </w:pPr>
    </w:p>
    <w:p w14:paraId="11F3C516" w14:textId="5B451C8F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Изчислените посредством метода на </w:t>
      </w:r>
      <w:proofErr w:type="spellStart"/>
      <w:r w:rsidRPr="00227FF0">
        <w:rPr>
          <w:lang w:val="en-US"/>
        </w:rPr>
        <w:t>Litchlield</w:t>
      </w:r>
      <w:proofErr w:type="spellEnd"/>
      <w:r w:rsidRPr="00227FF0">
        <w:rPr>
          <w:lang w:val="en-US"/>
        </w:rPr>
        <w:t xml:space="preserve">-Wilcoxon's </w:t>
      </w:r>
      <w:r w:rsidRPr="00227FF0">
        <w:rPr>
          <w:lang w:eastAsia="bg-BG"/>
        </w:rPr>
        <w:t xml:space="preserve">стойности на средните летални дози на комбинацията са съответно 10 000 </w:t>
      </w:r>
      <w:r w:rsidRPr="00227FF0">
        <w:rPr>
          <w:lang w:val="en-US"/>
        </w:rPr>
        <w:t xml:space="preserve">mg/kg </w:t>
      </w:r>
      <w:proofErr w:type="spellStart"/>
      <w:r w:rsidRPr="00227FF0">
        <w:rPr>
          <w:lang w:eastAsia="bg-BG"/>
        </w:rPr>
        <w:t>т.т</w:t>
      </w:r>
      <w:proofErr w:type="spellEnd"/>
      <w:r w:rsidRPr="00227FF0">
        <w:rPr>
          <w:lang w:eastAsia="bg-BG"/>
        </w:rPr>
        <w:t xml:space="preserve"> за бели плъхове и 3 566 (2568</w:t>
      </w:r>
      <w:r w:rsidRPr="00227FF0">
        <w:rPr>
          <w:lang w:val="en-US"/>
        </w:rPr>
        <w:t>÷</w:t>
      </w:r>
      <w:r w:rsidRPr="00227FF0">
        <w:rPr>
          <w:lang w:eastAsia="bg-BG"/>
        </w:rPr>
        <w:t xml:space="preserve">4766) </w:t>
      </w:r>
      <w:r w:rsidRPr="00227FF0">
        <w:rPr>
          <w:lang w:val="en-US"/>
        </w:rPr>
        <w:t xml:space="preserve">mg/kg </w:t>
      </w:r>
      <w:proofErr w:type="spellStart"/>
      <w:r w:rsidRPr="00227FF0">
        <w:rPr>
          <w:lang w:eastAsia="bg-BG"/>
        </w:rPr>
        <w:t>т.т</w:t>
      </w:r>
      <w:proofErr w:type="spellEnd"/>
      <w:r w:rsidRPr="00227FF0">
        <w:rPr>
          <w:lang w:eastAsia="bg-BG"/>
        </w:rPr>
        <w:t xml:space="preserve">. за бели мишки при перорално приложение, като стойностите на същия показател за отделните компоненти са както следва - </w:t>
      </w:r>
      <w:proofErr w:type="spellStart"/>
      <w:r w:rsidRPr="00227FF0">
        <w:rPr>
          <w:lang w:eastAsia="bg-BG"/>
        </w:rPr>
        <w:t>метамизол</w:t>
      </w:r>
      <w:proofErr w:type="spellEnd"/>
      <w:r w:rsidRPr="00227FF0">
        <w:rPr>
          <w:lang w:eastAsia="bg-BG"/>
        </w:rPr>
        <w:t xml:space="preserve"> натрий </w:t>
      </w:r>
      <w:r w:rsidRPr="00227FF0">
        <w:rPr>
          <w:lang w:val="en-US"/>
        </w:rPr>
        <w:t>LD</w:t>
      </w:r>
      <w:r w:rsidRPr="00227FF0">
        <w:rPr>
          <w:vertAlign w:val="subscript"/>
          <w:lang w:val="en-US"/>
        </w:rPr>
        <w:t>50</w:t>
      </w:r>
      <w:r w:rsidRPr="00227FF0">
        <w:rPr>
          <w:lang w:val="en-US"/>
        </w:rPr>
        <w:t xml:space="preserve"> </w:t>
      </w:r>
      <w:r w:rsidRPr="00227FF0">
        <w:rPr>
          <w:lang w:eastAsia="bg-BG"/>
        </w:rPr>
        <w:t xml:space="preserve">- 6 932 </w:t>
      </w:r>
      <w:r w:rsidRPr="00227FF0">
        <w:rPr>
          <w:lang w:val="en-US"/>
        </w:rPr>
        <w:t xml:space="preserve">mg/kg; </w:t>
      </w:r>
      <w:proofErr w:type="spellStart"/>
      <w:r w:rsidRPr="00227FF0">
        <w:rPr>
          <w:lang w:eastAsia="bg-BG"/>
        </w:rPr>
        <w:t>фенпиверин</w:t>
      </w:r>
      <w:proofErr w:type="spellEnd"/>
      <w:r w:rsidRPr="00227FF0">
        <w:rPr>
          <w:lang w:eastAsia="bg-BG"/>
        </w:rPr>
        <w:t xml:space="preserve"> </w:t>
      </w:r>
      <w:r w:rsidRPr="00227FF0">
        <w:rPr>
          <w:lang w:val="en-US"/>
        </w:rPr>
        <w:t>LD</w:t>
      </w:r>
      <w:r w:rsidRPr="00227FF0">
        <w:rPr>
          <w:vertAlign w:val="subscript"/>
          <w:lang w:val="en-US"/>
        </w:rPr>
        <w:t>50</w:t>
      </w:r>
      <w:r w:rsidRPr="00227FF0">
        <w:rPr>
          <w:lang w:val="en-US"/>
        </w:rPr>
        <w:t xml:space="preserve"> </w:t>
      </w:r>
      <w:r w:rsidRPr="00227FF0">
        <w:rPr>
          <w:lang w:eastAsia="bg-BG"/>
        </w:rPr>
        <w:t xml:space="preserve">- 4 000 </w:t>
      </w:r>
      <w:r w:rsidRPr="00227FF0">
        <w:rPr>
          <w:lang w:val="en-US"/>
        </w:rPr>
        <w:t xml:space="preserve">mg/kg; </w:t>
      </w:r>
      <w:proofErr w:type="spellStart"/>
      <w:r w:rsidRPr="00227FF0">
        <w:rPr>
          <w:lang w:eastAsia="bg-BG"/>
        </w:rPr>
        <w:t>питофенон</w:t>
      </w:r>
      <w:proofErr w:type="spellEnd"/>
      <w:r w:rsidRPr="00227FF0">
        <w:rPr>
          <w:lang w:eastAsia="bg-BG"/>
        </w:rPr>
        <w:t xml:space="preserve"> </w:t>
      </w:r>
      <w:r w:rsidRPr="00227FF0">
        <w:rPr>
          <w:lang w:val="en-US"/>
        </w:rPr>
        <w:t>LD</w:t>
      </w:r>
      <w:r w:rsidRPr="00227FF0">
        <w:rPr>
          <w:vertAlign w:val="subscript"/>
          <w:lang w:val="en-US"/>
        </w:rPr>
        <w:t>50</w:t>
      </w:r>
      <w:r w:rsidRPr="00227FF0">
        <w:rPr>
          <w:lang w:val="en-US"/>
        </w:rPr>
        <w:t xml:space="preserve"> </w:t>
      </w:r>
      <w:r w:rsidRPr="00227FF0">
        <w:rPr>
          <w:lang w:eastAsia="bg-BG"/>
        </w:rPr>
        <w:t xml:space="preserve">- 3 600 </w:t>
      </w:r>
      <w:r w:rsidRPr="00227FF0">
        <w:rPr>
          <w:lang w:val="en-US"/>
        </w:rPr>
        <w:t>mg/kg.</w:t>
      </w:r>
    </w:p>
    <w:p w14:paraId="4FDC9BC8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Стойностите на </w:t>
      </w:r>
      <w:r w:rsidRPr="00227FF0">
        <w:rPr>
          <w:lang w:val="en-US"/>
        </w:rPr>
        <w:t>LD</w:t>
      </w:r>
      <w:r w:rsidRPr="00227FF0">
        <w:rPr>
          <w:vertAlign w:val="subscript"/>
          <w:lang w:val="en-US"/>
        </w:rPr>
        <w:t xml:space="preserve">50 </w:t>
      </w:r>
      <w:r w:rsidRPr="00227FF0">
        <w:rPr>
          <w:lang w:eastAsia="bg-BG"/>
        </w:rPr>
        <w:t xml:space="preserve">след </w:t>
      </w:r>
      <w:proofErr w:type="spellStart"/>
      <w:r w:rsidRPr="00227FF0">
        <w:rPr>
          <w:lang w:eastAsia="bg-BG"/>
        </w:rPr>
        <w:t>интраперитонеално</w:t>
      </w:r>
      <w:proofErr w:type="spellEnd"/>
      <w:r w:rsidRPr="00227FF0">
        <w:rPr>
          <w:lang w:eastAsia="bg-BG"/>
        </w:rPr>
        <w:t xml:space="preserve"> приложение са съответно 2726 (2226</w:t>
      </w:r>
      <w:r w:rsidRPr="00227FF0">
        <w:rPr>
          <w:lang w:val="en-US"/>
        </w:rPr>
        <w:t>÷</w:t>
      </w:r>
      <w:r w:rsidRPr="00227FF0">
        <w:rPr>
          <w:lang w:eastAsia="bg-BG"/>
        </w:rPr>
        <w:t xml:space="preserve">3337) </w:t>
      </w:r>
      <w:r w:rsidRPr="00227FF0">
        <w:rPr>
          <w:lang w:val="en-US"/>
        </w:rPr>
        <w:t xml:space="preserve">mg/kg </w:t>
      </w:r>
      <w:proofErr w:type="spellStart"/>
      <w:r w:rsidRPr="00227FF0">
        <w:rPr>
          <w:lang w:eastAsia="bg-BG"/>
        </w:rPr>
        <w:t>т.т</w:t>
      </w:r>
      <w:proofErr w:type="spellEnd"/>
      <w:r w:rsidRPr="00227FF0">
        <w:rPr>
          <w:lang w:eastAsia="bg-BG"/>
        </w:rPr>
        <w:t>. за бели плъхове и 2011 (1424</w:t>
      </w:r>
      <w:r w:rsidRPr="00227FF0">
        <w:rPr>
          <w:lang w:val="en-US"/>
        </w:rPr>
        <w:t>÷</w:t>
      </w:r>
      <w:r w:rsidRPr="00227FF0">
        <w:rPr>
          <w:lang w:eastAsia="bg-BG"/>
        </w:rPr>
        <w:t xml:space="preserve">2840) </w:t>
      </w:r>
      <w:r w:rsidRPr="00227FF0">
        <w:rPr>
          <w:lang w:val="en-US"/>
        </w:rPr>
        <w:t xml:space="preserve">mg/kg </w:t>
      </w:r>
      <w:proofErr w:type="spellStart"/>
      <w:r w:rsidRPr="00227FF0">
        <w:rPr>
          <w:lang w:eastAsia="bg-BG"/>
        </w:rPr>
        <w:t>т.т</w:t>
      </w:r>
      <w:proofErr w:type="spellEnd"/>
      <w:r w:rsidRPr="00227FF0">
        <w:rPr>
          <w:lang w:eastAsia="bg-BG"/>
        </w:rPr>
        <w:t xml:space="preserve">. за бели мишки. Няма данни за </w:t>
      </w:r>
      <w:proofErr w:type="spellStart"/>
      <w:r w:rsidRPr="00227FF0">
        <w:rPr>
          <w:lang w:eastAsia="bg-BG"/>
        </w:rPr>
        <w:t>потенциране</w:t>
      </w:r>
      <w:proofErr w:type="spellEnd"/>
      <w:r w:rsidRPr="00227FF0">
        <w:rPr>
          <w:lang w:eastAsia="bg-BG"/>
        </w:rPr>
        <w:t xml:space="preserve"> токсичността на отделните съставки при едновременното им приложение.</w:t>
      </w:r>
    </w:p>
    <w:p w14:paraId="5D5129BC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 xml:space="preserve">В условията на хроничен опит няма данни за поява на токсични ефекти и хистологични промени в </w:t>
      </w:r>
      <w:proofErr w:type="spellStart"/>
      <w:r w:rsidRPr="00227FF0">
        <w:rPr>
          <w:lang w:eastAsia="bg-BG"/>
        </w:rPr>
        <w:t>паренхимните</w:t>
      </w:r>
      <w:proofErr w:type="spellEnd"/>
      <w:r w:rsidRPr="00227FF0">
        <w:rPr>
          <w:lang w:eastAsia="bg-BG"/>
        </w:rPr>
        <w:t xml:space="preserve"> органи. Не са установени </w:t>
      </w:r>
      <w:proofErr w:type="spellStart"/>
      <w:r w:rsidRPr="00227FF0">
        <w:rPr>
          <w:lang w:eastAsia="bg-BG"/>
        </w:rPr>
        <w:t>ембриотоксично</w:t>
      </w:r>
      <w:proofErr w:type="spellEnd"/>
      <w:r w:rsidRPr="00227FF0">
        <w:rPr>
          <w:lang w:eastAsia="bg-BG"/>
        </w:rPr>
        <w:t xml:space="preserve"> и тератогенно действие, няма данни за мутагенна активност.</w:t>
      </w:r>
    </w:p>
    <w:p w14:paraId="0DBB0896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Няма данни и не са проведени добре контролирани проучвания за токсичност на комбинацията при хора.</w:t>
      </w:r>
    </w:p>
    <w:p w14:paraId="72241012" w14:textId="77777777" w:rsidR="00227FF0" w:rsidRPr="00227FF0" w:rsidRDefault="00227FF0" w:rsidP="00227FF0"/>
    <w:p w14:paraId="28C40F19" w14:textId="24874AF9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5CD9943A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FF0">
        <w:rPr>
          <w:lang w:eastAsia="bg-BG"/>
        </w:rPr>
        <w:t>Тева</w:t>
      </w:r>
      <w:proofErr w:type="spellEnd"/>
      <w:r w:rsidRPr="00227FF0">
        <w:rPr>
          <w:lang w:eastAsia="bg-BG"/>
        </w:rPr>
        <w:t xml:space="preserve"> </w:t>
      </w:r>
      <w:proofErr w:type="spellStart"/>
      <w:r w:rsidRPr="00227FF0">
        <w:rPr>
          <w:lang w:eastAsia="bg-BG"/>
        </w:rPr>
        <w:t>Фарма</w:t>
      </w:r>
      <w:proofErr w:type="spellEnd"/>
      <w:r w:rsidRPr="00227FF0">
        <w:rPr>
          <w:lang w:eastAsia="bg-BG"/>
        </w:rPr>
        <w:t xml:space="preserve"> ЕАД</w:t>
      </w:r>
    </w:p>
    <w:p w14:paraId="2218586D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ул. „Люба Величкова“ № 9</w:t>
      </w:r>
    </w:p>
    <w:p w14:paraId="1B0521E5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1407 София, България</w:t>
      </w:r>
    </w:p>
    <w:p w14:paraId="7553FB49" w14:textId="77777777" w:rsidR="00227FF0" w:rsidRPr="00227FF0" w:rsidRDefault="00227FF0" w:rsidP="00227FF0"/>
    <w:p w14:paraId="04840D59" w14:textId="2EF20EEE" w:rsidR="002C50EE" w:rsidRDefault="002C50EE" w:rsidP="002C50EE">
      <w:pPr>
        <w:pStyle w:val="Heading1"/>
      </w:pPr>
      <w:r>
        <w:t>8. НОМЕР НА РАЗРЕШЕНИЕТО ЗА УПОТРЕБА</w:t>
      </w:r>
    </w:p>
    <w:p w14:paraId="173397E8" w14:textId="5E0C231D" w:rsidR="00227FF0" w:rsidRPr="00227FF0" w:rsidRDefault="00227FF0" w:rsidP="00227FF0">
      <w:r>
        <w:rPr>
          <w:lang w:val="en-US"/>
        </w:rPr>
        <w:t xml:space="preserve">Per. </w:t>
      </w:r>
      <w:r>
        <w:t>№ 20030233</w:t>
      </w:r>
    </w:p>
    <w:p w14:paraId="5900CBF3" w14:textId="12AC0660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25531155" w14:textId="77777777" w:rsidR="00227FF0" w:rsidRPr="00227FF0" w:rsidRDefault="00227FF0" w:rsidP="00227FF0">
      <w:pPr>
        <w:rPr>
          <w:rFonts w:ascii="Times New Roman" w:hAnsi="Times New Roman" w:cs="Times New Roman"/>
          <w:sz w:val="24"/>
          <w:szCs w:val="24"/>
        </w:rPr>
      </w:pPr>
      <w:r w:rsidRPr="00227FF0">
        <w:rPr>
          <w:lang w:eastAsia="bg-BG"/>
        </w:rPr>
        <w:t>Дата на първо разрешаване: 27.03.2003 г.</w:t>
      </w:r>
    </w:p>
    <w:p w14:paraId="6C7D477F" w14:textId="7ECCB195" w:rsidR="00227FF0" w:rsidRPr="00227FF0" w:rsidRDefault="00227FF0" w:rsidP="00227FF0">
      <w:r w:rsidRPr="00227FF0">
        <w:rPr>
          <w:lang w:eastAsia="bg-BG"/>
        </w:rPr>
        <w:t>Дата на последно подновяване: 27.05.2008 г.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79007F29" w:rsidR="002C50EE" w:rsidRDefault="00227FF0" w:rsidP="00227FF0">
      <w:pPr>
        <w:rPr>
          <w:rFonts w:cs="Arial"/>
          <w:sz w:val="26"/>
          <w:szCs w:val="26"/>
        </w:rPr>
      </w:pPr>
      <w:r>
        <w:t>15.02.2021</w:t>
      </w: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BA51F3"/>
    <w:multiLevelType w:val="hybridMultilevel"/>
    <w:tmpl w:val="619C04CA"/>
    <w:lvl w:ilvl="0" w:tplc="11F2E1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3C9E"/>
    <w:multiLevelType w:val="hybridMultilevel"/>
    <w:tmpl w:val="38987C8C"/>
    <w:lvl w:ilvl="0" w:tplc="22488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380A"/>
    <w:multiLevelType w:val="hybridMultilevel"/>
    <w:tmpl w:val="26B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97968"/>
    <w:multiLevelType w:val="hybridMultilevel"/>
    <w:tmpl w:val="C2F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20"/>
  </w:num>
  <w:num w:numId="12">
    <w:abstractNumId w:val="11"/>
  </w:num>
  <w:num w:numId="13">
    <w:abstractNumId w:val="15"/>
  </w:num>
  <w:num w:numId="14">
    <w:abstractNumId w:val="8"/>
  </w:num>
  <w:num w:numId="15">
    <w:abstractNumId w:val="19"/>
  </w:num>
  <w:num w:numId="16">
    <w:abstractNumId w:val="6"/>
  </w:num>
  <w:num w:numId="17">
    <w:abstractNumId w:val="16"/>
  </w:num>
  <w:num w:numId="18">
    <w:abstractNumId w:val="1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27FF0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2021-07-30T19:02:00Z</dcterms:created>
  <dcterms:modified xsi:type="dcterms:W3CDTF">2021-07-30T19:02:00Z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