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098A0F7A" w:rsidR="00DB32D3" w:rsidRDefault="00DD466D" w:rsidP="005726E3">
      <w:pPr>
        <w:pStyle w:val="Heading1"/>
      </w:pPr>
      <w:r>
        <w:t>1.ИМЕ НА ЛЕКАРСТВЕНИЯ ПРОДУКТ</w:t>
      </w:r>
    </w:p>
    <w:p w14:paraId="10807EFC" w14:textId="2C943DD9" w:rsidR="00E55EF6" w:rsidRDefault="00E55EF6" w:rsidP="00E55EF6"/>
    <w:p w14:paraId="16A57B74" w14:textId="77777777" w:rsidR="00E55EF6" w:rsidRPr="00E55EF6" w:rsidRDefault="00E55EF6" w:rsidP="00E55EF6">
      <w:pPr>
        <w:rPr>
          <w:sz w:val="24"/>
          <w:szCs w:val="24"/>
        </w:rPr>
      </w:pPr>
      <w:r w:rsidRPr="00E55EF6">
        <w:rPr>
          <w:lang w:eastAsia="bg-BG"/>
        </w:rPr>
        <w:t>Спиолто Респимат 2,5 микрограма/2,5 микрограма разтвор за инхалация</w:t>
      </w:r>
    </w:p>
    <w:p w14:paraId="4E157F6E" w14:textId="657DE0B6" w:rsidR="00E55EF6" w:rsidRPr="00E55EF6" w:rsidRDefault="00E55EF6" w:rsidP="00E55EF6">
      <w:proofErr w:type="spellStart"/>
      <w:r w:rsidRPr="00E55EF6">
        <w:rPr>
          <w:lang w:val="en-US"/>
        </w:rPr>
        <w:t>Spiolto</w:t>
      </w:r>
      <w:proofErr w:type="spellEnd"/>
      <w:r w:rsidRPr="00E55EF6">
        <w:rPr>
          <w:lang w:val="en-US"/>
        </w:rPr>
        <w:t xml:space="preserve"> </w:t>
      </w:r>
      <w:proofErr w:type="spellStart"/>
      <w:r w:rsidRPr="00E55EF6">
        <w:rPr>
          <w:lang w:val="en-US"/>
        </w:rPr>
        <w:t>Respimat</w:t>
      </w:r>
      <w:proofErr w:type="spellEnd"/>
      <w:r w:rsidRPr="00E55EF6">
        <w:rPr>
          <w:lang w:val="en-US"/>
        </w:rPr>
        <w:t xml:space="preserve"> </w:t>
      </w:r>
      <w:r w:rsidRPr="00E55EF6">
        <w:rPr>
          <w:lang w:eastAsia="bg-BG"/>
        </w:rPr>
        <w:t xml:space="preserve">2.5 </w:t>
      </w:r>
      <w:r w:rsidRPr="00E55EF6">
        <w:rPr>
          <w:lang w:val="en-US"/>
        </w:rPr>
        <w:t>microgram/2.5 microgram inhalation solution</w:t>
      </w:r>
    </w:p>
    <w:p w14:paraId="48E6CABE" w14:textId="2922A293" w:rsidR="00DB32D3" w:rsidRDefault="00DD466D" w:rsidP="005726E3">
      <w:pPr>
        <w:pStyle w:val="Heading1"/>
      </w:pPr>
      <w:r>
        <w:t>2. КАЧЕСТВЕН И КОЛИЧЕСТВЕН СЪСТАВ</w:t>
      </w:r>
    </w:p>
    <w:p w14:paraId="30C3AFEE" w14:textId="5E40FEB9" w:rsidR="00E55EF6" w:rsidRDefault="00E55EF6" w:rsidP="00E55EF6"/>
    <w:p w14:paraId="5F428DAC" w14:textId="77777777" w:rsidR="00E55EF6" w:rsidRPr="00E55EF6" w:rsidRDefault="00E55EF6" w:rsidP="00E55EF6">
      <w:pPr>
        <w:spacing w:line="240" w:lineRule="auto"/>
        <w:rPr>
          <w:rFonts w:eastAsia="Times New Roman" w:cs="Arial"/>
          <w:sz w:val="28"/>
          <w:szCs w:val="24"/>
        </w:rPr>
      </w:pPr>
      <w:r w:rsidRPr="00E55EF6">
        <w:rPr>
          <w:rFonts w:eastAsia="Times New Roman" w:cs="Arial"/>
          <w:color w:val="000000"/>
          <w:szCs w:val="20"/>
          <w:lang w:eastAsia="bg-BG"/>
        </w:rPr>
        <w:t xml:space="preserve">Доставената доза е 2,5 микрограма тиотропиум </w:t>
      </w:r>
      <w:r w:rsidRPr="00E55EF6">
        <w:rPr>
          <w:rFonts w:eastAsia="Times New Roman" w:cs="Arial"/>
          <w:color w:val="000000"/>
          <w:szCs w:val="20"/>
        </w:rPr>
        <w:t>(</w:t>
      </w:r>
      <w:proofErr w:type="spellStart"/>
      <w:r w:rsidRPr="00E55EF6">
        <w:rPr>
          <w:rFonts w:eastAsia="Times New Roman" w:cs="Arial"/>
          <w:color w:val="000000"/>
          <w:szCs w:val="20"/>
          <w:lang w:val="en-US"/>
        </w:rPr>
        <w:t>tiotropium</w:t>
      </w:r>
      <w:proofErr w:type="spellEnd"/>
      <w:r w:rsidRPr="00E55EF6">
        <w:rPr>
          <w:rFonts w:eastAsia="Times New Roman" w:cs="Arial"/>
          <w:color w:val="000000"/>
          <w:szCs w:val="20"/>
        </w:rPr>
        <w:t xml:space="preserve">) </w:t>
      </w:r>
      <w:r w:rsidRPr="00E55EF6">
        <w:rPr>
          <w:rFonts w:eastAsia="Times New Roman" w:cs="Arial"/>
          <w:color w:val="000000"/>
          <w:szCs w:val="20"/>
          <w:lang w:eastAsia="bg-BG"/>
        </w:rPr>
        <w:t xml:space="preserve">(като </w:t>
      </w:r>
      <w:r w:rsidRPr="00E55EF6">
        <w:rPr>
          <w:rFonts w:eastAsia="Times New Roman" w:cs="Arial"/>
          <w:color w:val="000000"/>
          <w:szCs w:val="20"/>
          <w:lang w:val="en-US"/>
        </w:rPr>
        <w:t>bromide</w:t>
      </w:r>
      <w:r w:rsidRPr="00E55EF6">
        <w:rPr>
          <w:rFonts w:eastAsia="Times New Roman" w:cs="Arial"/>
          <w:color w:val="000000"/>
          <w:szCs w:val="20"/>
        </w:rPr>
        <w:t xml:space="preserve"> </w:t>
      </w:r>
      <w:r w:rsidRPr="00E55EF6">
        <w:rPr>
          <w:rFonts w:eastAsia="Times New Roman" w:cs="Arial"/>
          <w:color w:val="000000"/>
          <w:szCs w:val="20"/>
          <w:lang w:val="en-US"/>
        </w:rPr>
        <w:t>monohydrate</w:t>
      </w:r>
      <w:r w:rsidRPr="00E55EF6">
        <w:rPr>
          <w:rFonts w:eastAsia="Times New Roman" w:cs="Arial"/>
          <w:color w:val="000000"/>
          <w:szCs w:val="20"/>
        </w:rPr>
        <w:t xml:space="preserve">) </w:t>
      </w:r>
      <w:r w:rsidRPr="00E55EF6">
        <w:rPr>
          <w:rFonts w:eastAsia="Times New Roman" w:cs="Arial"/>
          <w:color w:val="000000"/>
          <w:szCs w:val="20"/>
          <w:lang w:eastAsia="bg-BG"/>
        </w:rPr>
        <w:t xml:space="preserve">и 2,5 микрограма олодатерол </w:t>
      </w:r>
      <w:r w:rsidRPr="00E55EF6">
        <w:rPr>
          <w:rFonts w:eastAsia="Times New Roman" w:cs="Arial"/>
          <w:color w:val="000000"/>
          <w:szCs w:val="20"/>
        </w:rPr>
        <w:t>(</w:t>
      </w:r>
      <w:proofErr w:type="spellStart"/>
      <w:r w:rsidRPr="00E55EF6">
        <w:rPr>
          <w:rFonts w:eastAsia="Times New Roman" w:cs="Arial"/>
          <w:color w:val="000000"/>
          <w:szCs w:val="20"/>
          <w:lang w:val="en-US"/>
        </w:rPr>
        <w:t>olodaterol</w:t>
      </w:r>
      <w:proofErr w:type="spellEnd"/>
      <w:r w:rsidRPr="00E55EF6">
        <w:rPr>
          <w:rFonts w:eastAsia="Times New Roman" w:cs="Arial"/>
          <w:color w:val="000000"/>
          <w:szCs w:val="20"/>
        </w:rPr>
        <w:t xml:space="preserve">) </w:t>
      </w:r>
      <w:r w:rsidRPr="00E55EF6">
        <w:rPr>
          <w:rFonts w:eastAsia="Times New Roman" w:cs="Arial"/>
          <w:color w:val="000000"/>
          <w:szCs w:val="20"/>
          <w:lang w:eastAsia="bg-BG"/>
        </w:rPr>
        <w:t xml:space="preserve">(като </w:t>
      </w:r>
      <w:r w:rsidRPr="00E55EF6">
        <w:rPr>
          <w:rFonts w:eastAsia="Times New Roman" w:cs="Arial"/>
          <w:color w:val="000000"/>
          <w:szCs w:val="20"/>
          <w:lang w:val="en-US"/>
        </w:rPr>
        <w:t>hydrochloride</w:t>
      </w:r>
      <w:r w:rsidRPr="00E55EF6">
        <w:rPr>
          <w:rFonts w:eastAsia="Times New Roman" w:cs="Arial"/>
          <w:color w:val="000000"/>
          <w:szCs w:val="20"/>
        </w:rPr>
        <w:t xml:space="preserve">) </w:t>
      </w:r>
      <w:r w:rsidRPr="00E55EF6">
        <w:rPr>
          <w:rFonts w:eastAsia="Times New Roman" w:cs="Arial"/>
          <w:color w:val="000000"/>
          <w:szCs w:val="20"/>
          <w:lang w:eastAsia="bg-BG"/>
        </w:rPr>
        <w:t>на впръскване.</w:t>
      </w:r>
    </w:p>
    <w:p w14:paraId="24B7F84E" w14:textId="77777777" w:rsidR="00E55EF6" w:rsidRPr="00E55EF6" w:rsidRDefault="00E55EF6" w:rsidP="00E55EF6">
      <w:pPr>
        <w:spacing w:line="240" w:lineRule="auto"/>
        <w:rPr>
          <w:rFonts w:eastAsia="Times New Roman" w:cs="Arial"/>
          <w:color w:val="000000"/>
          <w:szCs w:val="20"/>
          <w:lang w:eastAsia="bg-BG"/>
        </w:rPr>
      </w:pPr>
    </w:p>
    <w:p w14:paraId="424BF4D4" w14:textId="77777777" w:rsidR="00E55EF6" w:rsidRPr="00E55EF6" w:rsidRDefault="00E55EF6" w:rsidP="00E55EF6">
      <w:pPr>
        <w:spacing w:line="240" w:lineRule="auto"/>
        <w:rPr>
          <w:rFonts w:eastAsia="Times New Roman" w:cs="Arial"/>
          <w:color w:val="000000"/>
          <w:szCs w:val="20"/>
          <w:lang w:eastAsia="bg-BG"/>
        </w:rPr>
      </w:pPr>
      <w:r w:rsidRPr="00E55EF6">
        <w:rPr>
          <w:rFonts w:eastAsia="Times New Roman" w:cs="Arial"/>
          <w:color w:val="000000"/>
          <w:szCs w:val="20"/>
          <w:lang w:eastAsia="bg-BG"/>
        </w:rPr>
        <w:t>Доставена доза е дозата, достигаща до пациента след преминаване през накрайника за уста.</w:t>
      </w:r>
    </w:p>
    <w:p w14:paraId="1741EDB5" w14:textId="43FFDB5D" w:rsidR="00E55EF6" w:rsidRPr="00E55EF6" w:rsidRDefault="00E55EF6" w:rsidP="00E55EF6">
      <w:pPr>
        <w:spacing w:line="240" w:lineRule="auto"/>
        <w:rPr>
          <w:rFonts w:eastAsia="Times New Roman" w:cs="Arial"/>
          <w:sz w:val="28"/>
          <w:szCs w:val="24"/>
        </w:rPr>
      </w:pPr>
      <w:r w:rsidRPr="00E55EF6">
        <w:rPr>
          <w:rFonts w:eastAsia="Times New Roman" w:cs="Arial"/>
          <w:color w:val="000000"/>
          <w:szCs w:val="20"/>
          <w:u w:val="single"/>
          <w:lang w:eastAsia="bg-BG"/>
        </w:rPr>
        <w:t>Помощни вещества с известно действие:</w:t>
      </w:r>
      <w:r w:rsidRPr="00E55EF6">
        <w:rPr>
          <w:rFonts w:eastAsia="Times New Roman" w:cs="Arial"/>
          <w:color w:val="000000"/>
          <w:szCs w:val="20"/>
          <w:lang w:eastAsia="bg-BG"/>
        </w:rPr>
        <w:t xml:space="preserve"> Този лекарствен продукт съдържа 0,0011 </w:t>
      </w:r>
      <w:r w:rsidRPr="00E55EF6">
        <w:rPr>
          <w:rFonts w:eastAsia="Times New Roman" w:cs="Arial"/>
          <w:color w:val="000000"/>
          <w:szCs w:val="20"/>
          <w:lang w:val="en-US"/>
        </w:rPr>
        <w:t>mg</w:t>
      </w:r>
      <w:r w:rsidRPr="00E55EF6">
        <w:rPr>
          <w:rFonts w:eastAsia="Times New Roman" w:cs="Arial"/>
          <w:color w:val="000000"/>
          <w:szCs w:val="20"/>
          <w:lang w:val="ru-RU"/>
        </w:rPr>
        <w:t xml:space="preserve"> </w:t>
      </w:r>
      <w:r w:rsidRPr="00E55EF6">
        <w:rPr>
          <w:rFonts w:eastAsia="Times New Roman" w:cs="Arial"/>
          <w:color w:val="000000"/>
          <w:szCs w:val="20"/>
          <w:lang w:eastAsia="bg-BG"/>
        </w:rPr>
        <w:t>бензалкониев хлорид на впръскване.</w:t>
      </w:r>
    </w:p>
    <w:p w14:paraId="7E78E10F" w14:textId="77777777" w:rsidR="00E55EF6" w:rsidRPr="00E55EF6" w:rsidRDefault="00E55EF6" w:rsidP="00E55EF6"/>
    <w:p w14:paraId="614984C4" w14:textId="79EF6567" w:rsidR="008A6AF2" w:rsidRDefault="00DD466D" w:rsidP="002C50EE">
      <w:pPr>
        <w:pStyle w:val="Heading1"/>
      </w:pPr>
      <w:r>
        <w:t>3. ЛЕКАРСТВЕНА ФОРМА</w:t>
      </w:r>
    </w:p>
    <w:p w14:paraId="701218C0" w14:textId="014C732B" w:rsidR="00E55EF6" w:rsidRDefault="00E55EF6" w:rsidP="00E55EF6"/>
    <w:p w14:paraId="6F51A78E" w14:textId="77777777" w:rsidR="00E55EF6" w:rsidRPr="00E55EF6" w:rsidRDefault="00E55EF6" w:rsidP="00E55EF6">
      <w:pPr>
        <w:rPr>
          <w:sz w:val="24"/>
          <w:szCs w:val="24"/>
        </w:rPr>
      </w:pPr>
      <w:r w:rsidRPr="00E55EF6">
        <w:rPr>
          <w:lang w:eastAsia="bg-BG"/>
        </w:rPr>
        <w:t>Разтвор за инхалация</w:t>
      </w:r>
    </w:p>
    <w:p w14:paraId="2A95DD23" w14:textId="77777777" w:rsidR="00E55EF6" w:rsidRPr="00E55EF6" w:rsidRDefault="00E55EF6" w:rsidP="00E55EF6">
      <w:pPr>
        <w:rPr>
          <w:sz w:val="24"/>
          <w:szCs w:val="24"/>
        </w:rPr>
      </w:pPr>
      <w:r w:rsidRPr="00E55EF6">
        <w:rPr>
          <w:lang w:eastAsia="bg-BG"/>
        </w:rPr>
        <w:t>Бистър, безцветен разтвор за инхалация</w:t>
      </w:r>
    </w:p>
    <w:p w14:paraId="6CEADE02" w14:textId="77777777" w:rsidR="00E55EF6" w:rsidRPr="00E55EF6" w:rsidRDefault="00E55EF6" w:rsidP="00E55EF6"/>
    <w:p w14:paraId="490FC2C4" w14:textId="6899DE43" w:rsidR="002C50EE" w:rsidRDefault="002C50EE" w:rsidP="002C50EE">
      <w:pPr>
        <w:pStyle w:val="Heading1"/>
      </w:pPr>
      <w:r>
        <w:t>4. КЛИНИЧНИ ДАННИ</w:t>
      </w:r>
    </w:p>
    <w:p w14:paraId="0771830A" w14:textId="52514694" w:rsidR="00DB32D3" w:rsidRDefault="002C50EE" w:rsidP="005726E3">
      <w:pPr>
        <w:pStyle w:val="Heading2"/>
      </w:pPr>
      <w:r>
        <w:t>4.1. Терапевтични показания</w:t>
      </w:r>
    </w:p>
    <w:p w14:paraId="130D84D1" w14:textId="08AD12BB" w:rsidR="00E55EF6" w:rsidRDefault="00E55EF6" w:rsidP="00E55EF6"/>
    <w:p w14:paraId="72B44A60" w14:textId="203298D6" w:rsidR="00E55EF6" w:rsidRDefault="00E55EF6" w:rsidP="00E55EF6">
      <w:pPr>
        <w:rPr>
          <w:szCs w:val="20"/>
        </w:rPr>
      </w:pPr>
      <w:r w:rsidRPr="00E55EF6">
        <w:rPr>
          <w:szCs w:val="20"/>
        </w:rPr>
        <w:t>Спиолто Респимат е показан за поддържащо бронходилататорно лечение за облекчаване на симптомите на хронична обструктивна белодробна болест (ХОББ) при възрастни пациенти.</w:t>
      </w:r>
    </w:p>
    <w:p w14:paraId="501DFD38" w14:textId="77777777" w:rsidR="00E55EF6" w:rsidRPr="00E55EF6" w:rsidRDefault="00E55EF6" w:rsidP="00E55EF6">
      <w:pPr>
        <w:rPr>
          <w:sz w:val="24"/>
        </w:rPr>
      </w:pPr>
    </w:p>
    <w:p w14:paraId="7647A102" w14:textId="3844A558" w:rsidR="00DB32D3" w:rsidRDefault="002C50EE" w:rsidP="005726E3">
      <w:pPr>
        <w:pStyle w:val="Heading2"/>
      </w:pPr>
      <w:r>
        <w:t>4.2. Дозировка и начин на приложение</w:t>
      </w:r>
    </w:p>
    <w:p w14:paraId="3C87FA82" w14:textId="47A22963" w:rsidR="00E55EF6" w:rsidRDefault="00E55EF6" w:rsidP="00E55EF6"/>
    <w:p w14:paraId="13FBEACF" w14:textId="77777777" w:rsidR="00E55EF6" w:rsidRPr="00E55EF6" w:rsidRDefault="00E55EF6" w:rsidP="00E55EF6">
      <w:pPr>
        <w:pStyle w:val="Heading3"/>
        <w:rPr>
          <w:rFonts w:eastAsia="Times New Roman"/>
          <w:u w:val="single"/>
        </w:rPr>
      </w:pPr>
      <w:r w:rsidRPr="00E55EF6">
        <w:rPr>
          <w:rFonts w:eastAsia="Times New Roman"/>
          <w:u w:val="single"/>
          <w:lang w:eastAsia="bg-BG"/>
        </w:rPr>
        <w:t>Дозировка</w:t>
      </w:r>
    </w:p>
    <w:p w14:paraId="426BB821" w14:textId="77777777" w:rsidR="00E55EF6" w:rsidRPr="00E55EF6" w:rsidRDefault="00E55EF6" w:rsidP="00E55EF6">
      <w:pPr>
        <w:spacing w:line="240" w:lineRule="auto"/>
        <w:rPr>
          <w:rFonts w:eastAsia="Times New Roman" w:cs="Arial"/>
        </w:rPr>
      </w:pPr>
      <w:r w:rsidRPr="00E55EF6">
        <w:rPr>
          <w:rFonts w:eastAsia="Times New Roman" w:cs="Arial"/>
          <w:color w:val="000000"/>
          <w:lang w:eastAsia="bg-BG"/>
        </w:rPr>
        <w:t>Лекарственият продукт е предназначен само за инхалаторно приложение. Пълнителят може да бъде поставян и използван само с инхалаторно устройство Респимат.</w:t>
      </w:r>
    </w:p>
    <w:p w14:paraId="29EB4096" w14:textId="77777777" w:rsidR="00E55EF6" w:rsidRPr="00E55EF6" w:rsidRDefault="00E55EF6" w:rsidP="00E55EF6">
      <w:pPr>
        <w:spacing w:line="240" w:lineRule="auto"/>
        <w:rPr>
          <w:rFonts w:eastAsia="Times New Roman" w:cs="Arial"/>
          <w:color w:val="000000"/>
          <w:lang w:eastAsia="bg-BG"/>
        </w:rPr>
      </w:pPr>
    </w:p>
    <w:p w14:paraId="398394EB" w14:textId="5C8D0AFC" w:rsidR="00E55EF6" w:rsidRPr="00E55EF6" w:rsidRDefault="00E55EF6" w:rsidP="00E55EF6">
      <w:pPr>
        <w:spacing w:line="240" w:lineRule="auto"/>
        <w:rPr>
          <w:rFonts w:eastAsia="Times New Roman" w:cs="Arial"/>
        </w:rPr>
      </w:pPr>
      <w:r w:rsidRPr="00E55EF6">
        <w:rPr>
          <w:rFonts w:eastAsia="Times New Roman" w:cs="Arial"/>
          <w:color w:val="000000"/>
          <w:lang w:eastAsia="bg-BG"/>
        </w:rPr>
        <w:t>Две впръсквания от инхалаторното устройство Респимат съдържат една лекарствена доза.</w:t>
      </w:r>
    </w:p>
    <w:p w14:paraId="0B9906DC" w14:textId="77777777" w:rsidR="00E55EF6" w:rsidRPr="00E55EF6" w:rsidRDefault="00E55EF6" w:rsidP="00E55EF6">
      <w:pPr>
        <w:spacing w:line="240" w:lineRule="auto"/>
        <w:rPr>
          <w:rFonts w:eastAsia="Times New Roman" w:cs="Arial"/>
          <w:i/>
          <w:iCs/>
          <w:color w:val="000000"/>
          <w:u w:val="single"/>
          <w:lang w:eastAsia="bg-BG"/>
        </w:rPr>
      </w:pPr>
    </w:p>
    <w:p w14:paraId="07F4C76D" w14:textId="41198891" w:rsidR="00E55EF6" w:rsidRPr="00E55EF6" w:rsidRDefault="00E55EF6" w:rsidP="00E55EF6">
      <w:pPr>
        <w:spacing w:line="240" w:lineRule="auto"/>
        <w:rPr>
          <w:rFonts w:eastAsia="Times New Roman" w:cs="Arial"/>
        </w:rPr>
      </w:pPr>
      <w:r w:rsidRPr="00E55EF6">
        <w:rPr>
          <w:rFonts w:eastAsia="Times New Roman" w:cs="Arial"/>
          <w:i/>
          <w:iCs/>
          <w:color w:val="000000"/>
          <w:u w:val="single"/>
          <w:lang w:eastAsia="bg-BG"/>
        </w:rPr>
        <w:t>Възрастни</w:t>
      </w:r>
    </w:p>
    <w:p w14:paraId="54936216" w14:textId="77777777" w:rsidR="00E55EF6" w:rsidRPr="00E55EF6" w:rsidRDefault="00E55EF6" w:rsidP="00E55EF6">
      <w:pPr>
        <w:spacing w:line="240" w:lineRule="auto"/>
        <w:rPr>
          <w:rFonts w:eastAsia="Times New Roman" w:cs="Arial"/>
        </w:rPr>
      </w:pPr>
      <w:r w:rsidRPr="00E55EF6">
        <w:rPr>
          <w:rFonts w:eastAsia="Times New Roman" w:cs="Arial"/>
          <w:color w:val="000000"/>
          <w:lang w:eastAsia="bg-BG"/>
        </w:rPr>
        <w:t>Препоръчителната доза е 5 микрограма тиотропиум и 5 микрограма олодатерол, прилагана като две впръсквания с инхалаторното устройство Респимат, веднъж дневно, по едно и също време от деня.</w:t>
      </w:r>
    </w:p>
    <w:p w14:paraId="4FD1596D" w14:textId="77777777" w:rsidR="00E55EF6" w:rsidRPr="00E55EF6" w:rsidRDefault="00E55EF6" w:rsidP="00E55EF6">
      <w:pPr>
        <w:spacing w:line="240" w:lineRule="auto"/>
        <w:rPr>
          <w:rFonts w:eastAsia="Times New Roman" w:cs="Arial"/>
          <w:color w:val="000000"/>
          <w:lang w:eastAsia="bg-BG"/>
        </w:rPr>
      </w:pPr>
    </w:p>
    <w:p w14:paraId="3526B664" w14:textId="08A8D3C8" w:rsidR="00E55EF6" w:rsidRPr="00E55EF6" w:rsidRDefault="00E55EF6" w:rsidP="00E55EF6">
      <w:pPr>
        <w:spacing w:line="240" w:lineRule="auto"/>
        <w:rPr>
          <w:rFonts w:eastAsia="Times New Roman" w:cs="Arial"/>
        </w:rPr>
      </w:pPr>
      <w:r w:rsidRPr="00E55EF6">
        <w:rPr>
          <w:rFonts w:eastAsia="Times New Roman" w:cs="Arial"/>
          <w:color w:val="000000"/>
          <w:lang w:eastAsia="bg-BG"/>
        </w:rPr>
        <w:lastRenderedPageBreak/>
        <w:t>Препоръчителната доза не трябва да бъде надвишавана.</w:t>
      </w:r>
    </w:p>
    <w:p w14:paraId="6B07AB62" w14:textId="77777777" w:rsidR="00E55EF6" w:rsidRPr="00E55EF6" w:rsidRDefault="00E55EF6" w:rsidP="00E55EF6">
      <w:pPr>
        <w:spacing w:line="240" w:lineRule="auto"/>
        <w:rPr>
          <w:rFonts w:eastAsia="Times New Roman" w:cs="Arial"/>
          <w:i/>
          <w:iCs/>
          <w:color w:val="000000"/>
          <w:u w:val="single"/>
          <w:lang w:eastAsia="bg-BG"/>
        </w:rPr>
      </w:pPr>
    </w:p>
    <w:p w14:paraId="292FF059" w14:textId="2D608629" w:rsidR="00E55EF6" w:rsidRPr="00E55EF6" w:rsidRDefault="00E55EF6" w:rsidP="00E55EF6">
      <w:pPr>
        <w:spacing w:line="240" w:lineRule="auto"/>
        <w:rPr>
          <w:rFonts w:eastAsia="Times New Roman" w:cs="Arial"/>
        </w:rPr>
      </w:pPr>
      <w:r w:rsidRPr="00E55EF6">
        <w:rPr>
          <w:rFonts w:eastAsia="Times New Roman" w:cs="Arial"/>
          <w:i/>
          <w:iCs/>
          <w:color w:val="000000"/>
          <w:u w:val="single"/>
          <w:lang w:eastAsia="bg-BG"/>
        </w:rPr>
        <w:t>Пациенти в старческа възраст</w:t>
      </w:r>
    </w:p>
    <w:p w14:paraId="2F244DE4" w14:textId="77777777" w:rsidR="00E55EF6" w:rsidRPr="00E55EF6" w:rsidRDefault="00E55EF6" w:rsidP="00E55EF6">
      <w:pPr>
        <w:spacing w:line="240" w:lineRule="auto"/>
        <w:rPr>
          <w:rFonts w:eastAsia="Times New Roman" w:cs="Arial"/>
        </w:rPr>
      </w:pPr>
      <w:r w:rsidRPr="00E55EF6">
        <w:rPr>
          <w:rFonts w:eastAsia="Times New Roman" w:cs="Arial"/>
          <w:color w:val="000000"/>
          <w:lang w:eastAsia="bg-BG"/>
        </w:rPr>
        <w:t>Пациентите в старческа възраст могат да използват Спиолто Респимат в препоръчите</w:t>
      </w:r>
      <w:r w:rsidRPr="00E55EF6">
        <w:rPr>
          <w:rFonts w:eastAsia="Times New Roman" w:cs="Arial"/>
          <w:color w:val="000000"/>
          <w:u w:val="single"/>
          <w:lang w:eastAsia="bg-BG"/>
        </w:rPr>
        <w:t xml:space="preserve">лната </w:t>
      </w:r>
      <w:r w:rsidRPr="00E55EF6">
        <w:rPr>
          <w:rFonts w:eastAsia="Times New Roman" w:cs="Arial"/>
          <w:color w:val="000000"/>
          <w:lang w:eastAsia="bg-BG"/>
        </w:rPr>
        <w:t>доза.</w:t>
      </w:r>
    </w:p>
    <w:p w14:paraId="54B28673" w14:textId="77777777" w:rsidR="00E55EF6" w:rsidRPr="00E55EF6" w:rsidRDefault="00E55EF6" w:rsidP="00E55EF6">
      <w:pPr>
        <w:spacing w:line="240" w:lineRule="auto"/>
        <w:rPr>
          <w:rFonts w:eastAsia="Times New Roman" w:cs="Arial"/>
          <w:i/>
          <w:iCs/>
          <w:color w:val="000000"/>
          <w:u w:val="single"/>
          <w:lang w:eastAsia="bg-BG"/>
        </w:rPr>
      </w:pPr>
    </w:p>
    <w:p w14:paraId="1ECCE937" w14:textId="2046BC4D" w:rsidR="00E55EF6" w:rsidRPr="00E55EF6" w:rsidRDefault="00E55EF6" w:rsidP="00E55EF6">
      <w:pPr>
        <w:spacing w:line="240" w:lineRule="auto"/>
        <w:rPr>
          <w:rFonts w:eastAsia="Times New Roman" w:cs="Arial"/>
        </w:rPr>
      </w:pPr>
      <w:r w:rsidRPr="00E55EF6">
        <w:rPr>
          <w:rFonts w:eastAsia="Times New Roman" w:cs="Arial"/>
          <w:i/>
          <w:iCs/>
          <w:color w:val="000000"/>
          <w:u w:val="single"/>
          <w:lang w:eastAsia="bg-BG"/>
        </w:rPr>
        <w:t>Чернодробно и бъбречно увреждане</w:t>
      </w:r>
    </w:p>
    <w:p w14:paraId="661AB5D7" w14:textId="5FDCD79F" w:rsidR="00E55EF6" w:rsidRPr="00E55EF6" w:rsidRDefault="00E55EF6" w:rsidP="00E55EF6">
      <w:pPr>
        <w:rPr>
          <w:rFonts w:eastAsia="Times New Roman" w:cs="Arial"/>
          <w:color w:val="000000"/>
          <w:lang w:eastAsia="bg-BG"/>
        </w:rPr>
      </w:pPr>
      <w:r w:rsidRPr="00E55EF6">
        <w:rPr>
          <w:rFonts w:eastAsia="Times New Roman" w:cs="Arial"/>
          <w:color w:val="000000"/>
          <w:lang w:eastAsia="bg-BG"/>
        </w:rPr>
        <w:t>Спиолто Респимат съдържа тиотропиум, който предимно се екскретира през бъбреците и олодатерол, който предимно се метаболизира в черния дроб.</w:t>
      </w:r>
    </w:p>
    <w:p w14:paraId="3648D38B" w14:textId="22E83ABD" w:rsidR="00E55EF6" w:rsidRPr="00E55EF6" w:rsidRDefault="00E55EF6" w:rsidP="00E55EF6">
      <w:pPr>
        <w:rPr>
          <w:rFonts w:eastAsia="Times New Roman" w:cs="Arial"/>
          <w:color w:val="000000"/>
          <w:lang w:eastAsia="bg-BG"/>
        </w:rPr>
      </w:pPr>
    </w:p>
    <w:p w14:paraId="0F1D8BF8" w14:textId="77777777" w:rsidR="00E55EF6" w:rsidRPr="00E55EF6" w:rsidRDefault="00E55EF6" w:rsidP="00E55EF6">
      <w:pPr>
        <w:spacing w:line="240" w:lineRule="auto"/>
        <w:rPr>
          <w:rFonts w:eastAsia="Times New Roman" w:cs="Arial"/>
        </w:rPr>
      </w:pPr>
      <w:r w:rsidRPr="00E55EF6">
        <w:rPr>
          <w:rFonts w:eastAsia="Times New Roman" w:cs="Arial"/>
          <w:i/>
          <w:iCs/>
          <w:color w:val="000000"/>
          <w:u w:val="single"/>
          <w:lang w:eastAsia="bg-BG"/>
        </w:rPr>
        <w:t>Чернодробно увреждане</w:t>
      </w:r>
    </w:p>
    <w:p w14:paraId="7B8F554C" w14:textId="77777777" w:rsidR="00E55EF6" w:rsidRPr="00E55EF6" w:rsidRDefault="00E55EF6" w:rsidP="00E55EF6">
      <w:pPr>
        <w:spacing w:line="240" w:lineRule="auto"/>
        <w:rPr>
          <w:rFonts w:eastAsia="Times New Roman" w:cs="Arial"/>
        </w:rPr>
      </w:pPr>
      <w:r w:rsidRPr="00E55EF6">
        <w:rPr>
          <w:rFonts w:eastAsia="Times New Roman" w:cs="Arial"/>
          <w:color w:val="000000"/>
          <w:lang w:eastAsia="bg-BG"/>
        </w:rPr>
        <w:t>Пациентите с леко до умерено чернодробно увреждане могат да използват Спиолто Респимат в препоръчителната доза.</w:t>
      </w:r>
    </w:p>
    <w:p w14:paraId="6E9F1285" w14:textId="77777777" w:rsidR="00E55EF6" w:rsidRPr="00E55EF6" w:rsidRDefault="00E55EF6" w:rsidP="00E55EF6">
      <w:pPr>
        <w:spacing w:line="240" w:lineRule="auto"/>
        <w:rPr>
          <w:rFonts w:eastAsia="Times New Roman" w:cs="Arial"/>
          <w:color w:val="000000"/>
          <w:lang w:eastAsia="bg-BG"/>
        </w:rPr>
      </w:pPr>
    </w:p>
    <w:p w14:paraId="44C84B41" w14:textId="491CBD82" w:rsidR="00E55EF6" w:rsidRPr="00E55EF6" w:rsidRDefault="00E55EF6" w:rsidP="00E55EF6">
      <w:pPr>
        <w:spacing w:line="240" w:lineRule="auto"/>
        <w:rPr>
          <w:rFonts w:eastAsia="Times New Roman" w:cs="Arial"/>
        </w:rPr>
      </w:pPr>
      <w:r w:rsidRPr="00E55EF6">
        <w:rPr>
          <w:rFonts w:eastAsia="Times New Roman" w:cs="Arial"/>
          <w:color w:val="000000"/>
          <w:lang w:eastAsia="bg-BG"/>
        </w:rPr>
        <w:t>Липсват данни за употреба на олодатерол при пациенти с тежко чернодробно увреждане.</w:t>
      </w:r>
    </w:p>
    <w:p w14:paraId="4FA00641" w14:textId="77777777" w:rsidR="00E55EF6" w:rsidRPr="00E55EF6" w:rsidRDefault="00E55EF6" w:rsidP="00E55EF6">
      <w:pPr>
        <w:spacing w:line="240" w:lineRule="auto"/>
        <w:rPr>
          <w:rFonts w:eastAsia="Times New Roman" w:cs="Arial"/>
          <w:i/>
          <w:iCs/>
          <w:color w:val="000000"/>
          <w:u w:val="single"/>
          <w:lang w:eastAsia="bg-BG"/>
        </w:rPr>
      </w:pPr>
    </w:p>
    <w:p w14:paraId="52FBE630" w14:textId="2ED8D63F" w:rsidR="00E55EF6" w:rsidRPr="00E55EF6" w:rsidRDefault="00E55EF6" w:rsidP="00E55EF6">
      <w:pPr>
        <w:spacing w:line="240" w:lineRule="auto"/>
        <w:rPr>
          <w:rFonts w:eastAsia="Times New Roman" w:cs="Arial"/>
        </w:rPr>
      </w:pPr>
      <w:r w:rsidRPr="00E55EF6">
        <w:rPr>
          <w:rFonts w:eastAsia="Times New Roman" w:cs="Arial"/>
          <w:i/>
          <w:iCs/>
          <w:color w:val="000000"/>
          <w:u w:val="single"/>
          <w:lang w:eastAsia="bg-BG"/>
        </w:rPr>
        <w:t>Бъбречно увреждане</w:t>
      </w:r>
    </w:p>
    <w:p w14:paraId="24BA96A8" w14:textId="77777777" w:rsidR="00E55EF6" w:rsidRPr="00E55EF6" w:rsidRDefault="00E55EF6" w:rsidP="00E55EF6">
      <w:pPr>
        <w:spacing w:line="240" w:lineRule="auto"/>
        <w:rPr>
          <w:rFonts w:eastAsia="Times New Roman" w:cs="Arial"/>
        </w:rPr>
      </w:pPr>
      <w:r w:rsidRPr="00E55EF6">
        <w:rPr>
          <w:rFonts w:eastAsia="Times New Roman" w:cs="Arial"/>
          <w:color w:val="000000"/>
          <w:lang w:eastAsia="bg-BG"/>
        </w:rPr>
        <w:t>Пациенти с бъбречно увреждане могат да използват Спиолто Респимат в препоръчителната доза.</w:t>
      </w:r>
    </w:p>
    <w:p w14:paraId="25326EFE" w14:textId="77777777" w:rsidR="00E55EF6" w:rsidRPr="00E55EF6" w:rsidRDefault="00E55EF6" w:rsidP="00E55EF6">
      <w:pPr>
        <w:spacing w:line="240" w:lineRule="auto"/>
        <w:rPr>
          <w:rFonts w:eastAsia="Times New Roman" w:cs="Arial"/>
        </w:rPr>
      </w:pPr>
      <w:r w:rsidRPr="00E55EF6">
        <w:rPr>
          <w:rFonts w:eastAsia="Times New Roman" w:cs="Arial"/>
          <w:color w:val="000000"/>
          <w:lang w:eastAsia="bg-BG"/>
        </w:rPr>
        <w:t xml:space="preserve">За пациенти с умерено до тежко увреждане (креатининов клирънс &lt; 50 </w:t>
      </w:r>
      <w:r w:rsidRPr="00E55EF6">
        <w:rPr>
          <w:rFonts w:eastAsia="Times New Roman" w:cs="Arial"/>
          <w:color w:val="000000"/>
          <w:lang w:val="en-US"/>
        </w:rPr>
        <w:t>ml</w:t>
      </w:r>
      <w:r w:rsidRPr="00E55EF6">
        <w:rPr>
          <w:rFonts w:eastAsia="Times New Roman" w:cs="Arial"/>
          <w:color w:val="000000"/>
          <w:lang w:val="ru-RU"/>
        </w:rPr>
        <w:t>/</w:t>
      </w:r>
      <w:r w:rsidRPr="00E55EF6">
        <w:rPr>
          <w:rFonts w:eastAsia="Times New Roman" w:cs="Arial"/>
          <w:color w:val="000000"/>
          <w:lang w:val="en-US"/>
        </w:rPr>
        <w:t>min</w:t>
      </w:r>
      <w:r w:rsidRPr="00E55EF6">
        <w:rPr>
          <w:rFonts w:eastAsia="Times New Roman" w:cs="Arial"/>
          <w:color w:val="000000"/>
          <w:lang w:val="ru-RU"/>
        </w:rPr>
        <w:t xml:space="preserve">) </w:t>
      </w:r>
      <w:r w:rsidRPr="00E55EF6">
        <w:rPr>
          <w:rFonts w:eastAsia="Times New Roman" w:cs="Arial"/>
          <w:color w:val="000000"/>
          <w:lang w:eastAsia="bg-BG"/>
        </w:rPr>
        <w:t>вижте точки 4.4 и 5.2.</w:t>
      </w:r>
    </w:p>
    <w:p w14:paraId="0F028173" w14:textId="77777777" w:rsidR="00E55EF6" w:rsidRPr="00E55EF6" w:rsidRDefault="00E55EF6" w:rsidP="00E55EF6">
      <w:pPr>
        <w:spacing w:line="240" w:lineRule="auto"/>
        <w:rPr>
          <w:rFonts w:eastAsia="Times New Roman" w:cs="Arial"/>
          <w:color w:val="000000"/>
          <w:lang w:eastAsia="bg-BG"/>
        </w:rPr>
      </w:pPr>
    </w:p>
    <w:p w14:paraId="1AD8D673" w14:textId="6796608A" w:rsidR="00E55EF6" w:rsidRPr="00E55EF6" w:rsidRDefault="00E55EF6" w:rsidP="00E55EF6">
      <w:pPr>
        <w:spacing w:line="240" w:lineRule="auto"/>
        <w:rPr>
          <w:rFonts w:eastAsia="Times New Roman" w:cs="Arial"/>
        </w:rPr>
      </w:pPr>
      <w:r w:rsidRPr="00E55EF6">
        <w:rPr>
          <w:rFonts w:eastAsia="Times New Roman" w:cs="Arial"/>
          <w:color w:val="000000"/>
          <w:lang w:eastAsia="bg-BG"/>
        </w:rPr>
        <w:t>Спиолто Респимат съдържа олодатерол. Данните за употреба на олодатерол при пациенти с тежко бъбречно увреждане са ограничени.</w:t>
      </w:r>
    </w:p>
    <w:p w14:paraId="4AC6A734" w14:textId="77777777" w:rsidR="00E55EF6" w:rsidRPr="00E55EF6" w:rsidRDefault="00E55EF6" w:rsidP="00E55EF6">
      <w:pPr>
        <w:spacing w:line="240" w:lineRule="auto"/>
        <w:rPr>
          <w:rFonts w:eastAsia="Times New Roman" w:cs="Arial"/>
          <w:i/>
          <w:iCs/>
          <w:color w:val="000000"/>
          <w:u w:val="single"/>
          <w:lang w:eastAsia="bg-BG"/>
        </w:rPr>
      </w:pPr>
    </w:p>
    <w:p w14:paraId="0BA7BAE5" w14:textId="6E2CE128" w:rsidR="00E55EF6" w:rsidRPr="00E55EF6" w:rsidRDefault="00E55EF6" w:rsidP="00E55EF6">
      <w:pPr>
        <w:spacing w:line="240" w:lineRule="auto"/>
        <w:rPr>
          <w:rFonts w:eastAsia="Times New Roman" w:cs="Arial"/>
        </w:rPr>
      </w:pPr>
      <w:r w:rsidRPr="00E55EF6">
        <w:rPr>
          <w:rFonts w:eastAsia="Times New Roman" w:cs="Arial"/>
          <w:i/>
          <w:iCs/>
          <w:color w:val="000000"/>
          <w:u w:val="single"/>
          <w:lang w:eastAsia="bg-BG"/>
        </w:rPr>
        <w:t>Педиатрична популация</w:t>
      </w:r>
    </w:p>
    <w:p w14:paraId="3CB990C0" w14:textId="77777777" w:rsidR="00E55EF6" w:rsidRPr="00E55EF6" w:rsidRDefault="00E55EF6" w:rsidP="00E55EF6">
      <w:pPr>
        <w:spacing w:line="240" w:lineRule="auto"/>
        <w:rPr>
          <w:rFonts w:eastAsia="Times New Roman" w:cs="Arial"/>
        </w:rPr>
      </w:pPr>
      <w:r w:rsidRPr="00E55EF6">
        <w:rPr>
          <w:rFonts w:eastAsia="Times New Roman" w:cs="Arial"/>
          <w:color w:val="000000"/>
          <w:lang w:eastAsia="bg-BG"/>
        </w:rPr>
        <w:t>Няма съответно приложение на Спиолто Респимат в педиатричната популация (под 18 години).</w:t>
      </w:r>
    </w:p>
    <w:p w14:paraId="7A61494F" w14:textId="77777777" w:rsidR="00E55EF6" w:rsidRPr="00E55EF6" w:rsidRDefault="00E55EF6" w:rsidP="00E55EF6">
      <w:pPr>
        <w:spacing w:line="240" w:lineRule="auto"/>
        <w:rPr>
          <w:rFonts w:eastAsia="Times New Roman" w:cs="Arial"/>
          <w:color w:val="000000"/>
          <w:u w:val="single"/>
          <w:lang w:eastAsia="bg-BG"/>
        </w:rPr>
      </w:pPr>
    </w:p>
    <w:p w14:paraId="35F2DA03" w14:textId="4209507B" w:rsidR="00E55EF6" w:rsidRPr="00E55EF6" w:rsidRDefault="00E55EF6" w:rsidP="00E55EF6">
      <w:pPr>
        <w:pStyle w:val="Heading3"/>
        <w:rPr>
          <w:rFonts w:eastAsia="Times New Roman"/>
          <w:u w:val="single"/>
        </w:rPr>
      </w:pPr>
      <w:r w:rsidRPr="00E55EF6">
        <w:rPr>
          <w:rFonts w:eastAsia="Times New Roman"/>
          <w:u w:val="single"/>
          <w:lang w:eastAsia="bg-BG"/>
        </w:rPr>
        <w:t>Начин на приложение</w:t>
      </w:r>
    </w:p>
    <w:p w14:paraId="40A26AC6" w14:textId="77777777" w:rsidR="00E55EF6" w:rsidRPr="00E55EF6" w:rsidRDefault="00E55EF6" w:rsidP="00E55EF6">
      <w:pPr>
        <w:spacing w:line="240" w:lineRule="auto"/>
        <w:rPr>
          <w:rFonts w:eastAsia="Times New Roman" w:cs="Arial"/>
        </w:rPr>
      </w:pPr>
      <w:r w:rsidRPr="00E55EF6">
        <w:rPr>
          <w:rFonts w:eastAsia="Times New Roman" w:cs="Arial"/>
          <w:color w:val="000000"/>
          <w:lang w:eastAsia="bg-BG"/>
        </w:rPr>
        <w:t>За да се осигури правилното приложение на лекарствения продукт, на пациента трябва да бъде показано от лекар или друг медицински специалист как да използва инхалатора.</w:t>
      </w:r>
    </w:p>
    <w:p w14:paraId="02C2045C" w14:textId="77777777" w:rsidR="00E55EF6" w:rsidRPr="00E55EF6" w:rsidRDefault="00E55EF6" w:rsidP="00E55EF6">
      <w:pPr>
        <w:spacing w:line="240" w:lineRule="auto"/>
        <w:rPr>
          <w:rFonts w:eastAsia="Times New Roman" w:cs="Arial"/>
          <w:b/>
          <w:bCs/>
          <w:color w:val="000000"/>
          <w:u w:val="single"/>
          <w:lang w:eastAsia="bg-BG"/>
        </w:rPr>
      </w:pPr>
    </w:p>
    <w:p w14:paraId="31E704EC" w14:textId="0146589C" w:rsidR="00E55EF6" w:rsidRPr="00E55EF6" w:rsidRDefault="00E55EF6" w:rsidP="00E55EF6">
      <w:pPr>
        <w:spacing w:line="240" w:lineRule="auto"/>
        <w:rPr>
          <w:rFonts w:eastAsia="Times New Roman" w:cs="Arial"/>
        </w:rPr>
      </w:pPr>
      <w:r w:rsidRPr="00E55EF6">
        <w:rPr>
          <w:rFonts w:eastAsia="Times New Roman" w:cs="Arial"/>
          <w:b/>
          <w:bCs/>
          <w:color w:val="000000"/>
          <w:u w:val="single"/>
          <w:lang w:eastAsia="bg-BG"/>
        </w:rPr>
        <w:t>СПИОЛТО РЕСПИМАТ</w:t>
      </w:r>
    </w:p>
    <w:p w14:paraId="44E72B94" w14:textId="77777777" w:rsidR="00E55EF6" w:rsidRPr="00E55EF6" w:rsidRDefault="00E55EF6" w:rsidP="00E55EF6">
      <w:pPr>
        <w:spacing w:line="240" w:lineRule="auto"/>
        <w:rPr>
          <w:rFonts w:eastAsia="Times New Roman" w:cs="Arial"/>
          <w:b/>
          <w:bCs/>
          <w:color w:val="000000"/>
          <w:lang w:eastAsia="bg-BG"/>
        </w:rPr>
      </w:pPr>
      <w:bookmarkStart w:id="1" w:name="bookmark0"/>
    </w:p>
    <w:p w14:paraId="06B4A728" w14:textId="682DECED" w:rsidR="00E55EF6" w:rsidRPr="00E55EF6" w:rsidRDefault="00E55EF6" w:rsidP="00E55EF6">
      <w:pPr>
        <w:spacing w:line="240" w:lineRule="auto"/>
        <w:rPr>
          <w:rFonts w:eastAsia="Times New Roman" w:cs="Arial"/>
        </w:rPr>
      </w:pPr>
      <w:r w:rsidRPr="00E55EF6">
        <w:rPr>
          <w:rFonts w:eastAsia="Times New Roman" w:cs="Arial"/>
          <w:b/>
          <w:bCs/>
          <w:color w:val="000000"/>
          <w:lang w:eastAsia="bg-BG"/>
        </w:rPr>
        <w:t>Указания за употреба</w:t>
      </w:r>
      <w:bookmarkEnd w:id="1"/>
    </w:p>
    <w:p w14:paraId="05D37B34" w14:textId="77777777" w:rsidR="00E55EF6" w:rsidRPr="00E55EF6" w:rsidRDefault="00E55EF6" w:rsidP="00E55EF6">
      <w:pPr>
        <w:spacing w:line="240" w:lineRule="auto"/>
        <w:rPr>
          <w:rFonts w:eastAsia="Times New Roman" w:cs="Arial"/>
          <w:b/>
          <w:bCs/>
          <w:color w:val="000000"/>
          <w:lang w:eastAsia="bg-BG"/>
        </w:rPr>
      </w:pPr>
    </w:p>
    <w:p w14:paraId="5B7D5FB4" w14:textId="737FB86F" w:rsidR="00E55EF6" w:rsidRPr="00E55EF6" w:rsidRDefault="00E55EF6" w:rsidP="00E55EF6">
      <w:pPr>
        <w:spacing w:line="240" w:lineRule="auto"/>
        <w:rPr>
          <w:rFonts w:eastAsia="Times New Roman" w:cs="Arial"/>
        </w:rPr>
      </w:pPr>
      <w:r w:rsidRPr="00E55EF6">
        <w:rPr>
          <w:rFonts w:eastAsia="Times New Roman" w:cs="Arial"/>
          <w:b/>
          <w:bCs/>
          <w:color w:val="000000"/>
          <w:lang w:eastAsia="bg-BG"/>
        </w:rPr>
        <w:t>Въведение</w:t>
      </w:r>
    </w:p>
    <w:p w14:paraId="788824E2" w14:textId="77777777" w:rsidR="00E55EF6" w:rsidRPr="00E55EF6" w:rsidRDefault="00E55EF6" w:rsidP="00E55EF6">
      <w:pPr>
        <w:spacing w:line="240" w:lineRule="auto"/>
        <w:rPr>
          <w:rFonts w:eastAsia="Times New Roman" w:cs="Arial"/>
          <w:color w:val="000000"/>
          <w:lang w:eastAsia="bg-BG"/>
        </w:rPr>
      </w:pPr>
    </w:p>
    <w:p w14:paraId="73CD62BD" w14:textId="1D2A3D8E" w:rsidR="00E55EF6" w:rsidRPr="00E55EF6" w:rsidRDefault="00E55EF6" w:rsidP="00E55EF6">
      <w:pPr>
        <w:spacing w:line="240" w:lineRule="auto"/>
        <w:rPr>
          <w:rFonts w:eastAsia="Times New Roman" w:cs="Arial"/>
        </w:rPr>
      </w:pPr>
      <w:r w:rsidRPr="00E55EF6">
        <w:rPr>
          <w:rFonts w:eastAsia="Times New Roman" w:cs="Arial"/>
          <w:color w:val="000000"/>
          <w:lang w:eastAsia="bg-BG"/>
        </w:rPr>
        <w:t>Необходимо е да се прочетат Указанията за употреба преди да се започне използването на</w:t>
      </w:r>
    </w:p>
    <w:p w14:paraId="2951F182" w14:textId="77777777" w:rsidR="00E55EF6" w:rsidRPr="00E55EF6" w:rsidRDefault="00E55EF6" w:rsidP="00E55EF6">
      <w:pPr>
        <w:spacing w:line="240" w:lineRule="auto"/>
        <w:rPr>
          <w:rFonts w:eastAsia="Times New Roman" w:cs="Arial"/>
        </w:rPr>
      </w:pPr>
      <w:r w:rsidRPr="00E55EF6">
        <w:rPr>
          <w:rFonts w:eastAsia="Times New Roman" w:cs="Arial"/>
          <w:color w:val="000000"/>
          <w:lang w:eastAsia="bg-BG"/>
        </w:rPr>
        <w:t>Спиолто Респимат за многократна употреба.</w:t>
      </w:r>
    </w:p>
    <w:p w14:paraId="704F3A4E" w14:textId="77777777" w:rsidR="00E55EF6" w:rsidRPr="00E55EF6" w:rsidRDefault="00E55EF6" w:rsidP="00E55EF6">
      <w:pPr>
        <w:spacing w:line="240" w:lineRule="auto"/>
        <w:rPr>
          <w:rFonts w:eastAsia="Times New Roman" w:cs="Arial"/>
          <w:color w:val="000000"/>
          <w:lang w:eastAsia="bg-BG"/>
        </w:rPr>
      </w:pPr>
    </w:p>
    <w:p w14:paraId="47AAE403" w14:textId="19FBEA10" w:rsidR="00E55EF6" w:rsidRPr="00E55EF6" w:rsidRDefault="00E55EF6" w:rsidP="00E55EF6">
      <w:pPr>
        <w:spacing w:line="240" w:lineRule="auto"/>
        <w:rPr>
          <w:rFonts w:eastAsia="Times New Roman" w:cs="Arial"/>
        </w:rPr>
      </w:pPr>
      <w:r w:rsidRPr="00E55EF6">
        <w:rPr>
          <w:rFonts w:eastAsia="Times New Roman" w:cs="Arial"/>
          <w:color w:val="000000"/>
          <w:lang w:eastAsia="bg-BG"/>
        </w:rPr>
        <w:t>Респимат е инхалаторно устройство, което генерира спрей за инхалация.</w:t>
      </w:r>
    </w:p>
    <w:p w14:paraId="0F2BDAB7" w14:textId="77777777" w:rsidR="00E55EF6" w:rsidRPr="00E55EF6" w:rsidRDefault="00E55EF6" w:rsidP="00E55EF6">
      <w:pPr>
        <w:rPr>
          <w:rFonts w:eastAsia="Times New Roman" w:cs="Arial"/>
          <w:color w:val="000000"/>
          <w:lang w:eastAsia="bg-BG"/>
        </w:rPr>
      </w:pPr>
    </w:p>
    <w:p w14:paraId="422223D3" w14:textId="5C32E6A4" w:rsidR="00E55EF6" w:rsidRDefault="00E55EF6" w:rsidP="00E55EF6">
      <w:pPr>
        <w:rPr>
          <w:rFonts w:eastAsia="Times New Roman" w:cs="Arial"/>
          <w:color w:val="000000"/>
          <w:lang w:eastAsia="bg-BG"/>
        </w:rPr>
      </w:pPr>
      <w:r w:rsidRPr="00E55EF6">
        <w:rPr>
          <w:rFonts w:eastAsia="Times New Roman" w:cs="Arial"/>
          <w:color w:val="000000"/>
          <w:lang w:eastAsia="bg-BG"/>
        </w:rPr>
        <w:t>Пациентът трябва да използва този инхалатор САМО ВЕДНЪЖ ДНЕВНО. При всяко използване се прилагат ДВЕ ВПРЪСКВАНИЯ.</w:t>
      </w:r>
    </w:p>
    <w:p w14:paraId="27C6FE44" w14:textId="181544A2" w:rsidR="00E55EF6" w:rsidRDefault="00E55EF6" w:rsidP="00E55EF6">
      <w:pPr>
        <w:rPr>
          <w:rFonts w:eastAsia="Times New Roman" w:cs="Arial"/>
          <w:color w:val="000000"/>
          <w:lang w:eastAsia="bg-BG"/>
        </w:rPr>
      </w:pPr>
    </w:p>
    <w:p w14:paraId="02F6AABC" w14:textId="78C71E2B" w:rsidR="00E55EF6" w:rsidRDefault="00E55EF6" w:rsidP="00E55EF6">
      <w:pPr>
        <w:rPr>
          <w:rFonts w:cs="Arial"/>
        </w:rPr>
      </w:pPr>
      <w:r>
        <w:rPr>
          <w:noProof/>
          <w:lang w:val="en-US"/>
        </w:rPr>
        <w:lastRenderedPageBreak/>
        <w:drawing>
          <wp:inline distT="0" distB="0" distL="0" distR="0" wp14:anchorId="695B6C4A" wp14:editId="0FACF1DB">
            <wp:extent cx="5934075" cy="311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a:stretch/>
                  </pic:blipFill>
                  <pic:spPr bwMode="auto">
                    <a:xfrm>
                      <a:off x="0" y="0"/>
                      <a:ext cx="5934075" cy="3114675"/>
                    </a:xfrm>
                    <a:prstGeom prst="rect">
                      <a:avLst/>
                    </a:prstGeom>
                    <a:ln>
                      <a:noFill/>
                    </a:ln>
                    <a:extLst>
                      <a:ext uri="{53640926-AAD7-44D8-BBD7-CCE9431645EC}">
                        <a14:shadowObscured xmlns:a14="http://schemas.microsoft.com/office/drawing/2010/main"/>
                      </a:ext>
                    </a:extLst>
                  </pic:spPr>
                </pic:pic>
              </a:graphicData>
            </a:graphic>
          </wp:inline>
        </w:drawing>
      </w:r>
    </w:p>
    <w:p w14:paraId="09DD5FFF" w14:textId="3ABA9A2E" w:rsidR="00E55EF6" w:rsidRDefault="00E55EF6" w:rsidP="00E55EF6">
      <w:pPr>
        <w:rPr>
          <w:rFonts w:cs="Arial"/>
        </w:rPr>
      </w:pPr>
    </w:p>
    <w:p w14:paraId="2278A231" w14:textId="77777777" w:rsidR="00E55EF6" w:rsidRPr="00E55EF6" w:rsidRDefault="00E55EF6" w:rsidP="00E55EF6">
      <w:pPr>
        <w:pStyle w:val="ListParagraph"/>
        <w:numPr>
          <w:ilvl w:val="0"/>
          <w:numId w:val="37"/>
        </w:numPr>
        <w:spacing w:line="240" w:lineRule="auto"/>
        <w:rPr>
          <w:rFonts w:eastAsia="Times New Roman" w:cs="Arial"/>
          <w:color w:val="000000"/>
          <w:lang w:eastAsia="bg-BG"/>
        </w:rPr>
      </w:pPr>
      <w:r w:rsidRPr="00E55EF6">
        <w:rPr>
          <w:rFonts w:eastAsia="Times New Roman" w:cs="Arial"/>
          <w:color w:val="000000"/>
          <w:lang w:eastAsia="bg-BG"/>
        </w:rPr>
        <w:t>Ако не е използван повече от 7 дни, трябва да се пръсне веднъж към земята.</w:t>
      </w:r>
    </w:p>
    <w:p w14:paraId="4E3F8C5C" w14:textId="141270A8" w:rsidR="00E55EF6" w:rsidRPr="00E55EF6" w:rsidRDefault="00E55EF6" w:rsidP="00E55EF6">
      <w:pPr>
        <w:pStyle w:val="ListParagraph"/>
        <w:numPr>
          <w:ilvl w:val="0"/>
          <w:numId w:val="37"/>
        </w:numPr>
        <w:spacing w:line="240" w:lineRule="auto"/>
        <w:rPr>
          <w:rFonts w:eastAsia="Times New Roman" w:cs="Arial"/>
          <w:color w:val="000000"/>
          <w:lang w:eastAsia="bg-BG"/>
        </w:rPr>
      </w:pPr>
      <w:r w:rsidRPr="00E55EF6">
        <w:rPr>
          <w:rFonts w:eastAsia="Times New Roman" w:cs="Arial"/>
          <w:color w:val="000000"/>
          <w:lang w:eastAsia="bg-BG"/>
        </w:rPr>
        <w:t>Ако не е използван повече от 21 дни, трябва да се повторят стъпки 4 до 6 от „Подготовка за употреба“ до появата на аерозолна мъгла. След това да се повторят стъпки 4 до 6 още три пъти.</w:t>
      </w:r>
    </w:p>
    <w:p w14:paraId="22F94D60" w14:textId="77777777" w:rsidR="00E55EF6" w:rsidRPr="00E55EF6" w:rsidRDefault="00E55EF6" w:rsidP="00E55EF6">
      <w:pPr>
        <w:spacing w:line="240" w:lineRule="auto"/>
        <w:rPr>
          <w:rFonts w:eastAsia="Times New Roman" w:cs="Arial"/>
          <w:b/>
          <w:bCs/>
          <w:color w:val="000000"/>
          <w:lang w:eastAsia="bg-BG"/>
        </w:rPr>
      </w:pPr>
    </w:p>
    <w:p w14:paraId="76F875F7" w14:textId="6AE65FE2" w:rsidR="00E55EF6" w:rsidRPr="00E55EF6" w:rsidRDefault="00E55EF6" w:rsidP="00E55EF6">
      <w:pPr>
        <w:spacing w:line="240" w:lineRule="auto"/>
        <w:rPr>
          <w:rFonts w:eastAsia="Times New Roman" w:cs="Arial"/>
          <w:sz w:val="24"/>
          <w:szCs w:val="24"/>
        </w:rPr>
      </w:pPr>
      <w:r w:rsidRPr="00E55EF6">
        <w:rPr>
          <w:rFonts w:eastAsia="Times New Roman" w:cs="Arial"/>
          <w:b/>
          <w:bCs/>
          <w:color w:val="000000"/>
          <w:lang w:eastAsia="bg-BG"/>
        </w:rPr>
        <w:t>Как пациентът да се грижи за Спиолто Респимат за многократна употреба</w:t>
      </w:r>
    </w:p>
    <w:p w14:paraId="21B0C944" w14:textId="77777777" w:rsidR="00E55EF6" w:rsidRPr="00E55EF6" w:rsidRDefault="00E55EF6" w:rsidP="00E55EF6">
      <w:pPr>
        <w:spacing w:line="240" w:lineRule="auto"/>
        <w:rPr>
          <w:rFonts w:eastAsia="Times New Roman" w:cs="Arial"/>
          <w:color w:val="000000"/>
          <w:lang w:eastAsia="bg-BG"/>
        </w:rPr>
      </w:pPr>
    </w:p>
    <w:p w14:paraId="34D28F0D" w14:textId="49BAE35A" w:rsidR="00E55EF6" w:rsidRPr="00E55EF6" w:rsidRDefault="00E55EF6" w:rsidP="00E55EF6">
      <w:pPr>
        <w:spacing w:line="240" w:lineRule="auto"/>
        <w:rPr>
          <w:rFonts w:eastAsia="Times New Roman" w:cs="Arial"/>
          <w:sz w:val="24"/>
          <w:szCs w:val="24"/>
        </w:rPr>
      </w:pPr>
      <w:r w:rsidRPr="00E55EF6">
        <w:rPr>
          <w:rFonts w:eastAsia="Times New Roman" w:cs="Arial"/>
          <w:color w:val="000000"/>
          <w:lang w:eastAsia="bg-BG"/>
        </w:rPr>
        <w:t>Мундщукът се почиства, включително металната част в него, с навлажнен мек плат или само с кърпа поне веднъж седмично.</w:t>
      </w:r>
    </w:p>
    <w:p w14:paraId="0CC6A531" w14:textId="77777777" w:rsidR="00E55EF6" w:rsidRPr="00E55EF6" w:rsidRDefault="00E55EF6" w:rsidP="00E55EF6">
      <w:pPr>
        <w:spacing w:line="240" w:lineRule="auto"/>
        <w:rPr>
          <w:rFonts w:eastAsia="Times New Roman" w:cs="Arial"/>
          <w:sz w:val="24"/>
          <w:szCs w:val="24"/>
        </w:rPr>
      </w:pPr>
      <w:r w:rsidRPr="00E55EF6">
        <w:rPr>
          <w:rFonts w:eastAsia="Times New Roman" w:cs="Arial"/>
          <w:color w:val="000000"/>
          <w:lang w:eastAsia="bg-BG"/>
        </w:rPr>
        <w:t>Всяка слаба промяна в цвета на накрайника за уста не се отразява на работата с инхалатора Спиолто Респимат за многократна употреба.</w:t>
      </w:r>
    </w:p>
    <w:p w14:paraId="3BBBF682" w14:textId="77777777" w:rsidR="00E55EF6" w:rsidRPr="00E55EF6" w:rsidRDefault="00E55EF6" w:rsidP="00E55EF6">
      <w:pPr>
        <w:spacing w:line="240" w:lineRule="auto"/>
        <w:rPr>
          <w:rFonts w:eastAsia="Times New Roman" w:cs="Arial"/>
          <w:sz w:val="24"/>
          <w:szCs w:val="24"/>
        </w:rPr>
      </w:pPr>
      <w:r w:rsidRPr="00E55EF6">
        <w:rPr>
          <w:rFonts w:eastAsia="Times New Roman" w:cs="Arial"/>
          <w:color w:val="000000"/>
          <w:lang w:eastAsia="bg-BG"/>
        </w:rPr>
        <w:t>Ако е необходимо, инхалаторът Спиолто Респимат за многократна употреба се почиства от външната част с навлажнен мек плат.</w:t>
      </w:r>
    </w:p>
    <w:p w14:paraId="6D159B23" w14:textId="77777777" w:rsidR="00E55EF6" w:rsidRPr="00E55EF6" w:rsidRDefault="00E55EF6" w:rsidP="00E55EF6">
      <w:pPr>
        <w:spacing w:line="240" w:lineRule="auto"/>
        <w:rPr>
          <w:rFonts w:eastAsia="Times New Roman" w:cs="Arial"/>
          <w:b/>
          <w:bCs/>
          <w:color w:val="000000"/>
          <w:lang w:eastAsia="bg-BG"/>
        </w:rPr>
      </w:pPr>
      <w:bookmarkStart w:id="2" w:name="bookmark2"/>
    </w:p>
    <w:p w14:paraId="34ECAB6D" w14:textId="08F2FE62" w:rsidR="00E55EF6" w:rsidRPr="00E55EF6" w:rsidRDefault="00E55EF6" w:rsidP="00E55EF6">
      <w:pPr>
        <w:spacing w:line="240" w:lineRule="auto"/>
        <w:rPr>
          <w:rFonts w:eastAsia="Times New Roman" w:cs="Arial"/>
          <w:sz w:val="24"/>
          <w:szCs w:val="24"/>
        </w:rPr>
      </w:pPr>
      <w:r w:rsidRPr="00E55EF6">
        <w:rPr>
          <w:rFonts w:eastAsia="Times New Roman" w:cs="Arial"/>
          <w:b/>
          <w:bCs/>
          <w:color w:val="000000"/>
          <w:lang w:eastAsia="bg-BG"/>
        </w:rPr>
        <w:t>Кога да се смени инхалатора</w:t>
      </w:r>
      <w:bookmarkEnd w:id="2"/>
    </w:p>
    <w:p w14:paraId="646D21E9" w14:textId="77777777" w:rsidR="00E55EF6" w:rsidRPr="00E55EF6" w:rsidRDefault="00E55EF6" w:rsidP="00E55EF6">
      <w:pPr>
        <w:spacing w:line="240" w:lineRule="auto"/>
        <w:rPr>
          <w:rFonts w:eastAsia="Times New Roman" w:cs="Arial"/>
          <w:color w:val="000000"/>
          <w:lang w:eastAsia="bg-BG"/>
        </w:rPr>
      </w:pPr>
    </w:p>
    <w:p w14:paraId="76793209" w14:textId="70ED8DFD" w:rsidR="00E55EF6" w:rsidRPr="00E55EF6" w:rsidRDefault="00E55EF6" w:rsidP="00E55EF6">
      <w:pPr>
        <w:spacing w:line="240" w:lineRule="auto"/>
        <w:rPr>
          <w:rFonts w:eastAsia="Times New Roman" w:cs="Arial"/>
          <w:sz w:val="24"/>
          <w:szCs w:val="24"/>
        </w:rPr>
      </w:pPr>
      <w:r w:rsidRPr="00E55EF6">
        <w:rPr>
          <w:rFonts w:eastAsia="Times New Roman" w:cs="Arial"/>
          <w:color w:val="000000"/>
          <w:lang w:eastAsia="bg-BG"/>
        </w:rPr>
        <w:t>Ако пациентът е използвал инхалатор с 6 пълнителя, трябва да вземе нова опаковка Спиолто Респимат за многократна употреба, съдържаща инхалатор.</w:t>
      </w:r>
    </w:p>
    <w:p w14:paraId="23B9B426" w14:textId="37216BB8" w:rsidR="00E55EF6" w:rsidRDefault="00E55EF6" w:rsidP="00E55EF6">
      <w:pPr>
        <w:rPr>
          <w:rFonts w:cs="Arial"/>
        </w:rPr>
      </w:pPr>
    </w:p>
    <w:p w14:paraId="182E4684" w14:textId="31887531" w:rsidR="00E55EF6" w:rsidRDefault="00E55EF6" w:rsidP="00E55EF6">
      <w:pPr>
        <w:rPr>
          <w:rFonts w:cs="Arial"/>
        </w:rPr>
      </w:pPr>
      <w:r>
        <w:rPr>
          <w:noProof/>
          <w:lang w:val="en-US"/>
        </w:rPr>
        <w:lastRenderedPageBreak/>
        <w:drawing>
          <wp:inline distT="0" distB="0" distL="0" distR="0" wp14:anchorId="22D1156F" wp14:editId="4A301452">
            <wp:extent cx="4324350" cy="2524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24350" cy="2524125"/>
                    </a:xfrm>
                    <a:prstGeom prst="rect">
                      <a:avLst/>
                    </a:prstGeom>
                  </pic:spPr>
                </pic:pic>
              </a:graphicData>
            </a:graphic>
          </wp:inline>
        </w:drawing>
      </w:r>
    </w:p>
    <w:p w14:paraId="5B04A5C0" w14:textId="65796F1F" w:rsidR="00E55EF6" w:rsidRDefault="00E55EF6" w:rsidP="00E55EF6">
      <w:pPr>
        <w:rPr>
          <w:rFonts w:cs="Arial"/>
        </w:rPr>
      </w:pPr>
    </w:p>
    <w:p w14:paraId="7EA8D2FF" w14:textId="0BAE9843" w:rsidR="00E55EF6" w:rsidRDefault="00E55EF6" w:rsidP="00E55EF6">
      <w:pPr>
        <w:rPr>
          <w:b/>
          <w:bCs/>
        </w:rPr>
      </w:pPr>
      <w:r>
        <w:rPr>
          <w:b/>
          <w:bCs/>
        </w:rPr>
        <w:t>Подготовка за употреба</w:t>
      </w:r>
    </w:p>
    <w:tbl>
      <w:tblPr>
        <w:tblStyle w:val="TableGrid"/>
        <w:tblW w:w="0" w:type="auto"/>
        <w:tblLook w:val="04A0" w:firstRow="1" w:lastRow="0" w:firstColumn="1" w:lastColumn="0" w:noHBand="0" w:noVBand="1"/>
      </w:tblPr>
      <w:tblGrid>
        <w:gridCol w:w="4634"/>
        <w:gridCol w:w="4716"/>
      </w:tblGrid>
      <w:tr w:rsidR="00E55EF6" w14:paraId="37B9F196" w14:textId="77777777" w:rsidTr="00E55EF6">
        <w:tc>
          <w:tcPr>
            <w:tcW w:w="4928" w:type="dxa"/>
          </w:tcPr>
          <w:p w14:paraId="41936789" w14:textId="77777777" w:rsidR="00E55EF6" w:rsidRDefault="00E55EF6" w:rsidP="00E55EF6">
            <w:r>
              <w:rPr>
                <w:b/>
                <w:bCs/>
              </w:rPr>
              <w:t>1. Отстраняване на прозрачната основа</w:t>
            </w:r>
          </w:p>
          <w:p w14:paraId="522DC1DF" w14:textId="77777777" w:rsidR="00E55EF6" w:rsidRDefault="00E55EF6" w:rsidP="00E55EF6">
            <w:pPr>
              <w:pStyle w:val="ListParagraph"/>
              <w:numPr>
                <w:ilvl w:val="0"/>
                <w:numId w:val="42"/>
              </w:numPr>
              <w:spacing w:line="240" w:lineRule="auto"/>
            </w:pPr>
            <w:r>
              <w:t>Капачката трябва да е затворена.</w:t>
            </w:r>
          </w:p>
          <w:p w14:paraId="0BCE5A49" w14:textId="50907D8F" w:rsidR="00E55EF6" w:rsidRPr="00E55EF6" w:rsidRDefault="00E55EF6" w:rsidP="00E55EF6">
            <w:pPr>
              <w:pStyle w:val="ListParagraph"/>
              <w:numPr>
                <w:ilvl w:val="0"/>
                <w:numId w:val="42"/>
              </w:numPr>
              <w:spacing w:line="240" w:lineRule="auto"/>
            </w:pPr>
            <w:r>
              <w:t>Натиснете обезопасяващия елемент и едновременно с това, издърпайте прозрачната основа с другата ръка.</w:t>
            </w:r>
          </w:p>
        </w:tc>
        <w:tc>
          <w:tcPr>
            <w:tcW w:w="4648" w:type="dxa"/>
          </w:tcPr>
          <w:p w14:paraId="066A5134" w14:textId="04FDAE78" w:rsidR="00E55EF6" w:rsidRDefault="00E55EF6" w:rsidP="00E55EF6">
            <w:pPr>
              <w:rPr>
                <w:rFonts w:cs="Arial"/>
              </w:rPr>
            </w:pPr>
            <w:r>
              <w:rPr>
                <w:noProof/>
                <w:lang w:val="en-US"/>
              </w:rPr>
              <w:drawing>
                <wp:inline distT="0" distB="0" distL="0" distR="0" wp14:anchorId="131ADF87" wp14:editId="08FDFEC9">
                  <wp:extent cx="2714625" cy="1638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4625" cy="1638300"/>
                          </a:xfrm>
                          <a:prstGeom prst="rect">
                            <a:avLst/>
                          </a:prstGeom>
                        </pic:spPr>
                      </pic:pic>
                    </a:graphicData>
                  </a:graphic>
                </wp:inline>
              </w:drawing>
            </w:r>
          </w:p>
        </w:tc>
      </w:tr>
      <w:tr w:rsidR="00E55EF6" w14:paraId="24E84545" w14:textId="77777777" w:rsidTr="00E55EF6">
        <w:tc>
          <w:tcPr>
            <w:tcW w:w="4928" w:type="dxa"/>
          </w:tcPr>
          <w:p w14:paraId="08BD2C2C" w14:textId="41A4EDC7" w:rsidR="00E55EF6" w:rsidRDefault="00E55EF6" w:rsidP="00E55EF6">
            <w:pPr>
              <w:spacing w:line="240" w:lineRule="auto"/>
              <w:rPr>
                <w:b/>
                <w:bCs/>
              </w:rPr>
            </w:pPr>
            <w:r>
              <w:rPr>
                <w:b/>
                <w:bCs/>
              </w:rPr>
              <w:t>2. Поставяне на пълнителя</w:t>
            </w:r>
          </w:p>
          <w:p w14:paraId="140A3511" w14:textId="77777777" w:rsidR="00E55EF6" w:rsidRDefault="00E55EF6" w:rsidP="00E55EF6">
            <w:pPr>
              <w:pStyle w:val="ListParagraph"/>
              <w:numPr>
                <w:ilvl w:val="0"/>
                <w:numId w:val="43"/>
              </w:numPr>
              <w:spacing w:line="240" w:lineRule="auto"/>
            </w:pPr>
            <w:r>
              <w:t>Поставете пълнителя в инхалатора.</w:t>
            </w:r>
          </w:p>
          <w:p w14:paraId="7375DC15" w14:textId="2881BBB1" w:rsidR="00E55EF6" w:rsidRPr="00E55EF6" w:rsidRDefault="00E55EF6" w:rsidP="00E55EF6">
            <w:pPr>
              <w:pStyle w:val="ListParagraph"/>
              <w:numPr>
                <w:ilvl w:val="0"/>
                <w:numId w:val="43"/>
              </w:numPr>
              <w:spacing w:line="240" w:lineRule="auto"/>
            </w:pPr>
            <w:r>
              <w:t>Поставете инхалатора върху твърда повърхност и притиснете здраво, докато се чуе щракване.</w:t>
            </w:r>
          </w:p>
        </w:tc>
        <w:tc>
          <w:tcPr>
            <w:tcW w:w="4648" w:type="dxa"/>
          </w:tcPr>
          <w:p w14:paraId="0B89149B" w14:textId="0E0F0575" w:rsidR="00E55EF6" w:rsidRDefault="00E55EF6" w:rsidP="00E55EF6">
            <w:pPr>
              <w:rPr>
                <w:rFonts w:cs="Arial"/>
              </w:rPr>
            </w:pPr>
            <w:r>
              <w:rPr>
                <w:noProof/>
                <w:lang w:val="en-US"/>
              </w:rPr>
              <w:drawing>
                <wp:inline distT="0" distB="0" distL="0" distR="0" wp14:anchorId="7151093B" wp14:editId="605A4384">
                  <wp:extent cx="2714625" cy="1790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8065" cy="1792969"/>
                          </a:xfrm>
                          <a:prstGeom prst="rect">
                            <a:avLst/>
                          </a:prstGeom>
                        </pic:spPr>
                      </pic:pic>
                    </a:graphicData>
                  </a:graphic>
                </wp:inline>
              </w:drawing>
            </w:r>
          </w:p>
        </w:tc>
      </w:tr>
      <w:tr w:rsidR="00E55EF6" w14:paraId="43C7B152" w14:textId="77777777" w:rsidTr="00E55EF6">
        <w:tc>
          <w:tcPr>
            <w:tcW w:w="4928" w:type="dxa"/>
          </w:tcPr>
          <w:p w14:paraId="2F7B718B" w14:textId="77777777" w:rsidR="00E55EF6" w:rsidRDefault="00E55EF6" w:rsidP="00E55EF6">
            <w:r>
              <w:rPr>
                <w:b/>
                <w:bCs/>
              </w:rPr>
              <w:t>3. Следене на пълнителите</w:t>
            </w:r>
          </w:p>
          <w:p w14:paraId="25A0662E" w14:textId="77777777" w:rsidR="00E55EF6" w:rsidRDefault="00E55EF6" w:rsidP="00E55EF6">
            <w:pPr>
              <w:pStyle w:val="ListParagraph"/>
              <w:numPr>
                <w:ilvl w:val="0"/>
                <w:numId w:val="44"/>
              </w:numPr>
              <w:spacing w:line="240" w:lineRule="auto"/>
            </w:pPr>
            <w:r>
              <w:t>Отбележете в полетата върху етикета на инхалатора броя на пълнителите.</w:t>
            </w:r>
          </w:p>
          <w:p w14:paraId="7DB61C10" w14:textId="0FA0C489" w:rsidR="00E55EF6" w:rsidRPr="00E55EF6" w:rsidRDefault="00E55EF6" w:rsidP="00E55EF6">
            <w:pPr>
              <w:pStyle w:val="ListParagraph"/>
              <w:numPr>
                <w:ilvl w:val="0"/>
                <w:numId w:val="44"/>
              </w:numPr>
              <w:spacing w:line="240" w:lineRule="auto"/>
            </w:pPr>
            <w:r>
              <w:t>Поставете прозрачната основа обратно на мястото й и натисне, докато щракне.</w:t>
            </w:r>
          </w:p>
        </w:tc>
        <w:tc>
          <w:tcPr>
            <w:tcW w:w="4648" w:type="dxa"/>
          </w:tcPr>
          <w:p w14:paraId="4E5F9443" w14:textId="338C63E7" w:rsidR="00E55EF6" w:rsidRDefault="00E55EF6" w:rsidP="00E55EF6">
            <w:pPr>
              <w:rPr>
                <w:rFonts w:cs="Arial"/>
              </w:rPr>
            </w:pPr>
            <w:r>
              <w:rPr>
                <w:noProof/>
                <w:lang w:val="en-US"/>
              </w:rPr>
              <w:drawing>
                <wp:inline distT="0" distB="0" distL="0" distR="0" wp14:anchorId="2BE155A8" wp14:editId="7E9FE578">
                  <wp:extent cx="2724150" cy="1657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4150" cy="1657350"/>
                          </a:xfrm>
                          <a:prstGeom prst="rect">
                            <a:avLst/>
                          </a:prstGeom>
                        </pic:spPr>
                      </pic:pic>
                    </a:graphicData>
                  </a:graphic>
                </wp:inline>
              </w:drawing>
            </w:r>
          </w:p>
        </w:tc>
      </w:tr>
      <w:tr w:rsidR="00E55EF6" w14:paraId="7CBFAD3C" w14:textId="77777777" w:rsidTr="00E55EF6">
        <w:tc>
          <w:tcPr>
            <w:tcW w:w="4928" w:type="dxa"/>
          </w:tcPr>
          <w:p w14:paraId="02CA936F" w14:textId="68147698" w:rsidR="00E55EF6" w:rsidRDefault="00E55EF6" w:rsidP="00E55EF6">
            <w:pPr>
              <w:spacing w:line="240" w:lineRule="auto"/>
              <w:rPr>
                <w:b/>
                <w:bCs/>
              </w:rPr>
            </w:pPr>
            <w:r>
              <w:rPr>
                <w:b/>
                <w:bCs/>
              </w:rPr>
              <w:lastRenderedPageBreak/>
              <w:t>4. Завъртане</w:t>
            </w:r>
          </w:p>
          <w:p w14:paraId="3E529D47" w14:textId="77777777" w:rsidR="00E55EF6" w:rsidRDefault="00E55EF6" w:rsidP="00E55EF6">
            <w:pPr>
              <w:pStyle w:val="ListParagraph"/>
              <w:numPr>
                <w:ilvl w:val="0"/>
                <w:numId w:val="45"/>
              </w:numPr>
              <w:spacing w:line="240" w:lineRule="auto"/>
            </w:pPr>
            <w:r>
              <w:t>Капачката трябва да е затворена.</w:t>
            </w:r>
          </w:p>
          <w:p w14:paraId="5EEA6E9A" w14:textId="735C7DCA" w:rsidR="00E55EF6" w:rsidRPr="00E55EF6" w:rsidRDefault="00E55EF6" w:rsidP="00E55EF6">
            <w:pPr>
              <w:pStyle w:val="ListParagraph"/>
              <w:numPr>
                <w:ilvl w:val="0"/>
                <w:numId w:val="45"/>
              </w:numPr>
              <w:spacing w:line="240" w:lineRule="auto"/>
            </w:pPr>
            <w:r>
              <w:t>Завъртете прозрачната основа по посока на стрелките върху етикета, докато се чуе щракване (половин оборот).</w:t>
            </w:r>
          </w:p>
        </w:tc>
        <w:tc>
          <w:tcPr>
            <w:tcW w:w="4648" w:type="dxa"/>
          </w:tcPr>
          <w:p w14:paraId="62A205A6" w14:textId="04538674" w:rsidR="00E55EF6" w:rsidRDefault="00E55EF6" w:rsidP="00E55EF6">
            <w:pPr>
              <w:rPr>
                <w:rFonts w:cs="Arial"/>
              </w:rPr>
            </w:pPr>
            <w:r>
              <w:rPr>
                <w:noProof/>
                <w:lang w:val="en-US"/>
              </w:rPr>
              <w:drawing>
                <wp:inline distT="0" distB="0" distL="0" distR="0" wp14:anchorId="1359BF46" wp14:editId="750B9D91">
                  <wp:extent cx="2752725" cy="1533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52725" cy="1533525"/>
                          </a:xfrm>
                          <a:prstGeom prst="rect">
                            <a:avLst/>
                          </a:prstGeom>
                        </pic:spPr>
                      </pic:pic>
                    </a:graphicData>
                  </a:graphic>
                </wp:inline>
              </w:drawing>
            </w:r>
          </w:p>
        </w:tc>
      </w:tr>
      <w:tr w:rsidR="00E55EF6" w14:paraId="32C44774" w14:textId="77777777" w:rsidTr="00E55EF6">
        <w:tc>
          <w:tcPr>
            <w:tcW w:w="4928" w:type="dxa"/>
          </w:tcPr>
          <w:p w14:paraId="608127C8" w14:textId="77777777" w:rsidR="00E55EF6" w:rsidRDefault="00E55EF6" w:rsidP="00E55EF6">
            <w:r>
              <w:rPr>
                <w:b/>
                <w:bCs/>
              </w:rPr>
              <w:t>5. Отваряне</w:t>
            </w:r>
          </w:p>
          <w:p w14:paraId="6065C145" w14:textId="55E00AAE" w:rsidR="00E55EF6" w:rsidRDefault="00E55EF6" w:rsidP="00E55EF6">
            <w:pPr>
              <w:rPr>
                <w:rFonts w:cs="Arial"/>
              </w:rPr>
            </w:pPr>
            <w:r>
              <w:t>• Капачката трябва да се отвори напълно.</w:t>
            </w:r>
          </w:p>
        </w:tc>
        <w:tc>
          <w:tcPr>
            <w:tcW w:w="4648" w:type="dxa"/>
          </w:tcPr>
          <w:p w14:paraId="3AB45240" w14:textId="4FF21CD2" w:rsidR="00E55EF6" w:rsidRDefault="00E55EF6" w:rsidP="00E55EF6">
            <w:pPr>
              <w:rPr>
                <w:rFonts w:cs="Arial"/>
              </w:rPr>
            </w:pPr>
            <w:r>
              <w:rPr>
                <w:noProof/>
                <w:lang w:val="en-US"/>
              </w:rPr>
              <w:drawing>
                <wp:inline distT="0" distB="0" distL="0" distR="0" wp14:anchorId="1648804E" wp14:editId="766EE5E8">
                  <wp:extent cx="2847975" cy="1476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7975" cy="1476375"/>
                          </a:xfrm>
                          <a:prstGeom prst="rect">
                            <a:avLst/>
                          </a:prstGeom>
                        </pic:spPr>
                      </pic:pic>
                    </a:graphicData>
                  </a:graphic>
                </wp:inline>
              </w:drawing>
            </w:r>
          </w:p>
        </w:tc>
      </w:tr>
      <w:tr w:rsidR="00E55EF6" w14:paraId="0A510C82" w14:textId="77777777" w:rsidTr="00E55EF6">
        <w:tc>
          <w:tcPr>
            <w:tcW w:w="4928" w:type="dxa"/>
          </w:tcPr>
          <w:p w14:paraId="0F06AC0D" w14:textId="72D70201" w:rsidR="00E55EF6" w:rsidRDefault="00E55EF6" w:rsidP="00E55EF6">
            <w:pPr>
              <w:spacing w:line="240" w:lineRule="auto"/>
              <w:rPr>
                <w:b/>
                <w:bCs/>
              </w:rPr>
            </w:pPr>
            <w:r>
              <w:rPr>
                <w:b/>
                <w:bCs/>
              </w:rPr>
              <w:t>6. Натискане</w:t>
            </w:r>
          </w:p>
          <w:p w14:paraId="025F7675" w14:textId="77777777" w:rsidR="00E55EF6" w:rsidRDefault="00E55EF6" w:rsidP="00E55EF6">
            <w:pPr>
              <w:pStyle w:val="ListParagraph"/>
              <w:numPr>
                <w:ilvl w:val="0"/>
                <w:numId w:val="46"/>
              </w:numPr>
              <w:spacing w:line="240" w:lineRule="auto"/>
            </w:pPr>
            <w:r>
              <w:t>Насочете инхалатора надолу</w:t>
            </w:r>
          </w:p>
          <w:p w14:paraId="5DE548C5" w14:textId="77777777" w:rsidR="00E55EF6" w:rsidRDefault="00E55EF6" w:rsidP="00E55EF6">
            <w:pPr>
              <w:pStyle w:val="ListParagraph"/>
              <w:numPr>
                <w:ilvl w:val="0"/>
                <w:numId w:val="46"/>
              </w:numPr>
              <w:spacing w:line="240" w:lineRule="auto"/>
            </w:pPr>
            <w:r>
              <w:t>Натиснете бутона за освобождаване на дозата.</w:t>
            </w:r>
          </w:p>
          <w:p w14:paraId="06CEC704" w14:textId="77777777" w:rsidR="00E55EF6" w:rsidRDefault="00E55EF6" w:rsidP="00E55EF6">
            <w:pPr>
              <w:pStyle w:val="ListParagraph"/>
              <w:numPr>
                <w:ilvl w:val="0"/>
                <w:numId w:val="46"/>
              </w:numPr>
              <w:spacing w:line="240" w:lineRule="auto"/>
            </w:pPr>
            <w:r>
              <w:t>Затворете капачката.</w:t>
            </w:r>
          </w:p>
          <w:p w14:paraId="0CACE7E1" w14:textId="77777777" w:rsidR="00E55EF6" w:rsidRDefault="00E55EF6" w:rsidP="00E55EF6">
            <w:pPr>
              <w:pStyle w:val="ListParagraph"/>
              <w:numPr>
                <w:ilvl w:val="0"/>
                <w:numId w:val="46"/>
              </w:numPr>
              <w:spacing w:line="240" w:lineRule="auto"/>
            </w:pPr>
            <w:r>
              <w:t>Повторете стъпки 4-6 до поява на аерозол на мъгла.</w:t>
            </w:r>
          </w:p>
          <w:p w14:paraId="11E914D6" w14:textId="75B06F5B" w:rsidR="00E55EF6" w:rsidRPr="00E55EF6" w:rsidRDefault="00E55EF6" w:rsidP="00E55EF6">
            <w:pPr>
              <w:pStyle w:val="ListParagraph"/>
              <w:numPr>
                <w:ilvl w:val="0"/>
                <w:numId w:val="46"/>
              </w:numPr>
              <w:spacing w:line="240" w:lineRule="auto"/>
            </w:pPr>
            <w:r w:rsidRPr="00E55EF6">
              <w:rPr>
                <w:b/>
                <w:bCs/>
              </w:rPr>
              <w:t xml:space="preserve">След появата на аерозол на мъгла, </w:t>
            </w:r>
            <w:r>
              <w:t>повторете стъпки 4-6 още три пъти.</w:t>
            </w:r>
          </w:p>
          <w:p w14:paraId="2EF5FDB1" w14:textId="35D10C4A" w:rsidR="00E55EF6" w:rsidRDefault="00E55EF6" w:rsidP="00E55EF6">
            <w:pPr>
              <w:rPr>
                <w:rFonts w:cs="Arial"/>
              </w:rPr>
            </w:pPr>
            <w:r>
              <w:t>Сега инхалаторът е готов за употреба и ще достави 60 впръсквания (30 дози).</w:t>
            </w:r>
          </w:p>
        </w:tc>
        <w:tc>
          <w:tcPr>
            <w:tcW w:w="4648" w:type="dxa"/>
          </w:tcPr>
          <w:p w14:paraId="2E122CE5" w14:textId="7DA22D08" w:rsidR="00E55EF6" w:rsidRDefault="00E55EF6" w:rsidP="00E55EF6">
            <w:pPr>
              <w:rPr>
                <w:rFonts w:cs="Arial"/>
              </w:rPr>
            </w:pPr>
            <w:r>
              <w:rPr>
                <w:noProof/>
                <w:lang w:val="en-US"/>
              </w:rPr>
              <w:drawing>
                <wp:inline distT="0" distB="0" distL="0" distR="0" wp14:anchorId="51A68823" wp14:editId="7CC186D8">
                  <wp:extent cx="2838450" cy="2828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8450" cy="2828925"/>
                          </a:xfrm>
                          <a:prstGeom prst="rect">
                            <a:avLst/>
                          </a:prstGeom>
                        </pic:spPr>
                      </pic:pic>
                    </a:graphicData>
                  </a:graphic>
                </wp:inline>
              </w:drawing>
            </w:r>
          </w:p>
        </w:tc>
      </w:tr>
    </w:tbl>
    <w:p w14:paraId="44140CAB" w14:textId="275F0E65" w:rsidR="00E55EF6" w:rsidRDefault="00E55EF6" w:rsidP="00E55EF6">
      <w:pPr>
        <w:rPr>
          <w:rFonts w:cs="Arial"/>
        </w:rPr>
      </w:pPr>
    </w:p>
    <w:p w14:paraId="04B81156" w14:textId="4118786C" w:rsidR="00E55EF6" w:rsidRDefault="00E55EF6" w:rsidP="00E55EF6">
      <w:pPr>
        <w:rPr>
          <w:b/>
          <w:bCs/>
        </w:rPr>
      </w:pPr>
      <w:r>
        <w:rPr>
          <w:b/>
          <w:bCs/>
        </w:rPr>
        <w:t>Ежедневна употреба</w:t>
      </w:r>
    </w:p>
    <w:tbl>
      <w:tblPr>
        <w:tblStyle w:val="TableGrid"/>
        <w:tblW w:w="0" w:type="auto"/>
        <w:tblLook w:val="04A0" w:firstRow="1" w:lastRow="0" w:firstColumn="1" w:lastColumn="0" w:noHBand="0" w:noVBand="1"/>
      </w:tblPr>
      <w:tblGrid>
        <w:gridCol w:w="4578"/>
        <w:gridCol w:w="4772"/>
      </w:tblGrid>
      <w:tr w:rsidR="00E55EF6" w14:paraId="4029E03D" w14:textId="77777777" w:rsidTr="00E55EF6">
        <w:tc>
          <w:tcPr>
            <w:tcW w:w="4788" w:type="dxa"/>
          </w:tcPr>
          <w:p w14:paraId="52B3F073" w14:textId="77777777" w:rsidR="00E55EF6" w:rsidRPr="00E55EF6" w:rsidRDefault="00E55EF6" w:rsidP="00E55EF6">
            <w:pPr>
              <w:spacing w:line="240" w:lineRule="auto"/>
              <w:rPr>
                <w:rFonts w:eastAsia="Times New Roman" w:cs="Arial"/>
                <w:sz w:val="24"/>
                <w:szCs w:val="24"/>
              </w:rPr>
            </w:pPr>
            <w:r w:rsidRPr="00E55EF6">
              <w:rPr>
                <w:rFonts w:eastAsia="Times New Roman" w:cs="Arial"/>
                <w:b/>
                <w:bCs/>
                <w:color w:val="000000"/>
                <w:lang w:eastAsia="bg-BG"/>
              </w:rPr>
              <w:lastRenderedPageBreak/>
              <w:t>ЗАВЪРТАНЕ</w:t>
            </w:r>
          </w:p>
          <w:p w14:paraId="5C1C4278" w14:textId="77777777" w:rsidR="00E55EF6" w:rsidRPr="00E55EF6" w:rsidRDefault="00E55EF6" w:rsidP="00E55EF6">
            <w:pPr>
              <w:pStyle w:val="ListParagraph"/>
              <w:numPr>
                <w:ilvl w:val="0"/>
                <w:numId w:val="47"/>
              </w:numPr>
              <w:spacing w:line="240" w:lineRule="auto"/>
              <w:rPr>
                <w:rFonts w:eastAsia="Times New Roman" w:cs="Arial"/>
                <w:color w:val="000000"/>
                <w:lang w:eastAsia="bg-BG"/>
              </w:rPr>
            </w:pPr>
            <w:r w:rsidRPr="00E55EF6">
              <w:rPr>
                <w:rFonts w:eastAsia="Times New Roman" w:cs="Arial"/>
                <w:color w:val="000000"/>
                <w:lang w:eastAsia="bg-BG"/>
              </w:rPr>
              <w:t>Капачката трябва да е затворена.</w:t>
            </w:r>
          </w:p>
          <w:p w14:paraId="432ED581" w14:textId="77777777" w:rsidR="00E55EF6" w:rsidRPr="00E55EF6" w:rsidRDefault="00E55EF6" w:rsidP="00E55EF6">
            <w:pPr>
              <w:pStyle w:val="ListParagraph"/>
              <w:numPr>
                <w:ilvl w:val="0"/>
                <w:numId w:val="47"/>
              </w:numPr>
              <w:spacing w:line="240" w:lineRule="auto"/>
              <w:rPr>
                <w:rFonts w:eastAsia="Times New Roman" w:cs="Arial"/>
                <w:b/>
                <w:bCs/>
                <w:color w:val="000000"/>
                <w:lang w:eastAsia="bg-BG"/>
              </w:rPr>
            </w:pPr>
            <w:r w:rsidRPr="00E55EF6">
              <w:rPr>
                <w:rFonts w:eastAsia="Times New Roman" w:cs="Arial"/>
                <w:b/>
                <w:bCs/>
                <w:color w:val="000000"/>
                <w:lang w:eastAsia="bg-BG"/>
              </w:rPr>
              <w:t xml:space="preserve">ЗАВЪРТЕТЕ </w:t>
            </w:r>
            <w:r w:rsidRPr="00E55EF6">
              <w:rPr>
                <w:rFonts w:eastAsia="Times New Roman" w:cs="Arial"/>
                <w:color w:val="000000"/>
                <w:lang w:eastAsia="bg-BG"/>
              </w:rPr>
              <w:t>прозрачната основа по посока на стрелките върху етикета, докато се чуе щракване (половин оборот).</w:t>
            </w:r>
          </w:p>
          <w:p w14:paraId="651FE55D" w14:textId="77777777" w:rsidR="00E55EF6" w:rsidRDefault="00E55EF6" w:rsidP="00E55EF6">
            <w:pPr>
              <w:rPr>
                <w:rFonts w:cs="Arial"/>
              </w:rPr>
            </w:pPr>
          </w:p>
        </w:tc>
        <w:tc>
          <w:tcPr>
            <w:tcW w:w="4788" w:type="dxa"/>
          </w:tcPr>
          <w:p w14:paraId="13AF1E4B" w14:textId="78C41FFC" w:rsidR="00E55EF6" w:rsidRDefault="00E55EF6" w:rsidP="00E55EF6">
            <w:pPr>
              <w:rPr>
                <w:rFonts w:cs="Arial"/>
              </w:rPr>
            </w:pPr>
            <w:r>
              <w:rPr>
                <w:noProof/>
                <w:lang w:val="en-US"/>
              </w:rPr>
              <w:drawing>
                <wp:inline distT="0" distB="0" distL="0" distR="0" wp14:anchorId="170C0D32" wp14:editId="4462FA60">
                  <wp:extent cx="2800350" cy="2076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0350" cy="2076450"/>
                          </a:xfrm>
                          <a:prstGeom prst="rect">
                            <a:avLst/>
                          </a:prstGeom>
                        </pic:spPr>
                      </pic:pic>
                    </a:graphicData>
                  </a:graphic>
                </wp:inline>
              </w:drawing>
            </w:r>
          </w:p>
        </w:tc>
      </w:tr>
      <w:tr w:rsidR="00E55EF6" w14:paraId="1015BEF8" w14:textId="77777777" w:rsidTr="00E55EF6">
        <w:tc>
          <w:tcPr>
            <w:tcW w:w="4788" w:type="dxa"/>
          </w:tcPr>
          <w:p w14:paraId="465F9214" w14:textId="77777777" w:rsidR="00E55EF6" w:rsidRPr="00E55EF6" w:rsidRDefault="00E55EF6" w:rsidP="00E55EF6">
            <w:pPr>
              <w:spacing w:line="240" w:lineRule="auto"/>
              <w:rPr>
                <w:rFonts w:eastAsia="Times New Roman" w:cs="Arial"/>
                <w:sz w:val="24"/>
                <w:szCs w:val="24"/>
              </w:rPr>
            </w:pPr>
            <w:r w:rsidRPr="00E55EF6">
              <w:rPr>
                <w:rFonts w:eastAsia="Times New Roman" w:cs="Arial"/>
                <w:b/>
                <w:bCs/>
                <w:color w:val="000000"/>
                <w:lang w:eastAsia="bg-BG"/>
              </w:rPr>
              <w:t>ОТВАРЯНЕ</w:t>
            </w:r>
          </w:p>
          <w:p w14:paraId="218C5875" w14:textId="5B73D5D7" w:rsidR="00E55EF6" w:rsidRPr="00E55EF6" w:rsidRDefault="00E55EF6" w:rsidP="00E55EF6">
            <w:pPr>
              <w:pStyle w:val="ListParagraph"/>
              <w:numPr>
                <w:ilvl w:val="0"/>
                <w:numId w:val="48"/>
              </w:numPr>
              <w:rPr>
                <w:rFonts w:cs="Arial"/>
              </w:rPr>
            </w:pPr>
            <w:r w:rsidRPr="00E55EF6">
              <w:rPr>
                <w:rFonts w:eastAsia="Times New Roman" w:cs="Arial"/>
                <w:b/>
                <w:bCs/>
                <w:color w:val="000000"/>
                <w:lang w:eastAsia="bg-BG"/>
              </w:rPr>
              <w:t xml:space="preserve">ОТВОРЕТЕ </w:t>
            </w:r>
            <w:r w:rsidRPr="00E55EF6">
              <w:rPr>
                <w:rFonts w:eastAsia="Times New Roman" w:cs="Arial"/>
                <w:color w:val="000000"/>
                <w:lang w:eastAsia="bg-BG"/>
              </w:rPr>
              <w:t>напълно капачката.</w:t>
            </w:r>
          </w:p>
        </w:tc>
        <w:tc>
          <w:tcPr>
            <w:tcW w:w="4788" w:type="dxa"/>
          </w:tcPr>
          <w:p w14:paraId="202A413F" w14:textId="4EF4857E" w:rsidR="00E55EF6" w:rsidRDefault="00E55EF6" w:rsidP="00E55EF6">
            <w:pPr>
              <w:rPr>
                <w:rFonts w:cs="Arial"/>
              </w:rPr>
            </w:pPr>
            <w:r>
              <w:rPr>
                <w:noProof/>
                <w:lang w:val="en-US"/>
              </w:rPr>
              <w:drawing>
                <wp:inline distT="0" distB="0" distL="0" distR="0" wp14:anchorId="15B20E57" wp14:editId="6ADCD1BB">
                  <wp:extent cx="2771775" cy="1609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1775" cy="1609725"/>
                          </a:xfrm>
                          <a:prstGeom prst="rect">
                            <a:avLst/>
                          </a:prstGeom>
                        </pic:spPr>
                      </pic:pic>
                    </a:graphicData>
                  </a:graphic>
                </wp:inline>
              </w:drawing>
            </w:r>
          </w:p>
        </w:tc>
      </w:tr>
      <w:tr w:rsidR="00E55EF6" w14:paraId="77C7A3ED" w14:textId="77777777" w:rsidTr="00E55EF6">
        <w:tc>
          <w:tcPr>
            <w:tcW w:w="4788" w:type="dxa"/>
          </w:tcPr>
          <w:p w14:paraId="1E0C83A9" w14:textId="77777777" w:rsidR="00E55EF6" w:rsidRPr="00E55EF6" w:rsidRDefault="00E55EF6" w:rsidP="00E55EF6">
            <w:pPr>
              <w:spacing w:line="240" w:lineRule="auto"/>
              <w:rPr>
                <w:rFonts w:eastAsia="Times New Roman" w:cs="Arial"/>
                <w:sz w:val="24"/>
                <w:szCs w:val="24"/>
              </w:rPr>
            </w:pPr>
            <w:r w:rsidRPr="00E55EF6">
              <w:rPr>
                <w:rFonts w:eastAsia="Times New Roman" w:cs="Arial"/>
                <w:b/>
                <w:bCs/>
                <w:color w:val="000000"/>
                <w:lang w:eastAsia="bg-BG"/>
              </w:rPr>
              <w:t>НАТИСКАНЕ</w:t>
            </w:r>
          </w:p>
          <w:p w14:paraId="6238B1A0" w14:textId="77777777" w:rsidR="00E55EF6" w:rsidRPr="00E55EF6" w:rsidRDefault="00E55EF6" w:rsidP="00E55EF6">
            <w:pPr>
              <w:pStyle w:val="ListParagraph"/>
              <w:numPr>
                <w:ilvl w:val="0"/>
                <w:numId w:val="48"/>
              </w:numPr>
              <w:spacing w:line="240" w:lineRule="auto"/>
              <w:rPr>
                <w:rFonts w:eastAsia="Times New Roman" w:cs="Arial"/>
                <w:color w:val="000000"/>
                <w:lang w:eastAsia="bg-BG"/>
              </w:rPr>
            </w:pPr>
            <w:r w:rsidRPr="00E55EF6">
              <w:rPr>
                <w:rFonts w:eastAsia="Times New Roman" w:cs="Arial"/>
                <w:color w:val="000000"/>
                <w:lang w:eastAsia="bg-BG"/>
              </w:rPr>
              <w:t>Издишайте бавно и дълбоко.</w:t>
            </w:r>
          </w:p>
          <w:p w14:paraId="591F496D" w14:textId="77777777" w:rsidR="00E55EF6" w:rsidRPr="00E55EF6" w:rsidRDefault="00E55EF6" w:rsidP="00E55EF6">
            <w:pPr>
              <w:pStyle w:val="ListParagraph"/>
              <w:numPr>
                <w:ilvl w:val="0"/>
                <w:numId w:val="48"/>
              </w:numPr>
              <w:spacing w:line="240" w:lineRule="auto"/>
              <w:rPr>
                <w:rFonts w:eastAsia="Times New Roman" w:cs="Arial"/>
                <w:color w:val="000000"/>
                <w:lang w:eastAsia="bg-BG"/>
              </w:rPr>
            </w:pPr>
            <w:r w:rsidRPr="00E55EF6">
              <w:rPr>
                <w:rFonts w:eastAsia="Times New Roman" w:cs="Arial"/>
                <w:color w:val="000000"/>
                <w:lang w:eastAsia="bg-BG"/>
              </w:rPr>
              <w:t>Поставете устните си плътно около мундщука, без да закривате отворите за въздух. Насочете инхалатора към гърлото си.</w:t>
            </w:r>
          </w:p>
          <w:p w14:paraId="579F0D96" w14:textId="77777777" w:rsidR="00E55EF6" w:rsidRPr="00E55EF6" w:rsidRDefault="00E55EF6" w:rsidP="00E55EF6">
            <w:pPr>
              <w:pStyle w:val="ListParagraph"/>
              <w:numPr>
                <w:ilvl w:val="0"/>
                <w:numId w:val="48"/>
              </w:numPr>
              <w:spacing w:line="240" w:lineRule="auto"/>
              <w:rPr>
                <w:rFonts w:eastAsia="Times New Roman" w:cs="Arial"/>
                <w:color w:val="000000"/>
                <w:lang w:eastAsia="bg-BG"/>
              </w:rPr>
            </w:pPr>
            <w:r w:rsidRPr="00E55EF6">
              <w:rPr>
                <w:rFonts w:eastAsia="Times New Roman" w:cs="Arial"/>
                <w:color w:val="000000"/>
                <w:lang w:eastAsia="bg-BG"/>
              </w:rPr>
              <w:t xml:space="preserve">Докато вдишвате бавно и дълбоко през устата, </w:t>
            </w:r>
            <w:r w:rsidRPr="00E55EF6">
              <w:rPr>
                <w:rFonts w:eastAsia="Times New Roman" w:cs="Arial"/>
                <w:b/>
                <w:bCs/>
                <w:color w:val="000000"/>
                <w:lang w:eastAsia="bg-BG"/>
              </w:rPr>
              <w:t xml:space="preserve">НАТИСНЕТЕ </w:t>
            </w:r>
            <w:r w:rsidRPr="00E55EF6">
              <w:rPr>
                <w:rFonts w:eastAsia="Times New Roman" w:cs="Arial"/>
                <w:color w:val="000000"/>
                <w:lang w:eastAsia="bg-BG"/>
              </w:rPr>
              <w:t>бутона за освобождаване на дозата и продължете да вдишвате бавно, толкова дълго, доколкото е възможно.</w:t>
            </w:r>
          </w:p>
          <w:p w14:paraId="16B3A475" w14:textId="77777777" w:rsidR="00E55EF6" w:rsidRPr="00E55EF6" w:rsidRDefault="00E55EF6" w:rsidP="00E55EF6">
            <w:pPr>
              <w:pStyle w:val="ListParagraph"/>
              <w:numPr>
                <w:ilvl w:val="0"/>
                <w:numId w:val="48"/>
              </w:numPr>
              <w:spacing w:line="240" w:lineRule="auto"/>
              <w:rPr>
                <w:rFonts w:eastAsia="Times New Roman" w:cs="Arial"/>
                <w:color w:val="000000"/>
                <w:lang w:eastAsia="bg-BG"/>
              </w:rPr>
            </w:pPr>
            <w:r w:rsidRPr="00E55EF6">
              <w:rPr>
                <w:rFonts w:eastAsia="Times New Roman" w:cs="Arial"/>
                <w:color w:val="000000"/>
                <w:lang w:eastAsia="bg-BG"/>
              </w:rPr>
              <w:t>Задръжте дишането за 10 секунди или докато можете.</w:t>
            </w:r>
          </w:p>
          <w:p w14:paraId="1642CAF4" w14:textId="77777777" w:rsidR="00E55EF6" w:rsidRPr="00E55EF6" w:rsidRDefault="00E55EF6" w:rsidP="00E55EF6">
            <w:pPr>
              <w:pStyle w:val="ListParagraph"/>
              <w:numPr>
                <w:ilvl w:val="0"/>
                <w:numId w:val="48"/>
              </w:numPr>
              <w:spacing w:line="240" w:lineRule="auto"/>
              <w:rPr>
                <w:rFonts w:eastAsia="Times New Roman" w:cs="Arial"/>
                <w:color w:val="000000"/>
                <w:lang w:eastAsia="bg-BG"/>
              </w:rPr>
            </w:pPr>
            <w:r w:rsidRPr="00E55EF6">
              <w:rPr>
                <w:rFonts w:eastAsia="Times New Roman" w:cs="Arial"/>
                <w:color w:val="000000"/>
                <w:lang w:eastAsia="bg-BG"/>
              </w:rPr>
              <w:t xml:space="preserve">Повторете стъпки </w:t>
            </w:r>
            <w:r w:rsidRPr="00E55EF6">
              <w:rPr>
                <w:rFonts w:eastAsia="Times New Roman" w:cs="Arial"/>
                <w:b/>
                <w:bCs/>
                <w:color w:val="000000"/>
                <w:lang w:eastAsia="bg-BG"/>
              </w:rPr>
              <w:t xml:space="preserve">„ЗАВЪРТАНЕ“, „ОТВАРЯНЕ“ </w:t>
            </w:r>
            <w:r w:rsidRPr="00E55EF6">
              <w:rPr>
                <w:rFonts w:eastAsia="Times New Roman" w:cs="Arial"/>
                <w:color w:val="000000"/>
                <w:lang w:eastAsia="bg-BG"/>
              </w:rPr>
              <w:t xml:space="preserve">и </w:t>
            </w:r>
            <w:r w:rsidRPr="00E55EF6">
              <w:rPr>
                <w:rFonts w:eastAsia="Times New Roman" w:cs="Arial"/>
                <w:b/>
                <w:bCs/>
                <w:color w:val="000000"/>
                <w:lang w:eastAsia="bg-BG"/>
              </w:rPr>
              <w:t xml:space="preserve">„НАТИСКАНЕ“, </w:t>
            </w:r>
            <w:r w:rsidRPr="00E55EF6">
              <w:rPr>
                <w:rFonts w:eastAsia="Times New Roman" w:cs="Arial"/>
                <w:color w:val="000000"/>
                <w:lang w:eastAsia="bg-BG"/>
              </w:rPr>
              <w:t>за приемане на пълната доза, осигурена от 2 впръсквания.</w:t>
            </w:r>
          </w:p>
          <w:p w14:paraId="42FDE039" w14:textId="43DD278B" w:rsidR="00E55EF6" w:rsidRPr="00E55EF6" w:rsidRDefault="00E55EF6" w:rsidP="00E55EF6">
            <w:pPr>
              <w:pStyle w:val="ListParagraph"/>
              <w:numPr>
                <w:ilvl w:val="0"/>
                <w:numId w:val="48"/>
              </w:numPr>
              <w:spacing w:line="240" w:lineRule="auto"/>
              <w:rPr>
                <w:rFonts w:eastAsia="Times New Roman" w:cs="Arial"/>
                <w:color w:val="000000"/>
                <w:lang w:eastAsia="bg-BG"/>
              </w:rPr>
            </w:pPr>
            <w:r w:rsidRPr="00E55EF6">
              <w:rPr>
                <w:rFonts w:eastAsia="Times New Roman" w:cs="Arial"/>
                <w:color w:val="000000"/>
                <w:lang w:eastAsia="bg-BG"/>
              </w:rPr>
              <w:t>Затворете капачката на инхалатора до следващата му употреба.</w:t>
            </w:r>
          </w:p>
          <w:p w14:paraId="2D4BE299" w14:textId="77777777" w:rsidR="00E55EF6" w:rsidRDefault="00E55EF6" w:rsidP="00E55EF6">
            <w:pPr>
              <w:rPr>
                <w:rFonts w:cs="Arial"/>
              </w:rPr>
            </w:pPr>
          </w:p>
        </w:tc>
        <w:tc>
          <w:tcPr>
            <w:tcW w:w="4788" w:type="dxa"/>
          </w:tcPr>
          <w:p w14:paraId="5340CB64" w14:textId="73BBDA39" w:rsidR="00E55EF6" w:rsidRDefault="00E55EF6" w:rsidP="00E55EF6">
            <w:pPr>
              <w:rPr>
                <w:rFonts w:cs="Arial"/>
              </w:rPr>
            </w:pPr>
            <w:r>
              <w:rPr>
                <w:noProof/>
                <w:lang w:val="en-US"/>
              </w:rPr>
              <w:drawing>
                <wp:inline distT="0" distB="0" distL="0" distR="0" wp14:anchorId="08AFAA55" wp14:editId="56262877">
                  <wp:extent cx="2428875" cy="2724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8875" cy="2724150"/>
                          </a:xfrm>
                          <a:prstGeom prst="rect">
                            <a:avLst/>
                          </a:prstGeom>
                        </pic:spPr>
                      </pic:pic>
                    </a:graphicData>
                  </a:graphic>
                </wp:inline>
              </w:drawing>
            </w:r>
          </w:p>
        </w:tc>
      </w:tr>
    </w:tbl>
    <w:p w14:paraId="62D09469" w14:textId="6DEAF49C" w:rsidR="00E55EF6" w:rsidRDefault="00E55EF6" w:rsidP="00E55EF6">
      <w:pPr>
        <w:rPr>
          <w:rFonts w:cs="Arial"/>
        </w:rPr>
      </w:pPr>
    </w:p>
    <w:p w14:paraId="65EADF47" w14:textId="77777777" w:rsidR="00E55EF6" w:rsidRPr="00E55EF6" w:rsidRDefault="00E55EF6" w:rsidP="00E55EF6">
      <w:pPr>
        <w:spacing w:line="240" w:lineRule="auto"/>
        <w:rPr>
          <w:rFonts w:eastAsia="Times New Roman" w:cs="Arial"/>
          <w:sz w:val="24"/>
          <w:szCs w:val="24"/>
        </w:rPr>
      </w:pPr>
      <w:r w:rsidRPr="00E55EF6">
        <w:rPr>
          <w:rFonts w:eastAsia="Times New Roman" w:cs="Arial"/>
          <w:b/>
          <w:bCs/>
          <w:color w:val="000000"/>
          <w:lang w:eastAsia="bg-BG"/>
        </w:rPr>
        <w:t>Кога да се замени пълнителя на Спиолто Респимат</w:t>
      </w:r>
    </w:p>
    <w:p w14:paraId="58C6CC89" w14:textId="77777777" w:rsidR="00E55EF6" w:rsidRPr="00E55EF6" w:rsidRDefault="00E55EF6" w:rsidP="00E55EF6">
      <w:pPr>
        <w:spacing w:line="240" w:lineRule="auto"/>
        <w:rPr>
          <w:rFonts w:eastAsia="Times New Roman" w:cs="Arial"/>
          <w:color w:val="000000"/>
          <w:lang w:eastAsia="bg-BG"/>
        </w:rPr>
      </w:pPr>
    </w:p>
    <w:p w14:paraId="7E84831A" w14:textId="3CA67442" w:rsidR="00E55EF6" w:rsidRPr="00E55EF6" w:rsidRDefault="00E55EF6" w:rsidP="00E55EF6">
      <w:pPr>
        <w:spacing w:line="240" w:lineRule="auto"/>
        <w:rPr>
          <w:rFonts w:eastAsia="Times New Roman" w:cs="Arial"/>
          <w:sz w:val="24"/>
          <w:szCs w:val="24"/>
        </w:rPr>
      </w:pPr>
      <w:r w:rsidRPr="00E55EF6">
        <w:rPr>
          <w:rFonts w:eastAsia="Times New Roman" w:cs="Arial"/>
          <w:color w:val="000000"/>
          <w:lang w:eastAsia="bg-BG"/>
        </w:rPr>
        <w:t>Индикаторът за дозите показва колко впръсквания остават в пълнителя.</w:t>
      </w:r>
    </w:p>
    <w:p w14:paraId="69B6FB48" w14:textId="3514F319" w:rsidR="00E55EF6" w:rsidRDefault="00E55EF6" w:rsidP="00E55EF6">
      <w:pPr>
        <w:rPr>
          <w:rFonts w:cs="Arial"/>
        </w:rPr>
      </w:pPr>
    </w:p>
    <w:tbl>
      <w:tblPr>
        <w:tblStyle w:val="TableGrid"/>
        <w:tblW w:w="0" w:type="auto"/>
        <w:tblLook w:val="04A0" w:firstRow="1" w:lastRow="0" w:firstColumn="1" w:lastColumn="0" w:noHBand="0" w:noVBand="1"/>
      </w:tblPr>
      <w:tblGrid>
        <w:gridCol w:w="1240"/>
        <w:gridCol w:w="8110"/>
      </w:tblGrid>
      <w:tr w:rsidR="00E55EF6" w14:paraId="688108B7" w14:textId="77777777" w:rsidTr="00E55EF6">
        <w:tc>
          <w:tcPr>
            <w:tcW w:w="1242" w:type="dxa"/>
          </w:tcPr>
          <w:p w14:paraId="6AAFA159" w14:textId="533D24BD" w:rsidR="00E55EF6" w:rsidRDefault="00E55EF6" w:rsidP="00E55EF6">
            <w:pPr>
              <w:rPr>
                <w:rFonts w:cs="Arial"/>
              </w:rPr>
            </w:pPr>
            <w:r>
              <w:rPr>
                <w:noProof/>
                <w:lang w:val="en-US"/>
              </w:rPr>
              <w:lastRenderedPageBreak/>
              <w:drawing>
                <wp:inline distT="0" distB="0" distL="0" distR="0" wp14:anchorId="6BB73E79" wp14:editId="6FE4A3A9">
                  <wp:extent cx="600075" cy="552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0075" cy="552450"/>
                          </a:xfrm>
                          <a:prstGeom prst="rect">
                            <a:avLst/>
                          </a:prstGeom>
                        </pic:spPr>
                      </pic:pic>
                    </a:graphicData>
                  </a:graphic>
                </wp:inline>
              </w:drawing>
            </w:r>
          </w:p>
        </w:tc>
        <w:tc>
          <w:tcPr>
            <w:tcW w:w="8334" w:type="dxa"/>
          </w:tcPr>
          <w:p w14:paraId="6ECDCEBD" w14:textId="16D4266B" w:rsidR="00E55EF6" w:rsidRDefault="00E55EF6" w:rsidP="00E55EF6">
            <w:pPr>
              <w:rPr>
                <w:rFonts w:cs="Arial"/>
              </w:rPr>
            </w:pPr>
            <w:r>
              <w:t>Остават 60 впръсквания</w:t>
            </w:r>
          </w:p>
        </w:tc>
      </w:tr>
      <w:tr w:rsidR="00E55EF6" w14:paraId="28711CB6" w14:textId="77777777" w:rsidTr="00E55EF6">
        <w:tc>
          <w:tcPr>
            <w:tcW w:w="1242" w:type="dxa"/>
          </w:tcPr>
          <w:p w14:paraId="39384F97" w14:textId="2D32BD69" w:rsidR="00E55EF6" w:rsidRDefault="00E55EF6" w:rsidP="00E55EF6">
            <w:pPr>
              <w:rPr>
                <w:rFonts w:cs="Arial"/>
              </w:rPr>
            </w:pPr>
            <w:r>
              <w:rPr>
                <w:noProof/>
                <w:lang w:val="en-US"/>
              </w:rPr>
              <w:drawing>
                <wp:inline distT="0" distB="0" distL="0" distR="0" wp14:anchorId="0E9942F5" wp14:editId="28AA745E">
                  <wp:extent cx="571500" cy="5810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500" cy="581025"/>
                          </a:xfrm>
                          <a:prstGeom prst="rect">
                            <a:avLst/>
                          </a:prstGeom>
                        </pic:spPr>
                      </pic:pic>
                    </a:graphicData>
                  </a:graphic>
                </wp:inline>
              </w:drawing>
            </w:r>
          </w:p>
        </w:tc>
        <w:tc>
          <w:tcPr>
            <w:tcW w:w="8334" w:type="dxa"/>
            <w:vAlign w:val="center"/>
          </w:tcPr>
          <w:p w14:paraId="4052180A" w14:textId="63D28447" w:rsidR="00E55EF6" w:rsidRDefault="00E55EF6" w:rsidP="00E55EF6">
            <w:pPr>
              <w:rPr>
                <w:rFonts w:cs="Arial"/>
              </w:rPr>
            </w:pPr>
            <w:r>
              <w:t>Остават по-малко от 10 впръсквания. Необходимо е, да се вземе нов пълнител.</w:t>
            </w:r>
          </w:p>
        </w:tc>
      </w:tr>
      <w:tr w:rsidR="00E55EF6" w14:paraId="777B1960" w14:textId="77777777" w:rsidTr="00E55EF6">
        <w:tc>
          <w:tcPr>
            <w:tcW w:w="1242" w:type="dxa"/>
          </w:tcPr>
          <w:p w14:paraId="16674D3C" w14:textId="46AD0AEB" w:rsidR="00E55EF6" w:rsidRDefault="00E55EF6" w:rsidP="00E55EF6">
            <w:pPr>
              <w:rPr>
                <w:rFonts w:cs="Arial"/>
              </w:rPr>
            </w:pPr>
            <w:r>
              <w:rPr>
                <w:noProof/>
                <w:lang w:val="en-US"/>
              </w:rPr>
              <w:drawing>
                <wp:inline distT="0" distB="0" distL="0" distR="0" wp14:anchorId="7788C185" wp14:editId="5474F796">
                  <wp:extent cx="56197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975" cy="523875"/>
                          </a:xfrm>
                          <a:prstGeom prst="rect">
                            <a:avLst/>
                          </a:prstGeom>
                        </pic:spPr>
                      </pic:pic>
                    </a:graphicData>
                  </a:graphic>
                </wp:inline>
              </w:drawing>
            </w:r>
          </w:p>
        </w:tc>
        <w:tc>
          <w:tcPr>
            <w:tcW w:w="8334" w:type="dxa"/>
            <w:vAlign w:val="bottom"/>
          </w:tcPr>
          <w:p w14:paraId="1E29747B" w14:textId="77777777" w:rsidR="00E55EF6" w:rsidRDefault="00E55EF6" w:rsidP="00E55EF6">
            <w:r>
              <w:t>Пълнителят е свършил. Завъртете прозрачната основа, за да се разхлаби пълнителя. Сега инхалаторът е в заключена позиция. Извадете пълнителя от инхалатора.</w:t>
            </w:r>
          </w:p>
          <w:p w14:paraId="140AA57B" w14:textId="3766609C" w:rsidR="00E55EF6" w:rsidRDefault="00E55EF6" w:rsidP="00E55EF6">
            <w:pPr>
              <w:rPr>
                <w:rFonts w:cs="Arial"/>
              </w:rPr>
            </w:pPr>
            <w:r>
              <w:t>Поставете нов пълнител (продължете от стъпка 2).</w:t>
            </w:r>
          </w:p>
        </w:tc>
      </w:tr>
    </w:tbl>
    <w:p w14:paraId="7FBED487" w14:textId="77777777" w:rsidR="00E55EF6" w:rsidRPr="00E55EF6" w:rsidRDefault="00E55EF6" w:rsidP="00E55EF6">
      <w:pPr>
        <w:rPr>
          <w:rFonts w:cs="Arial"/>
        </w:rPr>
      </w:pPr>
    </w:p>
    <w:p w14:paraId="74903285" w14:textId="526B8BA9" w:rsidR="00DB32D3" w:rsidRDefault="002C50EE" w:rsidP="005726E3">
      <w:pPr>
        <w:pStyle w:val="Heading2"/>
      </w:pPr>
      <w:r>
        <w:t>4.3. Противопоказания</w:t>
      </w:r>
    </w:p>
    <w:p w14:paraId="02D9AC3D" w14:textId="73B14B77" w:rsidR="001076D0" w:rsidRDefault="001076D0" w:rsidP="001076D0"/>
    <w:p w14:paraId="475D699C" w14:textId="77777777" w:rsidR="001076D0" w:rsidRPr="001076D0" w:rsidRDefault="001076D0" w:rsidP="001076D0">
      <w:pPr>
        <w:rPr>
          <w:sz w:val="24"/>
          <w:szCs w:val="24"/>
        </w:rPr>
      </w:pPr>
      <w:r w:rsidRPr="001076D0">
        <w:rPr>
          <w:lang w:eastAsia="bg-BG"/>
        </w:rPr>
        <w:t>Свръхчувствителност към тиотропиум, олодатерол или към някое от помощните вещества, изброени в точка 6.1.</w:t>
      </w:r>
    </w:p>
    <w:p w14:paraId="54209D56" w14:textId="77777777" w:rsidR="001076D0" w:rsidRDefault="001076D0" w:rsidP="001076D0">
      <w:pPr>
        <w:rPr>
          <w:lang w:eastAsia="bg-BG"/>
        </w:rPr>
      </w:pPr>
    </w:p>
    <w:p w14:paraId="65A95415" w14:textId="2C0B9A06" w:rsidR="001076D0" w:rsidRPr="001076D0" w:rsidRDefault="001076D0" w:rsidP="001076D0">
      <w:pPr>
        <w:rPr>
          <w:sz w:val="24"/>
          <w:szCs w:val="24"/>
        </w:rPr>
      </w:pPr>
      <w:r w:rsidRPr="001076D0">
        <w:rPr>
          <w:lang w:eastAsia="bg-BG"/>
        </w:rPr>
        <w:t>Анамнеза за свръхчувствителност към атропин или неговите производни, например ипратропиум или окситропиум.</w:t>
      </w:r>
    </w:p>
    <w:p w14:paraId="73A913FC" w14:textId="77777777" w:rsidR="001076D0" w:rsidRPr="001076D0" w:rsidRDefault="001076D0" w:rsidP="001076D0"/>
    <w:p w14:paraId="76DC8E58" w14:textId="0240DF30" w:rsidR="00DB32D3" w:rsidRDefault="002C50EE" w:rsidP="005726E3">
      <w:pPr>
        <w:pStyle w:val="Heading2"/>
      </w:pPr>
      <w:r>
        <w:t>4.4. Специални предупреждения и предпазни мерки при употреба</w:t>
      </w:r>
    </w:p>
    <w:p w14:paraId="0DBED9FB" w14:textId="6DBD25BC" w:rsidR="001076D0" w:rsidRDefault="001076D0" w:rsidP="001076D0"/>
    <w:p w14:paraId="3E515C3C"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Астма</w:t>
      </w:r>
    </w:p>
    <w:p w14:paraId="524C33C0"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Спиолто Респимат не трябва да бъде използван при астма. Ефикасността и безопасността на Спиолто Респимат при астма не са проучени.</w:t>
      </w:r>
    </w:p>
    <w:p w14:paraId="72B4EA03" w14:textId="77777777" w:rsidR="001076D0" w:rsidRPr="001076D0" w:rsidRDefault="001076D0" w:rsidP="001076D0">
      <w:pPr>
        <w:spacing w:line="240" w:lineRule="auto"/>
        <w:rPr>
          <w:rFonts w:eastAsia="Times New Roman" w:cs="Arial"/>
          <w:color w:val="000000"/>
          <w:szCs w:val="20"/>
          <w:u w:val="single"/>
          <w:lang w:eastAsia="bg-BG"/>
        </w:rPr>
      </w:pPr>
    </w:p>
    <w:p w14:paraId="506A314E" w14:textId="1CF80A6E"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Не е за спешна употреба</w:t>
      </w:r>
    </w:p>
    <w:p w14:paraId="14F24E09"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Спиолто Респимат не е показан за лечение на остри пристъпи на бронхоспазъм, т.е. като спешна терапия.</w:t>
      </w:r>
    </w:p>
    <w:p w14:paraId="21345A1A" w14:textId="77777777" w:rsidR="001076D0" w:rsidRPr="001076D0" w:rsidRDefault="001076D0" w:rsidP="001076D0">
      <w:pPr>
        <w:spacing w:line="240" w:lineRule="auto"/>
        <w:rPr>
          <w:rFonts w:eastAsia="Times New Roman" w:cs="Arial"/>
          <w:color w:val="000000"/>
          <w:szCs w:val="20"/>
          <w:u w:val="single"/>
          <w:lang w:eastAsia="bg-BG"/>
        </w:rPr>
      </w:pPr>
    </w:p>
    <w:p w14:paraId="2EA87ACC" w14:textId="21825CF1"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Парадоксален бронхоспазъм</w:t>
      </w:r>
    </w:p>
    <w:p w14:paraId="107BC18C"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Както и други лекарствени продукти за инхалаторно приложение, Спиолто Респимат може да доведе до парадоксален бронхоспазъм, който може да е животозастрашаващ. При настъпване на парадоксален бронхоспазъм, лечението със Спиолто Респимат трябва да бъде спряно веднага и да се започне алтернативно лечение.</w:t>
      </w:r>
    </w:p>
    <w:p w14:paraId="46D81FF2" w14:textId="77777777" w:rsidR="001076D0" w:rsidRPr="001076D0" w:rsidRDefault="001076D0" w:rsidP="001076D0">
      <w:pPr>
        <w:spacing w:line="240" w:lineRule="auto"/>
        <w:rPr>
          <w:rFonts w:eastAsia="Times New Roman" w:cs="Arial"/>
          <w:color w:val="000000"/>
          <w:szCs w:val="20"/>
          <w:u w:val="single"/>
          <w:lang w:eastAsia="bg-BG"/>
        </w:rPr>
      </w:pPr>
    </w:p>
    <w:p w14:paraId="76BCDEBD" w14:textId="70715509"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Антихолинергични ефекти, свързани с тиотропиум</w:t>
      </w:r>
    </w:p>
    <w:p w14:paraId="18B13D75" w14:textId="77777777" w:rsidR="001076D0" w:rsidRPr="001076D0" w:rsidRDefault="001076D0" w:rsidP="001076D0">
      <w:pPr>
        <w:spacing w:line="240" w:lineRule="auto"/>
        <w:rPr>
          <w:rFonts w:eastAsia="Times New Roman" w:cs="Arial"/>
          <w:color w:val="000000"/>
          <w:szCs w:val="20"/>
          <w:u w:val="single"/>
          <w:lang w:eastAsia="bg-BG"/>
        </w:rPr>
      </w:pPr>
    </w:p>
    <w:p w14:paraId="46B9F26B" w14:textId="6C4E737C"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Тесноъгълна глаукома, хиперплазия на простатната жлеза или обструкция на шийката на пикочния мехур</w:t>
      </w:r>
    </w:p>
    <w:p w14:paraId="6695D327"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В съответствие с антихолинергичната активност на тиотропиум, Спиолто Респимат трябва да се използва с повишено внимание при пациенти с тесноъгълна глаукома, хиперплазия на простатната жлеза или обструкция на шийката на пикочния мехур.</w:t>
      </w:r>
    </w:p>
    <w:p w14:paraId="32E53A10" w14:textId="77777777" w:rsidR="001076D0" w:rsidRPr="001076D0" w:rsidRDefault="001076D0" w:rsidP="001076D0">
      <w:pPr>
        <w:spacing w:line="240" w:lineRule="auto"/>
        <w:rPr>
          <w:rFonts w:eastAsia="Times New Roman" w:cs="Arial"/>
          <w:color w:val="000000"/>
          <w:szCs w:val="20"/>
          <w:u w:val="single"/>
          <w:lang w:eastAsia="bg-BG"/>
        </w:rPr>
      </w:pPr>
    </w:p>
    <w:p w14:paraId="1CD268AB" w14:textId="628F6A13"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Симптоми от страна на очите</w:t>
      </w:r>
    </w:p>
    <w:p w14:paraId="4F06385E"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 xml:space="preserve">Пациентите трябва да бъдат предупредени да избягват попадане на спрея в очите. Те трябва да бъдат предупредени, че това може да доведе до ускорено клинично протичане или влошаване на закритоъгълна глаукома, болка или дискомфорг в очите, временно замъгляване на зрението, кръгове или цветни петна, свързани със зачервяване на очите </w:t>
      </w:r>
      <w:r w:rsidRPr="001076D0">
        <w:rPr>
          <w:rFonts w:eastAsia="Times New Roman" w:cs="Arial"/>
          <w:color w:val="000000"/>
          <w:szCs w:val="20"/>
          <w:lang w:eastAsia="bg-BG"/>
        </w:rPr>
        <w:lastRenderedPageBreak/>
        <w:t>поради конюнктивална конгестия и корнеален оток. Пациентите трябва незабавно да прекратят употребата на Спиолто Респимат и да се консултират със специалист, ако се прояви каквато и да е комбинация от тези очни симптоми.</w:t>
      </w:r>
    </w:p>
    <w:p w14:paraId="29049A4B" w14:textId="77777777" w:rsidR="001076D0" w:rsidRPr="001076D0" w:rsidRDefault="001076D0" w:rsidP="001076D0">
      <w:pPr>
        <w:spacing w:line="240" w:lineRule="auto"/>
        <w:rPr>
          <w:rFonts w:eastAsia="Times New Roman" w:cs="Arial"/>
          <w:color w:val="000000"/>
          <w:szCs w:val="20"/>
          <w:u w:val="single"/>
          <w:lang w:eastAsia="bg-BG"/>
        </w:rPr>
      </w:pPr>
    </w:p>
    <w:p w14:paraId="3CAD5C98" w14:textId="1EF14584"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Зъбни кариеси</w:t>
      </w:r>
    </w:p>
    <w:p w14:paraId="61C60304"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Сухотата в устата, наблюдавана по време на антихолинергична терапия, може в дългосрочен план да е свързана със зъбни кариеси.</w:t>
      </w:r>
    </w:p>
    <w:p w14:paraId="03088B05" w14:textId="77777777" w:rsidR="001076D0" w:rsidRPr="001076D0" w:rsidRDefault="001076D0" w:rsidP="001076D0">
      <w:pPr>
        <w:spacing w:line="240" w:lineRule="auto"/>
        <w:rPr>
          <w:rFonts w:eastAsia="Times New Roman" w:cs="Arial"/>
          <w:color w:val="000000"/>
          <w:szCs w:val="20"/>
          <w:u w:val="single"/>
          <w:lang w:eastAsia="bg-BG"/>
        </w:rPr>
      </w:pPr>
    </w:p>
    <w:p w14:paraId="046E9B74" w14:textId="309FF1B5"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Пациенти с бъбречно увреждане</w:t>
      </w:r>
    </w:p>
    <w:p w14:paraId="224E734E"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 xml:space="preserve">Тъй като плазмените концентрации на тиотропиум се увеличават при намалена бъбречна функция при пациенти със средно до тежко бъбречно увреждане (креатининов клирънс ≤50 </w:t>
      </w:r>
      <w:r w:rsidRPr="001076D0">
        <w:rPr>
          <w:rFonts w:eastAsia="Times New Roman" w:cs="Arial"/>
          <w:color w:val="000000"/>
          <w:szCs w:val="20"/>
          <w:lang w:val="en-US"/>
        </w:rPr>
        <w:t>ml</w:t>
      </w:r>
      <w:r w:rsidRPr="001076D0">
        <w:rPr>
          <w:rFonts w:eastAsia="Times New Roman" w:cs="Arial"/>
          <w:color w:val="000000"/>
          <w:szCs w:val="20"/>
          <w:lang w:val="ru-RU"/>
        </w:rPr>
        <w:t>/</w:t>
      </w:r>
      <w:r w:rsidRPr="001076D0">
        <w:rPr>
          <w:rFonts w:eastAsia="Times New Roman" w:cs="Arial"/>
          <w:color w:val="000000"/>
          <w:szCs w:val="20"/>
          <w:lang w:val="en-US"/>
        </w:rPr>
        <w:t>min</w:t>
      </w:r>
      <w:r w:rsidRPr="001076D0">
        <w:rPr>
          <w:rFonts w:eastAsia="Times New Roman" w:cs="Arial"/>
          <w:color w:val="000000"/>
          <w:szCs w:val="20"/>
          <w:lang w:val="ru-RU"/>
        </w:rPr>
        <w:t xml:space="preserve">), </w:t>
      </w:r>
      <w:r w:rsidRPr="001076D0">
        <w:rPr>
          <w:rFonts w:eastAsia="Times New Roman" w:cs="Arial"/>
          <w:color w:val="000000"/>
          <w:szCs w:val="20"/>
          <w:lang w:eastAsia="bg-BG"/>
        </w:rPr>
        <w:t>Спиолто Респимат може да се прилага само ако очакваната полза надвишава потенциалния риск. Няма дългосрочни данни за употребата при пациенти с тежко бъбречно</w:t>
      </w:r>
      <w:r w:rsidRPr="001076D0">
        <w:rPr>
          <w:rFonts w:eastAsia="Times New Roman" w:cs="Arial"/>
          <w:color w:val="000000"/>
          <w:szCs w:val="20"/>
          <w:u w:val="single"/>
          <w:lang w:eastAsia="bg-BG"/>
        </w:rPr>
        <w:t xml:space="preserve"> </w:t>
      </w:r>
      <w:r w:rsidRPr="001076D0">
        <w:rPr>
          <w:rFonts w:eastAsia="Times New Roman" w:cs="Arial"/>
          <w:color w:val="000000"/>
          <w:szCs w:val="20"/>
          <w:lang w:eastAsia="bg-BG"/>
        </w:rPr>
        <w:t>увреждане (вж. точка 5.2).</w:t>
      </w:r>
    </w:p>
    <w:p w14:paraId="5086D9C5" w14:textId="77777777" w:rsidR="001076D0" w:rsidRPr="001076D0" w:rsidRDefault="001076D0" w:rsidP="001076D0">
      <w:pPr>
        <w:spacing w:line="240" w:lineRule="auto"/>
        <w:rPr>
          <w:rFonts w:eastAsia="Times New Roman" w:cs="Arial"/>
          <w:color w:val="000000"/>
          <w:szCs w:val="20"/>
          <w:u w:val="single"/>
          <w:lang w:eastAsia="bg-BG"/>
        </w:rPr>
      </w:pPr>
    </w:p>
    <w:p w14:paraId="36AA39B9" w14:textId="79C9DF42"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Сърдечно-съдови ефекти</w:t>
      </w:r>
    </w:p>
    <w:p w14:paraId="23219381" w14:textId="77777777" w:rsidR="001076D0" w:rsidRPr="001076D0" w:rsidRDefault="001076D0" w:rsidP="001076D0">
      <w:pPr>
        <w:rPr>
          <w:rFonts w:eastAsia="Times New Roman" w:cs="Arial"/>
          <w:sz w:val="28"/>
          <w:szCs w:val="24"/>
        </w:rPr>
      </w:pPr>
      <w:r w:rsidRPr="001076D0">
        <w:rPr>
          <w:rFonts w:eastAsia="Times New Roman" w:cs="Arial"/>
          <w:color w:val="000000"/>
          <w:szCs w:val="20"/>
          <w:lang w:eastAsia="bg-BG"/>
        </w:rPr>
        <w:t>Опитът със Спиолто Респимат е ограничен при пациенти с анамнеза за миокарден инфаркт през предходната година, нестабилна или животозастрашаваща сърдечна аритмия, хоспитализация за сърдечна недостатъчност през последната година или с диагноза</w:t>
      </w:r>
      <w:r w:rsidRPr="001076D0">
        <w:rPr>
          <w:rFonts w:eastAsia="Times New Roman" w:cs="Arial"/>
          <w:color w:val="000000"/>
          <w:szCs w:val="20"/>
          <w:lang w:val="ru-RU" w:eastAsia="bg-BG"/>
        </w:rPr>
        <w:t xml:space="preserve"> </w:t>
      </w:r>
      <w:r w:rsidRPr="001076D0">
        <w:rPr>
          <w:rFonts w:eastAsia="Times New Roman" w:cs="Arial"/>
          <w:color w:val="000000"/>
          <w:szCs w:val="20"/>
          <w:lang w:eastAsia="bg-BG"/>
        </w:rPr>
        <w:t>пароксизмална тахикардия (&gt;100 удара в минута), тъй като тези пациенти са били изключени от клиничните проучвания. Спиолто Респимат трябва да се използва с повишено внимание при тези пациенти.</w:t>
      </w:r>
    </w:p>
    <w:p w14:paraId="0954DB94" w14:textId="77777777" w:rsidR="001076D0" w:rsidRPr="001076D0" w:rsidRDefault="001076D0" w:rsidP="001076D0">
      <w:pPr>
        <w:spacing w:line="240" w:lineRule="auto"/>
        <w:rPr>
          <w:rFonts w:eastAsia="Times New Roman" w:cs="Arial"/>
          <w:color w:val="000000"/>
          <w:szCs w:val="20"/>
          <w:lang w:eastAsia="bg-BG"/>
        </w:rPr>
      </w:pPr>
    </w:p>
    <w:p w14:paraId="01547943" w14:textId="77777777" w:rsidR="001076D0" w:rsidRPr="001076D0" w:rsidRDefault="001076D0" w:rsidP="001076D0">
      <w:pPr>
        <w:spacing w:line="240" w:lineRule="auto"/>
        <w:rPr>
          <w:rFonts w:eastAsia="Times New Roman" w:cs="Arial"/>
          <w:color w:val="000000"/>
          <w:szCs w:val="20"/>
          <w:lang w:eastAsia="bg-BG"/>
        </w:rPr>
      </w:pPr>
      <w:r w:rsidRPr="001076D0">
        <w:rPr>
          <w:rFonts w:eastAsia="Times New Roman" w:cs="Arial"/>
          <w:color w:val="000000"/>
          <w:szCs w:val="20"/>
          <w:lang w:eastAsia="bg-BG"/>
        </w:rPr>
        <w:t>Както и други бета</w:t>
      </w:r>
      <w:r w:rsidRPr="001076D0">
        <w:rPr>
          <w:rFonts w:eastAsia="Times New Roman" w:cs="Arial"/>
          <w:color w:val="000000"/>
          <w:szCs w:val="20"/>
          <w:vertAlign w:val="subscript"/>
          <w:lang w:eastAsia="bg-BG"/>
        </w:rPr>
        <w:t>2</w:t>
      </w:r>
      <w:r w:rsidRPr="001076D0">
        <w:rPr>
          <w:rFonts w:eastAsia="Times New Roman" w:cs="Arial"/>
          <w:color w:val="000000"/>
          <w:szCs w:val="20"/>
          <w:lang w:eastAsia="bg-BG"/>
        </w:rPr>
        <w:t xml:space="preserve">-адренергични агонисти, при някои пациенти олодатерол може да доведе до клинично значим сърдечно-съдов ефект, изразяващ се в повишение на сърдечната честота, артериалното налягане и/или симптоми. В случай, че се появаят такива ефекти, може да се наложи прекратяване на лечението. </w:t>
      </w:r>
    </w:p>
    <w:p w14:paraId="5A248451" w14:textId="177868AD"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 xml:space="preserve">Допълнително, при лечение с бета-адренергични агонисти се съобщава за промени в електрокардиограмата (ЕКГ), като изглаждане на Т-вълната и депресия на </w:t>
      </w:r>
      <w:r w:rsidRPr="001076D0">
        <w:rPr>
          <w:rFonts w:eastAsia="Times New Roman" w:cs="Arial"/>
          <w:color w:val="000000"/>
          <w:szCs w:val="20"/>
          <w:lang w:val="en-US"/>
        </w:rPr>
        <w:t>ST</w:t>
      </w:r>
      <w:r w:rsidRPr="001076D0">
        <w:rPr>
          <w:rFonts w:eastAsia="Times New Roman" w:cs="Arial"/>
          <w:color w:val="000000"/>
          <w:szCs w:val="20"/>
          <w:lang w:val="ru-RU"/>
        </w:rPr>
        <w:t xml:space="preserve"> </w:t>
      </w:r>
      <w:r w:rsidRPr="001076D0">
        <w:rPr>
          <w:rFonts w:eastAsia="Times New Roman" w:cs="Arial"/>
          <w:color w:val="000000"/>
          <w:szCs w:val="20"/>
          <w:lang w:eastAsia="bg-BG"/>
        </w:rPr>
        <w:t>сегмента, въпреки че клиничната значимост на тези наблюдения не е известна.</w:t>
      </w:r>
    </w:p>
    <w:p w14:paraId="01363856" w14:textId="77777777" w:rsidR="001076D0" w:rsidRPr="001076D0" w:rsidRDefault="001076D0" w:rsidP="001076D0">
      <w:pPr>
        <w:spacing w:line="240" w:lineRule="auto"/>
        <w:rPr>
          <w:rFonts w:eastAsia="Times New Roman" w:cs="Arial"/>
          <w:color w:val="000000"/>
          <w:szCs w:val="20"/>
          <w:lang w:eastAsia="bg-BG"/>
        </w:rPr>
      </w:pPr>
    </w:p>
    <w:p w14:paraId="45F50A11" w14:textId="20BCAC99"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Дългодействащите бета</w:t>
      </w:r>
      <w:r w:rsidRPr="001076D0">
        <w:rPr>
          <w:rFonts w:eastAsia="Times New Roman" w:cs="Arial"/>
          <w:color w:val="000000"/>
          <w:szCs w:val="20"/>
          <w:vertAlign w:val="subscript"/>
          <w:lang w:eastAsia="bg-BG"/>
        </w:rPr>
        <w:t>2</w:t>
      </w:r>
      <w:r w:rsidRPr="001076D0">
        <w:rPr>
          <w:rFonts w:eastAsia="Times New Roman" w:cs="Arial"/>
          <w:color w:val="000000"/>
          <w:szCs w:val="20"/>
          <w:lang w:eastAsia="bg-BG"/>
        </w:rPr>
        <w:t xml:space="preserve">-адренергични агонисти трябва да се прилагат с повишено внимание при пациенти със сърдечно-съдови заболявания, особено исхемична болест на сърцето, тежка сърдечна декомпенсация, сърдечна аритмия, хипертрофична обструктивна кардиомиопатия, хипертония и аневризма, при пациенти с конвулсивни разстройства или тиреотоксикоза, при пациенти с известно или подозирано удължаване на </w:t>
      </w:r>
      <w:r w:rsidRPr="001076D0">
        <w:rPr>
          <w:rFonts w:eastAsia="Times New Roman" w:cs="Arial"/>
          <w:color w:val="000000"/>
          <w:szCs w:val="20"/>
          <w:lang w:val="en-US"/>
        </w:rPr>
        <w:t>QT</w:t>
      </w:r>
      <w:r w:rsidRPr="001076D0">
        <w:rPr>
          <w:rFonts w:eastAsia="Times New Roman" w:cs="Arial"/>
          <w:color w:val="000000"/>
          <w:szCs w:val="20"/>
          <w:lang w:val="ru-RU"/>
        </w:rPr>
        <w:t xml:space="preserve"> </w:t>
      </w:r>
      <w:r w:rsidRPr="001076D0">
        <w:rPr>
          <w:rFonts w:eastAsia="Times New Roman" w:cs="Arial"/>
          <w:color w:val="000000"/>
          <w:szCs w:val="20"/>
          <w:lang w:eastAsia="bg-BG"/>
        </w:rPr>
        <w:t xml:space="preserve">интервала (напр. </w:t>
      </w:r>
      <w:r w:rsidRPr="001076D0">
        <w:rPr>
          <w:rFonts w:eastAsia="Times New Roman" w:cs="Arial"/>
          <w:color w:val="000000"/>
          <w:szCs w:val="20"/>
          <w:lang w:val="en-US"/>
        </w:rPr>
        <w:t>QT</w:t>
      </w:r>
      <w:r w:rsidRPr="001076D0">
        <w:rPr>
          <w:rFonts w:eastAsia="Times New Roman" w:cs="Arial"/>
          <w:color w:val="000000"/>
          <w:szCs w:val="20"/>
          <w:lang w:val="ru-RU"/>
        </w:rPr>
        <w:t xml:space="preserve">&gt; </w:t>
      </w:r>
      <w:r w:rsidRPr="001076D0">
        <w:rPr>
          <w:rFonts w:eastAsia="Times New Roman" w:cs="Arial"/>
          <w:color w:val="000000"/>
          <w:szCs w:val="20"/>
          <w:lang w:eastAsia="bg-BG"/>
        </w:rPr>
        <w:t>0</w:t>
      </w:r>
      <w:proofErr w:type="gramStart"/>
      <w:r w:rsidRPr="001076D0">
        <w:rPr>
          <w:rFonts w:eastAsia="Times New Roman" w:cs="Arial"/>
          <w:color w:val="000000"/>
          <w:szCs w:val="20"/>
          <w:lang w:eastAsia="bg-BG"/>
        </w:rPr>
        <w:t>,44</w:t>
      </w:r>
      <w:proofErr w:type="gramEnd"/>
      <w:r w:rsidRPr="001076D0">
        <w:rPr>
          <w:rFonts w:eastAsia="Times New Roman" w:cs="Arial"/>
          <w:color w:val="000000"/>
          <w:szCs w:val="20"/>
          <w:lang w:eastAsia="bg-BG"/>
        </w:rPr>
        <w:t xml:space="preserve"> </w:t>
      </w:r>
      <w:r w:rsidRPr="001076D0">
        <w:rPr>
          <w:rFonts w:eastAsia="Times New Roman" w:cs="Arial"/>
          <w:color w:val="000000"/>
          <w:szCs w:val="20"/>
          <w:lang w:val="en-US"/>
        </w:rPr>
        <w:t>s</w:t>
      </w:r>
      <w:r w:rsidRPr="001076D0">
        <w:rPr>
          <w:rFonts w:eastAsia="Times New Roman" w:cs="Arial"/>
          <w:color w:val="000000"/>
          <w:szCs w:val="20"/>
          <w:lang w:val="ru-RU"/>
        </w:rPr>
        <w:t xml:space="preserve">) </w:t>
      </w:r>
      <w:r w:rsidRPr="001076D0">
        <w:rPr>
          <w:rFonts w:eastAsia="Times New Roman" w:cs="Arial"/>
          <w:color w:val="000000"/>
          <w:szCs w:val="20"/>
          <w:lang w:eastAsia="bg-BG"/>
        </w:rPr>
        <w:t>и при пациенти, които са необичайно чувствителни към симпатомиметични амини.</w:t>
      </w:r>
    </w:p>
    <w:p w14:paraId="03CE3D02" w14:textId="77777777" w:rsidR="001076D0" w:rsidRPr="001076D0" w:rsidRDefault="001076D0" w:rsidP="001076D0">
      <w:pPr>
        <w:spacing w:line="240" w:lineRule="auto"/>
        <w:rPr>
          <w:rFonts w:eastAsia="Times New Roman" w:cs="Arial"/>
          <w:color w:val="000000"/>
          <w:szCs w:val="20"/>
          <w:u w:val="single"/>
          <w:lang w:eastAsia="bg-BG"/>
        </w:rPr>
      </w:pPr>
    </w:p>
    <w:p w14:paraId="64900491" w14:textId="181BF68D"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Хипокалиемия</w:t>
      </w:r>
    </w:p>
    <w:p w14:paraId="040C1914"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При някои пациенти бета</w:t>
      </w:r>
      <w:r w:rsidRPr="001076D0">
        <w:rPr>
          <w:rFonts w:eastAsia="Times New Roman" w:cs="Arial"/>
          <w:color w:val="000000"/>
          <w:szCs w:val="20"/>
          <w:vertAlign w:val="subscript"/>
          <w:lang w:eastAsia="bg-BG"/>
        </w:rPr>
        <w:t>2</w:t>
      </w:r>
      <w:r w:rsidRPr="001076D0">
        <w:rPr>
          <w:rFonts w:eastAsia="Times New Roman" w:cs="Arial"/>
          <w:color w:val="000000"/>
          <w:szCs w:val="20"/>
          <w:lang w:eastAsia="bg-BG"/>
        </w:rPr>
        <w:t>-адренергичните агонисти могат да доведат до значима хипокалиемия, потенциално водеща до нежелани сърдечно-съдови ефекти. Понижаването на серумния калий обикновено е преходно и не изисква прием на калиеви добавки. При пациенти с тежка ХОББ, хипокалиемията може да бъде потенцирана от хипоксия и съпътстващо лечение (вж. точка 4.5), което може да повиши риска от сърдечни аритмии.</w:t>
      </w:r>
    </w:p>
    <w:p w14:paraId="1D409E89" w14:textId="77777777" w:rsidR="001076D0" w:rsidRPr="001076D0" w:rsidRDefault="001076D0" w:rsidP="001076D0">
      <w:pPr>
        <w:spacing w:line="240" w:lineRule="auto"/>
        <w:rPr>
          <w:rFonts w:eastAsia="Times New Roman" w:cs="Arial"/>
          <w:color w:val="000000"/>
          <w:szCs w:val="20"/>
          <w:u w:val="single"/>
          <w:lang w:eastAsia="bg-BG"/>
        </w:rPr>
      </w:pPr>
    </w:p>
    <w:p w14:paraId="5F2AC50B" w14:textId="1A07186C"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Хипергликемия</w:t>
      </w:r>
    </w:p>
    <w:p w14:paraId="06D61A5B"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Инхалирането на високи дози бета</w:t>
      </w:r>
      <w:r w:rsidRPr="001076D0">
        <w:rPr>
          <w:rFonts w:eastAsia="Times New Roman" w:cs="Arial"/>
          <w:color w:val="000000"/>
          <w:szCs w:val="20"/>
          <w:vertAlign w:val="subscript"/>
          <w:lang w:eastAsia="bg-BG"/>
        </w:rPr>
        <w:t>2</w:t>
      </w:r>
      <w:r w:rsidRPr="001076D0">
        <w:rPr>
          <w:rFonts w:eastAsia="Times New Roman" w:cs="Arial"/>
          <w:color w:val="000000"/>
          <w:szCs w:val="20"/>
          <w:lang w:eastAsia="bg-BG"/>
        </w:rPr>
        <w:t>-адренергични агонисти може да доведе до повишение на плазмените нива на глюкоза.</w:t>
      </w:r>
    </w:p>
    <w:p w14:paraId="73977C31" w14:textId="77777777" w:rsidR="001076D0" w:rsidRPr="001076D0" w:rsidRDefault="001076D0" w:rsidP="001076D0">
      <w:pPr>
        <w:spacing w:line="240" w:lineRule="auto"/>
        <w:rPr>
          <w:rFonts w:eastAsia="Times New Roman" w:cs="Arial"/>
          <w:color w:val="000000"/>
          <w:szCs w:val="20"/>
          <w:u w:val="single"/>
          <w:lang w:eastAsia="bg-BG"/>
        </w:rPr>
      </w:pPr>
    </w:p>
    <w:p w14:paraId="5EBDC2FD" w14:textId="530EA331"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Анестезия</w:t>
      </w:r>
    </w:p>
    <w:p w14:paraId="30EE4B03"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Необходимо е повишено внимание в случай на планирана операция с анестезия с халогенирани въглеводороди, поради повишена податливост към нежелани сърдечни ефекти, дължаща се на бронходилататорни бета-агонисти.</w:t>
      </w:r>
    </w:p>
    <w:p w14:paraId="141CBF2E" w14:textId="77777777" w:rsidR="001076D0" w:rsidRPr="001076D0" w:rsidRDefault="001076D0" w:rsidP="001076D0">
      <w:pPr>
        <w:spacing w:line="240" w:lineRule="auto"/>
        <w:rPr>
          <w:rFonts w:eastAsia="Times New Roman" w:cs="Arial"/>
          <w:color w:val="000000"/>
          <w:szCs w:val="20"/>
          <w:lang w:eastAsia="bg-BG"/>
        </w:rPr>
      </w:pPr>
    </w:p>
    <w:p w14:paraId="40C08988" w14:textId="15846B80"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Спиолто Респимат не трябва да се използва едновременно с други лекарства, съдържащи дългодействащи бета</w:t>
      </w:r>
      <w:r w:rsidRPr="001076D0">
        <w:rPr>
          <w:rFonts w:eastAsia="Times New Roman" w:cs="Arial"/>
          <w:color w:val="000000"/>
          <w:szCs w:val="20"/>
          <w:vertAlign w:val="subscript"/>
          <w:lang w:eastAsia="bg-BG"/>
        </w:rPr>
        <w:t>2</w:t>
      </w:r>
      <w:r w:rsidRPr="001076D0">
        <w:rPr>
          <w:rFonts w:eastAsia="Times New Roman" w:cs="Arial"/>
          <w:color w:val="000000"/>
          <w:szCs w:val="20"/>
          <w:lang w:eastAsia="bg-BG"/>
        </w:rPr>
        <w:t>-адренергични агонисти.</w:t>
      </w:r>
    </w:p>
    <w:p w14:paraId="3568FF46"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Пациенти, които редовно приемат инхалаторни, кратко-действащи бета</w:t>
      </w:r>
      <w:r w:rsidRPr="001076D0">
        <w:rPr>
          <w:rFonts w:eastAsia="Times New Roman" w:cs="Arial"/>
          <w:color w:val="000000"/>
          <w:szCs w:val="20"/>
          <w:vertAlign w:val="subscript"/>
          <w:lang w:eastAsia="bg-BG"/>
        </w:rPr>
        <w:t>2</w:t>
      </w:r>
      <w:r w:rsidRPr="001076D0">
        <w:rPr>
          <w:rFonts w:eastAsia="Times New Roman" w:cs="Arial"/>
          <w:color w:val="000000"/>
          <w:szCs w:val="20"/>
          <w:lang w:eastAsia="bg-BG"/>
        </w:rPr>
        <w:t>-адренергични агонисти (напр. четири пъти дневно), трябва да бъдат инструктирани да ги използват само за облекчаване на остри респираторни симптоми.</w:t>
      </w:r>
    </w:p>
    <w:p w14:paraId="60CCB5C9" w14:textId="77777777" w:rsidR="001076D0" w:rsidRPr="001076D0" w:rsidRDefault="001076D0" w:rsidP="001076D0">
      <w:pPr>
        <w:spacing w:line="240" w:lineRule="auto"/>
        <w:rPr>
          <w:rFonts w:eastAsia="Times New Roman" w:cs="Arial"/>
          <w:color w:val="000000"/>
          <w:szCs w:val="20"/>
          <w:lang w:eastAsia="bg-BG"/>
        </w:rPr>
      </w:pPr>
    </w:p>
    <w:p w14:paraId="1815E43E" w14:textId="2DDF0B99"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Спиолто Респимат не трябва да се използва повече от веднъж дневно.</w:t>
      </w:r>
    </w:p>
    <w:p w14:paraId="0A9E3FF2" w14:textId="77777777" w:rsidR="001076D0" w:rsidRPr="001076D0" w:rsidRDefault="001076D0" w:rsidP="001076D0">
      <w:pPr>
        <w:spacing w:line="240" w:lineRule="auto"/>
        <w:rPr>
          <w:rFonts w:eastAsia="Times New Roman" w:cs="Arial"/>
          <w:color w:val="000000"/>
          <w:szCs w:val="20"/>
          <w:u w:val="single"/>
          <w:lang w:eastAsia="bg-BG"/>
        </w:rPr>
      </w:pPr>
    </w:p>
    <w:p w14:paraId="1AE1E0C3" w14:textId="2866CB9E"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Свръхчувствителност</w:t>
      </w:r>
    </w:p>
    <w:p w14:paraId="66786231"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Както и при всички лекарствени средства, след прилагане на Спиолто Респимат могат да се появят реакции на свръхчувствителност от бърз тип.</w:t>
      </w:r>
    </w:p>
    <w:p w14:paraId="6F5CFCF3" w14:textId="77777777" w:rsidR="001076D0" w:rsidRPr="001076D0" w:rsidRDefault="001076D0" w:rsidP="001076D0">
      <w:pPr>
        <w:spacing w:line="240" w:lineRule="auto"/>
        <w:rPr>
          <w:rFonts w:eastAsia="Times New Roman" w:cs="Arial"/>
          <w:color w:val="000000"/>
          <w:szCs w:val="20"/>
          <w:u w:val="single"/>
          <w:lang w:eastAsia="bg-BG"/>
        </w:rPr>
      </w:pPr>
    </w:p>
    <w:p w14:paraId="335BEB56" w14:textId="7407EEB1"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Помощни вещества</w:t>
      </w:r>
    </w:p>
    <w:p w14:paraId="0C5D8CF2" w14:textId="5D60F1D5" w:rsidR="001076D0" w:rsidRPr="001076D0" w:rsidRDefault="001076D0" w:rsidP="001076D0">
      <w:pPr>
        <w:rPr>
          <w:rFonts w:eastAsia="Times New Roman" w:cs="Arial"/>
          <w:color w:val="000000"/>
          <w:szCs w:val="20"/>
          <w:lang w:eastAsia="bg-BG"/>
        </w:rPr>
      </w:pPr>
      <w:r w:rsidRPr="001076D0">
        <w:rPr>
          <w:rFonts w:eastAsia="Times New Roman" w:cs="Arial"/>
          <w:color w:val="000000"/>
          <w:szCs w:val="20"/>
          <w:lang w:eastAsia="bg-BG"/>
        </w:rPr>
        <w:t>Бензалкониевият хлорид може да причини хрипове и затруднено дишане. Пациентите с астма имат повишен риск за тези нежелани реакции.</w:t>
      </w:r>
    </w:p>
    <w:p w14:paraId="6B2A6672" w14:textId="77777777" w:rsidR="001076D0" w:rsidRPr="001076D0" w:rsidRDefault="001076D0" w:rsidP="001076D0">
      <w:pPr>
        <w:rPr>
          <w:lang w:val="ru-RU"/>
        </w:rPr>
      </w:pPr>
    </w:p>
    <w:p w14:paraId="45991C32" w14:textId="77777777" w:rsidR="001076D0"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094A0D34" w14:textId="77777777" w:rsidR="001076D0" w:rsidRDefault="001076D0" w:rsidP="005726E3">
      <w:pPr>
        <w:pStyle w:val="Heading2"/>
      </w:pPr>
    </w:p>
    <w:p w14:paraId="066A5FE6" w14:textId="77777777" w:rsidR="001076D0" w:rsidRPr="001076D0" w:rsidRDefault="001076D0" w:rsidP="001076D0">
      <w:pPr>
        <w:rPr>
          <w:rFonts w:eastAsia="Times New Roman" w:cs="Arial"/>
          <w:sz w:val="28"/>
          <w:szCs w:val="24"/>
        </w:rPr>
      </w:pPr>
      <w:r w:rsidRPr="001076D0">
        <w:rPr>
          <w:rFonts w:eastAsia="Times New Roman" w:cs="Arial"/>
          <w:color w:val="000000"/>
          <w:szCs w:val="20"/>
          <w:lang w:eastAsia="bg-BG"/>
        </w:rPr>
        <w:t xml:space="preserve">Въпреки че не са провеждани официални </w:t>
      </w:r>
      <w:r w:rsidRPr="001076D0">
        <w:rPr>
          <w:rFonts w:eastAsia="Times New Roman" w:cs="Arial"/>
          <w:i/>
          <w:iCs/>
          <w:color w:val="000000"/>
          <w:szCs w:val="20"/>
          <w:lang w:val="en-US"/>
        </w:rPr>
        <w:t>in</w:t>
      </w:r>
      <w:r w:rsidRPr="001076D0">
        <w:rPr>
          <w:rFonts w:eastAsia="Times New Roman" w:cs="Arial"/>
          <w:i/>
          <w:iCs/>
          <w:color w:val="000000"/>
          <w:szCs w:val="20"/>
          <w:lang w:val="ru-RU"/>
        </w:rPr>
        <w:t xml:space="preserve"> </w:t>
      </w:r>
      <w:r w:rsidRPr="001076D0">
        <w:rPr>
          <w:rFonts w:eastAsia="Times New Roman" w:cs="Arial"/>
          <w:i/>
          <w:iCs/>
          <w:color w:val="000000"/>
          <w:szCs w:val="20"/>
          <w:lang w:val="en-US"/>
        </w:rPr>
        <w:t>vivo</w:t>
      </w:r>
      <w:r w:rsidRPr="001076D0">
        <w:rPr>
          <w:rFonts w:eastAsia="Times New Roman" w:cs="Arial"/>
          <w:color w:val="000000"/>
          <w:szCs w:val="20"/>
          <w:lang w:val="ru-RU"/>
        </w:rPr>
        <w:t xml:space="preserve"> </w:t>
      </w:r>
      <w:r w:rsidRPr="001076D0">
        <w:rPr>
          <w:rFonts w:eastAsia="Times New Roman" w:cs="Arial"/>
          <w:color w:val="000000"/>
          <w:szCs w:val="20"/>
          <w:lang w:eastAsia="bg-BG"/>
        </w:rPr>
        <w:t>проучвания относно взаимодействията между Спиолто Респимат и други лекарства, Спиолто Респимат за инхалаторно приложение е прилаган едновременно с други лекарствени продукти за ХОББ, включително кратко</w:t>
      </w:r>
      <w:r w:rsidRPr="001076D0">
        <w:rPr>
          <w:rFonts w:eastAsia="Times New Roman" w:cs="Arial"/>
          <w:color w:val="000000"/>
          <w:szCs w:val="20"/>
          <w:lang w:val="ru-RU" w:eastAsia="bg-BG"/>
        </w:rPr>
        <w:t xml:space="preserve"> </w:t>
      </w:r>
      <w:r w:rsidRPr="001076D0">
        <w:rPr>
          <w:rFonts w:eastAsia="Times New Roman" w:cs="Arial"/>
          <w:color w:val="000000"/>
          <w:szCs w:val="20"/>
          <w:lang w:eastAsia="bg-BG"/>
        </w:rPr>
        <w:t>действащи симпатикомиметични бронходилататори и инхалаторни кортикостероиди, без клинични доказателства за лекарствени взаимодействия.</w:t>
      </w:r>
    </w:p>
    <w:p w14:paraId="52E77F6C" w14:textId="77777777" w:rsidR="001076D0" w:rsidRPr="001076D0" w:rsidRDefault="001076D0" w:rsidP="001076D0">
      <w:pPr>
        <w:spacing w:line="240" w:lineRule="auto"/>
        <w:rPr>
          <w:rFonts w:eastAsia="Times New Roman" w:cs="Arial"/>
          <w:color w:val="000000"/>
          <w:szCs w:val="20"/>
          <w:u w:val="single"/>
          <w:lang w:eastAsia="bg-BG"/>
        </w:rPr>
      </w:pPr>
    </w:p>
    <w:p w14:paraId="39EDBDB1" w14:textId="3D2516C6"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Антихолинергични средства</w:t>
      </w:r>
    </w:p>
    <w:p w14:paraId="7092FF8C"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Не се препоръчва едновременното приложение на тиотропиум бромид, една от съставките на Спиолто Респимат, с други антихолинергични лекарствени средства, тъй като до този момент лекарственото взаимодействие не е проучено.</w:t>
      </w:r>
    </w:p>
    <w:p w14:paraId="06EA75E5" w14:textId="77777777" w:rsidR="001076D0" w:rsidRPr="001076D0" w:rsidRDefault="001076D0" w:rsidP="001076D0">
      <w:pPr>
        <w:spacing w:line="240" w:lineRule="auto"/>
        <w:rPr>
          <w:rFonts w:eastAsia="Times New Roman" w:cs="Arial"/>
          <w:color w:val="000000"/>
          <w:szCs w:val="20"/>
          <w:u w:val="single"/>
          <w:lang w:eastAsia="bg-BG"/>
        </w:rPr>
      </w:pPr>
    </w:p>
    <w:p w14:paraId="52628C4E" w14:textId="161035BE"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Адренергични средства</w:t>
      </w:r>
    </w:p>
    <w:p w14:paraId="29AD5C49"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Едновременното приложение на други адренергични средства (самостоятелно или като част от комбинирано лечение) може да доведе до усилване на нежеланите ефекти на Спиолто Респимат.</w:t>
      </w:r>
    </w:p>
    <w:p w14:paraId="480A5A21" w14:textId="77777777" w:rsidR="001076D0" w:rsidRPr="001076D0" w:rsidRDefault="001076D0" w:rsidP="001076D0">
      <w:pPr>
        <w:spacing w:line="240" w:lineRule="auto"/>
        <w:rPr>
          <w:rFonts w:eastAsia="Times New Roman" w:cs="Arial"/>
          <w:color w:val="000000"/>
          <w:szCs w:val="20"/>
          <w:u w:val="single"/>
          <w:lang w:eastAsia="bg-BG"/>
        </w:rPr>
      </w:pPr>
    </w:p>
    <w:p w14:paraId="7ABA2F16" w14:textId="6BB98AAF"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Ксантинови производни, стероиди или лиуретипи</w:t>
      </w:r>
    </w:p>
    <w:p w14:paraId="53AD65A3"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Едновременното лечение с ксантинови производни, стероиди или калиЙ-изчерпващи диуретици могат да усилят хипокалиемичния ефект на адренергичните агонисти (вж. точка 4.4).</w:t>
      </w:r>
    </w:p>
    <w:p w14:paraId="6E274D65" w14:textId="77777777" w:rsidR="001076D0" w:rsidRPr="001076D0" w:rsidRDefault="001076D0" w:rsidP="001076D0">
      <w:pPr>
        <w:spacing w:line="240" w:lineRule="auto"/>
        <w:rPr>
          <w:rFonts w:eastAsia="Times New Roman" w:cs="Arial"/>
          <w:color w:val="000000"/>
          <w:szCs w:val="20"/>
          <w:u w:val="single"/>
          <w:lang w:eastAsia="bg-BG"/>
        </w:rPr>
      </w:pPr>
    </w:p>
    <w:p w14:paraId="3E2107CA" w14:textId="503075E2"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Бета-блокери</w:t>
      </w:r>
    </w:p>
    <w:p w14:paraId="1434A79A"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Бета-адренергичните блокери могат да отслабят или антагонизират ефекта на олодатерол.</w:t>
      </w:r>
    </w:p>
    <w:p w14:paraId="430E82E8"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lastRenderedPageBreak/>
        <w:t>Може да се обсъди лечение с кардиоселективни бета-блокери, но въпреки това те трябва да се прилагат с повишено внимание.</w:t>
      </w:r>
    </w:p>
    <w:p w14:paraId="11901B53" w14:textId="77777777" w:rsidR="001076D0" w:rsidRPr="001076D0" w:rsidRDefault="001076D0" w:rsidP="001076D0">
      <w:pPr>
        <w:spacing w:line="240" w:lineRule="auto"/>
        <w:rPr>
          <w:rFonts w:eastAsia="Times New Roman" w:cs="Arial"/>
          <w:color w:val="000000"/>
          <w:szCs w:val="20"/>
          <w:u w:val="single"/>
          <w:lang w:eastAsia="bg-BG"/>
        </w:rPr>
      </w:pPr>
    </w:p>
    <w:p w14:paraId="1EC0CE75" w14:textId="74D103EA"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 xml:space="preserve">МАО инхибитори и трициклични антидепресанти. лекарства, удължаващи ОТс интервала </w:t>
      </w:r>
      <w:r w:rsidRPr="001076D0">
        <w:rPr>
          <w:rFonts w:eastAsia="Times New Roman" w:cs="Arial"/>
          <w:color w:val="000000"/>
          <w:szCs w:val="20"/>
          <w:lang w:eastAsia="bg-BG"/>
        </w:rPr>
        <w:t xml:space="preserve">Инхибиторите на моноаминооксидазата, трицикличните антидепресанти или други лекарства, за които е известно, че удължават </w:t>
      </w:r>
      <w:proofErr w:type="spellStart"/>
      <w:r w:rsidRPr="001076D0">
        <w:rPr>
          <w:rFonts w:eastAsia="Times New Roman" w:cs="Arial"/>
          <w:color w:val="000000"/>
          <w:szCs w:val="20"/>
          <w:lang w:val="en-US"/>
        </w:rPr>
        <w:t>QTc</w:t>
      </w:r>
      <w:proofErr w:type="spellEnd"/>
      <w:r w:rsidRPr="001076D0">
        <w:rPr>
          <w:rFonts w:eastAsia="Times New Roman" w:cs="Arial"/>
          <w:color w:val="000000"/>
          <w:szCs w:val="20"/>
          <w:lang w:val="ru-RU"/>
        </w:rPr>
        <w:t xml:space="preserve"> </w:t>
      </w:r>
      <w:r w:rsidRPr="001076D0">
        <w:rPr>
          <w:rFonts w:eastAsia="Times New Roman" w:cs="Arial"/>
          <w:color w:val="000000"/>
          <w:szCs w:val="20"/>
          <w:lang w:eastAsia="bg-BG"/>
        </w:rPr>
        <w:t>интервала, могат да усилят действието на Спиолто Респимат върху сърдечно-съдовата система.</w:t>
      </w:r>
    </w:p>
    <w:p w14:paraId="04B1B7F4" w14:textId="77777777" w:rsidR="001076D0" w:rsidRPr="001076D0" w:rsidRDefault="001076D0" w:rsidP="001076D0">
      <w:pPr>
        <w:spacing w:line="240" w:lineRule="auto"/>
        <w:rPr>
          <w:rFonts w:eastAsia="Times New Roman" w:cs="Arial"/>
          <w:color w:val="000000"/>
          <w:szCs w:val="20"/>
          <w:u w:val="single"/>
          <w:lang w:eastAsia="bg-BG"/>
        </w:rPr>
      </w:pPr>
    </w:p>
    <w:p w14:paraId="65BD1F9D" w14:textId="6075079B"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u w:val="single"/>
          <w:lang w:eastAsia="bg-BG"/>
        </w:rPr>
        <w:t>Фармакокинетични лекарствени взаимодействия</w:t>
      </w:r>
    </w:p>
    <w:p w14:paraId="2372C452"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 xml:space="preserve">При проучване на лекарственото взаимодействие с флуконазол, използван като модел за инхибитор на </w:t>
      </w:r>
      <w:r w:rsidRPr="001076D0">
        <w:rPr>
          <w:rFonts w:eastAsia="Times New Roman" w:cs="Arial"/>
          <w:color w:val="000000"/>
          <w:szCs w:val="20"/>
          <w:lang w:val="en-US"/>
        </w:rPr>
        <w:t>CYP</w:t>
      </w:r>
      <w:r w:rsidRPr="001076D0">
        <w:rPr>
          <w:rFonts w:eastAsia="Times New Roman" w:cs="Arial"/>
          <w:color w:val="000000"/>
          <w:szCs w:val="20"/>
          <w:lang w:val="ru-RU"/>
        </w:rPr>
        <w:t>2</w:t>
      </w:r>
      <w:r w:rsidRPr="001076D0">
        <w:rPr>
          <w:rFonts w:eastAsia="Times New Roman" w:cs="Arial"/>
          <w:color w:val="000000"/>
          <w:szCs w:val="20"/>
          <w:lang w:val="en-US"/>
        </w:rPr>
        <w:t>C</w:t>
      </w:r>
      <w:r w:rsidRPr="001076D0">
        <w:rPr>
          <w:rFonts w:eastAsia="Times New Roman" w:cs="Arial"/>
          <w:color w:val="000000"/>
          <w:szCs w:val="20"/>
          <w:lang w:val="ru-RU"/>
        </w:rPr>
        <w:t xml:space="preserve">9, </w:t>
      </w:r>
      <w:r w:rsidRPr="001076D0">
        <w:rPr>
          <w:rFonts w:eastAsia="Times New Roman" w:cs="Arial"/>
          <w:color w:val="000000"/>
          <w:szCs w:val="20"/>
          <w:lang w:eastAsia="bg-BG"/>
        </w:rPr>
        <w:t>не е установен значим ефект върху системната експозиция на олодатерол.</w:t>
      </w:r>
    </w:p>
    <w:p w14:paraId="382E7985" w14:textId="77777777" w:rsidR="001076D0" w:rsidRPr="001076D0" w:rsidRDefault="001076D0" w:rsidP="001076D0">
      <w:pPr>
        <w:spacing w:line="240" w:lineRule="auto"/>
        <w:rPr>
          <w:rFonts w:eastAsia="Times New Roman" w:cs="Arial"/>
          <w:color w:val="000000"/>
          <w:szCs w:val="20"/>
          <w:lang w:eastAsia="bg-BG"/>
        </w:rPr>
      </w:pPr>
    </w:p>
    <w:p w14:paraId="04E2420D" w14:textId="30EABBAC"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 xml:space="preserve">Едновременното приложение на кетоконазол, като мощен инхибитор на Р-гликопротеин и </w:t>
      </w:r>
      <w:r w:rsidRPr="001076D0">
        <w:rPr>
          <w:rFonts w:eastAsia="Times New Roman" w:cs="Arial"/>
          <w:color w:val="000000"/>
          <w:szCs w:val="20"/>
          <w:lang w:val="en-US"/>
        </w:rPr>
        <w:t>CYP</w:t>
      </w:r>
      <w:r w:rsidRPr="001076D0">
        <w:rPr>
          <w:rFonts w:eastAsia="Times New Roman" w:cs="Arial"/>
          <w:color w:val="000000"/>
          <w:szCs w:val="20"/>
          <w:lang w:val="ru-RU"/>
        </w:rPr>
        <w:t>3</w:t>
      </w:r>
      <w:r w:rsidRPr="001076D0">
        <w:rPr>
          <w:rFonts w:eastAsia="Times New Roman" w:cs="Arial"/>
          <w:color w:val="000000"/>
          <w:szCs w:val="20"/>
          <w:lang w:val="en-US"/>
        </w:rPr>
        <w:t>A</w:t>
      </w:r>
      <w:r w:rsidRPr="001076D0">
        <w:rPr>
          <w:rFonts w:eastAsia="Times New Roman" w:cs="Arial"/>
          <w:color w:val="000000"/>
          <w:szCs w:val="20"/>
          <w:lang w:val="ru-RU"/>
        </w:rPr>
        <w:t xml:space="preserve">4, </w:t>
      </w:r>
      <w:r w:rsidRPr="001076D0">
        <w:rPr>
          <w:rFonts w:eastAsia="Times New Roman" w:cs="Arial"/>
          <w:color w:val="000000"/>
          <w:szCs w:val="20"/>
          <w:lang w:eastAsia="bg-BG"/>
        </w:rPr>
        <w:t>повишава системната експозиция на олодатерол с приблизително 70%. Не е необходимо коригиране на дозата на Спиолто Респимат.</w:t>
      </w:r>
    </w:p>
    <w:p w14:paraId="0615FDDD" w14:textId="77777777" w:rsidR="001076D0" w:rsidRPr="001076D0" w:rsidRDefault="001076D0" w:rsidP="001076D0">
      <w:pPr>
        <w:spacing w:line="240" w:lineRule="auto"/>
        <w:rPr>
          <w:rFonts w:eastAsia="Times New Roman" w:cs="Arial"/>
          <w:color w:val="000000"/>
          <w:szCs w:val="20"/>
          <w:lang w:eastAsia="bg-BG"/>
        </w:rPr>
      </w:pPr>
    </w:p>
    <w:p w14:paraId="3A332EA4" w14:textId="69F8BA75" w:rsidR="001076D0" w:rsidRPr="001076D0" w:rsidRDefault="001076D0" w:rsidP="001076D0">
      <w:pPr>
        <w:spacing w:line="240" w:lineRule="auto"/>
        <w:rPr>
          <w:rFonts w:eastAsia="Times New Roman" w:cs="Arial"/>
          <w:color w:val="000000"/>
          <w:szCs w:val="20"/>
          <w:lang w:val="ru-RU" w:eastAsia="bg-BG"/>
        </w:rPr>
      </w:pPr>
      <w:r w:rsidRPr="001076D0">
        <w:rPr>
          <w:rFonts w:eastAsia="Times New Roman" w:cs="Arial"/>
          <w:color w:val="000000"/>
          <w:szCs w:val="20"/>
          <w:lang w:eastAsia="bg-BG"/>
        </w:rPr>
        <w:t xml:space="preserve">Изследванията </w:t>
      </w:r>
      <w:r w:rsidRPr="001076D0">
        <w:rPr>
          <w:rFonts w:eastAsia="Times New Roman" w:cs="Arial"/>
          <w:i/>
          <w:iCs/>
          <w:color w:val="000000"/>
          <w:szCs w:val="20"/>
          <w:lang w:val="en-US"/>
        </w:rPr>
        <w:t>in</w:t>
      </w:r>
      <w:r w:rsidRPr="001076D0">
        <w:rPr>
          <w:rFonts w:eastAsia="Times New Roman" w:cs="Arial"/>
          <w:i/>
          <w:iCs/>
          <w:color w:val="000000"/>
          <w:szCs w:val="20"/>
          <w:lang w:val="ru-RU"/>
        </w:rPr>
        <w:t xml:space="preserve"> </w:t>
      </w:r>
      <w:r w:rsidRPr="001076D0">
        <w:rPr>
          <w:rFonts w:eastAsia="Times New Roman" w:cs="Arial"/>
          <w:i/>
          <w:iCs/>
          <w:color w:val="000000"/>
          <w:szCs w:val="20"/>
          <w:lang w:val="en-US"/>
        </w:rPr>
        <w:t>vitro</w:t>
      </w:r>
      <w:r w:rsidRPr="001076D0">
        <w:rPr>
          <w:rFonts w:eastAsia="Times New Roman" w:cs="Arial"/>
          <w:color w:val="000000"/>
          <w:szCs w:val="20"/>
          <w:lang w:val="ru-RU"/>
        </w:rPr>
        <w:t xml:space="preserve"> </w:t>
      </w:r>
      <w:r w:rsidRPr="001076D0">
        <w:rPr>
          <w:rFonts w:eastAsia="Times New Roman" w:cs="Arial"/>
          <w:color w:val="000000"/>
          <w:szCs w:val="20"/>
          <w:lang w:eastAsia="bg-BG"/>
        </w:rPr>
        <w:t xml:space="preserve">са показали, че олодатерол в плазмени концентрации, достигани в клиничната практика, не инхибира </w:t>
      </w:r>
      <w:r w:rsidRPr="001076D0">
        <w:rPr>
          <w:rFonts w:eastAsia="Times New Roman" w:cs="Arial"/>
          <w:color w:val="000000"/>
          <w:szCs w:val="20"/>
          <w:lang w:val="en-US"/>
        </w:rPr>
        <w:t>CYP</w:t>
      </w:r>
      <w:r w:rsidRPr="001076D0">
        <w:rPr>
          <w:rFonts w:eastAsia="Times New Roman" w:cs="Arial"/>
          <w:color w:val="000000"/>
          <w:szCs w:val="20"/>
          <w:lang w:val="ru-RU"/>
        </w:rPr>
        <w:t xml:space="preserve"> </w:t>
      </w:r>
      <w:r w:rsidRPr="001076D0">
        <w:rPr>
          <w:rFonts w:eastAsia="Times New Roman" w:cs="Arial"/>
          <w:color w:val="000000"/>
          <w:szCs w:val="20"/>
          <w:lang w:eastAsia="bg-BG"/>
        </w:rPr>
        <w:t>ензимите или лекарствените транспортери.</w:t>
      </w:r>
    </w:p>
    <w:p w14:paraId="62F27C9B" w14:textId="42E38B12" w:rsidR="00DB32D3" w:rsidRPr="00DB32D3" w:rsidRDefault="00DB32D3" w:rsidP="001076D0"/>
    <w:p w14:paraId="006BE4EC" w14:textId="3B82B875" w:rsidR="00DB32D3" w:rsidRDefault="002C50EE" w:rsidP="005726E3">
      <w:pPr>
        <w:pStyle w:val="Heading2"/>
      </w:pPr>
      <w:r>
        <w:t>4.6. Фертилитет, бременност и кърмене</w:t>
      </w:r>
    </w:p>
    <w:p w14:paraId="20EB29DC" w14:textId="78B1B017" w:rsidR="001076D0" w:rsidRDefault="001076D0" w:rsidP="001076D0"/>
    <w:p w14:paraId="72F6D72D" w14:textId="77777777" w:rsidR="001076D0" w:rsidRPr="001076D0" w:rsidRDefault="001076D0" w:rsidP="001076D0">
      <w:pPr>
        <w:pStyle w:val="Heading3"/>
        <w:rPr>
          <w:rFonts w:eastAsia="Times New Roman"/>
          <w:sz w:val="28"/>
          <w:u w:val="single"/>
        </w:rPr>
      </w:pPr>
      <w:r w:rsidRPr="001076D0">
        <w:rPr>
          <w:rFonts w:eastAsia="Times New Roman"/>
          <w:u w:val="single"/>
          <w:lang w:eastAsia="bg-BG"/>
        </w:rPr>
        <w:t>Бременност</w:t>
      </w:r>
    </w:p>
    <w:p w14:paraId="4A1BA900" w14:textId="77777777" w:rsidR="001076D0" w:rsidRPr="001076D0" w:rsidRDefault="001076D0" w:rsidP="001076D0">
      <w:pPr>
        <w:spacing w:line="240" w:lineRule="auto"/>
        <w:rPr>
          <w:rFonts w:eastAsia="Times New Roman" w:cs="Arial"/>
          <w:i/>
          <w:iCs/>
          <w:color w:val="000000"/>
          <w:szCs w:val="20"/>
          <w:u w:val="single"/>
          <w:lang w:eastAsia="bg-BG"/>
        </w:rPr>
      </w:pPr>
    </w:p>
    <w:p w14:paraId="02A9CBD8" w14:textId="388B1118" w:rsidR="001076D0" w:rsidRPr="001076D0" w:rsidRDefault="001076D0" w:rsidP="001076D0">
      <w:pPr>
        <w:spacing w:line="240" w:lineRule="auto"/>
        <w:rPr>
          <w:rFonts w:eastAsia="Times New Roman" w:cs="Arial"/>
          <w:sz w:val="28"/>
          <w:szCs w:val="24"/>
        </w:rPr>
      </w:pPr>
      <w:r w:rsidRPr="001076D0">
        <w:rPr>
          <w:rFonts w:eastAsia="Times New Roman" w:cs="Arial"/>
          <w:i/>
          <w:iCs/>
          <w:color w:val="000000"/>
          <w:szCs w:val="20"/>
          <w:u w:val="single"/>
          <w:lang w:eastAsia="bg-BG"/>
        </w:rPr>
        <w:t>Тиотропиум</w:t>
      </w:r>
    </w:p>
    <w:p w14:paraId="46FDBF90"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Има много ограничени данни за употребата на тиотропиум при бременни жени. Проучванията при животни не показват преки или косвени негативни ефекти по отношение на репродуктивната токсичност при дози от клинично значение (вж. точка 5.3).</w:t>
      </w:r>
    </w:p>
    <w:p w14:paraId="07AA8561" w14:textId="77777777" w:rsidR="001076D0" w:rsidRPr="001076D0" w:rsidRDefault="001076D0" w:rsidP="001076D0">
      <w:pPr>
        <w:spacing w:line="240" w:lineRule="auto"/>
        <w:rPr>
          <w:rFonts w:eastAsia="Times New Roman" w:cs="Arial"/>
          <w:i/>
          <w:iCs/>
          <w:color w:val="000000"/>
          <w:szCs w:val="20"/>
          <w:u w:val="single"/>
          <w:lang w:eastAsia="bg-BG"/>
        </w:rPr>
      </w:pPr>
    </w:p>
    <w:p w14:paraId="0FAAC398" w14:textId="222F3254" w:rsidR="001076D0" w:rsidRPr="001076D0" w:rsidRDefault="001076D0" w:rsidP="001076D0">
      <w:pPr>
        <w:spacing w:line="240" w:lineRule="auto"/>
        <w:rPr>
          <w:rFonts w:eastAsia="Times New Roman" w:cs="Arial"/>
          <w:sz w:val="28"/>
          <w:szCs w:val="24"/>
        </w:rPr>
      </w:pPr>
      <w:r w:rsidRPr="001076D0">
        <w:rPr>
          <w:rFonts w:eastAsia="Times New Roman" w:cs="Arial"/>
          <w:i/>
          <w:iCs/>
          <w:color w:val="000000"/>
          <w:szCs w:val="20"/>
          <w:u w:val="single"/>
          <w:lang w:eastAsia="bg-BG"/>
        </w:rPr>
        <w:t>Олодатерол</w:t>
      </w:r>
    </w:p>
    <w:p w14:paraId="251E6541"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Няма клинични данни за експозиция на олодатерол при бременни жени. Предклиничните данни за олодатерол показват ефекти, типични за бета-адренергичните агонисти при многократно приложение на високи терапевтични дози (вж. точка 5.3).</w:t>
      </w:r>
    </w:p>
    <w:p w14:paraId="229E1BF1" w14:textId="77777777" w:rsidR="001076D0" w:rsidRPr="001076D0" w:rsidRDefault="001076D0" w:rsidP="001076D0">
      <w:pPr>
        <w:rPr>
          <w:rFonts w:eastAsia="Times New Roman" w:cs="Arial"/>
          <w:color w:val="000000"/>
          <w:szCs w:val="20"/>
          <w:lang w:eastAsia="bg-BG"/>
        </w:rPr>
      </w:pPr>
    </w:p>
    <w:p w14:paraId="53BD5405" w14:textId="26A29E9B" w:rsidR="001076D0" w:rsidRPr="001076D0" w:rsidRDefault="001076D0" w:rsidP="001076D0">
      <w:pPr>
        <w:rPr>
          <w:rFonts w:eastAsia="Times New Roman" w:cs="Arial"/>
          <w:color w:val="000000"/>
          <w:szCs w:val="20"/>
          <w:lang w:eastAsia="bg-BG"/>
        </w:rPr>
      </w:pPr>
      <w:r w:rsidRPr="001076D0">
        <w:rPr>
          <w:rFonts w:eastAsia="Times New Roman" w:cs="Arial"/>
          <w:color w:val="000000"/>
          <w:szCs w:val="20"/>
          <w:lang w:eastAsia="bg-BG"/>
        </w:rPr>
        <w:t>Като предпазна мярка, за предпочитане е да се избягва употребата на Спиолто Респимат по време на бременност.</w:t>
      </w:r>
    </w:p>
    <w:p w14:paraId="47AB60AC" w14:textId="14A88173" w:rsidR="001076D0" w:rsidRPr="001076D0" w:rsidRDefault="001076D0" w:rsidP="001076D0">
      <w:pPr>
        <w:rPr>
          <w:rFonts w:eastAsia="Times New Roman" w:cs="Arial"/>
          <w:color w:val="000000"/>
          <w:szCs w:val="20"/>
          <w:lang w:eastAsia="bg-BG"/>
        </w:rPr>
      </w:pPr>
    </w:p>
    <w:p w14:paraId="44AF855B"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Както и други бета</w:t>
      </w:r>
      <w:r w:rsidRPr="001076D0">
        <w:rPr>
          <w:rFonts w:eastAsia="Times New Roman" w:cs="Arial"/>
          <w:color w:val="000000"/>
          <w:szCs w:val="20"/>
          <w:vertAlign w:val="subscript"/>
          <w:lang w:eastAsia="bg-BG"/>
        </w:rPr>
        <w:t>2</w:t>
      </w:r>
      <w:r w:rsidRPr="001076D0">
        <w:rPr>
          <w:rFonts w:eastAsia="Times New Roman" w:cs="Arial"/>
          <w:color w:val="000000"/>
          <w:szCs w:val="20"/>
          <w:lang w:eastAsia="bg-BG"/>
        </w:rPr>
        <w:t>- адренергични агонисти, олодатерол, компонента на Спиолто Респимат, може да потисне родовата дейност поради релаксиращия ефект върху гладката мускулатура на матката.</w:t>
      </w:r>
    </w:p>
    <w:p w14:paraId="34D07BAF" w14:textId="77777777" w:rsidR="001076D0" w:rsidRPr="001076D0" w:rsidRDefault="001076D0" w:rsidP="001076D0">
      <w:pPr>
        <w:spacing w:line="240" w:lineRule="auto"/>
        <w:rPr>
          <w:rFonts w:eastAsia="Times New Roman" w:cs="Arial"/>
          <w:color w:val="000000"/>
          <w:szCs w:val="20"/>
          <w:u w:val="single"/>
          <w:lang w:eastAsia="bg-BG"/>
        </w:rPr>
      </w:pPr>
    </w:p>
    <w:p w14:paraId="1C9BD7A4" w14:textId="2BE96B92" w:rsidR="001076D0" w:rsidRPr="001076D0" w:rsidRDefault="001076D0" w:rsidP="001076D0">
      <w:pPr>
        <w:pStyle w:val="Heading3"/>
        <w:rPr>
          <w:rFonts w:eastAsia="Times New Roman"/>
          <w:sz w:val="28"/>
          <w:u w:val="single"/>
        </w:rPr>
      </w:pPr>
      <w:r w:rsidRPr="001076D0">
        <w:rPr>
          <w:rFonts w:eastAsia="Times New Roman"/>
          <w:u w:val="single"/>
          <w:lang w:eastAsia="bg-BG"/>
        </w:rPr>
        <w:t>Кърмене</w:t>
      </w:r>
    </w:p>
    <w:p w14:paraId="21AC716B"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Няма клинични данни за експозиция на кърмещи жени на тиотропиум и/или олодатерол.</w:t>
      </w:r>
    </w:p>
    <w:p w14:paraId="6A3EC998" w14:textId="77777777" w:rsidR="001076D0" w:rsidRPr="001076D0" w:rsidRDefault="001076D0" w:rsidP="001076D0">
      <w:pPr>
        <w:spacing w:line="240" w:lineRule="auto"/>
        <w:rPr>
          <w:rFonts w:eastAsia="Times New Roman" w:cs="Arial"/>
          <w:color w:val="000000"/>
          <w:szCs w:val="20"/>
          <w:lang w:eastAsia="bg-BG"/>
        </w:rPr>
      </w:pPr>
    </w:p>
    <w:p w14:paraId="6F87CA3E" w14:textId="3D25B28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При проучвания с животни на тиотропиум и олодатерол, в кърмата на кърмещи плъхове се откриват активните вещества и/или техните метаболити, но не е известно дали тиотропиум и/или олодатерол преминава в кърмата при хора.</w:t>
      </w:r>
    </w:p>
    <w:p w14:paraId="01F86CB0" w14:textId="77777777" w:rsidR="001076D0" w:rsidRPr="001076D0" w:rsidRDefault="001076D0" w:rsidP="001076D0">
      <w:pPr>
        <w:spacing w:line="240" w:lineRule="auto"/>
        <w:rPr>
          <w:rFonts w:eastAsia="Times New Roman" w:cs="Arial"/>
          <w:color w:val="000000"/>
          <w:szCs w:val="20"/>
          <w:lang w:eastAsia="bg-BG"/>
        </w:rPr>
      </w:pPr>
    </w:p>
    <w:p w14:paraId="4766AB74" w14:textId="05C8C349"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lastRenderedPageBreak/>
        <w:t>Когато се взима решение за продължаване/прекратяване на кърменето или продължаване/прекратяване на лечението със Спиолто Респимат, трябва да се вземе под внимание очакваната за детето полза от кърменето и очакваната за майката полза от лечението със Спиолто Респимат.</w:t>
      </w:r>
    </w:p>
    <w:p w14:paraId="4D7360F9" w14:textId="77777777" w:rsidR="001076D0" w:rsidRPr="001076D0" w:rsidRDefault="001076D0" w:rsidP="001076D0">
      <w:pPr>
        <w:spacing w:line="240" w:lineRule="auto"/>
        <w:rPr>
          <w:rFonts w:eastAsia="Times New Roman" w:cs="Arial"/>
          <w:color w:val="000000"/>
          <w:szCs w:val="20"/>
          <w:u w:val="single"/>
          <w:lang w:eastAsia="bg-BG"/>
        </w:rPr>
      </w:pPr>
    </w:p>
    <w:p w14:paraId="48CC4F97" w14:textId="326E5303" w:rsidR="001076D0" w:rsidRPr="001076D0" w:rsidRDefault="001076D0" w:rsidP="001076D0">
      <w:pPr>
        <w:pStyle w:val="Heading3"/>
        <w:rPr>
          <w:rFonts w:eastAsia="Times New Roman"/>
          <w:sz w:val="28"/>
          <w:u w:val="single"/>
        </w:rPr>
      </w:pPr>
      <w:r w:rsidRPr="001076D0">
        <w:rPr>
          <w:rFonts w:eastAsia="Times New Roman"/>
          <w:u w:val="single"/>
          <w:lang w:eastAsia="bg-BG"/>
        </w:rPr>
        <w:t>Фертилитет</w:t>
      </w:r>
    </w:p>
    <w:p w14:paraId="1F7ADFE3" w14:textId="5E5C1ADB" w:rsidR="001076D0" w:rsidRPr="001076D0" w:rsidRDefault="001076D0" w:rsidP="001076D0">
      <w:pPr>
        <w:rPr>
          <w:rFonts w:eastAsia="Times New Roman" w:cs="Arial"/>
          <w:color w:val="000000"/>
          <w:szCs w:val="20"/>
          <w:lang w:eastAsia="bg-BG"/>
        </w:rPr>
      </w:pPr>
      <w:r w:rsidRPr="001076D0">
        <w:rPr>
          <w:rFonts w:eastAsia="Times New Roman" w:cs="Arial"/>
          <w:color w:val="000000"/>
          <w:szCs w:val="20"/>
          <w:lang w:eastAsia="bg-BG"/>
        </w:rPr>
        <w:t>Липсват клинични данни относно ефекта на тиотропиум, олодатерол или на тяхната комбинация върху фертилигета. Проведените предклинични изпитвания с отделните вещества тиотропиум и олодатерол не показват нежелан ефект върху фертилигета (вж. точка 5.3).</w:t>
      </w:r>
    </w:p>
    <w:p w14:paraId="0E7F1AB4" w14:textId="77777777" w:rsidR="001076D0" w:rsidRPr="001076D0" w:rsidRDefault="001076D0" w:rsidP="001076D0"/>
    <w:p w14:paraId="128BA3A8" w14:textId="7ADCADA0" w:rsidR="00DB32D3" w:rsidRDefault="002C50EE" w:rsidP="005726E3">
      <w:pPr>
        <w:pStyle w:val="Heading2"/>
      </w:pPr>
      <w:r>
        <w:t>4.7. Ефекти върху способността за шофиране и работа с машини</w:t>
      </w:r>
    </w:p>
    <w:p w14:paraId="7EFDDFD6" w14:textId="6C8119BD" w:rsidR="001076D0" w:rsidRDefault="001076D0" w:rsidP="001076D0"/>
    <w:p w14:paraId="2E20793B" w14:textId="77777777" w:rsidR="001076D0" w:rsidRPr="001076D0" w:rsidRDefault="001076D0" w:rsidP="001076D0">
      <w:pPr>
        <w:rPr>
          <w:sz w:val="24"/>
          <w:szCs w:val="24"/>
        </w:rPr>
      </w:pPr>
      <w:r w:rsidRPr="001076D0">
        <w:rPr>
          <w:lang w:eastAsia="bg-BG"/>
        </w:rPr>
        <w:t>Не са провеждани проучвания относно ефектите върху способността за шофиране и работа с машини.</w:t>
      </w:r>
    </w:p>
    <w:p w14:paraId="5157D25F" w14:textId="77777777" w:rsidR="001076D0" w:rsidRDefault="001076D0" w:rsidP="001076D0">
      <w:pPr>
        <w:rPr>
          <w:lang w:eastAsia="bg-BG"/>
        </w:rPr>
      </w:pPr>
    </w:p>
    <w:p w14:paraId="2FC55163" w14:textId="312E660C" w:rsidR="001076D0" w:rsidRDefault="001076D0" w:rsidP="001076D0">
      <w:pPr>
        <w:rPr>
          <w:lang w:eastAsia="bg-BG"/>
        </w:rPr>
      </w:pPr>
      <w:r w:rsidRPr="001076D0">
        <w:rPr>
          <w:lang w:eastAsia="bg-BG"/>
        </w:rPr>
        <w:t>Въпреки това, пациентите трябва да бъдат предупредени, че при употребата на Спиолто Респимат са съобщавани замайване и замъглено виждане. Затова се препоръчва повишено внимание при шофиране или работата с машини. Ако пациентите получат такива симптоми, те трябва да избягват потенциално опасни действия, като шофиране и работа с машини.</w:t>
      </w:r>
    </w:p>
    <w:p w14:paraId="5C0DA489" w14:textId="77777777" w:rsidR="001076D0" w:rsidRPr="001076D0" w:rsidRDefault="001076D0" w:rsidP="001076D0"/>
    <w:p w14:paraId="44CE30A3" w14:textId="126E153B" w:rsidR="007122AD" w:rsidRDefault="002C50EE" w:rsidP="00936AD0">
      <w:pPr>
        <w:pStyle w:val="Heading2"/>
      </w:pPr>
      <w:r>
        <w:t>4.8. Нежелани лекарствени реакции</w:t>
      </w:r>
    </w:p>
    <w:p w14:paraId="24313CC5" w14:textId="0FF51E39" w:rsidR="001076D0" w:rsidRDefault="001076D0" w:rsidP="001076D0"/>
    <w:p w14:paraId="18776C6F" w14:textId="2A2AF4F9" w:rsidR="001076D0" w:rsidRPr="00CF747A" w:rsidRDefault="00CF747A" w:rsidP="00CF747A">
      <w:pPr>
        <w:spacing w:line="240" w:lineRule="auto"/>
        <w:rPr>
          <w:rFonts w:eastAsia="Times New Roman" w:cs="Arial"/>
          <w:color w:val="000000"/>
          <w:szCs w:val="20"/>
          <w:u w:val="single"/>
          <w:lang w:eastAsia="bg-BG"/>
        </w:rPr>
      </w:pPr>
      <w:r>
        <w:rPr>
          <w:rFonts w:eastAsia="Times New Roman" w:cs="Arial"/>
          <w:color w:val="000000"/>
          <w:szCs w:val="20"/>
          <w:u w:val="single"/>
          <w:lang w:eastAsia="bg-BG"/>
        </w:rPr>
        <w:t>а.</w:t>
      </w:r>
      <w:r w:rsidR="001076D0" w:rsidRPr="00CF747A">
        <w:rPr>
          <w:rFonts w:eastAsia="Times New Roman" w:cs="Arial"/>
          <w:color w:val="000000"/>
          <w:szCs w:val="20"/>
          <w:u w:val="single"/>
          <w:lang w:eastAsia="bg-BG"/>
        </w:rPr>
        <w:t>Обобщение на профила за безопасност</w:t>
      </w:r>
    </w:p>
    <w:p w14:paraId="5F495456" w14:textId="77777777" w:rsidR="001076D0" w:rsidRPr="001076D0" w:rsidRDefault="001076D0" w:rsidP="001076D0">
      <w:pPr>
        <w:spacing w:line="240" w:lineRule="auto"/>
        <w:rPr>
          <w:rFonts w:eastAsia="Times New Roman" w:cs="Arial"/>
          <w:color w:val="000000"/>
          <w:szCs w:val="20"/>
          <w:lang w:eastAsia="bg-BG"/>
        </w:rPr>
      </w:pPr>
    </w:p>
    <w:p w14:paraId="388795C6" w14:textId="78CCAE58"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Много от изброените нежелани лекарствени реакции могат да се свържат с антихолинергичните свойства на тиотропиум бромид или на бета</w:t>
      </w:r>
      <w:r w:rsidRPr="001076D0">
        <w:rPr>
          <w:rFonts w:eastAsia="Times New Roman" w:cs="Arial"/>
          <w:color w:val="000000"/>
          <w:szCs w:val="20"/>
          <w:vertAlign w:val="subscript"/>
          <w:lang w:eastAsia="bg-BG"/>
        </w:rPr>
        <w:t>2</w:t>
      </w:r>
      <w:r w:rsidRPr="001076D0">
        <w:rPr>
          <w:rFonts w:eastAsia="Times New Roman" w:cs="Arial"/>
          <w:color w:val="000000"/>
          <w:szCs w:val="20"/>
          <w:lang w:eastAsia="bg-BG"/>
        </w:rPr>
        <w:t>-адренергичните свойства на олодатерол, компонентите на Спиолто Респимат.</w:t>
      </w:r>
    </w:p>
    <w:p w14:paraId="4C88046E" w14:textId="77777777" w:rsidR="001076D0" w:rsidRPr="001076D0" w:rsidRDefault="001076D0" w:rsidP="001076D0">
      <w:pPr>
        <w:spacing w:line="240" w:lineRule="auto"/>
        <w:rPr>
          <w:rFonts w:eastAsia="Times New Roman" w:cs="Arial"/>
          <w:color w:val="000000"/>
          <w:szCs w:val="20"/>
          <w:u w:val="single"/>
          <w:lang w:eastAsia="bg-BG"/>
        </w:rPr>
      </w:pPr>
    </w:p>
    <w:p w14:paraId="4489904A" w14:textId="7C878753" w:rsidR="001076D0" w:rsidRPr="00CF747A" w:rsidRDefault="00CF747A" w:rsidP="00CF747A">
      <w:pPr>
        <w:spacing w:line="240" w:lineRule="auto"/>
        <w:rPr>
          <w:rFonts w:eastAsia="Times New Roman" w:cs="Arial"/>
          <w:color w:val="000000"/>
          <w:szCs w:val="20"/>
          <w:u w:val="single"/>
          <w:lang w:eastAsia="bg-BG"/>
        </w:rPr>
      </w:pPr>
      <w:r>
        <w:rPr>
          <w:rFonts w:eastAsia="Times New Roman" w:cs="Arial"/>
          <w:color w:val="000000"/>
          <w:szCs w:val="20"/>
          <w:u w:val="single"/>
          <w:lang w:eastAsia="bg-BG"/>
        </w:rPr>
        <w:t xml:space="preserve">б. </w:t>
      </w:r>
      <w:r w:rsidR="001076D0" w:rsidRPr="00CF747A">
        <w:rPr>
          <w:rFonts w:eastAsia="Times New Roman" w:cs="Arial"/>
          <w:color w:val="000000"/>
          <w:szCs w:val="20"/>
          <w:u w:val="single"/>
          <w:lang w:eastAsia="bg-BG"/>
        </w:rPr>
        <w:t>Обобщение на нежеланите реакции в таблична форма</w:t>
      </w:r>
    </w:p>
    <w:p w14:paraId="7FB4BC33" w14:textId="77777777" w:rsidR="001076D0" w:rsidRPr="001076D0" w:rsidRDefault="001076D0" w:rsidP="001076D0">
      <w:pPr>
        <w:spacing w:line="240" w:lineRule="auto"/>
        <w:rPr>
          <w:rFonts w:eastAsia="Times New Roman" w:cs="Arial"/>
          <w:color w:val="000000"/>
          <w:szCs w:val="20"/>
          <w:lang w:eastAsia="bg-BG"/>
        </w:rPr>
      </w:pPr>
    </w:p>
    <w:p w14:paraId="6C714C09" w14:textId="1738F8FD"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Честотата, определена за нежеланите лекарствени реакции, изброени по-долу, се базира на необработени данни за честотата на възникване на нежелани лекарствени реакции (т.е.</w:t>
      </w:r>
    </w:p>
    <w:p w14:paraId="7B85B2BA" w14:textId="77777777" w:rsidR="001076D0" w:rsidRPr="001076D0" w:rsidRDefault="001076D0" w:rsidP="001076D0">
      <w:pPr>
        <w:spacing w:line="240" w:lineRule="auto"/>
        <w:rPr>
          <w:rFonts w:eastAsia="Times New Roman" w:cs="Arial"/>
          <w:color w:val="000000"/>
          <w:szCs w:val="20"/>
          <w:lang w:eastAsia="bg-BG"/>
        </w:rPr>
      </w:pPr>
      <w:r w:rsidRPr="001076D0">
        <w:rPr>
          <w:rFonts w:eastAsia="Times New Roman" w:cs="Arial"/>
          <w:color w:val="000000"/>
          <w:szCs w:val="20"/>
          <w:lang w:eastAsia="bg-BG"/>
        </w:rPr>
        <w:t xml:space="preserve">реакции, които се отдават на Спиолто Респимат), наблюдавани в групата, лекувана с тиотропиум 5 микрограма/олодатерол 5 микрограма (5 646 пациента), обобщени в 8 активно или плацебо-контролирани, паралелно групови клинични проучвания при пациенти с ХОББ, с период на лечение, вариращ между 4 и 52 </w:t>
      </w:r>
    </w:p>
    <w:p w14:paraId="517ED75A" w14:textId="53A4FCDE"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седмици.</w:t>
      </w:r>
    </w:p>
    <w:p w14:paraId="072A31FF" w14:textId="77777777" w:rsidR="001076D0" w:rsidRPr="001076D0" w:rsidRDefault="001076D0" w:rsidP="001076D0">
      <w:pPr>
        <w:spacing w:line="240" w:lineRule="auto"/>
        <w:rPr>
          <w:rFonts w:eastAsia="Times New Roman" w:cs="Arial"/>
          <w:color w:val="000000"/>
          <w:szCs w:val="20"/>
          <w:lang w:eastAsia="bg-BG"/>
        </w:rPr>
      </w:pPr>
    </w:p>
    <w:p w14:paraId="0A1868B2" w14:textId="532680DB"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Нежеланите реакции, съобщени във всички клинични проучвания със Спиолто Респимат, са описани по-долу според системо-органен клас.</w:t>
      </w:r>
    </w:p>
    <w:p w14:paraId="657535B3"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Нежеланите реакции включват също и всички нежелани реакции, вече съобщавани при една от отделните съставки на продукта.</w:t>
      </w:r>
    </w:p>
    <w:p w14:paraId="49951D37" w14:textId="1B355683" w:rsidR="001076D0" w:rsidRPr="001076D0" w:rsidRDefault="001076D0" w:rsidP="001076D0">
      <w:pPr>
        <w:rPr>
          <w:rFonts w:cs="Arial"/>
          <w:sz w:val="24"/>
        </w:rPr>
      </w:pPr>
    </w:p>
    <w:p w14:paraId="1E12F73F" w14:textId="77777777" w:rsidR="001076D0" w:rsidRPr="001076D0" w:rsidRDefault="001076D0" w:rsidP="001076D0">
      <w:pPr>
        <w:spacing w:line="240" w:lineRule="auto"/>
        <w:rPr>
          <w:rFonts w:eastAsia="Times New Roman" w:cs="Arial"/>
          <w:sz w:val="28"/>
          <w:szCs w:val="24"/>
        </w:rPr>
      </w:pPr>
      <w:r w:rsidRPr="001076D0">
        <w:rPr>
          <w:rFonts w:eastAsia="Times New Roman" w:cs="Arial"/>
          <w:color w:val="000000"/>
          <w:szCs w:val="20"/>
          <w:lang w:eastAsia="bg-BG"/>
        </w:rPr>
        <w:t>Честотата е определена като е използвана следната конвенция:</w:t>
      </w:r>
    </w:p>
    <w:p w14:paraId="58A3DEC3" w14:textId="77777777" w:rsidR="001076D0" w:rsidRPr="001076D0" w:rsidRDefault="001076D0" w:rsidP="001076D0">
      <w:pPr>
        <w:spacing w:line="240" w:lineRule="auto"/>
        <w:rPr>
          <w:rFonts w:eastAsia="Times New Roman" w:cs="Arial"/>
          <w:sz w:val="28"/>
          <w:szCs w:val="24"/>
        </w:rPr>
      </w:pPr>
      <w:r w:rsidRPr="001076D0">
        <w:rPr>
          <w:rFonts w:eastAsia="Times New Roman" w:cs="Arial"/>
          <w:i/>
          <w:iCs/>
          <w:color w:val="000000"/>
          <w:szCs w:val="20"/>
          <w:lang w:eastAsia="bg-BG"/>
        </w:rPr>
        <w:lastRenderedPageBreak/>
        <w:t>много чести (&gt;1/10); чести (&gt;1/100 до &lt;1/10); нечести (&gt;1/1 000 до &lt;1/100); редки (&gt;1/10 000 до &lt;1/1 000); много редки (&lt;1/10 000); с неизвестна честота (не могат да бъдат оценени от наличните данни)</w:t>
      </w:r>
    </w:p>
    <w:p w14:paraId="6844AF50" w14:textId="701DF2EC" w:rsidR="001076D0" w:rsidRDefault="001076D0" w:rsidP="001076D0"/>
    <w:tbl>
      <w:tblPr>
        <w:tblStyle w:val="TableGrid"/>
        <w:tblW w:w="0" w:type="auto"/>
        <w:tblLook w:val="04A0" w:firstRow="1" w:lastRow="0" w:firstColumn="1" w:lastColumn="0" w:noHBand="0" w:noVBand="1"/>
      </w:tblPr>
      <w:tblGrid>
        <w:gridCol w:w="3120"/>
        <w:gridCol w:w="3148"/>
        <w:gridCol w:w="3082"/>
      </w:tblGrid>
      <w:tr w:rsidR="00CF747A" w14:paraId="5839A721" w14:textId="77777777" w:rsidTr="00CF747A">
        <w:tc>
          <w:tcPr>
            <w:tcW w:w="3192" w:type="dxa"/>
          </w:tcPr>
          <w:p w14:paraId="43259AE0" w14:textId="60337714" w:rsidR="00CF747A" w:rsidRPr="00CF747A" w:rsidRDefault="00CF747A" w:rsidP="00CF747A">
            <w:pPr>
              <w:rPr>
                <w:b/>
              </w:rPr>
            </w:pPr>
            <w:r w:rsidRPr="00CF747A">
              <w:rPr>
                <w:b/>
              </w:rPr>
              <w:t>Системно-органен клас</w:t>
            </w:r>
          </w:p>
        </w:tc>
        <w:tc>
          <w:tcPr>
            <w:tcW w:w="3192" w:type="dxa"/>
          </w:tcPr>
          <w:p w14:paraId="14B36E4D" w14:textId="1CE0C3CB" w:rsidR="00CF747A" w:rsidRPr="00CF747A" w:rsidRDefault="00CF747A" w:rsidP="00CF747A">
            <w:pPr>
              <w:rPr>
                <w:b/>
              </w:rPr>
            </w:pPr>
            <w:r w:rsidRPr="00CF747A">
              <w:rPr>
                <w:b/>
                <w:bCs/>
              </w:rPr>
              <w:t>Нежелана реакция</w:t>
            </w:r>
          </w:p>
        </w:tc>
        <w:tc>
          <w:tcPr>
            <w:tcW w:w="3192" w:type="dxa"/>
            <w:vAlign w:val="bottom"/>
          </w:tcPr>
          <w:p w14:paraId="429B3B2B" w14:textId="75C40B33" w:rsidR="00CF747A" w:rsidRPr="00CF747A" w:rsidRDefault="00CF747A" w:rsidP="00CF747A">
            <w:pPr>
              <w:rPr>
                <w:b/>
              </w:rPr>
            </w:pPr>
            <w:r w:rsidRPr="00CF747A">
              <w:rPr>
                <w:b/>
              </w:rPr>
              <w:t>Честота</w:t>
            </w:r>
          </w:p>
        </w:tc>
      </w:tr>
      <w:tr w:rsidR="00CF747A" w14:paraId="4D21F5D6" w14:textId="77777777" w:rsidTr="00CF747A">
        <w:tc>
          <w:tcPr>
            <w:tcW w:w="3192" w:type="dxa"/>
          </w:tcPr>
          <w:p w14:paraId="36CD73E8" w14:textId="7CEE962A" w:rsidR="00CF747A" w:rsidRPr="00CF747A" w:rsidRDefault="00CF747A" w:rsidP="00CF747A">
            <w:r w:rsidRPr="00CF747A">
              <w:rPr>
                <w:b/>
                <w:bCs/>
              </w:rPr>
              <w:t>Инфекции и инфестацин</w:t>
            </w:r>
          </w:p>
        </w:tc>
        <w:tc>
          <w:tcPr>
            <w:tcW w:w="3192" w:type="dxa"/>
          </w:tcPr>
          <w:p w14:paraId="02E459BC" w14:textId="6803C629" w:rsidR="00CF747A" w:rsidRPr="00CF747A" w:rsidRDefault="00CF747A" w:rsidP="00CF747A">
            <w:r w:rsidRPr="00CF747A">
              <w:t>Назофарингит</w:t>
            </w:r>
          </w:p>
        </w:tc>
        <w:tc>
          <w:tcPr>
            <w:tcW w:w="3192" w:type="dxa"/>
          </w:tcPr>
          <w:p w14:paraId="0D533B98" w14:textId="73D60B4D" w:rsidR="00CF747A" w:rsidRPr="00CF747A" w:rsidRDefault="00CF747A" w:rsidP="00CF747A">
            <w:r w:rsidRPr="00CF747A">
              <w:t>с неизвестна честота</w:t>
            </w:r>
          </w:p>
        </w:tc>
      </w:tr>
      <w:tr w:rsidR="00CF747A" w14:paraId="29D33D50" w14:textId="77777777" w:rsidTr="00CF747A">
        <w:tc>
          <w:tcPr>
            <w:tcW w:w="3192" w:type="dxa"/>
            <w:vAlign w:val="bottom"/>
          </w:tcPr>
          <w:p w14:paraId="2AE0E561" w14:textId="757C8533" w:rsidR="00CF747A" w:rsidRPr="00CF747A" w:rsidRDefault="00CF747A" w:rsidP="00CF747A">
            <w:r w:rsidRPr="00CF747A">
              <w:rPr>
                <w:b/>
                <w:bCs/>
              </w:rPr>
              <w:t>Нарушения на метаболизма и храненето</w:t>
            </w:r>
          </w:p>
        </w:tc>
        <w:tc>
          <w:tcPr>
            <w:tcW w:w="3192" w:type="dxa"/>
          </w:tcPr>
          <w:p w14:paraId="10CC9235" w14:textId="450EFC06" w:rsidR="00CF747A" w:rsidRPr="00CF747A" w:rsidRDefault="00CF747A" w:rsidP="00CF747A">
            <w:r w:rsidRPr="00CF747A">
              <w:t>Дехидратация</w:t>
            </w:r>
          </w:p>
        </w:tc>
        <w:tc>
          <w:tcPr>
            <w:tcW w:w="3192" w:type="dxa"/>
          </w:tcPr>
          <w:p w14:paraId="1311B82C" w14:textId="6AE74DD1" w:rsidR="00CF747A" w:rsidRPr="00CF747A" w:rsidRDefault="00CF747A" w:rsidP="00CF747A">
            <w:r w:rsidRPr="00CF747A">
              <w:t>с неизвестна честота</w:t>
            </w:r>
          </w:p>
        </w:tc>
      </w:tr>
      <w:tr w:rsidR="00CF747A" w14:paraId="617AFA69" w14:textId="77777777" w:rsidTr="00CF747A">
        <w:tc>
          <w:tcPr>
            <w:tcW w:w="3192" w:type="dxa"/>
            <w:vMerge w:val="restart"/>
          </w:tcPr>
          <w:p w14:paraId="27E3EAEC" w14:textId="46A12A62" w:rsidR="00CF747A" w:rsidRPr="00CF747A" w:rsidRDefault="00CF747A" w:rsidP="00CF747A">
            <w:r w:rsidRPr="00CF747A">
              <w:rPr>
                <w:b/>
                <w:bCs/>
              </w:rPr>
              <w:t>Нарушения на нервната система</w:t>
            </w:r>
          </w:p>
        </w:tc>
        <w:tc>
          <w:tcPr>
            <w:tcW w:w="3192" w:type="dxa"/>
          </w:tcPr>
          <w:p w14:paraId="6DB836CC" w14:textId="2FE3DB54" w:rsidR="00CF747A" w:rsidRPr="00CF747A" w:rsidRDefault="00CF747A" w:rsidP="00CF747A">
            <w:r w:rsidRPr="00CF747A">
              <w:t>Замаяност</w:t>
            </w:r>
          </w:p>
        </w:tc>
        <w:tc>
          <w:tcPr>
            <w:tcW w:w="3192" w:type="dxa"/>
          </w:tcPr>
          <w:p w14:paraId="4F1B32DC" w14:textId="5361E44E" w:rsidR="00CF747A" w:rsidRPr="00CF747A" w:rsidRDefault="00CF747A" w:rsidP="00CF747A">
            <w:r w:rsidRPr="00CF747A">
              <w:t>нечести</w:t>
            </w:r>
          </w:p>
        </w:tc>
      </w:tr>
      <w:tr w:rsidR="00CF747A" w14:paraId="5B982941" w14:textId="77777777" w:rsidTr="00CF747A">
        <w:tc>
          <w:tcPr>
            <w:tcW w:w="3192" w:type="dxa"/>
            <w:vMerge/>
          </w:tcPr>
          <w:p w14:paraId="45E57BD7" w14:textId="77777777" w:rsidR="00CF747A" w:rsidRPr="00CF747A" w:rsidRDefault="00CF747A" w:rsidP="00CF747A"/>
        </w:tc>
        <w:tc>
          <w:tcPr>
            <w:tcW w:w="3192" w:type="dxa"/>
          </w:tcPr>
          <w:p w14:paraId="0FCCBDF3" w14:textId="6D80666A" w:rsidR="00CF747A" w:rsidRPr="00CF747A" w:rsidRDefault="00CF747A" w:rsidP="00CF747A">
            <w:r w:rsidRPr="00CF747A">
              <w:t>Безсъние</w:t>
            </w:r>
          </w:p>
        </w:tc>
        <w:tc>
          <w:tcPr>
            <w:tcW w:w="3192" w:type="dxa"/>
          </w:tcPr>
          <w:p w14:paraId="3C9FDAC2" w14:textId="71E5E7CA" w:rsidR="00CF747A" w:rsidRPr="00CF747A" w:rsidRDefault="00CF747A" w:rsidP="00CF747A">
            <w:r w:rsidRPr="00CF747A">
              <w:t>редки</w:t>
            </w:r>
          </w:p>
        </w:tc>
      </w:tr>
      <w:tr w:rsidR="00CF747A" w14:paraId="6E155991" w14:textId="77777777" w:rsidTr="00CF747A">
        <w:tc>
          <w:tcPr>
            <w:tcW w:w="3192" w:type="dxa"/>
            <w:vMerge/>
          </w:tcPr>
          <w:p w14:paraId="77738837" w14:textId="77777777" w:rsidR="00CF747A" w:rsidRPr="00CF747A" w:rsidRDefault="00CF747A" w:rsidP="00CF747A"/>
        </w:tc>
        <w:tc>
          <w:tcPr>
            <w:tcW w:w="3192" w:type="dxa"/>
          </w:tcPr>
          <w:p w14:paraId="263D8B83" w14:textId="1BFA372E" w:rsidR="00CF747A" w:rsidRPr="00CF747A" w:rsidRDefault="00CF747A" w:rsidP="00CF747A">
            <w:r w:rsidRPr="00CF747A">
              <w:t>Главоболие</w:t>
            </w:r>
          </w:p>
        </w:tc>
        <w:tc>
          <w:tcPr>
            <w:tcW w:w="3192" w:type="dxa"/>
          </w:tcPr>
          <w:p w14:paraId="221DD8DD" w14:textId="6923B0DB" w:rsidR="00CF747A" w:rsidRPr="00CF747A" w:rsidRDefault="00CF747A" w:rsidP="00CF747A">
            <w:r w:rsidRPr="00CF747A">
              <w:t>нечести</w:t>
            </w:r>
          </w:p>
        </w:tc>
      </w:tr>
      <w:tr w:rsidR="00CF747A" w14:paraId="571AE8A5" w14:textId="77777777" w:rsidTr="00CF747A">
        <w:tc>
          <w:tcPr>
            <w:tcW w:w="3192" w:type="dxa"/>
            <w:vMerge w:val="restart"/>
          </w:tcPr>
          <w:p w14:paraId="441A1439" w14:textId="1944B6E6" w:rsidR="00CF747A" w:rsidRPr="00CF747A" w:rsidRDefault="00CF747A" w:rsidP="00CF747A">
            <w:r w:rsidRPr="00CF747A">
              <w:rPr>
                <w:b/>
                <w:bCs/>
              </w:rPr>
              <w:t>Нарушения на очите</w:t>
            </w:r>
          </w:p>
        </w:tc>
        <w:tc>
          <w:tcPr>
            <w:tcW w:w="3192" w:type="dxa"/>
          </w:tcPr>
          <w:p w14:paraId="3786B4FC" w14:textId="7C295A43" w:rsidR="00CF747A" w:rsidRPr="00CF747A" w:rsidRDefault="00CF747A" w:rsidP="00CF747A">
            <w:r w:rsidRPr="00CF747A">
              <w:t>Замъглено виждане</w:t>
            </w:r>
          </w:p>
        </w:tc>
        <w:tc>
          <w:tcPr>
            <w:tcW w:w="3192" w:type="dxa"/>
          </w:tcPr>
          <w:p w14:paraId="45D9FF10" w14:textId="5978ABD5" w:rsidR="00CF747A" w:rsidRPr="00CF747A" w:rsidRDefault="00CF747A" w:rsidP="00CF747A">
            <w:r w:rsidRPr="00CF747A">
              <w:t>редки</w:t>
            </w:r>
          </w:p>
        </w:tc>
      </w:tr>
      <w:tr w:rsidR="00CF747A" w14:paraId="711BD78E" w14:textId="77777777" w:rsidTr="00CF747A">
        <w:tc>
          <w:tcPr>
            <w:tcW w:w="3192" w:type="dxa"/>
            <w:vMerge/>
          </w:tcPr>
          <w:p w14:paraId="3E5BE7FF" w14:textId="77777777" w:rsidR="00CF747A" w:rsidRPr="00CF747A" w:rsidRDefault="00CF747A" w:rsidP="00CF747A"/>
        </w:tc>
        <w:tc>
          <w:tcPr>
            <w:tcW w:w="3192" w:type="dxa"/>
          </w:tcPr>
          <w:p w14:paraId="66DFE43F" w14:textId="0564EF03" w:rsidR="00CF747A" w:rsidRPr="00CF747A" w:rsidRDefault="00CF747A" w:rsidP="00CF747A">
            <w:r w:rsidRPr="00CF747A">
              <w:t>Глаукома</w:t>
            </w:r>
          </w:p>
        </w:tc>
        <w:tc>
          <w:tcPr>
            <w:tcW w:w="3192" w:type="dxa"/>
          </w:tcPr>
          <w:p w14:paraId="36443116" w14:textId="0C31F765" w:rsidR="00CF747A" w:rsidRPr="00CF747A" w:rsidRDefault="00CF747A" w:rsidP="00CF747A">
            <w:r w:rsidRPr="00CF747A">
              <w:t>с неизвестна честота</w:t>
            </w:r>
          </w:p>
        </w:tc>
      </w:tr>
      <w:tr w:rsidR="00CF747A" w14:paraId="63D3DB0F" w14:textId="77777777" w:rsidTr="00CF747A">
        <w:tc>
          <w:tcPr>
            <w:tcW w:w="3192" w:type="dxa"/>
            <w:vMerge/>
          </w:tcPr>
          <w:p w14:paraId="54295620" w14:textId="77777777" w:rsidR="00CF747A" w:rsidRPr="00CF747A" w:rsidRDefault="00CF747A" w:rsidP="00CF747A"/>
        </w:tc>
        <w:tc>
          <w:tcPr>
            <w:tcW w:w="3192" w:type="dxa"/>
          </w:tcPr>
          <w:p w14:paraId="50D9E70F" w14:textId="73ECA518" w:rsidR="00CF747A" w:rsidRPr="00CF747A" w:rsidRDefault="00CF747A" w:rsidP="00CF747A">
            <w:r w:rsidRPr="00CF747A">
              <w:t>Повишено вътреочно налягане</w:t>
            </w:r>
          </w:p>
        </w:tc>
        <w:tc>
          <w:tcPr>
            <w:tcW w:w="3192" w:type="dxa"/>
          </w:tcPr>
          <w:p w14:paraId="528217B2" w14:textId="58868DE4" w:rsidR="00CF747A" w:rsidRPr="00CF747A" w:rsidRDefault="00CF747A" w:rsidP="00CF747A">
            <w:r w:rsidRPr="00CF747A">
              <w:t>с неизвестна честота</w:t>
            </w:r>
          </w:p>
        </w:tc>
      </w:tr>
      <w:tr w:rsidR="00CF747A" w14:paraId="2EA1F648" w14:textId="77777777" w:rsidTr="00CF747A">
        <w:tc>
          <w:tcPr>
            <w:tcW w:w="3192" w:type="dxa"/>
            <w:vMerge w:val="restart"/>
          </w:tcPr>
          <w:p w14:paraId="5187AEA8" w14:textId="0CA5EE44" w:rsidR="00CF747A" w:rsidRPr="00CF747A" w:rsidRDefault="00CF747A" w:rsidP="00CF747A">
            <w:r w:rsidRPr="00CF747A">
              <w:rPr>
                <w:b/>
                <w:bCs/>
                <w:szCs w:val="20"/>
              </w:rPr>
              <w:t>Сърдечни нарушения</w:t>
            </w:r>
          </w:p>
        </w:tc>
        <w:tc>
          <w:tcPr>
            <w:tcW w:w="3192" w:type="dxa"/>
          </w:tcPr>
          <w:p w14:paraId="5D44458F" w14:textId="54B25382" w:rsidR="00CF747A" w:rsidRPr="00CF747A" w:rsidRDefault="00CF747A" w:rsidP="00CF747A">
            <w:r w:rsidRPr="00CF747A">
              <w:rPr>
                <w:szCs w:val="20"/>
              </w:rPr>
              <w:t>Предсърдно мъждене</w:t>
            </w:r>
          </w:p>
        </w:tc>
        <w:tc>
          <w:tcPr>
            <w:tcW w:w="3192" w:type="dxa"/>
          </w:tcPr>
          <w:p w14:paraId="1F2D79AF" w14:textId="583A93E4" w:rsidR="00CF747A" w:rsidRPr="00CF747A" w:rsidRDefault="00CF747A" w:rsidP="00CF747A">
            <w:r w:rsidRPr="00CF747A">
              <w:rPr>
                <w:szCs w:val="20"/>
              </w:rPr>
              <w:t>редки</w:t>
            </w:r>
          </w:p>
        </w:tc>
      </w:tr>
      <w:tr w:rsidR="00CF747A" w14:paraId="52343BF0" w14:textId="77777777" w:rsidTr="00CF747A">
        <w:tc>
          <w:tcPr>
            <w:tcW w:w="3192" w:type="dxa"/>
            <w:vMerge/>
          </w:tcPr>
          <w:p w14:paraId="1671FB7B" w14:textId="77777777" w:rsidR="00CF747A" w:rsidRPr="00CF747A" w:rsidRDefault="00CF747A" w:rsidP="00CF747A"/>
        </w:tc>
        <w:tc>
          <w:tcPr>
            <w:tcW w:w="3192" w:type="dxa"/>
          </w:tcPr>
          <w:p w14:paraId="2DC95090" w14:textId="5A4880B9" w:rsidR="00CF747A" w:rsidRPr="00CF747A" w:rsidRDefault="00CF747A" w:rsidP="00CF747A">
            <w:r w:rsidRPr="00CF747A">
              <w:rPr>
                <w:szCs w:val="20"/>
              </w:rPr>
              <w:t>Тахикардия</w:t>
            </w:r>
          </w:p>
        </w:tc>
        <w:tc>
          <w:tcPr>
            <w:tcW w:w="3192" w:type="dxa"/>
          </w:tcPr>
          <w:p w14:paraId="1F24649A" w14:textId="2A7F0C74" w:rsidR="00CF747A" w:rsidRPr="00CF747A" w:rsidRDefault="00CF747A" w:rsidP="00CF747A">
            <w:r w:rsidRPr="00CF747A">
              <w:rPr>
                <w:szCs w:val="20"/>
              </w:rPr>
              <w:t>нечести</w:t>
            </w:r>
          </w:p>
        </w:tc>
      </w:tr>
      <w:tr w:rsidR="00CF747A" w14:paraId="34144404" w14:textId="77777777" w:rsidTr="00CF747A">
        <w:tc>
          <w:tcPr>
            <w:tcW w:w="3192" w:type="dxa"/>
            <w:vMerge/>
          </w:tcPr>
          <w:p w14:paraId="38EC57C8" w14:textId="77777777" w:rsidR="00CF747A" w:rsidRPr="00CF747A" w:rsidRDefault="00CF747A" w:rsidP="00CF747A"/>
        </w:tc>
        <w:tc>
          <w:tcPr>
            <w:tcW w:w="3192" w:type="dxa"/>
          </w:tcPr>
          <w:p w14:paraId="5DF05538" w14:textId="670D9069" w:rsidR="00CF747A" w:rsidRPr="00CF747A" w:rsidRDefault="00CF747A" w:rsidP="00CF747A">
            <w:r w:rsidRPr="00CF747A">
              <w:rPr>
                <w:szCs w:val="20"/>
              </w:rPr>
              <w:t>Палпитации</w:t>
            </w:r>
          </w:p>
        </w:tc>
        <w:tc>
          <w:tcPr>
            <w:tcW w:w="3192" w:type="dxa"/>
          </w:tcPr>
          <w:p w14:paraId="68021CB5" w14:textId="0E69F6EC" w:rsidR="00CF747A" w:rsidRPr="00CF747A" w:rsidRDefault="00CF747A" w:rsidP="00CF747A">
            <w:r w:rsidRPr="00CF747A">
              <w:rPr>
                <w:szCs w:val="20"/>
              </w:rPr>
              <w:t>редки</w:t>
            </w:r>
          </w:p>
        </w:tc>
      </w:tr>
      <w:tr w:rsidR="00CF747A" w14:paraId="01FCB79C" w14:textId="77777777" w:rsidTr="00CF747A">
        <w:tc>
          <w:tcPr>
            <w:tcW w:w="3192" w:type="dxa"/>
            <w:vMerge/>
          </w:tcPr>
          <w:p w14:paraId="08821563" w14:textId="77777777" w:rsidR="00CF747A" w:rsidRPr="00CF747A" w:rsidRDefault="00CF747A" w:rsidP="00CF747A"/>
        </w:tc>
        <w:tc>
          <w:tcPr>
            <w:tcW w:w="3192" w:type="dxa"/>
            <w:vAlign w:val="bottom"/>
          </w:tcPr>
          <w:p w14:paraId="017B38D5" w14:textId="123268FF" w:rsidR="00CF747A" w:rsidRPr="00CF747A" w:rsidRDefault="00CF747A" w:rsidP="00CF747A">
            <w:r w:rsidRPr="00CF747A">
              <w:rPr>
                <w:szCs w:val="20"/>
              </w:rPr>
              <w:t>Суправентрикуларна тахикардия</w:t>
            </w:r>
          </w:p>
        </w:tc>
        <w:tc>
          <w:tcPr>
            <w:tcW w:w="3192" w:type="dxa"/>
          </w:tcPr>
          <w:p w14:paraId="6F3FE9E4" w14:textId="32F2A706" w:rsidR="00CF747A" w:rsidRPr="00CF747A" w:rsidRDefault="00CF747A" w:rsidP="00CF747A">
            <w:r w:rsidRPr="00CF747A">
              <w:rPr>
                <w:szCs w:val="20"/>
              </w:rPr>
              <w:t>редки</w:t>
            </w:r>
          </w:p>
        </w:tc>
      </w:tr>
      <w:tr w:rsidR="00CF747A" w14:paraId="4E4222A9" w14:textId="77777777" w:rsidTr="00CF747A">
        <w:tc>
          <w:tcPr>
            <w:tcW w:w="3192" w:type="dxa"/>
          </w:tcPr>
          <w:p w14:paraId="571C8A5A" w14:textId="21FE6759" w:rsidR="00CF747A" w:rsidRPr="00CF747A" w:rsidRDefault="00CF747A" w:rsidP="00CF747A">
            <w:r w:rsidRPr="00CF747A">
              <w:rPr>
                <w:b/>
                <w:bCs/>
                <w:szCs w:val="20"/>
              </w:rPr>
              <w:t>Съдови нарушения</w:t>
            </w:r>
          </w:p>
        </w:tc>
        <w:tc>
          <w:tcPr>
            <w:tcW w:w="3192" w:type="dxa"/>
          </w:tcPr>
          <w:p w14:paraId="7CF47EC1" w14:textId="37CF96D3" w:rsidR="00CF747A" w:rsidRPr="00CF747A" w:rsidRDefault="00CF747A" w:rsidP="00CF747A">
            <w:r w:rsidRPr="00CF747A">
              <w:rPr>
                <w:szCs w:val="20"/>
              </w:rPr>
              <w:t>Хипертония</w:t>
            </w:r>
          </w:p>
        </w:tc>
        <w:tc>
          <w:tcPr>
            <w:tcW w:w="3192" w:type="dxa"/>
          </w:tcPr>
          <w:p w14:paraId="4AAF9DB6" w14:textId="31DA0029" w:rsidR="00CF747A" w:rsidRPr="00CF747A" w:rsidRDefault="00CF747A" w:rsidP="00CF747A">
            <w:r w:rsidRPr="00CF747A">
              <w:rPr>
                <w:szCs w:val="20"/>
              </w:rPr>
              <w:t>редки</w:t>
            </w:r>
          </w:p>
        </w:tc>
      </w:tr>
      <w:tr w:rsidR="00CF747A" w14:paraId="072BA6BA" w14:textId="77777777" w:rsidTr="00CF747A">
        <w:tc>
          <w:tcPr>
            <w:tcW w:w="3192" w:type="dxa"/>
            <w:vMerge w:val="restart"/>
          </w:tcPr>
          <w:p w14:paraId="5A389B8A" w14:textId="1344E0C4" w:rsidR="00CF747A" w:rsidRPr="00CF747A" w:rsidRDefault="00CF747A" w:rsidP="00CF747A">
            <w:r w:rsidRPr="00CF747A">
              <w:rPr>
                <w:b/>
                <w:bCs/>
                <w:szCs w:val="20"/>
              </w:rPr>
              <w:t>Респираторни, гръдни и медиастиналнн нарушения</w:t>
            </w:r>
          </w:p>
        </w:tc>
        <w:tc>
          <w:tcPr>
            <w:tcW w:w="3192" w:type="dxa"/>
          </w:tcPr>
          <w:p w14:paraId="48B3D76C" w14:textId="546F77B3" w:rsidR="00CF747A" w:rsidRPr="00CF747A" w:rsidRDefault="00CF747A" w:rsidP="00CF747A">
            <w:r w:rsidRPr="00CF747A">
              <w:rPr>
                <w:szCs w:val="20"/>
              </w:rPr>
              <w:t>Кашлица</w:t>
            </w:r>
          </w:p>
        </w:tc>
        <w:tc>
          <w:tcPr>
            <w:tcW w:w="3192" w:type="dxa"/>
          </w:tcPr>
          <w:p w14:paraId="365C1F5B" w14:textId="534FE638" w:rsidR="00CF747A" w:rsidRPr="00CF747A" w:rsidRDefault="00CF747A" w:rsidP="00CF747A">
            <w:r w:rsidRPr="00CF747A">
              <w:rPr>
                <w:szCs w:val="20"/>
              </w:rPr>
              <w:t>нечести</w:t>
            </w:r>
          </w:p>
        </w:tc>
      </w:tr>
      <w:tr w:rsidR="00CF747A" w14:paraId="61E6D77D" w14:textId="77777777" w:rsidTr="00CF747A">
        <w:tc>
          <w:tcPr>
            <w:tcW w:w="3192" w:type="dxa"/>
            <w:vMerge/>
          </w:tcPr>
          <w:p w14:paraId="30A7D7AE" w14:textId="77777777" w:rsidR="00CF747A" w:rsidRPr="00CF747A" w:rsidRDefault="00CF747A" w:rsidP="00CF747A"/>
        </w:tc>
        <w:tc>
          <w:tcPr>
            <w:tcW w:w="3192" w:type="dxa"/>
          </w:tcPr>
          <w:p w14:paraId="320A0B33" w14:textId="3B3FC42B" w:rsidR="00CF747A" w:rsidRPr="00CF747A" w:rsidRDefault="00CF747A" w:rsidP="00CF747A">
            <w:r w:rsidRPr="00CF747A">
              <w:rPr>
                <w:szCs w:val="20"/>
              </w:rPr>
              <w:t>Дисфония</w:t>
            </w:r>
          </w:p>
        </w:tc>
        <w:tc>
          <w:tcPr>
            <w:tcW w:w="3192" w:type="dxa"/>
          </w:tcPr>
          <w:p w14:paraId="465C66F6" w14:textId="18556696" w:rsidR="00CF747A" w:rsidRPr="00CF747A" w:rsidRDefault="00CF747A" w:rsidP="00CF747A">
            <w:r w:rsidRPr="00CF747A">
              <w:rPr>
                <w:szCs w:val="20"/>
              </w:rPr>
              <w:t>нечести</w:t>
            </w:r>
          </w:p>
        </w:tc>
      </w:tr>
      <w:tr w:rsidR="00CF747A" w14:paraId="7183C7DF" w14:textId="77777777" w:rsidTr="00CF747A">
        <w:tc>
          <w:tcPr>
            <w:tcW w:w="3192" w:type="dxa"/>
            <w:vMerge/>
          </w:tcPr>
          <w:p w14:paraId="6FE5B45E" w14:textId="77777777" w:rsidR="00CF747A" w:rsidRPr="00CF747A" w:rsidRDefault="00CF747A" w:rsidP="00CF747A"/>
        </w:tc>
        <w:tc>
          <w:tcPr>
            <w:tcW w:w="3192" w:type="dxa"/>
          </w:tcPr>
          <w:p w14:paraId="5A4571CF" w14:textId="1F4D4E7A" w:rsidR="00CF747A" w:rsidRPr="00CF747A" w:rsidRDefault="00CF747A" w:rsidP="00CF747A">
            <w:r w:rsidRPr="00CF747A">
              <w:rPr>
                <w:szCs w:val="20"/>
              </w:rPr>
              <w:t>Ларингит</w:t>
            </w:r>
          </w:p>
        </w:tc>
        <w:tc>
          <w:tcPr>
            <w:tcW w:w="3192" w:type="dxa"/>
          </w:tcPr>
          <w:p w14:paraId="352BEF30" w14:textId="73C86AD2" w:rsidR="00CF747A" w:rsidRPr="00CF747A" w:rsidRDefault="00CF747A" w:rsidP="00CF747A">
            <w:r w:rsidRPr="00CF747A">
              <w:rPr>
                <w:szCs w:val="20"/>
              </w:rPr>
              <w:t>редки</w:t>
            </w:r>
          </w:p>
        </w:tc>
      </w:tr>
      <w:tr w:rsidR="00CF747A" w14:paraId="2036363A" w14:textId="77777777" w:rsidTr="00CF747A">
        <w:tc>
          <w:tcPr>
            <w:tcW w:w="3192" w:type="dxa"/>
            <w:vMerge/>
          </w:tcPr>
          <w:p w14:paraId="6797A222" w14:textId="77777777" w:rsidR="00CF747A" w:rsidRPr="00CF747A" w:rsidRDefault="00CF747A" w:rsidP="00CF747A"/>
        </w:tc>
        <w:tc>
          <w:tcPr>
            <w:tcW w:w="3192" w:type="dxa"/>
          </w:tcPr>
          <w:p w14:paraId="3F33D063" w14:textId="6AB6E596" w:rsidR="00CF747A" w:rsidRPr="00CF747A" w:rsidRDefault="00CF747A" w:rsidP="00CF747A">
            <w:r w:rsidRPr="00CF747A">
              <w:rPr>
                <w:szCs w:val="20"/>
              </w:rPr>
              <w:t>Фарингит</w:t>
            </w:r>
          </w:p>
        </w:tc>
        <w:tc>
          <w:tcPr>
            <w:tcW w:w="3192" w:type="dxa"/>
          </w:tcPr>
          <w:p w14:paraId="41CE3E3B" w14:textId="05928988" w:rsidR="00CF747A" w:rsidRPr="00CF747A" w:rsidRDefault="00CF747A" w:rsidP="00CF747A">
            <w:r w:rsidRPr="00CF747A">
              <w:rPr>
                <w:szCs w:val="20"/>
              </w:rPr>
              <w:t>редки</w:t>
            </w:r>
          </w:p>
        </w:tc>
      </w:tr>
      <w:tr w:rsidR="00CF747A" w14:paraId="7BC8D1AD" w14:textId="77777777" w:rsidTr="00CF747A">
        <w:tc>
          <w:tcPr>
            <w:tcW w:w="3192" w:type="dxa"/>
            <w:vMerge/>
          </w:tcPr>
          <w:p w14:paraId="5ACB0BE9" w14:textId="77777777" w:rsidR="00CF747A" w:rsidRPr="00CF747A" w:rsidRDefault="00CF747A" w:rsidP="00CF747A"/>
        </w:tc>
        <w:tc>
          <w:tcPr>
            <w:tcW w:w="3192" w:type="dxa"/>
          </w:tcPr>
          <w:p w14:paraId="3A94D65E" w14:textId="61B2D84F" w:rsidR="00CF747A" w:rsidRPr="00CF747A" w:rsidRDefault="00CF747A" w:rsidP="00CF747A">
            <w:r w:rsidRPr="00CF747A">
              <w:rPr>
                <w:szCs w:val="20"/>
              </w:rPr>
              <w:t>Епистаксис</w:t>
            </w:r>
          </w:p>
        </w:tc>
        <w:tc>
          <w:tcPr>
            <w:tcW w:w="3192" w:type="dxa"/>
          </w:tcPr>
          <w:p w14:paraId="7AF09D20" w14:textId="2521277E" w:rsidR="00CF747A" w:rsidRPr="00CF747A" w:rsidRDefault="00CF747A" w:rsidP="00CF747A">
            <w:r w:rsidRPr="00CF747A">
              <w:rPr>
                <w:szCs w:val="20"/>
              </w:rPr>
              <w:t>редки</w:t>
            </w:r>
          </w:p>
        </w:tc>
      </w:tr>
      <w:tr w:rsidR="00CF747A" w14:paraId="3C9AC05F" w14:textId="77777777" w:rsidTr="00CF747A">
        <w:tc>
          <w:tcPr>
            <w:tcW w:w="3192" w:type="dxa"/>
            <w:vMerge/>
          </w:tcPr>
          <w:p w14:paraId="6220E031" w14:textId="77777777" w:rsidR="00CF747A" w:rsidRPr="00CF747A" w:rsidRDefault="00CF747A" w:rsidP="00CF747A"/>
        </w:tc>
        <w:tc>
          <w:tcPr>
            <w:tcW w:w="3192" w:type="dxa"/>
          </w:tcPr>
          <w:p w14:paraId="2245ABDE" w14:textId="03F4C99F" w:rsidR="00CF747A" w:rsidRPr="00CF747A" w:rsidRDefault="00CF747A" w:rsidP="00CF747A">
            <w:r w:rsidRPr="00CF747A">
              <w:rPr>
                <w:szCs w:val="20"/>
              </w:rPr>
              <w:t>Бронхоспазъм</w:t>
            </w:r>
          </w:p>
        </w:tc>
        <w:tc>
          <w:tcPr>
            <w:tcW w:w="3192" w:type="dxa"/>
          </w:tcPr>
          <w:p w14:paraId="65DF24FC" w14:textId="60E778C1" w:rsidR="00CF747A" w:rsidRPr="00CF747A" w:rsidRDefault="00CF747A" w:rsidP="00CF747A">
            <w:r w:rsidRPr="00CF747A">
              <w:rPr>
                <w:szCs w:val="20"/>
              </w:rPr>
              <w:t>редки</w:t>
            </w:r>
          </w:p>
        </w:tc>
      </w:tr>
      <w:tr w:rsidR="00CF747A" w14:paraId="2B863753" w14:textId="77777777" w:rsidTr="00CF747A">
        <w:tc>
          <w:tcPr>
            <w:tcW w:w="3192" w:type="dxa"/>
            <w:vMerge/>
          </w:tcPr>
          <w:p w14:paraId="17D2DAC6" w14:textId="77777777" w:rsidR="00CF747A" w:rsidRPr="00CF747A" w:rsidRDefault="00CF747A" w:rsidP="00CF747A"/>
        </w:tc>
        <w:tc>
          <w:tcPr>
            <w:tcW w:w="3192" w:type="dxa"/>
          </w:tcPr>
          <w:p w14:paraId="0F1FA4BE" w14:textId="2B107375" w:rsidR="00CF747A" w:rsidRPr="00CF747A" w:rsidRDefault="00CF747A" w:rsidP="00CF747A">
            <w:r w:rsidRPr="00CF747A">
              <w:rPr>
                <w:szCs w:val="20"/>
              </w:rPr>
              <w:t>Синузит</w:t>
            </w:r>
          </w:p>
        </w:tc>
        <w:tc>
          <w:tcPr>
            <w:tcW w:w="3192" w:type="dxa"/>
          </w:tcPr>
          <w:p w14:paraId="4BFFB316" w14:textId="312A2632" w:rsidR="00CF747A" w:rsidRPr="00CF747A" w:rsidRDefault="00CF747A" w:rsidP="00CF747A">
            <w:r w:rsidRPr="00CF747A">
              <w:rPr>
                <w:szCs w:val="20"/>
              </w:rPr>
              <w:t>с неизвестна честота</w:t>
            </w:r>
          </w:p>
        </w:tc>
      </w:tr>
      <w:tr w:rsidR="00CF747A" w14:paraId="41FE6340" w14:textId="77777777" w:rsidTr="00CF747A">
        <w:tc>
          <w:tcPr>
            <w:tcW w:w="3192" w:type="dxa"/>
            <w:vMerge w:val="restart"/>
          </w:tcPr>
          <w:p w14:paraId="570526F2" w14:textId="5F7153F3" w:rsidR="00CF747A" w:rsidRPr="00CF747A" w:rsidRDefault="00CF747A" w:rsidP="00CF747A">
            <w:r w:rsidRPr="00CF747A">
              <w:rPr>
                <w:b/>
                <w:bCs/>
                <w:szCs w:val="20"/>
              </w:rPr>
              <w:t>Стомашно-чревни нарушения</w:t>
            </w:r>
          </w:p>
        </w:tc>
        <w:tc>
          <w:tcPr>
            <w:tcW w:w="3192" w:type="dxa"/>
          </w:tcPr>
          <w:p w14:paraId="7BB3E9CD" w14:textId="19AE8ABD" w:rsidR="00CF747A" w:rsidRPr="00CF747A" w:rsidRDefault="00CF747A" w:rsidP="00CF747A">
            <w:r w:rsidRPr="00CF747A">
              <w:rPr>
                <w:szCs w:val="20"/>
              </w:rPr>
              <w:t>Сухота в устата</w:t>
            </w:r>
          </w:p>
        </w:tc>
        <w:tc>
          <w:tcPr>
            <w:tcW w:w="3192" w:type="dxa"/>
          </w:tcPr>
          <w:p w14:paraId="401D6026" w14:textId="580D38FE" w:rsidR="00CF747A" w:rsidRPr="00CF747A" w:rsidRDefault="00CF747A" w:rsidP="00CF747A">
            <w:r w:rsidRPr="00CF747A">
              <w:rPr>
                <w:szCs w:val="20"/>
              </w:rPr>
              <w:t>нечести</w:t>
            </w:r>
          </w:p>
        </w:tc>
      </w:tr>
      <w:tr w:rsidR="00CF747A" w14:paraId="371B5A14" w14:textId="77777777" w:rsidTr="00CF747A">
        <w:tc>
          <w:tcPr>
            <w:tcW w:w="3192" w:type="dxa"/>
            <w:vMerge/>
          </w:tcPr>
          <w:p w14:paraId="57327919" w14:textId="77777777" w:rsidR="00CF747A" w:rsidRPr="00CF747A" w:rsidRDefault="00CF747A" w:rsidP="00CF747A"/>
        </w:tc>
        <w:tc>
          <w:tcPr>
            <w:tcW w:w="3192" w:type="dxa"/>
          </w:tcPr>
          <w:p w14:paraId="465C8EAC" w14:textId="0E505B4B" w:rsidR="00CF747A" w:rsidRPr="00CF747A" w:rsidRDefault="00CF747A" w:rsidP="00CF747A">
            <w:r w:rsidRPr="00CF747A">
              <w:rPr>
                <w:szCs w:val="20"/>
              </w:rPr>
              <w:t>Запек</w:t>
            </w:r>
          </w:p>
        </w:tc>
        <w:tc>
          <w:tcPr>
            <w:tcW w:w="3192" w:type="dxa"/>
          </w:tcPr>
          <w:p w14:paraId="67DA271C" w14:textId="3BCAF8C1" w:rsidR="00CF747A" w:rsidRPr="00CF747A" w:rsidRDefault="00CF747A" w:rsidP="00CF747A">
            <w:r w:rsidRPr="00CF747A">
              <w:rPr>
                <w:szCs w:val="20"/>
              </w:rPr>
              <w:t>редки</w:t>
            </w:r>
          </w:p>
        </w:tc>
      </w:tr>
      <w:tr w:rsidR="00CF747A" w14:paraId="589825D6" w14:textId="77777777" w:rsidTr="00CF747A">
        <w:tc>
          <w:tcPr>
            <w:tcW w:w="3192" w:type="dxa"/>
            <w:vMerge/>
          </w:tcPr>
          <w:p w14:paraId="2F5B833D" w14:textId="77777777" w:rsidR="00CF747A" w:rsidRPr="00CF747A" w:rsidRDefault="00CF747A" w:rsidP="00CF747A"/>
        </w:tc>
        <w:tc>
          <w:tcPr>
            <w:tcW w:w="3192" w:type="dxa"/>
          </w:tcPr>
          <w:p w14:paraId="64C68A0F" w14:textId="74B5D9E7" w:rsidR="00CF747A" w:rsidRPr="00CF747A" w:rsidRDefault="00CF747A" w:rsidP="00CF747A">
            <w:r w:rsidRPr="00CF747A">
              <w:rPr>
                <w:szCs w:val="20"/>
              </w:rPr>
              <w:t>Орофарингеална кандидоза</w:t>
            </w:r>
          </w:p>
        </w:tc>
        <w:tc>
          <w:tcPr>
            <w:tcW w:w="3192" w:type="dxa"/>
          </w:tcPr>
          <w:p w14:paraId="2FAB458E" w14:textId="7F75724B" w:rsidR="00CF747A" w:rsidRPr="00CF747A" w:rsidRDefault="00CF747A" w:rsidP="00CF747A">
            <w:r w:rsidRPr="00CF747A">
              <w:rPr>
                <w:szCs w:val="20"/>
              </w:rPr>
              <w:t>редки</w:t>
            </w:r>
          </w:p>
        </w:tc>
      </w:tr>
      <w:tr w:rsidR="00CF747A" w14:paraId="1371FEB3" w14:textId="77777777" w:rsidTr="00CF747A">
        <w:tc>
          <w:tcPr>
            <w:tcW w:w="3192" w:type="dxa"/>
            <w:vMerge/>
          </w:tcPr>
          <w:p w14:paraId="5FF066FF" w14:textId="77777777" w:rsidR="00CF747A" w:rsidRPr="00CF747A" w:rsidRDefault="00CF747A" w:rsidP="00CF747A"/>
        </w:tc>
        <w:tc>
          <w:tcPr>
            <w:tcW w:w="3192" w:type="dxa"/>
          </w:tcPr>
          <w:p w14:paraId="24AC1FD4" w14:textId="57AE9F5B" w:rsidR="00CF747A" w:rsidRPr="00CF747A" w:rsidRDefault="00CF747A" w:rsidP="00CF747A">
            <w:r w:rsidRPr="00CF747A">
              <w:rPr>
                <w:szCs w:val="20"/>
              </w:rPr>
              <w:t>Гингивит</w:t>
            </w:r>
          </w:p>
        </w:tc>
        <w:tc>
          <w:tcPr>
            <w:tcW w:w="3192" w:type="dxa"/>
          </w:tcPr>
          <w:p w14:paraId="7A4DBDA9" w14:textId="6124467D" w:rsidR="00CF747A" w:rsidRPr="00CF747A" w:rsidRDefault="00CF747A" w:rsidP="00CF747A">
            <w:r w:rsidRPr="00CF747A">
              <w:rPr>
                <w:szCs w:val="20"/>
              </w:rPr>
              <w:t>редки</w:t>
            </w:r>
          </w:p>
        </w:tc>
      </w:tr>
      <w:tr w:rsidR="00CF747A" w14:paraId="5188F524" w14:textId="77777777" w:rsidTr="00CF747A">
        <w:tc>
          <w:tcPr>
            <w:tcW w:w="3192" w:type="dxa"/>
            <w:vMerge/>
          </w:tcPr>
          <w:p w14:paraId="1744C7B6" w14:textId="77777777" w:rsidR="00CF747A" w:rsidRPr="00CF747A" w:rsidRDefault="00CF747A" w:rsidP="00CF747A"/>
        </w:tc>
        <w:tc>
          <w:tcPr>
            <w:tcW w:w="3192" w:type="dxa"/>
          </w:tcPr>
          <w:p w14:paraId="44AE4AD0" w14:textId="47B120D9" w:rsidR="00CF747A" w:rsidRPr="00CF747A" w:rsidRDefault="00CF747A" w:rsidP="00CF747A">
            <w:r w:rsidRPr="00CF747A">
              <w:rPr>
                <w:szCs w:val="20"/>
              </w:rPr>
              <w:t>Гадене</w:t>
            </w:r>
          </w:p>
        </w:tc>
        <w:tc>
          <w:tcPr>
            <w:tcW w:w="3192" w:type="dxa"/>
          </w:tcPr>
          <w:p w14:paraId="6D78E227" w14:textId="7145ECD6" w:rsidR="00CF747A" w:rsidRPr="00CF747A" w:rsidRDefault="00CF747A" w:rsidP="00CF747A">
            <w:r w:rsidRPr="00CF747A">
              <w:rPr>
                <w:szCs w:val="20"/>
              </w:rPr>
              <w:t>редки</w:t>
            </w:r>
          </w:p>
        </w:tc>
      </w:tr>
      <w:tr w:rsidR="00CF747A" w14:paraId="234587E9" w14:textId="77777777" w:rsidTr="00CF747A">
        <w:tc>
          <w:tcPr>
            <w:tcW w:w="3192" w:type="dxa"/>
            <w:vMerge/>
          </w:tcPr>
          <w:p w14:paraId="0E315367" w14:textId="77777777" w:rsidR="00CF747A" w:rsidRPr="00CF747A" w:rsidRDefault="00CF747A" w:rsidP="00CF747A"/>
        </w:tc>
        <w:tc>
          <w:tcPr>
            <w:tcW w:w="3192" w:type="dxa"/>
            <w:vAlign w:val="bottom"/>
          </w:tcPr>
          <w:p w14:paraId="15594A6C" w14:textId="229BBCF0" w:rsidR="00CF747A" w:rsidRPr="00CF747A" w:rsidRDefault="00CF747A" w:rsidP="00CF747A">
            <w:r w:rsidRPr="00CF747A">
              <w:rPr>
                <w:szCs w:val="20"/>
              </w:rPr>
              <w:t>Чревна обструкция Паралитичен илеус</w:t>
            </w:r>
          </w:p>
        </w:tc>
        <w:tc>
          <w:tcPr>
            <w:tcW w:w="3192" w:type="dxa"/>
          </w:tcPr>
          <w:p w14:paraId="1D88C6F6" w14:textId="4BAC0BF1" w:rsidR="00CF747A" w:rsidRPr="00CF747A" w:rsidRDefault="00CF747A" w:rsidP="00CF747A">
            <w:r w:rsidRPr="00CF747A">
              <w:rPr>
                <w:szCs w:val="20"/>
              </w:rPr>
              <w:t>с неизвестна честота</w:t>
            </w:r>
          </w:p>
        </w:tc>
      </w:tr>
      <w:tr w:rsidR="00CF747A" w14:paraId="0B1F90B2" w14:textId="77777777" w:rsidTr="00CF747A">
        <w:tc>
          <w:tcPr>
            <w:tcW w:w="3192" w:type="dxa"/>
            <w:vMerge/>
          </w:tcPr>
          <w:p w14:paraId="3D7BC67E" w14:textId="77777777" w:rsidR="00CF747A" w:rsidRPr="00CF747A" w:rsidRDefault="00CF747A" w:rsidP="00CF747A"/>
        </w:tc>
        <w:tc>
          <w:tcPr>
            <w:tcW w:w="3192" w:type="dxa"/>
          </w:tcPr>
          <w:p w14:paraId="507AA93D" w14:textId="225304B4" w:rsidR="00CF747A" w:rsidRPr="00CF747A" w:rsidRDefault="00CF747A" w:rsidP="00CF747A">
            <w:r w:rsidRPr="00CF747A">
              <w:rPr>
                <w:szCs w:val="20"/>
              </w:rPr>
              <w:t>Дисфагия</w:t>
            </w:r>
          </w:p>
        </w:tc>
        <w:tc>
          <w:tcPr>
            <w:tcW w:w="3192" w:type="dxa"/>
          </w:tcPr>
          <w:p w14:paraId="0CBB5E5B" w14:textId="65E8334C" w:rsidR="00CF747A" w:rsidRPr="00CF747A" w:rsidRDefault="00CF747A" w:rsidP="00CF747A">
            <w:r w:rsidRPr="00CF747A">
              <w:rPr>
                <w:szCs w:val="20"/>
              </w:rPr>
              <w:t>с неизвестна честота</w:t>
            </w:r>
          </w:p>
        </w:tc>
      </w:tr>
      <w:tr w:rsidR="00CF747A" w14:paraId="04C667CF" w14:textId="77777777" w:rsidTr="00CF747A">
        <w:tc>
          <w:tcPr>
            <w:tcW w:w="3192" w:type="dxa"/>
            <w:vMerge/>
          </w:tcPr>
          <w:p w14:paraId="54FEA2A7" w14:textId="77777777" w:rsidR="00CF747A" w:rsidRPr="00CF747A" w:rsidRDefault="00CF747A" w:rsidP="00CF747A"/>
        </w:tc>
        <w:tc>
          <w:tcPr>
            <w:tcW w:w="3192" w:type="dxa"/>
            <w:vAlign w:val="bottom"/>
          </w:tcPr>
          <w:p w14:paraId="47B2BE07" w14:textId="1804D682" w:rsidR="00CF747A" w:rsidRPr="00CF747A" w:rsidRDefault="00CF747A" w:rsidP="00CF747A">
            <w:r w:rsidRPr="00CF747A">
              <w:rPr>
                <w:szCs w:val="20"/>
              </w:rPr>
              <w:t>Гастроезофагеална рефлуксна болест</w:t>
            </w:r>
          </w:p>
        </w:tc>
        <w:tc>
          <w:tcPr>
            <w:tcW w:w="3192" w:type="dxa"/>
          </w:tcPr>
          <w:p w14:paraId="2F30F8D2" w14:textId="0CA60249" w:rsidR="00CF747A" w:rsidRPr="00CF747A" w:rsidRDefault="00CF747A" w:rsidP="00CF747A">
            <w:r w:rsidRPr="00CF747A">
              <w:rPr>
                <w:szCs w:val="20"/>
              </w:rPr>
              <w:t>с неизвестна честота</w:t>
            </w:r>
          </w:p>
        </w:tc>
      </w:tr>
      <w:tr w:rsidR="00CF747A" w14:paraId="7A2A2632" w14:textId="77777777" w:rsidTr="00CF747A">
        <w:tc>
          <w:tcPr>
            <w:tcW w:w="3192" w:type="dxa"/>
            <w:vMerge/>
          </w:tcPr>
          <w:p w14:paraId="4A8929AB" w14:textId="77777777" w:rsidR="00CF747A" w:rsidRPr="00CF747A" w:rsidRDefault="00CF747A" w:rsidP="00CF747A"/>
        </w:tc>
        <w:tc>
          <w:tcPr>
            <w:tcW w:w="3192" w:type="dxa"/>
          </w:tcPr>
          <w:p w14:paraId="0B106B2D" w14:textId="57B261D1" w:rsidR="00CF747A" w:rsidRPr="00CF747A" w:rsidRDefault="00CF747A" w:rsidP="00CF747A">
            <w:r w:rsidRPr="00CF747A">
              <w:rPr>
                <w:szCs w:val="20"/>
              </w:rPr>
              <w:t>Глосит</w:t>
            </w:r>
          </w:p>
        </w:tc>
        <w:tc>
          <w:tcPr>
            <w:tcW w:w="3192" w:type="dxa"/>
            <w:vAlign w:val="bottom"/>
          </w:tcPr>
          <w:p w14:paraId="0FEC5FF6" w14:textId="715F6AB6" w:rsidR="00CF747A" w:rsidRPr="00CF747A" w:rsidRDefault="00CF747A" w:rsidP="00CF747A">
            <w:r w:rsidRPr="00CF747A">
              <w:rPr>
                <w:szCs w:val="20"/>
              </w:rPr>
              <w:t>с неизвестна честота</w:t>
            </w:r>
          </w:p>
        </w:tc>
      </w:tr>
      <w:tr w:rsidR="00CF747A" w14:paraId="37DEF156" w14:textId="77777777" w:rsidTr="00CF747A">
        <w:tc>
          <w:tcPr>
            <w:tcW w:w="3192" w:type="dxa"/>
            <w:vMerge/>
          </w:tcPr>
          <w:p w14:paraId="3E085775" w14:textId="77777777" w:rsidR="00CF747A" w:rsidRPr="00CF747A" w:rsidRDefault="00CF747A" w:rsidP="00CF747A"/>
        </w:tc>
        <w:tc>
          <w:tcPr>
            <w:tcW w:w="3192" w:type="dxa"/>
          </w:tcPr>
          <w:p w14:paraId="610FF0C1" w14:textId="1F7E3504" w:rsidR="00CF747A" w:rsidRPr="00CF747A" w:rsidRDefault="00CF747A" w:rsidP="00CF747A">
            <w:r w:rsidRPr="00CF747A">
              <w:rPr>
                <w:szCs w:val="20"/>
              </w:rPr>
              <w:t>Стоматит</w:t>
            </w:r>
          </w:p>
        </w:tc>
        <w:tc>
          <w:tcPr>
            <w:tcW w:w="3192" w:type="dxa"/>
          </w:tcPr>
          <w:p w14:paraId="3B94005E" w14:textId="47C49499" w:rsidR="00CF747A" w:rsidRPr="00CF747A" w:rsidRDefault="00CF747A" w:rsidP="00CF747A">
            <w:r w:rsidRPr="00CF747A">
              <w:rPr>
                <w:szCs w:val="20"/>
              </w:rPr>
              <w:t>редки</w:t>
            </w:r>
          </w:p>
        </w:tc>
      </w:tr>
      <w:tr w:rsidR="00CF747A" w14:paraId="1D570BC3" w14:textId="77777777" w:rsidTr="00CF747A">
        <w:tc>
          <w:tcPr>
            <w:tcW w:w="3192" w:type="dxa"/>
            <w:vMerge/>
          </w:tcPr>
          <w:p w14:paraId="7EDD4C40" w14:textId="77777777" w:rsidR="00CF747A" w:rsidRPr="00CF747A" w:rsidRDefault="00CF747A" w:rsidP="00CF747A"/>
        </w:tc>
        <w:tc>
          <w:tcPr>
            <w:tcW w:w="3192" w:type="dxa"/>
          </w:tcPr>
          <w:p w14:paraId="0AC3358E" w14:textId="5B85899F" w:rsidR="00CF747A" w:rsidRPr="00CF747A" w:rsidRDefault="00CF747A" w:rsidP="00CF747A">
            <w:r w:rsidRPr="00CF747A">
              <w:rPr>
                <w:szCs w:val="20"/>
              </w:rPr>
              <w:t>Зъбни кариеси</w:t>
            </w:r>
          </w:p>
        </w:tc>
        <w:tc>
          <w:tcPr>
            <w:tcW w:w="3192" w:type="dxa"/>
          </w:tcPr>
          <w:p w14:paraId="7DEA3743" w14:textId="2CFD8303" w:rsidR="00CF747A" w:rsidRPr="00CF747A" w:rsidRDefault="00CF747A" w:rsidP="00CF747A">
            <w:r w:rsidRPr="00CF747A">
              <w:rPr>
                <w:szCs w:val="20"/>
              </w:rPr>
              <w:t>с неизвестна честота</w:t>
            </w:r>
          </w:p>
        </w:tc>
      </w:tr>
      <w:tr w:rsidR="00CF747A" w14:paraId="43393636" w14:textId="77777777" w:rsidTr="00CF747A">
        <w:tc>
          <w:tcPr>
            <w:tcW w:w="3192" w:type="dxa"/>
            <w:vMerge w:val="restart"/>
          </w:tcPr>
          <w:p w14:paraId="2F6B0C96" w14:textId="1497D34C" w:rsidR="00CF747A" w:rsidRPr="00CF747A" w:rsidRDefault="00CF747A" w:rsidP="00CF747A">
            <w:r w:rsidRPr="00CF747A">
              <w:rPr>
                <w:b/>
                <w:bCs/>
                <w:szCs w:val="20"/>
              </w:rPr>
              <w:t>Нарушения на кожата и подкожната тъкан, Нарушения на имунната система</w:t>
            </w:r>
          </w:p>
        </w:tc>
        <w:tc>
          <w:tcPr>
            <w:tcW w:w="3192" w:type="dxa"/>
          </w:tcPr>
          <w:p w14:paraId="38CE9AAD" w14:textId="1F91CFD8" w:rsidR="00CF747A" w:rsidRPr="00CF747A" w:rsidRDefault="00CF747A" w:rsidP="00CF747A">
            <w:r w:rsidRPr="00CF747A">
              <w:rPr>
                <w:szCs w:val="20"/>
              </w:rPr>
              <w:t>Свръхчувствителност</w:t>
            </w:r>
          </w:p>
        </w:tc>
        <w:tc>
          <w:tcPr>
            <w:tcW w:w="3192" w:type="dxa"/>
          </w:tcPr>
          <w:p w14:paraId="6910C3EC" w14:textId="37DF6504" w:rsidR="00CF747A" w:rsidRPr="00CF747A" w:rsidRDefault="00CF747A" w:rsidP="00CF747A">
            <w:r w:rsidRPr="00CF747A">
              <w:rPr>
                <w:szCs w:val="20"/>
              </w:rPr>
              <w:t>редки</w:t>
            </w:r>
          </w:p>
        </w:tc>
      </w:tr>
      <w:tr w:rsidR="00CF747A" w14:paraId="0D0363E9" w14:textId="77777777" w:rsidTr="00CF747A">
        <w:tc>
          <w:tcPr>
            <w:tcW w:w="3192" w:type="dxa"/>
            <w:vMerge/>
          </w:tcPr>
          <w:p w14:paraId="04E18AAA" w14:textId="77777777" w:rsidR="00CF747A" w:rsidRPr="00CF747A" w:rsidRDefault="00CF747A" w:rsidP="00CF747A"/>
        </w:tc>
        <w:tc>
          <w:tcPr>
            <w:tcW w:w="3192" w:type="dxa"/>
          </w:tcPr>
          <w:p w14:paraId="5B915574" w14:textId="1033123D" w:rsidR="00CF747A" w:rsidRPr="00CF747A" w:rsidRDefault="00CF747A" w:rsidP="00CF747A">
            <w:r w:rsidRPr="00CF747A">
              <w:rPr>
                <w:szCs w:val="20"/>
              </w:rPr>
              <w:t>Ангионевротичен оток</w:t>
            </w:r>
          </w:p>
        </w:tc>
        <w:tc>
          <w:tcPr>
            <w:tcW w:w="3192" w:type="dxa"/>
          </w:tcPr>
          <w:p w14:paraId="718817BB" w14:textId="124F6217" w:rsidR="00CF747A" w:rsidRPr="00CF747A" w:rsidRDefault="00CF747A" w:rsidP="00CF747A">
            <w:r w:rsidRPr="00CF747A">
              <w:rPr>
                <w:szCs w:val="20"/>
              </w:rPr>
              <w:t>редки</w:t>
            </w:r>
          </w:p>
        </w:tc>
      </w:tr>
      <w:tr w:rsidR="00CF747A" w14:paraId="0F4AD1EE" w14:textId="77777777" w:rsidTr="00CF747A">
        <w:tc>
          <w:tcPr>
            <w:tcW w:w="3192" w:type="dxa"/>
            <w:vMerge/>
          </w:tcPr>
          <w:p w14:paraId="561CA89A" w14:textId="77777777" w:rsidR="00CF747A" w:rsidRPr="00CF747A" w:rsidRDefault="00CF747A" w:rsidP="00CF747A"/>
        </w:tc>
        <w:tc>
          <w:tcPr>
            <w:tcW w:w="3192" w:type="dxa"/>
          </w:tcPr>
          <w:p w14:paraId="247CF650" w14:textId="0A72BB1D" w:rsidR="00CF747A" w:rsidRPr="00CF747A" w:rsidRDefault="00CF747A" w:rsidP="00CF747A">
            <w:r w:rsidRPr="00CF747A">
              <w:rPr>
                <w:szCs w:val="20"/>
              </w:rPr>
              <w:t>Уртикария</w:t>
            </w:r>
          </w:p>
        </w:tc>
        <w:tc>
          <w:tcPr>
            <w:tcW w:w="3192" w:type="dxa"/>
          </w:tcPr>
          <w:p w14:paraId="690210C9" w14:textId="6E810832" w:rsidR="00CF747A" w:rsidRPr="00CF747A" w:rsidRDefault="00CF747A" w:rsidP="00CF747A">
            <w:r w:rsidRPr="00CF747A">
              <w:rPr>
                <w:szCs w:val="20"/>
              </w:rPr>
              <w:t>редки</w:t>
            </w:r>
          </w:p>
        </w:tc>
      </w:tr>
      <w:tr w:rsidR="00CF747A" w14:paraId="7EB899F4" w14:textId="77777777" w:rsidTr="00CF747A">
        <w:tc>
          <w:tcPr>
            <w:tcW w:w="3192" w:type="dxa"/>
            <w:vMerge/>
          </w:tcPr>
          <w:p w14:paraId="446441F2" w14:textId="77777777" w:rsidR="00CF747A" w:rsidRPr="00CF747A" w:rsidRDefault="00CF747A" w:rsidP="00CF747A"/>
        </w:tc>
        <w:tc>
          <w:tcPr>
            <w:tcW w:w="3192" w:type="dxa"/>
          </w:tcPr>
          <w:p w14:paraId="5542BA61" w14:textId="67245D00" w:rsidR="00CF747A" w:rsidRPr="00CF747A" w:rsidRDefault="00CF747A" w:rsidP="00CF747A">
            <w:r w:rsidRPr="00CF747A">
              <w:rPr>
                <w:szCs w:val="20"/>
              </w:rPr>
              <w:t>Пруритус</w:t>
            </w:r>
          </w:p>
        </w:tc>
        <w:tc>
          <w:tcPr>
            <w:tcW w:w="3192" w:type="dxa"/>
          </w:tcPr>
          <w:p w14:paraId="7BF4F06E" w14:textId="7910A622" w:rsidR="00CF747A" w:rsidRPr="00CF747A" w:rsidRDefault="00CF747A" w:rsidP="00CF747A">
            <w:r w:rsidRPr="00CF747A">
              <w:rPr>
                <w:szCs w:val="20"/>
              </w:rPr>
              <w:t>редки</w:t>
            </w:r>
          </w:p>
        </w:tc>
      </w:tr>
      <w:tr w:rsidR="00CF747A" w14:paraId="1037BE37" w14:textId="77777777" w:rsidTr="00CF747A">
        <w:tc>
          <w:tcPr>
            <w:tcW w:w="3192" w:type="dxa"/>
            <w:vMerge/>
          </w:tcPr>
          <w:p w14:paraId="0AF7185C" w14:textId="77777777" w:rsidR="00CF747A" w:rsidRPr="00CF747A" w:rsidRDefault="00CF747A" w:rsidP="00CF747A"/>
        </w:tc>
        <w:tc>
          <w:tcPr>
            <w:tcW w:w="3192" w:type="dxa"/>
          </w:tcPr>
          <w:p w14:paraId="446E387F" w14:textId="0EC25E17" w:rsidR="00CF747A" w:rsidRPr="00CF747A" w:rsidRDefault="00CF747A" w:rsidP="00CF747A">
            <w:r w:rsidRPr="00CF747A">
              <w:rPr>
                <w:szCs w:val="20"/>
              </w:rPr>
              <w:t>Анафилактична реакция</w:t>
            </w:r>
          </w:p>
        </w:tc>
        <w:tc>
          <w:tcPr>
            <w:tcW w:w="3192" w:type="dxa"/>
          </w:tcPr>
          <w:p w14:paraId="537A2705" w14:textId="51A05605" w:rsidR="00CF747A" w:rsidRPr="00CF747A" w:rsidRDefault="00CF747A" w:rsidP="00CF747A">
            <w:r w:rsidRPr="00CF747A">
              <w:rPr>
                <w:szCs w:val="20"/>
              </w:rPr>
              <w:t>с неизвестна честота</w:t>
            </w:r>
          </w:p>
        </w:tc>
      </w:tr>
      <w:tr w:rsidR="00CF747A" w14:paraId="3CF31A1F" w14:textId="77777777" w:rsidTr="00CF747A">
        <w:tc>
          <w:tcPr>
            <w:tcW w:w="3192" w:type="dxa"/>
            <w:vMerge/>
          </w:tcPr>
          <w:p w14:paraId="4588FDD3" w14:textId="77777777" w:rsidR="00CF747A" w:rsidRPr="00CF747A" w:rsidRDefault="00CF747A" w:rsidP="00CF747A"/>
        </w:tc>
        <w:tc>
          <w:tcPr>
            <w:tcW w:w="3192" w:type="dxa"/>
          </w:tcPr>
          <w:p w14:paraId="337E6A2F" w14:textId="0F10EA77" w:rsidR="00CF747A" w:rsidRPr="00CF747A" w:rsidRDefault="00CF747A" w:rsidP="00CF747A">
            <w:r w:rsidRPr="00CF747A">
              <w:rPr>
                <w:szCs w:val="20"/>
              </w:rPr>
              <w:t>Обрив</w:t>
            </w:r>
          </w:p>
        </w:tc>
        <w:tc>
          <w:tcPr>
            <w:tcW w:w="3192" w:type="dxa"/>
          </w:tcPr>
          <w:p w14:paraId="13BC6172" w14:textId="16FF993F" w:rsidR="00CF747A" w:rsidRPr="00CF747A" w:rsidRDefault="00CF747A" w:rsidP="00CF747A">
            <w:r w:rsidRPr="00CF747A">
              <w:rPr>
                <w:szCs w:val="20"/>
              </w:rPr>
              <w:t>редки</w:t>
            </w:r>
          </w:p>
        </w:tc>
      </w:tr>
      <w:tr w:rsidR="00CF747A" w14:paraId="363DFF78" w14:textId="77777777" w:rsidTr="00CF747A">
        <w:tc>
          <w:tcPr>
            <w:tcW w:w="3192" w:type="dxa"/>
            <w:vMerge/>
          </w:tcPr>
          <w:p w14:paraId="553DEA95" w14:textId="77777777" w:rsidR="00CF747A" w:rsidRPr="00CF747A" w:rsidRDefault="00CF747A" w:rsidP="00CF747A"/>
        </w:tc>
        <w:tc>
          <w:tcPr>
            <w:tcW w:w="3192" w:type="dxa"/>
          </w:tcPr>
          <w:p w14:paraId="435D2F5E" w14:textId="66A6BA56" w:rsidR="00CF747A" w:rsidRPr="00CF747A" w:rsidRDefault="00CF747A" w:rsidP="00CF747A">
            <w:r w:rsidRPr="00CF747A">
              <w:rPr>
                <w:szCs w:val="20"/>
              </w:rPr>
              <w:t>Кожна инфекция, кожна язва</w:t>
            </w:r>
          </w:p>
        </w:tc>
        <w:tc>
          <w:tcPr>
            <w:tcW w:w="3192" w:type="dxa"/>
          </w:tcPr>
          <w:p w14:paraId="68EF0FCC" w14:textId="254754C7" w:rsidR="00CF747A" w:rsidRPr="00CF747A" w:rsidRDefault="00CF747A" w:rsidP="00CF747A">
            <w:r w:rsidRPr="00CF747A">
              <w:rPr>
                <w:szCs w:val="20"/>
              </w:rPr>
              <w:t>с неизвестна честота</w:t>
            </w:r>
          </w:p>
        </w:tc>
      </w:tr>
      <w:tr w:rsidR="00CF747A" w14:paraId="2A18363B" w14:textId="77777777" w:rsidTr="00CF747A">
        <w:tc>
          <w:tcPr>
            <w:tcW w:w="3192" w:type="dxa"/>
            <w:vMerge/>
          </w:tcPr>
          <w:p w14:paraId="037E69D3" w14:textId="77777777" w:rsidR="00CF747A" w:rsidRPr="00CF747A" w:rsidRDefault="00CF747A" w:rsidP="00CF747A"/>
        </w:tc>
        <w:tc>
          <w:tcPr>
            <w:tcW w:w="3192" w:type="dxa"/>
          </w:tcPr>
          <w:p w14:paraId="23AE8537" w14:textId="3C8C2079" w:rsidR="00CF747A" w:rsidRPr="00CF747A" w:rsidRDefault="00CF747A" w:rsidP="00CF747A">
            <w:r w:rsidRPr="00CF747A">
              <w:rPr>
                <w:szCs w:val="20"/>
              </w:rPr>
              <w:t>Сухота на кожата</w:t>
            </w:r>
          </w:p>
        </w:tc>
        <w:tc>
          <w:tcPr>
            <w:tcW w:w="3192" w:type="dxa"/>
          </w:tcPr>
          <w:p w14:paraId="79396658" w14:textId="66C6950D" w:rsidR="00CF747A" w:rsidRPr="00CF747A" w:rsidRDefault="00CF747A" w:rsidP="00CF747A">
            <w:r w:rsidRPr="00CF747A">
              <w:rPr>
                <w:szCs w:val="20"/>
              </w:rPr>
              <w:t>с неизвестна честота</w:t>
            </w:r>
          </w:p>
        </w:tc>
      </w:tr>
      <w:tr w:rsidR="00CF747A" w14:paraId="7F55E7B5" w14:textId="77777777" w:rsidTr="00CF747A">
        <w:tc>
          <w:tcPr>
            <w:tcW w:w="3192" w:type="dxa"/>
            <w:vMerge w:val="restart"/>
          </w:tcPr>
          <w:p w14:paraId="7DE53D70" w14:textId="6B50FE6B" w:rsidR="00CF747A" w:rsidRPr="00CF747A" w:rsidRDefault="00CF747A" w:rsidP="00CF747A">
            <w:r w:rsidRPr="00CF747A">
              <w:rPr>
                <w:b/>
                <w:bCs/>
                <w:szCs w:val="20"/>
              </w:rPr>
              <w:t>Нарушения на мускулно- скелетната система и съединителната тъкан</w:t>
            </w:r>
          </w:p>
        </w:tc>
        <w:tc>
          <w:tcPr>
            <w:tcW w:w="3192" w:type="dxa"/>
          </w:tcPr>
          <w:p w14:paraId="5E72E0E1" w14:textId="1D3D41E3" w:rsidR="00CF747A" w:rsidRPr="00CF747A" w:rsidRDefault="00CF747A" w:rsidP="00CF747A">
            <w:r w:rsidRPr="00CF747A">
              <w:rPr>
                <w:szCs w:val="20"/>
              </w:rPr>
              <w:t>Артралгия</w:t>
            </w:r>
          </w:p>
        </w:tc>
        <w:tc>
          <w:tcPr>
            <w:tcW w:w="3192" w:type="dxa"/>
          </w:tcPr>
          <w:p w14:paraId="782A06DB" w14:textId="52157469" w:rsidR="00CF747A" w:rsidRPr="00CF747A" w:rsidRDefault="00CF747A" w:rsidP="00CF747A">
            <w:r w:rsidRPr="00CF747A">
              <w:rPr>
                <w:szCs w:val="20"/>
              </w:rPr>
              <w:t>редки</w:t>
            </w:r>
          </w:p>
        </w:tc>
      </w:tr>
      <w:tr w:rsidR="00CF747A" w14:paraId="76828EBE" w14:textId="77777777" w:rsidTr="00CF747A">
        <w:tc>
          <w:tcPr>
            <w:tcW w:w="3192" w:type="dxa"/>
            <w:vMerge/>
          </w:tcPr>
          <w:p w14:paraId="1DA6F72D" w14:textId="77777777" w:rsidR="00CF747A" w:rsidRPr="00CF747A" w:rsidRDefault="00CF747A" w:rsidP="00CF747A"/>
        </w:tc>
        <w:tc>
          <w:tcPr>
            <w:tcW w:w="3192" w:type="dxa"/>
          </w:tcPr>
          <w:p w14:paraId="29654CE5" w14:textId="1C1FBCE9" w:rsidR="00CF747A" w:rsidRPr="00CF747A" w:rsidRDefault="00CF747A" w:rsidP="00CF747A">
            <w:r w:rsidRPr="00CF747A">
              <w:rPr>
                <w:szCs w:val="20"/>
              </w:rPr>
              <w:t>Болка в гърба</w:t>
            </w:r>
            <w:r w:rsidRPr="00CF747A">
              <w:rPr>
                <w:szCs w:val="20"/>
                <w:vertAlign w:val="superscript"/>
              </w:rPr>
              <w:t>1</w:t>
            </w:r>
          </w:p>
        </w:tc>
        <w:tc>
          <w:tcPr>
            <w:tcW w:w="3192" w:type="dxa"/>
          </w:tcPr>
          <w:p w14:paraId="2E43B4F9" w14:textId="089EE52E" w:rsidR="00CF747A" w:rsidRPr="00CF747A" w:rsidRDefault="00CF747A" w:rsidP="00CF747A">
            <w:r w:rsidRPr="00CF747A">
              <w:rPr>
                <w:szCs w:val="20"/>
              </w:rPr>
              <w:t>редки</w:t>
            </w:r>
          </w:p>
        </w:tc>
      </w:tr>
      <w:tr w:rsidR="00CF747A" w14:paraId="1F701AF7" w14:textId="77777777" w:rsidTr="00CF747A">
        <w:tc>
          <w:tcPr>
            <w:tcW w:w="3192" w:type="dxa"/>
            <w:vMerge/>
          </w:tcPr>
          <w:p w14:paraId="09AB0A82" w14:textId="77777777" w:rsidR="00CF747A" w:rsidRPr="00CF747A" w:rsidRDefault="00CF747A" w:rsidP="00CF747A"/>
        </w:tc>
        <w:tc>
          <w:tcPr>
            <w:tcW w:w="3192" w:type="dxa"/>
          </w:tcPr>
          <w:p w14:paraId="01BEDDE5" w14:textId="52CAC178" w:rsidR="00CF747A" w:rsidRPr="00CF747A" w:rsidRDefault="00CF747A" w:rsidP="00CF747A">
            <w:r w:rsidRPr="00CF747A">
              <w:rPr>
                <w:szCs w:val="20"/>
              </w:rPr>
              <w:t>Подуване на ставите</w:t>
            </w:r>
          </w:p>
        </w:tc>
        <w:tc>
          <w:tcPr>
            <w:tcW w:w="3192" w:type="dxa"/>
          </w:tcPr>
          <w:p w14:paraId="1253444E" w14:textId="476CF56E" w:rsidR="00CF747A" w:rsidRPr="00CF747A" w:rsidRDefault="00CF747A" w:rsidP="00CF747A">
            <w:r w:rsidRPr="00CF747A">
              <w:rPr>
                <w:szCs w:val="20"/>
              </w:rPr>
              <w:t>редки</w:t>
            </w:r>
          </w:p>
        </w:tc>
      </w:tr>
      <w:tr w:rsidR="00CF747A" w14:paraId="5153F342" w14:textId="77777777" w:rsidTr="00CF747A">
        <w:tc>
          <w:tcPr>
            <w:tcW w:w="3192" w:type="dxa"/>
            <w:vMerge w:val="restart"/>
          </w:tcPr>
          <w:p w14:paraId="2AC729CF" w14:textId="3A1058D3" w:rsidR="00CF747A" w:rsidRPr="00CF747A" w:rsidRDefault="00CF747A" w:rsidP="00CF747A">
            <w:r w:rsidRPr="00CF747A">
              <w:rPr>
                <w:b/>
                <w:bCs/>
                <w:szCs w:val="20"/>
              </w:rPr>
              <w:t>Нарушения на бъбреците и пикочните пътища</w:t>
            </w:r>
          </w:p>
        </w:tc>
        <w:tc>
          <w:tcPr>
            <w:tcW w:w="3192" w:type="dxa"/>
          </w:tcPr>
          <w:p w14:paraId="359BA6E4" w14:textId="202C64A8" w:rsidR="00CF747A" w:rsidRPr="00CF747A" w:rsidRDefault="00CF747A" w:rsidP="00CF747A">
            <w:r w:rsidRPr="00CF747A">
              <w:rPr>
                <w:szCs w:val="20"/>
              </w:rPr>
              <w:t>Ретенция на урина</w:t>
            </w:r>
          </w:p>
        </w:tc>
        <w:tc>
          <w:tcPr>
            <w:tcW w:w="3192" w:type="dxa"/>
          </w:tcPr>
          <w:p w14:paraId="2F5E579D" w14:textId="621E37E1" w:rsidR="00CF747A" w:rsidRPr="00CF747A" w:rsidRDefault="00CF747A" w:rsidP="00CF747A">
            <w:r w:rsidRPr="00CF747A">
              <w:rPr>
                <w:szCs w:val="20"/>
              </w:rPr>
              <w:t>редки</w:t>
            </w:r>
          </w:p>
        </w:tc>
      </w:tr>
      <w:tr w:rsidR="00CF747A" w14:paraId="41FB5137" w14:textId="77777777" w:rsidTr="00CF747A">
        <w:tc>
          <w:tcPr>
            <w:tcW w:w="3192" w:type="dxa"/>
            <w:vMerge/>
          </w:tcPr>
          <w:p w14:paraId="1CA800EC" w14:textId="77777777" w:rsidR="00CF747A" w:rsidRPr="00CF747A" w:rsidRDefault="00CF747A" w:rsidP="00CF747A"/>
        </w:tc>
        <w:tc>
          <w:tcPr>
            <w:tcW w:w="3192" w:type="dxa"/>
          </w:tcPr>
          <w:p w14:paraId="74381E52" w14:textId="3C528B14" w:rsidR="00CF747A" w:rsidRPr="00CF747A" w:rsidRDefault="00CF747A" w:rsidP="00CF747A">
            <w:r w:rsidRPr="00CF747A">
              <w:rPr>
                <w:szCs w:val="20"/>
              </w:rPr>
              <w:t>Инфекция на пикочните пътища</w:t>
            </w:r>
          </w:p>
        </w:tc>
        <w:tc>
          <w:tcPr>
            <w:tcW w:w="3192" w:type="dxa"/>
          </w:tcPr>
          <w:p w14:paraId="27F01FA9" w14:textId="45AE5E06" w:rsidR="00CF747A" w:rsidRPr="00CF747A" w:rsidRDefault="00CF747A" w:rsidP="00CF747A">
            <w:r w:rsidRPr="00CF747A">
              <w:rPr>
                <w:szCs w:val="20"/>
              </w:rPr>
              <w:t>редки</w:t>
            </w:r>
          </w:p>
        </w:tc>
      </w:tr>
      <w:tr w:rsidR="00CF747A" w14:paraId="3626C8EB" w14:textId="77777777" w:rsidTr="00CF747A">
        <w:tc>
          <w:tcPr>
            <w:tcW w:w="3192" w:type="dxa"/>
            <w:vMerge/>
          </w:tcPr>
          <w:p w14:paraId="61677502" w14:textId="77777777" w:rsidR="00CF747A" w:rsidRPr="00CF747A" w:rsidRDefault="00CF747A" w:rsidP="00CF747A"/>
        </w:tc>
        <w:tc>
          <w:tcPr>
            <w:tcW w:w="3192" w:type="dxa"/>
          </w:tcPr>
          <w:p w14:paraId="5900B93F" w14:textId="4D59EB43" w:rsidR="00CF747A" w:rsidRPr="00CF747A" w:rsidRDefault="00CF747A" w:rsidP="00CF747A">
            <w:r w:rsidRPr="00CF747A">
              <w:rPr>
                <w:szCs w:val="20"/>
              </w:rPr>
              <w:t>Дизурия</w:t>
            </w:r>
          </w:p>
        </w:tc>
        <w:tc>
          <w:tcPr>
            <w:tcW w:w="3192" w:type="dxa"/>
          </w:tcPr>
          <w:p w14:paraId="0BCF98D5" w14:textId="0DA35670" w:rsidR="00CF747A" w:rsidRPr="00CF747A" w:rsidRDefault="00CF747A" w:rsidP="00CF747A">
            <w:r w:rsidRPr="00CF747A">
              <w:rPr>
                <w:szCs w:val="20"/>
              </w:rPr>
              <w:t>редки</w:t>
            </w:r>
          </w:p>
        </w:tc>
      </w:tr>
    </w:tbl>
    <w:p w14:paraId="2FDCEB92" w14:textId="77777777" w:rsidR="00CF747A" w:rsidRPr="00CF747A" w:rsidRDefault="00CF747A" w:rsidP="00CF747A">
      <w:pPr>
        <w:spacing w:line="240" w:lineRule="auto"/>
        <w:rPr>
          <w:rFonts w:eastAsia="Times New Roman" w:cs="Arial"/>
          <w:szCs w:val="20"/>
        </w:rPr>
      </w:pPr>
      <w:r w:rsidRPr="00CF747A">
        <w:rPr>
          <w:rFonts w:eastAsia="Times New Roman" w:cs="Arial"/>
          <w:b/>
          <w:bCs/>
          <w:color w:val="000000"/>
          <w:szCs w:val="20"/>
          <w:vertAlign w:val="superscript"/>
          <w:lang w:eastAsia="bg-BG"/>
        </w:rPr>
        <w:t>1</w:t>
      </w:r>
      <w:r w:rsidRPr="00CF747A">
        <w:rPr>
          <w:rFonts w:eastAsia="Times New Roman" w:cs="Arial"/>
          <w:b/>
          <w:bCs/>
          <w:color w:val="000000"/>
          <w:szCs w:val="20"/>
          <w:lang w:eastAsia="bg-BG"/>
        </w:rPr>
        <w:t xml:space="preserve"> нежелани реакции, съобщавани при Спиолто Респимат, но не и при отделните съставки</w:t>
      </w:r>
    </w:p>
    <w:p w14:paraId="131B5E6E" w14:textId="77777777" w:rsidR="00CF747A" w:rsidRPr="00CF747A" w:rsidRDefault="00CF747A" w:rsidP="00CF747A">
      <w:pPr>
        <w:spacing w:line="240" w:lineRule="auto"/>
        <w:rPr>
          <w:rFonts w:eastAsia="Times New Roman" w:cs="Arial"/>
          <w:color w:val="000000"/>
          <w:szCs w:val="20"/>
          <w:lang w:eastAsia="bg-BG"/>
        </w:rPr>
      </w:pPr>
    </w:p>
    <w:p w14:paraId="494612FC" w14:textId="7EDCDFB9" w:rsidR="00CF747A" w:rsidRPr="00CF747A" w:rsidRDefault="00CF747A" w:rsidP="00CF747A">
      <w:pPr>
        <w:spacing w:line="240" w:lineRule="auto"/>
        <w:rPr>
          <w:rFonts w:eastAsia="Times New Roman" w:cs="Arial"/>
          <w:szCs w:val="20"/>
        </w:rPr>
      </w:pPr>
      <w:r w:rsidRPr="00CF747A">
        <w:rPr>
          <w:rFonts w:eastAsia="Times New Roman" w:cs="Arial"/>
          <w:color w:val="000000"/>
          <w:szCs w:val="20"/>
          <w:lang w:eastAsia="bg-BG"/>
        </w:rPr>
        <w:t>в.</w:t>
      </w:r>
      <w:r w:rsidRPr="00CF747A">
        <w:rPr>
          <w:rFonts w:eastAsia="Times New Roman" w:cs="Arial"/>
          <w:color w:val="000000"/>
          <w:szCs w:val="20"/>
          <w:u w:val="single"/>
          <w:lang w:eastAsia="bg-BG"/>
        </w:rPr>
        <w:t xml:space="preserve"> Описание на избрани нежелани реакции</w:t>
      </w:r>
    </w:p>
    <w:p w14:paraId="20532A4F" w14:textId="77777777" w:rsidR="00CF747A" w:rsidRPr="00CF747A" w:rsidRDefault="00CF747A" w:rsidP="00CF747A">
      <w:pPr>
        <w:spacing w:line="240" w:lineRule="auto"/>
        <w:rPr>
          <w:rFonts w:eastAsia="Times New Roman" w:cs="Arial"/>
          <w:szCs w:val="20"/>
        </w:rPr>
      </w:pPr>
      <w:r w:rsidRPr="00CF747A">
        <w:rPr>
          <w:rFonts w:eastAsia="Times New Roman" w:cs="Arial"/>
          <w:color w:val="000000"/>
          <w:szCs w:val="20"/>
          <w:lang w:eastAsia="bg-BG"/>
        </w:rPr>
        <w:t>Спиолто Респимат притежава комбинирани антихолинергични и β</w:t>
      </w:r>
      <w:r w:rsidRPr="00CF747A">
        <w:rPr>
          <w:rFonts w:eastAsia="Times New Roman" w:cs="Arial"/>
          <w:color w:val="000000"/>
          <w:szCs w:val="20"/>
          <w:vertAlign w:val="subscript"/>
          <w:lang w:eastAsia="bg-BG"/>
        </w:rPr>
        <w:t>2</w:t>
      </w:r>
      <w:r w:rsidRPr="00CF747A">
        <w:rPr>
          <w:rFonts w:eastAsia="Times New Roman" w:cs="Arial"/>
          <w:color w:val="000000"/>
          <w:szCs w:val="20"/>
          <w:lang w:eastAsia="bg-BG"/>
        </w:rPr>
        <w:t>- адренергични свойства, дължащи се на неговите компоненти тиотропиум и олодатерол.</w:t>
      </w:r>
    </w:p>
    <w:p w14:paraId="0F860FD3" w14:textId="77777777" w:rsidR="00CF747A" w:rsidRPr="00CF747A" w:rsidRDefault="00CF747A" w:rsidP="00CF747A">
      <w:pPr>
        <w:spacing w:line="240" w:lineRule="auto"/>
        <w:rPr>
          <w:rFonts w:eastAsia="Times New Roman" w:cs="Arial"/>
          <w:color w:val="000000"/>
          <w:szCs w:val="20"/>
          <w:u w:val="single"/>
          <w:lang w:eastAsia="bg-BG"/>
        </w:rPr>
      </w:pPr>
    </w:p>
    <w:p w14:paraId="318AED98" w14:textId="7A7FAFBE" w:rsidR="00CF747A" w:rsidRPr="00CF747A" w:rsidRDefault="00CF747A" w:rsidP="00CF747A">
      <w:pPr>
        <w:spacing w:line="240" w:lineRule="auto"/>
        <w:rPr>
          <w:rFonts w:eastAsia="Times New Roman" w:cs="Arial"/>
          <w:szCs w:val="20"/>
        </w:rPr>
      </w:pPr>
      <w:r w:rsidRPr="00CF747A">
        <w:rPr>
          <w:rFonts w:eastAsia="Times New Roman" w:cs="Arial"/>
          <w:color w:val="000000"/>
          <w:szCs w:val="20"/>
          <w:u w:val="single"/>
          <w:lang w:eastAsia="bg-BG"/>
        </w:rPr>
        <w:t>Профил на антихолинергичните нежеланите реакции</w:t>
      </w:r>
    </w:p>
    <w:p w14:paraId="39C9B257" w14:textId="77777777" w:rsidR="00CF747A" w:rsidRPr="00CF747A" w:rsidRDefault="00CF747A" w:rsidP="00CF747A">
      <w:pPr>
        <w:spacing w:line="240" w:lineRule="auto"/>
        <w:rPr>
          <w:rFonts w:eastAsia="Times New Roman" w:cs="Arial"/>
          <w:szCs w:val="20"/>
        </w:rPr>
      </w:pPr>
      <w:r w:rsidRPr="00CF747A">
        <w:rPr>
          <w:rFonts w:eastAsia="Times New Roman" w:cs="Arial"/>
          <w:color w:val="000000"/>
          <w:szCs w:val="20"/>
          <w:lang w:eastAsia="bg-BG"/>
        </w:rPr>
        <w:t>В дългосрочни проучвания на Спиолто Респимат, с продължителност от 52 седмици, най-често наблюдаваните нежелани антихолинергични ефекти са били сухота в устата, възникнала при приблизително 1,3% от пациентите, лекувани със Спиолто Респимат и при 1,7% и 1% съответно от пациентите, лекувани с тиотропиум 5 микрограма и олодатерол 5 микрограма. Сухота в устата е довела до прекратяване на лечението при 2 от 4 968 пациенти (0,04%), лекувани със Спиолто Респимат.</w:t>
      </w:r>
    </w:p>
    <w:p w14:paraId="6B97B308" w14:textId="77777777" w:rsidR="00CF747A" w:rsidRPr="00CF747A" w:rsidRDefault="00CF747A" w:rsidP="00CF747A">
      <w:pPr>
        <w:spacing w:line="240" w:lineRule="auto"/>
        <w:rPr>
          <w:rFonts w:eastAsia="Times New Roman" w:cs="Arial"/>
          <w:color w:val="000000"/>
          <w:szCs w:val="20"/>
          <w:lang w:eastAsia="bg-BG"/>
        </w:rPr>
      </w:pPr>
    </w:p>
    <w:p w14:paraId="09CB9072" w14:textId="2519D89D" w:rsidR="00CF747A" w:rsidRPr="00CF747A" w:rsidRDefault="00CF747A" w:rsidP="00CF747A">
      <w:pPr>
        <w:spacing w:line="240" w:lineRule="auto"/>
        <w:rPr>
          <w:rFonts w:eastAsia="Times New Roman" w:cs="Arial"/>
          <w:szCs w:val="20"/>
        </w:rPr>
      </w:pPr>
      <w:r w:rsidRPr="00CF747A">
        <w:rPr>
          <w:rFonts w:eastAsia="Times New Roman" w:cs="Arial"/>
          <w:color w:val="000000"/>
          <w:szCs w:val="20"/>
          <w:lang w:eastAsia="bg-BG"/>
        </w:rPr>
        <w:t>Сериозните нежелани реакции, свързани с антихолинергични ефекти, включват глаукома, констипация и чревна обструкция, включително паралитичен илеус и ретенция на урина.</w:t>
      </w:r>
    </w:p>
    <w:p w14:paraId="1164520B" w14:textId="77777777" w:rsidR="00CF747A" w:rsidRPr="00CF747A" w:rsidRDefault="00CF747A" w:rsidP="00CF747A">
      <w:pPr>
        <w:spacing w:line="240" w:lineRule="auto"/>
        <w:rPr>
          <w:rFonts w:eastAsia="Times New Roman" w:cs="Arial"/>
          <w:color w:val="000000"/>
          <w:szCs w:val="20"/>
          <w:u w:val="single"/>
          <w:lang w:eastAsia="bg-BG"/>
        </w:rPr>
      </w:pPr>
    </w:p>
    <w:p w14:paraId="61711AE9" w14:textId="35BC3C5B" w:rsidR="00CF747A" w:rsidRPr="00CF747A" w:rsidRDefault="00CF747A" w:rsidP="00CF747A">
      <w:pPr>
        <w:spacing w:line="240" w:lineRule="auto"/>
        <w:rPr>
          <w:rFonts w:eastAsia="Times New Roman" w:cs="Arial"/>
          <w:szCs w:val="20"/>
        </w:rPr>
      </w:pPr>
      <w:r w:rsidRPr="00CF747A">
        <w:rPr>
          <w:rFonts w:eastAsia="Times New Roman" w:cs="Arial"/>
          <w:color w:val="000000"/>
          <w:szCs w:val="20"/>
          <w:u w:val="single"/>
          <w:lang w:eastAsia="bg-BG"/>
        </w:rPr>
        <w:t>Профил на нежеланите реакции, свързани с β- адренергичните свойства</w:t>
      </w:r>
    </w:p>
    <w:p w14:paraId="4B225102" w14:textId="77777777" w:rsidR="00CF747A" w:rsidRPr="00CF747A" w:rsidRDefault="00CF747A" w:rsidP="00CF747A">
      <w:pPr>
        <w:spacing w:line="240" w:lineRule="auto"/>
        <w:rPr>
          <w:rFonts w:eastAsia="Times New Roman" w:cs="Arial"/>
          <w:szCs w:val="20"/>
        </w:rPr>
      </w:pPr>
      <w:r w:rsidRPr="00CF747A">
        <w:rPr>
          <w:rFonts w:eastAsia="Times New Roman" w:cs="Arial"/>
          <w:color w:val="000000"/>
          <w:szCs w:val="20"/>
          <w:lang w:eastAsia="bg-BG"/>
        </w:rPr>
        <w:t>Олодатерол, една от съставните части на Спиолто Респимат, е от терапевтичния клас на дългодействащите бета</w:t>
      </w:r>
      <w:r w:rsidRPr="00CF747A">
        <w:rPr>
          <w:rFonts w:eastAsia="Times New Roman" w:cs="Arial"/>
          <w:color w:val="000000"/>
          <w:szCs w:val="20"/>
          <w:vertAlign w:val="subscript"/>
          <w:lang w:eastAsia="bg-BG"/>
        </w:rPr>
        <w:t>2</w:t>
      </w:r>
      <w:r w:rsidRPr="00CF747A">
        <w:rPr>
          <w:rFonts w:eastAsia="Times New Roman" w:cs="Arial"/>
          <w:color w:val="000000"/>
          <w:szCs w:val="20"/>
          <w:lang w:eastAsia="bg-BG"/>
        </w:rPr>
        <w:t>-адренергични агонисти. Затова трябва да се има предвид възникването на други нежелани реакции, свързани с класа на бета-адренергичните агонисти, които не са изброени по-горе, като аритмия, миокардна исхемия, ангина пекторис, хипотония, тремор, нервност, мускулни спазми, умора, неразположение, хипокалиемия, хипергликемия и метаболитна ацидоза.</w:t>
      </w:r>
    </w:p>
    <w:p w14:paraId="0FD1FC57" w14:textId="77777777" w:rsidR="00CF747A" w:rsidRPr="00CF747A" w:rsidRDefault="00CF747A" w:rsidP="00CF747A">
      <w:pPr>
        <w:spacing w:line="240" w:lineRule="auto"/>
        <w:rPr>
          <w:rFonts w:eastAsia="Times New Roman" w:cs="Arial"/>
          <w:i/>
          <w:iCs/>
          <w:color w:val="000000"/>
          <w:szCs w:val="20"/>
          <w:lang w:eastAsia="bg-BG"/>
        </w:rPr>
      </w:pPr>
    </w:p>
    <w:p w14:paraId="7E8A96EF" w14:textId="74EEFFA3" w:rsidR="00CF747A" w:rsidRPr="00CF747A" w:rsidRDefault="00CF747A" w:rsidP="00CF747A">
      <w:pPr>
        <w:spacing w:line="240" w:lineRule="auto"/>
        <w:rPr>
          <w:rFonts w:eastAsia="Times New Roman" w:cs="Arial"/>
          <w:szCs w:val="20"/>
        </w:rPr>
      </w:pPr>
      <w:r w:rsidRPr="00CF747A">
        <w:rPr>
          <w:rFonts w:eastAsia="Times New Roman" w:cs="Arial"/>
          <w:i/>
          <w:iCs/>
          <w:color w:val="000000"/>
          <w:szCs w:val="20"/>
          <w:lang w:eastAsia="bg-BG"/>
        </w:rPr>
        <w:t>г.</w:t>
      </w:r>
      <w:r w:rsidRPr="00CF747A">
        <w:rPr>
          <w:rFonts w:eastAsia="Times New Roman" w:cs="Arial"/>
          <w:color w:val="000000"/>
          <w:szCs w:val="20"/>
          <w:u w:val="single"/>
          <w:lang w:eastAsia="bg-BG"/>
        </w:rPr>
        <w:t xml:space="preserve"> Други специални популапии</w:t>
      </w:r>
    </w:p>
    <w:p w14:paraId="25CD4D88" w14:textId="77777777" w:rsidR="00CF747A" w:rsidRPr="00CF747A" w:rsidRDefault="00CF747A" w:rsidP="00CF747A">
      <w:pPr>
        <w:spacing w:line="240" w:lineRule="auto"/>
        <w:rPr>
          <w:rFonts w:eastAsia="Times New Roman" w:cs="Arial"/>
          <w:szCs w:val="20"/>
        </w:rPr>
      </w:pPr>
      <w:r w:rsidRPr="00CF747A">
        <w:rPr>
          <w:rFonts w:eastAsia="Times New Roman" w:cs="Arial"/>
          <w:color w:val="000000"/>
          <w:szCs w:val="20"/>
          <w:lang w:eastAsia="bg-BG"/>
        </w:rPr>
        <w:t>Възможна е повишена честота на възникване на антихолинергични нежелани реакции с напредване на възрастта.</w:t>
      </w:r>
    </w:p>
    <w:p w14:paraId="47FD46F6" w14:textId="05CA4D48" w:rsidR="001076D0" w:rsidRPr="00CF747A" w:rsidRDefault="001076D0" w:rsidP="001076D0">
      <w:pPr>
        <w:rPr>
          <w:rFonts w:cs="Arial"/>
          <w:szCs w:val="20"/>
        </w:rPr>
      </w:pPr>
    </w:p>
    <w:p w14:paraId="224FBD55" w14:textId="77777777" w:rsidR="00CF747A" w:rsidRPr="00CF747A" w:rsidRDefault="00CF747A" w:rsidP="00CF747A">
      <w:pPr>
        <w:spacing w:line="240" w:lineRule="auto"/>
        <w:rPr>
          <w:rFonts w:eastAsia="Times New Roman" w:cs="Arial"/>
          <w:szCs w:val="20"/>
        </w:rPr>
      </w:pPr>
      <w:r w:rsidRPr="00CF747A">
        <w:rPr>
          <w:rFonts w:eastAsia="Times New Roman" w:cs="Arial"/>
          <w:color w:val="000000"/>
          <w:szCs w:val="20"/>
          <w:u w:val="single"/>
          <w:lang w:eastAsia="bg-BG"/>
        </w:rPr>
        <w:t>Съобщаване на подозирани нежелани реакции</w:t>
      </w:r>
    </w:p>
    <w:p w14:paraId="3D03750F" w14:textId="262B15A7" w:rsidR="00CF747A" w:rsidRDefault="00CF747A" w:rsidP="00CF747A">
      <w:pPr>
        <w:rPr>
          <w:rFonts w:eastAsia="Times New Roman" w:cs="Arial"/>
          <w:color w:val="000000"/>
          <w:szCs w:val="20"/>
          <w:lang w:val="ru-RU"/>
        </w:rPr>
      </w:pPr>
      <w:r w:rsidRPr="00CF747A">
        <w:rPr>
          <w:rFonts w:eastAsia="Times New Roman" w:cs="Arial"/>
          <w:color w:val="000000"/>
          <w:szCs w:val="2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Изпълнителната агенция по лекарствата, ул., Дамян Груев” № 8, 1303 София, тел.: +35928903417, уебсайт: </w:t>
      </w:r>
      <w:r w:rsidRPr="00CF747A">
        <w:rPr>
          <w:rFonts w:eastAsia="Times New Roman" w:cs="Arial"/>
          <w:szCs w:val="20"/>
        </w:rPr>
        <w:fldChar w:fldCharType="begin"/>
      </w:r>
      <w:r w:rsidRPr="00CF747A">
        <w:rPr>
          <w:rFonts w:eastAsia="Times New Roman" w:cs="Arial"/>
          <w:szCs w:val="20"/>
        </w:rPr>
        <w:instrText xml:space="preserve"> HYPERLINK "http://www.bda.bg" </w:instrText>
      </w:r>
      <w:r w:rsidRPr="00CF747A">
        <w:rPr>
          <w:rFonts w:eastAsia="Times New Roman" w:cs="Arial"/>
          <w:szCs w:val="20"/>
        </w:rPr>
      </w:r>
      <w:r w:rsidRPr="00CF747A">
        <w:rPr>
          <w:rFonts w:eastAsia="Times New Roman" w:cs="Arial"/>
          <w:szCs w:val="20"/>
        </w:rPr>
        <w:fldChar w:fldCharType="separate"/>
      </w:r>
      <w:r w:rsidRPr="00CF747A">
        <w:rPr>
          <w:rFonts w:eastAsia="Times New Roman" w:cs="Arial"/>
          <w:color w:val="000000"/>
          <w:szCs w:val="20"/>
          <w:u w:val="single"/>
          <w:lang w:val="en-US"/>
        </w:rPr>
        <w:t>www</w:t>
      </w:r>
      <w:r w:rsidRPr="00CF747A">
        <w:rPr>
          <w:rFonts w:eastAsia="Times New Roman" w:cs="Arial"/>
          <w:color w:val="000000"/>
          <w:szCs w:val="20"/>
          <w:u w:val="single"/>
          <w:lang w:val="ru-RU"/>
        </w:rPr>
        <w:t>.</w:t>
      </w:r>
      <w:proofErr w:type="spellStart"/>
      <w:r w:rsidRPr="00CF747A">
        <w:rPr>
          <w:rFonts w:eastAsia="Times New Roman" w:cs="Arial"/>
          <w:color w:val="000000"/>
          <w:szCs w:val="20"/>
          <w:u w:val="single"/>
          <w:lang w:val="en-US"/>
        </w:rPr>
        <w:t>bda</w:t>
      </w:r>
      <w:proofErr w:type="spellEnd"/>
      <w:r w:rsidRPr="00CF747A">
        <w:rPr>
          <w:rFonts w:eastAsia="Times New Roman" w:cs="Arial"/>
          <w:color w:val="000000"/>
          <w:szCs w:val="20"/>
          <w:u w:val="single"/>
          <w:lang w:val="ru-RU"/>
        </w:rPr>
        <w:t>.</w:t>
      </w:r>
      <w:proofErr w:type="spellStart"/>
      <w:r w:rsidRPr="00CF747A">
        <w:rPr>
          <w:rFonts w:eastAsia="Times New Roman" w:cs="Arial"/>
          <w:color w:val="000000"/>
          <w:szCs w:val="20"/>
          <w:u w:val="single"/>
          <w:lang w:val="en-US"/>
        </w:rPr>
        <w:t>bg</w:t>
      </w:r>
      <w:proofErr w:type="spellEnd"/>
      <w:r w:rsidRPr="00CF747A">
        <w:rPr>
          <w:rFonts w:eastAsia="Times New Roman" w:cs="Arial"/>
          <w:szCs w:val="20"/>
        </w:rPr>
        <w:fldChar w:fldCharType="end"/>
      </w:r>
      <w:r w:rsidRPr="00CF747A">
        <w:rPr>
          <w:rFonts w:eastAsia="Times New Roman" w:cs="Arial"/>
          <w:color w:val="000000"/>
          <w:szCs w:val="20"/>
          <w:lang w:val="ru-RU"/>
        </w:rPr>
        <w:t>.</w:t>
      </w:r>
    </w:p>
    <w:p w14:paraId="5DEA603D" w14:textId="77777777" w:rsidR="00CF747A" w:rsidRPr="00CF747A" w:rsidRDefault="00CF747A" w:rsidP="00CF747A">
      <w:pPr>
        <w:rPr>
          <w:rFonts w:cs="Arial"/>
          <w:szCs w:val="20"/>
          <w:lang w:val="ru-RU"/>
        </w:rPr>
      </w:pPr>
    </w:p>
    <w:p w14:paraId="5A87DBA3" w14:textId="4D04B379" w:rsidR="007122AD" w:rsidRDefault="002C50EE" w:rsidP="00936AD0">
      <w:pPr>
        <w:pStyle w:val="Heading2"/>
      </w:pPr>
      <w:r>
        <w:lastRenderedPageBreak/>
        <w:t>4.9. Предозиране</w:t>
      </w:r>
    </w:p>
    <w:p w14:paraId="4865F994" w14:textId="0B248DB1" w:rsidR="00CF747A" w:rsidRDefault="00CF747A" w:rsidP="00CF747A"/>
    <w:p w14:paraId="72D11D60"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Има ограничена информация за предозиране със Спиолто Респимат. Спиолто Респимат е проучен до 5 микрограма /10 микрограма (тиотропиум/олодатерол) при пациенти с ХОББ и до 10 микрограма/40 микрограма (тиотропиум/олодатерол) при здрави хора, като не са наблюдавани клинично значими ефекти. Предозирането може да доведе до засилване на анти- мускариновите ефекти на тиотропиум или до засилване на β</w:t>
      </w:r>
      <w:r w:rsidRPr="00CF747A">
        <w:rPr>
          <w:rFonts w:eastAsia="Times New Roman" w:cs="Arial"/>
          <w:color w:val="000000"/>
          <w:szCs w:val="20"/>
          <w:vertAlign w:val="subscript"/>
          <w:lang w:eastAsia="bg-BG"/>
        </w:rPr>
        <w:t>2</w:t>
      </w:r>
      <w:r w:rsidRPr="00CF747A">
        <w:rPr>
          <w:rFonts w:eastAsia="Times New Roman" w:cs="Arial"/>
          <w:color w:val="000000"/>
          <w:szCs w:val="20"/>
          <w:lang w:eastAsia="bg-BG"/>
        </w:rPr>
        <w:t>-агонистичните ефекти на олодатерол.</w:t>
      </w:r>
    </w:p>
    <w:p w14:paraId="5AA2905C" w14:textId="77777777" w:rsidR="00CF747A" w:rsidRPr="00CF747A" w:rsidRDefault="00CF747A" w:rsidP="00CF747A">
      <w:pPr>
        <w:spacing w:line="240" w:lineRule="auto"/>
        <w:rPr>
          <w:rFonts w:eastAsia="Times New Roman" w:cs="Arial"/>
          <w:color w:val="000000"/>
          <w:szCs w:val="20"/>
          <w:u w:val="single"/>
          <w:lang w:eastAsia="bg-BG"/>
        </w:rPr>
      </w:pPr>
    </w:p>
    <w:p w14:paraId="5B60CF61" w14:textId="3928506F" w:rsidR="00CF747A" w:rsidRPr="00CF747A" w:rsidRDefault="00CF747A" w:rsidP="00CF747A">
      <w:pPr>
        <w:pStyle w:val="Heading3"/>
        <w:rPr>
          <w:rFonts w:eastAsia="Times New Roman"/>
          <w:sz w:val="28"/>
          <w:u w:val="single"/>
        </w:rPr>
      </w:pPr>
      <w:r w:rsidRPr="00CF747A">
        <w:rPr>
          <w:rFonts w:eastAsia="Times New Roman"/>
          <w:u w:val="single"/>
          <w:lang w:eastAsia="bg-BG"/>
        </w:rPr>
        <w:t>Симптоми</w:t>
      </w:r>
    </w:p>
    <w:p w14:paraId="2C009E79" w14:textId="502A53C6" w:rsidR="00CF747A" w:rsidRPr="00CF747A" w:rsidRDefault="00CF747A" w:rsidP="00CF747A">
      <w:pPr>
        <w:spacing w:line="240" w:lineRule="auto"/>
        <w:rPr>
          <w:rFonts w:eastAsia="Times New Roman" w:cs="Arial"/>
          <w:sz w:val="28"/>
          <w:szCs w:val="24"/>
        </w:rPr>
      </w:pPr>
      <w:r w:rsidRPr="00CF747A">
        <w:rPr>
          <w:rFonts w:eastAsia="Times New Roman" w:cs="Arial"/>
          <w:i/>
          <w:iCs/>
          <w:color w:val="000000"/>
          <w:szCs w:val="20"/>
          <w:lang w:eastAsia="bg-BG"/>
        </w:rPr>
        <w:t>Предозиране с антихолинергичния тиотропиум</w:t>
      </w:r>
    </w:p>
    <w:p w14:paraId="2ECC4074"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Високи дози тиотропиум могат да предизвикат антихолинергични признаци и симптоми.</w:t>
      </w:r>
    </w:p>
    <w:p w14:paraId="69B132A5" w14:textId="77777777" w:rsidR="00CF747A" w:rsidRPr="00CF747A" w:rsidRDefault="00CF747A" w:rsidP="00CF747A">
      <w:pPr>
        <w:spacing w:line="240" w:lineRule="auto"/>
        <w:rPr>
          <w:rFonts w:eastAsia="Times New Roman" w:cs="Arial"/>
          <w:color w:val="000000"/>
          <w:szCs w:val="20"/>
          <w:lang w:eastAsia="bg-BG"/>
        </w:rPr>
      </w:pPr>
    </w:p>
    <w:p w14:paraId="6CD17A54" w14:textId="02DCBFA8"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Въпреки това, не са наблюдавани системни антихолинергични нежелани ефекти при здрави доброволци, след приложение на еднократна инхалаторна доза от 340 микрограма тиотропиум бромид. В допълнение, след 14-дневно приложение на до 40 микрограма тиотропиум разтвор за инхалация при здрави доброволци не са наблюдавани значими нежелани лекарствени реакции, освен пресъхване на устата/гърлото и суха носна лигавица, с изключение на изразено намаление на слюноотделянето след 7</w:t>
      </w:r>
      <w:r w:rsidRPr="00CF747A">
        <w:rPr>
          <w:rFonts w:eastAsia="Times New Roman" w:cs="Arial"/>
          <w:color w:val="000000"/>
          <w:szCs w:val="20"/>
          <w:vertAlign w:val="superscript"/>
          <w:lang w:eastAsia="bg-BG"/>
        </w:rPr>
        <w:t>-ия</w:t>
      </w:r>
      <w:r w:rsidRPr="00CF747A">
        <w:rPr>
          <w:rFonts w:eastAsia="Times New Roman" w:cs="Arial"/>
          <w:color w:val="000000"/>
          <w:szCs w:val="20"/>
          <w:lang w:eastAsia="bg-BG"/>
        </w:rPr>
        <w:t xml:space="preserve"> ден.</w:t>
      </w:r>
    </w:p>
    <w:p w14:paraId="2CF48D8D" w14:textId="77777777" w:rsidR="00CF747A" w:rsidRPr="00CF747A" w:rsidRDefault="00CF747A" w:rsidP="00CF747A">
      <w:pPr>
        <w:spacing w:line="240" w:lineRule="auto"/>
        <w:rPr>
          <w:rFonts w:eastAsia="Times New Roman" w:cs="Arial"/>
          <w:i/>
          <w:iCs/>
          <w:color w:val="000000"/>
          <w:szCs w:val="20"/>
          <w:lang w:eastAsia="bg-BG"/>
        </w:rPr>
      </w:pPr>
    </w:p>
    <w:p w14:paraId="3B4EE0B4" w14:textId="4DF0E100" w:rsidR="00CF747A" w:rsidRPr="00CF747A" w:rsidRDefault="00CF747A" w:rsidP="00CF747A">
      <w:pPr>
        <w:spacing w:line="240" w:lineRule="auto"/>
        <w:rPr>
          <w:rFonts w:eastAsia="Times New Roman" w:cs="Arial"/>
          <w:sz w:val="28"/>
          <w:szCs w:val="24"/>
        </w:rPr>
      </w:pPr>
      <w:r w:rsidRPr="00CF747A">
        <w:rPr>
          <w:rFonts w:eastAsia="Times New Roman" w:cs="Arial"/>
          <w:i/>
          <w:iCs/>
          <w:color w:val="000000"/>
          <w:szCs w:val="20"/>
          <w:lang w:eastAsia="bg-BG"/>
        </w:rPr>
        <w:t>Предозиране с β</w:t>
      </w:r>
      <w:r w:rsidRPr="00CF747A">
        <w:rPr>
          <w:rFonts w:eastAsia="Times New Roman" w:cs="Arial"/>
          <w:i/>
          <w:iCs/>
          <w:color w:val="000000"/>
          <w:szCs w:val="20"/>
          <w:vertAlign w:val="subscript"/>
          <w:lang w:eastAsia="bg-BG"/>
        </w:rPr>
        <w:t>2</w:t>
      </w:r>
      <w:r w:rsidRPr="00CF747A">
        <w:rPr>
          <w:rFonts w:eastAsia="Times New Roman" w:cs="Arial"/>
          <w:i/>
          <w:iCs/>
          <w:color w:val="000000"/>
          <w:szCs w:val="20"/>
          <w:lang w:eastAsia="bg-BG"/>
        </w:rPr>
        <w:t>-агониста олодатерол</w:t>
      </w:r>
    </w:p>
    <w:p w14:paraId="5C0F1A5A"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Предозирането с олодатерол може да доведе до засилване на ефектите, типични за бета</w:t>
      </w:r>
      <w:r w:rsidRPr="00CF747A">
        <w:rPr>
          <w:rFonts w:eastAsia="Times New Roman" w:cs="Arial"/>
          <w:color w:val="000000"/>
          <w:szCs w:val="20"/>
          <w:vertAlign w:val="subscript"/>
          <w:lang w:eastAsia="bg-BG"/>
        </w:rPr>
        <w:t>2</w:t>
      </w:r>
      <w:r w:rsidRPr="00CF747A">
        <w:rPr>
          <w:rFonts w:eastAsia="Times New Roman" w:cs="Arial"/>
          <w:color w:val="000000"/>
          <w:szCs w:val="20"/>
          <w:lang w:eastAsia="bg-BG"/>
        </w:rPr>
        <w:t>- адренергичните агонисти, т.е миокардна исхемия, хипертония или хипотония, тахикардия, аритмии, палпитации, замаяност, нервност, безсъние, тревожност, главоболие, тремор, сухота в устата, мускулни спазми, гадене, умора, неразположение, хипокалиемия, хипергликемия и метаболитна ацидоза.</w:t>
      </w:r>
    </w:p>
    <w:p w14:paraId="08896C3E" w14:textId="77777777" w:rsidR="00CF747A" w:rsidRPr="00CF747A" w:rsidRDefault="00CF747A" w:rsidP="00CF747A">
      <w:pPr>
        <w:spacing w:line="240" w:lineRule="auto"/>
        <w:rPr>
          <w:rFonts w:eastAsia="Times New Roman" w:cs="Arial"/>
          <w:color w:val="000000"/>
          <w:szCs w:val="20"/>
          <w:u w:val="single"/>
          <w:lang w:eastAsia="bg-BG"/>
        </w:rPr>
      </w:pPr>
    </w:p>
    <w:p w14:paraId="4A72DB0B" w14:textId="3CE717D0" w:rsidR="00CF747A" w:rsidRPr="00CF747A" w:rsidRDefault="00CF747A" w:rsidP="00CF747A">
      <w:pPr>
        <w:pStyle w:val="Heading3"/>
        <w:rPr>
          <w:rFonts w:eastAsia="Times New Roman"/>
          <w:sz w:val="28"/>
          <w:u w:val="single"/>
        </w:rPr>
      </w:pPr>
      <w:r w:rsidRPr="00CF747A">
        <w:rPr>
          <w:rFonts w:eastAsia="Times New Roman"/>
          <w:u w:val="single"/>
          <w:lang w:eastAsia="bg-BG"/>
        </w:rPr>
        <w:t>Лечение при предозиране</w:t>
      </w:r>
    </w:p>
    <w:p w14:paraId="334A0180"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Лечението със Спиолто Респимат трябва да бъде прекратено. Показано е и поддържащо и симптоматично лечение. Тежките случаи трябва да бъдат хоспитализирани. Може да бъде обмислено прилагане на кардиоселективни бета-блокери, но само при изключително повишено внимание, тъй като употребата на бета-адренергични блокери може да провокира бронхоспазъм.</w:t>
      </w:r>
    </w:p>
    <w:p w14:paraId="145C7A7F" w14:textId="77777777" w:rsidR="00CF747A" w:rsidRPr="00CF747A" w:rsidRDefault="00CF747A" w:rsidP="00CF747A"/>
    <w:p w14:paraId="02081B24" w14:textId="36FE76F4" w:rsidR="00395555" w:rsidRPr="00395555" w:rsidRDefault="002C50EE" w:rsidP="008A6AF2">
      <w:pPr>
        <w:pStyle w:val="Heading1"/>
      </w:pPr>
      <w:r>
        <w:t>5. ФАРМАКОЛОГИЧНИ СВОЙСТВА</w:t>
      </w:r>
    </w:p>
    <w:p w14:paraId="6339E404" w14:textId="037AE353" w:rsidR="00875EEC" w:rsidRDefault="002C50EE" w:rsidP="005726E3">
      <w:pPr>
        <w:pStyle w:val="Heading2"/>
      </w:pPr>
      <w:r>
        <w:t>5.1. Фармакодинамични свойства</w:t>
      </w:r>
    </w:p>
    <w:p w14:paraId="1C6F8E7E" w14:textId="7EBA391B" w:rsidR="00CF747A" w:rsidRDefault="00CF747A" w:rsidP="00CF747A"/>
    <w:p w14:paraId="5CCD916F"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Фармакотерапевтична група:</w:t>
      </w:r>
    </w:p>
    <w:p w14:paraId="5551378C"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Лекарства за лечение на обструктивни заболявания на дихателните пътища, адренергетични средства в комбинация с антихолинергетични средства</w:t>
      </w:r>
    </w:p>
    <w:p w14:paraId="27CCE91A"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 xml:space="preserve">АТС код: </w:t>
      </w:r>
      <w:r w:rsidRPr="00CF747A">
        <w:rPr>
          <w:rFonts w:eastAsia="Times New Roman" w:cs="Arial"/>
          <w:color w:val="000000"/>
          <w:lang w:val="en-US"/>
        </w:rPr>
        <w:t>R</w:t>
      </w:r>
      <w:r w:rsidRPr="00CF747A">
        <w:rPr>
          <w:rFonts w:eastAsia="Times New Roman" w:cs="Arial"/>
          <w:color w:val="000000"/>
          <w:lang w:val="ru-RU"/>
        </w:rPr>
        <w:t>03</w:t>
      </w:r>
      <w:r w:rsidRPr="00CF747A">
        <w:rPr>
          <w:rFonts w:eastAsia="Times New Roman" w:cs="Arial"/>
          <w:color w:val="000000"/>
          <w:lang w:val="en-US"/>
        </w:rPr>
        <w:t>AL</w:t>
      </w:r>
      <w:r w:rsidRPr="00CF747A">
        <w:rPr>
          <w:rFonts w:eastAsia="Times New Roman" w:cs="Arial"/>
          <w:color w:val="000000"/>
          <w:lang w:val="ru-RU"/>
        </w:rPr>
        <w:t>06</w:t>
      </w:r>
    </w:p>
    <w:p w14:paraId="000E3517" w14:textId="77777777" w:rsidR="00CF747A" w:rsidRPr="00CF747A" w:rsidRDefault="00CF747A" w:rsidP="00CF747A">
      <w:pPr>
        <w:spacing w:line="240" w:lineRule="auto"/>
        <w:rPr>
          <w:rFonts w:eastAsia="Times New Roman" w:cs="Arial"/>
          <w:color w:val="000000"/>
          <w:u w:val="single"/>
          <w:lang w:eastAsia="bg-BG"/>
        </w:rPr>
      </w:pPr>
    </w:p>
    <w:p w14:paraId="7B174BDB" w14:textId="1C944B01" w:rsidR="00CF747A" w:rsidRPr="00CF747A" w:rsidRDefault="00CF747A" w:rsidP="00CF747A">
      <w:pPr>
        <w:spacing w:line="240" w:lineRule="auto"/>
        <w:rPr>
          <w:rFonts w:eastAsia="Times New Roman" w:cs="Arial"/>
        </w:rPr>
      </w:pPr>
      <w:r w:rsidRPr="00CF747A">
        <w:rPr>
          <w:rFonts w:eastAsia="Times New Roman" w:cs="Arial"/>
          <w:color w:val="000000"/>
          <w:u w:val="single"/>
          <w:lang w:eastAsia="bg-BG"/>
        </w:rPr>
        <w:t>Механизъм на действие</w:t>
      </w:r>
    </w:p>
    <w:p w14:paraId="47C6005A" w14:textId="77777777" w:rsidR="00CF747A" w:rsidRPr="00CF747A" w:rsidRDefault="00CF747A" w:rsidP="00CF747A">
      <w:pPr>
        <w:spacing w:line="240" w:lineRule="auto"/>
        <w:rPr>
          <w:rFonts w:eastAsia="Times New Roman" w:cs="Arial"/>
        </w:rPr>
      </w:pPr>
      <w:r w:rsidRPr="00CF747A">
        <w:rPr>
          <w:rFonts w:eastAsia="Times New Roman" w:cs="Arial"/>
          <w:i/>
          <w:iCs/>
          <w:color w:val="000000"/>
          <w:lang w:eastAsia="bg-BG"/>
        </w:rPr>
        <w:t>Спиолто Респимат</w:t>
      </w:r>
    </w:p>
    <w:p w14:paraId="120856D6"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Спиолто Респимат е разтвор за инхалация с фиксирана дозова комбинация, съдържаща</w:t>
      </w:r>
    </w:p>
    <w:p w14:paraId="39CEB55B" w14:textId="77777777" w:rsidR="00CF747A" w:rsidRPr="00CF747A" w:rsidRDefault="00CF747A" w:rsidP="00CF747A">
      <w:pPr>
        <w:rPr>
          <w:rFonts w:eastAsia="Times New Roman" w:cs="Arial"/>
        </w:rPr>
      </w:pPr>
      <w:r w:rsidRPr="00CF747A">
        <w:rPr>
          <w:rFonts w:eastAsia="Times New Roman" w:cs="Arial"/>
          <w:color w:val="000000"/>
          <w:lang w:eastAsia="bg-BG"/>
        </w:rPr>
        <w:lastRenderedPageBreak/>
        <w:t>дългодействащ антагонист на мускариновите рецептори, тиотропиум, и дългдействащ бета</w:t>
      </w:r>
      <w:r w:rsidRPr="00CF747A">
        <w:rPr>
          <w:rFonts w:eastAsia="Times New Roman" w:cs="Arial"/>
          <w:color w:val="000000"/>
          <w:vertAlign w:val="subscript"/>
          <w:lang w:eastAsia="bg-BG"/>
        </w:rPr>
        <w:t>2</w:t>
      </w:r>
      <w:r w:rsidRPr="00CF747A">
        <w:rPr>
          <w:rFonts w:eastAsia="Times New Roman" w:cs="Arial"/>
          <w:color w:val="000000"/>
          <w:lang w:eastAsia="bg-BG"/>
        </w:rPr>
        <w:t>-адренергичен агонист, олодатерол (ДДМА/ДДБА), която се доставя чрез Спиолто Респимат, инхалаторно устройство тип „фина мъгла“.</w:t>
      </w:r>
    </w:p>
    <w:p w14:paraId="4A10258C"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Двете активни вещества осигуряват адигивна бронходилатация, дължаща се на техните различни механизми на действие. Тъй като мускариновите рецептори, изглежда са по-важни за централните въздухоносни пътища, а β</w:t>
      </w:r>
      <w:r w:rsidRPr="00CF747A">
        <w:rPr>
          <w:rFonts w:eastAsia="Times New Roman" w:cs="Arial"/>
          <w:color w:val="000000"/>
          <w:vertAlign w:val="subscript"/>
          <w:lang w:eastAsia="bg-BG"/>
        </w:rPr>
        <w:t>2</w:t>
      </w:r>
      <w:r w:rsidRPr="00CF747A">
        <w:rPr>
          <w:rFonts w:eastAsia="Times New Roman" w:cs="Arial"/>
          <w:color w:val="000000"/>
          <w:lang w:eastAsia="bg-BG"/>
        </w:rPr>
        <w:t>-адренорецепторите имат по-високо изразени нива в периферните въздухоносни пътища, комбинацията от тиотропиум и олодатерол трябва да осигури оптимална бронходилатация във всички области на белите дробове.</w:t>
      </w:r>
    </w:p>
    <w:p w14:paraId="7C07FF45" w14:textId="77777777" w:rsidR="00CF747A" w:rsidRPr="00CF747A" w:rsidRDefault="00CF747A" w:rsidP="00CF747A">
      <w:pPr>
        <w:spacing w:line="240" w:lineRule="auto"/>
        <w:rPr>
          <w:rFonts w:eastAsia="Times New Roman" w:cs="Arial"/>
          <w:i/>
          <w:iCs/>
          <w:color w:val="000000"/>
          <w:lang w:eastAsia="bg-BG"/>
        </w:rPr>
      </w:pPr>
    </w:p>
    <w:p w14:paraId="687D3C41" w14:textId="181BC2AC" w:rsidR="00CF747A" w:rsidRPr="00CF747A" w:rsidRDefault="00CF747A" w:rsidP="00CF747A">
      <w:pPr>
        <w:spacing w:line="240" w:lineRule="auto"/>
        <w:rPr>
          <w:rFonts w:eastAsia="Times New Roman" w:cs="Arial"/>
        </w:rPr>
      </w:pPr>
      <w:r w:rsidRPr="00CF747A">
        <w:rPr>
          <w:rFonts w:eastAsia="Times New Roman" w:cs="Arial"/>
          <w:i/>
          <w:iCs/>
          <w:color w:val="000000"/>
          <w:lang w:eastAsia="bg-BG"/>
        </w:rPr>
        <w:t>Тиотропиум</w:t>
      </w:r>
    </w:p>
    <w:p w14:paraId="277D85FF"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 xml:space="preserve">Тиотропиум бромид е дългодействащ, специфичен антагонист на мускариновите рецептори. Притежава сходен афинитет към подтиповете мускаринови рецептори </w:t>
      </w:r>
      <w:r w:rsidRPr="00CF747A">
        <w:rPr>
          <w:rFonts w:eastAsia="Times New Roman" w:cs="Arial"/>
          <w:color w:val="000000"/>
          <w:lang w:val="en-US"/>
        </w:rPr>
        <w:t>M</w:t>
      </w:r>
      <w:r w:rsidRPr="00CF747A">
        <w:rPr>
          <w:rFonts w:eastAsia="Times New Roman" w:cs="Arial"/>
          <w:color w:val="000000"/>
          <w:vertAlign w:val="subscript"/>
          <w:lang w:val="ru-RU"/>
        </w:rPr>
        <w:t>1</w:t>
      </w:r>
      <w:r w:rsidRPr="00CF747A">
        <w:rPr>
          <w:rFonts w:eastAsia="Times New Roman" w:cs="Arial"/>
          <w:color w:val="000000"/>
          <w:lang w:val="ru-RU"/>
        </w:rPr>
        <w:t xml:space="preserve"> </w:t>
      </w:r>
      <w:r w:rsidRPr="00CF747A">
        <w:rPr>
          <w:rFonts w:eastAsia="Times New Roman" w:cs="Arial"/>
          <w:color w:val="000000"/>
          <w:lang w:eastAsia="bg-BG"/>
        </w:rPr>
        <w:t>до М</w:t>
      </w:r>
      <w:r w:rsidRPr="00CF747A">
        <w:rPr>
          <w:rFonts w:eastAsia="Times New Roman" w:cs="Arial"/>
          <w:color w:val="000000"/>
          <w:vertAlign w:val="subscript"/>
          <w:lang w:eastAsia="bg-BG"/>
        </w:rPr>
        <w:t>5</w:t>
      </w:r>
      <w:r w:rsidRPr="00CF747A">
        <w:rPr>
          <w:rFonts w:eastAsia="Times New Roman" w:cs="Arial"/>
          <w:color w:val="000000"/>
          <w:lang w:eastAsia="bg-BG"/>
        </w:rPr>
        <w:t>. Във въздухоносните пътища тиотропиум бромид конкурентно и обратимо се свързва с М</w:t>
      </w:r>
      <w:r w:rsidRPr="00CF747A">
        <w:rPr>
          <w:rFonts w:eastAsia="Times New Roman" w:cs="Arial"/>
          <w:color w:val="000000"/>
          <w:vertAlign w:val="subscript"/>
          <w:lang w:eastAsia="bg-BG"/>
        </w:rPr>
        <w:t>3</w:t>
      </w:r>
      <w:r w:rsidRPr="00CF747A">
        <w:rPr>
          <w:rFonts w:eastAsia="Times New Roman" w:cs="Arial"/>
          <w:color w:val="000000"/>
          <w:lang w:eastAsia="bg-BG"/>
        </w:rPr>
        <w:t xml:space="preserve"> рецепторите в гладката мускулатура на бронхите, като антагонизира холинергичния (бронхоконстриктивния) ефект на ацетилхолина, което води до релаксация на бронхиалната мускулатура. Ефектът е дозозависим и продължителността му е повече от 24 часа. Като </w:t>
      </w:r>
      <w:r w:rsidRPr="00CF747A">
        <w:rPr>
          <w:rFonts w:eastAsia="Times New Roman" w:cs="Arial"/>
          <w:color w:val="000000"/>
          <w:lang w:val="en-US"/>
        </w:rPr>
        <w:t>N</w:t>
      </w:r>
      <w:r w:rsidRPr="00CF747A">
        <w:rPr>
          <w:rFonts w:eastAsia="Times New Roman" w:cs="Arial"/>
          <w:color w:val="000000"/>
          <w:lang w:val="ru-RU"/>
        </w:rPr>
        <w:t xml:space="preserve">- </w:t>
      </w:r>
      <w:r w:rsidRPr="00CF747A">
        <w:rPr>
          <w:rFonts w:eastAsia="Times New Roman" w:cs="Arial"/>
          <w:color w:val="000000"/>
          <w:lang w:eastAsia="bg-BG"/>
        </w:rPr>
        <w:t>четвъртичен антихолинергичен агент, тиотропиум бромид е локално (бронхо-) селективен след инхалаторно приложение, като демонстрира приемливи терапевтични граници, преди проявата на системни антихолинергични ефекти.</w:t>
      </w:r>
    </w:p>
    <w:p w14:paraId="75422C96" w14:textId="77777777" w:rsidR="00CF747A" w:rsidRPr="00CF747A" w:rsidRDefault="00CF747A" w:rsidP="00CF747A">
      <w:pPr>
        <w:spacing w:line="240" w:lineRule="auto"/>
        <w:rPr>
          <w:rFonts w:eastAsia="Times New Roman" w:cs="Arial"/>
          <w:i/>
          <w:iCs/>
          <w:color w:val="000000"/>
          <w:lang w:eastAsia="bg-BG"/>
        </w:rPr>
      </w:pPr>
    </w:p>
    <w:p w14:paraId="158A4F32" w14:textId="59D90282" w:rsidR="00CF747A" w:rsidRPr="00CF747A" w:rsidRDefault="00CF747A" w:rsidP="00CF747A">
      <w:pPr>
        <w:spacing w:line="240" w:lineRule="auto"/>
        <w:rPr>
          <w:rFonts w:eastAsia="Times New Roman" w:cs="Arial"/>
        </w:rPr>
      </w:pPr>
      <w:r w:rsidRPr="00CF747A">
        <w:rPr>
          <w:rFonts w:eastAsia="Times New Roman" w:cs="Arial"/>
          <w:i/>
          <w:iCs/>
          <w:color w:val="000000"/>
          <w:lang w:eastAsia="bg-BG"/>
        </w:rPr>
        <w:t>Олодатерол</w:t>
      </w:r>
    </w:p>
    <w:p w14:paraId="760CF68B"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Олодатерол има висок афинитет и висока селективност на свързване към човешките бетаз- адренорецептори.</w:t>
      </w:r>
    </w:p>
    <w:p w14:paraId="6A5B3A57" w14:textId="06B33ED3" w:rsidR="00CF747A" w:rsidRPr="00CF747A" w:rsidRDefault="00CF747A" w:rsidP="00CF747A">
      <w:pPr>
        <w:spacing w:line="240" w:lineRule="auto"/>
        <w:rPr>
          <w:rFonts w:eastAsia="Times New Roman" w:cs="Arial"/>
        </w:rPr>
      </w:pPr>
      <w:r w:rsidRPr="00CF747A">
        <w:rPr>
          <w:rFonts w:eastAsia="Times New Roman" w:cs="Arial"/>
          <w:i/>
          <w:iCs/>
          <w:color w:val="000000"/>
          <w:lang w:val="en-US"/>
        </w:rPr>
        <w:t>In</w:t>
      </w:r>
      <w:r w:rsidRPr="00CF747A">
        <w:rPr>
          <w:rFonts w:eastAsia="Times New Roman" w:cs="Arial"/>
          <w:i/>
          <w:iCs/>
          <w:color w:val="000000"/>
          <w:lang w:val="ru-RU"/>
        </w:rPr>
        <w:t xml:space="preserve"> </w:t>
      </w:r>
      <w:r w:rsidRPr="00CF747A">
        <w:rPr>
          <w:rFonts w:eastAsia="Times New Roman" w:cs="Arial"/>
          <w:i/>
          <w:iCs/>
          <w:color w:val="000000"/>
          <w:lang w:val="en-US"/>
        </w:rPr>
        <w:t>vitro</w:t>
      </w:r>
      <w:r w:rsidRPr="00CF747A">
        <w:rPr>
          <w:rFonts w:eastAsia="Times New Roman" w:cs="Arial"/>
          <w:color w:val="000000"/>
          <w:lang w:val="ru-RU"/>
        </w:rPr>
        <w:t xml:space="preserve"> </w:t>
      </w:r>
      <w:r w:rsidRPr="00CF747A">
        <w:rPr>
          <w:rFonts w:eastAsia="Times New Roman" w:cs="Arial"/>
          <w:color w:val="000000"/>
          <w:lang w:eastAsia="bg-BG"/>
        </w:rPr>
        <w:t>проучванията показват, че олодатерол има 241 пъти по-висока агонистична активност към бетаз-адренорецепторите в сравнение с бета</w:t>
      </w:r>
      <w:r w:rsidRPr="00CF747A">
        <w:rPr>
          <w:rFonts w:eastAsia="Times New Roman" w:cs="Arial"/>
          <w:color w:val="000000"/>
          <w:vertAlign w:val="subscript"/>
          <w:lang w:eastAsia="bg-BG"/>
        </w:rPr>
        <w:t>1</w:t>
      </w:r>
      <w:r w:rsidRPr="00CF747A">
        <w:rPr>
          <w:rFonts w:eastAsia="Times New Roman" w:cs="Arial"/>
          <w:color w:val="000000"/>
          <w:lang w:eastAsia="bg-BG"/>
        </w:rPr>
        <w:t xml:space="preserve">-адренорецепторите и 2 </w:t>
      </w:r>
      <w:proofErr w:type="gramStart"/>
      <w:r w:rsidRPr="00CF747A">
        <w:rPr>
          <w:rFonts w:eastAsia="Times New Roman" w:cs="Arial"/>
          <w:color w:val="000000"/>
          <w:lang w:eastAsia="bg-BG"/>
        </w:rPr>
        <w:t>299 пъти</w:t>
      </w:r>
      <w:proofErr w:type="gramEnd"/>
      <w:r w:rsidRPr="00CF747A">
        <w:rPr>
          <w:rFonts w:eastAsia="Times New Roman" w:cs="Arial"/>
          <w:color w:val="000000"/>
          <w:lang w:eastAsia="bg-BG"/>
        </w:rPr>
        <w:t xml:space="preserve"> по-висока агонистична активност в сравнение с бетаз-адренорецепторите.</w:t>
      </w:r>
    </w:p>
    <w:p w14:paraId="48DA0195"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Съединението упражнява фармакологичните си ефекти чрез свързване и активиране на бетаз- адренорецепторите след локално приложение чрез инхалация.</w:t>
      </w:r>
    </w:p>
    <w:p w14:paraId="6A8B1C9F" w14:textId="77777777" w:rsidR="00CF747A" w:rsidRPr="00CF747A" w:rsidRDefault="00CF747A" w:rsidP="00CF747A">
      <w:pPr>
        <w:spacing w:line="240" w:lineRule="auto"/>
        <w:rPr>
          <w:rFonts w:eastAsia="Times New Roman" w:cs="Arial"/>
          <w:color w:val="000000"/>
          <w:lang w:eastAsia="bg-BG"/>
        </w:rPr>
      </w:pPr>
    </w:p>
    <w:p w14:paraId="15C86FAC" w14:textId="0D51188B" w:rsidR="00CF747A" w:rsidRPr="00CF747A" w:rsidRDefault="00CF747A" w:rsidP="00CF747A">
      <w:pPr>
        <w:spacing w:line="240" w:lineRule="auto"/>
        <w:rPr>
          <w:rFonts w:eastAsia="Times New Roman" w:cs="Arial"/>
        </w:rPr>
      </w:pPr>
      <w:r w:rsidRPr="00CF747A">
        <w:rPr>
          <w:rFonts w:eastAsia="Times New Roman" w:cs="Arial"/>
          <w:color w:val="000000"/>
          <w:lang w:eastAsia="bg-BG"/>
        </w:rPr>
        <w:t xml:space="preserve">Активирането на тези рецептори във въздухоносните пътища води до стимулиране на вътреклетъчната аденилатциклаза, ензим, медииращ синтеза на цикличния-3',5' аденозин </w:t>
      </w:r>
      <w:r w:rsidRPr="00CF747A">
        <w:rPr>
          <w:rFonts w:eastAsia="Times New Roman" w:cs="Arial"/>
          <w:i/>
          <w:iCs/>
          <w:color w:val="000000"/>
          <w:lang w:eastAsia="bg-BG"/>
        </w:rPr>
        <w:t>монофосфат</w:t>
      </w:r>
      <w:r w:rsidRPr="00CF747A">
        <w:rPr>
          <w:rFonts w:eastAsia="Times New Roman" w:cs="Arial"/>
          <w:color w:val="000000"/>
          <w:lang w:eastAsia="bg-BG"/>
        </w:rPr>
        <w:t xml:space="preserve"> (цАМФ). Повишените нива на цАМФ индуцират бронходилатация чрез релаксация на гладкомускулните клетки на въздухоносните пътища.</w:t>
      </w:r>
      <w:r w:rsidRPr="00CF747A">
        <w:rPr>
          <w:rFonts w:eastAsia="Times New Roman" w:cs="Arial"/>
        </w:rPr>
        <w:t xml:space="preserve"> </w:t>
      </w:r>
      <w:r w:rsidRPr="00CF747A">
        <w:rPr>
          <w:rFonts w:eastAsia="Times New Roman" w:cs="Arial"/>
          <w:color w:val="000000"/>
          <w:lang w:eastAsia="bg-BG"/>
        </w:rPr>
        <w:t>Олодатерол има предклиничен профил на дългодействащ селективен бета</w:t>
      </w:r>
      <w:r w:rsidRPr="00CF747A">
        <w:rPr>
          <w:rFonts w:eastAsia="Times New Roman" w:cs="Arial"/>
          <w:color w:val="000000"/>
          <w:vertAlign w:val="subscript"/>
          <w:lang w:eastAsia="bg-BG"/>
        </w:rPr>
        <w:t>2</w:t>
      </w:r>
      <w:r w:rsidRPr="00CF747A">
        <w:rPr>
          <w:rFonts w:eastAsia="Times New Roman" w:cs="Arial"/>
          <w:color w:val="000000"/>
          <w:lang w:eastAsia="bg-BG"/>
        </w:rPr>
        <w:t>-адренорецепторен агонист (ДДБА) с бързо настъпване на действието и продължителност на действие поне 24 часа.</w:t>
      </w:r>
    </w:p>
    <w:p w14:paraId="293A6CE9" w14:textId="77777777" w:rsidR="00CF747A" w:rsidRPr="00CF747A" w:rsidRDefault="00CF747A" w:rsidP="00CF747A">
      <w:pPr>
        <w:spacing w:line="240" w:lineRule="auto"/>
        <w:rPr>
          <w:rFonts w:eastAsia="Times New Roman" w:cs="Arial"/>
          <w:color w:val="000000"/>
          <w:lang w:eastAsia="bg-BG"/>
        </w:rPr>
      </w:pPr>
    </w:p>
    <w:p w14:paraId="4570D7C0" w14:textId="75D5E18A" w:rsidR="00CF747A" w:rsidRPr="00CF747A" w:rsidRDefault="00CF747A" w:rsidP="00CF747A">
      <w:pPr>
        <w:spacing w:line="240" w:lineRule="auto"/>
        <w:rPr>
          <w:rFonts w:eastAsia="Times New Roman" w:cs="Arial"/>
        </w:rPr>
      </w:pPr>
      <w:r w:rsidRPr="00CF747A">
        <w:rPr>
          <w:rFonts w:eastAsia="Times New Roman" w:cs="Arial"/>
          <w:color w:val="000000"/>
          <w:lang w:eastAsia="bg-BG"/>
        </w:rPr>
        <w:t>Бета-адренорецепторите се разделят на три подтипа: бета</w:t>
      </w:r>
      <w:r w:rsidRPr="00CF747A">
        <w:rPr>
          <w:rFonts w:eastAsia="Times New Roman" w:cs="Arial"/>
          <w:color w:val="000000"/>
          <w:vertAlign w:val="subscript"/>
          <w:lang w:eastAsia="bg-BG"/>
        </w:rPr>
        <w:t>1</w:t>
      </w:r>
      <w:r w:rsidRPr="00CF747A">
        <w:rPr>
          <w:rFonts w:eastAsia="Times New Roman" w:cs="Arial"/>
          <w:color w:val="000000"/>
          <w:lang w:eastAsia="bg-BG"/>
        </w:rPr>
        <w:t>-адренорецептори, предимно изразени в сърдечната мускулатура, бетаз-адренорецептори, предимно изразени в гладката мускулатура на въздухоносните пътища и бетаз-адренорецептори, предимно изразени в мастната тъкан. Бета</w:t>
      </w:r>
      <w:r w:rsidRPr="00CF747A">
        <w:rPr>
          <w:rFonts w:eastAsia="Times New Roman" w:cs="Arial"/>
          <w:color w:val="000000"/>
          <w:vertAlign w:val="subscript"/>
          <w:lang w:eastAsia="bg-BG"/>
        </w:rPr>
        <w:t>2</w:t>
      </w:r>
      <w:r w:rsidRPr="00CF747A">
        <w:rPr>
          <w:rFonts w:eastAsia="Times New Roman" w:cs="Arial"/>
          <w:color w:val="000000"/>
          <w:lang w:eastAsia="bg-BG"/>
        </w:rPr>
        <w:t>-агонистите предизвикват бронходилатация. Въпреки че бетаз- адренорецептори са преобладаващите адренергични рецептори в гладката мускулатура на въздухоносните пътища, те се намират също и върху повърхността на редица други клетки, включително белодробните епителни клетки и ендотелните клетки на сърцето. Точната функция на бетаз-адренорецепторите не е известна, но тяхното наличие повишава възможността за сърдечни ефекти дори и при високо-селективните бета</w:t>
      </w:r>
      <w:r w:rsidRPr="00CF747A">
        <w:rPr>
          <w:rFonts w:eastAsia="Times New Roman" w:cs="Arial"/>
          <w:color w:val="000000"/>
          <w:vertAlign w:val="subscript"/>
          <w:lang w:eastAsia="bg-BG"/>
        </w:rPr>
        <w:t>2</w:t>
      </w:r>
      <w:r w:rsidRPr="00CF747A">
        <w:rPr>
          <w:rFonts w:eastAsia="Times New Roman" w:cs="Arial"/>
          <w:color w:val="000000"/>
          <w:lang w:eastAsia="bg-BG"/>
        </w:rPr>
        <w:t>-адренорецепторни агонисти.</w:t>
      </w:r>
    </w:p>
    <w:p w14:paraId="2A1BF8A9" w14:textId="77777777" w:rsidR="00CF747A" w:rsidRPr="00CF747A" w:rsidRDefault="00CF747A" w:rsidP="00CF747A">
      <w:pPr>
        <w:spacing w:line="240" w:lineRule="auto"/>
        <w:rPr>
          <w:rFonts w:eastAsia="Times New Roman" w:cs="Arial"/>
          <w:i/>
          <w:iCs/>
          <w:color w:val="000000"/>
          <w:u w:val="single"/>
          <w:lang w:eastAsia="bg-BG"/>
        </w:rPr>
      </w:pPr>
    </w:p>
    <w:p w14:paraId="1511B86B" w14:textId="7B2734A8" w:rsidR="00CF747A" w:rsidRPr="00CF747A" w:rsidRDefault="00CF747A" w:rsidP="00CF747A">
      <w:pPr>
        <w:spacing w:line="240" w:lineRule="auto"/>
        <w:rPr>
          <w:rFonts w:eastAsia="Times New Roman" w:cs="Arial"/>
        </w:rPr>
      </w:pPr>
      <w:r w:rsidRPr="00CF747A">
        <w:rPr>
          <w:rFonts w:eastAsia="Times New Roman" w:cs="Arial"/>
          <w:i/>
          <w:iCs/>
          <w:color w:val="000000"/>
          <w:u w:val="single"/>
          <w:lang w:eastAsia="bg-BG"/>
        </w:rPr>
        <w:t>Сърдечни електро-физиологични ефекти</w:t>
      </w:r>
    </w:p>
    <w:p w14:paraId="5C2694B7" w14:textId="77777777" w:rsidR="00CF747A" w:rsidRPr="00CF747A" w:rsidRDefault="00CF747A" w:rsidP="00CF747A">
      <w:pPr>
        <w:spacing w:line="240" w:lineRule="auto"/>
        <w:rPr>
          <w:rFonts w:eastAsia="Times New Roman" w:cs="Arial"/>
          <w:i/>
          <w:iCs/>
          <w:color w:val="000000"/>
          <w:lang w:eastAsia="bg-BG"/>
        </w:rPr>
      </w:pPr>
    </w:p>
    <w:p w14:paraId="63DCA847" w14:textId="0E1F26F7" w:rsidR="00CF747A" w:rsidRPr="00CF747A" w:rsidRDefault="00CF747A" w:rsidP="00CF747A">
      <w:pPr>
        <w:spacing w:line="240" w:lineRule="auto"/>
        <w:rPr>
          <w:rFonts w:eastAsia="Times New Roman" w:cs="Arial"/>
        </w:rPr>
      </w:pPr>
      <w:r w:rsidRPr="00CF747A">
        <w:rPr>
          <w:rFonts w:eastAsia="Times New Roman" w:cs="Arial"/>
          <w:i/>
          <w:iCs/>
          <w:color w:val="000000"/>
          <w:lang w:eastAsia="bg-BG"/>
        </w:rPr>
        <w:t>Тиотропиум</w:t>
      </w:r>
    </w:p>
    <w:p w14:paraId="2330899B" w14:textId="4F241928" w:rsidR="00CF747A" w:rsidRPr="00CF747A" w:rsidRDefault="00CF747A" w:rsidP="00CF747A">
      <w:pPr>
        <w:spacing w:line="240" w:lineRule="auto"/>
        <w:rPr>
          <w:rFonts w:eastAsia="Times New Roman" w:cs="Arial"/>
          <w:color w:val="000000"/>
          <w:lang w:eastAsia="bg-BG"/>
        </w:rPr>
      </w:pPr>
      <w:r w:rsidRPr="00CF747A">
        <w:rPr>
          <w:rFonts w:eastAsia="Times New Roman" w:cs="Arial"/>
          <w:color w:val="000000"/>
          <w:lang w:eastAsia="bg-BG"/>
        </w:rPr>
        <w:lastRenderedPageBreak/>
        <w:t xml:space="preserve">В едно, посветено на </w:t>
      </w:r>
      <w:r w:rsidRPr="00CF747A">
        <w:rPr>
          <w:rFonts w:eastAsia="Times New Roman" w:cs="Arial"/>
          <w:color w:val="000000"/>
          <w:lang w:val="en-US"/>
        </w:rPr>
        <w:t>QT</w:t>
      </w:r>
      <w:r w:rsidRPr="00CF747A">
        <w:rPr>
          <w:rFonts w:eastAsia="Times New Roman" w:cs="Arial"/>
          <w:color w:val="000000"/>
          <w:lang w:val="ru-RU"/>
        </w:rPr>
        <w:t xml:space="preserve"> </w:t>
      </w:r>
      <w:r w:rsidRPr="00CF747A">
        <w:rPr>
          <w:rFonts w:eastAsia="Times New Roman" w:cs="Arial"/>
          <w:color w:val="000000"/>
          <w:lang w:eastAsia="bg-BG"/>
        </w:rPr>
        <w:t xml:space="preserve">проучване, включващо 53 здрави доброволци, прилагането на тиотропиум прах за инхалация в доза 18 микрограма и 54 микрограма (т.е. три пъти терапевтичната доза) в продължение на 12 дни не удължава значимо </w:t>
      </w:r>
      <w:r w:rsidRPr="00CF747A">
        <w:rPr>
          <w:rFonts w:eastAsia="Times New Roman" w:cs="Arial"/>
          <w:color w:val="000000"/>
          <w:lang w:val="en-US"/>
        </w:rPr>
        <w:t>QT</w:t>
      </w:r>
      <w:r w:rsidRPr="00CF747A">
        <w:rPr>
          <w:rFonts w:eastAsia="Times New Roman" w:cs="Arial"/>
          <w:color w:val="000000"/>
          <w:lang w:val="ru-RU"/>
        </w:rPr>
        <w:t xml:space="preserve"> </w:t>
      </w:r>
      <w:r w:rsidRPr="00CF747A">
        <w:rPr>
          <w:rFonts w:eastAsia="Times New Roman" w:cs="Arial"/>
          <w:color w:val="000000"/>
          <w:lang w:eastAsia="bg-BG"/>
        </w:rPr>
        <w:t>интервалите на електрокардиограмата.</w:t>
      </w:r>
    </w:p>
    <w:p w14:paraId="36E5E3DB" w14:textId="2C63179C" w:rsidR="00CF747A" w:rsidRPr="00CF747A" w:rsidRDefault="00CF747A" w:rsidP="00CF747A">
      <w:pPr>
        <w:spacing w:line="240" w:lineRule="auto"/>
        <w:rPr>
          <w:rFonts w:eastAsia="Times New Roman" w:cs="Arial"/>
          <w:color w:val="000000"/>
          <w:lang w:eastAsia="bg-BG"/>
        </w:rPr>
      </w:pPr>
    </w:p>
    <w:p w14:paraId="5964DBD9" w14:textId="77777777" w:rsidR="00CF747A" w:rsidRPr="00CF747A" w:rsidRDefault="00CF747A" w:rsidP="00CF747A">
      <w:pPr>
        <w:spacing w:line="240" w:lineRule="auto"/>
        <w:rPr>
          <w:rFonts w:eastAsia="Times New Roman" w:cs="Arial"/>
        </w:rPr>
      </w:pPr>
      <w:r w:rsidRPr="00CF747A">
        <w:rPr>
          <w:rFonts w:eastAsia="Times New Roman" w:cs="Arial"/>
          <w:i/>
          <w:iCs/>
          <w:color w:val="000000"/>
          <w:lang w:eastAsia="bg-BG"/>
        </w:rPr>
        <w:t>Олодатерол</w:t>
      </w:r>
    </w:p>
    <w:p w14:paraId="0D52EC53"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 xml:space="preserve">Ефектът на олодатерол върху </w:t>
      </w:r>
      <w:r w:rsidRPr="00CF747A">
        <w:rPr>
          <w:rFonts w:eastAsia="Times New Roman" w:cs="Arial"/>
          <w:color w:val="000000"/>
          <w:lang w:val="en-US"/>
        </w:rPr>
        <w:t>QT</w:t>
      </w:r>
      <w:r w:rsidRPr="00CF747A">
        <w:rPr>
          <w:rFonts w:eastAsia="Times New Roman" w:cs="Arial"/>
          <w:color w:val="000000"/>
          <w:lang w:val="ru-RU"/>
        </w:rPr>
        <w:t>/</w:t>
      </w:r>
      <w:proofErr w:type="spellStart"/>
      <w:r w:rsidRPr="00CF747A">
        <w:rPr>
          <w:rFonts w:eastAsia="Times New Roman" w:cs="Arial"/>
          <w:color w:val="000000"/>
          <w:lang w:val="en-US"/>
        </w:rPr>
        <w:t>QTc</w:t>
      </w:r>
      <w:proofErr w:type="spellEnd"/>
      <w:r w:rsidRPr="00CF747A">
        <w:rPr>
          <w:rFonts w:eastAsia="Times New Roman" w:cs="Arial"/>
          <w:color w:val="000000"/>
          <w:lang w:val="ru-RU"/>
        </w:rPr>
        <w:t xml:space="preserve"> </w:t>
      </w:r>
      <w:r w:rsidRPr="00CF747A">
        <w:rPr>
          <w:rFonts w:eastAsia="Times New Roman" w:cs="Arial"/>
          <w:color w:val="000000"/>
          <w:lang w:eastAsia="bg-BG"/>
        </w:rPr>
        <w:t xml:space="preserve">интервала при ЕКГ е изследван при 24 здрави мъже и жени доброволци в двойно-сляпо, рандомизирано, плацебо- и активно (моксифлоксацин) контролирано проучване. Резултатите в сравнение с плацебо показват зависимо от дозата средно увеличение от изходното ниво на </w:t>
      </w:r>
      <w:r w:rsidRPr="00CF747A">
        <w:rPr>
          <w:rFonts w:eastAsia="Times New Roman" w:cs="Arial"/>
          <w:color w:val="000000"/>
          <w:lang w:val="en-US"/>
        </w:rPr>
        <w:t>QT</w:t>
      </w:r>
      <w:r w:rsidRPr="00CF747A">
        <w:rPr>
          <w:rFonts w:eastAsia="Times New Roman" w:cs="Arial"/>
          <w:color w:val="000000"/>
          <w:lang w:val="ru-RU"/>
        </w:rPr>
        <w:t xml:space="preserve"> </w:t>
      </w:r>
      <w:r w:rsidRPr="00CF747A">
        <w:rPr>
          <w:rFonts w:eastAsia="Times New Roman" w:cs="Arial"/>
          <w:color w:val="000000"/>
          <w:lang w:eastAsia="bg-BG"/>
        </w:rPr>
        <w:t xml:space="preserve">интервала от 1,6 (10 микрограма олодатерол) до 6,5 </w:t>
      </w:r>
      <w:proofErr w:type="spellStart"/>
      <w:r w:rsidRPr="00CF747A">
        <w:rPr>
          <w:rFonts w:eastAsia="Times New Roman" w:cs="Arial"/>
          <w:color w:val="000000"/>
          <w:lang w:val="en-US"/>
        </w:rPr>
        <w:t>ms</w:t>
      </w:r>
      <w:proofErr w:type="spellEnd"/>
      <w:r w:rsidRPr="00CF747A">
        <w:rPr>
          <w:rFonts w:eastAsia="Times New Roman" w:cs="Arial"/>
          <w:color w:val="000000"/>
          <w:lang w:val="ru-RU"/>
        </w:rPr>
        <w:t xml:space="preserve"> </w:t>
      </w:r>
      <w:r w:rsidRPr="00CF747A">
        <w:rPr>
          <w:rFonts w:eastAsia="Times New Roman" w:cs="Arial"/>
          <w:color w:val="000000"/>
          <w:lang w:eastAsia="bg-BG"/>
        </w:rPr>
        <w:t xml:space="preserve">(50 микрограма олодатерол), в рамките на 20 минути до 2 часа след прилагане на олодатерол в еднократни дози от 10,20,30 и 50 микрограма, при горна граница на двустранните 90% доверителни интервали по-ниска от 10 </w:t>
      </w:r>
      <w:proofErr w:type="spellStart"/>
      <w:r w:rsidRPr="00CF747A">
        <w:rPr>
          <w:rFonts w:eastAsia="Times New Roman" w:cs="Arial"/>
          <w:color w:val="000000"/>
          <w:lang w:val="en-US"/>
        </w:rPr>
        <w:t>ms</w:t>
      </w:r>
      <w:proofErr w:type="spellEnd"/>
      <w:r w:rsidRPr="00CF747A">
        <w:rPr>
          <w:rFonts w:eastAsia="Times New Roman" w:cs="Arial"/>
          <w:color w:val="000000"/>
          <w:lang w:val="ru-RU"/>
        </w:rPr>
        <w:t xml:space="preserve"> </w:t>
      </w:r>
      <w:r w:rsidRPr="00CF747A">
        <w:rPr>
          <w:rFonts w:eastAsia="Times New Roman" w:cs="Arial"/>
          <w:color w:val="000000"/>
          <w:lang w:eastAsia="bg-BG"/>
        </w:rPr>
        <w:t xml:space="preserve">при всички дози за индивидуално коригиран </w:t>
      </w:r>
      <w:r w:rsidRPr="00CF747A">
        <w:rPr>
          <w:rFonts w:eastAsia="Times New Roman" w:cs="Arial"/>
          <w:color w:val="000000"/>
          <w:lang w:val="en-US"/>
        </w:rPr>
        <w:t>QT</w:t>
      </w:r>
      <w:r w:rsidRPr="00CF747A">
        <w:rPr>
          <w:rFonts w:eastAsia="Times New Roman" w:cs="Arial"/>
          <w:color w:val="000000"/>
          <w:lang w:val="ru-RU"/>
        </w:rPr>
        <w:t xml:space="preserve"> (</w:t>
      </w:r>
      <w:proofErr w:type="spellStart"/>
      <w:r w:rsidRPr="00CF747A">
        <w:rPr>
          <w:rFonts w:eastAsia="Times New Roman" w:cs="Arial"/>
          <w:color w:val="000000"/>
          <w:lang w:val="en-US"/>
        </w:rPr>
        <w:t>QTcI</w:t>
      </w:r>
      <w:proofErr w:type="spellEnd"/>
      <w:r w:rsidRPr="00CF747A">
        <w:rPr>
          <w:rFonts w:eastAsia="Times New Roman" w:cs="Arial"/>
          <w:color w:val="000000"/>
          <w:lang w:val="ru-RU"/>
        </w:rPr>
        <w:t>).</w:t>
      </w:r>
    </w:p>
    <w:p w14:paraId="2C40B259" w14:textId="77777777" w:rsidR="00CF747A" w:rsidRPr="00CF747A" w:rsidRDefault="00CF747A" w:rsidP="00CF747A">
      <w:pPr>
        <w:spacing w:line="240" w:lineRule="auto"/>
        <w:rPr>
          <w:rFonts w:eastAsia="Times New Roman" w:cs="Arial"/>
          <w:color w:val="000000"/>
          <w:lang w:eastAsia="bg-BG"/>
        </w:rPr>
      </w:pPr>
    </w:p>
    <w:p w14:paraId="4140F37C" w14:textId="47B2AA6B" w:rsidR="00CF747A" w:rsidRPr="00CF747A" w:rsidRDefault="00CF747A" w:rsidP="00CF747A">
      <w:pPr>
        <w:spacing w:line="240" w:lineRule="auto"/>
        <w:rPr>
          <w:rFonts w:eastAsia="Times New Roman" w:cs="Arial"/>
        </w:rPr>
      </w:pPr>
      <w:r w:rsidRPr="00CF747A">
        <w:rPr>
          <w:rFonts w:eastAsia="Times New Roman" w:cs="Arial"/>
          <w:color w:val="000000"/>
          <w:lang w:eastAsia="bg-BG"/>
        </w:rPr>
        <w:t>Ефектът на олодатерол в дози 5 микрограма и 10 микрограма върху сърдечната честота и ритъм е бил оценен чрез непрекъснат 24-часов ЕКГ запис (мониториране с Холтер ЕКГ) в подгрупа от 772 пациенти в 48-седмични, плацебо-контролирани проучвания Фаза 3. Не са наблюдавани зависими от дозата или свързани с времето тенденции или модели във величината на средните промени на сърдечната честота или преждевременните сърдечни удари. Отклонението в преждевременните удари от изходното ниво до края на лечението не е показало значими разлики между олодатерол 5 микрограма, олодатерол 10 микрограма и плацебо.</w:t>
      </w:r>
    </w:p>
    <w:p w14:paraId="260985E0" w14:textId="77777777" w:rsidR="00CF747A" w:rsidRPr="00CF747A" w:rsidRDefault="00CF747A" w:rsidP="00CF747A">
      <w:pPr>
        <w:spacing w:line="240" w:lineRule="auto"/>
        <w:rPr>
          <w:rFonts w:eastAsia="Times New Roman" w:cs="Arial"/>
          <w:i/>
          <w:iCs/>
          <w:color w:val="000000"/>
          <w:lang w:eastAsia="bg-BG"/>
        </w:rPr>
      </w:pPr>
    </w:p>
    <w:p w14:paraId="73C9B2E3" w14:textId="4906D440" w:rsidR="00CF747A" w:rsidRPr="00CF747A" w:rsidRDefault="00CF747A" w:rsidP="00CF747A">
      <w:pPr>
        <w:spacing w:line="240" w:lineRule="auto"/>
        <w:rPr>
          <w:rFonts w:eastAsia="Times New Roman" w:cs="Arial"/>
        </w:rPr>
      </w:pPr>
      <w:r w:rsidRPr="00CF747A">
        <w:rPr>
          <w:rFonts w:eastAsia="Times New Roman" w:cs="Arial"/>
          <w:i/>
          <w:iCs/>
          <w:color w:val="000000"/>
          <w:lang w:eastAsia="bg-BG"/>
        </w:rPr>
        <w:t>Спиолто Респимат</w:t>
      </w:r>
    </w:p>
    <w:p w14:paraId="1BE09C50"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 xml:space="preserve">В две 52-седмични рандомизирани, двойно-слепи клинични проучвания, включващи 5 162 пациенти с ХОББ е използван Спиолто Респимат. В обобщен анализ на броя пациенти с промени в коригирания спрямо изходното ниво </w:t>
      </w:r>
      <w:proofErr w:type="spellStart"/>
      <w:r w:rsidRPr="00CF747A">
        <w:rPr>
          <w:rFonts w:eastAsia="Times New Roman" w:cs="Arial"/>
          <w:color w:val="000000"/>
          <w:lang w:val="en-US"/>
        </w:rPr>
        <w:t>QTcF</w:t>
      </w:r>
      <w:proofErr w:type="spellEnd"/>
      <w:r w:rsidRPr="00CF747A">
        <w:rPr>
          <w:rFonts w:eastAsia="Times New Roman" w:cs="Arial"/>
          <w:color w:val="000000"/>
          <w:lang w:val="ru-RU"/>
        </w:rPr>
        <w:t xml:space="preserve"> </w:t>
      </w:r>
      <w:r w:rsidRPr="00CF747A">
        <w:rPr>
          <w:rFonts w:eastAsia="Times New Roman" w:cs="Arial"/>
          <w:color w:val="000000"/>
          <w:lang w:eastAsia="bg-BG"/>
        </w:rPr>
        <w:t xml:space="preserve">(корекция по </w:t>
      </w:r>
      <w:proofErr w:type="spellStart"/>
      <w:r w:rsidRPr="00CF747A">
        <w:rPr>
          <w:rFonts w:eastAsia="Times New Roman" w:cs="Arial"/>
          <w:color w:val="000000"/>
          <w:lang w:val="en-US"/>
        </w:rPr>
        <w:t>Fridericia</w:t>
      </w:r>
      <w:proofErr w:type="spellEnd"/>
      <w:r w:rsidRPr="00CF747A">
        <w:rPr>
          <w:rFonts w:eastAsia="Times New Roman" w:cs="Arial"/>
          <w:color w:val="000000"/>
          <w:lang w:val="ru-RU"/>
        </w:rPr>
        <w:t xml:space="preserve">) </w:t>
      </w:r>
      <w:r w:rsidRPr="00CF747A">
        <w:rPr>
          <w:rFonts w:eastAsia="Times New Roman" w:cs="Arial"/>
          <w:color w:val="000000"/>
          <w:lang w:eastAsia="bg-BG"/>
        </w:rPr>
        <w:t xml:space="preserve">интервал от &gt;30 </w:t>
      </w:r>
      <w:proofErr w:type="spellStart"/>
      <w:r w:rsidRPr="00CF747A">
        <w:rPr>
          <w:rFonts w:eastAsia="Times New Roman" w:cs="Arial"/>
          <w:color w:val="000000"/>
          <w:lang w:val="en-US"/>
        </w:rPr>
        <w:t>msec</w:t>
      </w:r>
      <w:proofErr w:type="spellEnd"/>
      <w:r w:rsidRPr="00CF747A">
        <w:rPr>
          <w:rFonts w:eastAsia="Times New Roman" w:cs="Arial"/>
          <w:color w:val="000000"/>
          <w:lang w:val="ru-RU"/>
        </w:rPr>
        <w:t xml:space="preserve"> </w:t>
      </w:r>
      <w:r w:rsidRPr="00CF747A">
        <w:rPr>
          <w:rFonts w:eastAsia="Times New Roman" w:cs="Arial"/>
          <w:color w:val="000000"/>
          <w:lang w:eastAsia="bg-BG"/>
        </w:rPr>
        <w:t>40 минути след прилагане на дозата на 85</w:t>
      </w:r>
      <w:r w:rsidRPr="00CF747A">
        <w:rPr>
          <w:rFonts w:eastAsia="Times New Roman" w:cs="Arial"/>
          <w:color w:val="000000"/>
          <w:vertAlign w:val="superscript"/>
          <w:lang w:eastAsia="bg-BG"/>
        </w:rPr>
        <w:t>-ия</w:t>
      </w:r>
      <w:r w:rsidRPr="00CF747A">
        <w:rPr>
          <w:rFonts w:eastAsia="Times New Roman" w:cs="Arial"/>
          <w:color w:val="000000"/>
          <w:lang w:eastAsia="bg-BG"/>
        </w:rPr>
        <w:t>, 169</w:t>
      </w:r>
      <w:r w:rsidRPr="00CF747A">
        <w:rPr>
          <w:rFonts w:eastAsia="Times New Roman" w:cs="Arial"/>
          <w:color w:val="000000"/>
          <w:vertAlign w:val="superscript"/>
          <w:lang w:eastAsia="bg-BG"/>
        </w:rPr>
        <w:t>-ия</w:t>
      </w:r>
      <w:r w:rsidRPr="00CF747A">
        <w:rPr>
          <w:rFonts w:eastAsia="Times New Roman" w:cs="Arial"/>
          <w:color w:val="000000"/>
          <w:lang w:eastAsia="bg-BG"/>
        </w:rPr>
        <w:t xml:space="preserve"> и З65</w:t>
      </w:r>
      <w:r w:rsidRPr="00CF747A">
        <w:rPr>
          <w:rFonts w:eastAsia="Times New Roman" w:cs="Arial"/>
          <w:color w:val="000000"/>
          <w:vertAlign w:val="superscript"/>
          <w:lang w:eastAsia="bg-BG"/>
        </w:rPr>
        <w:t>-ия</w:t>
      </w:r>
      <w:r w:rsidRPr="00CF747A">
        <w:rPr>
          <w:rFonts w:eastAsia="Times New Roman" w:cs="Arial"/>
          <w:color w:val="000000"/>
          <w:lang w:eastAsia="bg-BG"/>
        </w:rPr>
        <w:t xml:space="preserve"> ден, варират от 3,1%, 4,7% и 3,6% в групата на Спиолто Респимат в сравнение съответно с 4,1%, 4,4% и 3,6% за групата на олодатерол 5 микрограма и 3,4%, 2,3% и 4,6% в групата на тиотропиум 5 микрограма.</w:t>
      </w:r>
    </w:p>
    <w:p w14:paraId="7B791E70" w14:textId="77777777" w:rsidR="00CF747A" w:rsidRPr="00CF747A" w:rsidRDefault="00CF747A" w:rsidP="00CF747A">
      <w:pPr>
        <w:spacing w:line="240" w:lineRule="auto"/>
        <w:rPr>
          <w:rFonts w:eastAsia="Times New Roman" w:cs="Arial"/>
          <w:color w:val="000000"/>
          <w:u w:val="single"/>
          <w:lang w:eastAsia="bg-BG"/>
        </w:rPr>
      </w:pPr>
    </w:p>
    <w:p w14:paraId="12D967A1" w14:textId="5661A80F" w:rsidR="00CF747A" w:rsidRPr="00CF747A" w:rsidRDefault="00CF747A" w:rsidP="00CF747A">
      <w:pPr>
        <w:spacing w:line="240" w:lineRule="auto"/>
        <w:rPr>
          <w:rFonts w:eastAsia="Times New Roman" w:cs="Arial"/>
        </w:rPr>
      </w:pPr>
      <w:r w:rsidRPr="00CF747A">
        <w:rPr>
          <w:rFonts w:eastAsia="Times New Roman" w:cs="Arial"/>
          <w:color w:val="000000"/>
          <w:u w:val="single"/>
          <w:lang w:eastAsia="bg-BG"/>
        </w:rPr>
        <w:t>Клинична ефикасност и безопасност</w:t>
      </w:r>
    </w:p>
    <w:p w14:paraId="396958AA"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Клиничната програма Фаза Ш за разработване на Спиолто Респимат е включвала три рандомизирани, двойно-слепи клинични проучвания:</w:t>
      </w:r>
    </w:p>
    <w:p w14:paraId="197B4F0C" w14:textId="77777777" w:rsidR="00CF747A" w:rsidRPr="00CF747A" w:rsidRDefault="00CF747A" w:rsidP="00CF747A">
      <w:pPr>
        <w:spacing w:line="240" w:lineRule="auto"/>
        <w:rPr>
          <w:rFonts w:eastAsia="Times New Roman" w:cs="Arial"/>
        </w:rPr>
      </w:pPr>
      <w:r w:rsidRPr="00CF747A">
        <w:rPr>
          <w:rFonts w:eastAsia="Times New Roman" w:cs="Arial"/>
          <w:color w:val="000000"/>
          <w:lang w:val="ru-RU"/>
        </w:rPr>
        <w:t>(</w:t>
      </w:r>
      <w:proofErr w:type="spellStart"/>
      <w:r w:rsidRPr="00CF747A">
        <w:rPr>
          <w:rFonts w:eastAsia="Times New Roman" w:cs="Arial"/>
          <w:color w:val="000000"/>
          <w:lang w:val="en-US"/>
        </w:rPr>
        <w:t>i</w:t>
      </w:r>
      <w:proofErr w:type="spellEnd"/>
      <w:r w:rsidRPr="00CF747A">
        <w:rPr>
          <w:rFonts w:eastAsia="Times New Roman" w:cs="Arial"/>
          <w:color w:val="000000"/>
          <w:lang w:val="ru-RU"/>
        </w:rPr>
        <w:t xml:space="preserve">) </w:t>
      </w:r>
      <w:r w:rsidRPr="00CF747A">
        <w:rPr>
          <w:rFonts w:eastAsia="Times New Roman" w:cs="Arial"/>
          <w:color w:val="000000"/>
          <w:lang w:eastAsia="bg-BG"/>
        </w:rPr>
        <w:t>две дублирани, 52-седмични, паралелно групови проучвания, сравняващи Спиолто Респимат с тиотропиум 5 микрограма и олодатерол 5 микрограма (1 029 пациента са получавали Спиолто Респимат) [Проучване 1 и 2]</w:t>
      </w:r>
    </w:p>
    <w:p w14:paraId="2A94384E" w14:textId="77777777" w:rsidR="00CF747A" w:rsidRPr="00CF747A" w:rsidRDefault="00CF747A" w:rsidP="00CF747A">
      <w:pPr>
        <w:spacing w:line="240" w:lineRule="auto"/>
        <w:rPr>
          <w:rFonts w:eastAsia="Times New Roman" w:cs="Arial"/>
        </w:rPr>
      </w:pPr>
      <w:r w:rsidRPr="00CF747A">
        <w:rPr>
          <w:rFonts w:eastAsia="Times New Roman" w:cs="Arial"/>
          <w:color w:val="000000"/>
          <w:lang w:val="ru-RU"/>
        </w:rPr>
        <w:t>(</w:t>
      </w:r>
      <w:r w:rsidRPr="00CF747A">
        <w:rPr>
          <w:rFonts w:eastAsia="Times New Roman" w:cs="Arial"/>
          <w:color w:val="000000"/>
          <w:lang w:val="en-US"/>
        </w:rPr>
        <w:t>ii</w:t>
      </w:r>
      <w:r w:rsidRPr="00CF747A">
        <w:rPr>
          <w:rFonts w:eastAsia="Times New Roman" w:cs="Arial"/>
          <w:color w:val="000000"/>
          <w:lang w:val="ru-RU"/>
        </w:rPr>
        <w:t xml:space="preserve">) </w:t>
      </w:r>
      <w:r w:rsidRPr="00CF747A">
        <w:rPr>
          <w:rFonts w:eastAsia="Times New Roman" w:cs="Arial"/>
          <w:color w:val="000000"/>
          <w:lang w:eastAsia="bg-BG"/>
        </w:rPr>
        <w:t>едно 6 седмично, кръстосано проучване, сравняващо Спиолто Респимат с тиотропиум 5 микрограма, олодатерол 5 микрограма и плацебо (139 пациента са получавали Спиолто Респимат) [Проучване 3]</w:t>
      </w:r>
    </w:p>
    <w:p w14:paraId="1F459A22" w14:textId="77777777" w:rsidR="00CF747A" w:rsidRPr="00CF747A" w:rsidRDefault="00CF747A" w:rsidP="00CF747A">
      <w:pPr>
        <w:spacing w:line="240" w:lineRule="auto"/>
        <w:rPr>
          <w:rFonts w:eastAsia="Times New Roman" w:cs="Arial"/>
          <w:color w:val="000000"/>
          <w:lang w:eastAsia="bg-BG"/>
        </w:rPr>
      </w:pPr>
    </w:p>
    <w:p w14:paraId="1340E3FA" w14:textId="7091AA77" w:rsidR="00CF747A" w:rsidRPr="00CF747A" w:rsidRDefault="00CF747A" w:rsidP="00CF747A">
      <w:pPr>
        <w:spacing w:line="240" w:lineRule="auto"/>
        <w:rPr>
          <w:rFonts w:eastAsia="Times New Roman" w:cs="Arial"/>
        </w:rPr>
      </w:pPr>
      <w:r w:rsidRPr="00CF747A">
        <w:rPr>
          <w:rFonts w:eastAsia="Times New Roman" w:cs="Arial"/>
          <w:color w:val="000000"/>
          <w:lang w:eastAsia="bg-BG"/>
        </w:rPr>
        <w:t xml:space="preserve">В тези проучвания продуктите за сравнение - тиотропиум 5 микрограма, олодатерол 5 микрограма и плацебо, са прилагани чрез инхалаторно устройство </w:t>
      </w:r>
      <w:proofErr w:type="spellStart"/>
      <w:r w:rsidRPr="00CF747A">
        <w:rPr>
          <w:rFonts w:eastAsia="Times New Roman" w:cs="Arial"/>
          <w:color w:val="000000"/>
          <w:lang w:val="en-US"/>
        </w:rPr>
        <w:t>Respimat</w:t>
      </w:r>
      <w:proofErr w:type="spellEnd"/>
      <w:r w:rsidRPr="00CF747A">
        <w:rPr>
          <w:rFonts w:eastAsia="Times New Roman" w:cs="Arial"/>
          <w:color w:val="000000"/>
          <w:lang w:val="ru-RU"/>
        </w:rPr>
        <w:t>.</w:t>
      </w:r>
    </w:p>
    <w:p w14:paraId="6D0029F5" w14:textId="77777777" w:rsidR="00CF747A" w:rsidRPr="00CF747A" w:rsidRDefault="00CF747A" w:rsidP="00CF747A">
      <w:pPr>
        <w:spacing w:line="240" w:lineRule="auto"/>
        <w:rPr>
          <w:rFonts w:eastAsia="Times New Roman" w:cs="Arial"/>
          <w:i/>
          <w:iCs/>
          <w:color w:val="000000"/>
          <w:u w:val="single"/>
          <w:lang w:eastAsia="bg-BG"/>
        </w:rPr>
      </w:pPr>
    </w:p>
    <w:p w14:paraId="3B76A6EB" w14:textId="4C36CA6A" w:rsidR="00CF747A" w:rsidRPr="00CF747A" w:rsidRDefault="00CF747A" w:rsidP="00CF747A">
      <w:pPr>
        <w:spacing w:line="240" w:lineRule="auto"/>
        <w:rPr>
          <w:rFonts w:eastAsia="Times New Roman" w:cs="Arial"/>
        </w:rPr>
      </w:pPr>
      <w:r w:rsidRPr="00CF747A">
        <w:rPr>
          <w:rFonts w:eastAsia="Times New Roman" w:cs="Arial"/>
          <w:i/>
          <w:iCs/>
          <w:color w:val="000000"/>
          <w:u w:val="single"/>
          <w:lang w:eastAsia="bg-BG"/>
        </w:rPr>
        <w:t>Характеристики на пациентите</w:t>
      </w:r>
    </w:p>
    <w:p w14:paraId="51EE4895"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 xml:space="preserve">По-голямата част от общо 5 162 пациенти, включени в 52-седмичните клинични проучвания [Проучване 1 и 2] са мъже (73%), от бялата (71%) или от азиатската (25%) раса, на средна възраст 64,0 години. Средната стойност на пост-бронходилататорен ФЕО1 е 1,371 </w:t>
      </w:r>
      <w:r w:rsidRPr="00CF747A">
        <w:rPr>
          <w:rFonts w:eastAsia="Times New Roman" w:cs="Arial"/>
          <w:color w:val="000000"/>
          <w:lang w:val="ru-RU"/>
        </w:rPr>
        <w:t>(</w:t>
      </w:r>
      <w:r w:rsidRPr="00CF747A">
        <w:rPr>
          <w:rFonts w:eastAsia="Times New Roman" w:cs="Arial"/>
          <w:color w:val="000000"/>
          <w:lang w:val="en-US"/>
        </w:rPr>
        <w:t>GOLD</w:t>
      </w:r>
      <w:r w:rsidRPr="00CF747A">
        <w:rPr>
          <w:rFonts w:eastAsia="Times New Roman" w:cs="Arial"/>
          <w:color w:val="000000"/>
          <w:lang w:val="ru-RU"/>
        </w:rPr>
        <w:t xml:space="preserve"> </w:t>
      </w:r>
      <w:r w:rsidRPr="00CF747A">
        <w:rPr>
          <w:rFonts w:eastAsia="Times New Roman" w:cs="Arial"/>
          <w:color w:val="000000"/>
          <w:lang w:eastAsia="bg-BG"/>
        </w:rPr>
        <w:t xml:space="preserve">2 [50%], </w:t>
      </w:r>
      <w:r w:rsidRPr="00CF747A">
        <w:rPr>
          <w:rFonts w:eastAsia="Times New Roman" w:cs="Arial"/>
          <w:color w:val="000000"/>
          <w:lang w:val="en-US"/>
        </w:rPr>
        <w:t>GOLD</w:t>
      </w:r>
      <w:r w:rsidRPr="00CF747A">
        <w:rPr>
          <w:rFonts w:eastAsia="Times New Roman" w:cs="Arial"/>
          <w:color w:val="000000"/>
          <w:lang w:val="ru-RU"/>
        </w:rPr>
        <w:t xml:space="preserve"> </w:t>
      </w:r>
      <w:r w:rsidRPr="00CF747A">
        <w:rPr>
          <w:rFonts w:eastAsia="Times New Roman" w:cs="Arial"/>
          <w:color w:val="000000"/>
          <w:lang w:eastAsia="bg-BG"/>
        </w:rPr>
        <w:t xml:space="preserve">3 [39%], </w:t>
      </w:r>
      <w:r w:rsidRPr="00CF747A">
        <w:rPr>
          <w:rFonts w:eastAsia="Times New Roman" w:cs="Arial"/>
          <w:color w:val="000000"/>
          <w:lang w:val="en-US"/>
        </w:rPr>
        <w:t>GOLD</w:t>
      </w:r>
      <w:r w:rsidRPr="00CF747A">
        <w:rPr>
          <w:rFonts w:eastAsia="Times New Roman" w:cs="Arial"/>
          <w:color w:val="000000"/>
          <w:lang w:val="ru-RU"/>
        </w:rPr>
        <w:t xml:space="preserve"> </w:t>
      </w:r>
      <w:r w:rsidRPr="00CF747A">
        <w:rPr>
          <w:rFonts w:eastAsia="Times New Roman" w:cs="Arial"/>
          <w:color w:val="000000"/>
          <w:lang w:eastAsia="bg-BG"/>
        </w:rPr>
        <w:t xml:space="preserve">4 [11%]). Средното ниво на </w:t>
      </w:r>
      <w:r w:rsidRPr="00CF747A">
        <w:rPr>
          <w:rFonts w:eastAsia="Times New Roman" w:cs="Arial"/>
          <w:color w:val="000000"/>
          <w:lang w:eastAsia="bg-BG"/>
        </w:rPr>
        <w:lastRenderedPageBreak/>
        <w:t>повлияване от лечението с β</w:t>
      </w:r>
      <w:r w:rsidRPr="00CF747A">
        <w:rPr>
          <w:rFonts w:eastAsia="Times New Roman" w:cs="Arial"/>
          <w:color w:val="000000"/>
          <w:vertAlign w:val="subscript"/>
          <w:lang w:eastAsia="bg-BG"/>
        </w:rPr>
        <w:t>2</w:t>
      </w:r>
      <w:r w:rsidRPr="00CF747A">
        <w:rPr>
          <w:rFonts w:eastAsia="Times New Roman" w:cs="Arial"/>
          <w:color w:val="000000"/>
          <w:lang w:eastAsia="bg-BG"/>
        </w:rPr>
        <w:t>-агонист е 16,6% от изходното ниво (0,1711). Лекарствените продукти за белодробно лечение, които са разрешени за употреба като съпътстващо лечение, са включвали инхалаторни стероиди [47%] и ксантини [10%].</w:t>
      </w:r>
    </w:p>
    <w:p w14:paraId="275D32E2" w14:textId="77777777" w:rsidR="00CF747A" w:rsidRPr="00CF747A" w:rsidRDefault="00CF747A" w:rsidP="00CF747A">
      <w:pPr>
        <w:spacing w:line="240" w:lineRule="auto"/>
        <w:rPr>
          <w:rFonts w:eastAsia="Times New Roman" w:cs="Arial"/>
          <w:color w:val="000000"/>
          <w:lang w:eastAsia="bg-BG"/>
        </w:rPr>
      </w:pPr>
    </w:p>
    <w:p w14:paraId="3D635359" w14:textId="008D88DF" w:rsidR="00CF747A" w:rsidRPr="00CF747A" w:rsidRDefault="00CF747A" w:rsidP="00CF747A">
      <w:pPr>
        <w:spacing w:line="240" w:lineRule="auto"/>
        <w:rPr>
          <w:rFonts w:eastAsia="Times New Roman" w:cs="Arial"/>
        </w:rPr>
      </w:pPr>
      <w:r w:rsidRPr="00CF747A">
        <w:rPr>
          <w:rFonts w:eastAsia="Times New Roman" w:cs="Arial"/>
          <w:color w:val="000000"/>
          <w:lang w:eastAsia="bg-BG"/>
        </w:rPr>
        <w:t xml:space="preserve">6-седмичното клинично проучване [Проучване 3] е проведено в Европа и Северна </w:t>
      </w:r>
      <w:r w:rsidRPr="00CF747A">
        <w:rPr>
          <w:rFonts w:eastAsia="Times New Roman" w:cs="Arial"/>
          <w:color w:val="000000"/>
          <w:lang w:val="en-US"/>
        </w:rPr>
        <w:t>A</w:t>
      </w:r>
      <w:r w:rsidRPr="00CF747A">
        <w:rPr>
          <w:rFonts w:eastAsia="Times New Roman" w:cs="Arial"/>
          <w:color w:val="000000"/>
          <w:lang w:eastAsia="bg-BG"/>
        </w:rPr>
        <w:t>мерика По-голяма част от включените 219 пациенти са били мъже (59%) от бялата (99%) раса, на</w:t>
      </w:r>
    </w:p>
    <w:p w14:paraId="708D8759" w14:textId="50C88331" w:rsidR="00CF747A" w:rsidRPr="00CF747A" w:rsidRDefault="00CF747A" w:rsidP="00CF747A">
      <w:pPr>
        <w:spacing w:line="240" w:lineRule="auto"/>
        <w:rPr>
          <w:rFonts w:eastAsia="Times New Roman" w:cs="Arial"/>
          <w:color w:val="000000"/>
          <w:lang w:eastAsia="bg-BG"/>
        </w:rPr>
      </w:pPr>
      <w:r w:rsidRPr="00CF747A">
        <w:rPr>
          <w:rFonts w:eastAsia="Times New Roman" w:cs="Arial"/>
          <w:color w:val="000000"/>
          <w:lang w:eastAsia="bg-BG"/>
        </w:rPr>
        <w:t>средна възраст 61,1 години. Средната стойност на пост-бронходилататорен ФЕО</w:t>
      </w:r>
      <w:r w:rsidRPr="00CF747A">
        <w:rPr>
          <w:rFonts w:eastAsia="Times New Roman" w:cs="Arial"/>
          <w:color w:val="000000"/>
          <w:vertAlign w:val="subscript"/>
          <w:lang w:eastAsia="bg-BG"/>
        </w:rPr>
        <w:t>1</w:t>
      </w:r>
      <w:r w:rsidRPr="00CF747A">
        <w:rPr>
          <w:rFonts w:eastAsia="Times New Roman" w:cs="Arial"/>
          <w:color w:val="000000"/>
          <w:lang w:eastAsia="bg-BG"/>
        </w:rPr>
        <w:t xml:space="preserve"> е 1,551 </w:t>
      </w:r>
      <w:r w:rsidRPr="00CF747A">
        <w:rPr>
          <w:rFonts w:eastAsia="Times New Roman" w:cs="Arial"/>
          <w:color w:val="000000"/>
          <w:lang w:val="ru-RU"/>
        </w:rPr>
        <w:t>(</w:t>
      </w:r>
      <w:r w:rsidRPr="00CF747A">
        <w:rPr>
          <w:rFonts w:eastAsia="Times New Roman" w:cs="Arial"/>
          <w:color w:val="000000"/>
          <w:lang w:val="en-US"/>
        </w:rPr>
        <w:t>GOLD</w:t>
      </w:r>
      <w:r w:rsidRPr="00CF747A">
        <w:rPr>
          <w:rFonts w:eastAsia="Times New Roman" w:cs="Arial"/>
          <w:color w:val="000000"/>
          <w:lang w:val="ru-RU"/>
        </w:rPr>
        <w:t xml:space="preserve"> </w:t>
      </w:r>
      <w:r w:rsidRPr="00CF747A">
        <w:rPr>
          <w:rFonts w:eastAsia="Times New Roman" w:cs="Arial"/>
          <w:color w:val="000000"/>
          <w:lang w:eastAsia="bg-BG"/>
        </w:rPr>
        <w:t xml:space="preserve">2 [64%], </w:t>
      </w:r>
      <w:r w:rsidRPr="00CF747A">
        <w:rPr>
          <w:rFonts w:eastAsia="Times New Roman" w:cs="Arial"/>
          <w:color w:val="000000"/>
          <w:lang w:val="en-US"/>
        </w:rPr>
        <w:t>GOLD</w:t>
      </w:r>
      <w:r w:rsidRPr="00CF747A">
        <w:rPr>
          <w:rFonts w:eastAsia="Times New Roman" w:cs="Arial"/>
          <w:color w:val="000000"/>
          <w:lang w:val="ru-RU"/>
        </w:rPr>
        <w:t xml:space="preserve"> </w:t>
      </w:r>
      <w:r w:rsidRPr="00CF747A">
        <w:rPr>
          <w:rFonts w:eastAsia="Times New Roman" w:cs="Arial"/>
          <w:color w:val="000000"/>
          <w:lang w:eastAsia="bg-BG"/>
        </w:rPr>
        <w:t xml:space="preserve">3 [34%], </w:t>
      </w:r>
      <w:r w:rsidRPr="00CF747A">
        <w:rPr>
          <w:rFonts w:eastAsia="Times New Roman" w:cs="Arial"/>
          <w:color w:val="000000"/>
          <w:lang w:val="en-US"/>
        </w:rPr>
        <w:t>GOLD</w:t>
      </w:r>
      <w:r w:rsidRPr="00CF747A">
        <w:rPr>
          <w:rFonts w:eastAsia="Times New Roman" w:cs="Arial"/>
          <w:color w:val="000000"/>
          <w:lang w:val="ru-RU"/>
        </w:rPr>
        <w:t xml:space="preserve"> </w:t>
      </w:r>
      <w:r w:rsidRPr="00CF747A">
        <w:rPr>
          <w:rFonts w:eastAsia="Times New Roman" w:cs="Arial"/>
          <w:color w:val="000000"/>
          <w:lang w:eastAsia="bg-BG"/>
        </w:rPr>
        <w:t>4 [2%]). Средното ниво на повлияване от лечението с β</w:t>
      </w:r>
      <w:r w:rsidRPr="00CF747A">
        <w:rPr>
          <w:rFonts w:eastAsia="Times New Roman" w:cs="Arial"/>
          <w:color w:val="000000"/>
          <w:vertAlign w:val="subscript"/>
          <w:lang w:eastAsia="bg-BG"/>
        </w:rPr>
        <w:t>2</w:t>
      </w:r>
      <w:r w:rsidRPr="00CF747A">
        <w:rPr>
          <w:rFonts w:eastAsia="Times New Roman" w:cs="Arial"/>
          <w:color w:val="000000"/>
          <w:lang w:eastAsia="bg-BG"/>
        </w:rPr>
        <w:t>- агонист е 15,9% от изходното ниво (0,193 1). Лекарствените продукти за белодробно лечение, които са разрешени за употреба като съпътстващо лечение, са включвали инхалаторни стероиди [41 %] и ксантини [4%].</w:t>
      </w:r>
    </w:p>
    <w:p w14:paraId="375DC0C6" w14:textId="22B9464C" w:rsidR="00CF747A" w:rsidRPr="00CF747A" w:rsidRDefault="00CF747A" w:rsidP="00CF747A">
      <w:pPr>
        <w:spacing w:line="240" w:lineRule="auto"/>
        <w:rPr>
          <w:rFonts w:eastAsia="Times New Roman" w:cs="Arial"/>
          <w:color w:val="000000"/>
          <w:lang w:eastAsia="bg-BG"/>
        </w:rPr>
      </w:pPr>
    </w:p>
    <w:p w14:paraId="7AA92BEB" w14:textId="77777777" w:rsidR="00CF747A" w:rsidRPr="00CF747A" w:rsidRDefault="00CF747A" w:rsidP="00CF747A">
      <w:pPr>
        <w:spacing w:line="240" w:lineRule="auto"/>
        <w:rPr>
          <w:rFonts w:eastAsia="Times New Roman" w:cs="Arial"/>
        </w:rPr>
      </w:pPr>
      <w:r w:rsidRPr="00CF747A">
        <w:rPr>
          <w:rFonts w:eastAsia="Times New Roman" w:cs="Arial"/>
          <w:i/>
          <w:iCs/>
          <w:color w:val="000000"/>
          <w:u w:val="single"/>
          <w:lang w:eastAsia="bg-BG"/>
        </w:rPr>
        <w:t>Ефекти на функцията на бял дроб</w:t>
      </w:r>
    </w:p>
    <w:p w14:paraId="4706C856"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В 52-седмичните клинични проучвания, Спиолто Респимат прилаган веднъж дневно сутрин, е довел до видимо подобрение на белодробната функция в рамките на 5 минути след първата доза, в сравнение с тиотропиум 5 микрограма (средно повишаване на ФЕО</w:t>
      </w:r>
      <w:r w:rsidRPr="00CF747A">
        <w:rPr>
          <w:rFonts w:eastAsia="Times New Roman" w:cs="Arial"/>
          <w:color w:val="000000"/>
          <w:vertAlign w:val="subscript"/>
          <w:lang w:eastAsia="bg-BG"/>
        </w:rPr>
        <w:t>1</w:t>
      </w:r>
      <w:r w:rsidRPr="00CF747A">
        <w:rPr>
          <w:rFonts w:eastAsia="Times New Roman" w:cs="Arial"/>
          <w:color w:val="000000"/>
          <w:lang w:eastAsia="bg-BG"/>
        </w:rPr>
        <w:t xml:space="preserve"> от 0,1371 за Спиолто Респимат спрямо 0,058 1 за тиотропиум 5 микрограма [р&lt;0,0001] и 0,125 1 за олодатерол 5 микрограма [р=0,16]).</w:t>
      </w:r>
    </w:p>
    <w:p w14:paraId="6A406FB8" w14:textId="77777777" w:rsidR="00CF747A" w:rsidRPr="00CF747A" w:rsidRDefault="00CF747A" w:rsidP="00CF747A">
      <w:pPr>
        <w:spacing w:line="240" w:lineRule="auto"/>
        <w:rPr>
          <w:rFonts w:eastAsia="Times New Roman" w:cs="Arial"/>
        </w:rPr>
      </w:pPr>
      <w:r w:rsidRPr="00CF747A">
        <w:rPr>
          <w:rFonts w:eastAsia="Times New Roman" w:cs="Arial"/>
          <w:color w:val="000000"/>
          <w:lang w:eastAsia="bg-BG"/>
        </w:rPr>
        <w:t xml:space="preserve">В двете проучвания е наблюдавано значимо подобрение при промяната на </w:t>
      </w:r>
      <w:r w:rsidRPr="00CF747A">
        <w:rPr>
          <w:rFonts w:eastAsia="Times New Roman" w:cs="Arial"/>
          <w:color w:val="000000"/>
          <w:lang w:val="en-US"/>
        </w:rPr>
        <w:t>AUC</w:t>
      </w:r>
      <w:r w:rsidRPr="00CF747A">
        <w:rPr>
          <w:rFonts w:eastAsia="Times New Roman" w:cs="Arial"/>
          <w:color w:val="000000"/>
          <w:vertAlign w:val="subscript"/>
          <w:lang w:val="ru-RU"/>
        </w:rPr>
        <w:t>0-3</w:t>
      </w:r>
      <w:r w:rsidRPr="00CF747A">
        <w:rPr>
          <w:rFonts w:eastAsia="Times New Roman" w:cs="Arial"/>
          <w:color w:val="000000"/>
          <w:vertAlign w:val="subscript"/>
          <w:lang w:val="en-US"/>
        </w:rPr>
        <w:t>h</w:t>
      </w:r>
      <w:r w:rsidRPr="00CF747A">
        <w:rPr>
          <w:rFonts w:eastAsia="Times New Roman" w:cs="Arial"/>
          <w:color w:val="000000"/>
          <w:lang w:eastAsia="bg-BG"/>
        </w:rPr>
        <w:t xml:space="preserve"> за ФЕО</w:t>
      </w:r>
      <w:r w:rsidRPr="00CF747A">
        <w:rPr>
          <w:rFonts w:eastAsia="Times New Roman" w:cs="Arial"/>
          <w:color w:val="000000"/>
          <w:vertAlign w:val="subscript"/>
          <w:lang w:eastAsia="bg-BG"/>
        </w:rPr>
        <w:t>1</w:t>
      </w:r>
      <w:r w:rsidRPr="00CF747A">
        <w:rPr>
          <w:rFonts w:eastAsia="Times New Roman" w:cs="Arial"/>
          <w:color w:val="000000"/>
          <w:lang w:eastAsia="bg-BG"/>
        </w:rPr>
        <w:t xml:space="preserve"> и на най-ниската стойност на ФЕО</w:t>
      </w:r>
      <w:r w:rsidRPr="00CF747A">
        <w:rPr>
          <w:rFonts w:eastAsia="Times New Roman" w:cs="Arial"/>
          <w:color w:val="000000"/>
          <w:vertAlign w:val="subscript"/>
          <w:lang w:eastAsia="bg-BG"/>
        </w:rPr>
        <w:t>1</w:t>
      </w:r>
      <w:r w:rsidRPr="00CF747A">
        <w:rPr>
          <w:rFonts w:eastAsia="Times New Roman" w:cs="Arial"/>
          <w:color w:val="000000"/>
          <w:lang w:eastAsia="bg-BG"/>
        </w:rPr>
        <w:t xml:space="preserve"> след 24 седмици (първична крайна цел - белодробна функция) за Спиолто Респимат в сравнение с тиотропиум 5 микрограма и олодатерол 5 микрограма (Таблица 1).</w:t>
      </w:r>
    </w:p>
    <w:p w14:paraId="590B19CD" w14:textId="77777777" w:rsidR="00CF747A" w:rsidRPr="00CF747A" w:rsidRDefault="00CF747A" w:rsidP="00CF747A">
      <w:pPr>
        <w:spacing w:line="240" w:lineRule="auto"/>
        <w:rPr>
          <w:rFonts w:eastAsia="Times New Roman" w:cs="Arial"/>
          <w:b/>
          <w:bCs/>
          <w:color w:val="000000"/>
          <w:lang w:eastAsia="bg-BG"/>
        </w:rPr>
      </w:pPr>
    </w:p>
    <w:p w14:paraId="450AD5F0" w14:textId="4BBE27D6" w:rsidR="00CF747A" w:rsidRPr="00CF747A" w:rsidRDefault="00CF747A" w:rsidP="00CF747A">
      <w:pPr>
        <w:spacing w:line="240" w:lineRule="auto"/>
        <w:rPr>
          <w:rFonts w:eastAsia="Times New Roman" w:cs="Arial"/>
        </w:rPr>
      </w:pPr>
      <w:r w:rsidRPr="00CF747A">
        <w:rPr>
          <w:rFonts w:eastAsia="Times New Roman" w:cs="Arial"/>
          <w:b/>
          <w:bCs/>
          <w:color w:val="000000"/>
          <w:lang w:eastAsia="bg-BG"/>
        </w:rPr>
        <w:t xml:space="preserve">Таблица 1 Разлики в промяната на </w:t>
      </w:r>
      <w:r w:rsidRPr="00CF747A">
        <w:rPr>
          <w:rFonts w:eastAsia="Times New Roman" w:cs="Arial"/>
          <w:b/>
          <w:bCs/>
          <w:color w:val="000000"/>
          <w:lang w:val="en-US"/>
        </w:rPr>
        <w:t>AUC</w:t>
      </w:r>
      <w:r w:rsidRPr="00CF747A">
        <w:rPr>
          <w:rFonts w:eastAsia="Times New Roman" w:cs="Arial"/>
          <w:b/>
          <w:bCs/>
          <w:color w:val="000000"/>
          <w:vertAlign w:val="subscript"/>
          <w:lang w:val="ru-RU"/>
        </w:rPr>
        <w:t>0-3</w:t>
      </w:r>
      <w:r w:rsidRPr="00CF747A">
        <w:rPr>
          <w:rFonts w:eastAsia="Times New Roman" w:cs="Arial"/>
          <w:b/>
          <w:bCs/>
          <w:color w:val="000000"/>
          <w:vertAlign w:val="subscript"/>
          <w:lang w:val="en-US"/>
        </w:rPr>
        <w:t>h</w:t>
      </w:r>
      <w:r w:rsidRPr="00CF747A">
        <w:rPr>
          <w:rFonts w:eastAsia="Times New Roman" w:cs="Arial"/>
          <w:b/>
          <w:bCs/>
          <w:color w:val="000000"/>
          <w:lang w:val="ru-RU"/>
        </w:rPr>
        <w:t xml:space="preserve"> </w:t>
      </w:r>
      <w:r w:rsidRPr="00CF747A">
        <w:rPr>
          <w:rFonts w:eastAsia="Times New Roman" w:cs="Arial"/>
          <w:b/>
          <w:bCs/>
          <w:color w:val="000000"/>
          <w:lang w:eastAsia="bg-BG"/>
        </w:rPr>
        <w:t>за ФЕО1 и най-ниска стойност на ФЕО1 при Спиолто Респимат в сравнение с тиотропиум 5 микрограма, олодатерол 5 микрограма след 24 седмици (Проучвания 1 и 2)</w:t>
      </w:r>
    </w:p>
    <w:tbl>
      <w:tblPr>
        <w:tblStyle w:val="TableGrid"/>
        <w:tblW w:w="0" w:type="auto"/>
        <w:tblLook w:val="04A0" w:firstRow="1" w:lastRow="0" w:firstColumn="1" w:lastColumn="0" w:noHBand="0" w:noVBand="1"/>
      </w:tblPr>
      <w:tblGrid>
        <w:gridCol w:w="1888"/>
        <w:gridCol w:w="585"/>
        <w:gridCol w:w="1054"/>
        <w:gridCol w:w="886"/>
        <w:gridCol w:w="1055"/>
        <w:gridCol w:w="886"/>
        <w:gridCol w:w="1055"/>
        <w:gridCol w:w="886"/>
        <w:gridCol w:w="1055"/>
      </w:tblGrid>
      <w:tr w:rsidR="00CF747A" w14:paraId="02484542" w14:textId="77777777" w:rsidTr="00CF747A">
        <w:tc>
          <w:tcPr>
            <w:tcW w:w="1944" w:type="dxa"/>
          </w:tcPr>
          <w:p w14:paraId="167BF501" w14:textId="77777777" w:rsidR="00CF747A" w:rsidRDefault="00CF747A" w:rsidP="00CF747A">
            <w:pPr>
              <w:spacing w:line="240" w:lineRule="auto"/>
              <w:rPr>
                <w:rFonts w:ascii="Times New Roman" w:eastAsia="Times New Roman" w:hAnsi="Times New Roman" w:cs="Times New Roman"/>
                <w:sz w:val="24"/>
                <w:szCs w:val="24"/>
              </w:rPr>
            </w:pPr>
          </w:p>
        </w:tc>
        <w:tc>
          <w:tcPr>
            <w:tcW w:w="3638" w:type="dxa"/>
            <w:gridSpan w:val="4"/>
          </w:tcPr>
          <w:p w14:paraId="59C8C058" w14:textId="426962A0" w:rsidR="00CF747A" w:rsidRPr="00CF747A" w:rsidRDefault="00CF747A" w:rsidP="00CF747A">
            <w:pPr>
              <w:spacing w:line="240" w:lineRule="auto"/>
              <w:rPr>
                <w:rFonts w:ascii="Times New Roman" w:eastAsia="Times New Roman" w:hAnsi="Times New Roman" w:cs="Times New Roman"/>
                <w:b/>
                <w:szCs w:val="24"/>
              </w:rPr>
            </w:pPr>
            <w:r w:rsidRPr="00CF747A">
              <w:rPr>
                <w:b/>
                <w:bCs/>
                <w:szCs w:val="20"/>
              </w:rPr>
              <w:t xml:space="preserve">Промяна на </w:t>
            </w:r>
            <w:r w:rsidRPr="00CF747A">
              <w:rPr>
                <w:b/>
                <w:bCs/>
                <w:szCs w:val="20"/>
                <w:lang w:val="en-US"/>
              </w:rPr>
              <w:t>AUC</w:t>
            </w:r>
            <w:r w:rsidRPr="00CF747A">
              <w:rPr>
                <w:b/>
                <w:bCs/>
                <w:szCs w:val="20"/>
                <w:vertAlign w:val="subscript"/>
                <w:lang w:val="ru-RU"/>
              </w:rPr>
              <w:t>0-3</w:t>
            </w:r>
            <w:r w:rsidRPr="00CF747A">
              <w:rPr>
                <w:b/>
                <w:bCs/>
                <w:szCs w:val="20"/>
                <w:vertAlign w:val="subscript"/>
                <w:lang w:val="en-US"/>
              </w:rPr>
              <w:t>h</w:t>
            </w:r>
            <w:r w:rsidRPr="00CF747A">
              <w:rPr>
                <w:b/>
                <w:bCs/>
                <w:szCs w:val="20"/>
              </w:rPr>
              <w:t xml:space="preserve"> за ФЕО1</w:t>
            </w:r>
          </w:p>
        </w:tc>
        <w:tc>
          <w:tcPr>
            <w:tcW w:w="3994" w:type="dxa"/>
            <w:gridSpan w:val="4"/>
          </w:tcPr>
          <w:p w14:paraId="2ADD2E5C" w14:textId="5FF96B31" w:rsidR="00CF747A" w:rsidRPr="00CF747A" w:rsidRDefault="00CF747A" w:rsidP="00CF747A">
            <w:pPr>
              <w:spacing w:line="240" w:lineRule="auto"/>
              <w:rPr>
                <w:rFonts w:ascii="Times New Roman" w:eastAsia="Times New Roman" w:hAnsi="Times New Roman" w:cs="Times New Roman"/>
                <w:b/>
                <w:szCs w:val="24"/>
              </w:rPr>
            </w:pPr>
            <w:r w:rsidRPr="00CF747A">
              <w:rPr>
                <w:b/>
                <w:bCs/>
                <w:szCs w:val="20"/>
              </w:rPr>
              <w:t>Промяна на най-ниската стойност на ФЕО1</w:t>
            </w:r>
          </w:p>
        </w:tc>
      </w:tr>
      <w:tr w:rsidR="00CF747A" w14:paraId="7F110B37" w14:textId="77777777" w:rsidTr="00CF747A">
        <w:tc>
          <w:tcPr>
            <w:tcW w:w="1944" w:type="dxa"/>
          </w:tcPr>
          <w:p w14:paraId="2995B38B" w14:textId="77777777" w:rsidR="00CF747A" w:rsidRDefault="00CF747A" w:rsidP="00CF747A">
            <w:pPr>
              <w:spacing w:line="240" w:lineRule="auto"/>
              <w:rPr>
                <w:rFonts w:ascii="Times New Roman" w:eastAsia="Times New Roman" w:hAnsi="Times New Roman" w:cs="Times New Roman"/>
                <w:sz w:val="24"/>
                <w:szCs w:val="24"/>
              </w:rPr>
            </w:pPr>
          </w:p>
        </w:tc>
        <w:tc>
          <w:tcPr>
            <w:tcW w:w="1641" w:type="dxa"/>
            <w:gridSpan w:val="2"/>
          </w:tcPr>
          <w:p w14:paraId="2CF4C2C6" w14:textId="6D14E52E"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Проучване 1</w:t>
            </w:r>
          </w:p>
        </w:tc>
        <w:tc>
          <w:tcPr>
            <w:tcW w:w="1997" w:type="dxa"/>
            <w:gridSpan w:val="2"/>
          </w:tcPr>
          <w:p w14:paraId="06370073" w14:textId="55A912EA"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Проучване 2</w:t>
            </w:r>
          </w:p>
        </w:tc>
        <w:tc>
          <w:tcPr>
            <w:tcW w:w="1997" w:type="dxa"/>
            <w:gridSpan w:val="2"/>
          </w:tcPr>
          <w:p w14:paraId="637418B7" w14:textId="524788ED"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Проучване 1</w:t>
            </w:r>
          </w:p>
        </w:tc>
        <w:tc>
          <w:tcPr>
            <w:tcW w:w="1997" w:type="dxa"/>
            <w:gridSpan w:val="2"/>
          </w:tcPr>
          <w:p w14:paraId="2736DEE0" w14:textId="1D5CD7D9"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Проучване 2</w:t>
            </w:r>
          </w:p>
        </w:tc>
      </w:tr>
      <w:tr w:rsidR="00CF747A" w14:paraId="28508A80" w14:textId="77777777" w:rsidTr="00CF747A">
        <w:tc>
          <w:tcPr>
            <w:tcW w:w="1944" w:type="dxa"/>
          </w:tcPr>
          <w:p w14:paraId="4BE846FF" w14:textId="77777777" w:rsidR="00CF747A" w:rsidRPr="00CF747A" w:rsidRDefault="00CF747A" w:rsidP="00CF747A">
            <w:pPr>
              <w:spacing w:line="240" w:lineRule="auto"/>
              <w:rPr>
                <w:rFonts w:ascii="Times New Roman" w:eastAsia="Times New Roman" w:hAnsi="Times New Roman" w:cs="Times New Roman"/>
              </w:rPr>
            </w:pPr>
          </w:p>
        </w:tc>
        <w:tc>
          <w:tcPr>
            <w:tcW w:w="584" w:type="dxa"/>
          </w:tcPr>
          <w:p w14:paraId="28F894F5" w14:textId="45728E8D" w:rsidR="00CF747A" w:rsidRPr="00CF747A" w:rsidRDefault="00CF747A" w:rsidP="00CF747A">
            <w:pPr>
              <w:spacing w:line="240" w:lineRule="auto"/>
              <w:rPr>
                <w:rFonts w:ascii="Times New Roman" w:eastAsia="Times New Roman" w:hAnsi="Times New Roman" w:cs="Times New Roman"/>
              </w:rPr>
            </w:pPr>
            <w:r w:rsidRPr="00CF747A">
              <w:rPr>
                <w:b/>
                <w:bCs/>
                <w:lang w:val="en-US"/>
              </w:rPr>
              <w:t>n</w:t>
            </w:r>
          </w:p>
        </w:tc>
        <w:tc>
          <w:tcPr>
            <w:tcW w:w="1057" w:type="dxa"/>
          </w:tcPr>
          <w:p w14:paraId="63773931" w14:textId="56D398EE" w:rsidR="00CF747A" w:rsidRPr="00CF747A" w:rsidRDefault="00CF747A" w:rsidP="00CF747A">
            <w:pPr>
              <w:spacing w:line="240" w:lineRule="auto"/>
              <w:rPr>
                <w:rFonts w:ascii="Times New Roman" w:eastAsia="Times New Roman" w:hAnsi="Times New Roman" w:cs="Times New Roman"/>
              </w:rPr>
            </w:pPr>
            <w:r w:rsidRPr="00CF747A">
              <w:rPr>
                <w:b/>
                <w:bCs/>
              </w:rPr>
              <w:t>Средно</w:t>
            </w:r>
          </w:p>
        </w:tc>
        <w:tc>
          <w:tcPr>
            <w:tcW w:w="939" w:type="dxa"/>
          </w:tcPr>
          <w:p w14:paraId="6FDA03DC" w14:textId="0E9EB6E9" w:rsidR="00CF747A" w:rsidRPr="00CF747A" w:rsidRDefault="00CF747A" w:rsidP="00CF747A">
            <w:pPr>
              <w:spacing w:line="240" w:lineRule="auto"/>
              <w:rPr>
                <w:rFonts w:ascii="Times New Roman" w:eastAsia="Times New Roman" w:hAnsi="Times New Roman" w:cs="Times New Roman"/>
              </w:rPr>
            </w:pPr>
            <w:r w:rsidRPr="00CF747A">
              <w:rPr>
                <w:b/>
                <w:bCs/>
                <w:lang w:val="en-US"/>
              </w:rPr>
              <w:t>n</w:t>
            </w:r>
          </w:p>
        </w:tc>
        <w:tc>
          <w:tcPr>
            <w:tcW w:w="1058" w:type="dxa"/>
          </w:tcPr>
          <w:p w14:paraId="19D300D1" w14:textId="79DBB0F4" w:rsidR="00CF747A" w:rsidRPr="00CF747A" w:rsidRDefault="00CF747A" w:rsidP="00CF747A">
            <w:pPr>
              <w:spacing w:line="240" w:lineRule="auto"/>
              <w:rPr>
                <w:rFonts w:ascii="Times New Roman" w:eastAsia="Times New Roman" w:hAnsi="Times New Roman" w:cs="Times New Roman"/>
              </w:rPr>
            </w:pPr>
            <w:r w:rsidRPr="00CF747A">
              <w:rPr>
                <w:b/>
                <w:bCs/>
              </w:rPr>
              <w:t>Средно</w:t>
            </w:r>
          </w:p>
        </w:tc>
        <w:tc>
          <w:tcPr>
            <w:tcW w:w="939" w:type="dxa"/>
          </w:tcPr>
          <w:p w14:paraId="4ED308FF" w14:textId="7C207633" w:rsidR="00CF747A" w:rsidRPr="00CF747A" w:rsidRDefault="00CF747A" w:rsidP="00CF747A">
            <w:pPr>
              <w:spacing w:line="240" w:lineRule="auto"/>
              <w:rPr>
                <w:rFonts w:ascii="Times New Roman" w:eastAsia="Times New Roman" w:hAnsi="Times New Roman" w:cs="Times New Roman"/>
              </w:rPr>
            </w:pPr>
            <w:r w:rsidRPr="00CF747A">
              <w:rPr>
                <w:b/>
                <w:bCs/>
                <w:lang w:val="en-US"/>
              </w:rPr>
              <w:t>n</w:t>
            </w:r>
          </w:p>
        </w:tc>
        <w:tc>
          <w:tcPr>
            <w:tcW w:w="1058" w:type="dxa"/>
          </w:tcPr>
          <w:p w14:paraId="110D0BE3" w14:textId="04638295" w:rsidR="00CF747A" w:rsidRPr="00CF747A" w:rsidRDefault="00CF747A" w:rsidP="00CF747A">
            <w:pPr>
              <w:spacing w:line="240" w:lineRule="auto"/>
              <w:rPr>
                <w:rFonts w:ascii="Times New Roman" w:eastAsia="Times New Roman" w:hAnsi="Times New Roman" w:cs="Times New Roman"/>
              </w:rPr>
            </w:pPr>
            <w:r w:rsidRPr="00CF747A">
              <w:rPr>
                <w:b/>
                <w:bCs/>
              </w:rPr>
              <w:t>Средно</w:t>
            </w:r>
          </w:p>
        </w:tc>
        <w:tc>
          <w:tcPr>
            <w:tcW w:w="939" w:type="dxa"/>
          </w:tcPr>
          <w:p w14:paraId="3C8DB07F" w14:textId="789551F0" w:rsidR="00CF747A" w:rsidRPr="00CF747A" w:rsidRDefault="00CF747A" w:rsidP="00CF747A">
            <w:pPr>
              <w:spacing w:line="240" w:lineRule="auto"/>
              <w:rPr>
                <w:rFonts w:ascii="Times New Roman" w:eastAsia="Times New Roman" w:hAnsi="Times New Roman" w:cs="Times New Roman"/>
              </w:rPr>
            </w:pPr>
            <w:r w:rsidRPr="00CF747A">
              <w:rPr>
                <w:b/>
                <w:bCs/>
                <w:lang w:val="en-US"/>
              </w:rPr>
              <w:t>n</w:t>
            </w:r>
          </w:p>
        </w:tc>
        <w:tc>
          <w:tcPr>
            <w:tcW w:w="1058" w:type="dxa"/>
          </w:tcPr>
          <w:p w14:paraId="22B8D859" w14:textId="13754CCA" w:rsidR="00CF747A" w:rsidRPr="00CF747A" w:rsidRDefault="00CF747A" w:rsidP="00CF747A">
            <w:pPr>
              <w:spacing w:line="240" w:lineRule="auto"/>
              <w:rPr>
                <w:rFonts w:ascii="Times New Roman" w:eastAsia="Times New Roman" w:hAnsi="Times New Roman" w:cs="Times New Roman"/>
              </w:rPr>
            </w:pPr>
            <w:r w:rsidRPr="00CF747A">
              <w:rPr>
                <w:b/>
                <w:bCs/>
              </w:rPr>
              <w:t>Средно</w:t>
            </w:r>
          </w:p>
        </w:tc>
      </w:tr>
      <w:tr w:rsidR="00CF747A" w14:paraId="2D4E0931" w14:textId="77777777" w:rsidTr="00CF747A">
        <w:tc>
          <w:tcPr>
            <w:tcW w:w="1944" w:type="dxa"/>
          </w:tcPr>
          <w:p w14:paraId="34DE24DF" w14:textId="160FAABE" w:rsidR="00CF747A" w:rsidRPr="00CF747A" w:rsidRDefault="00CF747A" w:rsidP="00CF747A">
            <w:pPr>
              <w:spacing w:line="240" w:lineRule="auto"/>
              <w:rPr>
                <w:rFonts w:ascii="Times New Roman" w:eastAsia="Times New Roman" w:hAnsi="Times New Roman" w:cs="Times New Roman"/>
              </w:rPr>
            </w:pPr>
            <w:r w:rsidRPr="00CF747A">
              <w:rPr>
                <w:b/>
                <w:bCs/>
              </w:rPr>
              <w:t>Спиолто Респимат спрямо</w:t>
            </w:r>
          </w:p>
        </w:tc>
        <w:tc>
          <w:tcPr>
            <w:tcW w:w="584" w:type="dxa"/>
          </w:tcPr>
          <w:p w14:paraId="493946B8" w14:textId="7215E7D4" w:rsidR="00CF747A" w:rsidRPr="00CF747A" w:rsidRDefault="00CF747A" w:rsidP="00CF747A">
            <w:pPr>
              <w:spacing w:line="240" w:lineRule="auto"/>
              <w:rPr>
                <w:rFonts w:ascii="Times New Roman" w:eastAsia="Times New Roman" w:hAnsi="Times New Roman" w:cs="Times New Roman"/>
              </w:rPr>
            </w:pPr>
            <w:r w:rsidRPr="00CF747A">
              <w:rPr>
                <w:bCs/>
              </w:rPr>
              <w:t>522</w:t>
            </w:r>
          </w:p>
        </w:tc>
        <w:tc>
          <w:tcPr>
            <w:tcW w:w="1057" w:type="dxa"/>
          </w:tcPr>
          <w:p w14:paraId="355AD42A" w14:textId="4D6BA1AE" w:rsidR="00CF747A" w:rsidRPr="00CF747A" w:rsidRDefault="00CF747A" w:rsidP="00CF747A">
            <w:pPr>
              <w:spacing w:line="240" w:lineRule="auto"/>
              <w:rPr>
                <w:rFonts w:ascii="Times New Roman" w:eastAsia="Times New Roman" w:hAnsi="Times New Roman" w:cs="Times New Roman"/>
              </w:rPr>
            </w:pPr>
            <w:r w:rsidRPr="00CF747A">
              <w:rPr>
                <w:bCs/>
              </w:rPr>
              <w:t>-</w:t>
            </w:r>
          </w:p>
        </w:tc>
        <w:tc>
          <w:tcPr>
            <w:tcW w:w="939" w:type="dxa"/>
          </w:tcPr>
          <w:p w14:paraId="788A287F" w14:textId="35267F2E" w:rsidR="00CF747A" w:rsidRPr="00CF747A" w:rsidRDefault="00CF747A" w:rsidP="00CF747A">
            <w:pPr>
              <w:spacing w:line="240" w:lineRule="auto"/>
              <w:rPr>
                <w:rFonts w:ascii="Times New Roman" w:eastAsia="Times New Roman" w:hAnsi="Times New Roman" w:cs="Times New Roman"/>
              </w:rPr>
            </w:pPr>
            <w:r w:rsidRPr="00CF747A">
              <w:t>502</w:t>
            </w:r>
          </w:p>
        </w:tc>
        <w:tc>
          <w:tcPr>
            <w:tcW w:w="1058" w:type="dxa"/>
          </w:tcPr>
          <w:p w14:paraId="674076C9" w14:textId="20E9E1ED" w:rsidR="00CF747A" w:rsidRPr="00CF747A" w:rsidRDefault="00CF747A" w:rsidP="00CF747A">
            <w:pPr>
              <w:spacing w:line="240" w:lineRule="auto"/>
              <w:rPr>
                <w:rFonts w:ascii="Times New Roman" w:eastAsia="Times New Roman" w:hAnsi="Times New Roman" w:cs="Times New Roman"/>
              </w:rPr>
            </w:pPr>
            <w:r w:rsidRPr="00CF747A">
              <w:rPr>
                <w:bCs/>
              </w:rPr>
              <w:t>-</w:t>
            </w:r>
          </w:p>
        </w:tc>
        <w:tc>
          <w:tcPr>
            <w:tcW w:w="939" w:type="dxa"/>
          </w:tcPr>
          <w:p w14:paraId="2F19F787" w14:textId="478D0F3F" w:rsidR="00CF747A" w:rsidRPr="00CF747A" w:rsidRDefault="00CF747A" w:rsidP="00CF747A">
            <w:pPr>
              <w:spacing w:line="240" w:lineRule="auto"/>
              <w:rPr>
                <w:rFonts w:ascii="Times New Roman" w:eastAsia="Times New Roman" w:hAnsi="Times New Roman" w:cs="Times New Roman"/>
              </w:rPr>
            </w:pPr>
            <w:r w:rsidRPr="00CF747A">
              <w:t>521</w:t>
            </w:r>
          </w:p>
        </w:tc>
        <w:tc>
          <w:tcPr>
            <w:tcW w:w="1058" w:type="dxa"/>
          </w:tcPr>
          <w:p w14:paraId="1239CF36" w14:textId="098ECF0A" w:rsidR="00CF747A" w:rsidRPr="00CF747A" w:rsidRDefault="00CF747A" w:rsidP="00CF747A">
            <w:pPr>
              <w:spacing w:line="240" w:lineRule="auto"/>
              <w:rPr>
                <w:rFonts w:ascii="Times New Roman" w:eastAsia="Times New Roman" w:hAnsi="Times New Roman" w:cs="Times New Roman"/>
              </w:rPr>
            </w:pPr>
            <w:r w:rsidRPr="00CF747A">
              <w:rPr>
                <w:bCs/>
              </w:rPr>
              <w:t>-</w:t>
            </w:r>
          </w:p>
        </w:tc>
        <w:tc>
          <w:tcPr>
            <w:tcW w:w="939" w:type="dxa"/>
          </w:tcPr>
          <w:p w14:paraId="4ECF03F0" w14:textId="46A95C5E" w:rsidR="00CF747A" w:rsidRPr="00CF747A" w:rsidRDefault="00CF747A" w:rsidP="00CF747A">
            <w:pPr>
              <w:spacing w:line="240" w:lineRule="auto"/>
              <w:rPr>
                <w:rFonts w:ascii="Times New Roman" w:eastAsia="Times New Roman" w:hAnsi="Times New Roman" w:cs="Times New Roman"/>
              </w:rPr>
            </w:pPr>
            <w:r w:rsidRPr="00CF747A">
              <w:t>497</w:t>
            </w:r>
          </w:p>
        </w:tc>
        <w:tc>
          <w:tcPr>
            <w:tcW w:w="1058" w:type="dxa"/>
          </w:tcPr>
          <w:p w14:paraId="76D6E64D" w14:textId="6A4962A7" w:rsidR="00CF747A" w:rsidRPr="00CF747A" w:rsidRDefault="00CF747A" w:rsidP="00CF747A">
            <w:pPr>
              <w:spacing w:line="240" w:lineRule="auto"/>
              <w:rPr>
                <w:rFonts w:ascii="Times New Roman" w:eastAsia="Times New Roman" w:hAnsi="Times New Roman" w:cs="Times New Roman"/>
              </w:rPr>
            </w:pPr>
            <w:r w:rsidRPr="00CF747A">
              <w:rPr>
                <w:bCs/>
              </w:rPr>
              <w:t>-</w:t>
            </w:r>
          </w:p>
        </w:tc>
      </w:tr>
      <w:tr w:rsidR="00CF747A" w14:paraId="22ACD006" w14:textId="77777777" w:rsidTr="00CF747A">
        <w:tc>
          <w:tcPr>
            <w:tcW w:w="1944" w:type="dxa"/>
          </w:tcPr>
          <w:p w14:paraId="25C361F6" w14:textId="1C5A9F13" w:rsidR="00CF747A" w:rsidRPr="00CF747A" w:rsidRDefault="00CF747A" w:rsidP="00CF747A">
            <w:pPr>
              <w:spacing w:line="240" w:lineRule="auto"/>
              <w:rPr>
                <w:rFonts w:ascii="Times New Roman" w:eastAsia="Times New Roman" w:hAnsi="Times New Roman" w:cs="Times New Roman"/>
              </w:rPr>
            </w:pPr>
            <w:r w:rsidRPr="00CF747A">
              <w:rPr>
                <w:b/>
                <w:bCs/>
              </w:rPr>
              <w:t>Тиотропиум 5 микрограма</w:t>
            </w:r>
          </w:p>
        </w:tc>
        <w:tc>
          <w:tcPr>
            <w:tcW w:w="584" w:type="dxa"/>
          </w:tcPr>
          <w:p w14:paraId="5391E6F1" w14:textId="5B955FC9" w:rsidR="00CF747A" w:rsidRPr="00CF747A" w:rsidRDefault="00CF747A" w:rsidP="00CF747A">
            <w:pPr>
              <w:spacing w:line="240" w:lineRule="auto"/>
              <w:rPr>
                <w:rFonts w:ascii="Times New Roman" w:eastAsia="Times New Roman" w:hAnsi="Times New Roman" w:cs="Times New Roman"/>
              </w:rPr>
            </w:pPr>
            <w:r w:rsidRPr="00CF747A">
              <w:rPr>
                <w:bCs/>
              </w:rPr>
              <w:t>526</w:t>
            </w:r>
          </w:p>
        </w:tc>
        <w:tc>
          <w:tcPr>
            <w:tcW w:w="1057" w:type="dxa"/>
          </w:tcPr>
          <w:p w14:paraId="1F559DD2" w14:textId="0C889197" w:rsidR="00CF747A" w:rsidRPr="00CF747A" w:rsidRDefault="00CF747A" w:rsidP="00CF747A">
            <w:pPr>
              <w:spacing w:line="240" w:lineRule="auto"/>
              <w:rPr>
                <w:rFonts w:ascii="Times New Roman" w:eastAsia="Times New Roman" w:hAnsi="Times New Roman" w:cs="Times New Roman"/>
              </w:rPr>
            </w:pPr>
            <w:r w:rsidRPr="00CF747A">
              <w:rPr>
                <w:bCs/>
              </w:rPr>
              <w:t>0,1171</w:t>
            </w:r>
          </w:p>
        </w:tc>
        <w:tc>
          <w:tcPr>
            <w:tcW w:w="939" w:type="dxa"/>
          </w:tcPr>
          <w:p w14:paraId="329434D7" w14:textId="6E461316" w:rsidR="00CF747A" w:rsidRPr="00CF747A" w:rsidRDefault="00CF747A" w:rsidP="00CF747A">
            <w:pPr>
              <w:spacing w:line="240" w:lineRule="auto"/>
              <w:rPr>
                <w:rFonts w:ascii="Times New Roman" w:eastAsia="Times New Roman" w:hAnsi="Times New Roman" w:cs="Times New Roman"/>
              </w:rPr>
            </w:pPr>
            <w:r w:rsidRPr="00CF747A">
              <w:rPr>
                <w:bCs/>
              </w:rPr>
              <w:t>50 0</w:t>
            </w:r>
          </w:p>
        </w:tc>
        <w:tc>
          <w:tcPr>
            <w:tcW w:w="1058" w:type="dxa"/>
          </w:tcPr>
          <w:p w14:paraId="7ABBF4BE" w14:textId="11572CE7" w:rsidR="00CF747A" w:rsidRPr="00CF747A" w:rsidRDefault="00CF747A" w:rsidP="00CF747A">
            <w:pPr>
              <w:spacing w:line="240" w:lineRule="auto"/>
              <w:rPr>
                <w:rFonts w:ascii="Times New Roman" w:eastAsia="Times New Roman" w:hAnsi="Times New Roman" w:cs="Times New Roman"/>
              </w:rPr>
            </w:pPr>
            <w:r w:rsidRPr="00CF747A">
              <w:rPr>
                <w:bCs/>
              </w:rPr>
              <w:t>0,1031</w:t>
            </w:r>
          </w:p>
        </w:tc>
        <w:tc>
          <w:tcPr>
            <w:tcW w:w="939" w:type="dxa"/>
          </w:tcPr>
          <w:p w14:paraId="17A918A8" w14:textId="586261C6" w:rsidR="00CF747A" w:rsidRPr="00CF747A" w:rsidRDefault="00CF747A" w:rsidP="00CF747A">
            <w:pPr>
              <w:spacing w:line="240" w:lineRule="auto"/>
              <w:rPr>
                <w:rFonts w:ascii="Times New Roman" w:eastAsia="Times New Roman" w:hAnsi="Times New Roman" w:cs="Times New Roman"/>
              </w:rPr>
            </w:pPr>
            <w:r w:rsidRPr="00CF747A">
              <w:t>520</w:t>
            </w:r>
          </w:p>
        </w:tc>
        <w:tc>
          <w:tcPr>
            <w:tcW w:w="1058" w:type="dxa"/>
          </w:tcPr>
          <w:p w14:paraId="4D23B3C8" w14:textId="514DCA30" w:rsidR="00CF747A" w:rsidRPr="00CF747A" w:rsidRDefault="00CF747A" w:rsidP="00CF747A">
            <w:pPr>
              <w:spacing w:line="240" w:lineRule="auto"/>
              <w:rPr>
                <w:rFonts w:ascii="Times New Roman" w:eastAsia="Times New Roman" w:hAnsi="Times New Roman" w:cs="Times New Roman"/>
              </w:rPr>
            </w:pPr>
            <w:r w:rsidRPr="00CF747A">
              <w:rPr>
                <w:bCs/>
              </w:rPr>
              <w:t>0,0711</w:t>
            </w:r>
          </w:p>
        </w:tc>
        <w:tc>
          <w:tcPr>
            <w:tcW w:w="939" w:type="dxa"/>
          </w:tcPr>
          <w:p w14:paraId="6DB4D5D2" w14:textId="30526470" w:rsidR="00CF747A" w:rsidRPr="00CF747A" w:rsidRDefault="00CF747A" w:rsidP="00CF747A">
            <w:pPr>
              <w:spacing w:line="240" w:lineRule="auto"/>
              <w:rPr>
                <w:rFonts w:ascii="Times New Roman" w:eastAsia="Times New Roman" w:hAnsi="Times New Roman" w:cs="Times New Roman"/>
              </w:rPr>
            </w:pPr>
            <w:r w:rsidRPr="00CF747A">
              <w:rPr>
                <w:bCs/>
              </w:rPr>
              <w:t>498</w:t>
            </w:r>
          </w:p>
        </w:tc>
        <w:tc>
          <w:tcPr>
            <w:tcW w:w="1058" w:type="dxa"/>
          </w:tcPr>
          <w:p w14:paraId="4D7BD525" w14:textId="63E3DDB9" w:rsidR="00CF747A" w:rsidRPr="00CF747A" w:rsidRDefault="00CF747A" w:rsidP="00CF747A">
            <w:pPr>
              <w:spacing w:line="240" w:lineRule="auto"/>
              <w:rPr>
                <w:rFonts w:ascii="Times New Roman" w:eastAsia="Times New Roman" w:hAnsi="Times New Roman" w:cs="Times New Roman"/>
              </w:rPr>
            </w:pPr>
            <w:r w:rsidRPr="00CF747A">
              <w:rPr>
                <w:bCs/>
              </w:rPr>
              <w:t>0,0501</w:t>
            </w:r>
          </w:p>
        </w:tc>
      </w:tr>
      <w:tr w:rsidR="00CF747A" w14:paraId="75BAC3BF" w14:textId="77777777" w:rsidTr="00CF747A">
        <w:tc>
          <w:tcPr>
            <w:tcW w:w="1944" w:type="dxa"/>
          </w:tcPr>
          <w:p w14:paraId="5AB53904" w14:textId="37BDF586" w:rsidR="00CF747A" w:rsidRPr="00CF747A" w:rsidRDefault="00CF747A" w:rsidP="00CF747A">
            <w:pPr>
              <w:spacing w:line="240" w:lineRule="auto"/>
              <w:rPr>
                <w:rFonts w:ascii="Times New Roman" w:eastAsia="Times New Roman" w:hAnsi="Times New Roman" w:cs="Times New Roman"/>
              </w:rPr>
            </w:pPr>
            <w:r w:rsidRPr="00CF747A">
              <w:rPr>
                <w:b/>
                <w:bCs/>
              </w:rPr>
              <w:t>Олодатерол 5 микрограма</w:t>
            </w:r>
          </w:p>
        </w:tc>
        <w:tc>
          <w:tcPr>
            <w:tcW w:w="584" w:type="dxa"/>
          </w:tcPr>
          <w:p w14:paraId="75592930" w14:textId="0D80DE10" w:rsidR="00CF747A" w:rsidRPr="00CF747A" w:rsidRDefault="00CF747A" w:rsidP="00CF747A">
            <w:pPr>
              <w:spacing w:line="240" w:lineRule="auto"/>
              <w:rPr>
                <w:rFonts w:ascii="Times New Roman" w:eastAsia="Times New Roman" w:hAnsi="Times New Roman" w:cs="Times New Roman"/>
              </w:rPr>
            </w:pPr>
            <w:r w:rsidRPr="00CF747A">
              <w:rPr>
                <w:bCs/>
              </w:rPr>
              <w:t>525</w:t>
            </w:r>
          </w:p>
        </w:tc>
        <w:tc>
          <w:tcPr>
            <w:tcW w:w="1057" w:type="dxa"/>
          </w:tcPr>
          <w:p w14:paraId="788E155D" w14:textId="23D3D120" w:rsidR="00CF747A" w:rsidRPr="00CF747A" w:rsidRDefault="00CF747A" w:rsidP="00CF747A">
            <w:pPr>
              <w:spacing w:line="240" w:lineRule="auto"/>
              <w:rPr>
                <w:rFonts w:ascii="Times New Roman" w:eastAsia="Times New Roman" w:hAnsi="Times New Roman" w:cs="Times New Roman"/>
              </w:rPr>
            </w:pPr>
            <w:r w:rsidRPr="00CF747A">
              <w:rPr>
                <w:bCs/>
              </w:rPr>
              <w:t>0,123 1</w:t>
            </w:r>
          </w:p>
        </w:tc>
        <w:tc>
          <w:tcPr>
            <w:tcW w:w="939" w:type="dxa"/>
          </w:tcPr>
          <w:p w14:paraId="7DD68598" w14:textId="100A6CC7" w:rsidR="00CF747A" w:rsidRPr="00CF747A" w:rsidRDefault="00CF747A" w:rsidP="00CF747A">
            <w:pPr>
              <w:spacing w:line="240" w:lineRule="auto"/>
              <w:rPr>
                <w:rFonts w:ascii="Times New Roman" w:eastAsia="Times New Roman" w:hAnsi="Times New Roman" w:cs="Times New Roman"/>
              </w:rPr>
            </w:pPr>
            <w:r w:rsidRPr="00CF747A">
              <w:rPr>
                <w:bCs/>
              </w:rPr>
              <w:t>50 7</w:t>
            </w:r>
          </w:p>
        </w:tc>
        <w:tc>
          <w:tcPr>
            <w:tcW w:w="1058" w:type="dxa"/>
          </w:tcPr>
          <w:p w14:paraId="29D01F51" w14:textId="7AFBD1F3" w:rsidR="00CF747A" w:rsidRPr="00CF747A" w:rsidRDefault="00CF747A" w:rsidP="00CF747A">
            <w:pPr>
              <w:spacing w:line="240" w:lineRule="auto"/>
              <w:rPr>
                <w:rFonts w:ascii="Times New Roman" w:eastAsia="Times New Roman" w:hAnsi="Times New Roman" w:cs="Times New Roman"/>
              </w:rPr>
            </w:pPr>
            <w:r w:rsidRPr="00CF747A">
              <w:rPr>
                <w:bCs/>
              </w:rPr>
              <w:t>0,1321</w:t>
            </w:r>
          </w:p>
        </w:tc>
        <w:tc>
          <w:tcPr>
            <w:tcW w:w="939" w:type="dxa"/>
          </w:tcPr>
          <w:p w14:paraId="304E2D16" w14:textId="29B2584E" w:rsidR="00CF747A" w:rsidRPr="00CF747A" w:rsidRDefault="00CF747A" w:rsidP="00CF747A">
            <w:pPr>
              <w:spacing w:line="240" w:lineRule="auto"/>
              <w:rPr>
                <w:rFonts w:ascii="Times New Roman" w:eastAsia="Times New Roman" w:hAnsi="Times New Roman" w:cs="Times New Roman"/>
              </w:rPr>
            </w:pPr>
            <w:r w:rsidRPr="00CF747A">
              <w:t>519</w:t>
            </w:r>
          </w:p>
        </w:tc>
        <w:tc>
          <w:tcPr>
            <w:tcW w:w="1058" w:type="dxa"/>
          </w:tcPr>
          <w:p w14:paraId="4224637C" w14:textId="39F27A15" w:rsidR="00CF747A" w:rsidRPr="00CF747A" w:rsidRDefault="00CF747A" w:rsidP="00CF747A">
            <w:pPr>
              <w:spacing w:line="240" w:lineRule="auto"/>
              <w:rPr>
                <w:rFonts w:ascii="Times New Roman" w:eastAsia="Times New Roman" w:hAnsi="Times New Roman" w:cs="Times New Roman"/>
              </w:rPr>
            </w:pPr>
            <w:r w:rsidRPr="00CF747A">
              <w:rPr>
                <w:bCs/>
              </w:rPr>
              <w:t>0,082 1</w:t>
            </w:r>
          </w:p>
        </w:tc>
        <w:tc>
          <w:tcPr>
            <w:tcW w:w="939" w:type="dxa"/>
          </w:tcPr>
          <w:p w14:paraId="09095242" w14:textId="264257FD" w:rsidR="00CF747A" w:rsidRPr="00CF747A" w:rsidRDefault="00CF747A" w:rsidP="00CF747A">
            <w:pPr>
              <w:spacing w:line="240" w:lineRule="auto"/>
              <w:rPr>
                <w:rFonts w:ascii="Times New Roman" w:eastAsia="Times New Roman" w:hAnsi="Times New Roman" w:cs="Times New Roman"/>
              </w:rPr>
            </w:pPr>
            <w:r w:rsidRPr="00CF747A">
              <w:rPr>
                <w:bCs/>
              </w:rPr>
              <w:t>503</w:t>
            </w:r>
          </w:p>
        </w:tc>
        <w:tc>
          <w:tcPr>
            <w:tcW w:w="1058" w:type="dxa"/>
          </w:tcPr>
          <w:p w14:paraId="45A56905" w14:textId="5A364F03" w:rsidR="00CF747A" w:rsidRPr="00CF747A" w:rsidRDefault="00CF747A" w:rsidP="00CF747A">
            <w:pPr>
              <w:spacing w:line="240" w:lineRule="auto"/>
              <w:rPr>
                <w:rFonts w:ascii="Times New Roman" w:eastAsia="Times New Roman" w:hAnsi="Times New Roman" w:cs="Times New Roman"/>
              </w:rPr>
            </w:pPr>
            <w:r w:rsidRPr="00CF747A">
              <w:rPr>
                <w:bCs/>
              </w:rPr>
              <w:t>0,088 1</w:t>
            </w:r>
          </w:p>
        </w:tc>
      </w:tr>
    </w:tbl>
    <w:p w14:paraId="3326E852"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Изходна стойност преди лечението на ФЕО</w:t>
      </w:r>
      <w:r w:rsidRPr="00CF747A">
        <w:rPr>
          <w:rFonts w:eastAsia="Times New Roman" w:cs="Arial"/>
          <w:color w:val="000000"/>
          <w:szCs w:val="20"/>
          <w:vertAlign w:val="subscript"/>
          <w:lang w:eastAsia="bg-BG"/>
        </w:rPr>
        <w:t>1</w:t>
      </w:r>
      <w:r w:rsidRPr="00CF747A">
        <w:rPr>
          <w:rFonts w:eastAsia="Times New Roman" w:cs="Arial"/>
          <w:color w:val="000000"/>
          <w:szCs w:val="20"/>
          <w:lang w:eastAsia="bg-BG"/>
        </w:rPr>
        <w:t xml:space="preserve"> Проучване 1 = 1,161; Проучване 2 = 1,151 р&lt;0,0001 за всички сравнения </w:t>
      </w:r>
      <w:r w:rsidRPr="00CF747A">
        <w:rPr>
          <w:rFonts w:eastAsia="Times New Roman" w:cs="Arial"/>
          <w:color w:val="000000"/>
          <w:szCs w:val="20"/>
          <w:lang w:val="en-US"/>
        </w:rPr>
        <w:t>n</w:t>
      </w:r>
      <w:r w:rsidRPr="00CF747A">
        <w:rPr>
          <w:rFonts w:eastAsia="Times New Roman" w:cs="Arial"/>
          <w:color w:val="000000"/>
          <w:szCs w:val="20"/>
          <w:lang w:eastAsia="bg-BG"/>
        </w:rPr>
        <w:t>= брой пациенти</w:t>
      </w:r>
    </w:p>
    <w:p w14:paraId="4638FFD0" w14:textId="77777777" w:rsidR="00CF747A" w:rsidRPr="00CF747A" w:rsidRDefault="00CF747A" w:rsidP="00CF747A">
      <w:pPr>
        <w:spacing w:line="240" w:lineRule="auto"/>
        <w:rPr>
          <w:rFonts w:eastAsia="Times New Roman" w:cs="Arial"/>
          <w:color w:val="000000"/>
          <w:szCs w:val="20"/>
          <w:lang w:eastAsia="bg-BG"/>
        </w:rPr>
      </w:pPr>
    </w:p>
    <w:p w14:paraId="76AB5D2A" w14:textId="58C9867B"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Пациенти с по-висока степен на обратимост при изходна стойност, като цяло показват по-висок бронходилататорен отговор със Спиолто Респимат, в сравнение с пациенти с по-ниска степен на обратимост при изходна стойност.</w:t>
      </w:r>
    </w:p>
    <w:p w14:paraId="7CA45486" w14:textId="77777777" w:rsidR="00CF747A" w:rsidRPr="00CF747A" w:rsidRDefault="00CF747A" w:rsidP="00CF747A">
      <w:pPr>
        <w:spacing w:line="240" w:lineRule="auto"/>
        <w:rPr>
          <w:rFonts w:eastAsia="Times New Roman" w:cs="Arial"/>
          <w:color w:val="000000"/>
          <w:szCs w:val="20"/>
          <w:lang w:eastAsia="bg-BG"/>
        </w:rPr>
      </w:pPr>
    </w:p>
    <w:p w14:paraId="27220A1F" w14:textId="13BAB451"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 xml:space="preserve">Повишеният бронходилататорен ефект на Спиолто Респимат в сравнение тиотропиум </w:t>
      </w:r>
      <w:r w:rsidRPr="00CF747A">
        <w:rPr>
          <w:rFonts w:eastAsia="Times New Roman" w:cs="Arial"/>
          <w:i/>
          <w:iCs/>
          <w:color w:val="000000"/>
          <w:szCs w:val="20"/>
          <w:lang w:eastAsia="bg-BG"/>
        </w:rPr>
        <w:t>5</w:t>
      </w:r>
      <w:r w:rsidRPr="00CF747A">
        <w:rPr>
          <w:rFonts w:eastAsia="Times New Roman" w:cs="Arial"/>
          <w:color w:val="000000"/>
          <w:szCs w:val="20"/>
          <w:lang w:eastAsia="bg-BG"/>
        </w:rPr>
        <w:t xml:space="preserve"> микрограма и олодатерол 5 микрограма е поддържан през целия период на лечение от 52 седмици. Спиолто Респимат подобрява също сутрешната и вечерна скорост на върховия експираторен дебит </w:t>
      </w:r>
      <w:r w:rsidRPr="00CF747A">
        <w:rPr>
          <w:rFonts w:eastAsia="Times New Roman" w:cs="Arial"/>
          <w:color w:val="000000"/>
          <w:szCs w:val="20"/>
          <w:lang w:val="ru-RU"/>
        </w:rPr>
        <w:t>(</w:t>
      </w:r>
      <w:r w:rsidRPr="00CF747A">
        <w:rPr>
          <w:rFonts w:eastAsia="Times New Roman" w:cs="Arial"/>
          <w:color w:val="000000"/>
          <w:szCs w:val="20"/>
          <w:lang w:val="en-US"/>
        </w:rPr>
        <w:t>PEFR</w:t>
      </w:r>
      <w:r w:rsidRPr="00CF747A">
        <w:rPr>
          <w:rFonts w:eastAsia="Times New Roman" w:cs="Arial"/>
          <w:color w:val="000000"/>
          <w:szCs w:val="20"/>
          <w:lang w:val="ru-RU"/>
        </w:rPr>
        <w:t xml:space="preserve">) </w:t>
      </w:r>
      <w:r w:rsidRPr="00CF747A">
        <w:rPr>
          <w:rFonts w:eastAsia="Times New Roman" w:cs="Arial"/>
          <w:color w:val="000000"/>
          <w:szCs w:val="20"/>
          <w:lang w:eastAsia="bg-BG"/>
        </w:rPr>
        <w:t>в сравнение с тиотропиум 5 микрограма и олодатерол 5 микрограма, измерен чрез ежедневните записи на пациентите.</w:t>
      </w:r>
    </w:p>
    <w:p w14:paraId="39ADCDDA" w14:textId="77777777" w:rsidR="00CF747A" w:rsidRPr="00CF747A" w:rsidRDefault="00CF747A" w:rsidP="00CF747A">
      <w:pPr>
        <w:spacing w:line="240" w:lineRule="auto"/>
        <w:rPr>
          <w:rFonts w:eastAsia="Times New Roman" w:cs="Arial"/>
          <w:color w:val="000000"/>
          <w:szCs w:val="20"/>
          <w:lang w:eastAsia="bg-BG"/>
        </w:rPr>
      </w:pPr>
    </w:p>
    <w:p w14:paraId="5FEB1676" w14:textId="474B955C"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В 6-седмичното проучване Спиолто Респимат показва значително по-голяма промяна на ФЕ0</w:t>
      </w:r>
      <w:r w:rsidRPr="00CF747A">
        <w:rPr>
          <w:rFonts w:eastAsia="Times New Roman" w:cs="Arial"/>
          <w:color w:val="000000"/>
          <w:szCs w:val="20"/>
          <w:vertAlign w:val="subscript"/>
          <w:lang w:eastAsia="bg-BG"/>
        </w:rPr>
        <w:t>1</w:t>
      </w:r>
      <w:r w:rsidRPr="00CF747A">
        <w:rPr>
          <w:rFonts w:eastAsia="Times New Roman" w:cs="Arial"/>
          <w:color w:val="000000"/>
          <w:szCs w:val="20"/>
          <w:lang w:eastAsia="bg-BG"/>
        </w:rPr>
        <w:t xml:space="preserve"> в сравнение с тиотропиум 5 микрограма, олодатерол 5 микрограма и плацебо (р&lt;0,0001) в продължение на целия 24-часов интервал на дозиране (Таблица 2).</w:t>
      </w:r>
    </w:p>
    <w:p w14:paraId="38CA8755" w14:textId="5BBEFF75" w:rsidR="00CF747A" w:rsidRPr="00CF747A" w:rsidRDefault="00CF747A" w:rsidP="00CF747A">
      <w:pPr>
        <w:spacing w:line="240" w:lineRule="auto"/>
        <w:rPr>
          <w:rFonts w:eastAsia="Times New Roman" w:cs="Arial"/>
          <w:sz w:val="28"/>
          <w:szCs w:val="24"/>
        </w:rPr>
      </w:pPr>
    </w:p>
    <w:p w14:paraId="6E965509" w14:textId="77777777" w:rsidR="00CF747A" w:rsidRPr="00CF747A" w:rsidRDefault="00CF747A" w:rsidP="00CF747A">
      <w:pPr>
        <w:spacing w:line="240" w:lineRule="auto"/>
        <w:rPr>
          <w:rFonts w:ascii="Times New Roman" w:eastAsia="Times New Roman" w:hAnsi="Times New Roman" w:cs="Times New Roman"/>
          <w:sz w:val="24"/>
          <w:szCs w:val="24"/>
        </w:rPr>
      </w:pPr>
      <w:r w:rsidRPr="00CF747A">
        <w:rPr>
          <w:rFonts w:eastAsia="Times New Roman" w:cs="Arial"/>
          <w:b/>
          <w:bCs/>
          <w:color w:val="000000"/>
          <w:szCs w:val="20"/>
          <w:lang w:eastAsia="bg-BG"/>
        </w:rPr>
        <w:t xml:space="preserve">Таблица 2 Средни разлики във ФЕО] </w:t>
      </w:r>
      <w:r w:rsidRPr="00CF747A">
        <w:rPr>
          <w:rFonts w:eastAsia="Times New Roman" w:cs="Arial"/>
          <w:b/>
          <w:bCs/>
          <w:color w:val="000000"/>
          <w:szCs w:val="20"/>
          <w:lang w:val="ru-RU"/>
        </w:rPr>
        <w:t>(</w:t>
      </w:r>
      <w:r w:rsidRPr="00CF747A">
        <w:rPr>
          <w:rFonts w:eastAsia="Times New Roman" w:cs="Arial"/>
          <w:b/>
          <w:bCs/>
          <w:color w:val="000000"/>
          <w:szCs w:val="20"/>
          <w:lang w:val="en-US"/>
        </w:rPr>
        <w:t>L</w:t>
      </w:r>
      <w:r w:rsidRPr="00CF747A">
        <w:rPr>
          <w:rFonts w:eastAsia="Times New Roman" w:cs="Arial"/>
          <w:b/>
          <w:bCs/>
          <w:color w:val="000000"/>
          <w:szCs w:val="20"/>
          <w:lang w:val="ru-RU"/>
        </w:rPr>
        <w:t xml:space="preserve">) </w:t>
      </w:r>
      <w:r w:rsidRPr="00CF747A">
        <w:rPr>
          <w:rFonts w:eastAsia="Times New Roman" w:cs="Arial"/>
          <w:b/>
          <w:bCs/>
          <w:color w:val="000000"/>
          <w:szCs w:val="20"/>
          <w:lang w:eastAsia="bg-BG"/>
        </w:rPr>
        <w:t xml:space="preserve">в продължение на 3 </w:t>
      </w:r>
      <w:r w:rsidRPr="00CF747A">
        <w:rPr>
          <w:rFonts w:eastAsia="Times New Roman" w:cs="Arial"/>
          <w:b/>
          <w:bCs/>
          <w:color w:val="000000"/>
          <w:szCs w:val="20"/>
          <w:lang w:val="en-US"/>
        </w:rPr>
        <w:t>h</w:t>
      </w:r>
      <w:r w:rsidRPr="00CF747A">
        <w:rPr>
          <w:rFonts w:eastAsia="Times New Roman" w:cs="Arial"/>
          <w:b/>
          <w:bCs/>
          <w:color w:val="000000"/>
          <w:szCs w:val="20"/>
          <w:lang w:val="ru-RU"/>
        </w:rPr>
        <w:t xml:space="preserve">, </w:t>
      </w:r>
      <w:r w:rsidRPr="00CF747A">
        <w:rPr>
          <w:rFonts w:eastAsia="Times New Roman" w:cs="Arial"/>
          <w:b/>
          <w:bCs/>
          <w:color w:val="000000"/>
          <w:szCs w:val="20"/>
          <w:lang w:eastAsia="bg-BG"/>
        </w:rPr>
        <w:t xml:space="preserve">12 </w:t>
      </w:r>
      <w:r w:rsidRPr="00CF747A">
        <w:rPr>
          <w:rFonts w:eastAsia="Times New Roman" w:cs="Arial"/>
          <w:b/>
          <w:bCs/>
          <w:color w:val="000000"/>
          <w:szCs w:val="20"/>
          <w:lang w:val="en-US"/>
        </w:rPr>
        <w:t>h</w:t>
      </w:r>
      <w:r w:rsidRPr="00CF747A">
        <w:rPr>
          <w:rFonts w:eastAsia="Times New Roman" w:cs="Arial"/>
          <w:b/>
          <w:bCs/>
          <w:color w:val="000000"/>
          <w:szCs w:val="20"/>
          <w:lang w:val="ru-RU"/>
        </w:rPr>
        <w:t xml:space="preserve"> </w:t>
      </w:r>
      <w:r w:rsidRPr="00CF747A">
        <w:rPr>
          <w:rFonts w:eastAsia="Times New Roman" w:cs="Arial"/>
          <w:b/>
          <w:bCs/>
          <w:color w:val="000000"/>
          <w:szCs w:val="20"/>
          <w:lang w:eastAsia="bg-BG"/>
        </w:rPr>
        <w:t xml:space="preserve">и 24 Ь и разлика в най-ниската стойност на ФЕО1 </w:t>
      </w:r>
      <w:r w:rsidRPr="00CF747A">
        <w:rPr>
          <w:rFonts w:eastAsia="Times New Roman" w:cs="Arial"/>
          <w:b/>
          <w:bCs/>
          <w:color w:val="000000"/>
          <w:szCs w:val="20"/>
          <w:lang w:val="ru-RU"/>
        </w:rPr>
        <w:t>(</w:t>
      </w:r>
      <w:r w:rsidRPr="00CF747A">
        <w:rPr>
          <w:rFonts w:eastAsia="Times New Roman" w:cs="Arial"/>
          <w:b/>
          <w:bCs/>
          <w:color w:val="000000"/>
          <w:szCs w:val="20"/>
          <w:lang w:val="en-US"/>
        </w:rPr>
        <w:t>L</w:t>
      </w:r>
      <w:r w:rsidRPr="00CF747A">
        <w:rPr>
          <w:rFonts w:eastAsia="Times New Roman" w:cs="Arial"/>
          <w:b/>
          <w:bCs/>
          <w:color w:val="000000"/>
          <w:szCs w:val="20"/>
          <w:lang w:val="ru-RU"/>
        </w:rPr>
        <w:t xml:space="preserve">) </w:t>
      </w:r>
      <w:r w:rsidRPr="00CF747A">
        <w:rPr>
          <w:rFonts w:eastAsia="Times New Roman" w:cs="Arial"/>
          <w:b/>
          <w:bCs/>
          <w:color w:val="000000"/>
          <w:szCs w:val="20"/>
          <w:lang w:eastAsia="bg-BG"/>
        </w:rPr>
        <w:t>при Спиолто Респимат в сравнение с тиотропиум 5 микрограма, олодатерол 5 микрограма и плацебо след 6 седмици (Проучване 3)</w:t>
      </w:r>
    </w:p>
    <w:tbl>
      <w:tblPr>
        <w:tblStyle w:val="TableGrid"/>
        <w:tblW w:w="0" w:type="auto"/>
        <w:tblLook w:val="04A0" w:firstRow="1" w:lastRow="0" w:firstColumn="1" w:lastColumn="0" w:noHBand="0" w:noVBand="1"/>
      </w:tblPr>
      <w:tblGrid>
        <w:gridCol w:w="2176"/>
        <w:gridCol w:w="956"/>
        <w:gridCol w:w="1380"/>
        <w:gridCol w:w="858"/>
        <w:gridCol w:w="1312"/>
        <w:gridCol w:w="1324"/>
        <w:gridCol w:w="1344"/>
      </w:tblGrid>
      <w:tr w:rsidR="00CF747A" w14:paraId="2702DC21" w14:textId="77777777" w:rsidTr="00CF747A">
        <w:tc>
          <w:tcPr>
            <w:tcW w:w="2235" w:type="dxa"/>
          </w:tcPr>
          <w:p w14:paraId="68737DA4" w14:textId="77777777" w:rsidR="00CF747A" w:rsidRPr="00CF747A" w:rsidRDefault="00CF747A" w:rsidP="00CF747A">
            <w:pPr>
              <w:spacing w:line="240" w:lineRule="auto"/>
              <w:rPr>
                <w:rFonts w:ascii="Times New Roman" w:eastAsia="Times New Roman" w:hAnsi="Times New Roman" w:cs="Times New Roman"/>
                <w:szCs w:val="24"/>
                <w:lang w:val="en-US"/>
              </w:rPr>
            </w:pPr>
          </w:p>
        </w:tc>
        <w:tc>
          <w:tcPr>
            <w:tcW w:w="992" w:type="dxa"/>
          </w:tcPr>
          <w:p w14:paraId="31A7EF5F" w14:textId="269558AF" w:rsidR="00CF747A" w:rsidRPr="00CF747A" w:rsidRDefault="00CF747A" w:rsidP="00CF747A">
            <w:pPr>
              <w:spacing w:line="240" w:lineRule="auto"/>
              <w:rPr>
                <w:rFonts w:ascii="Times New Roman" w:eastAsia="Times New Roman" w:hAnsi="Times New Roman" w:cs="Times New Roman"/>
                <w:szCs w:val="24"/>
              </w:rPr>
            </w:pPr>
            <w:r w:rsidRPr="00CF747A">
              <w:rPr>
                <w:b/>
                <w:bCs/>
                <w:szCs w:val="20"/>
                <w:lang w:val="en-US"/>
              </w:rPr>
              <w:t>n</w:t>
            </w:r>
          </w:p>
        </w:tc>
        <w:tc>
          <w:tcPr>
            <w:tcW w:w="1417" w:type="dxa"/>
          </w:tcPr>
          <w:p w14:paraId="1296CD7B" w14:textId="4A77F9F4" w:rsidR="00CF747A" w:rsidRPr="00CF747A" w:rsidRDefault="00CF747A" w:rsidP="00CF747A">
            <w:pPr>
              <w:spacing w:line="240" w:lineRule="auto"/>
              <w:rPr>
                <w:rFonts w:ascii="Times New Roman" w:eastAsia="Times New Roman" w:hAnsi="Times New Roman" w:cs="Times New Roman"/>
                <w:szCs w:val="24"/>
              </w:rPr>
            </w:pPr>
            <w:r w:rsidRPr="00CF747A">
              <w:rPr>
                <w:b/>
                <w:bCs/>
                <w:szCs w:val="20"/>
                <w:lang w:val="en-US"/>
              </w:rPr>
              <w:t xml:space="preserve">3h </w:t>
            </w:r>
            <w:r w:rsidRPr="00CF747A">
              <w:rPr>
                <w:b/>
                <w:bCs/>
                <w:szCs w:val="20"/>
              </w:rPr>
              <w:t>средно</w:t>
            </w:r>
          </w:p>
        </w:tc>
        <w:tc>
          <w:tcPr>
            <w:tcW w:w="885" w:type="dxa"/>
          </w:tcPr>
          <w:p w14:paraId="3E55A37A" w14:textId="77BCF14F" w:rsidR="00CF747A" w:rsidRPr="00CF747A" w:rsidRDefault="00CF747A" w:rsidP="00CF747A">
            <w:pPr>
              <w:spacing w:line="240" w:lineRule="auto"/>
              <w:rPr>
                <w:rFonts w:ascii="Times New Roman" w:eastAsia="Times New Roman" w:hAnsi="Times New Roman" w:cs="Times New Roman"/>
                <w:szCs w:val="24"/>
              </w:rPr>
            </w:pPr>
            <w:r w:rsidRPr="00CF747A">
              <w:rPr>
                <w:b/>
                <w:bCs/>
                <w:szCs w:val="20"/>
                <w:lang w:val="en-US"/>
              </w:rPr>
              <w:t>n</w:t>
            </w:r>
          </w:p>
        </w:tc>
        <w:tc>
          <w:tcPr>
            <w:tcW w:w="1342" w:type="dxa"/>
          </w:tcPr>
          <w:p w14:paraId="766D5735" w14:textId="26826494"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12</w:t>
            </w:r>
            <w:r w:rsidRPr="00CF747A">
              <w:rPr>
                <w:b/>
                <w:bCs/>
                <w:szCs w:val="20"/>
                <w:lang w:val="en-US"/>
              </w:rPr>
              <w:t xml:space="preserve">h </w:t>
            </w:r>
            <w:r w:rsidRPr="00CF747A">
              <w:rPr>
                <w:b/>
                <w:bCs/>
                <w:szCs w:val="20"/>
              </w:rPr>
              <w:t>средно</w:t>
            </w:r>
          </w:p>
        </w:tc>
        <w:tc>
          <w:tcPr>
            <w:tcW w:w="1348" w:type="dxa"/>
          </w:tcPr>
          <w:p w14:paraId="5BB78EED" w14:textId="7359456C"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 xml:space="preserve">24 </w:t>
            </w:r>
            <w:r w:rsidRPr="00CF747A">
              <w:rPr>
                <w:b/>
                <w:bCs/>
                <w:szCs w:val="20"/>
                <w:lang w:val="en-US"/>
              </w:rPr>
              <w:t xml:space="preserve">h </w:t>
            </w:r>
            <w:r w:rsidRPr="00CF747A">
              <w:rPr>
                <w:b/>
                <w:bCs/>
                <w:szCs w:val="20"/>
              </w:rPr>
              <w:t>средно</w:t>
            </w:r>
            <w:r w:rsidRPr="00CF747A">
              <w:rPr>
                <w:b/>
                <w:bCs/>
                <w:szCs w:val="20"/>
                <w:vertAlign w:val="superscript"/>
              </w:rPr>
              <w:t>1</w:t>
            </w:r>
          </w:p>
        </w:tc>
        <w:tc>
          <w:tcPr>
            <w:tcW w:w="1357" w:type="dxa"/>
          </w:tcPr>
          <w:p w14:paraId="2BF311E9" w14:textId="42C94143"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Най-ниска стойност на ФЕО</w:t>
            </w:r>
            <w:r w:rsidRPr="00CF747A">
              <w:rPr>
                <w:b/>
                <w:bCs/>
                <w:szCs w:val="20"/>
                <w:vertAlign w:val="subscript"/>
              </w:rPr>
              <w:t>1</w:t>
            </w:r>
          </w:p>
        </w:tc>
      </w:tr>
      <w:tr w:rsidR="00CF747A" w14:paraId="51F64665" w14:textId="77777777" w:rsidTr="00CF747A">
        <w:tc>
          <w:tcPr>
            <w:tcW w:w="2235" w:type="dxa"/>
          </w:tcPr>
          <w:p w14:paraId="33C3B894" w14:textId="3DD97916"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Спиолто Респимат спрямо</w:t>
            </w:r>
          </w:p>
        </w:tc>
        <w:tc>
          <w:tcPr>
            <w:tcW w:w="992" w:type="dxa"/>
          </w:tcPr>
          <w:p w14:paraId="768CD064" w14:textId="5B072159" w:rsidR="00CF747A" w:rsidRPr="00CF747A" w:rsidRDefault="00CF747A" w:rsidP="00CF747A">
            <w:pPr>
              <w:spacing w:line="240" w:lineRule="auto"/>
              <w:rPr>
                <w:rFonts w:ascii="Times New Roman" w:eastAsia="Times New Roman" w:hAnsi="Times New Roman" w:cs="Times New Roman"/>
                <w:szCs w:val="24"/>
              </w:rPr>
            </w:pPr>
            <w:r w:rsidRPr="00CF747A">
              <w:rPr>
                <w:szCs w:val="20"/>
              </w:rPr>
              <w:t>138</w:t>
            </w:r>
          </w:p>
        </w:tc>
        <w:tc>
          <w:tcPr>
            <w:tcW w:w="1417" w:type="dxa"/>
          </w:tcPr>
          <w:p w14:paraId="1323893D" w14:textId="77777777" w:rsidR="00CF747A" w:rsidRPr="00CF747A" w:rsidRDefault="00CF747A" w:rsidP="00CF747A">
            <w:pPr>
              <w:spacing w:line="240" w:lineRule="auto"/>
              <w:rPr>
                <w:rFonts w:ascii="Times New Roman" w:eastAsia="Times New Roman" w:hAnsi="Times New Roman" w:cs="Times New Roman"/>
                <w:szCs w:val="24"/>
              </w:rPr>
            </w:pPr>
          </w:p>
        </w:tc>
        <w:tc>
          <w:tcPr>
            <w:tcW w:w="885" w:type="dxa"/>
          </w:tcPr>
          <w:p w14:paraId="555494D8" w14:textId="3B9743CD" w:rsidR="00CF747A" w:rsidRPr="00CF747A" w:rsidRDefault="00CF747A" w:rsidP="00CF747A">
            <w:pPr>
              <w:spacing w:line="240" w:lineRule="auto"/>
              <w:rPr>
                <w:rFonts w:ascii="Times New Roman" w:eastAsia="Times New Roman" w:hAnsi="Times New Roman" w:cs="Times New Roman"/>
                <w:szCs w:val="24"/>
              </w:rPr>
            </w:pPr>
            <w:r w:rsidRPr="00CF747A">
              <w:rPr>
                <w:szCs w:val="20"/>
              </w:rPr>
              <w:t>138</w:t>
            </w:r>
          </w:p>
        </w:tc>
        <w:tc>
          <w:tcPr>
            <w:tcW w:w="1342" w:type="dxa"/>
          </w:tcPr>
          <w:p w14:paraId="28DEF857" w14:textId="77777777" w:rsidR="00CF747A" w:rsidRPr="00CF747A" w:rsidRDefault="00CF747A" w:rsidP="00CF747A">
            <w:pPr>
              <w:spacing w:line="240" w:lineRule="auto"/>
              <w:rPr>
                <w:rFonts w:ascii="Times New Roman" w:eastAsia="Times New Roman" w:hAnsi="Times New Roman" w:cs="Times New Roman"/>
                <w:szCs w:val="24"/>
              </w:rPr>
            </w:pPr>
          </w:p>
        </w:tc>
        <w:tc>
          <w:tcPr>
            <w:tcW w:w="1348" w:type="dxa"/>
          </w:tcPr>
          <w:p w14:paraId="0CE9DB3B" w14:textId="77777777" w:rsidR="00CF747A" w:rsidRPr="00CF747A" w:rsidRDefault="00CF747A" w:rsidP="00CF747A">
            <w:pPr>
              <w:spacing w:line="240" w:lineRule="auto"/>
              <w:rPr>
                <w:rFonts w:ascii="Times New Roman" w:eastAsia="Times New Roman" w:hAnsi="Times New Roman" w:cs="Times New Roman"/>
                <w:szCs w:val="24"/>
              </w:rPr>
            </w:pPr>
          </w:p>
        </w:tc>
        <w:tc>
          <w:tcPr>
            <w:tcW w:w="1357" w:type="dxa"/>
          </w:tcPr>
          <w:p w14:paraId="028C0DB3" w14:textId="77777777" w:rsidR="00CF747A" w:rsidRPr="00CF747A" w:rsidRDefault="00CF747A" w:rsidP="00CF747A">
            <w:pPr>
              <w:spacing w:line="240" w:lineRule="auto"/>
              <w:rPr>
                <w:rFonts w:ascii="Times New Roman" w:eastAsia="Times New Roman" w:hAnsi="Times New Roman" w:cs="Times New Roman"/>
                <w:szCs w:val="24"/>
              </w:rPr>
            </w:pPr>
          </w:p>
        </w:tc>
      </w:tr>
      <w:tr w:rsidR="00CF747A" w14:paraId="4D9B915F" w14:textId="77777777" w:rsidTr="00CF747A">
        <w:tc>
          <w:tcPr>
            <w:tcW w:w="2235" w:type="dxa"/>
          </w:tcPr>
          <w:p w14:paraId="6FF77DA3" w14:textId="3510DB9A"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Тиотропиум 5 микрограма</w:t>
            </w:r>
          </w:p>
        </w:tc>
        <w:tc>
          <w:tcPr>
            <w:tcW w:w="992" w:type="dxa"/>
          </w:tcPr>
          <w:p w14:paraId="049BCB1B" w14:textId="62C56B66" w:rsidR="00CF747A" w:rsidRPr="00CF747A" w:rsidRDefault="00CF747A" w:rsidP="00CF747A">
            <w:pPr>
              <w:spacing w:line="240" w:lineRule="auto"/>
              <w:rPr>
                <w:rFonts w:ascii="Times New Roman" w:eastAsia="Times New Roman" w:hAnsi="Times New Roman" w:cs="Times New Roman"/>
                <w:szCs w:val="24"/>
              </w:rPr>
            </w:pPr>
            <w:r w:rsidRPr="00CF747A">
              <w:rPr>
                <w:szCs w:val="20"/>
              </w:rPr>
              <w:t>137</w:t>
            </w:r>
          </w:p>
        </w:tc>
        <w:tc>
          <w:tcPr>
            <w:tcW w:w="1417" w:type="dxa"/>
          </w:tcPr>
          <w:p w14:paraId="67CB8C12" w14:textId="4AB61AB2" w:rsidR="00CF747A" w:rsidRPr="00CF747A" w:rsidRDefault="00CF747A" w:rsidP="00CF747A">
            <w:pPr>
              <w:spacing w:line="240" w:lineRule="auto"/>
              <w:rPr>
                <w:rFonts w:ascii="Times New Roman" w:eastAsia="Times New Roman" w:hAnsi="Times New Roman" w:cs="Times New Roman"/>
                <w:szCs w:val="24"/>
              </w:rPr>
            </w:pPr>
            <w:r w:rsidRPr="00CF747A">
              <w:rPr>
                <w:szCs w:val="20"/>
              </w:rPr>
              <w:t>0,109</w:t>
            </w:r>
          </w:p>
        </w:tc>
        <w:tc>
          <w:tcPr>
            <w:tcW w:w="885" w:type="dxa"/>
          </w:tcPr>
          <w:p w14:paraId="06C97066" w14:textId="472AF50E" w:rsidR="00CF747A" w:rsidRPr="00CF747A" w:rsidRDefault="00CF747A" w:rsidP="00CF747A">
            <w:pPr>
              <w:spacing w:line="240" w:lineRule="auto"/>
              <w:rPr>
                <w:rFonts w:ascii="Times New Roman" w:eastAsia="Times New Roman" w:hAnsi="Times New Roman" w:cs="Times New Roman"/>
                <w:szCs w:val="24"/>
              </w:rPr>
            </w:pPr>
            <w:r w:rsidRPr="00CF747A">
              <w:rPr>
                <w:szCs w:val="20"/>
              </w:rPr>
              <w:t>135</w:t>
            </w:r>
          </w:p>
        </w:tc>
        <w:tc>
          <w:tcPr>
            <w:tcW w:w="1342" w:type="dxa"/>
          </w:tcPr>
          <w:p w14:paraId="78E9B512" w14:textId="5608047C" w:rsidR="00CF747A" w:rsidRPr="00CF747A" w:rsidRDefault="00CF747A" w:rsidP="00CF747A">
            <w:pPr>
              <w:spacing w:line="240" w:lineRule="auto"/>
              <w:rPr>
                <w:rFonts w:ascii="Times New Roman" w:eastAsia="Times New Roman" w:hAnsi="Times New Roman" w:cs="Times New Roman"/>
                <w:szCs w:val="24"/>
              </w:rPr>
            </w:pPr>
            <w:r w:rsidRPr="00CF747A">
              <w:rPr>
                <w:szCs w:val="20"/>
              </w:rPr>
              <w:t>0,119</w:t>
            </w:r>
          </w:p>
        </w:tc>
        <w:tc>
          <w:tcPr>
            <w:tcW w:w="1348" w:type="dxa"/>
          </w:tcPr>
          <w:p w14:paraId="38D46056" w14:textId="0CA0E031" w:rsidR="00CF747A" w:rsidRPr="00CF747A" w:rsidRDefault="00CF747A" w:rsidP="00CF747A">
            <w:pPr>
              <w:spacing w:line="240" w:lineRule="auto"/>
              <w:rPr>
                <w:rFonts w:ascii="Times New Roman" w:eastAsia="Times New Roman" w:hAnsi="Times New Roman" w:cs="Times New Roman"/>
                <w:szCs w:val="24"/>
              </w:rPr>
            </w:pPr>
            <w:r w:rsidRPr="00CF747A">
              <w:rPr>
                <w:szCs w:val="20"/>
              </w:rPr>
              <w:t>0,110</w:t>
            </w:r>
          </w:p>
        </w:tc>
        <w:tc>
          <w:tcPr>
            <w:tcW w:w="1357" w:type="dxa"/>
          </w:tcPr>
          <w:p w14:paraId="46809331" w14:textId="12C574CC" w:rsidR="00CF747A" w:rsidRPr="00CF747A" w:rsidRDefault="00CF747A" w:rsidP="00CF747A">
            <w:pPr>
              <w:spacing w:line="240" w:lineRule="auto"/>
              <w:rPr>
                <w:rFonts w:ascii="Times New Roman" w:eastAsia="Times New Roman" w:hAnsi="Times New Roman" w:cs="Times New Roman"/>
                <w:szCs w:val="24"/>
              </w:rPr>
            </w:pPr>
            <w:r w:rsidRPr="00CF747A">
              <w:rPr>
                <w:szCs w:val="20"/>
              </w:rPr>
              <w:t>0,079</w:t>
            </w:r>
          </w:p>
        </w:tc>
      </w:tr>
      <w:tr w:rsidR="00CF747A" w14:paraId="3E24C87E" w14:textId="77777777" w:rsidTr="00CF747A">
        <w:tc>
          <w:tcPr>
            <w:tcW w:w="2235" w:type="dxa"/>
          </w:tcPr>
          <w:p w14:paraId="6424C9CB" w14:textId="3C1E640A"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Олодатерол 5 микрограма</w:t>
            </w:r>
          </w:p>
        </w:tc>
        <w:tc>
          <w:tcPr>
            <w:tcW w:w="992" w:type="dxa"/>
          </w:tcPr>
          <w:p w14:paraId="725E5A3E" w14:textId="74F0BABB" w:rsidR="00CF747A" w:rsidRPr="00CF747A" w:rsidRDefault="00CF747A" w:rsidP="00CF747A">
            <w:pPr>
              <w:spacing w:line="240" w:lineRule="auto"/>
              <w:rPr>
                <w:rFonts w:ascii="Times New Roman" w:eastAsia="Times New Roman" w:hAnsi="Times New Roman" w:cs="Times New Roman"/>
                <w:szCs w:val="24"/>
              </w:rPr>
            </w:pPr>
            <w:r w:rsidRPr="00CF747A">
              <w:rPr>
                <w:szCs w:val="20"/>
              </w:rPr>
              <w:t>138</w:t>
            </w:r>
          </w:p>
        </w:tc>
        <w:tc>
          <w:tcPr>
            <w:tcW w:w="1417" w:type="dxa"/>
          </w:tcPr>
          <w:p w14:paraId="28B8F323" w14:textId="523895BD" w:rsidR="00CF747A" w:rsidRPr="00CF747A" w:rsidRDefault="00CF747A" w:rsidP="00CF747A">
            <w:pPr>
              <w:spacing w:line="240" w:lineRule="auto"/>
              <w:rPr>
                <w:rFonts w:ascii="Times New Roman" w:eastAsia="Times New Roman" w:hAnsi="Times New Roman" w:cs="Times New Roman"/>
                <w:szCs w:val="24"/>
              </w:rPr>
            </w:pPr>
            <w:r w:rsidRPr="00CF747A">
              <w:rPr>
                <w:szCs w:val="20"/>
              </w:rPr>
              <w:t>0,109</w:t>
            </w:r>
          </w:p>
        </w:tc>
        <w:tc>
          <w:tcPr>
            <w:tcW w:w="885" w:type="dxa"/>
          </w:tcPr>
          <w:p w14:paraId="5A544DDF" w14:textId="5FD54C99" w:rsidR="00CF747A" w:rsidRPr="00CF747A" w:rsidRDefault="00CF747A" w:rsidP="00CF747A">
            <w:pPr>
              <w:spacing w:line="240" w:lineRule="auto"/>
              <w:rPr>
                <w:rFonts w:ascii="Times New Roman" w:eastAsia="Times New Roman" w:hAnsi="Times New Roman" w:cs="Times New Roman"/>
                <w:szCs w:val="24"/>
              </w:rPr>
            </w:pPr>
            <w:r w:rsidRPr="00CF747A">
              <w:rPr>
                <w:szCs w:val="20"/>
              </w:rPr>
              <w:t>136</w:t>
            </w:r>
          </w:p>
        </w:tc>
        <w:tc>
          <w:tcPr>
            <w:tcW w:w="1342" w:type="dxa"/>
          </w:tcPr>
          <w:p w14:paraId="6F3C3AC7" w14:textId="14E87ABA" w:rsidR="00CF747A" w:rsidRPr="00CF747A" w:rsidRDefault="00CF747A" w:rsidP="00CF747A">
            <w:pPr>
              <w:spacing w:line="240" w:lineRule="auto"/>
              <w:rPr>
                <w:rFonts w:ascii="Times New Roman" w:eastAsia="Times New Roman" w:hAnsi="Times New Roman" w:cs="Times New Roman"/>
                <w:szCs w:val="24"/>
              </w:rPr>
            </w:pPr>
            <w:r w:rsidRPr="00CF747A">
              <w:rPr>
                <w:szCs w:val="20"/>
              </w:rPr>
              <w:t>0,126</w:t>
            </w:r>
          </w:p>
        </w:tc>
        <w:tc>
          <w:tcPr>
            <w:tcW w:w="1348" w:type="dxa"/>
          </w:tcPr>
          <w:p w14:paraId="74A7CB2B" w14:textId="35B8EFB0" w:rsidR="00CF747A" w:rsidRPr="00CF747A" w:rsidRDefault="00CF747A" w:rsidP="00CF747A">
            <w:pPr>
              <w:spacing w:line="240" w:lineRule="auto"/>
              <w:rPr>
                <w:rFonts w:ascii="Times New Roman" w:eastAsia="Times New Roman" w:hAnsi="Times New Roman" w:cs="Times New Roman"/>
                <w:szCs w:val="24"/>
              </w:rPr>
            </w:pPr>
            <w:r w:rsidRPr="00CF747A">
              <w:rPr>
                <w:szCs w:val="20"/>
              </w:rPr>
              <w:t>0,115</w:t>
            </w:r>
          </w:p>
        </w:tc>
        <w:tc>
          <w:tcPr>
            <w:tcW w:w="1357" w:type="dxa"/>
          </w:tcPr>
          <w:p w14:paraId="642A1998" w14:textId="12CFFCAC" w:rsidR="00CF747A" w:rsidRPr="00CF747A" w:rsidRDefault="00CF747A" w:rsidP="00CF747A">
            <w:pPr>
              <w:spacing w:line="240" w:lineRule="auto"/>
              <w:rPr>
                <w:rFonts w:ascii="Times New Roman" w:eastAsia="Times New Roman" w:hAnsi="Times New Roman" w:cs="Times New Roman"/>
                <w:szCs w:val="24"/>
              </w:rPr>
            </w:pPr>
            <w:r w:rsidRPr="00CF747A">
              <w:rPr>
                <w:szCs w:val="20"/>
              </w:rPr>
              <w:t>0,092</w:t>
            </w:r>
          </w:p>
        </w:tc>
      </w:tr>
      <w:tr w:rsidR="00CF747A" w14:paraId="023C9E00" w14:textId="77777777" w:rsidTr="00CF747A">
        <w:tc>
          <w:tcPr>
            <w:tcW w:w="2235" w:type="dxa"/>
          </w:tcPr>
          <w:p w14:paraId="242C4F4F" w14:textId="501CFBC5" w:rsidR="00CF747A" w:rsidRPr="00CF747A" w:rsidRDefault="00CF747A" w:rsidP="00CF747A">
            <w:pPr>
              <w:spacing w:line="240" w:lineRule="auto"/>
              <w:rPr>
                <w:rFonts w:ascii="Times New Roman" w:eastAsia="Times New Roman" w:hAnsi="Times New Roman" w:cs="Times New Roman"/>
                <w:szCs w:val="24"/>
              </w:rPr>
            </w:pPr>
            <w:r w:rsidRPr="00CF747A">
              <w:rPr>
                <w:b/>
                <w:bCs/>
                <w:szCs w:val="20"/>
              </w:rPr>
              <w:t>Плацебо</w:t>
            </w:r>
          </w:p>
        </w:tc>
        <w:tc>
          <w:tcPr>
            <w:tcW w:w="992" w:type="dxa"/>
          </w:tcPr>
          <w:p w14:paraId="52EB52C1" w14:textId="02F391A2" w:rsidR="00CF747A" w:rsidRPr="00CF747A" w:rsidRDefault="00CF747A" w:rsidP="00CF747A">
            <w:pPr>
              <w:spacing w:line="240" w:lineRule="auto"/>
              <w:rPr>
                <w:rFonts w:ascii="Times New Roman" w:eastAsia="Times New Roman" w:hAnsi="Times New Roman" w:cs="Times New Roman"/>
                <w:szCs w:val="24"/>
              </w:rPr>
            </w:pPr>
            <w:r w:rsidRPr="00CF747A">
              <w:rPr>
                <w:szCs w:val="20"/>
              </w:rPr>
              <w:t>135</w:t>
            </w:r>
          </w:p>
        </w:tc>
        <w:tc>
          <w:tcPr>
            <w:tcW w:w="1417" w:type="dxa"/>
          </w:tcPr>
          <w:p w14:paraId="28D293C6" w14:textId="552697E4" w:rsidR="00CF747A" w:rsidRPr="00CF747A" w:rsidRDefault="00CF747A" w:rsidP="00CF747A">
            <w:pPr>
              <w:spacing w:line="240" w:lineRule="auto"/>
              <w:rPr>
                <w:rFonts w:ascii="Times New Roman" w:eastAsia="Times New Roman" w:hAnsi="Times New Roman" w:cs="Times New Roman"/>
                <w:szCs w:val="24"/>
              </w:rPr>
            </w:pPr>
            <w:r w:rsidRPr="00CF747A">
              <w:rPr>
                <w:szCs w:val="20"/>
              </w:rPr>
              <w:t>0,325</w:t>
            </w:r>
          </w:p>
        </w:tc>
        <w:tc>
          <w:tcPr>
            <w:tcW w:w="885" w:type="dxa"/>
          </w:tcPr>
          <w:p w14:paraId="317BEEB8" w14:textId="449DEDD5" w:rsidR="00CF747A" w:rsidRPr="00CF747A" w:rsidRDefault="00CF747A" w:rsidP="00CF747A">
            <w:pPr>
              <w:spacing w:line="240" w:lineRule="auto"/>
              <w:rPr>
                <w:rFonts w:ascii="Times New Roman" w:eastAsia="Times New Roman" w:hAnsi="Times New Roman" w:cs="Times New Roman"/>
                <w:szCs w:val="24"/>
              </w:rPr>
            </w:pPr>
            <w:r w:rsidRPr="00CF747A">
              <w:rPr>
                <w:szCs w:val="20"/>
              </w:rPr>
              <w:t>132</w:t>
            </w:r>
          </w:p>
        </w:tc>
        <w:tc>
          <w:tcPr>
            <w:tcW w:w="1342" w:type="dxa"/>
          </w:tcPr>
          <w:p w14:paraId="7A81CFDF" w14:textId="79B9D35A" w:rsidR="00CF747A" w:rsidRPr="00CF747A" w:rsidRDefault="00CF747A" w:rsidP="00CF747A">
            <w:pPr>
              <w:spacing w:line="240" w:lineRule="auto"/>
              <w:rPr>
                <w:rFonts w:ascii="Times New Roman" w:eastAsia="Times New Roman" w:hAnsi="Times New Roman" w:cs="Times New Roman"/>
                <w:szCs w:val="24"/>
              </w:rPr>
            </w:pPr>
            <w:r w:rsidRPr="00CF747A">
              <w:rPr>
                <w:szCs w:val="20"/>
              </w:rPr>
              <w:t>0,319</w:t>
            </w:r>
          </w:p>
        </w:tc>
        <w:tc>
          <w:tcPr>
            <w:tcW w:w="1348" w:type="dxa"/>
          </w:tcPr>
          <w:p w14:paraId="6110A5B5" w14:textId="68EE0EC4" w:rsidR="00CF747A" w:rsidRPr="00CF747A" w:rsidRDefault="00CF747A" w:rsidP="00CF747A">
            <w:pPr>
              <w:spacing w:line="240" w:lineRule="auto"/>
              <w:rPr>
                <w:rFonts w:ascii="Times New Roman" w:eastAsia="Times New Roman" w:hAnsi="Times New Roman" w:cs="Times New Roman"/>
                <w:szCs w:val="24"/>
              </w:rPr>
            </w:pPr>
            <w:r w:rsidRPr="00CF747A">
              <w:rPr>
                <w:szCs w:val="20"/>
              </w:rPr>
              <w:t>0,280</w:t>
            </w:r>
          </w:p>
        </w:tc>
        <w:tc>
          <w:tcPr>
            <w:tcW w:w="1357" w:type="dxa"/>
          </w:tcPr>
          <w:p w14:paraId="56B1E8CB" w14:textId="0FB964C6" w:rsidR="00CF747A" w:rsidRPr="00CF747A" w:rsidRDefault="00CF747A" w:rsidP="00CF747A">
            <w:pPr>
              <w:spacing w:line="240" w:lineRule="auto"/>
              <w:rPr>
                <w:rFonts w:ascii="Times New Roman" w:eastAsia="Times New Roman" w:hAnsi="Times New Roman" w:cs="Times New Roman"/>
                <w:szCs w:val="24"/>
              </w:rPr>
            </w:pPr>
            <w:r w:rsidRPr="00CF747A">
              <w:rPr>
                <w:szCs w:val="20"/>
              </w:rPr>
              <w:t>0,207</w:t>
            </w:r>
          </w:p>
        </w:tc>
      </w:tr>
    </w:tbl>
    <w:p w14:paraId="1BF83BD8" w14:textId="77777777" w:rsidR="00CF747A" w:rsidRPr="00CF747A" w:rsidRDefault="00CF747A" w:rsidP="00CF747A">
      <w:pPr>
        <w:spacing w:line="240" w:lineRule="auto"/>
        <w:rPr>
          <w:rFonts w:eastAsia="Times New Roman" w:cs="Arial"/>
          <w:color w:val="000000"/>
          <w:szCs w:val="20"/>
          <w:lang w:eastAsia="bg-BG"/>
        </w:rPr>
      </w:pPr>
      <w:r w:rsidRPr="00CF747A">
        <w:rPr>
          <w:rFonts w:eastAsia="Times New Roman" w:cs="Arial"/>
          <w:color w:val="000000"/>
          <w:szCs w:val="20"/>
          <w:lang w:eastAsia="bg-BG"/>
        </w:rPr>
        <w:t xml:space="preserve">Изходна стойност преди лечението на ФЕО1 = 1,30 I </w:t>
      </w:r>
    </w:p>
    <w:p w14:paraId="0CEE6B4D" w14:textId="77777777" w:rsidR="00CF747A" w:rsidRPr="00CF747A" w:rsidRDefault="00CF747A" w:rsidP="00CF747A">
      <w:pPr>
        <w:spacing w:line="240" w:lineRule="auto"/>
        <w:rPr>
          <w:rFonts w:eastAsia="Times New Roman" w:cs="Arial"/>
          <w:color w:val="000000"/>
          <w:szCs w:val="20"/>
          <w:lang w:eastAsia="bg-BG"/>
        </w:rPr>
      </w:pPr>
      <w:r w:rsidRPr="00CF747A">
        <w:rPr>
          <w:rFonts w:eastAsia="Times New Roman" w:cs="Arial"/>
          <w:color w:val="000000"/>
          <w:szCs w:val="20"/>
          <w:vertAlign w:val="superscript"/>
          <w:lang w:eastAsia="bg-BG"/>
        </w:rPr>
        <w:t>1</w:t>
      </w:r>
      <w:r w:rsidRPr="00CF747A">
        <w:rPr>
          <w:rFonts w:eastAsia="Times New Roman" w:cs="Arial"/>
          <w:color w:val="000000"/>
          <w:szCs w:val="20"/>
          <w:lang w:eastAsia="bg-BG"/>
        </w:rPr>
        <w:t xml:space="preserve">първична крайна цел </w:t>
      </w:r>
    </w:p>
    <w:p w14:paraId="6DB045DD" w14:textId="1E75168A" w:rsidR="00CF747A" w:rsidRPr="00CF747A" w:rsidRDefault="00CF747A" w:rsidP="00CF747A">
      <w:pPr>
        <w:spacing w:line="240" w:lineRule="auto"/>
        <w:rPr>
          <w:rFonts w:eastAsia="Times New Roman" w:cs="Arial"/>
          <w:color w:val="000000"/>
          <w:szCs w:val="20"/>
          <w:lang w:eastAsia="bg-BG"/>
        </w:rPr>
      </w:pPr>
      <w:r w:rsidRPr="00CF747A">
        <w:rPr>
          <w:rFonts w:eastAsia="Times New Roman" w:cs="Arial"/>
          <w:color w:val="000000"/>
          <w:szCs w:val="20"/>
          <w:lang w:eastAsia="bg-BG"/>
        </w:rPr>
        <w:t xml:space="preserve">р&lt;0,0001 за всички сравнения </w:t>
      </w:r>
    </w:p>
    <w:p w14:paraId="0FC47212" w14:textId="719BD94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val="en-US" w:eastAsia="bg-BG"/>
        </w:rPr>
        <w:t>n</w:t>
      </w:r>
      <w:r w:rsidRPr="00CF747A">
        <w:rPr>
          <w:rFonts w:eastAsia="Times New Roman" w:cs="Arial"/>
          <w:color w:val="000000"/>
          <w:szCs w:val="20"/>
          <w:lang w:eastAsia="bg-BG"/>
        </w:rPr>
        <w:t>= брой пациенти</w:t>
      </w:r>
    </w:p>
    <w:p w14:paraId="028AB9F4" w14:textId="77777777" w:rsidR="00CF747A" w:rsidRPr="00CF747A" w:rsidRDefault="00CF747A" w:rsidP="00CF747A">
      <w:pPr>
        <w:spacing w:line="240" w:lineRule="auto"/>
        <w:rPr>
          <w:rFonts w:eastAsia="Times New Roman" w:cs="Arial"/>
          <w:i/>
          <w:iCs/>
          <w:color w:val="000000"/>
          <w:szCs w:val="20"/>
          <w:u w:val="single"/>
          <w:lang w:eastAsia="bg-BG"/>
        </w:rPr>
      </w:pPr>
    </w:p>
    <w:p w14:paraId="7E58D9D4" w14:textId="16B395E9" w:rsidR="00CF747A" w:rsidRPr="00CF747A" w:rsidRDefault="00CF747A" w:rsidP="00CF747A">
      <w:pPr>
        <w:spacing w:line="240" w:lineRule="auto"/>
        <w:rPr>
          <w:rFonts w:eastAsia="Times New Roman" w:cs="Arial"/>
          <w:sz w:val="28"/>
          <w:szCs w:val="24"/>
        </w:rPr>
      </w:pPr>
      <w:r w:rsidRPr="00CF747A">
        <w:rPr>
          <w:rFonts w:eastAsia="Times New Roman" w:cs="Arial"/>
          <w:i/>
          <w:iCs/>
          <w:color w:val="000000"/>
          <w:szCs w:val="20"/>
          <w:u w:val="single"/>
          <w:lang w:eastAsia="bg-BG"/>
        </w:rPr>
        <w:t>Диспнея</w:t>
      </w:r>
    </w:p>
    <w:p w14:paraId="31A98A2F"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 xml:space="preserve">След 24 седмици (Проучвания 1 и 2) резултатът на фокалната оценка на средния индекс за транзиторна диспнея </w:t>
      </w:r>
      <w:r w:rsidRPr="00CF747A">
        <w:rPr>
          <w:rFonts w:eastAsia="Times New Roman" w:cs="Arial"/>
          <w:color w:val="000000"/>
          <w:szCs w:val="20"/>
          <w:lang w:val="ru-RU"/>
        </w:rPr>
        <w:t>(</w:t>
      </w:r>
      <w:r w:rsidRPr="00CF747A">
        <w:rPr>
          <w:rFonts w:eastAsia="Times New Roman" w:cs="Arial"/>
          <w:color w:val="000000"/>
          <w:szCs w:val="20"/>
          <w:lang w:val="en-US"/>
        </w:rPr>
        <w:t>TDI</w:t>
      </w:r>
      <w:r w:rsidRPr="00CF747A">
        <w:rPr>
          <w:rFonts w:eastAsia="Times New Roman" w:cs="Arial"/>
          <w:color w:val="000000"/>
          <w:szCs w:val="20"/>
          <w:lang w:val="ru-RU"/>
        </w:rPr>
        <w:t xml:space="preserve">) </w:t>
      </w:r>
      <w:r w:rsidRPr="00CF747A">
        <w:rPr>
          <w:rFonts w:eastAsia="Times New Roman" w:cs="Arial"/>
          <w:color w:val="000000"/>
          <w:szCs w:val="20"/>
          <w:lang w:eastAsia="bg-BG"/>
        </w:rPr>
        <w:t>е бил 1,98 единици за Спиолто Респимат със значително подобрение в сравнение с тиотропиум 5 микрограма (средна разлика 0,36, р=0,008) и олодатерол 5 микрограма (средна разлика 0,42, (р=0,002).</w:t>
      </w:r>
    </w:p>
    <w:p w14:paraId="6ED30A19" w14:textId="77777777" w:rsidR="00CF747A" w:rsidRPr="00CF747A" w:rsidRDefault="00CF747A" w:rsidP="00CF747A">
      <w:pPr>
        <w:spacing w:line="240" w:lineRule="auto"/>
        <w:rPr>
          <w:rFonts w:eastAsia="Times New Roman" w:cs="Arial"/>
          <w:color w:val="000000"/>
          <w:szCs w:val="20"/>
          <w:lang w:eastAsia="bg-BG"/>
        </w:rPr>
      </w:pPr>
    </w:p>
    <w:p w14:paraId="502703C4" w14:textId="197D1673"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 xml:space="preserve">Повечето пациенти, лекувани със Спиолто Респимат, са имали значително подобрение в резултата на фокалната оценка на </w:t>
      </w:r>
      <w:r w:rsidRPr="00CF747A">
        <w:rPr>
          <w:rFonts w:eastAsia="Times New Roman" w:cs="Arial"/>
          <w:color w:val="000000"/>
          <w:szCs w:val="20"/>
          <w:lang w:val="en-US"/>
        </w:rPr>
        <w:t>TDI</w:t>
      </w:r>
      <w:r w:rsidRPr="00CF747A">
        <w:rPr>
          <w:rFonts w:eastAsia="Times New Roman" w:cs="Arial"/>
          <w:color w:val="000000"/>
          <w:szCs w:val="20"/>
          <w:lang w:val="ru-RU"/>
        </w:rPr>
        <w:t xml:space="preserve"> (</w:t>
      </w:r>
      <w:r w:rsidRPr="00CF747A">
        <w:rPr>
          <w:rFonts w:eastAsia="Times New Roman" w:cs="Arial"/>
          <w:color w:val="000000"/>
          <w:szCs w:val="20"/>
          <w:lang w:val="en-US"/>
        </w:rPr>
        <w:t>MCID</w:t>
      </w:r>
      <w:r w:rsidRPr="00CF747A">
        <w:rPr>
          <w:rFonts w:eastAsia="Times New Roman" w:cs="Arial"/>
          <w:color w:val="000000"/>
          <w:szCs w:val="20"/>
          <w:lang w:val="ru-RU"/>
        </w:rPr>
        <w:t xml:space="preserve">, </w:t>
      </w:r>
      <w:r w:rsidRPr="00CF747A">
        <w:rPr>
          <w:rFonts w:eastAsia="Times New Roman" w:cs="Arial"/>
          <w:color w:val="000000"/>
          <w:szCs w:val="20"/>
          <w:lang w:eastAsia="bg-BG"/>
        </w:rPr>
        <w:t>определен като стойност от поне 1 единица) в сравнение с тиотропиум 5 микрограма (54,9% спрямо 50,6%, р=0,0546) и олодатерол 5 микрограма (54,9% спрямо 48,2%, р=0,0026).</w:t>
      </w:r>
    </w:p>
    <w:p w14:paraId="1A99CDE9" w14:textId="77777777" w:rsidR="00CF747A" w:rsidRPr="00CF747A" w:rsidRDefault="00CF747A" w:rsidP="00CF747A">
      <w:pPr>
        <w:spacing w:line="240" w:lineRule="auto"/>
        <w:rPr>
          <w:rFonts w:eastAsia="Times New Roman" w:cs="Arial"/>
          <w:i/>
          <w:iCs/>
          <w:color w:val="000000"/>
          <w:szCs w:val="20"/>
          <w:u w:val="single"/>
          <w:lang w:eastAsia="bg-BG"/>
        </w:rPr>
      </w:pPr>
    </w:p>
    <w:p w14:paraId="03C8561E" w14:textId="02EB5EA0" w:rsidR="00CF747A" w:rsidRPr="00CF747A" w:rsidRDefault="00CF747A" w:rsidP="00CF747A">
      <w:pPr>
        <w:spacing w:line="240" w:lineRule="auto"/>
        <w:rPr>
          <w:rFonts w:eastAsia="Times New Roman" w:cs="Arial"/>
          <w:sz w:val="28"/>
          <w:szCs w:val="24"/>
        </w:rPr>
      </w:pPr>
      <w:r w:rsidRPr="00CF747A">
        <w:rPr>
          <w:rFonts w:eastAsia="Times New Roman" w:cs="Arial"/>
          <w:i/>
          <w:iCs/>
          <w:color w:val="000000"/>
          <w:szCs w:val="20"/>
          <w:u w:val="single"/>
          <w:lang w:eastAsia="bg-BG"/>
        </w:rPr>
        <w:t>Употреба на животоспасяващи лекарства</w:t>
      </w:r>
    </w:p>
    <w:p w14:paraId="379C5D32"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Пациентите, лекувани със Спиолто Респимат, са използвали по-рядко през деня и нощта салбутамол като спешно лечение в сравнение с пациентите, лекувани с тиотропиум 5 микрограма и олодатерол 5 микрограма (средната употреба като спешно лечение през деня при Спиолто Респимат е била 0,76 случая на ден в сравнение с 0,97 случая на ден при тиотропиум 5 микрограма и 0,87 случая на ден при олодатерол 5 микрограма, р&lt;0,0001; средната употреба като спешно лечение през нощта при Спиолто Респимат е била 1,24 случая на ден в сравнение с 1,69 случая на ден за тиотропиум 5 микрограма и 1,52 случая на ден за олодатерол 5 микрограма, р&lt;0,0001, Проучвания 1 и 2).</w:t>
      </w:r>
    </w:p>
    <w:p w14:paraId="32FE11E4" w14:textId="77777777" w:rsidR="00CF747A" w:rsidRPr="00CF747A" w:rsidRDefault="00CF747A" w:rsidP="00CF747A">
      <w:pPr>
        <w:spacing w:line="240" w:lineRule="auto"/>
        <w:rPr>
          <w:rFonts w:eastAsia="Times New Roman" w:cs="Arial"/>
          <w:i/>
          <w:iCs/>
          <w:color w:val="000000"/>
          <w:szCs w:val="20"/>
          <w:u w:val="single"/>
          <w:lang w:eastAsia="bg-BG"/>
        </w:rPr>
      </w:pPr>
    </w:p>
    <w:p w14:paraId="04B005A9" w14:textId="3137567F" w:rsidR="00CF747A" w:rsidRPr="00CF747A" w:rsidRDefault="00CF747A" w:rsidP="00CF747A">
      <w:pPr>
        <w:spacing w:line="240" w:lineRule="auto"/>
        <w:rPr>
          <w:rFonts w:eastAsia="Times New Roman" w:cs="Arial"/>
          <w:sz w:val="28"/>
          <w:szCs w:val="24"/>
        </w:rPr>
      </w:pPr>
      <w:r w:rsidRPr="00CF747A">
        <w:rPr>
          <w:rFonts w:eastAsia="Times New Roman" w:cs="Arial"/>
          <w:i/>
          <w:iCs/>
          <w:color w:val="000000"/>
          <w:szCs w:val="20"/>
          <w:u w:val="single"/>
          <w:lang w:eastAsia="bg-BG"/>
        </w:rPr>
        <w:t>Обща оценка на пациентите</w:t>
      </w:r>
    </w:p>
    <w:p w14:paraId="6FD5C43D"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 xml:space="preserve">Пациентите, лекувани със Спиолто Респимат, постигат по-добро подобрение на респираторното състояние в сравнение с тиотропиум 5 микрограма и олодатерол 5 микрограма, което е измерено чрез скалата за Обща оценка на пациентите </w:t>
      </w:r>
      <w:r w:rsidRPr="00CF747A">
        <w:rPr>
          <w:rFonts w:eastAsia="Times New Roman" w:cs="Arial"/>
          <w:color w:val="000000"/>
          <w:szCs w:val="20"/>
          <w:lang w:val="ru-RU"/>
        </w:rPr>
        <w:t>(</w:t>
      </w:r>
      <w:r w:rsidRPr="00CF747A">
        <w:rPr>
          <w:rFonts w:eastAsia="Times New Roman" w:cs="Arial"/>
          <w:color w:val="000000"/>
          <w:szCs w:val="20"/>
          <w:lang w:val="en-US"/>
        </w:rPr>
        <w:t>PGR</w:t>
      </w:r>
      <w:r w:rsidRPr="00CF747A">
        <w:rPr>
          <w:rFonts w:eastAsia="Times New Roman" w:cs="Arial"/>
          <w:color w:val="000000"/>
          <w:szCs w:val="20"/>
          <w:lang w:val="ru-RU"/>
        </w:rPr>
        <w:t xml:space="preserve">) </w:t>
      </w:r>
      <w:r w:rsidRPr="00CF747A">
        <w:rPr>
          <w:rFonts w:eastAsia="Times New Roman" w:cs="Arial"/>
          <w:color w:val="000000"/>
          <w:szCs w:val="20"/>
          <w:lang w:eastAsia="bg-BG"/>
        </w:rPr>
        <w:t>(Проучвания 1 и 2).</w:t>
      </w:r>
    </w:p>
    <w:p w14:paraId="3EC776B8" w14:textId="77777777" w:rsidR="00CF747A" w:rsidRPr="00CF747A" w:rsidRDefault="00CF747A" w:rsidP="00CF747A">
      <w:pPr>
        <w:spacing w:line="240" w:lineRule="auto"/>
        <w:rPr>
          <w:rFonts w:eastAsia="Times New Roman" w:cs="Arial"/>
          <w:i/>
          <w:iCs/>
          <w:color w:val="000000"/>
          <w:szCs w:val="20"/>
          <w:u w:val="single"/>
          <w:lang w:eastAsia="bg-BG"/>
        </w:rPr>
      </w:pPr>
    </w:p>
    <w:p w14:paraId="76D63990" w14:textId="580123CE" w:rsidR="00CF747A" w:rsidRPr="00CF747A" w:rsidRDefault="00CF747A" w:rsidP="00CF747A">
      <w:pPr>
        <w:spacing w:line="240" w:lineRule="auto"/>
        <w:rPr>
          <w:rFonts w:eastAsia="Times New Roman" w:cs="Arial"/>
          <w:sz w:val="28"/>
          <w:szCs w:val="24"/>
        </w:rPr>
      </w:pPr>
      <w:r w:rsidRPr="00CF747A">
        <w:rPr>
          <w:rFonts w:eastAsia="Times New Roman" w:cs="Arial"/>
          <w:i/>
          <w:iCs/>
          <w:color w:val="000000"/>
          <w:szCs w:val="20"/>
          <w:u w:val="single"/>
          <w:lang w:eastAsia="bg-BG"/>
        </w:rPr>
        <w:t>Екзаиербаиии</w:t>
      </w:r>
    </w:p>
    <w:p w14:paraId="495B0E7C" w14:textId="0522455E" w:rsidR="00CF747A" w:rsidRPr="00CF747A" w:rsidRDefault="00CF747A" w:rsidP="00CF747A">
      <w:pPr>
        <w:spacing w:line="240" w:lineRule="auto"/>
        <w:rPr>
          <w:rFonts w:eastAsia="Times New Roman" w:cs="Arial"/>
          <w:color w:val="000000"/>
          <w:szCs w:val="20"/>
          <w:lang w:eastAsia="bg-BG"/>
        </w:rPr>
      </w:pPr>
      <w:r w:rsidRPr="00CF747A">
        <w:rPr>
          <w:rFonts w:eastAsia="Times New Roman" w:cs="Arial"/>
          <w:color w:val="000000"/>
          <w:szCs w:val="20"/>
          <w:lang w:eastAsia="bg-BG"/>
        </w:rPr>
        <w:t>Тиотропиум 5 микрограма преди е показал задоволително значимо понижение на риска от екзацербация на ХОББ спрямо плацебо. Екзацербациите при ХОББ са включени като</w:t>
      </w:r>
      <w:r w:rsidRPr="00CF747A">
        <w:rPr>
          <w:rFonts w:eastAsia="Times New Roman" w:cs="Arial"/>
          <w:color w:val="000000"/>
          <w:szCs w:val="20"/>
          <w:vertAlign w:val="superscript"/>
          <w:lang w:eastAsia="bg-BG"/>
        </w:rPr>
        <w:t xml:space="preserve"> </w:t>
      </w:r>
      <w:r w:rsidRPr="00CF747A">
        <w:rPr>
          <w:rFonts w:eastAsia="Times New Roman" w:cs="Arial"/>
          <w:color w:val="000000"/>
          <w:szCs w:val="20"/>
          <w:lang w:eastAsia="bg-BG"/>
        </w:rPr>
        <w:t>допълнителна крайна цел в 52-седмичните първоначални проучвания (Проучвания 1 и 2). В комбинираните данни процентът на пациентите, получили поне една средно тежка тежка/тежка екзацербация при ХОББ е бил 27,7% за Спиолто Респимат и 28,8% за тиотропум 5 микрограма (р=0,39). Тези проучвания не са били специално предназначени да оценят ефекта на лечението върху екзацербациите при ХОББ.</w:t>
      </w:r>
    </w:p>
    <w:p w14:paraId="0ECBD66E" w14:textId="3CEE050A" w:rsidR="00CF747A" w:rsidRPr="00CF747A" w:rsidRDefault="00CF747A" w:rsidP="00CF747A">
      <w:pPr>
        <w:spacing w:line="240" w:lineRule="auto"/>
        <w:rPr>
          <w:rFonts w:eastAsia="Times New Roman" w:cs="Arial"/>
          <w:color w:val="000000"/>
          <w:szCs w:val="20"/>
          <w:lang w:eastAsia="bg-BG"/>
        </w:rPr>
      </w:pPr>
    </w:p>
    <w:p w14:paraId="2BB2C0E8"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В едногодишно, рандомизирано, двойно-сляпо, активно контролирано, паралелно групово клинично проучване (Проучване 9) Спиолто Респимат е сравнен с тиотропиум 5 микрограма за екзацербации при ХОББ. Всички респираторни лекарствени средства, с изключение на антихолинергични средства, продължително действащи бета агонисти и тяхната комбинация, са били позволени по време на лечението, т.е. бързодействащи бета агонисти, инхалаторни кортикостероиди и ксантини. Първичната крайна точка е била годишната честота на средно тежките и тежки екзацербаии на ХОББ (3 939 пациенти получават Спиолто Респимат и 3 941 пациенти, получават тиотропиум 5 микрограма).</w:t>
      </w:r>
    </w:p>
    <w:p w14:paraId="59014968" w14:textId="77777777" w:rsidR="00CF747A" w:rsidRPr="00CF747A" w:rsidRDefault="00CF747A" w:rsidP="00CF747A">
      <w:pPr>
        <w:spacing w:line="240" w:lineRule="auto"/>
        <w:rPr>
          <w:rFonts w:eastAsia="Times New Roman" w:cs="Arial"/>
          <w:color w:val="000000"/>
          <w:szCs w:val="20"/>
          <w:lang w:eastAsia="bg-BG"/>
        </w:rPr>
      </w:pPr>
    </w:p>
    <w:p w14:paraId="039F59C7" w14:textId="3A43E051"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Голяма част от пациентите са били мъже (71,4%) от европеидната (79,3%) раса. Средната възраст е била 66,4 години, като средният пост-бронходилататорен ФЕО</w:t>
      </w:r>
      <w:r w:rsidRPr="00CF747A">
        <w:rPr>
          <w:rFonts w:eastAsia="Times New Roman" w:cs="Arial"/>
          <w:color w:val="000000"/>
          <w:szCs w:val="20"/>
          <w:vertAlign w:val="subscript"/>
          <w:lang w:eastAsia="bg-BG"/>
        </w:rPr>
        <w:t>1</w:t>
      </w:r>
      <w:r w:rsidRPr="00CF747A">
        <w:rPr>
          <w:rFonts w:eastAsia="Times New Roman" w:cs="Arial"/>
          <w:color w:val="000000"/>
          <w:szCs w:val="20"/>
          <w:lang w:eastAsia="bg-BG"/>
        </w:rPr>
        <w:t xml:space="preserve"> е бил 1,1871 </w:t>
      </w:r>
      <w:r w:rsidRPr="00CF747A">
        <w:rPr>
          <w:rFonts w:eastAsia="Times New Roman" w:cs="Arial"/>
          <w:color w:val="000000"/>
          <w:szCs w:val="20"/>
          <w:lang w:val="ru-RU"/>
        </w:rPr>
        <w:t>(</w:t>
      </w:r>
      <w:r w:rsidRPr="00CF747A">
        <w:rPr>
          <w:rFonts w:eastAsia="Times New Roman" w:cs="Arial"/>
          <w:color w:val="000000"/>
          <w:szCs w:val="20"/>
          <w:lang w:val="en-US"/>
        </w:rPr>
        <w:t>SD</w:t>
      </w:r>
      <w:r w:rsidRPr="00CF747A">
        <w:rPr>
          <w:rFonts w:eastAsia="Times New Roman" w:cs="Arial"/>
          <w:color w:val="000000"/>
          <w:szCs w:val="20"/>
          <w:lang w:val="ru-RU"/>
        </w:rPr>
        <w:t xml:space="preserve"> </w:t>
      </w:r>
      <w:r w:rsidRPr="00CF747A">
        <w:rPr>
          <w:rFonts w:eastAsia="Times New Roman" w:cs="Arial"/>
          <w:color w:val="000000"/>
          <w:szCs w:val="20"/>
          <w:lang w:eastAsia="bg-BG"/>
        </w:rPr>
        <w:t>0,381), а 29,4% от пациентите са били с анамнеза за клинично значимо сърдечно-съдово заболяване.</w:t>
      </w:r>
    </w:p>
    <w:p w14:paraId="7C9A5E3C" w14:textId="77777777" w:rsidR="00CF747A" w:rsidRPr="00CF747A" w:rsidRDefault="00CF747A" w:rsidP="00CF747A">
      <w:pPr>
        <w:spacing w:line="240" w:lineRule="auto"/>
        <w:rPr>
          <w:rFonts w:eastAsia="Times New Roman" w:cs="Arial"/>
          <w:color w:val="000000"/>
          <w:szCs w:val="20"/>
          <w:lang w:eastAsia="bg-BG"/>
        </w:rPr>
      </w:pPr>
    </w:p>
    <w:p w14:paraId="1343E470" w14:textId="216A0DA6"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Средно тежките и тежки екзацербации на ХОББ са определени като „комплекс от събития/симптоми, засягащи долните дихателни пътища (увеличени или новопоявили се), свързани с подлежащата ХОББ, с продължителност три или повече дни, налагащи лечение с антибиотици и/или системни кортикостероиди и/или хоспитализация”.</w:t>
      </w:r>
    </w:p>
    <w:p w14:paraId="24F8DE82" w14:textId="77777777" w:rsidR="00CF747A" w:rsidRPr="00CF747A" w:rsidRDefault="00CF747A" w:rsidP="00CF747A">
      <w:pPr>
        <w:spacing w:line="240" w:lineRule="auto"/>
        <w:rPr>
          <w:rFonts w:eastAsia="Times New Roman" w:cs="Arial"/>
          <w:color w:val="000000"/>
          <w:szCs w:val="20"/>
          <w:lang w:eastAsia="bg-BG"/>
        </w:rPr>
      </w:pPr>
    </w:p>
    <w:p w14:paraId="2E9F588E" w14:textId="491E2832"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 xml:space="preserve">Лечението със Спиолто Респимат е довело до 7% понижаване на годишната честота на средно тежките и тежки екзацербации на ХОББ спрямо тиотропиум 5 микрограма (процент честота </w:t>
      </w:r>
      <w:r w:rsidRPr="00CF747A">
        <w:rPr>
          <w:rFonts w:eastAsia="Times New Roman" w:cs="Arial"/>
          <w:color w:val="000000"/>
          <w:szCs w:val="20"/>
          <w:lang w:val="ru-RU"/>
        </w:rPr>
        <w:t>(</w:t>
      </w:r>
      <w:r w:rsidRPr="00CF747A">
        <w:rPr>
          <w:rFonts w:eastAsia="Times New Roman" w:cs="Arial"/>
          <w:color w:val="000000"/>
          <w:szCs w:val="20"/>
          <w:lang w:val="en-US"/>
        </w:rPr>
        <w:t>RR</w:t>
      </w:r>
      <w:r w:rsidRPr="00CF747A">
        <w:rPr>
          <w:rFonts w:eastAsia="Times New Roman" w:cs="Arial"/>
          <w:color w:val="000000"/>
          <w:szCs w:val="20"/>
          <w:lang w:val="ru-RU"/>
        </w:rPr>
        <w:t xml:space="preserve">) </w:t>
      </w:r>
      <w:r w:rsidRPr="00CF747A">
        <w:rPr>
          <w:rFonts w:eastAsia="Times New Roman" w:cs="Arial"/>
          <w:color w:val="000000"/>
          <w:szCs w:val="20"/>
          <w:lang w:eastAsia="bg-BG"/>
        </w:rPr>
        <w:t>0,96,99% доверителен интервал (ДИ), 0,85-1,02, р=0,0498). Проучването не е достигнало предварително определеното ниво на значимост р&lt;0,01.</w:t>
      </w:r>
    </w:p>
    <w:p w14:paraId="22DBE4D9" w14:textId="77777777" w:rsidR="00CF747A" w:rsidRPr="00CF747A" w:rsidRDefault="00CF747A" w:rsidP="00CF747A">
      <w:pPr>
        <w:spacing w:line="240" w:lineRule="auto"/>
        <w:rPr>
          <w:rFonts w:eastAsia="Times New Roman" w:cs="Arial"/>
          <w:i/>
          <w:iCs/>
          <w:color w:val="000000"/>
          <w:szCs w:val="20"/>
          <w:lang w:eastAsia="bg-BG"/>
        </w:rPr>
      </w:pPr>
    </w:p>
    <w:p w14:paraId="32151E72" w14:textId="7A7CDA9E" w:rsidR="00CF747A" w:rsidRPr="00CF747A" w:rsidRDefault="00CF747A" w:rsidP="00CF747A">
      <w:pPr>
        <w:spacing w:line="240" w:lineRule="auto"/>
        <w:rPr>
          <w:rFonts w:eastAsia="Times New Roman" w:cs="Arial"/>
          <w:sz w:val="28"/>
          <w:szCs w:val="24"/>
        </w:rPr>
      </w:pPr>
      <w:r w:rsidRPr="00CF747A">
        <w:rPr>
          <w:rFonts w:eastAsia="Times New Roman" w:cs="Arial"/>
          <w:i/>
          <w:iCs/>
          <w:color w:val="000000"/>
          <w:szCs w:val="20"/>
          <w:lang w:eastAsia="bg-BG"/>
        </w:rPr>
        <w:t>Качество на живот, свързано със здравето</w:t>
      </w:r>
    </w:p>
    <w:p w14:paraId="6F3DD39A"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 xml:space="preserve">Спиолто Респимат показва подобряване на свързаното със здравето качество на живот, което се определя чрез намаляване на общия скор на въпросника </w:t>
      </w:r>
      <w:r w:rsidRPr="00CF747A">
        <w:rPr>
          <w:rFonts w:eastAsia="Times New Roman" w:cs="Arial"/>
          <w:color w:val="000000"/>
          <w:szCs w:val="20"/>
          <w:lang w:val="en-US"/>
        </w:rPr>
        <w:t>St</w:t>
      </w:r>
      <w:r w:rsidRPr="00CF747A">
        <w:rPr>
          <w:rFonts w:eastAsia="Times New Roman" w:cs="Arial"/>
          <w:color w:val="000000"/>
          <w:szCs w:val="20"/>
          <w:lang w:val="ru-RU"/>
        </w:rPr>
        <w:t xml:space="preserve">. </w:t>
      </w:r>
      <w:r w:rsidRPr="00CF747A">
        <w:rPr>
          <w:rFonts w:eastAsia="Times New Roman" w:cs="Arial"/>
          <w:color w:val="000000"/>
          <w:szCs w:val="20"/>
          <w:lang w:val="en-US"/>
        </w:rPr>
        <w:t>George</w:t>
      </w:r>
      <w:r w:rsidRPr="00CF747A">
        <w:rPr>
          <w:rFonts w:eastAsia="Times New Roman" w:cs="Arial"/>
          <w:color w:val="000000"/>
          <w:szCs w:val="20"/>
          <w:lang w:val="ru-RU"/>
        </w:rPr>
        <w:t>’</w:t>
      </w:r>
      <w:r w:rsidRPr="00CF747A">
        <w:rPr>
          <w:rFonts w:eastAsia="Times New Roman" w:cs="Arial"/>
          <w:color w:val="000000"/>
          <w:szCs w:val="20"/>
          <w:lang w:val="en-US"/>
        </w:rPr>
        <w:t>s</w:t>
      </w:r>
      <w:r w:rsidRPr="00CF747A">
        <w:rPr>
          <w:rFonts w:eastAsia="Times New Roman" w:cs="Arial"/>
          <w:color w:val="000000"/>
          <w:szCs w:val="20"/>
          <w:lang w:val="ru-RU"/>
        </w:rPr>
        <w:t xml:space="preserve"> </w:t>
      </w:r>
      <w:r w:rsidRPr="00CF747A">
        <w:rPr>
          <w:rFonts w:eastAsia="Times New Roman" w:cs="Arial"/>
          <w:color w:val="000000"/>
          <w:szCs w:val="20"/>
          <w:lang w:val="en-US"/>
        </w:rPr>
        <w:t>Respiratory</w:t>
      </w:r>
      <w:r w:rsidRPr="00CF747A">
        <w:rPr>
          <w:rFonts w:eastAsia="Times New Roman" w:cs="Arial"/>
          <w:color w:val="000000"/>
          <w:szCs w:val="20"/>
          <w:lang w:val="ru-RU"/>
        </w:rPr>
        <w:t xml:space="preserve"> </w:t>
      </w:r>
      <w:r w:rsidRPr="00CF747A">
        <w:rPr>
          <w:rFonts w:eastAsia="Times New Roman" w:cs="Arial"/>
          <w:color w:val="000000"/>
          <w:szCs w:val="20"/>
          <w:lang w:val="en-US"/>
        </w:rPr>
        <w:t>Questionnaire</w:t>
      </w:r>
      <w:r w:rsidRPr="00CF747A">
        <w:rPr>
          <w:rFonts w:eastAsia="Times New Roman" w:cs="Arial"/>
          <w:color w:val="000000"/>
          <w:szCs w:val="20"/>
          <w:lang w:val="ru-RU"/>
        </w:rPr>
        <w:t xml:space="preserve"> (</w:t>
      </w:r>
      <w:r w:rsidRPr="00CF747A">
        <w:rPr>
          <w:rFonts w:eastAsia="Times New Roman" w:cs="Arial"/>
          <w:color w:val="000000"/>
          <w:szCs w:val="20"/>
          <w:lang w:val="en-US"/>
        </w:rPr>
        <w:t>SGRQ</w:t>
      </w:r>
      <w:r w:rsidRPr="00CF747A">
        <w:rPr>
          <w:rFonts w:eastAsia="Times New Roman" w:cs="Arial"/>
          <w:color w:val="000000"/>
          <w:szCs w:val="20"/>
          <w:lang w:val="ru-RU"/>
        </w:rPr>
        <w:t xml:space="preserve">). </w:t>
      </w:r>
      <w:r w:rsidRPr="00CF747A">
        <w:rPr>
          <w:rFonts w:eastAsia="Times New Roman" w:cs="Arial"/>
          <w:color w:val="000000"/>
          <w:szCs w:val="20"/>
          <w:lang w:eastAsia="bg-BG"/>
        </w:rPr>
        <w:t xml:space="preserve">След </w:t>
      </w:r>
      <w:r w:rsidRPr="00CF747A">
        <w:rPr>
          <w:rFonts w:eastAsia="Times New Roman" w:cs="Arial"/>
          <w:color w:val="000000"/>
          <w:szCs w:val="20"/>
          <w:lang w:val="ru-RU"/>
        </w:rPr>
        <w:t xml:space="preserve">24 </w:t>
      </w:r>
      <w:r w:rsidRPr="00CF747A">
        <w:rPr>
          <w:rFonts w:eastAsia="Times New Roman" w:cs="Arial"/>
          <w:color w:val="000000"/>
          <w:szCs w:val="20"/>
          <w:lang w:eastAsia="bg-BG"/>
        </w:rPr>
        <w:t xml:space="preserve">седмици (Проучвания 1 и 2) се наблюдава статистически значимо подобрение в средния общ скор на </w:t>
      </w:r>
      <w:r w:rsidRPr="00CF747A">
        <w:rPr>
          <w:rFonts w:eastAsia="Times New Roman" w:cs="Arial"/>
          <w:color w:val="000000"/>
          <w:szCs w:val="20"/>
          <w:lang w:val="en-US"/>
        </w:rPr>
        <w:t>SGRQ</w:t>
      </w:r>
      <w:r w:rsidRPr="00CF747A">
        <w:rPr>
          <w:rFonts w:eastAsia="Times New Roman" w:cs="Arial"/>
          <w:color w:val="000000"/>
          <w:szCs w:val="20"/>
          <w:lang w:val="ru-RU"/>
        </w:rPr>
        <w:t xml:space="preserve"> </w:t>
      </w:r>
      <w:r w:rsidRPr="00CF747A">
        <w:rPr>
          <w:rFonts w:eastAsia="Times New Roman" w:cs="Arial"/>
          <w:color w:val="000000"/>
          <w:szCs w:val="20"/>
          <w:lang w:eastAsia="bg-BG"/>
        </w:rPr>
        <w:t xml:space="preserve">за Спиолто Респимат спрямо тиотропиум 5 микрограма и олодатерол 5 микрограма (Таблица 3), като подобрения се отчитат във всички области на </w:t>
      </w:r>
      <w:r w:rsidRPr="00CF747A">
        <w:rPr>
          <w:rFonts w:eastAsia="Times New Roman" w:cs="Arial"/>
          <w:color w:val="000000"/>
          <w:szCs w:val="20"/>
          <w:lang w:val="en-US"/>
        </w:rPr>
        <w:t>SGRQ</w:t>
      </w:r>
      <w:r w:rsidRPr="00CF747A">
        <w:rPr>
          <w:rFonts w:eastAsia="Times New Roman" w:cs="Arial"/>
          <w:color w:val="000000"/>
          <w:szCs w:val="20"/>
          <w:lang w:val="ru-RU"/>
        </w:rPr>
        <w:t xml:space="preserve">. </w:t>
      </w:r>
      <w:r w:rsidRPr="00CF747A">
        <w:rPr>
          <w:rFonts w:eastAsia="Times New Roman" w:cs="Arial"/>
          <w:color w:val="000000"/>
          <w:szCs w:val="20"/>
          <w:lang w:eastAsia="bg-BG"/>
        </w:rPr>
        <w:t xml:space="preserve">Повече пациенти, лекувани със Спиолто Респимат, имат клинично значимо подобрение в общия скор на </w:t>
      </w:r>
      <w:r w:rsidRPr="00CF747A">
        <w:rPr>
          <w:rFonts w:eastAsia="Times New Roman" w:cs="Arial"/>
          <w:color w:val="000000"/>
          <w:szCs w:val="20"/>
          <w:lang w:val="en-US"/>
        </w:rPr>
        <w:t>SGRQ</w:t>
      </w:r>
      <w:r w:rsidRPr="00CF747A">
        <w:rPr>
          <w:rFonts w:eastAsia="Times New Roman" w:cs="Arial"/>
          <w:color w:val="000000"/>
          <w:szCs w:val="20"/>
          <w:lang w:val="ru-RU"/>
        </w:rPr>
        <w:t xml:space="preserve"> (</w:t>
      </w:r>
      <w:r w:rsidRPr="00CF747A">
        <w:rPr>
          <w:rFonts w:eastAsia="Times New Roman" w:cs="Arial"/>
          <w:color w:val="000000"/>
          <w:szCs w:val="20"/>
          <w:lang w:val="en-US"/>
        </w:rPr>
        <w:t>MCID</w:t>
      </w:r>
      <w:r w:rsidRPr="00CF747A">
        <w:rPr>
          <w:rFonts w:eastAsia="Times New Roman" w:cs="Arial"/>
          <w:color w:val="000000"/>
          <w:szCs w:val="20"/>
          <w:lang w:val="ru-RU"/>
        </w:rPr>
        <w:t xml:space="preserve"> </w:t>
      </w:r>
      <w:r w:rsidRPr="00CF747A">
        <w:rPr>
          <w:rFonts w:eastAsia="Times New Roman" w:cs="Arial"/>
          <w:color w:val="000000"/>
          <w:szCs w:val="20"/>
          <w:lang w:eastAsia="bg-BG"/>
        </w:rPr>
        <w:t>се дефинира като понижаване в общия скор с поне 4 единици от изходното ниво) спрямо тиотропиум 5 микрограма (57,5% спрямо 48,7%, р=0,0001) и олодатерол 5 микрограма (57,5% спрямо 44,8%, р&lt;0,0001).</w:t>
      </w:r>
    </w:p>
    <w:p w14:paraId="05B5A302" w14:textId="77777777" w:rsidR="00CF747A" w:rsidRPr="00CF747A" w:rsidRDefault="00CF747A" w:rsidP="00CF747A">
      <w:pPr>
        <w:spacing w:line="240" w:lineRule="auto"/>
        <w:rPr>
          <w:rFonts w:eastAsia="Times New Roman" w:cs="Arial"/>
          <w:b/>
          <w:bCs/>
          <w:color w:val="000000"/>
          <w:szCs w:val="20"/>
          <w:lang w:eastAsia="bg-BG"/>
        </w:rPr>
      </w:pPr>
    </w:p>
    <w:p w14:paraId="12442AA0" w14:textId="68E71FA3" w:rsidR="00CF747A" w:rsidRPr="00CF747A" w:rsidRDefault="00CF747A" w:rsidP="00CF747A">
      <w:pPr>
        <w:spacing w:line="240" w:lineRule="auto"/>
        <w:rPr>
          <w:rFonts w:eastAsia="Times New Roman" w:cs="Arial"/>
          <w:sz w:val="28"/>
          <w:szCs w:val="24"/>
        </w:rPr>
      </w:pPr>
      <w:r w:rsidRPr="00CF747A">
        <w:rPr>
          <w:rFonts w:eastAsia="Times New Roman" w:cs="Arial"/>
          <w:b/>
          <w:bCs/>
          <w:color w:val="000000"/>
          <w:szCs w:val="20"/>
          <w:lang w:eastAsia="bg-BG"/>
        </w:rPr>
        <w:t xml:space="preserve">Таблица 3: Общ </w:t>
      </w:r>
      <w:r w:rsidRPr="00CF747A">
        <w:rPr>
          <w:rFonts w:eastAsia="Times New Roman" w:cs="Arial"/>
          <w:b/>
          <w:bCs/>
          <w:color w:val="000000"/>
          <w:szCs w:val="20"/>
          <w:lang w:val="en-US"/>
        </w:rPr>
        <w:t>SGRQ</w:t>
      </w:r>
      <w:r w:rsidRPr="00CF747A">
        <w:rPr>
          <w:rFonts w:eastAsia="Times New Roman" w:cs="Arial"/>
          <w:b/>
          <w:bCs/>
          <w:color w:val="000000"/>
          <w:szCs w:val="20"/>
          <w:lang w:val="ru-RU"/>
        </w:rPr>
        <w:t xml:space="preserve"> </w:t>
      </w:r>
      <w:r w:rsidRPr="00CF747A">
        <w:rPr>
          <w:rFonts w:eastAsia="Times New Roman" w:cs="Arial"/>
          <w:b/>
          <w:bCs/>
          <w:color w:val="000000"/>
          <w:szCs w:val="20"/>
          <w:lang w:eastAsia="bg-BG"/>
        </w:rPr>
        <w:t>резултати след 24-седмично лечение (Проучвания 1 и 2)</w:t>
      </w:r>
    </w:p>
    <w:tbl>
      <w:tblPr>
        <w:tblStyle w:val="TableGrid"/>
        <w:tblW w:w="0" w:type="auto"/>
        <w:tblLook w:val="04A0" w:firstRow="1" w:lastRow="0" w:firstColumn="1" w:lastColumn="0" w:noHBand="0" w:noVBand="1"/>
      </w:tblPr>
      <w:tblGrid>
        <w:gridCol w:w="1869"/>
        <w:gridCol w:w="1893"/>
        <w:gridCol w:w="1831"/>
        <w:gridCol w:w="1881"/>
        <w:gridCol w:w="1876"/>
      </w:tblGrid>
      <w:tr w:rsidR="00CF747A" w14:paraId="701976C1" w14:textId="77777777" w:rsidTr="00CF747A">
        <w:tc>
          <w:tcPr>
            <w:tcW w:w="1915" w:type="dxa"/>
          </w:tcPr>
          <w:p w14:paraId="21EEF4A5" w14:textId="77777777" w:rsidR="00CF747A" w:rsidRPr="00CF747A" w:rsidRDefault="00CF747A" w:rsidP="00CF747A"/>
        </w:tc>
        <w:tc>
          <w:tcPr>
            <w:tcW w:w="1915" w:type="dxa"/>
          </w:tcPr>
          <w:p w14:paraId="672C3130" w14:textId="77777777" w:rsidR="00CF747A" w:rsidRPr="00CF747A" w:rsidRDefault="00CF747A" w:rsidP="00CF747A"/>
        </w:tc>
        <w:tc>
          <w:tcPr>
            <w:tcW w:w="1915" w:type="dxa"/>
            <w:vMerge w:val="restart"/>
          </w:tcPr>
          <w:p w14:paraId="2567E7B7" w14:textId="52968247" w:rsidR="00CF747A" w:rsidRPr="00CF747A" w:rsidRDefault="00CF747A" w:rsidP="00CF747A">
            <w:r w:rsidRPr="00CF747A">
              <w:rPr>
                <w:b/>
                <w:bCs/>
                <w:lang w:val="en-US"/>
              </w:rPr>
              <w:t>n</w:t>
            </w:r>
          </w:p>
        </w:tc>
        <w:tc>
          <w:tcPr>
            <w:tcW w:w="1915" w:type="dxa"/>
            <w:vMerge w:val="restart"/>
          </w:tcPr>
          <w:p w14:paraId="1E3112D3" w14:textId="7310CABC" w:rsidR="00CF747A" w:rsidRPr="00CF747A" w:rsidRDefault="00CF747A" w:rsidP="00CF747A">
            <w:r w:rsidRPr="00CF747A">
              <w:rPr>
                <w:b/>
                <w:bCs/>
              </w:rPr>
              <w:t xml:space="preserve">Лечение Средна </w:t>
            </w:r>
            <w:r w:rsidRPr="00CF747A">
              <w:rPr>
                <w:b/>
                <w:bCs/>
              </w:rPr>
              <w:lastRenderedPageBreak/>
              <w:t>стойност (промяна от изходното ниво)</w:t>
            </w:r>
          </w:p>
        </w:tc>
        <w:tc>
          <w:tcPr>
            <w:tcW w:w="1916" w:type="dxa"/>
          </w:tcPr>
          <w:p w14:paraId="5BABFD18" w14:textId="303F6897" w:rsidR="00CF747A" w:rsidRPr="00CF747A" w:rsidRDefault="00CF747A" w:rsidP="00CF747A">
            <w:r w:rsidRPr="00CF747A">
              <w:rPr>
                <w:b/>
                <w:bCs/>
              </w:rPr>
              <w:lastRenderedPageBreak/>
              <w:t xml:space="preserve">Разлика спрямо </w:t>
            </w:r>
            <w:r w:rsidRPr="00CF747A">
              <w:rPr>
                <w:b/>
                <w:bCs/>
              </w:rPr>
              <w:lastRenderedPageBreak/>
              <w:t>Спиолто Респимат</w:t>
            </w:r>
          </w:p>
        </w:tc>
      </w:tr>
      <w:tr w:rsidR="00CF747A" w14:paraId="4B0978A6" w14:textId="77777777" w:rsidTr="00CF747A">
        <w:tc>
          <w:tcPr>
            <w:tcW w:w="1915" w:type="dxa"/>
          </w:tcPr>
          <w:p w14:paraId="1BEDBFAE" w14:textId="77777777" w:rsidR="00CF747A" w:rsidRPr="00CF747A" w:rsidRDefault="00CF747A" w:rsidP="00CF747A"/>
        </w:tc>
        <w:tc>
          <w:tcPr>
            <w:tcW w:w="1915" w:type="dxa"/>
          </w:tcPr>
          <w:p w14:paraId="0ADF298A" w14:textId="77777777" w:rsidR="00CF747A" w:rsidRPr="00CF747A" w:rsidRDefault="00CF747A" w:rsidP="00CF747A"/>
        </w:tc>
        <w:tc>
          <w:tcPr>
            <w:tcW w:w="1915" w:type="dxa"/>
            <w:vMerge/>
          </w:tcPr>
          <w:p w14:paraId="2E4956DF" w14:textId="77777777" w:rsidR="00CF747A" w:rsidRPr="00CF747A" w:rsidRDefault="00CF747A" w:rsidP="00CF747A"/>
        </w:tc>
        <w:tc>
          <w:tcPr>
            <w:tcW w:w="1915" w:type="dxa"/>
            <w:vMerge/>
          </w:tcPr>
          <w:p w14:paraId="4E966448" w14:textId="77777777" w:rsidR="00CF747A" w:rsidRPr="00CF747A" w:rsidRDefault="00CF747A" w:rsidP="00CF747A"/>
        </w:tc>
        <w:tc>
          <w:tcPr>
            <w:tcW w:w="1916" w:type="dxa"/>
          </w:tcPr>
          <w:p w14:paraId="7A91EBA1" w14:textId="0B9C325D" w:rsidR="00CF747A" w:rsidRPr="00CF747A" w:rsidRDefault="00CF747A" w:rsidP="00CF747A">
            <w:r w:rsidRPr="00CF747A">
              <w:rPr>
                <w:b/>
                <w:bCs/>
              </w:rPr>
              <w:t>Средно (р-стойност)</w:t>
            </w:r>
          </w:p>
        </w:tc>
      </w:tr>
      <w:tr w:rsidR="00CF747A" w14:paraId="1F864EAF" w14:textId="77777777" w:rsidTr="00CF747A">
        <w:tc>
          <w:tcPr>
            <w:tcW w:w="1915" w:type="dxa"/>
          </w:tcPr>
          <w:p w14:paraId="45664734" w14:textId="362E10E8" w:rsidR="00CF747A" w:rsidRPr="00CF747A" w:rsidRDefault="00CF747A" w:rsidP="00CF747A">
            <w:r w:rsidRPr="00CF747A">
              <w:rPr>
                <w:b/>
                <w:bCs/>
              </w:rPr>
              <w:t>Общ резултат</w:t>
            </w:r>
          </w:p>
        </w:tc>
        <w:tc>
          <w:tcPr>
            <w:tcW w:w="1915" w:type="dxa"/>
          </w:tcPr>
          <w:p w14:paraId="7FC679FE" w14:textId="204B75EA" w:rsidR="00CF747A" w:rsidRPr="00CF747A" w:rsidRDefault="00CF747A" w:rsidP="00CF747A">
            <w:r w:rsidRPr="00CF747A">
              <w:rPr>
                <w:b/>
                <w:bCs/>
              </w:rPr>
              <w:t>Изходно ниво</w:t>
            </w:r>
          </w:p>
        </w:tc>
        <w:tc>
          <w:tcPr>
            <w:tcW w:w="1915" w:type="dxa"/>
          </w:tcPr>
          <w:p w14:paraId="7C42F8E2" w14:textId="77777777" w:rsidR="00CF747A" w:rsidRPr="00CF747A" w:rsidRDefault="00CF747A" w:rsidP="00CF747A"/>
        </w:tc>
        <w:tc>
          <w:tcPr>
            <w:tcW w:w="1915" w:type="dxa"/>
          </w:tcPr>
          <w:p w14:paraId="305300CC" w14:textId="09F75F7D" w:rsidR="00CF747A" w:rsidRPr="00CF747A" w:rsidRDefault="00CF747A" w:rsidP="00CF747A">
            <w:r w:rsidRPr="00CF747A">
              <w:t>43,5</w:t>
            </w:r>
          </w:p>
        </w:tc>
        <w:tc>
          <w:tcPr>
            <w:tcW w:w="1916" w:type="dxa"/>
          </w:tcPr>
          <w:p w14:paraId="7B524DF9" w14:textId="77777777" w:rsidR="00CF747A" w:rsidRPr="00CF747A" w:rsidRDefault="00CF747A" w:rsidP="00CF747A"/>
        </w:tc>
      </w:tr>
      <w:tr w:rsidR="00CF747A" w14:paraId="1A69FA52" w14:textId="77777777" w:rsidTr="00CF747A">
        <w:tc>
          <w:tcPr>
            <w:tcW w:w="1915" w:type="dxa"/>
          </w:tcPr>
          <w:p w14:paraId="7E85418C" w14:textId="77777777" w:rsidR="00CF747A" w:rsidRPr="00CF747A" w:rsidRDefault="00CF747A" w:rsidP="00CF747A"/>
        </w:tc>
        <w:tc>
          <w:tcPr>
            <w:tcW w:w="1915" w:type="dxa"/>
          </w:tcPr>
          <w:p w14:paraId="59309DFB" w14:textId="7216EAD7" w:rsidR="00CF747A" w:rsidRPr="00CF747A" w:rsidRDefault="00CF747A" w:rsidP="00CF747A">
            <w:r w:rsidRPr="00CF747A">
              <w:rPr>
                <w:b/>
                <w:bCs/>
              </w:rPr>
              <w:t>Спиолто Респимат</w:t>
            </w:r>
          </w:p>
        </w:tc>
        <w:tc>
          <w:tcPr>
            <w:tcW w:w="1915" w:type="dxa"/>
          </w:tcPr>
          <w:p w14:paraId="3929856B" w14:textId="743C2F4A" w:rsidR="00CF747A" w:rsidRPr="00CF747A" w:rsidRDefault="00CF747A" w:rsidP="00CF747A">
            <w:r w:rsidRPr="00CF747A">
              <w:t>979</w:t>
            </w:r>
          </w:p>
        </w:tc>
        <w:tc>
          <w:tcPr>
            <w:tcW w:w="1915" w:type="dxa"/>
          </w:tcPr>
          <w:p w14:paraId="08F02E8B" w14:textId="43EF2D62" w:rsidR="00CF747A" w:rsidRPr="00CF747A" w:rsidRDefault="00CF747A" w:rsidP="00CF747A">
            <w:r w:rsidRPr="00CF747A">
              <w:t>36,7 (-6,8)</w:t>
            </w:r>
          </w:p>
        </w:tc>
        <w:tc>
          <w:tcPr>
            <w:tcW w:w="1916" w:type="dxa"/>
          </w:tcPr>
          <w:p w14:paraId="013647B7" w14:textId="77777777" w:rsidR="00CF747A" w:rsidRPr="00CF747A" w:rsidRDefault="00CF747A" w:rsidP="00CF747A"/>
        </w:tc>
      </w:tr>
      <w:tr w:rsidR="00CF747A" w14:paraId="67103513" w14:textId="77777777" w:rsidTr="00CF747A">
        <w:tc>
          <w:tcPr>
            <w:tcW w:w="1915" w:type="dxa"/>
          </w:tcPr>
          <w:p w14:paraId="6EB4D02A" w14:textId="77777777" w:rsidR="00CF747A" w:rsidRPr="00CF747A" w:rsidRDefault="00CF747A" w:rsidP="00CF747A"/>
        </w:tc>
        <w:tc>
          <w:tcPr>
            <w:tcW w:w="1915" w:type="dxa"/>
          </w:tcPr>
          <w:p w14:paraId="29A2BF54" w14:textId="49ACDA0C" w:rsidR="00CF747A" w:rsidRPr="00CF747A" w:rsidRDefault="00CF747A" w:rsidP="00CF747A">
            <w:r w:rsidRPr="00CF747A">
              <w:rPr>
                <w:b/>
                <w:bCs/>
              </w:rPr>
              <w:t>Тиотропиум 5 микрограма</w:t>
            </w:r>
          </w:p>
        </w:tc>
        <w:tc>
          <w:tcPr>
            <w:tcW w:w="1915" w:type="dxa"/>
          </w:tcPr>
          <w:p w14:paraId="6392B023" w14:textId="0735E936" w:rsidR="00CF747A" w:rsidRPr="00CF747A" w:rsidRDefault="00CF747A" w:rsidP="00CF747A">
            <w:r w:rsidRPr="00CF747A">
              <w:t>954</w:t>
            </w:r>
          </w:p>
        </w:tc>
        <w:tc>
          <w:tcPr>
            <w:tcW w:w="1915" w:type="dxa"/>
          </w:tcPr>
          <w:p w14:paraId="0D7C1884" w14:textId="3A4070D8" w:rsidR="00CF747A" w:rsidRPr="00CF747A" w:rsidRDefault="00CF747A" w:rsidP="00CF747A">
            <w:r w:rsidRPr="00CF747A">
              <w:t>37,9 (-5,6)</w:t>
            </w:r>
          </w:p>
        </w:tc>
        <w:tc>
          <w:tcPr>
            <w:tcW w:w="1916" w:type="dxa"/>
          </w:tcPr>
          <w:p w14:paraId="6CC545B5" w14:textId="5535D919" w:rsidR="00CF747A" w:rsidRPr="00CF747A" w:rsidRDefault="00CF747A" w:rsidP="00CF747A">
            <w:r w:rsidRPr="00CF747A">
              <w:t>-1,23 (р=0,025)</w:t>
            </w:r>
          </w:p>
        </w:tc>
      </w:tr>
      <w:tr w:rsidR="00CF747A" w14:paraId="18524EE3" w14:textId="77777777" w:rsidTr="00CF747A">
        <w:tc>
          <w:tcPr>
            <w:tcW w:w="1915" w:type="dxa"/>
          </w:tcPr>
          <w:p w14:paraId="73D111B6" w14:textId="77777777" w:rsidR="00CF747A" w:rsidRPr="00CF747A" w:rsidRDefault="00CF747A" w:rsidP="00CF747A"/>
        </w:tc>
        <w:tc>
          <w:tcPr>
            <w:tcW w:w="1915" w:type="dxa"/>
          </w:tcPr>
          <w:p w14:paraId="36A15DF7" w14:textId="0DD66AA1" w:rsidR="00CF747A" w:rsidRPr="00CF747A" w:rsidRDefault="00CF747A" w:rsidP="00CF747A">
            <w:r w:rsidRPr="00CF747A">
              <w:rPr>
                <w:b/>
                <w:bCs/>
              </w:rPr>
              <w:t>Олодатерол 5 микрограма</w:t>
            </w:r>
          </w:p>
        </w:tc>
        <w:tc>
          <w:tcPr>
            <w:tcW w:w="1915" w:type="dxa"/>
          </w:tcPr>
          <w:p w14:paraId="679EA777" w14:textId="75C54E18" w:rsidR="00CF747A" w:rsidRPr="00CF747A" w:rsidRDefault="00CF747A" w:rsidP="00CF747A">
            <w:r w:rsidRPr="00CF747A">
              <w:t>954</w:t>
            </w:r>
          </w:p>
        </w:tc>
        <w:tc>
          <w:tcPr>
            <w:tcW w:w="1915" w:type="dxa"/>
          </w:tcPr>
          <w:p w14:paraId="4C8B7F29" w14:textId="2D51E3FC" w:rsidR="00CF747A" w:rsidRPr="00CF747A" w:rsidRDefault="00CF747A" w:rsidP="00CF747A">
            <w:r w:rsidRPr="00CF747A">
              <w:t>38,4 (-5,1)</w:t>
            </w:r>
          </w:p>
        </w:tc>
        <w:tc>
          <w:tcPr>
            <w:tcW w:w="1916" w:type="dxa"/>
          </w:tcPr>
          <w:p w14:paraId="1E9A1632" w14:textId="39A3F85D" w:rsidR="00CF747A" w:rsidRPr="00CF747A" w:rsidRDefault="00CF747A" w:rsidP="00CF747A">
            <w:r w:rsidRPr="00CF747A">
              <w:t>-1,69 (р=0,002)</w:t>
            </w:r>
          </w:p>
        </w:tc>
      </w:tr>
    </w:tbl>
    <w:p w14:paraId="35F27798" w14:textId="56AE612B"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n=брой пациенти</w:t>
      </w:r>
    </w:p>
    <w:p w14:paraId="6BDD60EA" w14:textId="77777777" w:rsidR="00CF747A" w:rsidRPr="00CF747A" w:rsidRDefault="00CF747A" w:rsidP="00CF747A">
      <w:pPr>
        <w:spacing w:line="240" w:lineRule="auto"/>
        <w:rPr>
          <w:rFonts w:eastAsia="Times New Roman" w:cs="Arial"/>
          <w:color w:val="000000"/>
          <w:szCs w:val="20"/>
          <w:lang w:eastAsia="bg-BG"/>
        </w:rPr>
      </w:pPr>
    </w:p>
    <w:p w14:paraId="31E2D17E" w14:textId="4EDC134D"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 xml:space="preserve">В две допълнителни 12-седмични, плацебо-контролирани клинични проучвания (Проучвания 7 и 8), общият скор на </w:t>
      </w:r>
      <w:r w:rsidRPr="00CF747A">
        <w:rPr>
          <w:rFonts w:eastAsia="Times New Roman" w:cs="Arial"/>
          <w:color w:val="000000"/>
          <w:szCs w:val="20"/>
          <w:lang w:val="en-US"/>
        </w:rPr>
        <w:t>SGRQ</w:t>
      </w:r>
      <w:r w:rsidRPr="00CF747A">
        <w:rPr>
          <w:rFonts w:eastAsia="Times New Roman" w:cs="Arial"/>
          <w:color w:val="000000"/>
          <w:szCs w:val="20"/>
          <w:lang w:val="ru-RU"/>
        </w:rPr>
        <w:t xml:space="preserve"> </w:t>
      </w:r>
      <w:r w:rsidRPr="00CF747A">
        <w:rPr>
          <w:rFonts w:eastAsia="Times New Roman" w:cs="Arial"/>
          <w:color w:val="000000"/>
          <w:szCs w:val="20"/>
          <w:lang w:eastAsia="bg-BG"/>
        </w:rPr>
        <w:t>на 12-та седмица също е включен като първична крайна цел като показател за качеството на живот, свързано със здравето.</w:t>
      </w:r>
    </w:p>
    <w:p w14:paraId="658BAF5B" w14:textId="77777777" w:rsidR="00CF747A" w:rsidRPr="00CF747A" w:rsidRDefault="00CF747A" w:rsidP="00CF747A">
      <w:pPr>
        <w:spacing w:line="240" w:lineRule="auto"/>
        <w:rPr>
          <w:rFonts w:eastAsia="Times New Roman" w:cs="Arial"/>
          <w:sz w:val="28"/>
          <w:szCs w:val="24"/>
        </w:rPr>
      </w:pPr>
    </w:p>
    <w:p w14:paraId="31291BD0" w14:textId="77777777" w:rsidR="00CF747A" w:rsidRPr="00CF747A" w:rsidRDefault="00CF747A" w:rsidP="00CF747A">
      <w:pPr>
        <w:rPr>
          <w:rFonts w:eastAsia="Times New Roman" w:cs="Arial"/>
          <w:sz w:val="28"/>
          <w:szCs w:val="24"/>
        </w:rPr>
      </w:pPr>
      <w:r w:rsidRPr="00CF747A">
        <w:rPr>
          <w:rFonts w:eastAsia="Times New Roman" w:cs="Arial"/>
          <w:color w:val="000000"/>
          <w:szCs w:val="20"/>
          <w:lang w:eastAsia="bg-BG"/>
        </w:rPr>
        <w:t xml:space="preserve">В 12-седмичниге проучвания, Спиолто Респимат демонстрира подобрение в средния общ скор на </w:t>
      </w:r>
      <w:r w:rsidRPr="00CF747A">
        <w:rPr>
          <w:rFonts w:eastAsia="Times New Roman" w:cs="Arial"/>
          <w:color w:val="000000"/>
          <w:szCs w:val="20"/>
          <w:lang w:val="en-US"/>
        </w:rPr>
        <w:t>SGRQ</w:t>
      </w:r>
      <w:r w:rsidRPr="00CF747A">
        <w:rPr>
          <w:rFonts w:eastAsia="Times New Roman" w:cs="Arial"/>
          <w:color w:val="000000"/>
          <w:szCs w:val="20"/>
          <w:lang w:val="ru-RU"/>
        </w:rPr>
        <w:t xml:space="preserve"> </w:t>
      </w:r>
      <w:r w:rsidRPr="00CF747A">
        <w:rPr>
          <w:rFonts w:eastAsia="Times New Roman" w:cs="Arial"/>
          <w:color w:val="000000"/>
          <w:szCs w:val="20"/>
          <w:lang w:eastAsia="bg-BG"/>
        </w:rPr>
        <w:t xml:space="preserve">(първична крайна цел) с -4,9 (95%ДИ: -6,9, -2,9; р&lt;0,0001) и -4,6 </w:t>
      </w:r>
      <w:r w:rsidRPr="00CF747A">
        <w:rPr>
          <w:rFonts w:eastAsia="Times New Roman" w:cs="Arial"/>
          <w:color w:val="000000"/>
          <w:szCs w:val="20"/>
          <w:lang w:val="ru-RU"/>
        </w:rPr>
        <w:t>(95%</w:t>
      </w:r>
      <w:r w:rsidRPr="00CF747A">
        <w:rPr>
          <w:rFonts w:eastAsia="Times New Roman" w:cs="Arial"/>
          <w:color w:val="000000"/>
          <w:szCs w:val="20"/>
          <w:lang w:eastAsia="bg-BG"/>
        </w:rPr>
        <w:t>ДИ: 6,5 2,6,</w:t>
      </w:r>
      <w:r w:rsidRPr="00CF747A">
        <w:rPr>
          <w:rFonts w:eastAsia="Times New Roman" w:cs="Arial"/>
          <w:color w:val="000000"/>
          <w:szCs w:val="20"/>
          <w:lang w:val="ru-RU" w:eastAsia="bg-BG"/>
        </w:rPr>
        <w:t xml:space="preserve"> </w:t>
      </w:r>
      <w:r w:rsidRPr="00CF747A">
        <w:rPr>
          <w:rFonts w:eastAsia="Times New Roman" w:cs="Arial"/>
          <w:color w:val="000000"/>
          <w:szCs w:val="20"/>
          <w:lang w:eastAsia="bg-BG"/>
        </w:rPr>
        <w:t xml:space="preserve">р&lt;0,0001), спрямо плацебо на 12-та седмица. В обобщен подкрепящ анализ на 12-седмичните проучвания, процентът на пациентите с клинично значимо понижаване в общия скор на </w:t>
      </w:r>
      <w:r w:rsidRPr="00CF747A">
        <w:rPr>
          <w:rFonts w:eastAsia="Times New Roman" w:cs="Arial"/>
          <w:color w:val="000000"/>
          <w:szCs w:val="20"/>
          <w:lang w:val="en-US"/>
        </w:rPr>
        <w:t>SGRQ</w:t>
      </w:r>
      <w:r w:rsidRPr="00CF747A">
        <w:rPr>
          <w:rFonts w:eastAsia="Times New Roman" w:cs="Arial"/>
          <w:color w:val="000000"/>
          <w:szCs w:val="20"/>
          <w:lang w:val="ru-RU"/>
        </w:rPr>
        <w:t xml:space="preserve"> </w:t>
      </w:r>
      <w:r w:rsidRPr="00CF747A">
        <w:rPr>
          <w:rFonts w:eastAsia="Times New Roman" w:cs="Arial"/>
          <w:color w:val="000000"/>
          <w:szCs w:val="20"/>
          <w:lang w:eastAsia="bg-BG"/>
        </w:rPr>
        <w:t>(дефиниран като понижение с поне 4 е</w:t>
      </w:r>
      <w:r w:rsidRPr="00CF747A">
        <w:rPr>
          <w:rFonts w:eastAsia="Times New Roman" w:cs="Arial"/>
          <w:color w:val="000000"/>
          <w:szCs w:val="20"/>
          <w:u w:val="single"/>
          <w:lang w:eastAsia="bg-BG"/>
        </w:rPr>
        <w:t>диници</w:t>
      </w:r>
      <w:r w:rsidRPr="00CF747A">
        <w:rPr>
          <w:rFonts w:eastAsia="Times New Roman" w:cs="Arial"/>
          <w:color w:val="000000"/>
          <w:szCs w:val="20"/>
          <w:lang w:eastAsia="bg-BG"/>
        </w:rPr>
        <w:t xml:space="preserve"> от изходно ниво) на 12-та седмица е по-голям за Спиолто Респимат (52% [206/393]), спрямо тиотропиум 5 микрограма (41% [159/384]; съотношение на шансовете: 1,56 (95% ДИ: 1,17,2,07), р = 0,0022) и плацебо (32% [118/370]; съотношение на шансовете: 2,35 (95% ДИ: 1,75, 3,16), р &lt; 0,0001).</w:t>
      </w:r>
    </w:p>
    <w:p w14:paraId="026169C6" w14:textId="77777777" w:rsidR="00CF747A" w:rsidRPr="00CF747A" w:rsidRDefault="00CF747A" w:rsidP="00CF747A">
      <w:pPr>
        <w:spacing w:line="240" w:lineRule="auto"/>
        <w:rPr>
          <w:rFonts w:eastAsia="Times New Roman" w:cs="Arial"/>
          <w:i/>
          <w:iCs/>
          <w:color w:val="000000"/>
          <w:szCs w:val="20"/>
          <w:u w:val="single"/>
          <w:lang w:eastAsia="bg-BG"/>
        </w:rPr>
      </w:pPr>
    </w:p>
    <w:p w14:paraId="111CB5D5" w14:textId="340D6ED3" w:rsidR="00CF747A" w:rsidRPr="00CF747A" w:rsidRDefault="00CF747A" w:rsidP="00CF747A">
      <w:pPr>
        <w:spacing w:line="240" w:lineRule="auto"/>
        <w:rPr>
          <w:rFonts w:eastAsia="Times New Roman" w:cs="Arial"/>
          <w:sz w:val="28"/>
          <w:szCs w:val="24"/>
        </w:rPr>
      </w:pPr>
      <w:r w:rsidRPr="00CF747A">
        <w:rPr>
          <w:rFonts w:eastAsia="Times New Roman" w:cs="Arial"/>
          <w:i/>
          <w:iCs/>
          <w:color w:val="000000"/>
          <w:szCs w:val="20"/>
          <w:u w:val="single"/>
          <w:lang w:eastAsia="bg-BG"/>
        </w:rPr>
        <w:t>Инспираторен капацитет, дискомфорт при дишане и издръжливост при физическо натоварване</w:t>
      </w:r>
    </w:p>
    <w:p w14:paraId="157879DC"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Действието на Спиолто Респимат върху инспираторния капацитет, дискомфорта при дишане и ограничената от симптомите издръжливост при физическо натоварване, са изследвани в три рандомизирани, двойно-слепи клинични проучвания при пациенти с ХОББ:</w:t>
      </w:r>
    </w:p>
    <w:p w14:paraId="49E7995B" w14:textId="11E4B6E0" w:rsidR="00CF747A" w:rsidRPr="00CF747A" w:rsidRDefault="00CF747A" w:rsidP="00CF747A">
      <w:pPr>
        <w:spacing w:line="240" w:lineRule="auto"/>
        <w:rPr>
          <w:rFonts w:eastAsia="Times New Roman" w:cs="Arial"/>
          <w:color w:val="000000"/>
          <w:szCs w:val="20"/>
          <w:lang w:eastAsia="bg-BG"/>
        </w:rPr>
      </w:pPr>
      <w:r w:rsidRPr="00CF747A">
        <w:rPr>
          <w:rFonts w:eastAsia="Times New Roman" w:cs="Arial"/>
          <w:color w:val="000000"/>
          <w:szCs w:val="20"/>
          <w:lang w:val="ru-RU" w:eastAsia="bg-BG"/>
        </w:rPr>
        <w:t>(</w:t>
      </w:r>
      <w:proofErr w:type="spellStart"/>
      <w:r w:rsidRPr="00CF747A">
        <w:rPr>
          <w:rFonts w:eastAsia="Times New Roman" w:cs="Arial"/>
          <w:color w:val="000000"/>
          <w:szCs w:val="20"/>
          <w:lang w:val="en-US" w:eastAsia="bg-BG"/>
        </w:rPr>
        <w:t>i</w:t>
      </w:r>
      <w:proofErr w:type="spellEnd"/>
      <w:r w:rsidRPr="00CF747A">
        <w:rPr>
          <w:rFonts w:eastAsia="Times New Roman" w:cs="Arial"/>
          <w:color w:val="000000"/>
          <w:szCs w:val="20"/>
          <w:lang w:val="ru-RU" w:eastAsia="bg-BG"/>
        </w:rPr>
        <w:t>)</w:t>
      </w:r>
      <w:r w:rsidRPr="00CF747A">
        <w:rPr>
          <w:rFonts w:eastAsia="Times New Roman" w:cs="Arial"/>
          <w:color w:val="000000"/>
          <w:szCs w:val="20"/>
          <w:lang w:eastAsia="bg-BG"/>
        </w:rPr>
        <w:t>две дублирани, 6-седмични, кръстосани клинични проучвания, сравняващи Спиолто Респимат с тиотропиум 5 микрограма, олодатерол 5 микрограма и плацебо по време на непрекъснат тест с велоергометър (450 пациенти са получили Спиолто Респимат) [Проучвания 4 и 5]</w:t>
      </w:r>
    </w:p>
    <w:p w14:paraId="54F306E2" w14:textId="1F15F5D3" w:rsidR="00CF747A" w:rsidRPr="00CF747A" w:rsidRDefault="00CF747A" w:rsidP="00CF747A">
      <w:pPr>
        <w:spacing w:line="240" w:lineRule="auto"/>
        <w:rPr>
          <w:rFonts w:eastAsia="Times New Roman" w:cs="Arial"/>
          <w:color w:val="000000"/>
          <w:szCs w:val="20"/>
          <w:lang w:eastAsia="bg-BG"/>
        </w:rPr>
      </w:pPr>
      <w:r w:rsidRPr="00CF747A">
        <w:rPr>
          <w:rFonts w:eastAsia="Times New Roman" w:cs="Arial"/>
          <w:color w:val="000000"/>
          <w:szCs w:val="20"/>
          <w:lang w:val="ru-RU" w:eastAsia="bg-BG"/>
        </w:rPr>
        <w:t>(</w:t>
      </w:r>
      <w:r w:rsidRPr="00CF747A">
        <w:rPr>
          <w:rFonts w:eastAsia="Times New Roman" w:cs="Arial"/>
          <w:color w:val="000000"/>
          <w:szCs w:val="20"/>
          <w:lang w:val="en-US" w:eastAsia="bg-BG"/>
        </w:rPr>
        <w:t>ii</w:t>
      </w:r>
      <w:r w:rsidRPr="00CF747A">
        <w:rPr>
          <w:rFonts w:eastAsia="Times New Roman" w:cs="Arial"/>
          <w:color w:val="000000"/>
          <w:szCs w:val="20"/>
          <w:lang w:val="ru-RU" w:eastAsia="bg-BG"/>
        </w:rPr>
        <w:t>)</w:t>
      </w:r>
      <w:r w:rsidRPr="00CF747A">
        <w:rPr>
          <w:rFonts w:eastAsia="Times New Roman" w:cs="Arial"/>
          <w:color w:val="000000"/>
          <w:szCs w:val="20"/>
          <w:lang w:eastAsia="bg-BG"/>
        </w:rPr>
        <w:t>едно 12-седмично, паралелно групово клинично проучване, сравняващо Спиолто Респимат и плацебо по време на непрекъснат тест с велоергометър (139 пациенти са получили Спиолто Респимат) и непрекъснато бързо ходене (подгрупа пациенти) [Проучване 6]</w:t>
      </w:r>
    </w:p>
    <w:p w14:paraId="659544B1" w14:textId="77777777" w:rsidR="00CF747A" w:rsidRPr="00CF747A" w:rsidRDefault="00CF747A" w:rsidP="00CF747A">
      <w:pPr>
        <w:spacing w:line="240" w:lineRule="auto"/>
        <w:rPr>
          <w:rFonts w:eastAsia="Times New Roman" w:cs="Arial"/>
          <w:color w:val="000000"/>
          <w:szCs w:val="20"/>
          <w:lang w:eastAsia="bg-BG"/>
        </w:rPr>
      </w:pPr>
    </w:p>
    <w:p w14:paraId="0A5BE93E" w14:textId="6E23919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Спиолто Респимат значително подобрява инспираторния капацитет при покой два часа след прилагане на дозата в сравнение с тиотропиум 5 микрограма (0,1141, р&lt;0,0001; Проучване 4, 0,0881, р=0,0005; Проучване 5), олодатерол 5 микрограма (0,1191, р&lt;0,0001; Проучване 4, 0,080 1, р=0,0015; Проучване 5) и плацебо (0,2441, р&lt;0,0001; Проучване 4, 0,265 1, р&lt;0,0001;</w:t>
      </w:r>
    </w:p>
    <w:p w14:paraId="030F9A89" w14:textId="77777777"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Проучване 5) след 6 седмици.</w:t>
      </w:r>
    </w:p>
    <w:p w14:paraId="78B4FC4D" w14:textId="77777777" w:rsidR="00CF747A" w:rsidRPr="00CF747A" w:rsidRDefault="00CF747A" w:rsidP="00CF747A">
      <w:pPr>
        <w:spacing w:line="240" w:lineRule="auto"/>
        <w:rPr>
          <w:rFonts w:eastAsia="Times New Roman" w:cs="Arial"/>
          <w:color w:val="000000"/>
          <w:szCs w:val="20"/>
          <w:lang w:eastAsia="bg-BG"/>
        </w:rPr>
      </w:pPr>
    </w:p>
    <w:p w14:paraId="08A8374A" w14:textId="28845B72"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lastRenderedPageBreak/>
        <w:t>В Проучвания 4 и 5 Спиолто Респимат значително подобрява продължителността на натоварване в непрекъснат тест с велоергометър в сравнение с плацебо след 6 седмици (Проучване 4: средно геометрично време на натоварване от 454 секунди при Спиолто Респимат в сравнение с 375 секунди при плацебо (20,9% подобрение, р&lt;0,0001); Проучване 5: средно геометрично време на натоварване от 466 секунди при Спиолто Респимат в сравнение с 411 секунди при плацебо (13,4% подобрение, р&lt;0,0001).</w:t>
      </w:r>
    </w:p>
    <w:p w14:paraId="7FFE69C0" w14:textId="77777777" w:rsidR="00CF747A" w:rsidRPr="00CF747A" w:rsidRDefault="00CF747A" w:rsidP="00CF747A">
      <w:pPr>
        <w:spacing w:line="240" w:lineRule="auto"/>
        <w:rPr>
          <w:rFonts w:eastAsia="Times New Roman" w:cs="Arial"/>
          <w:color w:val="000000"/>
          <w:szCs w:val="20"/>
          <w:lang w:eastAsia="bg-BG"/>
        </w:rPr>
      </w:pPr>
    </w:p>
    <w:p w14:paraId="385DCA3B" w14:textId="524018A6"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lang w:eastAsia="bg-BG"/>
        </w:rPr>
        <w:t>В Проучване 6 Спиолто Респимат значително подобрява продължителността на натоварване при непрекъснат тест с велоергометър в сравнение с плацебо след 12 седмици (геометрично време на натоварване от 528 секунди при Спиолто Респимат в сравнение с 464 секунди при плацебо (13,8% подобрение, р=0,021).</w:t>
      </w:r>
    </w:p>
    <w:p w14:paraId="52AE2952" w14:textId="77777777" w:rsidR="00CF747A" w:rsidRPr="00CF747A" w:rsidRDefault="00CF747A" w:rsidP="00CF747A">
      <w:pPr>
        <w:spacing w:line="240" w:lineRule="auto"/>
        <w:rPr>
          <w:rFonts w:eastAsia="Times New Roman" w:cs="Arial"/>
          <w:color w:val="000000"/>
          <w:szCs w:val="20"/>
          <w:u w:val="single"/>
          <w:lang w:eastAsia="bg-BG"/>
        </w:rPr>
      </w:pPr>
    </w:p>
    <w:p w14:paraId="01241AAF" w14:textId="5E2BD599" w:rsidR="00CF747A" w:rsidRPr="00CF747A" w:rsidRDefault="00CF747A" w:rsidP="00CF747A">
      <w:pPr>
        <w:spacing w:line="240" w:lineRule="auto"/>
        <w:rPr>
          <w:rFonts w:eastAsia="Times New Roman" w:cs="Arial"/>
          <w:sz w:val="28"/>
          <w:szCs w:val="24"/>
        </w:rPr>
      </w:pPr>
      <w:r w:rsidRPr="00CF747A">
        <w:rPr>
          <w:rFonts w:eastAsia="Times New Roman" w:cs="Arial"/>
          <w:color w:val="000000"/>
          <w:szCs w:val="20"/>
          <w:u w:val="single"/>
          <w:lang w:eastAsia="bg-BG"/>
        </w:rPr>
        <w:t>Педиатрична популация</w:t>
      </w:r>
    </w:p>
    <w:p w14:paraId="492DCFFF" w14:textId="7E74075A" w:rsidR="00CF747A" w:rsidRPr="00CF747A" w:rsidRDefault="00CF747A" w:rsidP="00CF747A">
      <w:pPr>
        <w:rPr>
          <w:rFonts w:eastAsia="Times New Roman" w:cs="Arial"/>
          <w:color w:val="000000"/>
          <w:szCs w:val="20"/>
          <w:lang w:eastAsia="bg-BG"/>
        </w:rPr>
      </w:pPr>
      <w:r w:rsidRPr="00CF747A">
        <w:rPr>
          <w:rFonts w:eastAsia="Times New Roman" w:cs="Arial"/>
          <w:color w:val="000000"/>
          <w:szCs w:val="20"/>
          <w:lang w:eastAsia="bg-BG"/>
        </w:rPr>
        <w:t>Европейската агенция по лекарствата отлага задължението за предоставяне на резултатите от проучванията със Спиолто Респимат във всички подгрупи на педиатричната популация при хронична обструктивна белодробна болест (ХОББ), поради решение за освобождаване на класа лекарствени средства (вж. точка 4.2 за информация относно употреба в педиатрията).</w:t>
      </w:r>
    </w:p>
    <w:p w14:paraId="444AFC5C" w14:textId="77777777" w:rsidR="00CF747A" w:rsidRPr="00CF747A" w:rsidRDefault="00CF747A" w:rsidP="00CF747A">
      <w:pPr>
        <w:rPr>
          <w:lang w:val="ru-RU"/>
        </w:rPr>
      </w:pPr>
    </w:p>
    <w:p w14:paraId="346B622B" w14:textId="382E8745" w:rsidR="00875EEC" w:rsidRDefault="002C50EE" w:rsidP="005726E3">
      <w:pPr>
        <w:pStyle w:val="Heading2"/>
      </w:pPr>
      <w:r>
        <w:t>5.2. Фармакокинетични свойства</w:t>
      </w:r>
    </w:p>
    <w:p w14:paraId="6C083C34" w14:textId="12FA8470" w:rsidR="000E6DF9" w:rsidRDefault="000E6DF9" w:rsidP="000E6DF9"/>
    <w:p w14:paraId="6A6AA5E9" w14:textId="44D9FD85" w:rsidR="000E6DF9" w:rsidRPr="000E6DF9" w:rsidRDefault="000E6DF9" w:rsidP="000E6DF9">
      <w:pPr>
        <w:spacing w:line="240" w:lineRule="auto"/>
        <w:rPr>
          <w:rFonts w:eastAsia="Times New Roman" w:cs="Arial"/>
          <w:color w:val="000000"/>
          <w:u w:val="single"/>
          <w:lang w:eastAsia="bg-BG"/>
        </w:rPr>
      </w:pPr>
      <w:r w:rsidRPr="000E6DF9">
        <w:rPr>
          <w:rFonts w:eastAsia="Times New Roman" w:cs="Arial"/>
          <w:color w:val="000000"/>
          <w:u w:val="single"/>
          <w:lang w:eastAsia="bg-BG"/>
        </w:rPr>
        <w:t>а. Общо въведение</w:t>
      </w:r>
    </w:p>
    <w:p w14:paraId="35DB52F8" w14:textId="77777777" w:rsidR="000E6DF9" w:rsidRPr="000E6DF9" w:rsidRDefault="000E6DF9" w:rsidP="000E6DF9">
      <w:pPr>
        <w:spacing w:line="240" w:lineRule="auto"/>
        <w:rPr>
          <w:rFonts w:eastAsia="Times New Roman" w:cs="Arial"/>
          <w:color w:val="000000"/>
          <w:lang w:eastAsia="bg-BG"/>
        </w:rPr>
      </w:pPr>
    </w:p>
    <w:p w14:paraId="186BDD59" w14:textId="053AA512" w:rsidR="000E6DF9" w:rsidRPr="000E6DF9" w:rsidRDefault="000E6DF9" w:rsidP="000E6DF9">
      <w:pPr>
        <w:spacing w:line="240" w:lineRule="auto"/>
        <w:rPr>
          <w:rFonts w:eastAsia="Times New Roman" w:cs="Arial"/>
        </w:rPr>
      </w:pPr>
      <w:r w:rsidRPr="000E6DF9">
        <w:rPr>
          <w:rFonts w:eastAsia="Times New Roman" w:cs="Arial"/>
          <w:color w:val="000000"/>
          <w:lang w:eastAsia="bg-BG"/>
        </w:rPr>
        <w:t>Тъй като тиотропиум и олодатерол са прилагани в комбинация чрез инхалаторно приложение, фармакокинетичните параметри за всяко вещество са сходни с тези, наблюдавани, когато всяко активно вещество е прилагано поотделно.</w:t>
      </w:r>
    </w:p>
    <w:p w14:paraId="4B6B7CEB" w14:textId="77777777" w:rsidR="000E6DF9" w:rsidRPr="000E6DF9" w:rsidRDefault="000E6DF9" w:rsidP="000E6DF9">
      <w:pPr>
        <w:rPr>
          <w:rFonts w:eastAsia="Times New Roman" w:cs="Arial"/>
          <w:color w:val="000000"/>
          <w:lang w:eastAsia="bg-BG"/>
        </w:rPr>
      </w:pPr>
    </w:p>
    <w:p w14:paraId="2FB785BE" w14:textId="79DFB499" w:rsidR="000E6DF9" w:rsidRPr="000E6DF9" w:rsidRDefault="000E6DF9" w:rsidP="000E6DF9">
      <w:pPr>
        <w:rPr>
          <w:rFonts w:eastAsia="Times New Roman" w:cs="Arial"/>
          <w:color w:val="000000"/>
          <w:lang w:eastAsia="bg-BG"/>
        </w:rPr>
      </w:pPr>
      <w:r w:rsidRPr="000E6DF9">
        <w:rPr>
          <w:rFonts w:eastAsia="Times New Roman" w:cs="Arial"/>
          <w:color w:val="000000"/>
          <w:lang w:eastAsia="bg-BG"/>
        </w:rPr>
        <w:t>Тиотропиум и олодатерол показват линейна фармакокинетика в терапевтични дози. При многократно инхалаторно прилагане веднъж дневно тиотропиум достига равновесно състояние на 7</w:t>
      </w:r>
      <w:r w:rsidRPr="000E6DF9">
        <w:rPr>
          <w:rFonts w:eastAsia="Times New Roman" w:cs="Arial"/>
          <w:color w:val="000000"/>
          <w:vertAlign w:val="superscript"/>
          <w:lang w:eastAsia="bg-BG"/>
        </w:rPr>
        <w:t>-ия</w:t>
      </w:r>
      <w:r w:rsidRPr="000E6DF9">
        <w:rPr>
          <w:rFonts w:eastAsia="Times New Roman" w:cs="Arial"/>
          <w:color w:val="000000"/>
          <w:lang w:eastAsia="bg-BG"/>
        </w:rPr>
        <w:t xml:space="preserve"> ден. Олодатерол достига равновесно състояние след 8 дни инхалаторно прилагане веднъж дневно и се натрупва до 1,8 пъти в сравнение с еднократна доза.</w:t>
      </w:r>
    </w:p>
    <w:p w14:paraId="16205742" w14:textId="71C0343F" w:rsidR="000E6DF9" w:rsidRPr="000E6DF9" w:rsidRDefault="000E6DF9" w:rsidP="000E6DF9">
      <w:pPr>
        <w:rPr>
          <w:rFonts w:eastAsia="Times New Roman" w:cs="Arial"/>
          <w:color w:val="000000"/>
          <w:lang w:eastAsia="bg-BG"/>
        </w:rPr>
      </w:pPr>
    </w:p>
    <w:p w14:paraId="234C72BD" w14:textId="65AC6A7B" w:rsidR="000E6DF9" w:rsidRPr="000E6DF9" w:rsidRDefault="000E6DF9" w:rsidP="000E6DF9">
      <w:pPr>
        <w:spacing w:line="240" w:lineRule="auto"/>
        <w:rPr>
          <w:rFonts w:eastAsia="Times New Roman" w:cs="Arial"/>
        </w:rPr>
      </w:pPr>
      <w:r w:rsidRPr="000E6DF9">
        <w:rPr>
          <w:rFonts w:eastAsia="Times New Roman" w:cs="Arial"/>
          <w:color w:val="000000"/>
          <w:lang w:eastAsia="bg-BG"/>
        </w:rPr>
        <w:t>б.</w:t>
      </w:r>
      <w:r w:rsidRPr="000E6DF9">
        <w:rPr>
          <w:rFonts w:eastAsia="Times New Roman" w:cs="Arial"/>
          <w:color w:val="000000"/>
          <w:u w:val="single"/>
          <w:lang w:eastAsia="bg-BG"/>
        </w:rPr>
        <w:t>Обша характеристика на активното вещество след прилагане на лекарствения продукт</w:t>
      </w:r>
    </w:p>
    <w:p w14:paraId="52DCF9AA" w14:textId="77777777" w:rsidR="000E6DF9" w:rsidRPr="000E6DF9" w:rsidRDefault="000E6DF9" w:rsidP="000E6DF9">
      <w:pPr>
        <w:spacing w:line="240" w:lineRule="auto"/>
        <w:rPr>
          <w:rFonts w:eastAsia="Times New Roman" w:cs="Arial"/>
          <w:color w:val="000000"/>
          <w:u w:val="single"/>
          <w:lang w:eastAsia="bg-BG"/>
        </w:rPr>
      </w:pPr>
    </w:p>
    <w:p w14:paraId="46DA82A5" w14:textId="227DE593" w:rsidR="000E6DF9" w:rsidRPr="000E6DF9" w:rsidRDefault="000E6DF9" w:rsidP="000E6DF9">
      <w:pPr>
        <w:spacing w:line="240" w:lineRule="auto"/>
        <w:rPr>
          <w:rFonts w:eastAsia="Times New Roman" w:cs="Arial"/>
        </w:rPr>
      </w:pPr>
      <w:r w:rsidRPr="000E6DF9">
        <w:rPr>
          <w:rFonts w:eastAsia="Times New Roman" w:cs="Arial"/>
          <w:color w:val="000000"/>
          <w:u w:val="single"/>
          <w:lang w:eastAsia="bg-BG"/>
        </w:rPr>
        <w:t>Абсорбция</w:t>
      </w:r>
    </w:p>
    <w:p w14:paraId="47D2C071" w14:textId="77777777" w:rsidR="000E6DF9" w:rsidRPr="000E6DF9" w:rsidRDefault="000E6DF9" w:rsidP="000E6DF9">
      <w:pPr>
        <w:spacing w:line="240" w:lineRule="auto"/>
        <w:rPr>
          <w:rFonts w:eastAsia="Times New Roman" w:cs="Arial"/>
        </w:rPr>
      </w:pPr>
      <w:r w:rsidRPr="000E6DF9">
        <w:rPr>
          <w:rFonts w:eastAsia="Times New Roman" w:cs="Arial"/>
          <w:color w:val="000000"/>
          <w:lang w:eastAsia="bg-BG"/>
        </w:rPr>
        <w:t>Тиотропиум:</w:t>
      </w:r>
      <w:r w:rsidRPr="000E6DF9">
        <w:rPr>
          <w:rFonts w:eastAsia="Times New Roman" w:cs="Arial"/>
          <w:color w:val="000000"/>
          <w:lang w:val="ru-RU"/>
        </w:rPr>
        <w:t xml:space="preserve"> </w:t>
      </w:r>
      <w:r w:rsidRPr="000E6DF9">
        <w:rPr>
          <w:rFonts w:eastAsia="Times New Roman" w:cs="Arial"/>
          <w:color w:val="000000"/>
          <w:lang w:eastAsia="bg-BG"/>
        </w:rPr>
        <w:t>Данните от уринарна екскреция при здрави млади доброволци предполагат, че приблизително 33% от приложената инхалаторна доза чрез инхалатор Респимат достигат системното кръвообращение. Установена е абсолютна бионаличност при перорално приложен разтвор от 2-3%. Максималните плазмени концентрации на тиотропиум се наблюдават 5-7 минути след инхалация чрез Респимат.</w:t>
      </w:r>
    </w:p>
    <w:p w14:paraId="23E9F96B" w14:textId="77777777" w:rsidR="000E6DF9" w:rsidRPr="000E6DF9" w:rsidRDefault="000E6DF9" w:rsidP="000E6DF9">
      <w:pPr>
        <w:spacing w:line="240" w:lineRule="auto"/>
        <w:rPr>
          <w:rFonts w:eastAsia="Times New Roman" w:cs="Arial"/>
          <w:i/>
          <w:iCs/>
          <w:color w:val="000000"/>
          <w:lang w:eastAsia="bg-BG"/>
        </w:rPr>
      </w:pPr>
    </w:p>
    <w:p w14:paraId="7B2D9A58" w14:textId="0262D09E"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Олодатерол:</w:t>
      </w:r>
      <w:r w:rsidRPr="000E6DF9">
        <w:rPr>
          <w:rFonts w:eastAsia="Times New Roman" w:cs="Arial"/>
          <w:color w:val="000000"/>
          <w:lang w:eastAsia="bg-BG"/>
        </w:rPr>
        <w:t xml:space="preserve"> След инхалация на олодатерол при здрави доброволци изчислената абсолютна бионаличност е приблизително 30%, докато абсолютната бионаличност при перорален разтвор е под 1%. Максималните плазмени концентрации на олодатерол по принцип се достигат в рамките на 10 до 20 минути след инхалация чрез Респимат.</w:t>
      </w:r>
    </w:p>
    <w:p w14:paraId="71D34B49" w14:textId="77777777" w:rsidR="000E6DF9" w:rsidRPr="000E6DF9" w:rsidRDefault="000E6DF9" w:rsidP="000E6DF9">
      <w:pPr>
        <w:spacing w:line="240" w:lineRule="auto"/>
        <w:rPr>
          <w:rFonts w:eastAsia="Times New Roman" w:cs="Arial"/>
          <w:color w:val="000000"/>
          <w:u w:val="single"/>
          <w:lang w:eastAsia="bg-BG"/>
        </w:rPr>
      </w:pPr>
    </w:p>
    <w:p w14:paraId="1F87265F" w14:textId="6212444E" w:rsidR="000E6DF9" w:rsidRPr="000E6DF9" w:rsidRDefault="000E6DF9" w:rsidP="000E6DF9">
      <w:pPr>
        <w:spacing w:line="240" w:lineRule="auto"/>
        <w:rPr>
          <w:rFonts w:eastAsia="Times New Roman" w:cs="Arial"/>
        </w:rPr>
      </w:pPr>
      <w:r w:rsidRPr="000E6DF9">
        <w:rPr>
          <w:rFonts w:eastAsia="Times New Roman" w:cs="Arial"/>
          <w:color w:val="000000"/>
          <w:u w:val="single"/>
          <w:lang w:eastAsia="bg-BG"/>
        </w:rPr>
        <w:t>Разпределение</w:t>
      </w:r>
    </w:p>
    <w:p w14:paraId="1ED7BC7E" w14:textId="77777777"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lastRenderedPageBreak/>
        <w:t>Тиотропиум</w:t>
      </w:r>
      <w:r w:rsidRPr="000E6DF9">
        <w:rPr>
          <w:rFonts w:eastAsia="Times New Roman" w:cs="Arial"/>
          <w:color w:val="000000"/>
          <w:lang w:eastAsia="bg-BG"/>
        </w:rPr>
        <w:t xml:space="preserve"> се свързва 72 % с плазмените протеини и показва обем на разпределение от 32 </w:t>
      </w:r>
      <w:r w:rsidRPr="000E6DF9">
        <w:rPr>
          <w:rFonts w:eastAsia="Times New Roman" w:cs="Arial"/>
          <w:color w:val="000000"/>
          <w:lang w:val="ru-RU"/>
        </w:rPr>
        <w:t>1/</w:t>
      </w:r>
      <w:r w:rsidRPr="000E6DF9">
        <w:rPr>
          <w:rFonts w:eastAsia="Times New Roman" w:cs="Arial"/>
          <w:color w:val="000000"/>
          <w:lang w:val="en-US"/>
        </w:rPr>
        <w:t>kg</w:t>
      </w:r>
      <w:r w:rsidRPr="000E6DF9">
        <w:rPr>
          <w:rFonts w:eastAsia="Times New Roman" w:cs="Arial"/>
          <w:color w:val="000000"/>
          <w:lang w:val="ru-RU"/>
        </w:rPr>
        <w:t xml:space="preserve">. </w:t>
      </w:r>
      <w:r w:rsidRPr="000E6DF9">
        <w:rPr>
          <w:rFonts w:eastAsia="Times New Roman" w:cs="Arial"/>
          <w:color w:val="000000"/>
          <w:lang w:eastAsia="bg-BG"/>
        </w:rPr>
        <w:t>Проучвания при плъхове са показали, че тиотропиум бромид не преминава кръвно- мозъчната бариера в значителна степен.</w:t>
      </w:r>
    </w:p>
    <w:p w14:paraId="504CFA25" w14:textId="77777777" w:rsidR="000E6DF9" w:rsidRPr="000E6DF9" w:rsidRDefault="000E6DF9" w:rsidP="000E6DF9">
      <w:pPr>
        <w:spacing w:line="240" w:lineRule="auto"/>
        <w:rPr>
          <w:rFonts w:eastAsia="Times New Roman" w:cs="Arial"/>
          <w:i/>
          <w:iCs/>
          <w:color w:val="000000"/>
          <w:lang w:eastAsia="bg-BG"/>
        </w:rPr>
      </w:pPr>
    </w:p>
    <w:p w14:paraId="5566E72B" w14:textId="51FC1F63"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Олодатерол</w:t>
      </w:r>
      <w:r w:rsidRPr="000E6DF9">
        <w:rPr>
          <w:rFonts w:eastAsia="Times New Roman" w:cs="Arial"/>
          <w:color w:val="000000"/>
          <w:lang w:eastAsia="bg-BG"/>
        </w:rPr>
        <w:t xml:space="preserve"> се свързва с плазмените протеини приблизително 60% и показва обем на разпределение от 1 1101. Олодатерол е субстрат на </w:t>
      </w:r>
      <w:r w:rsidRPr="000E6DF9">
        <w:rPr>
          <w:rFonts w:eastAsia="Times New Roman" w:cs="Arial"/>
          <w:color w:val="000000"/>
          <w:lang w:val="en-US"/>
        </w:rPr>
        <w:t>P</w:t>
      </w:r>
      <w:r w:rsidRPr="000E6DF9">
        <w:rPr>
          <w:rFonts w:eastAsia="Times New Roman" w:cs="Arial"/>
          <w:color w:val="000000"/>
          <w:lang w:val="ru-RU"/>
        </w:rPr>
        <w:t>-</w:t>
      </w:r>
      <w:proofErr w:type="spellStart"/>
      <w:r w:rsidRPr="000E6DF9">
        <w:rPr>
          <w:rFonts w:eastAsia="Times New Roman" w:cs="Arial"/>
          <w:color w:val="000000"/>
          <w:lang w:val="en-US"/>
        </w:rPr>
        <w:t>gp</w:t>
      </w:r>
      <w:proofErr w:type="spellEnd"/>
      <w:r w:rsidRPr="000E6DF9">
        <w:rPr>
          <w:rFonts w:eastAsia="Times New Roman" w:cs="Arial"/>
          <w:color w:val="000000"/>
          <w:lang w:val="ru-RU"/>
        </w:rPr>
        <w:t xml:space="preserve">, </w:t>
      </w:r>
      <w:r w:rsidRPr="000E6DF9">
        <w:rPr>
          <w:rFonts w:eastAsia="Times New Roman" w:cs="Arial"/>
          <w:color w:val="000000"/>
          <w:lang w:eastAsia="bg-BG"/>
        </w:rPr>
        <w:t xml:space="preserve">ОАТ1, ОАТЗ и ОСТ1 транспортерите. Олодатерол не е субстрат на следните транспортери: </w:t>
      </w:r>
      <w:r w:rsidRPr="000E6DF9">
        <w:rPr>
          <w:rFonts w:eastAsia="Times New Roman" w:cs="Arial"/>
          <w:color w:val="000000"/>
          <w:lang w:val="en-US"/>
        </w:rPr>
        <w:t>BCRP</w:t>
      </w:r>
      <w:r w:rsidRPr="000E6DF9">
        <w:rPr>
          <w:rFonts w:eastAsia="Times New Roman" w:cs="Arial"/>
          <w:color w:val="000000"/>
          <w:lang w:val="ru-RU"/>
        </w:rPr>
        <w:t xml:space="preserve">, </w:t>
      </w:r>
      <w:r w:rsidRPr="000E6DF9">
        <w:rPr>
          <w:rFonts w:eastAsia="Times New Roman" w:cs="Arial"/>
          <w:color w:val="000000"/>
          <w:lang w:val="en-US"/>
        </w:rPr>
        <w:t>MRP</w:t>
      </w:r>
      <w:r w:rsidRPr="000E6DF9">
        <w:rPr>
          <w:rFonts w:eastAsia="Times New Roman" w:cs="Arial"/>
          <w:color w:val="000000"/>
          <w:lang w:val="ru-RU"/>
        </w:rPr>
        <w:t xml:space="preserve">, </w:t>
      </w:r>
      <w:r w:rsidRPr="000E6DF9">
        <w:rPr>
          <w:rFonts w:eastAsia="Times New Roman" w:cs="Arial"/>
          <w:color w:val="000000"/>
          <w:lang w:eastAsia="bg-BG"/>
        </w:rPr>
        <w:t>ОАТР2, ОАТР8, ОАТР-В, ОСТ2 и ОСТЗ.</w:t>
      </w:r>
    </w:p>
    <w:p w14:paraId="1627CFE7" w14:textId="77777777" w:rsidR="000E6DF9" w:rsidRPr="000E6DF9" w:rsidRDefault="000E6DF9" w:rsidP="000E6DF9">
      <w:pPr>
        <w:spacing w:line="240" w:lineRule="auto"/>
        <w:rPr>
          <w:rFonts w:eastAsia="Times New Roman" w:cs="Arial"/>
          <w:color w:val="000000"/>
          <w:u w:val="single"/>
          <w:lang w:eastAsia="bg-BG"/>
        </w:rPr>
      </w:pPr>
    </w:p>
    <w:p w14:paraId="67BF3BB4" w14:textId="34254DD6" w:rsidR="000E6DF9" w:rsidRPr="000E6DF9" w:rsidRDefault="000E6DF9" w:rsidP="000E6DF9">
      <w:pPr>
        <w:spacing w:line="240" w:lineRule="auto"/>
        <w:rPr>
          <w:rFonts w:eastAsia="Times New Roman" w:cs="Arial"/>
        </w:rPr>
      </w:pPr>
      <w:r w:rsidRPr="000E6DF9">
        <w:rPr>
          <w:rFonts w:eastAsia="Times New Roman" w:cs="Arial"/>
          <w:color w:val="000000"/>
          <w:u w:val="single"/>
          <w:lang w:eastAsia="bg-BG"/>
        </w:rPr>
        <w:t>Биотрансформация</w:t>
      </w:r>
    </w:p>
    <w:p w14:paraId="2E62557D" w14:textId="77777777"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Тиотропиум:</w:t>
      </w:r>
      <w:r w:rsidRPr="000E6DF9">
        <w:rPr>
          <w:rFonts w:eastAsia="Times New Roman" w:cs="Arial"/>
          <w:color w:val="000000"/>
          <w:lang w:eastAsia="bg-BG"/>
        </w:rPr>
        <w:t xml:space="preserve"> Степента на метаболизиране е ниска. Доказателство за това е уринната екскреция на 74 % непроменено вещество след интравенозно приложение. Естерът тиотропиум се разгражда неензимно до алкохолния и киселинния си компоненти (съответно </w:t>
      </w:r>
      <w:r w:rsidRPr="000E6DF9">
        <w:rPr>
          <w:rFonts w:eastAsia="Times New Roman" w:cs="Arial"/>
          <w:color w:val="000000"/>
          <w:lang w:val="en-US"/>
        </w:rPr>
        <w:t>N</w:t>
      </w:r>
      <w:r w:rsidRPr="000E6DF9">
        <w:rPr>
          <w:rFonts w:eastAsia="Times New Roman" w:cs="Arial"/>
          <w:color w:val="000000"/>
          <w:lang w:eastAsia="bg-BG"/>
        </w:rPr>
        <w:t xml:space="preserve">-метилскопин и дитиенилгликолова киселина), които не се свързват с мускариновите рецептори. </w:t>
      </w:r>
      <w:r w:rsidRPr="000E6DF9">
        <w:rPr>
          <w:rFonts w:eastAsia="Times New Roman" w:cs="Arial"/>
          <w:i/>
          <w:iCs/>
          <w:color w:val="000000"/>
          <w:lang w:val="en-US"/>
        </w:rPr>
        <w:t>In</w:t>
      </w:r>
      <w:r w:rsidRPr="000E6DF9">
        <w:rPr>
          <w:rFonts w:eastAsia="Times New Roman" w:cs="Arial"/>
          <w:i/>
          <w:iCs/>
          <w:color w:val="000000"/>
          <w:lang w:val="ru-RU"/>
        </w:rPr>
        <w:t xml:space="preserve"> </w:t>
      </w:r>
      <w:r w:rsidRPr="000E6DF9">
        <w:rPr>
          <w:rFonts w:eastAsia="Times New Roman" w:cs="Arial"/>
          <w:i/>
          <w:iCs/>
          <w:color w:val="000000"/>
          <w:lang w:val="en-US"/>
        </w:rPr>
        <w:t>vitro</w:t>
      </w:r>
      <w:r w:rsidRPr="000E6DF9">
        <w:rPr>
          <w:rFonts w:eastAsia="Times New Roman" w:cs="Arial"/>
          <w:i/>
          <w:iCs/>
          <w:color w:val="000000"/>
          <w:lang w:val="ru-RU"/>
        </w:rPr>
        <w:t xml:space="preserve"> </w:t>
      </w:r>
      <w:r w:rsidRPr="000E6DF9">
        <w:rPr>
          <w:rFonts w:eastAsia="Times New Roman" w:cs="Arial"/>
          <w:color w:val="000000"/>
          <w:lang w:eastAsia="bg-BG"/>
        </w:rPr>
        <w:t xml:space="preserve">експерименти с човешки чернодробни микрозоми и хепатоцити предполагат, че малка част от лекарственото вещество (&lt;20 % от дозата след интравенозно приложение) се метаболизира от цитохром Р450 </w:t>
      </w:r>
      <w:r w:rsidRPr="000E6DF9">
        <w:rPr>
          <w:rFonts w:eastAsia="Times New Roman" w:cs="Arial"/>
          <w:color w:val="000000"/>
          <w:lang w:val="ru-RU"/>
        </w:rPr>
        <w:t>(</w:t>
      </w:r>
      <w:r w:rsidRPr="000E6DF9">
        <w:rPr>
          <w:rFonts w:eastAsia="Times New Roman" w:cs="Arial"/>
          <w:color w:val="000000"/>
          <w:lang w:val="en-US"/>
        </w:rPr>
        <w:t>CYP</w:t>
      </w:r>
      <w:r w:rsidRPr="000E6DF9">
        <w:rPr>
          <w:rFonts w:eastAsia="Times New Roman" w:cs="Arial"/>
          <w:color w:val="000000"/>
          <w:lang w:val="ru-RU"/>
        </w:rPr>
        <w:t>) 2</w:t>
      </w:r>
      <w:r w:rsidRPr="000E6DF9">
        <w:rPr>
          <w:rFonts w:eastAsia="Times New Roman" w:cs="Arial"/>
          <w:color w:val="000000"/>
          <w:lang w:val="en-US"/>
        </w:rPr>
        <w:t>D</w:t>
      </w:r>
      <w:r w:rsidRPr="000E6DF9">
        <w:rPr>
          <w:rFonts w:eastAsia="Times New Roman" w:cs="Arial"/>
          <w:color w:val="000000"/>
          <w:lang w:val="ru-RU"/>
        </w:rPr>
        <w:t xml:space="preserve">6 </w:t>
      </w:r>
      <w:r w:rsidRPr="000E6DF9">
        <w:rPr>
          <w:rFonts w:eastAsia="Times New Roman" w:cs="Arial"/>
          <w:color w:val="000000"/>
          <w:lang w:eastAsia="bg-BG"/>
        </w:rPr>
        <w:t>и ЗА4 зависимо окисление и последваща глутатйон конюгация до множество Фаза П-метаболити.</w:t>
      </w:r>
    </w:p>
    <w:p w14:paraId="3F29DD0A" w14:textId="77777777" w:rsidR="000E6DF9" w:rsidRPr="000E6DF9" w:rsidRDefault="000E6DF9" w:rsidP="000E6DF9">
      <w:pPr>
        <w:spacing w:line="240" w:lineRule="auto"/>
        <w:rPr>
          <w:rFonts w:eastAsia="Times New Roman" w:cs="Arial"/>
          <w:i/>
          <w:iCs/>
          <w:color w:val="000000"/>
          <w:lang w:eastAsia="bg-BG"/>
        </w:rPr>
      </w:pPr>
    </w:p>
    <w:p w14:paraId="0D7661DF" w14:textId="105F9D7F"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Олодатерол</w:t>
      </w:r>
      <w:r w:rsidRPr="000E6DF9">
        <w:rPr>
          <w:rFonts w:eastAsia="Times New Roman" w:cs="Arial"/>
          <w:color w:val="000000"/>
          <w:lang w:eastAsia="bg-BG"/>
        </w:rPr>
        <w:t xml:space="preserve"> се метаболизира основно чрез пряка глюкоронидация и чрез О-деметилация на метокси-групата, последвани от конюгация. От шестте идентифицирани метаболита, само неконюгирания продукт на деметилацията се свързва с β</w:t>
      </w:r>
      <w:r w:rsidRPr="000E6DF9">
        <w:rPr>
          <w:rFonts w:eastAsia="Times New Roman" w:cs="Arial"/>
          <w:color w:val="000000"/>
          <w:vertAlign w:val="subscript"/>
          <w:lang w:eastAsia="bg-BG"/>
        </w:rPr>
        <w:t>2</w:t>
      </w:r>
      <w:r w:rsidRPr="000E6DF9">
        <w:rPr>
          <w:rFonts w:eastAsia="Times New Roman" w:cs="Arial"/>
          <w:color w:val="000000"/>
          <w:lang w:eastAsia="bg-BG"/>
        </w:rPr>
        <w:t xml:space="preserve">-рецепторите. Този метаболит обаче не се открива в плазмата след дългосрочно инхалиране на лекарствения продукт в препоръчваната терапевтична доза или до 4 пъти по-високи дози. В О-деметилацията на олодатерол участват цитохром Р450 изоензимите </w:t>
      </w:r>
      <w:r w:rsidRPr="000E6DF9">
        <w:rPr>
          <w:rFonts w:eastAsia="Times New Roman" w:cs="Arial"/>
          <w:color w:val="000000"/>
          <w:lang w:val="en-US"/>
        </w:rPr>
        <w:t>CYP</w:t>
      </w:r>
      <w:r w:rsidRPr="000E6DF9">
        <w:rPr>
          <w:rFonts w:eastAsia="Times New Roman" w:cs="Arial"/>
          <w:color w:val="000000"/>
          <w:lang w:val="ru-RU"/>
        </w:rPr>
        <w:t>2</w:t>
      </w:r>
      <w:r w:rsidRPr="000E6DF9">
        <w:rPr>
          <w:rFonts w:eastAsia="Times New Roman" w:cs="Arial"/>
          <w:color w:val="000000"/>
          <w:lang w:val="en-US"/>
        </w:rPr>
        <w:t>C</w:t>
      </w:r>
      <w:r w:rsidRPr="000E6DF9">
        <w:rPr>
          <w:rFonts w:eastAsia="Times New Roman" w:cs="Arial"/>
          <w:color w:val="000000"/>
          <w:lang w:val="ru-RU"/>
        </w:rPr>
        <w:t xml:space="preserve">9 </w:t>
      </w:r>
      <w:r w:rsidRPr="000E6DF9">
        <w:rPr>
          <w:rFonts w:eastAsia="Times New Roman" w:cs="Arial"/>
          <w:color w:val="000000"/>
          <w:lang w:eastAsia="bg-BG"/>
        </w:rPr>
        <w:t xml:space="preserve">и </w:t>
      </w:r>
      <w:r w:rsidRPr="000E6DF9">
        <w:rPr>
          <w:rFonts w:eastAsia="Times New Roman" w:cs="Arial"/>
          <w:color w:val="000000"/>
          <w:lang w:val="en-US"/>
        </w:rPr>
        <w:t>CYP</w:t>
      </w:r>
      <w:r w:rsidRPr="000E6DF9">
        <w:rPr>
          <w:rFonts w:eastAsia="Times New Roman" w:cs="Arial"/>
          <w:color w:val="000000"/>
          <w:lang w:val="ru-RU"/>
        </w:rPr>
        <w:t>2</w:t>
      </w:r>
      <w:r w:rsidRPr="000E6DF9">
        <w:rPr>
          <w:rFonts w:eastAsia="Times New Roman" w:cs="Arial"/>
          <w:color w:val="000000"/>
          <w:lang w:val="en-US"/>
        </w:rPr>
        <w:t>C</w:t>
      </w:r>
      <w:r w:rsidRPr="000E6DF9">
        <w:rPr>
          <w:rFonts w:eastAsia="Times New Roman" w:cs="Arial"/>
          <w:color w:val="000000"/>
          <w:lang w:val="ru-RU"/>
        </w:rPr>
        <w:t xml:space="preserve">8, </w:t>
      </w:r>
      <w:r w:rsidRPr="000E6DF9">
        <w:rPr>
          <w:rFonts w:eastAsia="Times New Roman" w:cs="Arial"/>
          <w:color w:val="000000"/>
          <w:lang w:eastAsia="bg-BG"/>
        </w:rPr>
        <w:t xml:space="preserve">с пренебрежимо слабо допринасяне на </w:t>
      </w:r>
      <w:r w:rsidRPr="000E6DF9">
        <w:rPr>
          <w:rFonts w:eastAsia="Times New Roman" w:cs="Arial"/>
          <w:color w:val="000000"/>
          <w:lang w:val="en-US"/>
        </w:rPr>
        <w:t>CYP</w:t>
      </w:r>
      <w:r w:rsidRPr="000E6DF9">
        <w:rPr>
          <w:rFonts w:eastAsia="Times New Roman" w:cs="Arial"/>
          <w:color w:val="000000"/>
          <w:lang w:val="ru-RU"/>
        </w:rPr>
        <w:t>3</w:t>
      </w:r>
      <w:r w:rsidRPr="000E6DF9">
        <w:rPr>
          <w:rFonts w:eastAsia="Times New Roman" w:cs="Arial"/>
          <w:color w:val="000000"/>
          <w:lang w:val="en-US"/>
        </w:rPr>
        <w:t>A</w:t>
      </w:r>
      <w:r w:rsidRPr="000E6DF9">
        <w:rPr>
          <w:rFonts w:eastAsia="Times New Roman" w:cs="Arial"/>
          <w:color w:val="000000"/>
          <w:lang w:val="ru-RU"/>
        </w:rPr>
        <w:t xml:space="preserve">4, </w:t>
      </w:r>
      <w:r w:rsidRPr="000E6DF9">
        <w:rPr>
          <w:rFonts w:eastAsia="Times New Roman" w:cs="Arial"/>
          <w:color w:val="000000"/>
          <w:lang w:eastAsia="bg-BG"/>
        </w:rPr>
        <w:t xml:space="preserve">докато изоформите на уридин дифосфат гликозил трансфераза </w:t>
      </w:r>
      <w:r w:rsidRPr="000E6DF9">
        <w:rPr>
          <w:rFonts w:eastAsia="Times New Roman" w:cs="Arial"/>
          <w:color w:val="000000"/>
          <w:lang w:val="en-US"/>
        </w:rPr>
        <w:t>UGT</w:t>
      </w:r>
      <w:r w:rsidRPr="000E6DF9">
        <w:rPr>
          <w:rFonts w:eastAsia="Times New Roman" w:cs="Arial"/>
          <w:color w:val="000000"/>
          <w:lang w:val="ru-RU"/>
        </w:rPr>
        <w:t>2</w:t>
      </w:r>
      <w:r w:rsidRPr="000E6DF9">
        <w:rPr>
          <w:rFonts w:eastAsia="Times New Roman" w:cs="Arial"/>
          <w:color w:val="000000"/>
          <w:lang w:val="en-US"/>
        </w:rPr>
        <w:t>B</w:t>
      </w:r>
      <w:r w:rsidRPr="000E6DF9">
        <w:rPr>
          <w:rFonts w:eastAsia="Times New Roman" w:cs="Arial"/>
          <w:color w:val="000000"/>
          <w:lang w:val="ru-RU"/>
        </w:rPr>
        <w:t xml:space="preserve">7, </w:t>
      </w:r>
      <w:r w:rsidRPr="000E6DF9">
        <w:rPr>
          <w:rFonts w:eastAsia="Times New Roman" w:cs="Arial"/>
          <w:color w:val="000000"/>
          <w:lang w:val="en-US"/>
        </w:rPr>
        <w:t>UGT</w:t>
      </w:r>
      <w:r w:rsidRPr="000E6DF9">
        <w:rPr>
          <w:rFonts w:eastAsia="Times New Roman" w:cs="Arial"/>
          <w:color w:val="000000"/>
          <w:lang w:val="ru-RU"/>
        </w:rPr>
        <w:t>1</w:t>
      </w:r>
      <w:r w:rsidRPr="000E6DF9">
        <w:rPr>
          <w:rFonts w:eastAsia="Times New Roman" w:cs="Arial"/>
          <w:color w:val="000000"/>
          <w:lang w:val="en-US"/>
        </w:rPr>
        <w:t>A</w:t>
      </w:r>
      <w:r w:rsidRPr="000E6DF9">
        <w:rPr>
          <w:rFonts w:eastAsia="Times New Roman" w:cs="Arial"/>
          <w:color w:val="000000"/>
          <w:lang w:val="ru-RU"/>
        </w:rPr>
        <w:t>1,</w:t>
      </w:r>
      <w:r w:rsidRPr="000E6DF9">
        <w:rPr>
          <w:rFonts w:eastAsia="Times New Roman" w:cs="Arial"/>
          <w:color w:val="000000"/>
          <w:lang w:eastAsia="bg-BG"/>
        </w:rPr>
        <w:t xml:space="preserve"> 1А7 и 1А9 са показали, че участват в образуването на глюкорониди на олодатерол.</w:t>
      </w:r>
    </w:p>
    <w:p w14:paraId="7395AD7F" w14:textId="77777777" w:rsidR="000E6DF9" w:rsidRPr="000E6DF9" w:rsidRDefault="000E6DF9" w:rsidP="000E6DF9">
      <w:pPr>
        <w:spacing w:line="240" w:lineRule="auto"/>
        <w:rPr>
          <w:rFonts w:eastAsia="Times New Roman" w:cs="Arial"/>
          <w:color w:val="000000"/>
          <w:u w:val="single"/>
          <w:lang w:eastAsia="bg-BG"/>
        </w:rPr>
      </w:pPr>
    </w:p>
    <w:p w14:paraId="11956A1A" w14:textId="4411A28C" w:rsidR="000E6DF9" w:rsidRPr="000E6DF9" w:rsidRDefault="000E6DF9" w:rsidP="000E6DF9">
      <w:pPr>
        <w:spacing w:line="240" w:lineRule="auto"/>
        <w:rPr>
          <w:rFonts w:eastAsia="Times New Roman" w:cs="Arial"/>
        </w:rPr>
      </w:pPr>
      <w:r w:rsidRPr="000E6DF9">
        <w:rPr>
          <w:rFonts w:eastAsia="Times New Roman" w:cs="Arial"/>
          <w:color w:val="000000"/>
          <w:u w:val="single"/>
          <w:lang w:eastAsia="bg-BG"/>
        </w:rPr>
        <w:t>Елиминиране</w:t>
      </w:r>
    </w:p>
    <w:p w14:paraId="2C1422DD" w14:textId="77777777"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Тиотропиум:</w:t>
      </w:r>
      <w:r w:rsidRPr="000E6DF9">
        <w:rPr>
          <w:rFonts w:eastAsia="Times New Roman" w:cs="Arial"/>
          <w:color w:val="000000"/>
          <w:lang w:eastAsia="bg-BG"/>
        </w:rPr>
        <w:t xml:space="preserve"> Общият клирънс при здрави доброволци е 880 </w:t>
      </w:r>
      <w:r w:rsidRPr="000E6DF9">
        <w:rPr>
          <w:rFonts w:eastAsia="Times New Roman" w:cs="Arial"/>
          <w:color w:val="000000"/>
          <w:lang w:val="en-US"/>
        </w:rPr>
        <w:t>ml</w:t>
      </w:r>
      <w:r w:rsidRPr="000E6DF9">
        <w:rPr>
          <w:rFonts w:eastAsia="Times New Roman" w:cs="Arial"/>
          <w:color w:val="000000"/>
          <w:lang w:val="ru-RU"/>
        </w:rPr>
        <w:t>/</w:t>
      </w:r>
      <w:r w:rsidRPr="000E6DF9">
        <w:rPr>
          <w:rFonts w:eastAsia="Times New Roman" w:cs="Arial"/>
          <w:color w:val="000000"/>
          <w:lang w:val="en-US"/>
        </w:rPr>
        <w:t>min</w:t>
      </w:r>
      <w:r w:rsidRPr="000E6DF9">
        <w:rPr>
          <w:rFonts w:eastAsia="Times New Roman" w:cs="Arial"/>
          <w:color w:val="000000"/>
          <w:lang w:val="ru-RU"/>
        </w:rPr>
        <w:t xml:space="preserve">. </w:t>
      </w:r>
      <w:r w:rsidRPr="000E6DF9">
        <w:rPr>
          <w:rFonts w:eastAsia="Times New Roman" w:cs="Arial"/>
          <w:color w:val="000000"/>
          <w:lang w:eastAsia="bg-BG"/>
        </w:rPr>
        <w:t>Тиотропиум предимно се екскретира в непроменена форма в урината (74%) след интравенозно приложение. След инхалация при пациенти с ХОББ в стабилно състояние, екскрецията в урината е 18,6% от дозата, а остатъкът е предимно неабсорбирано лекарство в червата и се елиминира чрез фекалиите. Бъбречният клирънс на тиотропиум надвишава степента на гломерулна филтрация, което показва активно отделяне в урината. Ефективният полуживот на тиотропиум след инхалация при пациенти с ХОББ варира между 27 и 45 часа.</w:t>
      </w:r>
    </w:p>
    <w:p w14:paraId="355F3998" w14:textId="77777777" w:rsidR="000E6DF9" w:rsidRPr="000E6DF9" w:rsidRDefault="000E6DF9" w:rsidP="000E6DF9">
      <w:pPr>
        <w:rPr>
          <w:rFonts w:eastAsia="Times New Roman" w:cs="Arial"/>
        </w:rPr>
      </w:pPr>
    </w:p>
    <w:p w14:paraId="0B4640C1" w14:textId="77777777" w:rsidR="000E6DF9" w:rsidRPr="000E6DF9" w:rsidRDefault="000E6DF9" w:rsidP="000E6DF9">
      <w:pPr>
        <w:rPr>
          <w:rFonts w:eastAsia="Times New Roman" w:cs="Arial"/>
        </w:rPr>
      </w:pPr>
      <w:r w:rsidRPr="000E6DF9">
        <w:rPr>
          <w:rFonts w:eastAsia="Times New Roman" w:cs="Arial"/>
          <w:i/>
          <w:iCs/>
          <w:color w:val="000000"/>
          <w:lang w:eastAsia="bg-BG"/>
        </w:rPr>
        <w:t>Олодатерол:</w:t>
      </w:r>
      <w:r w:rsidRPr="000E6DF9">
        <w:rPr>
          <w:rFonts w:eastAsia="Times New Roman" w:cs="Arial"/>
          <w:color w:val="000000"/>
          <w:lang w:eastAsia="bg-BG"/>
        </w:rPr>
        <w:t xml:space="preserve"> Общият клирънс на олодатерол при здрави доброволци е 872 </w:t>
      </w:r>
      <w:r w:rsidRPr="000E6DF9">
        <w:rPr>
          <w:rFonts w:eastAsia="Times New Roman" w:cs="Arial"/>
          <w:color w:val="000000"/>
          <w:lang w:val="en-US"/>
        </w:rPr>
        <w:t>ml</w:t>
      </w:r>
      <w:r w:rsidRPr="000E6DF9">
        <w:rPr>
          <w:rFonts w:eastAsia="Times New Roman" w:cs="Arial"/>
          <w:color w:val="000000"/>
          <w:lang w:val="ru-RU"/>
        </w:rPr>
        <w:t>/</w:t>
      </w:r>
      <w:r w:rsidRPr="000E6DF9">
        <w:rPr>
          <w:rFonts w:eastAsia="Times New Roman" w:cs="Arial"/>
          <w:color w:val="000000"/>
          <w:lang w:val="en-US"/>
        </w:rPr>
        <w:t>min</w:t>
      </w:r>
      <w:r w:rsidRPr="000E6DF9">
        <w:rPr>
          <w:rFonts w:eastAsia="Times New Roman" w:cs="Arial"/>
          <w:color w:val="000000"/>
          <w:lang w:val="ru-RU"/>
        </w:rPr>
        <w:t>,</w:t>
      </w:r>
      <w:r w:rsidRPr="000E6DF9">
        <w:rPr>
          <w:rFonts w:eastAsia="Times New Roman" w:cs="Arial"/>
          <w:color w:val="000000"/>
          <w:lang w:eastAsia="bg-BG"/>
        </w:rPr>
        <w:t xml:space="preserve"> а бъбречният клирънс е 173 </w:t>
      </w:r>
      <w:r w:rsidRPr="000E6DF9">
        <w:rPr>
          <w:rFonts w:eastAsia="Times New Roman" w:cs="Arial"/>
          <w:color w:val="000000"/>
          <w:lang w:val="en-US"/>
        </w:rPr>
        <w:t>ml</w:t>
      </w:r>
      <w:r w:rsidRPr="000E6DF9">
        <w:rPr>
          <w:rFonts w:eastAsia="Times New Roman" w:cs="Arial"/>
          <w:color w:val="000000"/>
          <w:lang w:val="ru-RU"/>
        </w:rPr>
        <w:t>/</w:t>
      </w:r>
      <w:r w:rsidRPr="000E6DF9">
        <w:rPr>
          <w:rFonts w:eastAsia="Times New Roman" w:cs="Arial"/>
          <w:color w:val="000000"/>
          <w:lang w:val="en-US"/>
        </w:rPr>
        <w:t>min</w:t>
      </w:r>
      <w:r w:rsidRPr="000E6DF9">
        <w:rPr>
          <w:rFonts w:eastAsia="Times New Roman" w:cs="Arial"/>
          <w:color w:val="000000"/>
          <w:lang w:val="ru-RU"/>
        </w:rPr>
        <w:t xml:space="preserve">. </w:t>
      </w:r>
      <w:r w:rsidRPr="000E6DF9">
        <w:rPr>
          <w:rFonts w:eastAsia="Times New Roman" w:cs="Arial"/>
          <w:color w:val="000000"/>
          <w:lang w:eastAsia="bg-BG"/>
        </w:rPr>
        <w:t>След интравенозно приложение на [</w:t>
      </w:r>
      <w:r w:rsidRPr="000E6DF9">
        <w:rPr>
          <w:rFonts w:eastAsia="Times New Roman" w:cs="Arial"/>
          <w:color w:val="000000"/>
          <w:vertAlign w:val="superscript"/>
          <w:lang w:eastAsia="bg-BG"/>
        </w:rPr>
        <w:t>14</w:t>
      </w:r>
      <w:r w:rsidRPr="000E6DF9">
        <w:rPr>
          <w:rFonts w:eastAsia="Times New Roman" w:cs="Arial"/>
          <w:color w:val="000000"/>
          <w:lang w:eastAsia="bg-BG"/>
        </w:rPr>
        <w:t xml:space="preserve">С]-белязан олодатерол, 38% от радиоактивната доза се открива в урината и 53% във фекалиите. Количеството непроменен олодатерол, откривано в урината след интравенозно приложение е 19%. След перорално приложение в урината се откриват само 9% от радиоактивността (0,7% непроменен олодатерол), докато по-голяма част се открива в изпражненията (84%). След интравенозно и перорално приложение над 90% от дозата се екскретират съответно в рамките на 6 и 5 дни. След инхалация при здрави доброволци, екскретираният непроменен олодатерол с урината в рамките на лозовия интервал при равновесно състояние отговаря на 5-7% от дозата. След инхалация, плазмените </w:t>
      </w:r>
      <w:r w:rsidRPr="000E6DF9">
        <w:rPr>
          <w:rFonts w:eastAsia="Times New Roman" w:cs="Arial"/>
          <w:color w:val="000000"/>
          <w:lang w:eastAsia="bg-BG"/>
        </w:rPr>
        <w:lastRenderedPageBreak/>
        <w:t>концентрации на олодатерол намаляват многофазово при терминален полуживот от приблизително 45 часа.</w:t>
      </w:r>
    </w:p>
    <w:p w14:paraId="4E64417D" w14:textId="77777777" w:rsidR="000E6DF9" w:rsidRPr="000E6DF9" w:rsidRDefault="000E6DF9" w:rsidP="000E6DF9">
      <w:pPr>
        <w:spacing w:line="240" w:lineRule="auto"/>
        <w:rPr>
          <w:rFonts w:eastAsia="Times New Roman" w:cs="Arial"/>
          <w:color w:val="000000"/>
          <w:lang w:eastAsia="bg-BG"/>
        </w:rPr>
      </w:pPr>
    </w:p>
    <w:p w14:paraId="212EDB65" w14:textId="3CC78C75" w:rsidR="000E6DF9" w:rsidRPr="000E6DF9" w:rsidRDefault="000E6DF9" w:rsidP="000E6DF9">
      <w:pPr>
        <w:spacing w:line="240" w:lineRule="auto"/>
        <w:rPr>
          <w:rFonts w:eastAsia="Times New Roman" w:cs="Arial"/>
        </w:rPr>
      </w:pPr>
      <w:r w:rsidRPr="000E6DF9">
        <w:rPr>
          <w:rFonts w:eastAsia="Times New Roman" w:cs="Arial"/>
          <w:color w:val="000000"/>
          <w:lang w:eastAsia="bg-BG"/>
        </w:rPr>
        <w:t>в.</w:t>
      </w:r>
      <w:r w:rsidRPr="000E6DF9">
        <w:rPr>
          <w:rFonts w:eastAsia="Times New Roman" w:cs="Arial"/>
          <w:color w:val="000000"/>
          <w:u w:val="single"/>
          <w:lang w:eastAsia="bg-BG"/>
        </w:rPr>
        <w:t>Характеристика при</w:t>
      </w:r>
      <w:r w:rsidRPr="000E6DF9">
        <w:rPr>
          <w:rFonts w:eastAsia="Times New Roman" w:cs="Arial"/>
          <w:color w:val="000000"/>
          <w:u w:val="single"/>
          <w:lang w:val="ru-RU"/>
        </w:rPr>
        <w:t xml:space="preserve"> </w:t>
      </w:r>
      <w:r w:rsidRPr="000E6DF9">
        <w:rPr>
          <w:rFonts w:eastAsia="Times New Roman" w:cs="Arial"/>
          <w:color w:val="000000"/>
          <w:u w:val="single"/>
          <w:lang w:eastAsia="bg-BG"/>
        </w:rPr>
        <w:t>пациентите</w:t>
      </w:r>
    </w:p>
    <w:p w14:paraId="37C5D760" w14:textId="77777777" w:rsidR="000E6DF9" w:rsidRPr="000E6DF9" w:rsidRDefault="000E6DF9" w:rsidP="000E6DF9">
      <w:pPr>
        <w:spacing w:line="240" w:lineRule="auto"/>
        <w:rPr>
          <w:rFonts w:eastAsia="Times New Roman" w:cs="Arial"/>
          <w:i/>
          <w:iCs/>
          <w:color w:val="000000"/>
          <w:lang w:eastAsia="bg-BG"/>
        </w:rPr>
      </w:pPr>
    </w:p>
    <w:p w14:paraId="1DA37CC6" w14:textId="77314235"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Тиотропиум:</w:t>
      </w:r>
      <w:r w:rsidRPr="000E6DF9">
        <w:rPr>
          <w:rFonts w:eastAsia="Times New Roman" w:cs="Arial"/>
          <w:color w:val="000000"/>
          <w:lang w:eastAsia="bg-BG"/>
        </w:rPr>
        <w:t xml:space="preserve"> Както се очаква за всички лекарства, екскретирани предимно през бъбреците, напредването на възрастта е свързано с понижаване на бъбречния клирънс на тиотропиум от 347 </w:t>
      </w:r>
      <w:r w:rsidRPr="000E6DF9">
        <w:rPr>
          <w:rFonts w:eastAsia="Times New Roman" w:cs="Arial"/>
          <w:color w:val="000000"/>
          <w:lang w:val="en-US"/>
        </w:rPr>
        <w:t>ml</w:t>
      </w:r>
      <w:r w:rsidRPr="000E6DF9">
        <w:rPr>
          <w:rFonts w:eastAsia="Times New Roman" w:cs="Arial"/>
          <w:color w:val="000000"/>
          <w:lang w:val="ru-RU"/>
        </w:rPr>
        <w:t>/</w:t>
      </w:r>
      <w:r w:rsidRPr="000E6DF9">
        <w:rPr>
          <w:rFonts w:eastAsia="Times New Roman" w:cs="Arial"/>
          <w:color w:val="000000"/>
          <w:lang w:val="en-US"/>
        </w:rPr>
        <w:t>min</w:t>
      </w:r>
      <w:r w:rsidRPr="000E6DF9">
        <w:rPr>
          <w:rFonts w:eastAsia="Times New Roman" w:cs="Arial"/>
          <w:color w:val="000000"/>
          <w:lang w:val="ru-RU"/>
        </w:rPr>
        <w:t xml:space="preserve"> </w:t>
      </w:r>
      <w:r w:rsidRPr="000E6DF9">
        <w:rPr>
          <w:rFonts w:eastAsia="Times New Roman" w:cs="Arial"/>
          <w:color w:val="000000"/>
          <w:lang w:eastAsia="bg-BG"/>
        </w:rPr>
        <w:t xml:space="preserve">при пациенти с ХОББ &lt;65 години до 275 </w:t>
      </w:r>
      <w:r w:rsidRPr="000E6DF9">
        <w:rPr>
          <w:rFonts w:eastAsia="Times New Roman" w:cs="Arial"/>
          <w:color w:val="000000"/>
          <w:lang w:val="en-US"/>
        </w:rPr>
        <w:t>ml</w:t>
      </w:r>
      <w:r w:rsidRPr="000E6DF9">
        <w:rPr>
          <w:rFonts w:eastAsia="Times New Roman" w:cs="Arial"/>
          <w:color w:val="000000"/>
          <w:lang w:val="ru-RU"/>
        </w:rPr>
        <w:t>/</w:t>
      </w:r>
      <w:r w:rsidRPr="000E6DF9">
        <w:rPr>
          <w:rFonts w:eastAsia="Times New Roman" w:cs="Arial"/>
          <w:color w:val="000000"/>
          <w:lang w:val="en-US"/>
        </w:rPr>
        <w:t>min</w:t>
      </w:r>
      <w:r w:rsidRPr="000E6DF9">
        <w:rPr>
          <w:rFonts w:eastAsia="Times New Roman" w:cs="Arial"/>
          <w:color w:val="000000"/>
          <w:lang w:val="ru-RU"/>
        </w:rPr>
        <w:t xml:space="preserve"> </w:t>
      </w:r>
      <w:r w:rsidRPr="000E6DF9">
        <w:rPr>
          <w:rFonts w:eastAsia="Times New Roman" w:cs="Arial"/>
          <w:color w:val="000000"/>
          <w:lang w:eastAsia="bg-BG"/>
        </w:rPr>
        <w:t xml:space="preserve">при пациенти с ХОББ ≥65 години. Това не води до съответно повишаване на стойностите на </w:t>
      </w:r>
      <w:r w:rsidRPr="000E6DF9">
        <w:rPr>
          <w:rFonts w:eastAsia="Times New Roman" w:cs="Arial"/>
          <w:color w:val="000000"/>
          <w:lang w:val="en-US"/>
        </w:rPr>
        <w:t>AUC</w:t>
      </w:r>
      <w:r w:rsidRPr="000E6DF9">
        <w:rPr>
          <w:rFonts w:eastAsia="Times New Roman" w:cs="Arial"/>
          <w:color w:val="000000"/>
          <w:vertAlign w:val="subscript"/>
          <w:lang w:val="ru-RU"/>
        </w:rPr>
        <w:t>0-6,</w:t>
      </w:r>
      <w:proofErr w:type="spellStart"/>
      <w:r w:rsidRPr="000E6DF9">
        <w:rPr>
          <w:rFonts w:eastAsia="Times New Roman" w:cs="Arial"/>
          <w:color w:val="000000"/>
          <w:vertAlign w:val="subscript"/>
          <w:lang w:val="en-US"/>
        </w:rPr>
        <w:t>ss</w:t>
      </w:r>
      <w:proofErr w:type="spellEnd"/>
      <w:r w:rsidRPr="000E6DF9">
        <w:rPr>
          <w:rFonts w:eastAsia="Times New Roman" w:cs="Arial"/>
          <w:color w:val="000000"/>
          <w:lang w:val="ru-RU"/>
        </w:rPr>
        <w:t xml:space="preserve"> </w:t>
      </w:r>
      <w:r w:rsidRPr="000E6DF9">
        <w:rPr>
          <w:rFonts w:eastAsia="Times New Roman" w:cs="Arial"/>
          <w:color w:val="000000"/>
          <w:lang w:eastAsia="bg-BG"/>
        </w:rPr>
        <w:t xml:space="preserve">или </w:t>
      </w:r>
      <w:proofErr w:type="spellStart"/>
      <w:r w:rsidRPr="000E6DF9">
        <w:rPr>
          <w:rFonts w:eastAsia="Times New Roman" w:cs="Arial"/>
          <w:color w:val="000000"/>
          <w:lang w:val="en-US"/>
        </w:rPr>
        <w:t>C</w:t>
      </w:r>
      <w:r w:rsidRPr="000E6DF9">
        <w:rPr>
          <w:rFonts w:eastAsia="Times New Roman" w:cs="Arial"/>
          <w:color w:val="000000"/>
          <w:vertAlign w:val="subscript"/>
          <w:lang w:val="en-US"/>
        </w:rPr>
        <w:t>max</w:t>
      </w:r>
      <w:proofErr w:type="spellEnd"/>
      <w:r w:rsidRPr="000E6DF9">
        <w:rPr>
          <w:rFonts w:eastAsia="Times New Roman" w:cs="Arial"/>
          <w:color w:val="000000"/>
          <w:vertAlign w:val="subscript"/>
          <w:lang w:val="ru-RU"/>
        </w:rPr>
        <w:t>,</w:t>
      </w:r>
      <w:proofErr w:type="spellStart"/>
      <w:r w:rsidRPr="000E6DF9">
        <w:rPr>
          <w:rFonts w:eastAsia="Times New Roman" w:cs="Arial"/>
          <w:color w:val="000000"/>
          <w:vertAlign w:val="subscript"/>
          <w:lang w:val="en-US"/>
        </w:rPr>
        <w:t>ss</w:t>
      </w:r>
      <w:proofErr w:type="spellEnd"/>
    </w:p>
    <w:p w14:paraId="42A6D1E9" w14:textId="77777777" w:rsidR="000E6DF9" w:rsidRPr="000E6DF9" w:rsidRDefault="000E6DF9" w:rsidP="000E6DF9">
      <w:pPr>
        <w:spacing w:line="240" w:lineRule="auto"/>
        <w:rPr>
          <w:rFonts w:eastAsia="Times New Roman" w:cs="Arial"/>
          <w:i/>
          <w:iCs/>
          <w:color w:val="000000"/>
          <w:lang w:eastAsia="bg-BG"/>
        </w:rPr>
      </w:pPr>
    </w:p>
    <w:p w14:paraId="23F66B8F" w14:textId="3BE45BE9"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Олодатерол:</w:t>
      </w:r>
      <w:r w:rsidRPr="000E6DF9">
        <w:rPr>
          <w:rFonts w:eastAsia="Times New Roman" w:cs="Arial"/>
          <w:color w:val="000000"/>
          <w:lang w:eastAsia="bg-BG"/>
        </w:rPr>
        <w:t xml:space="preserve"> Резултатите от проведения фармакокинетичен мета-анализ, в който са използвани данни от 2 контролирани клинични проучвания, включващи 405 пациенти с ХОББ и 296 пациенти с астма, показват че не се налага коригиране на дозата поради влияние на възрастта, пола и телесното тегло върху системната експозиция на олодатерол.</w:t>
      </w:r>
    </w:p>
    <w:p w14:paraId="7EB07587" w14:textId="77777777" w:rsidR="000E6DF9" w:rsidRPr="000E6DF9" w:rsidRDefault="000E6DF9" w:rsidP="000E6DF9">
      <w:pPr>
        <w:spacing w:line="240" w:lineRule="auto"/>
        <w:rPr>
          <w:rFonts w:eastAsia="Times New Roman" w:cs="Arial"/>
          <w:i/>
          <w:iCs/>
          <w:color w:val="000000"/>
          <w:u w:val="single"/>
          <w:lang w:eastAsia="bg-BG"/>
        </w:rPr>
      </w:pPr>
    </w:p>
    <w:p w14:paraId="3F890632" w14:textId="14CFB070" w:rsidR="000E6DF9" w:rsidRPr="000E6DF9" w:rsidRDefault="000E6DF9" w:rsidP="000E6DF9">
      <w:pPr>
        <w:spacing w:line="240" w:lineRule="auto"/>
        <w:rPr>
          <w:rFonts w:eastAsia="Times New Roman" w:cs="Arial"/>
        </w:rPr>
      </w:pPr>
      <w:r w:rsidRPr="000E6DF9">
        <w:rPr>
          <w:rFonts w:eastAsia="Times New Roman" w:cs="Arial"/>
          <w:i/>
          <w:iCs/>
          <w:color w:val="000000"/>
          <w:u w:val="single"/>
          <w:lang w:eastAsia="bg-BG"/>
        </w:rPr>
        <w:t>Раса</w:t>
      </w:r>
    </w:p>
    <w:p w14:paraId="06BF7D51" w14:textId="77777777"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Олодатерол:</w:t>
      </w:r>
      <w:r w:rsidRPr="000E6DF9">
        <w:rPr>
          <w:rFonts w:eastAsia="Times New Roman" w:cs="Arial"/>
          <w:color w:val="000000"/>
          <w:lang w:eastAsia="bg-BG"/>
        </w:rPr>
        <w:t xml:space="preserve"> Сравняването на фармакокинетичните данни в рамките на дадено изпитване и между различните изпитвания с олодатерол показва тенденция за по-висока системна експозиция при японци и други пациенти от азиатски произход в сравнение с пациенти от европеидната раса.</w:t>
      </w:r>
    </w:p>
    <w:p w14:paraId="7B373509" w14:textId="77777777" w:rsidR="000E6DF9" w:rsidRPr="000E6DF9" w:rsidRDefault="000E6DF9" w:rsidP="000E6DF9">
      <w:pPr>
        <w:spacing w:line="240" w:lineRule="auto"/>
        <w:rPr>
          <w:rFonts w:eastAsia="Times New Roman" w:cs="Arial"/>
        </w:rPr>
      </w:pPr>
      <w:r w:rsidRPr="000E6DF9">
        <w:rPr>
          <w:rFonts w:eastAsia="Times New Roman" w:cs="Arial"/>
          <w:color w:val="000000"/>
          <w:lang w:eastAsia="bg-BG"/>
        </w:rPr>
        <w:t>Няма данни за повишен риск по отношение на безопасността в клинични проучвания с олодатерол при пациенти от европеидната и азиатската раса, лекувани до една година с олодатерол Респимат в дози, надвишаващи до два пъти препоръчваната терапевтичната доза.</w:t>
      </w:r>
    </w:p>
    <w:p w14:paraId="6BEC3041" w14:textId="77777777" w:rsidR="000E6DF9" w:rsidRPr="000E6DF9" w:rsidRDefault="000E6DF9" w:rsidP="000E6DF9">
      <w:pPr>
        <w:spacing w:line="240" w:lineRule="auto"/>
        <w:rPr>
          <w:rFonts w:eastAsia="Times New Roman" w:cs="Arial"/>
          <w:i/>
          <w:iCs/>
          <w:color w:val="000000"/>
          <w:u w:val="single"/>
          <w:lang w:eastAsia="bg-BG"/>
        </w:rPr>
      </w:pPr>
    </w:p>
    <w:p w14:paraId="0FFA8558" w14:textId="5299A8C3" w:rsidR="000E6DF9" w:rsidRPr="000E6DF9" w:rsidRDefault="000E6DF9" w:rsidP="000E6DF9">
      <w:pPr>
        <w:spacing w:line="240" w:lineRule="auto"/>
        <w:rPr>
          <w:rFonts w:eastAsia="Times New Roman" w:cs="Arial"/>
        </w:rPr>
      </w:pPr>
      <w:r w:rsidRPr="000E6DF9">
        <w:rPr>
          <w:rFonts w:eastAsia="Times New Roman" w:cs="Arial"/>
          <w:i/>
          <w:iCs/>
          <w:color w:val="000000"/>
          <w:u w:val="single"/>
          <w:lang w:eastAsia="bg-BG"/>
        </w:rPr>
        <w:t>Бъбречна недостатъчност</w:t>
      </w:r>
    </w:p>
    <w:p w14:paraId="18DA4A2D" w14:textId="77777777"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Тиотропиум:</w:t>
      </w:r>
      <w:r w:rsidRPr="000E6DF9">
        <w:rPr>
          <w:rFonts w:eastAsia="Times New Roman" w:cs="Arial"/>
          <w:color w:val="000000"/>
          <w:lang w:eastAsia="bg-BG"/>
        </w:rPr>
        <w:t xml:space="preserve"> След инхалаторно приложение веднъж дневно на тиотропиум при пациенти с ХОББ в стабилно състояние с леко бъбречно увреждане </w:t>
      </w:r>
      <w:r w:rsidRPr="000E6DF9">
        <w:rPr>
          <w:rFonts w:eastAsia="Times New Roman" w:cs="Arial"/>
          <w:smallCaps/>
          <w:color w:val="000000"/>
          <w:lang w:val="ru-RU"/>
        </w:rPr>
        <w:t>(</w:t>
      </w:r>
      <w:proofErr w:type="spellStart"/>
      <w:r w:rsidRPr="000E6DF9">
        <w:rPr>
          <w:rFonts w:eastAsia="Times New Roman" w:cs="Arial"/>
          <w:smallCaps/>
          <w:color w:val="000000"/>
          <w:lang w:val="en-US"/>
        </w:rPr>
        <w:t>CLcr</w:t>
      </w:r>
      <w:proofErr w:type="spellEnd"/>
      <w:r w:rsidRPr="000E6DF9">
        <w:rPr>
          <w:rFonts w:eastAsia="Times New Roman" w:cs="Arial"/>
          <w:color w:val="000000"/>
          <w:lang w:val="ru-RU"/>
        </w:rPr>
        <w:t xml:space="preserve"> </w:t>
      </w:r>
      <w:r w:rsidRPr="000E6DF9">
        <w:rPr>
          <w:rFonts w:eastAsia="Times New Roman" w:cs="Arial"/>
          <w:color w:val="000000"/>
          <w:lang w:eastAsia="bg-BG"/>
        </w:rPr>
        <w:t xml:space="preserve">50-80 </w:t>
      </w:r>
      <w:r w:rsidRPr="000E6DF9">
        <w:rPr>
          <w:rFonts w:eastAsia="Times New Roman" w:cs="Arial"/>
          <w:color w:val="000000"/>
          <w:lang w:val="en-US"/>
        </w:rPr>
        <w:t>ml</w:t>
      </w:r>
      <w:r w:rsidRPr="000E6DF9">
        <w:rPr>
          <w:rFonts w:eastAsia="Times New Roman" w:cs="Arial"/>
          <w:color w:val="000000"/>
          <w:lang w:val="ru-RU"/>
        </w:rPr>
        <w:t>/</w:t>
      </w:r>
      <w:r w:rsidRPr="000E6DF9">
        <w:rPr>
          <w:rFonts w:eastAsia="Times New Roman" w:cs="Arial"/>
          <w:color w:val="000000"/>
          <w:lang w:val="en-US"/>
        </w:rPr>
        <w:t>min</w:t>
      </w:r>
      <w:r w:rsidRPr="000E6DF9">
        <w:rPr>
          <w:rFonts w:eastAsia="Times New Roman" w:cs="Arial"/>
          <w:color w:val="000000"/>
          <w:lang w:val="ru-RU"/>
        </w:rPr>
        <w:t xml:space="preserve">) </w:t>
      </w:r>
      <w:r w:rsidRPr="000E6DF9">
        <w:rPr>
          <w:rFonts w:eastAsia="Times New Roman" w:cs="Arial"/>
          <w:color w:val="000000"/>
          <w:lang w:eastAsia="bg-BG"/>
        </w:rPr>
        <w:t xml:space="preserve">води до леко увеличение на </w:t>
      </w:r>
      <w:r w:rsidRPr="000E6DF9">
        <w:rPr>
          <w:rFonts w:eastAsia="Times New Roman" w:cs="Arial"/>
          <w:color w:val="000000"/>
          <w:lang w:val="en-US"/>
        </w:rPr>
        <w:t>AUC</w:t>
      </w:r>
      <w:r w:rsidRPr="000E6DF9">
        <w:rPr>
          <w:rFonts w:eastAsia="Times New Roman" w:cs="Arial"/>
          <w:color w:val="000000"/>
          <w:vertAlign w:val="subscript"/>
          <w:lang w:val="ru-RU"/>
        </w:rPr>
        <w:t>0-6,</w:t>
      </w:r>
      <w:proofErr w:type="spellStart"/>
      <w:r w:rsidRPr="000E6DF9">
        <w:rPr>
          <w:rFonts w:eastAsia="Times New Roman" w:cs="Arial"/>
          <w:color w:val="000000"/>
          <w:vertAlign w:val="subscript"/>
          <w:lang w:val="en-US"/>
        </w:rPr>
        <w:t>ss</w:t>
      </w:r>
      <w:proofErr w:type="spellEnd"/>
      <w:r w:rsidRPr="000E6DF9">
        <w:rPr>
          <w:rFonts w:eastAsia="Times New Roman" w:cs="Arial"/>
          <w:color w:val="000000"/>
          <w:lang w:val="ru-RU"/>
        </w:rPr>
        <w:t xml:space="preserve"> </w:t>
      </w:r>
      <w:r w:rsidRPr="000E6DF9">
        <w:rPr>
          <w:rFonts w:eastAsia="Times New Roman" w:cs="Arial"/>
          <w:color w:val="000000"/>
          <w:lang w:eastAsia="bg-BG"/>
        </w:rPr>
        <w:t xml:space="preserve">(между 1,8 до 30% увеличение) и подобно </w:t>
      </w:r>
      <w:proofErr w:type="spellStart"/>
      <w:r w:rsidRPr="000E6DF9">
        <w:rPr>
          <w:rFonts w:eastAsia="Times New Roman" w:cs="Arial"/>
          <w:color w:val="000000"/>
          <w:lang w:val="en-US"/>
        </w:rPr>
        <w:t>Cmax</w:t>
      </w:r>
      <w:proofErr w:type="spellEnd"/>
      <w:r w:rsidRPr="000E6DF9">
        <w:rPr>
          <w:rFonts w:eastAsia="Times New Roman" w:cs="Arial"/>
          <w:color w:val="000000"/>
          <w:lang w:val="ru-RU"/>
        </w:rPr>
        <w:t>,</w:t>
      </w:r>
      <w:proofErr w:type="spellStart"/>
      <w:r w:rsidRPr="000E6DF9">
        <w:rPr>
          <w:rFonts w:eastAsia="Times New Roman" w:cs="Arial"/>
          <w:color w:val="000000"/>
          <w:lang w:val="en-US"/>
        </w:rPr>
        <w:t>ss</w:t>
      </w:r>
      <w:proofErr w:type="spellEnd"/>
      <w:r w:rsidRPr="000E6DF9">
        <w:rPr>
          <w:rFonts w:eastAsia="Times New Roman" w:cs="Arial"/>
          <w:color w:val="000000"/>
          <w:lang w:val="ru-RU"/>
        </w:rPr>
        <w:t xml:space="preserve"> </w:t>
      </w:r>
      <w:r w:rsidRPr="000E6DF9">
        <w:rPr>
          <w:rFonts w:eastAsia="Times New Roman" w:cs="Arial"/>
          <w:color w:val="000000"/>
          <w:lang w:eastAsia="bg-BG"/>
        </w:rPr>
        <w:t xml:space="preserve">в сравнение с пациенти с нормална бъбречна функция </w:t>
      </w:r>
      <w:r w:rsidRPr="000E6DF9">
        <w:rPr>
          <w:rFonts w:eastAsia="Times New Roman" w:cs="Arial"/>
          <w:color w:val="000000"/>
          <w:lang w:val="ru-RU"/>
        </w:rPr>
        <w:t>(</w:t>
      </w:r>
      <w:proofErr w:type="spellStart"/>
      <w:r w:rsidRPr="000E6DF9">
        <w:rPr>
          <w:rFonts w:eastAsia="Times New Roman" w:cs="Arial"/>
          <w:color w:val="000000"/>
          <w:lang w:val="en-US"/>
        </w:rPr>
        <w:t>CLcr</w:t>
      </w:r>
      <w:proofErr w:type="spellEnd"/>
      <w:r w:rsidRPr="000E6DF9">
        <w:rPr>
          <w:rFonts w:eastAsia="Times New Roman" w:cs="Arial"/>
          <w:color w:val="000000"/>
          <w:lang w:val="ru-RU"/>
        </w:rPr>
        <w:t xml:space="preserve"> </w:t>
      </w:r>
      <w:r w:rsidRPr="000E6DF9">
        <w:rPr>
          <w:rFonts w:eastAsia="Times New Roman" w:cs="Arial"/>
          <w:color w:val="000000"/>
          <w:lang w:eastAsia="bg-BG"/>
        </w:rPr>
        <w:t xml:space="preserve">&gt;80 </w:t>
      </w:r>
      <w:r w:rsidRPr="000E6DF9">
        <w:rPr>
          <w:rFonts w:eastAsia="Times New Roman" w:cs="Arial"/>
          <w:color w:val="000000"/>
          <w:lang w:val="en-US"/>
        </w:rPr>
        <w:t>mL</w:t>
      </w:r>
      <w:r w:rsidRPr="000E6DF9">
        <w:rPr>
          <w:rFonts w:eastAsia="Times New Roman" w:cs="Arial"/>
          <w:color w:val="000000"/>
          <w:lang w:val="ru-RU"/>
        </w:rPr>
        <w:t>/</w:t>
      </w:r>
      <w:r w:rsidRPr="000E6DF9">
        <w:rPr>
          <w:rFonts w:eastAsia="Times New Roman" w:cs="Arial"/>
          <w:color w:val="000000"/>
          <w:lang w:val="en-US"/>
        </w:rPr>
        <w:t>min</w:t>
      </w:r>
      <w:r w:rsidRPr="000E6DF9">
        <w:rPr>
          <w:rFonts w:eastAsia="Times New Roman" w:cs="Arial"/>
          <w:color w:val="000000"/>
          <w:lang w:val="ru-RU"/>
        </w:rPr>
        <w:t xml:space="preserve">). </w:t>
      </w:r>
      <w:r w:rsidRPr="000E6DF9">
        <w:rPr>
          <w:rFonts w:eastAsia="Times New Roman" w:cs="Arial"/>
          <w:color w:val="000000"/>
          <w:lang w:eastAsia="bg-BG"/>
        </w:rPr>
        <w:t xml:space="preserve">При пациенти с умерено до тежко бъбречно увреждане </w:t>
      </w:r>
      <w:r w:rsidRPr="000E6DF9">
        <w:rPr>
          <w:rFonts w:eastAsia="Times New Roman" w:cs="Arial"/>
          <w:smallCaps/>
          <w:color w:val="000000"/>
          <w:lang w:val="ru-RU"/>
        </w:rPr>
        <w:t>(</w:t>
      </w:r>
      <w:proofErr w:type="spellStart"/>
      <w:r w:rsidRPr="000E6DF9">
        <w:rPr>
          <w:rFonts w:eastAsia="Times New Roman" w:cs="Arial"/>
          <w:smallCaps/>
          <w:color w:val="000000"/>
          <w:lang w:val="en-US"/>
        </w:rPr>
        <w:t>CLcr</w:t>
      </w:r>
      <w:proofErr w:type="spellEnd"/>
      <w:r w:rsidRPr="000E6DF9">
        <w:rPr>
          <w:rFonts w:eastAsia="Times New Roman" w:cs="Arial"/>
          <w:color w:val="000000"/>
          <w:lang w:val="ru-RU"/>
        </w:rPr>
        <w:t xml:space="preserve"> </w:t>
      </w:r>
      <w:r w:rsidRPr="000E6DF9">
        <w:rPr>
          <w:rFonts w:eastAsia="Times New Roman" w:cs="Arial"/>
          <w:color w:val="000000"/>
          <w:lang w:eastAsia="bg-BG"/>
        </w:rPr>
        <w:t xml:space="preserve">&lt;50 </w:t>
      </w:r>
      <w:r w:rsidRPr="000E6DF9">
        <w:rPr>
          <w:rFonts w:eastAsia="Times New Roman" w:cs="Arial"/>
          <w:color w:val="000000"/>
          <w:lang w:val="en-US"/>
        </w:rPr>
        <w:t>ml</w:t>
      </w:r>
      <w:r w:rsidRPr="000E6DF9">
        <w:rPr>
          <w:rFonts w:eastAsia="Times New Roman" w:cs="Arial"/>
          <w:color w:val="000000"/>
          <w:lang w:val="ru-RU"/>
        </w:rPr>
        <w:t>/</w:t>
      </w:r>
      <w:r w:rsidRPr="000E6DF9">
        <w:rPr>
          <w:rFonts w:eastAsia="Times New Roman" w:cs="Arial"/>
          <w:color w:val="000000"/>
          <w:lang w:val="en-US"/>
        </w:rPr>
        <w:t>min</w:t>
      </w:r>
      <w:r w:rsidRPr="000E6DF9">
        <w:rPr>
          <w:rFonts w:eastAsia="Times New Roman" w:cs="Arial"/>
          <w:color w:val="000000"/>
          <w:lang w:val="ru-RU"/>
        </w:rPr>
        <w:t xml:space="preserve">), </w:t>
      </w:r>
      <w:r w:rsidRPr="000E6DF9">
        <w:rPr>
          <w:rFonts w:eastAsia="Times New Roman" w:cs="Arial"/>
          <w:color w:val="000000"/>
          <w:lang w:eastAsia="bg-BG"/>
        </w:rPr>
        <w:t>интравенозното приложение на тиотропиум води до два пъти по-висока обща експозиция (82% по-висока А</w:t>
      </w:r>
      <w:r w:rsidRPr="000E6DF9">
        <w:rPr>
          <w:rFonts w:eastAsia="Times New Roman" w:cs="Arial"/>
          <w:color w:val="000000"/>
          <w:lang w:val="en-US"/>
        </w:rPr>
        <w:t>UC</w:t>
      </w:r>
      <w:r w:rsidRPr="000E6DF9">
        <w:rPr>
          <w:rFonts w:eastAsia="Times New Roman" w:cs="Arial"/>
          <w:color w:val="000000"/>
          <w:vertAlign w:val="subscript"/>
          <w:lang w:val="ru-RU"/>
        </w:rPr>
        <w:t>0-4</w:t>
      </w:r>
      <w:r w:rsidRPr="000E6DF9">
        <w:rPr>
          <w:rFonts w:eastAsia="Times New Roman" w:cs="Arial"/>
          <w:color w:val="000000"/>
          <w:vertAlign w:val="subscript"/>
          <w:lang w:val="en-US"/>
        </w:rPr>
        <w:t>h</w:t>
      </w:r>
      <w:r w:rsidRPr="000E6DF9">
        <w:rPr>
          <w:rFonts w:eastAsia="Times New Roman" w:cs="Arial"/>
          <w:color w:val="000000"/>
          <w:lang w:val="ru-RU"/>
        </w:rPr>
        <w:t xml:space="preserve"> </w:t>
      </w:r>
      <w:r w:rsidRPr="000E6DF9">
        <w:rPr>
          <w:rFonts w:eastAsia="Times New Roman" w:cs="Arial"/>
          <w:color w:val="000000"/>
          <w:lang w:eastAsia="bg-BG"/>
        </w:rPr>
        <w:t xml:space="preserve">52% по-висока </w:t>
      </w:r>
      <w:proofErr w:type="spellStart"/>
      <w:r w:rsidRPr="000E6DF9">
        <w:rPr>
          <w:rFonts w:eastAsia="Times New Roman" w:cs="Arial"/>
          <w:color w:val="000000"/>
          <w:lang w:val="en-US"/>
        </w:rPr>
        <w:t>C</w:t>
      </w:r>
      <w:r w:rsidRPr="000E6DF9">
        <w:rPr>
          <w:rFonts w:eastAsia="Times New Roman" w:cs="Arial"/>
          <w:color w:val="000000"/>
          <w:vertAlign w:val="subscript"/>
          <w:lang w:val="en-US"/>
        </w:rPr>
        <w:t>max</w:t>
      </w:r>
      <w:proofErr w:type="spellEnd"/>
      <w:r w:rsidRPr="000E6DF9">
        <w:rPr>
          <w:rFonts w:eastAsia="Times New Roman" w:cs="Arial"/>
          <w:color w:val="000000"/>
          <w:lang w:val="ru-RU"/>
        </w:rPr>
        <w:t xml:space="preserve">) </w:t>
      </w:r>
      <w:r w:rsidRPr="000E6DF9">
        <w:rPr>
          <w:rFonts w:eastAsia="Times New Roman" w:cs="Arial"/>
          <w:color w:val="000000"/>
          <w:lang w:eastAsia="bg-BG"/>
        </w:rPr>
        <w:t>в сравнение с пациенти с нормална бъбречна функция, което се потвърждава от наблюденията след инхалация на сух прах.</w:t>
      </w:r>
    </w:p>
    <w:p w14:paraId="3EF11627" w14:textId="77777777" w:rsidR="000E6DF9" w:rsidRPr="000E6DF9" w:rsidRDefault="000E6DF9" w:rsidP="000E6DF9">
      <w:pPr>
        <w:spacing w:line="240" w:lineRule="auto"/>
        <w:rPr>
          <w:rFonts w:eastAsia="Times New Roman" w:cs="Arial"/>
          <w:i/>
          <w:iCs/>
          <w:color w:val="000000"/>
          <w:lang w:eastAsia="bg-BG"/>
        </w:rPr>
      </w:pPr>
    </w:p>
    <w:p w14:paraId="095C6596" w14:textId="5F0431A3"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Олодатерол:</w:t>
      </w:r>
      <w:r w:rsidRPr="000E6DF9">
        <w:rPr>
          <w:rFonts w:eastAsia="Times New Roman" w:cs="Arial"/>
          <w:color w:val="000000"/>
          <w:lang w:eastAsia="bg-BG"/>
        </w:rPr>
        <w:t xml:space="preserve"> Няма клинично значимо повишаване на системната експозиция при пациенти с бъбречно увреждане.</w:t>
      </w:r>
    </w:p>
    <w:p w14:paraId="091136CF" w14:textId="77777777" w:rsidR="000E6DF9" w:rsidRPr="000E6DF9" w:rsidRDefault="000E6DF9" w:rsidP="000E6DF9">
      <w:pPr>
        <w:spacing w:line="240" w:lineRule="auto"/>
        <w:rPr>
          <w:rFonts w:eastAsia="Times New Roman" w:cs="Arial"/>
          <w:i/>
          <w:iCs/>
          <w:color w:val="000000"/>
          <w:u w:val="single"/>
          <w:lang w:eastAsia="bg-BG"/>
        </w:rPr>
      </w:pPr>
    </w:p>
    <w:p w14:paraId="38B1D8AD" w14:textId="41EBAB23" w:rsidR="000E6DF9" w:rsidRPr="000E6DF9" w:rsidRDefault="000E6DF9" w:rsidP="000E6DF9">
      <w:pPr>
        <w:spacing w:line="240" w:lineRule="auto"/>
        <w:rPr>
          <w:rFonts w:eastAsia="Times New Roman" w:cs="Arial"/>
        </w:rPr>
      </w:pPr>
      <w:r w:rsidRPr="000E6DF9">
        <w:rPr>
          <w:rFonts w:eastAsia="Times New Roman" w:cs="Arial"/>
          <w:i/>
          <w:iCs/>
          <w:color w:val="000000"/>
          <w:u w:val="single"/>
          <w:lang w:eastAsia="bg-BG"/>
        </w:rPr>
        <w:t>Чернодробна недостатъчност</w:t>
      </w:r>
    </w:p>
    <w:p w14:paraId="19D22CA2" w14:textId="77777777" w:rsidR="000E6DF9" w:rsidRPr="000E6DF9" w:rsidRDefault="000E6DF9" w:rsidP="000E6DF9">
      <w:pPr>
        <w:spacing w:line="240" w:lineRule="auto"/>
        <w:rPr>
          <w:rFonts w:eastAsia="Times New Roman" w:cs="Arial"/>
        </w:rPr>
      </w:pPr>
      <w:r w:rsidRPr="000E6DF9">
        <w:rPr>
          <w:rFonts w:eastAsia="Times New Roman" w:cs="Arial"/>
          <w:i/>
          <w:iCs/>
          <w:color w:val="000000"/>
          <w:lang w:eastAsia="bg-BG"/>
        </w:rPr>
        <w:t>Тиотропиум:</w:t>
      </w:r>
      <w:r w:rsidRPr="000E6DF9">
        <w:rPr>
          <w:rFonts w:eastAsia="Times New Roman" w:cs="Arial"/>
          <w:color w:val="000000"/>
          <w:lang w:eastAsia="bg-BG"/>
        </w:rPr>
        <w:t xml:space="preserve"> Не се очаква чернодробната недостатъчност да има значимо влияние върху фармакокинетиката на тиотропиум. Тиотропиум предимно се отстранява чрез бъбречно елиминиране (74% при млади здрави доброволци) и чрез просто не-ензимно разграждане до фармакологично неактивни продукти.</w:t>
      </w:r>
    </w:p>
    <w:p w14:paraId="148EDE76" w14:textId="77777777" w:rsidR="000E6DF9" w:rsidRPr="000E6DF9" w:rsidRDefault="000E6DF9" w:rsidP="000E6DF9">
      <w:pPr>
        <w:rPr>
          <w:rFonts w:eastAsia="Times New Roman" w:cs="Arial"/>
          <w:i/>
          <w:iCs/>
          <w:color w:val="000000"/>
          <w:lang w:eastAsia="bg-BG"/>
        </w:rPr>
      </w:pPr>
    </w:p>
    <w:p w14:paraId="75A15AB5" w14:textId="47F91F6C" w:rsidR="000E6DF9" w:rsidRPr="000E6DF9" w:rsidRDefault="000E6DF9" w:rsidP="000E6DF9">
      <w:pPr>
        <w:rPr>
          <w:rFonts w:eastAsia="Times New Roman" w:cs="Arial"/>
          <w:color w:val="000000"/>
          <w:lang w:eastAsia="bg-BG"/>
        </w:rPr>
      </w:pPr>
      <w:r w:rsidRPr="000E6DF9">
        <w:rPr>
          <w:rFonts w:eastAsia="Times New Roman" w:cs="Arial"/>
          <w:i/>
          <w:iCs/>
          <w:color w:val="000000"/>
          <w:lang w:eastAsia="bg-BG"/>
        </w:rPr>
        <w:t>Олодатерол:</w:t>
      </w:r>
      <w:r w:rsidRPr="000E6DF9">
        <w:rPr>
          <w:rFonts w:eastAsia="Times New Roman" w:cs="Arial"/>
          <w:color w:val="000000"/>
          <w:lang w:eastAsia="bg-BG"/>
        </w:rPr>
        <w:t xml:space="preserve"> Няма данни за разлики в елиминирането на олодатерол или за свързването към протеините между пациенти с леко до умерено чернодробно увреждане в сравнение със здрави участници. Не е провеждано проучване при пациенти с тежко чернодробно увреждане.</w:t>
      </w:r>
    </w:p>
    <w:p w14:paraId="3B3741CF" w14:textId="77777777" w:rsidR="000E6DF9" w:rsidRPr="000E6DF9" w:rsidRDefault="000E6DF9" w:rsidP="000E6DF9"/>
    <w:p w14:paraId="4F31844C" w14:textId="149B886A" w:rsidR="00875EEC" w:rsidRDefault="002C50EE" w:rsidP="005726E3">
      <w:pPr>
        <w:pStyle w:val="Heading2"/>
      </w:pPr>
      <w:r>
        <w:t>5.3. Предклинични данни за безопасност</w:t>
      </w:r>
    </w:p>
    <w:p w14:paraId="2DCD1104" w14:textId="2F129D5F" w:rsidR="000E6DF9" w:rsidRDefault="000E6DF9" w:rsidP="000E6DF9"/>
    <w:p w14:paraId="769A1F2C" w14:textId="77777777" w:rsidR="000E6DF9" w:rsidRPr="000E6DF9" w:rsidRDefault="000E6DF9" w:rsidP="000E6DF9">
      <w:pPr>
        <w:spacing w:line="240" w:lineRule="auto"/>
        <w:rPr>
          <w:rFonts w:eastAsia="Times New Roman" w:cs="Arial"/>
          <w:sz w:val="28"/>
          <w:szCs w:val="24"/>
        </w:rPr>
      </w:pPr>
      <w:r w:rsidRPr="000E6DF9">
        <w:rPr>
          <w:rFonts w:eastAsia="Times New Roman" w:cs="Arial"/>
          <w:i/>
          <w:iCs/>
          <w:color w:val="000000"/>
          <w:szCs w:val="20"/>
          <w:lang w:eastAsia="bg-BG"/>
        </w:rPr>
        <w:t>Тиотропиум + олодатерол</w:t>
      </w:r>
    </w:p>
    <w:p w14:paraId="11AAC769" w14:textId="77777777" w:rsidR="000E6DF9" w:rsidRPr="000E6DF9" w:rsidRDefault="000E6DF9" w:rsidP="000E6DF9">
      <w:pPr>
        <w:spacing w:line="240" w:lineRule="auto"/>
        <w:rPr>
          <w:rFonts w:eastAsia="Times New Roman" w:cs="Arial"/>
          <w:sz w:val="28"/>
          <w:szCs w:val="24"/>
        </w:rPr>
      </w:pPr>
      <w:r w:rsidRPr="000E6DF9">
        <w:rPr>
          <w:rFonts w:eastAsia="Times New Roman" w:cs="Arial"/>
          <w:color w:val="000000"/>
          <w:szCs w:val="20"/>
          <w:lang w:eastAsia="bg-BG"/>
        </w:rPr>
        <w:t>При неклиничните проучвания с комбинация тиотропиум/олодатерол само при експозиции, за които се счита, че са в достатъчна степен по-големи от максималната експозиция при хора, се наблюдават ефекти, които са от малко значение за клиничната употреба.</w:t>
      </w:r>
    </w:p>
    <w:p w14:paraId="618544AB" w14:textId="77777777" w:rsidR="000E6DF9" w:rsidRPr="000E6DF9" w:rsidRDefault="000E6DF9" w:rsidP="000E6DF9">
      <w:pPr>
        <w:spacing w:line="240" w:lineRule="auto"/>
        <w:rPr>
          <w:rFonts w:eastAsia="Times New Roman" w:cs="Arial"/>
          <w:i/>
          <w:iCs/>
          <w:color w:val="000000"/>
          <w:szCs w:val="20"/>
          <w:lang w:eastAsia="bg-BG"/>
        </w:rPr>
      </w:pPr>
    </w:p>
    <w:p w14:paraId="5FB0B453" w14:textId="32898A24" w:rsidR="000E6DF9" w:rsidRPr="000E6DF9" w:rsidRDefault="000E6DF9" w:rsidP="000E6DF9">
      <w:pPr>
        <w:spacing w:line="240" w:lineRule="auto"/>
        <w:rPr>
          <w:rFonts w:eastAsia="Times New Roman" w:cs="Arial"/>
          <w:sz w:val="28"/>
          <w:szCs w:val="24"/>
        </w:rPr>
      </w:pPr>
      <w:r w:rsidRPr="000E6DF9">
        <w:rPr>
          <w:rFonts w:eastAsia="Times New Roman" w:cs="Arial"/>
          <w:i/>
          <w:iCs/>
          <w:color w:val="000000"/>
          <w:szCs w:val="20"/>
          <w:lang w:eastAsia="bg-BG"/>
        </w:rPr>
        <w:t>Тиотропиум</w:t>
      </w:r>
    </w:p>
    <w:p w14:paraId="1902C24D" w14:textId="77777777" w:rsidR="000E6DF9" w:rsidRPr="000E6DF9" w:rsidRDefault="000E6DF9" w:rsidP="000E6DF9">
      <w:pPr>
        <w:spacing w:line="240" w:lineRule="auto"/>
        <w:rPr>
          <w:rFonts w:eastAsia="Times New Roman" w:cs="Arial"/>
          <w:sz w:val="28"/>
          <w:szCs w:val="24"/>
        </w:rPr>
      </w:pPr>
      <w:r w:rsidRPr="000E6DF9">
        <w:rPr>
          <w:rFonts w:eastAsia="Times New Roman" w:cs="Arial"/>
          <w:color w:val="000000"/>
          <w:szCs w:val="20"/>
          <w:lang w:eastAsia="bg-BG"/>
        </w:rPr>
        <w:t>Проучванията за генотоксичност и карциногенен потенциал не показват особен риск за хора. Вредните ефекти, по отношение на бременността, ембрионалното/феталното развитие, раждането или постнаталното развитие, биха могли да се демонстрират само при дозови нива, токсични за майката. Тиотропиум бромид не показва тератогенност при плъхове и зайци. Респираторните (дразнене) и урогениталните (простатит) промени, както и репродуктивната токсичност, са наблюдавани при локална или системна експозиция пет пъти над терапевтичната.</w:t>
      </w:r>
    </w:p>
    <w:p w14:paraId="60BE339B" w14:textId="77777777" w:rsidR="000E6DF9" w:rsidRPr="000E6DF9" w:rsidRDefault="000E6DF9" w:rsidP="000E6DF9">
      <w:pPr>
        <w:spacing w:line="240" w:lineRule="auto"/>
        <w:rPr>
          <w:rFonts w:eastAsia="Times New Roman" w:cs="Arial"/>
          <w:i/>
          <w:iCs/>
          <w:color w:val="000000"/>
          <w:szCs w:val="20"/>
          <w:lang w:eastAsia="bg-BG"/>
        </w:rPr>
      </w:pPr>
    </w:p>
    <w:p w14:paraId="19E4B7E7" w14:textId="50A839CC" w:rsidR="000E6DF9" w:rsidRPr="000E6DF9" w:rsidRDefault="000E6DF9" w:rsidP="000E6DF9">
      <w:pPr>
        <w:spacing w:line="240" w:lineRule="auto"/>
        <w:rPr>
          <w:rFonts w:eastAsia="Times New Roman" w:cs="Arial"/>
          <w:sz w:val="28"/>
          <w:szCs w:val="24"/>
        </w:rPr>
      </w:pPr>
      <w:r w:rsidRPr="000E6DF9">
        <w:rPr>
          <w:rFonts w:eastAsia="Times New Roman" w:cs="Arial"/>
          <w:i/>
          <w:iCs/>
          <w:color w:val="000000"/>
          <w:szCs w:val="20"/>
          <w:lang w:eastAsia="bg-BG"/>
        </w:rPr>
        <w:t>Олодатерол</w:t>
      </w:r>
    </w:p>
    <w:p w14:paraId="4039D171" w14:textId="77777777" w:rsidR="000E6DF9" w:rsidRPr="000E6DF9" w:rsidRDefault="000E6DF9" w:rsidP="000E6DF9">
      <w:pPr>
        <w:spacing w:line="240" w:lineRule="auto"/>
        <w:rPr>
          <w:rFonts w:eastAsia="Times New Roman" w:cs="Arial"/>
          <w:color w:val="000000"/>
          <w:szCs w:val="20"/>
          <w:lang w:eastAsia="bg-BG"/>
        </w:rPr>
      </w:pPr>
      <w:r w:rsidRPr="000E6DF9">
        <w:rPr>
          <w:rFonts w:eastAsia="Times New Roman" w:cs="Arial"/>
          <w:color w:val="000000"/>
          <w:szCs w:val="20"/>
          <w:lang w:eastAsia="bg-BG"/>
        </w:rPr>
        <w:t>Проучванията за генотоксичност и карциногенен потенциал не показват особен риск за хора. Наблюдавана е повишена честота на мезовариална лейомиома при плъхове и маточна лейомиома и лейомиосаркома при мишки. Счита се, че това е ефект на класа лекарства, наблюдаван при гризачи след продължителна експозиция на високи дози β</w:t>
      </w:r>
      <w:r w:rsidRPr="000E6DF9">
        <w:rPr>
          <w:rFonts w:eastAsia="Times New Roman" w:cs="Arial"/>
          <w:color w:val="000000"/>
          <w:szCs w:val="20"/>
          <w:vertAlign w:val="subscript"/>
          <w:lang w:eastAsia="bg-BG"/>
        </w:rPr>
        <w:t>2</w:t>
      </w:r>
      <w:r w:rsidRPr="000E6DF9">
        <w:rPr>
          <w:rFonts w:eastAsia="Times New Roman" w:cs="Arial"/>
          <w:color w:val="000000"/>
          <w:szCs w:val="20"/>
          <w:lang w:eastAsia="bg-BG"/>
        </w:rPr>
        <w:t>-агонисти. До момента β</w:t>
      </w:r>
      <w:r w:rsidRPr="000E6DF9">
        <w:rPr>
          <w:rFonts w:eastAsia="Times New Roman" w:cs="Arial"/>
          <w:color w:val="000000"/>
          <w:szCs w:val="20"/>
          <w:vertAlign w:val="subscript"/>
          <w:lang w:eastAsia="bg-BG"/>
        </w:rPr>
        <w:t>2</w:t>
      </w:r>
      <w:r w:rsidRPr="000E6DF9">
        <w:rPr>
          <w:rFonts w:eastAsia="Times New Roman" w:cs="Arial"/>
          <w:color w:val="000000"/>
          <w:szCs w:val="20"/>
          <w:lang w:eastAsia="bg-BG"/>
        </w:rPr>
        <w:t xml:space="preserve">-агонистите не са свързвани с ракови заболявалия при </w:t>
      </w:r>
    </w:p>
    <w:p w14:paraId="766FC7AC" w14:textId="7BCE9BBE" w:rsidR="000E6DF9" w:rsidRPr="000E6DF9" w:rsidRDefault="000E6DF9" w:rsidP="000E6DF9">
      <w:pPr>
        <w:spacing w:line="240" w:lineRule="auto"/>
        <w:rPr>
          <w:rFonts w:eastAsia="Times New Roman" w:cs="Arial"/>
          <w:sz w:val="28"/>
          <w:szCs w:val="24"/>
        </w:rPr>
      </w:pPr>
      <w:r w:rsidRPr="000E6DF9">
        <w:rPr>
          <w:rFonts w:eastAsia="Times New Roman" w:cs="Arial"/>
          <w:color w:val="000000"/>
          <w:szCs w:val="20"/>
          <w:lang w:eastAsia="bg-BG"/>
        </w:rPr>
        <w:t>хора.</w:t>
      </w:r>
    </w:p>
    <w:p w14:paraId="6D2634B4" w14:textId="77777777" w:rsidR="000E6DF9" w:rsidRPr="000E6DF9" w:rsidRDefault="000E6DF9" w:rsidP="000E6DF9">
      <w:pPr>
        <w:spacing w:line="240" w:lineRule="auto"/>
        <w:rPr>
          <w:rFonts w:eastAsia="Times New Roman" w:cs="Arial"/>
          <w:color w:val="000000"/>
          <w:szCs w:val="20"/>
          <w:lang w:eastAsia="bg-BG"/>
        </w:rPr>
      </w:pPr>
    </w:p>
    <w:p w14:paraId="394BF883" w14:textId="0524BAFD" w:rsidR="000E6DF9" w:rsidRPr="000E6DF9" w:rsidRDefault="000E6DF9" w:rsidP="000E6DF9">
      <w:pPr>
        <w:spacing w:line="240" w:lineRule="auto"/>
        <w:rPr>
          <w:rFonts w:eastAsia="Times New Roman" w:cs="Arial"/>
          <w:sz w:val="28"/>
          <w:szCs w:val="24"/>
        </w:rPr>
      </w:pPr>
      <w:r w:rsidRPr="000E6DF9">
        <w:rPr>
          <w:rFonts w:eastAsia="Times New Roman" w:cs="Arial"/>
          <w:color w:val="000000"/>
          <w:szCs w:val="20"/>
          <w:lang w:eastAsia="bg-BG"/>
        </w:rPr>
        <w:t>При плъхове не са наблюдавани тератогенни ефекти след прилагане на инхалаторна доза от 1 054 микро грама</w:t>
      </w:r>
      <w:r w:rsidRPr="000E6DF9">
        <w:rPr>
          <w:rFonts w:eastAsia="Times New Roman" w:cs="Arial"/>
          <w:color w:val="000000"/>
          <w:szCs w:val="20"/>
          <w:lang w:val="ru-RU"/>
        </w:rPr>
        <w:t>/</w:t>
      </w:r>
      <w:r w:rsidRPr="000E6DF9">
        <w:rPr>
          <w:rFonts w:eastAsia="Times New Roman" w:cs="Arial"/>
          <w:color w:val="000000"/>
          <w:szCs w:val="20"/>
          <w:lang w:val="en-US"/>
        </w:rPr>
        <w:t>kg</w:t>
      </w:r>
      <w:r w:rsidRPr="000E6DF9">
        <w:rPr>
          <w:rFonts w:eastAsia="Times New Roman" w:cs="Arial"/>
          <w:color w:val="000000"/>
          <w:szCs w:val="20"/>
          <w:lang w:val="ru-RU"/>
        </w:rPr>
        <w:t>/</w:t>
      </w:r>
      <w:r w:rsidRPr="000E6DF9">
        <w:rPr>
          <w:rFonts w:eastAsia="Times New Roman" w:cs="Arial"/>
          <w:color w:val="000000"/>
          <w:szCs w:val="20"/>
          <w:lang w:eastAsia="bg-BG"/>
        </w:rPr>
        <w:t xml:space="preserve">ден [&gt; 2 600 пъти експозицията при хора </w:t>
      </w:r>
      <w:r w:rsidRPr="000E6DF9">
        <w:rPr>
          <w:rFonts w:eastAsia="Times New Roman" w:cs="Arial"/>
          <w:color w:val="000000"/>
          <w:szCs w:val="20"/>
          <w:lang w:val="ru-RU"/>
        </w:rPr>
        <w:t>(</w:t>
      </w:r>
      <w:r w:rsidRPr="000E6DF9">
        <w:rPr>
          <w:rFonts w:eastAsia="Times New Roman" w:cs="Arial"/>
          <w:color w:val="000000"/>
          <w:szCs w:val="20"/>
          <w:lang w:val="en-US"/>
        </w:rPr>
        <w:t>AUC</w:t>
      </w:r>
      <w:r w:rsidRPr="000E6DF9">
        <w:rPr>
          <w:rFonts w:eastAsia="Times New Roman" w:cs="Arial"/>
          <w:color w:val="000000"/>
          <w:szCs w:val="20"/>
          <w:vertAlign w:val="subscript"/>
          <w:lang w:val="ru-RU"/>
        </w:rPr>
        <w:t>(0-24</w:t>
      </w:r>
      <w:r w:rsidRPr="000E6DF9">
        <w:rPr>
          <w:rFonts w:eastAsia="Times New Roman" w:cs="Arial"/>
          <w:color w:val="000000"/>
          <w:szCs w:val="20"/>
          <w:vertAlign w:val="subscript"/>
          <w:lang w:val="en-US"/>
        </w:rPr>
        <w:t>h</w:t>
      </w:r>
      <w:r w:rsidRPr="000E6DF9">
        <w:rPr>
          <w:rFonts w:eastAsia="Times New Roman" w:cs="Arial"/>
          <w:color w:val="000000"/>
          <w:szCs w:val="20"/>
          <w:vertAlign w:val="subscript"/>
          <w:lang w:val="ru-RU"/>
        </w:rPr>
        <w:t>)</w:t>
      </w:r>
      <w:r w:rsidRPr="000E6DF9">
        <w:rPr>
          <w:rFonts w:eastAsia="Times New Roman" w:cs="Arial"/>
          <w:color w:val="000000"/>
          <w:szCs w:val="20"/>
          <w:lang w:val="ru-RU"/>
        </w:rPr>
        <w:t xml:space="preserve">) </w:t>
      </w:r>
      <w:r w:rsidRPr="000E6DF9">
        <w:rPr>
          <w:rFonts w:eastAsia="Times New Roman" w:cs="Arial"/>
          <w:color w:val="000000"/>
          <w:szCs w:val="20"/>
          <w:lang w:eastAsia="bg-BG"/>
        </w:rPr>
        <w:t xml:space="preserve">при доза от 5 микрограма]. При бременни новозеландски бели зайци </w:t>
      </w:r>
      <w:r w:rsidRPr="000E6DF9">
        <w:rPr>
          <w:rFonts w:eastAsia="Times New Roman" w:cs="Arial"/>
          <w:color w:val="000000"/>
          <w:szCs w:val="20"/>
          <w:lang w:val="ru-RU"/>
        </w:rPr>
        <w:t>(</w:t>
      </w:r>
      <w:r w:rsidRPr="000E6DF9">
        <w:rPr>
          <w:rFonts w:eastAsia="Times New Roman" w:cs="Arial"/>
          <w:color w:val="000000"/>
          <w:szCs w:val="20"/>
          <w:lang w:val="en-US"/>
        </w:rPr>
        <w:t>NZW</w:t>
      </w:r>
      <w:r w:rsidRPr="000E6DF9">
        <w:rPr>
          <w:rFonts w:eastAsia="Times New Roman" w:cs="Arial"/>
          <w:color w:val="000000"/>
          <w:szCs w:val="20"/>
          <w:lang w:val="ru-RU"/>
        </w:rPr>
        <w:t xml:space="preserve">) </w:t>
      </w:r>
      <w:r w:rsidRPr="000E6DF9">
        <w:rPr>
          <w:rFonts w:eastAsia="Times New Roman" w:cs="Arial"/>
          <w:color w:val="000000"/>
          <w:szCs w:val="20"/>
          <w:lang w:eastAsia="bg-BG"/>
        </w:rPr>
        <w:t>инхалаторна доза олодатерол от 2 489 микрограма</w:t>
      </w:r>
      <w:r w:rsidRPr="000E6DF9">
        <w:rPr>
          <w:rFonts w:eastAsia="Times New Roman" w:cs="Arial"/>
          <w:color w:val="000000"/>
          <w:szCs w:val="20"/>
          <w:lang w:val="ru-RU"/>
        </w:rPr>
        <w:t>/</w:t>
      </w:r>
      <w:r w:rsidRPr="000E6DF9">
        <w:rPr>
          <w:rFonts w:eastAsia="Times New Roman" w:cs="Arial"/>
          <w:color w:val="000000"/>
          <w:szCs w:val="20"/>
          <w:lang w:val="en-US"/>
        </w:rPr>
        <w:t>kg</w:t>
      </w:r>
      <w:r w:rsidRPr="000E6DF9">
        <w:rPr>
          <w:rFonts w:eastAsia="Times New Roman" w:cs="Arial"/>
          <w:color w:val="000000"/>
          <w:szCs w:val="20"/>
          <w:lang w:val="ru-RU"/>
        </w:rPr>
        <w:t>/</w:t>
      </w:r>
      <w:r w:rsidRPr="000E6DF9">
        <w:rPr>
          <w:rFonts w:eastAsia="Times New Roman" w:cs="Arial"/>
          <w:color w:val="000000"/>
          <w:szCs w:val="20"/>
          <w:lang w:eastAsia="bg-BG"/>
        </w:rPr>
        <w:t xml:space="preserve">ден (приблизително 7 130 пъти експозицията при хора при доза 5 микрограма въз основа на </w:t>
      </w:r>
      <w:r w:rsidRPr="000E6DF9">
        <w:rPr>
          <w:rFonts w:eastAsia="Times New Roman" w:cs="Arial"/>
          <w:color w:val="000000"/>
          <w:szCs w:val="20"/>
          <w:lang w:val="en-US"/>
        </w:rPr>
        <w:t>AUC</w:t>
      </w:r>
      <w:r w:rsidRPr="000E6DF9">
        <w:rPr>
          <w:rFonts w:eastAsia="Times New Roman" w:cs="Arial"/>
          <w:color w:val="000000"/>
          <w:szCs w:val="20"/>
          <w:vertAlign w:val="subscript"/>
          <w:lang w:val="ru-RU"/>
        </w:rPr>
        <w:t>(0-24</w:t>
      </w:r>
      <w:r w:rsidRPr="000E6DF9">
        <w:rPr>
          <w:rFonts w:eastAsia="Times New Roman" w:cs="Arial"/>
          <w:color w:val="000000"/>
          <w:szCs w:val="20"/>
          <w:vertAlign w:val="subscript"/>
          <w:lang w:val="en-US"/>
        </w:rPr>
        <w:t>h</w:t>
      </w:r>
      <w:r w:rsidRPr="000E6DF9">
        <w:rPr>
          <w:rFonts w:eastAsia="Times New Roman" w:cs="Arial"/>
          <w:color w:val="000000"/>
          <w:szCs w:val="20"/>
          <w:vertAlign w:val="subscript"/>
          <w:lang w:val="ru-RU"/>
        </w:rPr>
        <w:t>)</w:t>
      </w:r>
      <w:r w:rsidRPr="000E6DF9">
        <w:rPr>
          <w:rFonts w:eastAsia="Times New Roman" w:cs="Arial"/>
          <w:color w:val="000000"/>
          <w:szCs w:val="20"/>
          <w:lang w:val="ru-RU"/>
        </w:rPr>
        <w:t xml:space="preserve">) </w:t>
      </w:r>
      <w:r w:rsidRPr="000E6DF9">
        <w:rPr>
          <w:rFonts w:eastAsia="Times New Roman" w:cs="Arial"/>
          <w:color w:val="000000"/>
          <w:szCs w:val="20"/>
          <w:lang w:eastAsia="bg-BG"/>
        </w:rPr>
        <w:t>е показала фетална токсичност, характерна за бета- адренорецепторна стимулация, в това число частична осификация, къси/огънати кости, частично отворено око, цепнато небце, сърдечно-съдови аномалии. Не са наблюдавани значими ефекти при инхалаторна доза от 974 микрограма/</w:t>
      </w:r>
      <w:r w:rsidRPr="000E6DF9">
        <w:rPr>
          <w:rFonts w:eastAsia="Times New Roman" w:cs="Arial"/>
          <w:color w:val="000000"/>
          <w:szCs w:val="20"/>
          <w:lang w:val="en-US"/>
        </w:rPr>
        <w:t>kg</w:t>
      </w:r>
      <w:r w:rsidRPr="000E6DF9">
        <w:rPr>
          <w:rFonts w:eastAsia="Times New Roman" w:cs="Arial"/>
          <w:color w:val="000000"/>
          <w:szCs w:val="20"/>
          <w:lang w:val="ru-RU"/>
        </w:rPr>
        <w:t>/</w:t>
      </w:r>
      <w:r w:rsidRPr="000E6DF9">
        <w:rPr>
          <w:rFonts w:eastAsia="Times New Roman" w:cs="Arial"/>
          <w:color w:val="000000"/>
          <w:szCs w:val="20"/>
          <w:lang w:eastAsia="bg-BG"/>
        </w:rPr>
        <w:t xml:space="preserve">ден (приблизително 1 353 пъти доза от 5 микрограма въз основа на </w:t>
      </w:r>
      <w:r w:rsidRPr="000E6DF9">
        <w:rPr>
          <w:rFonts w:eastAsia="Times New Roman" w:cs="Arial"/>
          <w:color w:val="000000"/>
          <w:szCs w:val="20"/>
          <w:lang w:val="en-US"/>
        </w:rPr>
        <w:t>AUC</w:t>
      </w:r>
      <w:r w:rsidRPr="000E6DF9">
        <w:rPr>
          <w:rFonts w:eastAsia="Times New Roman" w:cs="Arial"/>
          <w:color w:val="000000"/>
          <w:szCs w:val="20"/>
          <w:vertAlign w:val="subscript"/>
          <w:lang w:val="ru-RU"/>
        </w:rPr>
        <w:t>(0-24</w:t>
      </w:r>
      <w:r w:rsidRPr="000E6DF9">
        <w:rPr>
          <w:rFonts w:eastAsia="Times New Roman" w:cs="Arial"/>
          <w:color w:val="000000"/>
          <w:szCs w:val="20"/>
          <w:vertAlign w:val="subscript"/>
          <w:lang w:val="en-US"/>
        </w:rPr>
        <w:t>h</w:t>
      </w:r>
      <w:r w:rsidRPr="000E6DF9">
        <w:rPr>
          <w:rFonts w:eastAsia="Times New Roman" w:cs="Arial"/>
          <w:color w:val="000000"/>
          <w:szCs w:val="20"/>
          <w:vertAlign w:val="subscript"/>
          <w:lang w:val="ru-RU"/>
        </w:rPr>
        <w:t>)</w:t>
      </w:r>
      <w:r w:rsidRPr="000E6DF9">
        <w:rPr>
          <w:rFonts w:eastAsia="Times New Roman" w:cs="Arial"/>
          <w:color w:val="000000"/>
          <w:szCs w:val="20"/>
          <w:lang w:val="ru-RU"/>
        </w:rPr>
        <w:t>).</w:t>
      </w:r>
    </w:p>
    <w:p w14:paraId="782C13F5" w14:textId="77777777" w:rsidR="000E6DF9" w:rsidRPr="000E6DF9" w:rsidRDefault="000E6DF9" w:rsidP="000E6DF9"/>
    <w:p w14:paraId="1BA6531D" w14:textId="69B79EE0" w:rsidR="00B6672E" w:rsidRDefault="002C50EE" w:rsidP="00936AD0">
      <w:pPr>
        <w:pStyle w:val="Heading1"/>
      </w:pPr>
      <w:r>
        <w:t>7. ПРИТЕЖАТЕЛ НА РАЗРЕШЕНИЕТО ЗА УПОТРЕБА</w:t>
      </w:r>
    </w:p>
    <w:p w14:paraId="4456D87B" w14:textId="52BBD01B" w:rsidR="000E6DF9" w:rsidRDefault="000E6DF9" w:rsidP="000E6DF9"/>
    <w:p w14:paraId="640C063D" w14:textId="77777777" w:rsidR="000E6DF9" w:rsidRPr="000E6DF9" w:rsidRDefault="000E6DF9" w:rsidP="000E6DF9">
      <w:pPr>
        <w:rPr>
          <w:sz w:val="24"/>
          <w:szCs w:val="24"/>
          <w:lang w:val="en-US"/>
        </w:rPr>
      </w:pPr>
      <w:proofErr w:type="spellStart"/>
      <w:r w:rsidRPr="000E6DF9">
        <w:rPr>
          <w:lang w:val="en-US"/>
        </w:rPr>
        <w:t>Boehringer</w:t>
      </w:r>
      <w:proofErr w:type="spellEnd"/>
      <w:r w:rsidRPr="000E6DF9">
        <w:rPr>
          <w:lang w:val="en-US"/>
        </w:rPr>
        <w:t xml:space="preserve"> </w:t>
      </w:r>
      <w:proofErr w:type="spellStart"/>
      <w:r w:rsidRPr="000E6DF9">
        <w:rPr>
          <w:lang w:val="en-US"/>
        </w:rPr>
        <w:t>Ingelheim</w:t>
      </w:r>
      <w:proofErr w:type="spellEnd"/>
      <w:r w:rsidRPr="000E6DF9">
        <w:rPr>
          <w:lang w:val="en-US"/>
        </w:rPr>
        <w:t xml:space="preserve"> International GmbH</w:t>
      </w:r>
    </w:p>
    <w:p w14:paraId="3C5831C5" w14:textId="77777777" w:rsidR="000E6DF9" w:rsidRPr="000E6DF9" w:rsidRDefault="000E6DF9" w:rsidP="000E6DF9">
      <w:pPr>
        <w:rPr>
          <w:sz w:val="24"/>
          <w:szCs w:val="24"/>
          <w:lang w:val="en-US"/>
        </w:rPr>
      </w:pPr>
      <w:r w:rsidRPr="000E6DF9">
        <w:rPr>
          <w:lang w:val="en-US"/>
        </w:rPr>
        <w:t xml:space="preserve">Binger </w:t>
      </w:r>
      <w:proofErr w:type="spellStart"/>
      <w:r w:rsidRPr="000E6DF9">
        <w:rPr>
          <w:lang w:val="en-US"/>
        </w:rPr>
        <w:t>Strasse</w:t>
      </w:r>
      <w:proofErr w:type="spellEnd"/>
      <w:r w:rsidRPr="000E6DF9">
        <w:rPr>
          <w:lang w:val="en-US"/>
        </w:rPr>
        <w:t xml:space="preserve"> 173</w:t>
      </w:r>
    </w:p>
    <w:p w14:paraId="1E7A23B7" w14:textId="77777777" w:rsidR="000E6DF9" w:rsidRPr="000E6DF9" w:rsidRDefault="000E6DF9" w:rsidP="000E6DF9">
      <w:pPr>
        <w:rPr>
          <w:sz w:val="24"/>
          <w:szCs w:val="24"/>
          <w:lang w:val="ru-RU"/>
        </w:rPr>
      </w:pPr>
      <w:r w:rsidRPr="000E6DF9">
        <w:rPr>
          <w:lang w:val="en-US"/>
        </w:rPr>
        <w:t>D</w:t>
      </w:r>
      <w:r w:rsidRPr="000E6DF9">
        <w:rPr>
          <w:lang w:val="ru-RU"/>
        </w:rPr>
        <w:t xml:space="preserve">-55216 </w:t>
      </w:r>
      <w:proofErr w:type="spellStart"/>
      <w:r w:rsidRPr="000E6DF9">
        <w:rPr>
          <w:lang w:val="en-US"/>
        </w:rPr>
        <w:t>Ingelheim</w:t>
      </w:r>
      <w:proofErr w:type="spellEnd"/>
      <w:r w:rsidRPr="000E6DF9">
        <w:rPr>
          <w:lang w:val="ru-RU"/>
        </w:rPr>
        <w:t xml:space="preserve"> </w:t>
      </w:r>
      <w:r w:rsidRPr="000E6DF9">
        <w:rPr>
          <w:lang w:val="en-US"/>
        </w:rPr>
        <w:t>am</w:t>
      </w:r>
      <w:r w:rsidRPr="000E6DF9">
        <w:rPr>
          <w:lang w:val="ru-RU"/>
        </w:rPr>
        <w:t xml:space="preserve"> </w:t>
      </w:r>
      <w:proofErr w:type="spellStart"/>
      <w:r w:rsidRPr="000E6DF9">
        <w:rPr>
          <w:lang w:val="en-US"/>
        </w:rPr>
        <w:t>Rhein</w:t>
      </w:r>
      <w:proofErr w:type="spellEnd"/>
    </w:p>
    <w:p w14:paraId="0A2B8B75" w14:textId="4EB8F274" w:rsidR="000E6DF9" w:rsidRPr="000E6DF9" w:rsidRDefault="000E6DF9" w:rsidP="000E6DF9">
      <w:r w:rsidRPr="000E6DF9">
        <w:rPr>
          <w:lang w:eastAsia="bg-BG"/>
        </w:rPr>
        <w:t>Германия</w:t>
      </w:r>
    </w:p>
    <w:p w14:paraId="508F3A54" w14:textId="283A3737" w:rsidR="00B6672E" w:rsidRDefault="00936AD0" w:rsidP="00936AD0">
      <w:pPr>
        <w:pStyle w:val="Heading1"/>
      </w:pPr>
      <w:r>
        <w:t>8.</w:t>
      </w:r>
      <w:r w:rsidR="002C50EE">
        <w:t>НОМЕР НА РАЗРЕШЕНИЕТО ЗА УПОТРЕБА</w:t>
      </w:r>
    </w:p>
    <w:p w14:paraId="5C65021C" w14:textId="2A0ED0CD" w:rsidR="000E6DF9" w:rsidRDefault="000E6DF9" w:rsidP="000E6DF9"/>
    <w:p w14:paraId="156D2024" w14:textId="387AC10F" w:rsidR="000E6DF9" w:rsidRPr="000E6DF9" w:rsidRDefault="000E6DF9" w:rsidP="000E6DF9">
      <w:r>
        <w:t>20150259</w:t>
      </w:r>
    </w:p>
    <w:p w14:paraId="3BC5EC53" w14:textId="584D3071" w:rsidR="00875EEC" w:rsidRDefault="002C50EE" w:rsidP="005726E3">
      <w:pPr>
        <w:pStyle w:val="Heading1"/>
      </w:pPr>
      <w:r>
        <w:lastRenderedPageBreak/>
        <w:t>9. ДАТА НА ПЪРВО РАЗРЕШАВАНЕ/ПОДНОВЯВАНЕ НА РАЗРЕШЕНИЕТО ЗА УПОТРЕБА</w:t>
      </w:r>
    </w:p>
    <w:p w14:paraId="244850A5" w14:textId="054A8B82" w:rsidR="000E6DF9" w:rsidRDefault="000E6DF9" w:rsidP="000E6DF9"/>
    <w:p w14:paraId="23938A39" w14:textId="77777777" w:rsidR="000E6DF9" w:rsidRPr="000E6DF9" w:rsidRDefault="000E6DF9" w:rsidP="000E6DF9">
      <w:pPr>
        <w:rPr>
          <w:sz w:val="24"/>
          <w:szCs w:val="24"/>
        </w:rPr>
      </w:pPr>
      <w:r w:rsidRPr="000E6DF9">
        <w:rPr>
          <w:lang w:eastAsia="bg-BG"/>
        </w:rPr>
        <w:t>Дата на първо разрешаване: 05 Август 2015</w:t>
      </w:r>
    </w:p>
    <w:p w14:paraId="17D6AB3C" w14:textId="6E2A6174" w:rsidR="000E6DF9" w:rsidRPr="000E6DF9" w:rsidRDefault="000E6DF9" w:rsidP="000E6DF9">
      <w:r w:rsidRPr="000E6DF9">
        <w:rPr>
          <w:lang w:eastAsia="bg-BG"/>
        </w:rPr>
        <w:t>Дата на последно подновяване: 28 Май 2020</w:t>
      </w:r>
    </w:p>
    <w:p w14:paraId="43FB38A2" w14:textId="1E62F256" w:rsidR="007C605B" w:rsidRPr="003E3126" w:rsidRDefault="002C50EE" w:rsidP="005726E3">
      <w:pPr>
        <w:pStyle w:val="Heading1"/>
      </w:pPr>
      <w:r>
        <w:t>10. ДАТА НА АКТУАЛИЗ</w:t>
      </w:r>
      <w:bookmarkStart w:id="3" w:name="_GoBack"/>
      <w:bookmarkEnd w:id="3"/>
      <w:r>
        <w:t>ИРАНЕ НА ТЕКСТА</w:t>
      </w:r>
      <w:bookmarkEnd w:id="0"/>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5DF6BF1"/>
    <w:multiLevelType w:val="hybridMultilevel"/>
    <w:tmpl w:val="411E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005334"/>
    <w:multiLevelType w:val="hybridMultilevel"/>
    <w:tmpl w:val="75FA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3"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8"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9F744A"/>
    <w:multiLevelType w:val="hybridMultilevel"/>
    <w:tmpl w:val="0ED6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1080995"/>
    <w:multiLevelType w:val="hybridMultilevel"/>
    <w:tmpl w:val="9246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37257"/>
    <w:multiLevelType w:val="hybridMultilevel"/>
    <w:tmpl w:val="7808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3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197282"/>
    <w:multiLevelType w:val="hybridMultilevel"/>
    <w:tmpl w:val="6AA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A1067E"/>
    <w:multiLevelType w:val="hybridMultilevel"/>
    <w:tmpl w:val="6E46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05540"/>
    <w:multiLevelType w:val="hybridMultilevel"/>
    <w:tmpl w:val="AF50F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C077D1"/>
    <w:multiLevelType w:val="hybridMultilevel"/>
    <w:tmpl w:val="483C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8"/>
  </w:num>
  <w:num w:numId="2">
    <w:abstractNumId w:val="0"/>
  </w:num>
  <w:num w:numId="3">
    <w:abstractNumId w:val="20"/>
  </w:num>
  <w:num w:numId="4">
    <w:abstractNumId w:val="7"/>
  </w:num>
  <w:num w:numId="5">
    <w:abstractNumId w:val="1"/>
  </w:num>
  <w:num w:numId="6">
    <w:abstractNumId w:val="24"/>
  </w:num>
  <w:num w:numId="7">
    <w:abstractNumId w:val="18"/>
  </w:num>
  <w:num w:numId="8">
    <w:abstractNumId w:val="23"/>
  </w:num>
  <w:num w:numId="9">
    <w:abstractNumId w:val="6"/>
  </w:num>
  <w:num w:numId="10">
    <w:abstractNumId w:val="8"/>
  </w:num>
  <w:num w:numId="11">
    <w:abstractNumId w:val="41"/>
  </w:num>
  <w:num w:numId="12">
    <w:abstractNumId w:val="21"/>
  </w:num>
  <w:num w:numId="13">
    <w:abstractNumId w:val="28"/>
  </w:num>
  <w:num w:numId="14">
    <w:abstractNumId w:val="19"/>
  </w:num>
  <w:num w:numId="15">
    <w:abstractNumId w:val="40"/>
  </w:num>
  <w:num w:numId="16">
    <w:abstractNumId w:val="17"/>
  </w:num>
  <w:num w:numId="17">
    <w:abstractNumId w:val="34"/>
  </w:num>
  <w:num w:numId="18">
    <w:abstractNumId w:val="14"/>
  </w:num>
  <w:num w:numId="19">
    <w:abstractNumId w:val="37"/>
  </w:num>
  <w:num w:numId="20">
    <w:abstractNumId w:val="33"/>
  </w:num>
  <w:num w:numId="21">
    <w:abstractNumId w:val="26"/>
  </w:num>
  <w:num w:numId="22">
    <w:abstractNumId w:val="35"/>
  </w:num>
  <w:num w:numId="23">
    <w:abstractNumId w:val="27"/>
  </w:num>
  <w:num w:numId="24">
    <w:abstractNumId w:val="15"/>
  </w:num>
  <w:num w:numId="25">
    <w:abstractNumId w:val="32"/>
  </w:num>
  <w:num w:numId="26">
    <w:abstractNumId w:val="31"/>
  </w:num>
  <w:num w:numId="27">
    <w:abstractNumId w:val="44"/>
  </w:num>
  <w:num w:numId="28">
    <w:abstractNumId w:val="12"/>
  </w:num>
  <w:num w:numId="29">
    <w:abstractNumId w:val="30"/>
  </w:num>
  <w:num w:numId="30">
    <w:abstractNumId w:val="48"/>
  </w:num>
  <w:num w:numId="31">
    <w:abstractNumId w:val="11"/>
  </w:num>
  <w:num w:numId="32">
    <w:abstractNumId w:val="47"/>
  </w:num>
  <w:num w:numId="33">
    <w:abstractNumId w:val="39"/>
  </w:num>
  <w:num w:numId="34">
    <w:abstractNumId w:val="45"/>
  </w:num>
  <w:num w:numId="35">
    <w:abstractNumId w:val="13"/>
  </w:num>
  <w:num w:numId="36">
    <w:abstractNumId w:val="16"/>
  </w:num>
  <w:num w:numId="37">
    <w:abstractNumId w:val="36"/>
  </w:num>
  <w:num w:numId="38">
    <w:abstractNumId w:val="2"/>
  </w:num>
  <w:num w:numId="39">
    <w:abstractNumId w:val="3"/>
  </w:num>
  <w:num w:numId="40">
    <w:abstractNumId w:val="4"/>
  </w:num>
  <w:num w:numId="41">
    <w:abstractNumId w:val="5"/>
  </w:num>
  <w:num w:numId="42">
    <w:abstractNumId w:val="29"/>
  </w:num>
  <w:num w:numId="43">
    <w:abstractNumId w:val="10"/>
  </w:num>
  <w:num w:numId="44">
    <w:abstractNumId w:val="42"/>
  </w:num>
  <w:num w:numId="45">
    <w:abstractNumId w:val="25"/>
  </w:num>
  <w:num w:numId="46">
    <w:abstractNumId w:val="22"/>
  </w:num>
  <w:num w:numId="47">
    <w:abstractNumId w:val="46"/>
  </w:num>
  <w:num w:numId="48">
    <w:abstractNumId w:val="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E6DF9"/>
    <w:rsid w:val="001076D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47A"/>
    <w:rsid w:val="00CF77F7"/>
    <w:rsid w:val="00D86297"/>
    <w:rsid w:val="00DB32D3"/>
    <w:rsid w:val="00DD466D"/>
    <w:rsid w:val="00E55EF6"/>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7587</Words>
  <Characters>43251</Characters>
  <Application>Microsoft Office Word</Application>
  <DocSecurity>0</DocSecurity>
  <Lines>360</Lines>
  <Paragraphs>101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2022-11-29T20:53:00Z</dcterms:created>
  <dcterms:modified xsi:type="dcterms:W3CDTF">2022-11-29T20:53:00Z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