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79516554" w14:textId="4B048F26" w:rsidR="00DB32D3" w:rsidRDefault="00DD466D" w:rsidP="005726E3">
      <w:pPr>
        <w:pStyle w:val="Heading1"/>
      </w:pPr>
      <w:r>
        <w:t>1.ИМЕ НА ЛЕКАРСТВЕНИЯ ПРОДУКТ</w:t>
      </w:r>
    </w:p>
    <w:p w14:paraId="08F473B5" w14:textId="2507A47F" w:rsidR="008C1E14" w:rsidRDefault="008C1E14" w:rsidP="008C1E14"/>
    <w:p w14:paraId="43D097FA" w14:textId="77777777" w:rsidR="008C1E14" w:rsidRPr="008C1E14" w:rsidRDefault="008C1E14" w:rsidP="008C1E14">
      <w:pPr>
        <w:rPr>
          <w:sz w:val="24"/>
          <w:szCs w:val="24"/>
        </w:rPr>
      </w:pPr>
      <w:r w:rsidRPr="008C1E14">
        <w:rPr>
          <w:lang w:eastAsia="bg-BG"/>
        </w:rPr>
        <w:t>СПИРИВА 18 микрограма, прах за инхалация, твърда капсула</w:t>
      </w:r>
    </w:p>
    <w:p w14:paraId="313E6964" w14:textId="346336F9" w:rsidR="008C1E14" w:rsidRPr="008C1E14" w:rsidRDefault="008C1E14" w:rsidP="008C1E14">
      <w:r w:rsidRPr="008C1E14">
        <w:rPr>
          <w:lang w:val="en-US"/>
        </w:rPr>
        <w:t>SPIRTVA18 micrograms, inhalation powder, hard capsule</w:t>
      </w:r>
    </w:p>
    <w:p w14:paraId="48E6CABE" w14:textId="5D40D089" w:rsidR="00DB32D3" w:rsidRDefault="00DD466D" w:rsidP="005726E3">
      <w:pPr>
        <w:pStyle w:val="Heading1"/>
      </w:pPr>
      <w:r>
        <w:t>2. КАЧЕСТВЕН И КОЛИЧЕСТВЕН СЪСТАВ</w:t>
      </w:r>
    </w:p>
    <w:p w14:paraId="1A8D0F0F" w14:textId="30876C85" w:rsidR="008C1E14" w:rsidRDefault="008C1E14" w:rsidP="008C1E14"/>
    <w:p w14:paraId="3A4C491D" w14:textId="77777777" w:rsidR="008C1E14" w:rsidRPr="008C1E14" w:rsidRDefault="008C1E14" w:rsidP="008C1E14">
      <w:pPr>
        <w:spacing w:line="240" w:lineRule="auto"/>
        <w:rPr>
          <w:rFonts w:eastAsia="Times New Roman" w:cs="Arial"/>
          <w:sz w:val="28"/>
          <w:szCs w:val="24"/>
        </w:rPr>
      </w:pPr>
      <w:r w:rsidRPr="008C1E14">
        <w:rPr>
          <w:rFonts w:eastAsia="Times New Roman" w:cs="Arial"/>
          <w:bCs/>
          <w:color w:val="000000"/>
          <w:szCs w:val="20"/>
          <w:lang w:eastAsia="bg-BG"/>
        </w:rPr>
        <w:t xml:space="preserve">Всяка капсула съдържа 22,5 микрограма тиотропиум бромид монохидрат </w:t>
      </w:r>
      <w:r w:rsidRPr="008C1E14">
        <w:rPr>
          <w:rFonts w:eastAsia="Times New Roman" w:cs="Arial"/>
          <w:bCs/>
          <w:i/>
          <w:iCs/>
          <w:color w:val="000000"/>
          <w:szCs w:val="20"/>
        </w:rPr>
        <w:t>(</w:t>
      </w:r>
      <w:proofErr w:type="spellStart"/>
      <w:r w:rsidRPr="008C1E14">
        <w:rPr>
          <w:rFonts w:eastAsia="Times New Roman" w:cs="Arial"/>
          <w:bCs/>
          <w:i/>
          <w:iCs/>
          <w:color w:val="000000"/>
          <w:szCs w:val="20"/>
          <w:lang w:val="en-US"/>
        </w:rPr>
        <w:t>tiotropium</w:t>
      </w:r>
      <w:proofErr w:type="spellEnd"/>
      <w:r w:rsidRPr="008C1E14">
        <w:rPr>
          <w:rFonts w:eastAsia="Times New Roman" w:cs="Arial"/>
          <w:bCs/>
          <w:i/>
          <w:iCs/>
          <w:color w:val="000000"/>
          <w:szCs w:val="20"/>
        </w:rPr>
        <w:t xml:space="preserve"> </w:t>
      </w:r>
      <w:r w:rsidRPr="008C1E14">
        <w:rPr>
          <w:rFonts w:eastAsia="Times New Roman" w:cs="Arial"/>
          <w:bCs/>
          <w:i/>
          <w:iCs/>
          <w:color w:val="000000"/>
          <w:szCs w:val="20"/>
          <w:lang w:val="en-US"/>
        </w:rPr>
        <w:t>bromide</w:t>
      </w:r>
      <w:r w:rsidRPr="008C1E14">
        <w:rPr>
          <w:rFonts w:eastAsia="Times New Roman" w:cs="Arial"/>
          <w:bCs/>
          <w:i/>
          <w:iCs/>
          <w:color w:val="000000"/>
          <w:szCs w:val="20"/>
        </w:rPr>
        <w:t xml:space="preserve"> </w:t>
      </w:r>
      <w:r w:rsidRPr="008C1E14">
        <w:rPr>
          <w:rFonts w:eastAsia="Times New Roman" w:cs="Arial"/>
          <w:bCs/>
          <w:i/>
          <w:iCs/>
          <w:color w:val="000000"/>
          <w:szCs w:val="20"/>
          <w:lang w:val="en-US"/>
        </w:rPr>
        <w:t>monohydrate</w:t>
      </w:r>
      <w:r w:rsidRPr="008C1E14">
        <w:rPr>
          <w:rFonts w:eastAsia="Times New Roman" w:cs="Arial"/>
          <w:bCs/>
          <w:i/>
          <w:iCs/>
          <w:color w:val="000000"/>
          <w:szCs w:val="20"/>
        </w:rPr>
        <w:t>),</w:t>
      </w:r>
      <w:r w:rsidRPr="008C1E14">
        <w:rPr>
          <w:rFonts w:eastAsia="Times New Roman" w:cs="Arial"/>
          <w:bCs/>
          <w:color w:val="000000"/>
          <w:szCs w:val="20"/>
        </w:rPr>
        <w:t xml:space="preserve"> </w:t>
      </w:r>
      <w:r w:rsidRPr="008C1E14">
        <w:rPr>
          <w:rFonts w:eastAsia="Times New Roman" w:cs="Arial"/>
          <w:bCs/>
          <w:color w:val="000000"/>
          <w:szCs w:val="20"/>
          <w:lang w:eastAsia="bg-BG"/>
        </w:rPr>
        <w:t xml:space="preserve">еквивалентен на 18 микрограма тиотропиум </w:t>
      </w:r>
      <w:r w:rsidRPr="008C1E14">
        <w:rPr>
          <w:rFonts w:eastAsia="Times New Roman" w:cs="Arial"/>
          <w:bCs/>
          <w:i/>
          <w:iCs/>
          <w:color w:val="000000"/>
          <w:szCs w:val="20"/>
        </w:rPr>
        <w:t>(</w:t>
      </w:r>
      <w:proofErr w:type="spellStart"/>
      <w:r w:rsidRPr="008C1E14">
        <w:rPr>
          <w:rFonts w:eastAsia="Times New Roman" w:cs="Arial"/>
          <w:bCs/>
          <w:i/>
          <w:iCs/>
          <w:color w:val="000000"/>
          <w:szCs w:val="20"/>
          <w:lang w:val="en-US"/>
        </w:rPr>
        <w:t>tiotropium</w:t>
      </w:r>
      <w:proofErr w:type="spellEnd"/>
      <w:r w:rsidRPr="008C1E14">
        <w:rPr>
          <w:rFonts w:eastAsia="Times New Roman" w:cs="Arial"/>
          <w:bCs/>
          <w:i/>
          <w:iCs/>
          <w:color w:val="000000"/>
          <w:szCs w:val="20"/>
        </w:rPr>
        <w:t>).</w:t>
      </w:r>
    </w:p>
    <w:p w14:paraId="1B9DB474" w14:textId="77777777" w:rsidR="008C1E14" w:rsidRPr="008C1E14" w:rsidRDefault="008C1E14" w:rsidP="008C1E14">
      <w:pPr>
        <w:spacing w:line="240" w:lineRule="auto"/>
        <w:rPr>
          <w:rFonts w:eastAsia="Times New Roman" w:cs="Arial"/>
          <w:sz w:val="28"/>
          <w:szCs w:val="24"/>
        </w:rPr>
      </w:pPr>
      <w:r w:rsidRPr="008C1E14">
        <w:rPr>
          <w:rFonts w:eastAsia="Times New Roman" w:cs="Arial"/>
          <w:bCs/>
          <w:color w:val="000000"/>
          <w:szCs w:val="20"/>
          <w:lang w:eastAsia="bg-BG"/>
        </w:rPr>
        <w:t xml:space="preserve">Дозата, която се освобождава (дозата, освободена от мундщука на устройството </w:t>
      </w:r>
      <w:proofErr w:type="spellStart"/>
      <w:r w:rsidRPr="008C1E14">
        <w:rPr>
          <w:rFonts w:eastAsia="Times New Roman" w:cs="Arial"/>
          <w:bCs/>
          <w:color w:val="000000"/>
          <w:szCs w:val="20"/>
          <w:lang w:val="en-US"/>
        </w:rPr>
        <w:t>HandiHaler</w:t>
      </w:r>
      <w:proofErr w:type="spellEnd"/>
      <w:r w:rsidRPr="008C1E14">
        <w:rPr>
          <w:rFonts w:eastAsia="Times New Roman" w:cs="Arial"/>
          <w:bCs/>
          <w:color w:val="000000"/>
          <w:szCs w:val="20"/>
          <w:lang w:val="ru-RU"/>
        </w:rPr>
        <w:t xml:space="preserve">) </w:t>
      </w:r>
      <w:r w:rsidRPr="008C1E14">
        <w:rPr>
          <w:rFonts w:eastAsia="Times New Roman" w:cs="Arial"/>
          <w:bCs/>
          <w:color w:val="000000"/>
          <w:szCs w:val="20"/>
          <w:lang w:eastAsia="bg-BG"/>
        </w:rPr>
        <w:t>е равна на 10 микрограма тиотропиум.</w:t>
      </w:r>
    </w:p>
    <w:p w14:paraId="0C209498" w14:textId="77777777" w:rsidR="008C1E14" w:rsidRPr="008C1E14" w:rsidRDefault="008C1E14" w:rsidP="008C1E14">
      <w:pPr>
        <w:spacing w:line="240" w:lineRule="auto"/>
        <w:rPr>
          <w:rFonts w:eastAsia="Times New Roman" w:cs="Arial"/>
          <w:sz w:val="28"/>
          <w:szCs w:val="24"/>
        </w:rPr>
      </w:pPr>
      <w:r w:rsidRPr="008C1E14">
        <w:rPr>
          <w:rFonts w:eastAsia="Times New Roman" w:cs="Arial"/>
          <w:bCs/>
          <w:color w:val="000000"/>
          <w:szCs w:val="20"/>
          <w:lang w:eastAsia="bg-BG"/>
        </w:rPr>
        <w:t>Помощни вещества с известно действие:</w:t>
      </w:r>
    </w:p>
    <w:p w14:paraId="58F14583" w14:textId="77777777" w:rsidR="008C1E14" w:rsidRPr="008C1E14" w:rsidRDefault="008C1E14" w:rsidP="008C1E14">
      <w:pPr>
        <w:spacing w:line="240" w:lineRule="auto"/>
        <w:rPr>
          <w:rFonts w:eastAsia="Times New Roman" w:cs="Arial"/>
          <w:sz w:val="28"/>
          <w:szCs w:val="24"/>
        </w:rPr>
      </w:pPr>
      <w:r w:rsidRPr="008C1E14">
        <w:rPr>
          <w:rFonts w:eastAsia="Times New Roman" w:cs="Arial"/>
          <w:bCs/>
          <w:color w:val="000000"/>
          <w:szCs w:val="20"/>
          <w:lang w:eastAsia="bg-BG"/>
        </w:rPr>
        <w:t>Всяка капсула съдържа 5,5 милиграма лактоза (като монохидрат).</w:t>
      </w:r>
    </w:p>
    <w:p w14:paraId="565AFB63" w14:textId="77777777" w:rsidR="008C1E14" w:rsidRPr="008C1E14" w:rsidRDefault="008C1E14" w:rsidP="008C1E14"/>
    <w:p w14:paraId="614984C4" w14:textId="3CB50787" w:rsidR="008A6AF2" w:rsidRDefault="00DD466D" w:rsidP="002C50EE">
      <w:pPr>
        <w:pStyle w:val="Heading1"/>
      </w:pPr>
      <w:r>
        <w:t>3. ЛЕКАРСТВЕНА ФОРМА</w:t>
      </w:r>
    </w:p>
    <w:p w14:paraId="07EEAA9A" w14:textId="6A138047" w:rsidR="008C1E14" w:rsidRDefault="008C1E14" w:rsidP="008C1E14"/>
    <w:p w14:paraId="77627822" w14:textId="77777777" w:rsidR="008C1E14" w:rsidRPr="008C1E14" w:rsidRDefault="008C1E14" w:rsidP="008C1E14">
      <w:pPr>
        <w:spacing w:line="240" w:lineRule="auto"/>
        <w:rPr>
          <w:rFonts w:eastAsia="Times New Roman" w:cs="Arial"/>
          <w:sz w:val="28"/>
          <w:szCs w:val="24"/>
        </w:rPr>
      </w:pPr>
      <w:r w:rsidRPr="008C1E14">
        <w:rPr>
          <w:rFonts w:eastAsia="Times New Roman" w:cs="Arial"/>
          <w:bCs/>
          <w:color w:val="000000"/>
          <w:szCs w:val="20"/>
          <w:lang w:eastAsia="bg-BG"/>
        </w:rPr>
        <w:t>Прах за инхалация, твърда капсула.</w:t>
      </w:r>
    </w:p>
    <w:p w14:paraId="17A7B9B3" w14:textId="77777777" w:rsidR="008C1E14" w:rsidRPr="008C1E14" w:rsidRDefault="008C1E14" w:rsidP="008C1E14">
      <w:pPr>
        <w:spacing w:line="240" w:lineRule="auto"/>
        <w:rPr>
          <w:rFonts w:eastAsia="Times New Roman" w:cs="Arial"/>
          <w:sz w:val="28"/>
          <w:szCs w:val="24"/>
        </w:rPr>
      </w:pPr>
      <w:r w:rsidRPr="008C1E14">
        <w:rPr>
          <w:rFonts w:eastAsia="Times New Roman" w:cs="Arial"/>
          <w:bCs/>
          <w:color w:val="000000"/>
          <w:szCs w:val="20"/>
          <w:lang w:eastAsia="bg-BG"/>
        </w:rPr>
        <w:t xml:space="preserve">Светлозелени твърди капсули съдържащи прах за инхалация, с отпечатан код на продукта </w:t>
      </w:r>
      <w:r w:rsidRPr="008C1E14">
        <w:rPr>
          <w:rFonts w:eastAsia="Times New Roman" w:cs="Arial"/>
          <w:bCs/>
          <w:color w:val="000000"/>
          <w:szCs w:val="20"/>
          <w:lang w:val="en-US"/>
        </w:rPr>
        <w:t>TI</w:t>
      </w:r>
      <w:r w:rsidRPr="008C1E14">
        <w:rPr>
          <w:rFonts w:eastAsia="Times New Roman" w:cs="Arial"/>
          <w:bCs/>
          <w:color w:val="000000"/>
          <w:szCs w:val="20"/>
          <w:lang w:val="ru-RU"/>
        </w:rPr>
        <w:t xml:space="preserve"> </w:t>
      </w:r>
      <w:r w:rsidRPr="008C1E14">
        <w:rPr>
          <w:rFonts w:eastAsia="Times New Roman" w:cs="Arial"/>
          <w:bCs/>
          <w:color w:val="000000"/>
          <w:szCs w:val="20"/>
          <w:lang w:eastAsia="bg-BG"/>
        </w:rPr>
        <w:t>01 и фирмено лого върху капсулата.</w:t>
      </w:r>
    </w:p>
    <w:p w14:paraId="092D15B0" w14:textId="77777777" w:rsidR="008C1E14" w:rsidRPr="008C1E14" w:rsidRDefault="008C1E14" w:rsidP="008C1E14"/>
    <w:p w14:paraId="0CBC3B9C" w14:textId="4CCA2E22" w:rsidR="008C1E14" w:rsidRPr="008C1E14" w:rsidRDefault="002C50EE" w:rsidP="008C1E14">
      <w:pPr>
        <w:pStyle w:val="Heading1"/>
      </w:pPr>
      <w:r>
        <w:t>4. КЛИНИЧНИ ДАННИ</w:t>
      </w:r>
    </w:p>
    <w:p w14:paraId="0771830A" w14:textId="0358B455" w:rsidR="00DB32D3" w:rsidRDefault="002C50EE" w:rsidP="005726E3">
      <w:pPr>
        <w:pStyle w:val="Heading2"/>
      </w:pPr>
      <w:r>
        <w:t>4.1. Терапевтични показания</w:t>
      </w:r>
    </w:p>
    <w:p w14:paraId="7D0ADC85" w14:textId="24BACAA3" w:rsidR="008C1E14" w:rsidRDefault="008C1E14" w:rsidP="008C1E14"/>
    <w:p w14:paraId="3F99895D" w14:textId="77777777" w:rsidR="008C1E14" w:rsidRPr="008C1E14" w:rsidRDefault="008C1E14" w:rsidP="008C1E14">
      <w:pPr>
        <w:spacing w:line="240" w:lineRule="auto"/>
        <w:rPr>
          <w:rFonts w:eastAsia="Times New Roman" w:cs="Arial"/>
          <w:sz w:val="28"/>
          <w:szCs w:val="24"/>
        </w:rPr>
      </w:pPr>
      <w:r w:rsidRPr="008C1E14">
        <w:rPr>
          <w:rFonts w:eastAsia="Times New Roman" w:cs="Arial"/>
          <w:bCs/>
          <w:color w:val="000000"/>
          <w:szCs w:val="20"/>
          <w:lang w:eastAsia="bg-BG"/>
        </w:rPr>
        <w:t>Тиотропиум представлява бронходилататор за поддържащо лечение за облекчаване на симптомите при пациенти с хронична обструктивна белодробна болест (ХОББ).</w:t>
      </w:r>
    </w:p>
    <w:p w14:paraId="2CFC8D7B" w14:textId="77777777" w:rsidR="008C1E14" w:rsidRPr="008C1E14" w:rsidRDefault="008C1E14" w:rsidP="008C1E14"/>
    <w:p w14:paraId="7647A102" w14:textId="7C9FEA12" w:rsidR="00DB32D3" w:rsidRDefault="002C50EE" w:rsidP="005726E3">
      <w:pPr>
        <w:pStyle w:val="Heading2"/>
      </w:pPr>
      <w:r>
        <w:t>4.2. Дозировка и начин на приложение</w:t>
      </w:r>
    </w:p>
    <w:p w14:paraId="1DE3BE7C" w14:textId="450F5DF5" w:rsidR="008C1E14" w:rsidRDefault="008C1E14" w:rsidP="008C1E14"/>
    <w:p w14:paraId="2EF6CE34" w14:textId="77777777" w:rsidR="008C1E14" w:rsidRPr="008C1E14" w:rsidRDefault="008C1E14" w:rsidP="008C1E14">
      <w:pPr>
        <w:pStyle w:val="Heading3"/>
        <w:rPr>
          <w:rFonts w:eastAsia="Times New Roman"/>
          <w:u w:val="single"/>
        </w:rPr>
      </w:pPr>
      <w:r w:rsidRPr="008C1E14">
        <w:rPr>
          <w:rFonts w:eastAsia="Times New Roman"/>
          <w:u w:val="single"/>
          <w:lang w:eastAsia="bg-BG"/>
        </w:rPr>
        <w:t>Дозировка</w:t>
      </w:r>
    </w:p>
    <w:p w14:paraId="4D516AFF" w14:textId="77777777" w:rsidR="008C1E14" w:rsidRPr="008C1E14" w:rsidRDefault="008C1E14" w:rsidP="008C1E14">
      <w:pPr>
        <w:spacing w:line="240" w:lineRule="auto"/>
        <w:rPr>
          <w:rFonts w:eastAsia="Times New Roman" w:cs="Arial"/>
        </w:rPr>
      </w:pPr>
      <w:r w:rsidRPr="008C1E14">
        <w:rPr>
          <w:rFonts w:eastAsia="Times New Roman" w:cs="Arial"/>
          <w:bCs/>
          <w:color w:val="000000"/>
          <w:lang w:eastAsia="bg-BG"/>
        </w:rPr>
        <w:t>Лекарственият продукт е само за инхалаторно приложение.</w:t>
      </w:r>
    </w:p>
    <w:p w14:paraId="478284C4" w14:textId="77777777" w:rsidR="008C1E14" w:rsidRPr="008C1E14" w:rsidRDefault="008C1E14" w:rsidP="008C1E14">
      <w:pPr>
        <w:spacing w:line="240" w:lineRule="auto"/>
        <w:rPr>
          <w:rFonts w:eastAsia="Times New Roman" w:cs="Arial"/>
        </w:rPr>
      </w:pPr>
      <w:r w:rsidRPr="008C1E14">
        <w:rPr>
          <w:rFonts w:eastAsia="Times New Roman" w:cs="Arial"/>
          <w:bCs/>
          <w:color w:val="000000"/>
          <w:lang w:eastAsia="bg-BG"/>
        </w:rPr>
        <w:t xml:space="preserve">Препоръчителната доза тиотропиум бромид е инхалиране на съдържанието на една капсула дневно, по едно и също време на деня, използвайки устройството </w:t>
      </w:r>
      <w:proofErr w:type="spellStart"/>
      <w:r w:rsidRPr="008C1E14">
        <w:rPr>
          <w:rFonts w:eastAsia="Times New Roman" w:cs="Arial"/>
          <w:bCs/>
          <w:color w:val="000000"/>
          <w:lang w:val="en-US"/>
        </w:rPr>
        <w:t>HandiHaler</w:t>
      </w:r>
      <w:proofErr w:type="spellEnd"/>
      <w:r w:rsidRPr="008C1E14">
        <w:rPr>
          <w:rFonts w:eastAsia="Times New Roman" w:cs="Arial"/>
          <w:bCs/>
          <w:color w:val="000000"/>
          <w:lang w:val="ru-RU"/>
        </w:rPr>
        <w:t>.</w:t>
      </w:r>
    </w:p>
    <w:p w14:paraId="752C1BA8" w14:textId="77777777" w:rsidR="008C1E14" w:rsidRPr="008C1E14" w:rsidRDefault="008C1E14" w:rsidP="008C1E14">
      <w:pPr>
        <w:spacing w:line="240" w:lineRule="auto"/>
        <w:rPr>
          <w:rFonts w:eastAsia="Times New Roman" w:cs="Arial"/>
        </w:rPr>
      </w:pPr>
      <w:r w:rsidRPr="008C1E14">
        <w:rPr>
          <w:rFonts w:eastAsia="Times New Roman" w:cs="Arial"/>
          <w:bCs/>
          <w:color w:val="000000"/>
          <w:lang w:eastAsia="bg-BG"/>
        </w:rPr>
        <w:t>Препоръчаната доза не трябва да се превишава.</w:t>
      </w:r>
    </w:p>
    <w:p w14:paraId="382DEEAC" w14:textId="77777777" w:rsidR="008C1E14" w:rsidRPr="008C1E14" w:rsidRDefault="008C1E14" w:rsidP="008C1E14">
      <w:pPr>
        <w:spacing w:line="240" w:lineRule="auto"/>
        <w:rPr>
          <w:rFonts w:eastAsia="Times New Roman" w:cs="Arial"/>
        </w:rPr>
      </w:pPr>
      <w:r w:rsidRPr="008C1E14">
        <w:rPr>
          <w:rFonts w:eastAsia="Times New Roman" w:cs="Arial"/>
          <w:bCs/>
          <w:color w:val="000000"/>
          <w:lang w:eastAsia="bg-BG"/>
        </w:rPr>
        <w:t>Тиотропиум бромид капсули са предназначени само за инхалация, а не за перорален прием.</w:t>
      </w:r>
    </w:p>
    <w:p w14:paraId="552A1307" w14:textId="77777777" w:rsidR="008C1E14" w:rsidRPr="008C1E14" w:rsidRDefault="008C1E14" w:rsidP="008C1E14">
      <w:pPr>
        <w:spacing w:line="240" w:lineRule="auto"/>
        <w:rPr>
          <w:rFonts w:eastAsia="Times New Roman" w:cs="Arial"/>
        </w:rPr>
      </w:pPr>
      <w:r w:rsidRPr="008C1E14">
        <w:rPr>
          <w:rFonts w:eastAsia="Times New Roman" w:cs="Arial"/>
          <w:bCs/>
          <w:color w:val="000000"/>
          <w:lang w:eastAsia="bg-BG"/>
        </w:rPr>
        <w:t>Тиотропиум бромид капсули не трябва да се гълтат.</w:t>
      </w:r>
    </w:p>
    <w:p w14:paraId="4A28C584" w14:textId="77777777" w:rsidR="008C1E14" w:rsidRPr="008C1E14" w:rsidRDefault="008C1E14" w:rsidP="008C1E14">
      <w:pPr>
        <w:spacing w:line="240" w:lineRule="auto"/>
        <w:rPr>
          <w:rFonts w:eastAsia="Times New Roman" w:cs="Arial"/>
        </w:rPr>
      </w:pPr>
      <w:r w:rsidRPr="008C1E14">
        <w:rPr>
          <w:rFonts w:eastAsia="Times New Roman" w:cs="Arial"/>
          <w:bCs/>
          <w:color w:val="000000"/>
          <w:lang w:eastAsia="bg-BG"/>
        </w:rPr>
        <w:t xml:space="preserve">Тиотропиум бромид трябва да се инхалира само с устройството </w:t>
      </w:r>
      <w:proofErr w:type="spellStart"/>
      <w:r w:rsidRPr="008C1E14">
        <w:rPr>
          <w:rFonts w:eastAsia="Times New Roman" w:cs="Arial"/>
          <w:bCs/>
          <w:color w:val="000000"/>
          <w:lang w:val="en-US"/>
        </w:rPr>
        <w:t>HandiHaler</w:t>
      </w:r>
      <w:proofErr w:type="spellEnd"/>
      <w:r w:rsidRPr="008C1E14">
        <w:rPr>
          <w:rFonts w:eastAsia="Times New Roman" w:cs="Arial"/>
          <w:bCs/>
          <w:color w:val="000000"/>
          <w:lang w:val="ru-RU"/>
        </w:rPr>
        <w:t>.</w:t>
      </w:r>
    </w:p>
    <w:p w14:paraId="203F3764" w14:textId="77777777" w:rsidR="008C1E14" w:rsidRPr="008C1E14" w:rsidRDefault="008C1E14" w:rsidP="008C1E14">
      <w:pPr>
        <w:spacing w:line="240" w:lineRule="auto"/>
        <w:rPr>
          <w:rFonts w:eastAsia="Times New Roman" w:cs="Arial"/>
          <w:bCs/>
          <w:color w:val="000000"/>
          <w:u w:val="single"/>
          <w:lang w:eastAsia="bg-BG"/>
        </w:rPr>
      </w:pPr>
    </w:p>
    <w:p w14:paraId="192E27DB" w14:textId="6115E6AC" w:rsidR="008C1E14" w:rsidRPr="008C1E14" w:rsidRDefault="008C1E14" w:rsidP="008C1E14">
      <w:pPr>
        <w:spacing w:line="240" w:lineRule="auto"/>
        <w:rPr>
          <w:rFonts w:eastAsia="Times New Roman" w:cs="Arial"/>
        </w:rPr>
      </w:pPr>
      <w:r w:rsidRPr="008C1E14">
        <w:rPr>
          <w:rFonts w:eastAsia="Times New Roman" w:cs="Arial"/>
          <w:bCs/>
          <w:color w:val="000000"/>
          <w:u w:val="single"/>
          <w:lang w:eastAsia="bg-BG"/>
        </w:rPr>
        <w:t>Специални популации</w:t>
      </w:r>
    </w:p>
    <w:p w14:paraId="1ABBBA4D" w14:textId="77777777" w:rsidR="008C1E14" w:rsidRPr="008C1E14" w:rsidRDefault="008C1E14" w:rsidP="008C1E14">
      <w:pPr>
        <w:spacing w:line="240" w:lineRule="auto"/>
        <w:rPr>
          <w:rFonts w:eastAsia="Times New Roman" w:cs="Arial"/>
        </w:rPr>
      </w:pPr>
      <w:r w:rsidRPr="008C1E14">
        <w:rPr>
          <w:rFonts w:eastAsia="Times New Roman" w:cs="Arial"/>
          <w:bCs/>
          <w:color w:val="000000"/>
          <w:lang w:eastAsia="bg-BG"/>
        </w:rPr>
        <w:t>Пациенти в напреднала възраст могат да използват тиотропиум бромид, следвайки препоръчаната дозировка.</w:t>
      </w:r>
    </w:p>
    <w:p w14:paraId="1AD83FD1" w14:textId="77777777" w:rsidR="008C1E14" w:rsidRPr="008C1E14" w:rsidRDefault="008C1E14" w:rsidP="008C1E14">
      <w:pPr>
        <w:spacing w:line="240" w:lineRule="auto"/>
        <w:rPr>
          <w:rFonts w:eastAsia="Times New Roman" w:cs="Arial"/>
          <w:bCs/>
          <w:color w:val="000000"/>
          <w:lang w:eastAsia="bg-BG"/>
        </w:rPr>
      </w:pPr>
    </w:p>
    <w:p w14:paraId="2EE6E93A" w14:textId="343CC82D" w:rsidR="008C1E14" w:rsidRPr="008C1E14" w:rsidRDefault="008C1E14" w:rsidP="008C1E14">
      <w:pPr>
        <w:spacing w:line="240" w:lineRule="auto"/>
        <w:rPr>
          <w:rFonts w:eastAsia="Times New Roman" w:cs="Arial"/>
        </w:rPr>
      </w:pPr>
      <w:r w:rsidRPr="008C1E14">
        <w:rPr>
          <w:rFonts w:eastAsia="Times New Roman" w:cs="Arial"/>
          <w:bCs/>
          <w:color w:val="000000"/>
          <w:lang w:eastAsia="bg-BG"/>
        </w:rPr>
        <w:t xml:space="preserve">Пациенти с бъбречни увреждания могат да използват тиотропиум бромид, следвайки препоръчаната дозировка. Пациенти със средна до тежка бъбречна недостатъчност (креатииинов клирънс ≤ 50 </w:t>
      </w:r>
      <w:r w:rsidRPr="008C1E14">
        <w:rPr>
          <w:rFonts w:eastAsia="Times New Roman" w:cs="Arial"/>
          <w:bCs/>
          <w:color w:val="000000"/>
          <w:lang w:val="en-US"/>
        </w:rPr>
        <w:t>ml</w:t>
      </w:r>
      <w:r w:rsidRPr="008C1E14">
        <w:rPr>
          <w:rFonts w:eastAsia="Times New Roman" w:cs="Arial"/>
          <w:bCs/>
          <w:color w:val="000000"/>
          <w:lang w:val="ru-RU"/>
        </w:rPr>
        <w:t>/</w:t>
      </w:r>
      <w:r w:rsidRPr="008C1E14">
        <w:rPr>
          <w:rFonts w:eastAsia="Times New Roman" w:cs="Arial"/>
          <w:bCs/>
          <w:color w:val="000000"/>
          <w:lang w:val="en-US"/>
        </w:rPr>
        <w:t>min</w:t>
      </w:r>
      <w:r w:rsidRPr="008C1E14">
        <w:rPr>
          <w:rFonts w:eastAsia="Times New Roman" w:cs="Arial"/>
          <w:bCs/>
          <w:color w:val="000000"/>
          <w:lang w:val="ru-RU"/>
        </w:rPr>
        <w:t xml:space="preserve">) </w:t>
      </w:r>
      <w:r w:rsidRPr="008C1E14">
        <w:rPr>
          <w:rFonts w:eastAsia="Times New Roman" w:cs="Arial"/>
          <w:bCs/>
          <w:color w:val="000000"/>
          <w:lang w:eastAsia="bg-BG"/>
        </w:rPr>
        <w:t>вж. точка 4.4 и точка 5.2.</w:t>
      </w:r>
    </w:p>
    <w:p w14:paraId="6B8E13F5" w14:textId="77777777" w:rsidR="008C1E14" w:rsidRPr="008C1E14" w:rsidRDefault="008C1E14" w:rsidP="008C1E14">
      <w:pPr>
        <w:spacing w:line="240" w:lineRule="auto"/>
        <w:rPr>
          <w:rFonts w:eastAsia="Times New Roman" w:cs="Arial"/>
        </w:rPr>
      </w:pPr>
    </w:p>
    <w:p w14:paraId="44A09F8E" w14:textId="77777777" w:rsidR="008C1E14" w:rsidRPr="008C1E14" w:rsidRDefault="008C1E14" w:rsidP="008C1E14">
      <w:pPr>
        <w:spacing w:line="240" w:lineRule="auto"/>
        <w:rPr>
          <w:rFonts w:eastAsia="Times New Roman" w:cs="Arial"/>
        </w:rPr>
      </w:pPr>
      <w:r w:rsidRPr="008C1E14">
        <w:rPr>
          <w:rFonts w:eastAsia="Times New Roman" w:cs="Arial"/>
          <w:bCs/>
          <w:color w:val="000000"/>
          <w:lang w:eastAsia="bg-BG"/>
        </w:rPr>
        <w:t>Пациенти, страдащи от чернодробна недостатъчност могат да използват тиотропиум бромид, следвайки препоръчаната дозировка (вж. точка 5.2).</w:t>
      </w:r>
    </w:p>
    <w:p w14:paraId="799461B5" w14:textId="7514E3C1" w:rsidR="008C1E14" w:rsidRPr="008C1E14" w:rsidRDefault="008C1E14" w:rsidP="008C1E14">
      <w:pPr>
        <w:rPr>
          <w:rFonts w:cs="Arial"/>
        </w:rPr>
      </w:pPr>
    </w:p>
    <w:p w14:paraId="4D072B05" w14:textId="77777777" w:rsidR="008C1E14" w:rsidRPr="008C1E14" w:rsidRDefault="008C1E14" w:rsidP="008C1E14">
      <w:pPr>
        <w:spacing w:line="240" w:lineRule="auto"/>
        <w:rPr>
          <w:rFonts w:eastAsia="Times New Roman" w:cs="Arial"/>
        </w:rPr>
      </w:pPr>
      <w:r w:rsidRPr="008C1E14">
        <w:rPr>
          <w:rFonts w:eastAsia="Times New Roman" w:cs="Arial"/>
          <w:color w:val="000000"/>
          <w:u w:val="single"/>
          <w:lang w:eastAsia="bg-BG"/>
        </w:rPr>
        <w:t>Педиатрична популация</w:t>
      </w:r>
    </w:p>
    <w:p w14:paraId="270A2B52" w14:textId="0DA81CA7" w:rsidR="008C1E14" w:rsidRPr="008C1E14" w:rsidRDefault="008C1E14" w:rsidP="008C1E14">
      <w:pPr>
        <w:spacing w:line="240" w:lineRule="auto"/>
        <w:rPr>
          <w:rFonts w:eastAsia="Times New Roman" w:cs="Arial"/>
        </w:rPr>
      </w:pPr>
      <w:r w:rsidRPr="008C1E14">
        <w:rPr>
          <w:rFonts w:eastAsia="Times New Roman" w:cs="Arial"/>
          <w:bCs/>
          <w:i/>
          <w:iCs/>
          <w:color w:val="000000"/>
          <w:lang w:eastAsia="bg-BG"/>
        </w:rPr>
        <w:t>ХОББ</w:t>
      </w:r>
    </w:p>
    <w:p w14:paraId="4C2CADB9" w14:textId="77777777" w:rsidR="008C1E14" w:rsidRPr="008C1E14" w:rsidRDefault="008C1E14" w:rsidP="008C1E14">
      <w:pPr>
        <w:spacing w:line="240" w:lineRule="auto"/>
        <w:rPr>
          <w:rFonts w:eastAsia="Times New Roman" w:cs="Arial"/>
        </w:rPr>
      </w:pPr>
      <w:r w:rsidRPr="008C1E14">
        <w:rPr>
          <w:rFonts w:eastAsia="Times New Roman" w:cs="Arial"/>
          <w:color w:val="000000"/>
          <w:lang w:eastAsia="bg-BG"/>
        </w:rPr>
        <w:t>Няма съответно приложение при педиатричната популация (под 18 години) в показанието посочено в точка 4.1.</w:t>
      </w:r>
    </w:p>
    <w:p w14:paraId="4CB3781A" w14:textId="77777777" w:rsidR="008C1E14" w:rsidRPr="008C1E14" w:rsidRDefault="008C1E14" w:rsidP="008C1E14">
      <w:pPr>
        <w:spacing w:line="240" w:lineRule="auto"/>
        <w:rPr>
          <w:rFonts w:eastAsia="Times New Roman" w:cs="Arial"/>
          <w:bCs/>
          <w:i/>
          <w:iCs/>
          <w:color w:val="000000"/>
          <w:lang w:eastAsia="bg-BG"/>
        </w:rPr>
      </w:pPr>
    </w:p>
    <w:p w14:paraId="6911703D" w14:textId="055FF129" w:rsidR="008C1E14" w:rsidRPr="008C1E14" w:rsidRDefault="008C1E14" w:rsidP="008C1E14">
      <w:pPr>
        <w:spacing w:line="240" w:lineRule="auto"/>
        <w:rPr>
          <w:rFonts w:eastAsia="Times New Roman" w:cs="Arial"/>
        </w:rPr>
      </w:pPr>
      <w:r w:rsidRPr="008C1E14">
        <w:rPr>
          <w:rFonts w:eastAsia="Times New Roman" w:cs="Arial"/>
          <w:bCs/>
          <w:i/>
          <w:iCs/>
          <w:color w:val="000000"/>
          <w:lang w:eastAsia="bg-BG"/>
        </w:rPr>
        <w:t>Кистозна фиброза</w:t>
      </w:r>
    </w:p>
    <w:p w14:paraId="5D0BD2CA" w14:textId="77777777" w:rsidR="008C1E14" w:rsidRPr="008C1E14" w:rsidRDefault="008C1E14" w:rsidP="008C1E14">
      <w:pPr>
        <w:spacing w:line="240" w:lineRule="auto"/>
        <w:rPr>
          <w:rFonts w:eastAsia="Times New Roman" w:cs="Arial"/>
        </w:rPr>
      </w:pPr>
      <w:r w:rsidRPr="008C1E14">
        <w:rPr>
          <w:rFonts w:eastAsia="Times New Roman" w:cs="Arial"/>
          <w:color w:val="000000"/>
          <w:lang w:eastAsia="bg-BG"/>
        </w:rPr>
        <w:t>Безопасността и ефикасността на СПИРИВА 18 микрограма не са установени при деца и юноши.</w:t>
      </w:r>
    </w:p>
    <w:p w14:paraId="29A2682D" w14:textId="77777777" w:rsidR="008C1E14" w:rsidRPr="008C1E14" w:rsidRDefault="008C1E14" w:rsidP="008C1E14">
      <w:pPr>
        <w:spacing w:line="240" w:lineRule="auto"/>
        <w:rPr>
          <w:rFonts w:eastAsia="Times New Roman" w:cs="Arial"/>
        </w:rPr>
      </w:pPr>
      <w:r w:rsidRPr="008C1E14">
        <w:rPr>
          <w:rFonts w:eastAsia="Times New Roman" w:cs="Arial"/>
          <w:color w:val="000000"/>
          <w:lang w:eastAsia="bg-BG"/>
        </w:rPr>
        <w:t>Няма налични данни.</w:t>
      </w:r>
    </w:p>
    <w:p w14:paraId="2E2AB022" w14:textId="77777777" w:rsidR="008C1E14" w:rsidRPr="008C1E14" w:rsidRDefault="008C1E14" w:rsidP="008C1E14">
      <w:pPr>
        <w:spacing w:line="240" w:lineRule="auto"/>
        <w:rPr>
          <w:rFonts w:eastAsia="Times New Roman" w:cs="Arial"/>
          <w:color w:val="000000"/>
          <w:u w:val="single"/>
          <w:lang w:eastAsia="bg-BG"/>
        </w:rPr>
      </w:pPr>
    </w:p>
    <w:p w14:paraId="56834330" w14:textId="1C135EDB" w:rsidR="008C1E14" w:rsidRPr="008C1E14" w:rsidRDefault="008C1E14" w:rsidP="008C1E14">
      <w:pPr>
        <w:pStyle w:val="Heading3"/>
        <w:rPr>
          <w:rFonts w:eastAsia="Times New Roman"/>
          <w:u w:val="single"/>
        </w:rPr>
      </w:pPr>
      <w:r w:rsidRPr="008C1E14">
        <w:rPr>
          <w:rFonts w:eastAsia="Times New Roman"/>
          <w:u w:val="single"/>
          <w:lang w:eastAsia="bg-BG"/>
        </w:rPr>
        <w:t>Начин на приложение</w:t>
      </w:r>
    </w:p>
    <w:p w14:paraId="29059C82" w14:textId="77777777" w:rsidR="008C1E14" w:rsidRPr="008C1E14" w:rsidRDefault="008C1E14" w:rsidP="008C1E14">
      <w:pPr>
        <w:spacing w:line="240" w:lineRule="auto"/>
        <w:rPr>
          <w:rFonts w:eastAsia="Times New Roman" w:cs="Arial"/>
          <w:color w:val="000000"/>
          <w:lang w:eastAsia="bg-BG"/>
        </w:rPr>
      </w:pPr>
      <w:r w:rsidRPr="008C1E14">
        <w:rPr>
          <w:rFonts w:eastAsia="Times New Roman" w:cs="Arial"/>
          <w:color w:val="000000"/>
          <w:lang w:eastAsia="bg-BG"/>
        </w:rPr>
        <w:t xml:space="preserve">За да се осигури правилно приложение на лекарствения продукт, пациентът трябва да бъде обучен как да </w:t>
      </w:r>
    </w:p>
    <w:p w14:paraId="04B5752A" w14:textId="36B3C126" w:rsidR="008C1E14" w:rsidRPr="008C1E14" w:rsidRDefault="008C1E14" w:rsidP="008C1E14">
      <w:pPr>
        <w:spacing w:line="240" w:lineRule="auto"/>
        <w:rPr>
          <w:rFonts w:eastAsia="Times New Roman" w:cs="Arial"/>
        </w:rPr>
      </w:pPr>
      <w:r w:rsidRPr="008C1E14">
        <w:rPr>
          <w:rFonts w:eastAsia="Times New Roman" w:cs="Arial"/>
          <w:color w:val="000000"/>
          <w:lang w:eastAsia="bg-BG"/>
        </w:rPr>
        <w:t>използва инхалатора от лекаря или от други медицински специалисти.</w:t>
      </w:r>
    </w:p>
    <w:p w14:paraId="7C53C522" w14:textId="77777777" w:rsidR="008C1E14" w:rsidRPr="008C1E14" w:rsidRDefault="008C1E14" w:rsidP="008C1E14">
      <w:pPr>
        <w:spacing w:line="240" w:lineRule="auto"/>
        <w:rPr>
          <w:rFonts w:eastAsia="Times New Roman" w:cs="Arial"/>
          <w:color w:val="000000"/>
          <w:u w:val="single"/>
          <w:lang w:eastAsia="bg-BG"/>
        </w:rPr>
      </w:pPr>
    </w:p>
    <w:p w14:paraId="405C6EE0" w14:textId="5751E890" w:rsidR="008C1E14" w:rsidRPr="008C1E14" w:rsidRDefault="008C1E14" w:rsidP="008C1E14">
      <w:pPr>
        <w:spacing w:line="240" w:lineRule="auto"/>
        <w:rPr>
          <w:rFonts w:eastAsia="Times New Roman" w:cs="Arial"/>
        </w:rPr>
      </w:pPr>
      <w:r w:rsidRPr="008C1E14">
        <w:rPr>
          <w:rFonts w:eastAsia="Times New Roman" w:cs="Arial"/>
          <w:color w:val="000000"/>
          <w:u w:val="single"/>
          <w:lang w:eastAsia="bg-BG"/>
        </w:rPr>
        <w:t>Указания за употреба</w:t>
      </w:r>
    </w:p>
    <w:p w14:paraId="3D72511C" w14:textId="3C9F20CE" w:rsidR="008C1E14" w:rsidRDefault="008C1E14" w:rsidP="008C1E14"/>
    <w:tbl>
      <w:tblPr>
        <w:tblStyle w:val="TableGrid"/>
        <w:tblW w:w="0" w:type="auto"/>
        <w:tblLook w:val="04A0" w:firstRow="1" w:lastRow="0" w:firstColumn="1" w:lastColumn="0" w:noHBand="0" w:noVBand="1"/>
      </w:tblPr>
      <w:tblGrid>
        <w:gridCol w:w="2513"/>
        <w:gridCol w:w="6837"/>
      </w:tblGrid>
      <w:tr w:rsidR="008C1E14" w14:paraId="78A5BC64" w14:textId="77777777" w:rsidTr="008C1E14">
        <w:tc>
          <w:tcPr>
            <w:tcW w:w="2518" w:type="dxa"/>
          </w:tcPr>
          <w:p w14:paraId="50E986A5" w14:textId="05CFDAE3" w:rsidR="008C1E14" w:rsidRDefault="008C1E14" w:rsidP="008C1E14">
            <w:r>
              <w:rPr>
                <w:noProof/>
                <w:lang w:val="en-US"/>
              </w:rPr>
              <w:drawing>
                <wp:inline distT="0" distB="0" distL="0" distR="0" wp14:anchorId="120CEDD7" wp14:editId="150D0D80">
                  <wp:extent cx="1390650" cy="1362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90650" cy="1362075"/>
                          </a:xfrm>
                          <a:prstGeom prst="rect">
                            <a:avLst/>
                          </a:prstGeom>
                        </pic:spPr>
                      </pic:pic>
                    </a:graphicData>
                  </a:graphic>
                </wp:inline>
              </w:drawing>
            </w:r>
          </w:p>
        </w:tc>
        <w:tc>
          <w:tcPr>
            <w:tcW w:w="7058" w:type="dxa"/>
          </w:tcPr>
          <w:p w14:paraId="310460C2" w14:textId="77777777" w:rsidR="008C1E14" w:rsidRPr="008C1E14" w:rsidRDefault="008C1E14" w:rsidP="008C1E14">
            <w:pPr>
              <w:spacing w:line="240" w:lineRule="auto"/>
              <w:rPr>
                <w:rFonts w:ascii="Times New Roman" w:eastAsia="Times New Roman" w:hAnsi="Times New Roman" w:cs="Times New Roman"/>
                <w:sz w:val="24"/>
                <w:szCs w:val="24"/>
              </w:rPr>
            </w:pPr>
            <w:r w:rsidRPr="008C1E14">
              <w:rPr>
                <w:rFonts w:ascii="Times New Roman" w:eastAsia="Times New Roman" w:hAnsi="Times New Roman" w:cs="Times New Roman"/>
                <w:color w:val="000000"/>
                <w:sz w:val="20"/>
                <w:szCs w:val="20"/>
                <w:lang w:eastAsia="bg-BG"/>
              </w:rPr>
              <w:t xml:space="preserve">Не забравяйте да следвате стриктно инструкциите на Вашия лекар за употребата на СПИРИВА. Устройството </w:t>
            </w:r>
            <w:proofErr w:type="spellStart"/>
            <w:r w:rsidRPr="008C1E14">
              <w:rPr>
                <w:rFonts w:ascii="Times New Roman" w:eastAsia="Times New Roman" w:hAnsi="Times New Roman" w:cs="Times New Roman"/>
                <w:color w:val="000000"/>
                <w:sz w:val="20"/>
                <w:szCs w:val="20"/>
                <w:lang w:val="en-US"/>
              </w:rPr>
              <w:t>HandiHaler</w:t>
            </w:r>
            <w:proofErr w:type="spellEnd"/>
            <w:r w:rsidRPr="008C1E14">
              <w:rPr>
                <w:rFonts w:ascii="Times New Roman" w:eastAsia="Times New Roman" w:hAnsi="Times New Roman" w:cs="Times New Roman"/>
                <w:color w:val="000000"/>
                <w:sz w:val="20"/>
                <w:szCs w:val="20"/>
                <w:lang w:val="ru-RU"/>
              </w:rPr>
              <w:t xml:space="preserve"> </w:t>
            </w:r>
            <w:r w:rsidRPr="008C1E14">
              <w:rPr>
                <w:rFonts w:ascii="Times New Roman" w:eastAsia="Times New Roman" w:hAnsi="Times New Roman" w:cs="Times New Roman"/>
                <w:color w:val="000000"/>
                <w:sz w:val="20"/>
                <w:szCs w:val="20"/>
                <w:lang w:eastAsia="bg-BG"/>
              </w:rPr>
              <w:t>е специално разработено за СПИРИВА. Не трябва да се използва за приложение на друг лекарствен продукт.</w:t>
            </w:r>
          </w:p>
          <w:p w14:paraId="1000C01B" w14:textId="77777777" w:rsidR="008C1E14" w:rsidRPr="008C1E14" w:rsidRDefault="008C1E14" w:rsidP="008C1E14">
            <w:pPr>
              <w:spacing w:line="240" w:lineRule="auto"/>
              <w:rPr>
                <w:rFonts w:ascii="Times New Roman" w:eastAsia="Times New Roman" w:hAnsi="Times New Roman" w:cs="Times New Roman"/>
                <w:sz w:val="24"/>
                <w:szCs w:val="24"/>
              </w:rPr>
            </w:pPr>
            <w:r w:rsidRPr="008C1E14">
              <w:rPr>
                <w:rFonts w:ascii="Times New Roman" w:eastAsia="Times New Roman" w:hAnsi="Times New Roman" w:cs="Times New Roman"/>
                <w:color w:val="000000"/>
                <w:sz w:val="20"/>
                <w:szCs w:val="20"/>
                <w:lang w:eastAsia="bg-BG"/>
              </w:rPr>
              <w:t xml:space="preserve">Устройството </w:t>
            </w:r>
            <w:proofErr w:type="spellStart"/>
            <w:r w:rsidRPr="008C1E14">
              <w:rPr>
                <w:rFonts w:ascii="Times New Roman" w:eastAsia="Times New Roman" w:hAnsi="Times New Roman" w:cs="Times New Roman"/>
                <w:color w:val="000000"/>
                <w:sz w:val="20"/>
                <w:szCs w:val="20"/>
                <w:lang w:val="en-US"/>
              </w:rPr>
              <w:t>HandiHaler</w:t>
            </w:r>
            <w:proofErr w:type="spellEnd"/>
            <w:r w:rsidRPr="008C1E14">
              <w:rPr>
                <w:rFonts w:ascii="Times New Roman" w:eastAsia="Times New Roman" w:hAnsi="Times New Roman" w:cs="Times New Roman"/>
                <w:color w:val="000000"/>
                <w:sz w:val="20"/>
                <w:szCs w:val="20"/>
                <w:lang w:val="ru-RU"/>
              </w:rPr>
              <w:t xml:space="preserve"> </w:t>
            </w:r>
            <w:r w:rsidRPr="008C1E14">
              <w:rPr>
                <w:rFonts w:ascii="Times New Roman" w:eastAsia="Times New Roman" w:hAnsi="Times New Roman" w:cs="Times New Roman"/>
                <w:color w:val="000000"/>
                <w:sz w:val="20"/>
                <w:szCs w:val="20"/>
                <w:lang w:eastAsia="bg-BG"/>
              </w:rPr>
              <w:t>е подходящо за употреба до една година, за приложение на Вашето лекарство.</w:t>
            </w:r>
          </w:p>
          <w:p w14:paraId="29DF5AA9" w14:textId="77777777" w:rsidR="008C1E14" w:rsidRDefault="008C1E14" w:rsidP="008C1E14"/>
        </w:tc>
      </w:tr>
      <w:tr w:rsidR="008C1E14" w14:paraId="18AAA95C" w14:textId="77777777" w:rsidTr="008C1E14">
        <w:tc>
          <w:tcPr>
            <w:tcW w:w="2518" w:type="dxa"/>
          </w:tcPr>
          <w:p w14:paraId="09392E9C" w14:textId="3F92D496" w:rsidR="008C1E14" w:rsidRDefault="008C1E14" w:rsidP="008C1E14">
            <w:r>
              <w:rPr>
                <w:noProof/>
                <w:lang w:val="en-US"/>
              </w:rPr>
              <w:drawing>
                <wp:inline distT="0" distB="0" distL="0" distR="0" wp14:anchorId="7EF24A51" wp14:editId="61BBD9B4">
                  <wp:extent cx="139065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95256" cy="1261464"/>
                          </a:xfrm>
                          <a:prstGeom prst="rect">
                            <a:avLst/>
                          </a:prstGeom>
                        </pic:spPr>
                      </pic:pic>
                    </a:graphicData>
                  </a:graphic>
                </wp:inline>
              </w:drawing>
            </w:r>
          </w:p>
        </w:tc>
        <w:tc>
          <w:tcPr>
            <w:tcW w:w="7058" w:type="dxa"/>
          </w:tcPr>
          <w:p w14:paraId="31FF8A83" w14:textId="77777777" w:rsidR="008C1E14" w:rsidRPr="008C1E14" w:rsidRDefault="008C1E14" w:rsidP="008C1E14">
            <w:pPr>
              <w:spacing w:line="240" w:lineRule="auto"/>
              <w:rPr>
                <w:rFonts w:eastAsia="Times New Roman" w:cs="Arial"/>
                <w:sz w:val="28"/>
                <w:szCs w:val="24"/>
              </w:rPr>
            </w:pPr>
            <w:proofErr w:type="spellStart"/>
            <w:r w:rsidRPr="008C1E14">
              <w:rPr>
                <w:rFonts w:eastAsia="Times New Roman" w:cs="Arial"/>
                <w:color w:val="000000"/>
                <w:szCs w:val="20"/>
                <w:lang w:val="en-US"/>
              </w:rPr>
              <w:t>HandiHaler</w:t>
            </w:r>
            <w:proofErr w:type="spellEnd"/>
          </w:p>
          <w:p w14:paraId="337186F4" w14:textId="37A999A7" w:rsidR="008C1E14" w:rsidRPr="008C1E14" w:rsidRDefault="008C1E14" w:rsidP="008C1E14">
            <w:pPr>
              <w:spacing w:line="240" w:lineRule="auto"/>
              <w:rPr>
                <w:rFonts w:eastAsia="Times New Roman" w:cs="Arial"/>
                <w:color w:val="000000"/>
                <w:szCs w:val="20"/>
                <w:lang w:eastAsia="bg-BG"/>
              </w:rPr>
            </w:pPr>
            <w:r w:rsidRPr="008C1E14">
              <w:rPr>
                <w:rFonts w:eastAsia="Times New Roman" w:cs="Arial"/>
                <w:color w:val="000000"/>
                <w:szCs w:val="20"/>
                <w:lang w:eastAsia="bg-BG"/>
              </w:rPr>
              <w:t>1.покривен капак</w:t>
            </w:r>
          </w:p>
          <w:p w14:paraId="2552FD6F" w14:textId="25B44B42" w:rsidR="008C1E14" w:rsidRPr="008C1E14" w:rsidRDefault="008C1E14" w:rsidP="008C1E14">
            <w:pPr>
              <w:spacing w:line="240" w:lineRule="auto"/>
              <w:rPr>
                <w:rFonts w:eastAsia="Times New Roman" w:cs="Arial"/>
                <w:color w:val="000000"/>
                <w:szCs w:val="20"/>
                <w:lang w:eastAsia="bg-BG"/>
              </w:rPr>
            </w:pPr>
            <w:r w:rsidRPr="008C1E14">
              <w:rPr>
                <w:rFonts w:eastAsia="Times New Roman" w:cs="Arial"/>
                <w:color w:val="000000"/>
                <w:szCs w:val="20"/>
                <w:lang w:eastAsia="bg-BG"/>
              </w:rPr>
              <w:t>2.мундщук</w:t>
            </w:r>
          </w:p>
          <w:p w14:paraId="7BD1470A" w14:textId="79D0049C" w:rsidR="008C1E14" w:rsidRPr="008C1E14" w:rsidRDefault="008C1E14" w:rsidP="008C1E14">
            <w:pPr>
              <w:spacing w:line="240" w:lineRule="auto"/>
              <w:rPr>
                <w:rFonts w:eastAsia="Times New Roman" w:cs="Arial"/>
                <w:color w:val="000000"/>
                <w:szCs w:val="20"/>
                <w:lang w:eastAsia="bg-BG"/>
              </w:rPr>
            </w:pPr>
            <w:r w:rsidRPr="008C1E14">
              <w:rPr>
                <w:rFonts w:eastAsia="Times New Roman" w:cs="Arial"/>
                <w:color w:val="000000"/>
                <w:szCs w:val="20"/>
                <w:lang w:eastAsia="bg-BG"/>
              </w:rPr>
              <w:t>3.основа</w:t>
            </w:r>
          </w:p>
          <w:p w14:paraId="269F41EC" w14:textId="101360DA" w:rsidR="008C1E14" w:rsidRPr="008C1E14" w:rsidRDefault="008C1E14" w:rsidP="008C1E14">
            <w:pPr>
              <w:spacing w:line="240" w:lineRule="auto"/>
              <w:rPr>
                <w:rFonts w:eastAsia="Times New Roman" w:cs="Arial"/>
                <w:color w:val="000000"/>
                <w:szCs w:val="20"/>
                <w:lang w:eastAsia="bg-BG"/>
              </w:rPr>
            </w:pPr>
            <w:r w:rsidRPr="008C1E14">
              <w:rPr>
                <w:rFonts w:eastAsia="Times New Roman" w:cs="Arial"/>
                <w:color w:val="000000"/>
                <w:szCs w:val="20"/>
                <w:lang w:eastAsia="bg-BG"/>
              </w:rPr>
              <w:t>4.бутон за пробиване</w:t>
            </w:r>
          </w:p>
          <w:p w14:paraId="46B0B4CE" w14:textId="7B6EA429" w:rsidR="008C1E14" w:rsidRPr="008C1E14" w:rsidRDefault="008C1E14" w:rsidP="008C1E14">
            <w:pPr>
              <w:spacing w:line="240" w:lineRule="auto"/>
              <w:rPr>
                <w:rFonts w:eastAsia="Times New Roman" w:cs="Arial"/>
                <w:color w:val="000000"/>
                <w:szCs w:val="20"/>
                <w:lang w:eastAsia="bg-BG"/>
              </w:rPr>
            </w:pPr>
            <w:r w:rsidRPr="008C1E14">
              <w:rPr>
                <w:rFonts w:eastAsia="Times New Roman" w:cs="Arial"/>
                <w:color w:val="000000"/>
                <w:szCs w:val="20"/>
                <w:lang w:eastAsia="bg-BG"/>
              </w:rPr>
              <w:t>5.основна камера</w:t>
            </w:r>
          </w:p>
          <w:p w14:paraId="71BDC7E6" w14:textId="77777777" w:rsidR="008C1E14" w:rsidRDefault="008C1E14" w:rsidP="008C1E14"/>
        </w:tc>
      </w:tr>
      <w:tr w:rsidR="008C1E14" w14:paraId="798264A6" w14:textId="77777777" w:rsidTr="008C1E14">
        <w:tc>
          <w:tcPr>
            <w:tcW w:w="2518" w:type="dxa"/>
          </w:tcPr>
          <w:p w14:paraId="662FE9FD" w14:textId="3B980008" w:rsidR="008C1E14" w:rsidRDefault="008C1E14" w:rsidP="008C1E14">
            <w:r>
              <w:rPr>
                <w:noProof/>
                <w:lang w:val="en-US"/>
              </w:rPr>
              <w:drawing>
                <wp:inline distT="0" distB="0" distL="0" distR="0" wp14:anchorId="5145F7C4" wp14:editId="78ABD5AA">
                  <wp:extent cx="1390650" cy="1266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92959" cy="1268928"/>
                          </a:xfrm>
                          <a:prstGeom prst="rect">
                            <a:avLst/>
                          </a:prstGeom>
                        </pic:spPr>
                      </pic:pic>
                    </a:graphicData>
                  </a:graphic>
                </wp:inline>
              </w:drawing>
            </w:r>
          </w:p>
        </w:tc>
        <w:tc>
          <w:tcPr>
            <w:tcW w:w="7058" w:type="dxa"/>
          </w:tcPr>
          <w:p w14:paraId="57307842" w14:textId="2B874F91" w:rsidR="008C1E14" w:rsidRPr="008C1E14" w:rsidRDefault="008C1E14" w:rsidP="008C1E14">
            <w:r w:rsidRPr="008C1E14">
              <w:rPr>
                <w:szCs w:val="20"/>
              </w:rPr>
              <w:t>1. За да отворите покривния капак, натиснете бутона за пробиване докрай и освободете.</w:t>
            </w:r>
          </w:p>
        </w:tc>
      </w:tr>
      <w:tr w:rsidR="008C1E14" w14:paraId="1D0D38D5" w14:textId="77777777" w:rsidTr="008C1E14">
        <w:tc>
          <w:tcPr>
            <w:tcW w:w="2518" w:type="dxa"/>
          </w:tcPr>
          <w:p w14:paraId="1A5C2AFE" w14:textId="0FBE08DB" w:rsidR="008C1E14" w:rsidRDefault="008C1E14" w:rsidP="008C1E14">
            <w:r>
              <w:rPr>
                <w:noProof/>
                <w:lang w:val="en-US"/>
              </w:rPr>
              <w:lastRenderedPageBreak/>
              <w:drawing>
                <wp:inline distT="0" distB="0" distL="0" distR="0" wp14:anchorId="0866702F" wp14:editId="2C989A48">
                  <wp:extent cx="1380226" cy="1247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82604" cy="1249924"/>
                          </a:xfrm>
                          <a:prstGeom prst="rect">
                            <a:avLst/>
                          </a:prstGeom>
                        </pic:spPr>
                      </pic:pic>
                    </a:graphicData>
                  </a:graphic>
                </wp:inline>
              </w:drawing>
            </w:r>
          </w:p>
        </w:tc>
        <w:tc>
          <w:tcPr>
            <w:tcW w:w="7058" w:type="dxa"/>
          </w:tcPr>
          <w:p w14:paraId="5CEA2152" w14:textId="719CF8C9" w:rsidR="008C1E14" w:rsidRPr="008C1E14" w:rsidRDefault="008C1E14" w:rsidP="008C1E14">
            <w:r w:rsidRPr="008C1E14">
              <w:rPr>
                <w:szCs w:val="20"/>
              </w:rPr>
              <w:t>2. Отворете покривния капак докрай, като го издърпате нагоре. След това отворете мундщука, като го издърпате нагоре.</w:t>
            </w:r>
          </w:p>
        </w:tc>
      </w:tr>
      <w:tr w:rsidR="008C1E14" w14:paraId="42E8D83D" w14:textId="77777777" w:rsidTr="008C1E14">
        <w:tc>
          <w:tcPr>
            <w:tcW w:w="2518" w:type="dxa"/>
          </w:tcPr>
          <w:p w14:paraId="1F4A0864" w14:textId="58579D84" w:rsidR="008C1E14" w:rsidRDefault="008C1E14" w:rsidP="008C1E14">
            <w:r>
              <w:rPr>
                <w:noProof/>
                <w:lang w:val="en-US"/>
              </w:rPr>
              <w:drawing>
                <wp:inline distT="0" distB="0" distL="0" distR="0" wp14:anchorId="3442B642" wp14:editId="526B46E6">
                  <wp:extent cx="1379855" cy="1247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80231" cy="1248115"/>
                          </a:xfrm>
                          <a:prstGeom prst="rect">
                            <a:avLst/>
                          </a:prstGeom>
                        </pic:spPr>
                      </pic:pic>
                    </a:graphicData>
                  </a:graphic>
                </wp:inline>
              </w:drawing>
            </w:r>
          </w:p>
        </w:tc>
        <w:tc>
          <w:tcPr>
            <w:tcW w:w="7058" w:type="dxa"/>
          </w:tcPr>
          <w:p w14:paraId="7630A2F7" w14:textId="37A99340" w:rsidR="008C1E14" w:rsidRDefault="008C1E14" w:rsidP="008C1E14">
            <w:pPr>
              <w:spacing w:line="240" w:lineRule="auto"/>
            </w:pPr>
            <w:r w:rsidRPr="008C1E14">
              <w:rPr>
                <w:szCs w:val="20"/>
              </w:rPr>
              <w:t>3.Извадете една капсула СПИРИВА от блистера (непосредствено преди употреба, вж. Употреба на блистера) и я поставете в основната камера, както е илюстрирано. Няма значение с коя страна поставяте капсулата в камерата.</w:t>
            </w:r>
          </w:p>
        </w:tc>
      </w:tr>
      <w:tr w:rsidR="008C1E14" w14:paraId="25B7E3E6" w14:textId="77777777" w:rsidTr="008C1E14">
        <w:tc>
          <w:tcPr>
            <w:tcW w:w="2518" w:type="dxa"/>
          </w:tcPr>
          <w:p w14:paraId="79BC7566" w14:textId="4A44AD69" w:rsidR="008C1E14" w:rsidRDefault="008C1E14" w:rsidP="008C1E14">
            <w:r>
              <w:rPr>
                <w:noProof/>
                <w:lang w:val="en-US"/>
              </w:rPr>
              <w:drawing>
                <wp:inline distT="0" distB="0" distL="0" distR="0" wp14:anchorId="47BD61CC" wp14:editId="7E178E21">
                  <wp:extent cx="1379855" cy="1295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80837" cy="1296322"/>
                          </a:xfrm>
                          <a:prstGeom prst="rect">
                            <a:avLst/>
                          </a:prstGeom>
                        </pic:spPr>
                      </pic:pic>
                    </a:graphicData>
                  </a:graphic>
                </wp:inline>
              </w:drawing>
            </w:r>
          </w:p>
        </w:tc>
        <w:tc>
          <w:tcPr>
            <w:tcW w:w="7058" w:type="dxa"/>
          </w:tcPr>
          <w:p w14:paraId="4DF0B0B5" w14:textId="2637A462" w:rsidR="008C1E14" w:rsidRDefault="008C1E14" w:rsidP="008C1E14">
            <w:r w:rsidRPr="008C1E14">
              <w:rPr>
                <w:szCs w:val="20"/>
              </w:rPr>
              <w:t>4.Затворете здраво мундщука, докато не чуете щракване. Оставете покривният капак отворен.</w:t>
            </w:r>
          </w:p>
        </w:tc>
      </w:tr>
      <w:tr w:rsidR="008C1E14" w14:paraId="6EE3BC28" w14:textId="77777777" w:rsidTr="008C1E14">
        <w:tc>
          <w:tcPr>
            <w:tcW w:w="2518" w:type="dxa"/>
          </w:tcPr>
          <w:p w14:paraId="1AAEC7B9" w14:textId="12682176" w:rsidR="008C1E14" w:rsidRDefault="008C1E14" w:rsidP="008C1E14">
            <w:r>
              <w:rPr>
                <w:noProof/>
                <w:lang w:val="en-US"/>
              </w:rPr>
              <w:drawing>
                <wp:inline distT="0" distB="0" distL="0" distR="0" wp14:anchorId="3FD87260" wp14:editId="11C1F18F">
                  <wp:extent cx="1379855" cy="1257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80231" cy="1257643"/>
                          </a:xfrm>
                          <a:prstGeom prst="rect">
                            <a:avLst/>
                          </a:prstGeom>
                        </pic:spPr>
                      </pic:pic>
                    </a:graphicData>
                  </a:graphic>
                </wp:inline>
              </w:drawing>
            </w:r>
          </w:p>
        </w:tc>
        <w:tc>
          <w:tcPr>
            <w:tcW w:w="7058" w:type="dxa"/>
          </w:tcPr>
          <w:p w14:paraId="355136B4" w14:textId="79EF36FC" w:rsidR="008C1E14" w:rsidRPr="008C1E14" w:rsidRDefault="008C1E14" w:rsidP="008C1E14">
            <w:pPr>
              <w:spacing w:line="240" w:lineRule="auto"/>
              <w:rPr>
                <w:rFonts w:eastAsia="Times New Roman" w:cs="Arial"/>
                <w:color w:val="000000"/>
                <w:szCs w:val="20"/>
                <w:lang w:eastAsia="bg-BG"/>
              </w:rPr>
            </w:pPr>
            <w:r w:rsidRPr="008C1E14">
              <w:rPr>
                <w:rFonts w:eastAsia="Times New Roman" w:cs="Arial"/>
                <w:color w:val="000000"/>
                <w:szCs w:val="20"/>
                <w:lang w:eastAsia="bg-BG"/>
              </w:rPr>
              <w:t xml:space="preserve">5.Задръжте устройството </w:t>
            </w:r>
            <w:proofErr w:type="spellStart"/>
            <w:r w:rsidRPr="008C1E14">
              <w:rPr>
                <w:rFonts w:eastAsia="Times New Roman" w:cs="Arial"/>
                <w:color w:val="000000"/>
                <w:szCs w:val="20"/>
                <w:lang w:val="en-US"/>
              </w:rPr>
              <w:t>HandiHaler</w:t>
            </w:r>
            <w:proofErr w:type="spellEnd"/>
            <w:r w:rsidRPr="008C1E14">
              <w:rPr>
                <w:rFonts w:eastAsia="Times New Roman" w:cs="Arial"/>
                <w:color w:val="000000"/>
                <w:szCs w:val="20"/>
                <w:lang w:val="ru-RU"/>
              </w:rPr>
              <w:t xml:space="preserve"> </w:t>
            </w:r>
            <w:r w:rsidRPr="008C1E14">
              <w:rPr>
                <w:rFonts w:eastAsia="Times New Roman" w:cs="Arial"/>
                <w:color w:val="000000"/>
                <w:szCs w:val="20"/>
                <w:lang w:eastAsia="bg-BG"/>
              </w:rPr>
              <w:t>обърнато с мундщука нагоре и натиснете зеления бутон за пробиване само веднъж, докрай, след което го освободете.</w:t>
            </w:r>
          </w:p>
          <w:p w14:paraId="07AC5729" w14:textId="77777777" w:rsidR="008C1E14" w:rsidRPr="008C1E14" w:rsidRDefault="008C1E14" w:rsidP="008C1E14">
            <w:pPr>
              <w:spacing w:line="240" w:lineRule="auto"/>
              <w:rPr>
                <w:rFonts w:eastAsia="Times New Roman" w:cs="Arial"/>
                <w:sz w:val="28"/>
                <w:szCs w:val="24"/>
              </w:rPr>
            </w:pPr>
            <w:r w:rsidRPr="008C1E14">
              <w:rPr>
                <w:rFonts w:eastAsia="Times New Roman" w:cs="Arial"/>
                <w:color w:val="000000"/>
                <w:szCs w:val="20"/>
                <w:lang w:eastAsia="bg-BG"/>
              </w:rPr>
              <w:t>По този начин се образуват дупки в капсулата, което позволява лекарството да се освободи, докато вдишвате.</w:t>
            </w:r>
          </w:p>
          <w:p w14:paraId="3E30BD87" w14:textId="77777777" w:rsidR="008C1E14" w:rsidRDefault="008C1E14" w:rsidP="008C1E14"/>
        </w:tc>
      </w:tr>
      <w:tr w:rsidR="008C1E14" w14:paraId="3A662C39" w14:textId="77777777" w:rsidTr="008C1E14">
        <w:tc>
          <w:tcPr>
            <w:tcW w:w="2518" w:type="dxa"/>
          </w:tcPr>
          <w:p w14:paraId="31B63BC0" w14:textId="51A87EB8" w:rsidR="008C1E14" w:rsidRDefault="008C1E14" w:rsidP="008C1E14">
            <w:r>
              <w:rPr>
                <w:noProof/>
                <w:lang w:val="en-US"/>
              </w:rPr>
              <w:drawing>
                <wp:inline distT="0" distB="0" distL="0" distR="0" wp14:anchorId="481241D1" wp14:editId="01E36C43">
                  <wp:extent cx="1379855" cy="1257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80398" cy="1257795"/>
                          </a:xfrm>
                          <a:prstGeom prst="rect">
                            <a:avLst/>
                          </a:prstGeom>
                        </pic:spPr>
                      </pic:pic>
                    </a:graphicData>
                  </a:graphic>
                </wp:inline>
              </w:drawing>
            </w:r>
          </w:p>
        </w:tc>
        <w:tc>
          <w:tcPr>
            <w:tcW w:w="7058" w:type="dxa"/>
          </w:tcPr>
          <w:p w14:paraId="4EFD145A" w14:textId="055A3E25" w:rsidR="008C1E14" w:rsidRPr="008C1E14" w:rsidRDefault="008C1E14" w:rsidP="008C1E14">
            <w:pPr>
              <w:spacing w:line="240" w:lineRule="auto"/>
              <w:rPr>
                <w:rFonts w:eastAsia="Times New Roman" w:cs="Arial"/>
                <w:color w:val="000000"/>
                <w:szCs w:val="20"/>
                <w:lang w:eastAsia="bg-BG"/>
              </w:rPr>
            </w:pPr>
            <w:r w:rsidRPr="008C1E14">
              <w:rPr>
                <w:rFonts w:eastAsia="Times New Roman" w:cs="Arial"/>
                <w:color w:val="000000"/>
                <w:szCs w:val="20"/>
                <w:lang w:eastAsia="bg-BG"/>
              </w:rPr>
              <w:t>6.Издишайте дълбоко.</w:t>
            </w:r>
          </w:p>
          <w:p w14:paraId="371EF9E9" w14:textId="5E029750" w:rsidR="008C1E14" w:rsidRDefault="008C1E14" w:rsidP="008C1E14">
            <w:r w:rsidRPr="008C1E14">
              <w:rPr>
                <w:rFonts w:eastAsia="Times New Roman" w:cs="Arial"/>
                <w:color w:val="000000"/>
                <w:szCs w:val="20"/>
                <w:lang w:eastAsia="bg-BG"/>
              </w:rPr>
              <w:t>Важно: Винаги избягвайте да дишате в мундщука.</w:t>
            </w:r>
          </w:p>
        </w:tc>
      </w:tr>
      <w:tr w:rsidR="008C1E14" w14:paraId="4085C722" w14:textId="77777777" w:rsidTr="008C1E14">
        <w:tc>
          <w:tcPr>
            <w:tcW w:w="2518" w:type="dxa"/>
          </w:tcPr>
          <w:p w14:paraId="7CBB529B" w14:textId="072FFF0B" w:rsidR="008C1E14" w:rsidRDefault="008C1E14" w:rsidP="008C1E14">
            <w:r>
              <w:rPr>
                <w:noProof/>
                <w:lang w:val="en-US"/>
              </w:rPr>
              <w:drawing>
                <wp:inline distT="0" distB="0" distL="0" distR="0" wp14:anchorId="5757FE6B" wp14:editId="37A35444">
                  <wp:extent cx="1379855" cy="1276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81102" cy="1277503"/>
                          </a:xfrm>
                          <a:prstGeom prst="rect">
                            <a:avLst/>
                          </a:prstGeom>
                        </pic:spPr>
                      </pic:pic>
                    </a:graphicData>
                  </a:graphic>
                </wp:inline>
              </w:drawing>
            </w:r>
          </w:p>
        </w:tc>
        <w:tc>
          <w:tcPr>
            <w:tcW w:w="7058" w:type="dxa"/>
          </w:tcPr>
          <w:p w14:paraId="395D0496" w14:textId="69014079" w:rsidR="008C1E14" w:rsidRPr="008C1E14" w:rsidRDefault="008C1E14" w:rsidP="008C1E14">
            <w:r w:rsidRPr="008C1E14">
              <w:rPr>
                <w:szCs w:val="20"/>
              </w:rPr>
              <w:t xml:space="preserve">7.Повдигнете устройството </w:t>
            </w:r>
            <w:proofErr w:type="spellStart"/>
            <w:r w:rsidRPr="008C1E14">
              <w:rPr>
                <w:szCs w:val="20"/>
                <w:lang w:val="en-US"/>
              </w:rPr>
              <w:t>HandiHaler</w:t>
            </w:r>
            <w:proofErr w:type="spellEnd"/>
            <w:r w:rsidRPr="008C1E14">
              <w:rPr>
                <w:szCs w:val="20"/>
                <w:lang w:val="ru-RU"/>
              </w:rPr>
              <w:t xml:space="preserve"> </w:t>
            </w:r>
            <w:r w:rsidRPr="008C1E14">
              <w:rPr>
                <w:szCs w:val="20"/>
              </w:rPr>
              <w:t xml:space="preserve">до устата си и стиснете устните си здраво около мундщука. Задръжте главата си в изправено положение и вдишайте бавно и дълбоко, но така, че да чувате или усетите вибрирането на капсулата. Вдишвайте, докато почувствате дробовете си пълни. След това задръжте дишането си колкото можете, като в същото време извадете устройството </w:t>
            </w:r>
            <w:proofErr w:type="spellStart"/>
            <w:r w:rsidRPr="008C1E14">
              <w:rPr>
                <w:szCs w:val="20"/>
                <w:lang w:val="en-US"/>
              </w:rPr>
              <w:t>HandiHaler</w:t>
            </w:r>
            <w:proofErr w:type="spellEnd"/>
            <w:r w:rsidRPr="008C1E14">
              <w:rPr>
                <w:szCs w:val="20"/>
                <w:lang w:val="ru-RU"/>
              </w:rPr>
              <w:t xml:space="preserve"> </w:t>
            </w:r>
            <w:r w:rsidRPr="008C1E14">
              <w:rPr>
                <w:szCs w:val="20"/>
              </w:rPr>
              <w:t>от устата си. Възстановете нормалното си дишане. Повторете стъпки 6 и 7 още веднъж. По този начин ще изпразните напълно капсулата.</w:t>
            </w:r>
          </w:p>
        </w:tc>
      </w:tr>
      <w:tr w:rsidR="008C1E14" w14:paraId="02968A05" w14:textId="77777777" w:rsidTr="008C1E14">
        <w:tc>
          <w:tcPr>
            <w:tcW w:w="2518" w:type="dxa"/>
          </w:tcPr>
          <w:p w14:paraId="6735389E" w14:textId="67B20CE2" w:rsidR="008C1E14" w:rsidRDefault="008C1E14" w:rsidP="008C1E14">
            <w:r>
              <w:rPr>
                <w:noProof/>
                <w:lang w:val="en-US"/>
              </w:rPr>
              <w:lastRenderedPageBreak/>
              <w:drawing>
                <wp:inline distT="0" distB="0" distL="0" distR="0" wp14:anchorId="34A52C85" wp14:editId="277F14AE">
                  <wp:extent cx="1302589" cy="12858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03263" cy="1286540"/>
                          </a:xfrm>
                          <a:prstGeom prst="rect">
                            <a:avLst/>
                          </a:prstGeom>
                        </pic:spPr>
                      </pic:pic>
                    </a:graphicData>
                  </a:graphic>
                </wp:inline>
              </w:drawing>
            </w:r>
          </w:p>
        </w:tc>
        <w:tc>
          <w:tcPr>
            <w:tcW w:w="7058" w:type="dxa"/>
          </w:tcPr>
          <w:p w14:paraId="7430F52A" w14:textId="77777777" w:rsidR="008C1E14" w:rsidRPr="008C1E14" w:rsidRDefault="008C1E14" w:rsidP="008C1E14">
            <w:pPr>
              <w:spacing w:line="240" w:lineRule="auto"/>
              <w:rPr>
                <w:rFonts w:eastAsia="Times New Roman" w:cs="Arial"/>
                <w:sz w:val="28"/>
                <w:szCs w:val="24"/>
              </w:rPr>
            </w:pPr>
            <w:r w:rsidRPr="008C1E14">
              <w:rPr>
                <w:rFonts w:eastAsia="Times New Roman" w:cs="Arial"/>
                <w:color w:val="000000"/>
                <w:szCs w:val="20"/>
                <w:lang w:eastAsia="bg-BG"/>
              </w:rPr>
              <w:t xml:space="preserve">8. Отново отворете мундщука. Извадете капсулата и я изхвърлете. Затворете мундщука и покривния капак, за да съхраните устройството </w:t>
            </w:r>
            <w:proofErr w:type="spellStart"/>
            <w:r w:rsidRPr="008C1E14">
              <w:rPr>
                <w:rFonts w:eastAsia="Times New Roman" w:cs="Arial"/>
                <w:color w:val="000000"/>
                <w:szCs w:val="20"/>
                <w:lang w:val="en-US"/>
              </w:rPr>
              <w:t>HandiHaler</w:t>
            </w:r>
            <w:proofErr w:type="spellEnd"/>
            <w:r w:rsidRPr="008C1E14">
              <w:rPr>
                <w:rFonts w:eastAsia="Times New Roman" w:cs="Arial"/>
                <w:color w:val="000000"/>
                <w:szCs w:val="20"/>
                <w:lang w:val="ru-RU"/>
              </w:rPr>
              <w:t>.</w:t>
            </w:r>
          </w:p>
          <w:p w14:paraId="7FC9FA5C" w14:textId="77777777" w:rsidR="008C1E14" w:rsidRDefault="008C1E14" w:rsidP="008C1E14"/>
        </w:tc>
      </w:tr>
    </w:tbl>
    <w:p w14:paraId="3FBA4FAF" w14:textId="53BE549A" w:rsidR="008C1E14" w:rsidRDefault="008C1E14" w:rsidP="008C1E14"/>
    <w:p w14:paraId="47C08C75" w14:textId="7B50536C" w:rsidR="008C1E14" w:rsidRDefault="008C1E14" w:rsidP="008C1E14">
      <w:pPr>
        <w:rPr>
          <w:szCs w:val="20"/>
          <w:u w:val="single"/>
          <w:lang w:val="en-US"/>
        </w:rPr>
      </w:pPr>
      <w:r w:rsidRPr="008C1E14">
        <w:rPr>
          <w:szCs w:val="20"/>
          <w:u w:val="single"/>
        </w:rPr>
        <w:t xml:space="preserve">Почистване на устройството </w:t>
      </w:r>
      <w:proofErr w:type="spellStart"/>
      <w:r w:rsidRPr="008C1E14">
        <w:rPr>
          <w:szCs w:val="20"/>
          <w:u w:val="single"/>
          <w:lang w:val="en-US"/>
        </w:rPr>
        <w:t>HandiHaler</w:t>
      </w:r>
      <w:proofErr w:type="spellEnd"/>
    </w:p>
    <w:tbl>
      <w:tblPr>
        <w:tblStyle w:val="TableGrid"/>
        <w:tblW w:w="0" w:type="auto"/>
        <w:tblLook w:val="04A0" w:firstRow="1" w:lastRow="0" w:firstColumn="1" w:lastColumn="0" w:noHBand="0" w:noVBand="1"/>
      </w:tblPr>
      <w:tblGrid>
        <w:gridCol w:w="2508"/>
        <w:gridCol w:w="6842"/>
      </w:tblGrid>
      <w:tr w:rsidR="008C1E14" w14:paraId="0FEBA632" w14:textId="77777777" w:rsidTr="008C1E14">
        <w:tc>
          <w:tcPr>
            <w:tcW w:w="2518" w:type="dxa"/>
          </w:tcPr>
          <w:p w14:paraId="4008D517" w14:textId="71DF462B" w:rsidR="008C1E14" w:rsidRDefault="008C1E14" w:rsidP="008C1E14">
            <w:pPr>
              <w:rPr>
                <w:sz w:val="24"/>
              </w:rPr>
            </w:pPr>
            <w:r>
              <w:rPr>
                <w:noProof/>
                <w:lang w:val="en-US"/>
              </w:rPr>
              <w:drawing>
                <wp:inline distT="0" distB="0" distL="0" distR="0" wp14:anchorId="1D93DDF4" wp14:editId="3F76C270">
                  <wp:extent cx="1302385" cy="12858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02385" cy="1285875"/>
                          </a:xfrm>
                          <a:prstGeom prst="rect">
                            <a:avLst/>
                          </a:prstGeom>
                        </pic:spPr>
                      </pic:pic>
                    </a:graphicData>
                  </a:graphic>
                </wp:inline>
              </w:drawing>
            </w:r>
          </w:p>
        </w:tc>
        <w:tc>
          <w:tcPr>
            <w:tcW w:w="7058" w:type="dxa"/>
          </w:tcPr>
          <w:p w14:paraId="784A8080" w14:textId="77777777" w:rsidR="008C1E14" w:rsidRPr="008C1E14" w:rsidRDefault="008C1E14" w:rsidP="008C1E14">
            <w:pPr>
              <w:spacing w:line="240" w:lineRule="auto"/>
              <w:rPr>
                <w:rFonts w:eastAsia="Times New Roman" w:cs="Arial"/>
                <w:szCs w:val="24"/>
              </w:rPr>
            </w:pPr>
            <w:r w:rsidRPr="008C1E14">
              <w:rPr>
                <w:rFonts w:eastAsia="Times New Roman" w:cs="Arial"/>
                <w:color w:val="000000"/>
                <w:szCs w:val="20"/>
                <w:lang w:eastAsia="bg-BG"/>
              </w:rPr>
              <w:t xml:space="preserve">Почиствайте устройството </w:t>
            </w:r>
            <w:proofErr w:type="spellStart"/>
            <w:r w:rsidRPr="008C1E14">
              <w:rPr>
                <w:rFonts w:eastAsia="Times New Roman" w:cs="Arial"/>
                <w:color w:val="000000"/>
                <w:szCs w:val="20"/>
                <w:lang w:val="en-US"/>
              </w:rPr>
              <w:t>HandiHaler</w:t>
            </w:r>
            <w:proofErr w:type="spellEnd"/>
            <w:r w:rsidRPr="008C1E14">
              <w:rPr>
                <w:rFonts w:eastAsia="Times New Roman" w:cs="Arial"/>
                <w:color w:val="000000"/>
                <w:szCs w:val="20"/>
                <w:lang w:val="ru-RU"/>
              </w:rPr>
              <w:t xml:space="preserve"> </w:t>
            </w:r>
            <w:r w:rsidRPr="008C1E14">
              <w:rPr>
                <w:rFonts w:eastAsia="Times New Roman" w:cs="Arial"/>
                <w:color w:val="000000"/>
                <w:szCs w:val="20"/>
                <w:lang w:eastAsia="bg-BG"/>
              </w:rPr>
              <w:t>веднъж месечно.</w:t>
            </w:r>
          </w:p>
          <w:p w14:paraId="2DE39C30" w14:textId="5D3097D9" w:rsidR="008C1E14" w:rsidRPr="008C1E14" w:rsidRDefault="008C1E14" w:rsidP="008C1E14">
            <w:pPr>
              <w:rPr>
                <w:rFonts w:cs="Arial"/>
              </w:rPr>
            </w:pPr>
            <w:r w:rsidRPr="008C1E14">
              <w:rPr>
                <w:rFonts w:eastAsia="Times New Roman" w:cs="Arial"/>
                <w:color w:val="000000"/>
                <w:szCs w:val="20"/>
                <w:lang w:eastAsia="bg-BG"/>
              </w:rPr>
              <w:t xml:space="preserve">Отворете покривния капак и мундщука. После отворете основата чрез повдигане на бутона за пробиване. Изплакнете цялото устройство за инхалация с топла вода, за да отстраните остатъците от праха. Подсушете изцяло устройството </w:t>
            </w:r>
            <w:proofErr w:type="spellStart"/>
            <w:r w:rsidRPr="008C1E14">
              <w:rPr>
                <w:rFonts w:eastAsia="Times New Roman" w:cs="Arial"/>
                <w:color w:val="000000"/>
                <w:szCs w:val="20"/>
                <w:lang w:val="en-US"/>
              </w:rPr>
              <w:t>HandiHaler</w:t>
            </w:r>
            <w:proofErr w:type="spellEnd"/>
            <w:r w:rsidRPr="008C1E14">
              <w:rPr>
                <w:rFonts w:eastAsia="Times New Roman" w:cs="Arial"/>
                <w:color w:val="000000"/>
                <w:szCs w:val="20"/>
                <w:lang w:val="ru-RU"/>
              </w:rPr>
              <w:t xml:space="preserve">, </w:t>
            </w:r>
            <w:r w:rsidRPr="008C1E14">
              <w:rPr>
                <w:rFonts w:eastAsia="Times New Roman" w:cs="Arial"/>
                <w:color w:val="000000"/>
                <w:szCs w:val="20"/>
                <w:lang w:eastAsia="bg-BG"/>
              </w:rPr>
              <w:t xml:space="preserve">като попиете водата с хартиена кърпа и след това изсушете на въздух, като оставите покривния капак, мундщука и основата отворени. Тъй като изсъхването отнема 24 часа, най-добре е да почистите устройството веднага след употреба, за да можете да го използвате за следващия ви дневен прием. Ако е необходимо, мундщукът </w:t>
            </w:r>
            <w:r w:rsidRPr="008C1E14">
              <w:rPr>
                <w:rFonts w:eastAsia="Times New Roman" w:cs="Arial"/>
                <w:color w:val="000000"/>
                <w:szCs w:val="20"/>
                <w:u w:val="single"/>
                <w:lang w:eastAsia="bg-BG"/>
              </w:rPr>
              <w:t>може да се почисти от външната страна с влажна, но не мокра тъкан.</w:t>
            </w:r>
            <w:r w:rsidRPr="008C1E14">
              <w:rPr>
                <w:rFonts w:eastAsia="Times New Roman" w:cs="Arial"/>
                <w:color w:val="000000"/>
                <w:szCs w:val="20"/>
                <w:lang w:eastAsia="bg-BG"/>
              </w:rPr>
              <w:tab/>
            </w:r>
          </w:p>
        </w:tc>
      </w:tr>
    </w:tbl>
    <w:p w14:paraId="539D5995" w14:textId="0D9A8B0F" w:rsidR="008C1E14" w:rsidRDefault="008C1E14" w:rsidP="008C1E14">
      <w:pPr>
        <w:rPr>
          <w:sz w:val="24"/>
        </w:rPr>
      </w:pPr>
    </w:p>
    <w:p w14:paraId="7CD56496" w14:textId="18122E74" w:rsidR="008C1E14" w:rsidRDefault="008C1E14" w:rsidP="008C1E14">
      <w:pPr>
        <w:rPr>
          <w:sz w:val="20"/>
          <w:szCs w:val="20"/>
          <w:u w:val="single"/>
        </w:rPr>
      </w:pPr>
      <w:r>
        <w:rPr>
          <w:sz w:val="20"/>
          <w:szCs w:val="20"/>
          <w:u w:val="single"/>
        </w:rPr>
        <w:t>Употреба на блистера</w:t>
      </w:r>
    </w:p>
    <w:tbl>
      <w:tblPr>
        <w:tblStyle w:val="TableGrid"/>
        <w:tblW w:w="0" w:type="auto"/>
        <w:tblLook w:val="04A0" w:firstRow="1" w:lastRow="0" w:firstColumn="1" w:lastColumn="0" w:noHBand="0" w:noVBand="1"/>
      </w:tblPr>
      <w:tblGrid>
        <w:gridCol w:w="2512"/>
        <w:gridCol w:w="6838"/>
      </w:tblGrid>
      <w:tr w:rsidR="008C1E14" w14:paraId="2BFC3689" w14:textId="77777777" w:rsidTr="008C1E14">
        <w:tc>
          <w:tcPr>
            <w:tcW w:w="2518" w:type="dxa"/>
          </w:tcPr>
          <w:p w14:paraId="63FB67AC" w14:textId="7713E97B" w:rsidR="008C1E14" w:rsidRDefault="008C1E14" w:rsidP="008C1E14">
            <w:pPr>
              <w:rPr>
                <w:sz w:val="24"/>
              </w:rPr>
            </w:pPr>
            <w:r>
              <w:rPr>
                <w:noProof/>
                <w:lang w:val="en-US"/>
              </w:rPr>
              <w:drawing>
                <wp:inline distT="0" distB="0" distL="0" distR="0" wp14:anchorId="51F10E7E" wp14:editId="5417684B">
                  <wp:extent cx="1371600" cy="12668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72559" cy="1267711"/>
                          </a:xfrm>
                          <a:prstGeom prst="rect">
                            <a:avLst/>
                          </a:prstGeom>
                        </pic:spPr>
                      </pic:pic>
                    </a:graphicData>
                  </a:graphic>
                </wp:inline>
              </w:drawing>
            </w:r>
          </w:p>
        </w:tc>
        <w:tc>
          <w:tcPr>
            <w:tcW w:w="7058" w:type="dxa"/>
          </w:tcPr>
          <w:p w14:paraId="3EC523D3" w14:textId="556C806E" w:rsidR="008C1E14" w:rsidRDefault="008C1E14" w:rsidP="008C1E14">
            <w:pPr>
              <w:rPr>
                <w:sz w:val="24"/>
              </w:rPr>
            </w:pPr>
            <w:r w:rsidRPr="008C1E14">
              <w:rPr>
                <w:szCs w:val="20"/>
              </w:rPr>
              <w:t>А. Разделете двете блистерни ленти, като следвате перфорираната линия.</w:t>
            </w:r>
          </w:p>
        </w:tc>
      </w:tr>
      <w:tr w:rsidR="008C1E14" w14:paraId="7A140C1E" w14:textId="77777777" w:rsidTr="008C1E14">
        <w:tc>
          <w:tcPr>
            <w:tcW w:w="2518" w:type="dxa"/>
          </w:tcPr>
          <w:p w14:paraId="05C4FA4B" w14:textId="26FFF97C" w:rsidR="008C1E14" w:rsidRDefault="008C1E14" w:rsidP="008C1E14">
            <w:pPr>
              <w:rPr>
                <w:sz w:val="24"/>
              </w:rPr>
            </w:pPr>
            <w:r>
              <w:rPr>
                <w:noProof/>
                <w:lang w:val="en-US"/>
              </w:rPr>
              <w:drawing>
                <wp:inline distT="0" distB="0" distL="0" distR="0" wp14:anchorId="4512D533" wp14:editId="1806D0A5">
                  <wp:extent cx="1371600" cy="1238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71600" cy="1238250"/>
                          </a:xfrm>
                          <a:prstGeom prst="rect">
                            <a:avLst/>
                          </a:prstGeom>
                        </pic:spPr>
                      </pic:pic>
                    </a:graphicData>
                  </a:graphic>
                </wp:inline>
              </w:drawing>
            </w:r>
          </w:p>
        </w:tc>
        <w:tc>
          <w:tcPr>
            <w:tcW w:w="7058" w:type="dxa"/>
          </w:tcPr>
          <w:p w14:paraId="2AD7927C" w14:textId="77777777" w:rsidR="008C1E14" w:rsidRPr="008C1E14" w:rsidRDefault="008C1E14" w:rsidP="008C1E14">
            <w:pPr>
              <w:spacing w:line="240" w:lineRule="auto"/>
              <w:rPr>
                <w:rFonts w:eastAsia="Times New Roman" w:cs="Arial"/>
                <w:sz w:val="28"/>
                <w:szCs w:val="24"/>
              </w:rPr>
            </w:pPr>
            <w:r w:rsidRPr="008C1E14">
              <w:rPr>
                <w:rFonts w:eastAsia="Times New Roman" w:cs="Arial"/>
                <w:color w:val="000000"/>
                <w:szCs w:val="20"/>
                <w:lang w:eastAsia="bg-BG"/>
              </w:rPr>
              <w:t>Б. Обелете фолиото на блистера от задната страна, използвайки указаното място, докато не видите капсулата.</w:t>
            </w:r>
          </w:p>
          <w:p w14:paraId="70C2BE86" w14:textId="48812569" w:rsidR="008C1E14" w:rsidRPr="008C1E14" w:rsidRDefault="008C1E14" w:rsidP="008C1E14">
            <w:pPr>
              <w:spacing w:line="240" w:lineRule="auto"/>
              <w:rPr>
                <w:rFonts w:ascii="Times New Roman" w:eastAsia="Times New Roman" w:hAnsi="Times New Roman" w:cs="Times New Roman"/>
                <w:sz w:val="24"/>
                <w:szCs w:val="24"/>
              </w:rPr>
            </w:pPr>
            <w:r w:rsidRPr="008C1E14">
              <w:rPr>
                <w:rFonts w:eastAsia="Times New Roman" w:cs="Arial"/>
                <w:color w:val="000000"/>
                <w:szCs w:val="20"/>
                <w:lang w:eastAsia="bg-BG"/>
              </w:rPr>
              <w:t>В случай, че неволно обелите фолиото и върху съседната капсула, то тя трябва да бъде изхвърлена.</w:t>
            </w:r>
          </w:p>
        </w:tc>
      </w:tr>
      <w:tr w:rsidR="008C1E14" w14:paraId="00AE4DCD" w14:textId="77777777" w:rsidTr="008C1E14">
        <w:tc>
          <w:tcPr>
            <w:tcW w:w="2518" w:type="dxa"/>
          </w:tcPr>
          <w:p w14:paraId="6E21DB66" w14:textId="43887CBE" w:rsidR="008C1E14" w:rsidRDefault="008C1E14" w:rsidP="008C1E14">
            <w:pPr>
              <w:rPr>
                <w:sz w:val="24"/>
              </w:rPr>
            </w:pPr>
            <w:r>
              <w:rPr>
                <w:noProof/>
                <w:lang w:val="en-US"/>
              </w:rPr>
              <w:drawing>
                <wp:inline distT="0" distB="0" distL="0" distR="0" wp14:anchorId="66265A11" wp14:editId="69F0588A">
                  <wp:extent cx="1371600" cy="12668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71600" cy="1266825"/>
                          </a:xfrm>
                          <a:prstGeom prst="rect">
                            <a:avLst/>
                          </a:prstGeom>
                        </pic:spPr>
                      </pic:pic>
                    </a:graphicData>
                  </a:graphic>
                </wp:inline>
              </w:drawing>
            </w:r>
          </w:p>
        </w:tc>
        <w:tc>
          <w:tcPr>
            <w:tcW w:w="7058" w:type="dxa"/>
          </w:tcPr>
          <w:p w14:paraId="11326C3A" w14:textId="661C0893" w:rsidR="008C1E14" w:rsidRPr="008C1E14" w:rsidRDefault="008C1E14" w:rsidP="008C1E14">
            <w:pPr>
              <w:spacing w:line="240" w:lineRule="auto"/>
              <w:rPr>
                <w:rFonts w:eastAsia="Times New Roman" w:cs="Arial"/>
                <w:color w:val="000000"/>
                <w:szCs w:val="20"/>
                <w:lang w:eastAsia="bg-BG"/>
              </w:rPr>
            </w:pPr>
            <w:r w:rsidRPr="008C1E14">
              <w:rPr>
                <w:rFonts w:eastAsia="Times New Roman" w:cs="Arial"/>
                <w:color w:val="000000"/>
                <w:szCs w:val="20"/>
                <w:lang w:eastAsia="bg-BG"/>
              </w:rPr>
              <w:t>В. Извадете капсулата.</w:t>
            </w:r>
          </w:p>
          <w:p w14:paraId="23EAC5AD" w14:textId="77777777" w:rsidR="008C1E14" w:rsidRDefault="008C1E14" w:rsidP="008C1E14">
            <w:pPr>
              <w:rPr>
                <w:sz w:val="24"/>
              </w:rPr>
            </w:pPr>
          </w:p>
        </w:tc>
      </w:tr>
    </w:tbl>
    <w:p w14:paraId="0C8CD92F" w14:textId="00435C97" w:rsidR="008C1E14" w:rsidRDefault="008C1E14" w:rsidP="008C1E14">
      <w:pPr>
        <w:rPr>
          <w:sz w:val="24"/>
        </w:rPr>
      </w:pPr>
    </w:p>
    <w:p w14:paraId="3343C6A0" w14:textId="170C0490" w:rsidR="008C1E14" w:rsidRDefault="008C1E14" w:rsidP="008C1E14">
      <w:r>
        <w:lastRenderedPageBreak/>
        <w:t>СПИРИВА капсули съдържат само малко количество прах за инхалация, така че капсулата е частично пълна.</w:t>
      </w:r>
    </w:p>
    <w:p w14:paraId="4317BB44" w14:textId="77777777" w:rsidR="008C1E14" w:rsidRPr="008C1E14" w:rsidRDefault="008C1E14" w:rsidP="008C1E14">
      <w:pPr>
        <w:rPr>
          <w:sz w:val="24"/>
        </w:rPr>
      </w:pPr>
    </w:p>
    <w:p w14:paraId="74903285" w14:textId="0077E6F7" w:rsidR="00DB32D3" w:rsidRDefault="002C50EE" w:rsidP="005726E3">
      <w:pPr>
        <w:pStyle w:val="Heading2"/>
      </w:pPr>
      <w:r>
        <w:t>4.3. Противопоказания</w:t>
      </w:r>
    </w:p>
    <w:p w14:paraId="12E43B3E" w14:textId="58C18520" w:rsidR="008C1E14" w:rsidRDefault="008C1E14" w:rsidP="008C1E14"/>
    <w:p w14:paraId="2BF9FB26" w14:textId="77777777" w:rsidR="008C1E14" w:rsidRPr="008C1E14" w:rsidRDefault="008C1E14" w:rsidP="008C1E14">
      <w:pPr>
        <w:rPr>
          <w:sz w:val="24"/>
          <w:szCs w:val="24"/>
        </w:rPr>
      </w:pPr>
      <w:r w:rsidRPr="008C1E14">
        <w:rPr>
          <w:lang w:eastAsia="bg-BG"/>
        </w:rPr>
        <w:t>Свръхчувствителност към активното вещество или към някое от помощните вещества, изброени в точка 6.1, или към атропин, или неговите производни, например ипратропиум или окситропиум.</w:t>
      </w:r>
    </w:p>
    <w:p w14:paraId="131D0C89" w14:textId="77777777" w:rsidR="008C1E14" w:rsidRPr="008C1E14" w:rsidRDefault="008C1E14" w:rsidP="008C1E14"/>
    <w:p w14:paraId="76DC8E58" w14:textId="3024AC42" w:rsidR="00DB32D3" w:rsidRDefault="002C50EE" w:rsidP="005726E3">
      <w:pPr>
        <w:pStyle w:val="Heading2"/>
      </w:pPr>
      <w:r>
        <w:t>4.4. Специални предупреждения и предпазни мерки при употреба</w:t>
      </w:r>
    </w:p>
    <w:p w14:paraId="09F13673" w14:textId="05C27E6C" w:rsidR="008C1E14" w:rsidRDefault="008C1E14" w:rsidP="008C1E14"/>
    <w:p w14:paraId="55CF5CB3" w14:textId="77777777" w:rsidR="008C1E14" w:rsidRPr="008C1E14" w:rsidRDefault="008C1E14" w:rsidP="008C1E14">
      <w:pPr>
        <w:spacing w:line="240" w:lineRule="auto"/>
        <w:rPr>
          <w:rFonts w:eastAsia="Times New Roman" w:cs="Arial"/>
          <w:sz w:val="28"/>
          <w:szCs w:val="24"/>
        </w:rPr>
      </w:pPr>
      <w:r w:rsidRPr="008C1E14">
        <w:rPr>
          <w:rFonts w:eastAsia="Times New Roman" w:cs="Arial"/>
          <w:color w:val="000000"/>
          <w:szCs w:val="20"/>
          <w:lang w:eastAsia="bg-BG"/>
        </w:rPr>
        <w:t>Тиотропиум бромид, представлява бронходилататор за поддържащо лечение, за приложение веднъж дневно, поради тази причина не трябва да се използва за начално лечение на остър пристъп на бронхоспазъм, т.е. спешна терапия.</w:t>
      </w:r>
    </w:p>
    <w:p w14:paraId="1178A1E5" w14:textId="0F243305" w:rsidR="008C1E14" w:rsidRPr="008C1E14" w:rsidRDefault="008C1E14" w:rsidP="008C1E14">
      <w:pPr>
        <w:rPr>
          <w:rFonts w:cs="Arial"/>
          <w:sz w:val="24"/>
        </w:rPr>
      </w:pPr>
    </w:p>
    <w:p w14:paraId="0351B8B8" w14:textId="77777777" w:rsidR="008C1E14" w:rsidRPr="008C1E14" w:rsidRDefault="008C1E14" w:rsidP="008C1E14">
      <w:pPr>
        <w:spacing w:line="240" w:lineRule="auto"/>
        <w:rPr>
          <w:rFonts w:eastAsia="Times New Roman" w:cs="Arial"/>
          <w:sz w:val="28"/>
          <w:szCs w:val="24"/>
        </w:rPr>
      </w:pPr>
      <w:r w:rsidRPr="008C1E14">
        <w:rPr>
          <w:rFonts w:eastAsia="Times New Roman" w:cs="Arial"/>
          <w:bCs/>
          <w:color w:val="000000"/>
          <w:szCs w:val="20"/>
          <w:lang w:eastAsia="bg-BG"/>
        </w:rPr>
        <w:t>Възможна е появата на реакции на свръхчувствителност от бърз тип след приложение на тиотропиум бромид.</w:t>
      </w:r>
    </w:p>
    <w:p w14:paraId="3D559703" w14:textId="77777777" w:rsidR="008C1E14" w:rsidRDefault="008C1E14" w:rsidP="008C1E14">
      <w:pPr>
        <w:spacing w:line="240" w:lineRule="auto"/>
        <w:rPr>
          <w:rFonts w:eastAsia="Times New Roman" w:cs="Arial"/>
          <w:bCs/>
          <w:color w:val="000000"/>
          <w:szCs w:val="20"/>
          <w:lang w:eastAsia="bg-BG"/>
        </w:rPr>
      </w:pPr>
    </w:p>
    <w:p w14:paraId="71282450" w14:textId="095FDAB2" w:rsidR="008C1E14" w:rsidRPr="008C1E14" w:rsidRDefault="008C1E14" w:rsidP="008C1E14">
      <w:pPr>
        <w:spacing w:line="240" w:lineRule="auto"/>
        <w:rPr>
          <w:rFonts w:eastAsia="Times New Roman" w:cs="Arial"/>
          <w:sz w:val="28"/>
          <w:szCs w:val="24"/>
        </w:rPr>
      </w:pPr>
      <w:r w:rsidRPr="008C1E14">
        <w:rPr>
          <w:rFonts w:eastAsia="Times New Roman" w:cs="Arial"/>
          <w:bCs/>
          <w:color w:val="000000"/>
          <w:szCs w:val="20"/>
          <w:lang w:eastAsia="bg-BG"/>
        </w:rPr>
        <w:t>Поради неговата антихолинергична активност, тиотропиум бромид трябва да се прилага с особено внимание при пациенти с тесноъгълна глаукома, хиперплазия на простатната жлеза или обструкция на шийката на пикочния мехур (вж. точка 4.8).</w:t>
      </w:r>
    </w:p>
    <w:p w14:paraId="67A5C208" w14:textId="77777777" w:rsidR="008C1E14" w:rsidRDefault="008C1E14" w:rsidP="008C1E14">
      <w:pPr>
        <w:spacing w:line="240" w:lineRule="auto"/>
        <w:rPr>
          <w:rFonts w:eastAsia="Times New Roman" w:cs="Arial"/>
          <w:bCs/>
          <w:color w:val="000000"/>
          <w:szCs w:val="20"/>
          <w:lang w:eastAsia="bg-BG"/>
        </w:rPr>
      </w:pPr>
    </w:p>
    <w:p w14:paraId="2C05F71E" w14:textId="178F1859" w:rsidR="008C1E14" w:rsidRPr="008C1E14" w:rsidRDefault="008C1E14" w:rsidP="008C1E14">
      <w:pPr>
        <w:spacing w:line="240" w:lineRule="auto"/>
        <w:rPr>
          <w:rFonts w:eastAsia="Times New Roman" w:cs="Arial"/>
          <w:sz w:val="28"/>
          <w:szCs w:val="24"/>
        </w:rPr>
      </w:pPr>
      <w:r w:rsidRPr="008C1E14">
        <w:rPr>
          <w:rFonts w:eastAsia="Times New Roman" w:cs="Arial"/>
          <w:bCs/>
          <w:color w:val="000000"/>
          <w:szCs w:val="20"/>
          <w:lang w:eastAsia="bg-BG"/>
        </w:rPr>
        <w:t>Лекарствените продукти за инхалационно приложение могат да предизвикат инхалаторно-индуциран бронхоспазъм.</w:t>
      </w:r>
    </w:p>
    <w:p w14:paraId="0653C914" w14:textId="77777777" w:rsidR="008C1E14" w:rsidRDefault="008C1E14" w:rsidP="008C1E14">
      <w:pPr>
        <w:spacing w:line="240" w:lineRule="auto"/>
        <w:rPr>
          <w:rFonts w:eastAsia="Times New Roman" w:cs="Arial"/>
          <w:bCs/>
          <w:color w:val="000000"/>
          <w:szCs w:val="20"/>
          <w:lang w:eastAsia="bg-BG"/>
        </w:rPr>
      </w:pPr>
    </w:p>
    <w:p w14:paraId="7BE61396" w14:textId="5D11937B" w:rsidR="008C1E14" w:rsidRPr="008C1E14" w:rsidRDefault="008C1E14" w:rsidP="008C1E14">
      <w:pPr>
        <w:spacing w:line="240" w:lineRule="auto"/>
        <w:rPr>
          <w:rFonts w:eastAsia="Times New Roman" w:cs="Arial"/>
          <w:sz w:val="28"/>
          <w:szCs w:val="24"/>
        </w:rPr>
      </w:pPr>
      <w:r w:rsidRPr="008C1E14">
        <w:rPr>
          <w:rFonts w:eastAsia="Times New Roman" w:cs="Arial"/>
          <w:bCs/>
          <w:color w:val="000000"/>
          <w:szCs w:val="20"/>
          <w:lang w:eastAsia="bg-BG"/>
        </w:rPr>
        <w:t xml:space="preserve">Тиотропиум трябва да се използва с повишено внимание при пациенти с прекаран наскоро миокарден инфаркт преди по-малко от 6 месеца, нестабилна или животозастрашаваща сърдечна аритмия или сърдечна аритмия, налагаща интервенция, или промяна на лечението с лекарства през последната година; хоспитализация за сърдечна недостатъчност (клас Ш или IV по </w:t>
      </w:r>
      <w:r w:rsidRPr="008C1E14">
        <w:rPr>
          <w:rFonts w:eastAsia="Times New Roman" w:cs="Arial"/>
          <w:bCs/>
          <w:color w:val="000000"/>
          <w:szCs w:val="20"/>
          <w:lang w:val="en-US"/>
        </w:rPr>
        <w:t>NYHA</w:t>
      </w:r>
      <w:r w:rsidRPr="008C1E14">
        <w:rPr>
          <w:rFonts w:eastAsia="Times New Roman" w:cs="Arial"/>
          <w:bCs/>
          <w:color w:val="000000"/>
          <w:szCs w:val="20"/>
          <w:lang w:val="ru-RU"/>
        </w:rPr>
        <w:t xml:space="preserve">) </w:t>
      </w:r>
      <w:r w:rsidRPr="008C1E14">
        <w:rPr>
          <w:rFonts w:eastAsia="Times New Roman" w:cs="Arial"/>
          <w:bCs/>
          <w:color w:val="000000"/>
          <w:szCs w:val="20"/>
          <w:lang w:eastAsia="bg-BG"/>
        </w:rPr>
        <w:t>през последната година. Такива пациенти са били изключени от клиничните проучвания, а тези състояния могат да бъдат повлияни от антихолинергичния механизъм на действие.</w:t>
      </w:r>
    </w:p>
    <w:p w14:paraId="0CE457CE" w14:textId="77777777" w:rsidR="008C1E14" w:rsidRDefault="008C1E14" w:rsidP="008C1E14">
      <w:pPr>
        <w:spacing w:line="240" w:lineRule="auto"/>
        <w:rPr>
          <w:rFonts w:eastAsia="Times New Roman" w:cs="Arial"/>
          <w:bCs/>
          <w:color w:val="000000"/>
          <w:szCs w:val="20"/>
          <w:lang w:eastAsia="bg-BG"/>
        </w:rPr>
      </w:pPr>
    </w:p>
    <w:p w14:paraId="448A4B97" w14:textId="5755AD40" w:rsidR="008C1E14" w:rsidRPr="008C1E14" w:rsidRDefault="008C1E14" w:rsidP="008C1E14">
      <w:pPr>
        <w:spacing w:line="240" w:lineRule="auto"/>
        <w:rPr>
          <w:rFonts w:eastAsia="Times New Roman" w:cs="Arial"/>
          <w:sz w:val="28"/>
          <w:szCs w:val="24"/>
        </w:rPr>
      </w:pPr>
      <w:r w:rsidRPr="008C1E14">
        <w:rPr>
          <w:rFonts w:eastAsia="Times New Roman" w:cs="Arial"/>
          <w:bCs/>
          <w:color w:val="000000"/>
          <w:szCs w:val="20"/>
          <w:lang w:eastAsia="bg-BG"/>
        </w:rPr>
        <w:t xml:space="preserve">Тъй като плазмените концентрации се увеличават при намалена бъбречна функция при пациенти със средно до тежко бъбречно увреждане (кретининов клирънс 50 </w:t>
      </w:r>
      <w:r w:rsidRPr="008C1E14">
        <w:rPr>
          <w:rFonts w:eastAsia="Times New Roman" w:cs="Arial"/>
          <w:bCs/>
          <w:color w:val="000000"/>
          <w:szCs w:val="20"/>
          <w:lang w:val="en-US"/>
        </w:rPr>
        <w:t>ml</w:t>
      </w:r>
      <w:r w:rsidRPr="008C1E14">
        <w:rPr>
          <w:rFonts w:eastAsia="Times New Roman" w:cs="Arial"/>
          <w:bCs/>
          <w:color w:val="000000"/>
          <w:szCs w:val="20"/>
          <w:lang w:val="ru-RU"/>
        </w:rPr>
        <w:t>/</w:t>
      </w:r>
      <w:r w:rsidRPr="008C1E14">
        <w:rPr>
          <w:rFonts w:eastAsia="Times New Roman" w:cs="Arial"/>
          <w:bCs/>
          <w:color w:val="000000"/>
          <w:szCs w:val="20"/>
          <w:lang w:val="en-US"/>
        </w:rPr>
        <w:t>min</w:t>
      </w:r>
      <w:r w:rsidRPr="008C1E14">
        <w:rPr>
          <w:rFonts w:eastAsia="Times New Roman" w:cs="Arial"/>
          <w:bCs/>
          <w:color w:val="000000"/>
          <w:szCs w:val="20"/>
          <w:lang w:val="ru-RU"/>
        </w:rPr>
        <w:t xml:space="preserve">), </w:t>
      </w:r>
      <w:r w:rsidRPr="008C1E14">
        <w:rPr>
          <w:rFonts w:eastAsia="Times New Roman" w:cs="Arial"/>
          <w:bCs/>
          <w:color w:val="000000"/>
          <w:szCs w:val="20"/>
          <w:lang w:eastAsia="bg-BG"/>
        </w:rPr>
        <w:t>тиотропиум бромид може да се прилага, само ако очакваната полза надвишава потенциалния риск. Няма дългосрочни данни за приложението на продукта при пациенти с тежко бъбречно увреждане (вж. точка 5.2).</w:t>
      </w:r>
    </w:p>
    <w:p w14:paraId="0E4465ED" w14:textId="77777777" w:rsidR="008C1E14" w:rsidRDefault="008C1E14" w:rsidP="008C1E14">
      <w:pPr>
        <w:spacing w:line="240" w:lineRule="auto"/>
        <w:rPr>
          <w:rFonts w:eastAsia="Times New Roman" w:cs="Arial"/>
          <w:bCs/>
          <w:color w:val="000000"/>
          <w:szCs w:val="20"/>
          <w:lang w:eastAsia="bg-BG"/>
        </w:rPr>
      </w:pPr>
    </w:p>
    <w:p w14:paraId="0882C17E" w14:textId="2F092E5D" w:rsidR="008C1E14" w:rsidRPr="008C1E14" w:rsidRDefault="008C1E14" w:rsidP="008C1E14">
      <w:pPr>
        <w:spacing w:line="240" w:lineRule="auto"/>
        <w:rPr>
          <w:rFonts w:eastAsia="Times New Roman" w:cs="Arial"/>
          <w:sz w:val="28"/>
          <w:szCs w:val="24"/>
        </w:rPr>
      </w:pPr>
      <w:r w:rsidRPr="008C1E14">
        <w:rPr>
          <w:rFonts w:eastAsia="Times New Roman" w:cs="Arial"/>
          <w:bCs/>
          <w:color w:val="000000"/>
          <w:szCs w:val="20"/>
          <w:lang w:eastAsia="bg-BG"/>
        </w:rPr>
        <w:t>Пациентите трябва да бъдат предупредени да внимават прахът да не попадне в очите. Трябва да бъдат предупредени също така, че това може да доведе до влошаване или обостряне на тесноъгълна глаукома, болка или дискомфорт от страна на очите, временно замъгляване на зрението, цветни кръгове или петна, свързани със зачервяване на очите поради конюнктивална конгестия и корнеален оток. Пациентите трябва незабавно да прекратят употребата на тиотропиум бромид и да потърсят съвет от специалист, ако се прояви каквато и да е комбинация от тези очни симптоми.</w:t>
      </w:r>
    </w:p>
    <w:p w14:paraId="33DE0101" w14:textId="77777777" w:rsidR="008C1E14" w:rsidRDefault="008C1E14" w:rsidP="008C1E14">
      <w:pPr>
        <w:spacing w:line="240" w:lineRule="auto"/>
        <w:rPr>
          <w:rFonts w:eastAsia="Times New Roman" w:cs="Arial"/>
          <w:bCs/>
          <w:color w:val="000000"/>
          <w:szCs w:val="20"/>
          <w:lang w:eastAsia="bg-BG"/>
        </w:rPr>
      </w:pPr>
    </w:p>
    <w:p w14:paraId="1B45A5E3" w14:textId="7106FB27" w:rsidR="008C1E14" w:rsidRPr="008C1E14" w:rsidRDefault="008C1E14" w:rsidP="008C1E14">
      <w:pPr>
        <w:spacing w:line="240" w:lineRule="auto"/>
        <w:rPr>
          <w:rFonts w:eastAsia="Times New Roman" w:cs="Arial"/>
          <w:sz w:val="28"/>
          <w:szCs w:val="24"/>
        </w:rPr>
      </w:pPr>
      <w:r w:rsidRPr="008C1E14">
        <w:rPr>
          <w:rFonts w:eastAsia="Times New Roman" w:cs="Arial"/>
          <w:bCs/>
          <w:color w:val="000000"/>
          <w:szCs w:val="20"/>
          <w:lang w:eastAsia="bg-BG"/>
        </w:rPr>
        <w:t>По време на антихолинергичната терапия се наблюдава сухота в устата, която при продължителен период може да е асоциирана със зъбни кариеси.</w:t>
      </w:r>
    </w:p>
    <w:p w14:paraId="5DC2A935" w14:textId="77777777" w:rsidR="008C1E14" w:rsidRDefault="008C1E14" w:rsidP="008C1E14">
      <w:pPr>
        <w:spacing w:line="240" w:lineRule="auto"/>
        <w:rPr>
          <w:rFonts w:eastAsia="Times New Roman" w:cs="Arial"/>
          <w:bCs/>
          <w:color w:val="000000"/>
          <w:szCs w:val="20"/>
          <w:lang w:eastAsia="bg-BG"/>
        </w:rPr>
      </w:pPr>
    </w:p>
    <w:p w14:paraId="59F9C842" w14:textId="143203A6" w:rsidR="008C1E14" w:rsidRPr="008C1E14" w:rsidRDefault="008C1E14" w:rsidP="008C1E14">
      <w:pPr>
        <w:spacing w:line="240" w:lineRule="auto"/>
        <w:rPr>
          <w:rFonts w:eastAsia="Times New Roman" w:cs="Arial"/>
          <w:bCs/>
          <w:color w:val="000000"/>
          <w:szCs w:val="20"/>
          <w:lang w:eastAsia="bg-BG"/>
        </w:rPr>
      </w:pPr>
      <w:r w:rsidRPr="008C1E14">
        <w:rPr>
          <w:rFonts w:eastAsia="Times New Roman" w:cs="Arial"/>
          <w:bCs/>
          <w:color w:val="000000"/>
          <w:szCs w:val="20"/>
          <w:lang w:eastAsia="bg-BG"/>
        </w:rPr>
        <w:t>Тиотропиум бромид не трябва да се прилага повече от веднъж дневно.(вж. точка 4.9).</w:t>
      </w:r>
    </w:p>
    <w:p w14:paraId="73339C33" w14:textId="77777777" w:rsidR="008C1E14" w:rsidRDefault="008C1E14" w:rsidP="008C1E14">
      <w:pPr>
        <w:spacing w:line="240" w:lineRule="auto"/>
        <w:rPr>
          <w:rFonts w:eastAsia="Times New Roman" w:cs="Arial"/>
          <w:bCs/>
          <w:color w:val="000000"/>
          <w:szCs w:val="20"/>
          <w:lang w:eastAsia="bg-BG"/>
        </w:rPr>
      </w:pPr>
    </w:p>
    <w:p w14:paraId="5E84812A" w14:textId="0FE22F0C" w:rsidR="008C1E14" w:rsidRPr="008C1E14" w:rsidRDefault="008C1E14" w:rsidP="008C1E14">
      <w:pPr>
        <w:spacing w:line="240" w:lineRule="auto"/>
        <w:rPr>
          <w:rFonts w:eastAsia="Times New Roman" w:cs="Arial"/>
          <w:sz w:val="28"/>
          <w:szCs w:val="24"/>
        </w:rPr>
      </w:pPr>
      <w:r w:rsidRPr="008C1E14">
        <w:rPr>
          <w:rFonts w:eastAsia="Times New Roman" w:cs="Arial"/>
          <w:bCs/>
          <w:color w:val="000000"/>
          <w:szCs w:val="20"/>
          <w:lang w:eastAsia="bg-BG"/>
        </w:rPr>
        <w:t xml:space="preserve">СПИРИВА капсули съдържат 5,5 </w:t>
      </w:r>
      <w:r w:rsidRPr="008C1E14">
        <w:rPr>
          <w:rFonts w:eastAsia="Times New Roman" w:cs="Arial"/>
          <w:bCs/>
          <w:color w:val="000000"/>
          <w:szCs w:val="20"/>
          <w:lang w:val="en-US"/>
        </w:rPr>
        <w:t>mg</w:t>
      </w:r>
      <w:r w:rsidRPr="008C1E14">
        <w:rPr>
          <w:rFonts w:eastAsia="Times New Roman" w:cs="Arial"/>
          <w:bCs/>
          <w:color w:val="000000"/>
          <w:szCs w:val="20"/>
          <w:lang w:val="ru-RU"/>
        </w:rPr>
        <w:t xml:space="preserve"> </w:t>
      </w:r>
      <w:r w:rsidRPr="008C1E14">
        <w:rPr>
          <w:rFonts w:eastAsia="Times New Roman" w:cs="Arial"/>
          <w:bCs/>
          <w:color w:val="000000"/>
          <w:szCs w:val="20"/>
          <w:lang w:eastAsia="bg-BG"/>
        </w:rPr>
        <w:t xml:space="preserve">лактоза монохидрат. Това количество обикновени не предизвиква проблеми при пациенти с лактозна непоносимост. Пациенти с редки наследствени проблеми на галактозна непоносимост, </w:t>
      </w:r>
      <w:r w:rsidRPr="008C1E14">
        <w:rPr>
          <w:rFonts w:eastAsia="Times New Roman" w:cs="Arial"/>
          <w:bCs/>
          <w:color w:val="000000"/>
          <w:szCs w:val="20"/>
          <w:lang w:val="en-US"/>
        </w:rPr>
        <w:t>Lapp</w:t>
      </w:r>
      <w:r w:rsidRPr="008C1E14">
        <w:rPr>
          <w:rFonts w:eastAsia="Times New Roman" w:cs="Arial"/>
          <w:bCs/>
          <w:color w:val="000000"/>
          <w:szCs w:val="20"/>
          <w:lang w:val="ru-RU"/>
        </w:rPr>
        <w:t xml:space="preserve"> </w:t>
      </w:r>
      <w:r w:rsidRPr="008C1E14">
        <w:rPr>
          <w:rFonts w:eastAsia="Times New Roman" w:cs="Arial"/>
          <w:bCs/>
          <w:color w:val="000000"/>
          <w:szCs w:val="20"/>
          <w:lang w:eastAsia="bg-BG"/>
        </w:rPr>
        <w:t>лактазна недостатъчност или глюкозо-галактозна малабсорбция не трябва да приемат това лекарство. Помощното вещество лактоза монохидрат може да съдържа малки количества млечени протеини, които може да предизвикат алергични реакции.</w:t>
      </w:r>
    </w:p>
    <w:p w14:paraId="7AC6012F" w14:textId="77777777" w:rsidR="008C1E14" w:rsidRPr="008C1E14" w:rsidRDefault="008C1E14" w:rsidP="008C1E14"/>
    <w:p w14:paraId="62F27C9B" w14:textId="1DFC3D40" w:rsidR="00DB32D3" w:rsidRDefault="002C50EE" w:rsidP="005726E3">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70C6894D" w14:textId="0B8E5300" w:rsidR="008C1E14" w:rsidRDefault="008C1E14" w:rsidP="008C1E14"/>
    <w:p w14:paraId="036CC57D" w14:textId="77777777" w:rsidR="008C1E14" w:rsidRPr="008C1E14" w:rsidRDefault="008C1E14" w:rsidP="008C1E14">
      <w:pPr>
        <w:spacing w:line="240" w:lineRule="auto"/>
        <w:rPr>
          <w:rFonts w:eastAsia="Times New Roman" w:cs="Arial"/>
          <w:bCs/>
          <w:color w:val="000000"/>
          <w:szCs w:val="20"/>
          <w:lang w:eastAsia="bg-BG"/>
        </w:rPr>
      </w:pPr>
      <w:r w:rsidRPr="008C1E14">
        <w:rPr>
          <w:rFonts w:eastAsia="Times New Roman" w:cs="Arial"/>
          <w:bCs/>
          <w:color w:val="000000"/>
          <w:szCs w:val="20"/>
          <w:lang w:eastAsia="bg-BG"/>
        </w:rPr>
        <w:t xml:space="preserve">Въпреки, че не са провеждани клинични проучвания относно взаимодействията, тиотропиум бромид, прах за инхалиране, е прилаган едновременно с други лекарствени продукти, без да има клинични доказателства за лекарствени взаимодействия. В тази група влизат симпатикомимегични бронходилататори, метилксантини, стероиди за перорално и инхалационно приложение, често </w:t>
      </w:r>
    </w:p>
    <w:p w14:paraId="446AF038" w14:textId="14A7C63D" w:rsidR="008C1E14" w:rsidRPr="008C1E14" w:rsidRDefault="008C1E14" w:rsidP="008C1E14">
      <w:pPr>
        <w:spacing w:line="240" w:lineRule="auto"/>
        <w:rPr>
          <w:rFonts w:eastAsia="Times New Roman" w:cs="Arial"/>
          <w:sz w:val="28"/>
          <w:szCs w:val="24"/>
        </w:rPr>
      </w:pPr>
      <w:r w:rsidRPr="008C1E14">
        <w:rPr>
          <w:rFonts w:eastAsia="Times New Roman" w:cs="Arial"/>
          <w:bCs/>
          <w:color w:val="000000"/>
          <w:szCs w:val="20"/>
          <w:lang w:eastAsia="bg-BG"/>
        </w:rPr>
        <w:t>прилагани при лечението на ХОББ.</w:t>
      </w:r>
    </w:p>
    <w:p w14:paraId="1B353D13" w14:textId="77777777" w:rsidR="008C1E14" w:rsidRPr="008C1E14" w:rsidRDefault="008C1E14" w:rsidP="008C1E14">
      <w:pPr>
        <w:spacing w:line="240" w:lineRule="auto"/>
        <w:rPr>
          <w:rFonts w:eastAsia="Times New Roman" w:cs="Arial"/>
          <w:bCs/>
          <w:color w:val="000000"/>
          <w:szCs w:val="20"/>
          <w:lang w:eastAsia="bg-BG"/>
        </w:rPr>
      </w:pPr>
    </w:p>
    <w:p w14:paraId="558E7826" w14:textId="7EE11024" w:rsidR="008C1E14" w:rsidRPr="008C1E14" w:rsidRDefault="008C1E14" w:rsidP="008C1E14">
      <w:pPr>
        <w:spacing w:line="240" w:lineRule="auto"/>
        <w:rPr>
          <w:rFonts w:eastAsia="Times New Roman" w:cs="Arial"/>
          <w:sz w:val="28"/>
          <w:szCs w:val="24"/>
        </w:rPr>
      </w:pPr>
      <w:r w:rsidRPr="008C1E14">
        <w:rPr>
          <w:rFonts w:eastAsia="Times New Roman" w:cs="Arial"/>
          <w:bCs/>
          <w:color w:val="000000"/>
          <w:szCs w:val="20"/>
          <w:lang w:eastAsia="bg-BG"/>
        </w:rPr>
        <w:t>Не е установена промяна на експозицията на тиотропиум при употреба на дългодейства</w:t>
      </w:r>
      <w:r w:rsidRPr="008C1E14">
        <w:rPr>
          <w:rFonts w:eastAsia="Times New Roman" w:cs="Arial"/>
          <w:bCs/>
          <w:color w:val="000000"/>
          <w:szCs w:val="20"/>
          <w:u w:val="single"/>
          <w:lang w:eastAsia="bg-BG"/>
        </w:rPr>
        <w:t>щи бет</w:t>
      </w:r>
      <w:r w:rsidRPr="008C1E14">
        <w:rPr>
          <w:rFonts w:eastAsia="Times New Roman" w:cs="Arial"/>
          <w:bCs/>
          <w:color w:val="000000"/>
          <w:szCs w:val="20"/>
          <w:lang w:eastAsia="bg-BG"/>
        </w:rPr>
        <w:t>а2- агонисти (ДДБА) или инхалаторни коргикостероиди (ИКС).</w:t>
      </w:r>
    </w:p>
    <w:p w14:paraId="70476EE7" w14:textId="77777777" w:rsidR="008C1E14" w:rsidRPr="008C1E14" w:rsidRDefault="008C1E14" w:rsidP="008C1E14">
      <w:pPr>
        <w:rPr>
          <w:rFonts w:eastAsia="Times New Roman" w:cs="Arial"/>
          <w:bCs/>
          <w:color w:val="000000"/>
          <w:szCs w:val="20"/>
          <w:lang w:eastAsia="bg-BG"/>
        </w:rPr>
      </w:pPr>
    </w:p>
    <w:p w14:paraId="6E12DC92" w14:textId="7F7684FB" w:rsidR="008C1E14" w:rsidRPr="008C1E14" w:rsidRDefault="008C1E14" w:rsidP="008C1E14">
      <w:pPr>
        <w:rPr>
          <w:rFonts w:eastAsia="Times New Roman" w:cs="Arial"/>
          <w:bCs/>
          <w:color w:val="000000"/>
          <w:szCs w:val="20"/>
          <w:lang w:eastAsia="bg-BG"/>
        </w:rPr>
      </w:pPr>
      <w:r w:rsidRPr="008C1E14">
        <w:rPr>
          <w:rFonts w:eastAsia="Times New Roman" w:cs="Arial"/>
          <w:bCs/>
          <w:color w:val="000000"/>
          <w:szCs w:val="20"/>
          <w:lang w:eastAsia="bg-BG"/>
        </w:rPr>
        <w:t>Не се препоръчва едновременното приложение на тиотропиум бромид с други антихолинергични лекарствени средства, тъй като до този момент лекарственото взаимодействие не е проучено.</w:t>
      </w:r>
    </w:p>
    <w:p w14:paraId="00D89523" w14:textId="77777777" w:rsidR="008C1E14" w:rsidRPr="008C1E14" w:rsidRDefault="008C1E14" w:rsidP="008C1E14"/>
    <w:p w14:paraId="006BE4EC" w14:textId="17C48A11" w:rsidR="00DB32D3" w:rsidRDefault="002C50EE" w:rsidP="005726E3">
      <w:pPr>
        <w:pStyle w:val="Heading2"/>
      </w:pPr>
      <w:r>
        <w:t>4.6. Фертилитет, бременност и кърмене</w:t>
      </w:r>
    </w:p>
    <w:p w14:paraId="69F1725C" w14:textId="6EBD187F" w:rsidR="008C1E14" w:rsidRDefault="008C1E14" w:rsidP="008C1E14"/>
    <w:p w14:paraId="7080FA62" w14:textId="77777777" w:rsidR="008C1E14" w:rsidRPr="008C1E14" w:rsidRDefault="008C1E14" w:rsidP="008C1E14">
      <w:pPr>
        <w:pStyle w:val="Heading3"/>
        <w:rPr>
          <w:rFonts w:eastAsia="Times New Roman"/>
          <w:sz w:val="28"/>
          <w:u w:val="single"/>
        </w:rPr>
      </w:pPr>
      <w:r w:rsidRPr="008C1E14">
        <w:rPr>
          <w:rFonts w:eastAsia="Times New Roman"/>
          <w:u w:val="single"/>
          <w:lang w:eastAsia="bg-BG"/>
        </w:rPr>
        <w:t>Бременност</w:t>
      </w:r>
    </w:p>
    <w:p w14:paraId="1F12778B" w14:textId="77777777" w:rsidR="008C1E14" w:rsidRPr="008C1E14" w:rsidRDefault="008C1E14" w:rsidP="008C1E14">
      <w:pPr>
        <w:spacing w:line="240" w:lineRule="auto"/>
        <w:rPr>
          <w:rFonts w:eastAsia="Times New Roman" w:cs="Arial"/>
          <w:sz w:val="28"/>
          <w:szCs w:val="24"/>
        </w:rPr>
      </w:pPr>
      <w:r w:rsidRPr="008C1E14">
        <w:rPr>
          <w:rFonts w:eastAsia="Times New Roman" w:cs="Arial"/>
          <w:bCs/>
          <w:color w:val="000000"/>
          <w:szCs w:val="20"/>
          <w:lang w:eastAsia="bg-BG"/>
        </w:rPr>
        <w:t>Има много ограничени данни за употребата на тиотропиум при бременни жени. Проучванията при животни не показват преки или косвени негативни ефекти по отношение на репродуктивната токсичност при дози от клинично значение (вж. точка 5.3). Като предпазна мярка се препоръчва употребата на СПИРИВА да се избягва по време на бременност.</w:t>
      </w:r>
    </w:p>
    <w:p w14:paraId="08D0C605" w14:textId="77777777" w:rsidR="008C1E14" w:rsidRPr="008C1E14" w:rsidRDefault="008C1E14" w:rsidP="008C1E14">
      <w:pPr>
        <w:spacing w:line="240" w:lineRule="auto"/>
        <w:rPr>
          <w:rFonts w:eastAsia="Times New Roman" w:cs="Arial"/>
          <w:bCs/>
          <w:color w:val="000000"/>
          <w:szCs w:val="20"/>
          <w:u w:val="single"/>
          <w:lang w:eastAsia="bg-BG"/>
        </w:rPr>
      </w:pPr>
    </w:p>
    <w:p w14:paraId="2280BF61" w14:textId="0F5D4946" w:rsidR="008C1E14" w:rsidRPr="008C1E14" w:rsidRDefault="008C1E14" w:rsidP="008C1E14">
      <w:pPr>
        <w:pStyle w:val="Heading3"/>
        <w:rPr>
          <w:rFonts w:eastAsia="Times New Roman"/>
          <w:sz w:val="28"/>
          <w:u w:val="single"/>
        </w:rPr>
      </w:pPr>
      <w:r w:rsidRPr="008C1E14">
        <w:rPr>
          <w:rFonts w:eastAsia="Times New Roman"/>
          <w:u w:val="single"/>
          <w:lang w:eastAsia="bg-BG"/>
        </w:rPr>
        <w:t>Кърмене</w:t>
      </w:r>
    </w:p>
    <w:p w14:paraId="403AA256" w14:textId="77777777" w:rsidR="008C1E14" w:rsidRPr="008C1E14" w:rsidRDefault="008C1E14" w:rsidP="008C1E14">
      <w:pPr>
        <w:spacing w:line="240" w:lineRule="auto"/>
        <w:rPr>
          <w:rFonts w:eastAsia="Times New Roman" w:cs="Arial"/>
          <w:sz w:val="28"/>
          <w:szCs w:val="24"/>
        </w:rPr>
      </w:pPr>
      <w:r w:rsidRPr="008C1E14">
        <w:rPr>
          <w:rFonts w:eastAsia="Times New Roman" w:cs="Arial"/>
          <w:bCs/>
          <w:color w:val="000000"/>
          <w:szCs w:val="20"/>
          <w:lang w:eastAsia="bg-BG"/>
        </w:rPr>
        <w:t>Не е известно дали тиотропиум бромид се екскретира в майчиното мляко при хора. Въпреки проведените клинични проучвания при гризачи, които показват, че малко количество тиотропиум бромид се екскретира в кърмата, употребата на СПИРИВА не се препоръчва в периода на кърмене. Тиотропиум бромид е вещество с продължително действие. Когато се взима решение за продължаване/прекратяване на кърменето или продължаване/прекратяване на лечението със СПИРИВА, трябва да се вземе под внимание очакваната за детето полза от кърменето и очакваната за майката полза от лечението със СПИРИВА.</w:t>
      </w:r>
    </w:p>
    <w:p w14:paraId="353A9686" w14:textId="77777777" w:rsidR="008C1E14" w:rsidRPr="008C1E14" w:rsidRDefault="008C1E14" w:rsidP="008C1E14">
      <w:pPr>
        <w:spacing w:line="240" w:lineRule="auto"/>
        <w:rPr>
          <w:rFonts w:eastAsia="Times New Roman" w:cs="Arial"/>
          <w:bCs/>
          <w:color w:val="000000"/>
          <w:szCs w:val="20"/>
          <w:u w:val="single"/>
          <w:lang w:eastAsia="bg-BG"/>
        </w:rPr>
      </w:pPr>
    </w:p>
    <w:p w14:paraId="24729CA1" w14:textId="4C495B26" w:rsidR="008C1E14" w:rsidRPr="008C1E14" w:rsidRDefault="008C1E14" w:rsidP="008C1E14">
      <w:pPr>
        <w:pStyle w:val="Heading3"/>
        <w:rPr>
          <w:rFonts w:eastAsia="Times New Roman"/>
          <w:sz w:val="28"/>
          <w:u w:val="single"/>
        </w:rPr>
      </w:pPr>
      <w:r w:rsidRPr="008C1E14">
        <w:rPr>
          <w:rFonts w:eastAsia="Times New Roman"/>
          <w:u w:val="single"/>
          <w:lang w:eastAsia="bg-BG"/>
        </w:rPr>
        <w:lastRenderedPageBreak/>
        <w:t>Фертилитет</w:t>
      </w:r>
    </w:p>
    <w:p w14:paraId="5BEF88BB" w14:textId="77777777" w:rsidR="008C1E14" w:rsidRPr="008C1E14" w:rsidRDefault="008C1E14" w:rsidP="008C1E14">
      <w:pPr>
        <w:spacing w:line="240" w:lineRule="auto"/>
        <w:rPr>
          <w:rFonts w:eastAsia="Times New Roman" w:cs="Arial"/>
          <w:sz w:val="28"/>
          <w:szCs w:val="24"/>
        </w:rPr>
      </w:pPr>
      <w:r w:rsidRPr="008C1E14">
        <w:rPr>
          <w:rFonts w:eastAsia="Times New Roman" w:cs="Arial"/>
          <w:bCs/>
          <w:color w:val="000000"/>
          <w:szCs w:val="20"/>
          <w:lang w:eastAsia="bg-BG"/>
        </w:rPr>
        <w:t>Клинични данни върху фертилитета не са налични за тиотропиум. Неклинично изпитване проведено с тиотропиум не е показало някакви нежелани лекарствени реакции върху фертилитета (вж. точка 5.3).</w:t>
      </w:r>
    </w:p>
    <w:p w14:paraId="6761C19C" w14:textId="77777777" w:rsidR="008C1E14" w:rsidRPr="008C1E14" w:rsidRDefault="008C1E14" w:rsidP="008C1E14"/>
    <w:p w14:paraId="128BA3A8" w14:textId="25BCEDAC" w:rsidR="00DB32D3" w:rsidRDefault="002C50EE" w:rsidP="005726E3">
      <w:pPr>
        <w:pStyle w:val="Heading2"/>
      </w:pPr>
      <w:r>
        <w:t>4.7. Ефекти върху способността за шофиране и работа с машини</w:t>
      </w:r>
    </w:p>
    <w:p w14:paraId="5BF6AD1C" w14:textId="215BEBE8" w:rsidR="008C1E14" w:rsidRDefault="008C1E14" w:rsidP="008C1E14"/>
    <w:p w14:paraId="7DADF218" w14:textId="77777777" w:rsidR="008C1E14" w:rsidRPr="008C1E14" w:rsidRDefault="008C1E14" w:rsidP="008C1E14">
      <w:pPr>
        <w:rPr>
          <w:sz w:val="24"/>
          <w:szCs w:val="24"/>
        </w:rPr>
      </w:pPr>
      <w:r w:rsidRPr="008C1E14">
        <w:rPr>
          <w:lang w:eastAsia="bg-BG"/>
        </w:rPr>
        <w:t>Не са провеждани проучвания относно ефектите върху способността за шофиране и работа с машини. Появата на замаяност, замъглено виждане или главоболие може да окаже влияние върху способността за шофиране и работа с машини.</w:t>
      </w:r>
    </w:p>
    <w:p w14:paraId="5E75E9DD" w14:textId="77777777" w:rsidR="008C1E14" w:rsidRPr="008C1E14" w:rsidRDefault="008C1E14" w:rsidP="008C1E14"/>
    <w:p w14:paraId="44CE30A3" w14:textId="152D78A9" w:rsidR="007122AD" w:rsidRDefault="002C50EE" w:rsidP="00936AD0">
      <w:pPr>
        <w:pStyle w:val="Heading2"/>
      </w:pPr>
      <w:r>
        <w:t>4.8. Нежелани лекарствени реакции</w:t>
      </w:r>
    </w:p>
    <w:p w14:paraId="0C7A9B47" w14:textId="56A3A8E4" w:rsidR="008C1E14" w:rsidRDefault="008C1E14" w:rsidP="008C1E14"/>
    <w:p w14:paraId="79509813" w14:textId="77777777" w:rsidR="008C1E14" w:rsidRPr="008C1E14" w:rsidRDefault="008C1E14" w:rsidP="008C1E14">
      <w:pPr>
        <w:spacing w:line="240" w:lineRule="auto"/>
        <w:rPr>
          <w:rFonts w:eastAsia="Times New Roman" w:cs="Arial"/>
          <w:sz w:val="28"/>
          <w:szCs w:val="24"/>
        </w:rPr>
      </w:pPr>
      <w:r w:rsidRPr="008C1E14">
        <w:rPr>
          <w:rFonts w:eastAsia="Times New Roman" w:cs="Arial"/>
          <w:bCs/>
          <w:color w:val="000000"/>
          <w:szCs w:val="20"/>
          <w:u w:val="single"/>
          <w:lang w:eastAsia="bg-BG"/>
        </w:rPr>
        <w:t>Кратко представяне на профила на безопасност</w:t>
      </w:r>
    </w:p>
    <w:p w14:paraId="23E70904" w14:textId="77777777" w:rsidR="008C1E14" w:rsidRPr="008C1E14" w:rsidRDefault="008C1E14" w:rsidP="008C1E14">
      <w:pPr>
        <w:spacing w:line="240" w:lineRule="auto"/>
        <w:rPr>
          <w:rFonts w:eastAsia="Times New Roman" w:cs="Arial"/>
          <w:sz w:val="28"/>
          <w:szCs w:val="24"/>
        </w:rPr>
      </w:pPr>
      <w:r w:rsidRPr="008C1E14">
        <w:rPr>
          <w:rFonts w:eastAsia="Times New Roman" w:cs="Arial"/>
          <w:bCs/>
          <w:color w:val="000000"/>
          <w:szCs w:val="20"/>
          <w:lang w:eastAsia="bg-BG"/>
        </w:rPr>
        <w:t>Много от изброените нежелани лекарствени реакции могат да се свържат с антихолинергичните свойства на СПИРИВА.</w:t>
      </w:r>
    </w:p>
    <w:p w14:paraId="34943641" w14:textId="77777777" w:rsidR="008C1E14" w:rsidRPr="004B01F7" w:rsidRDefault="008C1E14" w:rsidP="008C1E14">
      <w:pPr>
        <w:spacing w:line="240" w:lineRule="auto"/>
        <w:rPr>
          <w:rFonts w:eastAsia="Times New Roman" w:cs="Arial"/>
          <w:bCs/>
          <w:color w:val="000000"/>
          <w:szCs w:val="20"/>
          <w:u w:val="single"/>
          <w:lang w:eastAsia="bg-BG"/>
        </w:rPr>
      </w:pPr>
    </w:p>
    <w:p w14:paraId="71519885" w14:textId="1E3A1068" w:rsidR="008C1E14" w:rsidRPr="008C1E14" w:rsidRDefault="008C1E14" w:rsidP="008C1E14">
      <w:pPr>
        <w:spacing w:line="240" w:lineRule="auto"/>
        <w:rPr>
          <w:rFonts w:eastAsia="Times New Roman" w:cs="Arial"/>
          <w:sz w:val="28"/>
          <w:szCs w:val="24"/>
        </w:rPr>
      </w:pPr>
      <w:r w:rsidRPr="008C1E14">
        <w:rPr>
          <w:rFonts w:eastAsia="Times New Roman" w:cs="Arial"/>
          <w:bCs/>
          <w:color w:val="000000"/>
          <w:szCs w:val="20"/>
          <w:u w:val="single"/>
          <w:lang w:eastAsia="bg-BG"/>
        </w:rPr>
        <w:t>Таблично кратко представяне на нежеланите лекарствени реакции</w:t>
      </w:r>
    </w:p>
    <w:p w14:paraId="62551DC0" w14:textId="77777777" w:rsidR="008C1E14" w:rsidRPr="008C1E14" w:rsidRDefault="008C1E14" w:rsidP="008C1E14">
      <w:pPr>
        <w:spacing w:line="240" w:lineRule="auto"/>
        <w:rPr>
          <w:rFonts w:eastAsia="Times New Roman" w:cs="Arial"/>
          <w:sz w:val="28"/>
          <w:szCs w:val="24"/>
        </w:rPr>
      </w:pPr>
      <w:r w:rsidRPr="008C1E14">
        <w:rPr>
          <w:rFonts w:eastAsia="Times New Roman" w:cs="Arial"/>
          <w:bCs/>
          <w:color w:val="000000"/>
          <w:szCs w:val="20"/>
          <w:lang w:eastAsia="bg-BG"/>
        </w:rPr>
        <w:t xml:space="preserve">Честотата, определена за нежеланите лекарствени реакции, изброени по-долу, се базира на необработени степени на проявление на нежелани лекарствени реакции (т.е. реакции, които се приписват на тиотропиум бромид), наблюдавани в групата, лекувана с тиотропиум (9 647 пациенти) в </w:t>
      </w:r>
      <w:r w:rsidRPr="008C1E14">
        <w:rPr>
          <w:rFonts w:eastAsia="Times New Roman" w:cs="Arial"/>
          <w:bCs/>
          <w:i/>
          <w:iCs/>
          <w:color w:val="000000"/>
          <w:szCs w:val="20"/>
          <w:lang w:eastAsia="bg-BG"/>
        </w:rPr>
        <w:t>28</w:t>
      </w:r>
      <w:r w:rsidRPr="008C1E14">
        <w:rPr>
          <w:rFonts w:eastAsia="Times New Roman" w:cs="Arial"/>
          <w:bCs/>
          <w:color w:val="000000"/>
          <w:szCs w:val="20"/>
          <w:lang w:eastAsia="bg-BG"/>
        </w:rPr>
        <w:t xml:space="preserve"> обединени плацебо-контролирани клинични проучвания с период на лечение, вариращ от четири седмици до четири години.</w:t>
      </w:r>
    </w:p>
    <w:p w14:paraId="4B722F61" w14:textId="77777777" w:rsidR="008C1E14" w:rsidRPr="004B01F7" w:rsidRDefault="008C1E14" w:rsidP="008C1E14">
      <w:pPr>
        <w:spacing w:line="240" w:lineRule="auto"/>
        <w:rPr>
          <w:rFonts w:eastAsia="Times New Roman" w:cs="Arial"/>
          <w:bCs/>
          <w:color w:val="000000"/>
          <w:szCs w:val="20"/>
          <w:lang w:eastAsia="bg-BG"/>
        </w:rPr>
      </w:pPr>
    </w:p>
    <w:p w14:paraId="76633D44" w14:textId="34F2389A" w:rsidR="008C1E14" w:rsidRPr="008C1E14" w:rsidRDefault="008C1E14" w:rsidP="008C1E14">
      <w:pPr>
        <w:spacing w:line="240" w:lineRule="auto"/>
        <w:rPr>
          <w:rFonts w:eastAsia="Times New Roman" w:cs="Arial"/>
          <w:sz w:val="28"/>
          <w:szCs w:val="24"/>
        </w:rPr>
      </w:pPr>
      <w:r w:rsidRPr="008C1E14">
        <w:rPr>
          <w:rFonts w:eastAsia="Times New Roman" w:cs="Arial"/>
          <w:bCs/>
          <w:color w:val="000000"/>
          <w:szCs w:val="20"/>
          <w:lang w:eastAsia="bg-BG"/>
        </w:rPr>
        <w:t>Честотните категории са определени по следната конвенция:</w:t>
      </w:r>
    </w:p>
    <w:p w14:paraId="5F931236" w14:textId="7690885B" w:rsidR="008C1E14" w:rsidRPr="004B01F7" w:rsidRDefault="008C1E14" w:rsidP="008C1E14">
      <w:pPr>
        <w:rPr>
          <w:rFonts w:eastAsia="Times New Roman" w:cs="Arial"/>
          <w:bCs/>
          <w:color w:val="000000"/>
          <w:szCs w:val="20"/>
          <w:lang w:eastAsia="bg-BG"/>
        </w:rPr>
      </w:pPr>
      <w:r w:rsidRPr="004B01F7">
        <w:rPr>
          <w:rFonts w:eastAsia="Times New Roman" w:cs="Arial"/>
          <w:bCs/>
          <w:color w:val="000000"/>
          <w:szCs w:val="20"/>
          <w:lang w:eastAsia="bg-BG"/>
        </w:rPr>
        <w:t>много чести (≥1/10); чести (≥1/100 &lt;1/10); нечести (≥1/1 000 &lt;1/100); редки (≥1/10 000 &lt;1/1 000); много редки (&lt;1/10 000); с неизвестна честота (не могат да бъдат оценени от наличните данни)</w:t>
      </w:r>
    </w:p>
    <w:p w14:paraId="21CC0F62" w14:textId="2C76F40D" w:rsidR="008C1E14" w:rsidRDefault="008C1E14" w:rsidP="008C1E14">
      <w:pPr>
        <w:rPr>
          <w:rFonts w:ascii="Times New Roman" w:eastAsia="Times New Roman" w:hAnsi="Times New Roman" w:cs="Times New Roman"/>
          <w:b/>
          <w:bCs/>
          <w:color w:val="000000"/>
          <w:sz w:val="20"/>
          <w:szCs w:val="20"/>
          <w:lang w:eastAsia="bg-BG"/>
        </w:rPr>
      </w:pPr>
    </w:p>
    <w:tbl>
      <w:tblPr>
        <w:tblStyle w:val="TableGrid"/>
        <w:tblW w:w="0" w:type="auto"/>
        <w:tblLook w:val="04A0" w:firstRow="1" w:lastRow="0" w:firstColumn="1" w:lastColumn="0" w:noHBand="0" w:noVBand="1"/>
      </w:tblPr>
      <w:tblGrid>
        <w:gridCol w:w="4696"/>
        <w:gridCol w:w="4654"/>
      </w:tblGrid>
      <w:tr w:rsidR="004B01F7" w14:paraId="7FDAB616" w14:textId="77777777" w:rsidTr="004B01F7">
        <w:tc>
          <w:tcPr>
            <w:tcW w:w="4788" w:type="dxa"/>
          </w:tcPr>
          <w:p w14:paraId="3F59B2AE" w14:textId="6CCAC167" w:rsidR="004B01F7" w:rsidRPr="004B01F7" w:rsidRDefault="004B01F7" w:rsidP="004B01F7">
            <w:pPr>
              <w:rPr>
                <w:b/>
              </w:rPr>
            </w:pPr>
            <w:r w:rsidRPr="004B01F7">
              <w:rPr>
                <w:b/>
                <w:bCs/>
                <w:szCs w:val="20"/>
              </w:rPr>
              <w:t xml:space="preserve">Системо оргянен клас/ </w:t>
            </w:r>
            <w:proofErr w:type="spellStart"/>
            <w:r w:rsidRPr="004B01F7">
              <w:rPr>
                <w:b/>
                <w:bCs/>
                <w:szCs w:val="20"/>
                <w:lang w:val="en-US"/>
              </w:rPr>
              <w:t>MedDRA</w:t>
            </w:r>
            <w:proofErr w:type="spellEnd"/>
            <w:r w:rsidRPr="004B01F7">
              <w:rPr>
                <w:b/>
                <w:bCs/>
                <w:szCs w:val="20"/>
                <w:lang w:val="ru-RU"/>
              </w:rPr>
              <w:t xml:space="preserve"> </w:t>
            </w:r>
            <w:r w:rsidRPr="004B01F7">
              <w:rPr>
                <w:b/>
                <w:bCs/>
                <w:szCs w:val="20"/>
              </w:rPr>
              <w:t>предпочитан термин</w:t>
            </w:r>
          </w:p>
        </w:tc>
        <w:tc>
          <w:tcPr>
            <w:tcW w:w="4788" w:type="dxa"/>
          </w:tcPr>
          <w:p w14:paraId="6F28809B" w14:textId="396A7924" w:rsidR="004B01F7" w:rsidRPr="004B01F7" w:rsidRDefault="004B01F7" w:rsidP="004B01F7">
            <w:pPr>
              <w:rPr>
                <w:b/>
              </w:rPr>
            </w:pPr>
            <w:r w:rsidRPr="004B01F7">
              <w:rPr>
                <w:b/>
                <w:bCs/>
                <w:szCs w:val="20"/>
              </w:rPr>
              <w:t>Честота</w:t>
            </w:r>
          </w:p>
        </w:tc>
      </w:tr>
      <w:tr w:rsidR="004B01F7" w14:paraId="528E9C11" w14:textId="77777777" w:rsidTr="004B01F7">
        <w:tc>
          <w:tcPr>
            <w:tcW w:w="4788" w:type="dxa"/>
          </w:tcPr>
          <w:p w14:paraId="04886CE5" w14:textId="77777777" w:rsidR="004B01F7" w:rsidRPr="004B01F7" w:rsidRDefault="004B01F7" w:rsidP="004B01F7"/>
        </w:tc>
        <w:tc>
          <w:tcPr>
            <w:tcW w:w="4788" w:type="dxa"/>
          </w:tcPr>
          <w:p w14:paraId="00C64D42" w14:textId="77777777" w:rsidR="004B01F7" w:rsidRPr="004B01F7" w:rsidRDefault="004B01F7" w:rsidP="004B01F7"/>
        </w:tc>
      </w:tr>
      <w:tr w:rsidR="004B01F7" w14:paraId="54590982" w14:textId="77777777" w:rsidTr="004B01F7">
        <w:tc>
          <w:tcPr>
            <w:tcW w:w="9576" w:type="dxa"/>
            <w:gridSpan w:val="2"/>
          </w:tcPr>
          <w:p w14:paraId="3797C478" w14:textId="54EC3554" w:rsidR="004B01F7" w:rsidRPr="004B01F7" w:rsidRDefault="004B01F7" w:rsidP="004B01F7">
            <w:pPr>
              <w:rPr>
                <w:b/>
              </w:rPr>
            </w:pPr>
            <w:r w:rsidRPr="004B01F7">
              <w:rPr>
                <w:b/>
                <w:bCs/>
                <w:szCs w:val="20"/>
              </w:rPr>
              <w:t>Нарушения ня метаболизма и храненето</w:t>
            </w:r>
          </w:p>
        </w:tc>
      </w:tr>
      <w:tr w:rsidR="004B01F7" w14:paraId="09127320" w14:textId="77777777" w:rsidTr="004B01F7">
        <w:tc>
          <w:tcPr>
            <w:tcW w:w="4788" w:type="dxa"/>
          </w:tcPr>
          <w:p w14:paraId="76CE98DD" w14:textId="1A6EAD04" w:rsidR="004B01F7" w:rsidRPr="004B01F7" w:rsidRDefault="004B01F7" w:rsidP="004B01F7">
            <w:r w:rsidRPr="004B01F7">
              <w:rPr>
                <w:bCs/>
                <w:szCs w:val="20"/>
              </w:rPr>
              <w:t>Дехидратация</w:t>
            </w:r>
          </w:p>
        </w:tc>
        <w:tc>
          <w:tcPr>
            <w:tcW w:w="4788" w:type="dxa"/>
          </w:tcPr>
          <w:p w14:paraId="6ECB51EA" w14:textId="22F027E1" w:rsidR="004B01F7" w:rsidRPr="004B01F7" w:rsidRDefault="004B01F7" w:rsidP="004B01F7">
            <w:r w:rsidRPr="004B01F7">
              <w:rPr>
                <w:bCs/>
                <w:szCs w:val="20"/>
              </w:rPr>
              <w:t>С неизвестна честота</w:t>
            </w:r>
          </w:p>
        </w:tc>
      </w:tr>
      <w:tr w:rsidR="004B01F7" w14:paraId="0ACDEE8A" w14:textId="77777777" w:rsidTr="004B01F7">
        <w:tc>
          <w:tcPr>
            <w:tcW w:w="4788" w:type="dxa"/>
          </w:tcPr>
          <w:p w14:paraId="23D74282" w14:textId="77777777" w:rsidR="004B01F7" w:rsidRPr="004B01F7" w:rsidRDefault="004B01F7" w:rsidP="004B01F7"/>
        </w:tc>
        <w:tc>
          <w:tcPr>
            <w:tcW w:w="4788" w:type="dxa"/>
          </w:tcPr>
          <w:p w14:paraId="141F2B54" w14:textId="77777777" w:rsidR="004B01F7" w:rsidRPr="004B01F7" w:rsidRDefault="004B01F7" w:rsidP="004B01F7"/>
        </w:tc>
      </w:tr>
      <w:tr w:rsidR="004B01F7" w14:paraId="4FA26791" w14:textId="77777777" w:rsidTr="004B01F7">
        <w:tc>
          <w:tcPr>
            <w:tcW w:w="9576" w:type="dxa"/>
            <w:gridSpan w:val="2"/>
          </w:tcPr>
          <w:p w14:paraId="02609E37" w14:textId="62592927" w:rsidR="004B01F7" w:rsidRPr="004B01F7" w:rsidRDefault="004B01F7" w:rsidP="004B01F7">
            <w:pPr>
              <w:rPr>
                <w:b/>
              </w:rPr>
            </w:pPr>
            <w:r w:rsidRPr="004B01F7">
              <w:rPr>
                <w:b/>
                <w:bCs/>
                <w:szCs w:val="20"/>
              </w:rPr>
              <w:t>Нарушения на нервната система</w:t>
            </w:r>
          </w:p>
        </w:tc>
      </w:tr>
      <w:tr w:rsidR="004B01F7" w14:paraId="12A52CC8" w14:textId="77777777" w:rsidTr="004B01F7">
        <w:tc>
          <w:tcPr>
            <w:tcW w:w="4788" w:type="dxa"/>
          </w:tcPr>
          <w:p w14:paraId="246BF960" w14:textId="361BCBE6" w:rsidR="004B01F7" w:rsidRPr="004B01F7" w:rsidRDefault="004B01F7" w:rsidP="004B01F7">
            <w:r w:rsidRPr="004B01F7">
              <w:rPr>
                <w:bCs/>
                <w:szCs w:val="20"/>
              </w:rPr>
              <w:t>Замаяност</w:t>
            </w:r>
          </w:p>
        </w:tc>
        <w:tc>
          <w:tcPr>
            <w:tcW w:w="4788" w:type="dxa"/>
          </w:tcPr>
          <w:p w14:paraId="5D4A9E3B" w14:textId="636A0E98" w:rsidR="004B01F7" w:rsidRPr="004B01F7" w:rsidRDefault="004B01F7" w:rsidP="004B01F7">
            <w:r w:rsidRPr="004B01F7">
              <w:rPr>
                <w:bCs/>
                <w:szCs w:val="20"/>
              </w:rPr>
              <w:t>Нечести</w:t>
            </w:r>
          </w:p>
        </w:tc>
      </w:tr>
      <w:tr w:rsidR="004B01F7" w14:paraId="56D54A29" w14:textId="77777777" w:rsidTr="004B01F7">
        <w:tc>
          <w:tcPr>
            <w:tcW w:w="4788" w:type="dxa"/>
          </w:tcPr>
          <w:p w14:paraId="65B3A4FC" w14:textId="76BEC777" w:rsidR="004B01F7" w:rsidRPr="004B01F7" w:rsidRDefault="004B01F7" w:rsidP="004B01F7">
            <w:r w:rsidRPr="004B01F7">
              <w:rPr>
                <w:bCs/>
                <w:szCs w:val="20"/>
              </w:rPr>
              <w:t>Главоболие</w:t>
            </w:r>
          </w:p>
        </w:tc>
        <w:tc>
          <w:tcPr>
            <w:tcW w:w="4788" w:type="dxa"/>
          </w:tcPr>
          <w:p w14:paraId="37CD3775" w14:textId="0FF70FCD" w:rsidR="004B01F7" w:rsidRPr="004B01F7" w:rsidRDefault="004B01F7" w:rsidP="004B01F7">
            <w:r w:rsidRPr="004B01F7">
              <w:rPr>
                <w:bCs/>
                <w:szCs w:val="20"/>
              </w:rPr>
              <w:t>Нечести</w:t>
            </w:r>
          </w:p>
        </w:tc>
      </w:tr>
      <w:tr w:rsidR="004B01F7" w14:paraId="7C7C9A68" w14:textId="77777777" w:rsidTr="004B01F7">
        <w:tc>
          <w:tcPr>
            <w:tcW w:w="4788" w:type="dxa"/>
            <w:vAlign w:val="bottom"/>
          </w:tcPr>
          <w:p w14:paraId="4F8AEBBF" w14:textId="098DDC52" w:rsidR="004B01F7" w:rsidRPr="004B01F7" w:rsidRDefault="004B01F7" w:rsidP="004B01F7">
            <w:r w:rsidRPr="004B01F7">
              <w:rPr>
                <w:bCs/>
                <w:szCs w:val="20"/>
              </w:rPr>
              <w:t>Вкусови нарушения</w:t>
            </w:r>
          </w:p>
        </w:tc>
        <w:tc>
          <w:tcPr>
            <w:tcW w:w="4788" w:type="dxa"/>
            <w:vAlign w:val="bottom"/>
          </w:tcPr>
          <w:p w14:paraId="1F82EAF6" w14:textId="2249EF69" w:rsidR="004B01F7" w:rsidRPr="004B01F7" w:rsidRDefault="004B01F7" w:rsidP="004B01F7">
            <w:r w:rsidRPr="004B01F7">
              <w:rPr>
                <w:bCs/>
                <w:szCs w:val="20"/>
              </w:rPr>
              <w:t>Нечести</w:t>
            </w:r>
          </w:p>
        </w:tc>
      </w:tr>
      <w:tr w:rsidR="004B01F7" w14:paraId="0C7B5E2C" w14:textId="77777777" w:rsidTr="004B01F7">
        <w:tc>
          <w:tcPr>
            <w:tcW w:w="4788" w:type="dxa"/>
            <w:vAlign w:val="bottom"/>
          </w:tcPr>
          <w:p w14:paraId="533C8D14" w14:textId="09725CC6" w:rsidR="004B01F7" w:rsidRPr="004B01F7" w:rsidRDefault="004B01F7" w:rsidP="004B01F7">
            <w:r w:rsidRPr="004B01F7">
              <w:rPr>
                <w:bCs/>
                <w:szCs w:val="20"/>
              </w:rPr>
              <w:t>Безсъние</w:t>
            </w:r>
          </w:p>
        </w:tc>
        <w:tc>
          <w:tcPr>
            <w:tcW w:w="4788" w:type="dxa"/>
            <w:vAlign w:val="bottom"/>
          </w:tcPr>
          <w:p w14:paraId="54FD1780" w14:textId="035DD24E" w:rsidR="004B01F7" w:rsidRPr="004B01F7" w:rsidRDefault="004B01F7" w:rsidP="004B01F7">
            <w:r w:rsidRPr="004B01F7">
              <w:rPr>
                <w:bCs/>
                <w:szCs w:val="20"/>
              </w:rPr>
              <w:t>Редки</w:t>
            </w:r>
          </w:p>
        </w:tc>
      </w:tr>
      <w:tr w:rsidR="004B01F7" w14:paraId="0B558650" w14:textId="77777777" w:rsidTr="004B01F7">
        <w:tc>
          <w:tcPr>
            <w:tcW w:w="4788" w:type="dxa"/>
          </w:tcPr>
          <w:p w14:paraId="73D87B33" w14:textId="77777777" w:rsidR="004B01F7" w:rsidRPr="004B01F7" w:rsidRDefault="004B01F7" w:rsidP="004B01F7"/>
        </w:tc>
        <w:tc>
          <w:tcPr>
            <w:tcW w:w="4788" w:type="dxa"/>
          </w:tcPr>
          <w:p w14:paraId="52FB3CBA" w14:textId="77777777" w:rsidR="004B01F7" w:rsidRPr="004B01F7" w:rsidRDefault="004B01F7" w:rsidP="004B01F7"/>
        </w:tc>
      </w:tr>
      <w:tr w:rsidR="004B01F7" w14:paraId="6831A128" w14:textId="77777777" w:rsidTr="004B01F7">
        <w:tc>
          <w:tcPr>
            <w:tcW w:w="9576" w:type="dxa"/>
            <w:gridSpan w:val="2"/>
            <w:vAlign w:val="bottom"/>
          </w:tcPr>
          <w:p w14:paraId="211CC801" w14:textId="0DDF0D22" w:rsidR="004B01F7" w:rsidRPr="004B01F7" w:rsidRDefault="004B01F7" w:rsidP="004B01F7">
            <w:r w:rsidRPr="004B01F7">
              <w:rPr>
                <w:b/>
                <w:bCs/>
                <w:i/>
                <w:szCs w:val="20"/>
              </w:rPr>
              <w:t>Нарушения на очите</w:t>
            </w:r>
          </w:p>
        </w:tc>
      </w:tr>
      <w:tr w:rsidR="004B01F7" w14:paraId="0764B18F" w14:textId="77777777" w:rsidTr="004B01F7">
        <w:tc>
          <w:tcPr>
            <w:tcW w:w="4788" w:type="dxa"/>
            <w:vAlign w:val="bottom"/>
          </w:tcPr>
          <w:p w14:paraId="530070B8" w14:textId="258B1779" w:rsidR="004B01F7" w:rsidRPr="004B01F7" w:rsidRDefault="004B01F7" w:rsidP="004B01F7">
            <w:r w:rsidRPr="004B01F7">
              <w:rPr>
                <w:bCs/>
                <w:szCs w:val="20"/>
              </w:rPr>
              <w:t>Замъглено виждане</w:t>
            </w:r>
          </w:p>
        </w:tc>
        <w:tc>
          <w:tcPr>
            <w:tcW w:w="4788" w:type="dxa"/>
            <w:vAlign w:val="bottom"/>
          </w:tcPr>
          <w:p w14:paraId="52F11FFB" w14:textId="64104749" w:rsidR="004B01F7" w:rsidRPr="004B01F7" w:rsidRDefault="004B01F7" w:rsidP="004B01F7">
            <w:r w:rsidRPr="004B01F7">
              <w:rPr>
                <w:bCs/>
                <w:szCs w:val="20"/>
              </w:rPr>
              <w:t>Нечести</w:t>
            </w:r>
          </w:p>
        </w:tc>
      </w:tr>
      <w:tr w:rsidR="004B01F7" w14:paraId="52BC26CE" w14:textId="77777777" w:rsidTr="004B01F7">
        <w:tc>
          <w:tcPr>
            <w:tcW w:w="4788" w:type="dxa"/>
            <w:vAlign w:val="bottom"/>
          </w:tcPr>
          <w:p w14:paraId="3CFC7877" w14:textId="5F8B9C8D" w:rsidR="004B01F7" w:rsidRPr="004B01F7" w:rsidRDefault="004B01F7" w:rsidP="004B01F7">
            <w:r w:rsidRPr="004B01F7">
              <w:rPr>
                <w:bCs/>
                <w:szCs w:val="20"/>
              </w:rPr>
              <w:t>Глаукома</w:t>
            </w:r>
          </w:p>
        </w:tc>
        <w:tc>
          <w:tcPr>
            <w:tcW w:w="4788" w:type="dxa"/>
            <w:vAlign w:val="bottom"/>
          </w:tcPr>
          <w:p w14:paraId="3CA64BF1" w14:textId="0A01AFAF" w:rsidR="004B01F7" w:rsidRPr="004B01F7" w:rsidRDefault="004B01F7" w:rsidP="004B01F7">
            <w:r w:rsidRPr="004B01F7">
              <w:rPr>
                <w:bCs/>
                <w:szCs w:val="20"/>
              </w:rPr>
              <w:t>Редки</w:t>
            </w:r>
          </w:p>
        </w:tc>
      </w:tr>
      <w:tr w:rsidR="004B01F7" w14:paraId="54C34160" w14:textId="77777777" w:rsidTr="004B01F7">
        <w:tc>
          <w:tcPr>
            <w:tcW w:w="4788" w:type="dxa"/>
            <w:vAlign w:val="bottom"/>
          </w:tcPr>
          <w:p w14:paraId="172986E7" w14:textId="7DBD739C" w:rsidR="004B01F7" w:rsidRPr="004B01F7" w:rsidRDefault="004B01F7" w:rsidP="004B01F7">
            <w:r w:rsidRPr="004B01F7">
              <w:rPr>
                <w:bCs/>
                <w:szCs w:val="20"/>
              </w:rPr>
              <w:t>Повишено вътреочно налягане</w:t>
            </w:r>
          </w:p>
        </w:tc>
        <w:tc>
          <w:tcPr>
            <w:tcW w:w="4788" w:type="dxa"/>
            <w:vAlign w:val="bottom"/>
          </w:tcPr>
          <w:p w14:paraId="2F290C22" w14:textId="680919DC" w:rsidR="004B01F7" w:rsidRPr="004B01F7" w:rsidRDefault="004B01F7" w:rsidP="004B01F7">
            <w:r w:rsidRPr="004B01F7">
              <w:rPr>
                <w:bCs/>
                <w:szCs w:val="20"/>
              </w:rPr>
              <w:t>Редки</w:t>
            </w:r>
          </w:p>
        </w:tc>
      </w:tr>
      <w:tr w:rsidR="004B01F7" w14:paraId="1D7D77E3" w14:textId="77777777" w:rsidTr="004B01F7">
        <w:tc>
          <w:tcPr>
            <w:tcW w:w="4788" w:type="dxa"/>
          </w:tcPr>
          <w:p w14:paraId="61AFF596" w14:textId="77777777" w:rsidR="004B01F7" w:rsidRPr="004B01F7" w:rsidRDefault="004B01F7" w:rsidP="004B01F7"/>
        </w:tc>
        <w:tc>
          <w:tcPr>
            <w:tcW w:w="4788" w:type="dxa"/>
          </w:tcPr>
          <w:p w14:paraId="366D630B" w14:textId="77777777" w:rsidR="004B01F7" w:rsidRPr="004B01F7" w:rsidRDefault="004B01F7" w:rsidP="004B01F7"/>
        </w:tc>
      </w:tr>
      <w:tr w:rsidR="004B01F7" w14:paraId="170620B2" w14:textId="77777777" w:rsidTr="004B01F7">
        <w:tc>
          <w:tcPr>
            <w:tcW w:w="9576" w:type="dxa"/>
            <w:gridSpan w:val="2"/>
            <w:vAlign w:val="bottom"/>
          </w:tcPr>
          <w:p w14:paraId="7D96A35D" w14:textId="1CBE3CB4" w:rsidR="004B01F7" w:rsidRPr="004B01F7" w:rsidRDefault="004B01F7" w:rsidP="004B01F7">
            <w:r w:rsidRPr="004B01F7">
              <w:rPr>
                <w:b/>
                <w:bCs/>
                <w:i/>
                <w:szCs w:val="20"/>
              </w:rPr>
              <w:t>Сърдечни нарушения</w:t>
            </w:r>
          </w:p>
        </w:tc>
      </w:tr>
      <w:tr w:rsidR="004B01F7" w14:paraId="6F84BF66" w14:textId="77777777" w:rsidTr="004B01F7">
        <w:tc>
          <w:tcPr>
            <w:tcW w:w="4788" w:type="dxa"/>
            <w:vAlign w:val="bottom"/>
          </w:tcPr>
          <w:p w14:paraId="61211485" w14:textId="5A25E232" w:rsidR="004B01F7" w:rsidRPr="004B01F7" w:rsidRDefault="004B01F7" w:rsidP="004B01F7">
            <w:r w:rsidRPr="004B01F7">
              <w:rPr>
                <w:bCs/>
                <w:szCs w:val="20"/>
              </w:rPr>
              <w:lastRenderedPageBreak/>
              <w:t>Предсърдно мъждене</w:t>
            </w:r>
          </w:p>
        </w:tc>
        <w:tc>
          <w:tcPr>
            <w:tcW w:w="4788" w:type="dxa"/>
            <w:vAlign w:val="bottom"/>
          </w:tcPr>
          <w:p w14:paraId="4D1D1393" w14:textId="7A636D0E" w:rsidR="004B01F7" w:rsidRPr="004B01F7" w:rsidRDefault="004B01F7" w:rsidP="004B01F7">
            <w:r w:rsidRPr="004B01F7">
              <w:rPr>
                <w:bCs/>
                <w:szCs w:val="20"/>
              </w:rPr>
              <w:t>Нечести</w:t>
            </w:r>
          </w:p>
        </w:tc>
      </w:tr>
      <w:tr w:rsidR="004B01F7" w14:paraId="2E229CE3" w14:textId="77777777" w:rsidTr="004B01F7">
        <w:tc>
          <w:tcPr>
            <w:tcW w:w="4788" w:type="dxa"/>
            <w:vAlign w:val="bottom"/>
          </w:tcPr>
          <w:p w14:paraId="52AF9374" w14:textId="535BAA92" w:rsidR="004B01F7" w:rsidRPr="004B01F7" w:rsidRDefault="004B01F7" w:rsidP="004B01F7">
            <w:r w:rsidRPr="004B01F7">
              <w:rPr>
                <w:bCs/>
                <w:szCs w:val="20"/>
              </w:rPr>
              <w:t>Надкамерна тахикардия</w:t>
            </w:r>
          </w:p>
        </w:tc>
        <w:tc>
          <w:tcPr>
            <w:tcW w:w="4788" w:type="dxa"/>
            <w:vAlign w:val="bottom"/>
          </w:tcPr>
          <w:p w14:paraId="34B8BC75" w14:textId="7EAB7FDF" w:rsidR="004B01F7" w:rsidRPr="004B01F7" w:rsidRDefault="004B01F7" w:rsidP="004B01F7">
            <w:r w:rsidRPr="004B01F7">
              <w:rPr>
                <w:bCs/>
                <w:szCs w:val="20"/>
              </w:rPr>
              <w:t>Редки</w:t>
            </w:r>
          </w:p>
        </w:tc>
      </w:tr>
      <w:tr w:rsidR="004B01F7" w14:paraId="27226414" w14:textId="77777777" w:rsidTr="004B01F7">
        <w:tc>
          <w:tcPr>
            <w:tcW w:w="4788" w:type="dxa"/>
            <w:vAlign w:val="bottom"/>
          </w:tcPr>
          <w:p w14:paraId="00E975C7" w14:textId="1455903D" w:rsidR="004B01F7" w:rsidRPr="004B01F7" w:rsidRDefault="004B01F7" w:rsidP="004B01F7">
            <w:r w:rsidRPr="004B01F7">
              <w:rPr>
                <w:bCs/>
                <w:szCs w:val="20"/>
              </w:rPr>
              <w:t>Тахикардия</w:t>
            </w:r>
          </w:p>
        </w:tc>
        <w:tc>
          <w:tcPr>
            <w:tcW w:w="4788" w:type="dxa"/>
            <w:vAlign w:val="bottom"/>
          </w:tcPr>
          <w:p w14:paraId="17580772" w14:textId="318B4250" w:rsidR="004B01F7" w:rsidRPr="004B01F7" w:rsidRDefault="004B01F7" w:rsidP="004B01F7">
            <w:r w:rsidRPr="004B01F7">
              <w:rPr>
                <w:bCs/>
                <w:szCs w:val="20"/>
              </w:rPr>
              <w:t>Редки</w:t>
            </w:r>
          </w:p>
        </w:tc>
      </w:tr>
      <w:tr w:rsidR="004B01F7" w14:paraId="27EB292F" w14:textId="77777777" w:rsidTr="004B01F7">
        <w:tc>
          <w:tcPr>
            <w:tcW w:w="4788" w:type="dxa"/>
            <w:vAlign w:val="bottom"/>
          </w:tcPr>
          <w:p w14:paraId="6D661311" w14:textId="467BBBD9" w:rsidR="004B01F7" w:rsidRPr="004B01F7" w:rsidRDefault="004B01F7" w:rsidP="004B01F7">
            <w:r w:rsidRPr="004B01F7">
              <w:rPr>
                <w:bCs/>
                <w:szCs w:val="20"/>
              </w:rPr>
              <w:t>Палпитации</w:t>
            </w:r>
          </w:p>
        </w:tc>
        <w:tc>
          <w:tcPr>
            <w:tcW w:w="4788" w:type="dxa"/>
            <w:vAlign w:val="bottom"/>
          </w:tcPr>
          <w:p w14:paraId="7FF6536B" w14:textId="13E243EF" w:rsidR="004B01F7" w:rsidRPr="004B01F7" w:rsidRDefault="004B01F7" w:rsidP="004B01F7">
            <w:r w:rsidRPr="004B01F7">
              <w:rPr>
                <w:bCs/>
                <w:szCs w:val="20"/>
              </w:rPr>
              <w:t>Редки</w:t>
            </w:r>
          </w:p>
        </w:tc>
      </w:tr>
      <w:tr w:rsidR="004B01F7" w14:paraId="1DD69B36" w14:textId="77777777" w:rsidTr="004B01F7">
        <w:tc>
          <w:tcPr>
            <w:tcW w:w="4788" w:type="dxa"/>
          </w:tcPr>
          <w:p w14:paraId="0397A68D" w14:textId="77777777" w:rsidR="004B01F7" w:rsidRDefault="004B01F7" w:rsidP="008C1E14"/>
        </w:tc>
        <w:tc>
          <w:tcPr>
            <w:tcW w:w="4788" w:type="dxa"/>
          </w:tcPr>
          <w:p w14:paraId="6BDD24B8" w14:textId="77777777" w:rsidR="004B01F7" w:rsidRDefault="004B01F7" w:rsidP="008C1E14"/>
        </w:tc>
      </w:tr>
      <w:tr w:rsidR="004B01F7" w14:paraId="41F0C8B0" w14:textId="77777777" w:rsidTr="004B01F7">
        <w:tc>
          <w:tcPr>
            <w:tcW w:w="9576" w:type="dxa"/>
            <w:gridSpan w:val="2"/>
          </w:tcPr>
          <w:p w14:paraId="0B331672" w14:textId="37EDDD83" w:rsidR="004B01F7" w:rsidRPr="004B01F7" w:rsidRDefault="004B01F7" w:rsidP="004B01F7">
            <w:pPr>
              <w:rPr>
                <w:b/>
              </w:rPr>
            </w:pPr>
            <w:r w:rsidRPr="004B01F7">
              <w:rPr>
                <w:b/>
                <w:lang w:eastAsia="bg-BG"/>
              </w:rPr>
              <w:t>Респираторни, гръдни медиастиналнн нарушения</w:t>
            </w:r>
          </w:p>
        </w:tc>
      </w:tr>
      <w:tr w:rsidR="004B01F7" w14:paraId="2856C2EC" w14:textId="77777777" w:rsidTr="004B01F7">
        <w:tc>
          <w:tcPr>
            <w:tcW w:w="4788" w:type="dxa"/>
            <w:vAlign w:val="bottom"/>
          </w:tcPr>
          <w:p w14:paraId="4D4FE765" w14:textId="2604C5FD" w:rsidR="004B01F7" w:rsidRPr="004B01F7" w:rsidRDefault="004B01F7" w:rsidP="004B01F7">
            <w:r w:rsidRPr="004B01F7">
              <w:rPr>
                <w:bCs/>
                <w:szCs w:val="20"/>
              </w:rPr>
              <w:t>Фарингит</w:t>
            </w:r>
          </w:p>
        </w:tc>
        <w:tc>
          <w:tcPr>
            <w:tcW w:w="4788" w:type="dxa"/>
            <w:vAlign w:val="bottom"/>
          </w:tcPr>
          <w:p w14:paraId="0D6CF745" w14:textId="202C3056" w:rsidR="004B01F7" w:rsidRPr="004B01F7" w:rsidRDefault="004B01F7" w:rsidP="004B01F7">
            <w:r w:rsidRPr="004B01F7">
              <w:rPr>
                <w:bCs/>
                <w:szCs w:val="20"/>
              </w:rPr>
              <w:t>Нечести</w:t>
            </w:r>
          </w:p>
        </w:tc>
      </w:tr>
      <w:tr w:rsidR="004B01F7" w14:paraId="4C55B838" w14:textId="77777777" w:rsidTr="004B01F7">
        <w:tc>
          <w:tcPr>
            <w:tcW w:w="4788" w:type="dxa"/>
            <w:vAlign w:val="bottom"/>
          </w:tcPr>
          <w:p w14:paraId="23809BB2" w14:textId="5A471A46" w:rsidR="004B01F7" w:rsidRPr="004B01F7" w:rsidRDefault="004B01F7" w:rsidP="004B01F7">
            <w:r w:rsidRPr="004B01F7">
              <w:rPr>
                <w:bCs/>
                <w:szCs w:val="20"/>
              </w:rPr>
              <w:t>Дисфония</w:t>
            </w:r>
          </w:p>
        </w:tc>
        <w:tc>
          <w:tcPr>
            <w:tcW w:w="4788" w:type="dxa"/>
            <w:vAlign w:val="bottom"/>
          </w:tcPr>
          <w:p w14:paraId="17E1CBD7" w14:textId="74C7D0C2" w:rsidR="004B01F7" w:rsidRPr="004B01F7" w:rsidRDefault="004B01F7" w:rsidP="004B01F7">
            <w:r w:rsidRPr="004B01F7">
              <w:rPr>
                <w:bCs/>
                <w:szCs w:val="20"/>
              </w:rPr>
              <w:t>Нечести</w:t>
            </w:r>
          </w:p>
        </w:tc>
      </w:tr>
      <w:tr w:rsidR="004B01F7" w14:paraId="2E2DFD6A" w14:textId="77777777" w:rsidTr="004B01F7">
        <w:tc>
          <w:tcPr>
            <w:tcW w:w="4788" w:type="dxa"/>
            <w:vAlign w:val="bottom"/>
          </w:tcPr>
          <w:p w14:paraId="0F891044" w14:textId="30A0A0CF" w:rsidR="004B01F7" w:rsidRPr="004B01F7" w:rsidRDefault="004B01F7" w:rsidP="004B01F7">
            <w:r w:rsidRPr="004B01F7">
              <w:rPr>
                <w:bCs/>
                <w:szCs w:val="20"/>
              </w:rPr>
              <w:t>Кашлица</w:t>
            </w:r>
          </w:p>
        </w:tc>
        <w:tc>
          <w:tcPr>
            <w:tcW w:w="4788" w:type="dxa"/>
            <w:vAlign w:val="bottom"/>
          </w:tcPr>
          <w:p w14:paraId="1841C4F7" w14:textId="1D45E245" w:rsidR="004B01F7" w:rsidRPr="004B01F7" w:rsidRDefault="004B01F7" w:rsidP="004B01F7">
            <w:r w:rsidRPr="004B01F7">
              <w:rPr>
                <w:bCs/>
                <w:szCs w:val="20"/>
              </w:rPr>
              <w:t>Нечести</w:t>
            </w:r>
          </w:p>
        </w:tc>
      </w:tr>
      <w:tr w:rsidR="004B01F7" w14:paraId="16F35CE9" w14:textId="77777777" w:rsidTr="004B01F7">
        <w:tc>
          <w:tcPr>
            <w:tcW w:w="4788" w:type="dxa"/>
            <w:vAlign w:val="bottom"/>
          </w:tcPr>
          <w:p w14:paraId="355FA280" w14:textId="1D0625F8" w:rsidR="004B01F7" w:rsidRPr="004B01F7" w:rsidRDefault="004B01F7" w:rsidP="004B01F7">
            <w:r w:rsidRPr="004B01F7">
              <w:rPr>
                <w:bCs/>
                <w:szCs w:val="20"/>
              </w:rPr>
              <w:t>Бронхоспазъм</w:t>
            </w:r>
          </w:p>
        </w:tc>
        <w:tc>
          <w:tcPr>
            <w:tcW w:w="4788" w:type="dxa"/>
            <w:vAlign w:val="bottom"/>
          </w:tcPr>
          <w:p w14:paraId="30E9DDEB" w14:textId="0FEB57B7" w:rsidR="004B01F7" w:rsidRPr="004B01F7" w:rsidRDefault="004B01F7" w:rsidP="004B01F7">
            <w:r w:rsidRPr="004B01F7">
              <w:rPr>
                <w:bCs/>
                <w:szCs w:val="20"/>
              </w:rPr>
              <w:t>Редки</w:t>
            </w:r>
          </w:p>
        </w:tc>
      </w:tr>
      <w:tr w:rsidR="004B01F7" w14:paraId="40A575F4" w14:textId="77777777" w:rsidTr="004B01F7">
        <w:tc>
          <w:tcPr>
            <w:tcW w:w="4788" w:type="dxa"/>
            <w:vAlign w:val="bottom"/>
          </w:tcPr>
          <w:p w14:paraId="114016A3" w14:textId="5290B8EF" w:rsidR="004B01F7" w:rsidRPr="004B01F7" w:rsidRDefault="004B01F7" w:rsidP="004B01F7">
            <w:r w:rsidRPr="004B01F7">
              <w:rPr>
                <w:bCs/>
                <w:szCs w:val="20"/>
              </w:rPr>
              <w:t>Епистаксис</w:t>
            </w:r>
          </w:p>
        </w:tc>
        <w:tc>
          <w:tcPr>
            <w:tcW w:w="4788" w:type="dxa"/>
            <w:vAlign w:val="bottom"/>
          </w:tcPr>
          <w:p w14:paraId="62B12356" w14:textId="15137E2C" w:rsidR="004B01F7" w:rsidRPr="004B01F7" w:rsidRDefault="004B01F7" w:rsidP="004B01F7">
            <w:r w:rsidRPr="004B01F7">
              <w:rPr>
                <w:bCs/>
                <w:szCs w:val="20"/>
              </w:rPr>
              <w:t>Редки</w:t>
            </w:r>
          </w:p>
        </w:tc>
      </w:tr>
      <w:tr w:rsidR="004B01F7" w14:paraId="57DBBD14" w14:textId="77777777" w:rsidTr="004B01F7">
        <w:tc>
          <w:tcPr>
            <w:tcW w:w="4788" w:type="dxa"/>
            <w:vAlign w:val="bottom"/>
          </w:tcPr>
          <w:p w14:paraId="26AAF812" w14:textId="27DC0D31" w:rsidR="004B01F7" w:rsidRPr="004B01F7" w:rsidRDefault="004B01F7" w:rsidP="004B01F7">
            <w:r w:rsidRPr="004B01F7">
              <w:rPr>
                <w:bCs/>
                <w:szCs w:val="20"/>
              </w:rPr>
              <w:t>Ларингит</w:t>
            </w:r>
          </w:p>
        </w:tc>
        <w:tc>
          <w:tcPr>
            <w:tcW w:w="4788" w:type="dxa"/>
            <w:vAlign w:val="bottom"/>
          </w:tcPr>
          <w:p w14:paraId="07FB89A2" w14:textId="3FF2D4E9" w:rsidR="004B01F7" w:rsidRPr="004B01F7" w:rsidRDefault="004B01F7" w:rsidP="004B01F7">
            <w:r w:rsidRPr="004B01F7">
              <w:rPr>
                <w:bCs/>
                <w:szCs w:val="20"/>
              </w:rPr>
              <w:t>Редки</w:t>
            </w:r>
          </w:p>
        </w:tc>
      </w:tr>
      <w:tr w:rsidR="004B01F7" w14:paraId="7A3C3228" w14:textId="77777777" w:rsidTr="004B01F7">
        <w:tc>
          <w:tcPr>
            <w:tcW w:w="4788" w:type="dxa"/>
            <w:vAlign w:val="bottom"/>
          </w:tcPr>
          <w:p w14:paraId="23F18F12" w14:textId="61DECCC1" w:rsidR="004B01F7" w:rsidRPr="004B01F7" w:rsidRDefault="004B01F7" w:rsidP="004B01F7">
            <w:r w:rsidRPr="004B01F7">
              <w:rPr>
                <w:bCs/>
                <w:szCs w:val="20"/>
              </w:rPr>
              <w:t>Синузит</w:t>
            </w:r>
          </w:p>
        </w:tc>
        <w:tc>
          <w:tcPr>
            <w:tcW w:w="4788" w:type="dxa"/>
            <w:vAlign w:val="bottom"/>
          </w:tcPr>
          <w:p w14:paraId="050A611C" w14:textId="3B61E759" w:rsidR="004B01F7" w:rsidRPr="004B01F7" w:rsidRDefault="004B01F7" w:rsidP="004B01F7">
            <w:r w:rsidRPr="004B01F7">
              <w:rPr>
                <w:bCs/>
                <w:szCs w:val="20"/>
              </w:rPr>
              <w:t>Редки</w:t>
            </w:r>
          </w:p>
        </w:tc>
      </w:tr>
      <w:tr w:rsidR="004B01F7" w14:paraId="35F552C3" w14:textId="77777777" w:rsidTr="004B01F7">
        <w:tc>
          <w:tcPr>
            <w:tcW w:w="4788" w:type="dxa"/>
          </w:tcPr>
          <w:p w14:paraId="725D1134" w14:textId="77777777" w:rsidR="004B01F7" w:rsidRPr="004B01F7" w:rsidRDefault="004B01F7" w:rsidP="004B01F7"/>
        </w:tc>
        <w:tc>
          <w:tcPr>
            <w:tcW w:w="4788" w:type="dxa"/>
          </w:tcPr>
          <w:p w14:paraId="7769EEA6" w14:textId="77777777" w:rsidR="004B01F7" w:rsidRPr="004B01F7" w:rsidRDefault="004B01F7" w:rsidP="004B01F7"/>
        </w:tc>
      </w:tr>
      <w:tr w:rsidR="004B01F7" w14:paraId="3E123BE4" w14:textId="77777777" w:rsidTr="004B01F7">
        <w:tc>
          <w:tcPr>
            <w:tcW w:w="9576" w:type="dxa"/>
            <w:gridSpan w:val="2"/>
            <w:vAlign w:val="bottom"/>
          </w:tcPr>
          <w:p w14:paraId="5F93A448" w14:textId="2DC13441" w:rsidR="004B01F7" w:rsidRPr="004B01F7" w:rsidRDefault="004B01F7" w:rsidP="004B01F7">
            <w:pPr>
              <w:rPr>
                <w:b/>
              </w:rPr>
            </w:pPr>
            <w:r w:rsidRPr="004B01F7">
              <w:rPr>
                <w:b/>
                <w:bCs/>
                <w:szCs w:val="20"/>
              </w:rPr>
              <w:t>Стомашно-чревни нарушения</w:t>
            </w:r>
          </w:p>
        </w:tc>
      </w:tr>
      <w:tr w:rsidR="004B01F7" w14:paraId="0EF4D621" w14:textId="77777777" w:rsidTr="004B01F7">
        <w:tc>
          <w:tcPr>
            <w:tcW w:w="4788" w:type="dxa"/>
            <w:vAlign w:val="bottom"/>
          </w:tcPr>
          <w:p w14:paraId="5C907C95" w14:textId="1659E195" w:rsidR="004B01F7" w:rsidRPr="004B01F7" w:rsidRDefault="004B01F7" w:rsidP="004B01F7">
            <w:r w:rsidRPr="004B01F7">
              <w:rPr>
                <w:bCs/>
                <w:szCs w:val="20"/>
              </w:rPr>
              <w:t>Сухота в устата</w:t>
            </w:r>
          </w:p>
        </w:tc>
        <w:tc>
          <w:tcPr>
            <w:tcW w:w="4788" w:type="dxa"/>
            <w:vAlign w:val="bottom"/>
          </w:tcPr>
          <w:p w14:paraId="2E084968" w14:textId="112FD3F8" w:rsidR="004B01F7" w:rsidRPr="004B01F7" w:rsidRDefault="004B01F7" w:rsidP="004B01F7">
            <w:r w:rsidRPr="004B01F7">
              <w:rPr>
                <w:bCs/>
                <w:szCs w:val="20"/>
              </w:rPr>
              <w:t>Чести</w:t>
            </w:r>
          </w:p>
        </w:tc>
      </w:tr>
      <w:tr w:rsidR="004B01F7" w14:paraId="54CBB82E" w14:textId="77777777" w:rsidTr="004B01F7">
        <w:tc>
          <w:tcPr>
            <w:tcW w:w="4788" w:type="dxa"/>
            <w:vAlign w:val="bottom"/>
          </w:tcPr>
          <w:p w14:paraId="61C75E11" w14:textId="7B8759D7" w:rsidR="004B01F7" w:rsidRPr="004B01F7" w:rsidRDefault="004B01F7" w:rsidP="004B01F7">
            <w:r w:rsidRPr="004B01F7">
              <w:rPr>
                <w:bCs/>
                <w:szCs w:val="20"/>
              </w:rPr>
              <w:t>Гастроезофагеален рефлукс</w:t>
            </w:r>
          </w:p>
        </w:tc>
        <w:tc>
          <w:tcPr>
            <w:tcW w:w="4788" w:type="dxa"/>
            <w:vAlign w:val="bottom"/>
          </w:tcPr>
          <w:p w14:paraId="3870A737" w14:textId="128E8AB0" w:rsidR="004B01F7" w:rsidRPr="004B01F7" w:rsidRDefault="004B01F7" w:rsidP="004B01F7">
            <w:r w:rsidRPr="004B01F7">
              <w:rPr>
                <w:bCs/>
                <w:szCs w:val="20"/>
              </w:rPr>
              <w:t>Нечести</w:t>
            </w:r>
          </w:p>
        </w:tc>
      </w:tr>
      <w:tr w:rsidR="004B01F7" w14:paraId="451D9CE9" w14:textId="77777777" w:rsidTr="004B01F7">
        <w:tc>
          <w:tcPr>
            <w:tcW w:w="4788" w:type="dxa"/>
            <w:vAlign w:val="bottom"/>
          </w:tcPr>
          <w:p w14:paraId="26659654" w14:textId="016B45E7" w:rsidR="004B01F7" w:rsidRPr="004B01F7" w:rsidRDefault="004B01F7" w:rsidP="004B01F7">
            <w:r w:rsidRPr="004B01F7">
              <w:rPr>
                <w:bCs/>
                <w:szCs w:val="20"/>
              </w:rPr>
              <w:t>Констипация</w:t>
            </w:r>
          </w:p>
        </w:tc>
        <w:tc>
          <w:tcPr>
            <w:tcW w:w="4788" w:type="dxa"/>
            <w:vAlign w:val="bottom"/>
          </w:tcPr>
          <w:p w14:paraId="2244D149" w14:textId="0B6558BB" w:rsidR="004B01F7" w:rsidRPr="004B01F7" w:rsidRDefault="004B01F7" w:rsidP="004B01F7">
            <w:r w:rsidRPr="004B01F7">
              <w:rPr>
                <w:bCs/>
                <w:szCs w:val="20"/>
              </w:rPr>
              <w:t>Нечести</w:t>
            </w:r>
          </w:p>
        </w:tc>
      </w:tr>
      <w:tr w:rsidR="004B01F7" w14:paraId="4B9B18D2" w14:textId="77777777" w:rsidTr="004B01F7">
        <w:tc>
          <w:tcPr>
            <w:tcW w:w="4788" w:type="dxa"/>
            <w:vAlign w:val="bottom"/>
          </w:tcPr>
          <w:p w14:paraId="1C1963C0" w14:textId="4A09BF0C" w:rsidR="004B01F7" w:rsidRPr="004B01F7" w:rsidRDefault="004B01F7" w:rsidP="004B01F7">
            <w:r w:rsidRPr="004B01F7">
              <w:rPr>
                <w:bCs/>
                <w:szCs w:val="20"/>
              </w:rPr>
              <w:t>Орофарингеална кандидоза</w:t>
            </w:r>
          </w:p>
        </w:tc>
        <w:tc>
          <w:tcPr>
            <w:tcW w:w="4788" w:type="dxa"/>
            <w:vAlign w:val="bottom"/>
          </w:tcPr>
          <w:p w14:paraId="15146CB5" w14:textId="72F30EC7" w:rsidR="004B01F7" w:rsidRPr="004B01F7" w:rsidRDefault="004B01F7" w:rsidP="004B01F7">
            <w:r w:rsidRPr="004B01F7">
              <w:rPr>
                <w:bCs/>
                <w:szCs w:val="20"/>
              </w:rPr>
              <w:t>Нечести</w:t>
            </w:r>
          </w:p>
        </w:tc>
      </w:tr>
      <w:tr w:rsidR="004B01F7" w14:paraId="6BE3B9B4" w14:textId="77777777" w:rsidTr="004B01F7">
        <w:tc>
          <w:tcPr>
            <w:tcW w:w="4788" w:type="dxa"/>
            <w:vAlign w:val="bottom"/>
          </w:tcPr>
          <w:p w14:paraId="18140B8E" w14:textId="718AE186" w:rsidR="004B01F7" w:rsidRPr="004B01F7" w:rsidRDefault="004B01F7" w:rsidP="004B01F7">
            <w:r w:rsidRPr="004B01F7">
              <w:rPr>
                <w:bCs/>
                <w:szCs w:val="20"/>
              </w:rPr>
              <w:t>Интестинална обструкция, включително паралитичен илеус</w:t>
            </w:r>
          </w:p>
        </w:tc>
        <w:tc>
          <w:tcPr>
            <w:tcW w:w="4788" w:type="dxa"/>
          </w:tcPr>
          <w:p w14:paraId="540C0334" w14:textId="77FACDFC" w:rsidR="004B01F7" w:rsidRPr="004B01F7" w:rsidRDefault="004B01F7" w:rsidP="004B01F7">
            <w:r w:rsidRPr="004B01F7">
              <w:rPr>
                <w:bCs/>
                <w:szCs w:val="20"/>
              </w:rPr>
              <w:t>Редки</w:t>
            </w:r>
          </w:p>
        </w:tc>
      </w:tr>
      <w:tr w:rsidR="004B01F7" w14:paraId="026168A7" w14:textId="77777777" w:rsidTr="004B01F7">
        <w:tc>
          <w:tcPr>
            <w:tcW w:w="4788" w:type="dxa"/>
            <w:vAlign w:val="bottom"/>
          </w:tcPr>
          <w:p w14:paraId="1A582A1A" w14:textId="6BBD2392" w:rsidR="004B01F7" w:rsidRPr="004B01F7" w:rsidRDefault="004B01F7" w:rsidP="004B01F7">
            <w:r w:rsidRPr="004B01F7">
              <w:rPr>
                <w:bCs/>
                <w:szCs w:val="20"/>
              </w:rPr>
              <w:t>Възпаление на венците</w:t>
            </w:r>
          </w:p>
        </w:tc>
        <w:tc>
          <w:tcPr>
            <w:tcW w:w="4788" w:type="dxa"/>
            <w:vAlign w:val="bottom"/>
          </w:tcPr>
          <w:p w14:paraId="4353D6BA" w14:textId="520A8EF3" w:rsidR="004B01F7" w:rsidRPr="004B01F7" w:rsidRDefault="004B01F7" w:rsidP="004B01F7">
            <w:r w:rsidRPr="004B01F7">
              <w:rPr>
                <w:bCs/>
                <w:szCs w:val="20"/>
              </w:rPr>
              <w:t>Редки</w:t>
            </w:r>
          </w:p>
        </w:tc>
      </w:tr>
      <w:tr w:rsidR="004B01F7" w14:paraId="552FF7C8" w14:textId="77777777" w:rsidTr="004B01F7">
        <w:tc>
          <w:tcPr>
            <w:tcW w:w="4788" w:type="dxa"/>
            <w:vAlign w:val="bottom"/>
          </w:tcPr>
          <w:p w14:paraId="6DF8824B" w14:textId="7A1AE44E" w:rsidR="004B01F7" w:rsidRPr="004B01F7" w:rsidRDefault="004B01F7" w:rsidP="004B01F7">
            <w:r w:rsidRPr="004B01F7">
              <w:rPr>
                <w:bCs/>
                <w:szCs w:val="20"/>
              </w:rPr>
              <w:t>Глосит</w:t>
            </w:r>
          </w:p>
        </w:tc>
        <w:tc>
          <w:tcPr>
            <w:tcW w:w="4788" w:type="dxa"/>
            <w:vAlign w:val="bottom"/>
          </w:tcPr>
          <w:p w14:paraId="71AB56DB" w14:textId="74B570FB" w:rsidR="004B01F7" w:rsidRPr="004B01F7" w:rsidRDefault="004B01F7" w:rsidP="004B01F7">
            <w:r w:rsidRPr="004B01F7">
              <w:rPr>
                <w:bCs/>
                <w:szCs w:val="20"/>
              </w:rPr>
              <w:t>Редки</w:t>
            </w:r>
          </w:p>
        </w:tc>
      </w:tr>
      <w:tr w:rsidR="004B01F7" w14:paraId="7D090B69" w14:textId="77777777" w:rsidTr="004B01F7">
        <w:tc>
          <w:tcPr>
            <w:tcW w:w="4788" w:type="dxa"/>
            <w:vAlign w:val="bottom"/>
          </w:tcPr>
          <w:p w14:paraId="2C41A6F9" w14:textId="6FBC35B5" w:rsidR="004B01F7" w:rsidRPr="004B01F7" w:rsidRDefault="004B01F7" w:rsidP="004B01F7">
            <w:r w:rsidRPr="004B01F7">
              <w:rPr>
                <w:bCs/>
                <w:szCs w:val="20"/>
              </w:rPr>
              <w:t>Дисфагия</w:t>
            </w:r>
          </w:p>
        </w:tc>
        <w:tc>
          <w:tcPr>
            <w:tcW w:w="4788" w:type="dxa"/>
            <w:vAlign w:val="bottom"/>
          </w:tcPr>
          <w:p w14:paraId="6DAF66D6" w14:textId="22654995" w:rsidR="004B01F7" w:rsidRPr="004B01F7" w:rsidRDefault="004B01F7" w:rsidP="004B01F7">
            <w:r w:rsidRPr="004B01F7">
              <w:rPr>
                <w:bCs/>
                <w:szCs w:val="20"/>
              </w:rPr>
              <w:t>Редки</w:t>
            </w:r>
          </w:p>
        </w:tc>
      </w:tr>
      <w:tr w:rsidR="004B01F7" w14:paraId="7B615D87" w14:textId="77777777" w:rsidTr="004B01F7">
        <w:tc>
          <w:tcPr>
            <w:tcW w:w="4788" w:type="dxa"/>
            <w:vAlign w:val="bottom"/>
          </w:tcPr>
          <w:p w14:paraId="5F07BC18" w14:textId="22C4911A" w:rsidR="004B01F7" w:rsidRPr="004B01F7" w:rsidRDefault="004B01F7" w:rsidP="004B01F7">
            <w:r w:rsidRPr="004B01F7">
              <w:rPr>
                <w:bCs/>
                <w:szCs w:val="20"/>
              </w:rPr>
              <w:t>Стоматит</w:t>
            </w:r>
          </w:p>
        </w:tc>
        <w:tc>
          <w:tcPr>
            <w:tcW w:w="4788" w:type="dxa"/>
            <w:vAlign w:val="bottom"/>
          </w:tcPr>
          <w:p w14:paraId="46C7D5C9" w14:textId="69FF6038" w:rsidR="004B01F7" w:rsidRPr="004B01F7" w:rsidRDefault="004B01F7" w:rsidP="004B01F7">
            <w:r w:rsidRPr="004B01F7">
              <w:rPr>
                <w:bCs/>
                <w:szCs w:val="20"/>
              </w:rPr>
              <w:t>Редки</w:t>
            </w:r>
          </w:p>
        </w:tc>
      </w:tr>
      <w:tr w:rsidR="004B01F7" w14:paraId="4F3A16B4" w14:textId="77777777" w:rsidTr="004B01F7">
        <w:tc>
          <w:tcPr>
            <w:tcW w:w="4788" w:type="dxa"/>
            <w:vAlign w:val="bottom"/>
          </w:tcPr>
          <w:p w14:paraId="614DF841" w14:textId="051B3304" w:rsidR="004B01F7" w:rsidRPr="004B01F7" w:rsidRDefault="004B01F7" w:rsidP="004B01F7">
            <w:r w:rsidRPr="004B01F7">
              <w:rPr>
                <w:bCs/>
                <w:szCs w:val="20"/>
              </w:rPr>
              <w:t>Гадене</w:t>
            </w:r>
          </w:p>
        </w:tc>
        <w:tc>
          <w:tcPr>
            <w:tcW w:w="4788" w:type="dxa"/>
            <w:vAlign w:val="bottom"/>
          </w:tcPr>
          <w:p w14:paraId="0739CB54" w14:textId="7F80DECA" w:rsidR="004B01F7" w:rsidRPr="004B01F7" w:rsidRDefault="004B01F7" w:rsidP="004B01F7">
            <w:r w:rsidRPr="004B01F7">
              <w:rPr>
                <w:bCs/>
                <w:szCs w:val="20"/>
              </w:rPr>
              <w:t>Редки</w:t>
            </w:r>
          </w:p>
        </w:tc>
      </w:tr>
      <w:tr w:rsidR="004B01F7" w14:paraId="663D2DAB" w14:textId="77777777" w:rsidTr="004B01F7">
        <w:tc>
          <w:tcPr>
            <w:tcW w:w="4788" w:type="dxa"/>
            <w:vAlign w:val="bottom"/>
          </w:tcPr>
          <w:p w14:paraId="0285D248" w14:textId="0DEFF062" w:rsidR="004B01F7" w:rsidRPr="004B01F7" w:rsidRDefault="004B01F7" w:rsidP="004B01F7">
            <w:r w:rsidRPr="004B01F7">
              <w:rPr>
                <w:bCs/>
                <w:szCs w:val="20"/>
              </w:rPr>
              <w:t>Зъбен кариес</w:t>
            </w:r>
          </w:p>
        </w:tc>
        <w:tc>
          <w:tcPr>
            <w:tcW w:w="4788" w:type="dxa"/>
            <w:vAlign w:val="bottom"/>
          </w:tcPr>
          <w:p w14:paraId="62E0D44B" w14:textId="48E5A2F6" w:rsidR="004B01F7" w:rsidRPr="004B01F7" w:rsidRDefault="004B01F7" w:rsidP="004B01F7">
            <w:r w:rsidRPr="004B01F7">
              <w:rPr>
                <w:bCs/>
                <w:szCs w:val="20"/>
              </w:rPr>
              <w:t>С неизвестна честота</w:t>
            </w:r>
          </w:p>
        </w:tc>
      </w:tr>
      <w:tr w:rsidR="004B01F7" w14:paraId="5E08A1BF" w14:textId="77777777" w:rsidTr="004B01F7">
        <w:tc>
          <w:tcPr>
            <w:tcW w:w="4788" w:type="dxa"/>
          </w:tcPr>
          <w:p w14:paraId="540DE398" w14:textId="77777777" w:rsidR="004B01F7" w:rsidRDefault="004B01F7" w:rsidP="008C1E14"/>
        </w:tc>
        <w:tc>
          <w:tcPr>
            <w:tcW w:w="4788" w:type="dxa"/>
          </w:tcPr>
          <w:p w14:paraId="33E11C54" w14:textId="77777777" w:rsidR="004B01F7" w:rsidRDefault="004B01F7" w:rsidP="008C1E14"/>
        </w:tc>
      </w:tr>
      <w:tr w:rsidR="004B01F7" w14:paraId="76F6EFF9" w14:textId="77777777" w:rsidTr="004B01F7">
        <w:tc>
          <w:tcPr>
            <w:tcW w:w="9576" w:type="dxa"/>
            <w:gridSpan w:val="2"/>
          </w:tcPr>
          <w:p w14:paraId="78B94773" w14:textId="4476A604" w:rsidR="004B01F7" w:rsidRPr="004B01F7" w:rsidRDefault="004B01F7" w:rsidP="008C1E14">
            <w:pPr>
              <w:rPr>
                <w:b/>
              </w:rPr>
            </w:pPr>
            <w:r w:rsidRPr="004B01F7">
              <w:rPr>
                <w:b/>
                <w:bCs/>
                <w:szCs w:val="20"/>
              </w:rPr>
              <w:t>Нарушения на кожата и подкожната тъкан, нарушения на имунната система</w:t>
            </w:r>
          </w:p>
        </w:tc>
      </w:tr>
      <w:tr w:rsidR="004B01F7" w14:paraId="36D42833" w14:textId="77777777" w:rsidTr="004B01F7">
        <w:tc>
          <w:tcPr>
            <w:tcW w:w="4788" w:type="dxa"/>
            <w:vAlign w:val="bottom"/>
          </w:tcPr>
          <w:p w14:paraId="7A61248E" w14:textId="37457AA6" w:rsidR="004B01F7" w:rsidRPr="004B01F7" w:rsidRDefault="004B01F7" w:rsidP="004B01F7">
            <w:r w:rsidRPr="004B01F7">
              <w:rPr>
                <w:bCs/>
                <w:szCs w:val="20"/>
              </w:rPr>
              <w:t>Обрив</w:t>
            </w:r>
          </w:p>
        </w:tc>
        <w:tc>
          <w:tcPr>
            <w:tcW w:w="4788" w:type="dxa"/>
            <w:vAlign w:val="bottom"/>
          </w:tcPr>
          <w:p w14:paraId="7BC45A96" w14:textId="7F7F0852" w:rsidR="004B01F7" w:rsidRPr="004B01F7" w:rsidRDefault="004B01F7" w:rsidP="004B01F7">
            <w:r w:rsidRPr="004B01F7">
              <w:rPr>
                <w:bCs/>
                <w:szCs w:val="20"/>
              </w:rPr>
              <w:t>Нечести</w:t>
            </w:r>
          </w:p>
        </w:tc>
      </w:tr>
      <w:tr w:rsidR="004B01F7" w14:paraId="0256C8CE" w14:textId="77777777" w:rsidTr="004B01F7">
        <w:tc>
          <w:tcPr>
            <w:tcW w:w="4788" w:type="dxa"/>
            <w:vAlign w:val="bottom"/>
          </w:tcPr>
          <w:p w14:paraId="0417022D" w14:textId="476F1FB5" w:rsidR="004B01F7" w:rsidRPr="004B01F7" w:rsidRDefault="004B01F7" w:rsidP="004B01F7">
            <w:r w:rsidRPr="004B01F7">
              <w:rPr>
                <w:bCs/>
                <w:szCs w:val="20"/>
              </w:rPr>
              <w:t>Уртикария</w:t>
            </w:r>
          </w:p>
        </w:tc>
        <w:tc>
          <w:tcPr>
            <w:tcW w:w="4788" w:type="dxa"/>
            <w:vAlign w:val="bottom"/>
          </w:tcPr>
          <w:p w14:paraId="01BB1D11" w14:textId="0D204E94" w:rsidR="004B01F7" w:rsidRPr="004B01F7" w:rsidRDefault="004B01F7" w:rsidP="004B01F7">
            <w:r w:rsidRPr="004B01F7">
              <w:rPr>
                <w:bCs/>
                <w:szCs w:val="20"/>
              </w:rPr>
              <w:t>Редки</w:t>
            </w:r>
          </w:p>
        </w:tc>
      </w:tr>
      <w:tr w:rsidR="004B01F7" w14:paraId="6E51898E" w14:textId="77777777" w:rsidTr="004B01F7">
        <w:tc>
          <w:tcPr>
            <w:tcW w:w="4788" w:type="dxa"/>
            <w:vAlign w:val="bottom"/>
          </w:tcPr>
          <w:p w14:paraId="56624015" w14:textId="2B7345DB" w:rsidR="004B01F7" w:rsidRPr="004B01F7" w:rsidRDefault="004B01F7" w:rsidP="004B01F7">
            <w:r w:rsidRPr="004B01F7">
              <w:rPr>
                <w:bCs/>
                <w:szCs w:val="20"/>
              </w:rPr>
              <w:t>Пруршус</w:t>
            </w:r>
          </w:p>
        </w:tc>
        <w:tc>
          <w:tcPr>
            <w:tcW w:w="4788" w:type="dxa"/>
            <w:vAlign w:val="bottom"/>
          </w:tcPr>
          <w:p w14:paraId="12414DC7" w14:textId="004B9DFB" w:rsidR="004B01F7" w:rsidRPr="004B01F7" w:rsidRDefault="004B01F7" w:rsidP="004B01F7">
            <w:r w:rsidRPr="004B01F7">
              <w:rPr>
                <w:bCs/>
                <w:szCs w:val="20"/>
              </w:rPr>
              <w:t>Редки</w:t>
            </w:r>
          </w:p>
        </w:tc>
      </w:tr>
      <w:tr w:rsidR="004B01F7" w14:paraId="3C207A63" w14:textId="77777777" w:rsidTr="004B01F7">
        <w:tc>
          <w:tcPr>
            <w:tcW w:w="4788" w:type="dxa"/>
            <w:vAlign w:val="bottom"/>
          </w:tcPr>
          <w:p w14:paraId="49170A9D" w14:textId="6FF85B3B" w:rsidR="004B01F7" w:rsidRPr="004B01F7" w:rsidRDefault="004B01F7" w:rsidP="004B01F7">
            <w:r w:rsidRPr="004B01F7">
              <w:rPr>
                <w:bCs/>
                <w:szCs w:val="20"/>
              </w:rPr>
              <w:t>Свръхчувствителност (включително реакции от бърз тип)</w:t>
            </w:r>
          </w:p>
        </w:tc>
        <w:tc>
          <w:tcPr>
            <w:tcW w:w="4788" w:type="dxa"/>
          </w:tcPr>
          <w:p w14:paraId="13FF16F5" w14:textId="25D0D75B" w:rsidR="004B01F7" w:rsidRPr="004B01F7" w:rsidRDefault="004B01F7" w:rsidP="004B01F7">
            <w:r w:rsidRPr="004B01F7">
              <w:rPr>
                <w:bCs/>
                <w:szCs w:val="20"/>
              </w:rPr>
              <w:t>Редки</w:t>
            </w:r>
          </w:p>
        </w:tc>
      </w:tr>
      <w:tr w:rsidR="004B01F7" w14:paraId="4A0F3E77" w14:textId="77777777" w:rsidTr="004B01F7">
        <w:tc>
          <w:tcPr>
            <w:tcW w:w="4788" w:type="dxa"/>
            <w:vAlign w:val="bottom"/>
          </w:tcPr>
          <w:p w14:paraId="45040972" w14:textId="57E275BB" w:rsidR="004B01F7" w:rsidRPr="004B01F7" w:rsidRDefault="004B01F7" w:rsidP="004B01F7">
            <w:r w:rsidRPr="004B01F7">
              <w:rPr>
                <w:bCs/>
                <w:szCs w:val="20"/>
              </w:rPr>
              <w:t>Ангиоедем</w:t>
            </w:r>
          </w:p>
        </w:tc>
        <w:tc>
          <w:tcPr>
            <w:tcW w:w="4788" w:type="dxa"/>
            <w:vAlign w:val="bottom"/>
          </w:tcPr>
          <w:p w14:paraId="46EB4051" w14:textId="25CB5F33" w:rsidR="004B01F7" w:rsidRPr="004B01F7" w:rsidRDefault="004B01F7" w:rsidP="004B01F7">
            <w:r w:rsidRPr="004B01F7">
              <w:rPr>
                <w:bCs/>
                <w:szCs w:val="20"/>
              </w:rPr>
              <w:t>Редки</w:t>
            </w:r>
          </w:p>
        </w:tc>
      </w:tr>
      <w:tr w:rsidR="004B01F7" w14:paraId="1427912D" w14:textId="77777777" w:rsidTr="004B01F7">
        <w:tc>
          <w:tcPr>
            <w:tcW w:w="4788" w:type="dxa"/>
            <w:vAlign w:val="bottom"/>
          </w:tcPr>
          <w:p w14:paraId="45DC294E" w14:textId="06100052" w:rsidR="004B01F7" w:rsidRPr="004B01F7" w:rsidRDefault="004B01F7" w:rsidP="004B01F7">
            <w:r w:rsidRPr="004B01F7">
              <w:rPr>
                <w:bCs/>
                <w:szCs w:val="20"/>
              </w:rPr>
              <w:t>Анафилактична реакция</w:t>
            </w:r>
          </w:p>
        </w:tc>
        <w:tc>
          <w:tcPr>
            <w:tcW w:w="4788" w:type="dxa"/>
            <w:vAlign w:val="bottom"/>
          </w:tcPr>
          <w:p w14:paraId="2A297984" w14:textId="2EE906A2" w:rsidR="004B01F7" w:rsidRPr="004B01F7" w:rsidRDefault="004B01F7" w:rsidP="004B01F7">
            <w:r w:rsidRPr="004B01F7">
              <w:rPr>
                <w:bCs/>
                <w:szCs w:val="20"/>
              </w:rPr>
              <w:t>С неизвестна честота</w:t>
            </w:r>
          </w:p>
        </w:tc>
      </w:tr>
      <w:tr w:rsidR="004B01F7" w14:paraId="7EB7465B" w14:textId="77777777" w:rsidTr="004B01F7">
        <w:tc>
          <w:tcPr>
            <w:tcW w:w="4788" w:type="dxa"/>
            <w:vAlign w:val="bottom"/>
          </w:tcPr>
          <w:p w14:paraId="4CF9251E" w14:textId="3CB03B36" w:rsidR="004B01F7" w:rsidRPr="004B01F7" w:rsidRDefault="004B01F7" w:rsidP="004B01F7">
            <w:r w:rsidRPr="004B01F7">
              <w:rPr>
                <w:bCs/>
                <w:szCs w:val="20"/>
              </w:rPr>
              <w:t>Кожна инфекция, кожна язва</w:t>
            </w:r>
          </w:p>
        </w:tc>
        <w:tc>
          <w:tcPr>
            <w:tcW w:w="4788" w:type="dxa"/>
            <w:vAlign w:val="bottom"/>
          </w:tcPr>
          <w:p w14:paraId="0D11CB77" w14:textId="4FDC4F99" w:rsidR="004B01F7" w:rsidRPr="004B01F7" w:rsidRDefault="004B01F7" w:rsidP="004B01F7">
            <w:r w:rsidRPr="004B01F7">
              <w:rPr>
                <w:bCs/>
                <w:szCs w:val="20"/>
              </w:rPr>
              <w:t>С неизвестна честота</w:t>
            </w:r>
          </w:p>
        </w:tc>
      </w:tr>
      <w:tr w:rsidR="004B01F7" w14:paraId="5A98667C" w14:textId="77777777" w:rsidTr="004B01F7">
        <w:tc>
          <w:tcPr>
            <w:tcW w:w="4788" w:type="dxa"/>
            <w:vAlign w:val="bottom"/>
          </w:tcPr>
          <w:p w14:paraId="5812FEC1" w14:textId="51E67746" w:rsidR="004B01F7" w:rsidRPr="004B01F7" w:rsidRDefault="004B01F7" w:rsidP="004B01F7">
            <w:r w:rsidRPr="004B01F7">
              <w:rPr>
                <w:bCs/>
                <w:szCs w:val="20"/>
              </w:rPr>
              <w:t>Суха кожа</w:t>
            </w:r>
          </w:p>
        </w:tc>
        <w:tc>
          <w:tcPr>
            <w:tcW w:w="4788" w:type="dxa"/>
            <w:vAlign w:val="bottom"/>
          </w:tcPr>
          <w:p w14:paraId="6BC408F4" w14:textId="117A9857" w:rsidR="004B01F7" w:rsidRPr="004B01F7" w:rsidRDefault="004B01F7" w:rsidP="004B01F7">
            <w:r w:rsidRPr="004B01F7">
              <w:rPr>
                <w:bCs/>
                <w:szCs w:val="20"/>
              </w:rPr>
              <w:t>С неизвестна честота</w:t>
            </w:r>
          </w:p>
        </w:tc>
      </w:tr>
      <w:tr w:rsidR="004B01F7" w14:paraId="281C69ED" w14:textId="77777777" w:rsidTr="004B01F7">
        <w:tc>
          <w:tcPr>
            <w:tcW w:w="4788" w:type="dxa"/>
          </w:tcPr>
          <w:p w14:paraId="23A087FA" w14:textId="77777777" w:rsidR="004B01F7" w:rsidRPr="004B01F7" w:rsidRDefault="004B01F7" w:rsidP="004B01F7"/>
        </w:tc>
        <w:tc>
          <w:tcPr>
            <w:tcW w:w="4788" w:type="dxa"/>
          </w:tcPr>
          <w:p w14:paraId="608D4EFF" w14:textId="77777777" w:rsidR="004B01F7" w:rsidRPr="004B01F7" w:rsidRDefault="004B01F7" w:rsidP="004B01F7"/>
        </w:tc>
      </w:tr>
      <w:tr w:rsidR="004B01F7" w14:paraId="150EF550" w14:textId="77777777" w:rsidTr="004B01F7">
        <w:trPr>
          <w:trHeight w:val="810"/>
        </w:trPr>
        <w:tc>
          <w:tcPr>
            <w:tcW w:w="9576" w:type="dxa"/>
            <w:gridSpan w:val="2"/>
            <w:vAlign w:val="bottom"/>
          </w:tcPr>
          <w:p w14:paraId="036EB262" w14:textId="77777777" w:rsidR="004B01F7" w:rsidRDefault="004B01F7" w:rsidP="004B01F7">
            <w:pPr>
              <w:rPr>
                <w:b/>
              </w:rPr>
            </w:pPr>
            <w:r w:rsidRPr="004B01F7">
              <w:rPr>
                <w:b/>
                <w:bCs/>
                <w:szCs w:val="20"/>
              </w:rPr>
              <w:t>Нарушения на мускулно-скелетната система и</w:t>
            </w:r>
            <w:r>
              <w:rPr>
                <w:b/>
              </w:rPr>
              <w:t xml:space="preserve"> </w:t>
            </w:r>
            <w:r w:rsidRPr="004B01F7">
              <w:rPr>
                <w:b/>
                <w:bCs/>
                <w:szCs w:val="20"/>
                <w:u w:val="single"/>
              </w:rPr>
              <w:t>съединителн</w:t>
            </w:r>
            <w:r w:rsidRPr="004B01F7">
              <w:rPr>
                <w:b/>
                <w:bCs/>
                <w:szCs w:val="20"/>
              </w:rPr>
              <w:t>ата тъкан</w:t>
            </w:r>
          </w:p>
          <w:p w14:paraId="3C9E5A3C" w14:textId="77777777" w:rsidR="004B01F7" w:rsidRDefault="004B01F7" w:rsidP="004B01F7">
            <w:pPr>
              <w:rPr>
                <w:b/>
              </w:rPr>
            </w:pPr>
          </w:p>
          <w:p w14:paraId="73761BA1" w14:textId="48BE03A3" w:rsidR="004B01F7" w:rsidRPr="004B01F7" w:rsidRDefault="004B01F7" w:rsidP="004B01F7">
            <w:pPr>
              <w:rPr>
                <w:b/>
              </w:rPr>
            </w:pPr>
          </w:p>
        </w:tc>
      </w:tr>
      <w:tr w:rsidR="004B01F7" w14:paraId="04BD1C3A" w14:textId="77777777" w:rsidTr="004B01F7">
        <w:tc>
          <w:tcPr>
            <w:tcW w:w="4788" w:type="dxa"/>
            <w:vAlign w:val="bottom"/>
          </w:tcPr>
          <w:p w14:paraId="3253AE19" w14:textId="45DC5F5F" w:rsidR="004B01F7" w:rsidRPr="004B01F7" w:rsidRDefault="004B01F7" w:rsidP="004B01F7">
            <w:r w:rsidRPr="004B01F7">
              <w:rPr>
                <w:bCs/>
                <w:szCs w:val="20"/>
              </w:rPr>
              <w:t>Подуване на ставите</w:t>
            </w:r>
          </w:p>
        </w:tc>
        <w:tc>
          <w:tcPr>
            <w:tcW w:w="4788" w:type="dxa"/>
            <w:vAlign w:val="bottom"/>
          </w:tcPr>
          <w:p w14:paraId="4F4AD43E" w14:textId="3243A0FF" w:rsidR="004B01F7" w:rsidRPr="004B01F7" w:rsidRDefault="004B01F7" w:rsidP="004B01F7">
            <w:r w:rsidRPr="004B01F7">
              <w:rPr>
                <w:bCs/>
                <w:szCs w:val="20"/>
              </w:rPr>
              <w:t>С неизвестна честота</w:t>
            </w:r>
          </w:p>
        </w:tc>
      </w:tr>
      <w:tr w:rsidR="004B01F7" w14:paraId="3FC3EC92" w14:textId="77777777" w:rsidTr="004B01F7">
        <w:tc>
          <w:tcPr>
            <w:tcW w:w="4788" w:type="dxa"/>
          </w:tcPr>
          <w:p w14:paraId="65F09E68" w14:textId="77777777" w:rsidR="004B01F7" w:rsidRPr="004B01F7" w:rsidRDefault="004B01F7" w:rsidP="004B01F7"/>
        </w:tc>
        <w:tc>
          <w:tcPr>
            <w:tcW w:w="4788" w:type="dxa"/>
          </w:tcPr>
          <w:p w14:paraId="5AF9E49B" w14:textId="77777777" w:rsidR="004B01F7" w:rsidRPr="004B01F7" w:rsidRDefault="004B01F7" w:rsidP="004B01F7"/>
        </w:tc>
      </w:tr>
      <w:tr w:rsidR="004B01F7" w14:paraId="0446F04F" w14:textId="77777777" w:rsidTr="004B01F7">
        <w:tc>
          <w:tcPr>
            <w:tcW w:w="9576" w:type="dxa"/>
            <w:gridSpan w:val="2"/>
          </w:tcPr>
          <w:p w14:paraId="659E4842" w14:textId="752F9E14" w:rsidR="004B01F7" w:rsidRPr="004B01F7" w:rsidRDefault="004B01F7" w:rsidP="004B01F7">
            <w:pPr>
              <w:rPr>
                <w:b/>
              </w:rPr>
            </w:pPr>
            <w:r w:rsidRPr="004B01F7">
              <w:rPr>
                <w:b/>
                <w:bCs/>
                <w:szCs w:val="20"/>
              </w:rPr>
              <w:t>Нарушения на бъбреците и пикочните пътища</w:t>
            </w:r>
          </w:p>
        </w:tc>
      </w:tr>
      <w:tr w:rsidR="004B01F7" w14:paraId="5419DD12" w14:textId="77777777" w:rsidTr="004B01F7">
        <w:tc>
          <w:tcPr>
            <w:tcW w:w="4788" w:type="dxa"/>
          </w:tcPr>
          <w:p w14:paraId="307DC27E" w14:textId="13FCA0FB" w:rsidR="004B01F7" w:rsidRPr="004B01F7" w:rsidRDefault="004B01F7" w:rsidP="004B01F7">
            <w:r w:rsidRPr="004B01F7">
              <w:rPr>
                <w:bCs/>
                <w:szCs w:val="20"/>
              </w:rPr>
              <w:t>Дизурия</w:t>
            </w:r>
          </w:p>
        </w:tc>
        <w:tc>
          <w:tcPr>
            <w:tcW w:w="4788" w:type="dxa"/>
          </w:tcPr>
          <w:p w14:paraId="639B33AA" w14:textId="5DB8887C" w:rsidR="004B01F7" w:rsidRPr="004B01F7" w:rsidRDefault="004B01F7" w:rsidP="004B01F7">
            <w:r w:rsidRPr="004B01F7">
              <w:rPr>
                <w:bCs/>
                <w:szCs w:val="20"/>
              </w:rPr>
              <w:t>Нечести</w:t>
            </w:r>
          </w:p>
        </w:tc>
      </w:tr>
      <w:tr w:rsidR="004B01F7" w14:paraId="72675F6D" w14:textId="77777777" w:rsidTr="004B01F7">
        <w:tc>
          <w:tcPr>
            <w:tcW w:w="4788" w:type="dxa"/>
          </w:tcPr>
          <w:p w14:paraId="7F42CCFC" w14:textId="0B58EBF2" w:rsidR="004B01F7" w:rsidRPr="004B01F7" w:rsidRDefault="004B01F7" w:rsidP="004B01F7">
            <w:r w:rsidRPr="004B01F7">
              <w:rPr>
                <w:bCs/>
                <w:szCs w:val="20"/>
              </w:rPr>
              <w:lastRenderedPageBreak/>
              <w:t>Задръжка на урина</w:t>
            </w:r>
          </w:p>
        </w:tc>
        <w:tc>
          <w:tcPr>
            <w:tcW w:w="4788" w:type="dxa"/>
          </w:tcPr>
          <w:p w14:paraId="40BECA65" w14:textId="6D604FCB" w:rsidR="004B01F7" w:rsidRPr="004B01F7" w:rsidRDefault="004B01F7" w:rsidP="004B01F7">
            <w:r w:rsidRPr="004B01F7">
              <w:rPr>
                <w:bCs/>
                <w:szCs w:val="20"/>
              </w:rPr>
              <w:t>Нечести</w:t>
            </w:r>
          </w:p>
        </w:tc>
      </w:tr>
      <w:tr w:rsidR="004B01F7" w14:paraId="45BDD66F" w14:textId="77777777" w:rsidTr="004B01F7">
        <w:tc>
          <w:tcPr>
            <w:tcW w:w="4788" w:type="dxa"/>
          </w:tcPr>
          <w:p w14:paraId="02C4D788" w14:textId="22E21762" w:rsidR="004B01F7" w:rsidRPr="004B01F7" w:rsidRDefault="004B01F7" w:rsidP="004B01F7">
            <w:r w:rsidRPr="004B01F7">
              <w:rPr>
                <w:bCs/>
                <w:szCs w:val="20"/>
              </w:rPr>
              <w:t>Инфекция на уринарния тракт</w:t>
            </w:r>
          </w:p>
        </w:tc>
        <w:tc>
          <w:tcPr>
            <w:tcW w:w="4788" w:type="dxa"/>
          </w:tcPr>
          <w:p w14:paraId="548D247E" w14:textId="56A7CF29" w:rsidR="004B01F7" w:rsidRPr="004B01F7" w:rsidRDefault="004B01F7" w:rsidP="004B01F7">
            <w:r w:rsidRPr="004B01F7">
              <w:rPr>
                <w:bCs/>
                <w:szCs w:val="20"/>
              </w:rPr>
              <w:t>Редки</w:t>
            </w:r>
          </w:p>
        </w:tc>
      </w:tr>
    </w:tbl>
    <w:p w14:paraId="6A7D5B34" w14:textId="3ED04BB1" w:rsidR="008C1E14" w:rsidRDefault="008C1E14" w:rsidP="008C1E14"/>
    <w:p w14:paraId="25B57CDB" w14:textId="77777777" w:rsidR="004B01F7" w:rsidRPr="004B01F7" w:rsidRDefault="004B01F7" w:rsidP="004B01F7">
      <w:pPr>
        <w:spacing w:line="240" w:lineRule="auto"/>
        <w:rPr>
          <w:rFonts w:eastAsia="Times New Roman" w:cs="Arial"/>
          <w:szCs w:val="24"/>
        </w:rPr>
      </w:pPr>
      <w:r w:rsidRPr="004B01F7">
        <w:rPr>
          <w:rFonts w:eastAsia="Times New Roman" w:cs="Arial"/>
          <w:bCs/>
          <w:color w:val="000000"/>
          <w:szCs w:val="24"/>
          <w:u w:val="single"/>
          <w:lang w:eastAsia="bg-BG"/>
        </w:rPr>
        <w:t>Описание на някои нежелани лекарствени реакции</w:t>
      </w:r>
    </w:p>
    <w:p w14:paraId="3E83AA6F" w14:textId="77777777" w:rsidR="004B01F7" w:rsidRPr="004B01F7" w:rsidRDefault="004B01F7" w:rsidP="004B01F7">
      <w:pPr>
        <w:spacing w:line="240" w:lineRule="auto"/>
        <w:rPr>
          <w:rFonts w:eastAsia="Times New Roman" w:cs="Arial"/>
          <w:szCs w:val="24"/>
        </w:rPr>
      </w:pPr>
      <w:r w:rsidRPr="004B01F7">
        <w:rPr>
          <w:rFonts w:eastAsia="Times New Roman" w:cs="Arial"/>
          <w:bCs/>
          <w:color w:val="000000"/>
          <w:szCs w:val="24"/>
          <w:lang w:eastAsia="bg-BG"/>
        </w:rPr>
        <w:t>В контролирани клинични проучвания често наблюдаваните нежелани реакции са антихолинергични нежелани лекарствени реакции, такива като сухота в устата, които възникват при приблизително 4% от пациентите. В 28 клинични проучвания сухотата в устата води до прекъсване на лечението при 18 от 9 647 пациенти, лекувани с тиотропиум (0,2%).</w:t>
      </w:r>
    </w:p>
    <w:p w14:paraId="730B2747" w14:textId="77777777" w:rsidR="004B01F7" w:rsidRPr="004B01F7" w:rsidRDefault="004B01F7" w:rsidP="004B01F7">
      <w:pPr>
        <w:spacing w:line="240" w:lineRule="auto"/>
        <w:rPr>
          <w:rFonts w:eastAsia="Times New Roman" w:cs="Arial"/>
          <w:bCs/>
          <w:color w:val="000000"/>
          <w:szCs w:val="24"/>
          <w:lang w:eastAsia="bg-BG"/>
        </w:rPr>
      </w:pPr>
    </w:p>
    <w:p w14:paraId="5C2E4C19" w14:textId="1CF16061" w:rsidR="004B01F7" w:rsidRPr="004B01F7" w:rsidRDefault="004B01F7" w:rsidP="004B01F7">
      <w:pPr>
        <w:spacing w:line="240" w:lineRule="auto"/>
        <w:rPr>
          <w:rFonts w:eastAsia="Times New Roman" w:cs="Arial"/>
          <w:szCs w:val="24"/>
        </w:rPr>
      </w:pPr>
      <w:r w:rsidRPr="004B01F7">
        <w:rPr>
          <w:rFonts w:eastAsia="Times New Roman" w:cs="Arial"/>
          <w:bCs/>
          <w:color w:val="000000"/>
          <w:szCs w:val="24"/>
          <w:lang w:eastAsia="bg-BG"/>
        </w:rPr>
        <w:t>Сериозни нежелани реакции, свързани с антихолинергични ефекти включват както глаукома, констипация и интестинална обструкция, включително паралитичен илеус, така също и задръжка на урина.</w:t>
      </w:r>
    </w:p>
    <w:p w14:paraId="1A128638" w14:textId="77777777" w:rsidR="004B01F7" w:rsidRPr="004B01F7" w:rsidRDefault="004B01F7" w:rsidP="004B01F7">
      <w:pPr>
        <w:spacing w:line="240" w:lineRule="auto"/>
        <w:rPr>
          <w:rFonts w:eastAsia="Times New Roman" w:cs="Arial"/>
          <w:bCs/>
          <w:color w:val="000000"/>
          <w:szCs w:val="24"/>
          <w:u w:val="single"/>
          <w:lang w:eastAsia="bg-BG"/>
        </w:rPr>
      </w:pPr>
    </w:p>
    <w:p w14:paraId="772A4ADF" w14:textId="0DEEB7EC" w:rsidR="004B01F7" w:rsidRPr="004B01F7" w:rsidRDefault="004B01F7" w:rsidP="004B01F7">
      <w:pPr>
        <w:spacing w:line="240" w:lineRule="auto"/>
        <w:rPr>
          <w:rFonts w:eastAsia="Times New Roman" w:cs="Arial"/>
          <w:szCs w:val="24"/>
        </w:rPr>
      </w:pPr>
      <w:r w:rsidRPr="004B01F7">
        <w:rPr>
          <w:rFonts w:eastAsia="Times New Roman" w:cs="Arial"/>
          <w:bCs/>
          <w:color w:val="000000"/>
          <w:szCs w:val="24"/>
          <w:u w:val="single"/>
          <w:lang w:eastAsia="bg-BG"/>
        </w:rPr>
        <w:t>Друга специална популация</w:t>
      </w:r>
    </w:p>
    <w:p w14:paraId="2C874D84" w14:textId="77777777" w:rsidR="004B01F7" w:rsidRPr="004B01F7" w:rsidRDefault="004B01F7" w:rsidP="004B01F7">
      <w:pPr>
        <w:spacing w:line="240" w:lineRule="auto"/>
        <w:rPr>
          <w:rFonts w:eastAsia="Times New Roman" w:cs="Arial"/>
          <w:szCs w:val="24"/>
        </w:rPr>
      </w:pPr>
      <w:r w:rsidRPr="004B01F7">
        <w:rPr>
          <w:rFonts w:eastAsia="Times New Roman" w:cs="Arial"/>
          <w:bCs/>
          <w:color w:val="000000"/>
          <w:szCs w:val="24"/>
          <w:lang w:eastAsia="bg-BG"/>
        </w:rPr>
        <w:t>Възможна е повишена поява на антихолинергични нежелани реакции при пациенти в напреднала възраст.</w:t>
      </w:r>
    </w:p>
    <w:p w14:paraId="34316A05" w14:textId="77777777" w:rsidR="004B01F7" w:rsidRPr="004B01F7" w:rsidRDefault="004B01F7" w:rsidP="004B01F7">
      <w:pPr>
        <w:spacing w:line="240" w:lineRule="auto"/>
        <w:rPr>
          <w:rFonts w:eastAsia="Times New Roman" w:cs="Arial"/>
          <w:bCs/>
          <w:color w:val="000000"/>
          <w:szCs w:val="24"/>
          <w:u w:val="single"/>
          <w:lang w:eastAsia="bg-BG"/>
        </w:rPr>
      </w:pPr>
    </w:p>
    <w:p w14:paraId="5DB58835" w14:textId="53B3CFA2" w:rsidR="004B01F7" w:rsidRPr="004B01F7" w:rsidRDefault="004B01F7" w:rsidP="004B01F7">
      <w:pPr>
        <w:spacing w:line="240" w:lineRule="auto"/>
        <w:rPr>
          <w:rFonts w:eastAsia="Times New Roman" w:cs="Arial"/>
          <w:szCs w:val="24"/>
        </w:rPr>
      </w:pPr>
      <w:r w:rsidRPr="004B01F7">
        <w:rPr>
          <w:rFonts w:eastAsia="Times New Roman" w:cs="Arial"/>
          <w:bCs/>
          <w:color w:val="000000"/>
          <w:szCs w:val="24"/>
          <w:u w:val="single"/>
          <w:lang w:eastAsia="bg-BG"/>
        </w:rPr>
        <w:t>Съобщаване на подозирани нежелани реакции</w:t>
      </w:r>
    </w:p>
    <w:p w14:paraId="18374F7E" w14:textId="77777777" w:rsidR="004B01F7" w:rsidRPr="004B01F7" w:rsidRDefault="004B01F7" w:rsidP="004B01F7">
      <w:pPr>
        <w:spacing w:line="240" w:lineRule="auto"/>
        <w:rPr>
          <w:rFonts w:eastAsia="Times New Roman" w:cs="Arial"/>
          <w:szCs w:val="24"/>
        </w:rPr>
      </w:pPr>
      <w:r w:rsidRPr="004B01F7">
        <w:rPr>
          <w:rFonts w:eastAsia="Times New Roman" w:cs="Arial"/>
          <w:bCs/>
          <w:color w:val="000000"/>
          <w:szCs w:val="24"/>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към Изпълнителната агенция по лекарствата, ул.,Дамян Груев” № 8,1303 София, тел.: +35928903417, уебсайт: </w:t>
      </w:r>
      <w:r w:rsidRPr="004B01F7">
        <w:rPr>
          <w:rFonts w:eastAsia="Times New Roman" w:cs="Arial"/>
          <w:szCs w:val="24"/>
        </w:rPr>
        <w:fldChar w:fldCharType="begin"/>
      </w:r>
      <w:r w:rsidRPr="004B01F7">
        <w:rPr>
          <w:rFonts w:eastAsia="Times New Roman" w:cs="Arial"/>
          <w:szCs w:val="24"/>
        </w:rPr>
        <w:instrText xml:space="preserve"> HYPERLINK "http://www.bda.bg" </w:instrText>
      </w:r>
      <w:r w:rsidRPr="004B01F7">
        <w:rPr>
          <w:rFonts w:eastAsia="Times New Roman" w:cs="Arial"/>
          <w:szCs w:val="24"/>
        </w:rPr>
      </w:r>
      <w:r w:rsidRPr="004B01F7">
        <w:rPr>
          <w:rFonts w:eastAsia="Times New Roman" w:cs="Arial"/>
          <w:szCs w:val="24"/>
        </w:rPr>
        <w:fldChar w:fldCharType="separate"/>
      </w:r>
      <w:r w:rsidRPr="004B01F7">
        <w:rPr>
          <w:rFonts w:eastAsia="Times New Roman" w:cs="Arial"/>
          <w:bCs/>
          <w:color w:val="000000"/>
          <w:szCs w:val="24"/>
          <w:u w:val="single"/>
          <w:lang w:val="en-US"/>
        </w:rPr>
        <w:t>www</w:t>
      </w:r>
      <w:r w:rsidRPr="004B01F7">
        <w:rPr>
          <w:rFonts w:eastAsia="Times New Roman" w:cs="Arial"/>
          <w:bCs/>
          <w:color w:val="000000"/>
          <w:szCs w:val="24"/>
          <w:u w:val="single"/>
          <w:lang w:val="ru-RU"/>
        </w:rPr>
        <w:t>.</w:t>
      </w:r>
      <w:proofErr w:type="spellStart"/>
      <w:r w:rsidRPr="004B01F7">
        <w:rPr>
          <w:rFonts w:eastAsia="Times New Roman" w:cs="Arial"/>
          <w:bCs/>
          <w:color w:val="000000"/>
          <w:szCs w:val="24"/>
          <w:u w:val="single"/>
          <w:lang w:val="en-US"/>
        </w:rPr>
        <w:t>bda</w:t>
      </w:r>
      <w:proofErr w:type="spellEnd"/>
      <w:r w:rsidRPr="004B01F7">
        <w:rPr>
          <w:rFonts w:eastAsia="Times New Roman" w:cs="Arial"/>
          <w:bCs/>
          <w:color w:val="000000"/>
          <w:szCs w:val="24"/>
          <w:u w:val="single"/>
          <w:lang w:val="ru-RU"/>
        </w:rPr>
        <w:t>.</w:t>
      </w:r>
      <w:proofErr w:type="spellStart"/>
      <w:r w:rsidRPr="004B01F7">
        <w:rPr>
          <w:rFonts w:eastAsia="Times New Roman" w:cs="Arial"/>
          <w:bCs/>
          <w:color w:val="000000"/>
          <w:szCs w:val="24"/>
          <w:u w:val="single"/>
          <w:lang w:val="en-US"/>
        </w:rPr>
        <w:t>bg</w:t>
      </w:r>
      <w:proofErr w:type="spellEnd"/>
      <w:r w:rsidRPr="004B01F7">
        <w:rPr>
          <w:rFonts w:eastAsia="Times New Roman" w:cs="Arial"/>
          <w:szCs w:val="24"/>
        </w:rPr>
        <w:fldChar w:fldCharType="end"/>
      </w:r>
      <w:r w:rsidRPr="004B01F7">
        <w:rPr>
          <w:rFonts w:eastAsia="Times New Roman" w:cs="Arial"/>
          <w:bCs/>
          <w:color w:val="000000"/>
          <w:szCs w:val="24"/>
          <w:lang w:val="ru-RU"/>
        </w:rPr>
        <w:t>.</w:t>
      </w:r>
    </w:p>
    <w:p w14:paraId="57F4AAD4" w14:textId="77777777" w:rsidR="004B01F7" w:rsidRPr="008C1E14" w:rsidRDefault="004B01F7" w:rsidP="008C1E14"/>
    <w:p w14:paraId="5A87DBA3" w14:textId="023E827C" w:rsidR="007122AD" w:rsidRDefault="002C50EE" w:rsidP="00936AD0">
      <w:pPr>
        <w:pStyle w:val="Heading2"/>
      </w:pPr>
      <w:r>
        <w:t>4.9. Предозиране</w:t>
      </w:r>
    </w:p>
    <w:p w14:paraId="33208D50" w14:textId="02DA0DBC" w:rsidR="004B01F7" w:rsidRDefault="004B01F7" w:rsidP="004B01F7"/>
    <w:p w14:paraId="053CB760" w14:textId="77777777" w:rsidR="004B01F7" w:rsidRPr="004B01F7" w:rsidRDefault="004B01F7" w:rsidP="004B01F7">
      <w:pPr>
        <w:spacing w:line="240" w:lineRule="auto"/>
        <w:rPr>
          <w:rFonts w:eastAsia="Times New Roman" w:cs="Arial"/>
          <w:sz w:val="28"/>
          <w:szCs w:val="24"/>
        </w:rPr>
      </w:pPr>
      <w:r w:rsidRPr="004B01F7">
        <w:rPr>
          <w:rFonts w:eastAsia="Times New Roman" w:cs="Arial"/>
          <w:bCs/>
          <w:color w:val="000000"/>
          <w:szCs w:val="20"/>
          <w:lang w:eastAsia="bg-BG"/>
        </w:rPr>
        <w:t>Високи дози тиотропиум бромид могат да предизвикат антихолинергични признаци и симптоми.</w:t>
      </w:r>
    </w:p>
    <w:p w14:paraId="5EA5DCCF" w14:textId="77777777" w:rsidR="004B01F7" w:rsidRPr="004B01F7" w:rsidRDefault="004B01F7" w:rsidP="004B01F7">
      <w:pPr>
        <w:spacing w:line="240" w:lineRule="auto"/>
        <w:rPr>
          <w:rFonts w:eastAsia="Times New Roman" w:cs="Arial"/>
          <w:bCs/>
          <w:color w:val="000000"/>
          <w:szCs w:val="20"/>
          <w:lang w:eastAsia="bg-BG"/>
        </w:rPr>
      </w:pPr>
    </w:p>
    <w:p w14:paraId="05538956" w14:textId="5378DC3C" w:rsidR="004B01F7" w:rsidRPr="004B01F7" w:rsidRDefault="004B01F7" w:rsidP="004B01F7">
      <w:pPr>
        <w:spacing w:line="240" w:lineRule="auto"/>
        <w:rPr>
          <w:rFonts w:eastAsia="Times New Roman" w:cs="Arial"/>
          <w:sz w:val="28"/>
          <w:szCs w:val="24"/>
        </w:rPr>
      </w:pPr>
      <w:r w:rsidRPr="004B01F7">
        <w:rPr>
          <w:rFonts w:eastAsia="Times New Roman" w:cs="Arial"/>
          <w:bCs/>
          <w:color w:val="000000"/>
          <w:szCs w:val="20"/>
          <w:lang w:eastAsia="bg-BG"/>
        </w:rPr>
        <w:t>Въпреки това, не са наблюдавани системни антихолинергични нежелани ефекти при здрави доброволци, след приложение на еднократна доза от 340 микрограма тиотропиум бромид. В допълнение, не са наблюдавани значими нежелани лекарствени реакции, освен пресъхване на устата, след 7 дневно приложение на 170 микрограма тиотропиум бромид, веднъж дневно, при здрави доброволци. В мултидозово проучване, при пациенти, страдащи от ХОББ, след приложение на максимална дневна доза 43 микрограма тиотропиум бромид за четири седмици, не са наблюдавани нежелани ефекти.</w:t>
      </w:r>
    </w:p>
    <w:p w14:paraId="69727A1D" w14:textId="77777777" w:rsidR="004B01F7" w:rsidRPr="004B01F7" w:rsidRDefault="004B01F7" w:rsidP="004B01F7">
      <w:pPr>
        <w:spacing w:line="240" w:lineRule="auto"/>
        <w:rPr>
          <w:rFonts w:eastAsia="Times New Roman" w:cs="Arial"/>
          <w:bCs/>
          <w:color w:val="000000"/>
          <w:szCs w:val="20"/>
          <w:lang w:eastAsia="bg-BG"/>
        </w:rPr>
      </w:pPr>
    </w:p>
    <w:p w14:paraId="70C86934" w14:textId="1C14EA70" w:rsidR="004B01F7" w:rsidRPr="004B01F7" w:rsidRDefault="004B01F7" w:rsidP="004B01F7">
      <w:pPr>
        <w:spacing w:line="240" w:lineRule="auto"/>
        <w:rPr>
          <w:rFonts w:eastAsia="Times New Roman" w:cs="Arial"/>
          <w:sz w:val="28"/>
          <w:szCs w:val="24"/>
        </w:rPr>
      </w:pPr>
      <w:r w:rsidRPr="004B01F7">
        <w:rPr>
          <w:rFonts w:eastAsia="Times New Roman" w:cs="Arial"/>
          <w:bCs/>
          <w:color w:val="000000"/>
          <w:szCs w:val="20"/>
          <w:lang w:eastAsia="bg-BG"/>
        </w:rPr>
        <w:t>Поради слабата системна абсорбция на тиотропиум бромид, вероятността от остра интоксикация след перорално поглъщане на капсулите е малко вероятна.</w:t>
      </w:r>
    </w:p>
    <w:p w14:paraId="024D9D59" w14:textId="77777777" w:rsidR="004B01F7" w:rsidRPr="004B01F7" w:rsidRDefault="004B01F7" w:rsidP="004B01F7"/>
    <w:p w14:paraId="02081B24" w14:textId="36FE76F4" w:rsidR="00395555" w:rsidRPr="00395555" w:rsidRDefault="002C50EE" w:rsidP="008A6AF2">
      <w:pPr>
        <w:pStyle w:val="Heading1"/>
      </w:pPr>
      <w:r>
        <w:t>5. ФАРМАКОЛОГИЧНИ СВОЙСТВА</w:t>
      </w:r>
    </w:p>
    <w:p w14:paraId="6339E404" w14:textId="1A7F9779" w:rsidR="00875EEC" w:rsidRDefault="002C50EE" w:rsidP="005726E3">
      <w:pPr>
        <w:pStyle w:val="Heading2"/>
      </w:pPr>
      <w:r>
        <w:t>5.1. Фармакодинамични свойства</w:t>
      </w:r>
    </w:p>
    <w:p w14:paraId="2BE2C710" w14:textId="35FB7CF1" w:rsidR="004B01F7" w:rsidRDefault="004B01F7" w:rsidP="004B01F7"/>
    <w:p w14:paraId="2321E27C" w14:textId="77777777" w:rsidR="004B01F7" w:rsidRPr="004B01F7" w:rsidRDefault="004B01F7" w:rsidP="004B01F7">
      <w:pPr>
        <w:spacing w:line="240" w:lineRule="auto"/>
        <w:rPr>
          <w:rFonts w:eastAsia="Times New Roman" w:cs="Arial"/>
          <w:sz w:val="28"/>
          <w:szCs w:val="24"/>
        </w:rPr>
      </w:pPr>
      <w:r w:rsidRPr="004B01F7">
        <w:rPr>
          <w:rFonts w:eastAsia="Times New Roman" w:cs="Arial"/>
          <w:bCs/>
          <w:color w:val="000000"/>
          <w:szCs w:val="20"/>
          <w:lang w:eastAsia="bg-BG"/>
        </w:rPr>
        <w:t xml:space="preserve">Фармакотерапевтична група: Други лекарства за лечение на обструктивни заболявалия на дихателните пътища, за инхалаторно приложение, антихолинергични средства, АТС код: </w:t>
      </w:r>
      <w:r w:rsidRPr="004B01F7">
        <w:rPr>
          <w:rFonts w:eastAsia="Times New Roman" w:cs="Arial"/>
          <w:bCs/>
          <w:color w:val="000000"/>
          <w:szCs w:val="20"/>
          <w:lang w:val="en-US"/>
        </w:rPr>
        <w:t>R</w:t>
      </w:r>
      <w:r w:rsidRPr="004B01F7">
        <w:rPr>
          <w:rFonts w:eastAsia="Times New Roman" w:cs="Arial"/>
          <w:bCs/>
          <w:color w:val="000000"/>
          <w:szCs w:val="20"/>
          <w:lang w:val="ru-RU"/>
        </w:rPr>
        <w:t>03</w:t>
      </w:r>
      <w:r w:rsidRPr="004B01F7">
        <w:rPr>
          <w:rFonts w:eastAsia="Times New Roman" w:cs="Arial"/>
          <w:bCs/>
          <w:color w:val="000000"/>
          <w:szCs w:val="20"/>
          <w:lang w:val="en-US"/>
        </w:rPr>
        <w:t>B</w:t>
      </w:r>
      <w:r w:rsidRPr="004B01F7">
        <w:rPr>
          <w:rFonts w:eastAsia="Times New Roman" w:cs="Arial"/>
          <w:bCs/>
          <w:color w:val="000000"/>
          <w:szCs w:val="20"/>
          <w:lang w:val="ru-RU"/>
        </w:rPr>
        <w:t xml:space="preserve"> </w:t>
      </w:r>
      <w:r w:rsidRPr="004B01F7">
        <w:rPr>
          <w:rFonts w:eastAsia="Times New Roman" w:cs="Arial"/>
          <w:bCs/>
          <w:color w:val="000000"/>
          <w:szCs w:val="20"/>
          <w:lang w:eastAsia="bg-BG"/>
        </w:rPr>
        <w:t>В04</w:t>
      </w:r>
    </w:p>
    <w:p w14:paraId="6C102FBC" w14:textId="77777777" w:rsidR="004B01F7" w:rsidRPr="004B01F7" w:rsidRDefault="004B01F7" w:rsidP="004B01F7">
      <w:pPr>
        <w:spacing w:line="240" w:lineRule="auto"/>
        <w:rPr>
          <w:rFonts w:eastAsia="Times New Roman" w:cs="Arial"/>
          <w:bCs/>
          <w:color w:val="000000"/>
          <w:szCs w:val="20"/>
          <w:u w:val="single"/>
          <w:lang w:eastAsia="bg-BG"/>
        </w:rPr>
      </w:pPr>
    </w:p>
    <w:p w14:paraId="65FA6B36" w14:textId="5A0AD167" w:rsidR="004B01F7" w:rsidRPr="004B01F7" w:rsidRDefault="004B01F7" w:rsidP="004B01F7">
      <w:pPr>
        <w:spacing w:line="240" w:lineRule="auto"/>
        <w:rPr>
          <w:rFonts w:eastAsia="Times New Roman" w:cs="Arial"/>
          <w:sz w:val="28"/>
          <w:szCs w:val="24"/>
        </w:rPr>
      </w:pPr>
      <w:r w:rsidRPr="004B01F7">
        <w:rPr>
          <w:rFonts w:eastAsia="Times New Roman" w:cs="Arial"/>
          <w:bCs/>
          <w:color w:val="000000"/>
          <w:szCs w:val="20"/>
          <w:u w:val="single"/>
          <w:lang w:eastAsia="bg-BG"/>
        </w:rPr>
        <w:t>Механизъм на действие</w:t>
      </w:r>
    </w:p>
    <w:p w14:paraId="0BF4F203" w14:textId="44043EE6" w:rsidR="004B01F7" w:rsidRPr="004B01F7" w:rsidRDefault="004B01F7" w:rsidP="004B01F7">
      <w:pPr>
        <w:rPr>
          <w:rFonts w:eastAsia="Times New Roman" w:cs="Arial"/>
          <w:bCs/>
          <w:color w:val="000000"/>
          <w:szCs w:val="20"/>
          <w:lang w:eastAsia="bg-BG"/>
        </w:rPr>
      </w:pPr>
      <w:r w:rsidRPr="004B01F7">
        <w:rPr>
          <w:rFonts w:eastAsia="Times New Roman" w:cs="Arial"/>
          <w:bCs/>
          <w:color w:val="000000"/>
          <w:szCs w:val="20"/>
          <w:lang w:eastAsia="bg-BG"/>
        </w:rPr>
        <w:t xml:space="preserve">Тиотропиум бромид представлява продължително-действащ, специфичен антимускаринов агент, наричан в клиничната медицина „антихолинергичен агент”. Посредством свързване с мускариновите рецептори на бронхиалната гладка мускулатура, тиотропиум бромид инхибира холинергичните (бронхоконстриктивните) ефекти на ацетилхолина, освободен от парасимпатиксвите нервни окончания. Притежава сходен афинитет към подтиповете мускаринови рецептори </w:t>
      </w:r>
      <w:r w:rsidRPr="004B01F7">
        <w:rPr>
          <w:rFonts w:eastAsia="Times New Roman" w:cs="Arial"/>
          <w:bCs/>
          <w:color w:val="000000"/>
          <w:szCs w:val="20"/>
          <w:lang w:val="en-US"/>
        </w:rPr>
        <w:t>M</w:t>
      </w:r>
      <w:r w:rsidRPr="004B01F7">
        <w:rPr>
          <w:rFonts w:eastAsia="Times New Roman" w:cs="Arial"/>
          <w:bCs/>
          <w:color w:val="000000"/>
          <w:szCs w:val="20"/>
          <w:vertAlign w:val="subscript"/>
          <w:lang w:val="ru-RU"/>
        </w:rPr>
        <w:t xml:space="preserve">1 </w:t>
      </w:r>
      <w:r w:rsidRPr="004B01F7">
        <w:rPr>
          <w:rFonts w:eastAsia="Times New Roman" w:cs="Arial"/>
          <w:bCs/>
          <w:color w:val="000000"/>
          <w:szCs w:val="20"/>
          <w:lang w:eastAsia="bg-BG"/>
        </w:rPr>
        <w:t>до М</w:t>
      </w:r>
      <w:r w:rsidRPr="004B01F7">
        <w:rPr>
          <w:rFonts w:eastAsia="Times New Roman" w:cs="Arial"/>
          <w:bCs/>
          <w:color w:val="000000"/>
          <w:szCs w:val="20"/>
          <w:vertAlign w:val="subscript"/>
          <w:lang w:eastAsia="bg-BG"/>
        </w:rPr>
        <w:t>5</w:t>
      </w:r>
      <w:r w:rsidRPr="004B01F7">
        <w:rPr>
          <w:rFonts w:eastAsia="Times New Roman" w:cs="Arial"/>
          <w:bCs/>
          <w:color w:val="000000"/>
          <w:szCs w:val="20"/>
          <w:lang w:eastAsia="bg-BG"/>
        </w:rPr>
        <w:t>.</w:t>
      </w:r>
    </w:p>
    <w:p w14:paraId="71EDE447" w14:textId="4E5B791E" w:rsidR="004B01F7" w:rsidRPr="004B01F7" w:rsidRDefault="004B01F7" w:rsidP="004B01F7">
      <w:pPr>
        <w:rPr>
          <w:rFonts w:eastAsia="Times New Roman" w:cs="Arial"/>
          <w:bCs/>
          <w:color w:val="000000"/>
          <w:szCs w:val="20"/>
          <w:lang w:eastAsia="bg-BG"/>
        </w:rPr>
      </w:pPr>
    </w:p>
    <w:p w14:paraId="12CF9524" w14:textId="77777777" w:rsidR="004B01F7" w:rsidRPr="004B01F7" w:rsidRDefault="004B01F7" w:rsidP="004B01F7">
      <w:pPr>
        <w:spacing w:line="240" w:lineRule="auto"/>
        <w:rPr>
          <w:rFonts w:eastAsia="Times New Roman" w:cs="Arial"/>
          <w:sz w:val="28"/>
          <w:szCs w:val="24"/>
        </w:rPr>
      </w:pPr>
      <w:r w:rsidRPr="004B01F7">
        <w:rPr>
          <w:rFonts w:eastAsia="Times New Roman" w:cs="Arial"/>
          <w:bCs/>
          <w:color w:val="000000"/>
          <w:szCs w:val="20"/>
          <w:lang w:eastAsia="bg-BG"/>
        </w:rPr>
        <w:t>В дихателните пътища, тиотропиум бромид конкурентно и обратимо антагонизира М</w:t>
      </w:r>
      <w:r w:rsidRPr="004B01F7">
        <w:rPr>
          <w:rFonts w:eastAsia="Times New Roman" w:cs="Arial"/>
          <w:bCs/>
          <w:color w:val="000000"/>
          <w:szCs w:val="20"/>
          <w:vertAlign w:val="subscript"/>
          <w:lang w:eastAsia="bg-BG"/>
        </w:rPr>
        <w:t>3</w:t>
      </w:r>
      <w:r w:rsidRPr="004B01F7">
        <w:rPr>
          <w:rFonts w:eastAsia="Times New Roman" w:cs="Arial"/>
          <w:bCs/>
          <w:color w:val="000000"/>
          <w:szCs w:val="20"/>
          <w:lang w:eastAsia="bg-BG"/>
        </w:rPr>
        <w:t>- рецепторите, което води до релаксация. Ефектът беше дозозависим и продължителността му е повече от 24 часа. Продължителността на ефекта вероятно се дължи на бавната дисоциация от М</w:t>
      </w:r>
      <w:r w:rsidRPr="004B01F7">
        <w:rPr>
          <w:rFonts w:eastAsia="Times New Roman" w:cs="Arial"/>
          <w:bCs/>
          <w:color w:val="000000"/>
          <w:szCs w:val="20"/>
          <w:vertAlign w:val="subscript"/>
          <w:lang w:eastAsia="bg-BG"/>
        </w:rPr>
        <w:t>3</w:t>
      </w:r>
      <w:r w:rsidRPr="004B01F7">
        <w:rPr>
          <w:rFonts w:eastAsia="Times New Roman" w:cs="Arial"/>
          <w:bCs/>
          <w:color w:val="000000"/>
          <w:szCs w:val="20"/>
          <w:lang w:eastAsia="bg-BG"/>
        </w:rPr>
        <w:t xml:space="preserve">-рецепторите, показвайки значително по-дълъг полуживот на дисоциация от наблюдавания при ипратропиум. Като </w:t>
      </w:r>
      <w:r w:rsidRPr="004B01F7">
        <w:rPr>
          <w:rFonts w:eastAsia="Times New Roman" w:cs="Arial"/>
          <w:bCs/>
          <w:color w:val="000000"/>
          <w:szCs w:val="20"/>
          <w:lang w:val="en-US"/>
        </w:rPr>
        <w:t>N</w:t>
      </w:r>
      <w:r w:rsidRPr="004B01F7">
        <w:rPr>
          <w:rFonts w:eastAsia="Times New Roman" w:cs="Arial"/>
          <w:bCs/>
          <w:color w:val="000000"/>
          <w:szCs w:val="20"/>
          <w:lang w:eastAsia="bg-BG"/>
        </w:rPr>
        <w:t>-четвъртичен антихолинергичен агент, тиотропиум бромид е локално (бронхо-) селективен след инхалационно приложение, като демонстрира приемливи терапевтични граници, преди проявата на системни антихолинергични ефекти.</w:t>
      </w:r>
    </w:p>
    <w:p w14:paraId="7982FB54" w14:textId="77777777" w:rsidR="004B01F7" w:rsidRPr="004B01F7" w:rsidRDefault="004B01F7" w:rsidP="004B01F7">
      <w:pPr>
        <w:spacing w:line="240" w:lineRule="auto"/>
        <w:rPr>
          <w:rFonts w:eastAsia="Times New Roman" w:cs="Arial"/>
          <w:bCs/>
          <w:color w:val="000000"/>
          <w:szCs w:val="20"/>
          <w:u w:val="single"/>
          <w:lang w:eastAsia="bg-BG"/>
        </w:rPr>
      </w:pPr>
    </w:p>
    <w:p w14:paraId="40993103" w14:textId="275EC39C" w:rsidR="004B01F7" w:rsidRPr="004B01F7" w:rsidRDefault="004B01F7" w:rsidP="004B01F7">
      <w:pPr>
        <w:spacing w:line="240" w:lineRule="auto"/>
        <w:rPr>
          <w:rFonts w:eastAsia="Times New Roman" w:cs="Arial"/>
          <w:sz w:val="28"/>
          <w:szCs w:val="24"/>
        </w:rPr>
      </w:pPr>
      <w:r w:rsidRPr="004B01F7">
        <w:rPr>
          <w:rFonts w:eastAsia="Times New Roman" w:cs="Arial"/>
          <w:bCs/>
          <w:color w:val="000000"/>
          <w:szCs w:val="20"/>
          <w:u w:val="single"/>
          <w:lang w:eastAsia="bg-BG"/>
        </w:rPr>
        <w:t>Фармакодинамични ефекти</w:t>
      </w:r>
    </w:p>
    <w:p w14:paraId="4FFA1D00" w14:textId="77777777" w:rsidR="004B01F7" w:rsidRPr="004B01F7" w:rsidRDefault="004B01F7" w:rsidP="004B01F7">
      <w:pPr>
        <w:spacing w:line="240" w:lineRule="auto"/>
        <w:rPr>
          <w:rFonts w:eastAsia="Times New Roman" w:cs="Arial"/>
          <w:sz w:val="28"/>
          <w:szCs w:val="24"/>
        </w:rPr>
      </w:pPr>
      <w:r w:rsidRPr="004B01F7">
        <w:rPr>
          <w:rFonts w:eastAsia="Times New Roman" w:cs="Arial"/>
          <w:bCs/>
          <w:color w:val="000000"/>
          <w:szCs w:val="20"/>
          <w:lang w:eastAsia="bg-BG"/>
        </w:rPr>
        <w:t>Бронходилатацията след инхалационно приложение на тиотропиум бромид е главно с локално- специфичен ефект, а не със системен.</w:t>
      </w:r>
    </w:p>
    <w:p w14:paraId="49376BD5" w14:textId="77777777" w:rsidR="004B01F7" w:rsidRPr="004B01F7" w:rsidRDefault="004B01F7" w:rsidP="004B01F7">
      <w:pPr>
        <w:spacing w:line="240" w:lineRule="auto"/>
        <w:rPr>
          <w:rFonts w:eastAsia="Times New Roman" w:cs="Arial"/>
          <w:sz w:val="28"/>
          <w:szCs w:val="24"/>
        </w:rPr>
      </w:pPr>
      <w:r w:rsidRPr="004B01F7">
        <w:rPr>
          <w:rFonts w:eastAsia="Times New Roman" w:cs="Arial"/>
          <w:bCs/>
          <w:color w:val="000000"/>
          <w:szCs w:val="20"/>
          <w:lang w:eastAsia="bg-BG"/>
        </w:rPr>
        <w:t>Дисоциацията от М</w:t>
      </w:r>
      <w:r w:rsidRPr="004B01F7">
        <w:rPr>
          <w:rFonts w:eastAsia="Times New Roman" w:cs="Arial"/>
          <w:bCs/>
          <w:color w:val="000000"/>
          <w:szCs w:val="20"/>
          <w:vertAlign w:val="subscript"/>
          <w:lang w:eastAsia="bg-BG"/>
        </w:rPr>
        <w:t>2</w:t>
      </w:r>
      <w:r w:rsidRPr="004B01F7">
        <w:rPr>
          <w:rFonts w:eastAsia="Times New Roman" w:cs="Arial"/>
          <w:bCs/>
          <w:color w:val="000000"/>
          <w:szCs w:val="20"/>
          <w:lang w:eastAsia="bg-BG"/>
        </w:rPr>
        <w:t>-рецепторите е по-бърз,а отколкото от М</w:t>
      </w:r>
      <w:r w:rsidRPr="004B01F7">
        <w:rPr>
          <w:rFonts w:eastAsia="Times New Roman" w:cs="Arial"/>
          <w:bCs/>
          <w:color w:val="000000"/>
          <w:szCs w:val="20"/>
          <w:vertAlign w:val="subscript"/>
          <w:lang w:eastAsia="bg-BG"/>
        </w:rPr>
        <w:t>3</w:t>
      </w:r>
      <w:r w:rsidRPr="004B01F7">
        <w:rPr>
          <w:rFonts w:eastAsia="Times New Roman" w:cs="Arial"/>
          <w:bCs/>
          <w:color w:val="000000"/>
          <w:szCs w:val="20"/>
          <w:lang w:eastAsia="bg-BG"/>
        </w:rPr>
        <w:t xml:space="preserve">, което при функционални </w:t>
      </w:r>
      <w:r w:rsidRPr="004B01F7">
        <w:rPr>
          <w:rFonts w:eastAsia="Times New Roman" w:cs="Arial"/>
          <w:bCs/>
          <w:i/>
          <w:iCs/>
          <w:color w:val="000000"/>
          <w:szCs w:val="20"/>
          <w:lang w:val="en-US"/>
        </w:rPr>
        <w:t>in</w:t>
      </w:r>
      <w:r w:rsidRPr="004B01F7">
        <w:rPr>
          <w:rFonts w:eastAsia="Times New Roman" w:cs="Arial"/>
          <w:bCs/>
          <w:i/>
          <w:iCs/>
          <w:color w:val="000000"/>
          <w:szCs w:val="20"/>
          <w:lang w:val="ru-RU"/>
        </w:rPr>
        <w:t xml:space="preserve"> </w:t>
      </w:r>
      <w:r w:rsidRPr="004B01F7">
        <w:rPr>
          <w:rFonts w:eastAsia="Times New Roman" w:cs="Arial"/>
          <w:bCs/>
          <w:i/>
          <w:iCs/>
          <w:color w:val="000000"/>
          <w:szCs w:val="20"/>
          <w:lang w:val="en-US"/>
        </w:rPr>
        <w:t>vitro</w:t>
      </w:r>
      <w:r w:rsidRPr="004B01F7">
        <w:rPr>
          <w:rFonts w:eastAsia="Times New Roman" w:cs="Arial"/>
          <w:bCs/>
          <w:i/>
          <w:iCs/>
          <w:color w:val="000000"/>
          <w:szCs w:val="20"/>
          <w:lang w:val="ru-RU"/>
        </w:rPr>
        <w:t xml:space="preserve"> </w:t>
      </w:r>
      <w:r w:rsidRPr="004B01F7">
        <w:rPr>
          <w:rFonts w:eastAsia="Times New Roman" w:cs="Arial"/>
          <w:bCs/>
          <w:color w:val="000000"/>
          <w:szCs w:val="20"/>
          <w:lang w:eastAsia="bg-BG"/>
        </w:rPr>
        <w:t>проучвания, разкри (кинетично контролирана) рецепторна субтипна селективност на М</w:t>
      </w:r>
      <w:r w:rsidRPr="004B01F7">
        <w:rPr>
          <w:rFonts w:eastAsia="Times New Roman" w:cs="Arial"/>
          <w:bCs/>
          <w:color w:val="000000"/>
          <w:szCs w:val="20"/>
          <w:vertAlign w:val="subscript"/>
          <w:lang w:eastAsia="bg-BG"/>
        </w:rPr>
        <w:t>3</w:t>
      </w:r>
      <w:r w:rsidRPr="004B01F7">
        <w:rPr>
          <w:rFonts w:eastAsia="Times New Roman" w:cs="Arial"/>
          <w:bCs/>
          <w:color w:val="000000"/>
          <w:szCs w:val="20"/>
          <w:lang w:eastAsia="bg-BG"/>
        </w:rPr>
        <w:t xml:space="preserve"> спрямо М</w:t>
      </w:r>
      <w:r w:rsidRPr="004B01F7">
        <w:rPr>
          <w:rFonts w:eastAsia="Times New Roman" w:cs="Arial"/>
          <w:bCs/>
          <w:color w:val="000000"/>
          <w:szCs w:val="20"/>
          <w:vertAlign w:val="subscript"/>
          <w:lang w:eastAsia="bg-BG"/>
        </w:rPr>
        <w:t>2</w:t>
      </w:r>
      <w:r w:rsidRPr="004B01F7">
        <w:rPr>
          <w:rFonts w:eastAsia="Times New Roman" w:cs="Arial"/>
          <w:bCs/>
          <w:color w:val="000000"/>
          <w:szCs w:val="20"/>
          <w:lang w:eastAsia="bg-BG"/>
        </w:rPr>
        <w:t>. Високата ефективност и бавната дисоциация са в основата на клиничното съотношение между значителна и дълготрайна бронходилатация при пациенти с ХОББ .</w:t>
      </w:r>
    </w:p>
    <w:p w14:paraId="1FFD943F" w14:textId="77777777" w:rsidR="004B01F7" w:rsidRPr="004B01F7" w:rsidRDefault="004B01F7" w:rsidP="004B01F7">
      <w:pPr>
        <w:spacing w:line="240" w:lineRule="auto"/>
        <w:rPr>
          <w:rFonts w:eastAsia="Times New Roman" w:cs="Arial"/>
          <w:bCs/>
          <w:i/>
          <w:iCs/>
          <w:color w:val="000000"/>
          <w:szCs w:val="20"/>
          <w:lang w:eastAsia="bg-BG"/>
        </w:rPr>
      </w:pPr>
    </w:p>
    <w:p w14:paraId="6E309441" w14:textId="30F0C68B" w:rsidR="004B01F7" w:rsidRPr="004B01F7" w:rsidRDefault="004B01F7" w:rsidP="004B01F7">
      <w:pPr>
        <w:spacing w:line="240" w:lineRule="auto"/>
        <w:rPr>
          <w:rFonts w:eastAsia="Times New Roman" w:cs="Arial"/>
          <w:sz w:val="28"/>
          <w:szCs w:val="24"/>
        </w:rPr>
      </w:pPr>
      <w:r w:rsidRPr="004B01F7">
        <w:rPr>
          <w:rFonts w:eastAsia="Times New Roman" w:cs="Arial"/>
          <w:bCs/>
          <w:i/>
          <w:iCs/>
          <w:color w:val="000000"/>
          <w:szCs w:val="20"/>
          <w:lang w:eastAsia="bg-BG"/>
        </w:rPr>
        <w:t>Електрофизиология на сърцето</w:t>
      </w:r>
    </w:p>
    <w:p w14:paraId="58B48590" w14:textId="77777777" w:rsidR="004B01F7" w:rsidRPr="004B01F7" w:rsidRDefault="004B01F7" w:rsidP="004B01F7">
      <w:pPr>
        <w:spacing w:line="240" w:lineRule="auto"/>
        <w:rPr>
          <w:rFonts w:eastAsia="Times New Roman" w:cs="Arial"/>
          <w:sz w:val="28"/>
          <w:szCs w:val="24"/>
        </w:rPr>
      </w:pPr>
      <w:r w:rsidRPr="004B01F7">
        <w:rPr>
          <w:rFonts w:eastAsia="Times New Roman" w:cs="Arial"/>
          <w:bCs/>
          <w:color w:val="000000"/>
          <w:szCs w:val="20"/>
          <w:lang w:eastAsia="bg-BG"/>
        </w:rPr>
        <w:t xml:space="preserve">Електрофизиология: В едно </w:t>
      </w:r>
      <w:r w:rsidRPr="004B01F7">
        <w:rPr>
          <w:rFonts w:eastAsia="Times New Roman" w:cs="Arial"/>
          <w:bCs/>
          <w:color w:val="000000"/>
          <w:szCs w:val="20"/>
          <w:lang w:val="en-US"/>
        </w:rPr>
        <w:t>QT</w:t>
      </w:r>
      <w:r w:rsidRPr="004B01F7">
        <w:rPr>
          <w:rFonts w:eastAsia="Times New Roman" w:cs="Arial"/>
          <w:bCs/>
          <w:color w:val="000000"/>
          <w:szCs w:val="20"/>
          <w:lang w:val="ru-RU"/>
        </w:rPr>
        <w:t xml:space="preserve"> </w:t>
      </w:r>
      <w:r w:rsidRPr="004B01F7">
        <w:rPr>
          <w:rFonts w:eastAsia="Times New Roman" w:cs="Arial"/>
          <w:bCs/>
          <w:color w:val="000000"/>
          <w:szCs w:val="20"/>
          <w:lang w:eastAsia="bg-BG"/>
        </w:rPr>
        <w:t xml:space="preserve">проучване, включващо 53 здрави доброволци, приемът на СПИРИВА 18 микрограма и 54 микрограма (т.е. три пъти терапевтичната доза) в продължение на 12 дни не удължава значимо </w:t>
      </w:r>
      <w:r w:rsidRPr="004B01F7">
        <w:rPr>
          <w:rFonts w:eastAsia="Times New Roman" w:cs="Arial"/>
          <w:bCs/>
          <w:color w:val="000000"/>
          <w:szCs w:val="20"/>
          <w:lang w:val="en-US"/>
        </w:rPr>
        <w:t>QT</w:t>
      </w:r>
      <w:r w:rsidRPr="004B01F7">
        <w:rPr>
          <w:rFonts w:eastAsia="Times New Roman" w:cs="Arial"/>
          <w:bCs/>
          <w:color w:val="000000"/>
          <w:szCs w:val="20"/>
          <w:lang w:val="ru-RU"/>
        </w:rPr>
        <w:t xml:space="preserve"> </w:t>
      </w:r>
      <w:r w:rsidRPr="004B01F7">
        <w:rPr>
          <w:rFonts w:eastAsia="Times New Roman" w:cs="Arial"/>
          <w:bCs/>
          <w:color w:val="000000"/>
          <w:szCs w:val="20"/>
          <w:lang w:eastAsia="bg-BG"/>
        </w:rPr>
        <w:t>интервалите на електрокардиограмата.</w:t>
      </w:r>
    </w:p>
    <w:p w14:paraId="7CD51E34" w14:textId="77777777" w:rsidR="004B01F7" w:rsidRPr="004B01F7" w:rsidRDefault="004B01F7" w:rsidP="004B01F7">
      <w:pPr>
        <w:spacing w:line="240" w:lineRule="auto"/>
        <w:rPr>
          <w:rFonts w:eastAsia="Times New Roman" w:cs="Arial"/>
          <w:bCs/>
          <w:color w:val="000000"/>
          <w:szCs w:val="20"/>
          <w:u w:val="single"/>
          <w:lang w:eastAsia="bg-BG"/>
        </w:rPr>
      </w:pPr>
    </w:p>
    <w:p w14:paraId="2074BA35" w14:textId="5E2CEEE1" w:rsidR="004B01F7" w:rsidRPr="004B01F7" w:rsidRDefault="004B01F7" w:rsidP="004B01F7">
      <w:pPr>
        <w:spacing w:line="240" w:lineRule="auto"/>
        <w:rPr>
          <w:rFonts w:eastAsia="Times New Roman" w:cs="Arial"/>
          <w:sz w:val="28"/>
          <w:szCs w:val="24"/>
        </w:rPr>
      </w:pPr>
      <w:r w:rsidRPr="004B01F7">
        <w:rPr>
          <w:rFonts w:eastAsia="Times New Roman" w:cs="Arial"/>
          <w:bCs/>
          <w:color w:val="000000"/>
          <w:szCs w:val="20"/>
          <w:u w:val="single"/>
          <w:lang w:eastAsia="bg-BG"/>
        </w:rPr>
        <w:t>Клинична ефикасност и безопасност</w:t>
      </w:r>
    </w:p>
    <w:p w14:paraId="39185560" w14:textId="77777777" w:rsidR="004B01F7" w:rsidRPr="004B01F7" w:rsidRDefault="004B01F7" w:rsidP="004B01F7">
      <w:pPr>
        <w:spacing w:line="240" w:lineRule="auto"/>
        <w:rPr>
          <w:rFonts w:eastAsia="Times New Roman" w:cs="Arial"/>
          <w:sz w:val="28"/>
          <w:szCs w:val="24"/>
        </w:rPr>
      </w:pPr>
      <w:r w:rsidRPr="004B01F7">
        <w:rPr>
          <w:rFonts w:eastAsia="Times New Roman" w:cs="Arial"/>
          <w:bCs/>
          <w:color w:val="000000"/>
          <w:szCs w:val="20"/>
          <w:lang w:eastAsia="bg-BG"/>
        </w:rPr>
        <w:t>Програмата за клинично разработване включваше четири едногодишни и две шестмесечни рандомизирани, двойно-слепи проучвания с 2663 пациента (1308 от тях, третирани със тиотропиум бромид). Едногодишната програма се състои от две плацебо-контролирани и две ипратропиум- контролирани проучвания. Всяко от двете шестмесечни проучвания са салметерол- и плацебо- контролирани. Проучванията включват белодробна функция и оценка на състоянието на диспнея, епизоди на обостряне и качеството на живот.</w:t>
      </w:r>
    </w:p>
    <w:p w14:paraId="422CAF0F" w14:textId="77777777" w:rsidR="004B01F7" w:rsidRPr="004B01F7" w:rsidRDefault="004B01F7" w:rsidP="004B01F7">
      <w:pPr>
        <w:spacing w:line="240" w:lineRule="auto"/>
        <w:rPr>
          <w:rFonts w:eastAsia="Times New Roman" w:cs="Arial"/>
          <w:bCs/>
          <w:i/>
          <w:iCs/>
          <w:color w:val="000000"/>
          <w:szCs w:val="20"/>
          <w:lang w:eastAsia="bg-BG"/>
        </w:rPr>
      </w:pPr>
    </w:p>
    <w:p w14:paraId="759020B5" w14:textId="16F4A362" w:rsidR="004B01F7" w:rsidRPr="004B01F7" w:rsidRDefault="004B01F7" w:rsidP="004B01F7">
      <w:pPr>
        <w:spacing w:line="240" w:lineRule="auto"/>
        <w:rPr>
          <w:rFonts w:eastAsia="Times New Roman" w:cs="Arial"/>
          <w:sz w:val="28"/>
          <w:szCs w:val="24"/>
        </w:rPr>
      </w:pPr>
      <w:r w:rsidRPr="004B01F7">
        <w:rPr>
          <w:rFonts w:eastAsia="Times New Roman" w:cs="Arial"/>
          <w:bCs/>
          <w:i/>
          <w:iCs/>
          <w:color w:val="000000"/>
          <w:szCs w:val="20"/>
          <w:lang w:eastAsia="bg-BG"/>
        </w:rPr>
        <w:t>Белодробна функция</w:t>
      </w:r>
    </w:p>
    <w:p w14:paraId="3543C1FB" w14:textId="77777777" w:rsidR="004B01F7" w:rsidRPr="004B01F7" w:rsidRDefault="004B01F7" w:rsidP="004B01F7">
      <w:pPr>
        <w:spacing w:line="240" w:lineRule="auto"/>
        <w:rPr>
          <w:rFonts w:eastAsia="Times New Roman" w:cs="Arial"/>
          <w:sz w:val="28"/>
          <w:szCs w:val="24"/>
        </w:rPr>
      </w:pPr>
      <w:r w:rsidRPr="004B01F7">
        <w:rPr>
          <w:rFonts w:eastAsia="Times New Roman" w:cs="Arial"/>
          <w:bCs/>
          <w:color w:val="000000"/>
          <w:szCs w:val="20"/>
          <w:lang w:eastAsia="bg-BG"/>
        </w:rPr>
        <w:t>Приложението на тиотропиум бромид веднъж дневно, води до значително подобрение на белодробната функция (форсиран експираторен обем за 1 секунда, ФЕО</w:t>
      </w:r>
      <w:r w:rsidRPr="004B01F7">
        <w:rPr>
          <w:rFonts w:eastAsia="Times New Roman" w:cs="Arial"/>
          <w:bCs/>
          <w:color w:val="000000"/>
          <w:szCs w:val="20"/>
          <w:vertAlign w:val="subscript"/>
          <w:lang w:eastAsia="bg-BG"/>
        </w:rPr>
        <w:t>1</w:t>
      </w:r>
      <w:r w:rsidRPr="004B01F7">
        <w:rPr>
          <w:rFonts w:eastAsia="Times New Roman" w:cs="Arial"/>
          <w:bCs/>
          <w:color w:val="000000"/>
          <w:szCs w:val="20"/>
          <w:lang w:eastAsia="bg-BG"/>
        </w:rPr>
        <w:t xml:space="preserve">/ </w:t>
      </w:r>
      <w:r w:rsidRPr="004B01F7">
        <w:rPr>
          <w:rFonts w:eastAsia="Times New Roman" w:cs="Arial"/>
          <w:bCs/>
          <w:color w:val="000000"/>
          <w:szCs w:val="20"/>
          <w:lang w:val="en-US"/>
        </w:rPr>
        <w:t>FEV</w:t>
      </w:r>
      <w:r w:rsidRPr="004B01F7">
        <w:rPr>
          <w:rFonts w:eastAsia="Times New Roman" w:cs="Arial"/>
          <w:bCs/>
          <w:color w:val="000000"/>
          <w:szCs w:val="20"/>
          <w:vertAlign w:val="subscript"/>
          <w:lang w:val="ru-RU"/>
        </w:rPr>
        <w:t>1</w:t>
      </w:r>
      <w:r w:rsidRPr="004B01F7">
        <w:rPr>
          <w:rFonts w:eastAsia="Times New Roman" w:cs="Arial"/>
          <w:bCs/>
          <w:color w:val="000000"/>
          <w:szCs w:val="20"/>
          <w:lang w:val="ru-RU"/>
        </w:rPr>
        <w:t xml:space="preserve"> </w:t>
      </w:r>
      <w:r w:rsidRPr="004B01F7">
        <w:rPr>
          <w:rFonts w:eastAsia="Times New Roman" w:cs="Arial"/>
          <w:bCs/>
          <w:color w:val="000000"/>
          <w:szCs w:val="20"/>
          <w:lang w:eastAsia="bg-BG"/>
        </w:rPr>
        <w:t xml:space="preserve">и форсиран витален капацитет, ФВК </w:t>
      </w:r>
      <w:r w:rsidRPr="004B01F7">
        <w:rPr>
          <w:rFonts w:eastAsia="Times New Roman" w:cs="Arial"/>
          <w:bCs/>
          <w:color w:val="000000"/>
          <w:szCs w:val="20"/>
          <w:lang w:val="en-US"/>
        </w:rPr>
        <w:t>ZFVC</w:t>
      </w:r>
      <w:r w:rsidRPr="004B01F7">
        <w:rPr>
          <w:rFonts w:eastAsia="Times New Roman" w:cs="Arial"/>
          <w:bCs/>
          <w:color w:val="000000"/>
          <w:szCs w:val="20"/>
          <w:lang w:val="ru-RU"/>
        </w:rPr>
        <w:t xml:space="preserve">) </w:t>
      </w:r>
      <w:r w:rsidRPr="004B01F7">
        <w:rPr>
          <w:rFonts w:eastAsia="Times New Roman" w:cs="Arial"/>
          <w:bCs/>
          <w:color w:val="000000"/>
          <w:szCs w:val="20"/>
          <w:lang w:eastAsia="bg-BG"/>
        </w:rPr>
        <w:t xml:space="preserve">30 минути след приложението на първата доза и действието продължава 24 часа. Фармакодинамично равновесно състояние е постигнато за една седмица, като бронходилатация в повечето случаи, е наблюдавана до третия ден. Тиотропиум бромид значително подобрява ВЕД </w:t>
      </w:r>
      <w:r w:rsidRPr="004B01F7">
        <w:rPr>
          <w:rFonts w:eastAsia="Times New Roman" w:cs="Arial"/>
          <w:bCs/>
          <w:color w:val="000000"/>
          <w:szCs w:val="20"/>
          <w:lang w:val="ru-RU"/>
        </w:rPr>
        <w:t>/</w:t>
      </w:r>
      <w:r w:rsidRPr="004B01F7">
        <w:rPr>
          <w:rFonts w:eastAsia="Times New Roman" w:cs="Arial"/>
          <w:bCs/>
          <w:color w:val="000000"/>
          <w:szCs w:val="20"/>
          <w:lang w:val="en-US"/>
        </w:rPr>
        <w:t>PEFR</w:t>
      </w:r>
      <w:r w:rsidRPr="004B01F7">
        <w:rPr>
          <w:rFonts w:eastAsia="Times New Roman" w:cs="Arial"/>
          <w:bCs/>
          <w:color w:val="000000"/>
          <w:szCs w:val="20"/>
          <w:lang w:val="ru-RU"/>
        </w:rPr>
        <w:t xml:space="preserve">/ </w:t>
      </w:r>
      <w:r w:rsidRPr="004B01F7">
        <w:rPr>
          <w:rFonts w:eastAsia="Times New Roman" w:cs="Arial"/>
          <w:bCs/>
          <w:color w:val="000000"/>
          <w:szCs w:val="20"/>
          <w:lang w:eastAsia="bg-BG"/>
        </w:rPr>
        <w:t xml:space="preserve">(върхов експираторен дебит </w:t>
      </w:r>
      <w:r w:rsidRPr="004B01F7">
        <w:rPr>
          <w:rFonts w:eastAsia="Times New Roman" w:cs="Arial"/>
          <w:bCs/>
          <w:color w:val="000000"/>
          <w:szCs w:val="20"/>
          <w:lang w:val="ru-RU"/>
        </w:rPr>
        <w:t>/</w:t>
      </w:r>
      <w:r w:rsidRPr="004B01F7">
        <w:rPr>
          <w:rFonts w:eastAsia="Times New Roman" w:cs="Arial"/>
          <w:bCs/>
          <w:color w:val="000000"/>
          <w:szCs w:val="20"/>
          <w:lang w:val="en-US"/>
        </w:rPr>
        <w:t>peak</w:t>
      </w:r>
      <w:r w:rsidRPr="004B01F7">
        <w:rPr>
          <w:rFonts w:eastAsia="Times New Roman" w:cs="Arial"/>
          <w:bCs/>
          <w:color w:val="000000"/>
          <w:szCs w:val="20"/>
          <w:lang w:val="ru-RU"/>
        </w:rPr>
        <w:t xml:space="preserve"> </w:t>
      </w:r>
      <w:r w:rsidRPr="004B01F7">
        <w:rPr>
          <w:rFonts w:eastAsia="Times New Roman" w:cs="Arial"/>
          <w:bCs/>
          <w:color w:val="000000"/>
          <w:szCs w:val="20"/>
          <w:lang w:val="en-US"/>
        </w:rPr>
        <w:t>expiratory</w:t>
      </w:r>
      <w:r w:rsidRPr="004B01F7">
        <w:rPr>
          <w:rFonts w:eastAsia="Times New Roman" w:cs="Arial"/>
          <w:bCs/>
          <w:color w:val="000000"/>
          <w:szCs w:val="20"/>
          <w:lang w:val="ru-RU"/>
        </w:rPr>
        <w:t xml:space="preserve"> </w:t>
      </w:r>
      <w:r w:rsidRPr="004B01F7">
        <w:rPr>
          <w:rFonts w:eastAsia="Times New Roman" w:cs="Arial"/>
          <w:bCs/>
          <w:color w:val="000000"/>
          <w:szCs w:val="20"/>
          <w:lang w:val="en-US"/>
        </w:rPr>
        <w:t>flow</w:t>
      </w:r>
      <w:r w:rsidRPr="004B01F7">
        <w:rPr>
          <w:rFonts w:eastAsia="Times New Roman" w:cs="Arial"/>
          <w:bCs/>
          <w:color w:val="000000"/>
          <w:szCs w:val="20"/>
          <w:lang w:val="ru-RU"/>
        </w:rPr>
        <w:t xml:space="preserve"> </w:t>
      </w:r>
      <w:r w:rsidRPr="004B01F7">
        <w:rPr>
          <w:rFonts w:eastAsia="Times New Roman" w:cs="Arial"/>
          <w:bCs/>
          <w:color w:val="000000"/>
          <w:szCs w:val="20"/>
          <w:lang w:val="en-US"/>
        </w:rPr>
        <w:t>rate</w:t>
      </w:r>
      <w:r w:rsidRPr="004B01F7">
        <w:rPr>
          <w:rFonts w:eastAsia="Times New Roman" w:cs="Arial"/>
          <w:bCs/>
          <w:color w:val="000000"/>
          <w:szCs w:val="20"/>
          <w:lang w:val="ru-RU"/>
        </w:rPr>
        <w:t xml:space="preserve">/) </w:t>
      </w:r>
      <w:r w:rsidRPr="004B01F7">
        <w:rPr>
          <w:rFonts w:eastAsia="Times New Roman" w:cs="Arial"/>
          <w:bCs/>
          <w:color w:val="000000"/>
          <w:szCs w:val="20"/>
          <w:lang w:eastAsia="bg-BG"/>
        </w:rPr>
        <w:t>на сутринта и вечерта, измерен според дневните показатели на пациента.</w:t>
      </w:r>
    </w:p>
    <w:p w14:paraId="03758856" w14:textId="77777777" w:rsidR="004B01F7" w:rsidRPr="004B01F7" w:rsidRDefault="004B01F7" w:rsidP="004B01F7">
      <w:pPr>
        <w:spacing w:line="240" w:lineRule="auto"/>
        <w:rPr>
          <w:rFonts w:eastAsia="Times New Roman" w:cs="Arial"/>
          <w:sz w:val="28"/>
          <w:szCs w:val="24"/>
        </w:rPr>
      </w:pPr>
      <w:r w:rsidRPr="004B01F7">
        <w:rPr>
          <w:rFonts w:eastAsia="Times New Roman" w:cs="Arial"/>
          <w:bCs/>
          <w:color w:val="000000"/>
          <w:szCs w:val="20"/>
          <w:lang w:eastAsia="bg-BG"/>
        </w:rPr>
        <w:lastRenderedPageBreak/>
        <w:t>Бронходилатиращият ефект на тиотропиум бромид е поддържан през целия едногодишен период на приложение, без признаци на толерантност.</w:t>
      </w:r>
    </w:p>
    <w:p w14:paraId="2E8A1BF7" w14:textId="77777777" w:rsidR="004B01F7" w:rsidRPr="004B01F7" w:rsidRDefault="004B01F7" w:rsidP="004B01F7">
      <w:pPr>
        <w:spacing w:line="240" w:lineRule="auto"/>
        <w:rPr>
          <w:rFonts w:eastAsia="Times New Roman" w:cs="Arial"/>
          <w:bCs/>
          <w:color w:val="000000"/>
          <w:szCs w:val="20"/>
          <w:lang w:eastAsia="bg-BG"/>
        </w:rPr>
      </w:pPr>
    </w:p>
    <w:p w14:paraId="4EFC1007" w14:textId="47449EBA" w:rsidR="004B01F7" w:rsidRPr="004B01F7" w:rsidRDefault="004B01F7" w:rsidP="004B01F7">
      <w:pPr>
        <w:spacing w:line="240" w:lineRule="auto"/>
        <w:rPr>
          <w:rFonts w:eastAsia="Times New Roman" w:cs="Arial"/>
          <w:sz w:val="28"/>
          <w:szCs w:val="24"/>
        </w:rPr>
      </w:pPr>
      <w:r w:rsidRPr="004B01F7">
        <w:rPr>
          <w:rFonts w:eastAsia="Times New Roman" w:cs="Arial"/>
          <w:bCs/>
          <w:color w:val="000000"/>
          <w:szCs w:val="20"/>
          <w:lang w:eastAsia="bg-BG"/>
        </w:rPr>
        <w:t>Рандомизирано, плацебо-контролирано клинично проучване, включващо 105 пациенти с ХОББ, показа, че бронходилатацията се поддържа през 24-часовия интервал на дозиране, сравнено с плацебо, независимо дали тиотропиум бромид е приложен сутринта или вечерта.</w:t>
      </w:r>
    </w:p>
    <w:p w14:paraId="0527B459" w14:textId="77777777" w:rsidR="004B01F7" w:rsidRPr="004B01F7" w:rsidRDefault="004B01F7" w:rsidP="004B01F7">
      <w:pPr>
        <w:spacing w:line="240" w:lineRule="auto"/>
        <w:rPr>
          <w:rFonts w:eastAsia="Times New Roman" w:cs="Arial"/>
          <w:bCs/>
          <w:color w:val="000000"/>
          <w:szCs w:val="20"/>
          <w:u w:val="single"/>
          <w:lang w:eastAsia="bg-BG"/>
        </w:rPr>
      </w:pPr>
    </w:p>
    <w:p w14:paraId="36FFACA4" w14:textId="035F96C5" w:rsidR="004B01F7" w:rsidRPr="004B01F7" w:rsidRDefault="004B01F7" w:rsidP="004B01F7">
      <w:pPr>
        <w:spacing w:line="240" w:lineRule="auto"/>
        <w:rPr>
          <w:rFonts w:eastAsia="Times New Roman" w:cs="Arial"/>
          <w:sz w:val="28"/>
          <w:szCs w:val="24"/>
        </w:rPr>
      </w:pPr>
      <w:r w:rsidRPr="004B01F7">
        <w:rPr>
          <w:rFonts w:eastAsia="Times New Roman" w:cs="Arial"/>
          <w:bCs/>
          <w:color w:val="000000"/>
          <w:szCs w:val="20"/>
          <w:u w:val="single"/>
          <w:lang w:eastAsia="bg-BG"/>
        </w:rPr>
        <w:t>Клинични изпитвания (до 12 месена)</w:t>
      </w:r>
    </w:p>
    <w:p w14:paraId="7F38D2C1" w14:textId="77777777" w:rsidR="004B01F7" w:rsidRPr="004B01F7" w:rsidRDefault="004B01F7" w:rsidP="004B01F7">
      <w:pPr>
        <w:spacing w:line="240" w:lineRule="auto"/>
        <w:rPr>
          <w:rFonts w:eastAsia="Times New Roman" w:cs="Arial"/>
          <w:bCs/>
          <w:i/>
          <w:iCs/>
          <w:color w:val="000000"/>
          <w:szCs w:val="20"/>
          <w:lang w:eastAsia="bg-BG"/>
        </w:rPr>
      </w:pPr>
    </w:p>
    <w:p w14:paraId="098EF017" w14:textId="53A5158E" w:rsidR="004B01F7" w:rsidRPr="004B01F7" w:rsidRDefault="004B01F7" w:rsidP="004B01F7">
      <w:pPr>
        <w:spacing w:line="240" w:lineRule="auto"/>
        <w:rPr>
          <w:rFonts w:eastAsia="Times New Roman" w:cs="Arial"/>
          <w:sz w:val="28"/>
          <w:szCs w:val="24"/>
        </w:rPr>
      </w:pPr>
      <w:r w:rsidRPr="004B01F7">
        <w:rPr>
          <w:rFonts w:eastAsia="Times New Roman" w:cs="Arial"/>
          <w:bCs/>
          <w:i/>
          <w:iCs/>
          <w:color w:val="000000"/>
          <w:szCs w:val="20"/>
          <w:lang w:eastAsia="bg-BG"/>
        </w:rPr>
        <w:t>Диспнея, праг на натоварване</w:t>
      </w:r>
    </w:p>
    <w:p w14:paraId="4B9D5408" w14:textId="77777777" w:rsidR="004B01F7" w:rsidRPr="004B01F7" w:rsidRDefault="004B01F7" w:rsidP="004B01F7">
      <w:pPr>
        <w:spacing w:line="240" w:lineRule="auto"/>
        <w:rPr>
          <w:rFonts w:eastAsia="Times New Roman" w:cs="Arial"/>
          <w:sz w:val="28"/>
          <w:szCs w:val="24"/>
        </w:rPr>
      </w:pPr>
      <w:r w:rsidRPr="004B01F7">
        <w:rPr>
          <w:rFonts w:eastAsia="Times New Roman" w:cs="Arial"/>
          <w:bCs/>
          <w:color w:val="000000"/>
          <w:szCs w:val="20"/>
          <w:lang w:eastAsia="bg-BG"/>
        </w:rPr>
        <w:t xml:space="preserve">Тиотропиум бромид значително подобри състоянието на диспнея (оценено по </w:t>
      </w:r>
      <w:r w:rsidRPr="004B01F7">
        <w:rPr>
          <w:rFonts w:eastAsia="Times New Roman" w:cs="Arial"/>
          <w:bCs/>
          <w:color w:val="000000"/>
          <w:szCs w:val="20"/>
          <w:lang w:val="en-US"/>
        </w:rPr>
        <w:t>Transitional</w:t>
      </w:r>
      <w:r w:rsidRPr="004B01F7">
        <w:rPr>
          <w:rFonts w:eastAsia="Times New Roman" w:cs="Arial"/>
          <w:bCs/>
          <w:color w:val="000000"/>
          <w:szCs w:val="20"/>
          <w:lang w:val="ru-RU"/>
        </w:rPr>
        <w:t xml:space="preserve"> </w:t>
      </w:r>
      <w:proofErr w:type="spellStart"/>
      <w:r w:rsidRPr="004B01F7">
        <w:rPr>
          <w:rFonts w:eastAsia="Times New Roman" w:cs="Arial"/>
          <w:bCs/>
          <w:color w:val="000000"/>
          <w:szCs w:val="20"/>
          <w:lang w:val="en-US"/>
        </w:rPr>
        <w:t>Dyspnoea</w:t>
      </w:r>
      <w:proofErr w:type="spellEnd"/>
      <w:r w:rsidRPr="004B01F7">
        <w:rPr>
          <w:rFonts w:eastAsia="Times New Roman" w:cs="Arial"/>
          <w:bCs/>
          <w:color w:val="000000"/>
          <w:szCs w:val="20"/>
          <w:lang w:val="ru-RU"/>
        </w:rPr>
        <w:t xml:space="preserve"> </w:t>
      </w:r>
      <w:r w:rsidRPr="004B01F7">
        <w:rPr>
          <w:rFonts w:eastAsia="Times New Roman" w:cs="Arial"/>
          <w:bCs/>
          <w:color w:val="000000"/>
          <w:szCs w:val="20"/>
          <w:lang w:val="en-US"/>
        </w:rPr>
        <w:t>Index</w:t>
      </w:r>
      <w:r w:rsidRPr="004B01F7">
        <w:rPr>
          <w:rFonts w:eastAsia="Times New Roman" w:cs="Arial"/>
          <w:bCs/>
          <w:color w:val="000000"/>
          <w:szCs w:val="20"/>
          <w:lang w:val="ru-RU"/>
        </w:rPr>
        <w:t xml:space="preserve">). </w:t>
      </w:r>
      <w:r w:rsidRPr="004B01F7">
        <w:rPr>
          <w:rFonts w:eastAsia="Times New Roman" w:cs="Arial"/>
          <w:bCs/>
          <w:color w:val="000000"/>
          <w:szCs w:val="20"/>
          <w:lang w:eastAsia="bg-BG"/>
        </w:rPr>
        <w:t>Подобрението се поддържа през целия период на лечение.</w:t>
      </w:r>
    </w:p>
    <w:p w14:paraId="3938D99F" w14:textId="77777777" w:rsidR="004B01F7" w:rsidRPr="004B01F7" w:rsidRDefault="004B01F7" w:rsidP="004B01F7">
      <w:pPr>
        <w:spacing w:line="240" w:lineRule="auto"/>
        <w:rPr>
          <w:rFonts w:eastAsia="Times New Roman" w:cs="Arial"/>
          <w:bCs/>
          <w:color w:val="000000"/>
          <w:szCs w:val="20"/>
          <w:lang w:eastAsia="bg-BG"/>
        </w:rPr>
      </w:pPr>
    </w:p>
    <w:p w14:paraId="6DADA127" w14:textId="41FA4514" w:rsidR="004B01F7" w:rsidRPr="004B01F7" w:rsidRDefault="004B01F7" w:rsidP="004B01F7">
      <w:pPr>
        <w:spacing w:line="240" w:lineRule="auto"/>
        <w:rPr>
          <w:rFonts w:eastAsia="Times New Roman" w:cs="Arial"/>
          <w:sz w:val="28"/>
          <w:szCs w:val="24"/>
        </w:rPr>
      </w:pPr>
      <w:r w:rsidRPr="004B01F7">
        <w:rPr>
          <w:rFonts w:eastAsia="Times New Roman" w:cs="Arial"/>
          <w:bCs/>
          <w:color w:val="000000"/>
          <w:szCs w:val="20"/>
          <w:lang w:eastAsia="bg-BG"/>
        </w:rPr>
        <w:t>В две рандомизирани, двойно-слепи, плацебо-контролирани проучвания на 433 пациенти със средно тежка до тежка ХОББ е изследвано влиянието на подобреното състояние на диспнея върху прага на натоварване. В тези проучвания лечението в продължение на шест седмици със СПИРИВА</w:t>
      </w:r>
    </w:p>
    <w:p w14:paraId="390C44BD" w14:textId="77777777" w:rsidR="004B01F7" w:rsidRPr="004B01F7" w:rsidRDefault="004B01F7" w:rsidP="004B01F7">
      <w:pPr>
        <w:spacing w:line="240" w:lineRule="auto"/>
        <w:rPr>
          <w:rFonts w:eastAsia="Times New Roman" w:cs="Arial"/>
          <w:sz w:val="28"/>
          <w:szCs w:val="24"/>
        </w:rPr>
      </w:pPr>
      <w:r w:rsidRPr="004B01F7">
        <w:rPr>
          <w:rFonts w:eastAsia="Times New Roman" w:cs="Arial"/>
          <w:bCs/>
          <w:color w:val="000000"/>
          <w:szCs w:val="20"/>
          <w:lang w:eastAsia="bg-BG"/>
        </w:rPr>
        <w:t>значително подобрява ограниченото от симптомите на заболяването време на издръжливост на</w:t>
      </w:r>
    </w:p>
    <w:p w14:paraId="26426185" w14:textId="55017BEE" w:rsidR="004B01F7" w:rsidRPr="004B01F7" w:rsidRDefault="004B01F7" w:rsidP="004B01F7">
      <w:pPr>
        <w:rPr>
          <w:rFonts w:eastAsia="Times New Roman" w:cs="Arial"/>
          <w:bCs/>
          <w:color w:val="000000"/>
          <w:szCs w:val="20"/>
          <w:lang w:eastAsia="bg-BG"/>
        </w:rPr>
      </w:pPr>
      <w:r w:rsidRPr="004B01F7">
        <w:rPr>
          <w:rFonts w:eastAsia="Times New Roman" w:cs="Arial"/>
          <w:bCs/>
          <w:color w:val="000000"/>
          <w:szCs w:val="20"/>
          <w:lang w:eastAsia="bg-BG"/>
        </w:rPr>
        <w:t>натоварване с 19,7 % при велоергометрия със 75 % от максималния работен капацитет (проучване А) и 28,3 % (проучване В) в сравнение с плацебо.</w:t>
      </w:r>
    </w:p>
    <w:p w14:paraId="34FC4B21" w14:textId="4DDAF985" w:rsidR="004B01F7" w:rsidRPr="004B01F7" w:rsidRDefault="004B01F7" w:rsidP="004B01F7">
      <w:pPr>
        <w:rPr>
          <w:rFonts w:eastAsia="Times New Roman" w:cs="Arial"/>
          <w:bCs/>
          <w:color w:val="000000"/>
          <w:szCs w:val="20"/>
          <w:lang w:eastAsia="bg-BG"/>
        </w:rPr>
      </w:pPr>
    </w:p>
    <w:p w14:paraId="3A82FB0D" w14:textId="77777777" w:rsidR="004B01F7" w:rsidRPr="004B01F7" w:rsidRDefault="004B01F7" w:rsidP="004B01F7">
      <w:pPr>
        <w:spacing w:line="240" w:lineRule="auto"/>
        <w:rPr>
          <w:rFonts w:eastAsia="Times New Roman" w:cs="Arial"/>
          <w:sz w:val="28"/>
          <w:szCs w:val="24"/>
        </w:rPr>
      </w:pPr>
      <w:r w:rsidRPr="004B01F7">
        <w:rPr>
          <w:rFonts w:eastAsia="Times New Roman" w:cs="Arial"/>
          <w:bCs/>
          <w:i/>
          <w:iCs/>
          <w:color w:val="000000"/>
          <w:szCs w:val="20"/>
          <w:lang w:eastAsia="bg-BG"/>
        </w:rPr>
        <w:t>Качество на живот, свързано със здравето</w:t>
      </w:r>
    </w:p>
    <w:p w14:paraId="4DE5FF02" w14:textId="77777777" w:rsidR="004B01F7" w:rsidRPr="004B01F7" w:rsidRDefault="004B01F7" w:rsidP="004B01F7">
      <w:pPr>
        <w:spacing w:line="240" w:lineRule="auto"/>
        <w:rPr>
          <w:rFonts w:eastAsia="Times New Roman" w:cs="Arial"/>
          <w:sz w:val="28"/>
          <w:szCs w:val="24"/>
        </w:rPr>
      </w:pPr>
      <w:r w:rsidRPr="004B01F7">
        <w:rPr>
          <w:rFonts w:eastAsia="Times New Roman" w:cs="Arial"/>
          <w:bCs/>
          <w:color w:val="000000"/>
          <w:szCs w:val="20"/>
          <w:lang w:eastAsia="bg-BG"/>
        </w:rPr>
        <w:t xml:space="preserve">В 9-месечно, рандомизирано, двойно-сляпо, плацебо-контролирано проучване на 492 пациенти СПИРИВА подобрява здравословно-обусловеното качество на живот, което се определя чрез общия резултат по </w:t>
      </w:r>
      <w:r w:rsidRPr="004B01F7">
        <w:rPr>
          <w:rFonts w:eastAsia="Times New Roman" w:cs="Arial"/>
          <w:bCs/>
          <w:color w:val="000000"/>
          <w:szCs w:val="20"/>
          <w:lang w:val="en-US"/>
        </w:rPr>
        <w:t>St</w:t>
      </w:r>
      <w:r w:rsidRPr="004B01F7">
        <w:rPr>
          <w:rFonts w:eastAsia="Times New Roman" w:cs="Arial"/>
          <w:bCs/>
          <w:color w:val="000000"/>
          <w:szCs w:val="20"/>
          <w:lang w:val="ru-RU"/>
        </w:rPr>
        <w:t xml:space="preserve">. </w:t>
      </w:r>
      <w:r w:rsidRPr="004B01F7">
        <w:rPr>
          <w:rFonts w:eastAsia="Times New Roman" w:cs="Arial"/>
          <w:bCs/>
          <w:color w:val="000000"/>
          <w:szCs w:val="20"/>
          <w:lang w:val="en-US"/>
        </w:rPr>
        <w:t>George</w:t>
      </w:r>
      <w:r w:rsidRPr="004B01F7">
        <w:rPr>
          <w:rFonts w:eastAsia="Times New Roman" w:cs="Arial"/>
          <w:bCs/>
          <w:color w:val="000000"/>
          <w:szCs w:val="20"/>
          <w:lang w:val="ru-RU"/>
        </w:rPr>
        <w:t>’</w:t>
      </w:r>
      <w:r w:rsidRPr="004B01F7">
        <w:rPr>
          <w:rFonts w:eastAsia="Times New Roman" w:cs="Arial"/>
          <w:bCs/>
          <w:color w:val="000000"/>
          <w:szCs w:val="20"/>
          <w:lang w:val="en-US"/>
        </w:rPr>
        <w:t>s</w:t>
      </w:r>
      <w:r w:rsidRPr="004B01F7">
        <w:rPr>
          <w:rFonts w:eastAsia="Times New Roman" w:cs="Arial"/>
          <w:bCs/>
          <w:color w:val="000000"/>
          <w:szCs w:val="20"/>
          <w:lang w:val="ru-RU"/>
        </w:rPr>
        <w:t xml:space="preserve"> </w:t>
      </w:r>
      <w:r w:rsidRPr="004B01F7">
        <w:rPr>
          <w:rFonts w:eastAsia="Times New Roman" w:cs="Arial"/>
          <w:bCs/>
          <w:color w:val="000000"/>
          <w:szCs w:val="20"/>
          <w:lang w:val="en-US"/>
        </w:rPr>
        <w:t>Respiratory</w:t>
      </w:r>
      <w:r w:rsidRPr="004B01F7">
        <w:rPr>
          <w:rFonts w:eastAsia="Times New Roman" w:cs="Arial"/>
          <w:bCs/>
          <w:color w:val="000000"/>
          <w:szCs w:val="20"/>
          <w:lang w:val="ru-RU"/>
        </w:rPr>
        <w:t xml:space="preserve"> </w:t>
      </w:r>
      <w:r w:rsidRPr="004B01F7">
        <w:rPr>
          <w:rFonts w:eastAsia="Times New Roman" w:cs="Arial"/>
          <w:bCs/>
          <w:color w:val="000000"/>
          <w:szCs w:val="20"/>
          <w:lang w:val="en-US"/>
        </w:rPr>
        <w:t>Questionnaire</w:t>
      </w:r>
      <w:r w:rsidRPr="004B01F7">
        <w:rPr>
          <w:rFonts w:eastAsia="Times New Roman" w:cs="Arial"/>
          <w:bCs/>
          <w:color w:val="000000"/>
          <w:szCs w:val="20"/>
          <w:lang w:val="ru-RU"/>
        </w:rPr>
        <w:t xml:space="preserve"> (</w:t>
      </w:r>
      <w:r w:rsidRPr="004B01F7">
        <w:rPr>
          <w:rFonts w:eastAsia="Times New Roman" w:cs="Arial"/>
          <w:bCs/>
          <w:color w:val="000000"/>
          <w:szCs w:val="20"/>
          <w:lang w:val="en-US"/>
        </w:rPr>
        <w:t>SGRQ</w:t>
      </w:r>
      <w:r w:rsidRPr="004B01F7">
        <w:rPr>
          <w:rFonts w:eastAsia="Times New Roman" w:cs="Arial"/>
          <w:bCs/>
          <w:color w:val="000000"/>
          <w:szCs w:val="20"/>
          <w:lang w:val="ru-RU"/>
        </w:rPr>
        <w:t xml:space="preserve">). </w:t>
      </w:r>
      <w:r w:rsidRPr="004B01F7">
        <w:rPr>
          <w:rFonts w:eastAsia="Times New Roman" w:cs="Arial"/>
          <w:bCs/>
          <w:color w:val="000000"/>
          <w:szCs w:val="20"/>
          <w:lang w:eastAsia="bg-BG"/>
        </w:rPr>
        <w:t xml:space="preserve">Съотношението на пациентите, лекувани със СПИРИВА, които постигат значително подобрение в общия резултат по </w:t>
      </w:r>
      <w:r w:rsidRPr="004B01F7">
        <w:rPr>
          <w:rFonts w:eastAsia="Times New Roman" w:cs="Arial"/>
          <w:bCs/>
          <w:color w:val="000000"/>
          <w:szCs w:val="20"/>
          <w:lang w:val="en-US"/>
        </w:rPr>
        <w:t>SGRQ</w:t>
      </w:r>
      <w:r w:rsidRPr="004B01F7">
        <w:rPr>
          <w:rFonts w:eastAsia="Times New Roman" w:cs="Arial"/>
          <w:bCs/>
          <w:color w:val="000000"/>
          <w:szCs w:val="20"/>
          <w:lang w:val="ru-RU"/>
        </w:rPr>
        <w:t xml:space="preserve"> </w:t>
      </w:r>
      <w:r w:rsidRPr="004B01F7">
        <w:rPr>
          <w:rFonts w:eastAsia="Times New Roman" w:cs="Arial"/>
          <w:bCs/>
          <w:color w:val="000000"/>
          <w:szCs w:val="20"/>
          <w:lang w:eastAsia="bg-BG"/>
        </w:rPr>
        <w:t xml:space="preserve">(т.е. &gt; 4 единици) е с 10,9% по-високо в сравнение с плацебо (59,1% в групата на СПИРИВА спрямо 48,2% в групата на плацебо, р=0,029). Средната разлика между групите е 4,19 единици (р=0,001; доверителен интервал: 1,69-6,68). Подобрението на субскалите на резултата по </w:t>
      </w:r>
      <w:r w:rsidRPr="004B01F7">
        <w:rPr>
          <w:rFonts w:eastAsia="Times New Roman" w:cs="Arial"/>
          <w:bCs/>
          <w:color w:val="000000"/>
          <w:szCs w:val="20"/>
          <w:lang w:val="en-US"/>
        </w:rPr>
        <w:t>SGRQ</w:t>
      </w:r>
      <w:r w:rsidRPr="004B01F7">
        <w:rPr>
          <w:rFonts w:eastAsia="Times New Roman" w:cs="Arial"/>
          <w:bCs/>
          <w:color w:val="000000"/>
          <w:szCs w:val="20"/>
          <w:lang w:val="ru-RU"/>
        </w:rPr>
        <w:t xml:space="preserve"> </w:t>
      </w:r>
      <w:r w:rsidRPr="004B01F7">
        <w:rPr>
          <w:rFonts w:eastAsia="Times New Roman" w:cs="Arial"/>
          <w:bCs/>
          <w:color w:val="000000"/>
          <w:szCs w:val="20"/>
          <w:lang w:eastAsia="bg-BG"/>
        </w:rPr>
        <w:t>е 8,19 единици за „симптоми“, 3,19 единици за „активност“ и 3,61 единици за „влияние върху ежедневния живот“. Подобрението на всички тези отделни субскали е статистически значимо.</w:t>
      </w:r>
    </w:p>
    <w:p w14:paraId="79C77762" w14:textId="77777777" w:rsidR="004B01F7" w:rsidRPr="004B01F7" w:rsidRDefault="004B01F7" w:rsidP="004B01F7">
      <w:pPr>
        <w:spacing w:line="240" w:lineRule="auto"/>
        <w:rPr>
          <w:rFonts w:eastAsia="Times New Roman" w:cs="Arial"/>
          <w:bCs/>
          <w:i/>
          <w:iCs/>
          <w:color w:val="000000"/>
          <w:szCs w:val="20"/>
          <w:lang w:eastAsia="bg-BG"/>
        </w:rPr>
      </w:pPr>
    </w:p>
    <w:p w14:paraId="0B74CF0A" w14:textId="2FBCD1C0" w:rsidR="004B01F7" w:rsidRPr="004B01F7" w:rsidRDefault="004B01F7" w:rsidP="004B01F7">
      <w:pPr>
        <w:spacing w:line="240" w:lineRule="auto"/>
        <w:rPr>
          <w:rFonts w:eastAsia="Times New Roman" w:cs="Arial"/>
          <w:sz w:val="28"/>
          <w:szCs w:val="24"/>
        </w:rPr>
      </w:pPr>
      <w:r w:rsidRPr="004B01F7">
        <w:rPr>
          <w:rFonts w:eastAsia="Times New Roman" w:cs="Arial"/>
          <w:bCs/>
          <w:i/>
          <w:iCs/>
          <w:color w:val="000000"/>
          <w:szCs w:val="20"/>
          <w:lang w:eastAsia="bg-BG"/>
        </w:rPr>
        <w:t>Обостряне на ХОББ</w:t>
      </w:r>
    </w:p>
    <w:p w14:paraId="1B3767E9" w14:textId="77777777" w:rsidR="004B01F7" w:rsidRPr="004B01F7" w:rsidRDefault="004B01F7" w:rsidP="004B01F7">
      <w:pPr>
        <w:spacing w:line="240" w:lineRule="auto"/>
        <w:rPr>
          <w:rFonts w:eastAsia="Times New Roman" w:cs="Arial"/>
          <w:sz w:val="28"/>
          <w:szCs w:val="24"/>
        </w:rPr>
      </w:pPr>
      <w:r w:rsidRPr="004B01F7">
        <w:rPr>
          <w:rFonts w:eastAsia="Times New Roman" w:cs="Arial"/>
          <w:bCs/>
          <w:color w:val="000000"/>
          <w:szCs w:val="20"/>
          <w:lang w:eastAsia="bg-BG"/>
        </w:rPr>
        <w:t>В рандомизирано, двойно-сляпо, плацебо-контролирано клинично проучване на 1 829 пациенти с умерена до тежка ХОББ, тиотропиум бромид статистически значимо намалява процента пациенти с обостряне на ХОББ (32,2% до 27,8%) и статистически значимо намалява броя на обострянията с 19% (1,05 до 0,85 събития на една пациенго-година на експозиция). Допълнително, 7,0% от пациентите от групата, приемаща тиотропиум бромид, и 9,5% от групата, приемаща плацебо са хоспитализирани поради обостряне на ХОББ (р=0,056). Броят на хоспитализации, дължащи се на ХОББ е понижен с 30% (0,25 до 0,18 събития на една пациенго-година на експозиция).</w:t>
      </w:r>
    </w:p>
    <w:p w14:paraId="3DB3A48F" w14:textId="77777777" w:rsidR="004B01F7" w:rsidRPr="004B01F7" w:rsidRDefault="004B01F7" w:rsidP="004B01F7">
      <w:pPr>
        <w:spacing w:line="240" w:lineRule="auto"/>
        <w:rPr>
          <w:rFonts w:eastAsia="Times New Roman" w:cs="Arial"/>
          <w:bCs/>
          <w:color w:val="000000"/>
          <w:szCs w:val="20"/>
          <w:lang w:eastAsia="bg-BG"/>
        </w:rPr>
      </w:pPr>
    </w:p>
    <w:p w14:paraId="379A0EBE" w14:textId="0B4052C2" w:rsidR="004B01F7" w:rsidRPr="004B01F7" w:rsidRDefault="004B01F7" w:rsidP="004B01F7">
      <w:pPr>
        <w:spacing w:line="240" w:lineRule="auto"/>
        <w:rPr>
          <w:rFonts w:eastAsia="Times New Roman" w:cs="Arial"/>
          <w:sz w:val="28"/>
          <w:szCs w:val="24"/>
        </w:rPr>
      </w:pPr>
      <w:r w:rsidRPr="004B01F7">
        <w:rPr>
          <w:rFonts w:eastAsia="Times New Roman" w:cs="Arial"/>
          <w:bCs/>
          <w:color w:val="000000"/>
          <w:szCs w:val="20"/>
          <w:lang w:eastAsia="bg-BG"/>
        </w:rPr>
        <w:t xml:space="preserve">Едногодишно, рандомизирано, двойно-сляпо, двойно-заслепено, паралелни групи изпитване сравнява ефекта от лечението с 18 микрограма СПИРИВА веднъж дневно с този от 50 микрограма салметерол </w:t>
      </w:r>
      <w:r w:rsidRPr="004B01F7">
        <w:rPr>
          <w:rFonts w:eastAsia="Times New Roman" w:cs="Arial"/>
          <w:bCs/>
          <w:color w:val="000000"/>
          <w:szCs w:val="20"/>
          <w:lang w:val="en-US"/>
        </w:rPr>
        <w:t>HFA</w:t>
      </w:r>
      <w:r w:rsidRPr="004B01F7">
        <w:rPr>
          <w:rFonts w:eastAsia="Times New Roman" w:cs="Arial"/>
          <w:bCs/>
          <w:color w:val="000000"/>
          <w:szCs w:val="20"/>
          <w:lang w:val="ru-RU"/>
        </w:rPr>
        <w:t xml:space="preserve"> </w:t>
      </w:r>
      <w:proofErr w:type="spellStart"/>
      <w:r w:rsidRPr="004B01F7">
        <w:rPr>
          <w:rFonts w:eastAsia="Times New Roman" w:cs="Arial"/>
          <w:bCs/>
          <w:color w:val="000000"/>
          <w:szCs w:val="20"/>
          <w:lang w:val="en-US"/>
        </w:rPr>
        <w:t>pMDI</w:t>
      </w:r>
      <w:proofErr w:type="spellEnd"/>
      <w:r w:rsidRPr="004B01F7">
        <w:rPr>
          <w:rFonts w:eastAsia="Times New Roman" w:cs="Arial"/>
          <w:bCs/>
          <w:color w:val="000000"/>
          <w:szCs w:val="20"/>
          <w:lang w:val="ru-RU"/>
        </w:rPr>
        <w:t xml:space="preserve"> </w:t>
      </w:r>
      <w:r w:rsidRPr="004B01F7">
        <w:rPr>
          <w:rFonts w:eastAsia="Times New Roman" w:cs="Arial"/>
          <w:bCs/>
          <w:color w:val="000000"/>
          <w:szCs w:val="20"/>
          <w:lang w:eastAsia="bg-BG"/>
        </w:rPr>
        <w:t>два пъти дневно върху честотата на възникване на средно тежки и тежки обостряния при 7 376 пациенти с ХОББ и анамнеза за обостряния през предходната година.</w:t>
      </w:r>
    </w:p>
    <w:p w14:paraId="3338206A" w14:textId="77777777" w:rsidR="004B01F7" w:rsidRPr="004B01F7" w:rsidRDefault="004B01F7" w:rsidP="004B01F7">
      <w:pPr>
        <w:spacing w:line="240" w:lineRule="auto"/>
        <w:rPr>
          <w:rFonts w:eastAsia="Times New Roman" w:cs="Arial"/>
          <w:bCs/>
          <w:color w:val="000000"/>
          <w:szCs w:val="20"/>
          <w:lang w:eastAsia="bg-BG"/>
        </w:rPr>
      </w:pPr>
    </w:p>
    <w:p w14:paraId="2C34523C" w14:textId="6E439F03" w:rsidR="004B01F7" w:rsidRPr="004B01F7" w:rsidRDefault="004B01F7" w:rsidP="004B01F7">
      <w:pPr>
        <w:spacing w:line="240" w:lineRule="auto"/>
        <w:rPr>
          <w:rFonts w:eastAsia="Times New Roman" w:cs="Arial"/>
          <w:sz w:val="28"/>
          <w:szCs w:val="24"/>
        </w:rPr>
      </w:pPr>
      <w:r w:rsidRPr="004B01F7">
        <w:rPr>
          <w:rFonts w:eastAsia="Times New Roman" w:cs="Arial"/>
          <w:bCs/>
          <w:color w:val="000000"/>
          <w:szCs w:val="20"/>
          <w:lang w:eastAsia="bg-BG"/>
        </w:rPr>
        <w:lastRenderedPageBreak/>
        <w:t>Таблица 1: Кратко представяне на крайните точки при обостряне</w:t>
      </w:r>
    </w:p>
    <w:tbl>
      <w:tblPr>
        <w:tblStyle w:val="TableGrid"/>
        <w:tblW w:w="0" w:type="auto"/>
        <w:tblLook w:val="04A0" w:firstRow="1" w:lastRow="0" w:firstColumn="1" w:lastColumn="0" w:noHBand="0" w:noVBand="1"/>
      </w:tblPr>
      <w:tblGrid>
        <w:gridCol w:w="2136"/>
        <w:gridCol w:w="1822"/>
        <w:gridCol w:w="1829"/>
        <w:gridCol w:w="1809"/>
        <w:gridCol w:w="1754"/>
      </w:tblGrid>
      <w:tr w:rsidR="004B01F7" w14:paraId="497842F0" w14:textId="77777777" w:rsidTr="004B01F7">
        <w:tc>
          <w:tcPr>
            <w:tcW w:w="2135" w:type="dxa"/>
          </w:tcPr>
          <w:p w14:paraId="481A7DFC" w14:textId="0864DF11" w:rsidR="004B01F7" w:rsidRPr="004B01F7" w:rsidRDefault="004B01F7" w:rsidP="004B01F7">
            <w:r w:rsidRPr="004B01F7">
              <w:rPr>
                <w:bCs/>
                <w:szCs w:val="20"/>
              </w:rPr>
              <w:t>Крайна точка</w:t>
            </w:r>
          </w:p>
        </w:tc>
        <w:tc>
          <w:tcPr>
            <w:tcW w:w="1869" w:type="dxa"/>
          </w:tcPr>
          <w:p w14:paraId="3B600CFB" w14:textId="20CE34B8" w:rsidR="004B01F7" w:rsidRPr="004B01F7" w:rsidRDefault="004B01F7" w:rsidP="004B01F7">
            <w:r w:rsidRPr="004B01F7">
              <w:rPr>
                <w:bCs/>
                <w:szCs w:val="20"/>
              </w:rPr>
              <w:t xml:space="preserve">СПИРИВА 18 микрограма </w:t>
            </w:r>
            <w:r w:rsidRPr="004B01F7">
              <w:rPr>
                <w:bCs/>
                <w:szCs w:val="20"/>
                <w:lang w:val="en-US"/>
              </w:rPr>
              <w:t>(</w:t>
            </w:r>
            <w:proofErr w:type="spellStart"/>
            <w:r w:rsidRPr="004B01F7">
              <w:rPr>
                <w:bCs/>
                <w:szCs w:val="20"/>
                <w:lang w:val="en-US"/>
              </w:rPr>
              <w:t>HandiHaler</w:t>
            </w:r>
            <w:proofErr w:type="spellEnd"/>
            <w:r w:rsidRPr="004B01F7">
              <w:rPr>
                <w:bCs/>
                <w:szCs w:val="20"/>
                <w:lang w:val="en-US"/>
              </w:rPr>
              <w:t>) N=</w:t>
            </w:r>
            <w:r w:rsidRPr="004B01F7">
              <w:rPr>
                <w:bCs/>
                <w:szCs w:val="20"/>
              </w:rPr>
              <w:t>3 707</w:t>
            </w:r>
          </w:p>
        </w:tc>
        <w:tc>
          <w:tcPr>
            <w:tcW w:w="1873" w:type="dxa"/>
          </w:tcPr>
          <w:p w14:paraId="6EDECA41" w14:textId="21C92A66" w:rsidR="004B01F7" w:rsidRPr="004B01F7" w:rsidRDefault="004B01F7" w:rsidP="004B01F7">
            <w:r w:rsidRPr="004B01F7">
              <w:rPr>
                <w:bCs/>
                <w:szCs w:val="20"/>
              </w:rPr>
              <w:t xml:space="preserve">Салметерол 50 микрограма </w:t>
            </w:r>
            <w:r w:rsidRPr="004B01F7">
              <w:rPr>
                <w:bCs/>
                <w:szCs w:val="20"/>
                <w:lang w:val="ru-RU"/>
              </w:rPr>
              <w:t>(</w:t>
            </w:r>
            <w:r w:rsidRPr="004B01F7">
              <w:rPr>
                <w:bCs/>
                <w:szCs w:val="20"/>
                <w:lang w:val="en-US"/>
              </w:rPr>
              <w:t>HFA</w:t>
            </w:r>
            <w:r w:rsidRPr="004B01F7">
              <w:rPr>
                <w:bCs/>
                <w:szCs w:val="20"/>
                <w:lang w:val="ru-RU"/>
              </w:rPr>
              <w:t xml:space="preserve"> </w:t>
            </w:r>
            <w:proofErr w:type="spellStart"/>
            <w:r w:rsidRPr="004B01F7">
              <w:rPr>
                <w:bCs/>
                <w:szCs w:val="20"/>
                <w:lang w:val="en-US"/>
              </w:rPr>
              <w:t>pMDI</w:t>
            </w:r>
            <w:proofErr w:type="spellEnd"/>
            <w:r w:rsidRPr="004B01F7">
              <w:rPr>
                <w:bCs/>
                <w:szCs w:val="20"/>
                <w:lang w:val="ru-RU"/>
              </w:rPr>
              <w:t xml:space="preserve">) </w:t>
            </w:r>
            <w:r w:rsidRPr="004B01F7">
              <w:rPr>
                <w:bCs/>
                <w:szCs w:val="20"/>
                <w:lang w:val="en-US"/>
              </w:rPr>
              <w:t>N</w:t>
            </w:r>
            <w:r w:rsidRPr="004B01F7">
              <w:rPr>
                <w:bCs/>
                <w:szCs w:val="20"/>
                <w:lang w:val="ru-RU"/>
              </w:rPr>
              <w:t>=</w:t>
            </w:r>
            <w:r w:rsidRPr="004B01F7">
              <w:rPr>
                <w:bCs/>
                <w:szCs w:val="20"/>
              </w:rPr>
              <w:t>3669</w:t>
            </w:r>
          </w:p>
        </w:tc>
        <w:tc>
          <w:tcPr>
            <w:tcW w:w="1863" w:type="dxa"/>
          </w:tcPr>
          <w:p w14:paraId="74020DFB" w14:textId="3D6C3D55" w:rsidR="004B01F7" w:rsidRPr="004B01F7" w:rsidRDefault="004B01F7" w:rsidP="004B01F7">
            <w:r w:rsidRPr="004B01F7">
              <w:rPr>
                <w:bCs/>
                <w:szCs w:val="20"/>
              </w:rPr>
              <w:t>Отношение (95% С1)</w:t>
            </w:r>
          </w:p>
        </w:tc>
        <w:tc>
          <w:tcPr>
            <w:tcW w:w="1836" w:type="dxa"/>
          </w:tcPr>
          <w:p w14:paraId="0DDF4575" w14:textId="7C79BB25" w:rsidR="004B01F7" w:rsidRPr="004B01F7" w:rsidRDefault="004B01F7" w:rsidP="004B01F7">
            <w:r w:rsidRPr="004B01F7">
              <w:rPr>
                <w:bCs/>
                <w:szCs w:val="20"/>
              </w:rPr>
              <w:t>р- стойност</w:t>
            </w:r>
          </w:p>
        </w:tc>
      </w:tr>
      <w:tr w:rsidR="004B01F7" w14:paraId="0935BBD8" w14:textId="77777777" w:rsidTr="004B01F7">
        <w:tc>
          <w:tcPr>
            <w:tcW w:w="2135" w:type="dxa"/>
          </w:tcPr>
          <w:p w14:paraId="25ACDC30" w14:textId="650D6F67" w:rsidR="004B01F7" w:rsidRPr="004B01F7" w:rsidRDefault="004B01F7" w:rsidP="004B01F7">
            <w:r w:rsidRPr="004B01F7">
              <w:rPr>
                <w:bCs/>
                <w:szCs w:val="20"/>
              </w:rPr>
              <w:t>Време [дни] до първо обостряне</w:t>
            </w:r>
            <w:r w:rsidRPr="004B01F7">
              <w:rPr>
                <w:bCs/>
                <w:szCs w:val="20"/>
                <w:vertAlign w:val="superscript"/>
              </w:rPr>
              <w:t>+</w:t>
            </w:r>
          </w:p>
        </w:tc>
        <w:tc>
          <w:tcPr>
            <w:tcW w:w="1869" w:type="dxa"/>
          </w:tcPr>
          <w:p w14:paraId="7387DF99" w14:textId="4F77B116" w:rsidR="004B01F7" w:rsidRPr="004B01F7" w:rsidRDefault="004B01F7" w:rsidP="004B01F7">
            <w:r w:rsidRPr="004B01F7">
              <w:rPr>
                <w:bCs/>
                <w:szCs w:val="20"/>
              </w:rPr>
              <w:t>187</w:t>
            </w:r>
          </w:p>
        </w:tc>
        <w:tc>
          <w:tcPr>
            <w:tcW w:w="1873" w:type="dxa"/>
          </w:tcPr>
          <w:p w14:paraId="3E99D955" w14:textId="3DD17DB2" w:rsidR="004B01F7" w:rsidRPr="004B01F7" w:rsidRDefault="004B01F7" w:rsidP="004B01F7">
            <w:r w:rsidRPr="004B01F7">
              <w:rPr>
                <w:bCs/>
                <w:szCs w:val="20"/>
              </w:rPr>
              <w:t>145</w:t>
            </w:r>
          </w:p>
        </w:tc>
        <w:tc>
          <w:tcPr>
            <w:tcW w:w="1863" w:type="dxa"/>
          </w:tcPr>
          <w:p w14:paraId="2F336952" w14:textId="28CFF44D" w:rsidR="004B01F7" w:rsidRPr="004B01F7" w:rsidRDefault="004B01F7" w:rsidP="004B01F7">
            <w:r w:rsidRPr="004B01F7">
              <w:rPr>
                <w:bCs/>
                <w:szCs w:val="20"/>
              </w:rPr>
              <w:t>0,83 (0,77-0,90)</w:t>
            </w:r>
          </w:p>
        </w:tc>
        <w:tc>
          <w:tcPr>
            <w:tcW w:w="1836" w:type="dxa"/>
          </w:tcPr>
          <w:p w14:paraId="625C47A7" w14:textId="4CDBF142" w:rsidR="004B01F7" w:rsidRPr="004B01F7" w:rsidRDefault="004B01F7" w:rsidP="004B01F7">
            <w:r w:rsidRPr="004B01F7">
              <w:rPr>
                <w:bCs/>
                <w:szCs w:val="20"/>
              </w:rPr>
              <w:t>&lt;0,001</w:t>
            </w:r>
          </w:p>
        </w:tc>
      </w:tr>
      <w:tr w:rsidR="004B01F7" w14:paraId="32EC59D1" w14:textId="77777777" w:rsidTr="004B01F7">
        <w:tc>
          <w:tcPr>
            <w:tcW w:w="2135" w:type="dxa"/>
          </w:tcPr>
          <w:p w14:paraId="6D740FB4" w14:textId="2CC34F2A" w:rsidR="004B01F7" w:rsidRPr="004B01F7" w:rsidRDefault="004B01F7" w:rsidP="004B01F7">
            <w:r w:rsidRPr="004B01F7">
              <w:rPr>
                <w:bCs/>
                <w:szCs w:val="20"/>
              </w:rPr>
              <w:t>Време до първо тежко (хоспитализирани) обостряне</w:t>
            </w:r>
            <w:r w:rsidRPr="004B01F7">
              <w:rPr>
                <w:bCs/>
                <w:szCs w:val="20"/>
                <w:vertAlign w:val="superscript"/>
              </w:rPr>
              <w:t>§</w:t>
            </w:r>
          </w:p>
        </w:tc>
        <w:tc>
          <w:tcPr>
            <w:tcW w:w="1869" w:type="dxa"/>
          </w:tcPr>
          <w:p w14:paraId="188B5C1D" w14:textId="5BC0BE18" w:rsidR="004B01F7" w:rsidRPr="004B01F7" w:rsidRDefault="004B01F7" w:rsidP="004B01F7">
            <w:r w:rsidRPr="004B01F7">
              <w:rPr>
                <w:bCs/>
                <w:szCs w:val="20"/>
              </w:rPr>
              <w:t>-</w:t>
            </w:r>
          </w:p>
        </w:tc>
        <w:tc>
          <w:tcPr>
            <w:tcW w:w="1873" w:type="dxa"/>
          </w:tcPr>
          <w:p w14:paraId="3559716B" w14:textId="0C4995A2" w:rsidR="004B01F7" w:rsidRPr="004B01F7" w:rsidRDefault="004B01F7" w:rsidP="004B01F7">
            <w:r w:rsidRPr="004B01F7">
              <w:rPr>
                <w:bCs/>
                <w:szCs w:val="20"/>
              </w:rPr>
              <w:t>-</w:t>
            </w:r>
          </w:p>
        </w:tc>
        <w:tc>
          <w:tcPr>
            <w:tcW w:w="1863" w:type="dxa"/>
          </w:tcPr>
          <w:p w14:paraId="4360E824" w14:textId="7DFE2570" w:rsidR="004B01F7" w:rsidRPr="004B01F7" w:rsidRDefault="004B01F7" w:rsidP="004B01F7">
            <w:r w:rsidRPr="004B01F7">
              <w:rPr>
                <w:bCs/>
                <w:szCs w:val="20"/>
              </w:rPr>
              <w:t>0,72 (0,61-0,85)</w:t>
            </w:r>
          </w:p>
        </w:tc>
        <w:tc>
          <w:tcPr>
            <w:tcW w:w="1836" w:type="dxa"/>
          </w:tcPr>
          <w:p w14:paraId="77B697D9" w14:textId="19EF45BB" w:rsidR="004B01F7" w:rsidRPr="004B01F7" w:rsidRDefault="004B01F7" w:rsidP="004B01F7">
            <w:r w:rsidRPr="004B01F7">
              <w:rPr>
                <w:bCs/>
                <w:szCs w:val="20"/>
              </w:rPr>
              <w:t>&lt;0,001</w:t>
            </w:r>
          </w:p>
        </w:tc>
      </w:tr>
      <w:tr w:rsidR="004B01F7" w14:paraId="5BE277CD" w14:textId="77777777" w:rsidTr="004B01F7">
        <w:tc>
          <w:tcPr>
            <w:tcW w:w="2135" w:type="dxa"/>
          </w:tcPr>
          <w:p w14:paraId="303E75AD" w14:textId="0B52DD25" w:rsidR="004B01F7" w:rsidRPr="004B01F7" w:rsidRDefault="004B01F7" w:rsidP="004B01F7">
            <w:r w:rsidRPr="004B01F7">
              <w:rPr>
                <w:bCs/>
                <w:szCs w:val="20"/>
              </w:rPr>
              <w:t>Пациенти с ≥1 обостряне, п (%)*</w:t>
            </w:r>
          </w:p>
        </w:tc>
        <w:tc>
          <w:tcPr>
            <w:tcW w:w="1869" w:type="dxa"/>
          </w:tcPr>
          <w:p w14:paraId="67354403" w14:textId="04FA8F7D" w:rsidR="004B01F7" w:rsidRPr="004B01F7" w:rsidRDefault="004B01F7" w:rsidP="004B01F7">
            <w:r w:rsidRPr="004B01F7">
              <w:rPr>
                <w:bCs/>
                <w:szCs w:val="20"/>
              </w:rPr>
              <w:t>1 277 (34,4)</w:t>
            </w:r>
          </w:p>
        </w:tc>
        <w:tc>
          <w:tcPr>
            <w:tcW w:w="1873" w:type="dxa"/>
          </w:tcPr>
          <w:p w14:paraId="017F22F3" w14:textId="1B5F66FC" w:rsidR="004B01F7" w:rsidRPr="004B01F7" w:rsidRDefault="004B01F7" w:rsidP="004B01F7">
            <w:r w:rsidRPr="004B01F7">
              <w:rPr>
                <w:bCs/>
                <w:szCs w:val="20"/>
              </w:rPr>
              <w:t>1 414 (38,5)</w:t>
            </w:r>
          </w:p>
        </w:tc>
        <w:tc>
          <w:tcPr>
            <w:tcW w:w="1863" w:type="dxa"/>
          </w:tcPr>
          <w:p w14:paraId="056C816C" w14:textId="35FE8A58" w:rsidR="004B01F7" w:rsidRPr="004B01F7" w:rsidRDefault="004B01F7" w:rsidP="004B01F7">
            <w:r w:rsidRPr="004B01F7">
              <w:rPr>
                <w:bCs/>
                <w:szCs w:val="20"/>
              </w:rPr>
              <w:t>0,90 (0,85-0,95)</w:t>
            </w:r>
          </w:p>
        </w:tc>
        <w:tc>
          <w:tcPr>
            <w:tcW w:w="1836" w:type="dxa"/>
          </w:tcPr>
          <w:p w14:paraId="2EADC81B" w14:textId="010E1FAC" w:rsidR="004B01F7" w:rsidRPr="004B01F7" w:rsidRDefault="004B01F7" w:rsidP="004B01F7">
            <w:r w:rsidRPr="004B01F7">
              <w:rPr>
                <w:bCs/>
                <w:szCs w:val="20"/>
              </w:rPr>
              <w:t>&lt;0,001</w:t>
            </w:r>
          </w:p>
        </w:tc>
      </w:tr>
      <w:tr w:rsidR="004B01F7" w14:paraId="4F32E390" w14:textId="77777777" w:rsidTr="004B01F7">
        <w:tc>
          <w:tcPr>
            <w:tcW w:w="2135" w:type="dxa"/>
          </w:tcPr>
          <w:p w14:paraId="1A1AD2AC" w14:textId="15E1CAD3" w:rsidR="004B01F7" w:rsidRPr="004B01F7" w:rsidRDefault="004B01F7" w:rsidP="004B01F7">
            <w:r w:rsidRPr="004B01F7">
              <w:rPr>
                <w:bCs/>
                <w:szCs w:val="20"/>
              </w:rPr>
              <w:t xml:space="preserve">Пациенти с ≥1 тежко (хоспитализирани) обостряне, </w:t>
            </w:r>
            <w:r w:rsidRPr="004B01F7">
              <w:rPr>
                <w:bCs/>
                <w:szCs w:val="20"/>
                <w:lang w:val="en-US"/>
              </w:rPr>
              <w:t>n</w:t>
            </w:r>
            <w:r w:rsidRPr="004B01F7">
              <w:rPr>
                <w:bCs/>
                <w:szCs w:val="20"/>
              </w:rPr>
              <w:t>(%)*</w:t>
            </w:r>
          </w:p>
        </w:tc>
        <w:tc>
          <w:tcPr>
            <w:tcW w:w="1869" w:type="dxa"/>
          </w:tcPr>
          <w:p w14:paraId="1210CE87" w14:textId="122EC31E" w:rsidR="004B01F7" w:rsidRPr="004B01F7" w:rsidRDefault="004B01F7" w:rsidP="004B01F7">
            <w:r w:rsidRPr="004B01F7">
              <w:rPr>
                <w:bCs/>
                <w:szCs w:val="20"/>
              </w:rPr>
              <w:t>262 (7,1)</w:t>
            </w:r>
          </w:p>
        </w:tc>
        <w:tc>
          <w:tcPr>
            <w:tcW w:w="1873" w:type="dxa"/>
          </w:tcPr>
          <w:p w14:paraId="29CFD3CE" w14:textId="2700194C" w:rsidR="004B01F7" w:rsidRPr="004B01F7" w:rsidRDefault="004B01F7" w:rsidP="004B01F7">
            <w:r w:rsidRPr="004B01F7">
              <w:rPr>
                <w:bCs/>
                <w:szCs w:val="20"/>
              </w:rPr>
              <w:t>336 (9,2)</w:t>
            </w:r>
          </w:p>
        </w:tc>
        <w:tc>
          <w:tcPr>
            <w:tcW w:w="1863" w:type="dxa"/>
          </w:tcPr>
          <w:p w14:paraId="24FD599C" w14:textId="49D74E11" w:rsidR="004B01F7" w:rsidRPr="004B01F7" w:rsidRDefault="004B01F7" w:rsidP="004B01F7">
            <w:r w:rsidRPr="004B01F7">
              <w:rPr>
                <w:bCs/>
                <w:szCs w:val="20"/>
              </w:rPr>
              <w:t>0,77 (0,66-0,89)</w:t>
            </w:r>
          </w:p>
        </w:tc>
        <w:tc>
          <w:tcPr>
            <w:tcW w:w="1836" w:type="dxa"/>
          </w:tcPr>
          <w:p w14:paraId="26636BFF" w14:textId="63DAAF03" w:rsidR="004B01F7" w:rsidRPr="004B01F7" w:rsidRDefault="004B01F7" w:rsidP="004B01F7">
            <w:r w:rsidRPr="004B01F7">
              <w:rPr>
                <w:bCs/>
                <w:szCs w:val="20"/>
              </w:rPr>
              <w:t>&lt;0,001</w:t>
            </w:r>
          </w:p>
        </w:tc>
      </w:tr>
    </w:tbl>
    <w:p w14:paraId="5F44206E" w14:textId="787F4925" w:rsidR="004B01F7" w:rsidRPr="004B01F7" w:rsidRDefault="004B01F7" w:rsidP="004B01F7">
      <w:pPr>
        <w:spacing w:line="240" w:lineRule="auto"/>
        <w:rPr>
          <w:rFonts w:eastAsia="Times New Roman" w:cs="Arial"/>
        </w:rPr>
      </w:pPr>
      <w:r w:rsidRPr="004B01F7">
        <w:rPr>
          <w:rFonts w:eastAsia="Times New Roman" w:cs="Arial"/>
          <w:bCs/>
          <w:color w:val="000000"/>
          <w:vertAlign w:val="superscript"/>
          <w:lang w:val="ru-RU"/>
        </w:rPr>
        <w:t>+</w:t>
      </w:r>
      <w:r w:rsidRPr="004B01F7">
        <w:rPr>
          <w:rFonts w:eastAsia="Times New Roman" w:cs="Arial"/>
          <w:bCs/>
          <w:color w:val="000000"/>
          <w:lang w:eastAsia="bg-BG"/>
        </w:rPr>
        <w:t>Време [дни] се отнася до първия квартал от пациенти. Време до събитие анализът е извършен чрез пропорционален рисков регресионен модел на Сох с (обединен) център и лечение като коварианта; отношението се отнася до съотношение на риска.</w:t>
      </w:r>
    </w:p>
    <w:p w14:paraId="539D0D07" w14:textId="77777777" w:rsidR="004B01F7" w:rsidRPr="004B01F7" w:rsidRDefault="004B01F7" w:rsidP="004B01F7">
      <w:pPr>
        <w:spacing w:line="240" w:lineRule="auto"/>
        <w:rPr>
          <w:rFonts w:eastAsia="Times New Roman" w:cs="Arial"/>
        </w:rPr>
      </w:pPr>
      <w:r w:rsidRPr="004B01F7">
        <w:rPr>
          <w:rFonts w:eastAsia="Times New Roman" w:cs="Arial"/>
          <w:bCs/>
          <w:color w:val="000000"/>
          <w:lang w:eastAsia="bg-BG"/>
        </w:rPr>
        <w:t xml:space="preserve">§Време до събитие анализът е извършен чрез пропорционален рисков регресионен модел на Сох с (обединен) център и лечение като коварианта; отношението се отнася до съотношение на риска. Време [дни] за първия квяртил от пациенти не може да бъде изчислено, тъй като дялът на пациенти с </w:t>
      </w:r>
      <w:r w:rsidRPr="004B01F7">
        <w:rPr>
          <w:rFonts w:eastAsia="Times New Roman" w:cs="Arial"/>
          <w:bCs/>
          <w:color w:val="000000"/>
          <w:u w:val="single"/>
          <w:lang w:eastAsia="bg-BG"/>
        </w:rPr>
        <w:t xml:space="preserve">тежки </w:t>
      </w:r>
      <w:r w:rsidRPr="004B01F7">
        <w:rPr>
          <w:rFonts w:eastAsia="Times New Roman" w:cs="Arial"/>
          <w:bCs/>
          <w:color w:val="000000"/>
          <w:lang w:eastAsia="bg-BG"/>
        </w:rPr>
        <w:t>обостряния е твърде нисък.</w:t>
      </w:r>
    </w:p>
    <w:p w14:paraId="4B09A30E" w14:textId="77777777" w:rsidR="004B01F7" w:rsidRPr="004B01F7" w:rsidRDefault="004B01F7" w:rsidP="004B01F7">
      <w:pPr>
        <w:spacing w:line="240" w:lineRule="auto"/>
        <w:rPr>
          <w:rFonts w:eastAsia="Times New Roman" w:cs="Arial"/>
        </w:rPr>
      </w:pPr>
      <w:r w:rsidRPr="004B01F7">
        <w:rPr>
          <w:rFonts w:eastAsia="Times New Roman" w:cs="Arial"/>
          <w:bCs/>
          <w:color w:val="000000"/>
          <w:lang w:eastAsia="bg-BG"/>
        </w:rPr>
        <w:t xml:space="preserve">*Броят на пациенти те със събитие бяха анализирани чрез </w:t>
      </w:r>
      <w:r w:rsidRPr="004B01F7">
        <w:rPr>
          <w:rFonts w:eastAsia="Times New Roman" w:cs="Arial"/>
          <w:bCs/>
          <w:color w:val="000000"/>
          <w:lang w:val="en-US"/>
        </w:rPr>
        <w:t>Cochran</w:t>
      </w:r>
      <w:r w:rsidRPr="004B01F7">
        <w:rPr>
          <w:rFonts w:eastAsia="Times New Roman" w:cs="Arial"/>
          <w:bCs/>
          <w:color w:val="000000"/>
          <w:lang w:val="ru-RU"/>
        </w:rPr>
        <w:t>-</w:t>
      </w:r>
      <w:r w:rsidRPr="004B01F7">
        <w:rPr>
          <w:rFonts w:eastAsia="Times New Roman" w:cs="Arial"/>
          <w:bCs/>
          <w:color w:val="000000"/>
          <w:lang w:val="en-US"/>
        </w:rPr>
        <w:t>Mantel</w:t>
      </w:r>
      <w:r w:rsidRPr="004B01F7">
        <w:rPr>
          <w:rFonts w:eastAsia="Times New Roman" w:cs="Arial"/>
          <w:bCs/>
          <w:color w:val="000000"/>
          <w:lang w:val="ru-RU"/>
        </w:rPr>
        <w:t>-</w:t>
      </w:r>
      <w:proofErr w:type="spellStart"/>
      <w:r w:rsidRPr="004B01F7">
        <w:rPr>
          <w:rFonts w:eastAsia="Times New Roman" w:cs="Arial"/>
          <w:bCs/>
          <w:color w:val="000000"/>
          <w:lang w:val="en-US"/>
        </w:rPr>
        <w:t>Haenszel</w:t>
      </w:r>
      <w:proofErr w:type="spellEnd"/>
      <w:r w:rsidRPr="004B01F7">
        <w:rPr>
          <w:rFonts w:eastAsia="Times New Roman" w:cs="Arial"/>
          <w:bCs/>
          <w:color w:val="000000"/>
          <w:lang w:val="ru-RU"/>
        </w:rPr>
        <w:t xml:space="preserve"> </w:t>
      </w:r>
      <w:r w:rsidRPr="004B01F7">
        <w:rPr>
          <w:rFonts w:eastAsia="Times New Roman" w:cs="Arial"/>
          <w:bCs/>
          <w:color w:val="000000"/>
          <w:lang w:eastAsia="bg-BG"/>
        </w:rPr>
        <w:t>тест</w:t>
      </w:r>
      <w:r w:rsidRPr="004B01F7">
        <w:rPr>
          <w:rFonts w:eastAsia="Times New Roman" w:cs="Arial"/>
          <w:bCs/>
          <w:color w:val="000000"/>
          <w:lang w:val="ru-RU"/>
        </w:rPr>
        <w:t xml:space="preserve"> </w:t>
      </w:r>
      <w:r w:rsidRPr="004B01F7">
        <w:rPr>
          <w:rFonts w:eastAsia="Times New Roman" w:cs="Arial"/>
          <w:bCs/>
          <w:color w:val="000000"/>
          <w:lang w:eastAsia="bg-BG"/>
        </w:rPr>
        <w:t>стратифициран по обединен център; отношението се отнася до съотношение на риска.</w:t>
      </w:r>
    </w:p>
    <w:p w14:paraId="69434273" w14:textId="77777777" w:rsidR="004B01F7" w:rsidRPr="004B01F7" w:rsidRDefault="004B01F7" w:rsidP="004B01F7">
      <w:pPr>
        <w:rPr>
          <w:rFonts w:eastAsia="Times New Roman" w:cs="Arial"/>
          <w:bCs/>
          <w:color w:val="000000"/>
          <w:lang w:eastAsia="bg-BG"/>
        </w:rPr>
      </w:pPr>
    </w:p>
    <w:p w14:paraId="56A87A64" w14:textId="77777777" w:rsidR="004B01F7" w:rsidRPr="004B01F7" w:rsidRDefault="004B01F7" w:rsidP="004B01F7">
      <w:pPr>
        <w:rPr>
          <w:rFonts w:eastAsia="Times New Roman" w:cs="Arial"/>
        </w:rPr>
      </w:pPr>
      <w:r w:rsidRPr="004B01F7">
        <w:rPr>
          <w:rFonts w:eastAsia="Times New Roman" w:cs="Arial"/>
          <w:bCs/>
          <w:color w:val="000000"/>
          <w:lang w:eastAsia="bg-BG"/>
        </w:rPr>
        <w:t>В сравнение със салметерол, СПИРИВА увеличава времето до първото обостряне (187 дни спрямо 145 дни), със 17% намаление на риска (степен на риск, 0,83; 95% доверителен ингерал [СГ]</w:t>
      </w:r>
      <w:r w:rsidRPr="004B01F7">
        <w:rPr>
          <w:rFonts w:eastAsia="Times New Roman" w:cs="Arial"/>
          <w:bCs/>
          <w:color w:val="000000"/>
          <w:lang w:val="ru-RU"/>
        </w:rPr>
        <w:t xml:space="preserve"> 0,77 </w:t>
      </w:r>
      <w:r w:rsidRPr="004B01F7">
        <w:rPr>
          <w:rFonts w:eastAsia="Times New Roman" w:cs="Arial"/>
          <w:bCs/>
          <w:color w:val="000000"/>
          <w:lang w:eastAsia="bg-BG"/>
        </w:rPr>
        <w:t>до</w:t>
      </w:r>
      <w:r w:rsidRPr="004B01F7">
        <w:rPr>
          <w:rFonts w:eastAsia="Times New Roman" w:cs="Arial"/>
          <w:bCs/>
          <w:color w:val="000000"/>
          <w:lang w:val="ru-RU" w:eastAsia="bg-BG"/>
        </w:rPr>
        <w:t xml:space="preserve"> </w:t>
      </w:r>
      <w:r w:rsidRPr="004B01F7">
        <w:rPr>
          <w:rFonts w:eastAsia="Times New Roman" w:cs="Arial"/>
          <w:bCs/>
          <w:color w:val="000000"/>
          <w:lang w:eastAsia="bg-BG"/>
        </w:rPr>
        <w:t xml:space="preserve">0,90; Р&lt;0,001). СПИРИВА също е увеличила времето до първото тежко (хоспитализирани) обостряне (степен на риск, 0,72; 95% </w:t>
      </w:r>
      <w:r w:rsidRPr="004B01F7">
        <w:rPr>
          <w:rFonts w:eastAsia="Times New Roman" w:cs="Arial"/>
          <w:bCs/>
          <w:color w:val="000000"/>
          <w:lang w:val="en-US"/>
        </w:rPr>
        <w:t>CI</w:t>
      </w:r>
      <w:r w:rsidRPr="004B01F7">
        <w:rPr>
          <w:rFonts w:eastAsia="Times New Roman" w:cs="Arial"/>
          <w:bCs/>
          <w:color w:val="000000"/>
          <w:lang w:val="ru-RU"/>
        </w:rPr>
        <w:t xml:space="preserve">, </w:t>
      </w:r>
      <w:r w:rsidRPr="004B01F7">
        <w:rPr>
          <w:rFonts w:eastAsia="Times New Roman" w:cs="Arial"/>
          <w:bCs/>
          <w:color w:val="000000"/>
          <w:lang w:eastAsia="bg-BG"/>
        </w:rPr>
        <w:t>0,61 до 0,85; Р&lt;0,001).</w:t>
      </w:r>
    </w:p>
    <w:p w14:paraId="31D667B4" w14:textId="77777777" w:rsidR="004B01F7" w:rsidRPr="004B01F7" w:rsidRDefault="004B01F7" w:rsidP="004B01F7">
      <w:pPr>
        <w:spacing w:line="240" w:lineRule="auto"/>
        <w:rPr>
          <w:rFonts w:eastAsia="Times New Roman" w:cs="Arial"/>
          <w:bCs/>
          <w:color w:val="000000"/>
          <w:u w:val="single"/>
          <w:lang w:eastAsia="bg-BG"/>
        </w:rPr>
      </w:pPr>
    </w:p>
    <w:p w14:paraId="186C2493" w14:textId="0D488301" w:rsidR="004B01F7" w:rsidRPr="004B01F7" w:rsidRDefault="004B01F7" w:rsidP="004B01F7">
      <w:pPr>
        <w:spacing w:line="240" w:lineRule="auto"/>
        <w:rPr>
          <w:rFonts w:eastAsia="Times New Roman" w:cs="Arial"/>
        </w:rPr>
      </w:pPr>
      <w:r w:rsidRPr="004B01F7">
        <w:rPr>
          <w:rFonts w:eastAsia="Times New Roman" w:cs="Arial"/>
          <w:bCs/>
          <w:color w:val="000000"/>
          <w:u w:val="single"/>
          <w:lang w:eastAsia="bg-BG"/>
        </w:rPr>
        <w:t>Дългосрочни клинични проучвания (над 1 голина, не повече от 4 години)</w:t>
      </w:r>
    </w:p>
    <w:p w14:paraId="21CE8659" w14:textId="77777777" w:rsidR="004B01F7" w:rsidRPr="004B01F7" w:rsidRDefault="004B01F7" w:rsidP="004B01F7">
      <w:pPr>
        <w:spacing w:line="240" w:lineRule="auto"/>
        <w:rPr>
          <w:rFonts w:eastAsia="Times New Roman" w:cs="Arial"/>
          <w:bCs/>
          <w:color w:val="000000"/>
          <w:lang w:eastAsia="bg-BG"/>
        </w:rPr>
      </w:pPr>
    </w:p>
    <w:p w14:paraId="07C3D181" w14:textId="0955208D" w:rsidR="004B01F7" w:rsidRPr="004B01F7" w:rsidRDefault="004B01F7" w:rsidP="004B01F7">
      <w:pPr>
        <w:spacing w:line="240" w:lineRule="auto"/>
        <w:rPr>
          <w:rFonts w:eastAsia="Times New Roman" w:cs="Arial"/>
        </w:rPr>
      </w:pPr>
      <w:r w:rsidRPr="004B01F7">
        <w:rPr>
          <w:rFonts w:eastAsia="Times New Roman" w:cs="Arial"/>
          <w:bCs/>
          <w:color w:val="000000"/>
          <w:lang w:eastAsia="bg-BG"/>
        </w:rPr>
        <w:t>В четиригодишно, рандомизирано, двойно-сляпо, плацебо-контролирано клинично проучване на 5 993 рандомизирани пациента (3 006 пациента, приемащи плацебо и 2 987 пациенти, приемащи СПИРИВА), подобрението на ФЕО</w:t>
      </w:r>
      <w:r w:rsidRPr="004B01F7">
        <w:rPr>
          <w:rFonts w:eastAsia="Times New Roman" w:cs="Arial"/>
          <w:bCs/>
          <w:color w:val="000000"/>
          <w:vertAlign w:val="subscript"/>
          <w:lang w:eastAsia="bg-BG"/>
        </w:rPr>
        <w:t>1</w:t>
      </w:r>
      <w:r w:rsidRPr="004B01F7">
        <w:rPr>
          <w:rFonts w:eastAsia="Times New Roman" w:cs="Arial"/>
          <w:bCs/>
          <w:color w:val="000000"/>
          <w:lang w:eastAsia="bg-BG"/>
        </w:rPr>
        <w:t xml:space="preserve"> в резултат на прилагане на СПИРИВА в сравнение с плацебо остава постоянно през 4-те години. По-голям процент пациенти от групата, приемала СПИРИВА, са завършили лечението ≥45 месеца в сравнение </w:t>
      </w:r>
      <w:r w:rsidRPr="004B01F7">
        <w:rPr>
          <w:rFonts w:eastAsia="Times New Roman" w:cs="Arial"/>
          <w:bCs/>
          <w:i/>
          <w:iCs/>
          <w:color w:val="000000"/>
          <w:lang w:eastAsia="bg-BG"/>
        </w:rPr>
        <w:t>с</w:t>
      </w:r>
      <w:r w:rsidRPr="004B01F7">
        <w:rPr>
          <w:rFonts w:eastAsia="Times New Roman" w:cs="Arial"/>
          <w:bCs/>
          <w:color w:val="000000"/>
          <w:lang w:eastAsia="bg-BG"/>
        </w:rPr>
        <w:t xml:space="preserve"> групата, приемала плацебо (63,8% спрямо 55,4%, р&lt;0,001). Годишният процент на понижаване на ФЕО</w:t>
      </w:r>
      <w:r w:rsidRPr="004B01F7">
        <w:rPr>
          <w:rFonts w:eastAsia="Times New Roman" w:cs="Arial"/>
          <w:bCs/>
          <w:color w:val="000000"/>
          <w:vertAlign w:val="subscript"/>
          <w:lang w:eastAsia="bg-BG"/>
        </w:rPr>
        <w:t>1</w:t>
      </w:r>
      <w:r w:rsidRPr="004B01F7">
        <w:rPr>
          <w:rFonts w:eastAsia="Times New Roman" w:cs="Arial"/>
          <w:bCs/>
          <w:color w:val="000000"/>
          <w:lang w:eastAsia="bg-BG"/>
        </w:rPr>
        <w:t xml:space="preserve"> в сравнение с плацебо е бил сходен с този при СПИРИВА и плацебо. По време на лечението е наблюдавано 16% намаление на риска от смърт. Процентът на смъртност е 4,79 на 100 пациенто-години в групата, приемала плацебо, спрямо 4,10 на 109 пациенто-години в групата, приемала тиотропиум (коефициент на риска (тиотропиум/плацебо) = 0,84,95% ДИ= 0,73,0,97). Лечението с тиотропиум намалява риска от дихателна недостатъчност (както е отбелязано според съобщенията за нежелани реакции) с 19% (2,09 спрямо 1,68 случая на 100 пациенто-години, относителен риск (тиотропиум/плацебо) = 0,81,95% ДИ = 0,65,0,999).</w:t>
      </w:r>
    </w:p>
    <w:p w14:paraId="4F69BDAB" w14:textId="77777777" w:rsidR="004B01F7" w:rsidRPr="004B01F7" w:rsidRDefault="004B01F7" w:rsidP="004B01F7">
      <w:pPr>
        <w:spacing w:line="240" w:lineRule="auto"/>
        <w:rPr>
          <w:rFonts w:eastAsia="Times New Roman" w:cs="Arial"/>
          <w:bCs/>
          <w:i/>
          <w:iCs/>
          <w:color w:val="000000"/>
          <w:u w:val="single"/>
          <w:lang w:eastAsia="bg-BG"/>
        </w:rPr>
      </w:pPr>
    </w:p>
    <w:p w14:paraId="7E48FAE1" w14:textId="0B04BA3F" w:rsidR="004B01F7" w:rsidRPr="004B01F7" w:rsidRDefault="004B01F7" w:rsidP="004B01F7">
      <w:pPr>
        <w:spacing w:line="240" w:lineRule="auto"/>
        <w:rPr>
          <w:rFonts w:eastAsia="Times New Roman" w:cs="Arial"/>
        </w:rPr>
      </w:pPr>
      <w:r w:rsidRPr="004B01F7">
        <w:rPr>
          <w:rFonts w:eastAsia="Times New Roman" w:cs="Arial"/>
          <w:bCs/>
          <w:i/>
          <w:iCs/>
          <w:color w:val="000000"/>
          <w:u w:val="single"/>
          <w:lang w:eastAsia="bg-BG"/>
        </w:rPr>
        <w:t>Активно-контролипано клинично проучване на тиотропиум</w:t>
      </w:r>
    </w:p>
    <w:p w14:paraId="1BABB933" w14:textId="77777777" w:rsidR="004B01F7" w:rsidRPr="004B01F7" w:rsidRDefault="004B01F7" w:rsidP="004B01F7">
      <w:pPr>
        <w:spacing w:line="240" w:lineRule="auto"/>
        <w:rPr>
          <w:rFonts w:eastAsia="Times New Roman" w:cs="Arial"/>
          <w:bCs/>
          <w:color w:val="000000"/>
          <w:lang w:eastAsia="bg-BG"/>
        </w:rPr>
      </w:pPr>
    </w:p>
    <w:p w14:paraId="50CD92B5" w14:textId="269E22D9" w:rsidR="004B01F7" w:rsidRPr="004B01F7" w:rsidRDefault="004B01F7" w:rsidP="004B01F7">
      <w:pPr>
        <w:spacing w:line="240" w:lineRule="auto"/>
        <w:rPr>
          <w:rFonts w:eastAsia="Times New Roman" w:cs="Arial"/>
        </w:rPr>
      </w:pPr>
      <w:r w:rsidRPr="004B01F7">
        <w:rPr>
          <w:rFonts w:eastAsia="Times New Roman" w:cs="Arial"/>
          <w:bCs/>
          <w:color w:val="000000"/>
          <w:lang w:eastAsia="bg-BG"/>
        </w:rPr>
        <w:t xml:space="preserve">Проведено е дългосрочно, обширно, рандомизирано, двойно-сляпо, активно контролирано клинично проучване с период на проследяване до 3 години за сравнение на ефикасността и безопасността на СПИРИВА </w:t>
      </w:r>
      <w:proofErr w:type="spellStart"/>
      <w:r w:rsidRPr="004B01F7">
        <w:rPr>
          <w:rFonts w:eastAsia="Times New Roman" w:cs="Arial"/>
          <w:bCs/>
          <w:color w:val="000000"/>
          <w:lang w:val="en-US"/>
        </w:rPr>
        <w:t>HandiHaler</w:t>
      </w:r>
      <w:proofErr w:type="spellEnd"/>
      <w:r w:rsidRPr="004B01F7">
        <w:rPr>
          <w:rFonts w:eastAsia="Times New Roman" w:cs="Arial"/>
          <w:bCs/>
          <w:color w:val="000000"/>
          <w:lang w:val="ru-RU"/>
        </w:rPr>
        <w:t xml:space="preserve"> </w:t>
      </w:r>
      <w:r w:rsidRPr="004B01F7">
        <w:rPr>
          <w:rFonts w:eastAsia="Times New Roman" w:cs="Arial"/>
          <w:bCs/>
          <w:color w:val="000000"/>
          <w:lang w:eastAsia="bg-BG"/>
        </w:rPr>
        <w:t xml:space="preserve">и СПИРИВА Респимат (5 694 пациенти са приемали СПИРИВА </w:t>
      </w:r>
      <w:proofErr w:type="spellStart"/>
      <w:r w:rsidRPr="004B01F7">
        <w:rPr>
          <w:rFonts w:eastAsia="Times New Roman" w:cs="Arial"/>
          <w:bCs/>
          <w:color w:val="000000"/>
          <w:lang w:val="en-US"/>
        </w:rPr>
        <w:t>HandiHaler</w:t>
      </w:r>
      <w:proofErr w:type="spellEnd"/>
      <w:r w:rsidRPr="004B01F7">
        <w:rPr>
          <w:rFonts w:eastAsia="Times New Roman" w:cs="Arial"/>
          <w:bCs/>
          <w:color w:val="000000"/>
          <w:lang w:val="ru-RU"/>
        </w:rPr>
        <w:t xml:space="preserve">, </w:t>
      </w:r>
      <w:r w:rsidRPr="004B01F7">
        <w:rPr>
          <w:rFonts w:eastAsia="Times New Roman" w:cs="Arial"/>
          <w:bCs/>
          <w:color w:val="000000"/>
          <w:lang w:eastAsia="bg-BG"/>
        </w:rPr>
        <w:t>5 711 пациенти са приемали СПИРИВА Респимат). Първичните крайни цели са били времето до първото обостряне на ХОББ, времето до смърт поради всички причини и в подизпитване (906 пациента) най-нисък ФЕО</w:t>
      </w:r>
      <w:r w:rsidRPr="004B01F7">
        <w:rPr>
          <w:rFonts w:eastAsia="Times New Roman" w:cs="Arial"/>
          <w:bCs/>
          <w:color w:val="000000"/>
          <w:vertAlign w:val="subscript"/>
          <w:lang w:eastAsia="bg-BG"/>
        </w:rPr>
        <w:t>1</w:t>
      </w:r>
      <w:r w:rsidRPr="004B01F7">
        <w:rPr>
          <w:rFonts w:eastAsia="Times New Roman" w:cs="Arial"/>
          <w:bCs/>
          <w:color w:val="000000"/>
          <w:lang w:eastAsia="bg-BG"/>
        </w:rPr>
        <w:t xml:space="preserve"> (преди прилагане на доза).</w:t>
      </w:r>
    </w:p>
    <w:p w14:paraId="7F406D27" w14:textId="77777777" w:rsidR="004B01F7" w:rsidRPr="004B01F7" w:rsidRDefault="004B01F7" w:rsidP="004B01F7">
      <w:pPr>
        <w:spacing w:line="240" w:lineRule="auto"/>
        <w:rPr>
          <w:rFonts w:eastAsia="Times New Roman" w:cs="Arial"/>
          <w:bCs/>
          <w:color w:val="000000"/>
          <w:lang w:eastAsia="bg-BG"/>
        </w:rPr>
      </w:pPr>
    </w:p>
    <w:p w14:paraId="79820517" w14:textId="25EC8F41" w:rsidR="004B01F7" w:rsidRPr="004B01F7" w:rsidRDefault="004B01F7" w:rsidP="004B01F7">
      <w:pPr>
        <w:spacing w:line="240" w:lineRule="auto"/>
        <w:rPr>
          <w:rFonts w:eastAsia="Times New Roman" w:cs="Arial"/>
        </w:rPr>
      </w:pPr>
      <w:r w:rsidRPr="004B01F7">
        <w:rPr>
          <w:rFonts w:eastAsia="Times New Roman" w:cs="Arial"/>
          <w:bCs/>
          <w:color w:val="000000"/>
          <w:lang w:eastAsia="bg-BG"/>
        </w:rPr>
        <w:t xml:space="preserve">Времето до първото обостряне на ХОББ е числено подобно при проучването със СПИРИВА </w:t>
      </w:r>
      <w:proofErr w:type="spellStart"/>
      <w:r w:rsidRPr="004B01F7">
        <w:rPr>
          <w:rFonts w:eastAsia="Times New Roman" w:cs="Arial"/>
          <w:bCs/>
          <w:color w:val="000000"/>
          <w:lang w:val="en-US"/>
        </w:rPr>
        <w:t>HandiHaler</w:t>
      </w:r>
      <w:proofErr w:type="spellEnd"/>
      <w:r w:rsidRPr="004B01F7">
        <w:rPr>
          <w:rFonts w:eastAsia="Times New Roman" w:cs="Arial"/>
          <w:bCs/>
          <w:color w:val="000000"/>
          <w:lang w:val="ru-RU"/>
        </w:rPr>
        <w:t xml:space="preserve"> </w:t>
      </w:r>
      <w:r w:rsidRPr="004B01F7">
        <w:rPr>
          <w:rFonts w:eastAsia="Times New Roman" w:cs="Arial"/>
          <w:bCs/>
          <w:color w:val="000000"/>
          <w:lang w:eastAsia="bg-BG"/>
        </w:rPr>
        <w:t xml:space="preserve">и СПИРИВА Респимат (коефициент на риск (СПИРИВА </w:t>
      </w:r>
      <w:proofErr w:type="spellStart"/>
      <w:r w:rsidRPr="004B01F7">
        <w:rPr>
          <w:rFonts w:eastAsia="Times New Roman" w:cs="Arial"/>
          <w:bCs/>
          <w:color w:val="000000"/>
          <w:lang w:val="en-US"/>
        </w:rPr>
        <w:t>HandiHaler</w:t>
      </w:r>
      <w:proofErr w:type="spellEnd"/>
      <w:r w:rsidRPr="004B01F7">
        <w:rPr>
          <w:rFonts w:eastAsia="Times New Roman" w:cs="Arial"/>
          <w:bCs/>
          <w:color w:val="000000"/>
          <w:lang w:eastAsia="bg-BG"/>
        </w:rPr>
        <w:t xml:space="preserve">/СПИРИВА Респимат) 1,02 с 95% ДИ от 0,97 до 1,08). Средният брой дни до първото обостряне на ХОББ е 719 дни за СПИРИВА </w:t>
      </w:r>
      <w:proofErr w:type="spellStart"/>
      <w:r w:rsidRPr="004B01F7">
        <w:rPr>
          <w:rFonts w:eastAsia="Times New Roman" w:cs="Arial"/>
          <w:bCs/>
          <w:color w:val="000000"/>
          <w:lang w:val="en-US"/>
        </w:rPr>
        <w:t>HandiHaler</w:t>
      </w:r>
      <w:proofErr w:type="spellEnd"/>
      <w:r w:rsidRPr="004B01F7">
        <w:rPr>
          <w:rFonts w:eastAsia="Times New Roman" w:cs="Arial"/>
          <w:bCs/>
          <w:color w:val="000000"/>
          <w:lang w:val="ru-RU"/>
        </w:rPr>
        <w:t xml:space="preserve"> </w:t>
      </w:r>
      <w:r w:rsidRPr="004B01F7">
        <w:rPr>
          <w:rFonts w:eastAsia="Times New Roman" w:cs="Arial"/>
          <w:bCs/>
          <w:color w:val="000000"/>
          <w:lang w:eastAsia="bg-BG"/>
        </w:rPr>
        <w:t>и 756 дни за СПИРИВА Респимат.</w:t>
      </w:r>
    </w:p>
    <w:p w14:paraId="08B92AC8" w14:textId="77777777" w:rsidR="004B01F7" w:rsidRPr="004B01F7" w:rsidRDefault="004B01F7" w:rsidP="004B01F7">
      <w:pPr>
        <w:spacing w:line="240" w:lineRule="auto"/>
        <w:rPr>
          <w:rFonts w:eastAsia="Times New Roman" w:cs="Arial"/>
          <w:bCs/>
          <w:color w:val="000000"/>
          <w:lang w:eastAsia="bg-BG"/>
        </w:rPr>
      </w:pPr>
    </w:p>
    <w:p w14:paraId="0C0A2D4F" w14:textId="65A86860" w:rsidR="004B01F7" w:rsidRPr="004B01F7" w:rsidRDefault="004B01F7" w:rsidP="004B01F7">
      <w:pPr>
        <w:spacing w:line="240" w:lineRule="auto"/>
        <w:rPr>
          <w:rFonts w:eastAsia="Times New Roman" w:cs="Arial"/>
        </w:rPr>
      </w:pPr>
      <w:r w:rsidRPr="004B01F7">
        <w:rPr>
          <w:rFonts w:eastAsia="Times New Roman" w:cs="Arial"/>
          <w:bCs/>
          <w:color w:val="000000"/>
          <w:lang w:eastAsia="bg-BG"/>
        </w:rPr>
        <w:t xml:space="preserve">Бронходилататорният ефект на СПИРИВА </w:t>
      </w:r>
      <w:proofErr w:type="spellStart"/>
      <w:r w:rsidRPr="004B01F7">
        <w:rPr>
          <w:rFonts w:eastAsia="Times New Roman" w:cs="Arial"/>
          <w:bCs/>
          <w:color w:val="000000"/>
          <w:lang w:val="en-US"/>
        </w:rPr>
        <w:t>HandiHaler</w:t>
      </w:r>
      <w:proofErr w:type="spellEnd"/>
      <w:r w:rsidRPr="004B01F7">
        <w:rPr>
          <w:rFonts w:eastAsia="Times New Roman" w:cs="Arial"/>
          <w:bCs/>
          <w:color w:val="000000"/>
          <w:lang w:val="ru-RU"/>
        </w:rPr>
        <w:t xml:space="preserve"> </w:t>
      </w:r>
      <w:r w:rsidRPr="004B01F7">
        <w:rPr>
          <w:rFonts w:eastAsia="Times New Roman" w:cs="Arial"/>
          <w:bCs/>
          <w:color w:val="000000"/>
          <w:lang w:eastAsia="bg-BG"/>
        </w:rPr>
        <w:t>продължава над 120 седмици и е сходен с този на СПИРИВА Респимат. Средната разлика при сравнение на ФЕО</w:t>
      </w:r>
      <w:r w:rsidRPr="004B01F7">
        <w:rPr>
          <w:rFonts w:eastAsia="Times New Roman" w:cs="Arial"/>
          <w:bCs/>
          <w:color w:val="000000"/>
          <w:vertAlign w:val="subscript"/>
          <w:lang w:eastAsia="bg-BG"/>
        </w:rPr>
        <w:t>1</w:t>
      </w:r>
      <w:r w:rsidRPr="004B01F7">
        <w:rPr>
          <w:rFonts w:eastAsia="Times New Roman" w:cs="Arial"/>
          <w:bCs/>
          <w:color w:val="000000"/>
          <w:lang w:eastAsia="bg-BG"/>
        </w:rPr>
        <w:t xml:space="preserve"> на СПИРИВА </w:t>
      </w:r>
      <w:proofErr w:type="spellStart"/>
      <w:r w:rsidRPr="004B01F7">
        <w:rPr>
          <w:rFonts w:eastAsia="Times New Roman" w:cs="Arial"/>
          <w:bCs/>
          <w:color w:val="000000"/>
          <w:lang w:val="en-US"/>
        </w:rPr>
        <w:t>HandiHaler</w:t>
      </w:r>
      <w:proofErr w:type="spellEnd"/>
      <w:r w:rsidRPr="004B01F7">
        <w:rPr>
          <w:rFonts w:eastAsia="Times New Roman" w:cs="Arial"/>
          <w:bCs/>
          <w:color w:val="000000"/>
          <w:lang w:val="ru-RU"/>
        </w:rPr>
        <w:t xml:space="preserve"> </w:t>
      </w:r>
      <w:r w:rsidRPr="004B01F7">
        <w:rPr>
          <w:rFonts w:eastAsia="Times New Roman" w:cs="Arial"/>
          <w:bCs/>
          <w:color w:val="000000"/>
          <w:lang w:eastAsia="bg-BG"/>
        </w:rPr>
        <w:t>спрямо СПИРИВА Респимат е била -0,0101 (95% ДИ -0,018 до 0,0381).</w:t>
      </w:r>
    </w:p>
    <w:p w14:paraId="32D77C04" w14:textId="77777777" w:rsidR="004B01F7" w:rsidRPr="004B01F7" w:rsidRDefault="004B01F7" w:rsidP="004B01F7">
      <w:pPr>
        <w:spacing w:line="240" w:lineRule="auto"/>
        <w:rPr>
          <w:rFonts w:eastAsia="Times New Roman" w:cs="Arial"/>
          <w:bCs/>
          <w:color w:val="000000"/>
          <w:lang w:eastAsia="bg-BG"/>
        </w:rPr>
      </w:pPr>
    </w:p>
    <w:p w14:paraId="7D78DD2D" w14:textId="42AAF074" w:rsidR="004B01F7" w:rsidRPr="004B01F7" w:rsidRDefault="004B01F7" w:rsidP="004B01F7">
      <w:pPr>
        <w:spacing w:line="240" w:lineRule="auto"/>
        <w:rPr>
          <w:rFonts w:eastAsia="Times New Roman" w:cs="Arial"/>
        </w:rPr>
      </w:pPr>
      <w:r w:rsidRPr="004B01F7">
        <w:rPr>
          <w:rFonts w:eastAsia="Times New Roman" w:cs="Arial"/>
          <w:bCs/>
          <w:color w:val="000000"/>
          <w:lang w:eastAsia="bg-BG"/>
        </w:rPr>
        <w:t xml:space="preserve">В проучването </w:t>
      </w:r>
      <w:proofErr w:type="spellStart"/>
      <w:r w:rsidRPr="004B01F7">
        <w:rPr>
          <w:rFonts w:eastAsia="Times New Roman" w:cs="Arial"/>
          <w:bCs/>
          <w:color w:val="000000"/>
          <w:lang w:val="en-US"/>
        </w:rPr>
        <w:t>TioSpir</w:t>
      </w:r>
      <w:proofErr w:type="spellEnd"/>
      <w:r w:rsidRPr="004B01F7">
        <w:rPr>
          <w:rFonts w:eastAsia="Times New Roman" w:cs="Arial"/>
          <w:bCs/>
          <w:color w:val="000000"/>
          <w:lang w:val="ru-RU"/>
        </w:rPr>
        <w:t xml:space="preserve"> </w:t>
      </w:r>
      <w:r w:rsidRPr="004B01F7">
        <w:rPr>
          <w:rFonts w:eastAsia="Times New Roman" w:cs="Arial"/>
          <w:bCs/>
          <w:color w:val="000000"/>
          <w:lang w:eastAsia="bg-BG"/>
        </w:rPr>
        <w:t xml:space="preserve">в периода след пускане на пазара, сравняващо СПИРИВА Респимат и СПИРИВА </w:t>
      </w:r>
      <w:proofErr w:type="spellStart"/>
      <w:r w:rsidRPr="004B01F7">
        <w:rPr>
          <w:rFonts w:eastAsia="Times New Roman" w:cs="Arial"/>
          <w:bCs/>
          <w:color w:val="000000"/>
          <w:lang w:val="en-US"/>
        </w:rPr>
        <w:t>HandiHaler</w:t>
      </w:r>
      <w:proofErr w:type="spellEnd"/>
      <w:r w:rsidRPr="004B01F7">
        <w:rPr>
          <w:rFonts w:eastAsia="Times New Roman" w:cs="Arial"/>
          <w:bCs/>
          <w:color w:val="000000"/>
          <w:lang w:val="ru-RU"/>
        </w:rPr>
        <w:t xml:space="preserve">, </w:t>
      </w:r>
      <w:r w:rsidRPr="004B01F7">
        <w:rPr>
          <w:rFonts w:eastAsia="Times New Roman" w:cs="Arial"/>
          <w:bCs/>
          <w:color w:val="000000"/>
          <w:lang w:eastAsia="bg-BG"/>
        </w:rPr>
        <w:t xml:space="preserve">смъртността поради всяка причина, включително проследяване на жизнения статус, е била сходна при СПИРИВА </w:t>
      </w:r>
      <w:proofErr w:type="spellStart"/>
      <w:r w:rsidRPr="004B01F7">
        <w:rPr>
          <w:rFonts w:eastAsia="Times New Roman" w:cs="Arial"/>
          <w:bCs/>
          <w:color w:val="000000"/>
          <w:lang w:val="en-US"/>
        </w:rPr>
        <w:t>HandiHaler</w:t>
      </w:r>
      <w:proofErr w:type="spellEnd"/>
      <w:r w:rsidRPr="004B01F7">
        <w:rPr>
          <w:rFonts w:eastAsia="Times New Roman" w:cs="Arial"/>
          <w:bCs/>
          <w:color w:val="000000"/>
          <w:lang w:val="ru-RU"/>
        </w:rPr>
        <w:t xml:space="preserve"> </w:t>
      </w:r>
      <w:r w:rsidRPr="004B01F7">
        <w:rPr>
          <w:rFonts w:eastAsia="Times New Roman" w:cs="Arial"/>
          <w:bCs/>
          <w:color w:val="000000"/>
          <w:lang w:eastAsia="bg-BG"/>
        </w:rPr>
        <w:t xml:space="preserve">и СПИРИВА Респимат (коефициент на риск (СПИРИВА </w:t>
      </w:r>
      <w:proofErr w:type="spellStart"/>
      <w:r w:rsidRPr="004B01F7">
        <w:rPr>
          <w:rFonts w:eastAsia="Times New Roman" w:cs="Arial"/>
          <w:bCs/>
          <w:color w:val="000000"/>
          <w:lang w:val="en-US"/>
        </w:rPr>
        <w:t>HandiHaler</w:t>
      </w:r>
      <w:proofErr w:type="spellEnd"/>
      <w:r w:rsidRPr="004B01F7">
        <w:rPr>
          <w:rFonts w:eastAsia="Times New Roman" w:cs="Arial"/>
          <w:bCs/>
          <w:color w:val="000000"/>
          <w:lang w:eastAsia="bg-BG"/>
        </w:rPr>
        <w:t>/СПИРИВА Респимат) 1,04 с 95% ДИ от 0,91 до 1,19).</w:t>
      </w:r>
    </w:p>
    <w:p w14:paraId="71D2288C" w14:textId="77777777" w:rsidR="004B01F7" w:rsidRPr="004B01F7" w:rsidRDefault="004B01F7" w:rsidP="004B01F7">
      <w:pPr>
        <w:spacing w:line="240" w:lineRule="auto"/>
        <w:rPr>
          <w:rFonts w:eastAsia="Times New Roman" w:cs="Arial"/>
          <w:bCs/>
          <w:color w:val="000000"/>
          <w:u w:val="single"/>
          <w:lang w:eastAsia="bg-BG"/>
        </w:rPr>
      </w:pPr>
    </w:p>
    <w:p w14:paraId="20CA115E" w14:textId="0FBD722F" w:rsidR="004B01F7" w:rsidRPr="004B01F7" w:rsidRDefault="004B01F7" w:rsidP="004B01F7">
      <w:pPr>
        <w:spacing w:line="240" w:lineRule="auto"/>
        <w:rPr>
          <w:rFonts w:eastAsia="Times New Roman" w:cs="Arial"/>
        </w:rPr>
      </w:pPr>
      <w:r w:rsidRPr="004B01F7">
        <w:rPr>
          <w:rFonts w:eastAsia="Times New Roman" w:cs="Arial"/>
          <w:bCs/>
          <w:color w:val="000000"/>
          <w:u w:val="single"/>
          <w:lang w:eastAsia="bg-BG"/>
        </w:rPr>
        <w:t>Педиатрична популация:</w:t>
      </w:r>
    </w:p>
    <w:p w14:paraId="03090D1B" w14:textId="77777777" w:rsidR="004B01F7" w:rsidRPr="004B01F7" w:rsidRDefault="004B01F7" w:rsidP="004B01F7">
      <w:pPr>
        <w:spacing w:line="240" w:lineRule="auto"/>
        <w:rPr>
          <w:rFonts w:eastAsia="Times New Roman" w:cs="Arial"/>
        </w:rPr>
      </w:pPr>
      <w:r w:rsidRPr="004B01F7">
        <w:rPr>
          <w:rFonts w:eastAsia="Times New Roman" w:cs="Arial"/>
          <w:bCs/>
          <w:color w:val="000000"/>
          <w:lang w:eastAsia="bg-BG"/>
        </w:rPr>
        <w:t>Европейската агенция по лекарствата освобождава от задължението за предоставяне на резултатите от проучванията със СПИРИВА във всички подгрупи на педиатричната популация при ХОББ и кистозна фиброза (вж. точка 4.2 за информация относно педиатрична употреба).</w:t>
      </w:r>
    </w:p>
    <w:p w14:paraId="64A3368F" w14:textId="46260062" w:rsidR="004B01F7" w:rsidRPr="004B01F7" w:rsidRDefault="004B01F7" w:rsidP="004B01F7"/>
    <w:p w14:paraId="346B622B" w14:textId="7621ABF1" w:rsidR="00875EEC" w:rsidRDefault="002C50EE" w:rsidP="005726E3">
      <w:pPr>
        <w:pStyle w:val="Heading2"/>
      </w:pPr>
      <w:r>
        <w:t>5.2. Фармакокинетични свойства</w:t>
      </w:r>
    </w:p>
    <w:p w14:paraId="04CE3CC2" w14:textId="76FD89DB" w:rsidR="004B01F7" w:rsidRDefault="004B01F7" w:rsidP="004B01F7"/>
    <w:p w14:paraId="6CF4D797" w14:textId="77777777" w:rsidR="004B01F7" w:rsidRPr="002713B4" w:rsidRDefault="004B01F7" w:rsidP="004B01F7">
      <w:pPr>
        <w:spacing w:line="240" w:lineRule="auto"/>
        <w:rPr>
          <w:rFonts w:eastAsia="Times New Roman" w:cs="Arial"/>
        </w:rPr>
      </w:pPr>
      <w:r w:rsidRPr="002713B4">
        <w:rPr>
          <w:rFonts w:eastAsia="Times New Roman" w:cs="Arial"/>
          <w:bCs/>
          <w:color w:val="000000"/>
          <w:u w:val="single"/>
          <w:lang w:val="en-US"/>
        </w:rPr>
        <w:t xml:space="preserve">a) </w:t>
      </w:r>
      <w:r w:rsidRPr="002713B4">
        <w:rPr>
          <w:rFonts w:eastAsia="Times New Roman" w:cs="Arial"/>
          <w:bCs/>
          <w:color w:val="000000"/>
          <w:u w:val="single"/>
          <w:lang w:eastAsia="bg-BG"/>
        </w:rPr>
        <w:t>Обща информация:</w:t>
      </w:r>
    </w:p>
    <w:p w14:paraId="6E008AE0" w14:textId="77777777" w:rsidR="004B01F7" w:rsidRPr="002713B4" w:rsidRDefault="004B01F7" w:rsidP="004B01F7">
      <w:pPr>
        <w:rPr>
          <w:rFonts w:eastAsia="Times New Roman" w:cs="Arial"/>
          <w:bCs/>
          <w:color w:val="000000"/>
          <w:lang w:eastAsia="bg-BG"/>
        </w:rPr>
      </w:pPr>
    </w:p>
    <w:p w14:paraId="779E9D47" w14:textId="25DCA87D" w:rsidR="004B01F7" w:rsidRPr="002713B4" w:rsidRDefault="004B01F7" w:rsidP="004B01F7">
      <w:pPr>
        <w:rPr>
          <w:rFonts w:eastAsia="Times New Roman" w:cs="Arial"/>
          <w:bCs/>
          <w:color w:val="000000"/>
          <w:lang w:eastAsia="bg-BG"/>
        </w:rPr>
      </w:pPr>
      <w:r w:rsidRPr="002713B4">
        <w:rPr>
          <w:rFonts w:eastAsia="Times New Roman" w:cs="Arial"/>
          <w:bCs/>
          <w:color w:val="000000"/>
          <w:lang w:eastAsia="bg-BG"/>
        </w:rPr>
        <w:t>Тиотропиум бромид представлява ахирално четвъртично амониево съединение, с умерена разтворимост във вода. Приложението на тиотропиум бромид е респираторно (прах за инхалация) Обикновено, посредством респираторния (инхалационния) начин на приложение по-голяма част от приложената доза се депозира в стомашно-чревния тракт и в по-малка степен в очаквания орган на</w:t>
      </w:r>
      <w:r w:rsidRPr="002713B4">
        <w:rPr>
          <w:rFonts w:eastAsia="Times New Roman" w:cs="Arial"/>
          <w:bCs/>
          <w:i/>
          <w:iCs/>
          <w:color w:val="000000"/>
          <w:lang w:eastAsia="bg-BG"/>
        </w:rPr>
        <w:t xml:space="preserve"> </w:t>
      </w:r>
      <w:r w:rsidRPr="002713B4">
        <w:rPr>
          <w:rFonts w:eastAsia="Times New Roman" w:cs="Arial"/>
          <w:bCs/>
          <w:color w:val="000000"/>
          <w:lang w:eastAsia="bg-BG"/>
        </w:rPr>
        <w:t>белия дроб. Повечето от описаните по-долу фармакокинетични данни, бяха получени, използвайки дози, по-високи от препоръчителните за терапия.</w:t>
      </w:r>
    </w:p>
    <w:p w14:paraId="1D3899A8" w14:textId="1F6B7822" w:rsidR="004B01F7" w:rsidRPr="002713B4" w:rsidRDefault="004B01F7" w:rsidP="004B01F7">
      <w:pPr>
        <w:rPr>
          <w:rFonts w:eastAsia="Times New Roman" w:cs="Arial"/>
          <w:bCs/>
          <w:color w:val="000000"/>
          <w:lang w:eastAsia="bg-BG"/>
        </w:rPr>
      </w:pPr>
    </w:p>
    <w:p w14:paraId="7A3C4146" w14:textId="77777777" w:rsidR="004B01F7" w:rsidRPr="002713B4" w:rsidRDefault="004B01F7" w:rsidP="004B01F7">
      <w:pPr>
        <w:spacing w:line="240" w:lineRule="auto"/>
        <w:rPr>
          <w:rFonts w:eastAsia="Times New Roman" w:cs="Arial"/>
        </w:rPr>
      </w:pPr>
      <w:r w:rsidRPr="002713B4">
        <w:rPr>
          <w:rFonts w:eastAsia="Times New Roman" w:cs="Arial"/>
          <w:bCs/>
          <w:color w:val="000000"/>
          <w:u w:val="single"/>
          <w:lang w:eastAsia="bg-BG"/>
        </w:rPr>
        <w:t>б)Обща характеристика на активното вещество след приложение на лекарствения продукт</w:t>
      </w:r>
    </w:p>
    <w:p w14:paraId="414ACBA4" w14:textId="77777777" w:rsidR="004B01F7" w:rsidRPr="002713B4" w:rsidRDefault="004B01F7" w:rsidP="004B01F7">
      <w:pPr>
        <w:spacing w:line="240" w:lineRule="auto"/>
        <w:rPr>
          <w:rFonts w:eastAsia="Times New Roman" w:cs="Arial"/>
          <w:bCs/>
          <w:i/>
          <w:iCs/>
          <w:color w:val="000000"/>
          <w:lang w:eastAsia="bg-BG"/>
        </w:rPr>
      </w:pPr>
    </w:p>
    <w:p w14:paraId="74A11888" w14:textId="2CAB438A" w:rsidR="004B01F7" w:rsidRPr="002713B4" w:rsidRDefault="004B01F7" w:rsidP="004B01F7">
      <w:pPr>
        <w:spacing w:line="240" w:lineRule="auto"/>
        <w:rPr>
          <w:rFonts w:eastAsia="Times New Roman" w:cs="Arial"/>
        </w:rPr>
      </w:pPr>
      <w:r w:rsidRPr="002713B4">
        <w:rPr>
          <w:rFonts w:eastAsia="Times New Roman" w:cs="Arial"/>
          <w:bCs/>
          <w:i/>
          <w:iCs/>
          <w:color w:val="000000"/>
          <w:lang w:eastAsia="bg-BG"/>
        </w:rPr>
        <w:lastRenderedPageBreak/>
        <w:t>Абсорбция:</w:t>
      </w:r>
      <w:r w:rsidRPr="002713B4">
        <w:rPr>
          <w:rFonts w:eastAsia="Times New Roman" w:cs="Arial"/>
          <w:bCs/>
          <w:color w:val="000000"/>
          <w:lang w:eastAsia="bg-BG"/>
        </w:rPr>
        <w:t xml:space="preserve"> След инхалационно приложение на тиотропиум бромид прах при млади, здрави доброволци, абсолютната бионаличност е 19,5%, което предполага че, фракцията, достигаща белите дробове, е с висока бионаличност. Пероралните разтвори на тиотропиум имат абсолютна бионаличност 2-3 %.</w:t>
      </w:r>
    </w:p>
    <w:p w14:paraId="63370E38" w14:textId="77777777" w:rsidR="004B01F7" w:rsidRPr="002713B4" w:rsidRDefault="004B01F7" w:rsidP="004B01F7">
      <w:pPr>
        <w:spacing w:line="240" w:lineRule="auto"/>
        <w:rPr>
          <w:rFonts w:eastAsia="Times New Roman" w:cs="Arial"/>
        </w:rPr>
      </w:pPr>
      <w:r w:rsidRPr="002713B4">
        <w:rPr>
          <w:rFonts w:eastAsia="Times New Roman" w:cs="Arial"/>
          <w:bCs/>
          <w:color w:val="000000"/>
          <w:lang w:eastAsia="bg-BG"/>
        </w:rPr>
        <w:t>Максималните плазмени концентрации на тиотропиум са наблюдавани 5-7 минути след инхалационното приложение.</w:t>
      </w:r>
    </w:p>
    <w:p w14:paraId="760BBB95" w14:textId="77777777" w:rsidR="004B01F7" w:rsidRPr="002713B4" w:rsidRDefault="004B01F7" w:rsidP="004B01F7">
      <w:pPr>
        <w:spacing w:line="240" w:lineRule="auto"/>
        <w:rPr>
          <w:rFonts w:eastAsia="Times New Roman" w:cs="Arial"/>
          <w:bCs/>
          <w:color w:val="000000"/>
          <w:lang w:eastAsia="bg-BG"/>
        </w:rPr>
      </w:pPr>
    </w:p>
    <w:p w14:paraId="52295B13" w14:textId="6D73297E" w:rsidR="004B01F7" w:rsidRPr="002713B4" w:rsidRDefault="004B01F7" w:rsidP="004B01F7">
      <w:pPr>
        <w:spacing w:line="240" w:lineRule="auto"/>
        <w:rPr>
          <w:rFonts w:eastAsia="Times New Roman" w:cs="Arial"/>
        </w:rPr>
      </w:pPr>
      <w:r w:rsidRPr="002713B4">
        <w:rPr>
          <w:rFonts w:eastAsia="Times New Roman" w:cs="Arial"/>
          <w:bCs/>
          <w:color w:val="000000"/>
          <w:lang w:eastAsia="bg-BG"/>
        </w:rPr>
        <w:t xml:space="preserve">При пациенти с ХОББ, при равновесно състояние, пиковите плазмените нива на тиотропиум бяха 12,9 </w:t>
      </w:r>
      <w:proofErr w:type="spellStart"/>
      <w:r w:rsidRPr="002713B4">
        <w:rPr>
          <w:rFonts w:eastAsia="Times New Roman" w:cs="Arial"/>
          <w:bCs/>
          <w:color w:val="000000"/>
          <w:lang w:val="en-US"/>
        </w:rPr>
        <w:t>pg</w:t>
      </w:r>
      <w:proofErr w:type="spellEnd"/>
      <w:r w:rsidRPr="002713B4">
        <w:rPr>
          <w:rFonts w:eastAsia="Times New Roman" w:cs="Arial"/>
          <w:bCs/>
          <w:color w:val="000000"/>
          <w:lang w:val="ru-RU"/>
        </w:rPr>
        <w:t>/</w:t>
      </w:r>
      <w:r w:rsidRPr="002713B4">
        <w:rPr>
          <w:rFonts w:eastAsia="Times New Roman" w:cs="Arial"/>
          <w:bCs/>
          <w:color w:val="000000"/>
          <w:lang w:val="en-US"/>
        </w:rPr>
        <w:t>ml</w:t>
      </w:r>
      <w:r w:rsidRPr="002713B4">
        <w:rPr>
          <w:rFonts w:eastAsia="Times New Roman" w:cs="Arial"/>
          <w:bCs/>
          <w:color w:val="000000"/>
          <w:lang w:val="ru-RU"/>
        </w:rPr>
        <w:t xml:space="preserve">, </w:t>
      </w:r>
      <w:r w:rsidRPr="002713B4">
        <w:rPr>
          <w:rFonts w:eastAsia="Times New Roman" w:cs="Arial"/>
          <w:bCs/>
          <w:color w:val="000000"/>
          <w:lang w:eastAsia="bg-BG"/>
        </w:rPr>
        <w:t xml:space="preserve">и впоследствие намаляха бързо, следвайки много-компартиментен модел. При равновесно състояние, осреднените плазмени концентрации бяха 1,71 </w:t>
      </w:r>
      <w:proofErr w:type="spellStart"/>
      <w:r w:rsidRPr="002713B4">
        <w:rPr>
          <w:rFonts w:eastAsia="Times New Roman" w:cs="Arial"/>
          <w:bCs/>
          <w:color w:val="000000"/>
          <w:lang w:val="en-US"/>
        </w:rPr>
        <w:t>pg</w:t>
      </w:r>
      <w:proofErr w:type="spellEnd"/>
      <w:r w:rsidRPr="002713B4">
        <w:rPr>
          <w:rFonts w:eastAsia="Times New Roman" w:cs="Arial"/>
          <w:bCs/>
          <w:color w:val="000000"/>
          <w:lang w:val="ru-RU"/>
        </w:rPr>
        <w:t>/</w:t>
      </w:r>
      <w:r w:rsidRPr="002713B4">
        <w:rPr>
          <w:rFonts w:eastAsia="Times New Roman" w:cs="Arial"/>
          <w:bCs/>
          <w:color w:val="000000"/>
          <w:lang w:val="en-US"/>
        </w:rPr>
        <w:t>ml</w:t>
      </w:r>
      <w:r w:rsidRPr="002713B4">
        <w:rPr>
          <w:rFonts w:eastAsia="Times New Roman" w:cs="Arial"/>
          <w:bCs/>
          <w:color w:val="000000"/>
          <w:lang w:val="ru-RU"/>
        </w:rPr>
        <w:t>.</w:t>
      </w:r>
    </w:p>
    <w:p w14:paraId="1797D4DA" w14:textId="77777777" w:rsidR="004B01F7" w:rsidRPr="002713B4" w:rsidRDefault="004B01F7" w:rsidP="004B01F7">
      <w:pPr>
        <w:spacing w:line="240" w:lineRule="auto"/>
        <w:rPr>
          <w:rFonts w:eastAsia="Times New Roman" w:cs="Arial"/>
        </w:rPr>
      </w:pPr>
      <w:r w:rsidRPr="002713B4">
        <w:rPr>
          <w:rFonts w:eastAsia="Times New Roman" w:cs="Arial"/>
          <w:bCs/>
          <w:color w:val="000000"/>
          <w:lang w:eastAsia="bg-BG"/>
        </w:rPr>
        <w:t xml:space="preserve">Системната експозиция след инхалация на тиотропиум, приложен чрез устройство </w:t>
      </w:r>
      <w:proofErr w:type="spellStart"/>
      <w:r w:rsidRPr="002713B4">
        <w:rPr>
          <w:rFonts w:eastAsia="Times New Roman" w:cs="Arial"/>
          <w:bCs/>
          <w:color w:val="000000"/>
          <w:lang w:val="en-US"/>
        </w:rPr>
        <w:t>HandiHaler</w:t>
      </w:r>
      <w:proofErr w:type="spellEnd"/>
      <w:r w:rsidRPr="002713B4">
        <w:rPr>
          <w:rFonts w:eastAsia="Times New Roman" w:cs="Arial"/>
          <w:bCs/>
          <w:color w:val="000000"/>
          <w:lang w:val="ru-RU"/>
        </w:rPr>
        <w:t xml:space="preserve">, </w:t>
      </w:r>
      <w:r w:rsidRPr="002713B4">
        <w:rPr>
          <w:rFonts w:eastAsia="Times New Roman" w:cs="Arial"/>
          <w:bCs/>
          <w:color w:val="000000"/>
          <w:lang w:eastAsia="bg-BG"/>
        </w:rPr>
        <w:t>е била сходна с тази на тиотропиум, приложен чрез инхалатор Респимат.</w:t>
      </w:r>
    </w:p>
    <w:p w14:paraId="0B5330CF" w14:textId="77777777" w:rsidR="002713B4" w:rsidRPr="002713B4" w:rsidRDefault="002713B4" w:rsidP="004B01F7">
      <w:pPr>
        <w:spacing w:line="240" w:lineRule="auto"/>
        <w:rPr>
          <w:rFonts w:eastAsia="Times New Roman" w:cs="Arial"/>
          <w:bCs/>
          <w:i/>
          <w:iCs/>
          <w:color w:val="000000"/>
          <w:lang w:eastAsia="bg-BG"/>
        </w:rPr>
      </w:pPr>
    </w:p>
    <w:p w14:paraId="36CD66B8" w14:textId="69432204" w:rsidR="004B01F7" w:rsidRPr="002713B4" w:rsidRDefault="004B01F7" w:rsidP="004B01F7">
      <w:pPr>
        <w:spacing w:line="240" w:lineRule="auto"/>
        <w:rPr>
          <w:rFonts w:eastAsia="Times New Roman" w:cs="Arial"/>
        </w:rPr>
      </w:pPr>
      <w:r w:rsidRPr="002713B4">
        <w:rPr>
          <w:rFonts w:eastAsia="Times New Roman" w:cs="Arial"/>
          <w:bCs/>
          <w:i/>
          <w:iCs/>
          <w:color w:val="000000"/>
          <w:lang w:eastAsia="bg-BG"/>
        </w:rPr>
        <w:t>Разпределение:</w:t>
      </w:r>
      <w:r w:rsidRPr="002713B4">
        <w:rPr>
          <w:rFonts w:eastAsia="Times New Roman" w:cs="Arial"/>
          <w:bCs/>
          <w:color w:val="000000"/>
          <w:lang w:eastAsia="bg-BG"/>
        </w:rPr>
        <w:t xml:space="preserve"> Тиотропиум се свързва 72 % с плазмените протеини и показва обем на разпределение 32 </w:t>
      </w:r>
      <w:r w:rsidR="002713B4">
        <w:rPr>
          <w:rFonts w:eastAsia="Times New Roman" w:cs="Arial"/>
          <w:bCs/>
          <w:color w:val="000000"/>
          <w:lang w:val="en-US"/>
        </w:rPr>
        <w:t>l</w:t>
      </w:r>
      <w:r w:rsidRPr="002713B4">
        <w:rPr>
          <w:rFonts w:eastAsia="Times New Roman" w:cs="Arial"/>
          <w:bCs/>
          <w:color w:val="000000"/>
          <w:lang w:val="ru-RU"/>
        </w:rPr>
        <w:t>/</w:t>
      </w:r>
      <w:r w:rsidRPr="002713B4">
        <w:rPr>
          <w:rFonts w:eastAsia="Times New Roman" w:cs="Arial"/>
          <w:bCs/>
          <w:color w:val="000000"/>
          <w:lang w:val="en-US"/>
        </w:rPr>
        <w:t>kg</w:t>
      </w:r>
      <w:r w:rsidRPr="002713B4">
        <w:rPr>
          <w:rFonts w:eastAsia="Times New Roman" w:cs="Arial"/>
          <w:bCs/>
          <w:color w:val="000000"/>
          <w:lang w:val="ru-RU"/>
        </w:rPr>
        <w:t xml:space="preserve">. </w:t>
      </w:r>
      <w:r w:rsidRPr="002713B4">
        <w:rPr>
          <w:rFonts w:eastAsia="Times New Roman" w:cs="Arial"/>
          <w:bCs/>
          <w:color w:val="000000"/>
          <w:lang w:eastAsia="bg-BG"/>
        </w:rPr>
        <w:t>Не са известни локалните белодробни концентрации, но имайки предвид начина на приложение, могат да се очакват значителни концентрации в белия дроб. Проучвания при плъхове показаха че, тиотропиум бромид не преминава кръвно-мозъчната бариера в някаква съществена степен.</w:t>
      </w:r>
    </w:p>
    <w:p w14:paraId="173B9976" w14:textId="77777777" w:rsidR="002713B4" w:rsidRPr="002713B4" w:rsidRDefault="002713B4" w:rsidP="004B01F7">
      <w:pPr>
        <w:spacing w:line="240" w:lineRule="auto"/>
        <w:rPr>
          <w:rFonts w:eastAsia="Times New Roman" w:cs="Arial"/>
          <w:bCs/>
          <w:i/>
          <w:iCs/>
          <w:color w:val="000000"/>
          <w:lang w:eastAsia="bg-BG"/>
        </w:rPr>
      </w:pPr>
    </w:p>
    <w:p w14:paraId="00EA6B2D" w14:textId="1184303F" w:rsidR="004B01F7" w:rsidRPr="002713B4" w:rsidRDefault="004B01F7" w:rsidP="004B01F7">
      <w:pPr>
        <w:spacing w:line="240" w:lineRule="auto"/>
        <w:rPr>
          <w:rFonts w:eastAsia="Times New Roman" w:cs="Arial"/>
        </w:rPr>
      </w:pPr>
      <w:r w:rsidRPr="002713B4">
        <w:rPr>
          <w:rFonts w:eastAsia="Times New Roman" w:cs="Arial"/>
          <w:bCs/>
          <w:i/>
          <w:iCs/>
          <w:color w:val="000000"/>
          <w:lang w:eastAsia="bg-BG"/>
        </w:rPr>
        <w:t>Биотрансформация:</w:t>
      </w:r>
      <w:r w:rsidRPr="002713B4">
        <w:rPr>
          <w:rFonts w:eastAsia="Times New Roman" w:cs="Arial"/>
          <w:bCs/>
          <w:color w:val="000000"/>
          <w:lang w:eastAsia="bg-BG"/>
        </w:rPr>
        <w:t xml:space="preserve"> Степента на биотрансформация е ниска. Доказателство за това е уринната екскреция на 74 % непроменено вещество, след интравенозно дозиране при млади здрави доброволци. Тиотропиум бромид, представлява естер, не-ензимно разграден до алкохол </w:t>
      </w:r>
      <w:r w:rsidRPr="002713B4">
        <w:rPr>
          <w:rFonts w:eastAsia="Times New Roman" w:cs="Arial"/>
          <w:bCs/>
          <w:color w:val="000000"/>
          <w:lang w:val="ru-RU"/>
        </w:rPr>
        <w:t>(</w:t>
      </w:r>
      <w:r w:rsidRPr="002713B4">
        <w:rPr>
          <w:rFonts w:eastAsia="Times New Roman" w:cs="Arial"/>
          <w:bCs/>
          <w:color w:val="000000"/>
          <w:lang w:val="en-US"/>
        </w:rPr>
        <w:t>N</w:t>
      </w:r>
      <w:r w:rsidRPr="002713B4">
        <w:rPr>
          <w:rFonts w:eastAsia="Times New Roman" w:cs="Arial"/>
          <w:bCs/>
          <w:color w:val="000000"/>
          <w:lang w:val="ru-RU"/>
        </w:rPr>
        <w:t>-</w:t>
      </w:r>
      <w:proofErr w:type="spellStart"/>
      <w:r w:rsidRPr="002713B4">
        <w:rPr>
          <w:rFonts w:eastAsia="Times New Roman" w:cs="Arial"/>
          <w:bCs/>
          <w:color w:val="000000"/>
          <w:lang w:val="en-US"/>
        </w:rPr>
        <w:t>methyIscopine</w:t>
      </w:r>
      <w:proofErr w:type="spellEnd"/>
      <w:r w:rsidRPr="002713B4">
        <w:rPr>
          <w:rFonts w:eastAsia="Times New Roman" w:cs="Arial"/>
          <w:bCs/>
          <w:color w:val="000000"/>
          <w:lang w:val="ru-RU"/>
        </w:rPr>
        <w:t xml:space="preserve">) </w:t>
      </w:r>
      <w:r w:rsidRPr="002713B4">
        <w:rPr>
          <w:rFonts w:eastAsia="Times New Roman" w:cs="Arial"/>
          <w:bCs/>
          <w:color w:val="000000"/>
          <w:lang w:eastAsia="bg-BG"/>
        </w:rPr>
        <w:t xml:space="preserve">и киселинно съединение (дигиенилгликолова киселина), които не се свързват с мускариновите рецептори. </w:t>
      </w:r>
      <w:r w:rsidRPr="002713B4">
        <w:rPr>
          <w:rFonts w:eastAsia="Times New Roman" w:cs="Arial"/>
          <w:bCs/>
          <w:color w:val="000000"/>
          <w:lang w:val="en-US"/>
        </w:rPr>
        <w:t>In</w:t>
      </w:r>
      <w:r w:rsidRPr="002713B4">
        <w:rPr>
          <w:rFonts w:eastAsia="Times New Roman" w:cs="Arial"/>
          <w:bCs/>
          <w:color w:val="000000"/>
          <w:lang w:val="ru-RU"/>
        </w:rPr>
        <w:t>-</w:t>
      </w:r>
      <w:r w:rsidRPr="002713B4">
        <w:rPr>
          <w:rFonts w:eastAsia="Times New Roman" w:cs="Arial"/>
          <w:bCs/>
          <w:color w:val="000000"/>
          <w:lang w:val="en-US"/>
        </w:rPr>
        <w:t>vitro</w:t>
      </w:r>
      <w:r w:rsidRPr="002713B4">
        <w:rPr>
          <w:rFonts w:eastAsia="Times New Roman" w:cs="Arial"/>
          <w:bCs/>
          <w:color w:val="000000"/>
          <w:lang w:val="ru-RU"/>
        </w:rPr>
        <w:t xml:space="preserve"> </w:t>
      </w:r>
      <w:r w:rsidRPr="002713B4">
        <w:rPr>
          <w:rFonts w:eastAsia="Times New Roman" w:cs="Arial"/>
          <w:bCs/>
          <w:color w:val="000000"/>
          <w:lang w:eastAsia="bg-BG"/>
        </w:rPr>
        <w:t xml:space="preserve">експерименти с човешки чернодробни микрозоми и хепатоцити предполагат, че малка част от лекарственото средство (&lt;20 % от дозата след интравенозно приложение) се метаболизира от цитохром Р450 зависимо окисление и последваща глутатйон конюгация до множество </w:t>
      </w:r>
      <w:r w:rsidRPr="002713B4">
        <w:rPr>
          <w:rFonts w:eastAsia="Times New Roman" w:cs="Arial"/>
          <w:bCs/>
          <w:color w:val="000000"/>
          <w:lang w:val="en-US"/>
        </w:rPr>
        <w:t>Phase</w:t>
      </w:r>
      <w:r w:rsidRPr="002713B4">
        <w:rPr>
          <w:rFonts w:eastAsia="Times New Roman" w:cs="Arial"/>
          <w:bCs/>
          <w:color w:val="000000"/>
          <w:lang w:val="ru-RU"/>
        </w:rPr>
        <w:t xml:space="preserve"> </w:t>
      </w:r>
      <w:r w:rsidRPr="002713B4">
        <w:rPr>
          <w:rFonts w:eastAsia="Times New Roman" w:cs="Arial"/>
          <w:bCs/>
          <w:color w:val="000000"/>
          <w:lang w:eastAsia="bg-BG"/>
        </w:rPr>
        <w:t>П-метаболити.</w:t>
      </w:r>
    </w:p>
    <w:p w14:paraId="3C1E5804" w14:textId="77777777" w:rsidR="004B01F7" w:rsidRPr="002713B4" w:rsidRDefault="004B01F7" w:rsidP="004B01F7">
      <w:pPr>
        <w:spacing w:line="240" w:lineRule="auto"/>
        <w:rPr>
          <w:rFonts w:eastAsia="Times New Roman" w:cs="Arial"/>
        </w:rPr>
      </w:pPr>
      <w:r w:rsidRPr="002713B4">
        <w:rPr>
          <w:rFonts w:eastAsia="Times New Roman" w:cs="Arial"/>
          <w:bCs/>
          <w:i/>
          <w:iCs/>
          <w:color w:val="000000"/>
          <w:lang w:val="en-US"/>
        </w:rPr>
        <w:t>In</w:t>
      </w:r>
      <w:r w:rsidRPr="002713B4">
        <w:rPr>
          <w:rFonts w:eastAsia="Times New Roman" w:cs="Arial"/>
          <w:bCs/>
          <w:i/>
          <w:iCs/>
          <w:color w:val="000000"/>
          <w:lang w:val="ru-RU"/>
        </w:rPr>
        <w:t>-</w:t>
      </w:r>
      <w:r w:rsidRPr="002713B4">
        <w:rPr>
          <w:rFonts w:eastAsia="Times New Roman" w:cs="Arial"/>
          <w:bCs/>
          <w:i/>
          <w:iCs/>
          <w:color w:val="000000"/>
          <w:lang w:val="en-US"/>
        </w:rPr>
        <w:t>vitro</w:t>
      </w:r>
      <w:r w:rsidRPr="002713B4">
        <w:rPr>
          <w:rFonts w:eastAsia="Times New Roman" w:cs="Arial"/>
          <w:bCs/>
          <w:color w:val="000000"/>
          <w:lang w:val="ru-RU"/>
        </w:rPr>
        <w:t xml:space="preserve"> </w:t>
      </w:r>
      <w:r w:rsidRPr="002713B4">
        <w:rPr>
          <w:rFonts w:eastAsia="Times New Roman" w:cs="Arial"/>
          <w:bCs/>
          <w:color w:val="000000"/>
          <w:lang w:eastAsia="bg-BG"/>
        </w:rPr>
        <w:t xml:space="preserve">проучвания с човешки чернодробни микрозоми показват, че този ензимен път може да се инхибира от </w:t>
      </w:r>
      <w:r w:rsidRPr="002713B4">
        <w:rPr>
          <w:rFonts w:eastAsia="Times New Roman" w:cs="Arial"/>
          <w:bCs/>
          <w:color w:val="000000"/>
          <w:lang w:val="en-US"/>
        </w:rPr>
        <w:t>CYP</w:t>
      </w:r>
      <w:r w:rsidRPr="002713B4">
        <w:rPr>
          <w:rFonts w:eastAsia="Times New Roman" w:cs="Arial"/>
          <w:bCs/>
          <w:color w:val="000000"/>
          <w:lang w:val="ru-RU"/>
        </w:rPr>
        <w:t>450 2</w:t>
      </w:r>
      <w:r w:rsidRPr="002713B4">
        <w:rPr>
          <w:rFonts w:eastAsia="Times New Roman" w:cs="Arial"/>
          <w:bCs/>
          <w:color w:val="000000"/>
          <w:lang w:val="en-US"/>
        </w:rPr>
        <w:t>D</w:t>
      </w:r>
      <w:r w:rsidRPr="002713B4">
        <w:rPr>
          <w:rFonts w:eastAsia="Times New Roman" w:cs="Arial"/>
          <w:bCs/>
          <w:color w:val="000000"/>
          <w:lang w:val="ru-RU"/>
        </w:rPr>
        <w:t xml:space="preserve">6 </w:t>
      </w:r>
      <w:r w:rsidRPr="002713B4">
        <w:rPr>
          <w:rFonts w:eastAsia="Times New Roman" w:cs="Arial"/>
          <w:bCs/>
          <w:color w:val="000000"/>
          <w:lang w:eastAsia="bg-BG"/>
        </w:rPr>
        <w:t xml:space="preserve">(и ЗА4) инхибитори, куинидин, кетоконазол и гестоден. Така </w:t>
      </w:r>
      <w:r w:rsidRPr="002713B4">
        <w:rPr>
          <w:rFonts w:eastAsia="Times New Roman" w:cs="Arial"/>
          <w:bCs/>
          <w:color w:val="000000"/>
          <w:lang w:val="en-US"/>
        </w:rPr>
        <w:t>CYP</w:t>
      </w:r>
      <w:r w:rsidRPr="002713B4">
        <w:rPr>
          <w:rFonts w:eastAsia="Times New Roman" w:cs="Arial"/>
          <w:bCs/>
          <w:color w:val="000000"/>
          <w:lang w:val="ru-RU"/>
        </w:rPr>
        <w:t>450 2</w:t>
      </w:r>
      <w:r w:rsidRPr="002713B4">
        <w:rPr>
          <w:rFonts w:eastAsia="Times New Roman" w:cs="Arial"/>
          <w:bCs/>
          <w:color w:val="000000"/>
          <w:lang w:val="en-US"/>
        </w:rPr>
        <w:t>D</w:t>
      </w:r>
      <w:r w:rsidRPr="002713B4">
        <w:rPr>
          <w:rFonts w:eastAsia="Times New Roman" w:cs="Arial"/>
          <w:bCs/>
          <w:color w:val="000000"/>
          <w:lang w:val="ru-RU"/>
        </w:rPr>
        <w:t xml:space="preserve">6 </w:t>
      </w:r>
      <w:r w:rsidRPr="002713B4">
        <w:rPr>
          <w:rFonts w:eastAsia="Times New Roman" w:cs="Arial"/>
          <w:bCs/>
          <w:color w:val="000000"/>
          <w:lang w:eastAsia="bg-BG"/>
        </w:rPr>
        <w:t>и 3А4 са включени в метаболитния път, отговорен за елиминирането на малка част от дозата.</w:t>
      </w:r>
    </w:p>
    <w:p w14:paraId="732373E8" w14:textId="77777777" w:rsidR="004B01F7" w:rsidRPr="002713B4" w:rsidRDefault="004B01F7" w:rsidP="004B01F7">
      <w:pPr>
        <w:spacing w:line="240" w:lineRule="auto"/>
        <w:rPr>
          <w:rFonts w:eastAsia="Times New Roman" w:cs="Arial"/>
        </w:rPr>
      </w:pPr>
      <w:r w:rsidRPr="002713B4">
        <w:rPr>
          <w:rFonts w:eastAsia="Times New Roman" w:cs="Arial"/>
          <w:bCs/>
          <w:color w:val="000000"/>
          <w:lang w:eastAsia="bg-BG"/>
        </w:rPr>
        <w:t>Тиотропиум бромид, дори и в концентрации над терапевтичните, не инхибира цитохром Р450 1А1, 1А2,2В6,2С9,2С19,</w:t>
      </w:r>
      <w:r w:rsidRPr="002713B4">
        <w:rPr>
          <w:rFonts w:eastAsia="Times New Roman" w:cs="Arial"/>
          <w:bCs/>
          <w:color w:val="000000"/>
          <w:lang w:val="ru-RU"/>
        </w:rPr>
        <w:t>2</w:t>
      </w:r>
      <w:r w:rsidRPr="002713B4">
        <w:rPr>
          <w:rFonts w:eastAsia="Times New Roman" w:cs="Arial"/>
          <w:bCs/>
          <w:color w:val="000000"/>
          <w:lang w:val="en-US"/>
        </w:rPr>
        <w:t>D</w:t>
      </w:r>
      <w:r w:rsidRPr="002713B4">
        <w:rPr>
          <w:rFonts w:eastAsia="Times New Roman" w:cs="Arial"/>
          <w:bCs/>
          <w:color w:val="000000"/>
          <w:lang w:val="ru-RU"/>
        </w:rPr>
        <w:t>6,</w:t>
      </w:r>
      <w:r w:rsidRPr="002713B4">
        <w:rPr>
          <w:rFonts w:eastAsia="Times New Roman" w:cs="Arial"/>
          <w:bCs/>
          <w:color w:val="000000"/>
          <w:lang w:eastAsia="bg-BG"/>
        </w:rPr>
        <w:t>2Е1 или ЗА в човешки чернодробни микрозоми.</w:t>
      </w:r>
    </w:p>
    <w:p w14:paraId="1FB3952B" w14:textId="77777777" w:rsidR="002713B4" w:rsidRPr="002713B4" w:rsidRDefault="002713B4" w:rsidP="004B01F7">
      <w:pPr>
        <w:spacing w:line="240" w:lineRule="auto"/>
        <w:rPr>
          <w:rFonts w:eastAsia="Times New Roman" w:cs="Arial"/>
          <w:bCs/>
          <w:i/>
          <w:iCs/>
          <w:color w:val="000000"/>
          <w:lang w:eastAsia="bg-BG"/>
        </w:rPr>
      </w:pPr>
    </w:p>
    <w:p w14:paraId="32228A83" w14:textId="2845FACF" w:rsidR="004B01F7" w:rsidRPr="002713B4" w:rsidRDefault="004B01F7" w:rsidP="004B01F7">
      <w:pPr>
        <w:spacing w:line="240" w:lineRule="auto"/>
        <w:rPr>
          <w:rFonts w:eastAsia="Times New Roman" w:cs="Arial"/>
        </w:rPr>
      </w:pPr>
      <w:r w:rsidRPr="002713B4">
        <w:rPr>
          <w:rFonts w:eastAsia="Times New Roman" w:cs="Arial"/>
          <w:bCs/>
          <w:i/>
          <w:iCs/>
          <w:color w:val="000000"/>
          <w:lang w:eastAsia="bg-BG"/>
        </w:rPr>
        <w:t>Елиминиране:</w:t>
      </w:r>
      <w:r w:rsidRPr="002713B4">
        <w:rPr>
          <w:rFonts w:eastAsia="Times New Roman" w:cs="Arial"/>
          <w:bCs/>
          <w:color w:val="000000"/>
          <w:lang w:eastAsia="bg-BG"/>
        </w:rPr>
        <w:t xml:space="preserve"> Действителният полуживот на тиотропиум е между 27 и 45 часа при пациенти с ХОББ. Тоталният клирънс беше 880 </w:t>
      </w:r>
      <w:r w:rsidRPr="002713B4">
        <w:rPr>
          <w:rFonts w:eastAsia="Times New Roman" w:cs="Arial"/>
          <w:bCs/>
          <w:color w:val="000000"/>
          <w:lang w:val="en-US"/>
        </w:rPr>
        <w:t>ml</w:t>
      </w:r>
      <w:r w:rsidRPr="002713B4">
        <w:rPr>
          <w:rFonts w:eastAsia="Times New Roman" w:cs="Arial"/>
          <w:bCs/>
          <w:color w:val="000000"/>
          <w:lang w:val="ru-RU"/>
        </w:rPr>
        <w:t>/</w:t>
      </w:r>
      <w:r w:rsidRPr="002713B4">
        <w:rPr>
          <w:rFonts w:eastAsia="Times New Roman" w:cs="Arial"/>
          <w:bCs/>
          <w:color w:val="000000"/>
          <w:lang w:val="en-US"/>
        </w:rPr>
        <w:t>min</w:t>
      </w:r>
      <w:r w:rsidRPr="002713B4">
        <w:rPr>
          <w:rFonts w:eastAsia="Times New Roman" w:cs="Arial"/>
          <w:bCs/>
          <w:color w:val="000000"/>
          <w:lang w:val="ru-RU"/>
        </w:rPr>
        <w:t xml:space="preserve"> </w:t>
      </w:r>
      <w:r w:rsidRPr="002713B4">
        <w:rPr>
          <w:rFonts w:eastAsia="Times New Roman" w:cs="Arial"/>
          <w:bCs/>
          <w:color w:val="000000"/>
          <w:lang w:eastAsia="bg-BG"/>
        </w:rPr>
        <w:t>след интравенозно дозиране при млади здрави доброволци.</w:t>
      </w:r>
    </w:p>
    <w:p w14:paraId="7228878C" w14:textId="77777777" w:rsidR="004B01F7" w:rsidRPr="002713B4" w:rsidRDefault="004B01F7" w:rsidP="004B01F7">
      <w:pPr>
        <w:spacing w:line="240" w:lineRule="auto"/>
        <w:rPr>
          <w:rFonts w:eastAsia="Times New Roman" w:cs="Arial"/>
        </w:rPr>
      </w:pPr>
      <w:r w:rsidRPr="002713B4">
        <w:rPr>
          <w:rFonts w:eastAsia="Times New Roman" w:cs="Arial"/>
          <w:bCs/>
          <w:color w:val="000000"/>
          <w:lang w:eastAsia="bg-BG"/>
        </w:rPr>
        <w:t>Приложен интравенозно тиотропиум се екскретира главно непроменен с урината (74 %). След респираторно приложение на прах за инхалация при пациенти с ХОББ в стабилно състояние, уринната екскреция е 7% (1,3 μ</w:t>
      </w:r>
      <w:r w:rsidRPr="002713B4">
        <w:rPr>
          <w:rFonts w:eastAsia="Times New Roman" w:cs="Arial"/>
          <w:bCs/>
          <w:color w:val="000000"/>
          <w:lang w:val="en-US"/>
        </w:rPr>
        <w:t>g</w:t>
      </w:r>
      <w:r w:rsidRPr="002713B4">
        <w:rPr>
          <w:rFonts w:eastAsia="Times New Roman" w:cs="Arial"/>
          <w:bCs/>
          <w:color w:val="000000"/>
          <w:lang w:val="ru-RU"/>
        </w:rPr>
        <w:t xml:space="preserve">) </w:t>
      </w:r>
      <w:r w:rsidRPr="002713B4">
        <w:rPr>
          <w:rFonts w:eastAsia="Times New Roman" w:cs="Arial"/>
          <w:bCs/>
          <w:color w:val="000000"/>
          <w:lang w:eastAsia="bg-BG"/>
        </w:rPr>
        <w:t>от непромененото лекарство след повече от 24 часа, а остатъкът, който не се абсорбира от червата, се елиминира с фекалиите. Бъбречният клирънс на тиотропиум надвишава креатининовия клирънс, което говори за отделяне в урината. След хронично инхалационно приложение, веднъж дневно, от пациенти с ХОББ, фармакокинетично равновесно състояние беше достигнато до 7-ия ден, без последващо кумулиране.</w:t>
      </w:r>
    </w:p>
    <w:p w14:paraId="3B041FD5" w14:textId="77777777" w:rsidR="002713B4" w:rsidRPr="002713B4" w:rsidRDefault="002713B4" w:rsidP="004B01F7">
      <w:pPr>
        <w:spacing w:line="240" w:lineRule="auto"/>
        <w:rPr>
          <w:rFonts w:eastAsia="Times New Roman" w:cs="Arial"/>
          <w:bCs/>
          <w:i/>
          <w:iCs/>
          <w:color w:val="000000"/>
          <w:lang w:eastAsia="bg-BG"/>
        </w:rPr>
      </w:pPr>
    </w:p>
    <w:p w14:paraId="17E4FC66" w14:textId="4FD860BD" w:rsidR="004B01F7" w:rsidRPr="002713B4" w:rsidRDefault="004B01F7" w:rsidP="004B01F7">
      <w:pPr>
        <w:spacing w:line="240" w:lineRule="auto"/>
        <w:rPr>
          <w:rFonts w:eastAsia="Times New Roman" w:cs="Arial"/>
        </w:rPr>
      </w:pPr>
      <w:r w:rsidRPr="002713B4">
        <w:rPr>
          <w:rFonts w:eastAsia="Times New Roman" w:cs="Arial"/>
          <w:bCs/>
          <w:i/>
          <w:iCs/>
          <w:color w:val="000000"/>
          <w:lang w:eastAsia="bg-BG"/>
        </w:rPr>
        <w:t>Линейност/нелинейност:</w:t>
      </w:r>
      <w:r w:rsidRPr="002713B4">
        <w:rPr>
          <w:rFonts w:eastAsia="Times New Roman" w:cs="Arial"/>
          <w:bCs/>
          <w:color w:val="000000"/>
          <w:lang w:eastAsia="bg-BG"/>
        </w:rPr>
        <w:t xml:space="preserve"> Тиотропиум демонстрира линейна фармакокинетика в терапевтичната област независимо от лекарствената форма.</w:t>
      </w:r>
    </w:p>
    <w:p w14:paraId="5D3BD375" w14:textId="77777777" w:rsidR="002713B4" w:rsidRPr="002713B4" w:rsidRDefault="002713B4" w:rsidP="004B01F7">
      <w:pPr>
        <w:spacing w:line="240" w:lineRule="auto"/>
        <w:rPr>
          <w:rFonts w:eastAsia="Times New Roman" w:cs="Arial"/>
          <w:bCs/>
          <w:color w:val="000000"/>
          <w:u w:val="single"/>
          <w:lang w:eastAsia="bg-BG"/>
        </w:rPr>
      </w:pPr>
    </w:p>
    <w:p w14:paraId="46B39651" w14:textId="45830EB7" w:rsidR="004B01F7" w:rsidRPr="002713B4" w:rsidRDefault="002713B4" w:rsidP="004B01F7">
      <w:pPr>
        <w:spacing w:line="240" w:lineRule="auto"/>
        <w:rPr>
          <w:rFonts w:eastAsia="Times New Roman" w:cs="Arial"/>
        </w:rPr>
      </w:pPr>
      <w:r w:rsidRPr="002713B4">
        <w:rPr>
          <w:rFonts w:eastAsia="Times New Roman" w:cs="Arial"/>
          <w:bCs/>
          <w:color w:val="000000"/>
          <w:u w:val="single"/>
          <w:lang w:eastAsia="bg-BG"/>
        </w:rPr>
        <w:lastRenderedPageBreak/>
        <w:t>в)</w:t>
      </w:r>
      <w:r w:rsidR="004B01F7" w:rsidRPr="002713B4">
        <w:rPr>
          <w:rFonts w:eastAsia="Times New Roman" w:cs="Arial"/>
          <w:bCs/>
          <w:color w:val="000000"/>
          <w:u w:val="single"/>
          <w:lang w:eastAsia="bg-BG"/>
        </w:rPr>
        <w:t>Характеризиране на пациентите</w:t>
      </w:r>
    </w:p>
    <w:p w14:paraId="6DC31065" w14:textId="77777777" w:rsidR="002713B4" w:rsidRPr="002713B4" w:rsidRDefault="002713B4" w:rsidP="004B01F7">
      <w:pPr>
        <w:rPr>
          <w:rFonts w:eastAsia="Times New Roman" w:cs="Arial"/>
          <w:bCs/>
          <w:i/>
          <w:iCs/>
          <w:color w:val="000000"/>
          <w:lang w:eastAsia="bg-BG"/>
        </w:rPr>
      </w:pPr>
    </w:p>
    <w:p w14:paraId="78EC695E" w14:textId="6F58F55D" w:rsidR="004B01F7" w:rsidRPr="002713B4" w:rsidRDefault="004B01F7" w:rsidP="004B01F7">
      <w:pPr>
        <w:rPr>
          <w:rFonts w:eastAsia="Times New Roman" w:cs="Arial"/>
          <w:bCs/>
          <w:color w:val="000000"/>
          <w:vertAlign w:val="subscript"/>
          <w:lang w:val="en-US"/>
        </w:rPr>
      </w:pPr>
      <w:r w:rsidRPr="002713B4">
        <w:rPr>
          <w:rFonts w:eastAsia="Times New Roman" w:cs="Arial"/>
          <w:bCs/>
          <w:i/>
          <w:iCs/>
          <w:color w:val="000000"/>
          <w:lang w:eastAsia="bg-BG"/>
        </w:rPr>
        <w:t>Пациенти в напреднала възраст:</w:t>
      </w:r>
      <w:r w:rsidRPr="002713B4">
        <w:rPr>
          <w:rFonts w:eastAsia="Times New Roman" w:cs="Arial"/>
          <w:bCs/>
          <w:color w:val="000000"/>
          <w:lang w:eastAsia="bg-BG"/>
        </w:rPr>
        <w:t xml:space="preserve"> Както при всички лекарствени продукти, които се ексретират предимно през бъбреците, напредналата възраст се явява причина за намаляване на бъбречния клирънс на тиотропиум (365 </w:t>
      </w:r>
      <w:r w:rsidRPr="002713B4">
        <w:rPr>
          <w:rFonts w:eastAsia="Times New Roman" w:cs="Arial"/>
          <w:bCs/>
          <w:color w:val="000000"/>
          <w:lang w:val="en-US"/>
        </w:rPr>
        <w:t>ml</w:t>
      </w:r>
      <w:r w:rsidRPr="002713B4">
        <w:rPr>
          <w:rFonts w:eastAsia="Times New Roman" w:cs="Arial"/>
          <w:bCs/>
          <w:color w:val="000000"/>
          <w:lang w:val="ru-RU"/>
        </w:rPr>
        <w:t>/</w:t>
      </w:r>
      <w:r w:rsidRPr="002713B4">
        <w:rPr>
          <w:rFonts w:eastAsia="Times New Roman" w:cs="Arial"/>
          <w:bCs/>
          <w:color w:val="000000"/>
          <w:lang w:val="en-US"/>
        </w:rPr>
        <w:t>min</w:t>
      </w:r>
      <w:r w:rsidRPr="002713B4">
        <w:rPr>
          <w:rFonts w:eastAsia="Times New Roman" w:cs="Arial"/>
          <w:bCs/>
          <w:color w:val="000000"/>
          <w:lang w:val="ru-RU"/>
        </w:rPr>
        <w:t xml:space="preserve"> </w:t>
      </w:r>
      <w:r w:rsidRPr="002713B4">
        <w:rPr>
          <w:rFonts w:eastAsia="Times New Roman" w:cs="Arial"/>
          <w:bCs/>
          <w:color w:val="000000"/>
          <w:lang w:eastAsia="bg-BG"/>
        </w:rPr>
        <w:t xml:space="preserve">при пациенти с ХОББ на възраст под 65 години до 271 </w:t>
      </w:r>
      <w:r w:rsidRPr="002713B4">
        <w:rPr>
          <w:rFonts w:eastAsia="Times New Roman" w:cs="Arial"/>
          <w:bCs/>
          <w:color w:val="000000"/>
          <w:lang w:val="en-US"/>
        </w:rPr>
        <w:t>ml</w:t>
      </w:r>
      <w:r w:rsidRPr="002713B4">
        <w:rPr>
          <w:rFonts w:eastAsia="Times New Roman" w:cs="Arial"/>
          <w:bCs/>
          <w:color w:val="000000"/>
          <w:lang w:val="ru-RU"/>
        </w:rPr>
        <w:t>/</w:t>
      </w:r>
      <w:r w:rsidRPr="002713B4">
        <w:rPr>
          <w:rFonts w:eastAsia="Times New Roman" w:cs="Arial"/>
          <w:bCs/>
          <w:color w:val="000000"/>
          <w:lang w:val="en-US"/>
        </w:rPr>
        <w:t>min</w:t>
      </w:r>
      <w:r w:rsidRPr="002713B4">
        <w:rPr>
          <w:rFonts w:eastAsia="Times New Roman" w:cs="Arial"/>
          <w:bCs/>
          <w:color w:val="000000"/>
          <w:lang w:val="ru-RU"/>
        </w:rPr>
        <w:t xml:space="preserve"> </w:t>
      </w:r>
      <w:r w:rsidRPr="002713B4">
        <w:rPr>
          <w:rFonts w:eastAsia="Times New Roman" w:cs="Arial"/>
          <w:bCs/>
          <w:color w:val="000000"/>
          <w:lang w:eastAsia="bg-BG"/>
        </w:rPr>
        <w:t xml:space="preserve">при пациенти с ХОББ на възраст над 65 години). Това не води до съответно увеличение на стойностите на </w:t>
      </w:r>
      <w:r w:rsidRPr="002713B4">
        <w:rPr>
          <w:rFonts w:eastAsia="Times New Roman" w:cs="Arial"/>
          <w:bCs/>
          <w:color w:val="000000"/>
          <w:lang w:val="en-US"/>
        </w:rPr>
        <w:t>AUC</w:t>
      </w:r>
      <w:r w:rsidRPr="002713B4">
        <w:rPr>
          <w:rFonts w:eastAsia="Times New Roman" w:cs="Arial"/>
          <w:bCs/>
          <w:color w:val="000000"/>
          <w:vertAlign w:val="subscript"/>
          <w:lang w:val="ru-RU"/>
        </w:rPr>
        <w:t>0-6,</w:t>
      </w:r>
      <w:proofErr w:type="spellStart"/>
      <w:r w:rsidRPr="002713B4">
        <w:rPr>
          <w:rFonts w:eastAsia="Times New Roman" w:cs="Arial"/>
          <w:bCs/>
          <w:color w:val="000000"/>
          <w:vertAlign w:val="subscript"/>
          <w:lang w:val="en-US"/>
        </w:rPr>
        <w:t>ss</w:t>
      </w:r>
      <w:proofErr w:type="spellEnd"/>
      <w:r w:rsidRPr="002713B4">
        <w:rPr>
          <w:rFonts w:eastAsia="Times New Roman" w:cs="Arial"/>
          <w:bCs/>
          <w:color w:val="000000"/>
          <w:lang w:val="ru-RU"/>
        </w:rPr>
        <w:t xml:space="preserve"> </w:t>
      </w:r>
      <w:r w:rsidRPr="002713B4">
        <w:rPr>
          <w:rFonts w:eastAsia="Times New Roman" w:cs="Arial"/>
          <w:bCs/>
          <w:color w:val="000000"/>
          <w:lang w:eastAsia="bg-BG"/>
        </w:rPr>
        <w:t xml:space="preserve">или </w:t>
      </w:r>
      <w:proofErr w:type="spellStart"/>
      <w:r w:rsidRPr="002713B4">
        <w:rPr>
          <w:rFonts w:eastAsia="Times New Roman" w:cs="Arial"/>
          <w:bCs/>
          <w:color w:val="000000"/>
          <w:lang w:val="en-US"/>
        </w:rPr>
        <w:t>C</w:t>
      </w:r>
      <w:r w:rsidRPr="002713B4">
        <w:rPr>
          <w:rFonts w:eastAsia="Times New Roman" w:cs="Arial"/>
          <w:bCs/>
          <w:color w:val="000000"/>
          <w:vertAlign w:val="subscript"/>
          <w:lang w:val="en-US"/>
        </w:rPr>
        <w:t>max</w:t>
      </w:r>
      <w:proofErr w:type="spellEnd"/>
      <w:r w:rsidRPr="002713B4">
        <w:rPr>
          <w:rFonts w:eastAsia="Times New Roman" w:cs="Arial"/>
          <w:bCs/>
          <w:color w:val="000000"/>
          <w:vertAlign w:val="subscript"/>
          <w:lang w:val="ru-RU"/>
        </w:rPr>
        <w:t>,</w:t>
      </w:r>
      <w:proofErr w:type="spellStart"/>
      <w:r w:rsidRPr="002713B4">
        <w:rPr>
          <w:rFonts w:eastAsia="Times New Roman" w:cs="Arial"/>
          <w:bCs/>
          <w:color w:val="000000"/>
          <w:vertAlign w:val="subscript"/>
          <w:lang w:val="en-US"/>
        </w:rPr>
        <w:t>ss</w:t>
      </w:r>
      <w:proofErr w:type="spellEnd"/>
    </w:p>
    <w:p w14:paraId="42C9E898" w14:textId="56ECFA24" w:rsidR="002713B4" w:rsidRPr="002713B4" w:rsidRDefault="002713B4" w:rsidP="004B01F7">
      <w:pPr>
        <w:rPr>
          <w:rFonts w:eastAsia="Times New Roman" w:cs="Arial"/>
          <w:bCs/>
          <w:color w:val="000000"/>
          <w:vertAlign w:val="subscript"/>
          <w:lang w:val="en-US"/>
        </w:rPr>
      </w:pPr>
    </w:p>
    <w:p w14:paraId="1845D936" w14:textId="77777777" w:rsidR="002713B4" w:rsidRPr="002713B4" w:rsidRDefault="002713B4" w:rsidP="002713B4">
      <w:pPr>
        <w:spacing w:line="240" w:lineRule="auto"/>
        <w:rPr>
          <w:rFonts w:eastAsia="Times New Roman" w:cs="Arial"/>
        </w:rPr>
      </w:pPr>
      <w:r w:rsidRPr="002713B4">
        <w:rPr>
          <w:rFonts w:eastAsia="Times New Roman" w:cs="Arial"/>
          <w:bCs/>
          <w:i/>
          <w:iCs/>
          <w:color w:val="000000"/>
          <w:lang w:eastAsia="bg-BG"/>
        </w:rPr>
        <w:t>Пациенти с нарушения в бъбречната функция:</w:t>
      </w:r>
      <w:r w:rsidRPr="002713B4">
        <w:rPr>
          <w:rFonts w:eastAsia="Times New Roman" w:cs="Arial"/>
          <w:bCs/>
          <w:color w:val="000000"/>
          <w:lang w:eastAsia="bg-BG"/>
        </w:rPr>
        <w:t xml:space="preserve"> След инхалаторно приложение веднъж дневно на тиотропиум при пациенти с ХОББ в стабилно състояние, леко бъбречно увреждане </w:t>
      </w:r>
      <w:r w:rsidRPr="002713B4">
        <w:rPr>
          <w:rFonts w:eastAsia="Times New Roman" w:cs="Arial"/>
          <w:smallCaps/>
          <w:color w:val="000000"/>
          <w:lang w:val="ru-RU"/>
        </w:rPr>
        <w:t>(</w:t>
      </w:r>
      <w:proofErr w:type="spellStart"/>
      <w:r w:rsidRPr="002713B4">
        <w:rPr>
          <w:rFonts w:eastAsia="Times New Roman" w:cs="Arial"/>
          <w:smallCaps/>
          <w:color w:val="000000"/>
          <w:lang w:val="en-US"/>
        </w:rPr>
        <w:t>CL</w:t>
      </w:r>
      <w:r w:rsidRPr="002713B4">
        <w:rPr>
          <w:rFonts w:eastAsia="Times New Roman" w:cs="Arial"/>
          <w:smallCaps/>
          <w:color w:val="000000"/>
          <w:vertAlign w:val="subscript"/>
          <w:lang w:val="en-US"/>
        </w:rPr>
        <w:t>cr</w:t>
      </w:r>
      <w:proofErr w:type="spellEnd"/>
      <w:r w:rsidRPr="002713B4">
        <w:rPr>
          <w:rFonts w:eastAsia="Times New Roman" w:cs="Arial"/>
          <w:bCs/>
          <w:color w:val="000000"/>
          <w:lang w:val="ru-RU"/>
        </w:rPr>
        <w:t xml:space="preserve"> </w:t>
      </w:r>
      <w:r w:rsidRPr="002713B4">
        <w:rPr>
          <w:rFonts w:eastAsia="Times New Roman" w:cs="Arial"/>
          <w:bCs/>
          <w:color w:val="000000"/>
          <w:lang w:eastAsia="bg-BG"/>
        </w:rPr>
        <w:t xml:space="preserve">50- 80 </w:t>
      </w:r>
      <w:r w:rsidRPr="002713B4">
        <w:rPr>
          <w:rFonts w:eastAsia="Times New Roman" w:cs="Arial"/>
          <w:bCs/>
          <w:color w:val="000000"/>
          <w:lang w:val="en-US"/>
        </w:rPr>
        <w:t>ml</w:t>
      </w:r>
      <w:r w:rsidRPr="002713B4">
        <w:rPr>
          <w:rFonts w:eastAsia="Times New Roman" w:cs="Arial"/>
          <w:bCs/>
          <w:color w:val="000000"/>
          <w:lang w:val="ru-RU"/>
        </w:rPr>
        <w:t>/</w:t>
      </w:r>
      <w:r w:rsidRPr="002713B4">
        <w:rPr>
          <w:rFonts w:eastAsia="Times New Roman" w:cs="Arial"/>
          <w:bCs/>
          <w:color w:val="000000"/>
          <w:lang w:val="en-US"/>
        </w:rPr>
        <w:t>min</w:t>
      </w:r>
      <w:r w:rsidRPr="002713B4">
        <w:rPr>
          <w:rFonts w:eastAsia="Times New Roman" w:cs="Arial"/>
          <w:bCs/>
          <w:color w:val="000000"/>
          <w:lang w:val="ru-RU"/>
        </w:rPr>
        <w:t xml:space="preserve">), </w:t>
      </w:r>
      <w:r w:rsidRPr="002713B4">
        <w:rPr>
          <w:rFonts w:eastAsia="Times New Roman" w:cs="Arial"/>
          <w:bCs/>
          <w:color w:val="000000"/>
          <w:lang w:eastAsia="bg-BG"/>
        </w:rPr>
        <w:t xml:space="preserve">води до малко по-висока </w:t>
      </w:r>
      <w:r w:rsidRPr="002713B4">
        <w:rPr>
          <w:rFonts w:eastAsia="Times New Roman" w:cs="Arial"/>
          <w:smallCaps/>
          <w:color w:val="000000"/>
          <w:lang w:val="en-US"/>
        </w:rPr>
        <w:t>AUC</w:t>
      </w:r>
      <w:r w:rsidRPr="002713B4">
        <w:rPr>
          <w:rFonts w:eastAsia="Times New Roman" w:cs="Arial"/>
          <w:smallCaps/>
          <w:color w:val="000000"/>
          <w:vertAlign w:val="subscript"/>
          <w:lang w:val="ru-RU"/>
        </w:rPr>
        <w:t>0-6,</w:t>
      </w:r>
      <w:proofErr w:type="spellStart"/>
      <w:r w:rsidRPr="002713B4">
        <w:rPr>
          <w:rFonts w:eastAsia="Times New Roman" w:cs="Arial"/>
          <w:smallCaps/>
          <w:color w:val="000000"/>
          <w:vertAlign w:val="subscript"/>
          <w:lang w:val="en-US"/>
        </w:rPr>
        <w:t>ss</w:t>
      </w:r>
      <w:proofErr w:type="spellEnd"/>
      <w:r w:rsidRPr="002713B4">
        <w:rPr>
          <w:rFonts w:eastAsia="Times New Roman" w:cs="Arial"/>
          <w:bCs/>
          <w:color w:val="000000"/>
          <w:lang w:val="ru-RU"/>
        </w:rPr>
        <w:t xml:space="preserve"> </w:t>
      </w:r>
      <w:r w:rsidRPr="002713B4">
        <w:rPr>
          <w:rFonts w:eastAsia="Times New Roman" w:cs="Arial"/>
          <w:bCs/>
          <w:color w:val="000000"/>
          <w:lang w:eastAsia="bg-BG"/>
        </w:rPr>
        <w:t xml:space="preserve">(повишение между 1,8-30%) и подобни стойности на </w:t>
      </w:r>
      <w:proofErr w:type="spellStart"/>
      <w:r w:rsidRPr="002713B4">
        <w:rPr>
          <w:rFonts w:eastAsia="Times New Roman" w:cs="Arial"/>
          <w:bCs/>
          <w:color w:val="000000"/>
          <w:lang w:val="en-US"/>
        </w:rPr>
        <w:t>C</w:t>
      </w:r>
      <w:r w:rsidRPr="002713B4">
        <w:rPr>
          <w:rFonts w:eastAsia="Times New Roman" w:cs="Arial"/>
          <w:bCs/>
          <w:color w:val="000000"/>
          <w:vertAlign w:val="subscript"/>
          <w:lang w:val="en-US"/>
        </w:rPr>
        <w:t>max</w:t>
      </w:r>
      <w:proofErr w:type="spellEnd"/>
      <w:r w:rsidRPr="002713B4">
        <w:rPr>
          <w:rFonts w:eastAsia="Times New Roman" w:cs="Arial"/>
          <w:bCs/>
          <w:color w:val="000000"/>
          <w:vertAlign w:val="subscript"/>
          <w:lang w:val="ru-RU"/>
        </w:rPr>
        <w:t>,</w:t>
      </w:r>
      <w:proofErr w:type="spellStart"/>
      <w:r w:rsidRPr="002713B4">
        <w:rPr>
          <w:rFonts w:eastAsia="Times New Roman" w:cs="Arial"/>
          <w:bCs/>
          <w:color w:val="000000"/>
          <w:vertAlign w:val="subscript"/>
          <w:lang w:val="en-US"/>
        </w:rPr>
        <w:t>ss</w:t>
      </w:r>
      <w:proofErr w:type="spellEnd"/>
      <w:r w:rsidRPr="002713B4">
        <w:rPr>
          <w:rFonts w:eastAsia="Times New Roman" w:cs="Arial"/>
          <w:bCs/>
          <w:color w:val="000000"/>
          <w:lang w:val="ru-RU"/>
        </w:rPr>
        <w:t xml:space="preserve"> </w:t>
      </w:r>
      <w:r w:rsidRPr="002713B4">
        <w:rPr>
          <w:rFonts w:eastAsia="Times New Roman" w:cs="Arial"/>
          <w:bCs/>
          <w:color w:val="000000"/>
          <w:lang w:eastAsia="bg-BG"/>
        </w:rPr>
        <w:t xml:space="preserve">в сравнение с пациенти с нормална бъбречна функция </w:t>
      </w:r>
      <w:r w:rsidRPr="002713B4">
        <w:rPr>
          <w:rFonts w:eastAsia="Times New Roman" w:cs="Arial"/>
          <w:smallCaps/>
          <w:color w:val="000000"/>
          <w:lang w:val="ru-RU"/>
        </w:rPr>
        <w:t>(</w:t>
      </w:r>
      <w:proofErr w:type="spellStart"/>
      <w:r w:rsidRPr="002713B4">
        <w:rPr>
          <w:rFonts w:eastAsia="Times New Roman" w:cs="Arial"/>
          <w:smallCaps/>
          <w:color w:val="000000"/>
          <w:lang w:val="en-US"/>
        </w:rPr>
        <w:t>CL</w:t>
      </w:r>
      <w:r w:rsidRPr="002713B4">
        <w:rPr>
          <w:rFonts w:eastAsia="Times New Roman" w:cs="Arial"/>
          <w:smallCaps/>
          <w:color w:val="000000"/>
          <w:vertAlign w:val="subscript"/>
          <w:lang w:val="en-US"/>
        </w:rPr>
        <w:t>cr</w:t>
      </w:r>
      <w:proofErr w:type="spellEnd"/>
      <w:r w:rsidRPr="002713B4">
        <w:rPr>
          <w:rFonts w:eastAsia="Times New Roman" w:cs="Arial"/>
          <w:smallCaps/>
          <w:color w:val="000000"/>
          <w:lang w:val="ru-RU"/>
        </w:rPr>
        <w:t>&gt;80</w:t>
      </w:r>
      <w:r w:rsidRPr="002713B4">
        <w:rPr>
          <w:rFonts w:eastAsia="Times New Roman" w:cs="Arial"/>
          <w:bCs/>
          <w:color w:val="000000"/>
          <w:lang w:val="ru-RU"/>
        </w:rPr>
        <w:t xml:space="preserve"> </w:t>
      </w:r>
      <w:r w:rsidRPr="002713B4">
        <w:rPr>
          <w:rFonts w:eastAsia="Times New Roman" w:cs="Arial"/>
          <w:bCs/>
          <w:color w:val="000000"/>
          <w:lang w:val="en-US"/>
        </w:rPr>
        <w:t>ml</w:t>
      </w:r>
      <w:r w:rsidRPr="002713B4">
        <w:rPr>
          <w:rFonts w:eastAsia="Times New Roman" w:cs="Arial"/>
          <w:bCs/>
          <w:color w:val="000000"/>
          <w:lang w:val="ru-RU"/>
        </w:rPr>
        <w:t>/</w:t>
      </w:r>
      <w:r w:rsidRPr="002713B4">
        <w:rPr>
          <w:rFonts w:eastAsia="Times New Roman" w:cs="Arial"/>
          <w:bCs/>
          <w:color w:val="000000"/>
          <w:lang w:val="en-US"/>
        </w:rPr>
        <w:t>min</w:t>
      </w:r>
      <w:r w:rsidRPr="002713B4">
        <w:rPr>
          <w:rFonts w:eastAsia="Times New Roman" w:cs="Arial"/>
          <w:bCs/>
          <w:color w:val="000000"/>
          <w:lang w:val="ru-RU"/>
        </w:rPr>
        <w:t>).</w:t>
      </w:r>
    </w:p>
    <w:p w14:paraId="4AAAB286" w14:textId="77777777" w:rsidR="002713B4" w:rsidRPr="002713B4" w:rsidRDefault="002713B4" w:rsidP="002713B4">
      <w:pPr>
        <w:spacing w:line="240" w:lineRule="auto"/>
        <w:rPr>
          <w:rFonts w:eastAsia="Times New Roman" w:cs="Arial"/>
        </w:rPr>
      </w:pPr>
      <w:r w:rsidRPr="002713B4">
        <w:rPr>
          <w:rFonts w:eastAsia="Times New Roman" w:cs="Arial"/>
          <w:bCs/>
          <w:color w:val="000000"/>
          <w:lang w:eastAsia="bg-BG"/>
        </w:rPr>
        <w:t xml:space="preserve">При пациенти с ХОББ, страдащи от умерено до тежко бъбречно нарушение </w:t>
      </w:r>
      <w:r w:rsidRPr="002713B4">
        <w:rPr>
          <w:rFonts w:eastAsia="Times New Roman" w:cs="Arial"/>
          <w:smallCaps/>
          <w:color w:val="000000"/>
          <w:lang w:val="ru-RU"/>
        </w:rPr>
        <w:t>(</w:t>
      </w:r>
      <w:proofErr w:type="spellStart"/>
      <w:r w:rsidRPr="002713B4">
        <w:rPr>
          <w:rFonts w:eastAsia="Times New Roman" w:cs="Arial"/>
          <w:smallCaps/>
          <w:color w:val="000000"/>
          <w:lang w:val="en-US"/>
        </w:rPr>
        <w:t>CL</w:t>
      </w:r>
      <w:r w:rsidRPr="002713B4">
        <w:rPr>
          <w:rFonts w:eastAsia="Times New Roman" w:cs="Arial"/>
          <w:smallCaps/>
          <w:color w:val="000000"/>
          <w:vertAlign w:val="subscript"/>
          <w:lang w:val="en-US"/>
        </w:rPr>
        <w:t>cr</w:t>
      </w:r>
      <w:proofErr w:type="spellEnd"/>
      <w:r w:rsidRPr="002713B4">
        <w:rPr>
          <w:rFonts w:eastAsia="Times New Roman" w:cs="Arial"/>
          <w:bCs/>
          <w:color w:val="000000"/>
          <w:lang w:val="ru-RU"/>
        </w:rPr>
        <w:t xml:space="preserve"> </w:t>
      </w:r>
      <w:r w:rsidRPr="002713B4">
        <w:rPr>
          <w:rFonts w:eastAsia="Times New Roman" w:cs="Arial"/>
          <w:bCs/>
          <w:color w:val="000000"/>
          <w:lang w:eastAsia="bg-BG"/>
        </w:rPr>
        <w:t xml:space="preserve">&lt;50 </w:t>
      </w:r>
      <w:r w:rsidRPr="002713B4">
        <w:rPr>
          <w:rFonts w:eastAsia="Times New Roman" w:cs="Arial"/>
          <w:bCs/>
          <w:color w:val="000000"/>
          <w:lang w:val="en-US"/>
        </w:rPr>
        <w:t>ml</w:t>
      </w:r>
      <w:r w:rsidRPr="002713B4">
        <w:rPr>
          <w:rFonts w:eastAsia="Times New Roman" w:cs="Arial"/>
          <w:bCs/>
          <w:color w:val="000000"/>
          <w:lang w:val="ru-RU"/>
        </w:rPr>
        <w:t>/</w:t>
      </w:r>
      <w:r w:rsidRPr="002713B4">
        <w:rPr>
          <w:rFonts w:eastAsia="Times New Roman" w:cs="Arial"/>
          <w:bCs/>
          <w:color w:val="000000"/>
          <w:lang w:val="en-US"/>
        </w:rPr>
        <w:t>min</w:t>
      </w:r>
      <w:r w:rsidRPr="002713B4">
        <w:rPr>
          <w:rFonts w:eastAsia="Times New Roman" w:cs="Arial"/>
          <w:bCs/>
          <w:color w:val="000000"/>
          <w:lang w:val="ru-RU"/>
        </w:rPr>
        <w:t xml:space="preserve">), </w:t>
      </w:r>
      <w:r w:rsidRPr="002713B4">
        <w:rPr>
          <w:rFonts w:eastAsia="Times New Roman" w:cs="Arial"/>
          <w:bCs/>
          <w:color w:val="000000"/>
          <w:lang w:eastAsia="bg-BG"/>
        </w:rPr>
        <w:t xml:space="preserve">след интравенозно приложение на тиотропиум се наблюдава удвояване на общата експозиция (82 % повишение в </w:t>
      </w:r>
      <w:r w:rsidRPr="002713B4">
        <w:rPr>
          <w:rFonts w:eastAsia="Times New Roman" w:cs="Arial"/>
          <w:bCs/>
          <w:color w:val="000000"/>
          <w:lang w:val="en-US"/>
        </w:rPr>
        <w:t>AUC</w:t>
      </w:r>
      <w:r w:rsidRPr="002713B4">
        <w:rPr>
          <w:rFonts w:eastAsia="Times New Roman" w:cs="Arial"/>
          <w:bCs/>
          <w:color w:val="000000"/>
          <w:lang w:val="ru-RU"/>
        </w:rPr>
        <w:t>0-4</w:t>
      </w:r>
      <w:r w:rsidRPr="002713B4">
        <w:rPr>
          <w:rFonts w:eastAsia="Times New Roman" w:cs="Arial"/>
          <w:bCs/>
          <w:color w:val="000000"/>
          <w:lang w:val="en-US"/>
        </w:rPr>
        <w:t>h</w:t>
      </w:r>
      <w:r w:rsidRPr="002713B4">
        <w:rPr>
          <w:rFonts w:eastAsia="Times New Roman" w:cs="Arial"/>
          <w:bCs/>
          <w:color w:val="000000"/>
          <w:lang w:eastAsia="bg-BG"/>
        </w:rPr>
        <w:t xml:space="preserve"> и 52% повишение на С</w:t>
      </w:r>
      <w:r w:rsidRPr="002713B4">
        <w:rPr>
          <w:rFonts w:eastAsia="Times New Roman" w:cs="Arial"/>
          <w:bCs/>
          <w:color w:val="000000"/>
          <w:vertAlign w:val="subscript"/>
          <w:lang w:val="en-US"/>
        </w:rPr>
        <w:t>max</w:t>
      </w:r>
      <w:r w:rsidRPr="002713B4">
        <w:rPr>
          <w:rFonts w:eastAsia="Times New Roman" w:cs="Arial"/>
          <w:bCs/>
          <w:color w:val="000000"/>
          <w:lang w:eastAsia="bg-BG"/>
        </w:rPr>
        <w:t>) в сравнение с пациенти с ХОББ с нормална бъбречна функция, което е било потвърдено от плазмените концентрации след инхалаторно приложение на прах за инхалация.</w:t>
      </w:r>
    </w:p>
    <w:p w14:paraId="2666E276" w14:textId="77777777" w:rsidR="002713B4" w:rsidRPr="002713B4" w:rsidRDefault="002713B4" w:rsidP="002713B4">
      <w:pPr>
        <w:spacing w:line="240" w:lineRule="auto"/>
        <w:rPr>
          <w:rFonts w:eastAsia="Times New Roman" w:cs="Arial"/>
          <w:bCs/>
          <w:i/>
          <w:iCs/>
          <w:color w:val="000000"/>
          <w:lang w:eastAsia="bg-BG"/>
        </w:rPr>
      </w:pPr>
    </w:p>
    <w:p w14:paraId="118FAA94" w14:textId="2AF8D096" w:rsidR="002713B4" w:rsidRPr="002713B4" w:rsidRDefault="002713B4" w:rsidP="002713B4">
      <w:pPr>
        <w:spacing w:line="240" w:lineRule="auto"/>
        <w:rPr>
          <w:rFonts w:eastAsia="Times New Roman" w:cs="Arial"/>
        </w:rPr>
      </w:pPr>
      <w:r w:rsidRPr="002713B4">
        <w:rPr>
          <w:rFonts w:eastAsia="Times New Roman" w:cs="Arial"/>
          <w:bCs/>
          <w:i/>
          <w:iCs/>
          <w:color w:val="000000"/>
          <w:lang w:eastAsia="bg-BG"/>
        </w:rPr>
        <w:t>Пациенти с нарушения в чернодробната функция:</w:t>
      </w:r>
      <w:r w:rsidRPr="002713B4">
        <w:rPr>
          <w:rFonts w:eastAsia="Times New Roman" w:cs="Arial"/>
          <w:bCs/>
          <w:color w:val="000000"/>
          <w:lang w:eastAsia="bg-BG"/>
        </w:rPr>
        <w:t xml:space="preserve"> Не се очаква, наличието на чернодробна недостатъчност, да окаже съществено влияние върху фармакокинетиката на тиотропиум. Освобождаването на тиотропиум е предимно посредством бъбречно елиминиране (74% при млади здрави доброволци) и просто не-ензимно естерно разцепване до фармакологично неактивни продукти.</w:t>
      </w:r>
    </w:p>
    <w:p w14:paraId="32BB3D59" w14:textId="77777777" w:rsidR="002713B4" w:rsidRPr="002713B4" w:rsidRDefault="002713B4" w:rsidP="002713B4">
      <w:pPr>
        <w:spacing w:line="240" w:lineRule="auto"/>
        <w:rPr>
          <w:rFonts w:eastAsia="Times New Roman" w:cs="Arial"/>
          <w:bCs/>
          <w:i/>
          <w:iCs/>
          <w:color w:val="000000"/>
          <w:lang w:eastAsia="bg-BG"/>
        </w:rPr>
      </w:pPr>
    </w:p>
    <w:p w14:paraId="679DE2DE" w14:textId="77777777" w:rsidR="002713B4" w:rsidRPr="002713B4" w:rsidRDefault="002713B4" w:rsidP="002713B4">
      <w:pPr>
        <w:spacing w:line="240" w:lineRule="auto"/>
        <w:rPr>
          <w:rFonts w:eastAsia="Times New Roman" w:cs="Arial"/>
          <w:bCs/>
          <w:color w:val="000000"/>
          <w:lang w:eastAsia="bg-BG"/>
        </w:rPr>
      </w:pPr>
      <w:r w:rsidRPr="002713B4">
        <w:rPr>
          <w:rFonts w:eastAsia="Times New Roman" w:cs="Arial"/>
          <w:bCs/>
          <w:i/>
          <w:iCs/>
          <w:color w:val="000000"/>
          <w:lang w:eastAsia="bg-BG"/>
        </w:rPr>
        <w:t>Пациенти от японски произход с ХОББ:</w:t>
      </w:r>
      <w:r w:rsidRPr="002713B4">
        <w:rPr>
          <w:rFonts w:eastAsia="Times New Roman" w:cs="Arial"/>
          <w:bCs/>
          <w:color w:val="000000"/>
          <w:lang w:eastAsia="bg-BG"/>
        </w:rPr>
        <w:t xml:space="preserve"> В кръстосано сравнително проучване, средните пикови плазмени концентрации в стационарно състояние на тиотропиум, 10 минути след прилагане на дозата са били 20% до 70% по-високи при пациенти от японски произход в сравнение с пациенти от европеидната раса с ХОББ след инхалаторно приложение на тиотропиум, но няма данни за по-висока смъртност или сърдечен риск при японски пациенти в сравнение с пациенти от европеидната раса. </w:t>
      </w:r>
    </w:p>
    <w:p w14:paraId="4F8FB8D2" w14:textId="542D4431" w:rsidR="002713B4" w:rsidRPr="002713B4" w:rsidRDefault="002713B4" w:rsidP="002713B4">
      <w:pPr>
        <w:spacing w:line="240" w:lineRule="auto"/>
        <w:rPr>
          <w:rFonts w:eastAsia="Times New Roman" w:cs="Arial"/>
        </w:rPr>
      </w:pPr>
      <w:r w:rsidRPr="002713B4">
        <w:rPr>
          <w:rFonts w:eastAsia="Times New Roman" w:cs="Arial"/>
          <w:bCs/>
          <w:color w:val="000000"/>
          <w:lang w:eastAsia="bg-BG"/>
        </w:rPr>
        <w:t>Няма достатъчно данни за фармакокинетиката при други етноси или раси.</w:t>
      </w:r>
    </w:p>
    <w:p w14:paraId="5C86A0AF" w14:textId="77777777" w:rsidR="002713B4" w:rsidRPr="002713B4" w:rsidRDefault="002713B4" w:rsidP="002713B4">
      <w:pPr>
        <w:spacing w:line="240" w:lineRule="auto"/>
        <w:rPr>
          <w:rFonts w:eastAsia="Times New Roman" w:cs="Arial"/>
          <w:bCs/>
          <w:i/>
          <w:iCs/>
          <w:color w:val="000000"/>
          <w:lang w:eastAsia="bg-BG"/>
        </w:rPr>
      </w:pPr>
    </w:p>
    <w:p w14:paraId="57B22DF3" w14:textId="2F153B09" w:rsidR="002713B4" w:rsidRPr="002713B4" w:rsidRDefault="002713B4" w:rsidP="002713B4">
      <w:pPr>
        <w:spacing w:line="240" w:lineRule="auto"/>
        <w:rPr>
          <w:rFonts w:eastAsia="Times New Roman" w:cs="Arial"/>
        </w:rPr>
      </w:pPr>
      <w:r w:rsidRPr="002713B4">
        <w:rPr>
          <w:rFonts w:eastAsia="Times New Roman" w:cs="Arial"/>
          <w:bCs/>
          <w:i/>
          <w:iCs/>
          <w:color w:val="000000"/>
          <w:lang w:eastAsia="bg-BG"/>
        </w:rPr>
        <w:t>Педиатрични пациенти:</w:t>
      </w:r>
      <w:r w:rsidRPr="002713B4">
        <w:rPr>
          <w:rFonts w:eastAsia="Times New Roman" w:cs="Arial"/>
          <w:bCs/>
          <w:color w:val="000000"/>
          <w:lang w:eastAsia="bg-BG"/>
        </w:rPr>
        <w:t xml:space="preserve"> вж. точка 4.2</w:t>
      </w:r>
    </w:p>
    <w:p w14:paraId="7EB1710B" w14:textId="77777777" w:rsidR="002713B4" w:rsidRPr="002713B4" w:rsidRDefault="002713B4" w:rsidP="002713B4">
      <w:pPr>
        <w:spacing w:line="240" w:lineRule="auto"/>
        <w:rPr>
          <w:rFonts w:eastAsia="Times New Roman" w:cs="Arial"/>
          <w:bCs/>
          <w:color w:val="000000"/>
          <w:u w:val="single"/>
          <w:lang w:eastAsia="bg-BG"/>
        </w:rPr>
      </w:pPr>
    </w:p>
    <w:p w14:paraId="69999F10" w14:textId="507DA1B5" w:rsidR="002713B4" w:rsidRPr="002713B4" w:rsidRDefault="002713B4" w:rsidP="002713B4">
      <w:pPr>
        <w:spacing w:line="240" w:lineRule="auto"/>
        <w:rPr>
          <w:rFonts w:eastAsia="Times New Roman" w:cs="Arial"/>
        </w:rPr>
      </w:pPr>
      <w:r w:rsidRPr="002713B4">
        <w:rPr>
          <w:rFonts w:eastAsia="Times New Roman" w:cs="Arial"/>
          <w:bCs/>
          <w:color w:val="000000"/>
          <w:u w:val="single"/>
          <w:lang w:eastAsia="bg-BG"/>
        </w:rPr>
        <w:t>г)Фармакокинетични/Фармакодинамични взаимодействия</w:t>
      </w:r>
    </w:p>
    <w:p w14:paraId="4907EF8C" w14:textId="77777777" w:rsidR="002713B4" w:rsidRPr="002713B4" w:rsidRDefault="002713B4" w:rsidP="002713B4">
      <w:pPr>
        <w:rPr>
          <w:rFonts w:eastAsia="Times New Roman" w:cs="Arial"/>
          <w:bCs/>
          <w:color w:val="000000"/>
          <w:lang w:eastAsia="bg-BG"/>
        </w:rPr>
      </w:pPr>
    </w:p>
    <w:p w14:paraId="5C4518A2" w14:textId="784AC075" w:rsidR="002713B4" w:rsidRPr="002713B4" w:rsidRDefault="002713B4" w:rsidP="002713B4">
      <w:pPr>
        <w:rPr>
          <w:rFonts w:eastAsia="Times New Roman" w:cs="Arial"/>
          <w:bCs/>
          <w:color w:val="000000"/>
          <w:lang w:eastAsia="bg-BG"/>
        </w:rPr>
      </w:pPr>
      <w:r w:rsidRPr="002713B4">
        <w:rPr>
          <w:rFonts w:eastAsia="Times New Roman" w:cs="Arial"/>
          <w:bCs/>
          <w:color w:val="000000"/>
          <w:lang w:eastAsia="bg-BG"/>
        </w:rPr>
        <w:t>Не съществува директна зависимост между фармакокинетиката и фармакодинамиката.</w:t>
      </w:r>
    </w:p>
    <w:p w14:paraId="66C6464E" w14:textId="77777777" w:rsidR="002713B4" w:rsidRPr="004B01F7" w:rsidRDefault="002713B4" w:rsidP="002713B4"/>
    <w:p w14:paraId="4F31844C" w14:textId="4F7CE964" w:rsidR="00875EEC" w:rsidRDefault="002C50EE" w:rsidP="005726E3">
      <w:pPr>
        <w:pStyle w:val="Heading2"/>
      </w:pPr>
      <w:r>
        <w:t>5.3. Предклинични данни за безопасност</w:t>
      </w:r>
    </w:p>
    <w:p w14:paraId="0612776D" w14:textId="0D7C38C3" w:rsidR="002713B4" w:rsidRDefault="002713B4" w:rsidP="002713B4"/>
    <w:p w14:paraId="059B3665" w14:textId="77777777" w:rsidR="002713B4" w:rsidRPr="002713B4" w:rsidRDefault="002713B4" w:rsidP="002713B4">
      <w:pPr>
        <w:spacing w:line="240" w:lineRule="auto"/>
        <w:rPr>
          <w:rFonts w:eastAsia="Times New Roman" w:cs="Arial"/>
          <w:sz w:val="28"/>
          <w:szCs w:val="24"/>
        </w:rPr>
      </w:pPr>
      <w:r w:rsidRPr="002713B4">
        <w:rPr>
          <w:rFonts w:eastAsia="Times New Roman" w:cs="Arial"/>
          <w:bCs/>
          <w:color w:val="000000"/>
          <w:szCs w:val="20"/>
          <w:lang w:eastAsia="bg-BG"/>
        </w:rPr>
        <w:t>Много от ефектите, наблюдавани при конвенционални проучвания за безопасност, проучвания с многократно дозиране и репродуктивна токсичност, могат да се обяснят с антихолинергичните свойства на тиотропиум бромид. При животни са наблюдавани следните ефекти: намалена консумация на храна, намалено покачване на тегло, сухота в устата и носа, намалена слъзна и слюнна секреция, мидриаза и повишена сърдечна честота. Други наблюдавани важни промени бяха: слабо дразнене на горните дихателни пътища при плъхове и мишки, проявено чрез ринит и промени в епитела на носната кухина и ларинкса, простатит, придружен с белтъчни натрупвания и литиаза в пикочния мехур на плъхове.</w:t>
      </w:r>
    </w:p>
    <w:p w14:paraId="730FB999" w14:textId="77777777" w:rsidR="002713B4" w:rsidRPr="002713B4" w:rsidRDefault="002713B4" w:rsidP="002713B4">
      <w:pPr>
        <w:spacing w:line="240" w:lineRule="auto"/>
        <w:rPr>
          <w:rFonts w:eastAsia="Times New Roman" w:cs="Arial"/>
          <w:bCs/>
          <w:color w:val="000000"/>
          <w:szCs w:val="20"/>
          <w:lang w:eastAsia="bg-BG"/>
        </w:rPr>
      </w:pPr>
    </w:p>
    <w:p w14:paraId="2E8262DC" w14:textId="2B90F4E5" w:rsidR="002713B4" w:rsidRPr="002713B4" w:rsidRDefault="002713B4" w:rsidP="002713B4">
      <w:pPr>
        <w:spacing w:line="240" w:lineRule="auto"/>
        <w:rPr>
          <w:rFonts w:eastAsia="Times New Roman" w:cs="Arial"/>
          <w:sz w:val="28"/>
          <w:szCs w:val="24"/>
        </w:rPr>
      </w:pPr>
      <w:r w:rsidRPr="002713B4">
        <w:rPr>
          <w:rFonts w:eastAsia="Times New Roman" w:cs="Arial"/>
          <w:bCs/>
          <w:color w:val="000000"/>
          <w:szCs w:val="20"/>
          <w:lang w:eastAsia="bg-BG"/>
        </w:rPr>
        <w:t>Вредните ефекти, по отношение на бременността, ембрионалното/феталното развитие, раждането или постнаталното развитие, биха могли да се демонстрират само при дозови нива, токсични за майчиния организъм. Тиотропиум бромид не показа токсичност при плъхове и зайци. В основното изпитване за репродуктивност и фертилитет при плъхове, не са открити признаци за някакви нежелани ефекти върху фертилитета или способността за възпроизвеждане на третираните родители или тяхното потомство, независимо от прилаганите дози.</w:t>
      </w:r>
    </w:p>
    <w:p w14:paraId="719A521A" w14:textId="5B17652A" w:rsidR="002713B4" w:rsidRPr="002713B4" w:rsidRDefault="002713B4" w:rsidP="002713B4">
      <w:pPr>
        <w:rPr>
          <w:rFonts w:cs="Arial"/>
          <w:sz w:val="24"/>
        </w:rPr>
      </w:pPr>
      <w:r w:rsidRPr="002713B4">
        <w:rPr>
          <w:rFonts w:eastAsia="Times New Roman" w:cs="Arial"/>
          <w:bCs/>
          <w:color w:val="000000"/>
          <w:szCs w:val="20"/>
          <w:lang w:eastAsia="bg-BG"/>
        </w:rPr>
        <w:t>Респираторните (дразнене) и урогениталните (простатит) промени, както и репродуктивната токсичност, са наблюдавани при локално и системно натоварване пет пъти над терапевтичното. Проучвания върху генотоксичностга и карциногенния потенциал, не показват опасност за човешкия организъм.</w:t>
      </w:r>
    </w:p>
    <w:p w14:paraId="1BA6531D" w14:textId="4390ECC4" w:rsidR="00B6672E" w:rsidRDefault="002C50EE" w:rsidP="00936AD0">
      <w:pPr>
        <w:pStyle w:val="Heading1"/>
      </w:pPr>
      <w:r>
        <w:t>7. ПРИТЕЖАТЕЛ НА РАЗРЕШЕНИЕТО ЗА УПОТРЕБА</w:t>
      </w:r>
    </w:p>
    <w:p w14:paraId="29D7F0B3" w14:textId="5C39C02B" w:rsidR="002713B4" w:rsidRDefault="002713B4" w:rsidP="002713B4"/>
    <w:p w14:paraId="0DAAE773" w14:textId="77777777" w:rsidR="002713B4" w:rsidRPr="002713B4" w:rsidRDefault="002713B4" w:rsidP="002713B4">
      <w:pPr>
        <w:rPr>
          <w:sz w:val="24"/>
          <w:szCs w:val="24"/>
          <w:lang w:val="en-US"/>
        </w:rPr>
      </w:pPr>
      <w:proofErr w:type="spellStart"/>
      <w:r w:rsidRPr="002713B4">
        <w:rPr>
          <w:lang w:val="en-US"/>
        </w:rPr>
        <w:t>Boehringer</w:t>
      </w:r>
      <w:proofErr w:type="spellEnd"/>
      <w:r w:rsidRPr="002713B4">
        <w:rPr>
          <w:lang w:val="en-US"/>
        </w:rPr>
        <w:t xml:space="preserve"> </w:t>
      </w:r>
      <w:proofErr w:type="spellStart"/>
      <w:r w:rsidRPr="002713B4">
        <w:rPr>
          <w:lang w:val="en-US"/>
        </w:rPr>
        <w:t>Ingelheim</w:t>
      </w:r>
      <w:proofErr w:type="spellEnd"/>
      <w:r w:rsidRPr="002713B4">
        <w:rPr>
          <w:lang w:val="en-US"/>
        </w:rPr>
        <w:t xml:space="preserve"> International GmbH</w:t>
      </w:r>
    </w:p>
    <w:p w14:paraId="707DD767" w14:textId="77777777" w:rsidR="002713B4" w:rsidRPr="002713B4" w:rsidRDefault="002713B4" w:rsidP="002713B4">
      <w:pPr>
        <w:rPr>
          <w:sz w:val="24"/>
          <w:szCs w:val="24"/>
          <w:lang w:val="en-US"/>
        </w:rPr>
      </w:pPr>
      <w:r w:rsidRPr="002713B4">
        <w:rPr>
          <w:lang w:val="en-US"/>
        </w:rPr>
        <w:t xml:space="preserve">Binger </w:t>
      </w:r>
      <w:proofErr w:type="spellStart"/>
      <w:r w:rsidRPr="002713B4">
        <w:rPr>
          <w:lang w:val="en-US"/>
        </w:rPr>
        <w:t>Strasse</w:t>
      </w:r>
      <w:proofErr w:type="spellEnd"/>
      <w:r w:rsidRPr="002713B4">
        <w:rPr>
          <w:lang w:val="en-US"/>
        </w:rPr>
        <w:t xml:space="preserve"> 173</w:t>
      </w:r>
    </w:p>
    <w:p w14:paraId="26BD8634" w14:textId="77777777" w:rsidR="002713B4" w:rsidRPr="002713B4" w:rsidRDefault="002713B4" w:rsidP="002713B4">
      <w:pPr>
        <w:rPr>
          <w:sz w:val="24"/>
          <w:szCs w:val="24"/>
          <w:lang w:val="ru-RU"/>
        </w:rPr>
      </w:pPr>
      <w:r w:rsidRPr="002713B4">
        <w:rPr>
          <w:lang w:val="en-US"/>
        </w:rPr>
        <w:t>D</w:t>
      </w:r>
      <w:r w:rsidRPr="002713B4">
        <w:rPr>
          <w:lang w:val="ru-RU"/>
        </w:rPr>
        <w:t xml:space="preserve">-55216 </w:t>
      </w:r>
      <w:proofErr w:type="spellStart"/>
      <w:r w:rsidRPr="002713B4">
        <w:rPr>
          <w:lang w:val="en-US"/>
        </w:rPr>
        <w:t>Ingelheim</w:t>
      </w:r>
      <w:proofErr w:type="spellEnd"/>
      <w:r w:rsidRPr="002713B4">
        <w:rPr>
          <w:lang w:val="ru-RU"/>
        </w:rPr>
        <w:t xml:space="preserve"> </w:t>
      </w:r>
      <w:r w:rsidRPr="002713B4">
        <w:rPr>
          <w:lang w:val="en-US"/>
        </w:rPr>
        <w:t>am</w:t>
      </w:r>
      <w:r w:rsidRPr="002713B4">
        <w:rPr>
          <w:lang w:val="ru-RU"/>
        </w:rPr>
        <w:t xml:space="preserve"> </w:t>
      </w:r>
      <w:proofErr w:type="spellStart"/>
      <w:r w:rsidRPr="002713B4">
        <w:rPr>
          <w:lang w:val="en-US"/>
        </w:rPr>
        <w:t>Rhein</w:t>
      </w:r>
      <w:proofErr w:type="spellEnd"/>
    </w:p>
    <w:p w14:paraId="2E8E13DA" w14:textId="4FD22F10" w:rsidR="002713B4" w:rsidRPr="002713B4" w:rsidRDefault="002713B4" w:rsidP="002713B4">
      <w:r w:rsidRPr="002713B4">
        <w:rPr>
          <w:lang w:eastAsia="bg-BG"/>
        </w:rPr>
        <w:t>Германия</w:t>
      </w:r>
    </w:p>
    <w:p w14:paraId="508F3A54" w14:textId="4D645F2A" w:rsidR="00B6672E" w:rsidRDefault="00936AD0" w:rsidP="00936AD0">
      <w:pPr>
        <w:pStyle w:val="Heading1"/>
      </w:pPr>
      <w:r>
        <w:t>8.</w:t>
      </w:r>
      <w:r w:rsidR="002C50EE">
        <w:t>НОМЕР НА РАЗРЕШЕНИЕТО ЗА УПОТРЕБА</w:t>
      </w:r>
    </w:p>
    <w:p w14:paraId="1EA3ACBF" w14:textId="0826D0BD" w:rsidR="002713B4" w:rsidRDefault="002713B4" w:rsidP="002713B4"/>
    <w:p w14:paraId="5422A2B9" w14:textId="0155FDFD" w:rsidR="002713B4" w:rsidRPr="002713B4" w:rsidRDefault="002713B4" w:rsidP="002713B4">
      <w:r>
        <w:t>20020374</w:t>
      </w:r>
    </w:p>
    <w:p w14:paraId="3BC5EC53" w14:textId="5AFD8D81" w:rsidR="00875EEC" w:rsidRDefault="002C50EE" w:rsidP="005726E3">
      <w:pPr>
        <w:pStyle w:val="Heading1"/>
      </w:pPr>
      <w:r>
        <w:t>9. ДАТА НА ПЪРВО РАЗРЕШАВАНЕ/ПОДНОВЯВАНЕ НА РАЗРЕШЕНИЕТО ЗА УПОТРЕБА</w:t>
      </w:r>
    </w:p>
    <w:p w14:paraId="4C2A695A" w14:textId="12187EAF" w:rsidR="002713B4" w:rsidRDefault="002713B4" w:rsidP="002713B4"/>
    <w:p w14:paraId="2196961C" w14:textId="77777777" w:rsidR="002713B4" w:rsidRPr="002713B4" w:rsidRDefault="002713B4" w:rsidP="002713B4">
      <w:pPr>
        <w:rPr>
          <w:sz w:val="24"/>
          <w:szCs w:val="24"/>
        </w:rPr>
      </w:pPr>
      <w:r w:rsidRPr="002713B4">
        <w:rPr>
          <w:lang w:eastAsia="bg-BG"/>
        </w:rPr>
        <w:t>Дата на първо разрешаване за употреба по национална процедура: 16 Май 2002 г.</w:t>
      </w:r>
    </w:p>
    <w:p w14:paraId="29098272" w14:textId="77777777" w:rsidR="002713B4" w:rsidRPr="002713B4" w:rsidRDefault="002713B4" w:rsidP="002713B4">
      <w:pPr>
        <w:rPr>
          <w:sz w:val="24"/>
          <w:szCs w:val="24"/>
        </w:rPr>
      </w:pPr>
      <w:r w:rsidRPr="002713B4">
        <w:rPr>
          <w:lang w:eastAsia="bg-BG"/>
        </w:rPr>
        <w:t>Дата на подновяване: 27 Септември 2007</w:t>
      </w:r>
    </w:p>
    <w:p w14:paraId="6CDE13D2" w14:textId="77777777" w:rsidR="002713B4" w:rsidRPr="002713B4" w:rsidRDefault="002713B4" w:rsidP="002713B4">
      <w:pPr>
        <w:rPr>
          <w:sz w:val="24"/>
          <w:szCs w:val="24"/>
        </w:rPr>
      </w:pPr>
      <w:r w:rsidRPr="002713B4">
        <w:rPr>
          <w:lang w:eastAsia="bg-BG"/>
        </w:rPr>
        <w:t>Дата на разрешението за употреба по процедура по взаимно признаване: 01 Юни 2011</w:t>
      </w:r>
    </w:p>
    <w:p w14:paraId="50C0C302" w14:textId="77777777" w:rsidR="002713B4" w:rsidRPr="002713B4" w:rsidRDefault="002713B4" w:rsidP="002713B4"/>
    <w:p w14:paraId="43FB38A2" w14:textId="1EAB5946" w:rsidR="007C605B" w:rsidRDefault="002C50EE" w:rsidP="005726E3">
      <w:pPr>
        <w:pStyle w:val="Heading1"/>
      </w:pPr>
      <w:r>
        <w:t>10. ДАТА НА АКТУАЛИЗИРАНЕ НА ТЕКСТА</w:t>
      </w:r>
      <w:bookmarkEnd w:id="0"/>
    </w:p>
    <w:p w14:paraId="2E8CA12E" w14:textId="641037E0" w:rsidR="002713B4" w:rsidRDefault="002713B4" w:rsidP="002713B4"/>
    <w:p w14:paraId="5D3C883B" w14:textId="77777777" w:rsidR="002713B4" w:rsidRPr="002713B4" w:rsidRDefault="002713B4" w:rsidP="002713B4">
      <w:bookmarkStart w:id="1" w:name="_GoBack"/>
      <w:bookmarkEnd w:id="1"/>
    </w:p>
    <w:sectPr w:rsidR="002713B4" w:rsidRPr="002713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4"/>
  </w:num>
  <w:num w:numId="4">
    <w:abstractNumId w:val="3"/>
  </w:num>
  <w:num w:numId="5">
    <w:abstractNumId w:val="1"/>
  </w:num>
  <w:num w:numId="6">
    <w:abstractNumId w:val="17"/>
  </w:num>
  <w:num w:numId="7">
    <w:abstractNumId w:val="12"/>
  </w:num>
  <w:num w:numId="8">
    <w:abstractNumId w:val="16"/>
  </w:num>
  <w:num w:numId="9">
    <w:abstractNumId w:val="2"/>
  </w:num>
  <w:num w:numId="10">
    <w:abstractNumId w:val="4"/>
  </w:num>
  <w:num w:numId="11">
    <w:abstractNumId w:val="31"/>
  </w:num>
  <w:num w:numId="12">
    <w:abstractNumId w:val="15"/>
  </w:num>
  <w:num w:numId="13">
    <w:abstractNumId w:val="20"/>
  </w:num>
  <w:num w:numId="14">
    <w:abstractNumId w:val="13"/>
  </w:num>
  <w:num w:numId="15">
    <w:abstractNumId w:val="30"/>
  </w:num>
  <w:num w:numId="16">
    <w:abstractNumId w:val="11"/>
  </w:num>
  <w:num w:numId="17">
    <w:abstractNumId w:val="25"/>
  </w:num>
  <w:num w:numId="18">
    <w:abstractNumId w:val="8"/>
  </w:num>
  <w:num w:numId="19">
    <w:abstractNumId w:val="27"/>
  </w:num>
  <w:num w:numId="20">
    <w:abstractNumId w:val="24"/>
  </w:num>
  <w:num w:numId="21">
    <w:abstractNumId w:val="18"/>
  </w:num>
  <w:num w:numId="22">
    <w:abstractNumId w:val="26"/>
  </w:num>
  <w:num w:numId="23">
    <w:abstractNumId w:val="19"/>
  </w:num>
  <w:num w:numId="24">
    <w:abstractNumId w:val="9"/>
  </w:num>
  <w:num w:numId="25">
    <w:abstractNumId w:val="23"/>
  </w:num>
  <w:num w:numId="26">
    <w:abstractNumId w:val="22"/>
  </w:num>
  <w:num w:numId="27">
    <w:abstractNumId w:val="32"/>
  </w:num>
  <w:num w:numId="28">
    <w:abstractNumId w:val="6"/>
  </w:num>
  <w:num w:numId="29">
    <w:abstractNumId w:val="21"/>
  </w:num>
  <w:num w:numId="30">
    <w:abstractNumId w:val="35"/>
  </w:num>
  <w:num w:numId="31">
    <w:abstractNumId w:val="5"/>
  </w:num>
  <w:num w:numId="32">
    <w:abstractNumId w:val="34"/>
  </w:num>
  <w:num w:numId="33">
    <w:abstractNumId w:val="29"/>
  </w:num>
  <w:num w:numId="34">
    <w:abstractNumId w:val="33"/>
  </w:num>
  <w:num w:numId="35">
    <w:abstractNumId w:val="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713B4"/>
    <w:rsid w:val="002B3C38"/>
    <w:rsid w:val="002B4DBB"/>
    <w:rsid w:val="002C50EE"/>
    <w:rsid w:val="00340A0A"/>
    <w:rsid w:val="003765DC"/>
    <w:rsid w:val="00395555"/>
    <w:rsid w:val="003E3126"/>
    <w:rsid w:val="00426E5F"/>
    <w:rsid w:val="004A448E"/>
    <w:rsid w:val="004B01F7"/>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1E14"/>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B32D3"/>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5064</Words>
  <Characters>28871</Characters>
  <Application>Microsoft Office Word</Application>
  <DocSecurity>0</DocSecurity>
  <Lines>240</Lines>
  <Paragraphs>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2022-11-29T18:25:00Z</dcterms:created>
  <dcterms:modified xsi:type="dcterms:W3CDTF">2022-11-29T18:25:00Z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