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2E8D226C" w:rsidR="00AA23EC" w:rsidRDefault="00DD466D" w:rsidP="00DD466D">
      <w:pPr>
        <w:pStyle w:val="Heading1"/>
      </w:pPr>
      <w:r>
        <w:t>1.ИМЕ НА ЛЕКАРСТВЕНИЯ ПРОДУКТ</w:t>
      </w:r>
    </w:p>
    <w:p w14:paraId="776E4732" w14:textId="5CAE51AF" w:rsidR="006D024C" w:rsidRDefault="006D024C" w:rsidP="006D024C"/>
    <w:p w14:paraId="7827F409" w14:textId="77777777" w:rsidR="006D024C" w:rsidRPr="006D024C" w:rsidRDefault="006D024C" w:rsidP="006D024C">
      <w:pPr>
        <w:rPr>
          <w:sz w:val="24"/>
          <w:szCs w:val="24"/>
        </w:rPr>
      </w:pPr>
      <w:r w:rsidRPr="006D024C">
        <w:rPr>
          <w:lang w:eastAsia="bg-BG"/>
        </w:rPr>
        <w:t>Спирива Респимат 2,5 микрограма разтвор за инхалация</w:t>
      </w:r>
    </w:p>
    <w:p w14:paraId="26807E9E" w14:textId="2FCA014B" w:rsidR="006D024C" w:rsidRPr="006D024C" w:rsidRDefault="006D024C" w:rsidP="006D024C">
      <w:r w:rsidRPr="006D024C">
        <w:rPr>
          <w:lang w:val="en-US"/>
        </w:rPr>
        <w:t xml:space="preserve">Spiriva </w:t>
      </w:r>
      <w:proofErr w:type="spellStart"/>
      <w:r w:rsidRPr="006D024C">
        <w:rPr>
          <w:lang w:val="en-US"/>
        </w:rPr>
        <w:t>Respimat</w:t>
      </w:r>
      <w:proofErr w:type="spellEnd"/>
      <w:r w:rsidRPr="006D024C">
        <w:rPr>
          <w:lang w:val="en-US"/>
        </w:rPr>
        <w:t xml:space="preserve"> </w:t>
      </w:r>
      <w:r w:rsidRPr="006D024C">
        <w:rPr>
          <w:lang w:eastAsia="bg-BG"/>
        </w:rPr>
        <w:t xml:space="preserve">2.5 </w:t>
      </w:r>
      <w:r w:rsidRPr="006D024C">
        <w:rPr>
          <w:lang w:val="en-US"/>
        </w:rPr>
        <w:t>microgram inhalation solution</w:t>
      </w:r>
    </w:p>
    <w:p w14:paraId="0A368469" w14:textId="73A0762E" w:rsidR="00C0049F" w:rsidRDefault="00DD466D" w:rsidP="009F1313">
      <w:pPr>
        <w:pStyle w:val="Heading1"/>
      </w:pPr>
      <w:r>
        <w:t>2. КАЧЕСТВЕН И КОЛИЧЕСТВЕН СЪСТАВ</w:t>
      </w:r>
    </w:p>
    <w:p w14:paraId="6DE2BE0A" w14:textId="2EA1853D" w:rsidR="006D024C" w:rsidRDefault="006D024C" w:rsidP="006D024C"/>
    <w:p w14:paraId="38CBBE33" w14:textId="77777777" w:rsidR="006D024C" w:rsidRPr="006D024C" w:rsidRDefault="006D024C" w:rsidP="006D024C">
      <w:pPr>
        <w:rPr>
          <w:sz w:val="24"/>
          <w:szCs w:val="24"/>
        </w:rPr>
      </w:pPr>
      <w:r w:rsidRPr="006D024C">
        <w:rPr>
          <w:lang w:eastAsia="bg-BG"/>
        </w:rPr>
        <w:t xml:space="preserve">Отделяното количество активно вещество е 2,5 </w:t>
      </w:r>
      <w:r w:rsidRPr="006D024C">
        <w:rPr>
          <w:i/>
          <w:iCs/>
          <w:lang w:eastAsia="bg-BG"/>
        </w:rPr>
        <w:t>микрограма</w:t>
      </w:r>
      <w:r w:rsidRPr="006D024C">
        <w:rPr>
          <w:lang w:eastAsia="bg-BG"/>
        </w:rPr>
        <w:t xml:space="preserve"> тиотропиум за впръскване </w:t>
      </w:r>
      <w:r w:rsidRPr="006D024C">
        <w:rPr>
          <w:i/>
          <w:iCs/>
          <w:lang w:eastAsia="bg-BG"/>
        </w:rPr>
        <w:t xml:space="preserve">(2 </w:t>
      </w:r>
      <w:r w:rsidRPr="006D024C">
        <w:rPr>
          <w:lang w:eastAsia="bg-BG"/>
        </w:rPr>
        <w:t xml:space="preserve">впръсквания съставят една лекарствена доза) и е еквивалентно на 3,124 микрограма тиотропиум бромид монохидрат </w:t>
      </w:r>
      <w:r w:rsidRPr="006D024C">
        <w:rPr>
          <w:i/>
          <w:iCs/>
        </w:rPr>
        <w:t>(</w:t>
      </w:r>
      <w:proofErr w:type="spellStart"/>
      <w:r w:rsidRPr="006D024C">
        <w:rPr>
          <w:i/>
          <w:iCs/>
          <w:lang w:val="en-US"/>
        </w:rPr>
        <w:t>tiotropium</w:t>
      </w:r>
      <w:proofErr w:type="spellEnd"/>
      <w:r w:rsidRPr="006D024C">
        <w:rPr>
          <w:i/>
          <w:iCs/>
        </w:rPr>
        <w:t xml:space="preserve"> </w:t>
      </w:r>
      <w:r w:rsidRPr="006D024C">
        <w:rPr>
          <w:i/>
          <w:iCs/>
          <w:lang w:val="en-US"/>
        </w:rPr>
        <w:t>bromide</w:t>
      </w:r>
      <w:r w:rsidRPr="006D024C">
        <w:rPr>
          <w:i/>
          <w:iCs/>
        </w:rPr>
        <w:t xml:space="preserve"> </w:t>
      </w:r>
      <w:r w:rsidRPr="006D024C">
        <w:rPr>
          <w:i/>
          <w:iCs/>
          <w:lang w:val="en-US"/>
        </w:rPr>
        <w:t>monohydrate</w:t>
      </w:r>
      <w:r w:rsidRPr="006D024C">
        <w:rPr>
          <w:i/>
          <w:iCs/>
        </w:rPr>
        <w:t>).</w:t>
      </w:r>
    </w:p>
    <w:p w14:paraId="7B4C6BC9" w14:textId="77777777" w:rsidR="006D024C" w:rsidRPr="006D024C" w:rsidRDefault="006D024C" w:rsidP="006D024C">
      <w:pPr>
        <w:rPr>
          <w:sz w:val="24"/>
          <w:szCs w:val="24"/>
        </w:rPr>
      </w:pPr>
      <w:r w:rsidRPr="006D024C">
        <w:rPr>
          <w:lang w:eastAsia="bg-BG"/>
        </w:rPr>
        <w:t>Дозата, която се освобождава, е дозата, която се доставя за пациента след преминаване през мундщука.</w:t>
      </w:r>
    </w:p>
    <w:p w14:paraId="4DCE3EAB" w14:textId="77777777" w:rsidR="006D024C" w:rsidRDefault="006D024C" w:rsidP="006D024C">
      <w:pPr>
        <w:rPr>
          <w:lang w:eastAsia="bg-BG"/>
        </w:rPr>
      </w:pPr>
    </w:p>
    <w:p w14:paraId="05813587" w14:textId="708C34B0" w:rsidR="006D024C" w:rsidRPr="006D024C" w:rsidRDefault="006D024C" w:rsidP="006D024C">
      <w:r w:rsidRPr="006D024C">
        <w:rPr>
          <w:lang w:eastAsia="bg-BG"/>
        </w:rPr>
        <w:t xml:space="preserve">Помощни вещества с известно действие: Това лекарство съдържа 0,0011 </w:t>
      </w:r>
      <w:r w:rsidRPr="006D024C">
        <w:rPr>
          <w:lang w:val="en-US"/>
        </w:rPr>
        <w:t>mg</w:t>
      </w:r>
      <w:r w:rsidRPr="006D024C">
        <w:rPr>
          <w:lang w:val="ru-RU"/>
        </w:rPr>
        <w:t xml:space="preserve"> </w:t>
      </w:r>
      <w:r w:rsidRPr="006D024C">
        <w:rPr>
          <w:lang w:eastAsia="bg-BG"/>
        </w:rPr>
        <w:t>бензалкониев хлорид на впръскване.</w:t>
      </w:r>
    </w:p>
    <w:p w14:paraId="614984C4" w14:textId="7C471456" w:rsidR="008A6AF2" w:rsidRDefault="00DD466D" w:rsidP="002C50EE">
      <w:pPr>
        <w:pStyle w:val="Heading1"/>
      </w:pPr>
      <w:r>
        <w:t>3. ЛЕКАРСТВЕНА ФОРМА</w:t>
      </w:r>
    </w:p>
    <w:p w14:paraId="4DE42EDD" w14:textId="45E6A56F" w:rsidR="006D024C" w:rsidRDefault="006D024C" w:rsidP="006D024C"/>
    <w:p w14:paraId="2F2E8FEB" w14:textId="77777777" w:rsidR="006D024C" w:rsidRPr="006D024C" w:rsidRDefault="006D024C" w:rsidP="006D024C">
      <w:pPr>
        <w:rPr>
          <w:sz w:val="24"/>
          <w:szCs w:val="24"/>
        </w:rPr>
      </w:pPr>
      <w:r w:rsidRPr="006D024C">
        <w:rPr>
          <w:lang w:eastAsia="bg-BG"/>
        </w:rPr>
        <w:t>Разтвор за инхалация.</w:t>
      </w:r>
    </w:p>
    <w:p w14:paraId="3C65624D" w14:textId="2853F287" w:rsidR="006D024C" w:rsidRPr="006D024C" w:rsidRDefault="006D024C" w:rsidP="006D024C">
      <w:r w:rsidRPr="006D024C">
        <w:rPr>
          <w:lang w:eastAsia="bg-BG"/>
        </w:rPr>
        <w:t>Бистър, безцветен разтвор за инхалация.</w:t>
      </w:r>
    </w:p>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378BFBD0" w:rsidR="00395555" w:rsidRDefault="00395555" w:rsidP="00395555"/>
    <w:p w14:paraId="12162F96" w14:textId="77777777" w:rsidR="006D024C" w:rsidRPr="006D024C" w:rsidRDefault="006D024C" w:rsidP="006D024C">
      <w:pPr>
        <w:pStyle w:val="Heading3"/>
        <w:rPr>
          <w:rFonts w:eastAsia="Times New Roman"/>
          <w:u w:val="single"/>
        </w:rPr>
      </w:pPr>
      <w:r w:rsidRPr="006D024C">
        <w:rPr>
          <w:rFonts w:eastAsia="Times New Roman"/>
          <w:u w:val="single"/>
          <w:lang w:eastAsia="bg-BG"/>
        </w:rPr>
        <w:t>ХОББ</w:t>
      </w:r>
    </w:p>
    <w:p w14:paraId="782C42D7" w14:textId="77777777" w:rsidR="006D024C" w:rsidRPr="006D024C" w:rsidRDefault="006D024C" w:rsidP="006D024C">
      <w:pPr>
        <w:rPr>
          <w:sz w:val="24"/>
          <w:szCs w:val="24"/>
        </w:rPr>
      </w:pPr>
      <w:r w:rsidRPr="006D024C">
        <w:rPr>
          <w:lang w:eastAsia="bg-BG"/>
        </w:rPr>
        <w:t>Тиотропиум представлява бронходилататор за поддържащо лечение за облекчаване на симптомите при пациенти с хронична обструктивна белодробна болест (ХОББ).</w:t>
      </w:r>
    </w:p>
    <w:p w14:paraId="6BC430DD" w14:textId="77777777" w:rsidR="006D024C" w:rsidRDefault="006D024C" w:rsidP="006D024C">
      <w:pPr>
        <w:rPr>
          <w:lang w:eastAsia="bg-BG"/>
        </w:rPr>
      </w:pPr>
    </w:p>
    <w:p w14:paraId="550D1888" w14:textId="4EFA19FF" w:rsidR="006D024C" w:rsidRPr="006D024C" w:rsidRDefault="006D024C" w:rsidP="006D024C">
      <w:pPr>
        <w:pStyle w:val="Heading3"/>
        <w:rPr>
          <w:rFonts w:eastAsia="Times New Roman"/>
          <w:u w:val="single"/>
        </w:rPr>
      </w:pPr>
      <w:r w:rsidRPr="006D024C">
        <w:rPr>
          <w:rFonts w:eastAsia="Times New Roman"/>
          <w:u w:val="single"/>
          <w:lang w:eastAsia="bg-BG"/>
        </w:rPr>
        <w:t>Астма</w:t>
      </w:r>
    </w:p>
    <w:p w14:paraId="7272FEEE" w14:textId="77777777" w:rsidR="006D024C" w:rsidRPr="006D024C" w:rsidRDefault="006D024C" w:rsidP="006D024C">
      <w:pPr>
        <w:rPr>
          <w:sz w:val="24"/>
          <w:szCs w:val="24"/>
        </w:rPr>
      </w:pPr>
      <w:r w:rsidRPr="006D024C">
        <w:rPr>
          <w:lang w:eastAsia="bg-BG"/>
        </w:rPr>
        <w:t xml:space="preserve">Спирива Респимат е показан като допълнително поддържащо лечение с бронходилататор при пациенти на възраст 6 години или повече с тежка астма, които са имали едно или повече тежки обостряния през предходната година (вж. точки </w:t>
      </w:r>
      <w:r w:rsidRPr="006D024C">
        <w:rPr>
          <w:i/>
          <w:iCs/>
          <w:lang w:eastAsia="bg-BG"/>
        </w:rPr>
        <w:t>4.2 и 5.1).</w:t>
      </w:r>
    </w:p>
    <w:p w14:paraId="10481B14" w14:textId="77777777" w:rsidR="006D024C" w:rsidRPr="00395555" w:rsidRDefault="006D024C" w:rsidP="00395555"/>
    <w:p w14:paraId="7C0CA5EB" w14:textId="60937755" w:rsidR="00C0049F" w:rsidRDefault="002C50EE" w:rsidP="009F1313">
      <w:pPr>
        <w:pStyle w:val="Heading2"/>
      </w:pPr>
      <w:r>
        <w:t>4.2. Дозировка и начин на приложение</w:t>
      </w:r>
    </w:p>
    <w:p w14:paraId="1455EB32" w14:textId="3F2CA58C" w:rsidR="006D024C" w:rsidRDefault="006D024C" w:rsidP="006D024C"/>
    <w:p w14:paraId="7C531FD4" w14:textId="77777777" w:rsidR="006D024C" w:rsidRPr="006D024C" w:rsidRDefault="006D024C" w:rsidP="006D024C">
      <w:pPr>
        <w:pStyle w:val="Heading3"/>
        <w:rPr>
          <w:rFonts w:eastAsia="Times New Roman"/>
          <w:u w:val="single"/>
        </w:rPr>
      </w:pPr>
      <w:r w:rsidRPr="006D024C">
        <w:rPr>
          <w:rFonts w:eastAsia="Times New Roman"/>
          <w:u w:val="single"/>
          <w:lang w:eastAsia="bg-BG"/>
        </w:rPr>
        <w:t>Дозировка:</w:t>
      </w:r>
    </w:p>
    <w:p w14:paraId="1BF8F5A3" w14:textId="77777777" w:rsidR="006D024C" w:rsidRPr="006D024C" w:rsidRDefault="006D024C" w:rsidP="006D024C">
      <w:pPr>
        <w:spacing w:line="240" w:lineRule="auto"/>
        <w:rPr>
          <w:rFonts w:eastAsia="Times New Roman" w:cs="Arial"/>
        </w:rPr>
      </w:pPr>
      <w:r w:rsidRPr="006D024C">
        <w:rPr>
          <w:rFonts w:eastAsia="Times New Roman" w:cs="Arial"/>
          <w:bCs/>
          <w:color w:val="000000"/>
          <w:lang w:eastAsia="bg-BG"/>
        </w:rPr>
        <w:t>Лекарственият продукт е само за инхалаторна употреба. Пълнителят може да се поставя и използва единствено в инхалатор Респимат (вж. точка 4.2).</w:t>
      </w:r>
    </w:p>
    <w:p w14:paraId="38F43E2A" w14:textId="77777777" w:rsidR="006D024C" w:rsidRPr="006D024C" w:rsidRDefault="006D024C" w:rsidP="006D024C">
      <w:pPr>
        <w:spacing w:line="240" w:lineRule="auto"/>
        <w:rPr>
          <w:rFonts w:eastAsia="Times New Roman" w:cs="Arial"/>
        </w:rPr>
      </w:pPr>
      <w:r w:rsidRPr="006D024C">
        <w:rPr>
          <w:rFonts w:eastAsia="Times New Roman" w:cs="Arial"/>
          <w:bCs/>
          <w:color w:val="000000"/>
          <w:lang w:eastAsia="bg-BG"/>
        </w:rPr>
        <w:t>Една лекарствена доза включва две впръсквания от инхалатора. Препоръчителната доза за възрастни е 5 микрограма тиотропиум, освободени от две впръсквания от инхалатора Респимат, един път дневно, по едно и също време на деня.</w:t>
      </w:r>
    </w:p>
    <w:p w14:paraId="2F367251" w14:textId="77777777" w:rsidR="006D024C" w:rsidRPr="006D024C" w:rsidRDefault="006D024C" w:rsidP="006D024C">
      <w:pPr>
        <w:spacing w:line="240" w:lineRule="auto"/>
        <w:rPr>
          <w:rFonts w:eastAsia="Times New Roman" w:cs="Arial"/>
          <w:bCs/>
          <w:color w:val="000000"/>
          <w:lang w:eastAsia="bg-BG"/>
        </w:rPr>
      </w:pPr>
    </w:p>
    <w:p w14:paraId="0D01A3D5" w14:textId="5691B76B" w:rsidR="006D024C" w:rsidRPr="006D024C" w:rsidRDefault="006D024C" w:rsidP="006D024C">
      <w:pPr>
        <w:spacing w:line="240" w:lineRule="auto"/>
        <w:rPr>
          <w:rFonts w:eastAsia="Times New Roman" w:cs="Arial"/>
        </w:rPr>
      </w:pPr>
      <w:r w:rsidRPr="006D024C">
        <w:rPr>
          <w:rFonts w:eastAsia="Times New Roman" w:cs="Arial"/>
          <w:bCs/>
          <w:color w:val="000000"/>
          <w:lang w:eastAsia="bg-BG"/>
        </w:rPr>
        <w:lastRenderedPageBreak/>
        <w:t>Препоръчаната доза не трябва да се превишава.</w:t>
      </w:r>
    </w:p>
    <w:p w14:paraId="12F6DC4D" w14:textId="77777777" w:rsidR="006D024C" w:rsidRPr="006D024C" w:rsidRDefault="006D024C" w:rsidP="006D024C">
      <w:pPr>
        <w:spacing w:line="240" w:lineRule="auto"/>
        <w:rPr>
          <w:rFonts w:eastAsia="Times New Roman" w:cs="Arial"/>
        </w:rPr>
      </w:pPr>
      <w:r w:rsidRPr="006D024C">
        <w:rPr>
          <w:rFonts w:eastAsia="Times New Roman" w:cs="Arial"/>
          <w:bCs/>
          <w:color w:val="000000"/>
          <w:lang w:eastAsia="bg-BG"/>
        </w:rPr>
        <w:t>При лечението на астма, пълната полза се отчита след няколко дози от лекарствения продукт. При възрастни пациенти с тежка астма тиотропиум трябва да се използва като допълнение към терапията с инхалаторни кортикостероиди (≥800 μ</w:t>
      </w:r>
      <w:r w:rsidRPr="006D024C">
        <w:rPr>
          <w:rFonts w:eastAsia="Times New Roman" w:cs="Arial"/>
          <w:bCs/>
          <w:color w:val="000000"/>
          <w:lang w:val="en-US"/>
        </w:rPr>
        <w:t>g</w:t>
      </w:r>
      <w:r w:rsidRPr="006D024C">
        <w:rPr>
          <w:rFonts w:eastAsia="Times New Roman" w:cs="Arial"/>
          <w:bCs/>
          <w:color w:val="000000"/>
          <w:lang w:val="ru-RU"/>
        </w:rPr>
        <w:t xml:space="preserve"> </w:t>
      </w:r>
      <w:r w:rsidRPr="006D024C">
        <w:rPr>
          <w:rFonts w:eastAsia="Times New Roman" w:cs="Arial"/>
          <w:bCs/>
          <w:color w:val="000000"/>
          <w:lang w:eastAsia="bg-BG"/>
        </w:rPr>
        <w:t>будезонид/дневно или еквивалентно средство) и поне още един контролиращ лекарствен продукт.</w:t>
      </w:r>
    </w:p>
    <w:p w14:paraId="79213EB4" w14:textId="77777777" w:rsidR="006D024C" w:rsidRPr="006D024C" w:rsidRDefault="006D024C" w:rsidP="006D024C">
      <w:pPr>
        <w:spacing w:line="240" w:lineRule="auto"/>
        <w:rPr>
          <w:rFonts w:eastAsia="Times New Roman" w:cs="Arial"/>
          <w:bCs/>
          <w:color w:val="000000"/>
          <w:u w:val="single"/>
          <w:lang w:eastAsia="bg-BG"/>
        </w:rPr>
      </w:pPr>
    </w:p>
    <w:p w14:paraId="236E391C" w14:textId="0B6F67EB" w:rsidR="006D024C" w:rsidRPr="006D024C" w:rsidRDefault="006D024C" w:rsidP="006D024C">
      <w:pPr>
        <w:spacing w:line="240" w:lineRule="auto"/>
        <w:rPr>
          <w:rFonts w:eastAsia="Times New Roman" w:cs="Arial"/>
          <w:bCs/>
          <w:color w:val="000000"/>
          <w:u w:val="single"/>
          <w:lang w:eastAsia="bg-BG"/>
        </w:rPr>
      </w:pPr>
      <w:r w:rsidRPr="006D024C">
        <w:rPr>
          <w:rFonts w:eastAsia="Times New Roman" w:cs="Arial"/>
          <w:bCs/>
          <w:color w:val="000000"/>
          <w:u w:val="single"/>
          <w:lang w:eastAsia="bg-BG"/>
        </w:rPr>
        <w:t>Специални популации</w:t>
      </w:r>
    </w:p>
    <w:p w14:paraId="072B1244" w14:textId="77777777"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Пациенти в напреднала възраст могат да използват тиотропиум бромид, следвайки препоръчаната дозировка.</w:t>
      </w:r>
    </w:p>
    <w:p w14:paraId="1A687886" w14:textId="77777777"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 xml:space="preserve">Пациенти с бъбречни увреждания могат да използват тиотропиум бромид, следвайки препоръчаната дозировка. За пациенти със средна до тежка бъбречна недостатъчност (креатининов клирънс ≤ 50 </w:t>
      </w:r>
      <w:r w:rsidRPr="006D024C">
        <w:rPr>
          <w:rFonts w:eastAsia="Times New Roman" w:cs="Arial"/>
          <w:bCs/>
          <w:color w:val="000000"/>
          <w:szCs w:val="42"/>
          <w:lang w:val="en-US"/>
        </w:rPr>
        <w:t>ml</w:t>
      </w:r>
      <w:r w:rsidRPr="006D024C">
        <w:rPr>
          <w:rFonts w:eastAsia="Times New Roman" w:cs="Arial"/>
          <w:bCs/>
          <w:color w:val="000000"/>
          <w:szCs w:val="42"/>
          <w:lang w:val="ru-RU"/>
        </w:rPr>
        <w:t>/</w:t>
      </w:r>
      <w:r w:rsidRPr="006D024C">
        <w:rPr>
          <w:rFonts w:eastAsia="Times New Roman" w:cs="Arial"/>
          <w:bCs/>
          <w:color w:val="000000"/>
          <w:szCs w:val="42"/>
          <w:lang w:val="en-US"/>
        </w:rPr>
        <w:t>min</w:t>
      </w:r>
      <w:r w:rsidRPr="006D024C">
        <w:rPr>
          <w:rFonts w:eastAsia="Times New Roman" w:cs="Arial"/>
          <w:bCs/>
          <w:color w:val="000000"/>
          <w:szCs w:val="42"/>
          <w:lang w:val="ru-RU"/>
        </w:rPr>
        <w:t xml:space="preserve">), </w:t>
      </w:r>
      <w:r w:rsidRPr="006D024C">
        <w:rPr>
          <w:rFonts w:eastAsia="Times New Roman" w:cs="Arial"/>
          <w:bCs/>
          <w:color w:val="000000"/>
          <w:szCs w:val="42"/>
          <w:lang w:eastAsia="bg-BG"/>
        </w:rPr>
        <w:t>вижте точки 4.4 и 5.2.</w:t>
      </w:r>
    </w:p>
    <w:p w14:paraId="34E45A89" w14:textId="77777777"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Пациенти, страдащи от чернодробна недостатъчност могат да използват тиотропиум бромид, следвайки препоръчаната дозировка (вж. точка 5.2).</w:t>
      </w:r>
    </w:p>
    <w:p w14:paraId="5FA93823" w14:textId="77777777" w:rsidR="006D024C" w:rsidRPr="006D024C" w:rsidRDefault="006D024C" w:rsidP="006D024C">
      <w:pPr>
        <w:spacing w:line="240" w:lineRule="auto"/>
        <w:rPr>
          <w:rFonts w:eastAsia="Times New Roman" w:cs="Arial"/>
          <w:bCs/>
          <w:color w:val="000000"/>
          <w:szCs w:val="42"/>
          <w:u w:val="single"/>
          <w:lang w:eastAsia="bg-BG"/>
        </w:rPr>
      </w:pPr>
    </w:p>
    <w:p w14:paraId="377219E7" w14:textId="3C4C8C25"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u w:val="single"/>
          <w:lang w:eastAsia="bg-BG"/>
        </w:rPr>
        <w:t>Педиатрична популация</w:t>
      </w:r>
    </w:p>
    <w:p w14:paraId="2F588E7B" w14:textId="77777777" w:rsidR="006D024C" w:rsidRPr="006D024C" w:rsidRDefault="006D024C" w:rsidP="006D024C">
      <w:pPr>
        <w:spacing w:line="240" w:lineRule="auto"/>
        <w:rPr>
          <w:rFonts w:eastAsia="Times New Roman" w:cs="Arial"/>
          <w:sz w:val="12"/>
          <w:szCs w:val="24"/>
        </w:rPr>
      </w:pPr>
      <w:r w:rsidRPr="006D024C">
        <w:rPr>
          <w:rFonts w:eastAsia="Times New Roman" w:cs="Arial"/>
          <w:bCs/>
          <w:i/>
          <w:iCs/>
          <w:color w:val="000000"/>
          <w:szCs w:val="42"/>
          <w:lang w:eastAsia="bg-BG"/>
        </w:rPr>
        <w:t>Астма</w:t>
      </w:r>
    </w:p>
    <w:p w14:paraId="735EDD2C" w14:textId="77777777"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Препоръчителната доза при пациенти на възраст от 6 до 17 години е 5 микрограма тиотропиум, освободени от две впръсквания от инхалатора Респимат, един път дневно, по едно и също време на деня.</w:t>
      </w:r>
    </w:p>
    <w:p w14:paraId="035B29A6" w14:textId="77777777" w:rsidR="006D024C" w:rsidRPr="006D024C" w:rsidRDefault="006D024C" w:rsidP="006D024C">
      <w:pPr>
        <w:spacing w:line="240" w:lineRule="auto"/>
        <w:rPr>
          <w:rFonts w:eastAsia="Times New Roman" w:cs="Arial"/>
          <w:bCs/>
          <w:color w:val="000000"/>
          <w:szCs w:val="42"/>
          <w:lang w:eastAsia="bg-BG"/>
        </w:rPr>
      </w:pPr>
    </w:p>
    <w:p w14:paraId="1957CEAF" w14:textId="5E6C7F44"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При юноши (12 до 17 години) с тежка астма, тиотропиум трябва да се използва като допълнение към терапията с инхалаторни кортикостероиди (&gt; 800 - 1 600 μ</w:t>
      </w:r>
      <w:r w:rsidRPr="006D024C">
        <w:rPr>
          <w:rFonts w:eastAsia="Times New Roman" w:cs="Arial"/>
          <w:bCs/>
          <w:color w:val="000000"/>
          <w:szCs w:val="42"/>
          <w:lang w:val="en-US"/>
        </w:rPr>
        <w:t>g</w:t>
      </w:r>
      <w:r w:rsidRPr="006D024C">
        <w:rPr>
          <w:rFonts w:eastAsia="Times New Roman" w:cs="Arial"/>
          <w:bCs/>
          <w:color w:val="000000"/>
          <w:szCs w:val="42"/>
          <w:lang w:val="ru-RU"/>
        </w:rPr>
        <w:t xml:space="preserve"> </w:t>
      </w:r>
      <w:r w:rsidRPr="006D024C">
        <w:rPr>
          <w:rFonts w:eastAsia="Times New Roman" w:cs="Arial"/>
          <w:bCs/>
          <w:color w:val="000000"/>
          <w:szCs w:val="42"/>
          <w:lang w:eastAsia="bg-BG"/>
        </w:rPr>
        <w:t>будезонид/дневно или еквивалентно средство) и един контролиращ лекарствен продукт, или като допълнение към терапията с инхалаторни кортикостероиди (400 - 800 μ</w:t>
      </w:r>
      <w:r w:rsidRPr="006D024C">
        <w:rPr>
          <w:rFonts w:eastAsia="Times New Roman" w:cs="Arial"/>
          <w:bCs/>
          <w:color w:val="000000"/>
          <w:szCs w:val="42"/>
          <w:lang w:val="en-US"/>
        </w:rPr>
        <w:t>g</w:t>
      </w:r>
      <w:r w:rsidRPr="006D024C">
        <w:rPr>
          <w:rFonts w:eastAsia="Times New Roman" w:cs="Arial"/>
          <w:bCs/>
          <w:color w:val="000000"/>
          <w:szCs w:val="42"/>
          <w:lang w:val="ru-RU"/>
        </w:rPr>
        <w:t xml:space="preserve"> </w:t>
      </w:r>
      <w:r w:rsidRPr="006D024C">
        <w:rPr>
          <w:rFonts w:eastAsia="Times New Roman" w:cs="Arial"/>
          <w:bCs/>
          <w:color w:val="000000"/>
          <w:szCs w:val="42"/>
          <w:lang w:eastAsia="bg-BG"/>
        </w:rPr>
        <w:t>будезонид/дневно или еквивалентно средство) и два контролиращи лекарствени продукта,</w:t>
      </w:r>
    </w:p>
    <w:p w14:paraId="1C7C0F87" w14:textId="77777777" w:rsidR="006D024C" w:rsidRPr="006D024C" w:rsidRDefault="006D024C" w:rsidP="006D024C">
      <w:pPr>
        <w:spacing w:line="240" w:lineRule="auto"/>
        <w:rPr>
          <w:rFonts w:eastAsia="Times New Roman" w:cs="Arial"/>
          <w:sz w:val="12"/>
          <w:szCs w:val="24"/>
        </w:rPr>
      </w:pPr>
    </w:p>
    <w:p w14:paraId="29F4A092" w14:textId="4D7BABD6"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При деца (6 до 11 години) с тежка астма, тиотропиум трябва да се използва като допълнение към терапията с инхалаторни кортикостероиди (&gt; 400 μ</w:t>
      </w:r>
      <w:r w:rsidRPr="006D024C">
        <w:rPr>
          <w:rFonts w:eastAsia="Times New Roman" w:cs="Arial"/>
          <w:bCs/>
          <w:color w:val="000000"/>
          <w:szCs w:val="42"/>
          <w:lang w:val="en-US"/>
        </w:rPr>
        <w:t>g</w:t>
      </w:r>
      <w:r w:rsidRPr="006D024C">
        <w:rPr>
          <w:rFonts w:eastAsia="Times New Roman" w:cs="Arial"/>
          <w:bCs/>
          <w:color w:val="000000"/>
          <w:szCs w:val="42"/>
          <w:lang w:val="ru-RU"/>
        </w:rPr>
        <w:t xml:space="preserve"> </w:t>
      </w:r>
      <w:r w:rsidRPr="006D024C">
        <w:rPr>
          <w:rFonts w:eastAsia="Times New Roman" w:cs="Arial"/>
          <w:bCs/>
          <w:color w:val="000000"/>
          <w:szCs w:val="42"/>
          <w:lang w:eastAsia="bg-BG"/>
        </w:rPr>
        <w:t xml:space="preserve">будезонид/дневно или еквивалентно средство) и един контролиращ лекарствен продукт, или като допълнение към терапията с инхалаторни кортикостероиди (200 - 400 </w:t>
      </w:r>
      <w:proofErr w:type="spellStart"/>
      <w:r w:rsidRPr="006D024C">
        <w:rPr>
          <w:rFonts w:eastAsia="Times New Roman" w:cs="Arial"/>
          <w:bCs/>
          <w:color w:val="000000"/>
          <w:szCs w:val="42"/>
          <w:lang w:val="en-US"/>
        </w:rPr>
        <w:t>pg</w:t>
      </w:r>
      <w:proofErr w:type="spellEnd"/>
      <w:r w:rsidRPr="006D024C">
        <w:rPr>
          <w:rFonts w:eastAsia="Times New Roman" w:cs="Arial"/>
          <w:bCs/>
          <w:color w:val="000000"/>
          <w:szCs w:val="42"/>
          <w:lang w:val="ru-RU"/>
        </w:rPr>
        <w:t xml:space="preserve"> </w:t>
      </w:r>
      <w:r w:rsidRPr="006D024C">
        <w:rPr>
          <w:rFonts w:eastAsia="Times New Roman" w:cs="Arial"/>
          <w:bCs/>
          <w:color w:val="000000"/>
          <w:szCs w:val="42"/>
          <w:lang w:eastAsia="bg-BG"/>
        </w:rPr>
        <w:t>будезонид/дневно или еквивалентно средство) и два контролиращи лекарствени продукта.</w:t>
      </w:r>
    </w:p>
    <w:p w14:paraId="334BAAFE" w14:textId="77777777" w:rsidR="006D024C" w:rsidRPr="006D024C" w:rsidRDefault="006D024C" w:rsidP="006D024C">
      <w:pPr>
        <w:spacing w:line="240" w:lineRule="auto"/>
        <w:rPr>
          <w:rFonts w:eastAsia="Times New Roman" w:cs="Arial"/>
          <w:bCs/>
          <w:color w:val="000000"/>
          <w:szCs w:val="42"/>
          <w:lang w:eastAsia="bg-BG"/>
        </w:rPr>
      </w:pPr>
    </w:p>
    <w:p w14:paraId="28C0BF75" w14:textId="049A6CC6"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Все още не са установени безопасността и ефикасността на Спирива Респимат при деца на възраст от 6 до 17 години с умерено тежка астма. Все още не са установени безопасността и ефикасността на Спирива Респимат при деца под 6-годишна възраст. Наличните данни са описани в точки 5.1 и 5.2, но препоръки за дозировката не могат да бъдат дадени.</w:t>
      </w:r>
    </w:p>
    <w:p w14:paraId="14726BB3" w14:textId="77777777" w:rsidR="006D024C" w:rsidRPr="006D024C" w:rsidRDefault="006D024C" w:rsidP="006D024C">
      <w:pPr>
        <w:spacing w:line="240" w:lineRule="auto"/>
        <w:rPr>
          <w:rFonts w:eastAsia="Times New Roman" w:cs="Arial"/>
          <w:bCs/>
          <w:i/>
          <w:iCs/>
          <w:color w:val="000000"/>
          <w:szCs w:val="42"/>
          <w:lang w:eastAsia="bg-BG"/>
        </w:rPr>
      </w:pPr>
    </w:p>
    <w:p w14:paraId="057DAABF" w14:textId="5B5985E4" w:rsidR="006D024C" w:rsidRPr="006D024C" w:rsidRDefault="006D024C" w:rsidP="006D024C">
      <w:pPr>
        <w:spacing w:line="240" w:lineRule="auto"/>
        <w:rPr>
          <w:rFonts w:eastAsia="Times New Roman" w:cs="Arial"/>
          <w:sz w:val="12"/>
          <w:szCs w:val="24"/>
        </w:rPr>
      </w:pPr>
      <w:r w:rsidRPr="006D024C">
        <w:rPr>
          <w:rFonts w:eastAsia="Times New Roman" w:cs="Arial"/>
          <w:bCs/>
          <w:i/>
          <w:iCs/>
          <w:color w:val="000000"/>
          <w:szCs w:val="42"/>
          <w:lang w:eastAsia="bg-BG"/>
        </w:rPr>
        <w:t>ХОББ</w:t>
      </w:r>
    </w:p>
    <w:p w14:paraId="410C208D" w14:textId="77777777"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Липсва съответна употреба на Спирива Респимат при деца и юноши под 18-годишна възраст.</w:t>
      </w:r>
    </w:p>
    <w:p w14:paraId="01BB62CB" w14:textId="77777777" w:rsidR="006D024C" w:rsidRPr="006D024C" w:rsidRDefault="006D024C" w:rsidP="006D024C">
      <w:pPr>
        <w:spacing w:line="240" w:lineRule="auto"/>
        <w:rPr>
          <w:rFonts w:eastAsia="Times New Roman" w:cs="Arial"/>
          <w:bCs/>
          <w:i/>
          <w:iCs/>
          <w:color w:val="000000"/>
          <w:szCs w:val="42"/>
          <w:lang w:eastAsia="bg-BG"/>
        </w:rPr>
      </w:pPr>
    </w:p>
    <w:p w14:paraId="09499FC9" w14:textId="78EB9B8D" w:rsidR="006D024C" w:rsidRPr="006D024C" w:rsidRDefault="006D024C" w:rsidP="006D024C">
      <w:pPr>
        <w:spacing w:line="240" w:lineRule="auto"/>
        <w:rPr>
          <w:rFonts w:eastAsia="Times New Roman" w:cs="Arial"/>
          <w:sz w:val="12"/>
          <w:szCs w:val="24"/>
        </w:rPr>
      </w:pPr>
      <w:r w:rsidRPr="006D024C">
        <w:rPr>
          <w:rFonts w:eastAsia="Times New Roman" w:cs="Arial"/>
          <w:bCs/>
          <w:i/>
          <w:iCs/>
          <w:color w:val="000000"/>
          <w:szCs w:val="42"/>
          <w:lang w:eastAsia="bg-BG"/>
        </w:rPr>
        <w:t>Кистозна фиброза</w:t>
      </w:r>
    </w:p>
    <w:p w14:paraId="68839E56" w14:textId="77777777"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Ефикасността и безопасността на Спирива Респимат не са установени (вж. точки 4.4 и 5.1)</w:t>
      </w:r>
    </w:p>
    <w:p w14:paraId="3046E33B" w14:textId="77777777" w:rsidR="006D024C" w:rsidRPr="006D024C" w:rsidRDefault="006D024C" w:rsidP="006D024C">
      <w:pPr>
        <w:spacing w:line="240" w:lineRule="auto"/>
        <w:rPr>
          <w:rFonts w:eastAsia="Times New Roman" w:cs="Arial"/>
          <w:bCs/>
          <w:color w:val="000000"/>
          <w:szCs w:val="42"/>
          <w:u w:val="single"/>
          <w:lang w:eastAsia="bg-BG"/>
        </w:rPr>
      </w:pPr>
    </w:p>
    <w:p w14:paraId="1C5E2B8D" w14:textId="0CC9AEE3" w:rsidR="006D024C" w:rsidRPr="006D024C" w:rsidRDefault="006D024C" w:rsidP="006D024C">
      <w:pPr>
        <w:pStyle w:val="Heading3"/>
        <w:rPr>
          <w:rFonts w:eastAsia="Times New Roman"/>
          <w:sz w:val="12"/>
        </w:rPr>
      </w:pPr>
      <w:r w:rsidRPr="006D024C">
        <w:rPr>
          <w:rFonts w:eastAsia="Times New Roman"/>
          <w:lang w:eastAsia="bg-BG"/>
        </w:rPr>
        <w:lastRenderedPageBreak/>
        <w:t>Начин на приложение</w:t>
      </w:r>
    </w:p>
    <w:p w14:paraId="63B97FAF" w14:textId="77777777"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За да се осигури правилно прилагане на лекарствения продукт, на пациента трябва да бъде показано от лекар или друг здравен специалист как да използва инхалатора.</w:t>
      </w:r>
    </w:p>
    <w:p w14:paraId="411C420E" w14:textId="77777777" w:rsidR="006D024C" w:rsidRPr="006D024C" w:rsidRDefault="006D024C" w:rsidP="006D024C">
      <w:pPr>
        <w:spacing w:line="240" w:lineRule="auto"/>
        <w:rPr>
          <w:rFonts w:eastAsia="Times New Roman" w:cs="Arial"/>
          <w:bCs/>
          <w:color w:val="000000"/>
          <w:szCs w:val="42"/>
          <w:u w:val="single"/>
          <w:lang w:eastAsia="bg-BG"/>
        </w:rPr>
      </w:pPr>
    </w:p>
    <w:p w14:paraId="5E645701" w14:textId="2A8811B6" w:rsidR="006D024C" w:rsidRPr="006D024C" w:rsidRDefault="006D024C" w:rsidP="006D024C">
      <w:pPr>
        <w:spacing w:line="240" w:lineRule="auto"/>
        <w:rPr>
          <w:rFonts w:eastAsia="Times New Roman" w:cs="Arial"/>
          <w:b/>
          <w:sz w:val="12"/>
          <w:szCs w:val="24"/>
        </w:rPr>
      </w:pPr>
      <w:r w:rsidRPr="006D024C">
        <w:rPr>
          <w:rFonts w:eastAsia="Times New Roman" w:cs="Arial"/>
          <w:b/>
          <w:bCs/>
          <w:color w:val="000000"/>
          <w:szCs w:val="42"/>
          <w:u w:val="single"/>
          <w:lang w:eastAsia="bg-BG"/>
        </w:rPr>
        <w:t>СПИРИВА РЕСПИМАТ</w:t>
      </w:r>
    </w:p>
    <w:p w14:paraId="2F3E827A" w14:textId="77777777" w:rsidR="006D024C" w:rsidRPr="006D024C" w:rsidRDefault="006D024C" w:rsidP="006D024C">
      <w:pPr>
        <w:spacing w:line="240" w:lineRule="auto"/>
        <w:rPr>
          <w:rFonts w:eastAsia="Times New Roman" w:cs="Arial"/>
          <w:b/>
          <w:bCs/>
          <w:color w:val="000000"/>
          <w:szCs w:val="42"/>
          <w:lang w:eastAsia="bg-BG"/>
        </w:rPr>
      </w:pPr>
    </w:p>
    <w:p w14:paraId="4A6AB9EC" w14:textId="01EAFED2" w:rsidR="006D024C" w:rsidRPr="006D024C" w:rsidRDefault="006D024C" w:rsidP="006D024C">
      <w:pPr>
        <w:spacing w:line="240" w:lineRule="auto"/>
        <w:rPr>
          <w:rFonts w:eastAsia="Times New Roman" w:cs="Arial"/>
          <w:b/>
          <w:sz w:val="12"/>
          <w:szCs w:val="24"/>
        </w:rPr>
      </w:pPr>
      <w:r w:rsidRPr="006D024C">
        <w:rPr>
          <w:rFonts w:eastAsia="Times New Roman" w:cs="Arial"/>
          <w:b/>
          <w:bCs/>
          <w:color w:val="000000"/>
          <w:szCs w:val="42"/>
          <w:lang w:eastAsia="bg-BG"/>
        </w:rPr>
        <w:t>Указания за употребя</w:t>
      </w:r>
    </w:p>
    <w:p w14:paraId="60A3AB2E" w14:textId="77777777" w:rsidR="006D024C" w:rsidRPr="006D024C" w:rsidRDefault="006D024C" w:rsidP="006D024C">
      <w:pPr>
        <w:spacing w:line="240" w:lineRule="auto"/>
        <w:rPr>
          <w:rFonts w:eastAsia="Times New Roman" w:cs="Arial"/>
          <w:bCs/>
          <w:color w:val="000000"/>
          <w:szCs w:val="42"/>
          <w:lang w:eastAsia="bg-BG"/>
        </w:rPr>
      </w:pPr>
    </w:p>
    <w:p w14:paraId="7B6B7689" w14:textId="741EE77D" w:rsidR="006D024C" w:rsidRPr="006D024C" w:rsidRDefault="006D024C" w:rsidP="006D024C">
      <w:pPr>
        <w:spacing w:line="240" w:lineRule="auto"/>
        <w:rPr>
          <w:rFonts w:eastAsia="Times New Roman" w:cs="Arial"/>
          <w:b/>
          <w:sz w:val="12"/>
          <w:szCs w:val="24"/>
        </w:rPr>
      </w:pPr>
      <w:r w:rsidRPr="006D024C">
        <w:rPr>
          <w:rFonts w:eastAsia="Times New Roman" w:cs="Arial"/>
          <w:b/>
          <w:bCs/>
          <w:color w:val="000000"/>
          <w:szCs w:val="42"/>
          <w:lang w:eastAsia="bg-BG"/>
        </w:rPr>
        <w:t>Въведение</w:t>
      </w:r>
    </w:p>
    <w:p w14:paraId="4C6BE863" w14:textId="77777777" w:rsidR="006D024C" w:rsidRPr="006D024C" w:rsidRDefault="006D024C" w:rsidP="006D024C">
      <w:pPr>
        <w:spacing w:line="240" w:lineRule="auto"/>
        <w:rPr>
          <w:rFonts w:eastAsia="Times New Roman" w:cs="Arial"/>
          <w:bCs/>
          <w:color w:val="000000"/>
          <w:szCs w:val="42"/>
          <w:lang w:eastAsia="bg-BG"/>
        </w:rPr>
      </w:pPr>
    </w:p>
    <w:p w14:paraId="64AF63DF" w14:textId="0C20410B"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Необходимо е, да се прочетат Указанията за употреба преди да се започне използването на Спирива Респимат за многократна употреба.</w:t>
      </w:r>
    </w:p>
    <w:p w14:paraId="5121A36F" w14:textId="77777777" w:rsidR="006D024C" w:rsidRPr="006D024C" w:rsidRDefault="006D024C" w:rsidP="006D024C">
      <w:pPr>
        <w:spacing w:line="240" w:lineRule="auto"/>
        <w:rPr>
          <w:rFonts w:eastAsia="Times New Roman" w:cs="Arial"/>
          <w:bCs/>
          <w:color w:val="000000"/>
          <w:szCs w:val="42"/>
          <w:lang w:eastAsia="bg-BG"/>
        </w:rPr>
      </w:pPr>
    </w:p>
    <w:p w14:paraId="379756D3" w14:textId="62BEE9F1"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Респимат е инхалаторно устройство, което генерира спрей за инхалация.</w:t>
      </w:r>
    </w:p>
    <w:p w14:paraId="7A250D1C" w14:textId="77777777" w:rsidR="006D024C" w:rsidRPr="006D024C" w:rsidRDefault="006D024C" w:rsidP="006D024C">
      <w:pPr>
        <w:spacing w:line="240" w:lineRule="auto"/>
        <w:rPr>
          <w:rFonts w:eastAsia="Times New Roman" w:cs="Arial"/>
          <w:bCs/>
          <w:color w:val="000000"/>
          <w:szCs w:val="42"/>
          <w:lang w:eastAsia="bg-BG"/>
        </w:rPr>
      </w:pPr>
    </w:p>
    <w:p w14:paraId="43EABD4F" w14:textId="1287ADD9"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Децата трябва да използват Спирива Респимат с помощта на възрастен.</w:t>
      </w:r>
    </w:p>
    <w:p w14:paraId="1F6D65AE" w14:textId="77777777" w:rsidR="006D024C" w:rsidRPr="006D024C" w:rsidRDefault="006D024C" w:rsidP="006D024C">
      <w:pPr>
        <w:spacing w:line="240" w:lineRule="auto"/>
        <w:rPr>
          <w:rFonts w:eastAsia="Times New Roman" w:cs="Arial"/>
          <w:sz w:val="12"/>
          <w:szCs w:val="24"/>
        </w:rPr>
      </w:pPr>
    </w:p>
    <w:p w14:paraId="42E27FDB" w14:textId="77777777" w:rsidR="006D024C" w:rsidRPr="006D024C" w:rsidRDefault="006D024C" w:rsidP="006D024C">
      <w:pPr>
        <w:spacing w:line="240" w:lineRule="auto"/>
        <w:rPr>
          <w:rFonts w:eastAsia="Times New Roman" w:cs="Arial"/>
          <w:sz w:val="12"/>
          <w:szCs w:val="24"/>
        </w:rPr>
      </w:pPr>
      <w:r w:rsidRPr="006D024C">
        <w:rPr>
          <w:rFonts w:eastAsia="Times New Roman" w:cs="Arial"/>
          <w:bCs/>
          <w:color w:val="000000"/>
          <w:szCs w:val="42"/>
          <w:lang w:eastAsia="bg-BG"/>
        </w:rPr>
        <w:t>Необходимо е, пациентът да използва този инхалатор САМО ВЕДНЪЖ ДНЕВНО. При всяко</w:t>
      </w:r>
    </w:p>
    <w:p w14:paraId="4BF264D5" w14:textId="064FBE84" w:rsidR="006D024C" w:rsidRPr="006D024C" w:rsidRDefault="006D024C" w:rsidP="006D024C">
      <w:pPr>
        <w:spacing w:line="240" w:lineRule="auto"/>
        <w:rPr>
          <w:rFonts w:eastAsia="Times New Roman" w:cs="Arial"/>
          <w:sz w:val="12"/>
          <w:szCs w:val="24"/>
          <w:lang w:val="en-US"/>
        </w:rPr>
      </w:pPr>
      <w:r w:rsidRPr="006D024C">
        <w:rPr>
          <w:rFonts w:eastAsia="Times New Roman" w:cs="Arial"/>
          <w:bCs/>
          <w:color w:val="000000"/>
          <w:szCs w:val="42"/>
          <w:lang w:eastAsia="bg-BG"/>
        </w:rPr>
        <w:t>използване се прилагат ДВЕ ВПРЪСКВАНИЯ.</w:t>
      </w:r>
    </w:p>
    <w:p w14:paraId="2ED7B12B" w14:textId="1B9846A0" w:rsidR="006D024C" w:rsidRDefault="006D024C" w:rsidP="006D024C"/>
    <w:p w14:paraId="3BDA2903" w14:textId="044EE047" w:rsidR="006D024C" w:rsidRDefault="006D024C" w:rsidP="006D024C">
      <w:r>
        <w:rPr>
          <w:noProof/>
          <w:lang w:val="en-US"/>
        </w:rPr>
        <w:drawing>
          <wp:inline distT="0" distB="0" distL="0" distR="0" wp14:anchorId="2D4A29E8" wp14:editId="591135EE">
            <wp:extent cx="5943600" cy="290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5">
                      <a:extLst>
                        <a:ext uri="{28A0092B-C50C-407E-A947-70E740481C1C}">
                          <a14:useLocalDpi xmlns:a14="http://schemas.microsoft.com/office/drawing/2010/main" val="0"/>
                        </a:ext>
                      </a:extLst>
                    </a:blip>
                    <a:stretch>
                      <a:fillRect/>
                    </a:stretch>
                  </pic:blipFill>
                  <pic:spPr>
                    <a:xfrm>
                      <a:off x="0" y="0"/>
                      <a:ext cx="5943600" cy="2908300"/>
                    </a:xfrm>
                    <a:prstGeom prst="rect">
                      <a:avLst/>
                    </a:prstGeom>
                  </pic:spPr>
                </pic:pic>
              </a:graphicData>
            </a:graphic>
          </wp:inline>
        </w:drawing>
      </w:r>
    </w:p>
    <w:p w14:paraId="5AAF8725" w14:textId="77777777" w:rsidR="006D024C" w:rsidRDefault="006D024C" w:rsidP="006D024C">
      <w:pPr>
        <w:pStyle w:val="ListParagraph"/>
        <w:numPr>
          <w:ilvl w:val="0"/>
          <w:numId w:val="32"/>
        </w:numPr>
        <w:spacing w:line="240" w:lineRule="auto"/>
        <w:rPr>
          <w:rFonts w:eastAsia="Times New Roman" w:cs="Arial"/>
          <w:color w:val="000000"/>
          <w:lang w:eastAsia="bg-BG"/>
        </w:rPr>
      </w:pPr>
      <w:r w:rsidRPr="006D024C">
        <w:rPr>
          <w:rFonts w:eastAsia="Times New Roman" w:cs="Arial"/>
          <w:color w:val="000000"/>
          <w:lang w:eastAsia="bg-BG"/>
        </w:rPr>
        <w:t>Ако не е използван повече от 7 дни, трябва да се пръсне веднъж към земята.</w:t>
      </w:r>
    </w:p>
    <w:p w14:paraId="64E15C69" w14:textId="10AD129B" w:rsidR="006D024C" w:rsidRPr="006D024C" w:rsidRDefault="006D024C" w:rsidP="006D024C">
      <w:pPr>
        <w:pStyle w:val="ListParagraph"/>
        <w:numPr>
          <w:ilvl w:val="0"/>
          <w:numId w:val="32"/>
        </w:numPr>
        <w:spacing w:line="240" w:lineRule="auto"/>
        <w:rPr>
          <w:rFonts w:eastAsia="Times New Roman" w:cs="Arial"/>
          <w:color w:val="000000"/>
          <w:lang w:eastAsia="bg-BG"/>
        </w:rPr>
      </w:pPr>
      <w:r w:rsidRPr="006D024C">
        <w:rPr>
          <w:rFonts w:eastAsia="Times New Roman" w:cs="Arial"/>
          <w:color w:val="000000"/>
          <w:lang w:eastAsia="bg-BG"/>
        </w:rPr>
        <w:t>Ако не е използван повече от 21 дни, трябва да се повторят стъпки 4 до 6 от „Подготовка за употреба“, до появата на аерозолна мъгла. След това да се повторят стъпки 4 до 6 още три пъти.</w:t>
      </w:r>
    </w:p>
    <w:p w14:paraId="62260F3D" w14:textId="77777777" w:rsidR="006D024C" w:rsidRDefault="006D024C" w:rsidP="006D024C">
      <w:pPr>
        <w:spacing w:line="240" w:lineRule="auto"/>
        <w:rPr>
          <w:rFonts w:eastAsia="Times New Roman" w:cs="Arial"/>
          <w:b/>
          <w:bCs/>
          <w:color w:val="000000"/>
          <w:lang w:eastAsia="bg-BG"/>
        </w:rPr>
      </w:pPr>
      <w:bookmarkStart w:id="1" w:name="bookmark0"/>
    </w:p>
    <w:p w14:paraId="34A31FBB" w14:textId="4334F84A" w:rsidR="006D024C" w:rsidRPr="006D024C" w:rsidRDefault="006D024C" w:rsidP="006D024C">
      <w:pPr>
        <w:spacing w:line="240" w:lineRule="auto"/>
        <w:rPr>
          <w:rFonts w:eastAsia="Times New Roman" w:cs="Arial"/>
        </w:rPr>
      </w:pPr>
      <w:r w:rsidRPr="006D024C">
        <w:rPr>
          <w:rFonts w:eastAsia="Times New Roman" w:cs="Arial"/>
          <w:b/>
          <w:bCs/>
          <w:color w:val="000000"/>
          <w:lang w:eastAsia="bg-BG"/>
        </w:rPr>
        <w:t>Как пациентът да се грижи за Спирива Респимат за многократна употреба</w:t>
      </w:r>
      <w:bookmarkEnd w:id="1"/>
    </w:p>
    <w:p w14:paraId="1316F79E" w14:textId="77777777" w:rsidR="006D024C" w:rsidRDefault="006D024C" w:rsidP="006D024C">
      <w:pPr>
        <w:spacing w:line="240" w:lineRule="auto"/>
        <w:rPr>
          <w:rFonts w:eastAsia="Times New Roman" w:cs="Arial"/>
          <w:color w:val="000000"/>
          <w:lang w:eastAsia="bg-BG"/>
        </w:rPr>
      </w:pPr>
    </w:p>
    <w:p w14:paraId="71051EE0" w14:textId="692387A0" w:rsidR="006D024C" w:rsidRPr="006D024C" w:rsidRDefault="006D024C" w:rsidP="006D024C">
      <w:pPr>
        <w:spacing w:line="240" w:lineRule="auto"/>
        <w:rPr>
          <w:rFonts w:eastAsia="Times New Roman" w:cs="Arial"/>
        </w:rPr>
      </w:pPr>
      <w:r w:rsidRPr="006D024C">
        <w:rPr>
          <w:rFonts w:eastAsia="Times New Roman" w:cs="Arial"/>
          <w:color w:val="000000"/>
          <w:lang w:eastAsia="bg-BG"/>
        </w:rPr>
        <w:t>Мундщукът се почиства, включително металната част в него, с навлажнен мек плат или само с кърпа, поне веднъж седмично.</w:t>
      </w:r>
    </w:p>
    <w:p w14:paraId="6C7E5E53" w14:textId="77777777" w:rsidR="006D024C" w:rsidRPr="006D024C" w:rsidRDefault="006D024C" w:rsidP="006D024C">
      <w:pPr>
        <w:spacing w:line="240" w:lineRule="auto"/>
        <w:rPr>
          <w:rFonts w:eastAsia="Times New Roman" w:cs="Arial"/>
        </w:rPr>
      </w:pPr>
      <w:r w:rsidRPr="006D024C">
        <w:rPr>
          <w:rFonts w:eastAsia="Times New Roman" w:cs="Arial"/>
          <w:color w:val="000000"/>
          <w:lang w:eastAsia="bg-BG"/>
        </w:rPr>
        <w:t>Слабо обезцветяване на накрайника за уста не се отразява на работата с инхалатор Спирива Респимат за многократна употреба.</w:t>
      </w:r>
    </w:p>
    <w:p w14:paraId="46F5862C" w14:textId="77777777" w:rsidR="006D024C" w:rsidRPr="006D024C" w:rsidRDefault="006D024C" w:rsidP="006D024C">
      <w:pPr>
        <w:spacing w:line="240" w:lineRule="auto"/>
        <w:rPr>
          <w:rFonts w:eastAsia="Times New Roman" w:cs="Arial"/>
        </w:rPr>
      </w:pPr>
      <w:r w:rsidRPr="006D024C">
        <w:rPr>
          <w:rFonts w:eastAsia="Times New Roman" w:cs="Arial"/>
          <w:color w:val="000000"/>
          <w:lang w:eastAsia="bg-BG"/>
        </w:rPr>
        <w:lastRenderedPageBreak/>
        <w:t>Ако е необходимо,инхалаторът Спирива Респимат за многократна употреба се почиства от външната част с навлажнен мек плат.</w:t>
      </w:r>
    </w:p>
    <w:p w14:paraId="22323954" w14:textId="77777777" w:rsidR="006D024C" w:rsidRPr="006D024C" w:rsidRDefault="006D024C" w:rsidP="006D024C">
      <w:pPr>
        <w:spacing w:line="240" w:lineRule="auto"/>
        <w:rPr>
          <w:rFonts w:eastAsia="Times New Roman" w:cs="Arial"/>
          <w:b/>
          <w:bCs/>
          <w:color w:val="000000"/>
          <w:lang w:eastAsia="bg-BG"/>
        </w:rPr>
      </w:pPr>
      <w:bookmarkStart w:id="2" w:name="bookmark2"/>
    </w:p>
    <w:p w14:paraId="54290EBD" w14:textId="3B435C21" w:rsidR="006D024C" w:rsidRPr="006D024C" w:rsidRDefault="006D024C" w:rsidP="006D024C">
      <w:pPr>
        <w:spacing w:line="240" w:lineRule="auto"/>
        <w:rPr>
          <w:rFonts w:eastAsia="Times New Roman" w:cs="Arial"/>
        </w:rPr>
      </w:pPr>
      <w:r w:rsidRPr="006D024C">
        <w:rPr>
          <w:rFonts w:eastAsia="Times New Roman" w:cs="Arial"/>
          <w:b/>
          <w:bCs/>
          <w:color w:val="000000"/>
          <w:lang w:eastAsia="bg-BG"/>
        </w:rPr>
        <w:t>Кога да се смени инхалатора</w:t>
      </w:r>
      <w:bookmarkEnd w:id="2"/>
    </w:p>
    <w:p w14:paraId="462750CF" w14:textId="77777777" w:rsidR="006D024C" w:rsidRPr="006D024C" w:rsidRDefault="006D024C" w:rsidP="006D024C">
      <w:pPr>
        <w:spacing w:line="240" w:lineRule="auto"/>
        <w:rPr>
          <w:rFonts w:ascii="Times New Roman" w:eastAsia="Times New Roman" w:hAnsi="Times New Roman" w:cs="Times New Roman"/>
          <w:sz w:val="24"/>
          <w:szCs w:val="24"/>
        </w:rPr>
      </w:pPr>
      <w:r w:rsidRPr="006D024C">
        <w:rPr>
          <w:rFonts w:eastAsia="Times New Roman" w:cs="Arial"/>
          <w:color w:val="000000"/>
          <w:lang w:eastAsia="bg-BG"/>
        </w:rPr>
        <w:t>Ако пациентът е използвал инхалатор с 6 пълнителя, трябва да вземе нова опаковка Спирива Респимат за многократна употреба, съдържаща инхалатор.</w:t>
      </w:r>
    </w:p>
    <w:p w14:paraId="60FEBE16" w14:textId="0F53EA8B" w:rsidR="006D024C" w:rsidRDefault="006D024C" w:rsidP="006D024C">
      <w:r>
        <w:rPr>
          <w:noProof/>
          <w:lang w:val="en-US"/>
        </w:rPr>
        <w:drawing>
          <wp:inline distT="0" distB="0" distL="0" distR="0" wp14:anchorId="7BF6D417" wp14:editId="1B4709E9">
            <wp:extent cx="4906060" cy="2438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6">
                      <a:extLst>
                        <a:ext uri="{28A0092B-C50C-407E-A947-70E740481C1C}">
                          <a14:useLocalDpi xmlns:a14="http://schemas.microsoft.com/office/drawing/2010/main" val="0"/>
                        </a:ext>
                      </a:extLst>
                    </a:blip>
                    <a:stretch>
                      <a:fillRect/>
                    </a:stretch>
                  </pic:blipFill>
                  <pic:spPr>
                    <a:xfrm>
                      <a:off x="0" y="0"/>
                      <a:ext cx="4906060" cy="2438740"/>
                    </a:xfrm>
                    <a:prstGeom prst="rect">
                      <a:avLst/>
                    </a:prstGeom>
                  </pic:spPr>
                </pic:pic>
              </a:graphicData>
            </a:graphic>
          </wp:inline>
        </w:drawing>
      </w:r>
    </w:p>
    <w:p w14:paraId="21598122" w14:textId="3174F476" w:rsidR="006D024C" w:rsidRDefault="006D024C" w:rsidP="006D024C"/>
    <w:p w14:paraId="6ED326DC" w14:textId="2D931872" w:rsidR="006D024C" w:rsidRPr="006D024C" w:rsidRDefault="006D024C" w:rsidP="006D024C">
      <w:pPr>
        <w:rPr>
          <w:b/>
        </w:rPr>
      </w:pPr>
      <w:r w:rsidRPr="006D024C">
        <w:rPr>
          <w:b/>
        </w:rPr>
        <w:t>Подготовка за употреба</w:t>
      </w:r>
    </w:p>
    <w:tbl>
      <w:tblPr>
        <w:tblStyle w:val="TableGrid"/>
        <w:tblW w:w="0" w:type="auto"/>
        <w:tblLook w:val="04A0" w:firstRow="1" w:lastRow="0" w:firstColumn="1" w:lastColumn="0" w:noHBand="0" w:noVBand="1"/>
      </w:tblPr>
      <w:tblGrid>
        <w:gridCol w:w="3209"/>
        <w:gridCol w:w="6141"/>
      </w:tblGrid>
      <w:tr w:rsidR="006D024C" w14:paraId="23B2005D" w14:textId="77777777" w:rsidTr="006D024C">
        <w:tc>
          <w:tcPr>
            <w:tcW w:w="3936" w:type="dxa"/>
          </w:tcPr>
          <w:p w14:paraId="52C6FB38" w14:textId="77777777" w:rsidR="006D024C" w:rsidRPr="006D024C" w:rsidRDefault="006D024C" w:rsidP="006D024C">
            <w:pPr>
              <w:rPr>
                <w:b/>
                <w:sz w:val="24"/>
                <w:szCs w:val="24"/>
              </w:rPr>
            </w:pPr>
            <w:r w:rsidRPr="006D024C">
              <w:rPr>
                <w:b/>
                <w:lang w:eastAsia="bg-BG"/>
              </w:rPr>
              <w:t>1. Отстраняване на прозрачната основа</w:t>
            </w:r>
          </w:p>
          <w:p w14:paraId="0FCA9334" w14:textId="77777777" w:rsidR="006D024C" w:rsidRDefault="006D024C" w:rsidP="006D024C">
            <w:pPr>
              <w:pStyle w:val="ListParagraph"/>
              <w:numPr>
                <w:ilvl w:val="0"/>
                <w:numId w:val="33"/>
              </w:numPr>
              <w:rPr>
                <w:lang w:eastAsia="bg-BG"/>
              </w:rPr>
            </w:pPr>
            <w:r w:rsidRPr="006D024C">
              <w:rPr>
                <w:lang w:eastAsia="bg-BG"/>
              </w:rPr>
              <w:t>Капачката трябва да е затворена.</w:t>
            </w:r>
          </w:p>
          <w:p w14:paraId="4352D834" w14:textId="22B4DE8D" w:rsidR="006D024C" w:rsidRPr="006D024C" w:rsidRDefault="006D024C" w:rsidP="006D024C">
            <w:pPr>
              <w:pStyle w:val="ListParagraph"/>
              <w:numPr>
                <w:ilvl w:val="0"/>
                <w:numId w:val="33"/>
              </w:numPr>
              <w:rPr>
                <w:lang w:eastAsia="bg-BG"/>
              </w:rPr>
            </w:pPr>
            <w:r w:rsidRPr="006D024C">
              <w:rPr>
                <w:lang w:eastAsia="bg-BG"/>
              </w:rPr>
              <w:t>Необходимо е, да се натисне обезопасяващия елемент и едновременно с това да се издърпа прозрачната основа с другата ръка.</w:t>
            </w:r>
          </w:p>
          <w:p w14:paraId="4C0E4DB5" w14:textId="77777777" w:rsidR="006D024C" w:rsidRDefault="006D024C" w:rsidP="006D024C"/>
        </w:tc>
        <w:tc>
          <w:tcPr>
            <w:tcW w:w="5640" w:type="dxa"/>
          </w:tcPr>
          <w:p w14:paraId="5BC80699" w14:textId="1EE34CAA" w:rsidR="006D024C" w:rsidRDefault="006D024C" w:rsidP="006D024C">
            <w:r>
              <w:rPr>
                <w:noProof/>
                <w:lang w:val="en-US"/>
              </w:rPr>
              <w:drawing>
                <wp:inline distT="0" distB="0" distL="0" distR="0" wp14:anchorId="1100EB67" wp14:editId="71AEAA76">
                  <wp:extent cx="3419475"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7">
                            <a:extLst>
                              <a:ext uri="{28A0092B-C50C-407E-A947-70E740481C1C}">
                                <a14:useLocalDpi xmlns:a14="http://schemas.microsoft.com/office/drawing/2010/main" val="0"/>
                              </a:ext>
                            </a:extLst>
                          </a:blip>
                          <a:stretch>
                            <a:fillRect/>
                          </a:stretch>
                        </pic:blipFill>
                        <pic:spPr>
                          <a:xfrm>
                            <a:off x="0" y="0"/>
                            <a:ext cx="3419982" cy="1781439"/>
                          </a:xfrm>
                          <a:prstGeom prst="rect">
                            <a:avLst/>
                          </a:prstGeom>
                        </pic:spPr>
                      </pic:pic>
                    </a:graphicData>
                  </a:graphic>
                </wp:inline>
              </w:drawing>
            </w:r>
          </w:p>
        </w:tc>
      </w:tr>
      <w:tr w:rsidR="006D024C" w14:paraId="49ED2463" w14:textId="77777777" w:rsidTr="006D024C">
        <w:tc>
          <w:tcPr>
            <w:tcW w:w="3936" w:type="dxa"/>
          </w:tcPr>
          <w:p w14:paraId="71802BB4" w14:textId="77777777" w:rsidR="006D024C" w:rsidRPr="006D024C" w:rsidRDefault="006D024C" w:rsidP="006D024C">
            <w:pPr>
              <w:rPr>
                <w:b/>
                <w:sz w:val="24"/>
                <w:szCs w:val="24"/>
              </w:rPr>
            </w:pPr>
            <w:r w:rsidRPr="006D024C">
              <w:rPr>
                <w:b/>
                <w:lang w:eastAsia="bg-BG"/>
              </w:rPr>
              <w:t>2. Поставяне на пълнителя</w:t>
            </w:r>
          </w:p>
          <w:p w14:paraId="38FDC959" w14:textId="77777777" w:rsidR="006D024C" w:rsidRPr="006D024C" w:rsidRDefault="006D024C" w:rsidP="006D024C">
            <w:pPr>
              <w:pStyle w:val="ListParagraph"/>
              <w:numPr>
                <w:ilvl w:val="0"/>
                <w:numId w:val="34"/>
              </w:numPr>
              <w:rPr>
                <w:lang w:eastAsia="bg-BG"/>
              </w:rPr>
            </w:pPr>
            <w:r w:rsidRPr="006D024C">
              <w:rPr>
                <w:lang w:eastAsia="bg-BG"/>
              </w:rPr>
              <w:t>Необходимо е, да се постави пълнителя в инхалатора.</w:t>
            </w:r>
          </w:p>
          <w:p w14:paraId="7EC4AF05" w14:textId="1816AD29" w:rsidR="006D024C" w:rsidRDefault="006D024C" w:rsidP="006D024C">
            <w:pPr>
              <w:pStyle w:val="ListParagraph"/>
              <w:numPr>
                <w:ilvl w:val="0"/>
                <w:numId w:val="34"/>
              </w:numPr>
              <w:rPr>
                <w:lang w:eastAsia="bg-BG"/>
              </w:rPr>
            </w:pPr>
            <w:r w:rsidRPr="006D024C">
              <w:rPr>
                <w:lang w:eastAsia="bg-BG"/>
              </w:rPr>
              <w:t>Необходимо е, да се постави инхалатора върху твърда повърхност и да се притисне здраво, докато се чуе щракване</w:t>
            </w:r>
          </w:p>
        </w:tc>
        <w:tc>
          <w:tcPr>
            <w:tcW w:w="5640" w:type="dxa"/>
          </w:tcPr>
          <w:p w14:paraId="5A7B5EB5" w14:textId="69DD5079" w:rsidR="006D024C" w:rsidRDefault="006D024C" w:rsidP="006D024C">
            <w:r>
              <w:rPr>
                <w:noProof/>
                <w:lang w:val="en-US"/>
              </w:rPr>
              <w:drawing>
                <wp:inline distT="0" distB="0" distL="0" distR="0" wp14:anchorId="6A652B6A" wp14:editId="0A26F9E9">
                  <wp:extent cx="3610479" cy="19624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8">
                            <a:extLst>
                              <a:ext uri="{28A0092B-C50C-407E-A947-70E740481C1C}">
                                <a14:useLocalDpi xmlns:a14="http://schemas.microsoft.com/office/drawing/2010/main" val="0"/>
                              </a:ext>
                            </a:extLst>
                          </a:blip>
                          <a:stretch>
                            <a:fillRect/>
                          </a:stretch>
                        </pic:blipFill>
                        <pic:spPr>
                          <a:xfrm>
                            <a:off x="0" y="0"/>
                            <a:ext cx="3610479" cy="1962424"/>
                          </a:xfrm>
                          <a:prstGeom prst="rect">
                            <a:avLst/>
                          </a:prstGeom>
                        </pic:spPr>
                      </pic:pic>
                    </a:graphicData>
                  </a:graphic>
                </wp:inline>
              </w:drawing>
            </w:r>
          </w:p>
        </w:tc>
      </w:tr>
      <w:tr w:rsidR="006D024C" w14:paraId="05D9A68D" w14:textId="77777777" w:rsidTr="006D024C">
        <w:tc>
          <w:tcPr>
            <w:tcW w:w="3936" w:type="dxa"/>
          </w:tcPr>
          <w:p w14:paraId="7A684BB2" w14:textId="77777777" w:rsidR="006D024C" w:rsidRPr="006D024C" w:rsidRDefault="006D024C" w:rsidP="006D024C">
            <w:pPr>
              <w:rPr>
                <w:b/>
                <w:sz w:val="24"/>
                <w:szCs w:val="24"/>
              </w:rPr>
            </w:pPr>
            <w:r w:rsidRPr="006D024C">
              <w:rPr>
                <w:b/>
                <w:lang w:eastAsia="bg-BG"/>
              </w:rPr>
              <w:lastRenderedPageBreak/>
              <w:t>3. Следене на пълнителите</w:t>
            </w:r>
          </w:p>
          <w:p w14:paraId="12F3102E" w14:textId="77777777" w:rsidR="006D024C" w:rsidRDefault="006D024C" w:rsidP="006D024C">
            <w:pPr>
              <w:pStyle w:val="ListParagraph"/>
              <w:numPr>
                <w:ilvl w:val="0"/>
                <w:numId w:val="35"/>
              </w:numPr>
              <w:rPr>
                <w:lang w:eastAsia="bg-BG"/>
              </w:rPr>
            </w:pPr>
            <w:r w:rsidRPr="006D024C">
              <w:rPr>
                <w:lang w:eastAsia="bg-BG"/>
              </w:rPr>
              <w:t>За да се следи броя на пълнителите, те се отбелязват в полетата върху етикета на инхалатора.</w:t>
            </w:r>
          </w:p>
          <w:p w14:paraId="6A61CC6A" w14:textId="0BBDFF2D" w:rsidR="006D024C" w:rsidRPr="006D024C" w:rsidRDefault="006D024C" w:rsidP="006D024C">
            <w:pPr>
              <w:pStyle w:val="ListParagraph"/>
              <w:numPr>
                <w:ilvl w:val="0"/>
                <w:numId w:val="35"/>
              </w:numPr>
              <w:rPr>
                <w:lang w:eastAsia="bg-BG"/>
              </w:rPr>
            </w:pPr>
            <w:r w:rsidRPr="006D024C">
              <w:rPr>
                <w:lang w:eastAsia="bg-BG"/>
              </w:rPr>
              <w:t>Необходимо е, да се постави прозрачната основа обратно на мястото й, и да се натисне, докато щракне.</w:t>
            </w:r>
          </w:p>
          <w:p w14:paraId="2999D39E" w14:textId="77777777" w:rsidR="006D024C" w:rsidRDefault="006D024C" w:rsidP="006D024C"/>
        </w:tc>
        <w:tc>
          <w:tcPr>
            <w:tcW w:w="5640" w:type="dxa"/>
          </w:tcPr>
          <w:p w14:paraId="0D580C39" w14:textId="206F0853" w:rsidR="006D024C" w:rsidRDefault="006D024C" w:rsidP="006D024C">
            <w:r>
              <w:rPr>
                <w:noProof/>
                <w:lang w:val="en-US"/>
              </w:rPr>
              <w:drawing>
                <wp:inline distT="0" distB="0" distL="0" distR="0" wp14:anchorId="5E9F0F26" wp14:editId="1D56FC26">
                  <wp:extent cx="3762900" cy="204816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PNG"/>
                          <pic:cNvPicPr/>
                        </pic:nvPicPr>
                        <pic:blipFill>
                          <a:blip r:embed="rId9">
                            <a:extLst>
                              <a:ext uri="{28A0092B-C50C-407E-A947-70E740481C1C}">
                                <a14:useLocalDpi xmlns:a14="http://schemas.microsoft.com/office/drawing/2010/main" val="0"/>
                              </a:ext>
                            </a:extLst>
                          </a:blip>
                          <a:stretch>
                            <a:fillRect/>
                          </a:stretch>
                        </pic:blipFill>
                        <pic:spPr>
                          <a:xfrm>
                            <a:off x="0" y="0"/>
                            <a:ext cx="3762900" cy="2048161"/>
                          </a:xfrm>
                          <a:prstGeom prst="rect">
                            <a:avLst/>
                          </a:prstGeom>
                        </pic:spPr>
                      </pic:pic>
                    </a:graphicData>
                  </a:graphic>
                </wp:inline>
              </w:drawing>
            </w:r>
          </w:p>
        </w:tc>
      </w:tr>
      <w:tr w:rsidR="006D024C" w14:paraId="5CCEA7F9" w14:textId="77777777" w:rsidTr="006D024C">
        <w:tc>
          <w:tcPr>
            <w:tcW w:w="3936" w:type="dxa"/>
          </w:tcPr>
          <w:p w14:paraId="64C7E422" w14:textId="28178C2D" w:rsidR="006D024C" w:rsidRPr="006D024C" w:rsidRDefault="006D024C" w:rsidP="006D024C">
            <w:pPr>
              <w:rPr>
                <w:b/>
                <w:lang w:eastAsia="bg-BG"/>
              </w:rPr>
            </w:pPr>
            <w:r w:rsidRPr="006D024C">
              <w:rPr>
                <w:b/>
                <w:lang w:val="ru-RU" w:eastAsia="bg-BG"/>
              </w:rPr>
              <w:t xml:space="preserve">4. </w:t>
            </w:r>
            <w:r w:rsidRPr="006D024C">
              <w:rPr>
                <w:b/>
                <w:lang w:eastAsia="bg-BG"/>
              </w:rPr>
              <w:t>Завъртане</w:t>
            </w:r>
          </w:p>
          <w:p w14:paraId="1AF08C57" w14:textId="77777777" w:rsidR="006D024C" w:rsidRDefault="006D024C" w:rsidP="006D024C">
            <w:pPr>
              <w:pStyle w:val="ListParagraph"/>
              <w:numPr>
                <w:ilvl w:val="0"/>
                <w:numId w:val="36"/>
              </w:numPr>
              <w:rPr>
                <w:lang w:eastAsia="bg-BG"/>
              </w:rPr>
            </w:pPr>
            <w:r w:rsidRPr="006D024C">
              <w:rPr>
                <w:lang w:eastAsia="bg-BG"/>
              </w:rPr>
              <w:t>Капачката трябва да е затворена.</w:t>
            </w:r>
          </w:p>
          <w:p w14:paraId="09D71969" w14:textId="7A7FFBEC" w:rsidR="006D024C" w:rsidRDefault="006D024C" w:rsidP="006D024C">
            <w:pPr>
              <w:pStyle w:val="ListParagraph"/>
              <w:numPr>
                <w:ilvl w:val="0"/>
                <w:numId w:val="36"/>
              </w:numPr>
              <w:rPr>
                <w:lang w:eastAsia="bg-BG"/>
              </w:rPr>
            </w:pPr>
            <w:r w:rsidRPr="006D024C">
              <w:rPr>
                <w:lang w:eastAsia="bg-BG"/>
              </w:rPr>
              <w:t>Необходимо е, да се завърти прозрачната основа по посока на стрелките върху етикета, докато се чуе щракване (половин оборот).</w:t>
            </w:r>
          </w:p>
        </w:tc>
        <w:tc>
          <w:tcPr>
            <w:tcW w:w="5640" w:type="dxa"/>
          </w:tcPr>
          <w:p w14:paraId="1BF68EBD" w14:textId="799FF60E" w:rsidR="006D024C" w:rsidRDefault="006D024C" w:rsidP="006D024C">
            <w:r>
              <w:rPr>
                <w:noProof/>
                <w:lang w:val="en-US"/>
              </w:rPr>
              <w:drawing>
                <wp:inline distT="0" distB="0" distL="0" distR="0" wp14:anchorId="08AF648F" wp14:editId="74204F2D">
                  <wp:extent cx="3696216" cy="1752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6.PNG"/>
                          <pic:cNvPicPr/>
                        </pic:nvPicPr>
                        <pic:blipFill>
                          <a:blip r:embed="rId10">
                            <a:extLst>
                              <a:ext uri="{28A0092B-C50C-407E-A947-70E740481C1C}">
                                <a14:useLocalDpi xmlns:a14="http://schemas.microsoft.com/office/drawing/2010/main" val="0"/>
                              </a:ext>
                            </a:extLst>
                          </a:blip>
                          <a:stretch>
                            <a:fillRect/>
                          </a:stretch>
                        </pic:blipFill>
                        <pic:spPr>
                          <a:xfrm>
                            <a:off x="0" y="0"/>
                            <a:ext cx="3696216" cy="1752845"/>
                          </a:xfrm>
                          <a:prstGeom prst="rect">
                            <a:avLst/>
                          </a:prstGeom>
                        </pic:spPr>
                      </pic:pic>
                    </a:graphicData>
                  </a:graphic>
                </wp:inline>
              </w:drawing>
            </w:r>
          </w:p>
        </w:tc>
      </w:tr>
      <w:tr w:rsidR="006D024C" w14:paraId="6E242065" w14:textId="77777777" w:rsidTr="006D024C">
        <w:tc>
          <w:tcPr>
            <w:tcW w:w="3936" w:type="dxa"/>
          </w:tcPr>
          <w:p w14:paraId="425BAA2A" w14:textId="77777777" w:rsidR="006D024C" w:rsidRPr="006D024C" w:rsidRDefault="006D024C" w:rsidP="006D024C">
            <w:pPr>
              <w:rPr>
                <w:b/>
                <w:sz w:val="24"/>
                <w:szCs w:val="24"/>
              </w:rPr>
            </w:pPr>
            <w:r w:rsidRPr="006D024C">
              <w:rPr>
                <w:b/>
                <w:lang w:eastAsia="bg-BG"/>
              </w:rPr>
              <w:t>5. Отваряне</w:t>
            </w:r>
          </w:p>
          <w:p w14:paraId="519BE1B4" w14:textId="72E8B87D" w:rsidR="006D024C" w:rsidRPr="006D024C" w:rsidRDefault="006D024C" w:rsidP="006D024C">
            <w:pPr>
              <w:pStyle w:val="ListParagraph"/>
              <w:numPr>
                <w:ilvl w:val="0"/>
                <w:numId w:val="37"/>
              </w:numPr>
              <w:rPr>
                <w:sz w:val="24"/>
                <w:szCs w:val="24"/>
              </w:rPr>
            </w:pPr>
            <w:r w:rsidRPr="006D024C">
              <w:rPr>
                <w:lang w:eastAsia="bg-BG"/>
              </w:rPr>
              <w:t>Капачката трябва да се отвори напълно.</w:t>
            </w:r>
          </w:p>
          <w:p w14:paraId="7F0EE7F3" w14:textId="77777777" w:rsidR="006D024C" w:rsidRDefault="006D024C" w:rsidP="006D024C"/>
        </w:tc>
        <w:tc>
          <w:tcPr>
            <w:tcW w:w="5640" w:type="dxa"/>
          </w:tcPr>
          <w:p w14:paraId="79E55613" w14:textId="51E81D2B" w:rsidR="006D024C" w:rsidRDefault="006D024C" w:rsidP="006D024C">
            <w:r>
              <w:rPr>
                <w:noProof/>
                <w:lang w:val="en-US"/>
              </w:rPr>
              <w:drawing>
                <wp:inline distT="0" distB="0" distL="0" distR="0" wp14:anchorId="50B3E58B" wp14:editId="6583C731">
                  <wp:extent cx="3714749" cy="161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PNG"/>
                          <pic:cNvPicPr/>
                        </pic:nvPicPr>
                        <pic:blipFill>
                          <a:blip r:embed="rId11">
                            <a:extLst>
                              <a:ext uri="{28A0092B-C50C-407E-A947-70E740481C1C}">
                                <a14:useLocalDpi xmlns:a14="http://schemas.microsoft.com/office/drawing/2010/main" val="0"/>
                              </a:ext>
                            </a:extLst>
                          </a:blip>
                          <a:stretch>
                            <a:fillRect/>
                          </a:stretch>
                        </pic:blipFill>
                        <pic:spPr>
                          <a:xfrm>
                            <a:off x="0" y="0"/>
                            <a:ext cx="3717805" cy="1620582"/>
                          </a:xfrm>
                          <a:prstGeom prst="rect">
                            <a:avLst/>
                          </a:prstGeom>
                        </pic:spPr>
                      </pic:pic>
                    </a:graphicData>
                  </a:graphic>
                </wp:inline>
              </w:drawing>
            </w:r>
          </w:p>
        </w:tc>
      </w:tr>
      <w:tr w:rsidR="006D024C" w14:paraId="056FEA1C" w14:textId="77777777" w:rsidTr="006D024C">
        <w:tc>
          <w:tcPr>
            <w:tcW w:w="3936" w:type="dxa"/>
          </w:tcPr>
          <w:p w14:paraId="07B6BECA" w14:textId="77777777" w:rsidR="006D024C" w:rsidRPr="006D024C" w:rsidRDefault="006D024C" w:rsidP="006D024C">
            <w:pPr>
              <w:rPr>
                <w:b/>
                <w:sz w:val="24"/>
                <w:szCs w:val="24"/>
              </w:rPr>
            </w:pPr>
            <w:r w:rsidRPr="006D024C">
              <w:rPr>
                <w:b/>
                <w:lang w:eastAsia="bg-BG"/>
              </w:rPr>
              <w:lastRenderedPageBreak/>
              <w:t>6. Натискане</w:t>
            </w:r>
          </w:p>
          <w:p w14:paraId="5E3428C1" w14:textId="77777777" w:rsidR="006D024C" w:rsidRDefault="006D024C" w:rsidP="006D024C">
            <w:pPr>
              <w:pStyle w:val="ListParagraph"/>
              <w:numPr>
                <w:ilvl w:val="0"/>
                <w:numId w:val="37"/>
              </w:numPr>
              <w:rPr>
                <w:lang w:eastAsia="bg-BG"/>
              </w:rPr>
            </w:pPr>
            <w:r w:rsidRPr="006D024C">
              <w:rPr>
                <w:lang w:eastAsia="bg-BG"/>
              </w:rPr>
              <w:t>Насочване на инхалатора надолу</w:t>
            </w:r>
          </w:p>
          <w:p w14:paraId="11256687" w14:textId="77777777" w:rsidR="006D024C" w:rsidRDefault="006D024C" w:rsidP="006D024C">
            <w:pPr>
              <w:pStyle w:val="ListParagraph"/>
              <w:numPr>
                <w:ilvl w:val="0"/>
                <w:numId w:val="37"/>
              </w:numPr>
              <w:rPr>
                <w:lang w:eastAsia="bg-BG"/>
              </w:rPr>
            </w:pPr>
            <w:r w:rsidRPr="006D024C">
              <w:rPr>
                <w:lang w:eastAsia="bg-BG"/>
              </w:rPr>
              <w:t>Натискане на бутона за освобождаване на дозата.</w:t>
            </w:r>
          </w:p>
          <w:p w14:paraId="6C646170" w14:textId="77777777" w:rsidR="006D024C" w:rsidRDefault="006D024C" w:rsidP="006D024C">
            <w:pPr>
              <w:pStyle w:val="ListParagraph"/>
              <w:numPr>
                <w:ilvl w:val="0"/>
                <w:numId w:val="37"/>
              </w:numPr>
              <w:rPr>
                <w:lang w:eastAsia="bg-BG"/>
              </w:rPr>
            </w:pPr>
            <w:r w:rsidRPr="006D024C">
              <w:rPr>
                <w:lang w:eastAsia="bg-BG"/>
              </w:rPr>
              <w:t>Капачката трябва да се затвори.</w:t>
            </w:r>
          </w:p>
          <w:p w14:paraId="5E4612B7" w14:textId="77777777" w:rsidR="006D024C" w:rsidRDefault="006D024C" w:rsidP="006D024C">
            <w:pPr>
              <w:pStyle w:val="ListParagraph"/>
              <w:numPr>
                <w:ilvl w:val="0"/>
                <w:numId w:val="37"/>
              </w:numPr>
              <w:rPr>
                <w:lang w:eastAsia="bg-BG"/>
              </w:rPr>
            </w:pPr>
            <w:r w:rsidRPr="006D024C">
              <w:rPr>
                <w:lang w:eastAsia="bg-BG"/>
              </w:rPr>
              <w:t>Да се повторят стъпки 4-6 до поява на аерозолна мъгла.</w:t>
            </w:r>
          </w:p>
          <w:p w14:paraId="27CE42B2" w14:textId="77777777" w:rsidR="006D024C" w:rsidRDefault="006D024C" w:rsidP="006D024C">
            <w:pPr>
              <w:pStyle w:val="ListParagraph"/>
              <w:numPr>
                <w:ilvl w:val="0"/>
                <w:numId w:val="37"/>
              </w:numPr>
              <w:rPr>
                <w:lang w:eastAsia="bg-BG"/>
              </w:rPr>
            </w:pPr>
            <w:r w:rsidRPr="006D024C">
              <w:rPr>
                <w:b/>
                <w:lang w:eastAsia="bg-BG"/>
              </w:rPr>
              <w:t>След появата на аерозолна мъгла</w:t>
            </w:r>
            <w:r w:rsidRPr="006D024C">
              <w:rPr>
                <w:lang w:eastAsia="bg-BG"/>
              </w:rPr>
              <w:t>, да се повторят стъпки 4-6 още три пъти.</w:t>
            </w:r>
          </w:p>
          <w:p w14:paraId="220B56A6" w14:textId="7503A498" w:rsidR="006D024C" w:rsidRPr="006D024C" w:rsidRDefault="006D024C" w:rsidP="006D024C">
            <w:pPr>
              <w:rPr>
                <w:lang w:eastAsia="bg-BG"/>
              </w:rPr>
            </w:pPr>
            <w:r w:rsidRPr="006D024C">
              <w:rPr>
                <w:lang w:eastAsia="bg-BG"/>
              </w:rPr>
              <w:t>Сега инхалаторът е готов за употреба и ще достави 60 впръсквания (30 дози).</w:t>
            </w:r>
          </w:p>
          <w:p w14:paraId="7AFBA884" w14:textId="77777777" w:rsidR="006D024C" w:rsidRDefault="006D024C" w:rsidP="006D024C"/>
        </w:tc>
        <w:tc>
          <w:tcPr>
            <w:tcW w:w="5640" w:type="dxa"/>
          </w:tcPr>
          <w:p w14:paraId="237CCA77" w14:textId="6380AC93" w:rsidR="006D024C" w:rsidRDefault="006D024C" w:rsidP="006D024C">
            <w:r>
              <w:rPr>
                <w:noProof/>
                <w:lang w:val="en-US"/>
              </w:rPr>
              <w:drawing>
                <wp:inline distT="0" distB="0" distL="0" distR="0" wp14:anchorId="5A697764" wp14:editId="39A5E465">
                  <wp:extent cx="3686689" cy="338184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PNG"/>
                          <pic:cNvPicPr/>
                        </pic:nvPicPr>
                        <pic:blipFill>
                          <a:blip r:embed="rId12">
                            <a:extLst>
                              <a:ext uri="{28A0092B-C50C-407E-A947-70E740481C1C}">
                                <a14:useLocalDpi xmlns:a14="http://schemas.microsoft.com/office/drawing/2010/main" val="0"/>
                              </a:ext>
                            </a:extLst>
                          </a:blip>
                          <a:stretch>
                            <a:fillRect/>
                          </a:stretch>
                        </pic:blipFill>
                        <pic:spPr>
                          <a:xfrm>
                            <a:off x="0" y="0"/>
                            <a:ext cx="3686689" cy="3381847"/>
                          </a:xfrm>
                          <a:prstGeom prst="rect">
                            <a:avLst/>
                          </a:prstGeom>
                        </pic:spPr>
                      </pic:pic>
                    </a:graphicData>
                  </a:graphic>
                </wp:inline>
              </w:drawing>
            </w:r>
          </w:p>
        </w:tc>
      </w:tr>
    </w:tbl>
    <w:p w14:paraId="23212DDD" w14:textId="2C37D494" w:rsidR="006D024C" w:rsidRDefault="006D024C" w:rsidP="006D024C"/>
    <w:p w14:paraId="405F7948" w14:textId="0BEBD0CA" w:rsidR="006D024C" w:rsidRDefault="006D024C" w:rsidP="006D024C">
      <w:pPr>
        <w:rPr>
          <w:b/>
        </w:rPr>
      </w:pPr>
      <w:r w:rsidRPr="006D024C">
        <w:rPr>
          <w:b/>
        </w:rPr>
        <w:t>Ежедневна употреба</w:t>
      </w:r>
    </w:p>
    <w:tbl>
      <w:tblPr>
        <w:tblStyle w:val="TableGrid"/>
        <w:tblW w:w="0" w:type="auto"/>
        <w:tblLook w:val="04A0" w:firstRow="1" w:lastRow="0" w:firstColumn="1" w:lastColumn="0" w:noHBand="0" w:noVBand="1"/>
      </w:tblPr>
      <w:tblGrid>
        <w:gridCol w:w="3434"/>
        <w:gridCol w:w="5916"/>
      </w:tblGrid>
      <w:tr w:rsidR="006D024C" w14:paraId="57522CA7" w14:textId="77777777" w:rsidTr="006D024C">
        <w:tc>
          <w:tcPr>
            <w:tcW w:w="4788" w:type="dxa"/>
          </w:tcPr>
          <w:p w14:paraId="472F60A1" w14:textId="77777777" w:rsidR="006D024C" w:rsidRPr="006D024C" w:rsidRDefault="006D024C" w:rsidP="006D024C">
            <w:pPr>
              <w:rPr>
                <w:b/>
                <w:sz w:val="24"/>
                <w:szCs w:val="24"/>
              </w:rPr>
            </w:pPr>
            <w:r w:rsidRPr="006D024C">
              <w:rPr>
                <w:b/>
                <w:lang w:eastAsia="bg-BG"/>
              </w:rPr>
              <w:t>ЗАВЪРТАНЕ</w:t>
            </w:r>
          </w:p>
          <w:p w14:paraId="64E615DC" w14:textId="77777777" w:rsidR="006D024C" w:rsidRDefault="006D024C" w:rsidP="006D024C">
            <w:pPr>
              <w:pStyle w:val="ListParagraph"/>
              <w:numPr>
                <w:ilvl w:val="0"/>
                <w:numId w:val="38"/>
              </w:numPr>
              <w:rPr>
                <w:lang w:eastAsia="bg-BG"/>
              </w:rPr>
            </w:pPr>
            <w:r w:rsidRPr="006D024C">
              <w:rPr>
                <w:lang w:eastAsia="bg-BG"/>
              </w:rPr>
              <w:t>Капачката трябва да е затворена.</w:t>
            </w:r>
          </w:p>
          <w:p w14:paraId="73D8ED1F" w14:textId="67E8B148" w:rsidR="006D024C" w:rsidRPr="006D024C" w:rsidRDefault="006D024C" w:rsidP="006D024C">
            <w:pPr>
              <w:pStyle w:val="ListParagraph"/>
              <w:numPr>
                <w:ilvl w:val="0"/>
                <w:numId w:val="38"/>
              </w:numPr>
              <w:rPr>
                <w:lang w:eastAsia="bg-BG"/>
              </w:rPr>
            </w:pPr>
            <w:r w:rsidRPr="006D024C">
              <w:rPr>
                <w:lang w:eastAsia="bg-BG"/>
              </w:rPr>
              <w:t>Прозрачната основа трябва ДА СЕ ЗАВЪРТИ по посока на стрелките върху етикета, докато се чуе щракване (половин оборот).</w:t>
            </w:r>
          </w:p>
          <w:p w14:paraId="52EF3F64" w14:textId="77777777" w:rsidR="006D024C" w:rsidRDefault="006D024C" w:rsidP="006D024C">
            <w:pPr>
              <w:rPr>
                <w:b/>
              </w:rPr>
            </w:pPr>
          </w:p>
        </w:tc>
        <w:tc>
          <w:tcPr>
            <w:tcW w:w="4788" w:type="dxa"/>
          </w:tcPr>
          <w:p w14:paraId="3F5FBFE9" w14:textId="09DF8A4C" w:rsidR="006D024C" w:rsidRDefault="006D024C" w:rsidP="006D024C">
            <w:pPr>
              <w:rPr>
                <w:b/>
              </w:rPr>
            </w:pPr>
            <w:r>
              <w:rPr>
                <w:b/>
                <w:noProof/>
                <w:lang w:val="en-US"/>
              </w:rPr>
              <w:drawing>
                <wp:inline distT="0" distB="0" distL="0" distR="0" wp14:anchorId="5FC94C57" wp14:editId="5411EB0C">
                  <wp:extent cx="3515216" cy="210531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9.PNG"/>
                          <pic:cNvPicPr/>
                        </pic:nvPicPr>
                        <pic:blipFill>
                          <a:blip r:embed="rId13">
                            <a:extLst>
                              <a:ext uri="{28A0092B-C50C-407E-A947-70E740481C1C}">
                                <a14:useLocalDpi xmlns:a14="http://schemas.microsoft.com/office/drawing/2010/main" val="0"/>
                              </a:ext>
                            </a:extLst>
                          </a:blip>
                          <a:stretch>
                            <a:fillRect/>
                          </a:stretch>
                        </pic:blipFill>
                        <pic:spPr>
                          <a:xfrm>
                            <a:off x="0" y="0"/>
                            <a:ext cx="3515216" cy="2105319"/>
                          </a:xfrm>
                          <a:prstGeom prst="rect">
                            <a:avLst/>
                          </a:prstGeom>
                        </pic:spPr>
                      </pic:pic>
                    </a:graphicData>
                  </a:graphic>
                </wp:inline>
              </w:drawing>
            </w:r>
          </w:p>
        </w:tc>
      </w:tr>
      <w:tr w:rsidR="006D024C" w14:paraId="78667F03" w14:textId="77777777" w:rsidTr="006D024C">
        <w:tc>
          <w:tcPr>
            <w:tcW w:w="4788" w:type="dxa"/>
          </w:tcPr>
          <w:p w14:paraId="32DE9022" w14:textId="77777777" w:rsidR="006D024C" w:rsidRPr="006D024C" w:rsidRDefault="006D024C" w:rsidP="006D024C">
            <w:pPr>
              <w:spacing w:line="240" w:lineRule="auto"/>
              <w:rPr>
                <w:rFonts w:eastAsia="Times New Roman" w:cs="Arial"/>
              </w:rPr>
            </w:pPr>
            <w:r w:rsidRPr="006D024C">
              <w:rPr>
                <w:rFonts w:eastAsia="Times New Roman" w:cs="Arial"/>
                <w:b/>
                <w:bCs/>
                <w:color w:val="000000"/>
                <w:lang w:eastAsia="bg-BG"/>
              </w:rPr>
              <w:t>ОТВАРЯНЕ</w:t>
            </w:r>
          </w:p>
          <w:p w14:paraId="1F4C36BB" w14:textId="77777777" w:rsidR="006D024C" w:rsidRPr="006D024C" w:rsidRDefault="006D024C" w:rsidP="006D024C">
            <w:pPr>
              <w:pStyle w:val="ListParagraph"/>
              <w:numPr>
                <w:ilvl w:val="0"/>
                <w:numId w:val="40"/>
              </w:numPr>
              <w:spacing w:line="240" w:lineRule="auto"/>
              <w:rPr>
                <w:rFonts w:eastAsia="Times New Roman" w:cs="Arial"/>
                <w:color w:val="000000"/>
                <w:lang w:eastAsia="bg-BG"/>
              </w:rPr>
            </w:pPr>
            <w:r w:rsidRPr="006D024C">
              <w:rPr>
                <w:rFonts w:eastAsia="Times New Roman" w:cs="Arial"/>
                <w:color w:val="000000"/>
                <w:lang w:eastAsia="bg-BG"/>
              </w:rPr>
              <w:t xml:space="preserve">Капачката трябва </w:t>
            </w:r>
            <w:r w:rsidRPr="006D024C">
              <w:rPr>
                <w:rFonts w:eastAsia="Times New Roman" w:cs="Arial"/>
                <w:b/>
                <w:bCs/>
                <w:color w:val="000000"/>
                <w:lang w:eastAsia="bg-BG"/>
              </w:rPr>
              <w:t xml:space="preserve">ДА СЕ ОТВОРИ </w:t>
            </w:r>
            <w:r w:rsidRPr="006D024C">
              <w:rPr>
                <w:rFonts w:eastAsia="Times New Roman" w:cs="Arial"/>
                <w:color w:val="000000"/>
                <w:lang w:eastAsia="bg-BG"/>
              </w:rPr>
              <w:t>напълно.</w:t>
            </w:r>
          </w:p>
          <w:p w14:paraId="0687E8CD" w14:textId="77777777" w:rsidR="006D024C" w:rsidRDefault="006D024C" w:rsidP="006D024C">
            <w:pPr>
              <w:rPr>
                <w:b/>
              </w:rPr>
            </w:pPr>
          </w:p>
        </w:tc>
        <w:tc>
          <w:tcPr>
            <w:tcW w:w="4788" w:type="dxa"/>
          </w:tcPr>
          <w:p w14:paraId="26FAA3B1" w14:textId="40CA7289" w:rsidR="006D024C" w:rsidRDefault="006D024C" w:rsidP="006D024C">
            <w:pPr>
              <w:rPr>
                <w:b/>
              </w:rPr>
            </w:pPr>
            <w:r>
              <w:rPr>
                <w:b/>
                <w:noProof/>
                <w:lang w:val="en-US"/>
              </w:rPr>
              <w:drawing>
                <wp:inline distT="0" distB="0" distL="0" distR="0" wp14:anchorId="3198D2BA" wp14:editId="76A3E1F8">
                  <wp:extent cx="3610479" cy="162900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0.PNG"/>
                          <pic:cNvPicPr/>
                        </pic:nvPicPr>
                        <pic:blipFill>
                          <a:blip r:embed="rId14">
                            <a:extLst>
                              <a:ext uri="{28A0092B-C50C-407E-A947-70E740481C1C}">
                                <a14:useLocalDpi xmlns:a14="http://schemas.microsoft.com/office/drawing/2010/main" val="0"/>
                              </a:ext>
                            </a:extLst>
                          </a:blip>
                          <a:stretch>
                            <a:fillRect/>
                          </a:stretch>
                        </pic:blipFill>
                        <pic:spPr>
                          <a:xfrm>
                            <a:off x="0" y="0"/>
                            <a:ext cx="3610479" cy="1629002"/>
                          </a:xfrm>
                          <a:prstGeom prst="rect">
                            <a:avLst/>
                          </a:prstGeom>
                        </pic:spPr>
                      </pic:pic>
                    </a:graphicData>
                  </a:graphic>
                </wp:inline>
              </w:drawing>
            </w:r>
          </w:p>
        </w:tc>
      </w:tr>
      <w:tr w:rsidR="006D024C" w14:paraId="72F16E02" w14:textId="77777777" w:rsidTr="006D024C">
        <w:tc>
          <w:tcPr>
            <w:tcW w:w="4788" w:type="dxa"/>
          </w:tcPr>
          <w:p w14:paraId="2C6B876C" w14:textId="77777777" w:rsidR="006D024C" w:rsidRPr="006D024C" w:rsidRDefault="006D024C" w:rsidP="006D024C">
            <w:pPr>
              <w:spacing w:line="240" w:lineRule="auto"/>
              <w:rPr>
                <w:rFonts w:eastAsia="Times New Roman" w:cs="Arial"/>
              </w:rPr>
            </w:pPr>
            <w:r w:rsidRPr="006D024C">
              <w:rPr>
                <w:rFonts w:eastAsia="Times New Roman" w:cs="Arial"/>
                <w:b/>
                <w:bCs/>
                <w:color w:val="000000"/>
                <w:lang w:eastAsia="bg-BG"/>
              </w:rPr>
              <w:lastRenderedPageBreak/>
              <w:t>НАТИСКАНЕ</w:t>
            </w:r>
          </w:p>
          <w:p w14:paraId="690FC3D5" w14:textId="77777777" w:rsidR="006D024C" w:rsidRDefault="006D024C" w:rsidP="006D024C">
            <w:pPr>
              <w:pStyle w:val="ListParagraph"/>
              <w:numPr>
                <w:ilvl w:val="0"/>
                <w:numId w:val="40"/>
              </w:numPr>
              <w:spacing w:line="240" w:lineRule="auto"/>
              <w:rPr>
                <w:rFonts w:eastAsia="Times New Roman" w:cs="Arial"/>
                <w:color w:val="000000"/>
                <w:lang w:eastAsia="bg-BG"/>
              </w:rPr>
            </w:pPr>
            <w:r w:rsidRPr="006D024C">
              <w:rPr>
                <w:rFonts w:eastAsia="Times New Roman" w:cs="Arial"/>
                <w:color w:val="000000"/>
                <w:lang w:eastAsia="bg-BG"/>
              </w:rPr>
              <w:t>Пациентът да издиша бавно и дълбоко.</w:t>
            </w:r>
          </w:p>
          <w:p w14:paraId="79CC8F5C" w14:textId="77777777" w:rsidR="006D024C" w:rsidRDefault="006D024C" w:rsidP="006D024C">
            <w:pPr>
              <w:pStyle w:val="ListParagraph"/>
              <w:numPr>
                <w:ilvl w:val="0"/>
                <w:numId w:val="40"/>
              </w:numPr>
              <w:spacing w:line="240" w:lineRule="auto"/>
              <w:rPr>
                <w:rFonts w:eastAsia="Times New Roman" w:cs="Arial"/>
                <w:color w:val="000000"/>
                <w:lang w:eastAsia="bg-BG"/>
              </w:rPr>
            </w:pPr>
            <w:r w:rsidRPr="006D024C">
              <w:rPr>
                <w:rFonts w:eastAsia="Times New Roman" w:cs="Arial"/>
                <w:color w:val="000000"/>
                <w:lang w:eastAsia="bg-BG"/>
              </w:rPr>
              <w:t>Да постави устните си плътно около мундщука, без да закрива отворите за въздух. Да насочи инхалатора към гърлото си.</w:t>
            </w:r>
          </w:p>
          <w:p w14:paraId="31D8EA80" w14:textId="77777777" w:rsidR="006D024C" w:rsidRDefault="006D024C" w:rsidP="006D024C">
            <w:pPr>
              <w:pStyle w:val="ListParagraph"/>
              <w:numPr>
                <w:ilvl w:val="0"/>
                <w:numId w:val="40"/>
              </w:numPr>
              <w:spacing w:line="240" w:lineRule="auto"/>
              <w:rPr>
                <w:rFonts w:eastAsia="Times New Roman" w:cs="Arial"/>
                <w:color w:val="000000"/>
                <w:lang w:eastAsia="bg-BG"/>
              </w:rPr>
            </w:pPr>
            <w:r w:rsidRPr="006D024C">
              <w:rPr>
                <w:rFonts w:eastAsia="Times New Roman" w:cs="Arial"/>
                <w:color w:val="000000"/>
                <w:lang w:eastAsia="bg-BG"/>
              </w:rPr>
              <w:t xml:space="preserve">Докато вдишва бавно и дълбоко през устата, да </w:t>
            </w:r>
            <w:r w:rsidRPr="006D024C">
              <w:rPr>
                <w:rFonts w:eastAsia="Times New Roman" w:cs="Arial"/>
                <w:b/>
                <w:bCs/>
                <w:color w:val="000000"/>
                <w:lang w:eastAsia="bg-BG"/>
              </w:rPr>
              <w:t xml:space="preserve">НАТИСНЕ </w:t>
            </w:r>
            <w:r w:rsidRPr="006D024C">
              <w:rPr>
                <w:rFonts w:eastAsia="Times New Roman" w:cs="Arial"/>
                <w:color w:val="000000"/>
                <w:lang w:eastAsia="bg-BG"/>
              </w:rPr>
              <w:t>бутона за освобождаване на дозата и да продължи да вдишва бавно, толкова дълго, доколкото е възможно.</w:t>
            </w:r>
          </w:p>
          <w:p w14:paraId="315B9902" w14:textId="77777777" w:rsidR="006D024C" w:rsidRDefault="006D024C" w:rsidP="006D024C">
            <w:pPr>
              <w:pStyle w:val="ListParagraph"/>
              <w:numPr>
                <w:ilvl w:val="0"/>
                <w:numId w:val="40"/>
              </w:numPr>
              <w:spacing w:line="240" w:lineRule="auto"/>
              <w:rPr>
                <w:rFonts w:eastAsia="Times New Roman" w:cs="Arial"/>
                <w:color w:val="000000"/>
                <w:lang w:eastAsia="bg-BG"/>
              </w:rPr>
            </w:pPr>
            <w:r w:rsidRPr="006D024C">
              <w:rPr>
                <w:rFonts w:eastAsia="Times New Roman" w:cs="Arial"/>
                <w:color w:val="000000"/>
                <w:lang w:eastAsia="bg-BG"/>
              </w:rPr>
              <w:t>Да задръжи дишането за 10 секунди или докато може.</w:t>
            </w:r>
          </w:p>
          <w:p w14:paraId="5ECB580D" w14:textId="77777777" w:rsidR="006D024C" w:rsidRDefault="006D024C" w:rsidP="006D024C">
            <w:pPr>
              <w:pStyle w:val="ListParagraph"/>
              <w:numPr>
                <w:ilvl w:val="0"/>
                <w:numId w:val="40"/>
              </w:numPr>
              <w:spacing w:line="240" w:lineRule="auto"/>
              <w:rPr>
                <w:rFonts w:eastAsia="Times New Roman" w:cs="Arial"/>
                <w:color w:val="000000"/>
                <w:lang w:eastAsia="bg-BG"/>
              </w:rPr>
            </w:pPr>
            <w:r w:rsidRPr="006D024C">
              <w:rPr>
                <w:rFonts w:eastAsia="Times New Roman" w:cs="Arial"/>
                <w:color w:val="000000"/>
                <w:lang w:eastAsia="bg-BG"/>
              </w:rPr>
              <w:t xml:space="preserve">Да повтори стъпки </w:t>
            </w:r>
            <w:r w:rsidRPr="006D024C">
              <w:rPr>
                <w:rFonts w:eastAsia="Times New Roman" w:cs="Arial"/>
                <w:b/>
                <w:bCs/>
                <w:color w:val="000000"/>
                <w:lang w:eastAsia="bg-BG"/>
              </w:rPr>
              <w:t xml:space="preserve">„ЗАВЪРТАНЕ“, „ОТВАРЯНЕ“ </w:t>
            </w:r>
            <w:r w:rsidRPr="006D024C">
              <w:rPr>
                <w:rFonts w:eastAsia="Times New Roman" w:cs="Arial"/>
                <w:color w:val="000000"/>
                <w:lang w:eastAsia="bg-BG"/>
              </w:rPr>
              <w:t xml:space="preserve">и </w:t>
            </w:r>
            <w:r w:rsidRPr="006D024C">
              <w:rPr>
                <w:rFonts w:eastAsia="Times New Roman" w:cs="Arial"/>
                <w:b/>
                <w:bCs/>
                <w:color w:val="000000"/>
                <w:lang w:eastAsia="bg-BG"/>
              </w:rPr>
              <w:t xml:space="preserve">„НАТИСКАНЕ“, </w:t>
            </w:r>
            <w:r w:rsidRPr="006D024C">
              <w:rPr>
                <w:rFonts w:eastAsia="Times New Roman" w:cs="Arial"/>
                <w:color w:val="000000"/>
                <w:lang w:eastAsia="bg-BG"/>
              </w:rPr>
              <w:t>за да приеме пълната доза, осигурена от 2 впръсквания.</w:t>
            </w:r>
          </w:p>
          <w:p w14:paraId="0F237B65" w14:textId="0206ED54" w:rsidR="006D024C" w:rsidRPr="006D024C" w:rsidRDefault="006D024C" w:rsidP="006D024C">
            <w:pPr>
              <w:pStyle w:val="ListParagraph"/>
              <w:numPr>
                <w:ilvl w:val="0"/>
                <w:numId w:val="40"/>
              </w:numPr>
              <w:spacing w:line="240" w:lineRule="auto"/>
              <w:rPr>
                <w:rFonts w:eastAsia="Times New Roman" w:cs="Arial"/>
                <w:color w:val="000000"/>
                <w:lang w:eastAsia="bg-BG"/>
              </w:rPr>
            </w:pPr>
            <w:r w:rsidRPr="006D024C">
              <w:rPr>
                <w:rFonts w:eastAsia="Times New Roman" w:cs="Arial"/>
                <w:color w:val="000000"/>
                <w:lang w:eastAsia="bg-BG"/>
              </w:rPr>
              <w:t>Да затвори капачката на инхалатора до следващата му употреба.</w:t>
            </w:r>
          </w:p>
        </w:tc>
        <w:tc>
          <w:tcPr>
            <w:tcW w:w="4788" w:type="dxa"/>
          </w:tcPr>
          <w:p w14:paraId="5F419B58" w14:textId="58F47F45" w:rsidR="006D024C" w:rsidRDefault="006D024C" w:rsidP="006D024C">
            <w:pPr>
              <w:rPr>
                <w:b/>
              </w:rPr>
            </w:pPr>
            <w:r>
              <w:rPr>
                <w:b/>
                <w:noProof/>
                <w:lang w:val="en-US"/>
              </w:rPr>
              <w:drawing>
                <wp:inline distT="0" distB="0" distL="0" distR="0" wp14:anchorId="36C35541" wp14:editId="6D2F280F">
                  <wp:extent cx="3620005" cy="39248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1.PNG"/>
                          <pic:cNvPicPr/>
                        </pic:nvPicPr>
                        <pic:blipFill>
                          <a:blip r:embed="rId15">
                            <a:extLst>
                              <a:ext uri="{28A0092B-C50C-407E-A947-70E740481C1C}">
                                <a14:useLocalDpi xmlns:a14="http://schemas.microsoft.com/office/drawing/2010/main" val="0"/>
                              </a:ext>
                            </a:extLst>
                          </a:blip>
                          <a:stretch>
                            <a:fillRect/>
                          </a:stretch>
                        </pic:blipFill>
                        <pic:spPr>
                          <a:xfrm>
                            <a:off x="0" y="0"/>
                            <a:ext cx="3620005" cy="3924848"/>
                          </a:xfrm>
                          <a:prstGeom prst="rect">
                            <a:avLst/>
                          </a:prstGeom>
                        </pic:spPr>
                      </pic:pic>
                    </a:graphicData>
                  </a:graphic>
                </wp:inline>
              </w:drawing>
            </w:r>
          </w:p>
        </w:tc>
      </w:tr>
    </w:tbl>
    <w:p w14:paraId="70B587E2" w14:textId="0BE1F7B4" w:rsidR="006D024C" w:rsidRDefault="006D024C" w:rsidP="006D024C">
      <w:pPr>
        <w:rPr>
          <w:b/>
        </w:rPr>
      </w:pPr>
    </w:p>
    <w:p w14:paraId="14A4D5AE" w14:textId="77777777" w:rsidR="00F849A2" w:rsidRPr="00F849A2" w:rsidRDefault="00F849A2" w:rsidP="00F849A2">
      <w:pPr>
        <w:spacing w:line="240" w:lineRule="auto"/>
        <w:rPr>
          <w:rFonts w:eastAsia="Times New Roman" w:cs="Arial"/>
          <w:sz w:val="12"/>
          <w:szCs w:val="24"/>
        </w:rPr>
      </w:pPr>
      <w:r w:rsidRPr="00F849A2">
        <w:rPr>
          <w:rFonts w:eastAsia="Times New Roman" w:cs="Arial"/>
          <w:b/>
          <w:bCs/>
          <w:color w:val="000000"/>
          <w:szCs w:val="44"/>
          <w:lang w:eastAsia="bg-BG"/>
        </w:rPr>
        <w:t>Кога да се замени пълнителя на Спирива Респимат</w:t>
      </w:r>
    </w:p>
    <w:p w14:paraId="706BC7AF" w14:textId="77777777" w:rsidR="00F849A2" w:rsidRDefault="00F849A2" w:rsidP="00F849A2">
      <w:pPr>
        <w:rPr>
          <w:rFonts w:eastAsia="Times New Roman" w:cs="Arial"/>
          <w:color w:val="000000"/>
          <w:szCs w:val="44"/>
          <w:lang w:eastAsia="bg-BG"/>
        </w:rPr>
      </w:pPr>
    </w:p>
    <w:p w14:paraId="76E86BD6" w14:textId="5FC5A373" w:rsidR="00F849A2" w:rsidRDefault="00F849A2" w:rsidP="00F849A2">
      <w:pPr>
        <w:rPr>
          <w:rFonts w:eastAsia="Times New Roman" w:cs="Arial"/>
          <w:color w:val="000000"/>
          <w:szCs w:val="44"/>
          <w:lang w:eastAsia="bg-BG"/>
        </w:rPr>
      </w:pPr>
      <w:r w:rsidRPr="00F849A2">
        <w:rPr>
          <w:rFonts w:eastAsia="Times New Roman" w:cs="Arial"/>
          <w:color w:val="000000"/>
          <w:szCs w:val="44"/>
          <w:lang w:eastAsia="bg-BG"/>
        </w:rPr>
        <w:t>Бороячът на дозите показва колко впръсквания остават в пълнителя.</w:t>
      </w:r>
    </w:p>
    <w:p w14:paraId="3DDB99B8" w14:textId="4EE5A346" w:rsidR="00F849A2" w:rsidRDefault="00F849A2" w:rsidP="00F849A2">
      <w:pPr>
        <w:rPr>
          <w:rFonts w:eastAsia="Times New Roman" w:cs="Arial"/>
          <w:color w:val="000000"/>
          <w:szCs w:val="44"/>
          <w:lang w:eastAsia="bg-BG"/>
        </w:rPr>
      </w:pPr>
    </w:p>
    <w:p w14:paraId="5AB59F20" w14:textId="77777777" w:rsidR="00F849A2" w:rsidRDefault="00F849A2" w:rsidP="00F849A2">
      <w:pPr>
        <w:rPr>
          <w:rFonts w:eastAsia="Times New Roman" w:cs="Arial"/>
          <w:color w:val="000000"/>
          <w:szCs w:val="44"/>
          <w:lang w:eastAsia="bg-BG"/>
        </w:rPr>
      </w:pPr>
    </w:p>
    <w:p w14:paraId="7148820E" w14:textId="431802E9" w:rsidR="00F849A2" w:rsidRPr="00F849A2" w:rsidRDefault="00F849A2" w:rsidP="00F849A2">
      <w:pPr>
        <w:rPr>
          <w:rFonts w:ascii="Times New Roman" w:eastAsia="Times New Roman" w:hAnsi="Times New Roman" w:cs="Times New Roman"/>
          <w:sz w:val="24"/>
          <w:szCs w:val="24"/>
        </w:rPr>
      </w:pPr>
      <w:r>
        <w:rPr>
          <w:noProof/>
          <w:lang w:val="en-US"/>
        </w:rPr>
        <w:drawing>
          <wp:inline distT="0" distB="0" distL="0" distR="0" wp14:anchorId="5A2E2109" wp14:editId="084EDD9A">
            <wp:extent cx="676369" cy="6477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2.PNG"/>
                    <pic:cNvPicPr/>
                  </pic:nvPicPr>
                  <pic:blipFill>
                    <a:blip r:embed="rId16">
                      <a:extLst>
                        <a:ext uri="{28A0092B-C50C-407E-A947-70E740481C1C}">
                          <a14:useLocalDpi xmlns:a14="http://schemas.microsoft.com/office/drawing/2010/main" val="0"/>
                        </a:ext>
                      </a:extLst>
                    </a:blip>
                    <a:stretch>
                      <a:fillRect/>
                    </a:stretch>
                  </pic:blipFill>
                  <pic:spPr>
                    <a:xfrm>
                      <a:off x="0" y="0"/>
                      <a:ext cx="676369" cy="647790"/>
                    </a:xfrm>
                    <a:prstGeom prst="rect">
                      <a:avLst/>
                    </a:prstGeom>
                  </pic:spPr>
                </pic:pic>
              </a:graphicData>
            </a:graphic>
          </wp:inline>
        </w:drawing>
      </w:r>
      <w:r>
        <w:rPr>
          <w:rFonts w:eastAsia="Times New Roman" w:cs="Arial"/>
          <w:color w:val="000000"/>
          <w:szCs w:val="44"/>
          <w:lang w:val="en-US" w:eastAsia="bg-BG"/>
        </w:rPr>
        <w:t>-</w:t>
      </w:r>
      <w:r w:rsidRPr="00F849A2">
        <w:rPr>
          <w:lang w:eastAsia="bg-BG"/>
        </w:rPr>
        <w:t>Остават 60 впръсквания</w:t>
      </w:r>
    </w:p>
    <w:p w14:paraId="21AE5830" w14:textId="3879DBF1" w:rsidR="00F849A2" w:rsidRDefault="00F849A2" w:rsidP="00F849A2">
      <w:pPr>
        <w:rPr>
          <w:lang w:val="en-US"/>
        </w:rPr>
      </w:pPr>
    </w:p>
    <w:p w14:paraId="35F7705D" w14:textId="23B8627B" w:rsidR="00F849A2" w:rsidRDefault="00F849A2" w:rsidP="00F849A2">
      <w:r>
        <w:rPr>
          <w:noProof/>
          <w:lang w:val="en-US"/>
        </w:rPr>
        <w:drawing>
          <wp:inline distT="0" distB="0" distL="0" distR="0" wp14:anchorId="6FC8E003" wp14:editId="1F026322">
            <wp:extent cx="628738" cy="5430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3.PNG"/>
                    <pic:cNvPicPr/>
                  </pic:nvPicPr>
                  <pic:blipFill>
                    <a:blip r:embed="rId17">
                      <a:extLst>
                        <a:ext uri="{28A0092B-C50C-407E-A947-70E740481C1C}">
                          <a14:useLocalDpi xmlns:a14="http://schemas.microsoft.com/office/drawing/2010/main" val="0"/>
                        </a:ext>
                      </a:extLst>
                    </a:blip>
                    <a:stretch>
                      <a:fillRect/>
                    </a:stretch>
                  </pic:blipFill>
                  <pic:spPr>
                    <a:xfrm>
                      <a:off x="0" y="0"/>
                      <a:ext cx="628738" cy="543001"/>
                    </a:xfrm>
                    <a:prstGeom prst="rect">
                      <a:avLst/>
                    </a:prstGeom>
                  </pic:spPr>
                </pic:pic>
              </a:graphicData>
            </a:graphic>
          </wp:inline>
        </w:drawing>
      </w:r>
      <w:r w:rsidRPr="00F849A2">
        <w:rPr>
          <w:lang w:val="ru-RU"/>
        </w:rPr>
        <w:t xml:space="preserve">- </w:t>
      </w:r>
      <w:r w:rsidRPr="00F849A2">
        <w:t>Остават по-малко от 10 впръсквания. Необходимо е, да се вземе нов пълнител.</w:t>
      </w:r>
    </w:p>
    <w:p w14:paraId="73A6CC57" w14:textId="60FA26A1" w:rsidR="00F849A2" w:rsidRDefault="00F849A2" w:rsidP="00F849A2"/>
    <w:p w14:paraId="77A8E698" w14:textId="074AC32C" w:rsidR="00F849A2" w:rsidRPr="00F849A2" w:rsidRDefault="00F849A2" w:rsidP="00F849A2">
      <w:pPr>
        <w:rPr>
          <w:lang w:val="ru-RU"/>
        </w:rPr>
      </w:pPr>
      <w:r>
        <w:rPr>
          <w:noProof/>
          <w:lang w:val="en-US"/>
        </w:rPr>
        <w:lastRenderedPageBreak/>
        <w:drawing>
          <wp:inline distT="0" distB="0" distL="0" distR="0" wp14:anchorId="4AAB16E6" wp14:editId="5CCD5160">
            <wp:extent cx="638264" cy="6668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4.PNG"/>
                    <pic:cNvPicPr/>
                  </pic:nvPicPr>
                  <pic:blipFill>
                    <a:blip r:embed="rId18">
                      <a:extLst>
                        <a:ext uri="{28A0092B-C50C-407E-A947-70E740481C1C}">
                          <a14:useLocalDpi xmlns:a14="http://schemas.microsoft.com/office/drawing/2010/main" val="0"/>
                        </a:ext>
                      </a:extLst>
                    </a:blip>
                    <a:stretch>
                      <a:fillRect/>
                    </a:stretch>
                  </pic:blipFill>
                  <pic:spPr>
                    <a:xfrm>
                      <a:off x="0" y="0"/>
                      <a:ext cx="638264" cy="666843"/>
                    </a:xfrm>
                    <a:prstGeom prst="rect">
                      <a:avLst/>
                    </a:prstGeom>
                  </pic:spPr>
                </pic:pic>
              </a:graphicData>
            </a:graphic>
          </wp:inline>
        </w:drawing>
      </w:r>
      <w:r w:rsidRPr="00F849A2">
        <w:rPr>
          <w:lang w:val="ru-RU"/>
        </w:rPr>
        <w:t xml:space="preserve">- </w:t>
      </w:r>
      <w:r w:rsidRPr="00F849A2">
        <w:t>Пълнителят е свършил. Трябва да се завърти прозрачната основа, за да се разхлаби пълнителя. Сега инхалаторът е в заключена позиция. Трябва да се извади пълнителя от инхалатора. Да се постави нов пълнител (да се продължи от стъпка 2).</w:t>
      </w:r>
    </w:p>
    <w:p w14:paraId="30FD9938" w14:textId="77777777" w:rsidR="006D024C" w:rsidRDefault="006D024C" w:rsidP="008A6AF2">
      <w:pPr>
        <w:pStyle w:val="Heading2"/>
      </w:pPr>
    </w:p>
    <w:p w14:paraId="62B13D0B" w14:textId="0B34756C" w:rsidR="00395555" w:rsidRDefault="002C50EE" w:rsidP="008A6AF2">
      <w:pPr>
        <w:pStyle w:val="Heading2"/>
      </w:pPr>
      <w:r>
        <w:t>4.3. Противопоказания</w:t>
      </w:r>
    </w:p>
    <w:p w14:paraId="76895C5D" w14:textId="0EA95B77" w:rsidR="00F849A2" w:rsidRDefault="00F849A2" w:rsidP="00F849A2"/>
    <w:p w14:paraId="1226AB7E" w14:textId="5FEFD6B1" w:rsidR="00F849A2" w:rsidRDefault="00F849A2" w:rsidP="00F849A2">
      <w:r>
        <w:t>Свръхчувствителност към тиотропиум бромид или към някое от помощните вещества, изброени в точка 6.1, или към атропин или неговите производни, например ипратропиум или окситропиум.</w:t>
      </w:r>
    </w:p>
    <w:p w14:paraId="0F0C21BD" w14:textId="77777777" w:rsidR="00F849A2" w:rsidRPr="00F849A2" w:rsidRDefault="00F849A2" w:rsidP="00F849A2"/>
    <w:p w14:paraId="5A4AC413" w14:textId="5F77168A" w:rsidR="00395555" w:rsidRDefault="002C50EE" w:rsidP="008A6AF2">
      <w:pPr>
        <w:pStyle w:val="Heading2"/>
      </w:pPr>
      <w:r>
        <w:t>4.4. Специални предупреждения и предпазни мерки при употреба</w:t>
      </w:r>
    </w:p>
    <w:p w14:paraId="76A8A5E3" w14:textId="3EF0FC09" w:rsidR="00F849A2" w:rsidRDefault="00F849A2" w:rsidP="00F849A2"/>
    <w:p w14:paraId="30D3BDAA" w14:textId="77777777"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u w:val="single"/>
          <w:lang w:eastAsia="bg-BG"/>
        </w:rPr>
        <w:t>Помощни вещества</w:t>
      </w:r>
    </w:p>
    <w:p w14:paraId="461FE153" w14:textId="77777777"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Бензалкониевият хлорид може да причини хрипове и затруднено дишане. Пациентите с астма имат повишен риск за тези нежелани реакции.</w:t>
      </w:r>
    </w:p>
    <w:p w14:paraId="10CBE172" w14:textId="77777777" w:rsidR="00F849A2" w:rsidRPr="00F849A2" w:rsidRDefault="00F849A2" w:rsidP="00F849A2">
      <w:pPr>
        <w:spacing w:line="240" w:lineRule="auto"/>
        <w:rPr>
          <w:rFonts w:eastAsia="Times New Roman" w:cs="Arial"/>
          <w:bCs/>
          <w:color w:val="000000"/>
          <w:szCs w:val="42"/>
          <w:lang w:eastAsia="bg-BG"/>
        </w:rPr>
      </w:pPr>
    </w:p>
    <w:p w14:paraId="5013FA54" w14:textId="0F6780FB"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Тиотропиум бромид, представлява бронходилататор за поддържащо лечение, за приложение веднъж дневно, поради тази причина не трябва да се използва за начално лечение на остър пристъп на бронхоспазъм или за облекчаване на остри симптоми. В случай на остър пристъп трябва да се използва бързо действащ бета-2 агонист.</w:t>
      </w:r>
    </w:p>
    <w:p w14:paraId="779BCE12" w14:textId="77777777" w:rsidR="00F849A2" w:rsidRPr="00F849A2" w:rsidRDefault="00F849A2" w:rsidP="00F849A2">
      <w:pPr>
        <w:spacing w:line="240" w:lineRule="auto"/>
        <w:rPr>
          <w:rFonts w:eastAsia="Times New Roman" w:cs="Arial"/>
          <w:bCs/>
          <w:color w:val="000000"/>
          <w:szCs w:val="42"/>
          <w:lang w:eastAsia="bg-BG"/>
        </w:rPr>
      </w:pPr>
    </w:p>
    <w:p w14:paraId="297745CE" w14:textId="78949818"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Спирива Респимат не трябва да се използва като монотерапия за астма. Пациентите с астма трябва да бъдат съветвани да продължават приема на противовъзпалителна терапия, т.е. инхалаторни кортикостероиди, приемани без промяна след въвеждането на Спирива Респимат, дори когато симптомите им се подобрят.</w:t>
      </w:r>
    </w:p>
    <w:p w14:paraId="660CFA45" w14:textId="77777777" w:rsidR="00F849A2" w:rsidRPr="00F849A2" w:rsidRDefault="00F849A2" w:rsidP="00F849A2">
      <w:pPr>
        <w:spacing w:line="240" w:lineRule="auto"/>
        <w:rPr>
          <w:rFonts w:eastAsia="Times New Roman" w:cs="Arial"/>
          <w:bCs/>
          <w:color w:val="000000"/>
          <w:szCs w:val="42"/>
          <w:lang w:eastAsia="bg-BG"/>
        </w:rPr>
      </w:pPr>
    </w:p>
    <w:p w14:paraId="5FBDA8C8" w14:textId="2F3D8466"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Възможна е появата на реакции на свръхчувствителност от бърз тип след приложение на тиотропиум бромид разтвор за инхалация.</w:t>
      </w:r>
    </w:p>
    <w:p w14:paraId="20CB9572" w14:textId="77777777" w:rsidR="00F849A2" w:rsidRPr="00F849A2" w:rsidRDefault="00F849A2" w:rsidP="00F849A2">
      <w:pPr>
        <w:spacing w:line="240" w:lineRule="auto"/>
        <w:rPr>
          <w:rFonts w:eastAsia="Times New Roman" w:cs="Arial"/>
          <w:bCs/>
          <w:color w:val="000000"/>
          <w:szCs w:val="42"/>
          <w:lang w:eastAsia="bg-BG"/>
        </w:rPr>
      </w:pPr>
    </w:p>
    <w:p w14:paraId="0A00DC4C" w14:textId="1AEA1245"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Поради неговата антихолинергична активност, тиотропиум бромид трябва да се прилага с особено внимание при пациенти със закритоъгълна глаукома, хиперплазия на простатната жлеза или обструкция на шийката на пикочния мехур.</w:t>
      </w:r>
    </w:p>
    <w:p w14:paraId="1858C3B4" w14:textId="77777777" w:rsidR="00F849A2" w:rsidRPr="00F849A2" w:rsidRDefault="00F849A2" w:rsidP="00F849A2">
      <w:pPr>
        <w:spacing w:line="240" w:lineRule="auto"/>
        <w:rPr>
          <w:rFonts w:eastAsia="Times New Roman" w:cs="Arial"/>
          <w:bCs/>
          <w:color w:val="000000"/>
          <w:szCs w:val="42"/>
          <w:lang w:eastAsia="bg-BG"/>
        </w:rPr>
      </w:pPr>
    </w:p>
    <w:p w14:paraId="5E1008B4" w14:textId="3D30E89E"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Лекарствените продукти за инхалаторно приложение могат да предизвикат инхалаторно-индуциран бронхоспазъм.</w:t>
      </w:r>
    </w:p>
    <w:p w14:paraId="7DB6999A" w14:textId="77777777" w:rsidR="00F849A2" w:rsidRPr="00F849A2" w:rsidRDefault="00F849A2" w:rsidP="00F849A2">
      <w:pPr>
        <w:spacing w:line="240" w:lineRule="auto"/>
        <w:rPr>
          <w:rFonts w:eastAsia="Times New Roman" w:cs="Arial"/>
          <w:bCs/>
          <w:color w:val="000000"/>
          <w:szCs w:val="42"/>
          <w:lang w:eastAsia="bg-BG"/>
        </w:rPr>
      </w:pPr>
    </w:p>
    <w:p w14:paraId="282ACAF7" w14:textId="20587CC0"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 xml:space="preserve">Тиотропиум трябва да се използва с повишено внимание при пациенти с прекаран наскоро миокарден инфаркт преди по-малко от 6 месеца, нестабилна или животозастрашаваща сърдечна аритмия или сърдечна аритмия, налагаща интервенция, или промяна на лечението с лекарства през последната година, хоспитализация за сърдечна недостатъчност (клас </w:t>
      </w:r>
      <w:r w:rsidRPr="00F849A2">
        <w:rPr>
          <w:rFonts w:eastAsia="Times New Roman" w:cs="Arial"/>
          <w:bCs/>
          <w:color w:val="000000"/>
          <w:szCs w:val="42"/>
          <w:lang w:val="en-US"/>
        </w:rPr>
        <w:t>III</w:t>
      </w:r>
      <w:r w:rsidRPr="00F849A2">
        <w:rPr>
          <w:rFonts w:eastAsia="Times New Roman" w:cs="Arial"/>
          <w:bCs/>
          <w:color w:val="000000"/>
          <w:szCs w:val="42"/>
          <w:lang w:val="ru-RU"/>
        </w:rPr>
        <w:t xml:space="preserve"> </w:t>
      </w:r>
      <w:r w:rsidRPr="00F849A2">
        <w:rPr>
          <w:rFonts w:eastAsia="Times New Roman" w:cs="Arial"/>
          <w:bCs/>
          <w:color w:val="000000"/>
          <w:szCs w:val="42"/>
          <w:lang w:eastAsia="bg-BG"/>
        </w:rPr>
        <w:t xml:space="preserve">или IV по </w:t>
      </w:r>
      <w:r w:rsidRPr="00F849A2">
        <w:rPr>
          <w:rFonts w:eastAsia="Times New Roman" w:cs="Arial"/>
          <w:bCs/>
          <w:color w:val="000000"/>
          <w:szCs w:val="42"/>
          <w:lang w:val="en-US"/>
        </w:rPr>
        <w:t>NYHA</w:t>
      </w:r>
      <w:r w:rsidRPr="00F849A2">
        <w:rPr>
          <w:rFonts w:eastAsia="Times New Roman" w:cs="Arial"/>
          <w:bCs/>
          <w:color w:val="000000"/>
          <w:szCs w:val="42"/>
          <w:lang w:val="ru-RU"/>
        </w:rPr>
        <w:t xml:space="preserve">) </w:t>
      </w:r>
      <w:r w:rsidRPr="00F849A2">
        <w:rPr>
          <w:rFonts w:eastAsia="Times New Roman" w:cs="Arial"/>
          <w:bCs/>
          <w:color w:val="000000"/>
          <w:szCs w:val="42"/>
          <w:lang w:eastAsia="bg-BG"/>
        </w:rPr>
        <w:t>през последната година. Такива пациенти са били изключени от клиничните проучвания, а тези състояния могат да бъдат повлияни от антихолинергичния механизъм на действие.</w:t>
      </w:r>
    </w:p>
    <w:p w14:paraId="7D957BD2" w14:textId="77777777" w:rsidR="00F849A2" w:rsidRPr="00F849A2" w:rsidRDefault="00F849A2" w:rsidP="00F849A2">
      <w:pPr>
        <w:spacing w:line="240" w:lineRule="auto"/>
        <w:rPr>
          <w:rFonts w:eastAsia="Times New Roman" w:cs="Arial"/>
          <w:bCs/>
          <w:color w:val="000000"/>
          <w:szCs w:val="42"/>
          <w:lang w:eastAsia="bg-BG"/>
        </w:rPr>
      </w:pPr>
    </w:p>
    <w:p w14:paraId="0CB93CF3" w14:textId="612FB090"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lastRenderedPageBreak/>
        <w:t xml:space="preserve">Тъй като плазмените концентрации се увеличават при намалена бъбречна функция при пациенти със средно до тежко бъбречно увреждане (креатининов клирънс ≤ 50 </w:t>
      </w:r>
      <w:r w:rsidRPr="00F849A2">
        <w:rPr>
          <w:rFonts w:eastAsia="Times New Roman" w:cs="Arial"/>
          <w:bCs/>
          <w:color w:val="000000"/>
          <w:szCs w:val="42"/>
          <w:lang w:val="en-US"/>
        </w:rPr>
        <w:t>ml</w:t>
      </w:r>
      <w:r w:rsidRPr="00F849A2">
        <w:rPr>
          <w:rFonts w:eastAsia="Times New Roman" w:cs="Arial"/>
          <w:bCs/>
          <w:color w:val="000000"/>
          <w:szCs w:val="42"/>
          <w:lang w:val="ru-RU"/>
        </w:rPr>
        <w:t>/</w:t>
      </w:r>
      <w:r w:rsidRPr="00F849A2">
        <w:rPr>
          <w:rFonts w:eastAsia="Times New Roman" w:cs="Arial"/>
          <w:bCs/>
          <w:color w:val="000000"/>
          <w:szCs w:val="42"/>
          <w:lang w:val="en-US"/>
        </w:rPr>
        <w:t>min</w:t>
      </w:r>
      <w:r w:rsidRPr="00F849A2">
        <w:rPr>
          <w:rFonts w:eastAsia="Times New Roman" w:cs="Arial"/>
          <w:bCs/>
          <w:color w:val="000000"/>
          <w:szCs w:val="42"/>
          <w:lang w:val="ru-RU"/>
        </w:rPr>
        <w:t xml:space="preserve">), </w:t>
      </w:r>
      <w:r w:rsidRPr="00F849A2">
        <w:rPr>
          <w:rFonts w:eastAsia="Times New Roman" w:cs="Arial"/>
          <w:bCs/>
          <w:color w:val="000000"/>
          <w:szCs w:val="42"/>
          <w:lang w:eastAsia="bg-BG"/>
        </w:rPr>
        <w:t>тиотропиум бромид може да се прилага, само ако очакваната полза надвишава потенциалния риск. Няма дългосрочни данни за приложението на продукта при пациенти с тежко бъбречно увреждане (вж. точка 5.2).</w:t>
      </w:r>
    </w:p>
    <w:p w14:paraId="4DA31159" w14:textId="77777777" w:rsidR="00F849A2" w:rsidRPr="00F849A2" w:rsidRDefault="00F849A2" w:rsidP="00F849A2">
      <w:pPr>
        <w:spacing w:line="240" w:lineRule="auto"/>
        <w:rPr>
          <w:rFonts w:eastAsia="Times New Roman" w:cs="Arial"/>
          <w:bCs/>
          <w:color w:val="000000"/>
          <w:szCs w:val="42"/>
          <w:lang w:eastAsia="bg-BG"/>
        </w:rPr>
      </w:pPr>
    </w:p>
    <w:p w14:paraId="3963FA3D" w14:textId="6ABC1CA0"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Пациентите трябва да бъдат предупредени да внимават спреят да не попадне в очите. Трябва да бъдат предупредени също така, че това може да доведе до влошаване или обостряне на закритоъгълна глаукома, болка или дискомфорт от страна на очите, временно замъгляване на зрението, цветни кръгове или петна, свързани със зачервяване на очите поради конюнктивална конгестия и корнеален оток. Пациентите трябва незабавно да прекратят употребата на тиотропиум бромид и да потърсят съвет от специалист, ако се прояви каквато и да е комбинация от тези очни симптоми.</w:t>
      </w:r>
    </w:p>
    <w:p w14:paraId="5DE1D771" w14:textId="77777777" w:rsidR="00F849A2" w:rsidRPr="00F849A2" w:rsidRDefault="00F849A2" w:rsidP="00F849A2">
      <w:pPr>
        <w:spacing w:line="240" w:lineRule="auto"/>
        <w:rPr>
          <w:rFonts w:eastAsia="Times New Roman" w:cs="Arial"/>
          <w:bCs/>
          <w:color w:val="000000"/>
          <w:szCs w:val="42"/>
          <w:lang w:eastAsia="bg-BG"/>
        </w:rPr>
      </w:pPr>
    </w:p>
    <w:p w14:paraId="4B83C655" w14:textId="03DD5A67"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По време на антихолинергичната терапия се наблюдава сухота в устата, която при</w:t>
      </w:r>
      <w:r w:rsidRPr="00F849A2">
        <w:rPr>
          <w:rFonts w:eastAsia="Times New Roman" w:cs="Arial"/>
          <w:bCs/>
          <w:color w:val="000000"/>
          <w:szCs w:val="42"/>
          <w:lang w:val="ru-RU"/>
        </w:rPr>
        <w:t xml:space="preserve"> </w:t>
      </w:r>
      <w:r w:rsidRPr="00F849A2">
        <w:rPr>
          <w:rFonts w:eastAsia="Times New Roman" w:cs="Arial"/>
          <w:bCs/>
          <w:color w:val="000000"/>
          <w:szCs w:val="42"/>
          <w:lang w:eastAsia="bg-BG"/>
        </w:rPr>
        <w:t>продължителен период може да е асоциирана със зъбни кариеси.</w:t>
      </w:r>
    </w:p>
    <w:p w14:paraId="3B86D5F5" w14:textId="77777777" w:rsidR="00F849A2" w:rsidRPr="00F849A2" w:rsidRDefault="00F849A2" w:rsidP="00F849A2">
      <w:pPr>
        <w:rPr>
          <w:rFonts w:eastAsia="Times New Roman" w:cs="Arial"/>
          <w:bCs/>
          <w:i/>
          <w:iCs/>
          <w:color w:val="000000"/>
          <w:szCs w:val="42"/>
          <w:lang w:eastAsia="bg-BG"/>
        </w:rPr>
      </w:pPr>
    </w:p>
    <w:p w14:paraId="3E01C7CD" w14:textId="3ECAF2F8" w:rsidR="00F849A2" w:rsidRPr="00F849A2" w:rsidRDefault="00F849A2" w:rsidP="00F849A2">
      <w:pPr>
        <w:rPr>
          <w:rFonts w:eastAsia="Times New Roman" w:cs="Arial"/>
          <w:bCs/>
          <w:color w:val="000000"/>
          <w:szCs w:val="42"/>
          <w:lang w:eastAsia="bg-BG"/>
        </w:rPr>
      </w:pPr>
      <w:r w:rsidRPr="00F849A2">
        <w:rPr>
          <w:rFonts w:eastAsia="Times New Roman" w:cs="Arial"/>
          <w:bCs/>
          <w:i/>
          <w:iCs/>
          <w:color w:val="000000"/>
          <w:szCs w:val="42"/>
          <w:lang w:eastAsia="bg-BG"/>
        </w:rPr>
        <w:t>Тиотропиум</w:t>
      </w:r>
      <w:r w:rsidRPr="00F849A2">
        <w:rPr>
          <w:rFonts w:eastAsia="Times New Roman" w:cs="Arial"/>
          <w:bCs/>
          <w:color w:val="000000"/>
          <w:szCs w:val="42"/>
          <w:lang w:eastAsia="bg-BG"/>
        </w:rPr>
        <w:t xml:space="preserve"> бромид не трябва да се прилага повече от веднъж дневно (вж. точка 4.9)</w:t>
      </w:r>
    </w:p>
    <w:p w14:paraId="0AD7DB34" w14:textId="16011BD5" w:rsidR="00F849A2" w:rsidRPr="00F849A2" w:rsidRDefault="00F849A2" w:rsidP="00F849A2">
      <w:pPr>
        <w:rPr>
          <w:rFonts w:eastAsia="Times New Roman" w:cs="Arial"/>
          <w:bCs/>
          <w:color w:val="000000"/>
          <w:szCs w:val="42"/>
          <w:lang w:eastAsia="bg-BG"/>
        </w:rPr>
      </w:pPr>
    </w:p>
    <w:p w14:paraId="44372B7C" w14:textId="77777777" w:rsidR="00F849A2" w:rsidRPr="00F849A2" w:rsidRDefault="00F849A2" w:rsidP="00F849A2">
      <w:pPr>
        <w:rPr>
          <w:rFonts w:cs="Arial"/>
          <w:sz w:val="24"/>
          <w:szCs w:val="24"/>
        </w:rPr>
      </w:pPr>
      <w:r w:rsidRPr="00F849A2">
        <w:rPr>
          <w:rFonts w:cs="Arial"/>
          <w:lang w:eastAsia="bg-BG"/>
        </w:rPr>
        <w:t>Спирива Респимат не се препоръчва при кистозна фиброза. Ако се използва при пациенти с кистозна фиброза, Спирива Респимат може да повиши признаците и симптомите на кистозната фиброза (напр. сериозни нежелани реакции, белодробни обостряния, инфекции на дихателните пътища).</w:t>
      </w:r>
    </w:p>
    <w:p w14:paraId="439567DC" w14:textId="77777777" w:rsidR="00F849A2" w:rsidRPr="00F849A2" w:rsidRDefault="00F849A2" w:rsidP="00F849A2">
      <w:pPr>
        <w:rPr>
          <w:sz w:val="10"/>
        </w:rPr>
      </w:pPr>
    </w:p>
    <w:p w14:paraId="1244F76A" w14:textId="4E521DAC" w:rsidR="00395555" w:rsidRDefault="002C50EE" w:rsidP="008A6AF2">
      <w:pPr>
        <w:pStyle w:val="Heading2"/>
      </w:pPr>
      <w:r>
        <w:t>4.5. Взаимодействие с други лекарствени продукти и други форми на взаимодействие</w:t>
      </w:r>
    </w:p>
    <w:p w14:paraId="3F4940C7" w14:textId="7846E9CE" w:rsidR="00F849A2" w:rsidRDefault="00F849A2" w:rsidP="00F849A2"/>
    <w:p w14:paraId="4C503180" w14:textId="77777777" w:rsidR="00F849A2" w:rsidRPr="00F849A2" w:rsidRDefault="00F849A2" w:rsidP="00F849A2">
      <w:pPr>
        <w:rPr>
          <w:sz w:val="24"/>
          <w:szCs w:val="24"/>
        </w:rPr>
      </w:pPr>
      <w:r w:rsidRPr="00F849A2">
        <w:rPr>
          <w:lang w:eastAsia="bg-BG"/>
        </w:rPr>
        <w:t xml:space="preserve">Въпреки, че не са провеждани клинични изпитвания за взаимодействия, тиотропиум бромид е прилаган едновременно с други лекарствени продукти, без да има клинични доказателства за лекарствени взаимодействия. В тази група влизат симпатикомиметични бронходилататори, мегилксантини, стероиди за перорално и инхалаторно приложение, антихистамини, муколитици, левкотриенови модификатори, кромони, анти </w:t>
      </w:r>
      <w:proofErr w:type="spellStart"/>
      <w:r w:rsidRPr="00F849A2">
        <w:rPr>
          <w:lang w:val="en-US"/>
        </w:rPr>
        <w:t>IgE</w:t>
      </w:r>
      <w:proofErr w:type="spellEnd"/>
      <w:r w:rsidRPr="00F849A2">
        <w:rPr>
          <w:lang w:val="ru-RU"/>
        </w:rPr>
        <w:t xml:space="preserve"> </w:t>
      </w:r>
      <w:r w:rsidRPr="00F849A2">
        <w:rPr>
          <w:lang w:eastAsia="bg-BG"/>
        </w:rPr>
        <w:t>терапия, често прилагани при лечението на ХОББ и астма.</w:t>
      </w:r>
    </w:p>
    <w:p w14:paraId="1D3C82E4" w14:textId="77777777" w:rsidR="00F849A2" w:rsidRDefault="00F849A2" w:rsidP="00F849A2">
      <w:pPr>
        <w:rPr>
          <w:lang w:eastAsia="bg-BG"/>
        </w:rPr>
      </w:pPr>
    </w:p>
    <w:p w14:paraId="3B87E047" w14:textId="272A4F9A" w:rsidR="00F849A2" w:rsidRPr="00F849A2" w:rsidRDefault="00F849A2" w:rsidP="00F849A2">
      <w:pPr>
        <w:rPr>
          <w:sz w:val="24"/>
          <w:szCs w:val="24"/>
        </w:rPr>
      </w:pPr>
      <w:r w:rsidRPr="00F849A2">
        <w:rPr>
          <w:lang w:eastAsia="bg-BG"/>
        </w:rPr>
        <w:t>Не е установена промяна на експозицията на тиотропиум при употреба на дългодействащи бета 2- агонисти (ДДБА) или инхалаторни кортикостероиди (ИКС).</w:t>
      </w:r>
    </w:p>
    <w:p w14:paraId="6ABB1BE7" w14:textId="77777777" w:rsidR="00F849A2" w:rsidRDefault="00F849A2" w:rsidP="00F849A2">
      <w:pPr>
        <w:rPr>
          <w:lang w:eastAsia="bg-BG"/>
        </w:rPr>
      </w:pPr>
    </w:p>
    <w:p w14:paraId="53848A08" w14:textId="13B366A0" w:rsidR="00F849A2" w:rsidRDefault="00F849A2" w:rsidP="00F849A2">
      <w:pPr>
        <w:rPr>
          <w:lang w:eastAsia="bg-BG"/>
        </w:rPr>
      </w:pPr>
      <w:r w:rsidRPr="00F849A2">
        <w:rPr>
          <w:lang w:eastAsia="bg-BG"/>
        </w:rPr>
        <w:t>Не се препоръчва едновременното приложение на тиотропиум бромид с други антихолинергични лекарствени средства, тъй като до този момент лекарственото взаимодействие не е проучено.</w:t>
      </w:r>
    </w:p>
    <w:p w14:paraId="6474C590" w14:textId="77777777" w:rsidR="00F849A2" w:rsidRPr="00F849A2" w:rsidRDefault="00F849A2" w:rsidP="00F849A2"/>
    <w:p w14:paraId="6EADE4D6" w14:textId="3576244B" w:rsidR="00395555" w:rsidRDefault="002C50EE" w:rsidP="008A6AF2">
      <w:pPr>
        <w:pStyle w:val="Heading2"/>
      </w:pPr>
      <w:r>
        <w:t>4.6. Фертилитет, бременност и кърмене</w:t>
      </w:r>
    </w:p>
    <w:p w14:paraId="105B2552" w14:textId="6ECC236A" w:rsidR="00F849A2" w:rsidRPr="00F849A2" w:rsidRDefault="00F849A2" w:rsidP="00F849A2">
      <w:pPr>
        <w:rPr>
          <w:rFonts w:cs="Arial"/>
          <w:sz w:val="10"/>
        </w:rPr>
      </w:pPr>
    </w:p>
    <w:p w14:paraId="5286ED90" w14:textId="77777777" w:rsidR="00F849A2" w:rsidRPr="00F849A2" w:rsidRDefault="00F849A2" w:rsidP="00F849A2">
      <w:pPr>
        <w:pStyle w:val="Heading3"/>
        <w:rPr>
          <w:rFonts w:eastAsia="Times New Roman"/>
          <w:sz w:val="12"/>
          <w:u w:val="single"/>
        </w:rPr>
      </w:pPr>
      <w:r w:rsidRPr="00F849A2">
        <w:rPr>
          <w:rFonts w:eastAsia="Times New Roman"/>
          <w:u w:val="single"/>
          <w:lang w:eastAsia="bg-BG"/>
        </w:rPr>
        <w:t>Бременност</w:t>
      </w:r>
    </w:p>
    <w:p w14:paraId="1D54844F" w14:textId="77777777"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Има много ограничени данни за употребата на тиотропиум при бременни жени. Проучванията при животни не показват преки или косвени негативни ефекти по отношение на репродуктивна токсичност при дози от клинично значение (вж. точка 5.3). Като предпазна мярка се препоръчва употребата на Спирива Респимат да се избягва по време на бременност.</w:t>
      </w:r>
    </w:p>
    <w:p w14:paraId="57433E5F" w14:textId="77777777" w:rsidR="00F849A2" w:rsidRPr="00F849A2" w:rsidRDefault="00F849A2" w:rsidP="00F849A2">
      <w:pPr>
        <w:spacing w:line="240" w:lineRule="auto"/>
        <w:rPr>
          <w:rFonts w:eastAsia="Times New Roman" w:cs="Arial"/>
          <w:bCs/>
          <w:color w:val="000000"/>
          <w:szCs w:val="42"/>
          <w:u w:val="single"/>
          <w:lang w:eastAsia="bg-BG"/>
        </w:rPr>
      </w:pPr>
    </w:p>
    <w:p w14:paraId="4E6479C1" w14:textId="0C5941F0" w:rsidR="00F849A2" w:rsidRPr="00F849A2" w:rsidRDefault="00F849A2" w:rsidP="00F849A2">
      <w:pPr>
        <w:pStyle w:val="Heading3"/>
        <w:rPr>
          <w:rFonts w:eastAsia="Times New Roman"/>
          <w:sz w:val="12"/>
          <w:u w:val="single"/>
        </w:rPr>
      </w:pPr>
      <w:r w:rsidRPr="00F849A2">
        <w:rPr>
          <w:rFonts w:eastAsia="Times New Roman"/>
          <w:u w:val="single"/>
          <w:lang w:eastAsia="bg-BG"/>
        </w:rPr>
        <w:t>Кърмене</w:t>
      </w:r>
    </w:p>
    <w:p w14:paraId="7F9FBDA5" w14:textId="77777777"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Не е известно дали тиотропиум бромид се екскретира в майчиното мляко при хора. Въпреки проведените клинични проучвания при гризачи, които показват, че малко количество тиотропиум бромцд се екскретира в кърмата, употребата на Спирива Респимат не се препоръчва в периода на кърмене. Тиотропиум бромцд е вещество с продължително действие. Когато се взима решение за продължаване/прекратяване на кърменето или продължаване/прекратяване на лечението със Спирива Респимат, трябва да се вземе под внимание очакваната за детето полза от кърменето и очакваната за майката полза от лечението със Спирива Респимат.</w:t>
      </w:r>
    </w:p>
    <w:p w14:paraId="199F38F8" w14:textId="77777777" w:rsidR="00F849A2" w:rsidRPr="00F849A2" w:rsidRDefault="00F849A2" w:rsidP="00F849A2">
      <w:pPr>
        <w:spacing w:line="240" w:lineRule="auto"/>
        <w:rPr>
          <w:rFonts w:eastAsia="Times New Roman" w:cs="Arial"/>
          <w:bCs/>
          <w:color w:val="000000"/>
          <w:szCs w:val="42"/>
          <w:u w:val="single"/>
          <w:lang w:eastAsia="bg-BG"/>
        </w:rPr>
      </w:pPr>
    </w:p>
    <w:p w14:paraId="2E3B6FA8" w14:textId="1C378969" w:rsidR="00F849A2" w:rsidRPr="00F849A2" w:rsidRDefault="00F849A2" w:rsidP="00F849A2">
      <w:pPr>
        <w:pStyle w:val="Heading3"/>
        <w:rPr>
          <w:rFonts w:eastAsia="Times New Roman"/>
          <w:sz w:val="12"/>
          <w:u w:val="single"/>
        </w:rPr>
      </w:pPr>
      <w:r w:rsidRPr="00F849A2">
        <w:rPr>
          <w:rFonts w:eastAsia="Times New Roman"/>
          <w:u w:val="single"/>
          <w:lang w:eastAsia="bg-BG"/>
        </w:rPr>
        <w:t>Фертилитет</w:t>
      </w:r>
    </w:p>
    <w:p w14:paraId="28778E3F" w14:textId="49BCA677" w:rsidR="00F849A2" w:rsidRPr="00F849A2" w:rsidRDefault="00F849A2" w:rsidP="00F849A2">
      <w:pPr>
        <w:rPr>
          <w:rFonts w:eastAsia="Times New Roman" w:cs="Arial"/>
          <w:bCs/>
          <w:color w:val="000000"/>
          <w:szCs w:val="42"/>
          <w:lang w:eastAsia="bg-BG"/>
        </w:rPr>
      </w:pPr>
      <w:r w:rsidRPr="00F849A2">
        <w:rPr>
          <w:rFonts w:eastAsia="Times New Roman" w:cs="Arial"/>
          <w:bCs/>
          <w:color w:val="000000"/>
          <w:szCs w:val="42"/>
          <w:lang w:eastAsia="bg-BG"/>
        </w:rPr>
        <w:t>Няма налични клинични данни за тиотропиум. Предклинично проучване, проведено с тиотропиум не е показало никакви нежелани реакции по отношение на фергилитета (вж. точка 5.3).</w:t>
      </w:r>
    </w:p>
    <w:p w14:paraId="654B08E8" w14:textId="77777777" w:rsidR="00F849A2" w:rsidRPr="00F849A2" w:rsidRDefault="00F849A2" w:rsidP="00F849A2"/>
    <w:p w14:paraId="5766770B" w14:textId="790081A0" w:rsidR="00395555" w:rsidRDefault="002C50EE" w:rsidP="008A6AF2">
      <w:pPr>
        <w:pStyle w:val="Heading2"/>
      </w:pPr>
      <w:r>
        <w:t>4.7. Ефекти върху способността за шофиране и работа с машини</w:t>
      </w:r>
    </w:p>
    <w:p w14:paraId="2379CB57" w14:textId="127A97F5" w:rsidR="00F849A2" w:rsidRDefault="00F849A2" w:rsidP="00F849A2"/>
    <w:p w14:paraId="590626A8" w14:textId="77777777" w:rsidR="00F849A2" w:rsidRPr="00F849A2" w:rsidRDefault="00F849A2" w:rsidP="00F849A2">
      <w:pPr>
        <w:rPr>
          <w:sz w:val="24"/>
          <w:szCs w:val="24"/>
        </w:rPr>
      </w:pPr>
      <w:r w:rsidRPr="00F849A2">
        <w:rPr>
          <w:lang w:eastAsia="bg-BG"/>
        </w:rPr>
        <w:t xml:space="preserve">Не са провеждани проучвания относно ефектите върху способността за шофиране </w:t>
      </w:r>
      <w:r w:rsidRPr="00F849A2">
        <w:rPr>
          <w:i/>
          <w:iCs/>
          <w:lang w:eastAsia="bg-BG"/>
        </w:rPr>
        <w:t>и</w:t>
      </w:r>
      <w:r w:rsidRPr="00F849A2">
        <w:rPr>
          <w:lang w:eastAsia="bg-BG"/>
        </w:rPr>
        <w:t xml:space="preserve"> работа с машини. Появата на замаяност, замъглено виждане или главоболие може да окаже влияние върху способността за шофиране и работа с машини.</w:t>
      </w:r>
    </w:p>
    <w:p w14:paraId="04245332" w14:textId="77777777" w:rsidR="00F849A2" w:rsidRPr="00F849A2" w:rsidRDefault="00F849A2" w:rsidP="00F849A2"/>
    <w:p w14:paraId="4FE16E21" w14:textId="5C05D7DE" w:rsidR="00395555" w:rsidRDefault="002C50EE" w:rsidP="008A6AF2">
      <w:pPr>
        <w:pStyle w:val="Heading2"/>
      </w:pPr>
      <w:r>
        <w:t>4.8. Нежелани лекарствени реакции</w:t>
      </w:r>
    </w:p>
    <w:p w14:paraId="67373B82" w14:textId="4CF2DE97" w:rsidR="00F849A2" w:rsidRDefault="00F849A2" w:rsidP="00F849A2"/>
    <w:p w14:paraId="3AB4C0A0" w14:textId="77777777"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u w:val="single"/>
          <w:lang w:eastAsia="bg-BG"/>
        </w:rPr>
        <w:t>Обобщение на профила на безопасност</w:t>
      </w:r>
    </w:p>
    <w:p w14:paraId="434E8727" w14:textId="77777777"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Много от изброените нежелани лекарствени реакции могат да се свържат с антихолинергичните свойства на тиотропиум бромид.</w:t>
      </w:r>
    </w:p>
    <w:p w14:paraId="65F3A040" w14:textId="77777777" w:rsidR="00F849A2" w:rsidRPr="00F849A2" w:rsidRDefault="00F849A2" w:rsidP="00F849A2">
      <w:pPr>
        <w:spacing w:line="240" w:lineRule="auto"/>
        <w:rPr>
          <w:rFonts w:eastAsia="Times New Roman" w:cs="Arial"/>
          <w:bCs/>
          <w:color w:val="000000"/>
          <w:szCs w:val="42"/>
          <w:u w:val="single"/>
          <w:lang w:eastAsia="bg-BG"/>
        </w:rPr>
      </w:pPr>
    </w:p>
    <w:p w14:paraId="36A3B285" w14:textId="5EEA84C0"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u w:val="single"/>
          <w:lang w:eastAsia="bg-BG"/>
        </w:rPr>
        <w:t>Обобщение на нежеланите лекарствени реакции в табличен вид</w:t>
      </w:r>
    </w:p>
    <w:p w14:paraId="38A825AA" w14:textId="77777777" w:rsidR="00F849A2" w:rsidRPr="00F849A2" w:rsidRDefault="00F849A2" w:rsidP="00F849A2">
      <w:pPr>
        <w:rPr>
          <w:rFonts w:eastAsia="Times New Roman" w:cs="Arial"/>
          <w:sz w:val="12"/>
          <w:szCs w:val="24"/>
        </w:rPr>
      </w:pPr>
      <w:r w:rsidRPr="00F849A2">
        <w:rPr>
          <w:rFonts w:eastAsia="Times New Roman" w:cs="Arial"/>
          <w:bCs/>
          <w:color w:val="000000"/>
          <w:szCs w:val="42"/>
          <w:lang w:eastAsia="bg-BG"/>
        </w:rPr>
        <w:t>Честотата, определена за нежеланите лекарствени реакции, изброени по-долу се базира на необработени степени на проявление на нежелани лекарствени реакции (т.е. реакции, които се приписват на тиотропиум бромид), наблюдавани в групата, лекувана с тиотропиум в 7 плацебо-контролирани клинични проучвания при ХОББ (3 282 пациенти) и 12 плацебо-контролирани клинични проучвания при възрастни и педиатрични пациенти с астма (1 930 пациенти) с период на лечение, вариращ от четири седмици до една година.</w:t>
      </w:r>
    </w:p>
    <w:p w14:paraId="7E0BA3CB" w14:textId="77777777" w:rsidR="00F849A2" w:rsidRDefault="00F849A2" w:rsidP="00F849A2">
      <w:pPr>
        <w:spacing w:line="240" w:lineRule="auto"/>
        <w:rPr>
          <w:rFonts w:eastAsia="Times New Roman" w:cs="Arial"/>
          <w:bCs/>
          <w:color w:val="000000"/>
          <w:szCs w:val="42"/>
          <w:lang w:eastAsia="bg-BG"/>
        </w:rPr>
      </w:pPr>
    </w:p>
    <w:p w14:paraId="25B9CD4A" w14:textId="6398F569" w:rsidR="00F849A2" w:rsidRPr="00F849A2" w:rsidRDefault="00F849A2" w:rsidP="00F849A2">
      <w:pPr>
        <w:spacing w:line="240" w:lineRule="auto"/>
        <w:rPr>
          <w:rFonts w:eastAsia="Times New Roman" w:cs="Arial"/>
          <w:sz w:val="12"/>
          <w:szCs w:val="24"/>
        </w:rPr>
      </w:pPr>
      <w:r w:rsidRPr="00F849A2">
        <w:rPr>
          <w:rFonts w:eastAsia="Times New Roman" w:cs="Arial"/>
          <w:bCs/>
          <w:color w:val="000000"/>
          <w:szCs w:val="42"/>
          <w:lang w:eastAsia="bg-BG"/>
        </w:rPr>
        <w:t>Честотните категории са определени по следната конвенция:</w:t>
      </w:r>
    </w:p>
    <w:p w14:paraId="64056440" w14:textId="77777777" w:rsidR="00F849A2" w:rsidRPr="00F849A2" w:rsidRDefault="00F849A2" w:rsidP="00F849A2">
      <w:pPr>
        <w:spacing w:line="240" w:lineRule="auto"/>
        <w:rPr>
          <w:rFonts w:eastAsia="Times New Roman" w:cs="Arial"/>
          <w:sz w:val="12"/>
          <w:szCs w:val="24"/>
        </w:rPr>
      </w:pPr>
      <w:r w:rsidRPr="00F849A2">
        <w:rPr>
          <w:rFonts w:eastAsia="Times New Roman" w:cs="Arial"/>
          <w:bCs/>
          <w:i/>
          <w:iCs/>
          <w:color w:val="000000"/>
          <w:szCs w:val="42"/>
          <w:lang w:eastAsia="bg-BG"/>
        </w:rPr>
        <w:t>много чести (≥1/10); чести (≥1/100,&lt;1/10); нечести (≥1/1000, &lt;1/100); редки (≥1/10000, &lt;1/1000); много редки (&lt;1/10 000); с неизвестна честота (от наличните данни не може да бъде направена оценка).</w:t>
      </w:r>
    </w:p>
    <w:p w14:paraId="41045981" w14:textId="77777777" w:rsidR="00F849A2" w:rsidRPr="00F849A2" w:rsidRDefault="00F849A2" w:rsidP="00F849A2">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3152"/>
        <w:gridCol w:w="3099"/>
        <w:gridCol w:w="3099"/>
      </w:tblGrid>
      <w:tr w:rsidR="00F849A2" w14:paraId="5C66830D" w14:textId="77777777" w:rsidTr="002D6021">
        <w:tc>
          <w:tcPr>
            <w:tcW w:w="3192" w:type="dxa"/>
          </w:tcPr>
          <w:p w14:paraId="4A6723CB" w14:textId="582A1865" w:rsidR="00F849A2" w:rsidRPr="002D6021" w:rsidRDefault="00F849A2" w:rsidP="00F849A2">
            <w:pPr>
              <w:rPr>
                <w:rFonts w:cs="Arial"/>
                <w:b/>
              </w:rPr>
            </w:pPr>
            <w:r w:rsidRPr="002D6021">
              <w:rPr>
                <w:rFonts w:cs="Arial"/>
                <w:b/>
                <w:bCs/>
              </w:rPr>
              <w:t xml:space="preserve">Системо-органна класификация съгласно </w:t>
            </w:r>
            <w:proofErr w:type="spellStart"/>
            <w:r w:rsidRPr="002D6021">
              <w:rPr>
                <w:rFonts w:cs="Arial"/>
                <w:b/>
                <w:bCs/>
                <w:lang w:val="en-US"/>
              </w:rPr>
              <w:t>MedDRA</w:t>
            </w:r>
            <w:proofErr w:type="spellEnd"/>
          </w:p>
        </w:tc>
        <w:tc>
          <w:tcPr>
            <w:tcW w:w="3192" w:type="dxa"/>
            <w:vAlign w:val="bottom"/>
          </w:tcPr>
          <w:p w14:paraId="71D4FAEF" w14:textId="61F6C2FD" w:rsidR="00F849A2" w:rsidRPr="002D6021" w:rsidRDefault="00F849A2" w:rsidP="00F849A2">
            <w:pPr>
              <w:rPr>
                <w:rFonts w:cs="Arial"/>
                <w:b/>
              </w:rPr>
            </w:pPr>
            <w:r w:rsidRPr="002D6021">
              <w:rPr>
                <w:rFonts w:cs="Arial"/>
                <w:b/>
                <w:bCs/>
              </w:rPr>
              <w:t>Честота ХОББ</w:t>
            </w:r>
          </w:p>
        </w:tc>
        <w:tc>
          <w:tcPr>
            <w:tcW w:w="3192" w:type="dxa"/>
            <w:vAlign w:val="bottom"/>
          </w:tcPr>
          <w:p w14:paraId="12AB9B03" w14:textId="52A35E1E" w:rsidR="00F849A2" w:rsidRPr="002D6021" w:rsidRDefault="00F849A2" w:rsidP="00F849A2">
            <w:pPr>
              <w:rPr>
                <w:rFonts w:cs="Arial"/>
                <w:b/>
              </w:rPr>
            </w:pPr>
            <w:r w:rsidRPr="002D6021">
              <w:rPr>
                <w:rFonts w:cs="Arial"/>
                <w:b/>
                <w:bCs/>
              </w:rPr>
              <w:t>Честота Астма</w:t>
            </w:r>
          </w:p>
        </w:tc>
      </w:tr>
      <w:tr w:rsidR="00F849A2" w14:paraId="04FF0F80" w14:textId="77777777" w:rsidTr="00F849A2">
        <w:tc>
          <w:tcPr>
            <w:tcW w:w="3192" w:type="dxa"/>
          </w:tcPr>
          <w:p w14:paraId="63BE7611" w14:textId="77777777" w:rsidR="00F849A2" w:rsidRPr="00F849A2" w:rsidRDefault="00F849A2" w:rsidP="00F849A2">
            <w:pPr>
              <w:rPr>
                <w:rFonts w:cs="Arial"/>
              </w:rPr>
            </w:pPr>
          </w:p>
        </w:tc>
        <w:tc>
          <w:tcPr>
            <w:tcW w:w="3192" w:type="dxa"/>
          </w:tcPr>
          <w:p w14:paraId="1CC45D0B" w14:textId="77777777" w:rsidR="00F849A2" w:rsidRPr="00F849A2" w:rsidRDefault="00F849A2" w:rsidP="00F849A2">
            <w:pPr>
              <w:rPr>
                <w:rFonts w:cs="Arial"/>
              </w:rPr>
            </w:pPr>
          </w:p>
        </w:tc>
        <w:tc>
          <w:tcPr>
            <w:tcW w:w="3192" w:type="dxa"/>
          </w:tcPr>
          <w:p w14:paraId="343233EE" w14:textId="77777777" w:rsidR="00F849A2" w:rsidRPr="00F849A2" w:rsidRDefault="00F849A2" w:rsidP="00F849A2">
            <w:pPr>
              <w:rPr>
                <w:rFonts w:cs="Arial"/>
              </w:rPr>
            </w:pPr>
          </w:p>
        </w:tc>
      </w:tr>
      <w:tr w:rsidR="00F849A2" w14:paraId="0D67A03A" w14:textId="77777777" w:rsidTr="002D6021">
        <w:tc>
          <w:tcPr>
            <w:tcW w:w="9576" w:type="dxa"/>
            <w:gridSpan w:val="3"/>
            <w:vAlign w:val="bottom"/>
          </w:tcPr>
          <w:p w14:paraId="55252775" w14:textId="547CA01A" w:rsidR="00F849A2" w:rsidRPr="00F849A2" w:rsidRDefault="00F849A2" w:rsidP="00F849A2">
            <w:pPr>
              <w:rPr>
                <w:rFonts w:cs="Arial"/>
                <w:b/>
                <w:u w:val="single"/>
              </w:rPr>
            </w:pPr>
            <w:r w:rsidRPr="00F849A2">
              <w:rPr>
                <w:rFonts w:cs="Arial"/>
                <w:b/>
                <w:bCs/>
                <w:u w:val="single"/>
              </w:rPr>
              <w:t>Нарушения на метаболизма ихраненето</w:t>
            </w:r>
          </w:p>
        </w:tc>
      </w:tr>
      <w:tr w:rsidR="00F849A2" w14:paraId="59111C87" w14:textId="77777777" w:rsidTr="002D6021">
        <w:tc>
          <w:tcPr>
            <w:tcW w:w="3192" w:type="dxa"/>
          </w:tcPr>
          <w:p w14:paraId="5B7A9A0D" w14:textId="25A97964" w:rsidR="00F849A2" w:rsidRPr="00F849A2" w:rsidRDefault="00F849A2" w:rsidP="00F849A2">
            <w:pPr>
              <w:rPr>
                <w:rFonts w:cs="Arial"/>
              </w:rPr>
            </w:pPr>
            <w:r w:rsidRPr="00F849A2">
              <w:rPr>
                <w:rFonts w:cs="Arial"/>
                <w:bCs/>
              </w:rPr>
              <w:t>Дехидратация</w:t>
            </w:r>
          </w:p>
        </w:tc>
        <w:tc>
          <w:tcPr>
            <w:tcW w:w="3192" w:type="dxa"/>
            <w:vAlign w:val="bottom"/>
          </w:tcPr>
          <w:p w14:paraId="0974BB6B" w14:textId="71A2C7F1" w:rsidR="00F849A2" w:rsidRPr="00F849A2" w:rsidRDefault="00F849A2" w:rsidP="00F849A2">
            <w:pPr>
              <w:rPr>
                <w:rFonts w:cs="Arial"/>
              </w:rPr>
            </w:pPr>
            <w:r w:rsidRPr="00F849A2">
              <w:rPr>
                <w:rFonts w:cs="Arial"/>
                <w:bCs/>
              </w:rPr>
              <w:t>С неизвестна честота</w:t>
            </w:r>
          </w:p>
        </w:tc>
        <w:tc>
          <w:tcPr>
            <w:tcW w:w="3192" w:type="dxa"/>
            <w:vAlign w:val="bottom"/>
          </w:tcPr>
          <w:p w14:paraId="5E46B16A" w14:textId="0CDD67DB" w:rsidR="00F849A2" w:rsidRPr="00F849A2" w:rsidRDefault="00F849A2" w:rsidP="00F849A2">
            <w:pPr>
              <w:rPr>
                <w:rFonts w:cs="Arial"/>
              </w:rPr>
            </w:pPr>
            <w:r w:rsidRPr="00F849A2">
              <w:rPr>
                <w:rFonts w:cs="Arial"/>
                <w:bCs/>
              </w:rPr>
              <w:t>С неизвестна честота</w:t>
            </w:r>
          </w:p>
        </w:tc>
      </w:tr>
      <w:tr w:rsidR="00F849A2" w14:paraId="0277294A" w14:textId="77777777" w:rsidTr="00F849A2">
        <w:tc>
          <w:tcPr>
            <w:tcW w:w="3192" w:type="dxa"/>
          </w:tcPr>
          <w:p w14:paraId="00804BE7" w14:textId="77777777" w:rsidR="00F849A2" w:rsidRPr="00F849A2" w:rsidRDefault="00F849A2" w:rsidP="00F849A2">
            <w:pPr>
              <w:rPr>
                <w:rFonts w:cs="Arial"/>
              </w:rPr>
            </w:pPr>
          </w:p>
        </w:tc>
        <w:tc>
          <w:tcPr>
            <w:tcW w:w="3192" w:type="dxa"/>
          </w:tcPr>
          <w:p w14:paraId="54EC7CC3" w14:textId="77777777" w:rsidR="00F849A2" w:rsidRPr="00F849A2" w:rsidRDefault="00F849A2" w:rsidP="00F849A2">
            <w:pPr>
              <w:rPr>
                <w:rFonts w:cs="Arial"/>
              </w:rPr>
            </w:pPr>
          </w:p>
        </w:tc>
        <w:tc>
          <w:tcPr>
            <w:tcW w:w="3192" w:type="dxa"/>
          </w:tcPr>
          <w:p w14:paraId="0F7B2640" w14:textId="77777777" w:rsidR="00F849A2" w:rsidRPr="00F849A2" w:rsidRDefault="00F849A2" w:rsidP="00F849A2">
            <w:pPr>
              <w:rPr>
                <w:rFonts w:cs="Arial"/>
              </w:rPr>
            </w:pPr>
          </w:p>
        </w:tc>
      </w:tr>
      <w:tr w:rsidR="00F849A2" w14:paraId="2F0EB965" w14:textId="77777777" w:rsidTr="002D6021">
        <w:tc>
          <w:tcPr>
            <w:tcW w:w="9576" w:type="dxa"/>
            <w:gridSpan w:val="3"/>
            <w:vAlign w:val="bottom"/>
          </w:tcPr>
          <w:p w14:paraId="60015B0C" w14:textId="7DA62FCB" w:rsidR="00F849A2" w:rsidRPr="00F849A2" w:rsidRDefault="00F849A2" w:rsidP="00F849A2">
            <w:pPr>
              <w:rPr>
                <w:rFonts w:cs="Arial"/>
                <w:b/>
                <w:u w:val="single"/>
              </w:rPr>
            </w:pPr>
            <w:r w:rsidRPr="00F849A2">
              <w:rPr>
                <w:rFonts w:cs="Arial"/>
                <w:b/>
                <w:bCs/>
                <w:u w:val="single"/>
              </w:rPr>
              <w:t>Нарушения на нервната система</w:t>
            </w:r>
          </w:p>
        </w:tc>
      </w:tr>
      <w:tr w:rsidR="00F849A2" w14:paraId="714CDEFF" w14:textId="77777777" w:rsidTr="002D6021">
        <w:tc>
          <w:tcPr>
            <w:tcW w:w="3192" w:type="dxa"/>
            <w:vAlign w:val="bottom"/>
          </w:tcPr>
          <w:p w14:paraId="62EB2FF5" w14:textId="27B73298" w:rsidR="00F849A2" w:rsidRPr="00F849A2" w:rsidRDefault="00F849A2" w:rsidP="00F849A2">
            <w:pPr>
              <w:rPr>
                <w:rFonts w:cs="Arial"/>
              </w:rPr>
            </w:pPr>
            <w:r w:rsidRPr="00F849A2">
              <w:rPr>
                <w:rFonts w:cs="Arial"/>
                <w:bCs/>
              </w:rPr>
              <w:t>Замаяност</w:t>
            </w:r>
          </w:p>
        </w:tc>
        <w:tc>
          <w:tcPr>
            <w:tcW w:w="3192" w:type="dxa"/>
            <w:vAlign w:val="bottom"/>
          </w:tcPr>
          <w:p w14:paraId="739BA2CB" w14:textId="3A1CB6D4" w:rsidR="00F849A2" w:rsidRPr="00F849A2" w:rsidRDefault="00F849A2" w:rsidP="00F849A2">
            <w:pPr>
              <w:rPr>
                <w:rFonts w:cs="Arial"/>
              </w:rPr>
            </w:pPr>
            <w:r w:rsidRPr="00F849A2">
              <w:rPr>
                <w:rFonts w:cs="Arial"/>
                <w:bCs/>
              </w:rPr>
              <w:t>Нечести</w:t>
            </w:r>
          </w:p>
        </w:tc>
        <w:tc>
          <w:tcPr>
            <w:tcW w:w="3192" w:type="dxa"/>
            <w:vAlign w:val="bottom"/>
          </w:tcPr>
          <w:p w14:paraId="34C128F4" w14:textId="7A9EB309" w:rsidR="00F849A2" w:rsidRPr="00F849A2" w:rsidRDefault="00F849A2" w:rsidP="00F849A2">
            <w:pPr>
              <w:rPr>
                <w:rFonts w:cs="Arial"/>
              </w:rPr>
            </w:pPr>
            <w:r w:rsidRPr="00F849A2">
              <w:rPr>
                <w:rFonts w:cs="Arial"/>
                <w:bCs/>
              </w:rPr>
              <w:t>Нечести</w:t>
            </w:r>
          </w:p>
        </w:tc>
      </w:tr>
      <w:tr w:rsidR="00F849A2" w14:paraId="4BC7DA1C" w14:textId="77777777" w:rsidTr="002D6021">
        <w:tc>
          <w:tcPr>
            <w:tcW w:w="3192" w:type="dxa"/>
            <w:vAlign w:val="bottom"/>
          </w:tcPr>
          <w:p w14:paraId="2D13CBFB" w14:textId="3547602C" w:rsidR="00F849A2" w:rsidRPr="00F849A2" w:rsidRDefault="00F849A2" w:rsidP="00F849A2">
            <w:pPr>
              <w:rPr>
                <w:rFonts w:cs="Arial"/>
              </w:rPr>
            </w:pPr>
            <w:r w:rsidRPr="00F849A2">
              <w:rPr>
                <w:rFonts w:cs="Arial"/>
                <w:bCs/>
              </w:rPr>
              <w:t>Главоболие</w:t>
            </w:r>
          </w:p>
        </w:tc>
        <w:tc>
          <w:tcPr>
            <w:tcW w:w="3192" w:type="dxa"/>
            <w:vAlign w:val="bottom"/>
          </w:tcPr>
          <w:p w14:paraId="6B853306" w14:textId="0E415439" w:rsidR="00F849A2" w:rsidRPr="00F849A2" w:rsidRDefault="00F849A2" w:rsidP="00F849A2">
            <w:pPr>
              <w:rPr>
                <w:rFonts w:cs="Arial"/>
              </w:rPr>
            </w:pPr>
            <w:r w:rsidRPr="00F849A2">
              <w:rPr>
                <w:rFonts w:cs="Arial"/>
                <w:bCs/>
              </w:rPr>
              <w:t>Нечести</w:t>
            </w:r>
          </w:p>
        </w:tc>
        <w:tc>
          <w:tcPr>
            <w:tcW w:w="3192" w:type="dxa"/>
            <w:vAlign w:val="bottom"/>
          </w:tcPr>
          <w:p w14:paraId="70035B06" w14:textId="7B48D92F" w:rsidR="00F849A2" w:rsidRPr="00F849A2" w:rsidRDefault="00F849A2" w:rsidP="00F849A2">
            <w:pPr>
              <w:rPr>
                <w:rFonts w:cs="Arial"/>
              </w:rPr>
            </w:pPr>
            <w:r w:rsidRPr="00F849A2">
              <w:rPr>
                <w:rFonts w:cs="Arial"/>
                <w:bCs/>
              </w:rPr>
              <w:t>Нечести</w:t>
            </w:r>
          </w:p>
        </w:tc>
      </w:tr>
      <w:tr w:rsidR="00F849A2" w14:paraId="16282799" w14:textId="77777777" w:rsidTr="002D6021">
        <w:tc>
          <w:tcPr>
            <w:tcW w:w="3192" w:type="dxa"/>
            <w:vAlign w:val="bottom"/>
          </w:tcPr>
          <w:p w14:paraId="4D07316C" w14:textId="34C0CF0B" w:rsidR="00F849A2" w:rsidRPr="00F849A2" w:rsidRDefault="00F849A2" w:rsidP="00F849A2">
            <w:pPr>
              <w:rPr>
                <w:rFonts w:cs="Arial"/>
              </w:rPr>
            </w:pPr>
            <w:r w:rsidRPr="00F849A2">
              <w:rPr>
                <w:rFonts w:cs="Arial"/>
                <w:bCs/>
              </w:rPr>
              <w:t>Безсъние</w:t>
            </w:r>
          </w:p>
        </w:tc>
        <w:tc>
          <w:tcPr>
            <w:tcW w:w="3192" w:type="dxa"/>
            <w:vAlign w:val="bottom"/>
          </w:tcPr>
          <w:p w14:paraId="27FFE07D" w14:textId="63D3B348" w:rsidR="00F849A2" w:rsidRPr="00F849A2" w:rsidRDefault="00F849A2" w:rsidP="00F849A2">
            <w:pPr>
              <w:rPr>
                <w:rFonts w:cs="Arial"/>
              </w:rPr>
            </w:pPr>
            <w:r w:rsidRPr="00F849A2">
              <w:rPr>
                <w:rFonts w:cs="Arial"/>
                <w:bCs/>
              </w:rPr>
              <w:t>Редки</w:t>
            </w:r>
          </w:p>
        </w:tc>
        <w:tc>
          <w:tcPr>
            <w:tcW w:w="3192" w:type="dxa"/>
            <w:vAlign w:val="bottom"/>
          </w:tcPr>
          <w:p w14:paraId="1E53F69A" w14:textId="4B91CCA3" w:rsidR="00F849A2" w:rsidRPr="00F849A2" w:rsidRDefault="00F849A2" w:rsidP="00F849A2">
            <w:pPr>
              <w:rPr>
                <w:rFonts w:cs="Arial"/>
              </w:rPr>
            </w:pPr>
            <w:r w:rsidRPr="00F849A2">
              <w:rPr>
                <w:rFonts w:cs="Arial"/>
                <w:bCs/>
              </w:rPr>
              <w:t>Нечесги</w:t>
            </w:r>
          </w:p>
        </w:tc>
      </w:tr>
      <w:tr w:rsidR="00F849A2" w14:paraId="21E1B593" w14:textId="77777777" w:rsidTr="00F849A2">
        <w:tc>
          <w:tcPr>
            <w:tcW w:w="3192" w:type="dxa"/>
          </w:tcPr>
          <w:p w14:paraId="1D83CE28" w14:textId="77777777" w:rsidR="00F849A2" w:rsidRPr="00F849A2" w:rsidRDefault="00F849A2" w:rsidP="00F849A2">
            <w:pPr>
              <w:rPr>
                <w:rFonts w:cs="Arial"/>
              </w:rPr>
            </w:pPr>
          </w:p>
        </w:tc>
        <w:tc>
          <w:tcPr>
            <w:tcW w:w="3192" w:type="dxa"/>
          </w:tcPr>
          <w:p w14:paraId="6488A97F" w14:textId="77777777" w:rsidR="00F849A2" w:rsidRPr="00F849A2" w:rsidRDefault="00F849A2" w:rsidP="00F849A2">
            <w:pPr>
              <w:rPr>
                <w:rFonts w:cs="Arial"/>
              </w:rPr>
            </w:pPr>
          </w:p>
        </w:tc>
        <w:tc>
          <w:tcPr>
            <w:tcW w:w="3192" w:type="dxa"/>
          </w:tcPr>
          <w:p w14:paraId="69DB6C96" w14:textId="77777777" w:rsidR="00F849A2" w:rsidRPr="00F849A2" w:rsidRDefault="00F849A2" w:rsidP="00F849A2">
            <w:pPr>
              <w:rPr>
                <w:rFonts w:cs="Arial"/>
              </w:rPr>
            </w:pPr>
          </w:p>
        </w:tc>
      </w:tr>
      <w:tr w:rsidR="00F849A2" w14:paraId="15F5353A" w14:textId="77777777" w:rsidTr="002D6021">
        <w:tc>
          <w:tcPr>
            <w:tcW w:w="9576" w:type="dxa"/>
            <w:gridSpan w:val="3"/>
            <w:vAlign w:val="bottom"/>
          </w:tcPr>
          <w:p w14:paraId="118E2A30" w14:textId="0150428E" w:rsidR="00F849A2" w:rsidRPr="00F849A2" w:rsidRDefault="00F849A2" w:rsidP="00F849A2">
            <w:pPr>
              <w:rPr>
                <w:rFonts w:cs="Arial"/>
                <w:b/>
                <w:u w:val="single"/>
              </w:rPr>
            </w:pPr>
            <w:r w:rsidRPr="00F849A2">
              <w:rPr>
                <w:rFonts w:cs="Arial"/>
                <w:b/>
                <w:bCs/>
                <w:u w:val="single"/>
              </w:rPr>
              <w:t>Нарушения на очите</w:t>
            </w:r>
          </w:p>
        </w:tc>
      </w:tr>
      <w:tr w:rsidR="00F849A2" w14:paraId="6461E94A" w14:textId="77777777" w:rsidTr="002D6021">
        <w:tc>
          <w:tcPr>
            <w:tcW w:w="3192" w:type="dxa"/>
          </w:tcPr>
          <w:p w14:paraId="7B07B7FA" w14:textId="765CAEC5" w:rsidR="00F849A2" w:rsidRPr="00F849A2" w:rsidRDefault="00F849A2" w:rsidP="00F849A2">
            <w:pPr>
              <w:rPr>
                <w:rFonts w:cs="Arial"/>
              </w:rPr>
            </w:pPr>
            <w:r w:rsidRPr="00F849A2">
              <w:rPr>
                <w:rFonts w:cs="Arial"/>
                <w:bCs/>
              </w:rPr>
              <w:t>Глаукома</w:t>
            </w:r>
          </w:p>
        </w:tc>
        <w:tc>
          <w:tcPr>
            <w:tcW w:w="3192" w:type="dxa"/>
          </w:tcPr>
          <w:p w14:paraId="7229DDB7" w14:textId="5CA9B5D9" w:rsidR="00F849A2" w:rsidRPr="00F849A2" w:rsidRDefault="00F849A2" w:rsidP="00F849A2">
            <w:pPr>
              <w:rPr>
                <w:rFonts w:cs="Arial"/>
              </w:rPr>
            </w:pPr>
            <w:r w:rsidRPr="00F849A2">
              <w:rPr>
                <w:rFonts w:cs="Arial"/>
                <w:bCs/>
              </w:rPr>
              <w:t>Редки</w:t>
            </w:r>
          </w:p>
        </w:tc>
        <w:tc>
          <w:tcPr>
            <w:tcW w:w="3192" w:type="dxa"/>
            <w:vAlign w:val="bottom"/>
          </w:tcPr>
          <w:p w14:paraId="4B2BA4E6" w14:textId="75B23074" w:rsidR="00F849A2" w:rsidRPr="00F849A2" w:rsidRDefault="00F849A2" w:rsidP="00F849A2">
            <w:pPr>
              <w:rPr>
                <w:rFonts w:cs="Arial"/>
              </w:rPr>
            </w:pPr>
            <w:r w:rsidRPr="00F849A2">
              <w:rPr>
                <w:rFonts w:cs="Arial"/>
                <w:bCs/>
              </w:rPr>
              <w:t>Снеизвестна честота</w:t>
            </w:r>
          </w:p>
        </w:tc>
      </w:tr>
      <w:tr w:rsidR="00F849A2" w14:paraId="2757F858" w14:textId="77777777" w:rsidTr="002D6021">
        <w:tc>
          <w:tcPr>
            <w:tcW w:w="3192" w:type="dxa"/>
          </w:tcPr>
          <w:p w14:paraId="1B3F9EA4" w14:textId="4FF9BE30" w:rsidR="00F849A2" w:rsidRPr="00F849A2" w:rsidRDefault="00F849A2" w:rsidP="00F849A2">
            <w:pPr>
              <w:rPr>
                <w:rFonts w:cs="Arial"/>
              </w:rPr>
            </w:pPr>
            <w:r w:rsidRPr="00F849A2">
              <w:rPr>
                <w:rFonts w:cs="Arial"/>
                <w:bCs/>
              </w:rPr>
              <w:t>Повишено вътреочно налягане</w:t>
            </w:r>
          </w:p>
        </w:tc>
        <w:tc>
          <w:tcPr>
            <w:tcW w:w="3192" w:type="dxa"/>
          </w:tcPr>
          <w:p w14:paraId="72B5BC7C" w14:textId="3B020E94" w:rsidR="00F849A2" w:rsidRPr="00F849A2" w:rsidRDefault="00F849A2" w:rsidP="00F849A2">
            <w:pPr>
              <w:rPr>
                <w:rFonts w:cs="Arial"/>
              </w:rPr>
            </w:pPr>
            <w:r w:rsidRPr="00F849A2">
              <w:rPr>
                <w:rFonts w:cs="Arial"/>
                <w:bCs/>
              </w:rPr>
              <w:t>Редки</w:t>
            </w:r>
          </w:p>
        </w:tc>
        <w:tc>
          <w:tcPr>
            <w:tcW w:w="3192" w:type="dxa"/>
            <w:vAlign w:val="bottom"/>
          </w:tcPr>
          <w:p w14:paraId="410CE91E" w14:textId="58F6271F" w:rsidR="00F849A2" w:rsidRPr="00F849A2" w:rsidRDefault="00F849A2" w:rsidP="00F849A2">
            <w:pPr>
              <w:rPr>
                <w:rFonts w:cs="Arial"/>
              </w:rPr>
            </w:pPr>
            <w:r w:rsidRPr="00F849A2">
              <w:rPr>
                <w:rFonts w:cs="Arial"/>
                <w:bCs/>
              </w:rPr>
              <w:t>С неизвестна честота</w:t>
            </w:r>
          </w:p>
        </w:tc>
      </w:tr>
      <w:tr w:rsidR="00F849A2" w14:paraId="1727CE4E" w14:textId="77777777" w:rsidTr="002D6021">
        <w:tc>
          <w:tcPr>
            <w:tcW w:w="3192" w:type="dxa"/>
          </w:tcPr>
          <w:p w14:paraId="74DF16A4" w14:textId="7647A48E" w:rsidR="00F849A2" w:rsidRPr="00F849A2" w:rsidRDefault="00F849A2" w:rsidP="00F849A2">
            <w:pPr>
              <w:rPr>
                <w:rFonts w:cs="Arial"/>
              </w:rPr>
            </w:pPr>
            <w:r w:rsidRPr="00F849A2">
              <w:rPr>
                <w:rFonts w:cs="Arial"/>
                <w:bCs/>
              </w:rPr>
              <w:t>Замъглено виждане</w:t>
            </w:r>
          </w:p>
        </w:tc>
        <w:tc>
          <w:tcPr>
            <w:tcW w:w="3192" w:type="dxa"/>
          </w:tcPr>
          <w:p w14:paraId="2D748724" w14:textId="3580C2B0" w:rsidR="00F849A2" w:rsidRPr="00F849A2" w:rsidRDefault="00F849A2" w:rsidP="00F849A2">
            <w:pPr>
              <w:rPr>
                <w:rFonts w:cs="Arial"/>
              </w:rPr>
            </w:pPr>
            <w:r w:rsidRPr="00F849A2">
              <w:rPr>
                <w:rFonts w:cs="Arial"/>
                <w:bCs/>
              </w:rPr>
              <w:t>Редки</w:t>
            </w:r>
          </w:p>
        </w:tc>
        <w:tc>
          <w:tcPr>
            <w:tcW w:w="3192" w:type="dxa"/>
            <w:vAlign w:val="bottom"/>
          </w:tcPr>
          <w:p w14:paraId="6A7149C4" w14:textId="27B9B161" w:rsidR="00F849A2" w:rsidRPr="00F849A2" w:rsidRDefault="00F849A2" w:rsidP="00F849A2">
            <w:pPr>
              <w:rPr>
                <w:rFonts w:cs="Arial"/>
              </w:rPr>
            </w:pPr>
            <w:r w:rsidRPr="00F849A2">
              <w:rPr>
                <w:rFonts w:cs="Arial"/>
                <w:bCs/>
              </w:rPr>
              <w:t>С неизвестна честота</w:t>
            </w:r>
          </w:p>
        </w:tc>
      </w:tr>
      <w:tr w:rsidR="00F849A2" w14:paraId="7279317D" w14:textId="77777777" w:rsidTr="00F849A2">
        <w:tc>
          <w:tcPr>
            <w:tcW w:w="3192" w:type="dxa"/>
          </w:tcPr>
          <w:p w14:paraId="6D22419A" w14:textId="77777777" w:rsidR="00F849A2" w:rsidRPr="00F849A2" w:rsidRDefault="00F849A2" w:rsidP="00F849A2">
            <w:pPr>
              <w:rPr>
                <w:rFonts w:cs="Arial"/>
              </w:rPr>
            </w:pPr>
          </w:p>
        </w:tc>
        <w:tc>
          <w:tcPr>
            <w:tcW w:w="3192" w:type="dxa"/>
          </w:tcPr>
          <w:p w14:paraId="563BA4C9" w14:textId="77777777" w:rsidR="00F849A2" w:rsidRPr="00F849A2" w:rsidRDefault="00F849A2" w:rsidP="00F849A2">
            <w:pPr>
              <w:rPr>
                <w:rFonts w:cs="Arial"/>
              </w:rPr>
            </w:pPr>
          </w:p>
        </w:tc>
        <w:tc>
          <w:tcPr>
            <w:tcW w:w="3192" w:type="dxa"/>
          </w:tcPr>
          <w:p w14:paraId="492D85F7" w14:textId="77777777" w:rsidR="00F849A2" w:rsidRPr="00F849A2" w:rsidRDefault="00F849A2" w:rsidP="00F849A2">
            <w:pPr>
              <w:rPr>
                <w:rFonts w:cs="Arial"/>
              </w:rPr>
            </w:pPr>
          </w:p>
        </w:tc>
      </w:tr>
      <w:tr w:rsidR="00F849A2" w14:paraId="13074B2D" w14:textId="77777777" w:rsidTr="002D6021">
        <w:tc>
          <w:tcPr>
            <w:tcW w:w="9576" w:type="dxa"/>
            <w:gridSpan w:val="3"/>
          </w:tcPr>
          <w:p w14:paraId="79E64C3A" w14:textId="62DC121B" w:rsidR="00F849A2" w:rsidRPr="00F849A2" w:rsidRDefault="00F849A2" w:rsidP="00F849A2">
            <w:pPr>
              <w:rPr>
                <w:rFonts w:cs="Arial"/>
              </w:rPr>
            </w:pPr>
            <w:r w:rsidRPr="00F849A2">
              <w:rPr>
                <w:rFonts w:cs="Arial"/>
                <w:b/>
                <w:u w:val="single"/>
              </w:rPr>
              <w:t>Сърдечни нарушения</w:t>
            </w:r>
          </w:p>
        </w:tc>
      </w:tr>
      <w:tr w:rsidR="00F849A2" w14:paraId="3ED650B8" w14:textId="77777777" w:rsidTr="002D6021">
        <w:tc>
          <w:tcPr>
            <w:tcW w:w="3192" w:type="dxa"/>
          </w:tcPr>
          <w:p w14:paraId="19DBCBCD" w14:textId="19D6AF1B" w:rsidR="00F849A2" w:rsidRPr="00F849A2" w:rsidRDefault="00F849A2" w:rsidP="00F849A2">
            <w:pPr>
              <w:rPr>
                <w:rFonts w:cs="Arial"/>
              </w:rPr>
            </w:pPr>
            <w:r w:rsidRPr="00F849A2">
              <w:rPr>
                <w:rFonts w:cs="Arial"/>
                <w:bCs/>
              </w:rPr>
              <w:t>Предсърдно мъждене</w:t>
            </w:r>
          </w:p>
        </w:tc>
        <w:tc>
          <w:tcPr>
            <w:tcW w:w="3192" w:type="dxa"/>
          </w:tcPr>
          <w:p w14:paraId="202631C5" w14:textId="5C08629E" w:rsidR="00F849A2" w:rsidRPr="00F849A2" w:rsidRDefault="00F849A2" w:rsidP="00F849A2">
            <w:pPr>
              <w:rPr>
                <w:rFonts w:cs="Arial"/>
              </w:rPr>
            </w:pPr>
            <w:r w:rsidRPr="00F849A2">
              <w:rPr>
                <w:rFonts w:cs="Arial"/>
                <w:bCs/>
              </w:rPr>
              <w:t>Редки</w:t>
            </w:r>
          </w:p>
        </w:tc>
        <w:tc>
          <w:tcPr>
            <w:tcW w:w="3192" w:type="dxa"/>
            <w:vAlign w:val="bottom"/>
          </w:tcPr>
          <w:p w14:paraId="7450122D" w14:textId="48BC3000" w:rsidR="00F849A2" w:rsidRPr="00F849A2" w:rsidRDefault="00F849A2" w:rsidP="00F849A2">
            <w:pPr>
              <w:rPr>
                <w:rFonts w:cs="Arial"/>
              </w:rPr>
            </w:pPr>
            <w:r w:rsidRPr="00F849A2">
              <w:rPr>
                <w:rFonts w:cs="Arial"/>
                <w:bCs/>
              </w:rPr>
              <w:t>С неизвестна честота</w:t>
            </w:r>
          </w:p>
        </w:tc>
      </w:tr>
      <w:tr w:rsidR="00F849A2" w14:paraId="0711F809" w14:textId="77777777" w:rsidTr="002D6021">
        <w:tc>
          <w:tcPr>
            <w:tcW w:w="3192" w:type="dxa"/>
            <w:vAlign w:val="bottom"/>
          </w:tcPr>
          <w:p w14:paraId="3EE36CCC" w14:textId="768A395A" w:rsidR="00F849A2" w:rsidRPr="00F849A2" w:rsidRDefault="00F849A2" w:rsidP="00F849A2">
            <w:pPr>
              <w:rPr>
                <w:rFonts w:cs="Arial"/>
              </w:rPr>
            </w:pPr>
            <w:r w:rsidRPr="00F849A2">
              <w:rPr>
                <w:rFonts w:cs="Arial"/>
                <w:bCs/>
              </w:rPr>
              <w:t>Палпитация</w:t>
            </w:r>
          </w:p>
        </w:tc>
        <w:tc>
          <w:tcPr>
            <w:tcW w:w="3192" w:type="dxa"/>
            <w:vAlign w:val="bottom"/>
          </w:tcPr>
          <w:p w14:paraId="35D1B2AA" w14:textId="2FC72B3B" w:rsidR="00F849A2" w:rsidRPr="00F849A2" w:rsidRDefault="00F849A2" w:rsidP="00F849A2">
            <w:pPr>
              <w:rPr>
                <w:rFonts w:cs="Arial"/>
              </w:rPr>
            </w:pPr>
            <w:r w:rsidRPr="00F849A2">
              <w:rPr>
                <w:rFonts w:cs="Arial"/>
                <w:bCs/>
              </w:rPr>
              <w:t>Редки</w:t>
            </w:r>
          </w:p>
        </w:tc>
        <w:tc>
          <w:tcPr>
            <w:tcW w:w="3192" w:type="dxa"/>
            <w:vAlign w:val="bottom"/>
          </w:tcPr>
          <w:p w14:paraId="48BFF475" w14:textId="06D241E4" w:rsidR="00F849A2" w:rsidRPr="00F849A2" w:rsidRDefault="00F849A2" w:rsidP="00F849A2">
            <w:pPr>
              <w:rPr>
                <w:rFonts w:cs="Arial"/>
              </w:rPr>
            </w:pPr>
            <w:r w:rsidRPr="00F849A2">
              <w:rPr>
                <w:rFonts w:cs="Arial"/>
                <w:bCs/>
              </w:rPr>
              <w:t>Нечести</w:t>
            </w:r>
          </w:p>
        </w:tc>
      </w:tr>
      <w:tr w:rsidR="00F849A2" w14:paraId="6B983510" w14:textId="77777777" w:rsidTr="002D6021">
        <w:tc>
          <w:tcPr>
            <w:tcW w:w="3192" w:type="dxa"/>
          </w:tcPr>
          <w:p w14:paraId="57652857" w14:textId="4B3677EF" w:rsidR="00F849A2" w:rsidRPr="00F849A2" w:rsidRDefault="00F849A2" w:rsidP="00F849A2">
            <w:pPr>
              <w:rPr>
                <w:rFonts w:cs="Arial"/>
              </w:rPr>
            </w:pPr>
            <w:r w:rsidRPr="00F849A2">
              <w:rPr>
                <w:rFonts w:cs="Arial"/>
                <w:bCs/>
              </w:rPr>
              <w:t>Надкамерна тахикардия</w:t>
            </w:r>
          </w:p>
        </w:tc>
        <w:tc>
          <w:tcPr>
            <w:tcW w:w="3192" w:type="dxa"/>
          </w:tcPr>
          <w:p w14:paraId="5EC97ED9" w14:textId="03A3D6D5" w:rsidR="00F849A2" w:rsidRPr="00F849A2" w:rsidRDefault="00F849A2" w:rsidP="00F849A2">
            <w:pPr>
              <w:rPr>
                <w:rFonts w:cs="Arial"/>
              </w:rPr>
            </w:pPr>
            <w:r w:rsidRPr="00F849A2">
              <w:rPr>
                <w:rFonts w:cs="Arial"/>
                <w:bCs/>
              </w:rPr>
              <w:t>Редки</w:t>
            </w:r>
          </w:p>
        </w:tc>
        <w:tc>
          <w:tcPr>
            <w:tcW w:w="3192" w:type="dxa"/>
            <w:vAlign w:val="bottom"/>
          </w:tcPr>
          <w:p w14:paraId="73144496" w14:textId="3F755609" w:rsidR="00F849A2" w:rsidRPr="00F849A2" w:rsidRDefault="00F849A2" w:rsidP="00F849A2">
            <w:pPr>
              <w:rPr>
                <w:rFonts w:cs="Arial"/>
              </w:rPr>
            </w:pPr>
            <w:r w:rsidRPr="00F849A2">
              <w:rPr>
                <w:rFonts w:cs="Arial"/>
                <w:bCs/>
              </w:rPr>
              <w:t>С неизвестна честота</w:t>
            </w:r>
          </w:p>
        </w:tc>
      </w:tr>
      <w:tr w:rsidR="00F849A2" w14:paraId="3349F846" w14:textId="77777777" w:rsidTr="002D6021">
        <w:tc>
          <w:tcPr>
            <w:tcW w:w="3192" w:type="dxa"/>
          </w:tcPr>
          <w:p w14:paraId="49388958" w14:textId="13727B01" w:rsidR="00F849A2" w:rsidRPr="00F849A2" w:rsidRDefault="00F849A2" w:rsidP="00F849A2">
            <w:pPr>
              <w:rPr>
                <w:rFonts w:cs="Arial"/>
              </w:rPr>
            </w:pPr>
            <w:r w:rsidRPr="00F849A2">
              <w:rPr>
                <w:rFonts w:cs="Arial"/>
                <w:bCs/>
              </w:rPr>
              <w:t>Тахикардия</w:t>
            </w:r>
          </w:p>
        </w:tc>
        <w:tc>
          <w:tcPr>
            <w:tcW w:w="3192" w:type="dxa"/>
          </w:tcPr>
          <w:p w14:paraId="18F9C96A" w14:textId="29E57FC6" w:rsidR="00F849A2" w:rsidRPr="00F849A2" w:rsidRDefault="00F849A2" w:rsidP="00F849A2">
            <w:pPr>
              <w:rPr>
                <w:rFonts w:cs="Arial"/>
              </w:rPr>
            </w:pPr>
            <w:r w:rsidRPr="00F849A2">
              <w:rPr>
                <w:rFonts w:cs="Arial"/>
                <w:bCs/>
              </w:rPr>
              <w:t>Редки</w:t>
            </w:r>
          </w:p>
        </w:tc>
        <w:tc>
          <w:tcPr>
            <w:tcW w:w="3192" w:type="dxa"/>
            <w:vAlign w:val="bottom"/>
          </w:tcPr>
          <w:p w14:paraId="41B0B62F" w14:textId="6463A16D" w:rsidR="00F849A2" w:rsidRPr="00F849A2" w:rsidRDefault="00F849A2" w:rsidP="00F849A2">
            <w:pPr>
              <w:rPr>
                <w:rFonts w:cs="Arial"/>
              </w:rPr>
            </w:pPr>
            <w:r w:rsidRPr="00F849A2">
              <w:rPr>
                <w:rFonts w:cs="Arial"/>
                <w:bCs/>
              </w:rPr>
              <w:t>С неизвестна честота</w:t>
            </w:r>
          </w:p>
        </w:tc>
      </w:tr>
      <w:tr w:rsidR="00F849A2" w14:paraId="5BF55F57" w14:textId="77777777" w:rsidTr="00F849A2">
        <w:tc>
          <w:tcPr>
            <w:tcW w:w="3192" w:type="dxa"/>
          </w:tcPr>
          <w:p w14:paraId="37C66F0B" w14:textId="77777777" w:rsidR="00F849A2" w:rsidRDefault="00F849A2" w:rsidP="00F849A2"/>
        </w:tc>
        <w:tc>
          <w:tcPr>
            <w:tcW w:w="3192" w:type="dxa"/>
          </w:tcPr>
          <w:p w14:paraId="529EDC20" w14:textId="77777777" w:rsidR="00F849A2" w:rsidRDefault="00F849A2" w:rsidP="00F849A2"/>
        </w:tc>
        <w:tc>
          <w:tcPr>
            <w:tcW w:w="3192" w:type="dxa"/>
          </w:tcPr>
          <w:p w14:paraId="336F9D61" w14:textId="77777777" w:rsidR="00F849A2" w:rsidRDefault="00F849A2" w:rsidP="00F849A2"/>
        </w:tc>
      </w:tr>
      <w:tr w:rsidR="00F849A2" w14:paraId="77E1722A" w14:textId="77777777" w:rsidTr="002D6021">
        <w:tc>
          <w:tcPr>
            <w:tcW w:w="9576" w:type="dxa"/>
            <w:gridSpan w:val="3"/>
          </w:tcPr>
          <w:p w14:paraId="3236B599" w14:textId="53EE30A1" w:rsidR="00F849A2" w:rsidRPr="00F849A2" w:rsidRDefault="00F849A2" w:rsidP="00F849A2">
            <w:pPr>
              <w:rPr>
                <w:b/>
                <w:u w:val="single"/>
              </w:rPr>
            </w:pPr>
            <w:r w:rsidRPr="00F849A2">
              <w:rPr>
                <w:b/>
                <w:u w:val="single"/>
              </w:rPr>
              <w:t>Респираторни, гръдни и медиастинални нарушения</w:t>
            </w:r>
          </w:p>
        </w:tc>
      </w:tr>
      <w:tr w:rsidR="00F849A2" w14:paraId="5E84B02B" w14:textId="77777777" w:rsidTr="002D6021">
        <w:tc>
          <w:tcPr>
            <w:tcW w:w="3192" w:type="dxa"/>
          </w:tcPr>
          <w:p w14:paraId="1EE5AF51" w14:textId="3A6E18AD" w:rsidR="00F849A2" w:rsidRDefault="00F849A2" w:rsidP="00F849A2">
            <w:r>
              <w:t>Кашлица</w:t>
            </w:r>
          </w:p>
        </w:tc>
        <w:tc>
          <w:tcPr>
            <w:tcW w:w="3192" w:type="dxa"/>
            <w:vAlign w:val="bottom"/>
          </w:tcPr>
          <w:p w14:paraId="6C838C37" w14:textId="52D6529C" w:rsidR="00F849A2" w:rsidRDefault="00F849A2" w:rsidP="00F849A2">
            <w:r>
              <w:t>Нечесги</w:t>
            </w:r>
          </w:p>
        </w:tc>
        <w:tc>
          <w:tcPr>
            <w:tcW w:w="3192" w:type="dxa"/>
            <w:vAlign w:val="bottom"/>
          </w:tcPr>
          <w:p w14:paraId="0DA7195D" w14:textId="032C1F90" w:rsidR="00F849A2" w:rsidRDefault="00F849A2" w:rsidP="00F849A2">
            <w:r>
              <w:t>Нечести</w:t>
            </w:r>
          </w:p>
        </w:tc>
      </w:tr>
      <w:tr w:rsidR="00F849A2" w14:paraId="56D6D68B" w14:textId="77777777" w:rsidTr="002D6021">
        <w:tc>
          <w:tcPr>
            <w:tcW w:w="3192" w:type="dxa"/>
            <w:vAlign w:val="bottom"/>
          </w:tcPr>
          <w:p w14:paraId="236741FB" w14:textId="0FF6602E" w:rsidR="00F849A2" w:rsidRPr="00F849A2" w:rsidRDefault="00F849A2" w:rsidP="00F849A2">
            <w:r>
              <w:rPr>
                <w:bCs/>
                <w:szCs w:val="42"/>
              </w:rPr>
              <w:t>Ф</w:t>
            </w:r>
            <w:r w:rsidRPr="00F849A2">
              <w:rPr>
                <w:bCs/>
                <w:szCs w:val="42"/>
              </w:rPr>
              <w:t>арингит</w:t>
            </w:r>
          </w:p>
        </w:tc>
        <w:tc>
          <w:tcPr>
            <w:tcW w:w="3192" w:type="dxa"/>
            <w:vAlign w:val="bottom"/>
          </w:tcPr>
          <w:p w14:paraId="4B5B044A" w14:textId="7561213A" w:rsidR="00F849A2" w:rsidRPr="00F849A2" w:rsidRDefault="00F849A2" w:rsidP="00F849A2">
            <w:r w:rsidRPr="00F849A2">
              <w:rPr>
                <w:bCs/>
                <w:szCs w:val="42"/>
              </w:rPr>
              <w:t>Нечесги</w:t>
            </w:r>
          </w:p>
        </w:tc>
        <w:tc>
          <w:tcPr>
            <w:tcW w:w="3192" w:type="dxa"/>
            <w:vAlign w:val="bottom"/>
          </w:tcPr>
          <w:p w14:paraId="7DC05702" w14:textId="2A4494CC" w:rsidR="00F849A2" w:rsidRPr="00F849A2" w:rsidRDefault="00F849A2" w:rsidP="00F849A2">
            <w:r w:rsidRPr="00F849A2">
              <w:rPr>
                <w:bCs/>
                <w:szCs w:val="42"/>
              </w:rPr>
              <w:t>Нечести</w:t>
            </w:r>
          </w:p>
        </w:tc>
      </w:tr>
      <w:tr w:rsidR="00F849A2" w14:paraId="43618CAC" w14:textId="77777777" w:rsidTr="002D6021">
        <w:tc>
          <w:tcPr>
            <w:tcW w:w="3192" w:type="dxa"/>
            <w:vAlign w:val="bottom"/>
          </w:tcPr>
          <w:p w14:paraId="0AF18537" w14:textId="240D3126" w:rsidR="00F849A2" w:rsidRPr="00F849A2" w:rsidRDefault="00F849A2" w:rsidP="00F849A2">
            <w:r w:rsidRPr="00F849A2">
              <w:rPr>
                <w:bCs/>
                <w:szCs w:val="42"/>
              </w:rPr>
              <w:t>Дисфония</w:t>
            </w:r>
          </w:p>
        </w:tc>
        <w:tc>
          <w:tcPr>
            <w:tcW w:w="3192" w:type="dxa"/>
            <w:vAlign w:val="bottom"/>
          </w:tcPr>
          <w:p w14:paraId="6E9045FA" w14:textId="29234CE2" w:rsidR="00F849A2" w:rsidRPr="00F849A2" w:rsidRDefault="00F849A2" w:rsidP="00F849A2">
            <w:r w:rsidRPr="00F849A2">
              <w:rPr>
                <w:bCs/>
                <w:szCs w:val="42"/>
              </w:rPr>
              <w:t>Нечести</w:t>
            </w:r>
          </w:p>
        </w:tc>
        <w:tc>
          <w:tcPr>
            <w:tcW w:w="3192" w:type="dxa"/>
            <w:vAlign w:val="bottom"/>
          </w:tcPr>
          <w:p w14:paraId="2FD96E19" w14:textId="4A4937EB" w:rsidR="00F849A2" w:rsidRPr="00F849A2" w:rsidRDefault="00F849A2" w:rsidP="00F849A2">
            <w:r w:rsidRPr="00F849A2">
              <w:rPr>
                <w:bCs/>
                <w:szCs w:val="42"/>
              </w:rPr>
              <w:t>Нечесги</w:t>
            </w:r>
          </w:p>
        </w:tc>
      </w:tr>
      <w:tr w:rsidR="00F849A2" w14:paraId="1021B44E" w14:textId="77777777" w:rsidTr="002D6021">
        <w:tc>
          <w:tcPr>
            <w:tcW w:w="3192" w:type="dxa"/>
            <w:vAlign w:val="bottom"/>
          </w:tcPr>
          <w:p w14:paraId="105E894A" w14:textId="75F30696" w:rsidR="00F849A2" w:rsidRPr="00F849A2" w:rsidRDefault="00F849A2" w:rsidP="00F849A2">
            <w:r w:rsidRPr="00F849A2">
              <w:rPr>
                <w:bCs/>
                <w:szCs w:val="42"/>
              </w:rPr>
              <w:t>Епистаксис</w:t>
            </w:r>
          </w:p>
        </w:tc>
        <w:tc>
          <w:tcPr>
            <w:tcW w:w="3192" w:type="dxa"/>
            <w:vAlign w:val="bottom"/>
          </w:tcPr>
          <w:p w14:paraId="15C59774" w14:textId="0750AEFE" w:rsidR="00F849A2" w:rsidRPr="00F849A2" w:rsidRDefault="00F849A2" w:rsidP="00F849A2">
            <w:r w:rsidRPr="00F849A2">
              <w:rPr>
                <w:bCs/>
                <w:szCs w:val="42"/>
              </w:rPr>
              <w:t>Редки</w:t>
            </w:r>
          </w:p>
        </w:tc>
        <w:tc>
          <w:tcPr>
            <w:tcW w:w="3192" w:type="dxa"/>
            <w:vAlign w:val="bottom"/>
          </w:tcPr>
          <w:p w14:paraId="58500020" w14:textId="3D55FB8C" w:rsidR="00F849A2" w:rsidRPr="00F849A2" w:rsidRDefault="00F849A2" w:rsidP="00F849A2">
            <w:r w:rsidRPr="00F849A2">
              <w:rPr>
                <w:bCs/>
                <w:szCs w:val="42"/>
              </w:rPr>
              <w:t>Редки</w:t>
            </w:r>
          </w:p>
        </w:tc>
      </w:tr>
      <w:tr w:rsidR="00F849A2" w14:paraId="0828B8C9" w14:textId="77777777" w:rsidTr="002D6021">
        <w:tc>
          <w:tcPr>
            <w:tcW w:w="3192" w:type="dxa"/>
            <w:vAlign w:val="bottom"/>
          </w:tcPr>
          <w:p w14:paraId="780EBE4B" w14:textId="26A00952" w:rsidR="00F849A2" w:rsidRPr="00F849A2" w:rsidRDefault="00F849A2" w:rsidP="00F849A2">
            <w:r w:rsidRPr="00F849A2">
              <w:rPr>
                <w:bCs/>
                <w:szCs w:val="42"/>
              </w:rPr>
              <w:t>Бронхоспазъм</w:t>
            </w:r>
          </w:p>
        </w:tc>
        <w:tc>
          <w:tcPr>
            <w:tcW w:w="3192" w:type="dxa"/>
            <w:vAlign w:val="bottom"/>
          </w:tcPr>
          <w:p w14:paraId="68A738A8" w14:textId="649251FF" w:rsidR="00F849A2" w:rsidRPr="00F849A2" w:rsidRDefault="00F849A2" w:rsidP="00F849A2">
            <w:r w:rsidRPr="00F849A2">
              <w:rPr>
                <w:bCs/>
                <w:szCs w:val="42"/>
              </w:rPr>
              <w:t>Редки</w:t>
            </w:r>
          </w:p>
        </w:tc>
        <w:tc>
          <w:tcPr>
            <w:tcW w:w="3192" w:type="dxa"/>
            <w:vAlign w:val="bottom"/>
          </w:tcPr>
          <w:p w14:paraId="72357725" w14:textId="5C60A137" w:rsidR="00F849A2" w:rsidRPr="00F849A2" w:rsidRDefault="00F849A2" w:rsidP="00F849A2">
            <w:r w:rsidRPr="00F849A2">
              <w:rPr>
                <w:bCs/>
                <w:szCs w:val="42"/>
              </w:rPr>
              <w:t>Нечести</w:t>
            </w:r>
          </w:p>
        </w:tc>
      </w:tr>
      <w:tr w:rsidR="00F849A2" w14:paraId="0D07DB8D" w14:textId="77777777" w:rsidTr="002D6021">
        <w:tc>
          <w:tcPr>
            <w:tcW w:w="3192" w:type="dxa"/>
          </w:tcPr>
          <w:p w14:paraId="1D45B1B1" w14:textId="0215A54F" w:rsidR="00F849A2" w:rsidRPr="00F849A2" w:rsidRDefault="00F849A2" w:rsidP="00F849A2">
            <w:r w:rsidRPr="00F849A2">
              <w:rPr>
                <w:bCs/>
                <w:szCs w:val="42"/>
              </w:rPr>
              <w:t>Ларингит</w:t>
            </w:r>
          </w:p>
        </w:tc>
        <w:tc>
          <w:tcPr>
            <w:tcW w:w="3192" w:type="dxa"/>
          </w:tcPr>
          <w:p w14:paraId="15BE8F65" w14:textId="13737183" w:rsidR="00F849A2" w:rsidRPr="00F849A2" w:rsidRDefault="00F849A2" w:rsidP="00F849A2">
            <w:r w:rsidRPr="00F849A2">
              <w:rPr>
                <w:bCs/>
                <w:szCs w:val="42"/>
              </w:rPr>
              <w:t>Редки</w:t>
            </w:r>
          </w:p>
        </w:tc>
        <w:tc>
          <w:tcPr>
            <w:tcW w:w="3192" w:type="dxa"/>
            <w:vAlign w:val="bottom"/>
          </w:tcPr>
          <w:p w14:paraId="4A8FE318" w14:textId="4ED66FB4" w:rsidR="00F849A2" w:rsidRPr="00F849A2" w:rsidRDefault="00F849A2" w:rsidP="00F849A2">
            <w:r w:rsidRPr="00F849A2">
              <w:rPr>
                <w:bCs/>
                <w:szCs w:val="42"/>
              </w:rPr>
              <w:t>С неизвестна честота</w:t>
            </w:r>
          </w:p>
        </w:tc>
      </w:tr>
      <w:tr w:rsidR="00F849A2" w14:paraId="7CA53EE7" w14:textId="77777777" w:rsidTr="002D6021">
        <w:tc>
          <w:tcPr>
            <w:tcW w:w="3192" w:type="dxa"/>
          </w:tcPr>
          <w:p w14:paraId="017E5CCF" w14:textId="13883751" w:rsidR="00F849A2" w:rsidRPr="00F849A2" w:rsidRDefault="00F849A2" w:rsidP="00F849A2">
            <w:r w:rsidRPr="00F849A2">
              <w:rPr>
                <w:bCs/>
                <w:szCs w:val="42"/>
              </w:rPr>
              <w:t>Синузит</w:t>
            </w:r>
          </w:p>
        </w:tc>
        <w:tc>
          <w:tcPr>
            <w:tcW w:w="3192" w:type="dxa"/>
            <w:vAlign w:val="bottom"/>
          </w:tcPr>
          <w:p w14:paraId="67BB2798" w14:textId="6BBED99E" w:rsidR="00F849A2" w:rsidRPr="00F849A2" w:rsidRDefault="00F849A2" w:rsidP="00F849A2">
            <w:r w:rsidRPr="00F849A2">
              <w:rPr>
                <w:bCs/>
                <w:szCs w:val="42"/>
              </w:rPr>
              <w:t>С неизвестна честота</w:t>
            </w:r>
          </w:p>
        </w:tc>
        <w:tc>
          <w:tcPr>
            <w:tcW w:w="3192" w:type="dxa"/>
            <w:vAlign w:val="bottom"/>
          </w:tcPr>
          <w:p w14:paraId="11EAED7B" w14:textId="13AF6F46" w:rsidR="00F849A2" w:rsidRPr="00F849A2" w:rsidRDefault="00F849A2" w:rsidP="00F849A2">
            <w:r w:rsidRPr="00F849A2">
              <w:rPr>
                <w:bCs/>
                <w:szCs w:val="42"/>
              </w:rPr>
              <w:t>С неизвестна честота</w:t>
            </w:r>
          </w:p>
        </w:tc>
      </w:tr>
      <w:tr w:rsidR="00F849A2" w14:paraId="7B112A9E" w14:textId="77777777" w:rsidTr="00F849A2">
        <w:tc>
          <w:tcPr>
            <w:tcW w:w="3192" w:type="dxa"/>
          </w:tcPr>
          <w:p w14:paraId="6A6B1F19" w14:textId="77777777" w:rsidR="00F849A2" w:rsidRDefault="00F849A2" w:rsidP="00F849A2"/>
        </w:tc>
        <w:tc>
          <w:tcPr>
            <w:tcW w:w="3192" w:type="dxa"/>
          </w:tcPr>
          <w:p w14:paraId="2A94F39A" w14:textId="77777777" w:rsidR="00F849A2" w:rsidRDefault="00F849A2" w:rsidP="00F849A2"/>
        </w:tc>
        <w:tc>
          <w:tcPr>
            <w:tcW w:w="3192" w:type="dxa"/>
          </w:tcPr>
          <w:p w14:paraId="2F52158A" w14:textId="77777777" w:rsidR="00F849A2" w:rsidRDefault="00F849A2" w:rsidP="00F849A2"/>
        </w:tc>
      </w:tr>
      <w:tr w:rsidR="00F849A2" w14:paraId="0645731B" w14:textId="77777777" w:rsidTr="002D6021">
        <w:tc>
          <w:tcPr>
            <w:tcW w:w="9576" w:type="dxa"/>
            <w:gridSpan w:val="3"/>
            <w:vAlign w:val="bottom"/>
          </w:tcPr>
          <w:p w14:paraId="5F4F74EC" w14:textId="6E1C29D0" w:rsidR="00F849A2" w:rsidRPr="00F849A2" w:rsidRDefault="00F849A2" w:rsidP="00F849A2">
            <w:pPr>
              <w:rPr>
                <w:b/>
                <w:u w:val="single"/>
              </w:rPr>
            </w:pPr>
            <w:r w:rsidRPr="00F849A2">
              <w:rPr>
                <w:b/>
                <w:u w:val="single"/>
              </w:rPr>
              <w:t>Стомашно-чревни нарушения</w:t>
            </w:r>
          </w:p>
        </w:tc>
      </w:tr>
      <w:tr w:rsidR="00F849A2" w14:paraId="4BF460B9" w14:textId="77777777" w:rsidTr="002D6021">
        <w:tc>
          <w:tcPr>
            <w:tcW w:w="3192" w:type="dxa"/>
            <w:vAlign w:val="bottom"/>
          </w:tcPr>
          <w:p w14:paraId="315D7F78" w14:textId="5FCBE2D6" w:rsidR="00F849A2" w:rsidRDefault="00F849A2" w:rsidP="00F849A2">
            <w:r>
              <w:t>Сухота в устата</w:t>
            </w:r>
          </w:p>
        </w:tc>
        <w:tc>
          <w:tcPr>
            <w:tcW w:w="3192" w:type="dxa"/>
            <w:vAlign w:val="bottom"/>
          </w:tcPr>
          <w:p w14:paraId="6AEFDBF5" w14:textId="2BCA26ED" w:rsidR="00F849A2" w:rsidRDefault="00F849A2" w:rsidP="00F849A2">
            <w:r>
              <w:t>Чести</w:t>
            </w:r>
          </w:p>
        </w:tc>
        <w:tc>
          <w:tcPr>
            <w:tcW w:w="3192" w:type="dxa"/>
          </w:tcPr>
          <w:p w14:paraId="0ED63D25" w14:textId="05441D41" w:rsidR="00F849A2" w:rsidRDefault="00F849A2" w:rsidP="00F849A2">
            <w:r>
              <w:t>Нечеси</w:t>
            </w:r>
          </w:p>
        </w:tc>
      </w:tr>
      <w:tr w:rsidR="00F849A2" w14:paraId="773ECEFF" w14:textId="77777777" w:rsidTr="002D6021">
        <w:tc>
          <w:tcPr>
            <w:tcW w:w="3192" w:type="dxa"/>
            <w:vAlign w:val="bottom"/>
          </w:tcPr>
          <w:p w14:paraId="792F8074" w14:textId="21230136" w:rsidR="00F849A2" w:rsidRDefault="00F849A2" w:rsidP="00F849A2">
            <w:r>
              <w:t>Констипация</w:t>
            </w:r>
          </w:p>
        </w:tc>
        <w:tc>
          <w:tcPr>
            <w:tcW w:w="3192" w:type="dxa"/>
            <w:vAlign w:val="bottom"/>
          </w:tcPr>
          <w:p w14:paraId="2E5FEDE2" w14:textId="56F229BE" w:rsidR="00F849A2" w:rsidRDefault="00F849A2" w:rsidP="00F849A2">
            <w:r>
              <w:t>Нечести</w:t>
            </w:r>
          </w:p>
        </w:tc>
        <w:tc>
          <w:tcPr>
            <w:tcW w:w="3192" w:type="dxa"/>
          </w:tcPr>
          <w:p w14:paraId="3135C7CD" w14:textId="23382F8C" w:rsidR="00F849A2" w:rsidRDefault="00F849A2" w:rsidP="00F849A2">
            <w:r>
              <w:t>Редки</w:t>
            </w:r>
          </w:p>
        </w:tc>
      </w:tr>
      <w:tr w:rsidR="00F849A2" w14:paraId="13F7E76D" w14:textId="77777777" w:rsidTr="002D6021">
        <w:tc>
          <w:tcPr>
            <w:tcW w:w="3192" w:type="dxa"/>
            <w:vAlign w:val="bottom"/>
          </w:tcPr>
          <w:p w14:paraId="3F981070" w14:textId="3D84D950" w:rsidR="00F849A2" w:rsidRDefault="00F849A2" w:rsidP="00F849A2">
            <w:r>
              <w:t>Орофарингеална кандидоза</w:t>
            </w:r>
          </w:p>
        </w:tc>
        <w:tc>
          <w:tcPr>
            <w:tcW w:w="3192" w:type="dxa"/>
            <w:vAlign w:val="bottom"/>
          </w:tcPr>
          <w:p w14:paraId="47BB5FA5" w14:textId="2C91A888" w:rsidR="00F849A2" w:rsidRDefault="00F849A2" w:rsidP="00F849A2">
            <w:r>
              <w:t>Нечесги</w:t>
            </w:r>
          </w:p>
        </w:tc>
        <w:tc>
          <w:tcPr>
            <w:tcW w:w="3192" w:type="dxa"/>
          </w:tcPr>
          <w:p w14:paraId="7A51174D" w14:textId="6AFB3468" w:rsidR="00F849A2" w:rsidRDefault="00F849A2" w:rsidP="00F849A2">
            <w:r>
              <w:t>Нечести</w:t>
            </w:r>
          </w:p>
        </w:tc>
      </w:tr>
      <w:tr w:rsidR="00F849A2" w14:paraId="693110B5" w14:textId="77777777" w:rsidTr="00F849A2">
        <w:tc>
          <w:tcPr>
            <w:tcW w:w="3192" w:type="dxa"/>
          </w:tcPr>
          <w:p w14:paraId="2875FD37" w14:textId="4216732A" w:rsidR="00F849A2" w:rsidRDefault="00F849A2" w:rsidP="00F849A2">
            <w:r>
              <w:t>Дисфагия</w:t>
            </w:r>
          </w:p>
        </w:tc>
        <w:tc>
          <w:tcPr>
            <w:tcW w:w="3192" w:type="dxa"/>
          </w:tcPr>
          <w:p w14:paraId="517FFECC" w14:textId="724CF5FC" w:rsidR="00F849A2" w:rsidRDefault="00F849A2" w:rsidP="00F849A2">
            <w:r>
              <w:t>Редки</w:t>
            </w:r>
          </w:p>
        </w:tc>
        <w:tc>
          <w:tcPr>
            <w:tcW w:w="3192" w:type="dxa"/>
          </w:tcPr>
          <w:p w14:paraId="365EAD74" w14:textId="0D85BBB0" w:rsidR="00F849A2" w:rsidRDefault="00F849A2" w:rsidP="00F849A2">
            <w:r>
              <w:t>С неизвестна честота</w:t>
            </w:r>
          </w:p>
        </w:tc>
      </w:tr>
      <w:tr w:rsidR="00F849A2" w14:paraId="6BE77895" w14:textId="77777777" w:rsidTr="00F849A2">
        <w:tc>
          <w:tcPr>
            <w:tcW w:w="3192" w:type="dxa"/>
          </w:tcPr>
          <w:p w14:paraId="1A5ADA3B" w14:textId="03E4A1D3" w:rsidR="00F849A2" w:rsidRDefault="00F849A2" w:rsidP="00F849A2">
            <w:r>
              <w:t>Гастроезофагеален рефлукс</w:t>
            </w:r>
          </w:p>
        </w:tc>
        <w:tc>
          <w:tcPr>
            <w:tcW w:w="3192" w:type="dxa"/>
          </w:tcPr>
          <w:p w14:paraId="2A72C12F" w14:textId="7520DB6A" w:rsidR="00F849A2" w:rsidRDefault="00F849A2" w:rsidP="00F849A2">
            <w:r>
              <w:t>Редки</w:t>
            </w:r>
          </w:p>
        </w:tc>
        <w:tc>
          <w:tcPr>
            <w:tcW w:w="3192" w:type="dxa"/>
          </w:tcPr>
          <w:p w14:paraId="0F69E0F3" w14:textId="088E6174" w:rsidR="00F849A2" w:rsidRDefault="00F849A2" w:rsidP="00F849A2">
            <w:r>
              <w:t>Снеизвестна честота</w:t>
            </w:r>
          </w:p>
        </w:tc>
      </w:tr>
      <w:tr w:rsidR="00F849A2" w14:paraId="3176FDB2" w14:textId="77777777" w:rsidTr="00F849A2">
        <w:tc>
          <w:tcPr>
            <w:tcW w:w="3192" w:type="dxa"/>
          </w:tcPr>
          <w:p w14:paraId="2A09CFB6" w14:textId="593D6100" w:rsidR="00F849A2" w:rsidRDefault="00F849A2" w:rsidP="00F849A2">
            <w:r>
              <w:t>Зъбен кариес</w:t>
            </w:r>
          </w:p>
        </w:tc>
        <w:tc>
          <w:tcPr>
            <w:tcW w:w="3192" w:type="dxa"/>
          </w:tcPr>
          <w:p w14:paraId="55723C07" w14:textId="22BF303E" w:rsidR="00F849A2" w:rsidRDefault="00F849A2" w:rsidP="00F849A2">
            <w:r>
              <w:t>Редки</w:t>
            </w:r>
          </w:p>
        </w:tc>
        <w:tc>
          <w:tcPr>
            <w:tcW w:w="3192" w:type="dxa"/>
          </w:tcPr>
          <w:p w14:paraId="1A75BA41" w14:textId="1BAA7BF0" w:rsidR="00F849A2" w:rsidRDefault="00F849A2" w:rsidP="00F849A2">
            <w:r>
              <w:t>Снеизвестна честота</w:t>
            </w:r>
          </w:p>
        </w:tc>
      </w:tr>
      <w:tr w:rsidR="00F849A2" w14:paraId="1DDF82E9" w14:textId="77777777" w:rsidTr="00F849A2">
        <w:tc>
          <w:tcPr>
            <w:tcW w:w="3192" w:type="dxa"/>
          </w:tcPr>
          <w:p w14:paraId="3CEF6457" w14:textId="76616F9D" w:rsidR="00F849A2" w:rsidRDefault="00F849A2" w:rsidP="00F849A2">
            <w:r>
              <w:t>Възпаление на венците</w:t>
            </w:r>
          </w:p>
        </w:tc>
        <w:tc>
          <w:tcPr>
            <w:tcW w:w="3192" w:type="dxa"/>
          </w:tcPr>
          <w:p w14:paraId="46E92CCE" w14:textId="1303DA8A" w:rsidR="00F849A2" w:rsidRDefault="00F849A2" w:rsidP="00F849A2">
            <w:r>
              <w:t>Редки</w:t>
            </w:r>
          </w:p>
        </w:tc>
        <w:tc>
          <w:tcPr>
            <w:tcW w:w="3192" w:type="dxa"/>
          </w:tcPr>
          <w:p w14:paraId="7A68B472" w14:textId="15E3A764" w:rsidR="00F849A2" w:rsidRDefault="00F849A2" w:rsidP="00F849A2">
            <w:r>
              <w:t>Редки</w:t>
            </w:r>
          </w:p>
        </w:tc>
      </w:tr>
      <w:tr w:rsidR="00F849A2" w14:paraId="79A9CCA5" w14:textId="77777777" w:rsidTr="00F849A2">
        <w:tc>
          <w:tcPr>
            <w:tcW w:w="3192" w:type="dxa"/>
          </w:tcPr>
          <w:p w14:paraId="22ADE41C" w14:textId="59997733" w:rsidR="00F849A2" w:rsidRDefault="00F849A2" w:rsidP="00F849A2">
            <w:r>
              <w:t>Глосит</w:t>
            </w:r>
          </w:p>
        </w:tc>
        <w:tc>
          <w:tcPr>
            <w:tcW w:w="3192" w:type="dxa"/>
          </w:tcPr>
          <w:p w14:paraId="0414DA3F" w14:textId="6F7ED17E" w:rsidR="00F849A2" w:rsidRDefault="00F849A2" w:rsidP="00F849A2">
            <w:r>
              <w:t>Редки</w:t>
            </w:r>
          </w:p>
        </w:tc>
        <w:tc>
          <w:tcPr>
            <w:tcW w:w="3192" w:type="dxa"/>
          </w:tcPr>
          <w:p w14:paraId="2F054EB9" w14:textId="6F37B32D" w:rsidR="00F849A2" w:rsidRDefault="00F849A2" w:rsidP="00F849A2">
            <w:r>
              <w:t>С неизвестна честота</w:t>
            </w:r>
          </w:p>
        </w:tc>
      </w:tr>
      <w:tr w:rsidR="00F849A2" w14:paraId="36770D8A" w14:textId="77777777" w:rsidTr="00F849A2">
        <w:tc>
          <w:tcPr>
            <w:tcW w:w="3192" w:type="dxa"/>
          </w:tcPr>
          <w:p w14:paraId="021CD40D" w14:textId="46E1AE79" w:rsidR="00F849A2" w:rsidRDefault="00F849A2" w:rsidP="00F849A2">
            <w:r>
              <w:t>Стоматит</w:t>
            </w:r>
          </w:p>
        </w:tc>
        <w:tc>
          <w:tcPr>
            <w:tcW w:w="3192" w:type="dxa"/>
          </w:tcPr>
          <w:p w14:paraId="26FF9ED0" w14:textId="5AEF2BCD" w:rsidR="00F849A2" w:rsidRDefault="00F849A2" w:rsidP="00F849A2">
            <w:r>
              <w:t>Снеизвестна честота</w:t>
            </w:r>
          </w:p>
        </w:tc>
        <w:tc>
          <w:tcPr>
            <w:tcW w:w="3192" w:type="dxa"/>
          </w:tcPr>
          <w:p w14:paraId="377C4BDC" w14:textId="24703B21" w:rsidR="00F849A2" w:rsidRDefault="00F849A2" w:rsidP="00F849A2">
            <w:r>
              <w:t>Редки</w:t>
            </w:r>
          </w:p>
        </w:tc>
      </w:tr>
      <w:tr w:rsidR="00F849A2" w14:paraId="24234608" w14:textId="77777777" w:rsidTr="00F849A2">
        <w:tc>
          <w:tcPr>
            <w:tcW w:w="3192" w:type="dxa"/>
          </w:tcPr>
          <w:p w14:paraId="104F4013" w14:textId="00992ACC" w:rsidR="00F849A2" w:rsidRDefault="00F849A2" w:rsidP="00F849A2">
            <w:r>
              <w:t>Интестинална обструкция, включително паралитичен илеус</w:t>
            </w:r>
          </w:p>
        </w:tc>
        <w:tc>
          <w:tcPr>
            <w:tcW w:w="3192" w:type="dxa"/>
          </w:tcPr>
          <w:p w14:paraId="4B59E3AE" w14:textId="0F0B845E" w:rsidR="00F849A2" w:rsidRDefault="00F849A2" w:rsidP="00F849A2">
            <w:r>
              <w:t>Снеизвестна честота</w:t>
            </w:r>
          </w:p>
        </w:tc>
        <w:tc>
          <w:tcPr>
            <w:tcW w:w="3192" w:type="dxa"/>
          </w:tcPr>
          <w:p w14:paraId="52806EB0" w14:textId="47E1BCBA" w:rsidR="00F849A2" w:rsidRDefault="00F849A2" w:rsidP="00F849A2">
            <w:r>
              <w:t>С неизвестна честота</w:t>
            </w:r>
          </w:p>
        </w:tc>
      </w:tr>
      <w:tr w:rsidR="00F849A2" w14:paraId="7E46FD7E" w14:textId="77777777" w:rsidTr="00F849A2">
        <w:tc>
          <w:tcPr>
            <w:tcW w:w="3192" w:type="dxa"/>
          </w:tcPr>
          <w:p w14:paraId="7842708D" w14:textId="3A1201DA" w:rsidR="00F849A2" w:rsidRDefault="00F849A2" w:rsidP="00F849A2">
            <w:r>
              <w:t>Гадене</w:t>
            </w:r>
          </w:p>
        </w:tc>
        <w:tc>
          <w:tcPr>
            <w:tcW w:w="3192" w:type="dxa"/>
          </w:tcPr>
          <w:p w14:paraId="27E4D4A6" w14:textId="5FDDD4EC" w:rsidR="00F849A2" w:rsidRDefault="00F849A2" w:rsidP="00F849A2">
            <w:r>
              <w:t>Снеизвестна честота</w:t>
            </w:r>
          </w:p>
        </w:tc>
        <w:tc>
          <w:tcPr>
            <w:tcW w:w="3192" w:type="dxa"/>
          </w:tcPr>
          <w:p w14:paraId="10BEAEDD" w14:textId="5C3E3B92" w:rsidR="00F849A2" w:rsidRDefault="00F849A2" w:rsidP="00F849A2">
            <w:r>
              <w:t>С неизвестна честота</w:t>
            </w:r>
          </w:p>
        </w:tc>
      </w:tr>
      <w:tr w:rsidR="00F849A2" w14:paraId="5084423D" w14:textId="77777777" w:rsidTr="00F849A2">
        <w:tc>
          <w:tcPr>
            <w:tcW w:w="3192" w:type="dxa"/>
          </w:tcPr>
          <w:p w14:paraId="0477C73C" w14:textId="77777777" w:rsidR="00F849A2" w:rsidRDefault="00F849A2" w:rsidP="00F849A2"/>
        </w:tc>
        <w:tc>
          <w:tcPr>
            <w:tcW w:w="3192" w:type="dxa"/>
          </w:tcPr>
          <w:p w14:paraId="0222F10A" w14:textId="77777777" w:rsidR="00F849A2" w:rsidRDefault="00F849A2" w:rsidP="00F849A2"/>
        </w:tc>
        <w:tc>
          <w:tcPr>
            <w:tcW w:w="3192" w:type="dxa"/>
          </w:tcPr>
          <w:p w14:paraId="1185AE81" w14:textId="77777777" w:rsidR="00F849A2" w:rsidRDefault="00F849A2" w:rsidP="00F849A2"/>
        </w:tc>
      </w:tr>
      <w:tr w:rsidR="00F849A2" w14:paraId="7CF02229" w14:textId="77777777" w:rsidTr="002D6021">
        <w:tc>
          <w:tcPr>
            <w:tcW w:w="9576" w:type="dxa"/>
            <w:gridSpan w:val="3"/>
          </w:tcPr>
          <w:p w14:paraId="6A737D8F" w14:textId="77777777" w:rsidR="00F849A2" w:rsidRPr="00F849A2" w:rsidRDefault="00F849A2" w:rsidP="00F849A2">
            <w:pPr>
              <w:rPr>
                <w:b/>
                <w:u w:val="single"/>
              </w:rPr>
            </w:pPr>
            <w:r w:rsidRPr="00F849A2">
              <w:rPr>
                <w:b/>
                <w:u w:val="single"/>
              </w:rPr>
              <w:t>Нарушения на кожата и подкожната тъкан.</w:t>
            </w:r>
          </w:p>
          <w:p w14:paraId="191CB248" w14:textId="6BA4BA60" w:rsidR="00F849A2" w:rsidRDefault="00F849A2" w:rsidP="00F849A2">
            <w:r w:rsidRPr="00F849A2">
              <w:rPr>
                <w:b/>
                <w:u w:val="single"/>
              </w:rPr>
              <w:t>нарушения на имунната система</w:t>
            </w:r>
          </w:p>
        </w:tc>
      </w:tr>
      <w:tr w:rsidR="00F849A2" w14:paraId="3FFFD7E9" w14:textId="77777777" w:rsidTr="00F849A2">
        <w:tc>
          <w:tcPr>
            <w:tcW w:w="3192" w:type="dxa"/>
          </w:tcPr>
          <w:p w14:paraId="235B6CF7" w14:textId="3FC12FA3" w:rsidR="00F849A2" w:rsidRDefault="00F849A2" w:rsidP="00F849A2">
            <w:r>
              <w:t>Обрив</w:t>
            </w:r>
          </w:p>
        </w:tc>
        <w:tc>
          <w:tcPr>
            <w:tcW w:w="3192" w:type="dxa"/>
          </w:tcPr>
          <w:p w14:paraId="05701321" w14:textId="714D57CE" w:rsidR="00F849A2" w:rsidRDefault="00F849A2" w:rsidP="00F849A2">
            <w:r>
              <w:t>Нечести</w:t>
            </w:r>
          </w:p>
        </w:tc>
        <w:tc>
          <w:tcPr>
            <w:tcW w:w="3192" w:type="dxa"/>
          </w:tcPr>
          <w:p w14:paraId="379A92D5" w14:textId="3F2E60A3" w:rsidR="00F849A2" w:rsidRDefault="00F849A2" w:rsidP="00F849A2">
            <w:r>
              <w:t>Нечести</w:t>
            </w:r>
          </w:p>
        </w:tc>
      </w:tr>
      <w:tr w:rsidR="00F849A2" w14:paraId="106D9A39" w14:textId="77777777" w:rsidTr="00F849A2">
        <w:tc>
          <w:tcPr>
            <w:tcW w:w="3192" w:type="dxa"/>
          </w:tcPr>
          <w:p w14:paraId="550ADA03" w14:textId="713E2F25" w:rsidR="00F849A2" w:rsidRDefault="00F849A2" w:rsidP="00F849A2">
            <w:r>
              <w:lastRenderedPageBreak/>
              <w:t>Пруритус</w:t>
            </w:r>
          </w:p>
        </w:tc>
        <w:tc>
          <w:tcPr>
            <w:tcW w:w="3192" w:type="dxa"/>
          </w:tcPr>
          <w:p w14:paraId="1C5A9329" w14:textId="79A387CA" w:rsidR="00F849A2" w:rsidRDefault="00F849A2" w:rsidP="00F849A2">
            <w:r>
              <w:t>Нечести</w:t>
            </w:r>
          </w:p>
        </w:tc>
        <w:tc>
          <w:tcPr>
            <w:tcW w:w="3192" w:type="dxa"/>
          </w:tcPr>
          <w:p w14:paraId="59CC5F37" w14:textId="119D3936" w:rsidR="00F849A2" w:rsidRDefault="00F849A2" w:rsidP="00F849A2">
            <w:r>
              <w:t>Редки</w:t>
            </w:r>
          </w:p>
        </w:tc>
      </w:tr>
      <w:tr w:rsidR="00F849A2" w14:paraId="61537731" w14:textId="77777777" w:rsidTr="00F849A2">
        <w:tc>
          <w:tcPr>
            <w:tcW w:w="3192" w:type="dxa"/>
          </w:tcPr>
          <w:p w14:paraId="57C23CFF" w14:textId="57A88496" w:rsidR="00F849A2" w:rsidRDefault="00F849A2" w:rsidP="00F849A2">
            <w:r>
              <w:t>Ангионевротичен едем</w:t>
            </w:r>
          </w:p>
        </w:tc>
        <w:tc>
          <w:tcPr>
            <w:tcW w:w="3192" w:type="dxa"/>
          </w:tcPr>
          <w:p w14:paraId="51AAD6A1" w14:textId="76F362A1" w:rsidR="00F849A2" w:rsidRDefault="00F849A2" w:rsidP="00F849A2">
            <w:r>
              <w:t>Редки</w:t>
            </w:r>
          </w:p>
        </w:tc>
        <w:tc>
          <w:tcPr>
            <w:tcW w:w="3192" w:type="dxa"/>
          </w:tcPr>
          <w:p w14:paraId="21F8D015" w14:textId="721BA928" w:rsidR="00F849A2" w:rsidRDefault="00F849A2" w:rsidP="00F849A2">
            <w:r>
              <w:t>Редки</w:t>
            </w:r>
          </w:p>
        </w:tc>
      </w:tr>
      <w:tr w:rsidR="00F849A2" w14:paraId="3BB5241D" w14:textId="77777777" w:rsidTr="00F849A2">
        <w:tc>
          <w:tcPr>
            <w:tcW w:w="3192" w:type="dxa"/>
          </w:tcPr>
          <w:p w14:paraId="5A106A2A" w14:textId="2A354850" w:rsidR="00F849A2" w:rsidRDefault="00F849A2" w:rsidP="00F849A2">
            <w:r>
              <w:t>Уртикария</w:t>
            </w:r>
          </w:p>
        </w:tc>
        <w:tc>
          <w:tcPr>
            <w:tcW w:w="3192" w:type="dxa"/>
          </w:tcPr>
          <w:p w14:paraId="42C5C585" w14:textId="5923E460" w:rsidR="00F849A2" w:rsidRDefault="00F849A2" w:rsidP="00F849A2">
            <w:r>
              <w:t>Редки</w:t>
            </w:r>
          </w:p>
        </w:tc>
        <w:tc>
          <w:tcPr>
            <w:tcW w:w="3192" w:type="dxa"/>
          </w:tcPr>
          <w:p w14:paraId="38374740" w14:textId="50FD235F" w:rsidR="00F849A2" w:rsidRDefault="00F849A2" w:rsidP="00F849A2">
            <w:r>
              <w:t>Редки</w:t>
            </w:r>
          </w:p>
        </w:tc>
      </w:tr>
      <w:tr w:rsidR="00F849A2" w14:paraId="37CA6866" w14:textId="77777777" w:rsidTr="00F849A2">
        <w:tc>
          <w:tcPr>
            <w:tcW w:w="3192" w:type="dxa"/>
          </w:tcPr>
          <w:p w14:paraId="2F37396A" w14:textId="1A42CDF4" w:rsidR="00F849A2" w:rsidRDefault="00F849A2" w:rsidP="00F849A2">
            <w:r>
              <w:t>Кожна инфекция, кожна язва</w:t>
            </w:r>
          </w:p>
        </w:tc>
        <w:tc>
          <w:tcPr>
            <w:tcW w:w="3192" w:type="dxa"/>
          </w:tcPr>
          <w:p w14:paraId="74A258EB" w14:textId="0FE3C656" w:rsidR="00F849A2" w:rsidRDefault="00F849A2" w:rsidP="00F849A2">
            <w:r>
              <w:t>Редки</w:t>
            </w:r>
          </w:p>
        </w:tc>
        <w:tc>
          <w:tcPr>
            <w:tcW w:w="3192" w:type="dxa"/>
          </w:tcPr>
          <w:p w14:paraId="133A1F2B" w14:textId="303C89AA" w:rsidR="00F849A2" w:rsidRDefault="00F849A2" w:rsidP="00F849A2">
            <w:r>
              <w:t>С неизвестна честота</w:t>
            </w:r>
          </w:p>
        </w:tc>
      </w:tr>
      <w:tr w:rsidR="00F849A2" w14:paraId="1E9B9788" w14:textId="77777777" w:rsidTr="00F849A2">
        <w:tc>
          <w:tcPr>
            <w:tcW w:w="3192" w:type="dxa"/>
          </w:tcPr>
          <w:p w14:paraId="6B13D83C" w14:textId="1D7A0FFC" w:rsidR="00F849A2" w:rsidRDefault="00F849A2" w:rsidP="00F849A2">
            <w:r>
              <w:t>Суха кожа</w:t>
            </w:r>
          </w:p>
        </w:tc>
        <w:tc>
          <w:tcPr>
            <w:tcW w:w="3192" w:type="dxa"/>
          </w:tcPr>
          <w:p w14:paraId="735B6510" w14:textId="6EC3E620" w:rsidR="00F849A2" w:rsidRDefault="00F849A2" w:rsidP="00F849A2">
            <w:r>
              <w:t>Редки</w:t>
            </w:r>
          </w:p>
        </w:tc>
        <w:tc>
          <w:tcPr>
            <w:tcW w:w="3192" w:type="dxa"/>
          </w:tcPr>
          <w:p w14:paraId="14410CFA" w14:textId="6C604093" w:rsidR="00F849A2" w:rsidRDefault="00F849A2" w:rsidP="00F849A2">
            <w:r>
              <w:t>С неизвестна честота</w:t>
            </w:r>
          </w:p>
        </w:tc>
      </w:tr>
      <w:tr w:rsidR="00F849A2" w14:paraId="345705C4" w14:textId="77777777" w:rsidTr="00F849A2">
        <w:tc>
          <w:tcPr>
            <w:tcW w:w="3192" w:type="dxa"/>
          </w:tcPr>
          <w:p w14:paraId="52110589" w14:textId="439A376C" w:rsidR="00F849A2" w:rsidRDefault="00F849A2" w:rsidP="00F849A2">
            <w:r>
              <w:t>Свръхчувствителност (включително реакции от бърз тип)</w:t>
            </w:r>
          </w:p>
        </w:tc>
        <w:tc>
          <w:tcPr>
            <w:tcW w:w="3192" w:type="dxa"/>
          </w:tcPr>
          <w:p w14:paraId="720E3D65" w14:textId="0E4CF2FE" w:rsidR="00F849A2" w:rsidRDefault="00F849A2" w:rsidP="00F849A2">
            <w:r>
              <w:t>С неизвестна честота</w:t>
            </w:r>
          </w:p>
        </w:tc>
        <w:tc>
          <w:tcPr>
            <w:tcW w:w="3192" w:type="dxa"/>
          </w:tcPr>
          <w:p w14:paraId="275649B9" w14:textId="3912BC10" w:rsidR="00F849A2" w:rsidRDefault="00F849A2" w:rsidP="00F849A2">
            <w:r>
              <w:t>Редки</w:t>
            </w:r>
          </w:p>
        </w:tc>
      </w:tr>
      <w:tr w:rsidR="00F849A2" w14:paraId="3C4E7E76" w14:textId="77777777" w:rsidTr="00F849A2">
        <w:tc>
          <w:tcPr>
            <w:tcW w:w="3192" w:type="dxa"/>
          </w:tcPr>
          <w:p w14:paraId="0984F597" w14:textId="1EC577B9" w:rsidR="00F849A2" w:rsidRDefault="00F849A2" w:rsidP="00F849A2">
            <w:r>
              <w:t>Анафилактична реакция</w:t>
            </w:r>
          </w:p>
        </w:tc>
        <w:tc>
          <w:tcPr>
            <w:tcW w:w="3192" w:type="dxa"/>
          </w:tcPr>
          <w:p w14:paraId="4CCE5CF9" w14:textId="188EB9BE" w:rsidR="00F849A2" w:rsidRDefault="00F849A2" w:rsidP="00F849A2">
            <w:r>
              <w:t>С неизвестна честота</w:t>
            </w:r>
          </w:p>
        </w:tc>
        <w:tc>
          <w:tcPr>
            <w:tcW w:w="3192" w:type="dxa"/>
          </w:tcPr>
          <w:p w14:paraId="23D1A25D" w14:textId="36787714" w:rsidR="00F849A2" w:rsidRDefault="00F849A2" w:rsidP="00F849A2">
            <w:r>
              <w:t>С неизвестна честота</w:t>
            </w:r>
          </w:p>
        </w:tc>
      </w:tr>
      <w:tr w:rsidR="00F849A2" w14:paraId="6CBBFD4C" w14:textId="77777777" w:rsidTr="00F849A2">
        <w:tc>
          <w:tcPr>
            <w:tcW w:w="3192" w:type="dxa"/>
          </w:tcPr>
          <w:p w14:paraId="2A5642F2" w14:textId="77777777" w:rsidR="00F849A2" w:rsidRDefault="00F849A2" w:rsidP="00F849A2"/>
        </w:tc>
        <w:tc>
          <w:tcPr>
            <w:tcW w:w="3192" w:type="dxa"/>
          </w:tcPr>
          <w:p w14:paraId="4A52FBBB" w14:textId="77777777" w:rsidR="00F849A2" w:rsidRDefault="00F849A2" w:rsidP="00F849A2"/>
        </w:tc>
        <w:tc>
          <w:tcPr>
            <w:tcW w:w="3192" w:type="dxa"/>
          </w:tcPr>
          <w:p w14:paraId="6C900927" w14:textId="77777777" w:rsidR="00F849A2" w:rsidRDefault="00F849A2" w:rsidP="00F849A2"/>
        </w:tc>
      </w:tr>
      <w:tr w:rsidR="002D6021" w14:paraId="35C44180" w14:textId="77777777" w:rsidTr="002D6021">
        <w:tc>
          <w:tcPr>
            <w:tcW w:w="9576" w:type="dxa"/>
            <w:gridSpan w:val="3"/>
          </w:tcPr>
          <w:p w14:paraId="00CC3970" w14:textId="09E4E919" w:rsidR="002D6021" w:rsidRPr="002D6021" w:rsidRDefault="002D6021" w:rsidP="002D6021">
            <w:pPr>
              <w:rPr>
                <w:b/>
                <w:u w:val="single"/>
              </w:rPr>
            </w:pPr>
            <w:r w:rsidRPr="002D6021">
              <w:rPr>
                <w:b/>
                <w:u w:val="single"/>
              </w:rPr>
              <w:t>Нарушения на мускулно-скелетната система и съединителната тъкан</w:t>
            </w:r>
          </w:p>
        </w:tc>
      </w:tr>
      <w:tr w:rsidR="002D6021" w14:paraId="2C9507B3" w14:textId="77777777" w:rsidTr="00F849A2">
        <w:tc>
          <w:tcPr>
            <w:tcW w:w="3192" w:type="dxa"/>
          </w:tcPr>
          <w:p w14:paraId="45118DBD" w14:textId="355F1B2B" w:rsidR="002D6021" w:rsidRDefault="002D6021" w:rsidP="002D6021">
            <w:r>
              <w:t>Подуване на ставите</w:t>
            </w:r>
          </w:p>
        </w:tc>
        <w:tc>
          <w:tcPr>
            <w:tcW w:w="3192" w:type="dxa"/>
          </w:tcPr>
          <w:p w14:paraId="4D77607A" w14:textId="6C0D649A" w:rsidR="002D6021" w:rsidRDefault="002D6021" w:rsidP="002D6021">
            <w:r>
              <w:t>С неизвестна честота</w:t>
            </w:r>
          </w:p>
        </w:tc>
        <w:tc>
          <w:tcPr>
            <w:tcW w:w="3192" w:type="dxa"/>
          </w:tcPr>
          <w:p w14:paraId="77BD19D5" w14:textId="58D94C5A" w:rsidR="002D6021" w:rsidRDefault="002D6021" w:rsidP="002D6021">
            <w:r>
              <w:t>С неизвестна честота</w:t>
            </w:r>
          </w:p>
        </w:tc>
      </w:tr>
      <w:tr w:rsidR="00F849A2" w14:paraId="4AA4078B" w14:textId="77777777" w:rsidTr="00F849A2">
        <w:tc>
          <w:tcPr>
            <w:tcW w:w="3192" w:type="dxa"/>
          </w:tcPr>
          <w:p w14:paraId="6C5539AA" w14:textId="77777777" w:rsidR="00F849A2" w:rsidRDefault="00F849A2" w:rsidP="00F849A2"/>
        </w:tc>
        <w:tc>
          <w:tcPr>
            <w:tcW w:w="3192" w:type="dxa"/>
          </w:tcPr>
          <w:p w14:paraId="1C920E38" w14:textId="77777777" w:rsidR="00F849A2" w:rsidRDefault="00F849A2" w:rsidP="00F849A2"/>
        </w:tc>
        <w:tc>
          <w:tcPr>
            <w:tcW w:w="3192" w:type="dxa"/>
          </w:tcPr>
          <w:p w14:paraId="2A383DB5" w14:textId="77777777" w:rsidR="00F849A2" w:rsidRDefault="00F849A2" w:rsidP="00F849A2"/>
        </w:tc>
      </w:tr>
      <w:tr w:rsidR="002D6021" w14:paraId="20700096" w14:textId="77777777" w:rsidTr="002D6021">
        <w:tc>
          <w:tcPr>
            <w:tcW w:w="9576" w:type="dxa"/>
            <w:gridSpan w:val="3"/>
          </w:tcPr>
          <w:p w14:paraId="03138F60" w14:textId="489DA617" w:rsidR="002D6021" w:rsidRPr="002D6021" w:rsidRDefault="002D6021" w:rsidP="002D6021">
            <w:pPr>
              <w:rPr>
                <w:b/>
                <w:u w:val="single"/>
              </w:rPr>
            </w:pPr>
            <w:r w:rsidRPr="002D6021">
              <w:rPr>
                <w:b/>
                <w:u w:val="single"/>
              </w:rPr>
              <w:t>Нарушения на бъбреците и пикочните пътиша</w:t>
            </w:r>
          </w:p>
        </w:tc>
      </w:tr>
      <w:tr w:rsidR="002D6021" w14:paraId="2EBDB570" w14:textId="77777777" w:rsidTr="00F849A2">
        <w:tc>
          <w:tcPr>
            <w:tcW w:w="3192" w:type="dxa"/>
          </w:tcPr>
          <w:p w14:paraId="03D34281" w14:textId="48192CAC" w:rsidR="002D6021" w:rsidRDefault="002D6021" w:rsidP="002D6021">
            <w:r>
              <w:t>Задръжка на урина</w:t>
            </w:r>
          </w:p>
        </w:tc>
        <w:tc>
          <w:tcPr>
            <w:tcW w:w="3192" w:type="dxa"/>
          </w:tcPr>
          <w:p w14:paraId="5AAB0855" w14:textId="08D39522" w:rsidR="002D6021" w:rsidRDefault="002D6021" w:rsidP="002D6021">
            <w:r>
              <w:t>Нечести</w:t>
            </w:r>
          </w:p>
        </w:tc>
        <w:tc>
          <w:tcPr>
            <w:tcW w:w="3192" w:type="dxa"/>
          </w:tcPr>
          <w:p w14:paraId="6E6B8AEE" w14:textId="380CFA3E" w:rsidR="002D6021" w:rsidRDefault="002D6021" w:rsidP="002D6021">
            <w:r>
              <w:t>Снеизвестна честота</w:t>
            </w:r>
          </w:p>
        </w:tc>
      </w:tr>
      <w:tr w:rsidR="002D6021" w14:paraId="7D684F4C" w14:textId="77777777" w:rsidTr="00F849A2">
        <w:tc>
          <w:tcPr>
            <w:tcW w:w="3192" w:type="dxa"/>
          </w:tcPr>
          <w:p w14:paraId="3EE64F99" w14:textId="64E8DB89" w:rsidR="002D6021" w:rsidRDefault="002D6021" w:rsidP="002D6021">
            <w:r>
              <w:t>Дизурия</w:t>
            </w:r>
          </w:p>
        </w:tc>
        <w:tc>
          <w:tcPr>
            <w:tcW w:w="3192" w:type="dxa"/>
          </w:tcPr>
          <w:p w14:paraId="2488661E" w14:textId="543B0DC1" w:rsidR="002D6021" w:rsidRDefault="002D6021" w:rsidP="002D6021">
            <w:r>
              <w:t>Нечести</w:t>
            </w:r>
          </w:p>
        </w:tc>
        <w:tc>
          <w:tcPr>
            <w:tcW w:w="3192" w:type="dxa"/>
          </w:tcPr>
          <w:p w14:paraId="1FC255F5" w14:textId="788B9008" w:rsidR="002D6021" w:rsidRDefault="002D6021" w:rsidP="002D6021">
            <w:r>
              <w:t>С неизвестна честота</w:t>
            </w:r>
          </w:p>
        </w:tc>
      </w:tr>
      <w:tr w:rsidR="002D6021" w14:paraId="6E09BCD3" w14:textId="77777777" w:rsidTr="00F849A2">
        <w:tc>
          <w:tcPr>
            <w:tcW w:w="3192" w:type="dxa"/>
          </w:tcPr>
          <w:p w14:paraId="25B718C3" w14:textId="1D218AD4" w:rsidR="002D6021" w:rsidRDefault="002D6021" w:rsidP="002D6021">
            <w:r>
              <w:t>Инфекция на уринарния тракт</w:t>
            </w:r>
          </w:p>
        </w:tc>
        <w:tc>
          <w:tcPr>
            <w:tcW w:w="3192" w:type="dxa"/>
          </w:tcPr>
          <w:p w14:paraId="7C3DB7F2" w14:textId="2AD7ADAD" w:rsidR="002D6021" w:rsidRDefault="002D6021" w:rsidP="002D6021">
            <w:r>
              <w:t>Редки</w:t>
            </w:r>
          </w:p>
        </w:tc>
        <w:tc>
          <w:tcPr>
            <w:tcW w:w="3192" w:type="dxa"/>
          </w:tcPr>
          <w:p w14:paraId="66C6A736" w14:textId="2F2E8457" w:rsidR="002D6021" w:rsidRDefault="002D6021" w:rsidP="002D6021">
            <w:r>
              <w:t>Редки</w:t>
            </w:r>
          </w:p>
        </w:tc>
      </w:tr>
    </w:tbl>
    <w:p w14:paraId="6E9A3C03" w14:textId="77777777" w:rsidR="002D6021" w:rsidRDefault="002D6021" w:rsidP="002D6021">
      <w:pPr>
        <w:spacing w:line="240" w:lineRule="auto"/>
        <w:rPr>
          <w:rFonts w:eastAsia="Times New Roman" w:cs="Arial"/>
          <w:bCs/>
          <w:color w:val="000000"/>
          <w:szCs w:val="42"/>
          <w:u w:val="single"/>
          <w:lang w:eastAsia="bg-BG"/>
        </w:rPr>
      </w:pPr>
    </w:p>
    <w:p w14:paraId="449EB23A" w14:textId="2F01AEC3" w:rsidR="002D6021" w:rsidRPr="002D6021" w:rsidRDefault="002D6021" w:rsidP="002D6021">
      <w:pPr>
        <w:spacing w:line="240" w:lineRule="auto"/>
        <w:rPr>
          <w:rFonts w:eastAsia="Times New Roman" w:cs="Arial"/>
          <w:sz w:val="12"/>
          <w:szCs w:val="24"/>
        </w:rPr>
      </w:pPr>
      <w:r w:rsidRPr="002D6021">
        <w:rPr>
          <w:rFonts w:eastAsia="Times New Roman" w:cs="Arial"/>
          <w:bCs/>
          <w:color w:val="000000"/>
          <w:szCs w:val="42"/>
          <w:u w:val="single"/>
          <w:lang w:eastAsia="bg-BG"/>
        </w:rPr>
        <w:t>Описание на избрани нежелани лекарствени реакции</w:t>
      </w:r>
    </w:p>
    <w:p w14:paraId="172837C2" w14:textId="77777777" w:rsidR="002D6021" w:rsidRPr="002D6021" w:rsidRDefault="002D6021" w:rsidP="002D6021">
      <w:pPr>
        <w:spacing w:line="240" w:lineRule="auto"/>
        <w:rPr>
          <w:rFonts w:eastAsia="Times New Roman" w:cs="Arial"/>
          <w:sz w:val="12"/>
          <w:szCs w:val="24"/>
        </w:rPr>
      </w:pPr>
      <w:r w:rsidRPr="002D6021">
        <w:rPr>
          <w:rFonts w:eastAsia="Times New Roman" w:cs="Arial"/>
          <w:bCs/>
          <w:color w:val="000000"/>
          <w:szCs w:val="42"/>
          <w:lang w:eastAsia="bg-BG"/>
        </w:rPr>
        <w:t>В контролирани клинични проучвания при ХОББ често наблюдаваните нежелани реакции са антихолинергични нежелани лекарствени реакции, такива като сухота в устата, които възникват при приблизително 2,9% от пациентите. При астма честотата на реакцията сухота в устата е 0,83%.</w:t>
      </w:r>
    </w:p>
    <w:p w14:paraId="5EB709D9" w14:textId="77777777" w:rsidR="002D6021" w:rsidRDefault="002D6021" w:rsidP="002D6021">
      <w:pPr>
        <w:spacing w:line="240" w:lineRule="auto"/>
        <w:rPr>
          <w:rFonts w:eastAsia="Times New Roman" w:cs="Arial"/>
          <w:bCs/>
          <w:color w:val="000000"/>
          <w:szCs w:val="42"/>
          <w:lang w:eastAsia="bg-BG"/>
        </w:rPr>
      </w:pPr>
    </w:p>
    <w:p w14:paraId="7CEFDB66" w14:textId="522E8BD3" w:rsidR="002D6021" w:rsidRPr="002D6021" w:rsidRDefault="002D6021" w:rsidP="002D6021">
      <w:pPr>
        <w:spacing w:line="240" w:lineRule="auto"/>
        <w:rPr>
          <w:rFonts w:eastAsia="Times New Roman" w:cs="Arial"/>
          <w:sz w:val="12"/>
          <w:szCs w:val="24"/>
        </w:rPr>
      </w:pPr>
      <w:r w:rsidRPr="002D6021">
        <w:rPr>
          <w:rFonts w:eastAsia="Times New Roman" w:cs="Arial"/>
          <w:bCs/>
          <w:color w:val="000000"/>
          <w:szCs w:val="42"/>
          <w:lang w:eastAsia="bg-BG"/>
        </w:rPr>
        <w:t>В 7 клинични проучвания при ХОББ сухотата в устата води до прекъсване на лечението при 3 от 3 282 пациенти, лекувани с тиотропиум (0,1%). Прекъсване на лечението поради сухота в устата не е съобщено в 12 клинични проучвания при астма (1 930 пациенти).</w:t>
      </w:r>
    </w:p>
    <w:p w14:paraId="1C610CA3" w14:textId="77777777" w:rsidR="002D6021" w:rsidRDefault="002D6021" w:rsidP="002D6021">
      <w:pPr>
        <w:spacing w:line="240" w:lineRule="auto"/>
        <w:rPr>
          <w:rFonts w:eastAsia="Times New Roman" w:cs="Arial"/>
          <w:bCs/>
          <w:color w:val="000000"/>
          <w:szCs w:val="42"/>
          <w:lang w:eastAsia="bg-BG"/>
        </w:rPr>
      </w:pPr>
    </w:p>
    <w:p w14:paraId="18C0D4AA" w14:textId="7FA29CA9" w:rsidR="002D6021" w:rsidRPr="002D6021" w:rsidRDefault="002D6021" w:rsidP="002D6021">
      <w:pPr>
        <w:spacing w:line="240" w:lineRule="auto"/>
        <w:rPr>
          <w:rFonts w:eastAsia="Times New Roman" w:cs="Arial"/>
          <w:sz w:val="12"/>
          <w:szCs w:val="24"/>
        </w:rPr>
      </w:pPr>
      <w:r w:rsidRPr="002D6021">
        <w:rPr>
          <w:rFonts w:eastAsia="Times New Roman" w:cs="Arial"/>
          <w:bCs/>
          <w:color w:val="000000"/>
          <w:szCs w:val="42"/>
          <w:lang w:eastAsia="bg-BG"/>
        </w:rPr>
        <w:t>Сериозни нежелани реакции, свързани е антихолинергични ефекти включват както глаукома, констипация и интестинална обструкция, включително паралитичен илеус, така също и задръжка на</w:t>
      </w:r>
    </w:p>
    <w:p w14:paraId="38AB33EF" w14:textId="77777777" w:rsidR="002D6021" w:rsidRPr="002D6021" w:rsidRDefault="002D6021" w:rsidP="002D6021">
      <w:pPr>
        <w:spacing w:line="240" w:lineRule="auto"/>
        <w:rPr>
          <w:rFonts w:eastAsia="Times New Roman" w:cs="Arial"/>
          <w:sz w:val="12"/>
          <w:szCs w:val="24"/>
        </w:rPr>
      </w:pPr>
      <w:r w:rsidRPr="002D6021">
        <w:rPr>
          <w:rFonts w:eastAsia="Times New Roman" w:cs="Arial"/>
          <w:bCs/>
          <w:color w:val="000000"/>
          <w:szCs w:val="42"/>
          <w:lang w:eastAsia="bg-BG"/>
        </w:rPr>
        <w:t>урина.</w:t>
      </w:r>
    </w:p>
    <w:p w14:paraId="1AF417D1" w14:textId="77777777" w:rsidR="002D6021" w:rsidRPr="002D6021" w:rsidRDefault="002D6021" w:rsidP="002D6021">
      <w:pPr>
        <w:spacing w:line="240" w:lineRule="auto"/>
        <w:rPr>
          <w:rFonts w:eastAsia="Times New Roman" w:cs="Arial"/>
          <w:sz w:val="12"/>
          <w:szCs w:val="24"/>
        </w:rPr>
      </w:pPr>
    </w:p>
    <w:p w14:paraId="2142650D" w14:textId="77777777" w:rsidR="002D6021" w:rsidRPr="002D6021" w:rsidRDefault="002D6021" w:rsidP="002D6021">
      <w:pPr>
        <w:spacing w:line="240" w:lineRule="auto"/>
        <w:rPr>
          <w:rFonts w:eastAsia="Times New Roman" w:cs="Arial"/>
          <w:sz w:val="12"/>
          <w:szCs w:val="24"/>
        </w:rPr>
      </w:pPr>
    </w:p>
    <w:p w14:paraId="1EB109EA" w14:textId="2DFD42BE" w:rsidR="002D6021" w:rsidRDefault="002D6021" w:rsidP="002D6021">
      <w:pPr>
        <w:rPr>
          <w:rFonts w:eastAsia="Times New Roman" w:cs="Arial"/>
          <w:bCs/>
          <w:color w:val="000000"/>
          <w:szCs w:val="42"/>
          <w:u w:val="single"/>
          <w:lang w:eastAsia="bg-BG"/>
        </w:rPr>
      </w:pPr>
      <w:r w:rsidRPr="002D6021">
        <w:rPr>
          <w:rFonts w:eastAsia="Times New Roman" w:cs="Arial"/>
          <w:bCs/>
          <w:color w:val="000000"/>
          <w:szCs w:val="42"/>
          <w:u w:val="single"/>
          <w:lang w:eastAsia="bg-BG"/>
        </w:rPr>
        <w:t>Педиатрична популация</w:t>
      </w:r>
    </w:p>
    <w:p w14:paraId="1935DA4B"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 xml:space="preserve">Данните за безопасност включват 560 педиатрични пациенти (296 пациенти на възраст от 1 до 11 години и 264 </w:t>
      </w:r>
      <w:r w:rsidRPr="002D6021">
        <w:rPr>
          <w:rFonts w:eastAsia="Times New Roman" w:cs="Arial"/>
          <w:bCs/>
          <w:i/>
          <w:iCs/>
          <w:color w:val="000000"/>
          <w:lang w:eastAsia="bg-BG"/>
        </w:rPr>
        <w:t>пациенти</w:t>
      </w:r>
      <w:r w:rsidRPr="002D6021">
        <w:rPr>
          <w:rFonts w:eastAsia="Times New Roman" w:cs="Arial"/>
          <w:bCs/>
          <w:color w:val="000000"/>
          <w:lang w:eastAsia="bg-BG"/>
        </w:rPr>
        <w:t xml:space="preserve"> на възраст от 12 до 17 години) от 5 плацебо-контролирани клинични проучвания с периоди на лечение между 12 седмици до 1 година. Честотата, типа и тежестта на нежеланите реакции при педиатричната популация са сходни с тези при възрастни пациенти.</w:t>
      </w:r>
    </w:p>
    <w:p w14:paraId="3493AC5C" w14:textId="77777777" w:rsidR="002D6021" w:rsidRPr="002D6021" w:rsidRDefault="002D6021" w:rsidP="002D6021">
      <w:pPr>
        <w:spacing w:line="240" w:lineRule="auto"/>
        <w:rPr>
          <w:rFonts w:eastAsia="Times New Roman" w:cs="Arial"/>
          <w:bCs/>
          <w:color w:val="000000"/>
          <w:u w:val="single"/>
          <w:lang w:eastAsia="bg-BG"/>
        </w:rPr>
      </w:pPr>
    </w:p>
    <w:p w14:paraId="42043B4C" w14:textId="2323EEFA" w:rsidR="002D6021" w:rsidRPr="002D6021" w:rsidRDefault="002D6021" w:rsidP="002D6021">
      <w:pPr>
        <w:spacing w:line="240" w:lineRule="auto"/>
        <w:rPr>
          <w:rFonts w:eastAsia="Times New Roman" w:cs="Arial"/>
        </w:rPr>
      </w:pPr>
      <w:r w:rsidRPr="002D6021">
        <w:rPr>
          <w:rFonts w:eastAsia="Times New Roman" w:cs="Arial"/>
          <w:bCs/>
          <w:color w:val="000000"/>
          <w:u w:val="single"/>
          <w:lang w:eastAsia="bg-BG"/>
        </w:rPr>
        <w:t>Други специфични популапии</w:t>
      </w:r>
    </w:p>
    <w:p w14:paraId="3763BA76"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Възможна е повишена поява на антихолинергични нежелани реакции при пациенти в напреднала възраст.</w:t>
      </w:r>
    </w:p>
    <w:p w14:paraId="5A73AF96" w14:textId="77777777" w:rsidR="002D6021" w:rsidRPr="002D6021" w:rsidRDefault="002D6021" w:rsidP="002D6021">
      <w:pPr>
        <w:spacing w:line="240" w:lineRule="auto"/>
        <w:rPr>
          <w:rFonts w:eastAsia="Times New Roman" w:cs="Arial"/>
          <w:bCs/>
          <w:color w:val="000000"/>
          <w:u w:val="single"/>
          <w:lang w:eastAsia="bg-BG"/>
        </w:rPr>
      </w:pPr>
    </w:p>
    <w:p w14:paraId="07F51145" w14:textId="396107C4" w:rsidR="002D6021" w:rsidRPr="002D6021" w:rsidRDefault="002D6021" w:rsidP="002D6021">
      <w:pPr>
        <w:spacing w:line="240" w:lineRule="auto"/>
        <w:rPr>
          <w:rFonts w:eastAsia="Times New Roman" w:cs="Arial"/>
        </w:rPr>
      </w:pPr>
      <w:r w:rsidRPr="002D6021">
        <w:rPr>
          <w:rFonts w:eastAsia="Times New Roman" w:cs="Arial"/>
          <w:bCs/>
          <w:color w:val="000000"/>
          <w:u w:val="single"/>
          <w:lang w:eastAsia="bg-BG"/>
        </w:rPr>
        <w:t>Съобщаване на подозирани нежелани реакпии</w:t>
      </w:r>
    </w:p>
    <w:p w14:paraId="5FA433B8" w14:textId="77777777" w:rsidR="002D6021" w:rsidRPr="002D6021" w:rsidRDefault="002D6021" w:rsidP="002D6021">
      <w:pPr>
        <w:spacing w:line="240" w:lineRule="auto"/>
        <w:rPr>
          <w:rFonts w:ascii="Times New Roman" w:eastAsia="Times New Roman" w:hAnsi="Times New Roman" w:cs="Times New Roman"/>
          <w:sz w:val="24"/>
          <w:szCs w:val="24"/>
        </w:rPr>
      </w:pPr>
      <w:r w:rsidRPr="002D6021">
        <w:rPr>
          <w:rFonts w:eastAsia="Times New Roman" w:cs="Arial"/>
          <w:bCs/>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w:t>
      </w:r>
      <w:r w:rsidRPr="002D6021">
        <w:rPr>
          <w:rFonts w:eastAsia="Times New Roman" w:cs="Arial"/>
          <w:bCs/>
          <w:color w:val="000000"/>
          <w:lang w:eastAsia="bg-BG"/>
        </w:rPr>
        <w:lastRenderedPageBreak/>
        <w:t xml:space="preserve">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Изпълнителната агенция по лекарствата, ул. „Дамян Груев” № 8, 1303 София, тел.: +35928903417, уебсайт: </w:t>
      </w:r>
      <w:r w:rsidRPr="002D6021">
        <w:rPr>
          <w:rFonts w:eastAsia="Times New Roman" w:cs="Arial"/>
        </w:rPr>
        <w:fldChar w:fldCharType="begin"/>
      </w:r>
      <w:r w:rsidRPr="002D6021">
        <w:rPr>
          <w:rFonts w:eastAsia="Times New Roman" w:cs="Arial"/>
        </w:rPr>
        <w:instrText xml:space="preserve"> HYPERLINK "http://www.bda.bg" </w:instrText>
      </w:r>
      <w:r w:rsidRPr="002D6021">
        <w:rPr>
          <w:rFonts w:eastAsia="Times New Roman" w:cs="Arial"/>
        </w:rPr>
      </w:r>
      <w:r w:rsidRPr="002D6021">
        <w:rPr>
          <w:rFonts w:eastAsia="Times New Roman" w:cs="Arial"/>
        </w:rPr>
        <w:fldChar w:fldCharType="separate"/>
      </w:r>
      <w:r w:rsidRPr="002D6021">
        <w:rPr>
          <w:rFonts w:eastAsia="Times New Roman" w:cs="Arial"/>
          <w:bCs/>
          <w:color w:val="000000"/>
          <w:u w:val="single"/>
          <w:lang w:val="en-US"/>
        </w:rPr>
        <w:t>www.bda.bg</w:t>
      </w:r>
      <w:r w:rsidRPr="002D6021">
        <w:rPr>
          <w:rFonts w:eastAsia="Times New Roman" w:cs="Arial"/>
        </w:rPr>
        <w:fldChar w:fldCharType="end"/>
      </w:r>
      <w:r w:rsidRPr="002D6021">
        <w:rPr>
          <w:rFonts w:eastAsia="Times New Roman" w:cs="Arial"/>
          <w:bCs/>
          <w:color w:val="000000"/>
          <w:u w:val="single"/>
          <w:lang w:val="en-US"/>
        </w:rPr>
        <w:t>.</w:t>
      </w:r>
    </w:p>
    <w:p w14:paraId="67F62C0B" w14:textId="77777777" w:rsidR="002D6021" w:rsidRPr="002D6021" w:rsidRDefault="002D6021" w:rsidP="002D6021"/>
    <w:p w14:paraId="4ED30546" w14:textId="3F626822" w:rsidR="007C605B" w:rsidRDefault="002C50EE" w:rsidP="009F1313">
      <w:pPr>
        <w:pStyle w:val="Heading2"/>
      </w:pPr>
      <w:r>
        <w:t>4.9. Предозиране</w:t>
      </w:r>
    </w:p>
    <w:p w14:paraId="3D41A390" w14:textId="1A2CB065" w:rsidR="002D6021" w:rsidRDefault="002D6021" w:rsidP="002D6021"/>
    <w:p w14:paraId="2B7A6C4A" w14:textId="77777777" w:rsidR="002D6021" w:rsidRPr="002D6021" w:rsidRDefault="002D6021" w:rsidP="002D6021">
      <w:pPr>
        <w:rPr>
          <w:sz w:val="24"/>
          <w:szCs w:val="24"/>
        </w:rPr>
      </w:pPr>
      <w:r w:rsidRPr="002D6021">
        <w:rPr>
          <w:lang w:eastAsia="bg-BG"/>
        </w:rPr>
        <w:t>Високи дози тиотропиум бромид могат да предизвикат антихолинергични признаци и симптоми.</w:t>
      </w:r>
    </w:p>
    <w:p w14:paraId="71ED1E9D" w14:textId="77777777" w:rsidR="002D6021" w:rsidRDefault="002D6021" w:rsidP="002D6021">
      <w:pPr>
        <w:rPr>
          <w:lang w:eastAsia="bg-BG"/>
        </w:rPr>
      </w:pPr>
    </w:p>
    <w:p w14:paraId="12991725" w14:textId="1619AC21" w:rsidR="002D6021" w:rsidRPr="002D6021" w:rsidRDefault="002D6021" w:rsidP="002D6021">
      <w:pPr>
        <w:rPr>
          <w:sz w:val="24"/>
          <w:szCs w:val="24"/>
        </w:rPr>
      </w:pPr>
      <w:r w:rsidRPr="002D6021">
        <w:rPr>
          <w:lang w:eastAsia="bg-BG"/>
        </w:rPr>
        <w:t>Въпреки това, не са наблюдавани системни антихолинергични нежелани ефекти при здрави доброволци, след приложение на еднократна доза от 340 микрограма тиотропиум бромид. В допълнение, не са наблюдавани значими нежелани лекарствени реакции, освен пресъхване на устата/гьрлото и лигавицата на носната кухина, след 14 дневно приложение на дози до 40 микрограма тиотропиум бромцд, разтвор за инхалация, при здрави доброволци, с изключение на явно намаляване на притока на слюнка от 7-ми ден нататък.</w:t>
      </w:r>
    </w:p>
    <w:p w14:paraId="3F77C771" w14:textId="77777777" w:rsidR="002D6021" w:rsidRPr="002D6021" w:rsidRDefault="002D6021" w:rsidP="002D6021"/>
    <w:p w14:paraId="02081B24" w14:textId="1F46E296" w:rsidR="00395555" w:rsidRPr="00395555" w:rsidRDefault="002C50EE" w:rsidP="008A6AF2">
      <w:pPr>
        <w:pStyle w:val="Heading1"/>
      </w:pPr>
      <w:r>
        <w:t>5. ФАРМАКОЛОГИЧНИ СВОЙСТВА</w:t>
      </w:r>
    </w:p>
    <w:p w14:paraId="5350637D" w14:textId="30BC68D1" w:rsidR="00395555" w:rsidRDefault="002C50EE" w:rsidP="008A6AF2">
      <w:pPr>
        <w:pStyle w:val="Heading2"/>
      </w:pPr>
      <w:r>
        <w:t>5.1. Фармакодинамични свойства</w:t>
      </w:r>
    </w:p>
    <w:p w14:paraId="470DF676" w14:textId="7DB4F337" w:rsidR="002D6021" w:rsidRDefault="002D6021" w:rsidP="002D6021"/>
    <w:p w14:paraId="2FBB1742"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 xml:space="preserve">Фармакотерапевтична група: Други лекарствени средства за обструктивни заболявалия на дихателните пътища, инхаланти, антихолинергици АТС код: </w:t>
      </w:r>
      <w:r w:rsidRPr="002D6021">
        <w:rPr>
          <w:rFonts w:eastAsia="Times New Roman" w:cs="Arial"/>
          <w:bCs/>
          <w:color w:val="000000"/>
          <w:lang w:val="en-US"/>
        </w:rPr>
        <w:t>R</w:t>
      </w:r>
      <w:r w:rsidRPr="002D6021">
        <w:rPr>
          <w:rFonts w:eastAsia="Times New Roman" w:cs="Arial"/>
          <w:bCs/>
          <w:color w:val="000000"/>
          <w:lang w:val="ru-RU"/>
        </w:rPr>
        <w:t>03</w:t>
      </w:r>
      <w:r w:rsidRPr="002D6021">
        <w:rPr>
          <w:rFonts w:eastAsia="Times New Roman" w:cs="Arial"/>
          <w:bCs/>
          <w:color w:val="000000"/>
          <w:lang w:val="en-US"/>
        </w:rPr>
        <w:t>B</w:t>
      </w:r>
      <w:r w:rsidRPr="002D6021">
        <w:rPr>
          <w:rFonts w:eastAsia="Times New Roman" w:cs="Arial"/>
          <w:bCs/>
          <w:color w:val="000000"/>
          <w:lang w:val="ru-RU"/>
        </w:rPr>
        <w:t xml:space="preserve"> </w:t>
      </w:r>
      <w:r w:rsidRPr="002D6021">
        <w:rPr>
          <w:rFonts w:eastAsia="Times New Roman" w:cs="Arial"/>
          <w:bCs/>
          <w:color w:val="000000"/>
          <w:lang w:eastAsia="bg-BG"/>
        </w:rPr>
        <w:t>В04</w:t>
      </w:r>
    </w:p>
    <w:p w14:paraId="05BC0DF5" w14:textId="77777777" w:rsidR="002D6021" w:rsidRPr="002D6021" w:rsidRDefault="002D6021" w:rsidP="002D6021">
      <w:pPr>
        <w:spacing w:line="240" w:lineRule="auto"/>
        <w:rPr>
          <w:rFonts w:eastAsia="Times New Roman" w:cs="Arial"/>
          <w:bCs/>
          <w:color w:val="000000"/>
          <w:u w:val="single"/>
          <w:lang w:eastAsia="bg-BG"/>
        </w:rPr>
      </w:pPr>
    </w:p>
    <w:p w14:paraId="3778093B" w14:textId="734DAB93" w:rsidR="002D6021" w:rsidRPr="002D6021" w:rsidRDefault="002D6021" w:rsidP="002D6021">
      <w:pPr>
        <w:spacing w:line="240" w:lineRule="auto"/>
        <w:rPr>
          <w:rFonts w:eastAsia="Times New Roman" w:cs="Arial"/>
        </w:rPr>
      </w:pPr>
      <w:r w:rsidRPr="002D6021">
        <w:rPr>
          <w:rFonts w:eastAsia="Times New Roman" w:cs="Arial"/>
          <w:bCs/>
          <w:color w:val="000000"/>
          <w:u w:val="single"/>
          <w:lang w:eastAsia="bg-BG"/>
        </w:rPr>
        <w:t>Начин на действие</w:t>
      </w:r>
    </w:p>
    <w:p w14:paraId="1306F680"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 xml:space="preserve">Тиотропиум бромид представлява продължително-действащ, специфичен антагонист на мускариновите рецептори. Притежава сходен афинитет към подтиповете мускаринови рецептори </w:t>
      </w:r>
      <w:r w:rsidRPr="002D6021">
        <w:rPr>
          <w:rFonts w:eastAsia="Times New Roman" w:cs="Arial"/>
          <w:bCs/>
          <w:color w:val="000000"/>
          <w:lang w:val="en-US"/>
        </w:rPr>
        <w:t>M</w:t>
      </w:r>
      <w:r w:rsidRPr="002D6021">
        <w:rPr>
          <w:rFonts w:eastAsia="Times New Roman" w:cs="Arial"/>
          <w:bCs/>
          <w:color w:val="000000"/>
          <w:vertAlign w:val="subscript"/>
          <w:lang w:val="ru-RU"/>
        </w:rPr>
        <w:t>1</w:t>
      </w:r>
      <w:r w:rsidRPr="002D6021">
        <w:rPr>
          <w:rFonts w:eastAsia="Times New Roman" w:cs="Arial"/>
          <w:bCs/>
          <w:color w:val="000000"/>
          <w:lang w:val="ru-RU"/>
        </w:rPr>
        <w:t xml:space="preserve"> </w:t>
      </w:r>
      <w:r w:rsidRPr="002D6021">
        <w:rPr>
          <w:rFonts w:eastAsia="Times New Roman" w:cs="Arial"/>
          <w:bCs/>
          <w:color w:val="000000"/>
          <w:lang w:eastAsia="bg-BG"/>
        </w:rPr>
        <w:t>до М</w:t>
      </w:r>
      <w:r w:rsidRPr="002D6021">
        <w:rPr>
          <w:rFonts w:eastAsia="Times New Roman" w:cs="Arial"/>
          <w:bCs/>
          <w:color w:val="000000"/>
          <w:vertAlign w:val="subscript"/>
          <w:lang w:eastAsia="bg-BG"/>
        </w:rPr>
        <w:t>5</w:t>
      </w:r>
      <w:r w:rsidRPr="002D6021">
        <w:rPr>
          <w:rFonts w:eastAsia="Times New Roman" w:cs="Arial"/>
          <w:bCs/>
          <w:color w:val="000000"/>
          <w:lang w:eastAsia="bg-BG"/>
        </w:rPr>
        <w:t xml:space="preserve"> В дихателните пътища, тиотропиум бромцд конкурентно и обратимо антагонизира М</w:t>
      </w:r>
      <w:r w:rsidRPr="002D6021">
        <w:rPr>
          <w:rFonts w:eastAsia="Times New Roman" w:cs="Arial"/>
          <w:bCs/>
          <w:color w:val="000000"/>
          <w:vertAlign w:val="subscript"/>
          <w:lang w:eastAsia="bg-BG"/>
        </w:rPr>
        <w:t>3</w:t>
      </w:r>
      <w:r w:rsidRPr="002D6021">
        <w:rPr>
          <w:rFonts w:eastAsia="Times New Roman" w:cs="Arial"/>
          <w:bCs/>
          <w:color w:val="000000"/>
          <w:lang w:eastAsia="bg-BG"/>
        </w:rPr>
        <w:t xml:space="preserve">- рецепторите в гладката мускулатура на бронхите, като антагонизира холинергичния (бронхоконстриктивния) ефект на ацетилхолина, което води до релаксация на бронхиалната мускулатура. Ефектът беше дозозависим и продължителността му е повече от 24 часа. Като </w:t>
      </w:r>
      <w:r w:rsidRPr="002D6021">
        <w:rPr>
          <w:rFonts w:eastAsia="Times New Roman" w:cs="Arial"/>
          <w:bCs/>
          <w:color w:val="000000"/>
          <w:lang w:val="en-US"/>
        </w:rPr>
        <w:t>N</w:t>
      </w:r>
      <w:r w:rsidRPr="002D6021">
        <w:rPr>
          <w:rFonts w:eastAsia="Times New Roman" w:cs="Arial"/>
          <w:bCs/>
          <w:color w:val="000000"/>
          <w:lang w:val="ru-RU"/>
        </w:rPr>
        <w:t xml:space="preserve">- </w:t>
      </w:r>
      <w:r w:rsidRPr="002D6021">
        <w:rPr>
          <w:rFonts w:eastAsia="Times New Roman" w:cs="Arial"/>
          <w:bCs/>
          <w:color w:val="000000"/>
          <w:lang w:eastAsia="bg-BG"/>
        </w:rPr>
        <w:t>четвъртичен антихолинергичен агент, тиотропиум бромид е локално (бронхо-) селективен след инхалаторно приложение, като демонстрира приемливи терапевтични граници, преди проявата на системни антихолинергични ефекти.</w:t>
      </w:r>
    </w:p>
    <w:p w14:paraId="5B3BF549" w14:textId="263DD5B3" w:rsidR="002D6021" w:rsidRPr="002D6021" w:rsidRDefault="002D6021" w:rsidP="002D6021">
      <w:pPr>
        <w:spacing w:line="240" w:lineRule="auto"/>
        <w:rPr>
          <w:rFonts w:eastAsia="Times New Roman" w:cs="Arial"/>
          <w:bCs/>
          <w:color w:val="000000"/>
          <w:lang w:eastAsia="bg-BG"/>
        </w:rPr>
      </w:pPr>
    </w:p>
    <w:p w14:paraId="2D3C0840" w14:textId="5F72AEE8" w:rsidR="002D6021" w:rsidRPr="002D6021" w:rsidRDefault="002D6021" w:rsidP="002D6021">
      <w:pPr>
        <w:spacing w:line="240" w:lineRule="auto"/>
        <w:rPr>
          <w:rFonts w:eastAsia="Times New Roman" w:cs="Arial"/>
          <w:bCs/>
          <w:color w:val="000000"/>
          <w:u w:val="single"/>
          <w:lang w:eastAsia="bg-BG"/>
        </w:rPr>
      </w:pPr>
      <w:r w:rsidRPr="002D6021">
        <w:rPr>
          <w:rFonts w:eastAsia="Times New Roman" w:cs="Arial"/>
          <w:bCs/>
          <w:color w:val="000000"/>
          <w:u w:val="single"/>
          <w:lang w:eastAsia="bg-BG"/>
        </w:rPr>
        <w:t>Фармакодинамични ефекти</w:t>
      </w:r>
    </w:p>
    <w:p w14:paraId="0D2B4CB8" w14:textId="1A7024AE"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 xml:space="preserve">Дисоциацията на тиотропиум бромид, особено от Мз-рецепторите е много бавна, показвайки значително по-дълъг полуживот на дисоциация от наблюдавания при ипратропиум. Дисоциацията от Мз-рецепторите е по-бърза отколкото от Мз, което при функционални </w:t>
      </w:r>
      <w:r w:rsidRPr="002D6021">
        <w:rPr>
          <w:rFonts w:eastAsia="Times New Roman" w:cs="Arial"/>
          <w:bCs/>
          <w:i/>
          <w:iCs/>
          <w:color w:val="000000"/>
          <w:lang w:val="en-US"/>
        </w:rPr>
        <w:t>in</w:t>
      </w:r>
      <w:r w:rsidRPr="002D6021">
        <w:rPr>
          <w:rFonts w:eastAsia="Times New Roman" w:cs="Arial"/>
          <w:bCs/>
          <w:i/>
          <w:iCs/>
          <w:color w:val="000000"/>
          <w:lang w:val="ru-RU"/>
        </w:rPr>
        <w:t xml:space="preserve"> </w:t>
      </w:r>
      <w:r w:rsidRPr="002D6021">
        <w:rPr>
          <w:rFonts w:eastAsia="Times New Roman" w:cs="Arial"/>
          <w:bCs/>
          <w:i/>
          <w:iCs/>
          <w:color w:val="000000"/>
          <w:lang w:val="en-US"/>
        </w:rPr>
        <w:t>vitro</w:t>
      </w:r>
      <w:r w:rsidRPr="002D6021">
        <w:rPr>
          <w:rFonts w:eastAsia="Times New Roman" w:cs="Arial"/>
          <w:bCs/>
          <w:color w:val="000000"/>
          <w:lang w:val="ru-RU"/>
        </w:rPr>
        <w:t xml:space="preserve"> </w:t>
      </w:r>
      <w:r w:rsidRPr="002D6021">
        <w:rPr>
          <w:rFonts w:eastAsia="Times New Roman" w:cs="Arial"/>
          <w:bCs/>
          <w:color w:val="000000"/>
          <w:lang w:eastAsia="bg-BG"/>
        </w:rPr>
        <w:t>проучвания, разкри (кинетично контролирана) рецепторна субгипна селекгивносг на Мз превъзхождаща тази на Мз. Високата ефективност и много бавната рецепторна дисоциация и локална инхибиторна слективност клинично се проявяват в значителна и дълготрайна бронходилатация при пациенти с ХОББ и астма.</w:t>
      </w:r>
    </w:p>
    <w:p w14:paraId="7B71EDFF" w14:textId="77777777" w:rsidR="002D6021" w:rsidRPr="002D6021" w:rsidRDefault="002D6021" w:rsidP="002D6021">
      <w:pPr>
        <w:rPr>
          <w:rFonts w:eastAsia="Times New Roman" w:cs="Arial"/>
          <w:bCs/>
          <w:color w:val="000000"/>
          <w:u w:val="single"/>
          <w:lang w:eastAsia="bg-BG"/>
        </w:rPr>
      </w:pPr>
    </w:p>
    <w:p w14:paraId="21E389D5" w14:textId="5CC45947" w:rsidR="002D6021" w:rsidRPr="002D6021" w:rsidRDefault="002D6021" w:rsidP="002D6021">
      <w:pPr>
        <w:rPr>
          <w:rFonts w:eastAsia="Times New Roman" w:cs="Arial"/>
          <w:bCs/>
          <w:color w:val="000000"/>
          <w:u w:val="single"/>
          <w:lang w:eastAsia="bg-BG"/>
        </w:rPr>
      </w:pPr>
      <w:r w:rsidRPr="002D6021">
        <w:rPr>
          <w:rFonts w:eastAsia="Times New Roman" w:cs="Arial"/>
          <w:bCs/>
          <w:color w:val="000000"/>
          <w:u w:val="single"/>
          <w:lang w:eastAsia="bg-BG"/>
        </w:rPr>
        <w:t>Клинична ефикасност и безопасност при ХОББ</w:t>
      </w:r>
    </w:p>
    <w:p w14:paraId="44B3146B"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lastRenderedPageBreak/>
        <w:t>Програмата за клинично разработване фаза Ш включва две 1-годишни, две 12-седмични и две 4- седмични, рандомизирани, двойно-слепи проучвания при 2 901 пациенти с ХОББ (1 038 приемащи дози от 5 μ</w:t>
      </w:r>
      <w:r w:rsidRPr="002D6021">
        <w:rPr>
          <w:rFonts w:eastAsia="Times New Roman" w:cs="Arial"/>
          <w:bCs/>
          <w:color w:val="000000"/>
          <w:lang w:val="en-US"/>
        </w:rPr>
        <w:t>g</w:t>
      </w:r>
      <w:r w:rsidRPr="002D6021">
        <w:rPr>
          <w:rFonts w:eastAsia="Times New Roman" w:cs="Arial"/>
          <w:bCs/>
          <w:color w:val="000000"/>
          <w:lang w:val="ru-RU"/>
        </w:rPr>
        <w:t xml:space="preserve"> </w:t>
      </w:r>
      <w:r w:rsidRPr="002D6021">
        <w:rPr>
          <w:rFonts w:eastAsia="Times New Roman" w:cs="Arial"/>
          <w:bCs/>
          <w:color w:val="000000"/>
          <w:lang w:eastAsia="bg-BG"/>
        </w:rPr>
        <w:t>типтропиум). Едногодишната програма се състои от две плацебо-контролирани проучвания. Двете 12-седмични проучвания са активно (ипратропиум) - и плацебо-контролирани. Всичките шест проучвания включват измервания на белодробната функция. В допълнение, двете 1- годишни проучвания включват здравните параметри като диспнея, здравнообусловеното качество на живот и ефекти върху обострянията.</w:t>
      </w:r>
    </w:p>
    <w:p w14:paraId="54AA27FC" w14:textId="77777777" w:rsidR="002D6021" w:rsidRPr="002D6021" w:rsidRDefault="002D6021" w:rsidP="002D6021">
      <w:pPr>
        <w:spacing w:line="240" w:lineRule="auto"/>
        <w:rPr>
          <w:rFonts w:eastAsia="Times New Roman" w:cs="Arial"/>
          <w:bCs/>
          <w:color w:val="000000"/>
          <w:u w:val="single"/>
          <w:lang w:eastAsia="bg-BG"/>
        </w:rPr>
      </w:pPr>
    </w:p>
    <w:p w14:paraId="252324B0" w14:textId="67BCE500" w:rsidR="002D6021" w:rsidRPr="002D6021" w:rsidRDefault="002D6021" w:rsidP="002D6021">
      <w:pPr>
        <w:spacing w:line="240" w:lineRule="auto"/>
        <w:rPr>
          <w:rFonts w:eastAsia="Times New Roman" w:cs="Arial"/>
        </w:rPr>
      </w:pPr>
      <w:r w:rsidRPr="002D6021">
        <w:rPr>
          <w:rFonts w:eastAsia="Times New Roman" w:cs="Arial"/>
          <w:bCs/>
          <w:color w:val="000000"/>
          <w:u w:val="single"/>
          <w:lang w:eastAsia="bg-BG"/>
        </w:rPr>
        <w:t>Плацебо-контролирани клинични проучвания</w:t>
      </w:r>
    </w:p>
    <w:p w14:paraId="5FBCC420" w14:textId="77777777" w:rsidR="002D6021" w:rsidRPr="002D6021" w:rsidRDefault="002D6021" w:rsidP="002D6021">
      <w:pPr>
        <w:spacing w:line="240" w:lineRule="auto"/>
        <w:rPr>
          <w:rFonts w:eastAsia="Times New Roman" w:cs="Arial"/>
          <w:bCs/>
          <w:i/>
          <w:iCs/>
          <w:color w:val="000000"/>
          <w:u w:val="single"/>
          <w:lang w:eastAsia="bg-BG"/>
        </w:rPr>
      </w:pPr>
    </w:p>
    <w:p w14:paraId="50434948" w14:textId="4EDBC260" w:rsidR="002D6021" w:rsidRPr="002D6021" w:rsidRDefault="002D6021" w:rsidP="002D6021">
      <w:pPr>
        <w:spacing w:line="240" w:lineRule="auto"/>
        <w:rPr>
          <w:rFonts w:eastAsia="Times New Roman" w:cs="Arial"/>
        </w:rPr>
      </w:pPr>
      <w:r w:rsidRPr="002D6021">
        <w:rPr>
          <w:rFonts w:eastAsia="Times New Roman" w:cs="Arial"/>
          <w:bCs/>
          <w:i/>
          <w:iCs/>
          <w:color w:val="000000"/>
          <w:u w:val="single"/>
          <w:lang w:eastAsia="bg-BG"/>
        </w:rPr>
        <w:t>Белодробна Функция</w:t>
      </w:r>
    </w:p>
    <w:p w14:paraId="405F24BA"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Приложението на тиотропиум разтвор за инхалация веднъж дневно, води до значително подобрение на белодробната функция (форсиран експираторен обем за 1 секунда, ФЕО</w:t>
      </w:r>
      <w:r w:rsidRPr="002D6021">
        <w:rPr>
          <w:rFonts w:eastAsia="Times New Roman" w:cs="Arial"/>
          <w:bCs/>
          <w:color w:val="000000"/>
          <w:vertAlign w:val="subscript"/>
          <w:lang w:eastAsia="bg-BG"/>
        </w:rPr>
        <w:t>1</w:t>
      </w:r>
      <w:r w:rsidRPr="002D6021">
        <w:rPr>
          <w:rFonts w:eastAsia="Times New Roman" w:cs="Arial"/>
          <w:bCs/>
          <w:color w:val="000000"/>
          <w:lang w:eastAsia="bg-BG"/>
        </w:rPr>
        <w:t xml:space="preserve"> и форсиран витален капацитет, ФВК) 30 минути след приложението на първата доза, в сравнение с плацебо (ФЕО</w:t>
      </w:r>
      <w:r w:rsidRPr="002D6021">
        <w:rPr>
          <w:rFonts w:eastAsia="Times New Roman" w:cs="Arial"/>
          <w:bCs/>
          <w:color w:val="000000"/>
          <w:vertAlign w:val="subscript"/>
          <w:lang w:eastAsia="bg-BG"/>
        </w:rPr>
        <w:t>1</w:t>
      </w:r>
      <w:r w:rsidRPr="002D6021">
        <w:rPr>
          <w:rFonts w:eastAsia="Times New Roman" w:cs="Arial"/>
          <w:bCs/>
          <w:color w:val="000000"/>
          <w:lang w:eastAsia="bg-BG"/>
        </w:rPr>
        <w:t xml:space="preserve"> средно подобрение на 30 минута: 0,113 литра; 95% доверителен интервал (ДИ):0,102 до 0,125 литра, р&lt;0,0001). Подобрението на белодробната функция се поддържа 24 часа при стабилно ниво в сравнение с плацебо (ФЕО</w:t>
      </w:r>
      <w:r w:rsidRPr="002D6021">
        <w:rPr>
          <w:rFonts w:eastAsia="Times New Roman" w:cs="Arial"/>
          <w:bCs/>
          <w:color w:val="000000"/>
          <w:vertAlign w:val="subscript"/>
          <w:lang w:eastAsia="bg-BG"/>
        </w:rPr>
        <w:t>1</w:t>
      </w:r>
      <w:r w:rsidRPr="002D6021">
        <w:rPr>
          <w:rFonts w:eastAsia="Times New Roman" w:cs="Arial"/>
          <w:bCs/>
          <w:color w:val="000000"/>
          <w:lang w:eastAsia="bg-BG"/>
        </w:rPr>
        <w:t xml:space="preserve"> средно подобрение: 0,122 литра; 95% ДИ: 0,106 до 0,138 литра, р&lt;0,0001). Фармакодинамично стабилно ниво се постига за една седмица.</w:t>
      </w:r>
    </w:p>
    <w:p w14:paraId="33BFB227" w14:textId="77777777" w:rsidR="002D6021" w:rsidRPr="002D6021" w:rsidRDefault="002D6021" w:rsidP="002D6021">
      <w:pPr>
        <w:spacing w:line="240" w:lineRule="auto"/>
        <w:rPr>
          <w:rFonts w:eastAsia="Times New Roman" w:cs="Arial"/>
          <w:bCs/>
          <w:color w:val="000000"/>
          <w:lang w:eastAsia="bg-BG"/>
        </w:rPr>
      </w:pPr>
    </w:p>
    <w:p w14:paraId="1D10B7AF" w14:textId="1ECCD979"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 xml:space="preserve">Спирива Респимат значително подобрява ВЕД (върхов експираторен дебит ) сутрешния и вечерния, измерен според дневните записи на пациента, в сравнение с плацебо (ВЕД средно подобрение: средно подобрение на сутринта 22 </w:t>
      </w:r>
      <w:r w:rsidRPr="002D6021">
        <w:rPr>
          <w:rFonts w:eastAsia="Times New Roman" w:cs="Arial"/>
          <w:bCs/>
          <w:color w:val="000000"/>
          <w:lang w:val="en-US"/>
        </w:rPr>
        <w:t>L</w:t>
      </w:r>
      <w:r w:rsidRPr="002D6021">
        <w:rPr>
          <w:rFonts w:eastAsia="Times New Roman" w:cs="Arial"/>
          <w:bCs/>
          <w:color w:val="000000"/>
          <w:lang w:val="ru-RU"/>
        </w:rPr>
        <w:t>/</w:t>
      </w:r>
      <w:r w:rsidRPr="002D6021">
        <w:rPr>
          <w:rFonts w:eastAsia="Times New Roman" w:cs="Arial"/>
          <w:bCs/>
          <w:color w:val="000000"/>
          <w:lang w:val="en-US"/>
        </w:rPr>
        <w:t>min</w:t>
      </w:r>
      <w:r w:rsidRPr="002D6021">
        <w:rPr>
          <w:rFonts w:eastAsia="Times New Roman" w:cs="Arial"/>
          <w:bCs/>
          <w:color w:val="000000"/>
          <w:lang w:val="ru-RU"/>
        </w:rPr>
        <w:t xml:space="preserve">; </w:t>
      </w:r>
      <w:r w:rsidRPr="002D6021">
        <w:rPr>
          <w:rFonts w:eastAsia="Times New Roman" w:cs="Arial"/>
          <w:bCs/>
          <w:color w:val="000000"/>
          <w:lang w:eastAsia="bg-BG"/>
        </w:rPr>
        <w:t xml:space="preserve">95% ДИ: 18 до 55 </w:t>
      </w:r>
      <w:r w:rsidRPr="002D6021">
        <w:rPr>
          <w:rFonts w:eastAsia="Times New Roman" w:cs="Arial"/>
          <w:bCs/>
          <w:color w:val="000000"/>
          <w:lang w:val="en-US"/>
        </w:rPr>
        <w:t>L</w:t>
      </w:r>
      <w:r w:rsidRPr="002D6021">
        <w:rPr>
          <w:rFonts w:eastAsia="Times New Roman" w:cs="Arial"/>
          <w:bCs/>
          <w:color w:val="000000"/>
          <w:lang w:val="ru-RU"/>
        </w:rPr>
        <w:t>/</w:t>
      </w:r>
      <w:r w:rsidRPr="002D6021">
        <w:rPr>
          <w:rFonts w:eastAsia="Times New Roman" w:cs="Arial"/>
          <w:bCs/>
          <w:color w:val="000000"/>
          <w:lang w:val="en-US"/>
        </w:rPr>
        <w:t>min</w:t>
      </w:r>
      <w:r w:rsidRPr="002D6021">
        <w:rPr>
          <w:rFonts w:eastAsia="Times New Roman" w:cs="Arial"/>
          <w:bCs/>
          <w:color w:val="000000"/>
          <w:lang w:val="ru-RU"/>
        </w:rPr>
        <w:t xml:space="preserve">, </w:t>
      </w:r>
      <w:r w:rsidRPr="002D6021">
        <w:rPr>
          <w:rFonts w:eastAsia="Times New Roman" w:cs="Arial"/>
          <w:bCs/>
          <w:color w:val="000000"/>
          <w:lang w:eastAsia="bg-BG"/>
        </w:rPr>
        <w:t xml:space="preserve">р&lt;0.0001; вечер 26 </w:t>
      </w:r>
      <w:r w:rsidRPr="002D6021">
        <w:rPr>
          <w:rFonts w:eastAsia="Times New Roman" w:cs="Arial"/>
          <w:bCs/>
          <w:color w:val="000000"/>
          <w:lang w:val="en-US"/>
        </w:rPr>
        <w:t>L</w:t>
      </w:r>
      <w:r w:rsidRPr="002D6021">
        <w:rPr>
          <w:rFonts w:eastAsia="Times New Roman" w:cs="Arial"/>
          <w:bCs/>
          <w:color w:val="000000"/>
          <w:lang w:val="ru-RU"/>
        </w:rPr>
        <w:t>/</w:t>
      </w:r>
      <w:r w:rsidRPr="002D6021">
        <w:rPr>
          <w:rFonts w:eastAsia="Times New Roman" w:cs="Arial"/>
          <w:bCs/>
          <w:color w:val="000000"/>
          <w:lang w:val="en-US"/>
        </w:rPr>
        <w:t>min</w:t>
      </w:r>
      <w:r w:rsidRPr="002D6021">
        <w:rPr>
          <w:rFonts w:eastAsia="Times New Roman" w:cs="Arial"/>
          <w:bCs/>
          <w:color w:val="000000"/>
          <w:lang w:val="ru-RU"/>
        </w:rPr>
        <w:t xml:space="preserve">; </w:t>
      </w:r>
      <w:r w:rsidRPr="002D6021">
        <w:rPr>
          <w:rFonts w:eastAsia="Times New Roman" w:cs="Arial"/>
          <w:bCs/>
          <w:color w:val="000000"/>
          <w:lang w:eastAsia="bg-BG"/>
        </w:rPr>
        <w:t xml:space="preserve">95% ДИ: 23 до 30 </w:t>
      </w:r>
      <w:r w:rsidRPr="002D6021">
        <w:rPr>
          <w:rFonts w:eastAsia="Times New Roman" w:cs="Arial"/>
          <w:bCs/>
          <w:color w:val="000000"/>
          <w:lang w:val="en-US"/>
        </w:rPr>
        <w:t>L</w:t>
      </w:r>
      <w:r w:rsidRPr="002D6021">
        <w:rPr>
          <w:rFonts w:eastAsia="Times New Roman" w:cs="Arial"/>
          <w:bCs/>
          <w:color w:val="000000"/>
          <w:lang w:val="ru-RU"/>
        </w:rPr>
        <w:t>/</w:t>
      </w:r>
      <w:r w:rsidRPr="002D6021">
        <w:rPr>
          <w:rFonts w:eastAsia="Times New Roman" w:cs="Arial"/>
          <w:bCs/>
          <w:color w:val="000000"/>
          <w:lang w:val="en-US"/>
        </w:rPr>
        <w:t>min</w:t>
      </w:r>
      <w:r w:rsidRPr="002D6021">
        <w:rPr>
          <w:rFonts w:eastAsia="Times New Roman" w:cs="Arial"/>
          <w:bCs/>
          <w:color w:val="000000"/>
          <w:lang w:val="ru-RU"/>
        </w:rPr>
        <w:t xml:space="preserve">, </w:t>
      </w:r>
      <w:r w:rsidRPr="002D6021">
        <w:rPr>
          <w:rFonts w:eastAsia="Times New Roman" w:cs="Arial"/>
          <w:bCs/>
          <w:color w:val="000000"/>
          <w:lang w:eastAsia="bg-BG"/>
        </w:rPr>
        <w:t>р&lt;0,0001). Употребата на Спирива Респимат води до намаляване употребата на облекчаващо бързодействащи бронходилататори в сравнение с плацебо (средно понижение на употребата им с 0,66 случая дневно, 95% ДИ: 0,51 до 0,81 случая дневно, р&lt;0,0001).</w:t>
      </w:r>
    </w:p>
    <w:p w14:paraId="2A4AEBC4" w14:textId="77777777" w:rsidR="002D6021" w:rsidRPr="002D6021" w:rsidRDefault="002D6021" w:rsidP="002D6021">
      <w:pPr>
        <w:spacing w:line="240" w:lineRule="auto"/>
        <w:rPr>
          <w:rFonts w:eastAsia="Times New Roman" w:cs="Arial"/>
          <w:bCs/>
          <w:color w:val="000000"/>
          <w:lang w:eastAsia="bg-BG"/>
        </w:rPr>
      </w:pPr>
    </w:p>
    <w:p w14:paraId="25636C53" w14:textId="5C2248AD"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Бронходилатиращият ефект на Спирива Респимат е поддържан през целия едногодишен период на приложение, без признаци на привикване.</w:t>
      </w:r>
    </w:p>
    <w:p w14:paraId="1577C354" w14:textId="77777777" w:rsidR="002D6021" w:rsidRPr="002D6021" w:rsidRDefault="002D6021" w:rsidP="002D6021">
      <w:pPr>
        <w:spacing w:line="240" w:lineRule="auto"/>
        <w:rPr>
          <w:rFonts w:eastAsia="Times New Roman" w:cs="Arial"/>
          <w:bCs/>
          <w:color w:val="000000"/>
          <w:u w:val="single"/>
          <w:lang w:eastAsia="bg-BG"/>
        </w:rPr>
      </w:pPr>
    </w:p>
    <w:p w14:paraId="723F6505" w14:textId="17438CA8" w:rsidR="002D6021" w:rsidRPr="002D6021" w:rsidRDefault="002D6021" w:rsidP="002D6021">
      <w:pPr>
        <w:spacing w:line="240" w:lineRule="auto"/>
        <w:rPr>
          <w:rFonts w:eastAsia="Times New Roman" w:cs="Arial"/>
        </w:rPr>
      </w:pPr>
      <w:r w:rsidRPr="002D6021">
        <w:rPr>
          <w:rFonts w:eastAsia="Times New Roman" w:cs="Arial"/>
          <w:bCs/>
          <w:color w:val="000000"/>
          <w:u w:val="single"/>
          <w:lang w:eastAsia="bg-BG"/>
        </w:rPr>
        <w:t xml:space="preserve">Диспнея. качество на живот, свързано със здравето, обостряне на ХОББ в </w:t>
      </w:r>
      <w:r w:rsidRPr="002D6021">
        <w:rPr>
          <w:rFonts w:eastAsia="Times New Roman" w:cs="Arial"/>
          <w:bCs/>
          <w:smallCaps/>
          <w:color w:val="000000"/>
          <w:u w:val="single"/>
          <w:lang w:eastAsia="bg-BG"/>
        </w:rPr>
        <w:t>дългосрочни</w:t>
      </w:r>
      <w:r w:rsidRPr="002D6021">
        <w:rPr>
          <w:rFonts w:eastAsia="Times New Roman" w:cs="Arial"/>
          <w:bCs/>
          <w:color w:val="000000"/>
          <w:u w:val="single"/>
          <w:lang w:eastAsia="bg-BG"/>
        </w:rPr>
        <w:t xml:space="preserve"> едногодишни проучвания</w:t>
      </w:r>
    </w:p>
    <w:p w14:paraId="79092CFE" w14:textId="77777777" w:rsidR="002D6021" w:rsidRPr="002D6021" w:rsidRDefault="002D6021" w:rsidP="002D6021">
      <w:pPr>
        <w:spacing w:line="240" w:lineRule="auto"/>
        <w:rPr>
          <w:rFonts w:eastAsia="Times New Roman" w:cs="Arial"/>
          <w:bCs/>
          <w:color w:val="000000"/>
          <w:lang w:eastAsia="bg-BG"/>
        </w:rPr>
      </w:pPr>
    </w:p>
    <w:p w14:paraId="05136BDA" w14:textId="2E8D2D22"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Диспнея</w:t>
      </w:r>
    </w:p>
    <w:p w14:paraId="551D4790"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 xml:space="preserve">Спирива Респимат значително подобрява състоянието на диспнея (оценено по </w:t>
      </w:r>
      <w:r w:rsidRPr="002D6021">
        <w:rPr>
          <w:rFonts w:eastAsia="Times New Roman" w:cs="Arial"/>
          <w:bCs/>
          <w:color w:val="000000"/>
          <w:lang w:val="en-US"/>
        </w:rPr>
        <w:t>Transition</w:t>
      </w:r>
      <w:r w:rsidRPr="002D6021">
        <w:rPr>
          <w:rFonts w:eastAsia="Times New Roman" w:cs="Arial"/>
          <w:bCs/>
          <w:color w:val="000000"/>
          <w:lang w:val="ru-RU"/>
        </w:rPr>
        <w:t xml:space="preserve"> </w:t>
      </w:r>
      <w:proofErr w:type="spellStart"/>
      <w:r w:rsidRPr="002D6021">
        <w:rPr>
          <w:rFonts w:eastAsia="Times New Roman" w:cs="Arial"/>
          <w:bCs/>
          <w:color w:val="000000"/>
          <w:lang w:val="en-US"/>
        </w:rPr>
        <w:t>Dyspnoea</w:t>
      </w:r>
      <w:proofErr w:type="spellEnd"/>
      <w:r w:rsidRPr="002D6021">
        <w:rPr>
          <w:rFonts w:eastAsia="Times New Roman" w:cs="Arial"/>
          <w:bCs/>
          <w:color w:val="000000"/>
          <w:lang w:val="ru-RU"/>
        </w:rPr>
        <w:t xml:space="preserve"> </w:t>
      </w:r>
      <w:r w:rsidRPr="002D6021">
        <w:rPr>
          <w:rFonts w:eastAsia="Times New Roman" w:cs="Arial"/>
          <w:bCs/>
          <w:color w:val="000000"/>
          <w:lang w:val="en-US"/>
        </w:rPr>
        <w:t>Index</w:t>
      </w:r>
      <w:r w:rsidRPr="002D6021">
        <w:rPr>
          <w:rFonts w:eastAsia="Times New Roman" w:cs="Arial"/>
          <w:bCs/>
          <w:color w:val="000000"/>
          <w:lang w:val="ru-RU"/>
        </w:rPr>
        <w:t xml:space="preserve">), </w:t>
      </w:r>
      <w:r w:rsidRPr="002D6021">
        <w:rPr>
          <w:rFonts w:eastAsia="Times New Roman" w:cs="Arial"/>
          <w:bCs/>
          <w:color w:val="000000"/>
          <w:lang w:eastAsia="bg-BG"/>
        </w:rPr>
        <w:t>в сравнение с плацебо (средно подобрение 1,05 единици; 95% ДИ: 0,73 до 1,38 единици, р&lt;0,0001). Подобрението се поддържа през целия период на лечение.</w:t>
      </w:r>
    </w:p>
    <w:p w14:paraId="43E1A8C2" w14:textId="77777777" w:rsidR="002D6021" w:rsidRPr="002D6021" w:rsidRDefault="002D6021" w:rsidP="002D6021">
      <w:pPr>
        <w:spacing w:line="240" w:lineRule="auto"/>
        <w:rPr>
          <w:rFonts w:eastAsia="Times New Roman" w:cs="Arial"/>
          <w:bCs/>
          <w:color w:val="000000"/>
          <w:lang w:eastAsia="bg-BG"/>
        </w:rPr>
      </w:pPr>
    </w:p>
    <w:p w14:paraId="5F4F3015" w14:textId="0A5D99CB"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Качество на живот, свързано със здравето</w:t>
      </w:r>
    </w:p>
    <w:p w14:paraId="7BF48E7C"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 xml:space="preserve">Подобрението на средния резултат при оценка на качеството на живот на пациентите (измерено посредством </w:t>
      </w:r>
      <w:r w:rsidRPr="002D6021">
        <w:rPr>
          <w:rFonts w:eastAsia="Times New Roman" w:cs="Arial"/>
          <w:bCs/>
          <w:color w:val="000000"/>
          <w:lang w:val="en-US"/>
        </w:rPr>
        <w:t>St</w:t>
      </w:r>
      <w:r w:rsidRPr="002D6021">
        <w:rPr>
          <w:rFonts w:eastAsia="Times New Roman" w:cs="Arial"/>
          <w:bCs/>
          <w:color w:val="000000"/>
          <w:lang w:val="ru-RU"/>
        </w:rPr>
        <w:t xml:space="preserve">. </w:t>
      </w:r>
      <w:r w:rsidRPr="002D6021">
        <w:rPr>
          <w:rFonts w:eastAsia="Times New Roman" w:cs="Arial"/>
          <w:bCs/>
          <w:color w:val="000000"/>
          <w:lang w:val="en-US"/>
        </w:rPr>
        <w:t>George</w:t>
      </w:r>
      <w:r w:rsidRPr="002D6021">
        <w:rPr>
          <w:rFonts w:eastAsia="Times New Roman" w:cs="Arial"/>
          <w:bCs/>
          <w:color w:val="000000"/>
          <w:lang w:val="ru-RU"/>
        </w:rPr>
        <w:t>’</w:t>
      </w:r>
      <w:r w:rsidRPr="002D6021">
        <w:rPr>
          <w:rFonts w:eastAsia="Times New Roman" w:cs="Arial"/>
          <w:bCs/>
          <w:color w:val="000000"/>
          <w:lang w:val="en-US"/>
        </w:rPr>
        <w:t>s</w:t>
      </w:r>
      <w:r w:rsidRPr="002D6021">
        <w:rPr>
          <w:rFonts w:eastAsia="Times New Roman" w:cs="Arial"/>
          <w:bCs/>
          <w:color w:val="000000"/>
          <w:lang w:val="ru-RU"/>
        </w:rPr>
        <w:t xml:space="preserve"> </w:t>
      </w:r>
      <w:r w:rsidRPr="002D6021">
        <w:rPr>
          <w:rFonts w:eastAsia="Times New Roman" w:cs="Arial"/>
          <w:bCs/>
          <w:color w:val="000000"/>
          <w:lang w:val="en-US"/>
        </w:rPr>
        <w:t>Respiratory</w:t>
      </w:r>
      <w:r w:rsidRPr="002D6021">
        <w:rPr>
          <w:rFonts w:eastAsia="Times New Roman" w:cs="Arial"/>
          <w:bCs/>
          <w:color w:val="000000"/>
          <w:lang w:val="ru-RU"/>
        </w:rPr>
        <w:t xml:space="preserve"> </w:t>
      </w:r>
      <w:r w:rsidRPr="002D6021">
        <w:rPr>
          <w:rFonts w:eastAsia="Times New Roman" w:cs="Arial"/>
          <w:bCs/>
          <w:color w:val="000000"/>
          <w:lang w:val="en-US"/>
        </w:rPr>
        <w:t>Questionnaire</w:t>
      </w:r>
      <w:r w:rsidRPr="002D6021">
        <w:rPr>
          <w:rFonts w:eastAsia="Times New Roman" w:cs="Arial"/>
          <w:bCs/>
          <w:color w:val="000000"/>
          <w:lang w:val="ru-RU"/>
        </w:rPr>
        <w:t xml:space="preserve">) </w:t>
      </w:r>
      <w:r w:rsidRPr="002D6021">
        <w:rPr>
          <w:rFonts w:eastAsia="Times New Roman" w:cs="Arial"/>
          <w:bCs/>
          <w:color w:val="000000"/>
          <w:lang w:eastAsia="bg-BG"/>
        </w:rPr>
        <w:t>при Спирива Респимат в сравнение с плацебо в края на двете 1-годишни проучвания е 3</w:t>
      </w:r>
      <w:proofErr w:type="gramStart"/>
      <w:r w:rsidRPr="002D6021">
        <w:rPr>
          <w:rFonts w:eastAsia="Times New Roman" w:cs="Arial"/>
          <w:bCs/>
          <w:color w:val="000000"/>
          <w:lang w:eastAsia="bg-BG"/>
        </w:rPr>
        <w:t>,5</w:t>
      </w:r>
      <w:proofErr w:type="gramEnd"/>
      <w:r w:rsidRPr="002D6021">
        <w:rPr>
          <w:rFonts w:eastAsia="Times New Roman" w:cs="Arial"/>
          <w:bCs/>
          <w:color w:val="000000"/>
          <w:lang w:eastAsia="bg-BG"/>
        </w:rPr>
        <w:t xml:space="preserve"> единици (95% ДИ: 2,1 до 4,9, р&lt;0,0001). Четири степенно понижение се приема за клинично значимо.</w:t>
      </w:r>
    </w:p>
    <w:p w14:paraId="305A117C" w14:textId="77777777" w:rsidR="002D6021" w:rsidRPr="002D6021" w:rsidRDefault="002D6021" w:rsidP="002D6021">
      <w:pPr>
        <w:spacing w:line="240" w:lineRule="auto"/>
        <w:rPr>
          <w:rFonts w:eastAsia="Times New Roman" w:cs="Arial"/>
          <w:bCs/>
          <w:color w:val="000000"/>
          <w:lang w:eastAsia="bg-BG"/>
        </w:rPr>
      </w:pPr>
    </w:p>
    <w:p w14:paraId="700B2AB9" w14:textId="700FFC9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Обостряне на ХОББ</w:t>
      </w:r>
    </w:p>
    <w:p w14:paraId="7772E8D3" w14:textId="77777777" w:rsidR="002D6021" w:rsidRPr="002D6021" w:rsidRDefault="002D6021" w:rsidP="002D6021">
      <w:pPr>
        <w:spacing w:line="240" w:lineRule="auto"/>
        <w:rPr>
          <w:rFonts w:eastAsia="Times New Roman" w:cs="Arial"/>
        </w:rPr>
      </w:pPr>
      <w:r w:rsidRPr="002D6021">
        <w:rPr>
          <w:rFonts w:eastAsia="Times New Roman" w:cs="Arial"/>
          <w:bCs/>
          <w:color w:val="000000"/>
          <w:lang w:eastAsia="bg-BG"/>
        </w:rPr>
        <w:t xml:space="preserve">В три едногодишни, рандомизирани, двойно-слепи, плацебо-контролирани клинични проучвания лечението със Спирива Респимат води до значително намаляване на риска от обостряне на ХОББ в сравнение с плацебо. Обострянето на ХОББ се дефинира като „комплекс от поне две респираторни събития/симптоми с продължителност от 3 дни или </w:t>
      </w:r>
      <w:r w:rsidRPr="002D6021">
        <w:rPr>
          <w:rFonts w:eastAsia="Times New Roman" w:cs="Arial"/>
          <w:bCs/>
          <w:color w:val="000000"/>
          <w:lang w:eastAsia="bg-BG"/>
        </w:rPr>
        <w:lastRenderedPageBreak/>
        <w:t>повече, което налага промяна в лечението (предписване на антибиотици и/или системни кортикостероиди и/или съществена промяна в назначеното респираторно лечение)”. Лечението със Спирива Респимат води до понижен риск от хоспитализация в следствие на обостряне на ХОББ (значимо в подходящо статистически</w:t>
      </w:r>
      <w:r w:rsidRPr="002D6021">
        <w:rPr>
          <w:rFonts w:eastAsia="Times New Roman" w:cs="Arial"/>
          <w:bCs/>
          <w:color w:val="000000"/>
          <w:lang w:val="ru-RU"/>
        </w:rPr>
        <w:t xml:space="preserve"> </w:t>
      </w:r>
      <w:r w:rsidRPr="002D6021">
        <w:rPr>
          <w:rFonts w:eastAsia="Times New Roman" w:cs="Arial"/>
          <w:bCs/>
          <w:color w:val="000000"/>
          <w:lang w:eastAsia="bg-BG"/>
        </w:rPr>
        <w:t>захраненото широкообхватно проучване за обостряния).</w:t>
      </w:r>
    </w:p>
    <w:p w14:paraId="0F45709B" w14:textId="77777777" w:rsidR="002D6021" w:rsidRPr="002D6021" w:rsidRDefault="002D6021" w:rsidP="002D6021">
      <w:pPr>
        <w:rPr>
          <w:rFonts w:eastAsia="Times New Roman" w:cs="Arial"/>
        </w:rPr>
      </w:pPr>
      <w:r w:rsidRPr="002D6021">
        <w:rPr>
          <w:rFonts w:eastAsia="Times New Roman" w:cs="Arial"/>
          <w:bCs/>
          <w:color w:val="000000"/>
          <w:lang w:eastAsia="bg-BG"/>
        </w:rPr>
        <w:t xml:space="preserve">Обобщеният анализ от две Фаза </w:t>
      </w:r>
      <w:r w:rsidRPr="002D6021">
        <w:rPr>
          <w:rFonts w:eastAsia="Times New Roman" w:cs="Arial"/>
          <w:bCs/>
          <w:color w:val="000000"/>
          <w:lang w:val="en-US"/>
        </w:rPr>
        <w:t>III</w:t>
      </w:r>
      <w:r w:rsidRPr="002D6021">
        <w:rPr>
          <w:rFonts w:eastAsia="Times New Roman" w:cs="Arial"/>
          <w:bCs/>
          <w:color w:val="000000"/>
          <w:lang w:eastAsia="bg-BG"/>
        </w:rPr>
        <w:t xml:space="preserve"> проучвания и отделен анализ на допълнително проучване за обостряния е показан в Таблица 1. Всички респираторни лекарства с изключение на антихолинергици и бета-агонисти с продължително действие са били позволени като съпътстващо лечение,  например бързо действащи бета-агонисти, кортикостероиди за инхалаторна употреба, ксантини. Бета -агонисти с продължително действие са били позволени като съпътстващи в проучването за обостряне.</w:t>
      </w:r>
    </w:p>
    <w:p w14:paraId="34611976" w14:textId="77777777" w:rsidR="002D6021" w:rsidRPr="002D6021" w:rsidRDefault="002D6021" w:rsidP="002D6021">
      <w:pPr>
        <w:spacing w:line="240" w:lineRule="auto"/>
        <w:rPr>
          <w:rFonts w:eastAsia="Times New Roman" w:cs="Arial"/>
          <w:bCs/>
          <w:color w:val="000000"/>
          <w:lang w:eastAsia="bg-BG"/>
        </w:rPr>
      </w:pPr>
    </w:p>
    <w:p w14:paraId="75FD90F8" w14:textId="6D99B79F" w:rsidR="002D6021" w:rsidRDefault="002D6021" w:rsidP="002D6021">
      <w:pPr>
        <w:spacing w:line="240" w:lineRule="auto"/>
        <w:rPr>
          <w:rFonts w:eastAsia="Times New Roman" w:cs="Arial"/>
          <w:bCs/>
          <w:color w:val="000000"/>
          <w:lang w:eastAsia="bg-BG"/>
        </w:rPr>
      </w:pPr>
      <w:r w:rsidRPr="002D6021">
        <w:rPr>
          <w:rFonts w:eastAsia="Times New Roman" w:cs="Arial"/>
          <w:bCs/>
          <w:color w:val="000000"/>
          <w:lang w:eastAsia="bg-BG"/>
        </w:rPr>
        <w:t>Таблица 1: Статистически анализ на обострянията на симптомите на ХОББ и хоспитализирани ХОББ обостряния при пациенти с умерено тежка до много тежка ХОББ.</w:t>
      </w:r>
    </w:p>
    <w:tbl>
      <w:tblPr>
        <w:tblStyle w:val="TableGrid"/>
        <w:tblW w:w="0" w:type="auto"/>
        <w:tblLook w:val="04A0" w:firstRow="1" w:lastRow="0" w:firstColumn="1" w:lastColumn="0" w:noHBand="0" w:noVBand="1"/>
      </w:tblPr>
      <w:tblGrid>
        <w:gridCol w:w="1583"/>
        <w:gridCol w:w="1988"/>
        <w:gridCol w:w="1313"/>
        <w:gridCol w:w="1233"/>
        <w:gridCol w:w="1538"/>
        <w:gridCol w:w="1695"/>
      </w:tblGrid>
      <w:tr w:rsidR="004445D6" w14:paraId="3347039C" w14:textId="77777777" w:rsidTr="004445D6">
        <w:tc>
          <w:tcPr>
            <w:tcW w:w="1506" w:type="dxa"/>
          </w:tcPr>
          <w:p w14:paraId="7FDF96C8" w14:textId="211FEE4D" w:rsidR="004445D6" w:rsidRPr="004445D6" w:rsidRDefault="004445D6" w:rsidP="004445D6">
            <w:pPr>
              <w:rPr>
                <w:rFonts w:eastAsia="Times New Roman" w:cs="Arial"/>
                <w:b/>
              </w:rPr>
            </w:pPr>
            <w:r w:rsidRPr="004445D6">
              <w:rPr>
                <w:b/>
              </w:rPr>
              <w:t xml:space="preserve">Проучване </w:t>
            </w:r>
            <w:r w:rsidRPr="004445D6">
              <w:rPr>
                <w:b/>
                <w:lang w:val="en-US"/>
              </w:rPr>
              <w:t>(N</w:t>
            </w:r>
            <w:r w:rsidRPr="004445D6">
              <w:rPr>
                <w:b/>
                <w:vertAlign w:val="subscript"/>
              </w:rPr>
              <w:t>спирива</w:t>
            </w:r>
            <w:r w:rsidRPr="004445D6">
              <w:rPr>
                <w:b/>
              </w:rPr>
              <w:t>,</w:t>
            </w:r>
            <w:r w:rsidRPr="004445D6">
              <w:rPr>
                <w:b/>
                <w:lang w:val="en-US"/>
              </w:rPr>
              <w:t xml:space="preserve"> N</w:t>
            </w:r>
            <w:r w:rsidRPr="004445D6">
              <w:rPr>
                <w:b/>
                <w:vertAlign w:val="subscript"/>
              </w:rPr>
              <w:t>плацебо</w:t>
            </w:r>
          </w:p>
        </w:tc>
        <w:tc>
          <w:tcPr>
            <w:tcW w:w="1988" w:type="dxa"/>
          </w:tcPr>
          <w:p w14:paraId="3FA86540" w14:textId="6105C1FC" w:rsidR="004445D6" w:rsidRPr="004445D6" w:rsidRDefault="004445D6" w:rsidP="004445D6">
            <w:pPr>
              <w:rPr>
                <w:rFonts w:eastAsia="Times New Roman" w:cs="Arial"/>
                <w:b/>
              </w:rPr>
            </w:pPr>
            <w:r w:rsidRPr="004445D6">
              <w:rPr>
                <w:b/>
              </w:rPr>
              <w:t>Крайна цел</w:t>
            </w:r>
          </w:p>
        </w:tc>
        <w:tc>
          <w:tcPr>
            <w:tcW w:w="1355" w:type="dxa"/>
          </w:tcPr>
          <w:p w14:paraId="3A4125FC" w14:textId="34EFBB5C" w:rsidR="004445D6" w:rsidRPr="004445D6" w:rsidRDefault="004445D6" w:rsidP="004445D6">
            <w:pPr>
              <w:rPr>
                <w:rFonts w:eastAsia="Times New Roman" w:cs="Arial"/>
                <w:b/>
              </w:rPr>
            </w:pPr>
            <w:r w:rsidRPr="004445D6">
              <w:rPr>
                <w:b/>
              </w:rPr>
              <w:t>Спирива Респимат</w:t>
            </w:r>
          </w:p>
        </w:tc>
        <w:tc>
          <w:tcPr>
            <w:tcW w:w="1298" w:type="dxa"/>
          </w:tcPr>
          <w:p w14:paraId="705B174D" w14:textId="6BF397F4" w:rsidR="004445D6" w:rsidRPr="004445D6" w:rsidRDefault="004445D6" w:rsidP="004445D6">
            <w:pPr>
              <w:rPr>
                <w:rFonts w:eastAsia="Times New Roman" w:cs="Arial"/>
                <w:b/>
              </w:rPr>
            </w:pPr>
            <w:r w:rsidRPr="004445D6">
              <w:rPr>
                <w:b/>
              </w:rPr>
              <w:t>Плацебо</w:t>
            </w:r>
          </w:p>
        </w:tc>
        <w:tc>
          <w:tcPr>
            <w:tcW w:w="1514" w:type="dxa"/>
          </w:tcPr>
          <w:p w14:paraId="7199CE3F" w14:textId="7B195C2E" w:rsidR="004445D6" w:rsidRPr="004445D6" w:rsidRDefault="004445D6" w:rsidP="004445D6">
            <w:pPr>
              <w:rPr>
                <w:rFonts w:eastAsia="Times New Roman" w:cs="Arial"/>
                <w:b/>
              </w:rPr>
            </w:pPr>
            <w:r w:rsidRPr="004445D6">
              <w:rPr>
                <w:b/>
              </w:rPr>
              <w:t>% намаляване на риска (95% ДИ)</w:t>
            </w:r>
            <w:r w:rsidRPr="004445D6">
              <w:rPr>
                <w:b/>
                <w:vertAlign w:val="superscript"/>
              </w:rPr>
              <w:t>а</w:t>
            </w:r>
          </w:p>
        </w:tc>
        <w:tc>
          <w:tcPr>
            <w:tcW w:w="1915" w:type="dxa"/>
          </w:tcPr>
          <w:p w14:paraId="348A28AB" w14:textId="16F24A53" w:rsidR="004445D6" w:rsidRPr="004445D6" w:rsidRDefault="004445D6" w:rsidP="004445D6">
            <w:pPr>
              <w:rPr>
                <w:rFonts w:eastAsia="Times New Roman" w:cs="Arial"/>
                <w:b/>
              </w:rPr>
            </w:pPr>
            <w:r w:rsidRPr="004445D6">
              <w:rPr>
                <w:b/>
              </w:rPr>
              <w:t>р-СТОЙНОСТ</w:t>
            </w:r>
          </w:p>
        </w:tc>
      </w:tr>
      <w:tr w:rsidR="004445D6" w14:paraId="4CB71CF8" w14:textId="77777777" w:rsidTr="004445D6">
        <w:tc>
          <w:tcPr>
            <w:tcW w:w="1506" w:type="dxa"/>
          </w:tcPr>
          <w:p w14:paraId="46624932" w14:textId="49450DF1" w:rsidR="004445D6" w:rsidRPr="004445D6" w:rsidRDefault="004445D6" w:rsidP="004445D6">
            <w:pPr>
              <w:rPr>
                <w:rFonts w:eastAsia="Times New Roman" w:cs="Arial"/>
                <w:b/>
              </w:rPr>
            </w:pPr>
            <w:r>
              <w:rPr>
                <w:b/>
              </w:rPr>
              <w:t xml:space="preserve">1-годишни Фаза </w:t>
            </w:r>
            <w:r>
              <w:rPr>
                <w:b/>
                <w:lang w:val="en-US"/>
              </w:rPr>
              <w:t>III</w:t>
            </w:r>
          </w:p>
        </w:tc>
        <w:tc>
          <w:tcPr>
            <w:tcW w:w="1988" w:type="dxa"/>
          </w:tcPr>
          <w:p w14:paraId="439ECE9E" w14:textId="142001CE" w:rsidR="004445D6" w:rsidRDefault="004445D6" w:rsidP="004445D6">
            <w:pPr>
              <w:rPr>
                <w:rFonts w:eastAsia="Times New Roman" w:cs="Arial"/>
              </w:rPr>
            </w:pPr>
            <w:r>
              <w:t>Дни до първо ХОББ обостряне</w:t>
            </w:r>
          </w:p>
        </w:tc>
        <w:tc>
          <w:tcPr>
            <w:tcW w:w="1355" w:type="dxa"/>
          </w:tcPr>
          <w:p w14:paraId="3E6959DE" w14:textId="2AF1E7F8" w:rsidR="004445D6" w:rsidRDefault="004445D6" w:rsidP="004445D6">
            <w:pPr>
              <w:rPr>
                <w:rFonts w:eastAsia="Times New Roman" w:cs="Arial"/>
              </w:rPr>
            </w:pPr>
            <w:r>
              <w:t>160</w:t>
            </w:r>
            <w:r>
              <w:rPr>
                <w:vertAlign w:val="superscript"/>
              </w:rPr>
              <w:t>а</w:t>
            </w:r>
          </w:p>
        </w:tc>
        <w:tc>
          <w:tcPr>
            <w:tcW w:w="1298" w:type="dxa"/>
          </w:tcPr>
          <w:p w14:paraId="6AA964A6" w14:textId="1D5CEE69" w:rsidR="004445D6" w:rsidRDefault="004445D6" w:rsidP="004445D6">
            <w:pPr>
              <w:rPr>
                <w:rFonts w:eastAsia="Times New Roman" w:cs="Arial"/>
              </w:rPr>
            </w:pPr>
            <w:r>
              <w:t>86</w:t>
            </w:r>
            <w:r>
              <w:rPr>
                <w:vertAlign w:val="superscript"/>
              </w:rPr>
              <w:t>а</w:t>
            </w:r>
          </w:p>
        </w:tc>
        <w:tc>
          <w:tcPr>
            <w:tcW w:w="1514" w:type="dxa"/>
          </w:tcPr>
          <w:p w14:paraId="7F872DAF" w14:textId="1132F968" w:rsidR="004445D6" w:rsidRDefault="004445D6" w:rsidP="004445D6">
            <w:pPr>
              <w:rPr>
                <w:rFonts w:eastAsia="Times New Roman" w:cs="Arial"/>
              </w:rPr>
            </w:pPr>
            <w:r>
              <w:t>29 (16 до 40)</w:t>
            </w:r>
            <w:r>
              <w:rPr>
                <w:vertAlign w:val="superscript"/>
              </w:rPr>
              <w:t>б</w:t>
            </w:r>
          </w:p>
        </w:tc>
        <w:tc>
          <w:tcPr>
            <w:tcW w:w="1915" w:type="dxa"/>
          </w:tcPr>
          <w:p w14:paraId="7FF09CAA" w14:textId="6B96B44A" w:rsidR="004445D6" w:rsidRDefault="004445D6" w:rsidP="004445D6">
            <w:pPr>
              <w:rPr>
                <w:rFonts w:eastAsia="Times New Roman" w:cs="Arial"/>
              </w:rPr>
            </w:pPr>
            <w:r>
              <w:t>&lt;0.0001</w:t>
            </w:r>
            <w:r>
              <w:rPr>
                <w:vertAlign w:val="superscript"/>
              </w:rPr>
              <w:t>6</w:t>
            </w:r>
          </w:p>
        </w:tc>
      </w:tr>
      <w:tr w:rsidR="004445D6" w14:paraId="5668E5F7" w14:textId="77777777" w:rsidTr="004445D6">
        <w:tc>
          <w:tcPr>
            <w:tcW w:w="1506" w:type="dxa"/>
            <w:vMerge w:val="restart"/>
          </w:tcPr>
          <w:p w14:paraId="0F8F6CDA" w14:textId="77777777" w:rsidR="004445D6" w:rsidRPr="004445D6" w:rsidRDefault="004445D6" w:rsidP="004445D6">
            <w:pPr>
              <w:rPr>
                <w:b/>
              </w:rPr>
            </w:pPr>
            <w:r w:rsidRPr="004445D6">
              <w:rPr>
                <w:b/>
              </w:rPr>
              <w:t>проучвания, общ анализ</w:t>
            </w:r>
            <w:r w:rsidRPr="004445D6">
              <w:rPr>
                <w:b/>
                <w:vertAlign w:val="superscript"/>
              </w:rPr>
              <w:t>г</w:t>
            </w:r>
          </w:p>
          <w:p w14:paraId="27DF2FA3" w14:textId="0C4FA550" w:rsidR="004445D6" w:rsidRPr="004445D6" w:rsidRDefault="004445D6" w:rsidP="004445D6">
            <w:pPr>
              <w:rPr>
                <w:rFonts w:eastAsia="Times New Roman" w:cs="Arial"/>
                <w:b/>
              </w:rPr>
            </w:pPr>
            <w:r w:rsidRPr="004445D6">
              <w:rPr>
                <w:b/>
              </w:rPr>
              <w:t>(670,653)</w:t>
            </w:r>
          </w:p>
        </w:tc>
        <w:tc>
          <w:tcPr>
            <w:tcW w:w="1988" w:type="dxa"/>
          </w:tcPr>
          <w:p w14:paraId="38333604" w14:textId="6685B7CA" w:rsidR="004445D6" w:rsidRDefault="004445D6" w:rsidP="004445D6">
            <w:pPr>
              <w:rPr>
                <w:rFonts w:eastAsia="Times New Roman" w:cs="Arial"/>
              </w:rPr>
            </w:pPr>
            <w:r>
              <w:t>Средна честота на възникване на обострянията към пациенто-година</w:t>
            </w:r>
          </w:p>
        </w:tc>
        <w:tc>
          <w:tcPr>
            <w:tcW w:w="1355" w:type="dxa"/>
          </w:tcPr>
          <w:p w14:paraId="1FABFAF7" w14:textId="32E8B665" w:rsidR="004445D6" w:rsidRDefault="004445D6" w:rsidP="004445D6">
            <w:pPr>
              <w:rPr>
                <w:rFonts w:eastAsia="Times New Roman" w:cs="Arial"/>
              </w:rPr>
            </w:pPr>
            <w:r>
              <w:t>0.78</w:t>
            </w:r>
            <w:r>
              <w:rPr>
                <w:vertAlign w:val="superscript"/>
              </w:rPr>
              <w:t>в</w:t>
            </w:r>
          </w:p>
        </w:tc>
        <w:tc>
          <w:tcPr>
            <w:tcW w:w="1298" w:type="dxa"/>
          </w:tcPr>
          <w:p w14:paraId="23C7A276" w14:textId="24AA1DC1" w:rsidR="004445D6" w:rsidRDefault="004445D6" w:rsidP="004445D6">
            <w:pPr>
              <w:rPr>
                <w:rFonts w:eastAsia="Times New Roman" w:cs="Arial"/>
              </w:rPr>
            </w:pPr>
            <w:r>
              <w:t>1.00</w:t>
            </w:r>
            <w:r>
              <w:rPr>
                <w:vertAlign w:val="superscript"/>
              </w:rPr>
              <w:t>в</w:t>
            </w:r>
          </w:p>
        </w:tc>
        <w:tc>
          <w:tcPr>
            <w:tcW w:w="1514" w:type="dxa"/>
          </w:tcPr>
          <w:p w14:paraId="2D443F85" w14:textId="77777777" w:rsidR="004445D6" w:rsidRDefault="004445D6" w:rsidP="004445D6">
            <w:r>
              <w:t>22</w:t>
            </w:r>
          </w:p>
          <w:p w14:paraId="3CB03C58" w14:textId="2E4592F4" w:rsidR="004445D6" w:rsidRDefault="004445D6" w:rsidP="004445D6">
            <w:pPr>
              <w:rPr>
                <w:rFonts w:eastAsia="Times New Roman" w:cs="Arial"/>
              </w:rPr>
            </w:pPr>
            <w:r>
              <w:t>(8 до33)</w:t>
            </w:r>
            <w:r>
              <w:rPr>
                <w:vertAlign w:val="superscript"/>
              </w:rPr>
              <w:t>в</w:t>
            </w:r>
          </w:p>
        </w:tc>
        <w:tc>
          <w:tcPr>
            <w:tcW w:w="1915" w:type="dxa"/>
          </w:tcPr>
          <w:p w14:paraId="5007CDA4" w14:textId="3E2378FA" w:rsidR="004445D6" w:rsidRDefault="004445D6" w:rsidP="004445D6">
            <w:pPr>
              <w:rPr>
                <w:rFonts w:eastAsia="Times New Roman" w:cs="Arial"/>
              </w:rPr>
            </w:pPr>
            <w:r>
              <w:t>0.002</w:t>
            </w:r>
            <w:r>
              <w:rPr>
                <w:vertAlign w:val="superscript"/>
              </w:rPr>
              <w:t>в</w:t>
            </w:r>
          </w:p>
        </w:tc>
      </w:tr>
      <w:tr w:rsidR="004445D6" w14:paraId="65C80BB8" w14:textId="77777777" w:rsidTr="004445D6">
        <w:tc>
          <w:tcPr>
            <w:tcW w:w="1506" w:type="dxa"/>
            <w:vMerge/>
          </w:tcPr>
          <w:p w14:paraId="114B2952" w14:textId="77777777" w:rsidR="004445D6" w:rsidRPr="004445D6" w:rsidRDefault="004445D6" w:rsidP="004445D6">
            <w:pPr>
              <w:rPr>
                <w:rFonts w:eastAsia="Times New Roman" w:cs="Arial"/>
                <w:b/>
              </w:rPr>
            </w:pPr>
          </w:p>
        </w:tc>
        <w:tc>
          <w:tcPr>
            <w:tcW w:w="1988" w:type="dxa"/>
          </w:tcPr>
          <w:p w14:paraId="0B7CFA8C" w14:textId="71E4DC98" w:rsidR="004445D6" w:rsidRDefault="004445D6" w:rsidP="004445D6">
            <w:pPr>
              <w:rPr>
                <w:rFonts w:eastAsia="Times New Roman" w:cs="Arial"/>
              </w:rPr>
            </w:pPr>
            <w:r>
              <w:t>Време до първа хоспитализация за ХОББ обостряне</w:t>
            </w:r>
          </w:p>
        </w:tc>
        <w:tc>
          <w:tcPr>
            <w:tcW w:w="1355" w:type="dxa"/>
          </w:tcPr>
          <w:p w14:paraId="54A47279" w14:textId="77777777" w:rsidR="004445D6" w:rsidRDefault="004445D6" w:rsidP="004445D6">
            <w:pPr>
              <w:rPr>
                <w:rFonts w:eastAsia="Times New Roman" w:cs="Arial"/>
              </w:rPr>
            </w:pPr>
          </w:p>
        </w:tc>
        <w:tc>
          <w:tcPr>
            <w:tcW w:w="1298" w:type="dxa"/>
          </w:tcPr>
          <w:p w14:paraId="43C86CD7" w14:textId="77777777" w:rsidR="004445D6" w:rsidRDefault="004445D6" w:rsidP="004445D6">
            <w:pPr>
              <w:rPr>
                <w:rFonts w:eastAsia="Times New Roman" w:cs="Arial"/>
              </w:rPr>
            </w:pPr>
          </w:p>
        </w:tc>
        <w:tc>
          <w:tcPr>
            <w:tcW w:w="1514" w:type="dxa"/>
          </w:tcPr>
          <w:p w14:paraId="7B04489F" w14:textId="73EFA1E3" w:rsidR="004445D6" w:rsidRDefault="004445D6" w:rsidP="004445D6">
            <w:pPr>
              <w:rPr>
                <w:rFonts w:eastAsia="Times New Roman" w:cs="Arial"/>
              </w:rPr>
            </w:pPr>
            <w:r>
              <w:t>25 (-16 до 51)</w:t>
            </w:r>
            <w:r>
              <w:rPr>
                <w:vertAlign w:val="superscript"/>
              </w:rPr>
              <w:t>б</w:t>
            </w:r>
          </w:p>
        </w:tc>
        <w:tc>
          <w:tcPr>
            <w:tcW w:w="1915" w:type="dxa"/>
          </w:tcPr>
          <w:p w14:paraId="6E62F7C4" w14:textId="4B22663E" w:rsidR="004445D6" w:rsidRDefault="004445D6" w:rsidP="004445D6">
            <w:pPr>
              <w:rPr>
                <w:rFonts w:eastAsia="Times New Roman" w:cs="Arial"/>
              </w:rPr>
            </w:pPr>
            <w:r>
              <w:t>0.20</w:t>
            </w:r>
            <w:r>
              <w:rPr>
                <w:vertAlign w:val="superscript"/>
              </w:rPr>
              <w:t>б</w:t>
            </w:r>
          </w:p>
        </w:tc>
      </w:tr>
      <w:tr w:rsidR="004445D6" w14:paraId="5297AB1C" w14:textId="77777777" w:rsidTr="004445D6">
        <w:tc>
          <w:tcPr>
            <w:tcW w:w="1506" w:type="dxa"/>
            <w:vMerge/>
          </w:tcPr>
          <w:p w14:paraId="467672E0" w14:textId="77777777" w:rsidR="004445D6" w:rsidRPr="004445D6" w:rsidRDefault="004445D6" w:rsidP="004445D6">
            <w:pPr>
              <w:rPr>
                <w:rFonts w:eastAsia="Times New Roman" w:cs="Arial"/>
                <w:b/>
              </w:rPr>
            </w:pPr>
          </w:p>
        </w:tc>
        <w:tc>
          <w:tcPr>
            <w:tcW w:w="1988" w:type="dxa"/>
          </w:tcPr>
          <w:p w14:paraId="4921DDD5" w14:textId="01B93E35" w:rsidR="004445D6" w:rsidRDefault="004445D6" w:rsidP="004445D6">
            <w:pPr>
              <w:rPr>
                <w:rFonts w:eastAsia="Times New Roman" w:cs="Arial"/>
              </w:rPr>
            </w:pPr>
            <w:r>
              <w:t>Средна честота на хоспитализирани обостряния към пациенто-година</w:t>
            </w:r>
          </w:p>
        </w:tc>
        <w:tc>
          <w:tcPr>
            <w:tcW w:w="1355" w:type="dxa"/>
          </w:tcPr>
          <w:p w14:paraId="334801C8" w14:textId="3A941706" w:rsidR="004445D6" w:rsidRDefault="004445D6" w:rsidP="004445D6">
            <w:pPr>
              <w:rPr>
                <w:rFonts w:eastAsia="Times New Roman" w:cs="Arial"/>
              </w:rPr>
            </w:pPr>
            <w:r>
              <w:t>0.09</w:t>
            </w:r>
            <w:r>
              <w:rPr>
                <w:vertAlign w:val="superscript"/>
              </w:rPr>
              <w:t>в</w:t>
            </w:r>
          </w:p>
        </w:tc>
        <w:tc>
          <w:tcPr>
            <w:tcW w:w="1298" w:type="dxa"/>
          </w:tcPr>
          <w:p w14:paraId="6C79217B" w14:textId="5E441B9E" w:rsidR="004445D6" w:rsidRDefault="004445D6" w:rsidP="004445D6">
            <w:pPr>
              <w:rPr>
                <w:rFonts w:eastAsia="Times New Roman" w:cs="Arial"/>
              </w:rPr>
            </w:pPr>
            <w:r>
              <w:t>0.11</w:t>
            </w:r>
            <w:r>
              <w:rPr>
                <w:vertAlign w:val="superscript"/>
              </w:rPr>
              <w:t>в</w:t>
            </w:r>
          </w:p>
        </w:tc>
        <w:tc>
          <w:tcPr>
            <w:tcW w:w="1514" w:type="dxa"/>
          </w:tcPr>
          <w:p w14:paraId="75E47674" w14:textId="77777777" w:rsidR="004445D6" w:rsidRDefault="004445D6" w:rsidP="004445D6">
            <w:r>
              <w:t>20</w:t>
            </w:r>
          </w:p>
          <w:p w14:paraId="7E0664FD" w14:textId="58A13C38" w:rsidR="004445D6" w:rsidRDefault="004445D6" w:rsidP="004445D6">
            <w:pPr>
              <w:rPr>
                <w:rFonts w:eastAsia="Times New Roman" w:cs="Arial"/>
              </w:rPr>
            </w:pPr>
            <w:r>
              <w:t>(-4 до 38)</w:t>
            </w:r>
            <w:r>
              <w:rPr>
                <w:vertAlign w:val="superscript"/>
              </w:rPr>
              <w:t>в</w:t>
            </w:r>
          </w:p>
        </w:tc>
        <w:tc>
          <w:tcPr>
            <w:tcW w:w="1915" w:type="dxa"/>
          </w:tcPr>
          <w:p w14:paraId="565D411C" w14:textId="3C9028C1" w:rsidR="004445D6" w:rsidRDefault="004445D6" w:rsidP="004445D6">
            <w:pPr>
              <w:rPr>
                <w:rFonts w:eastAsia="Times New Roman" w:cs="Arial"/>
              </w:rPr>
            </w:pPr>
            <w:r>
              <w:t>0.096</w:t>
            </w:r>
            <w:r>
              <w:rPr>
                <w:vertAlign w:val="superscript"/>
              </w:rPr>
              <w:t>в</w:t>
            </w:r>
          </w:p>
        </w:tc>
      </w:tr>
      <w:tr w:rsidR="004445D6" w14:paraId="1FBFE180" w14:textId="77777777" w:rsidTr="004445D6">
        <w:tc>
          <w:tcPr>
            <w:tcW w:w="1506" w:type="dxa"/>
            <w:vMerge w:val="restart"/>
          </w:tcPr>
          <w:p w14:paraId="18BE82A6" w14:textId="77777777" w:rsidR="004445D6" w:rsidRPr="004445D6" w:rsidRDefault="004445D6" w:rsidP="004445D6">
            <w:pPr>
              <w:rPr>
                <w:b/>
              </w:rPr>
            </w:pPr>
            <w:r w:rsidRPr="004445D6">
              <w:rPr>
                <w:b/>
              </w:rPr>
              <w:t xml:space="preserve">1-годишно Фаза </w:t>
            </w:r>
            <w:r w:rsidRPr="004445D6">
              <w:rPr>
                <w:b/>
                <w:lang w:val="en-US"/>
              </w:rPr>
              <w:t>III</w:t>
            </w:r>
            <w:r w:rsidRPr="004445D6">
              <w:rPr>
                <w:b/>
              </w:rPr>
              <w:t>б проучване за обостряния</w:t>
            </w:r>
          </w:p>
          <w:p w14:paraId="1F8C2625" w14:textId="5FA6DB45" w:rsidR="004445D6" w:rsidRPr="004445D6" w:rsidRDefault="004445D6" w:rsidP="004445D6">
            <w:pPr>
              <w:rPr>
                <w:rFonts w:eastAsia="Times New Roman" w:cs="Arial"/>
                <w:b/>
              </w:rPr>
            </w:pPr>
            <w:r w:rsidRPr="004445D6">
              <w:rPr>
                <w:b/>
              </w:rPr>
              <w:t>(1939, 1953)</w:t>
            </w:r>
          </w:p>
        </w:tc>
        <w:tc>
          <w:tcPr>
            <w:tcW w:w="1988" w:type="dxa"/>
          </w:tcPr>
          <w:p w14:paraId="5EA00C2B" w14:textId="1F36C30E" w:rsidR="004445D6" w:rsidRDefault="004445D6" w:rsidP="004445D6">
            <w:pPr>
              <w:rPr>
                <w:rFonts w:eastAsia="Times New Roman" w:cs="Arial"/>
              </w:rPr>
            </w:pPr>
            <w:r>
              <w:t>Дни до първо ХОББ обостряне</w:t>
            </w:r>
          </w:p>
        </w:tc>
        <w:tc>
          <w:tcPr>
            <w:tcW w:w="1355" w:type="dxa"/>
          </w:tcPr>
          <w:p w14:paraId="3CFFA656" w14:textId="12E5B386" w:rsidR="004445D6" w:rsidRDefault="004445D6" w:rsidP="004445D6">
            <w:pPr>
              <w:rPr>
                <w:rFonts w:eastAsia="Times New Roman" w:cs="Arial"/>
              </w:rPr>
            </w:pPr>
            <w:r>
              <w:t>169</w:t>
            </w:r>
            <w:r>
              <w:rPr>
                <w:vertAlign w:val="superscript"/>
              </w:rPr>
              <w:t>а</w:t>
            </w:r>
          </w:p>
        </w:tc>
        <w:tc>
          <w:tcPr>
            <w:tcW w:w="1298" w:type="dxa"/>
          </w:tcPr>
          <w:p w14:paraId="369D0D7B" w14:textId="1124E171" w:rsidR="004445D6" w:rsidRDefault="004445D6" w:rsidP="004445D6">
            <w:pPr>
              <w:rPr>
                <w:rFonts w:eastAsia="Times New Roman" w:cs="Arial"/>
              </w:rPr>
            </w:pPr>
            <w:r>
              <w:t>119</w:t>
            </w:r>
            <w:r>
              <w:rPr>
                <w:vertAlign w:val="superscript"/>
              </w:rPr>
              <w:t>а</w:t>
            </w:r>
          </w:p>
        </w:tc>
        <w:tc>
          <w:tcPr>
            <w:tcW w:w="1514" w:type="dxa"/>
          </w:tcPr>
          <w:p w14:paraId="421AF22A" w14:textId="4EE963A6" w:rsidR="004445D6" w:rsidRDefault="004445D6" w:rsidP="004445D6">
            <w:pPr>
              <w:rPr>
                <w:rFonts w:eastAsia="Times New Roman" w:cs="Arial"/>
              </w:rPr>
            </w:pPr>
            <w:r>
              <w:t>31 (23 до 37)</w:t>
            </w:r>
            <w:r>
              <w:rPr>
                <w:vertAlign w:val="superscript"/>
              </w:rPr>
              <w:t>б</w:t>
            </w:r>
          </w:p>
        </w:tc>
        <w:tc>
          <w:tcPr>
            <w:tcW w:w="1915" w:type="dxa"/>
          </w:tcPr>
          <w:p w14:paraId="1EC8FDDE" w14:textId="6AA0A899" w:rsidR="004445D6" w:rsidRDefault="004445D6" w:rsidP="004445D6">
            <w:pPr>
              <w:rPr>
                <w:rFonts w:eastAsia="Times New Roman" w:cs="Arial"/>
              </w:rPr>
            </w:pPr>
            <w:r>
              <w:t>&lt;0.0001</w:t>
            </w:r>
            <w:r>
              <w:rPr>
                <w:vertAlign w:val="superscript"/>
              </w:rPr>
              <w:t>б</w:t>
            </w:r>
          </w:p>
        </w:tc>
      </w:tr>
      <w:tr w:rsidR="004445D6" w14:paraId="5274E5A5" w14:textId="77777777" w:rsidTr="004445D6">
        <w:tc>
          <w:tcPr>
            <w:tcW w:w="1506" w:type="dxa"/>
            <w:vMerge/>
          </w:tcPr>
          <w:p w14:paraId="1F3AB9A7" w14:textId="77777777" w:rsidR="004445D6" w:rsidRDefault="004445D6" w:rsidP="004445D6">
            <w:pPr>
              <w:rPr>
                <w:rFonts w:eastAsia="Times New Roman" w:cs="Arial"/>
              </w:rPr>
            </w:pPr>
          </w:p>
        </w:tc>
        <w:tc>
          <w:tcPr>
            <w:tcW w:w="1988" w:type="dxa"/>
          </w:tcPr>
          <w:p w14:paraId="2AF10074" w14:textId="3070F8DC" w:rsidR="004445D6" w:rsidRDefault="004445D6" w:rsidP="004445D6">
            <w:pPr>
              <w:rPr>
                <w:rFonts w:eastAsia="Times New Roman" w:cs="Arial"/>
              </w:rPr>
            </w:pPr>
            <w:r>
              <w:t>Средна честота на възникване на обострянията към пациенто-година</w:t>
            </w:r>
          </w:p>
        </w:tc>
        <w:tc>
          <w:tcPr>
            <w:tcW w:w="1355" w:type="dxa"/>
          </w:tcPr>
          <w:p w14:paraId="7AAB323C" w14:textId="7907CC63" w:rsidR="004445D6" w:rsidRDefault="004445D6" w:rsidP="004445D6">
            <w:pPr>
              <w:rPr>
                <w:rFonts w:eastAsia="Times New Roman" w:cs="Arial"/>
              </w:rPr>
            </w:pPr>
            <w:r>
              <w:t>0.69</w:t>
            </w:r>
            <w:r>
              <w:rPr>
                <w:vertAlign w:val="superscript"/>
              </w:rPr>
              <w:t>в</w:t>
            </w:r>
          </w:p>
        </w:tc>
        <w:tc>
          <w:tcPr>
            <w:tcW w:w="1298" w:type="dxa"/>
          </w:tcPr>
          <w:p w14:paraId="14B32EAC" w14:textId="3B38E235" w:rsidR="004445D6" w:rsidRDefault="004445D6" w:rsidP="004445D6">
            <w:pPr>
              <w:rPr>
                <w:rFonts w:eastAsia="Times New Roman" w:cs="Arial"/>
              </w:rPr>
            </w:pPr>
            <w:r>
              <w:t>0.87</w:t>
            </w:r>
            <w:r>
              <w:rPr>
                <w:vertAlign w:val="superscript"/>
              </w:rPr>
              <w:t>в</w:t>
            </w:r>
          </w:p>
        </w:tc>
        <w:tc>
          <w:tcPr>
            <w:tcW w:w="1514" w:type="dxa"/>
          </w:tcPr>
          <w:p w14:paraId="104AE8FE" w14:textId="77777777" w:rsidR="004445D6" w:rsidRDefault="004445D6" w:rsidP="004445D6">
            <w:r>
              <w:t>21</w:t>
            </w:r>
          </w:p>
          <w:p w14:paraId="39122E2A" w14:textId="24D914AB" w:rsidR="004445D6" w:rsidRDefault="004445D6" w:rsidP="004445D6">
            <w:pPr>
              <w:rPr>
                <w:rFonts w:eastAsia="Times New Roman" w:cs="Arial"/>
              </w:rPr>
            </w:pPr>
            <w:r>
              <w:t>(13 до 28)</w:t>
            </w:r>
            <w:r>
              <w:rPr>
                <w:vertAlign w:val="superscript"/>
              </w:rPr>
              <w:t>в</w:t>
            </w:r>
          </w:p>
        </w:tc>
        <w:tc>
          <w:tcPr>
            <w:tcW w:w="1915" w:type="dxa"/>
          </w:tcPr>
          <w:p w14:paraId="0981C526" w14:textId="36FAA708" w:rsidR="004445D6" w:rsidRDefault="004445D6" w:rsidP="004445D6">
            <w:pPr>
              <w:rPr>
                <w:rFonts w:eastAsia="Times New Roman" w:cs="Arial"/>
              </w:rPr>
            </w:pPr>
            <w:r>
              <w:t>&lt;0.0001</w:t>
            </w:r>
            <w:r>
              <w:rPr>
                <w:vertAlign w:val="superscript"/>
              </w:rPr>
              <w:t>в</w:t>
            </w:r>
          </w:p>
        </w:tc>
      </w:tr>
      <w:tr w:rsidR="004445D6" w14:paraId="508F049B" w14:textId="77777777" w:rsidTr="004445D6">
        <w:tc>
          <w:tcPr>
            <w:tcW w:w="1506" w:type="dxa"/>
            <w:vMerge/>
          </w:tcPr>
          <w:p w14:paraId="699AD689" w14:textId="77777777" w:rsidR="004445D6" w:rsidRDefault="004445D6" w:rsidP="004445D6">
            <w:pPr>
              <w:rPr>
                <w:rFonts w:eastAsia="Times New Roman" w:cs="Arial"/>
              </w:rPr>
            </w:pPr>
          </w:p>
        </w:tc>
        <w:tc>
          <w:tcPr>
            <w:tcW w:w="1988" w:type="dxa"/>
          </w:tcPr>
          <w:p w14:paraId="74253FAD" w14:textId="48E6BF9D" w:rsidR="004445D6" w:rsidRDefault="004445D6" w:rsidP="004445D6">
            <w:pPr>
              <w:rPr>
                <w:rFonts w:eastAsia="Times New Roman" w:cs="Arial"/>
              </w:rPr>
            </w:pPr>
            <w:r>
              <w:t>Време до първа хоспитализация за ХОББ обостряне</w:t>
            </w:r>
          </w:p>
        </w:tc>
        <w:tc>
          <w:tcPr>
            <w:tcW w:w="1355" w:type="dxa"/>
          </w:tcPr>
          <w:p w14:paraId="5408BDFE" w14:textId="77777777" w:rsidR="004445D6" w:rsidRDefault="004445D6" w:rsidP="004445D6">
            <w:pPr>
              <w:rPr>
                <w:rFonts w:eastAsia="Times New Roman" w:cs="Arial"/>
              </w:rPr>
            </w:pPr>
          </w:p>
        </w:tc>
        <w:tc>
          <w:tcPr>
            <w:tcW w:w="1298" w:type="dxa"/>
          </w:tcPr>
          <w:p w14:paraId="6E6D93B6" w14:textId="77777777" w:rsidR="004445D6" w:rsidRDefault="004445D6" w:rsidP="004445D6">
            <w:pPr>
              <w:rPr>
                <w:rFonts w:eastAsia="Times New Roman" w:cs="Arial"/>
              </w:rPr>
            </w:pPr>
          </w:p>
        </w:tc>
        <w:tc>
          <w:tcPr>
            <w:tcW w:w="1514" w:type="dxa"/>
          </w:tcPr>
          <w:p w14:paraId="7CC8902B" w14:textId="5751BE7A" w:rsidR="004445D6" w:rsidRDefault="004445D6" w:rsidP="004445D6">
            <w:pPr>
              <w:rPr>
                <w:rFonts w:eastAsia="Times New Roman" w:cs="Arial"/>
              </w:rPr>
            </w:pPr>
            <w:r>
              <w:t>29 (10 до 41)</w:t>
            </w:r>
            <w:r>
              <w:rPr>
                <w:vertAlign w:val="superscript"/>
              </w:rPr>
              <w:t>б</w:t>
            </w:r>
          </w:p>
        </w:tc>
        <w:tc>
          <w:tcPr>
            <w:tcW w:w="1915" w:type="dxa"/>
          </w:tcPr>
          <w:p w14:paraId="354FC6EB" w14:textId="7605435B" w:rsidR="004445D6" w:rsidRDefault="004445D6" w:rsidP="004445D6">
            <w:pPr>
              <w:rPr>
                <w:rFonts w:eastAsia="Times New Roman" w:cs="Arial"/>
              </w:rPr>
            </w:pPr>
            <w:r>
              <w:t>0.003</w:t>
            </w:r>
            <w:r>
              <w:rPr>
                <w:vertAlign w:val="superscript"/>
              </w:rPr>
              <w:t>б</w:t>
            </w:r>
          </w:p>
        </w:tc>
      </w:tr>
      <w:tr w:rsidR="004445D6" w14:paraId="621BD356" w14:textId="77777777" w:rsidTr="004445D6">
        <w:tc>
          <w:tcPr>
            <w:tcW w:w="1506" w:type="dxa"/>
            <w:vMerge/>
          </w:tcPr>
          <w:p w14:paraId="19B082FB" w14:textId="77777777" w:rsidR="004445D6" w:rsidRDefault="004445D6" w:rsidP="004445D6">
            <w:pPr>
              <w:rPr>
                <w:rFonts w:eastAsia="Times New Roman" w:cs="Arial"/>
              </w:rPr>
            </w:pPr>
          </w:p>
        </w:tc>
        <w:tc>
          <w:tcPr>
            <w:tcW w:w="1988" w:type="dxa"/>
          </w:tcPr>
          <w:p w14:paraId="239D9467" w14:textId="42F5EF9F" w:rsidR="004445D6" w:rsidRDefault="004445D6" w:rsidP="004445D6">
            <w:pPr>
              <w:rPr>
                <w:rFonts w:eastAsia="Times New Roman" w:cs="Arial"/>
              </w:rPr>
            </w:pPr>
            <w:r>
              <w:t xml:space="preserve">Средна честота на хоспитализирани </w:t>
            </w:r>
            <w:r>
              <w:lastRenderedPageBreak/>
              <w:t>обостряния към пациенто-година</w:t>
            </w:r>
          </w:p>
        </w:tc>
        <w:tc>
          <w:tcPr>
            <w:tcW w:w="1355" w:type="dxa"/>
          </w:tcPr>
          <w:p w14:paraId="6F52F640" w14:textId="6FF68073" w:rsidR="004445D6" w:rsidRDefault="004445D6" w:rsidP="004445D6">
            <w:pPr>
              <w:rPr>
                <w:rFonts w:eastAsia="Times New Roman" w:cs="Arial"/>
              </w:rPr>
            </w:pPr>
            <w:r>
              <w:lastRenderedPageBreak/>
              <w:t>0.12</w:t>
            </w:r>
            <w:r>
              <w:rPr>
                <w:vertAlign w:val="superscript"/>
              </w:rPr>
              <w:t>в</w:t>
            </w:r>
          </w:p>
        </w:tc>
        <w:tc>
          <w:tcPr>
            <w:tcW w:w="1298" w:type="dxa"/>
          </w:tcPr>
          <w:p w14:paraId="5CBDF65A" w14:textId="5EAAA5E0" w:rsidR="004445D6" w:rsidRDefault="004445D6" w:rsidP="004445D6">
            <w:pPr>
              <w:rPr>
                <w:rFonts w:eastAsia="Times New Roman" w:cs="Arial"/>
              </w:rPr>
            </w:pPr>
            <w:r>
              <w:t>0.15</w:t>
            </w:r>
            <w:r>
              <w:rPr>
                <w:vertAlign w:val="superscript"/>
              </w:rPr>
              <w:t>в</w:t>
            </w:r>
          </w:p>
        </w:tc>
        <w:tc>
          <w:tcPr>
            <w:tcW w:w="1514" w:type="dxa"/>
          </w:tcPr>
          <w:p w14:paraId="53AA6401" w14:textId="77777777" w:rsidR="004445D6" w:rsidRDefault="004445D6" w:rsidP="004445D6">
            <w:r>
              <w:t>19</w:t>
            </w:r>
          </w:p>
          <w:p w14:paraId="7EA0B355" w14:textId="4ACB6E34" w:rsidR="004445D6" w:rsidRDefault="004445D6" w:rsidP="004445D6">
            <w:pPr>
              <w:rPr>
                <w:rFonts w:eastAsia="Times New Roman" w:cs="Arial"/>
              </w:rPr>
            </w:pPr>
            <w:r>
              <w:t>(7 до 30)</w:t>
            </w:r>
            <w:r>
              <w:rPr>
                <w:vertAlign w:val="superscript"/>
              </w:rPr>
              <w:t>в</w:t>
            </w:r>
          </w:p>
        </w:tc>
        <w:tc>
          <w:tcPr>
            <w:tcW w:w="1915" w:type="dxa"/>
          </w:tcPr>
          <w:p w14:paraId="760CBF82" w14:textId="794F93AF" w:rsidR="004445D6" w:rsidRDefault="004445D6" w:rsidP="004445D6">
            <w:pPr>
              <w:rPr>
                <w:rFonts w:eastAsia="Times New Roman" w:cs="Arial"/>
              </w:rPr>
            </w:pPr>
            <w:r>
              <w:t>0.004</w:t>
            </w:r>
            <w:r>
              <w:rPr>
                <w:vertAlign w:val="superscript"/>
              </w:rPr>
              <w:t>в</w:t>
            </w:r>
          </w:p>
        </w:tc>
      </w:tr>
    </w:tbl>
    <w:p w14:paraId="1F852F9D" w14:textId="4B8D107D" w:rsidR="004445D6" w:rsidRPr="004445D6" w:rsidRDefault="004445D6" w:rsidP="004445D6">
      <w:pPr>
        <w:spacing w:line="240" w:lineRule="auto"/>
        <w:rPr>
          <w:rFonts w:eastAsia="Times New Roman" w:cs="Arial"/>
        </w:rPr>
      </w:pPr>
      <w:r w:rsidRPr="004445D6">
        <w:rPr>
          <w:rFonts w:eastAsia="Times New Roman" w:cs="Arial"/>
          <w:bCs/>
          <w:color w:val="000000"/>
          <w:vertAlign w:val="superscript"/>
          <w:lang w:eastAsia="bg-BG"/>
        </w:rPr>
        <w:t>а</w:t>
      </w:r>
      <w:r w:rsidRPr="004445D6">
        <w:rPr>
          <w:rFonts w:eastAsia="Times New Roman" w:cs="Arial"/>
          <w:bCs/>
          <w:color w:val="000000"/>
          <w:lang w:eastAsia="bg-BG"/>
        </w:rPr>
        <w:t xml:space="preserve">Време до първо събитие: дни с лечение, до които 25 % от пациентите имат поне едно ХОББ обостряне /хоспитализирано ХОББ обостряне. </w:t>
      </w:r>
      <w:r w:rsidRPr="004445D6">
        <w:rPr>
          <w:rFonts w:eastAsia="Times New Roman" w:cs="Arial"/>
          <w:bCs/>
          <w:i/>
          <w:iCs/>
          <w:color w:val="000000"/>
          <w:lang w:eastAsia="bg-BG"/>
        </w:rPr>
        <w:t>В изпитване А 25 % от плацебо пациентите имат обостряне на ден 112, докато на Спирива Респимат 25 % имат обостряне на ден 173 (р=0,09); в проучване В 25 % от плацебо пациентите имат обостряне на ден 74, докато на Спирива Респимат 25% имат обостряне на ден 149 (р&lt;0,0001).</w:t>
      </w:r>
    </w:p>
    <w:p w14:paraId="538051C8" w14:textId="1A0854B9" w:rsidR="004445D6" w:rsidRPr="004445D6" w:rsidRDefault="004445D6" w:rsidP="004445D6">
      <w:pPr>
        <w:spacing w:line="240" w:lineRule="auto"/>
        <w:rPr>
          <w:rFonts w:eastAsia="Times New Roman" w:cs="Arial"/>
        </w:rPr>
      </w:pPr>
      <w:r>
        <w:rPr>
          <w:rFonts w:eastAsia="Times New Roman" w:cs="Arial"/>
          <w:bCs/>
          <w:color w:val="000000"/>
          <w:vertAlign w:val="superscript"/>
          <w:lang w:eastAsia="bg-BG"/>
        </w:rPr>
        <w:t>б</w:t>
      </w:r>
      <w:r w:rsidRPr="004445D6">
        <w:rPr>
          <w:rFonts w:eastAsia="Times New Roman" w:cs="Arial"/>
          <w:bCs/>
          <w:color w:val="000000"/>
          <w:lang w:eastAsia="bg-BG"/>
        </w:rPr>
        <w:t xml:space="preserve">Степента на риск </w:t>
      </w:r>
      <w:r w:rsidRPr="004445D6">
        <w:rPr>
          <w:rFonts w:eastAsia="Times New Roman" w:cs="Arial"/>
          <w:bCs/>
          <w:color w:val="000000"/>
          <w:lang w:val="ru-RU"/>
        </w:rPr>
        <w:t>(</w:t>
      </w:r>
      <w:r w:rsidRPr="004445D6">
        <w:rPr>
          <w:rFonts w:eastAsia="Times New Roman" w:cs="Arial"/>
          <w:bCs/>
          <w:color w:val="000000"/>
          <w:lang w:val="en-US"/>
        </w:rPr>
        <w:t>hazard</w:t>
      </w:r>
      <w:r w:rsidRPr="004445D6">
        <w:rPr>
          <w:rFonts w:eastAsia="Times New Roman" w:cs="Arial"/>
          <w:bCs/>
          <w:color w:val="000000"/>
          <w:lang w:val="ru-RU"/>
        </w:rPr>
        <w:t xml:space="preserve"> </w:t>
      </w:r>
      <w:r w:rsidRPr="004445D6">
        <w:rPr>
          <w:rFonts w:eastAsia="Times New Roman" w:cs="Arial"/>
          <w:bCs/>
          <w:color w:val="000000"/>
          <w:lang w:val="en-US"/>
        </w:rPr>
        <w:t>ratio</w:t>
      </w:r>
      <w:r w:rsidRPr="004445D6">
        <w:rPr>
          <w:rFonts w:eastAsia="Times New Roman" w:cs="Arial"/>
          <w:bCs/>
          <w:color w:val="000000"/>
          <w:lang w:val="ru-RU"/>
        </w:rPr>
        <w:t xml:space="preserve">) </w:t>
      </w:r>
      <w:r w:rsidRPr="004445D6">
        <w:rPr>
          <w:rFonts w:eastAsia="Times New Roman" w:cs="Arial"/>
          <w:bCs/>
          <w:color w:val="000000"/>
          <w:lang w:eastAsia="bg-BG"/>
        </w:rPr>
        <w:t xml:space="preserve">се оценява от Сох пропорционален модел за степента на риска. Процентът на намаление на риска е 100 </w:t>
      </w:r>
      <w:r w:rsidRPr="004445D6">
        <w:rPr>
          <w:rFonts w:eastAsia="Times New Roman" w:cs="Arial"/>
          <w:bCs/>
          <w:color w:val="000000"/>
          <w:lang w:val="ru-RU"/>
        </w:rPr>
        <w:t>(1-</w:t>
      </w:r>
      <w:proofErr w:type="spellStart"/>
      <w:r w:rsidRPr="004445D6">
        <w:rPr>
          <w:rFonts w:eastAsia="Times New Roman" w:cs="Arial"/>
          <w:bCs/>
          <w:color w:val="000000"/>
          <w:lang w:val="en-US"/>
        </w:rPr>
        <w:t>hazart</w:t>
      </w:r>
      <w:proofErr w:type="spellEnd"/>
      <w:r w:rsidRPr="004445D6">
        <w:rPr>
          <w:rFonts w:eastAsia="Times New Roman" w:cs="Arial"/>
          <w:bCs/>
          <w:color w:val="000000"/>
          <w:lang w:val="ru-RU"/>
        </w:rPr>
        <w:t xml:space="preserve"> </w:t>
      </w:r>
      <w:r w:rsidRPr="004445D6">
        <w:rPr>
          <w:rFonts w:eastAsia="Times New Roman" w:cs="Arial"/>
          <w:bCs/>
          <w:color w:val="000000"/>
          <w:lang w:val="en-US"/>
        </w:rPr>
        <w:t>ratio</w:t>
      </w:r>
      <w:r w:rsidRPr="004445D6">
        <w:rPr>
          <w:rFonts w:eastAsia="Times New Roman" w:cs="Arial"/>
          <w:bCs/>
          <w:color w:val="000000"/>
          <w:lang w:val="ru-RU"/>
        </w:rPr>
        <w:t>).</w:t>
      </w:r>
    </w:p>
    <w:p w14:paraId="7CCE44E3" w14:textId="77777777" w:rsidR="004445D6" w:rsidRPr="004445D6" w:rsidRDefault="004445D6" w:rsidP="004445D6">
      <w:pPr>
        <w:spacing w:line="240" w:lineRule="auto"/>
        <w:rPr>
          <w:rFonts w:eastAsia="Times New Roman" w:cs="Arial"/>
        </w:rPr>
      </w:pPr>
      <w:r w:rsidRPr="004445D6">
        <w:rPr>
          <w:rFonts w:eastAsia="Times New Roman" w:cs="Arial"/>
          <w:bCs/>
          <w:color w:val="000000"/>
          <w:vertAlign w:val="superscript"/>
          <w:lang w:eastAsia="bg-BG"/>
        </w:rPr>
        <w:t>в</w:t>
      </w:r>
      <w:r w:rsidRPr="004445D6">
        <w:rPr>
          <w:rFonts w:eastAsia="Times New Roman" w:cs="Arial"/>
          <w:bCs/>
          <w:color w:val="000000"/>
          <w:lang w:val="en-US"/>
        </w:rPr>
        <w:t>Poisson</w:t>
      </w:r>
      <w:r w:rsidRPr="004445D6">
        <w:rPr>
          <w:rFonts w:eastAsia="Times New Roman" w:cs="Arial"/>
          <w:bCs/>
          <w:color w:val="000000"/>
          <w:lang w:val="ru-RU"/>
        </w:rPr>
        <w:t xml:space="preserve"> </w:t>
      </w:r>
      <w:r w:rsidRPr="004445D6">
        <w:rPr>
          <w:rFonts w:eastAsia="Times New Roman" w:cs="Arial"/>
          <w:bCs/>
          <w:color w:val="000000"/>
          <w:lang w:eastAsia="bg-BG"/>
        </w:rPr>
        <w:t>регресия. Намалението на риска е 100 (1-степен на съотношение).</w:t>
      </w:r>
    </w:p>
    <w:p w14:paraId="1035B380" w14:textId="77777777" w:rsidR="004445D6" w:rsidRPr="004445D6" w:rsidRDefault="004445D6" w:rsidP="004445D6">
      <w:pPr>
        <w:spacing w:line="240" w:lineRule="auto"/>
        <w:rPr>
          <w:rFonts w:eastAsia="Times New Roman" w:cs="Arial"/>
        </w:rPr>
      </w:pPr>
      <w:r w:rsidRPr="004445D6">
        <w:rPr>
          <w:rFonts w:eastAsia="Times New Roman" w:cs="Arial"/>
          <w:bCs/>
          <w:color w:val="000000"/>
          <w:vertAlign w:val="superscript"/>
          <w:lang w:eastAsia="bg-BG"/>
        </w:rPr>
        <w:t>г</w:t>
      </w:r>
      <w:r w:rsidRPr="004445D6">
        <w:rPr>
          <w:rFonts w:eastAsia="Times New Roman" w:cs="Arial"/>
          <w:bCs/>
          <w:color w:val="000000"/>
          <w:lang w:eastAsia="bg-BG"/>
        </w:rPr>
        <w:t>Общият анализ е предварително определен, когато е създаван дизайнът на проучванията. Крайните цели за обостряне са значимо подобрени при самостоятелните анализи на двете едногодишни изпитвания.</w:t>
      </w:r>
    </w:p>
    <w:p w14:paraId="7D3D3745" w14:textId="77777777" w:rsidR="004445D6" w:rsidRDefault="004445D6" w:rsidP="004445D6">
      <w:pPr>
        <w:spacing w:line="240" w:lineRule="auto"/>
        <w:rPr>
          <w:rFonts w:eastAsia="Times New Roman" w:cs="Arial"/>
          <w:bCs/>
          <w:color w:val="000000"/>
          <w:u w:val="single"/>
          <w:lang w:eastAsia="bg-BG"/>
        </w:rPr>
      </w:pPr>
    </w:p>
    <w:p w14:paraId="7733F2DD" w14:textId="71F91F93" w:rsidR="004445D6" w:rsidRPr="004445D6" w:rsidRDefault="004445D6" w:rsidP="004445D6">
      <w:pPr>
        <w:spacing w:line="240" w:lineRule="auto"/>
        <w:rPr>
          <w:rFonts w:eastAsia="Times New Roman" w:cs="Arial"/>
        </w:rPr>
      </w:pPr>
      <w:r w:rsidRPr="004445D6">
        <w:rPr>
          <w:rFonts w:eastAsia="Times New Roman" w:cs="Arial"/>
          <w:bCs/>
          <w:color w:val="000000"/>
          <w:u w:val="single"/>
          <w:lang w:eastAsia="bg-BG"/>
        </w:rPr>
        <w:t xml:space="preserve">Дългосрочно активно-контоалиоано клинично проучване на </w:t>
      </w:r>
      <w:r w:rsidRPr="004445D6">
        <w:rPr>
          <w:rFonts w:eastAsia="Times New Roman" w:cs="Arial"/>
          <w:bCs/>
          <w:smallCaps/>
          <w:color w:val="000000"/>
          <w:u w:val="single"/>
          <w:lang w:eastAsia="bg-BG"/>
        </w:rPr>
        <w:t>тиотропиум</w:t>
      </w:r>
    </w:p>
    <w:p w14:paraId="78B9B7B9" w14:textId="77777777" w:rsidR="004445D6" w:rsidRDefault="004445D6" w:rsidP="004445D6">
      <w:pPr>
        <w:spacing w:line="240" w:lineRule="auto"/>
        <w:rPr>
          <w:rFonts w:eastAsia="Times New Roman" w:cs="Arial"/>
          <w:bCs/>
          <w:color w:val="000000"/>
          <w:lang w:eastAsia="bg-BG"/>
        </w:rPr>
      </w:pPr>
    </w:p>
    <w:p w14:paraId="1EF8FF6C" w14:textId="307E4F6C"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 xml:space="preserve">Проведено е дългосрочно, рандомизирано, двойно-сляпо, активно-контролирано клинично проучване с период на проследяване до 3 години за сравнение на ефикасността и безопасността на Спирива Респимат и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 xml:space="preserve">(5 711 пациенти са приемали Спирива Респимат, 5 694 пациенти са приемали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Първичните крайни цели са били времето до първото обостряне на</w:t>
      </w:r>
      <w:r w:rsidRPr="004445D6">
        <w:rPr>
          <w:rFonts w:eastAsia="Times New Roman" w:cs="Arial"/>
          <w:bCs/>
          <w:color w:val="000000"/>
          <w:u w:val="single"/>
          <w:lang w:eastAsia="bg-BG"/>
        </w:rPr>
        <w:t xml:space="preserve"> </w:t>
      </w:r>
      <w:r w:rsidRPr="004445D6">
        <w:rPr>
          <w:rFonts w:eastAsia="Times New Roman" w:cs="Arial"/>
          <w:bCs/>
          <w:color w:val="000000"/>
          <w:lang w:eastAsia="bg-BG"/>
        </w:rPr>
        <w:t>ХОББ, времето до смърт поради всички причини и в подизпитване (906 пациенти) най-нисък ФЕО</w:t>
      </w:r>
      <w:r w:rsidRPr="004445D6">
        <w:rPr>
          <w:rFonts w:eastAsia="Times New Roman" w:cs="Arial"/>
          <w:bCs/>
          <w:color w:val="000000"/>
          <w:vertAlign w:val="subscript"/>
          <w:lang w:eastAsia="bg-BG"/>
        </w:rPr>
        <w:t>1</w:t>
      </w:r>
      <w:r w:rsidRPr="004445D6">
        <w:rPr>
          <w:rFonts w:eastAsia="Times New Roman" w:cs="Arial"/>
          <w:bCs/>
          <w:color w:val="000000"/>
          <w:lang w:eastAsia="bg-BG"/>
        </w:rPr>
        <w:t xml:space="preserve"> (преди прилагане на доза).</w:t>
      </w:r>
    </w:p>
    <w:p w14:paraId="74BC4121" w14:textId="77777777" w:rsidR="004445D6" w:rsidRDefault="004445D6" w:rsidP="004445D6">
      <w:pPr>
        <w:spacing w:line="240" w:lineRule="auto"/>
        <w:rPr>
          <w:rFonts w:eastAsia="Times New Roman" w:cs="Arial"/>
          <w:bCs/>
          <w:color w:val="000000"/>
          <w:lang w:eastAsia="bg-BG"/>
        </w:rPr>
      </w:pPr>
    </w:p>
    <w:p w14:paraId="16FAF903" w14:textId="77777777" w:rsidR="004445D6" w:rsidRPr="004445D6" w:rsidRDefault="004445D6" w:rsidP="004445D6">
      <w:pPr>
        <w:rPr>
          <w:rFonts w:eastAsia="Times New Roman" w:cs="Arial"/>
        </w:rPr>
      </w:pPr>
      <w:r w:rsidRPr="004445D6">
        <w:rPr>
          <w:rFonts w:eastAsia="Times New Roman" w:cs="Arial"/>
          <w:bCs/>
          <w:color w:val="000000"/>
          <w:lang w:eastAsia="bg-BG"/>
        </w:rPr>
        <w:t xml:space="preserve">Времето до първото обостряне на ХОББ е числено подобно при проучването със Спирива Респимат и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 xml:space="preserve">(коефициент на риск (Спирива Респимат/Спирива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w:t>
      </w:r>
      <w:r w:rsidRPr="004445D6">
        <w:rPr>
          <w:rFonts w:eastAsia="Times New Roman" w:cs="Arial"/>
          <w:bCs/>
          <w:color w:val="000000"/>
          <w:lang w:eastAsia="bg-BG"/>
        </w:rPr>
        <w:t xml:space="preserve"> 0,98 с 95% ДИ от 0,93 до 1,03). Средният брой дни до първото обостряне на ХОББ е 756 дни за Спирива Респимат и 719 дни за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w:t>
      </w:r>
    </w:p>
    <w:p w14:paraId="52B7F601" w14:textId="77777777" w:rsidR="004445D6" w:rsidRPr="004445D6" w:rsidRDefault="004445D6" w:rsidP="004445D6">
      <w:pPr>
        <w:spacing w:line="240" w:lineRule="auto"/>
        <w:rPr>
          <w:rFonts w:eastAsia="Times New Roman" w:cs="Arial"/>
          <w:bCs/>
          <w:color w:val="000000"/>
          <w:lang w:eastAsia="bg-BG"/>
        </w:rPr>
      </w:pPr>
    </w:p>
    <w:p w14:paraId="352FB6B1" w14:textId="5E5735CE"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 xml:space="preserve">Бронходилататорният ефект на Спирива Респимат продължава над 120 седмици и е сходен с този на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Средната разлика при сравнение на ФЕО</w:t>
      </w:r>
      <w:r w:rsidRPr="004445D6">
        <w:rPr>
          <w:rFonts w:eastAsia="Times New Roman" w:cs="Arial"/>
          <w:bCs/>
          <w:color w:val="000000"/>
          <w:vertAlign w:val="subscript"/>
          <w:lang w:eastAsia="bg-BG"/>
        </w:rPr>
        <w:t>1</w:t>
      </w:r>
      <w:r w:rsidRPr="004445D6">
        <w:rPr>
          <w:rFonts w:eastAsia="Times New Roman" w:cs="Arial"/>
          <w:bCs/>
          <w:color w:val="000000"/>
          <w:lang w:eastAsia="bg-BG"/>
        </w:rPr>
        <w:t xml:space="preserve"> на Спирива Респимат спрямо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е била -0,0101 (95% ДИ -0,038 до 0,0181).</w:t>
      </w:r>
    </w:p>
    <w:p w14:paraId="02806C89" w14:textId="77777777"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 xml:space="preserve">В проучването в периода след пускане на пазара </w:t>
      </w:r>
      <w:r w:rsidRPr="004445D6">
        <w:rPr>
          <w:rFonts w:eastAsia="Times New Roman" w:cs="Arial"/>
          <w:bCs/>
          <w:color w:val="000000"/>
          <w:lang w:val="en-US"/>
        </w:rPr>
        <w:t>TIOSP</w:t>
      </w:r>
      <w:r w:rsidRPr="004445D6">
        <w:rPr>
          <w:rFonts w:eastAsia="Times New Roman" w:cs="Arial"/>
          <w:bCs/>
          <w:color w:val="000000"/>
          <w:lang w:val="ru-RU"/>
        </w:rPr>
        <w:t>1</w:t>
      </w:r>
      <w:r w:rsidRPr="004445D6">
        <w:rPr>
          <w:rFonts w:eastAsia="Times New Roman" w:cs="Arial"/>
          <w:bCs/>
          <w:color w:val="000000"/>
          <w:lang w:val="en-US"/>
        </w:rPr>
        <w:t>R</w:t>
      </w:r>
      <w:r w:rsidRPr="004445D6">
        <w:rPr>
          <w:rFonts w:eastAsia="Times New Roman" w:cs="Arial"/>
          <w:bCs/>
          <w:color w:val="000000"/>
          <w:lang w:val="ru-RU"/>
        </w:rPr>
        <w:t xml:space="preserve">, </w:t>
      </w:r>
      <w:r w:rsidRPr="004445D6">
        <w:rPr>
          <w:rFonts w:eastAsia="Times New Roman" w:cs="Arial"/>
          <w:bCs/>
          <w:color w:val="000000"/>
          <w:lang w:eastAsia="bg-BG"/>
        </w:rPr>
        <w:t xml:space="preserve">сравняващо Спирива Респимат и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 xml:space="preserve">смъртността поради всяка причина (включително проследяване на жизнения статус) е била сходна с коефициент на риск (Спирива Респимат/Спирива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 0,96,95% ДИ 0,84 - 1,09). Съответстващата експозиция на лечение е била 13 135 и 13 050 пациенто-години.</w:t>
      </w:r>
    </w:p>
    <w:p w14:paraId="13D07B25" w14:textId="77777777"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 xml:space="preserve">В плацебо-контролирано проучване с проследяване на жизнения статус до края на избрания период, Спирива Респимат показва значително числено увеличение на смърт по всяка причина в сравнение с плацебо (съотношение на честотата (95% доверителен интервал) от 1,33 (0,93,1,92) с експозиция на лечение със Спирива Респимат от 2 574 пациенто-години, като наблюдаваното повишение на смъртност е при пациенти с известни ритъмни нарушения.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 xml:space="preserve">е показала 13% понижение на риска от смърт ((коефициент на риск, включващ проследяване на жизнения статус (тиотропиум/плацебо) = 0,87; 95% ДИ, 0,76 до 0,99)). Експозицията на лечение със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 xml:space="preserve">е била 10 927 пациенто-години. Не е наблюдаван повишен риск от смърт при подгрупата пациенти с известни ритъмни нарушения в плацебо-контролираното клинично проучване със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 xml:space="preserve">, </w:t>
      </w:r>
      <w:r w:rsidRPr="004445D6">
        <w:rPr>
          <w:rFonts w:eastAsia="Times New Roman" w:cs="Arial"/>
          <w:bCs/>
          <w:color w:val="000000"/>
          <w:lang w:eastAsia="bg-BG"/>
        </w:rPr>
        <w:t xml:space="preserve">както и при сравнителното проучване </w:t>
      </w:r>
      <w:r w:rsidRPr="004445D6">
        <w:rPr>
          <w:rFonts w:eastAsia="Times New Roman" w:cs="Arial"/>
          <w:bCs/>
          <w:color w:val="000000"/>
          <w:lang w:val="en-US"/>
        </w:rPr>
        <w:t>TIOSPIR</w:t>
      </w:r>
      <w:r w:rsidRPr="004445D6">
        <w:rPr>
          <w:rFonts w:eastAsia="Times New Roman" w:cs="Arial"/>
          <w:bCs/>
          <w:color w:val="000000"/>
          <w:lang w:val="ru-RU"/>
        </w:rPr>
        <w:t xml:space="preserve"> </w:t>
      </w:r>
      <w:r w:rsidRPr="004445D6">
        <w:rPr>
          <w:rFonts w:eastAsia="Times New Roman" w:cs="Arial"/>
          <w:bCs/>
          <w:color w:val="000000"/>
          <w:lang w:eastAsia="bg-BG"/>
        </w:rPr>
        <w:t xml:space="preserve">на Спирива Респимат и Спирива </w:t>
      </w:r>
      <w:proofErr w:type="spellStart"/>
      <w:r w:rsidRPr="004445D6">
        <w:rPr>
          <w:rFonts w:eastAsia="Times New Roman" w:cs="Arial"/>
          <w:bCs/>
          <w:color w:val="000000"/>
          <w:lang w:val="en-US"/>
        </w:rPr>
        <w:t>HandiHaler</w:t>
      </w:r>
      <w:proofErr w:type="spellEnd"/>
      <w:r w:rsidRPr="004445D6">
        <w:rPr>
          <w:rFonts w:eastAsia="Times New Roman" w:cs="Arial"/>
          <w:bCs/>
          <w:color w:val="000000"/>
          <w:lang w:val="ru-RU"/>
        </w:rPr>
        <w:t>.</w:t>
      </w:r>
    </w:p>
    <w:p w14:paraId="13E5EBA6" w14:textId="77777777" w:rsidR="004445D6" w:rsidRPr="004445D6" w:rsidRDefault="004445D6" w:rsidP="004445D6">
      <w:pPr>
        <w:spacing w:line="240" w:lineRule="auto"/>
        <w:rPr>
          <w:rFonts w:eastAsia="Times New Roman" w:cs="Arial"/>
          <w:bCs/>
          <w:color w:val="000000"/>
          <w:u w:val="single"/>
          <w:lang w:eastAsia="bg-BG"/>
        </w:rPr>
      </w:pPr>
    </w:p>
    <w:p w14:paraId="4010F6D6" w14:textId="7C138518" w:rsidR="004445D6" w:rsidRPr="004445D6" w:rsidRDefault="004445D6" w:rsidP="004445D6">
      <w:pPr>
        <w:spacing w:line="240" w:lineRule="auto"/>
        <w:rPr>
          <w:rFonts w:eastAsia="Times New Roman" w:cs="Arial"/>
        </w:rPr>
      </w:pPr>
      <w:r w:rsidRPr="004445D6">
        <w:rPr>
          <w:rFonts w:eastAsia="Times New Roman" w:cs="Arial"/>
          <w:bCs/>
          <w:color w:val="000000"/>
          <w:u w:val="single"/>
          <w:lang w:eastAsia="bg-BG"/>
        </w:rPr>
        <w:lastRenderedPageBreak/>
        <w:t>Клинична ефикасност и безопасност при астма</w:t>
      </w:r>
    </w:p>
    <w:p w14:paraId="3E79B666" w14:textId="77777777" w:rsidR="004445D6" w:rsidRPr="004445D6" w:rsidRDefault="004445D6" w:rsidP="004445D6">
      <w:pPr>
        <w:spacing w:line="240" w:lineRule="auto"/>
        <w:rPr>
          <w:rFonts w:eastAsia="Times New Roman" w:cs="Arial"/>
          <w:bCs/>
          <w:color w:val="000000"/>
          <w:lang w:eastAsia="bg-BG"/>
        </w:rPr>
      </w:pPr>
    </w:p>
    <w:p w14:paraId="65DA49A7" w14:textId="768DF194"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Клиничната програма от фаза III при персистираща астма при възрастни включва две едногодишни, рандомизирани, двойно-слепи, плацебо-контролирани проучвания при общо 907 пациенти с астма (453, получаващи Спирива Респимат), приемащи комбинация от ИКС (≥800 μ</w:t>
      </w:r>
      <w:r w:rsidRPr="004445D6">
        <w:rPr>
          <w:rFonts w:eastAsia="Times New Roman" w:cs="Arial"/>
          <w:bCs/>
          <w:color w:val="000000"/>
          <w:lang w:val="en-US"/>
        </w:rPr>
        <w:t>g</w:t>
      </w:r>
      <w:r w:rsidRPr="004445D6">
        <w:rPr>
          <w:rFonts w:eastAsia="Times New Roman" w:cs="Arial"/>
          <w:bCs/>
          <w:color w:val="000000"/>
          <w:lang w:val="ru-RU"/>
        </w:rPr>
        <w:t xml:space="preserve"> </w:t>
      </w:r>
      <w:r w:rsidRPr="004445D6">
        <w:rPr>
          <w:rFonts w:eastAsia="Times New Roman" w:cs="Arial"/>
          <w:bCs/>
          <w:color w:val="000000"/>
          <w:lang w:eastAsia="bg-BG"/>
        </w:rPr>
        <w:t>будезонид дневно или еквивалентно средство) с ДДБА. В проучванията като първични крайни цели са включени измервания на белодробната функция и тежки обостряния.</w:t>
      </w:r>
    </w:p>
    <w:p w14:paraId="29350A11" w14:textId="77777777" w:rsidR="004445D6" w:rsidRPr="004445D6" w:rsidRDefault="004445D6" w:rsidP="004445D6">
      <w:pPr>
        <w:spacing w:line="240" w:lineRule="auto"/>
        <w:rPr>
          <w:rFonts w:eastAsia="Times New Roman" w:cs="Arial"/>
          <w:bCs/>
          <w:color w:val="000000"/>
          <w:u w:val="single"/>
          <w:lang w:eastAsia="bg-BG"/>
        </w:rPr>
      </w:pPr>
    </w:p>
    <w:p w14:paraId="02488AAD" w14:textId="766559DA" w:rsidR="004445D6" w:rsidRPr="004445D6" w:rsidRDefault="004445D6" w:rsidP="004445D6">
      <w:pPr>
        <w:spacing w:line="240" w:lineRule="auto"/>
        <w:rPr>
          <w:rFonts w:eastAsia="Times New Roman" w:cs="Arial"/>
        </w:rPr>
      </w:pPr>
      <w:r w:rsidRPr="004445D6">
        <w:rPr>
          <w:rFonts w:eastAsia="Times New Roman" w:cs="Arial"/>
          <w:bCs/>
          <w:color w:val="000000"/>
          <w:u w:val="single"/>
          <w:lang w:eastAsia="bg-BG"/>
        </w:rPr>
        <w:t xml:space="preserve">Проучвания </w:t>
      </w:r>
      <w:proofErr w:type="spellStart"/>
      <w:r w:rsidRPr="004445D6">
        <w:rPr>
          <w:rFonts w:eastAsia="Times New Roman" w:cs="Arial"/>
          <w:bCs/>
          <w:color w:val="000000"/>
          <w:u w:val="single"/>
          <w:lang w:val="en-US"/>
        </w:rPr>
        <w:t>PrimoTinA</w:t>
      </w:r>
      <w:proofErr w:type="spellEnd"/>
      <w:r w:rsidRPr="004445D6">
        <w:rPr>
          <w:rFonts w:eastAsia="Times New Roman" w:cs="Arial"/>
          <w:bCs/>
          <w:color w:val="000000"/>
          <w:u w:val="single"/>
          <w:lang w:val="ru-RU"/>
        </w:rPr>
        <w:t>-</w:t>
      </w:r>
      <w:r w:rsidRPr="004445D6">
        <w:rPr>
          <w:rFonts w:eastAsia="Times New Roman" w:cs="Arial"/>
          <w:bCs/>
          <w:color w:val="000000"/>
          <w:u w:val="single"/>
          <w:lang w:val="en-US"/>
        </w:rPr>
        <w:t>asthma</w:t>
      </w:r>
    </w:p>
    <w:p w14:paraId="33FCBDC1" w14:textId="77777777"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В двете 1-годишни проучвания при симптоматични пациенти, приемащи поддържащо лечение с най- малко ИКС (≥800 μ</w:t>
      </w:r>
      <w:r w:rsidRPr="004445D6">
        <w:rPr>
          <w:rFonts w:eastAsia="Times New Roman" w:cs="Arial"/>
          <w:bCs/>
          <w:color w:val="000000"/>
          <w:lang w:val="en-US"/>
        </w:rPr>
        <w:t>g</w:t>
      </w:r>
      <w:r w:rsidRPr="004445D6">
        <w:rPr>
          <w:rFonts w:eastAsia="Times New Roman" w:cs="Arial"/>
          <w:bCs/>
          <w:color w:val="000000"/>
          <w:lang w:val="ru-RU"/>
        </w:rPr>
        <w:t xml:space="preserve"> </w:t>
      </w:r>
      <w:r w:rsidRPr="004445D6">
        <w:rPr>
          <w:rFonts w:eastAsia="Times New Roman" w:cs="Arial"/>
          <w:bCs/>
          <w:color w:val="000000"/>
          <w:lang w:eastAsia="bg-BG"/>
        </w:rPr>
        <w:t>будезонид дневно или еквивалентно средство) плюс ДДБА, Спирива Респимат показва клинично значими подобрения на белодробната функция в сравнение с плацебо, когато се използва като допълнение към основното лечение.</w:t>
      </w:r>
    </w:p>
    <w:p w14:paraId="2D5286DB" w14:textId="77777777" w:rsidR="004445D6" w:rsidRPr="004445D6" w:rsidRDefault="004445D6" w:rsidP="004445D6">
      <w:pPr>
        <w:spacing w:line="240" w:lineRule="auto"/>
        <w:rPr>
          <w:rFonts w:eastAsia="Times New Roman" w:cs="Arial"/>
          <w:bCs/>
          <w:color w:val="000000"/>
          <w:lang w:eastAsia="bg-BG"/>
        </w:rPr>
      </w:pPr>
    </w:p>
    <w:p w14:paraId="020863B8" w14:textId="72CFEA0A"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На 24-та седмица средното подобрение на стойностите на пиковия ФЕО</w:t>
      </w:r>
      <w:r w:rsidRPr="004445D6">
        <w:rPr>
          <w:rFonts w:eastAsia="Times New Roman" w:cs="Arial"/>
          <w:bCs/>
          <w:color w:val="000000"/>
          <w:vertAlign w:val="subscript"/>
          <w:lang w:eastAsia="bg-BG"/>
        </w:rPr>
        <w:t>1</w:t>
      </w:r>
      <w:r w:rsidRPr="004445D6">
        <w:rPr>
          <w:rFonts w:eastAsia="Times New Roman" w:cs="Arial"/>
          <w:bCs/>
          <w:color w:val="000000"/>
          <w:lang w:eastAsia="bg-BG"/>
        </w:rPr>
        <w:t xml:space="preserve"> и ФЕО</w:t>
      </w:r>
      <w:r w:rsidRPr="004445D6">
        <w:rPr>
          <w:rFonts w:eastAsia="Times New Roman" w:cs="Arial"/>
          <w:bCs/>
          <w:color w:val="000000"/>
          <w:vertAlign w:val="subscript"/>
          <w:lang w:eastAsia="bg-BG"/>
        </w:rPr>
        <w:t>1</w:t>
      </w:r>
      <w:r w:rsidRPr="004445D6">
        <w:rPr>
          <w:rFonts w:eastAsia="Times New Roman" w:cs="Arial"/>
          <w:bCs/>
          <w:color w:val="000000"/>
          <w:lang w:eastAsia="bg-BG"/>
        </w:rPr>
        <w:t xml:space="preserve"> в края на дозовия интервал е съответно 0,110 литра (95% ДИ: 0.063 до 0,158 литра, р &gt;0,0001) и 0,093 литра (95% ДИ: 0,050 до 0,137 литра, р&lt;0,0001). Подобрението на белодробната функция в сравнение с плацебо е поддържано в рамките на 24 часа.</w:t>
      </w:r>
    </w:p>
    <w:p w14:paraId="4B5E6689" w14:textId="77777777" w:rsidR="004445D6" w:rsidRPr="004445D6" w:rsidRDefault="004445D6" w:rsidP="004445D6">
      <w:pPr>
        <w:spacing w:line="240" w:lineRule="auto"/>
        <w:rPr>
          <w:rFonts w:eastAsia="Times New Roman" w:cs="Arial"/>
          <w:bCs/>
          <w:color w:val="000000"/>
          <w:lang w:eastAsia="bg-BG"/>
        </w:rPr>
      </w:pPr>
    </w:p>
    <w:p w14:paraId="16E642B8" w14:textId="7320C625"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 xml:space="preserve">В проучванията </w:t>
      </w:r>
      <w:proofErr w:type="spellStart"/>
      <w:r w:rsidRPr="004445D6">
        <w:rPr>
          <w:rFonts w:eastAsia="Times New Roman" w:cs="Arial"/>
          <w:bCs/>
          <w:color w:val="000000"/>
          <w:lang w:val="en-US"/>
        </w:rPr>
        <w:t>PrimoTinA</w:t>
      </w:r>
      <w:proofErr w:type="spellEnd"/>
      <w:r w:rsidRPr="004445D6">
        <w:rPr>
          <w:rFonts w:eastAsia="Times New Roman" w:cs="Arial"/>
          <w:bCs/>
          <w:color w:val="000000"/>
          <w:lang w:val="ru-RU"/>
        </w:rPr>
        <w:t>-</w:t>
      </w:r>
      <w:r w:rsidRPr="004445D6">
        <w:rPr>
          <w:rFonts w:eastAsia="Times New Roman" w:cs="Arial"/>
          <w:bCs/>
          <w:color w:val="000000"/>
          <w:lang w:val="en-US"/>
        </w:rPr>
        <w:t>asthma</w:t>
      </w:r>
      <w:r w:rsidRPr="004445D6">
        <w:rPr>
          <w:rFonts w:eastAsia="Times New Roman" w:cs="Arial"/>
          <w:bCs/>
          <w:color w:val="000000"/>
          <w:lang w:val="ru-RU"/>
        </w:rPr>
        <w:t xml:space="preserve"> </w:t>
      </w:r>
      <w:r w:rsidRPr="004445D6">
        <w:rPr>
          <w:rFonts w:eastAsia="Times New Roman" w:cs="Arial"/>
          <w:bCs/>
          <w:color w:val="000000"/>
          <w:lang w:eastAsia="bg-BG"/>
        </w:rPr>
        <w:t>лечението на симптоматичните пациенти (</w:t>
      </w:r>
      <w:r w:rsidRPr="004445D6">
        <w:rPr>
          <w:rFonts w:eastAsia="Times New Roman" w:cs="Arial"/>
          <w:bCs/>
          <w:color w:val="000000"/>
          <w:lang w:val="en-US"/>
        </w:rPr>
        <w:t>n</w:t>
      </w:r>
      <w:r w:rsidRPr="004445D6">
        <w:rPr>
          <w:rFonts w:eastAsia="Times New Roman" w:cs="Arial"/>
          <w:bCs/>
          <w:color w:val="000000"/>
          <w:lang w:eastAsia="bg-BG"/>
        </w:rPr>
        <w:t>=453) с ИКС плюс ДДБА плюс тиотропиум намалява риска от тежки обостряния на астмата с 21% в сравнение с лечението на симптоматични пациенти (</w:t>
      </w:r>
      <w:r w:rsidRPr="004445D6">
        <w:rPr>
          <w:rFonts w:eastAsia="Times New Roman" w:cs="Arial"/>
          <w:bCs/>
          <w:color w:val="000000"/>
          <w:lang w:val="en-US"/>
        </w:rPr>
        <w:t>n</w:t>
      </w:r>
      <w:r w:rsidRPr="004445D6">
        <w:rPr>
          <w:rFonts w:eastAsia="Times New Roman" w:cs="Arial"/>
          <w:bCs/>
          <w:color w:val="000000"/>
          <w:lang w:eastAsia="bg-BG"/>
        </w:rPr>
        <w:t xml:space="preserve">=454) с ИКС плюс </w:t>
      </w:r>
      <w:r w:rsidRPr="004445D6">
        <w:rPr>
          <w:rFonts w:eastAsia="Times New Roman" w:cs="Arial"/>
          <w:bCs/>
          <w:color w:val="000000"/>
          <w:u w:val="single"/>
          <w:lang w:eastAsia="bg-BG"/>
        </w:rPr>
        <w:t>ДДБ</w:t>
      </w:r>
      <w:r w:rsidRPr="004445D6">
        <w:rPr>
          <w:rFonts w:eastAsia="Times New Roman" w:cs="Arial"/>
          <w:bCs/>
          <w:color w:val="000000"/>
          <w:lang w:eastAsia="bg-BG"/>
        </w:rPr>
        <w:t>А плюс плацебо. Намалението на риска средно като брой тежки обостряния на астмата на пациент за година е с 20%.</w:t>
      </w:r>
    </w:p>
    <w:p w14:paraId="1A9A3B28" w14:textId="77777777"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Това е подкрепено от 31% понижение на риска за влошаване на астмата и 24% понижение на риска средно като брой влошавания на астмата на пациент за година (вж. таблица 2).</w:t>
      </w:r>
    </w:p>
    <w:p w14:paraId="3E94F250" w14:textId="77777777" w:rsidR="004445D6" w:rsidRPr="004445D6" w:rsidRDefault="004445D6" w:rsidP="004445D6">
      <w:pPr>
        <w:spacing w:line="240" w:lineRule="auto"/>
        <w:rPr>
          <w:rFonts w:eastAsia="Times New Roman" w:cs="Arial"/>
          <w:bCs/>
          <w:color w:val="000000"/>
          <w:lang w:eastAsia="bg-BG"/>
        </w:rPr>
      </w:pPr>
    </w:p>
    <w:p w14:paraId="29DC1B64" w14:textId="56FDED65" w:rsidR="004445D6" w:rsidRDefault="004445D6" w:rsidP="004445D6">
      <w:pPr>
        <w:spacing w:line="240" w:lineRule="auto"/>
        <w:rPr>
          <w:rFonts w:eastAsia="Times New Roman" w:cs="Arial"/>
          <w:bCs/>
          <w:color w:val="000000"/>
          <w:lang w:val="ru-RU"/>
        </w:rPr>
      </w:pPr>
      <w:r w:rsidRPr="004445D6">
        <w:rPr>
          <w:rFonts w:eastAsia="Times New Roman" w:cs="Arial"/>
          <w:bCs/>
          <w:color w:val="000000"/>
          <w:lang w:eastAsia="bg-BG"/>
        </w:rPr>
        <w:t>Таблица 2: Обостряния при симптоматични пациенти, приемащи ИКС (≥800 μ</w:t>
      </w:r>
      <w:r w:rsidRPr="004445D6">
        <w:rPr>
          <w:rFonts w:eastAsia="Times New Roman" w:cs="Arial"/>
          <w:bCs/>
          <w:color w:val="000000"/>
          <w:lang w:val="en-US"/>
        </w:rPr>
        <w:t>g</w:t>
      </w:r>
      <w:r w:rsidRPr="004445D6">
        <w:rPr>
          <w:rFonts w:eastAsia="Times New Roman" w:cs="Arial"/>
          <w:bCs/>
          <w:color w:val="000000"/>
          <w:lang w:val="ru-RU"/>
        </w:rPr>
        <w:t xml:space="preserve"> </w:t>
      </w:r>
      <w:r w:rsidRPr="004445D6">
        <w:rPr>
          <w:rFonts w:eastAsia="Times New Roman" w:cs="Arial"/>
          <w:bCs/>
          <w:color w:val="000000"/>
          <w:lang w:eastAsia="bg-BG"/>
        </w:rPr>
        <w:t>будезонид</w:t>
      </w:r>
      <w:r w:rsidRPr="004445D6">
        <w:rPr>
          <w:rFonts w:eastAsia="Times New Roman" w:cs="Arial"/>
          <w:bCs/>
          <w:color w:val="000000"/>
          <w:lang w:val="ru-RU"/>
        </w:rPr>
        <w:t xml:space="preserve"> </w:t>
      </w:r>
      <w:r w:rsidRPr="004445D6">
        <w:rPr>
          <w:rFonts w:eastAsia="Times New Roman" w:cs="Arial"/>
          <w:bCs/>
          <w:color w:val="000000"/>
          <w:lang w:eastAsia="bg-BG"/>
        </w:rPr>
        <w:t xml:space="preserve">дневно или еквивалентно средство) плюс ДДБА (проучвания </w:t>
      </w:r>
      <w:proofErr w:type="spellStart"/>
      <w:r w:rsidRPr="004445D6">
        <w:rPr>
          <w:rFonts w:eastAsia="Times New Roman" w:cs="Arial"/>
          <w:bCs/>
          <w:color w:val="000000"/>
          <w:lang w:val="en-US"/>
        </w:rPr>
        <w:t>PrimoTinA</w:t>
      </w:r>
      <w:proofErr w:type="spellEnd"/>
      <w:r w:rsidRPr="004445D6">
        <w:rPr>
          <w:rFonts w:eastAsia="Times New Roman" w:cs="Arial"/>
          <w:bCs/>
          <w:color w:val="000000"/>
          <w:lang w:val="ru-RU"/>
        </w:rPr>
        <w:t>-</w:t>
      </w:r>
      <w:r w:rsidRPr="004445D6">
        <w:rPr>
          <w:rFonts w:eastAsia="Times New Roman" w:cs="Arial"/>
          <w:bCs/>
          <w:color w:val="000000"/>
          <w:lang w:val="en-US"/>
        </w:rPr>
        <w:t>asthma</w:t>
      </w:r>
      <w:r w:rsidRPr="004445D6">
        <w:rPr>
          <w:rFonts w:eastAsia="Times New Roman" w:cs="Arial"/>
          <w:bCs/>
          <w:color w:val="000000"/>
          <w:lang w:val="ru-RU"/>
        </w:rPr>
        <w:t>)</w:t>
      </w:r>
    </w:p>
    <w:tbl>
      <w:tblPr>
        <w:tblStyle w:val="TableGrid"/>
        <w:tblW w:w="0" w:type="auto"/>
        <w:tblLook w:val="04A0" w:firstRow="1" w:lastRow="0" w:firstColumn="1" w:lastColumn="0" w:noHBand="0" w:noVBand="1"/>
      </w:tblPr>
      <w:tblGrid>
        <w:gridCol w:w="1581"/>
        <w:gridCol w:w="1564"/>
        <w:gridCol w:w="1588"/>
        <w:gridCol w:w="1588"/>
        <w:gridCol w:w="1545"/>
        <w:gridCol w:w="1484"/>
      </w:tblGrid>
      <w:tr w:rsidR="004445D6" w14:paraId="22B4F99E" w14:textId="77777777" w:rsidTr="004445D6">
        <w:tc>
          <w:tcPr>
            <w:tcW w:w="1596" w:type="dxa"/>
          </w:tcPr>
          <w:p w14:paraId="3CD0DB7E" w14:textId="1101938B" w:rsidR="004445D6" w:rsidRPr="004445D6" w:rsidRDefault="004445D6" w:rsidP="004445D6">
            <w:pPr>
              <w:rPr>
                <w:rFonts w:eastAsia="Times New Roman" w:cs="Arial"/>
                <w:b/>
              </w:rPr>
            </w:pPr>
            <w:r w:rsidRPr="004445D6">
              <w:rPr>
                <w:b/>
              </w:rPr>
              <w:t>Проучвания</w:t>
            </w:r>
          </w:p>
        </w:tc>
        <w:tc>
          <w:tcPr>
            <w:tcW w:w="1596" w:type="dxa"/>
          </w:tcPr>
          <w:p w14:paraId="33814751" w14:textId="0485EB14" w:rsidR="004445D6" w:rsidRPr="004445D6" w:rsidRDefault="004445D6" w:rsidP="004445D6">
            <w:pPr>
              <w:rPr>
                <w:rFonts w:eastAsia="Times New Roman" w:cs="Arial"/>
                <w:b/>
              </w:rPr>
            </w:pPr>
            <w:r w:rsidRPr="004445D6">
              <w:rPr>
                <w:b/>
              </w:rPr>
              <w:t>Крайни цели</w:t>
            </w:r>
          </w:p>
        </w:tc>
        <w:tc>
          <w:tcPr>
            <w:tcW w:w="1596" w:type="dxa"/>
          </w:tcPr>
          <w:p w14:paraId="0199C067" w14:textId="20981EDB" w:rsidR="004445D6" w:rsidRPr="004445D6" w:rsidRDefault="004445D6" w:rsidP="004445D6">
            <w:pPr>
              <w:rPr>
                <w:rFonts w:eastAsia="Times New Roman" w:cs="Arial"/>
                <w:b/>
              </w:rPr>
            </w:pPr>
            <w:r w:rsidRPr="004445D6">
              <w:rPr>
                <w:b/>
              </w:rPr>
              <w:t>Спирива Респимат, като допълнение към най-малко ИКС</w:t>
            </w:r>
            <w:r w:rsidRPr="004445D6">
              <w:rPr>
                <w:b/>
                <w:vertAlign w:val="superscript"/>
              </w:rPr>
              <w:t>а</w:t>
            </w:r>
            <w:r w:rsidRPr="004445D6">
              <w:rPr>
                <w:b/>
              </w:rPr>
              <w:t xml:space="preserve">/ДДБА </w:t>
            </w:r>
            <w:r w:rsidRPr="004445D6">
              <w:rPr>
                <w:b/>
                <w:lang w:val="ru-RU"/>
              </w:rPr>
              <w:t>(</w:t>
            </w:r>
            <w:r w:rsidRPr="004445D6">
              <w:rPr>
                <w:b/>
                <w:lang w:val="en-US"/>
              </w:rPr>
              <w:t>N</w:t>
            </w:r>
            <w:r w:rsidRPr="004445D6">
              <w:rPr>
                <w:b/>
                <w:lang w:val="ru-RU"/>
              </w:rPr>
              <w:t>=453)</w:t>
            </w:r>
          </w:p>
        </w:tc>
        <w:tc>
          <w:tcPr>
            <w:tcW w:w="1596" w:type="dxa"/>
          </w:tcPr>
          <w:p w14:paraId="0276D7F5" w14:textId="06E48111" w:rsidR="004445D6" w:rsidRPr="004445D6" w:rsidRDefault="004445D6" w:rsidP="004445D6">
            <w:pPr>
              <w:rPr>
                <w:rFonts w:eastAsia="Times New Roman" w:cs="Arial"/>
                <w:b/>
              </w:rPr>
            </w:pPr>
            <w:r w:rsidRPr="004445D6">
              <w:rPr>
                <w:b/>
              </w:rPr>
              <w:t>Плацебо, като допълнение към най-малко ИКС</w:t>
            </w:r>
            <w:r w:rsidRPr="004445D6">
              <w:rPr>
                <w:b/>
                <w:vertAlign w:val="superscript"/>
              </w:rPr>
              <w:t>а/</w:t>
            </w:r>
            <w:r w:rsidRPr="004445D6">
              <w:rPr>
                <w:b/>
              </w:rPr>
              <w:t xml:space="preserve">ДДБА </w:t>
            </w:r>
            <w:r w:rsidRPr="004445D6">
              <w:rPr>
                <w:b/>
                <w:lang w:val="ru-RU"/>
              </w:rPr>
              <w:t>(</w:t>
            </w:r>
            <w:r w:rsidRPr="004445D6">
              <w:rPr>
                <w:b/>
                <w:lang w:val="en-US"/>
              </w:rPr>
              <w:t>N</w:t>
            </w:r>
            <w:r w:rsidRPr="004445D6">
              <w:rPr>
                <w:b/>
                <w:lang w:val="ru-RU"/>
              </w:rPr>
              <w:t>=454)</w:t>
            </w:r>
          </w:p>
        </w:tc>
        <w:tc>
          <w:tcPr>
            <w:tcW w:w="1596" w:type="dxa"/>
          </w:tcPr>
          <w:p w14:paraId="24478FBF" w14:textId="073823EC" w:rsidR="004445D6" w:rsidRPr="004445D6" w:rsidRDefault="004445D6" w:rsidP="004445D6">
            <w:pPr>
              <w:rPr>
                <w:rFonts w:eastAsia="Times New Roman" w:cs="Arial"/>
                <w:b/>
              </w:rPr>
            </w:pPr>
            <w:r w:rsidRPr="004445D6">
              <w:rPr>
                <w:b/>
              </w:rPr>
              <w:t>% понижение на риска (95% ДИ)</w:t>
            </w:r>
          </w:p>
        </w:tc>
        <w:tc>
          <w:tcPr>
            <w:tcW w:w="1596" w:type="dxa"/>
          </w:tcPr>
          <w:p w14:paraId="68626B23" w14:textId="0FC6D7CC" w:rsidR="004445D6" w:rsidRPr="004445D6" w:rsidRDefault="004445D6" w:rsidP="004445D6">
            <w:pPr>
              <w:rPr>
                <w:rFonts w:eastAsia="Times New Roman" w:cs="Arial"/>
                <w:b/>
              </w:rPr>
            </w:pPr>
            <w:r w:rsidRPr="004445D6">
              <w:rPr>
                <w:b/>
              </w:rPr>
              <w:t>стойност</w:t>
            </w:r>
          </w:p>
        </w:tc>
      </w:tr>
      <w:tr w:rsidR="004445D6" w14:paraId="5C57BE19" w14:textId="77777777" w:rsidTr="004445D6">
        <w:tc>
          <w:tcPr>
            <w:tcW w:w="1596" w:type="dxa"/>
            <w:vMerge w:val="restart"/>
          </w:tcPr>
          <w:p w14:paraId="13D8E0BE" w14:textId="5CA443BB" w:rsidR="004445D6" w:rsidRDefault="004445D6" w:rsidP="004445D6">
            <w:pPr>
              <w:rPr>
                <w:rFonts w:eastAsia="Times New Roman" w:cs="Arial"/>
              </w:rPr>
            </w:pPr>
            <w:r>
              <w:t>две 1- годишни проучвания от фаза III, сборен анализ</w:t>
            </w:r>
          </w:p>
        </w:tc>
        <w:tc>
          <w:tcPr>
            <w:tcW w:w="1596" w:type="dxa"/>
          </w:tcPr>
          <w:p w14:paraId="0232914C" w14:textId="24C749F5" w:rsidR="004445D6" w:rsidRDefault="004445D6" w:rsidP="004445D6">
            <w:pPr>
              <w:rPr>
                <w:rFonts w:eastAsia="Times New Roman" w:cs="Arial"/>
              </w:rPr>
            </w:pPr>
            <w:r>
              <w:t>Дни до 1-во тежко обостряне на астмата</w:t>
            </w:r>
          </w:p>
        </w:tc>
        <w:tc>
          <w:tcPr>
            <w:tcW w:w="1596" w:type="dxa"/>
          </w:tcPr>
          <w:p w14:paraId="68FCD3E5" w14:textId="0C6CFA7F" w:rsidR="004445D6" w:rsidRDefault="004445D6" w:rsidP="004445D6">
            <w:pPr>
              <w:rPr>
                <w:rFonts w:eastAsia="Times New Roman" w:cs="Arial"/>
              </w:rPr>
            </w:pPr>
            <w:r>
              <w:t>282</w:t>
            </w:r>
            <w:r>
              <w:rPr>
                <w:vertAlign w:val="superscript"/>
              </w:rPr>
              <w:t>с</w:t>
            </w:r>
          </w:p>
        </w:tc>
        <w:tc>
          <w:tcPr>
            <w:tcW w:w="1596" w:type="dxa"/>
          </w:tcPr>
          <w:p w14:paraId="4659D661" w14:textId="4BD2A058" w:rsidR="004445D6" w:rsidRDefault="004445D6" w:rsidP="004445D6">
            <w:pPr>
              <w:rPr>
                <w:rFonts w:eastAsia="Times New Roman" w:cs="Arial"/>
              </w:rPr>
            </w:pPr>
            <w:r>
              <w:t>226</w:t>
            </w:r>
            <w:r>
              <w:rPr>
                <w:vertAlign w:val="superscript"/>
              </w:rPr>
              <w:t>в</w:t>
            </w:r>
          </w:p>
        </w:tc>
        <w:tc>
          <w:tcPr>
            <w:tcW w:w="1596" w:type="dxa"/>
          </w:tcPr>
          <w:p w14:paraId="7F821E14" w14:textId="6A5E3160" w:rsidR="004445D6" w:rsidRDefault="004445D6" w:rsidP="004445D6">
            <w:pPr>
              <w:rPr>
                <w:rFonts w:eastAsia="Times New Roman" w:cs="Arial"/>
              </w:rPr>
            </w:pPr>
            <w:r>
              <w:t>21</w:t>
            </w:r>
            <w:r>
              <w:rPr>
                <w:vertAlign w:val="superscript"/>
              </w:rPr>
              <w:t>б</w:t>
            </w:r>
            <w:r>
              <w:t xml:space="preserve"> (0,38)</w:t>
            </w:r>
          </w:p>
        </w:tc>
        <w:tc>
          <w:tcPr>
            <w:tcW w:w="1596" w:type="dxa"/>
          </w:tcPr>
          <w:p w14:paraId="3DC8D31C" w14:textId="3A990ECF" w:rsidR="004445D6" w:rsidRDefault="004445D6" w:rsidP="004445D6">
            <w:pPr>
              <w:rPr>
                <w:rFonts w:eastAsia="Times New Roman" w:cs="Arial"/>
              </w:rPr>
            </w:pPr>
            <w:r>
              <w:t>0,0343</w:t>
            </w:r>
          </w:p>
        </w:tc>
      </w:tr>
      <w:tr w:rsidR="004445D6" w14:paraId="5EEFC245" w14:textId="77777777" w:rsidTr="004445D6">
        <w:tc>
          <w:tcPr>
            <w:tcW w:w="1596" w:type="dxa"/>
            <w:vMerge/>
          </w:tcPr>
          <w:p w14:paraId="2D24B89F" w14:textId="77777777" w:rsidR="004445D6" w:rsidRDefault="004445D6" w:rsidP="004445D6">
            <w:pPr>
              <w:rPr>
                <w:rFonts w:eastAsia="Times New Roman" w:cs="Arial"/>
              </w:rPr>
            </w:pPr>
          </w:p>
        </w:tc>
        <w:tc>
          <w:tcPr>
            <w:tcW w:w="1596" w:type="dxa"/>
          </w:tcPr>
          <w:p w14:paraId="74CB890B" w14:textId="1CD9FA5C" w:rsidR="004445D6" w:rsidRDefault="004445D6" w:rsidP="004445D6">
            <w:pPr>
              <w:rPr>
                <w:rFonts w:eastAsia="Times New Roman" w:cs="Arial"/>
              </w:rPr>
            </w:pPr>
            <w:r>
              <w:t xml:space="preserve">Среден брой тежки обостряния на астмата </w:t>
            </w:r>
            <w:r>
              <w:lastRenderedPageBreak/>
              <w:t>на пациент за година</w:t>
            </w:r>
          </w:p>
        </w:tc>
        <w:tc>
          <w:tcPr>
            <w:tcW w:w="1596" w:type="dxa"/>
          </w:tcPr>
          <w:p w14:paraId="3F5570AB" w14:textId="7166691F" w:rsidR="004445D6" w:rsidRDefault="004445D6" w:rsidP="004445D6">
            <w:pPr>
              <w:rPr>
                <w:rFonts w:eastAsia="Times New Roman" w:cs="Arial"/>
              </w:rPr>
            </w:pPr>
            <w:r>
              <w:lastRenderedPageBreak/>
              <w:t>0,530</w:t>
            </w:r>
          </w:p>
        </w:tc>
        <w:tc>
          <w:tcPr>
            <w:tcW w:w="1596" w:type="dxa"/>
          </w:tcPr>
          <w:p w14:paraId="4BD02BC2" w14:textId="00DBB1F7" w:rsidR="004445D6" w:rsidRDefault="004445D6" w:rsidP="004445D6">
            <w:pPr>
              <w:rPr>
                <w:rFonts w:eastAsia="Times New Roman" w:cs="Arial"/>
              </w:rPr>
            </w:pPr>
            <w:r>
              <w:t>0,663</w:t>
            </w:r>
          </w:p>
        </w:tc>
        <w:tc>
          <w:tcPr>
            <w:tcW w:w="1596" w:type="dxa"/>
          </w:tcPr>
          <w:p w14:paraId="07471332" w14:textId="77777777" w:rsidR="004445D6" w:rsidRDefault="004445D6" w:rsidP="004445D6">
            <w:r>
              <w:t>20</w:t>
            </w:r>
            <w:r>
              <w:rPr>
                <w:vertAlign w:val="superscript"/>
              </w:rPr>
              <w:t>г</w:t>
            </w:r>
          </w:p>
          <w:p w14:paraId="0C2B90F0" w14:textId="4CB81D10" w:rsidR="004445D6" w:rsidRDefault="004445D6" w:rsidP="004445D6">
            <w:pPr>
              <w:rPr>
                <w:rFonts w:eastAsia="Times New Roman" w:cs="Arial"/>
              </w:rPr>
            </w:pPr>
            <w:r>
              <w:t>(0,36)</w:t>
            </w:r>
          </w:p>
        </w:tc>
        <w:tc>
          <w:tcPr>
            <w:tcW w:w="1596" w:type="dxa"/>
          </w:tcPr>
          <w:p w14:paraId="7E640A65" w14:textId="4E3FC11F" w:rsidR="004445D6" w:rsidRDefault="004445D6" w:rsidP="004445D6">
            <w:pPr>
              <w:rPr>
                <w:rFonts w:eastAsia="Times New Roman" w:cs="Arial"/>
              </w:rPr>
            </w:pPr>
            <w:r>
              <w:t>0,0458</w:t>
            </w:r>
          </w:p>
        </w:tc>
      </w:tr>
      <w:tr w:rsidR="004445D6" w14:paraId="7DB95AE1" w14:textId="77777777" w:rsidTr="004445D6">
        <w:tc>
          <w:tcPr>
            <w:tcW w:w="1596" w:type="dxa"/>
            <w:vMerge/>
          </w:tcPr>
          <w:p w14:paraId="2EFCBB64" w14:textId="77777777" w:rsidR="004445D6" w:rsidRDefault="004445D6" w:rsidP="004445D6">
            <w:pPr>
              <w:rPr>
                <w:rFonts w:eastAsia="Times New Roman" w:cs="Arial"/>
              </w:rPr>
            </w:pPr>
          </w:p>
        </w:tc>
        <w:tc>
          <w:tcPr>
            <w:tcW w:w="1596" w:type="dxa"/>
          </w:tcPr>
          <w:p w14:paraId="30ADBB81" w14:textId="7EE09D5F" w:rsidR="004445D6" w:rsidRDefault="004445D6" w:rsidP="004445D6">
            <w:pPr>
              <w:rPr>
                <w:rFonts w:eastAsia="Times New Roman" w:cs="Arial"/>
              </w:rPr>
            </w:pPr>
            <w:r>
              <w:t>Дни до 1-во влошаване на астмата</w:t>
            </w:r>
          </w:p>
        </w:tc>
        <w:tc>
          <w:tcPr>
            <w:tcW w:w="1596" w:type="dxa"/>
          </w:tcPr>
          <w:p w14:paraId="13FF04FB" w14:textId="0A0240EC" w:rsidR="004445D6" w:rsidRDefault="004445D6" w:rsidP="004445D6">
            <w:pPr>
              <w:rPr>
                <w:rFonts w:eastAsia="Times New Roman" w:cs="Arial"/>
              </w:rPr>
            </w:pPr>
            <w:r>
              <w:t>315</w:t>
            </w:r>
            <w:r>
              <w:rPr>
                <w:vertAlign w:val="superscript"/>
              </w:rPr>
              <w:t>в</w:t>
            </w:r>
          </w:p>
        </w:tc>
        <w:tc>
          <w:tcPr>
            <w:tcW w:w="1596" w:type="dxa"/>
          </w:tcPr>
          <w:p w14:paraId="396EBEBE" w14:textId="13815782" w:rsidR="004445D6" w:rsidRDefault="004445D6" w:rsidP="004445D6">
            <w:pPr>
              <w:rPr>
                <w:rFonts w:eastAsia="Times New Roman" w:cs="Arial"/>
              </w:rPr>
            </w:pPr>
            <w:r>
              <w:t>181</w:t>
            </w:r>
            <w:r>
              <w:rPr>
                <w:vertAlign w:val="superscript"/>
              </w:rPr>
              <w:t>в</w:t>
            </w:r>
          </w:p>
        </w:tc>
        <w:tc>
          <w:tcPr>
            <w:tcW w:w="1596" w:type="dxa"/>
          </w:tcPr>
          <w:p w14:paraId="6406CB6C" w14:textId="77777777" w:rsidR="004445D6" w:rsidRDefault="004445D6" w:rsidP="004445D6">
            <w:r>
              <w:t>31</w:t>
            </w:r>
            <w:r>
              <w:rPr>
                <w:vertAlign w:val="superscript"/>
              </w:rPr>
              <w:t>б</w:t>
            </w:r>
          </w:p>
          <w:p w14:paraId="68984348" w14:textId="73B6ED16" w:rsidR="004445D6" w:rsidRDefault="004445D6" w:rsidP="004445D6">
            <w:pPr>
              <w:rPr>
                <w:rFonts w:eastAsia="Times New Roman" w:cs="Arial"/>
              </w:rPr>
            </w:pPr>
            <w:r>
              <w:t>(18,42)</w:t>
            </w:r>
          </w:p>
        </w:tc>
        <w:tc>
          <w:tcPr>
            <w:tcW w:w="1596" w:type="dxa"/>
          </w:tcPr>
          <w:p w14:paraId="345A0D34" w14:textId="4BB252B0" w:rsidR="004445D6" w:rsidRDefault="004445D6" w:rsidP="004445D6">
            <w:pPr>
              <w:rPr>
                <w:rFonts w:eastAsia="Times New Roman" w:cs="Arial"/>
              </w:rPr>
            </w:pPr>
            <w:r>
              <w:t>&lt;0,0001</w:t>
            </w:r>
          </w:p>
        </w:tc>
      </w:tr>
      <w:tr w:rsidR="004445D6" w14:paraId="0A3DE7AC" w14:textId="77777777" w:rsidTr="004445D6">
        <w:tc>
          <w:tcPr>
            <w:tcW w:w="1596" w:type="dxa"/>
            <w:vMerge/>
          </w:tcPr>
          <w:p w14:paraId="4AE06585" w14:textId="77777777" w:rsidR="004445D6" w:rsidRDefault="004445D6" w:rsidP="004445D6">
            <w:pPr>
              <w:rPr>
                <w:rFonts w:eastAsia="Times New Roman" w:cs="Arial"/>
              </w:rPr>
            </w:pPr>
          </w:p>
        </w:tc>
        <w:tc>
          <w:tcPr>
            <w:tcW w:w="1596" w:type="dxa"/>
          </w:tcPr>
          <w:p w14:paraId="1DA37BDB" w14:textId="131B00C8" w:rsidR="004445D6" w:rsidRDefault="004445D6" w:rsidP="004445D6">
            <w:pPr>
              <w:rPr>
                <w:rFonts w:eastAsia="Times New Roman" w:cs="Arial"/>
              </w:rPr>
            </w:pPr>
            <w:r>
              <w:t>Среден брой влошавания на астмата на пациент за година</w:t>
            </w:r>
          </w:p>
        </w:tc>
        <w:tc>
          <w:tcPr>
            <w:tcW w:w="1596" w:type="dxa"/>
          </w:tcPr>
          <w:p w14:paraId="23D3408D" w14:textId="0DF9C024" w:rsidR="004445D6" w:rsidRDefault="004445D6" w:rsidP="004445D6">
            <w:pPr>
              <w:rPr>
                <w:rFonts w:eastAsia="Times New Roman" w:cs="Arial"/>
              </w:rPr>
            </w:pPr>
            <w:r>
              <w:t>2,145</w:t>
            </w:r>
          </w:p>
        </w:tc>
        <w:tc>
          <w:tcPr>
            <w:tcW w:w="1596" w:type="dxa"/>
          </w:tcPr>
          <w:p w14:paraId="7A601957" w14:textId="414CE37E" w:rsidR="004445D6" w:rsidRDefault="004445D6" w:rsidP="004445D6">
            <w:pPr>
              <w:rPr>
                <w:rFonts w:eastAsia="Times New Roman" w:cs="Arial"/>
              </w:rPr>
            </w:pPr>
            <w:r>
              <w:t>2,835</w:t>
            </w:r>
          </w:p>
        </w:tc>
        <w:tc>
          <w:tcPr>
            <w:tcW w:w="1596" w:type="dxa"/>
          </w:tcPr>
          <w:p w14:paraId="3DC03E60" w14:textId="77777777" w:rsidR="004445D6" w:rsidRDefault="004445D6" w:rsidP="004445D6">
            <w:r>
              <w:t>24</w:t>
            </w:r>
            <w:r>
              <w:rPr>
                <w:vertAlign w:val="superscript"/>
              </w:rPr>
              <w:t>г</w:t>
            </w:r>
          </w:p>
          <w:p w14:paraId="53B920AE" w14:textId="1325CE68" w:rsidR="004445D6" w:rsidRDefault="004445D6" w:rsidP="004445D6">
            <w:pPr>
              <w:rPr>
                <w:rFonts w:eastAsia="Times New Roman" w:cs="Arial"/>
              </w:rPr>
            </w:pPr>
            <w:r>
              <w:t>(9,37)</w:t>
            </w:r>
          </w:p>
        </w:tc>
        <w:tc>
          <w:tcPr>
            <w:tcW w:w="1596" w:type="dxa"/>
          </w:tcPr>
          <w:p w14:paraId="002799A4" w14:textId="2C6C23FB" w:rsidR="004445D6" w:rsidRDefault="004445D6" w:rsidP="004445D6">
            <w:pPr>
              <w:rPr>
                <w:rFonts w:eastAsia="Times New Roman" w:cs="Arial"/>
              </w:rPr>
            </w:pPr>
            <w:r>
              <w:t>0,0031</w:t>
            </w:r>
          </w:p>
        </w:tc>
      </w:tr>
    </w:tbl>
    <w:p w14:paraId="4E4CDD64" w14:textId="77777777" w:rsidR="004445D6" w:rsidRPr="004445D6" w:rsidRDefault="004445D6" w:rsidP="004445D6">
      <w:pPr>
        <w:spacing w:line="240" w:lineRule="auto"/>
        <w:rPr>
          <w:rFonts w:eastAsia="Times New Roman" w:cs="Arial"/>
        </w:rPr>
      </w:pPr>
      <w:r w:rsidRPr="004445D6">
        <w:rPr>
          <w:rFonts w:eastAsia="Times New Roman" w:cs="Arial"/>
          <w:bCs/>
          <w:color w:val="000000"/>
          <w:vertAlign w:val="superscript"/>
          <w:lang w:eastAsia="bg-BG"/>
        </w:rPr>
        <w:t>а</w:t>
      </w:r>
      <w:r w:rsidRPr="004445D6">
        <w:rPr>
          <w:rFonts w:eastAsia="Times New Roman" w:cs="Arial"/>
          <w:bCs/>
          <w:color w:val="000000"/>
          <w:lang w:eastAsia="bg-BG"/>
        </w:rPr>
        <w:t xml:space="preserve"> ≥800 μ</w:t>
      </w:r>
      <w:r w:rsidRPr="004445D6">
        <w:rPr>
          <w:rFonts w:eastAsia="Times New Roman" w:cs="Arial"/>
          <w:bCs/>
          <w:color w:val="000000"/>
          <w:lang w:val="en-US"/>
        </w:rPr>
        <w:t>g</w:t>
      </w:r>
      <w:r w:rsidRPr="004445D6">
        <w:rPr>
          <w:rFonts w:eastAsia="Times New Roman" w:cs="Arial"/>
          <w:bCs/>
          <w:color w:val="000000"/>
          <w:lang w:val="ru-RU"/>
        </w:rPr>
        <w:t xml:space="preserve"> </w:t>
      </w:r>
      <w:r w:rsidRPr="004445D6">
        <w:rPr>
          <w:rFonts w:eastAsia="Times New Roman" w:cs="Arial"/>
          <w:bCs/>
          <w:color w:val="000000"/>
          <w:lang w:eastAsia="bg-BG"/>
        </w:rPr>
        <w:t>будезонид дневно или еквивалентно средство</w:t>
      </w:r>
    </w:p>
    <w:p w14:paraId="32336FB1" w14:textId="77777777" w:rsidR="00691430" w:rsidRPr="00691430" w:rsidRDefault="004445D6" w:rsidP="004445D6">
      <w:pPr>
        <w:spacing w:line="240" w:lineRule="auto"/>
        <w:rPr>
          <w:rFonts w:eastAsia="Times New Roman" w:cs="Arial"/>
          <w:bCs/>
          <w:color w:val="000000"/>
          <w:lang w:eastAsia="bg-BG"/>
        </w:rPr>
      </w:pPr>
      <w:r w:rsidRPr="00691430">
        <w:rPr>
          <w:rFonts w:eastAsia="Times New Roman" w:cs="Arial"/>
          <w:bCs/>
          <w:color w:val="000000"/>
          <w:vertAlign w:val="superscript"/>
          <w:lang w:eastAsia="bg-BG"/>
        </w:rPr>
        <w:t>б</w:t>
      </w:r>
      <w:r w:rsidRPr="004445D6">
        <w:rPr>
          <w:rFonts w:eastAsia="Times New Roman" w:cs="Arial"/>
          <w:bCs/>
          <w:color w:val="000000"/>
          <w:lang w:eastAsia="bg-BG"/>
        </w:rPr>
        <w:t>Съотношението на риска, доверителният интервал и р-стойността са получени чрез модел на Кокс за пропорционалните рискове, при който единственият ефект е лечението. Процентът на понижение на риска е 1</w:t>
      </w:r>
      <w:r w:rsidR="00691430" w:rsidRPr="00691430">
        <w:rPr>
          <w:rFonts w:eastAsia="Times New Roman" w:cs="Arial"/>
          <w:bCs/>
          <w:color w:val="000000"/>
          <w:lang w:eastAsia="bg-BG"/>
        </w:rPr>
        <w:t xml:space="preserve">00 (1 - рисково съотношение). </w:t>
      </w:r>
    </w:p>
    <w:p w14:paraId="75D6241C" w14:textId="548FF83F" w:rsidR="004445D6" w:rsidRPr="004445D6" w:rsidRDefault="00691430" w:rsidP="004445D6">
      <w:pPr>
        <w:spacing w:line="240" w:lineRule="auto"/>
        <w:rPr>
          <w:rFonts w:eastAsia="Times New Roman" w:cs="Arial"/>
        </w:rPr>
      </w:pPr>
      <w:r w:rsidRPr="00691430">
        <w:rPr>
          <w:rFonts w:eastAsia="Times New Roman" w:cs="Arial"/>
          <w:bCs/>
          <w:color w:val="000000"/>
          <w:vertAlign w:val="superscript"/>
          <w:lang w:eastAsia="bg-BG"/>
        </w:rPr>
        <w:t>в</w:t>
      </w:r>
      <w:r w:rsidR="004445D6" w:rsidRPr="004445D6">
        <w:rPr>
          <w:rFonts w:eastAsia="Times New Roman" w:cs="Arial"/>
          <w:bCs/>
          <w:color w:val="000000"/>
          <w:lang w:eastAsia="bg-BG"/>
        </w:rPr>
        <w:t>Време до първо събитие: брой дни с лечение, до когато 25%/50% от пациентите са получили най-малко едно сериозно обостряне/ влошаване на астмата</w:t>
      </w:r>
    </w:p>
    <w:p w14:paraId="33343DC2" w14:textId="2E321831" w:rsidR="004445D6" w:rsidRPr="004445D6" w:rsidRDefault="004445D6" w:rsidP="004445D6">
      <w:pPr>
        <w:spacing w:line="240" w:lineRule="auto"/>
        <w:rPr>
          <w:rFonts w:eastAsia="Times New Roman" w:cs="Arial"/>
        </w:rPr>
      </w:pPr>
      <w:r w:rsidRPr="00691430">
        <w:rPr>
          <w:rFonts w:eastAsia="Times New Roman" w:cs="Arial"/>
          <w:bCs/>
          <w:color w:val="000000"/>
          <w:vertAlign w:val="superscript"/>
          <w:lang w:eastAsia="bg-BG"/>
        </w:rPr>
        <w:t>г</w:t>
      </w:r>
      <w:r w:rsidRPr="004445D6">
        <w:rPr>
          <w:rFonts w:eastAsia="Times New Roman" w:cs="Arial"/>
          <w:bCs/>
          <w:color w:val="000000"/>
          <w:lang w:eastAsia="bg-BG"/>
        </w:rPr>
        <w:t>Съотношението на честотата е получено чрез регресионен модел на Поасон, при който логаритмичната експозиция (в години) е параметърът на отместване. Процентното понижение на риска е 100 (1-честотно съотношение).</w:t>
      </w:r>
    </w:p>
    <w:p w14:paraId="4BB1C801" w14:textId="77777777" w:rsidR="004445D6" w:rsidRPr="00691430" w:rsidRDefault="004445D6" w:rsidP="004445D6">
      <w:pPr>
        <w:spacing w:line="240" w:lineRule="auto"/>
        <w:rPr>
          <w:rFonts w:eastAsia="Times New Roman" w:cs="Arial"/>
          <w:bCs/>
          <w:color w:val="000000"/>
          <w:u w:val="single"/>
          <w:lang w:eastAsia="bg-BG"/>
        </w:rPr>
      </w:pPr>
    </w:p>
    <w:p w14:paraId="7632116B" w14:textId="78395D00" w:rsidR="004445D6" w:rsidRPr="004445D6" w:rsidRDefault="004445D6" w:rsidP="004445D6">
      <w:pPr>
        <w:spacing w:line="240" w:lineRule="auto"/>
        <w:rPr>
          <w:rFonts w:eastAsia="Times New Roman" w:cs="Arial"/>
        </w:rPr>
      </w:pPr>
      <w:r w:rsidRPr="004445D6">
        <w:rPr>
          <w:rFonts w:eastAsia="Times New Roman" w:cs="Arial"/>
          <w:bCs/>
          <w:color w:val="000000"/>
          <w:u w:val="single"/>
          <w:lang w:eastAsia="bg-BG"/>
        </w:rPr>
        <w:t>Педиатрична популация:</w:t>
      </w:r>
    </w:p>
    <w:p w14:paraId="435F2C52" w14:textId="77777777" w:rsidR="004445D6" w:rsidRPr="00691430" w:rsidRDefault="004445D6" w:rsidP="004445D6">
      <w:pPr>
        <w:spacing w:line="240" w:lineRule="auto"/>
        <w:rPr>
          <w:rFonts w:eastAsia="Times New Roman" w:cs="Arial"/>
          <w:bCs/>
          <w:color w:val="000000"/>
          <w:lang w:eastAsia="bg-BG"/>
        </w:rPr>
      </w:pPr>
    </w:p>
    <w:p w14:paraId="79D31CD2" w14:textId="7E52A3B4"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ХОББ</w:t>
      </w:r>
    </w:p>
    <w:p w14:paraId="3305944F" w14:textId="77777777"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Европейската агенция по лекарствата освобождава от задължението за предоставяне на резултатите от проучванията със Спирива Респимат във всички подгрупи на педиатричната популация при ХОББ (вж. точка 4.2 за информация относно педиатрична употреба</w:t>
      </w:r>
    </w:p>
    <w:p w14:paraId="44FB5003" w14:textId="77777777" w:rsidR="004445D6" w:rsidRPr="00691430" w:rsidRDefault="004445D6" w:rsidP="004445D6">
      <w:pPr>
        <w:spacing w:line="240" w:lineRule="auto"/>
        <w:rPr>
          <w:rFonts w:eastAsia="Times New Roman" w:cs="Arial"/>
          <w:bCs/>
          <w:color w:val="000000"/>
          <w:lang w:eastAsia="bg-BG"/>
        </w:rPr>
      </w:pPr>
    </w:p>
    <w:p w14:paraId="78176374" w14:textId="39EC9ACC"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Астма</w:t>
      </w:r>
    </w:p>
    <w:p w14:paraId="344F414B" w14:textId="77777777"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Всички проучвания в клиничната програма от фаза III при персистираща астма с педиатрични пациенти (от 1 до 17 години) са били рандомизирани, двойно-слепи и плацебо-контролирани. Всички пациенти са били на основно лечение, включващо ИКС.</w:t>
      </w:r>
    </w:p>
    <w:p w14:paraId="286EB398" w14:textId="77777777" w:rsidR="004445D6" w:rsidRPr="00691430" w:rsidRDefault="004445D6" w:rsidP="004445D6">
      <w:pPr>
        <w:spacing w:line="240" w:lineRule="auto"/>
        <w:rPr>
          <w:rFonts w:eastAsia="Times New Roman" w:cs="Arial"/>
          <w:bCs/>
          <w:i/>
          <w:iCs/>
          <w:color w:val="000000"/>
          <w:lang w:eastAsia="bg-BG"/>
        </w:rPr>
      </w:pPr>
    </w:p>
    <w:p w14:paraId="5F88A04D" w14:textId="661E033A" w:rsidR="004445D6" w:rsidRPr="004445D6" w:rsidRDefault="004445D6" w:rsidP="004445D6">
      <w:pPr>
        <w:spacing w:line="240" w:lineRule="auto"/>
        <w:rPr>
          <w:rFonts w:eastAsia="Times New Roman" w:cs="Arial"/>
        </w:rPr>
      </w:pPr>
      <w:r w:rsidRPr="004445D6">
        <w:rPr>
          <w:rFonts w:eastAsia="Times New Roman" w:cs="Arial"/>
          <w:bCs/>
          <w:i/>
          <w:iCs/>
          <w:color w:val="000000"/>
          <w:lang w:eastAsia="bg-BG"/>
        </w:rPr>
        <w:t>Тежка астма</w:t>
      </w:r>
    </w:p>
    <w:p w14:paraId="177AA3CF" w14:textId="77777777" w:rsidR="004445D6" w:rsidRPr="004445D6" w:rsidRDefault="004445D6" w:rsidP="004445D6">
      <w:pPr>
        <w:spacing w:line="240" w:lineRule="auto"/>
        <w:rPr>
          <w:rFonts w:eastAsia="Times New Roman" w:cs="Arial"/>
        </w:rPr>
      </w:pPr>
      <w:r w:rsidRPr="004445D6">
        <w:rPr>
          <w:rFonts w:eastAsia="Times New Roman" w:cs="Arial"/>
          <w:bCs/>
          <w:i/>
          <w:iCs/>
          <w:color w:val="000000"/>
          <w:lang w:eastAsia="bg-BG"/>
        </w:rPr>
        <w:t>Юноши (от 12 до 17 години)</w:t>
      </w:r>
    </w:p>
    <w:p w14:paraId="56EAFD03" w14:textId="04AFC4D0"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 xml:space="preserve">В 12-седмичното проучване </w:t>
      </w:r>
      <w:proofErr w:type="spellStart"/>
      <w:r w:rsidRPr="004445D6">
        <w:rPr>
          <w:rFonts w:eastAsia="Times New Roman" w:cs="Arial"/>
          <w:bCs/>
          <w:color w:val="000000"/>
          <w:lang w:val="en-US"/>
        </w:rPr>
        <w:t>PensieTinA</w:t>
      </w:r>
      <w:proofErr w:type="spellEnd"/>
      <w:r w:rsidRPr="004445D6">
        <w:rPr>
          <w:rFonts w:eastAsia="Times New Roman" w:cs="Arial"/>
          <w:bCs/>
          <w:color w:val="000000"/>
          <w:lang w:val="ru-RU"/>
        </w:rPr>
        <w:t>-</w:t>
      </w:r>
      <w:r w:rsidRPr="004445D6">
        <w:rPr>
          <w:rFonts w:eastAsia="Times New Roman" w:cs="Arial"/>
          <w:bCs/>
          <w:color w:val="000000"/>
          <w:lang w:val="en-US"/>
        </w:rPr>
        <w:t>asthma</w:t>
      </w:r>
      <w:r w:rsidRPr="004445D6">
        <w:rPr>
          <w:rFonts w:eastAsia="Times New Roman" w:cs="Arial"/>
          <w:bCs/>
          <w:color w:val="000000"/>
          <w:lang w:val="ru-RU"/>
        </w:rPr>
        <w:t xml:space="preserve"> </w:t>
      </w:r>
      <w:r w:rsidRPr="004445D6">
        <w:rPr>
          <w:rFonts w:eastAsia="Times New Roman" w:cs="Arial"/>
          <w:bCs/>
          <w:color w:val="000000"/>
          <w:lang w:eastAsia="bg-BG"/>
        </w:rPr>
        <w:t>са били включени общо 392 пациенти (130 от тях на лечение със Спирива Респимат), които са имали симптоми при прием на високи дози ИКС с един</w:t>
      </w:r>
    </w:p>
    <w:p w14:paraId="0FF93A81" w14:textId="77777777" w:rsidR="004445D6" w:rsidRPr="004445D6" w:rsidRDefault="004445D6" w:rsidP="004445D6">
      <w:pPr>
        <w:spacing w:line="240" w:lineRule="auto"/>
        <w:rPr>
          <w:rFonts w:eastAsia="Times New Roman" w:cs="Arial"/>
        </w:rPr>
      </w:pPr>
      <w:r w:rsidRPr="004445D6">
        <w:rPr>
          <w:rFonts w:eastAsia="Times New Roman" w:cs="Arial"/>
          <w:bCs/>
          <w:color w:val="000000"/>
          <w:lang w:eastAsia="bg-BG"/>
        </w:rPr>
        <w:t>контролиращ лекарствен продукт или средна доза ИКС с два контролиращи лекарствени продукта.</w:t>
      </w:r>
    </w:p>
    <w:p w14:paraId="41A47F1A" w14:textId="77777777" w:rsidR="004445D6" w:rsidRPr="00691430" w:rsidRDefault="004445D6" w:rsidP="004445D6">
      <w:pPr>
        <w:spacing w:line="240" w:lineRule="auto"/>
        <w:rPr>
          <w:rFonts w:eastAsia="Times New Roman" w:cs="Arial"/>
          <w:bCs/>
          <w:color w:val="000000"/>
          <w:lang w:eastAsia="bg-BG"/>
        </w:rPr>
      </w:pPr>
    </w:p>
    <w:p w14:paraId="2E7E2DD5" w14:textId="77777777" w:rsidR="00691430" w:rsidRPr="00691430" w:rsidRDefault="004445D6" w:rsidP="00691430">
      <w:pPr>
        <w:rPr>
          <w:rFonts w:eastAsia="Times New Roman" w:cs="Arial"/>
          <w:sz w:val="12"/>
          <w:szCs w:val="24"/>
        </w:rPr>
      </w:pPr>
      <w:r w:rsidRPr="004445D6">
        <w:rPr>
          <w:rFonts w:eastAsia="Times New Roman" w:cs="Arial"/>
          <w:bCs/>
          <w:color w:val="000000"/>
          <w:lang w:eastAsia="bg-BG"/>
        </w:rPr>
        <w:t>При пациенти на възраст от 12 до 17 години висока доза ИКС се определя като доза от &gt;800-1600 μ</w:t>
      </w:r>
      <w:r w:rsidRPr="004445D6">
        <w:rPr>
          <w:rFonts w:eastAsia="Times New Roman" w:cs="Arial"/>
          <w:bCs/>
          <w:color w:val="000000"/>
          <w:lang w:val="en-US"/>
        </w:rPr>
        <w:t>g</w:t>
      </w:r>
      <w:r w:rsidRPr="004445D6">
        <w:rPr>
          <w:rFonts w:eastAsia="Times New Roman" w:cs="Arial"/>
          <w:bCs/>
          <w:color w:val="000000"/>
          <w:lang w:val="ru-RU"/>
        </w:rPr>
        <w:t xml:space="preserve"> </w:t>
      </w:r>
      <w:r w:rsidRPr="004445D6">
        <w:rPr>
          <w:rFonts w:eastAsia="Times New Roman" w:cs="Arial"/>
          <w:bCs/>
          <w:color w:val="000000"/>
          <w:lang w:eastAsia="bg-BG"/>
        </w:rPr>
        <w:t>будезонид/дневно или еквивалентно средство; средна доза ИКС се определя като доза от 400</w:t>
      </w:r>
      <w:r w:rsidRPr="00691430">
        <w:rPr>
          <w:rFonts w:eastAsia="Times New Roman" w:cs="Arial"/>
          <w:bCs/>
          <w:color w:val="000000"/>
          <w:lang w:eastAsia="bg-BG"/>
        </w:rPr>
        <w:t>- 800 μ</w:t>
      </w:r>
      <w:r w:rsidRPr="00691430">
        <w:rPr>
          <w:rFonts w:eastAsia="Times New Roman" w:cs="Arial"/>
          <w:bCs/>
          <w:color w:val="000000"/>
          <w:lang w:val="en-US"/>
        </w:rPr>
        <w:t>g</w:t>
      </w:r>
      <w:r w:rsidRPr="00691430">
        <w:rPr>
          <w:rFonts w:eastAsia="Times New Roman" w:cs="Arial"/>
          <w:bCs/>
          <w:color w:val="000000"/>
          <w:lang w:val="ru-RU"/>
        </w:rPr>
        <w:t xml:space="preserve"> </w:t>
      </w:r>
      <w:r w:rsidRPr="00691430">
        <w:rPr>
          <w:rFonts w:eastAsia="Times New Roman" w:cs="Arial"/>
          <w:bCs/>
          <w:color w:val="000000"/>
          <w:lang w:eastAsia="bg-BG"/>
        </w:rPr>
        <w:t>будезонид/дневно или еквивалентно средство. Допълнително, пациенти на възраст от 12 до</w:t>
      </w:r>
      <w:r w:rsidR="00691430" w:rsidRPr="00691430">
        <w:rPr>
          <w:rFonts w:eastAsia="Times New Roman" w:cs="Arial"/>
        </w:rPr>
        <w:t xml:space="preserve"> </w:t>
      </w:r>
      <w:r w:rsidR="00691430" w:rsidRPr="00691430">
        <w:rPr>
          <w:rFonts w:eastAsia="Times New Roman" w:cs="Arial"/>
          <w:bCs/>
          <w:color w:val="000000"/>
          <w:szCs w:val="42"/>
          <w:lang w:eastAsia="bg-BG"/>
        </w:rPr>
        <w:t>14 години могат да приемат ИКС в доза &gt; 400 μ</w:t>
      </w:r>
      <w:r w:rsidR="00691430" w:rsidRPr="00691430">
        <w:rPr>
          <w:rFonts w:eastAsia="Times New Roman" w:cs="Arial"/>
          <w:bCs/>
          <w:color w:val="000000"/>
          <w:szCs w:val="42"/>
          <w:lang w:val="en-US"/>
        </w:rPr>
        <w:t>g</w:t>
      </w:r>
      <w:r w:rsidR="00691430" w:rsidRPr="00691430">
        <w:rPr>
          <w:rFonts w:eastAsia="Times New Roman" w:cs="Arial"/>
          <w:bCs/>
          <w:color w:val="000000"/>
          <w:szCs w:val="42"/>
          <w:lang w:val="ru-RU"/>
        </w:rPr>
        <w:t xml:space="preserve"> </w:t>
      </w:r>
      <w:r w:rsidR="00691430" w:rsidRPr="00691430">
        <w:rPr>
          <w:rFonts w:eastAsia="Times New Roman" w:cs="Arial"/>
          <w:bCs/>
          <w:color w:val="000000"/>
          <w:szCs w:val="42"/>
          <w:lang w:eastAsia="bg-BG"/>
        </w:rPr>
        <w:t>будезонид/дневно или еквивалентно средство с поне още един контролиращ лекарствен продукт или &gt; 200 μ</w:t>
      </w:r>
      <w:r w:rsidR="00691430" w:rsidRPr="00691430">
        <w:rPr>
          <w:rFonts w:eastAsia="Times New Roman" w:cs="Arial"/>
          <w:bCs/>
          <w:color w:val="000000"/>
          <w:szCs w:val="42"/>
          <w:lang w:val="en-US"/>
        </w:rPr>
        <w:t>g</w:t>
      </w:r>
      <w:r w:rsidR="00691430" w:rsidRPr="00691430">
        <w:rPr>
          <w:rFonts w:eastAsia="Times New Roman" w:cs="Arial"/>
          <w:bCs/>
          <w:color w:val="000000"/>
          <w:szCs w:val="42"/>
          <w:lang w:val="ru-RU"/>
        </w:rPr>
        <w:t xml:space="preserve"> </w:t>
      </w:r>
      <w:r w:rsidR="00691430" w:rsidRPr="00691430">
        <w:rPr>
          <w:rFonts w:eastAsia="Times New Roman" w:cs="Arial"/>
          <w:bCs/>
          <w:color w:val="000000"/>
          <w:szCs w:val="42"/>
          <w:lang w:eastAsia="bg-BG"/>
        </w:rPr>
        <w:t>будезонид/дневно или еквивалентно средство и поне два контролиращи лекарствени продукта.</w:t>
      </w:r>
    </w:p>
    <w:p w14:paraId="17E62DC0" w14:textId="77777777" w:rsidR="00691430" w:rsidRPr="00691430" w:rsidRDefault="00691430" w:rsidP="00691430">
      <w:pPr>
        <w:spacing w:line="240" w:lineRule="auto"/>
        <w:rPr>
          <w:rFonts w:eastAsia="Times New Roman" w:cs="Arial"/>
          <w:bCs/>
          <w:color w:val="000000"/>
          <w:szCs w:val="42"/>
          <w:lang w:eastAsia="bg-BG"/>
        </w:rPr>
      </w:pPr>
    </w:p>
    <w:p w14:paraId="39B102B8" w14:textId="630A297B" w:rsidR="00691430" w:rsidRPr="00691430" w:rsidRDefault="00691430" w:rsidP="00691430">
      <w:pPr>
        <w:spacing w:line="240" w:lineRule="auto"/>
        <w:rPr>
          <w:rFonts w:eastAsia="Times New Roman" w:cs="Arial"/>
          <w:sz w:val="12"/>
          <w:szCs w:val="24"/>
        </w:rPr>
      </w:pPr>
      <w:r w:rsidRPr="00691430">
        <w:rPr>
          <w:rFonts w:eastAsia="Times New Roman" w:cs="Arial"/>
          <w:bCs/>
          <w:color w:val="000000"/>
          <w:szCs w:val="42"/>
          <w:lang w:eastAsia="bg-BG"/>
        </w:rPr>
        <w:lastRenderedPageBreak/>
        <w:t>В това проучване при прилагане на Спирива Респимат допълнително към основното лечение е наблюдавано подобряване на белодробната функция в сравнение с плацебо, въпреки че разликите в пиковите стойности и стойностите в края на дозовия интервал на ФЕО</w:t>
      </w:r>
      <w:r w:rsidRPr="00691430">
        <w:rPr>
          <w:rFonts w:eastAsia="Times New Roman" w:cs="Arial"/>
          <w:bCs/>
          <w:color w:val="000000"/>
          <w:szCs w:val="42"/>
          <w:vertAlign w:val="subscript"/>
          <w:lang w:eastAsia="bg-BG"/>
        </w:rPr>
        <w:t xml:space="preserve">1 </w:t>
      </w:r>
      <w:r w:rsidRPr="00691430">
        <w:rPr>
          <w:rFonts w:eastAsia="Times New Roman" w:cs="Arial"/>
          <w:bCs/>
          <w:color w:val="000000"/>
          <w:szCs w:val="42"/>
          <w:lang w:eastAsia="bg-BG"/>
        </w:rPr>
        <w:t>не са били статистически значими.</w:t>
      </w:r>
    </w:p>
    <w:p w14:paraId="1211181B" w14:textId="77777777" w:rsidR="00691430" w:rsidRDefault="00691430" w:rsidP="00691430">
      <w:pPr>
        <w:pStyle w:val="ListParagraph"/>
        <w:numPr>
          <w:ilvl w:val="0"/>
          <w:numId w:val="43"/>
        </w:numPr>
        <w:spacing w:line="240" w:lineRule="auto"/>
        <w:rPr>
          <w:rFonts w:eastAsia="Times New Roman" w:cs="Arial"/>
          <w:bCs/>
          <w:color w:val="000000"/>
          <w:szCs w:val="42"/>
          <w:lang w:eastAsia="bg-BG"/>
        </w:rPr>
      </w:pPr>
      <w:r w:rsidRPr="00691430">
        <w:rPr>
          <w:rFonts w:eastAsia="Times New Roman" w:cs="Arial"/>
          <w:bCs/>
          <w:color w:val="000000"/>
          <w:szCs w:val="42"/>
          <w:lang w:eastAsia="bg-BG"/>
        </w:rPr>
        <w:t>На седмица 12, средното подобрение в пиковите стойности и стойностите в края на дозовия интервал на ФЕО</w:t>
      </w:r>
      <w:r w:rsidRPr="00691430">
        <w:rPr>
          <w:rFonts w:eastAsia="Times New Roman" w:cs="Arial"/>
          <w:bCs/>
          <w:color w:val="000000"/>
          <w:szCs w:val="42"/>
          <w:vertAlign w:val="subscript"/>
          <w:lang w:eastAsia="bg-BG"/>
        </w:rPr>
        <w:t>1</w:t>
      </w:r>
      <w:r w:rsidRPr="00691430">
        <w:rPr>
          <w:rFonts w:eastAsia="Times New Roman" w:cs="Arial"/>
          <w:bCs/>
          <w:color w:val="000000"/>
          <w:szCs w:val="42"/>
          <w:lang w:eastAsia="bg-BG"/>
        </w:rPr>
        <w:t xml:space="preserve"> е било съответно 0,090 литра (95% ДИ: -0,019 до 0,198 литра, р=0,1039) и 0,054 лшра (95% ДИ: -0,061 до 0,168 литра, р=0,3605).</w:t>
      </w:r>
    </w:p>
    <w:p w14:paraId="720AD0F7" w14:textId="13251E89" w:rsidR="00691430" w:rsidRPr="00691430" w:rsidRDefault="00691430" w:rsidP="00691430">
      <w:pPr>
        <w:pStyle w:val="ListParagraph"/>
        <w:numPr>
          <w:ilvl w:val="0"/>
          <w:numId w:val="43"/>
        </w:numPr>
        <w:spacing w:line="240" w:lineRule="auto"/>
        <w:rPr>
          <w:rFonts w:eastAsia="Times New Roman" w:cs="Arial"/>
          <w:bCs/>
          <w:color w:val="000000"/>
          <w:szCs w:val="42"/>
          <w:lang w:eastAsia="bg-BG"/>
        </w:rPr>
      </w:pPr>
      <w:r w:rsidRPr="00691430">
        <w:rPr>
          <w:rFonts w:eastAsia="Times New Roman" w:cs="Arial"/>
          <w:bCs/>
          <w:color w:val="000000"/>
          <w:szCs w:val="42"/>
          <w:lang w:eastAsia="bg-BG"/>
        </w:rPr>
        <w:t xml:space="preserve">На седмица 12, Спирива Респимат значително подобрява сутрешните и вечерните стойности на ВЕД (сутрешен 17,4 </w:t>
      </w:r>
      <w:r w:rsidRPr="00691430">
        <w:rPr>
          <w:rFonts w:eastAsia="Times New Roman" w:cs="Arial"/>
          <w:bCs/>
          <w:color w:val="000000"/>
          <w:szCs w:val="42"/>
          <w:lang w:val="en-US"/>
        </w:rPr>
        <w:t>l</w:t>
      </w:r>
      <w:r w:rsidRPr="00691430">
        <w:rPr>
          <w:rFonts w:eastAsia="Times New Roman" w:cs="Arial"/>
          <w:bCs/>
          <w:color w:val="000000"/>
          <w:szCs w:val="42"/>
          <w:lang w:val="ru-RU"/>
        </w:rPr>
        <w:t>/</w:t>
      </w:r>
      <w:r w:rsidRPr="00691430">
        <w:rPr>
          <w:rFonts w:eastAsia="Times New Roman" w:cs="Arial"/>
          <w:bCs/>
          <w:color w:val="000000"/>
          <w:szCs w:val="42"/>
          <w:lang w:val="en-US"/>
        </w:rPr>
        <w:t>min</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 xml:space="preserve">95% ДИ: 5,1 до 29,6 </w:t>
      </w:r>
      <w:r w:rsidRPr="00691430">
        <w:rPr>
          <w:rFonts w:eastAsia="Times New Roman" w:cs="Arial"/>
          <w:bCs/>
          <w:color w:val="000000"/>
          <w:szCs w:val="42"/>
          <w:lang w:val="en-US"/>
        </w:rPr>
        <w:t>l</w:t>
      </w:r>
      <w:r w:rsidRPr="00691430">
        <w:rPr>
          <w:rFonts w:eastAsia="Times New Roman" w:cs="Arial"/>
          <w:bCs/>
          <w:color w:val="000000"/>
          <w:szCs w:val="42"/>
          <w:lang w:val="ru-RU"/>
        </w:rPr>
        <w:t>/</w:t>
      </w:r>
      <w:r w:rsidRPr="00691430">
        <w:rPr>
          <w:rFonts w:eastAsia="Times New Roman" w:cs="Arial"/>
          <w:bCs/>
          <w:color w:val="000000"/>
          <w:szCs w:val="42"/>
          <w:lang w:val="en-US"/>
        </w:rPr>
        <w:t>min</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 xml:space="preserve">вечерен 17,6 </w:t>
      </w:r>
      <w:r w:rsidRPr="00691430">
        <w:rPr>
          <w:rFonts w:eastAsia="Times New Roman" w:cs="Arial"/>
          <w:bCs/>
          <w:color w:val="000000"/>
          <w:szCs w:val="42"/>
          <w:lang w:val="en-US"/>
        </w:rPr>
        <w:t>l</w:t>
      </w:r>
      <w:r w:rsidRPr="00691430">
        <w:rPr>
          <w:rFonts w:eastAsia="Times New Roman" w:cs="Arial"/>
          <w:bCs/>
          <w:color w:val="000000"/>
          <w:szCs w:val="42"/>
          <w:lang w:val="ru-RU"/>
        </w:rPr>
        <w:t>/</w:t>
      </w:r>
      <w:r w:rsidRPr="00691430">
        <w:rPr>
          <w:rFonts w:eastAsia="Times New Roman" w:cs="Arial"/>
          <w:bCs/>
          <w:color w:val="000000"/>
          <w:szCs w:val="42"/>
          <w:lang w:val="en-US"/>
        </w:rPr>
        <w:t>min</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 xml:space="preserve">95% ДИ: 5,9 до 29,6 </w:t>
      </w:r>
      <w:r w:rsidRPr="00691430">
        <w:rPr>
          <w:rFonts w:eastAsia="Times New Roman" w:cs="Arial"/>
          <w:bCs/>
          <w:color w:val="000000"/>
          <w:szCs w:val="42"/>
          <w:lang w:val="en-US"/>
        </w:rPr>
        <w:t>l</w:t>
      </w:r>
      <w:r w:rsidRPr="00691430">
        <w:rPr>
          <w:rFonts w:eastAsia="Times New Roman" w:cs="Arial"/>
          <w:bCs/>
          <w:color w:val="000000"/>
          <w:szCs w:val="42"/>
          <w:lang w:val="ru-RU"/>
        </w:rPr>
        <w:t>/</w:t>
      </w:r>
      <w:r w:rsidRPr="00691430">
        <w:rPr>
          <w:rFonts w:eastAsia="Times New Roman" w:cs="Arial"/>
          <w:bCs/>
          <w:color w:val="000000"/>
          <w:szCs w:val="42"/>
          <w:lang w:val="en-US"/>
        </w:rPr>
        <w:t>min</w:t>
      </w:r>
      <w:r w:rsidRPr="00691430">
        <w:rPr>
          <w:rFonts w:eastAsia="Times New Roman" w:cs="Arial"/>
          <w:bCs/>
          <w:color w:val="000000"/>
          <w:szCs w:val="42"/>
          <w:lang w:val="ru-RU"/>
        </w:rPr>
        <w:t>).</w:t>
      </w:r>
    </w:p>
    <w:p w14:paraId="68F776C1" w14:textId="77777777" w:rsidR="00691430" w:rsidRPr="00691430" w:rsidRDefault="00691430" w:rsidP="00691430">
      <w:pPr>
        <w:spacing w:line="240" w:lineRule="auto"/>
        <w:rPr>
          <w:rFonts w:eastAsia="Times New Roman" w:cs="Arial"/>
          <w:bCs/>
          <w:i/>
          <w:iCs/>
          <w:color w:val="000000"/>
          <w:szCs w:val="42"/>
          <w:lang w:eastAsia="bg-BG"/>
        </w:rPr>
      </w:pPr>
    </w:p>
    <w:p w14:paraId="23FF9848" w14:textId="7475DEF6" w:rsidR="00691430" w:rsidRPr="00691430" w:rsidRDefault="00691430" w:rsidP="00691430">
      <w:pPr>
        <w:spacing w:line="240" w:lineRule="auto"/>
        <w:rPr>
          <w:rFonts w:eastAsia="Times New Roman" w:cs="Arial"/>
          <w:sz w:val="12"/>
          <w:szCs w:val="24"/>
        </w:rPr>
      </w:pPr>
      <w:r w:rsidRPr="00691430">
        <w:rPr>
          <w:rFonts w:eastAsia="Times New Roman" w:cs="Arial"/>
          <w:bCs/>
          <w:i/>
          <w:iCs/>
          <w:color w:val="000000"/>
          <w:szCs w:val="42"/>
          <w:lang w:eastAsia="bg-BG"/>
        </w:rPr>
        <w:t>Деца (от 6 до 11 години)</w:t>
      </w:r>
    </w:p>
    <w:p w14:paraId="1F81C213" w14:textId="57294AED" w:rsidR="00691430" w:rsidRPr="00691430" w:rsidRDefault="00691430" w:rsidP="00691430">
      <w:pPr>
        <w:spacing w:line="240" w:lineRule="auto"/>
        <w:rPr>
          <w:rFonts w:eastAsia="Times New Roman" w:cs="Arial"/>
          <w:bCs/>
          <w:color w:val="000000"/>
          <w:szCs w:val="42"/>
          <w:lang w:eastAsia="bg-BG"/>
        </w:rPr>
      </w:pPr>
      <w:r w:rsidRPr="00691430">
        <w:rPr>
          <w:rFonts w:eastAsia="Times New Roman" w:cs="Arial"/>
          <w:bCs/>
          <w:color w:val="000000"/>
          <w:szCs w:val="42"/>
          <w:lang w:eastAsia="bg-BG"/>
        </w:rPr>
        <w:t xml:space="preserve">В 12-седмичното проучване </w:t>
      </w:r>
      <w:proofErr w:type="spellStart"/>
      <w:r w:rsidRPr="00691430">
        <w:rPr>
          <w:rFonts w:eastAsia="Times New Roman" w:cs="Arial"/>
          <w:bCs/>
          <w:color w:val="000000"/>
          <w:szCs w:val="42"/>
          <w:lang w:val="en-US"/>
        </w:rPr>
        <w:t>VivaTinA</w:t>
      </w:r>
      <w:proofErr w:type="spellEnd"/>
      <w:r w:rsidRPr="00691430">
        <w:rPr>
          <w:rFonts w:eastAsia="Times New Roman" w:cs="Arial"/>
          <w:bCs/>
          <w:color w:val="000000"/>
          <w:szCs w:val="42"/>
          <w:lang w:val="ru-RU"/>
        </w:rPr>
        <w:t>-</w:t>
      </w:r>
      <w:r w:rsidRPr="00691430">
        <w:rPr>
          <w:rFonts w:eastAsia="Times New Roman" w:cs="Arial"/>
          <w:bCs/>
          <w:color w:val="000000"/>
          <w:szCs w:val="42"/>
          <w:lang w:val="en-US"/>
        </w:rPr>
        <w:t>asthma</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са били включени общо 400 пациенти (130 от тях на лечение със Спирива Респимат), които са имали симптоми при прием на високи дози ИКС с един контролиращ лекарствен продукт или средна доза ИКС с два контролиращи лекарствени продукта. Висока доза ИКС се определя като доза от &gt; 400 μ</w:t>
      </w:r>
      <w:r w:rsidRPr="00691430">
        <w:rPr>
          <w:rFonts w:eastAsia="Times New Roman" w:cs="Arial"/>
          <w:bCs/>
          <w:color w:val="000000"/>
          <w:szCs w:val="42"/>
          <w:lang w:val="en-US"/>
        </w:rPr>
        <w:t>g</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будезонид/дневно или еквивалентно средство; средна доза ИКС се определя като доза от 200 - 400 μ</w:t>
      </w:r>
      <w:r w:rsidRPr="00691430">
        <w:rPr>
          <w:rFonts w:eastAsia="Times New Roman" w:cs="Arial"/>
          <w:bCs/>
          <w:color w:val="000000"/>
          <w:szCs w:val="42"/>
          <w:lang w:val="en-US"/>
        </w:rPr>
        <w:t>g</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будезонид/дневно или еквивалентно средство. В това проучване Спирива Респимат показва значително подобряване на белодробната функция в сравнение с плацебо когато се прилага допълнително към основното лечение.</w:t>
      </w:r>
    </w:p>
    <w:p w14:paraId="662C5A89" w14:textId="77777777" w:rsidR="00691430" w:rsidRPr="00691430" w:rsidRDefault="00691430" w:rsidP="00691430">
      <w:pPr>
        <w:spacing w:line="240" w:lineRule="auto"/>
        <w:rPr>
          <w:rFonts w:eastAsia="Times New Roman" w:cs="Arial"/>
          <w:sz w:val="12"/>
          <w:szCs w:val="24"/>
        </w:rPr>
      </w:pPr>
    </w:p>
    <w:p w14:paraId="4FFF040E" w14:textId="6B13D719" w:rsidR="00691430" w:rsidRPr="00691430" w:rsidRDefault="00691430" w:rsidP="00691430">
      <w:pPr>
        <w:pStyle w:val="ListParagraph"/>
        <w:numPr>
          <w:ilvl w:val="0"/>
          <w:numId w:val="44"/>
        </w:numPr>
        <w:spacing w:line="240" w:lineRule="auto"/>
        <w:rPr>
          <w:rFonts w:eastAsia="Times New Roman" w:cs="Arial"/>
          <w:bCs/>
          <w:color w:val="000000"/>
          <w:szCs w:val="42"/>
          <w:lang w:eastAsia="bg-BG"/>
        </w:rPr>
      </w:pPr>
      <w:r w:rsidRPr="00691430">
        <w:rPr>
          <w:rFonts w:eastAsia="Times New Roman" w:cs="Arial"/>
          <w:bCs/>
          <w:color w:val="000000"/>
          <w:szCs w:val="42"/>
          <w:lang w:eastAsia="bg-BG"/>
        </w:rPr>
        <w:t>На седмица 12 средното подобрение в пиковите стойности и стойностите в края на дозовия интервал на ФЕО</w:t>
      </w:r>
      <w:r w:rsidRPr="00691430">
        <w:rPr>
          <w:rFonts w:eastAsia="Times New Roman" w:cs="Arial"/>
          <w:bCs/>
          <w:color w:val="000000"/>
          <w:szCs w:val="42"/>
          <w:vertAlign w:val="subscript"/>
          <w:lang w:eastAsia="bg-BG"/>
        </w:rPr>
        <w:t>1</w:t>
      </w:r>
      <w:r w:rsidRPr="00691430">
        <w:rPr>
          <w:rFonts w:eastAsia="Times New Roman" w:cs="Arial"/>
          <w:bCs/>
          <w:color w:val="000000"/>
          <w:szCs w:val="42"/>
          <w:lang w:eastAsia="bg-BG"/>
        </w:rPr>
        <w:t xml:space="preserve"> е било съответно 0,139 литра (95% ДИ: 0,075 до 0,203 литра, р&lt;0,0001) и 0,087 литра (95% ДИ: 0,019 до 0,154 литра, р=0,0117).</w:t>
      </w:r>
    </w:p>
    <w:p w14:paraId="097BC780" w14:textId="77777777" w:rsidR="00691430" w:rsidRPr="00691430" w:rsidRDefault="00691430" w:rsidP="00691430">
      <w:pPr>
        <w:spacing w:line="240" w:lineRule="auto"/>
        <w:rPr>
          <w:rFonts w:eastAsia="Times New Roman" w:cs="Arial"/>
          <w:bCs/>
          <w:i/>
          <w:iCs/>
          <w:color w:val="000000"/>
          <w:szCs w:val="42"/>
          <w:lang w:eastAsia="bg-BG"/>
        </w:rPr>
      </w:pPr>
    </w:p>
    <w:p w14:paraId="054B6CEC" w14:textId="4E9A1DF3" w:rsidR="00691430" w:rsidRPr="00691430" w:rsidRDefault="00691430" w:rsidP="00691430">
      <w:pPr>
        <w:spacing w:line="240" w:lineRule="auto"/>
        <w:rPr>
          <w:rFonts w:eastAsia="Times New Roman" w:cs="Arial"/>
          <w:sz w:val="12"/>
          <w:szCs w:val="24"/>
        </w:rPr>
      </w:pPr>
      <w:r w:rsidRPr="00691430">
        <w:rPr>
          <w:rFonts w:eastAsia="Times New Roman" w:cs="Arial"/>
          <w:bCs/>
          <w:i/>
          <w:iCs/>
          <w:color w:val="000000"/>
          <w:szCs w:val="42"/>
          <w:lang w:eastAsia="bg-BG"/>
        </w:rPr>
        <w:t>Умерена астма</w:t>
      </w:r>
    </w:p>
    <w:p w14:paraId="399E596D" w14:textId="77777777" w:rsidR="00691430" w:rsidRPr="00691430" w:rsidRDefault="00691430" w:rsidP="00691430">
      <w:pPr>
        <w:spacing w:line="240" w:lineRule="auto"/>
        <w:rPr>
          <w:rFonts w:eastAsia="Times New Roman" w:cs="Arial"/>
          <w:sz w:val="12"/>
          <w:szCs w:val="24"/>
        </w:rPr>
      </w:pPr>
      <w:r w:rsidRPr="00691430">
        <w:rPr>
          <w:rFonts w:eastAsia="Times New Roman" w:cs="Arial"/>
          <w:bCs/>
          <w:i/>
          <w:iCs/>
          <w:color w:val="000000"/>
          <w:szCs w:val="42"/>
          <w:lang w:eastAsia="bg-BG"/>
        </w:rPr>
        <w:t>Юноши (от 12 до 17 години)</w:t>
      </w:r>
    </w:p>
    <w:p w14:paraId="3F947D55" w14:textId="77777777" w:rsidR="00691430" w:rsidRPr="00691430" w:rsidRDefault="00691430" w:rsidP="00691430">
      <w:pPr>
        <w:spacing w:line="240" w:lineRule="auto"/>
        <w:rPr>
          <w:rFonts w:eastAsia="Times New Roman" w:cs="Arial"/>
          <w:bCs/>
          <w:color w:val="000000"/>
          <w:szCs w:val="42"/>
          <w:lang w:eastAsia="bg-BG"/>
        </w:rPr>
      </w:pPr>
      <w:r w:rsidRPr="00691430">
        <w:rPr>
          <w:rFonts w:eastAsia="Times New Roman" w:cs="Arial"/>
          <w:bCs/>
          <w:color w:val="000000"/>
          <w:szCs w:val="42"/>
          <w:lang w:eastAsia="bg-BG"/>
        </w:rPr>
        <w:t xml:space="preserve">В едногодишното проучване </w:t>
      </w:r>
      <w:proofErr w:type="spellStart"/>
      <w:r w:rsidRPr="00691430">
        <w:rPr>
          <w:rFonts w:eastAsia="Times New Roman" w:cs="Arial"/>
          <w:bCs/>
          <w:color w:val="000000"/>
          <w:szCs w:val="42"/>
          <w:lang w:val="en-US"/>
        </w:rPr>
        <w:t>RubaTinA</w:t>
      </w:r>
      <w:proofErr w:type="spellEnd"/>
      <w:r w:rsidRPr="00691430">
        <w:rPr>
          <w:rFonts w:eastAsia="Times New Roman" w:cs="Arial"/>
          <w:bCs/>
          <w:color w:val="000000"/>
          <w:szCs w:val="42"/>
          <w:lang w:val="ru-RU"/>
        </w:rPr>
        <w:t>-</w:t>
      </w:r>
      <w:r w:rsidRPr="00691430">
        <w:rPr>
          <w:rFonts w:eastAsia="Times New Roman" w:cs="Arial"/>
          <w:bCs/>
          <w:color w:val="000000"/>
          <w:szCs w:val="42"/>
          <w:lang w:val="en-US"/>
        </w:rPr>
        <w:t>asthma</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 xml:space="preserve">са били включени общо 397 пациенти (134 от тях на лечение със Спирива Респимат), които са имали симптоми при прием на средни дози ИКС (200 - 800 </w:t>
      </w:r>
      <w:proofErr w:type="spellStart"/>
      <w:r w:rsidRPr="00691430">
        <w:rPr>
          <w:rFonts w:eastAsia="Times New Roman" w:cs="Arial"/>
          <w:bCs/>
          <w:color w:val="000000"/>
          <w:szCs w:val="42"/>
          <w:lang w:val="en-US"/>
        </w:rPr>
        <w:t>pg</w:t>
      </w:r>
      <w:proofErr w:type="spellEnd"/>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 xml:space="preserve">будезонид/дневно или еквивалентно средство при пациенти на възраст от 12 до 14 години или 400 - 800 </w:t>
      </w:r>
      <w:proofErr w:type="spellStart"/>
      <w:r w:rsidRPr="00691430">
        <w:rPr>
          <w:rFonts w:eastAsia="Times New Roman" w:cs="Arial"/>
          <w:bCs/>
          <w:color w:val="000000"/>
          <w:szCs w:val="42"/>
          <w:lang w:val="en-US"/>
        </w:rPr>
        <w:t>pg</w:t>
      </w:r>
      <w:proofErr w:type="spellEnd"/>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 xml:space="preserve">будезонид/дневно или еквивалентно средство при пациенти на възраст от 15 до 17 години), Спирива Респимат показва значително подобряване на функцията на белия дроб спрямо </w:t>
      </w:r>
    </w:p>
    <w:p w14:paraId="0AD96D36" w14:textId="3E362E21" w:rsidR="00691430" w:rsidRPr="00691430" w:rsidRDefault="00691430" w:rsidP="00691430">
      <w:pPr>
        <w:spacing w:line="240" w:lineRule="auto"/>
        <w:rPr>
          <w:rFonts w:eastAsia="Times New Roman" w:cs="Arial"/>
          <w:sz w:val="12"/>
          <w:szCs w:val="24"/>
        </w:rPr>
      </w:pPr>
      <w:r w:rsidRPr="00691430">
        <w:rPr>
          <w:rFonts w:eastAsia="Times New Roman" w:cs="Arial"/>
          <w:bCs/>
          <w:color w:val="000000"/>
          <w:szCs w:val="42"/>
          <w:lang w:eastAsia="bg-BG"/>
        </w:rPr>
        <w:t>плацебо, когато се прилага допълнително към основното лечение.</w:t>
      </w:r>
    </w:p>
    <w:p w14:paraId="0DF32EE4" w14:textId="77777777" w:rsidR="00691430" w:rsidRPr="00691430" w:rsidRDefault="00691430" w:rsidP="00691430">
      <w:pPr>
        <w:spacing w:line="240" w:lineRule="auto"/>
        <w:rPr>
          <w:rFonts w:eastAsia="Times New Roman" w:cs="Arial"/>
          <w:bCs/>
          <w:i/>
          <w:iCs/>
          <w:color w:val="000000"/>
          <w:szCs w:val="42"/>
          <w:lang w:eastAsia="bg-BG"/>
        </w:rPr>
      </w:pPr>
    </w:p>
    <w:p w14:paraId="523F7673" w14:textId="3E98FB73" w:rsidR="00691430" w:rsidRPr="00691430" w:rsidRDefault="00691430" w:rsidP="00691430">
      <w:pPr>
        <w:spacing w:line="240" w:lineRule="auto"/>
        <w:rPr>
          <w:rFonts w:eastAsia="Times New Roman" w:cs="Arial"/>
          <w:sz w:val="12"/>
          <w:szCs w:val="24"/>
        </w:rPr>
      </w:pPr>
      <w:r w:rsidRPr="00691430">
        <w:rPr>
          <w:rFonts w:eastAsia="Times New Roman" w:cs="Arial"/>
          <w:bCs/>
          <w:i/>
          <w:iCs/>
          <w:color w:val="000000"/>
          <w:szCs w:val="42"/>
          <w:lang w:eastAsia="bg-BG"/>
        </w:rPr>
        <w:t>Цеца (от 6 до 11 години)</w:t>
      </w:r>
    </w:p>
    <w:p w14:paraId="67AFFEB4" w14:textId="77777777" w:rsidR="00691430" w:rsidRPr="00691430" w:rsidRDefault="00691430" w:rsidP="00691430">
      <w:pPr>
        <w:spacing w:line="240" w:lineRule="auto"/>
        <w:rPr>
          <w:rFonts w:eastAsia="Times New Roman" w:cs="Arial"/>
          <w:sz w:val="12"/>
          <w:szCs w:val="24"/>
        </w:rPr>
      </w:pPr>
      <w:r w:rsidRPr="00691430">
        <w:rPr>
          <w:rFonts w:eastAsia="Times New Roman" w:cs="Arial"/>
          <w:bCs/>
          <w:color w:val="000000"/>
          <w:szCs w:val="42"/>
          <w:lang w:eastAsia="bg-BG"/>
        </w:rPr>
        <w:t xml:space="preserve">В едногодишното проучване </w:t>
      </w:r>
      <w:proofErr w:type="spellStart"/>
      <w:r w:rsidRPr="00691430">
        <w:rPr>
          <w:rFonts w:eastAsia="Times New Roman" w:cs="Arial"/>
          <w:bCs/>
          <w:color w:val="000000"/>
          <w:szCs w:val="42"/>
          <w:lang w:val="en-US"/>
        </w:rPr>
        <w:t>CanoTinA</w:t>
      </w:r>
      <w:proofErr w:type="spellEnd"/>
      <w:r w:rsidRPr="00691430">
        <w:rPr>
          <w:rFonts w:eastAsia="Times New Roman" w:cs="Arial"/>
          <w:bCs/>
          <w:color w:val="000000"/>
          <w:szCs w:val="42"/>
          <w:lang w:val="ru-RU"/>
        </w:rPr>
        <w:t>-</w:t>
      </w:r>
      <w:r w:rsidRPr="00691430">
        <w:rPr>
          <w:rFonts w:eastAsia="Times New Roman" w:cs="Arial"/>
          <w:bCs/>
          <w:color w:val="000000"/>
          <w:szCs w:val="42"/>
          <w:lang w:val="en-US"/>
        </w:rPr>
        <w:t>asthma</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 xml:space="preserve">са били включени общо 401 пациенти (135, получаващи Спирива Респимат), които са имали симптоми при средни дози ИКС (200 - 400 </w:t>
      </w:r>
      <w:proofErr w:type="spellStart"/>
      <w:r w:rsidRPr="00691430">
        <w:rPr>
          <w:rFonts w:eastAsia="Times New Roman" w:cs="Arial"/>
          <w:bCs/>
          <w:color w:val="000000"/>
          <w:szCs w:val="42"/>
          <w:lang w:val="en-US"/>
        </w:rPr>
        <w:t>pg</w:t>
      </w:r>
      <w:proofErr w:type="spellEnd"/>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будезонид/дневно или еквивалентно средство), Спирива Респимат показва значително подобряване на белодробната функция в сравнение с плацебо когато се прилага допълнително към основното лечение.</w:t>
      </w:r>
    </w:p>
    <w:p w14:paraId="7F38B9A0" w14:textId="77777777" w:rsidR="00691430" w:rsidRPr="00691430" w:rsidRDefault="00691430" w:rsidP="00691430">
      <w:pPr>
        <w:spacing w:line="240" w:lineRule="auto"/>
        <w:rPr>
          <w:rFonts w:eastAsia="Times New Roman" w:cs="Arial"/>
          <w:bCs/>
          <w:i/>
          <w:iCs/>
          <w:color w:val="000000"/>
          <w:szCs w:val="42"/>
          <w:lang w:eastAsia="bg-BG"/>
        </w:rPr>
      </w:pPr>
    </w:p>
    <w:p w14:paraId="65CB32EE" w14:textId="6CA13344" w:rsidR="00691430" w:rsidRPr="00691430" w:rsidRDefault="00691430" w:rsidP="00691430">
      <w:pPr>
        <w:spacing w:line="240" w:lineRule="auto"/>
        <w:rPr>
          <w:rFonts w:eastAsia="Times New Roman" w:cs="Arial"/>
          <w:sz w:val="12"/>
          <w:szCs w:val="24"/>
        </w:rPr>
      </w:pPr>
      <w:r w:rsidRPr="00691430">
        <w:rPr>
          <w:rFonts w:eastAsia="Times New Roman" w:cs="Arial"/>
          <w:bCs/>
          <w:i/>
          <w:iCs/>
          <w:color w:val="000000"/>
          <w:szCs w:val="42"/>
          <w:lang w:eastAsia="bg-BG"/>
        </w:rPr>
        <w:t>Цеца (от 1 до 5 години)</w:t>
      </w:r>
    </w:p>
    <w:p w14:paraId="3F6DB1BF" w14:textId="77777777" w:rsidR="00691430" w:rsidRPr="00691430" w:rsidRDefault="00691430" w:rsidP="00691430">
      <w:pPr>
        <w:spacing w:line="240" w:lineRule="auto"/>
        <w:rPr>
          <w:rFonts w:eastAsia="Times New Roman" w:cs="Arial"/>
          <w:sz w:val="12"/>
          <w:szCs w:val="24"/>
        </w:rPr>
      </w:pPr>
      <w:r w:rsidRPr="00691430">
        <w:rPr>
          <w:rFonts w:eastAsia="Times New Roman" w:cs="Arial"/>
          <w:bCs/>
          <w:color w:val="000000"/>
          <w:szCs w:val="42"/>
          <w:lang w:eastAsia="bg-BG"/>
        </w:rPr>
        <w:t xml:space="preserve">В 12-седмично рандомизирано, двойно-сляпо, плацебо-контролирано проучване на фаза </w:t>
      </w:r>
      <w:r w:rsidRPr="00691430">
        <w:rPr>
          <w:rFonts w:eastAsia="Times New Roman" w:cs="Arial"/>
          <w:bCs/>
          <w:color w:val="000000"/>
          <w:szCs w:val="42"/>
          <w:lang w:val="en-US"/>
        </w:rPr>
        <w:t>II</w:t>
      </w:r>
      <w:r w:rsidRPr="00691430">
        <w:rPr>
          <w:rFonts w:eastAsia="Times New Roman" w:cs="Arial"/>
          <w:bCs/>
          <w:color w:val="000000"/>
          <w:szCs w:val="42"/>
          <w:lang w:val="ru-RU"/>
        </w:rPr>
        <w:t>/</w:t>
      </w:r>
      <w:r w:rsidRPr="00691430">
        <w:rPr>
          <w:rFonts w:eastAsia="Times New Roman" w:cs="Arial"/>
          <w:bCs/>
          <w:color w:val="000000"/>
          <w:szCs w:val="42"/>
          <w:lang w:val="en-US"/>
        </w:rPr>
        <w:t>III</w:t>
      </w:r>
      <w:r w:rsidRPr="00691430">
        <w:rPr>
          <w:rFonts w:eastAsia="Times New Roman" w:cs="Arial"/>
          <w:bCs/>
          <w:color w:val="000000"/>
          <w:szCs w:val="42"/>
          <w:lang w:val="ru-RU"/>
        </w:rPr>
        <w:t xml:space="preserve"> (</w:t>
      </w:r>
      <w:proofErr w:type="spellStart"/>
      <w:r w:rsidRPr="00691430">
        <w:rPr>
          <w:rFonts w:eastAsia="Times New Roman" w:cs="Arial"/>
          <w:bCs/>
          <w:color w:val="000000"/>
          <w:szCs w:val="42"/>
          <w:lang w:val="en-US"/>
        </w:rPr>
        <w:t>NinoTinA</w:t>
      </w:r>
      <w:proofErr w:type="spellEnd"/>
      <w:r w:rsidRPr="00691430">
        <w:rPr>
          <w:rFonts w:eastAsia="Times New Roman" w:cs="Arial"/>
          <w:bCs/>
          <w:color w:val="000000"/>
          <w:szCs w:val="42"/>
          <w:lang w:val="ru-RU"/>
        </w:rPr>
        <w:t>-</w:t>
      </w:r>
      <w:r w:rsidRPr="00691430">
        <w:rPr>
          <w:rFonts w:eastAsia="Times New Roman" w:cs="Arial"/>
          <w:bCs/>
          <w:color w:val="000000"/>
          <w:szCs w:val="42"/>
          <w:lang w:val="en-US"/>
        </w:rPr>
        <w:t>asthma</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 xml:space="preserve">е било проведено при общо 101 деца (31, получаващи Спирива Респимат) с астма на основно лечение, което включва ИКС. Обемна камера </w:t>
      </w:r>
      <w:proofErr w:type="spellStart"/>
      <w:r w:rsidRPr="00691430">
        <w:rPr>
          <w:rFonts w:eastAsia="Times New Roman" w:cs="Arial"/>
          <w:bCs/>
          <w:color w:val="000000"/>
          <w:szCs w:val="42"/>
          <w:lang w:val="en-US"/>
        </w:rPr>
        <w:t>Aerochamber</w:t>
      </w:r>
      <w:proofErr w:type="spellEnd"/>
      <w:r w:rsidRPr="00691430">
        <w:rPr>
          <w:rFonts w:eastAsia="Times New Roman" w:cs="Arial"/>
          <w:bCs/>
          <w:color w:val="000000"/>
          <w:szCs w:val="42"/>
          <w:lang w:val="ru-RU"/>
        </w:rPr>
        <w:t xml:space="preserve"> </w:t>
      </w:r>
      <w:r w:rsidRPr="00691430">
        <w:rPr>
          <w:rFonts w:eastAsia="Times New Roman" w:cs="Arial"/>
          <w:bCs/>
          <w:color w:val="000000"/>
          <w:szCs w:val="42"/>
          <w:lang w:val="en-US"/>
        </w:rPr>
        <w:t>Plus</w:t>
      </w:r>
      <w:r w:rsidRPr="00691430">
        <w:rPr>
          <w:rFonts w:eastAsia="Times New Roman" w:cs="Arial"/>
          <w:bCs/>
          <w:color w:val="000000"/>
          <w:szCs w:val="42"/>
          <w:lang w:val="ru-RU"/>
        </w:rPr>
        <w:t xml:space="preserve"> </w:t>
      </w:r>
      <w:r w:rsidRPr="00691430">
        <w:rPr>
          <w:rFonts w:eastAsia="Times New Roman" w:cs="Arial"/>
          <w:bCs/>
          <w:color w:val="000000"/>
          <w:szCs w:val="42"/>
          <w:lang w:val="en-US"/>
        </w:rPr>
        <w:t>Flow</w:t>
      </w:r>
      <w:r w:rsidRPr="00691430">
        <w:rPr>
          <w:rFonts w:eastAsia="Times New Roman" w:cs="Arial"/>
          <w:bCs/>
          <w:color w:val="000000"/>
          <w:szCs w:val="42"/>
          <w:lang w:val="ru-RU"/>
        </w:rPr>
        <w:t>-</w:t>
      </w:r>
      <w:r w:rsidRPr="00691430">
        <w:rPr>
          <w:rFonts w:eastAsia="Times New Roman" w:cs="Arial"/>
          <w:bCs/>
          <w:color w:val="000000"/>
          <w:szCs w:val="42"/>
          <w:lang w:val="en-US"/>
        </w:rPr>
        <w:t>Vu</w:t>
      </w:r>
      <w:r w:rsidRPr="00691430">
        <w:rPr>
          <w:rFonts w:eastAsia="Times New Roman" w:cs="Arial"/>
          <w:bCs/>
          <w:color w:val="000000"/>
          <w:szCs w:val="42"/>
          <w:lang w:val="ru-RU"/>
        </w:rPr>
        <w:t xml:space="preserve">® </w:t>
      </w:r>
      <w:r w:rsidRPr="00691430">
        <w:rPr>
          <w:rFonts w:eastAsia="Times New Roman" w:cs="Arial"/>
          <w:bCs/>
          <w:color w:val="000000"/>
          <w:szCs w:val="42"/>
          <w:lang w:eastAsia="bg-BG"/>
        </w:rPr>
        <w:t>с маска за лице е използвана при прилагане на изпитваното лекарството при 98 пациенти.</w:t>
      </w:r>
    </w:p>
    <w:p w14:paraId="3F9C1EA3" w14:textId="77777777" w:rsidR="00691430" w:rsidRPr="00691430" w:rsidRDefault="00691430" w:rsidP="00691430">
      <w:pPr>
        <w:spacing w:line="240" w:lineRule="auto"/>
        <w:rPr>
          <w:rFonts w:eastAsia="Times New Roman" w:cs="Arial"/>
          <w:bCs/>
          <w:color w:val="000000"/>
          <w:szCs w:val="42"/>
          <w:lang w:eastAsia="bg-BG"/>
        </w:rPr>
      </w:pPr>
    </w:p>
    <w:p w14:paraId="6E48CBB1" w14:textId="455A9893" w:rsidR="00691430" w:rsidRPr="00691430" w:rsidRDefault="00691430" w:rsidP="00691430">
      <w:pPr>
        <w:spacing w:line="240" w:lineRule="auto"/>
        <w:rPr>
          <w:rFonts w:eastAsia="Times New Roman" w:cs="Arial"/>
          <w:sz w:val="12"/>
          <w:szCs w:val="24"/>
        </w:rPr>
      </w:pPr>
      <w:r w:rsidRPr="00691430">
        <w:rPr>
          <w:rFonts w:eastAsia="Times New Roman" w:cs="Arial"/>
          <w:bCs/>
          <w:color w:val="000000"/>
          <w:szCs w:val="42"/>
          <w:lang w:eastAsia="bg-BG"/>
        </w:rPr>
        <w:t>Първичната цел на проучването е била безопасността, проучването на ефикасността е изследователска цел.</w:t>
      </w:r>
    </w:p>
    <w:p w14:paraId="79BB474C" w14:textId="77777777" w:rsidR="00691430" w:rsidRPr="00691430" w:rsidRDefault="00691430" w:rsidP="00691430">
      <w:pPr>
        <w:spacing w:line="240" w:lineRule="auto"/>
        <w:rPr>
          <w:rFonts w:eastAsia="Times New Roman" w:cs="Arial"/>
          <w:sz w:val="12"/>
          <w:szCs w:val="24"/>
        </w:rPr>
      </w:pPr>
    </w:p>
    <w:p w14:paraId="74D08BE9" w14:textId="77777777" w:rsidR="002B7B4D" w:rsidRPr="002B7B4D" w:rsidRDefault="00691430" w:rsidP="002B7B4D">
      <w:pPr>
        <w:rPr>
          <w:sz w:val="24"/>
          <w:szCs w:val="24"/>
        </w:rPr>
      </w:pPr>
      <w:r w:rsidRPr="00691430">
        <w:rPr>
          <w:rFonts w:cs="Arial"/>
          <w:lang w:eastAsia="bg-BG"/>
        </w:rPr>
        <w:t>Броят и процентът пациенти, съобщили нежелани лекарствени реакции (НЛР), независимо дали са били свързани, са показани в таблица 3. Броят на нежеланите реакции, свързани с астма е било по-</w:t>
      </w:r>
      <w:r w:rsidR="002B7B4D" w:rsidRPr="002B7B4D">
        <w:rPr>
          <w:lang w:eastAsia="bg-BG"/>
        </w:rPr>
        <w:t>нисък при Спирива Респимат в сравнение с плацебо. Проучвателните оценки на ефикасността не показват разлика при Спирива Респимат спрямо плацебо.</w:t>
      </w:r>
    </w:p>
    <w:p w14:paraId="33E07F17" w14:textId="77777777" w:rsidR="002B7B4D" w:rsidRDefault="002B7B4D" w:rsidP="002B7B4D">
      <w:pPr>
        <w:rPr>
          <w:lang w:eastAsia="bg-BG"/>
        </w:rPr>
      </w:pPr>
    </w:p>
    <w:p w14:paraId="7F946486" w14:textId="7AE164AF" w:rsidR="002B7B4D" w:rsidRPr="002B7B4D" w:rsidRDefault="002B7B4D" w:rsidP="002B7B4D">
      <w:pPr>
        <w:rPr>
          <w:sz w:val="24"/>
          <w:szCs w:val="24"/>
        </w:rPr>
      </w:pPr>
      <w:r w:rsidRPr="002B7B4D">
        <w:rPr>
          <w:lang w:eastAsia="bg-BG"/>
        </w:rPr>
        <w:t xml:space="preserve">Таблица 3: Честота на пациентите с НЛР, съобщавани при повече от ≥ 5 пациенти в проучването </w:t>
      </w:r>
      <w:proofErr w:type="spellStart"/>
      <w:r w:rsidRPr="002B7B4D">
        <w:rPr>
          <w:lang w:val="en-US"/>
        </w:rPr>
        <w:t>NinoTinA</w:t>
      </w:r>
      <w:proofErr w:type="spellEnd"/>
      <w:r w:rsidRPr="002B7B4D">
        <w:rPr>
          <w:lang w:val="ru-RU"/>
        </w:rPr>
        <w:t>-</w:t>
      </w:r>
      <w:r w:rsidRPr="002B7B4D">
        <w:rPr>
          <w:lang w:val="en-US"/>
        </w:rPr>
        <w:t>asthma</w:t>
      </w:r>
      <w:r w:rsidRPr="002B7B4D">
        <w:rPr>
          <w:lang w:val="ru-RU"/>
        </w:rPr>
        <w:t xml:space="preserve"> </w:t>
      </w:r>
      <w:r w:rsidRPr="002B7B4D">
        <w:rPr>
          <w:lang w:eastAsia="bg-BG"/>
        </w:rPr>
        <w:t>(деца на възраст от 1 до 5 години)</w:t>
      </w:r>
    </w:p>
    <w:tbl>
      <w:tblPr>
        <w:tblStyle w:val="TableGrid"/>
        <w:tblW w:w="0" w:type="auto"/>
        <w:tblLook w:val="04A0" w:firstRow="1" w:lastRow="0" w:firstColumn="1" w:lastColumn="0" w:noHBand="0" w:noVBand="1"/>
      </w:tblPr>
      <w:tblGrid>
        <w:gridCol w:w="3130"/>
        <w:gridCol w:w="3108"/>
        <w:gridCol w:w="3112"/>
      </w:tblGrid>
      <w:tr w:rsidR="002B7B4D" w14:paraId="13B02F71" w14:textId="77777777" w:rsidTr="002B7B4D">
        <w:tc>
          <w:tcPr>
            <w:tcW w:w="3192" w:type="dxa"/>
          </w:tcPr>
          <w:p w14:paraId="493D7E9C" w14:textId="77777777" w:rsidR="002B7B4D" w:rsidRDefault="002B7B4D" w:rsidP="002B7B4D"/>
        </w:tc>
        <w:tc>
          <w:tcPr>
            <w:tcW w:w="3192" w:type="dxa"/>
          </w:tcPr>
          <w:p w14:paraId="572EEF93" w14:textId="0D0F5F80" w:rsidR="002B7B4D" w:rsidRDefault="002B7B4D" w:rsidP="002B7B4D">
            <w:r>
              <w:t xml:space="preserve">Плацебо, </w:t>
            </w:r>
            <w:r>
              <w:rPr>
                <w:lang w:val="en-US"/>
              </w:rPr>
              <w:t>n</w:t>
            </w:r>
            <w:r>
              <w:t xml:space="preserve"> (%)</w:t>
            </w:r>
          </w:p>
        </w:tc>
        <w:tc>
          <w:tcPr>
            <w:tcW w:w="3192" w:type="dxa"/>
          </w:tcPr>
          <w:p w14:paraId="3EA9D07D" w14:textId="21CF6F65" w:rsidR="002B7B4D" w:rsidRDefault="002B7B4D" w:rsidP="002B7B4D">
            <w:r>
              <w:t xml:space="preserve">Спирива Респимат, </w:t>
            </w:r>
            <w:r>
              <w:rPr>
                <w:lang w:val="en-US"/>
              </w:rPr>
              <w:t>n</w:t>
            </w:r>
            <w:r>
              <w:t xml:space="preserve"> (%)</w:t>
            </w:r>
          </w:p>
        </w:tc>
      </w:tr>
      <w:tr w:rsidR="002B7B4D" w14:paraId="5F91E221" w14:textId="77777777" w:rsidTr="002B7B4D">
        <w:tc>
          <w:tcPr>
            <w:tcW w:w="3192" w:type="dxa"/>
          </w:tcPr>
          <w:p w14:paraId="6918C855" w14:textId="0192F4BD" w:rsidR="002B7B4D" w:rsidRDefault="002B7B4D" w:rsidP="002B7B4D">
            <w:r>
              <w:t>Брой пациенти</w:t>
            </w:r>
          </w:p>
        </w:tc>
        <w:tc>
          <w:tcPr>
            <w:tcW w:w="3192" w:type="dxa"/>
          </w:tcPr>
          <w:p w14:paraId="76CA4D40" w14:textId="2DF12A84" w:rsidR="002B7B4D" w:rsidRDefault="002B7B4D" w:rsidP="002B7B4D">
            <w:r>
              <w:t>34 (100,0)</w:t>
            </w:r>
          </w:p>
        </w:tc>
        <w:tc>
          <w:tcPr>
            <w:tcW w:w="3192" w:type="dxa"/>
          </w:tcPr>
          <w:p w14:paraId="4A02916D" w14:textId="17F8E5F8" w:rsidR="002B7B4D" w:rsidRDefault="002B7B4D" w:rsidP="002B7B4D">
            <w:r>
              <w:t>31 (100,0)</w:t>
            </w:r>
          </w:p>
        </w:tc>
      </w:tr>
      <w:tr w:rsidR="002B7B4D" w14:paraId="13DD2621" w14:textId="77777777" w:rsidTr="002B7B4D">
        <w:tc>
          <w:tcPr>
            <w:tcW w:w="3192" w:type="dxa"/>
          </w:tcPr>
          <w:p w14:paraId="7A9CFC87" w14:textId="7DC3A7E2" w:rsidR="002B7B4D" w:rsidRDefault="002B7B4D" w:rsidP="002B7B4D">
            <w:r>
              <w:t>Пациенти с НЛР</w:t>
            </w:r>
          </w:p>
        </w:tc>
        <w:tc>
          <w:tcPr>
            <w:tcW w:w="3192" w:type="dxa"/>
          </w:tcPr>
          <w:p w14:paraId="7390C080" w14:textId="429B10AB" w:rsidR="002B7B4D" w:rsidRDefault="002B7B4D" w:rsidP="002B7B4D">
            <w:r>
              <w:t>25 (73,5)</w:t>
            </w:r>
          </w:p>
        </w:tc>
        <w:tc>
          <w:tcPr>
            <w:tcW w:w="3192" w:type="dxa"/>
          </w:tcPr>
          <w:p w14:paraId="1335D947" w14:textId="51DB4517" w:rsidR="002B7B4D" w:rsidRDefault="002B7B4D" w:rsidP="002B7B4D">
            <w:r>
              <w:t>18(58,1)</w:t>
            </w:r>
          </w:p>
        </w:tc>
      </w:tr>
      <w:tr w:rsidR="002B7B4D" w14:paraId="585039C5" w14:textId="77777777" w:rsidTr="002B7B4D">
        <w:tc>
          <w:tcPr>
            <w:tcW w:w="3192" w:type="dxa"/>
          </w:tcPr>
          <w:p w14:paraId="260C6F58" w14:textId="560C9644" w:rsidR="002B7B4D" w:rsidRDefault="002B7B4D" w:rsidP="002B7B4D">
            <w:r>
              <w:t>Назофарингит</w:t>
            </w:r>
          </w:p>
        </w:tc>
        <w:tc>
          <w:tcPr>
            <w:tcW w:w="3192" w:type="dxa"/>
          </w:tcPr>
          <w:p w14:paraId="46185504" w14:textId="63F65C71" w:rsidR="002B7B4D" w:rsidRDefault="002B7B4D" w:rsidP="002B7B4D">
            <w:r>
              <w:t>5 (14,7)</w:t>
            </w:r>
          </w:p>
        </w:tc>
        <w:tc>
          <w:tcPr>
            <w:tcW w:w="3192" w:type="dxa"/>
          </w:tcPr>
          <w:p w14:paraId="2E825053" w14:textId="7D455A20" w:rsidR="002B7B4D" w:rsidRDefault="002B7B4D" w:rsidP="002B7B4D">
            <w:r>
              <w:t>2 (6,5)</w:t>
            </w:r>
          </w:p>
        </w:tc>
      </w:tr>
      <w:tr w:rsidR="002B7B4D" w14:paraId="7AB93865" w14:textId="77777777" w:rsidTr="002B7B4D">
        <w:tc>
          <w:tcPr>
            <w:tcW w:w="3192" w:type="dxa"/>
          </w:tcPr>
          <w:p w14:paraId="18C52E8F" w14:textId="3BED9C2D" w:rsidR="002B7B4D" w:rsidRDefault="002B7B4D" w:rsidP="002B7B4D">
            <w:r>
              <w:t>Инфекция на горните дихателни пътища</w:t>
            </w:r>
          </w:p>
        </w:tc>
        <w:tc>
          <w:tcPr>
            <w:tcW w:w="3192" w:type="dxa"/>
          </w:tcPr>
          <w:p w14:paraId="5F97DE51" w14:textId="689F8039" w:rsidR="002B7B4D" w:rsidRDefault="002B7B4D" w:rsidP="002B7B4D">
            <w:r>
              <w:t>1 (2,9)</w:t>
            </w:r>
          </w:p>
        </w:tc>
        <w:tc>
          <w:tcPr>
            <w:tcW w:w="3192" w:type="dxa"/>
          </w:tcPr>
          <w:p w14:paraId="6038B65F" w14:textId="4A06FBA0" w:rsidR="002B7B4D" w:rsidRDefault="002B7B4D" w:rsidP="002B7B4D">
            <w:r>
              <w:t>5 (16,1)</w:t>
            </w:r>
          </w:p>
        </w:tc>
      </w:tr>
      <w:tr w:rsidR="002B7B4D" w14:paraId="63C5B019" w14:textId="77777777" w:rsidTr="002B7B4D">
        <w:tc>
          <w:tcPr>
            <w:tcW w:w="3192" w:type="dxa"/>
          </w:tcPr>
          <w:p w14:paraId="2EB56B63" w14:textId="258D2C49" w:rsidR="002B7B4D" w:rsidRDefault="002B7B4D" w:rsidP="002B7B4D">
            <w:r>
              <w:t>Астма*</w:t>
            </w:r>
          </w:p>
        </w:tc>
        <w:tc>
          <w:tcPr>
            <w:tcW w:w="3192" w:type="dxa"/>
          </w:tcPr>
          <w:p w14:paraId="00E56FA3" w14:textId="08EFF8B4" w:rsidR="002B7B4D" w:rsidRDefault="002B7B4D" w:rsidP="002B7B4D">
            <w:r>
              <w:t>10 (29,4)</w:t>
            </w:r>
          </w:p>
        </w:tc>
        <w:tc>
          <w:tcPr>
            <w:tcW w:w="3192" w:type="dxa"/>
          </w:tcPr>
          <w:p w14:paraId="7CF87C4E" w14:textId="7924C11E" w:rsidR="002B7B4D" w:rsidRDefault="002B7B4D" w:rsidP="002B7B4D">
            <w:r>
              <w:t>2 (6,5)</w:t>
            </w:r>
          </w:p>
        </w:tc>
      </w:tr>
      <w:tr w:rsidR="002B7B4D" w14:paraId="1CC7A98A" w14:textId="77777777" w:rsidTr="002B7B4D">
        <w:tc>
          <w:tcPr>
            <w:tcW w:w="3192" w:type="dxa"/>
          </w:tcPr>
          <w:p w14:paraId="3201ACE3" w14:textId="33E8C05E" w:rsidR="002B7B4D" w:rsidRDefault="002B7B4D" w:rsidP="002B7B4D">
            <w:r>
              <w:t>Пирексия</w:t>
            </w:r>
          </w:p>
        </w:tc>
        <w:tc>
          <w:tcPr>
            <w:tcW w:w="3192" w:type="dxa"/>
          </w:tcPr>
          <w:p w14:paraId="05525955" w14:textId="121190CA" w:rsidR="002B7B4D" w:rsidRDefault="002B7B4D" w:rsidP="002B7B4D">
            <w:r>
              <w:t>6(17,6)</w:t>
            </w:r>
          </w:p>
        </w:tc>
        <w:tc>
          <w:tcPr>
            <w:tcW w:w="3192" w:type="dxa"/>
          </w:tcPr>
          <w:p w14:paraId="4339D5B0" w14:textId="46EC56A5" w:rsidR="002B7B4D" w:rsidRDefault="002B7B4D" w:rsidP="002B7B4D">
            <w:r>
              <w:t>3 (9,7)</w:t>
            </w:r>
          </w:p>
        </w:tc>
      </w:tr>
    </w:tbl>
    <w:p w14:paraId="7B0C516F" w14:textId="77777777" w:rsidR="002B7B4D" w:rsidRPr="002B7B4D" w:rsidRDefault="002B7B4D" w:rsidP="002B7B4D">
      <w:pPr>
        <w:spacing w:line="240" w:lineRule="auto"/>
        <w:rPr>
          <w:rFonts w:eastAsia="Times New Roman" w:cs="Arial"/>
        </w:rPr>
      </w:pPr>
      <w:r w:rsidRPr="002B7B4D">
        <w:rPr>
          <w:rFonts w:eastAsia="Times New Roman" w:cs="Arial"/>
          <w:bCs/>
          <w:color w:val="000000"/>
          <w:lang w:eastAsia="bg-BG"/>
        </w:rPr>
        <w:t xml:space="preserve">* </w:t>
      </w:r>
      <w:proofErr w:type="spellStart"/>
      <w:r w:rsidRPr="002B7B4D">
        <w:rPr>
          <w:rFonts w:eastAsia="Times New Roman" w:cs="Arial"/>
          <w:bCs/>
          <w:color w:val="000000"/>
          <w:lang w:val="en-US"/>
        </w:rPr>
        <w:t>MedDRA</w:t>
      </w:r>
      <w:proofErr w:type="spellEnd"/>
      <w:r w:rsidRPr="002B7B4D">
        <w:rPr>
          <w:rFonts w:eastAsia="Times New Roman" w:cs="Arial"/>
          <w:bCs/>
          <w:color w:val="000000"/>
          <w:lang w:val="ru-RU"/>
        </w:rPr>
        <w:t xml:space="preserve"> </w:t>
      </w:r>
      <w:r w:rsidRPr="002B7B4D">
        <w:rPr>
          <w:rFonts w:eastAsia="Times New Roman" w:cs="Arial"/>
          <w:bCs/>
          <w:color w:val="000000"/>
          <w:lang w:eastAsia="bg-BG"/>
        </w:rPr>
        <w:t>терминът под предпочитания термин „Астма“ е „Влошаване на астмата“ или „Обостряне на астмата“</w:t>
      </w:r>
    </w:p>
    <w:p w14:paraId="560FD2E4" w14:textId="77777777" w:rsidR="00B7186C" w:rsidRDefault="00B7186C" w:rsidP="002B7B4D">
      <w:pPr>
        <w:spacing w:line="240" w:lineRule="auto"/>
        <w:rPr>
          <w:rFonts w:eastAsia="Times New Roman" w:cs="Arial"/>
          <w:bCs/>
          <w:color w:val="000000"/>
          <w:lang w:eastAsia="bg-BG"/>
        </w:rPr>
      </w:pPr>
    </w:p>
    <w:p w14:paraId="229D1260" w14:textId="765C82B8" w:rsidR="002B7B4D" w:rsidRPr="002B7B4D" w:rsidRDefault="002B7B4D" w:rsidP="002B7B4D">
      <w:pPr>
        <w:spacing w:line="240" w:lineRule="auto"/>
        <w:rPr>
          <w:rFonts w:eastAsia="Times New Roman" w:cs="Arial"/>
        </w:rPr>
      </w:pPr>
      <w:r w:rsidRPr="002B7B4D">
        <w:rPr>
          <w:rFonts w:eastAsia="Times New Roman" w:cs="Arial"/>
          <w:bCs/>
          <w:color w:val="000000"/>
          <w:lang w:eastAsia="bg-BG"/>
        </w:rPr>
        <w:t>Европейската агенция по лекарствата отлага задължението за предоставяне на резултатите от проучванията със Спирива Респимат при педиатрични пациенти на възраст под 1 година (вж. точка 4.2 за информация относно употреба в педиатрията).</w:t>
      </w:r>
    </w:p>
    <w:p w14:paraId="0C4CB8DC" w14:textId="77777777" w:rsidR="00B7186C" w:rsidRDefault="00B7186C" w:rsidP="002B7B4D">
      <w:pPr>
        <w:spacing w:line="240" w:lineRule="auto"/>
        <w:rPr>
          <w:rFonts w:eastAsia="Times New Roman" w:cs="Arial"/>
          <w:bCs/>
          <w:color w:val="000000"/>
          <w:u w:val="single"/>
          <w:lang w:eastAsia="bg-BG"/>
        </w:rPr>
      </w:pPr>
    </w:p>
    <w:p w14:paraId="7ED6BADF" w14:textId="108D002F" w:rsidR="002B7B4D" w:rsidRPr="002B7B4D" w:rsidRDefault="002B7B4D" w:rsidP="002B7B4D">
      <w:pPr>
        <w:spacing w:line="240" w:lineRule="auto"/>
        <w:rPr>
          <w:rFonts w:eastAsia="Times New Roman" w:cs="Arial"/>
        </w:rPr>
      </w:pPr>
      <w:r w:rsidRPr="002B7B4D">
        <w:rPr>
          <w:rFonts w:eastAsia="Times New Roman" w:cs="Arial"/>
          <w:bCs/>
          <w:color w:val="000000"/>
          <w:u w:val="single"/>
          <w:lang w:eastAsia="bg-BG"/>
        </w:rPr>
        <w:t>Клинична ефикасност и безопасност при кистозна фиброза (КФ)</w:t>
      </w:r>
    </w:p>
    <w:p w14:paraId="049CDB12" w14:textId="77777777" w:rsidR="00B7186C" w:rsidRDefault="00B7186C" w:rsidP="002B7B4D">
      <w:pPr>
        <w:spacing w:line="240" w:lineRule="auto"/>
        <w:rPr>
          <w:rFonts w:eastAsia="Times New Roman" w:cs="Arial"/>
          <w:bCs/>
          <w:color w:val="000000"/>
          <w:lang w:eastAsia="bg-BG"/>
        </w:rPr>
      </w:pPr>
    </w:p>
    <w:p w14:paraId="0ECC0097" w14:textId="2A1F0F5B" w:rsidR="002B7B4D" w:rsidRPr="002B7B4D" w:rsidRDefault="002B7B4D" w:rsidP="002B7B4D">
      <w:pPr>
        <w:spacing w:line="240" w:lineRule="auto"/>
        <w:rPr>
          <w:rFonts w:eastAsia="Times New Roman" w:cs="Arial"/>
        </w:rPr>
      </w:pPr>
      <w:r w:rsidRPr="002B7B4D">
        <w:rPr>
          <w:rFonts w:eastAsia="Times New Roman" w:cs="Arial"/>
          <w:bCs/>
          <w:color w:val="000000"/>
          <w:lang w:eastAsia="bg-BG"/>
        </w:rPr>
        <w:t xml:space="preserve">Програмата за клинично разработване при кистозна фиброза включва 3 многоцешрови проучвания при 959 пациенти на възраст 5 месеца и повече. Пациенти под 5 годишна възраст са използвали спейсър (обемна камера) </w:t>
      </w:r>
      <w:r w:rsidRPr="002B7B4D">
        <w:rPr>
          <w:rFonts w:eastAsia="Times New Roman" w:cs="Arial"/>
          <w:bCs/>
          <w:color w:val="000000"/>
          <w:lang w:val="ru-RU"/>
        </w:rPr>
        <w:t>(</w:t>
      </w:r>
      <w:proofErr w:type="spellStart"/>
      <w:r w:rsidRPr="002B7B4D">
        <w:rPr>
          <w:rFonts w:eastAsia="Times New Roman" w:cs="Arial"/>
          <w:bCs/>
          <w:color w:val="000000"/>
          <w:lang w:val="en-US"/>
        </w:rPr>
        <w:t>AeroChamber</w:t>
      </w:r>
      <w:proofErr w:type="spellEnd"/>
      <w:r w:rsidRPr="002B7B4D">
        <w:rPr>
          <w:rFonts w:eastAsia="Times New Roman" w:cs="Arial"/>
          <w:bCs/>
          <w:color w:val="000000"/>
          <w:lang w:val="ru-RU"/>
        </w:rPr>
        <w:t xml:space="preserve"> </w:t>
      </w:r>
      <w:r w:rsidRPr="002B7B4D">
        <w:rPr>
          <w:rFonts w:eastAsia="Times New Roman" w:cs="Arial"/>
          <w:bCs/>
          <w:color w:val="000000"/>
          <w:lang w:val="en-US"/>
        </w:rPr>
        <w:t>Plus</w:t>
      </w:r>
      <w:r w:rsidRPr="002B7B4D">
        <w:rPr>
          <w:rFonts w:eastAsia="Times New Roman" w:cs="Arial"/>
          <w:bCs/>
          <w:color w:val="000000"/>
          <w:lang w:val="ru-RU"/>
        </w:rPr>
        <w:t xml:space="preserve">®) </w:t>
      </w:r>
      <w:r w:rsidRPr="002B7B4D">
        <w:rPr>
          <w:rFonts w:eastAsia="Times New Roman" w:cs="Arial"/>
          <w:bCs/>
          <w:color w:val="000000"/>
          <w:lang w:eastAsia="bg-BG"/>
        </w:rPr>
        <w:t>с маска и са включени само за оценка на безопасността. Двете пилотни проучвания (дозоопределящо Фаза II проучване и потвърждаващо Фаза III проучване) сравняват ефектите на белодробната функция (процент от предвиденото ФЕО</w:t>
      </w:r>
      <w:r w:rsidRPr="002B7B4D">
        <w:rPr>
          <w:rFonts w:eastAsia="Times New Roman" w:cs="Arial"/>
          <w:bCs/>
          <w:color w:val="000000"/>
          <w:vertAlign w:val="subscript"/>
          <w:lang w:eastAsia="bg-BG"/>
        </w:rPr>
        <w:t>1</w:t>
      </w:r>
      <w:r w:rsidRPr="002B7B4D">
        <w:rPr>
          <w:rFonts w:eastAsia="Times New Roman" w:cs="Arial"/>
          <w:bCs/>
          <w:color w:val="000000"/>
          <w:vertAlign w:val="subscript"/>
          <w:lang w:val="ru-RU"/>
        </w:rPr>
        <w:t xml:space="preserve"> </w:t>
      </w:r>
      <w:r w:rsidRPr="002B7B4D">
        <w:rPr>
          <w:rFonts w:eastAsia="Times New Roman" w:cs="Arial"/>
          <w:bCs/>
          <w:color w:val="000000"/>
          <w:lang w:val="en-US"/>
        </w:rPr>
        <w:t>AUC</w:t>
      </w:r>
      <w:r w:rsidRPr="002B7B4D">
        <w:rPr>
          <w:rFonts w:eastAsia="Times New Roman" w:cs="Arial"/>
          <w:bCs/>
          <w:color w:val="000000"/>
          <w:vertAlign w:val="subscript"/>
          <w:lang w:val="ru-RU"/>
        </w:rPr>
        <w:t>0-4</w:t>
      </w:r>
      <w:r w:rsidRPr="002B7B4D">
        <w:rPr>
          <w:rFonts w:eastAsia="Times New Roman" w:cs="Arial"/>
          <w:bCs/>
          <w:color w:val="000000"/>
          <w:vertAlign w:val="subscript"/>
          <w:lang w:val="en-US"/>
        </w:rPr>
        <w:t>h</w:t>
      </w:r>
      <w:r w:rsidRPr="002B7B4D">
        <w:rPr>
          <w:rFonts w:eastAsia="Times New Roman" w:cs="Arial"/>
          <w:bCs/>
          <w:color w:val="000000"/>
          <w:lang w:val="ru-RU"/>
        </w:rPr>
        <w:t xml:space="preserve"> </w:t>
      </w:r>
      <w:r w:rsidRPr="002B7B4D">
        <w:rPr>
          <w:rFonts w:eastAsia="Times New Roman" w:cs="Arial"/>
          <w:bCs/>
          <w:color w:val="000000"/>
          <w:lang w:eastAsia="bg-BG"/>
        </w:rPr>
        <w:t>и най-ниска стойност на ФЕО</w:t>
      </w:r>
      <w:r w:rsidRPr="002B7B4D">
        <w:rPr>
          <w:rFonts w:eastAsia="Times New Roman" w:cs="Arial"/>
          <w:bCs/>
          <w:color w:val="000000"/>
          <w:vertAlign w:val="subscript"/>
          <w:lang w:eastAsia="bg-BG"/>
        </w:rPr>
        <w:t>1</w:t>
      </w:r>
      <w:r w:rsidRPr="002B7B4D">
        <w:rPr>
          <w:rFonts w:eastAsia="Times New Roman" w:cs="Arial"/>
          <w:bCs/>
          <w:color w:val="000000"/>
          <w:lang w:eastAsia="bg-BG"/>
        </w:rPr>
        <w:t>) на СпириваРеспимат (тиотропиум 5 μ</w:t>
      </w:r>
      <w:r w:rsidRPr="002B7B4D">
        <w:rPr>
          <w:rFonts w:eastAsia="Times New Roman" w:cs="Arial"/>
          <w:bCs/>
          <w:color w:val="000000"/>
          <w:lang w:val="en-US"/>
        </w:rPr>
        <w:t>g</w:t>
      </w:r>
      <w:r w:rsidRPr="002B7B4D">
        <w:rPr>
          <w:rFonts w:eastAsia="Times New Roman" w:cs="Arial"/>
          <w:bCs/>
          <w:color w:val="000000"/>
          <w:lang w:val="ru-RU"/>
        </w:rPr>
        <w:t xml:space="preserve">: </w:t>
      </w:r>
      <w:r w:rsidRPr="002B7B4D">
        <w:rPr>
          <w:rFonts w:eastAsia="Times New Roman" w:cs="Arial"/>
          <w:bCs/>
          <w:color w:val="000000"/>
          <w:lang w:eastAsia="bg-BG"/>
        </w:rPr>
        <w:t xml:space="preserve">469 пациенти) спрямо плацебо (315 пациенти) в 12-седмични, рандомизирани, двойно-слепи периоди; проучването Фаза </w:t>
      </w:r>
      <w:r w:rsidRPr="002B7B4D">
        <w:rPr>
          <w:rFonts w:eastAsia="Times New Roman" w:cs="Arial"/>
          <w:bCs/>
          <w:color w:val="000000"/>
          <w:lang w:val="en-US"/>
        </w:rPr>
        <w:t>III</w:t>
      </w:r>
      <w:r w:rsidRPr="002B7B4D">
        <w:rPr>
          <w:rFonts w:eastAsia="Times New Roman" w:cs="Arial"/>
          <w:bCs/>
          <w:color w:val="000000"/>
          <w:lang w:eastAsia="bg-BG"/>
        </w:rPr>
        <w:t xml:space="preserve"> включва също дългосрочно, открито удължение до 12 месеца. В тези проучвания, всички респираторни лекарства, с изключение на антихолинергичните са били разрешени като придружаващо лечение, напр. бета агонисти с продължително действие, муколитици и антибиотици.</w:t>
      </w:r>
    </w:p>
    <w:p w14:paraId="42F41D91" w14:textId="77777777" w:rsidR="00B7186C" w:rsidRDefault="00B7186C" w:rsidP="002B7B4D">
      <w:pPr>
        <w:spacing w:line="240" w:lineRule="auto"/>
        <w:rPr>
          <w:rFonts w:eastAsia="Times New Roman" w:cs="Arial"/>
          <w:bCs/>
          <w:color w:val="000000"/>
          <w:lang w:eastAsia="bg-BG"/>
        </w:rPr>
      </w:pPr>
    </w:p>
    <w:p w14:paraId="4DC68E16" w14:textId="2D2A1854" w:rsidR="00B7186C" w:rsidRPr="00B7186C" w:rsidRDefault="002B7B4D" w:rsidP="002B7B4D">
      <w:pPr>
        <w:spacing w:line="240" w:lineRule="auto"/>
        <w:rPr>
          <w:rFonts w:eastAsia="Times New Roman" w:cs="Arial"/>
          <w:bCs/>
          <w:color w:val="000000"/>
          <w:lang w:eastAsia="bg-BG"/>
        </w:rPr>
      </w:pPr>
      <w:r w:rsidRPr="002B7B4D">
        <w:rPr>
          <w:rFonts w:eastAsia="Times New Roman" w:cs="Arial"/>
          <w:bCs/>
          <w:color w:val="000000"/>
          <w:lang w:eastAsia="bg-BG"/>
        </w:rPr>
        <w:t xml:space="preserve">Ефекти върху белодробната функция са показани в Таблица 4. Значимо подобрение на симптомите и здравословното състояние (обостряния чрез въпросник за респираторни и системни симптоми и качество на живот чрез </w:t>
      </w:r>
    </w:p>
    <w:p w14:paraId="433F52D5" w14:textId="1F2E4981" w:rsidR="002B7B4D" w:rsidRPr="002B7B4D" w:rsidRDefault="002B7B4D" w:rsidP="002B7B4D">
      <w:pPr>
        <w:spacing w:line="240" w:lineRule="auto"/>
        <w:rPr>
          <w:rFonts w:eastAsia="Times New Roman" w:cs="Arial"/>
        </w:rPr>
      </w:pPr>
      <w:r w:rsidRPr="002B7B4D">
        <w:rPr>
          <w:rFonts w:eastAsia="Times New Roman" w:cs="Arial"/>
          <w:bCs/>
          <w:color w:val="000000"/>
          <w:lang w:eastAsia="bg-BG"/>
        </w:rPr>
        <w:t>въпросник за кистозна фиброза) не се наблюдава.</w:t>
      </w:r>
    </w:p>
    <w:p w14:paraId="72BBE416" w14:textId="77777777" w:rsidR="00B7186C" w:rsidRPr="00B7186C" w:rsidRDefault="00B7186C" w:rsidP="002B7B4D">
      <w:pPr>
        <w:spacing w:line="240" w:lineRule="auto"/>
        <w:rPr>
          <w:rFonts w:eastAsia="Times New Roman" w:cs="Arial"/>
          <w:bCs/>
          <w:color w:val="000000"/>
          <w:lang w:eastAsia="bg-BG"/>
        </w:rPr>
      </w:pPr>
    </w:p>
    <w:p w14:paraId="6F599522" w14:textId="5545D2FC" w:rsidR="002B7B4D" w:rsidRPr="002B7B4D" w:rsidRDefault="002B7B4D" w:rsidP="002B7B4D">
      <w:pPr>
        <w:spacing w:line="240" w:lineRule="auto"/>
        <w:rPr>
          <w:rFonts w:eastAsia="Times New Roman" w:cs="Arial"/>
        </w:rPr>
      </w:pPr>
      <w:r w:rsidRPr="002B7B4D">
        <w:rPr>
          <w:rFonts w:eastAsia="Times New Roman" w:cs="Arial"/>
          <w:bCs/>
          <w:color w:val="000000"/>
          <w:lang w:eastAsia="bg-BG"/>
        </w:rPr>
        <w:t>Таблица 4: адаптирана средна разлика от плацебо за абсолютна промяна от изходните стойности след 12 седмици</w:t>
      </w:r>
    </w:p>
    <w:tbl>
      <w:tblPr>
        <w:tblStyle w:val="TableGrid"/>
        <w:tblW w:w="0" w:type="auto"/>
        <w:tblLook w:val="04A0" w:firstRow="1" w:lastRow="0" w:firstColumn="1" w:lastColumn="0" w:noHBand="0" w:noVBand="1"/>
      </w:tblPr>
      <w:tblGrid>
        <w:gridCol w:w="1817"/>
        <w:gridCol w:w="1294"/>
        <w:gridCol w:w="997"/>
        <w:gridCol w:w="1296"/>
        <w:gridCol w:w="923"/>
        <w:gridCol w:w="1719"/>
        <w:gridCol w:w="1304"/>
      </w:tblGrid>
      <w:tr w:rsidR="00B7186C" w14:paraId="6E656EDA" w14:textId="77777777" w:rsidTr="00B7186C">
        <w:tc>
          <w:tcPr>
            <w:tcW w:w="1817" w:type="dxa"/>
            <w:vMerge w:val="restart"/>
          </w:tcPr>
          <w:p w14:paraId="09BA6C49" w14:textId="77777777" w:rsidR="00B7186C" w:rsidRDefault="00B7186C" w:rsidP="00B7186C"/>
        </w:tc>
        <w:tc>
          <w:tcPr>
            <w:tcW w:w="2384" w:type="dxa"/>
            <w:gridSpan w:val="2"/>
          </w:tcPr>
          <w:p w14:paraId="4FBC984C" w14:textId="3F1CE961" w:rsidR="00B7186C" w:rsidRDefault="00B7186C" w:rsidP="00B7186C">
            <w:r>
              <w:t>Фаза</w:t>
            </w:r>
            <w:r>
              <w:rPr>
                <w:lang w:val="en-US"/>
              </w:rPr>
              <w:t xml:space="preserve"> II</w:t>
            </w:r>
          </w:p>
        </w:tc>
        <w:tc>
          <w:tcPr>
            <w:tcW w:w="5375" w:type="dxa"/>
            <w:gridSpan w:val="4"/>
          </w:tcPr>
          <w:p w14:paraId="1EAD0354" w14:textId="5331F173" w:rsidR="00B7186C" w:rsidRDefault="00B7186C" w:rsidP="00B7186C">
            <w:r>
              <w:t xml:space="preserve">Фаза </w:t>
            </w:r>
            <w:r>
              <w:rPr>
                <w:lang w:val="en-US"/>
              </w:rPr>
              <w:t>III</w:t>
            </w:r>
          </w:p>
        </w:tc>
      </w:tr>
      <w:tr w:rsidR="00B7186C" w14:paraId="7974351E" w14:textId="77777777" w:rsidTr="00B7186C">
        <w:tc>
          <w:tcPr>
            <w:tcW w:w="1817" w:type="dxa"/>
            <w:vMerge/>
          </w:tcPr>
          <w:p w14:paraId="445A8A05" w14:textId="77777777" w:rsidR="00B7186C" w:rsidRDefault="00B7186C" w:rsidP="00B7186C"/>
        </w:tc>
        <w:tc>
          <w:tcPr>
            <w:tcW w:w="2384" w:type="dxa"/>
            <w:gridSpan w:val="2"/>
          </w:tcPr>
          <w:p w14:paraId="6D7165F1" w14:textId="14F6FCCC" w:rsidR="00B7186C" w:rsidRDefault="00B7186C" w:rsidP="00B7186C">
            <w:r>
              <w:t xml:space="preserve">Всички пациенти </w:t>
            </w:r>
            <w:r>
              <w:rPr>
                <w:lang w:val="en-US"/>
              </w:rPr>
              <w:t>(N</w:t>
            </w:r>
            <w:r>
              <w:t xml:space="preserve">спирива176, </w:t>
            </w:r>
            <w:r>
              <w:rPr>
                <w:lang w:val="en-US"/>
              </w:rPr>
              <w:t>N</w:t>
            </w:r>
            <w:r>
              <w:t xml:space="preserve">плацебо </w:t>
            </w:r>
            <w:r>
              <w:rPr>
                <w:vertAlign w:val="superscript"/>
              </w:rPr>
              <w:t>=</w:t>
            </w:r>
            <w:r>
              <w:t xml:space="preserve"> 168)</w:t>
            </w:r>
          </w:p>
        </w:tc>
        <w:tc>
          <w:tcPr>
            <w:tcW w:w="2337" w:type="dxa"/>
            <w:gridSpan w:val="2"/>
          </w:tcPr>
          <w:p w14:paraId="624CEAC2" w14:textId="77777777" w:rsidR="00B7186C" w:rsidRDefault="00B7186C" w:rsidP="00B7186C">
            <w:r>
              <w:t>Всички пациенти (</w:t>
            </w:r>
            <w:r>
              <w:rPr>
                <w:lang w:val="en-US"/>
              </w:rPr>
              <w:t>N</w:t>
            </w:r>
            <w:r>
              <w:t>спирива=293,</w:t>
            </w:r>
          </w:p>
          <w:p w14:paraId="4447F21F" w14:textId="3BD70DB6" w:rsidR="00B7186C" w:rsidRDefault="00B7186C" w:rsidP="00B7186C">
            <w:r>
              <w:rPr>
                <w:lang w:val="en-US"/>
              </w:rPr>
              <w:t>N</w:t>
            </w:r>
            <w:r>
              <w:t>плацебо=147)</w:t>
            </w:r>
          </w:p>
        </w:tc>
        <w:tc>
          <w:tcPr>
            <w:tcW w:w="1719" w:type="dxa"/>
          </w:tcPr>
          <w:p w14:paraId="4435D4E9" w14:textId="77777777" w:rsidR="00B7186C" w:rsidRDefault="00B7186C" w:rsidP="00B7186C">
            <w:r>
              <w:t>≤11 години (</w:t>
            </w:r>
            <w:r>
              <w:rPr>
                <w:lang w:val="en-US"/>
              </w:rPr>
              <w:t>N</w:t>
            </w:r>
            <w:r>
              <w:t>спирива=95,</w:t>
            </w:r>
          </w:p>
          <w:p w14:paraId="172074DE" w14:textId="6035C7A8" w:rsidR="00B7186C" w:rsidRDefault="00B7186C" w:rsidP="00B7186C">
            <w:r>
              <w:rPr>
                <w:lang w:val="en-US"/>
              </w:rPr>
              <w:t>N</w:t>
            </w:r>
            <w:r>
              <w:t>плацебо=47)</w:t>
            </w:r>
          </w:p>
        </w:tc>
        <w:tc>
          <w:tcPr>
            <w:tcW w:w="1319" w:type="dxa"/>
          </w:tcPr>
          <w:p w14:paraId="0A397025" w14:textId="77777777" w:rsidR="00B7186C" w:rsidRDefault="00B7186C" w:rsidP="00B7186C">
            <w:r>
              <w:t>≥12 години (</w:t>
            </w:r>
            <w:r>
              <w:rPr>
                <w:lang w:val="en-US"/>
              </w:rPr>
              <w:t>N</w:t>
            </w:r>
            <w:r>
              <w:t xml:space="preserve">спирива 198, </w:t>
            </w:r>
            <w:r>
              <w:rPr>
                <w:lang w:val="en-US"/>
              </w:rPr>
              <w:t>N</w:t>
            </w:r>
            <w:r>
              <w:t>плацебо</w:t>
            </w:r>
          </w:p>
          <w:p w14:paraId="533027D0" w14:textId="588FF56F" w:rsidR="00B7186C" w:rsidRDefault="00B7186C" w:rsidP="00B7186C">
            <w:r>
              <w:t>100)</w:t>
            </w:r>
          </w:p>
        </w:tc>
      </w:tr>
      <w:tr w:rsidR="00B7186C" w14:paraId="5663F75C" w14:textId="77777777" w:rsidTr="00B7186C">
        <w:tc>
          <w:tcPr>
            <w:tcW w:w="1817" w:type="dxa"/>
            <w:vMerge/>
          </w:tcPr>
          <w:p w14:paraId="7A26C8F0" w14:textId="77777777" w:rsidR="00B7186C" w:rsidRDefault="00B7186C" w:rsidP="00B7186C"/>
        </w:tc>
        <w:tc>
          <w:tcPr>
            <w:tcW w:w="1304" w:type="dxa"/>
          </w:tcPr>
          <w:p w14:paraId="3CF7A7EF" w14:textId="4AA38A68" w:rsidR="00B7186C" w:rsidRDefault="00B7186C" w:rsidP="00B7186C">
            <w:r>
              <w:t xml:space="preserve">средно (95% </w:t>
            </w:r>
            <w:r>
              <w:rPr>
                <w:lang w:val="en-US"/>
              </w:rPr>
              <w:t>CI)</w:t>
            </w:r>
          </w:p>
        </w:tc>
        <w:tc>
          <w:tcPr>
            <w:tcW w:w="1080" w:type="dxa"/>
          </w:tcPr>
          <w:p w14:paraId="7F01924B" w14:textId="77777777" w:rsidR="00B7186C" w:rsidRDefault="00B7186C" w:rsidP="00B7186C">
            <w:r>
              <w:rPr>
                <w:lang w:val="en-US"/>
              </w:rPr>
              <w:t>P-</w:t>
            </w:r>
            <w:r>
              <w:t>стойн</w:t>
            </w:r>
          </w:p>
          <w:p w14:paraId="03F24256" w14:textId="7A563144" w:rsidR="00B7186C" w:rsidRDefault="00B7186C" w:rsidP="00B7186C">
            <w:r>
              <w:t>ост</w:t>
            </w:r>
          </w:p>
        </w:tc>
        <w:tc>
          <w:tcPr>
            <w:tcW w:w="1308" w:type="dxa"/>
          </w:tcPr>
          <w:p w14:paraId="7FE78DCB" w14:textId="57ACFECE" w:rsidR="00B7186C" w:rsidRDefault="00B7186C" w:rsidP="00B7186C">
            <w:r>
              <w:t xml:space="preserve">средно (95% </w:t>
            </w:r>
            <w:r>
              <w:rPr>
                <w:lang w:val="en-US"/>
              </w:rPr>
              <w:t>CI)</w:t>
            </w:r>
          </w:p>
        </w:tc>
        <w:tc>
          <w:tcPr>
            <w:tcW w:w="1029" w:type="dxa"/>
          </w:tcPr>
          <w:p w14:paraId="22B7FD7A" w14:textId="77777777" w:rsidR="00B7186C" w:rsidRDefault="00B7186C" w:rsidP="00B7186C">
            <w:r>
              <w:rPr>
                <w:lang w:val="en-US"/>
              </w:rPr>
              <w:t>P-</w:t>
            </w:r>
            <w:r>
              <w:t>стойн</w:t>
            </w:r>
          </w:p>
          <w:p w14:paraId="7137998E" w14:textId="7DDAA4F9" w:rsidR="00B7186C" w:rsidRDefault="00B7186C" w:rsidP="00B7186C">
            <w:r>
              <w:t>Ост</w:t>
            </w:r>
          </w:p>
        </w:tc>
        <w:tc>
          <w:tcPr>
            <w:tcW w:w="1719" w:type="dxa"/>
          </w:tcPr>
          <w:p w14:paraId="7D0AE3AE" w14:textId="6EFD9D74" w:rsidR="00B7186C" w:rsidRDefault="00B7186C" w:rsidP="00B7186C">
            <w:r>
              <w:t xml:space="preserve">средно (95% </w:t>
            </w:r>
            <w:r>
              <w:rPr>
                <w:lang w:val="en-US"/>
              </w:rPr>
              <w:t>CI)</w:t>
            </w:r>
          </w:p>
        </w:tc>
        <w:tc>
          <w:tcPr>
            <w:tcW w:w="1319" w:type="dxa"/>
          </w:tcPr>
          <w:p w14:paraId="128E59BD" w14:textId="77777777" w:rsidR="00B7186C" w:rsidRDefault="00B7186C" w:rsidP="00B7186C">
            <w:r>
              <w:t>средно</w:t>
            </w:r>
          </w:p>
          <w:p w14:paraId="25CD773C" w14:textId="7A155F07" w:rsidR="00B7186C" w:rsidRDefault="00B7186C" w:rsidP="00B7186C">
            <w:r>
              <w:t xml:space="preserve">(95% </w:t>
            </w:r>
            <w:r>
              <w:rPr>
                <w:lang w:val="en-US"/>
              </w:rPr>
              <w:t>CI)</w:t>
            </w:r>
          </w:p>
        </w:tc>
      </w:tr>
      <w:tr w:rsidR="00B7186C" w14:paraId="22D7FA41" w14:textId="77777777" w:rsidTr="00B7186C">
        <w:tc>
          <w:tcPr>
            <w:tcW w:w="1817" w:type="dxa"/>
          </w:tcPr>
          <w:p w14:paraId="541577F6" w14:textId="5D9CD390" w:rsidR="00B7186C" w:rsidRDefault="00B7186C" w:rsidP="00B7186C">
            <w:r>
              <w:t>ФЕО</w:t>
            </w:r>
            <w:r>
              <w:rPr>
                <w:vertAlign w:val="subscript"/>
              </w:rPr>
              <w:t>1</w:t>
            </w:r>
            <w:r w:rsidRPr="00B7186C">
              <w:rPr>
                <w:lang w:val="ru-RU"/>
              </w:rPr>
              <w:t xml:space="preserve"> </w:t>
            </w:r>
            <w:r>
              <w:rPr>
                <w:lang w:val="en-US"/>
              </w:rPr>
              <w:t>AUC</w:t>
            </w:r>
            <w:r w:rsidRPr="00B7186C">
              <w:rPr>
                <w:vertAlign w:val="subscript"/>
                <w:lang w:val="ru-RU"/>
              </w:rPr>
              <w:t>0-4</w:t>
            </w:r>
            <w:r>
              <w:rPr>
                <w:vertAlign w:val="subscript"/>
                <w:lang w:val="en-US"/>
              </w:rPr>
              <w:t>h</w:t>
            </w:r>
            <w:r w:rsidRPr="00B7186C">
              <w:rPr>
                <w:lang w:val="ru-RU"/>
              </w:rPr>
              <w:t>(%</w:t>
            </w:r>
            <w:r>
              <w:t xml:space="preserve"> от предвиденото)</w:t>
            </w:r>
            <w:r>
              <w:rPr>
                <w:vertAlign w:val="superscript"/>
              </w:rPr>
              <w:t xml:space="preserve">а </w:t>
            </w:r>
            <w:r>
              <w:rPr>
                <w:i/>
                <w:iCs/>
              </w:rPr>
              <w:t>абсолютна промяна</w:t>
            </w:r>
          </w:p>
        </w:tc>
        <w:tc>
          <w:tcPr>
            <w:tcW w:w="1304" w:type="dxa"/>
          </w:tcPr>
          <w:p w14:paraId="646D3392" w14:textId="77777777" w:rsidR="00B7186C" w:rsidRDefault="00B7186C" w:rsidP="00B7186C">
            <w:r>
              <w:t>339</w:t>
            </w:r>
          </w:p>
          <w:p w14:paraId="56A7F5A7" w14:textId="4C605655" w:rsidR="00B7186C" w:rsidRDefault="00B7186C" w:rsidP="00B7186C">
            <w:r>
              <w:t>(1.67,5.12)</w:t>
            </w:r>
          </w:p>
        </w:tc>
        <w:tc>
          <w:tcPr>
            <w:tcW w:w="1080" w:type="dxa"/>
          </w:tcPr>
          <w:p w14:paraId="0487E6FB" w14:textId="26DCE31B" w:rsidR="00B7186C" w:rsidRDefault="00B7186C" w:rsidP="00B7186C">
            <w:r>
              <w:t>&lt;0.001</w:t>
            </w:r>
          </w:p>
        </w:tc>
        <w:tc>
          <w:tcPr>
            <w:tcW w:w="1308" w:type="dxa"/>
          </w:tcPr>
          <w:p w14:paraId="03014FB0" w14:textId="77777777" w:rsidR="00B7186C" w:rsidRPr="00B7186C" w:rsidRDefault="00B7186C" w:rsidP="00B7186C">
            <w:r w:rsidRPr="00B7186C">
              <w:rPr>
                <w:rFonts w:cs="Arial"/>
              </w:rPr>
              <w:t>1.64</w:t>
            </w:r>
          </w:p>
          <w:p w14:paraId="6CB4E075" w14:textId="645AD459" w:rsidR="00B7186C" w:rsidRPr="00B7186C" w:rsidRDefault="00B7186C" w:rsidP="00B7186C">
            <w:r w:rsidRPr="00B7186C">
              <w:t>(-0.27, 3.55)</w:t>
            </w:r>
          </w:p>
        </w:tc>
        <w:tc>
          <w:tcPr>
            <w:tcW w:w="1029" w:type="dxa"/>
          </w:tcPr>
          <w:p w14:paraId="7213C7F6" w14:textId="0B914A22" w:rsidR="00B7186C" w:rsidRPr="00B7186C" w:rsidRDefault="00B7186C" w:rsidP="00B7186C">
            <w:r w:rsidRPr="00B7186C">
              <w:t>0.092</w:t>
            </w:r>
          </w:p>
        </w:tc>
        <w:tc>
          <w:tcPr>
            <w:tcW w:w="1719" w:type="dxa"/>
          </w:tcPr>
          <w:p w14:paraId="5FD59EC4" w14:textId="77777777" w:rsidR="00B7186C" w:rsidRPr="00B7186C" w:rsidRDefault="00B7186C" w:rsidP="00B7186C">
            <w:r w:rsidRPr="00B7186C">
              <w:rPr>
                <w:rFonts w:cs="Arial"/>
              </w:rPr>
              <w:t>-0.63</w:t>
            </w:r>
          </w:p>
          <w:p w14:paraId="7BEB1216" w14:textId="2138A9AF" w:rsidR="00B7186C" w:rsidRPr="00B7186C" w:rsidRDefault="00B7186C" w:rsidP="00B7186C">
            <w:r w:rsidRPr="00B7186C">
              <w:t>(-4.58,3.32)</w:t>
            </w:r>
          </w:p>
        </w:tc>
        <w:tc>
          <w:tcPr>
            <w:tcW w:w="1319" w:type="dxa"/>
          </w:tcPr>
          <w:p w14:paraId="15D2684E" w14:textId="77777777" w:rsidR="00B7186C" w:rsidRDefault="00B7186C" w:rsidP="00B7186C">
            <w:r>
              <w:t>2.58</w:t>
            </w:r>
          </w:p>
          <w:p w14:paraId="0421E196" w14:textId="43F847FC" w:rsidR="00B7186C" w:rsidRDefault="00B7186C" w:rsidP="00B7186C">
            <w:r>
              <w:t>(0.50,</w:t>
            </w:r>
            <w:r>
              <w:rPr>
                <w:lang w:val="en-US"/>
              </w:rPr>
              <w:t xml:space="preserve"> 4.65)</w:t>
            </w:r>
          </w:p>
        </w:tc>
      </w:tr>
      <w:tr w:rsidR="00B7186C" w14:paraId="2855E927" w14:textId="77777777" w:rsidTr="00B7186C">
        <w:tc>
          <w:tcPr>
            <w:tcW w:w="1817" w:type="dxa"/>
          </w:tcPr>
          <w:p w14:paraId="29E342B3" w14:textId="77777777" w:rsidR="00B7186C" w:rsidRDefault="00B7186C" w:rsidP="00B7186C">
            <w:pPr>
              <w:rPr>
                <w:i/>
                <w:iCs/>
              </w:rPr>
            </w:pPr>
            <w:r>
              <w:t>ФЕО</w:t>
            </w:r>
            <w:r>
              <w:rPr>
                <w:vertAlign w:val="subscript"/>
              </w:rPr>
              <w:t>1</w:t>
            </w:r>
            <w:r w:rsidRPr="00B7186C">
              <w:rPr>
                <w:lang w:val="ru-RU"/>
              </w:rPr>
              <w:t xml:space="preserve"> </w:t>
            </w:r>
            <w:r>
              <w:rPr>
                <w:lang w:val="en-US"/>
              </w:rPr>
              <w:t>AUC</w:t>
            </w:r>
            <w:r w:rsidRPr="00B7186C">
              <w:rPr>
                <w:vertAlign w:val="subscript"/>
                <w:lang w:val="ru-RU"/>
              </w:rPr>
              <w:t>0-4</w:t>
            </w:r>
            <w:r>
              <w:rPr>
                <w:vertAlign w:val="subscript"/>
                <w:lang w:val="en-US"/>
              </w:rPr>
              <w:t>h</w:t>
            </w:r>
            <w:r>
              <w:t xml:space="preserve"> (литри) </w:t>
            </w:r>
            <w:r>
              <w:rPr>
                <w:i/>
                <w:iCs/>
              </w:rPr>
              <w:t>абсолютна</w:t>
            </w:r>
          </w:p>
          <w:p w14:paraId="52A86362" w14:textId="16120E67" w:rsidR="00B7186C" w:rsidRPr="00B7186C" w:rsidRDefault="00B7186C" w:rsidP="00B7186C">
            <w:pPr>
              <w:rPr>
                <w:i/>
                <w:sz w:val="24"/>
                <w:szCs w:val="24"/>
              </w:rPr>
            </w:pPr>
            <w:r w:rsidRPr="00B7186C">
              <w:rPr>
                <w:i/>
                <w:lang w:eastAsia="bg-BG"/>
              </w:rPr>
              <w:t>промяна</w:t>
            </w:r>
          </w:p>
        </w:tc>
        <w:tc>
          <w:tcPr>
            <w:tcW w:w="1304" w:type="dxa"/>
          </w:tcPr>
          <w:p w14:paraId="23A30A14" w14:textId="77777777" w:rsidR="00B7186C" w:rsidRDefault="00B7186C" w:rsidP="00B7186C">
            <w:r>
              <w:t>0.09</w:t>
            </w:r>
          </w:p>
          <w:p w14:paraId="20F9834A" w14:textId="40C662E7" w:rsidR="00B7186C" w:rsidRDefault="00B7186C" w:rsidP="00B7186C">
            <w:r>
              <w:t>(0.05, 0.14)</w:t>
            </w:r>
          </w:p>
        </w:tc>
        <w:tc>
          <w:tcPr>
            <w:tcW w:w="1080" w:type="dxa"/>
          </w:tcPr>
          <w:p w14:paraId="1F2E7BD0" w14:textId="15CD1641" w:rsidR="00B7186C" w:rsidRDefault="00B7186C" w:rsidP="00B7186C">
            <w:r>
              <w:t>&lt;0.001</w:t>
            </w:r>
          </w:p>
        </w:tc>
        <w:tc>
          <w:tcPr>
            <w:tcW w:w="1308" w:type="dxa"/>
          </w:tcPr>
          <w:p w14:paraId="77DB8963" w14:textId="77777777" w:rsidR="00B7186C" w:rsidRPr="00B7186C" w:rsidRDefault="00B7186C" w:rsidP="00B7186C">
            <w:r w:rsidRPr="00B7186C">
              <w:rPr>
                <w:rFonts w:cs="Arial"/>
              </w:rPr>
              <w:t>0.07</w:t>
            </w:r>
          </w:p>
          <w:p w14:paraId="55508A71" w14:textId="3C3289A2" w:rsidR="00B7186C" w:rsidRPr="00B7186C" w:rsidRDefault="00B7186C" w:rsidP="00B7186C">
            <w:r w:rsidRPr="00B7186C">
              <w:t>(0.02,0.12)</w:t>
            </w:r>
          </w:p>
        </w:tc>
        <w:tc>
          <w:tcPr>
            <w:tcW w:w="1029" w:type="dxa"/>
          </w:tcPr>
          <w:p w14:paraId="0DDBED84" w14:textId="79D6F0A0" w:rsidR="00B7186C" w:rsidRPr="00B7186C" w:rsidRDefault="00B7186C" w:rsidP="00B7186C">
            <w:r w:rsidRPr="00B7186C">
              <w:t>0.010</w:t>
            </w:r>
          </w:p>
        </w:tc>
        <w:tc>
          <w:tcPr>
            <w:tcW w:w="1719" w:type="dxa"/>
          </w:tcPr>
          <w:p w14:paraId="45DA3617" w14:textId="77777777" w:rsidR="00B7186C" w:rsidRPr="00B7186C" w:rsidRDefault="00B7186C" w:rsidP="00B7186C">
            <w:r w:rsidRPr="00B7186C">
              <w:rPr>
                <w:rFonts w:cs="Arial"/>
              </w:rPr>
              <w:t>0.01</w:t>
            </w:r>
          </w:p>
          <w:p w14:paraId="493399F9" w14:textId="5F59F5E2" w:rsidR="00B7186C" w:rsidRPr="00B7186C" w:rsidRDefault="00B7186C" w:rsidP="00B7186C">
            <w:r w:rsidRPr="00B7186C">
              <w:t>(-0.07,0.08)</w:t>
            </w:r>
          </w:p>
        </w:tc>
        <w:tc>
          <w:tcPr>
            <w:tcW w:w="1319" w:type="dxa"/>
          </w:tcPr>
          <w:p w14:paraId="193ABDAA" w14:textId="77777777" w:rsidR="00B7186C" w:rsidRDefault="00B7186C" w:rsidP="00B7186C">
            <w:r>
              <w:t>0.10</w:t>
            </w:r>
          </w:p>
          <w:p w14:paraId="7D8ADF12" w14:textId="77777777" w:rsidR="00B7186C" w:rsidRDefault="00B7186C" w:rsidP="00B7186C"/>
          <w:p w14:paraId="5BA6C810" w14:textId="539CBE35" w:rsidR="00B7186C" w:rsidRDefault="00B7186C" w:rsidP="00B7186C">
            <w:r>
              <w:t>(0.03,</w:t>
            </w:r>
            <w:r>
              <w:rPr>
                <w:lang w:val="en-US"/>
              </w:rPr>
              <w:t xml:space="preserve"> 0.17)</w:t>
            </w:r>
          </w:p>
        </w:tc>
      </w:tr>
      <w:tr w:rsidR="00B7186C" w14:paraId="63B996B0" w14:textId="77777777" w:rsidTr="00B7186C">
        <w:tc>
          <w:tcPr>
            <w:tcW w:w="1817" w:type="dxa"/>
          </w:tcPr>
          <w:p w14:paraId="02DE40C2" w14:textId="480A510F" w:rsidR="00B7186C" w:rsidRDefault="00B7186C" w:rsidP="00B7186C">
            <w:r>
              <w:t>Най-ниска стойност ФЕО</w:t>
            </w:r>
            <w:r>
              <w:rPr>
                <w:vertAlign w:val="subscript"/>
              </w:rPr>
              <w:t>1</w:t>
            </w:r>
            <w:r>
              <w:t xml:space="preserve"> (% от предвиденото) </w:t>
            </w:r>
            <w:r>
              <w:rPr>
                <w:vertAlign w:val="superscript"/>
              </w:rPr>
              <w:t xml:space="preserve">а </w:t>
            </w:r>
            <w:r>
              <w:rPr>
                <w:i/>
                <w:iCs/>
              </w:rPr>
              <w:t>абсолютна промяна</w:t>
            </w:r>
          </w:p>
        </w:tc>
        <w:tc>
          <w:tcPr>
            <w:tcW w:w="1304" w:type="dxa"/>
          </w:tcPr>
          <w:p w14:paraId="4ED478CD" w14:textId="77777777" w:rsidR="00B7186C" w:rsidRDefault="00B7186C" w:rsidP="00B7186C">
            <w:r>
              <w:rPr>
                <w:i/>
                <w:iCs/>
              </w:rPr>
              <w:t>2.22</w:t>
            </w:r>
          </w:p>
          <w:p w14:paraId="2366FFCF" w14:textId="482B2DD5" w:rsidR="00B7186C" w:rsidRDefault="00B7186C" w:rsidP="00B7186C">
            <w:r>
              <w:t>(0.38,4.06)</w:t>
            </w:r>
          </w:p>
        </w:tc>
        <w:tc>
          <w:tcPr>
            <w:tcW w:w="1080" w:type="dxa"/>
          </w:tcPr>
          <w:p w14:paraId="41707DEB" w14:textId="3B8A2AA8" w:rsidR="00B7186C" w:rsidRDefault="00B7186C" w:rsidP="00B7186C">
            <w:r>
              <w:t>0.018</w:t>
            </w:r>
          </w:p>
        </w:tc>
        <w:tc>
          <w:tcPr>
            <w:tcW w:w="1308" w:type="dxa"/>
          </w:tcPr>
          <w:p w14:paraId="3E93468C" w14:textId="77777777" w:rsidR="00B7186C" w:rsidRDefault="00B7186C" w:rsidP="00B7186C">
            <w:r>
              <w:t>1.40</w:t>
            </w:r>
          </w:p>
          <w:p w14:paraId="139B896C" w14:textId="330648B2" w:rsidR="00B7186C" w:rsidRDefault="00B7186C" w:rsidP="00B7186C">
            <w:r>
              <w:t>-0.50,3.30</w:t>
            </w:r>
          </w:p>
        </w:tc>
        <w:tc>
          <w:tcPr>
            <w:tcW w:w="1029" w:type="dxa"/>
          </w:tcPr>
          <w:p w14:paraId="50F3C109" w14:textId="131F945B" w:rsidR="00B7186C" w:rsidRDefault="00B7186C" w:rsidP="00B7186C">
            <w:r>
              <w:t>0.150</w:t>
            </w:r>
          </w:p>
        </w:tc>
        <w:tc>
          <w:tcPr>
            <w:tcW w:w="1719" w:type="dxa"/>
          </w:tcPr>
          <w:p w14:paraId="3D8B29AC" w14:textId="77777777" w:rsidR="00B7186C" w:rsidRDefault="00B7186C" w:rsidP="00B7186C">
            <w:r>
              <w:rPr>
                <w:lang w:val="en-US"/>
              </w:rPr>
              <w:t>-1.24</w:t>
            </w:r>
          </w:p>
          <w:p w14:paraId="32415714" w14:textId="1ECA7152" w:rsidR="00B7186C" w:rsidRDefault="00B7186C" w:rsidP="00B7186C">
            <w:r>
              <w:t>(-5.20,-271)</w:t>
            </w:r>
          </w:p>
        </w:tc>
        <w:tc>
          <w:tcPr>
            <w:tcW w:w="1319" w:type="dxa"/>
          </w:tcPr>
          <w:p w14:paraId="576A155A" w14:textId="77777777" w:rsidR="00B7186C" w:rsidRDefault="00B7186C" w:rsidP="00B7186C">
            <w:r>
              <w:t>2.56</w:t>
            </w:r>
          </w:p>
          <w:p w14:paraId="0FB667D2" w14:textId="1BC2113D" w:rsidR="00B7186C" w:rsidRDefault="00B7186C" w:rsidP="00B7186C">
            <w:r>
              <w:t>(0.49,4.62)</w:t>
            </w:r>
          </w:p>
        </w:tc>
      </w:tr>
      <w:tr w:rsidR="00B7186C" w14:paraId="4ABF0FE4" w14:textId="77777777" w:rsidTr="00B7186C">
        <w:tc>
          <w:tcPr>
            <w:tcW w:w="1817" w:type="dxa"/>
          </w:tcPr>
          <w:p w14:paraId="61D6CF01" w14:textId="7F1C0814" w:rsidR="00B7186C" w:rsidRDefault="00B7186C" w:rsidP="00B7186C">
            <w:r>
              <w:t>Най-ниска стойност ФЕО</w:t>
            </w:r>
            <w:r>
              <w:rPr>
                <w:vertAlign w:val="subscript"/>
              </w:rPr>
              <w:t>1</w:t>
            </w:r>
            <w:r>
              <w:t xml:space="preserve"> (литри </w:t>
            </w:r>
            <w:r>
              <w:rPr>
                <w:i/>
                <w:iCs/>
              </w:rPr>
              <w:t>абсолютна промяна</w:t>
            </w:r>
          </w:p>
        </w:tc>
        <w:tc>
          <w:tcPr>
            <w:tcW w:w="1304" w:type="dxa"/>
          </w:tcPr>
          <w:p w14:paraId="716EECEF" w14:textId="77777777" w:rsidR="00B7186C" w:rsidRDefault="00B7186C" w:rsidP="00B7186C">
            <w:r>
              <w:t>0.06</w:t>
            </w:r>
          </w:p>
          <w:p w14:paraId="08D036E1" w14:textId="47848ED3" w:rsidR="00B7186C" w:rsidRDefault="00B7186C" w:rsidP="00B7186C">
            <w:r>
              <w:t>(0.01,0.11)</w:t>
            </w:r>
          </w:p>
        </w:tc>
        <w:tc>
          <w:tcPr>
            <w:tcW w:w="1080" w:type="dxa"/>
          </w:tcPr>
          <w:p w14:paraId="36D5FD3A" w14:textId="43681430" w:rsidR="00B7186C" w:rsidRDefault="00B7186C" w:rsidP="00B7186C">
            <w:r>
              <w:t>0.028</w:t>
            </w:r>
          </w:p>
        </w:tc>
        <w:tc>
          <w:tcPr>
            <w:tcW w:w="1308" w:type="dxa"/>
          </w:tcPr>
          <w:p w14:paraId="0ADB3F9F" w14:textId="77777777" w:rsidR="00B7186C" w:rsidRDefault="00B7186C" w:rsidP="00B7186C">
            <w:r>
              <w:t>0.07</w:t>
            </w:r>
          </w:p>
          <w:p w14:paraId="4A606958" w14:textId="1824637F" w:rsidR="00B7186C" w:rsidRDefault="00B7186C" w:rsidP="00B7186C">
            <w:r>
              <w:t>(0.02,0.12)</w:t>
            </w:r>
          </w:p>
        </w:tc>
        <w:tc>
          <w:tcPr>
            <w:tcW w:w="1029" w:type="dxa"/>
          </w:tcPr>
          <w:p w14:paraId="6FB6358C" w14:textId="4709C379" w:rsidR="00B7186C" w:rsidRDefault="00B7186C" w:rsidP="00B7186C">
            <w:r>
              <w:t>0.012</w:t>
            </w:r>
          </w:p>
        </w:tc>
        <w:tc>
          <w:tcPr>
            <w:tcW w:w="1719" w:type="dxa"/>
          </w:tcPr>
          <w:p w14:paraId="5C9CC59B" w14:textId="77777777" w:rsidR="00B7186C" w:rsidRDefault="00B7186C" w:rsidP="00B7186C">
            <w:r>
              <w:t>-0.01</w:t>
            </w:r>
          </w:p>
          <w:p w14:paraId="3C31413B" w14:textId="0555C48C" w:rsidR="00B7186C" w:rsidRDefault="00B7186C" w:rsidP="00B7186C">
            <w:r>
              <w:t>(-0.08, 0.06)</w:t>
            </w:r>
          </w:p>
        </w:tc>
        <w:tc>
          <w:tcPr>
            <w:tcW w:w="1319" w:type="dxa"/>
          </w:tcPr>
          <w:p w14:paraId="4661DE4A" w14:textId="77777777" w:rsidR="00B7186C" w:rsidRDefault="00B7186C" w:rsidP="00B7186C">
            <w:r>
              <w:t>0.10</w:t>
            </w:r>
          </w:p>
          <w:p w14:paraId="48A05A90" w14:textId="339995E6" w:rsidR="00B7186C" w:rsidRDefault="00B7186C" w:rsidP="00B7186C">
            <w:r>
              <w:t>(0.03,0.17)</w:t>
            </w:r>
          </w:p>
        </w:tc>
      </w:tr>
    </w:tbl>
    <w:p w14:paraId="2CAB4C8D" w14:textId="6A5E23D3" w:rsidR="00B7186C" w:rsidRPr="00B7186C" w:rsidRDefault="00B7186C" w:rsidP="00B7186C">
      <w:pPr>
        <w:spacing w:line="240" w:lineRule="auto"/>
        <w:rPr>
          <w:rFonts w:eastAsia="Times New Roman" w:cs="Arial"/>
        </w:rPr>
      </w:pPr>
      <w:r w:rsidRPr="00B7186C">
        <w:rPr>
          <w:rFonts w:eastAsia="Times New Roman" w:cs="Arial"/>
          <w:bCs/>
          <w:color w:val="000000"/>
          <w:vertAlign w:val="superscript"/>
          <w:lang w:eastAsia="bg-BG"/>
        </w:rPr>
        <w:t>а</w:t>
      </w:r>
      <w:r w:rsidRPr="00B7186C">
        <w:rPr>
          <w:rFonts w:eastAsia="Times New Roman" w:cs="Arial"/>
          <w:bCs/>
          <w:color w:val="000000"/>
          <w:lang w:eastAsia="bg-BG"/>
        </w:rPr>
        <w:t>Ко-първична крайна цел</w:t>
      </w:r>
    </w:p>
    <w:p w14:paraId="0CE9BDAD" w14:textId="77777777" w:rsidR="00B7186C" w:rsidRPr="00B7186C" w:rsidRDefault="00B7186C" w:rsidP="00B7186C">
      <w:pPr>
        <w:spacing w:line="240" w:lineRule="auto"/>
        <w:rPr>
          <w:rFonts w:eastAsia="Times New Roman" w:cs="Arial"/>
          <w:bCs/>
          <w:color w:val="000000"/>
          <w:lang w:eastAsia="bg-BG"/>
        </w:rPr>
      </w:pPr>
    </w:p>
    <w:p w14:paraId="42A47E8F" w14:textId="53089FDD"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Всички нежелани лекарствени реакции (НЛР) наблюдавани при проучванията за кистозна фиброза са известни нежелани ефекти на тиотропиум (вж. 4.8). Най-често наблюдаваните нежелани събития, които се разглеждат като свързани през 12-седмичния двойно-сляп период са кашлица (4.1 %) и сухота в устата (2.8%).</w:t>
      </w:r>
    </w:p>
    <w:p w14:paraId="6C71564C" w14:textId="77777777" w:rsidR="00B7186C" w:rsidRPr="00B7186C" w:rsidRDefault="00B7186C" w:rsidP="00B7186C">
      <w:pPr>
        <w:spacing w:line="240" w:lineRule="auto"/>
        <w:rPr>
          <w:rFonts w:eastAsia="Times New Roman" w:cs="Arial"/>
          <w:bCs/>
          <w:color w:val="000000"/>
          <w:lang w:eastAsia="bg-BG"/>
        </w:rPr>
      </w:pPr>
    </w:p>
    <w:p w14:paraId="3B981CC6" w14:textId="30EC186A"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Броят и процентът пациенти, които съобщават за нежелани събития (НС) от специален интерес при кистозната фиброза, независимо от взаимовръзката, са показани в Таблица 5. Признаци и симптоми, които се разглеждат като прояви на кистозна фиброза се увеличават числено с тиотропиум, въпреки, че не е статистически значимо, особено при пациенти ≤11 годишна възраст.</w:t>
      </w:r>
    </w:p>
    <w:p w14:paraId="3407F91A" w14:textId="77777777" w:rsidR="00B7186C" w:rsidRPr="00B7186C" w:rsidRDefault="00B7186C" w:rsidP="00B7186C">
      <w:pPr>
        <w:spacing w:line="240" w:lineRule="auto"/>
        <w:rPr>
          <w:rFonts w:eastAsia="Times New Roman" w:cs="Arial"/>
          <w:bCs/>
          <w:color w:val="000000"/>
          <w:lang w:eastAsia="bg-BG"/>
        </w:rPr>
      </w:pPr>
    </w:p>
    <w:p w14:paraId="5594B630" w14:textId="451E3C9C"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 xml:space="preserve">Таблица5: процент пациенти с НС от специален интерес при кистозна фиброза, по възрастови групи, при продължителност на лечение над 12 седмици, независимо от взаимовръзката (обобщени Фаза II и Фаза </w:t>
      </w:r>
      <w:r w:rsidRPr="00B7186C">
        <w:rPr>
          <w:rFonts w:eastAsia="Times New Roman" w:cs="Arial"/>
          <w:bCs/>
          <w:color w:val="000000"/>
          <w:lang w:val="en-US"/>
        </w:rPr>
        <w:t>III</w:t>
      </w:r>
      <w:r w:rsidRPr="00B7186C">
        <w:rPr>
          <w:rFonts w:eastAsia="Times New Roman" w:cs="Arial"/>
          <w:bCs/>
          <w:color w:val="000000"/>
          <w:lang w:val="ru-RU"/>
        </w:rPr>
        <w:t>)</w:t>
      </w:r>
    </w:p>
    <w:tbl>
      <w:tblPr>
        <w:tblStyle w:val="TableGrid"/>
        <w:tblW w:w="0" w:type="auto"/>
        <w:tblLook w:val="04A0" w:firstRow="1" w:lastRow="0" w:firstColumn="1" w:lastColumn="0" w:noHBand="0" w:noVBand="1"/>
      </w:tblPr>
      <w:tblGrid>
        <w:gridCol w:w="1866"/>
        <w:gridCol w:w="1877"/>
        <w:gridCol w:w="1857"/>
        <w:gridCol w:w="1892"/>
        <w:gridCol w:w="1858"/>
      </w:tblGrid>
      <w:tr w:rsidR="00B7186C" w14:paraId="438D6CD5" w14:textId="77777777" w:rsidTr="00DA63E5">
        <w:tc>
          <w:tcPr>
            <w:tcW w:w="1915" w:type="dxa"/>
          </w:tcPr>
          <w:p w14:paraId="3A139191" w14:textId="77777777" w:rsidR="00B7186C" w:rsidRDefault="00B7186C" w:rsidP="00B7186C"/>
        </w:tc>
        <w:tc>
          <w:tcPr>
            <w:tcW w:w="3830" w:type="dxa"/>
            <w:gridSpan w:val="2"/>
          </w:tcPr>
          <w:p w14:paraId="50FB8EAE" w14:textId="04F1E097" w:rsidR="00B7186C" w:rsidRPr="00B7186C" w:rsidRDefault="00B7186C" w:rsidP="00B7186C">
            <w:pPr>
              <w:rPr>
                <w:b/>
              </w:rPr>
            </w:pPr>
            <w:r w:rsidRPr="00B7186C">
              <w:rPr>
                <w:b/>
              </w:rPr>
              <w:t>≤11 години</w:t>
            </w:r>
          </w:p>
        </w:tc>
        <w:tc>
          <w:tcPr>
            <w:tcW w:w="3831" w:type="dxa"/>
            <w:gridSpan w:val="2"/>
          </w:tcPr>
          <w:p w14:paraId="7E8B5D76" w14:textId="4E41BB00" w:rsidR="00B7186C" w:rsidRPr="00B7186C" w:rsidRDefault="00B7186C" w:rsidP="00B7186C">
            <w:pPr>
              <w:rPr>
                <w:b/>
              </w:rPr>
            </w:pPr>
            <w:r w:rsidRPr="00B7186C">
              <w:rPr>
                <w:b/>
              </w:rPr>
              <w:t>≥12 години</w:t>
            </w:r>
          </w:p>
        </w:tc>
      </w:tr>
      <w:tr w:rsidR="00B7186C" w14:paraId="19CFCD7C" w14:textId="77777777" w:rsidTr="00B7186C">
        <w:tc>
          <w:tcPr>
            <w:tcW w:w="1915" w:type="dxa"/>
          </w:tcPr>
          <w:p w14:paraId="2394EFB0" w14:textId="77777777" w:rsidR="00B7186C" w:rsidRDefault="00B7186C" w:rsidP="00B7186C"/>
        </w:tc>
        <w:tc>
          <w:tcPr>
            <w:tcW w:w="1915" w:type="dxa"/>
          </w:tcPr>
          <w:p w14:paraId="23BBF148" w14:textId="5E01970A" w:rsidR="00B7186C" w:rsidRPr="00B7186C" w:rsidRDefault="00B7186C" w:rsidP="00B7186C">
            <w:r>
              <w:t>N</w:t>
            </w:r>
            <w:r>
              <w:rPr>
                <w:lang w:eastAsia="bg-BG"/>
              </w:rPr>
              <w:t>плацебо=96</w:t>
            </w:r>
          </w:p>
        </w:tc>
        <w:tc>
          <w:tcPr>
            <w:tcW w:w="1915" w:type="dxa"/>
          </w:tcPr>
          <w:p w14:paraId="7C240F6D" w14:textId="7E0C35E4" w:rsidR="00B7186C" w:rsidRPr="00B7186C" w:rsidRDefault="00B7186C" w:rsidP="00B7186C">
            <w:r>
              <w:t>Nspriva=158</w:t>
            </w:r>
          </w:p>
        </w:tc>
        <w:tc>
          <w:tcPr>
            <w:tcW w:w="1915" w:type="dxa"/>
          </w:tcPr>
          <w:p w14:paraId="0E70B240" w14:textId="357C752C" w:rsidR="00B7186C" w:rsidRPr="00B7186C" w:rsidRDefault="00B7186C" w:rsidP="00B7186C">
            <w:r>
              <w:t>N</w:t>
            </w:r>
            <w:r>
              <w:rPr>
                <w:lang w:eastAsia="bg-BG"/>
              </w:rPr>
              <w:t>плацебо=215</w:t>
            </w:r>
          </w:p>
        </w:tc>
        <w:tc>
          <w:tcPr>
            <w:tcW w:w="1916" w:type="dxa"/>
          </w:tcPr>
          <w:p w14:paraId="1472F939" w14:textId="02A7F0E1" w:rsidR="00B7186C" w:rsidRPr="00B7186C" w:rsidRDefault="00B7186C" w:rsidP="00B7186C">
            <w:r>
              <w:t>Nspriva=307</w:t>
            </w:r>
          </w:p>
        </w:tc>
      </w:tr>
      <w:tr w:rsidR="00B7186C" w14:paraId="3F902E0D" w14:textId="77777777" w:rsidTr="00B7186C">
        <w:tc>
          <w:tcPr>
            <w:tcW w:w="1915" w:type="dxa"/>
          </w:tcPr>
          <w:p w14:paraId="540AD65A" w14:textId="45C8A46C" w:rsidR="00B7186C" w:rsidRDefault="00B7186C" w:rsidP="00B7186C">
            <w:r>
              <w:lastRenderedPageBreak/>
              <w:t>Стомашна болка</w:t>
            </w:r>
          </w:p>
        </w:tc>
        <w:tc>
          <w:tcPr>
            <w:tcW w:w="1915" w:type="dxa"/>
          </w:tcPr>
          <w:p w14:paraId="3ECE1F66" w14:textId="3D58907C" w:rsidR="00B7186C" w:rsidRDefault="00B7186C" w:rsidP="00B7186C">
            <w:r>
              <w:t>7.3</w:t>
            </w:r>
          </w:p>
        </w:tc>
        <w:tc>
          <w:tcPr>
            <w:tcW w:w="1915" w:type="dxa"/>
          </w:tcPr>
          <w:p w14:paraId="04976AB1" w14:textId="09ABC94E" w:rsidR="00B7186C" w:rsidRDefault="00B7186C" w:rsidP="00B7186C">
            <w:r>
              <w:t>7.0</w:t>
            </w:r>
          </w:p>
        </w:tc>
        <w:tc>
          <w:tcPr>
            <w:tcW w:w="1915" w:type="dxa"/>
          </w:tcPr>
          <w:p w14:paraId="3FE4CB96" w14:textId="1E566A2A" w:rsidR="00B7186C" w:rsidRDefault="00B7186C" w:rsidP="00B7186C">
            <w:r>
              <w:t>5.1</w:t>
            </w:r>
          </w:p>
        </w:tc>
        <w:tc>
          <w:tcPr>
            <w:tcW w:w="1916" w:type="dxa"/>
          </w:tcPr>
          <w:p w14:paraId="476317AD" w14:textId="743382E7" w:rsidR="00B7186C" w:rsidRDefault="00B7186C" w:rsidP="00B7186C">
            <w:r>
              <w:t>6.2</w:t>
            </w:r>
          </w:p>
        </w:tc>
      </w:tr>
      <w:tr w:rsidR="00B7186C" w14:paraId="11152BEC" w14:textId="77777777" w:rsidTr="00B7186C">
        <w:tc>
          <w:tcPr>
            <w:tcW w:w="1915" w:type="dxa"/>
          </w:tcPr>
          <w:p w14:paraId="19437946" w14:textId="7731DA37" w:rsidR="00B7186C" w:rsidRDefault="00B7186C" w:rsidP="00B7186C">
            <w:r>
              <w:t>Констипация</w:t>
            </w:r>
          </w:p>
        </w:tc>
        <w:tc>
          <w:tcPr>
            <w:tcW w:w="1915" w:type="dxa"/>
          </w:tcPr>
          <w:p w14:paraId="4C903005" w14:textId="4E8D6B63" w:rsidR="00B7186C" w:rsidRDefault="00B7186C" w:rsidP="00B7186C">
            <w:r>
              <w:t>1.0</w:t>
            </w:r>
          </w:p>
        </w:tc>
        <w:tc>
          <w:tcPr>
            <w:tcW w:w="1915" w:type="dxa"/>
          </w:tcPr>
          <w:p w14:paraId="528F157E" w14:textId="225D951A" w:rsidR="00B7186C" w:rsidRDefault="00B7186C" w:rsidP="00B7186C">
            <w:r>
              <w:t>1.9</w:t>
            </w:r>
          </w:p>
        </w:tc>
        <w:tc>
          <w:tcPr>
            <w:tcW w:w="1915" w:type="dxa"/>
          </w:tcPr>
          <w:p w14:paraId="56386F45" w14:textId="7B2DBBA4" w:rsidR="00B7186C" w:rsidRDefault="00B7186C" w:rsidP="00B7186C">
            <w:r>
              <w:t>2.3</w:t>
            </w:r>
          </w:p>
        </w:tc>
        <w:tc>
          <w:tcPr>
            <w:tcW w:w="1916" w:type="dxa"/>
          </w:tcPr>
          <w:p w14:paraId="4E118481" w14:textId="2484816F" w:rsidR="00B7186C" w:rsidRDefault="00B7186C" w:rsidP="00B7186C">
            <w:r>
              <w:t>2.6</w:t>
            </w:r>
          </w:p>
        </w:tc>
      </w:tr>
      <w:tr w:rsidR="00B7186C" w14:paraId="1D91FED3" w14:textId="77777777" w:rsidTr="00B7186C">
        <w:tc>
          <w:tcPr>
            <w:tcW w:w="1915" w:type="dxa"/>
          </w:tcPr>
          <w:p w14:paraId="7442B527" w14:textId="0A6646BC" w:rsidR="00B7186C" w:rsidRDefault="00B7186C" w:rsidP="00B7186C">
            <w:r>
              <w:t>Синдром на дистална чревна обструкция</w:t>
            </w:r>
          </w:p>
        </w:tc>
        <w:tc>
          <w:tcPr>
            <w:tcW w:w="1915" w:type="dxa"/>
          </w:tcPr>
          <w:p w14:paraId="3E2C90C1" w14:textId="10B451BF" w:rsidR="00B7186C" w:rsidRDefault="00B7186C" w:rsidP="00B7186C">
            <w:r>
              <w:t>0.0</w:t>
            </w:r>
          </w:p>
        </w:tc>
        <w:tc>
          <w:tcPr>
            <w:tcW w:w="1915" w:type="dxa"/>
          </w:tcPr>
          <w:p w14:paraId="4EBA120E" w14:textId="70B0CFBF" w:rsidR="00B7186C" w:rsidRDefault="00B7186C" w:rsidP="00B7186C">
            <w:r>
              <w:t>0.0</w:t>
            </w:r>
          </w:p>
        </w:tc>
        <w:tc>
          <w:tcPr>
            <w:tcW w:w="1915" w:type="dxa"/>
          </w:tcPr>
          <w:p w14:paraId="53538A09" w14:textId="4A1EB78A" w:rsidR="00B7186C" w:rsidRDefault="00B7186C" w:rsidP="00B7186C">
            <w:r>
              <w:t>1.4</w:t>
            </w:r>
          </w:p>
        </w:tc>
        <w:tc>
          <w:tcPr>
            <w:tcW w:w="1916" w:type="dxa"/>
          </w:tcPr>
          <w:p w14:paraId="46E36B23" w14:textId="17740B5E" w:rsidR="00B7186C" w:rsidRDefault="00B7186C" w:rsidP="00B7186C">
            <w:r>
              <w:t>1.3</w:t>
            </w:r>
          </w:p>
        </w:tc>
      </w:tr>
      <w:tr w:rsidR="00B7186C" w14:paraId="0FDA6419" w14:textId="77777777" w:rsidTr="00B7186C">
        <w:tc>
          <w:tcPr>
            <w:tcW w:w="1915" w:type="dxa"/>
          </w:tcPr>
          <w:p w14:paraId="04E9A7B8" w14:textId="59E4CDA5" w:rsidR="00B7186C" w:rsidRDefault="00B7186C" w:rsidP="00B7186C">
            <w:r>
              <w:t>Инфекции на дихателните пътища</w:t>
            </w:r>
          </w:p>
        </w:tc>
        <w:tc>
          <w:tcPr>
            <w:tcW w:w="1915" w:type="dxa"/>
          </w:tcPr>
          <w:p w14:paraId="12D3E0C3" w14:textId="39B20B22" w:rsidR="00B7186C" w:rsidRDefault="00B7186C" w:rsidP="00B7186C">
            <w:r>
              <w:t>34.4</w:t>
            </w:r>
          </w:p>
        </w:tc>
        <w:tc>
          <w:tcPr>
            <w:tcW w:w="1915" w:type="dxa"/>
          </w:tcPr>
          <w:p w14:paraId="6562650A" w14:textId="7E61E92B" w:rsidR="00B7186C" w:rsidRDefault="00B7186C" w:rsidP="00B7186C">
            <w:r>
              <w:t>36.7</w:t>
            </w:r>
          </w:p>
        </w:tc>
        <w:tc>
          <w:tcPr>
            <w:tcW w:w="1915" w:type="dxa"/>
          </w:tcPr>
          <w:p w14:paraId="0ACB266C" w14:textId="0D3B2450" w:rsidR="00B7186C" w:rsidRDefault="00B7186C" w:rsidP="00B7186C">
            <w:r>
              <w:t>28.4</w:t>
            </w:r>
          </w:p>
        </w:tc>
        <w:tc>
          <w:tcPr>
            <w:tcW w:w="1916" w:type="dxa"/>
          </w:tcPr>
          <w:p w14:paraId="2E8DC564" w14:textId="30ECD71F" w:rsidR="00B7186C" w:rsidRDefault="00B7186C" w:rsidP="00B7186C">
            <w:r>
              <w:t>28.3</w:t>
            </w:r>
          </w:p>
        </w:tc>
      </w:tr>
      <w:tr w:rsidR="00B7186C" w14:paraId="52FE451C" w14:textId="77777777" w:rsidTr="00B7186C">
        <w:tc>
          <w:tcPr>
            <w:tcW w:w="1915" w:type="dxa"/>
          </w:tcPr>
          <w:p w14:paraId="483ED398" w14:textId="090593BC" w:rsidR="00B7186C" w:rsidRDefault="00B7186C" w:rsidP="00B7186C">
            <w:r>
              <w:rPr>
                <w:u w:val="single"/>
              </w:rPr>
              <w:t>Повишено</w:t>
            </w:r>
            <w:r>
              <w:t xml:space="preserve"> количество слюнка</w:t>
            </w:r>
          </w:p>
        </w:tc>
        <w:tc>
          <w:tcPr>
            <w:tcW w:w="1915" w:type="dxa"/>
          </w:tcPr>
          <w:p w14:paraId="2D48571F" w14:textId="3601541C" w:rsidR="00B7186C" w:rsidRDefault="00B7186C" w:rsidP="00B7186C">
            <w:r>
              <w:t>1.0</w:t>
            </w:r>
          </w:p>
        </w:tc>
        <w:tc>
          <w:tcPr>
            <w:tcW w:w="1915" w:type="dxa"/>
          </w:tcPr>
          <w:p w14:paraId="4B42FF20" w14:textId="6C049494" w:rsidR="00B7186C" w:rsidRDefault="00B7186C" w:rsidP="00B7186C">
            <w:r>
              <w:t>5.1</w:t>
            </w:r>
          </w:p>
        </w:tc>
        <w:tc>
          <w:tcPr>
            <w:tcW w:w="1915" w:type="dxa"/>
          </w:tcPr>
          <w:p w14:paraId="644257AC" w14:textId="06C4ECE0" w:rsidR="00B7186C" w:rsidRDefault="00B7186C" w:rsidP="00B7186C">
            <w:r>
              <w:t>5.6</w:t>
            </w:r>
          </w:p>
        </w:tc>
        <w:tc>
          <w:tcPr>
            <w:tcW w:w="1916" w:type="dxa"/>
          </w:tcPr>
          <w:p w14:paraId="602A54A6" w14:textId="4BC011A2" w:rsidR="00B7186C" w:rsidRDefault="00B7186C" w:rsidP="00B7186C">
            <w:r>
              <w:t>6.2</w:t>
            </w:r>
          </w:p>
        </w:tc>
      </w:tr>
      <w:tr w:rsidR="00B7186C" w14:paraId="5B8098A1" w14:textId="77777777" w:rsidTr="00B7186C">
        <w:tc>
          <w:tcPr>
            <w:tcW w:w="1915" w:type="dxa"/>
          </w:tcPr>
          <w:p w14:paraId="7FAE3715" w14:textId="22715FE6" w:rsidR="00B7186C" w:rsidRDefault="00B7186C" w:rsidP="00B7186C">
            <w:r>
              <w:rPr>
                <w:u w:val="single"/>
              </w:rPr>
              <w:t>Обостряния</w:t>
            </w:r>
          </w:p>
        </w:tc>
        <w:tc>
          <w:tcPr>
            <w:tcW w:w="1915" w:type="dxa"/>
          </w:tcPr>
          <w:p w14:paraId="598420C1" w14:textId="7278D18B" w:rsidR="00B7186C" w:rsidRDefault="00B7186C" w:rsidP="00B7186C">
            <w:r>
              <w:t>10.4</w:t>
            </w:r>
          </w:p>
        </w:tc>
        <w:tc>
          <w:tcPr>
            <w:tcW w:w="1915" w:type="dxa"/>
          </w:tcPr>
          <w:p w14:paraId="3CE97D55" w14:textId="200BBD48" w:rsidR="00B7186C" w:rsidRDefault="00B7186C" w:rsidP="00B7186C">
            <w:r>
              <w:t>14.6</w:t>
            </w:r>
          </w:p>
        </w:tc>
        <w:tc>
          <w:tcPr>
            <w:tcW w:w="1915" w:type="dxa"/>
          </w:tcPr>
          <w:p w14:paraId="6479EAF6" w14:textId="7D692953" w:rsidR="00B7186C" w:rsidRDefault="00B7186C" w:rsidP="00B7186C">
            <w:r>
              <w:t>18.6</w:t>
            </w:r>
          </w:p>
        </w:tc>
        <w:tc>
          <w:tcPr>
            <w:tcW w:w="1916" w:type="dxa"/>
          </w:tcPr>
          <w:p w14:paraId="3437CB57" w14:textId="466361DE" w:rsidR="00B7186C" w:rsidRDefault="00B7186C" w:rsidP="00B7186C">
            <w:r>
              <w:t>17.9</w:t>
            </w:r>
          </w:p>
        </w:tc>
      </w:tr>
    </w:tbl>
    <w:p w14:paraId="407F5C45" w14:textId="77777777" w:rsidR="00B7186C" w:rsidRPr="00B7186C" w:rsidRDefault="00B7186C" w:rsidP="00B7186C">
      <w:pPr>
        <w:rPr>
          <w:sz w:val="24"/>
          <w:szCs w:val="24"/>
        </w:rPr>
      </w:pPr>
      <w:r w:rsidRPr="00B7186C">
        <w:rPr>
          <w:lang w:eastAsia="bg-BG"/>
        </w:rPr>
        <w:t xml:space="preserve">Синдром на дистална чревна обструкция и повишено количество слюнка са </w:t>
      </w:r>
      <w:proofErr w:type="spellStart"/>
      <w:r w:rsidRPr="00B7186C">
        <w:rPr>
          <w:lang w:val="en-US"/>
        </w:rPr>
        <w:t>MedDRA</w:t>
      </w:r>
      <w:proofErr w:type="spellEnd"/>
      <w:r w:rsidRPr="00B7186C">
        <w:rPr>
          <w:lang w:val="ru-RU"/>
        </w:rPr>
        <w:t xml:space="preserve"> </w:t>
      </w:r>
      <w:r w:rsidRPr="00B7186C">
        <w:rPr>
          <w:lang w:eastAsia="bg-BG"/>
        </w:rPr>
        <w:t xml:space="preserve">предпочитани термини. Инфекции на дихателните пътища е термин за групата нежелани реакции. Стомашна болка, констипация и обостряния са </w:t>
      </w:r>
      <w:proofErr w:type="spellStart"/>
      <w:r w:rsidRPr="00B7186C">
        <w:rPr>
          <w:lang w:val="en-US"/>
        </w:rPr>
        <w:t>MedDRA</w:t>
      </w:r>
      <w:proofErr w:type="spellEnd"/>
      <w:r w:rsidRPr="00B7186C">
        <w:rPr>
          <w:lang w:val="ru-RU"/>
        </w:rPr>
        <w:t xml:space="preserve"> </w:t>
      </w:r>
      <w:r w:rsidRPr="00B7186C">
        <w:rPr>
          <w:lang w:eastAsia="bg-BG"/>
        </w:rPr>
        <w:t>предпочитани термини.</w:t>
      </w:r>
    </w:p>
    <w:p w14:paraId="0F008A87" w14:textId="77777777" w:rsidR="00B7186C" w:rsidRDefault="00B7186C" w:rsidP="00B7186C">
      <w:pPr>
        <w:rPr>
          <w:lang w:eastAsia="bg-BG"/>
        </w:rPr>
      </w:pPr>
    </w:p>
    <w:p w14:paraId="335C59CF" w14:textId="2BD7C07F" w:rsidR="00B7186C" w:rsidRDefault="00B7186C" w:rsidP="00B7186C">
      <w:pPr>
        <w:rPr>
          <w:lang w:eastAsia="bg-BG"/>
        </w:rPr>
      </w:pPr>
      <w:r w:rsidRPr="00B7186C">
        <w:rPr>
          <w:lang w:eastAsia="bg-BG"/>
        </w:rPr>
        <w:t xml:space="preserve">Тридесет и четири (10,9%) от пациентите рандомизирани на плацебо и 56 (12,0%) от пациентите рандомизирани на Спирива Респимат са усетили </w:t>
      </w:r>
      <w:r>
        <w:rPr>
          <w:lang w:eastAsia="bg-BG"/>
        </w:rPr>
        <w:t>сериозни нежелани събития.</w:t>
      </w:r>
    </w:p>
    <w:p w14:paraId="6789C858" w14:textId="77777777" w:rsidR="00B7186C" w:rsidRPr="00B7186C" w:rsidRDefault="00B7186C" w:rsidP="00B7186C">
      <w:pPr>
        <w:rPr>
          <w:sz w:val="24"/>
          <w:szCs w:val="24"/>
        </w:rPr>
      </w:pPr>
    </w:p>
    <w:p w14:paraId="60D728C6" w14:textId="329CCF61" w:rsidR="00B7186C" w:rsidRPr="00B7186C" w:rsidRDefault="00B7186C" w:rsidP="00B7186C">
      <w:pPr>
        <w:rPr>
          <w:sz w:val="24"/>
          <w:szCs w:val="24"/>
        </w:rPr>
      </w:pPr>
      <w:r w:rsidRPr="00B7186C">
        <w:rPr>
          <w:lang w:eastAsia="bg-BG"/>
        </w:rPr>
        <w:t>Европейската агенция по лекарствата освобождава от задължението за предоставяне на резултатите</w:t>
      </w:r>
      <w:r>
        <w:rPr>
          <w:sz w:val="24"/>
          <w:szCs w:val="24"/>
        </w:rPr>
        <w:t xml:space="preserve"> </w:t>
      </w:r>
      <w:r w:rsidRPr="00B7186C">
        <w:rPr>
          <w:lang w:eastAsia="bg-BG"/>
        </w:rPr>
        <w:t>от проучванията със Спирива Респимат в педиатричната популация на възраст под 1 година</w:t>
      </w:r>
      <w:r>
        <w:rPr>
          <w:lang w:eastAsia="bg-BG"/>
        </w:rPr>
        <w:t>.</w:t>
      </w:r>
    </w:p>
    <w:p w14:paraId="73A1EC8E" w14:textId="46787663" w:rsidR="002D6021" w:rsidRPr="002D6021" w:rsidRDefault="002D6021" w:rsidP="002B7B4D"/>
    <w:p w14:paraId="26535098" w14:textId="44CC939B" w:rsidR="00395555" w:rsidRDefault="002C50EE" w:rsidP="008A6AF2">
      <w:pPr>
        <w:pStyle w:val="Heading2"/>
      </w:pPr>
      <w:r>
        <w:t>5.2. Фармакокинетични свойства</w:t>
      </w:r>
    </w:p>
    <w:p w14:paraId="77477334" w14:textId="0B1B8030" w:rsidR="00B7186C" w:rsidRDefault="00B7186C" w:rsidP="00B7186C"/>
    <w:p w14:paraId="7A27FCF3" w14:textId="7217F220" w:rsidR="00B7186C" w:rsidRPr="00B7186C" w:rsidRDefault="00B7186C" w:rsidP="00B7186C">
      <w:pPr>
        <w:spacing w:line="240" w:lineRule="auto"/>
        <w:rPr>
          <w:rFonts w:eastAsia="Times New Roman" w:cs="Arial"/>
          <w:bCs/>
          <w:color w:val="000000"/>
          <w:u w:val="single"/>
          <w:lang w:eastAsia="bg-BG"/>
        </w:rPr>
      </w:pPr>
      <w:r w:rsidRPr="00B7186C">
        <w:rPr>
          <w:rFonts w:eastAsia="Times New Roman" w:cs="Arial"/>
          <w:bCs/>
          <w:color w:val="000000"/>
          <w:u w:val="single"/>
          <w:lang w:eastAsia="bg-BG"/>
        </w:rPr>
        <w:t>А) Обща инфоомапия</w:t>
      </w:r>
    </w:p>
    <w:p w14:paraId="63E0D276" w14:textId="77777777" w:rsidR="00B7186C" w:rsidRPr="00B7186C" w:rsidRDefault="00B7186C" w:rsidP="00B7186C">
      <w:pPr>
        <w:spacing w:line="240" w:lineRule="auto"/>
        <w:rPr>
          <w:rFonts w:eastAsia="Times New Roman" w:cs="Arial"/>
          <w:bCs/>
          <w:color w:val="000000"/>
          <w:lang w:eastAsia="bg-BG"/>
        </w:rPr>
      </w:pPr>
    </w:p>
    <w:p w14:paraId="6B1FE29F" w14:textId="42F6EC08" w:rsidR="00B7186C" w:rsidRPr="00B7186C" w:rsidRDefault="00B7186C" w:rsidP="00B7186C">
      <w:pPr>
        <w:spacing w:line="240" w:lineRule="auto"/>
        <w:rPr>
          <w:rFonts w:eastAsia="Times New Roman" w:cs="Arial"/>
          <w:bCs/>
          <w:color w:val="000000"/>
          <w:lang w:eastAsia="bg-BG"/>
        </w:rPr>
      </w:pPr>
      <w:r w:rsidRPr="00B7186C">
        <w:rPr>
          <w:rFonts w:eastAsia="Times New Roman" w:cs="Arial"/>
          <w:bCs/>
          <w:color w:val="000000"/>
          <w:lang w:eastAsia="bg-BG"/>
        </w:rPr>
        <w:t>Тиотропиум бромид представлява ахирално четвъртично амониево съединение, с умерена разтворимост във вода. Тиотропиум бромид е под формата на разтвор за инхалации и се прилага с помощта на инхалатор Респимат. Приблизително 40 % от инхалираната доза се депонира в белите дробове, който е целевия орган. Останалото количество се депозира в стомашно-чревния тракт. Повечето от описаните по-долу фармакокинетични данни бяха получени, използвайки дози, по- високи от препоръчителните за терапия.</w:t>
      </w:r>
    </w:p>
    <w:p w14:paraId="15C9CFB7" w14:textId="77777777" w:rsidR="00B7186C" w:rsidRPr="00B7186C" w:rsidRDefault="00B7186C" w:rsidP="00B7186C">
      <w:pPr>
        <w:spacing w:line="240" w:lineRule="auto"/>
        <w:rPr>
          <w:rFonts w:eastAsia="Times New Roman" w:cs="Arial"/>
        </w:rPr>
      </w:pPr>
    </w:p>
    <w:p w14:paraId="4145E0C7" w14:textId="704BEE10" w:rsidR="00B7186C" w:rsidRPr="00B7186C" w:rsidRDefault="00B7186C" w:rsidP="00B7186C">
      <w:pPr>
        <w:spacing w:line="240" w:lineRule="auto"/>
        <w:rPr>
          <w:rFonts w:eastAsia="Times New Roman" w:cs="Arial"/>
          <w:bCs/>
          <w:color w:val="000000"/>
          <w:u w:val="single"/>
          <w:lang w:eastAsia="bg-BG"/>
        </w:rPr>
      </w:pPr>
      <w:r w:rsidRPr="00B7186C">
        <w:rPr>
          <w:rFonts w:eastAsia="Times New Roman" w:cs="Arial"/>
          <w:bCs/>
          <w:color w:val="000000"/>
          <w:u w:val="single"/>
          <w:lang w:eastAsia="bg-BG"/>
        </w:rPr>
        <w:t>Б) Обща характеристика на активното вещество след приложение на лекарствения продукт</w:t>
      </w:r>
    </w:p>
    <w:p w14:paraId="7B8DA5AB" w14:textId="77777777" w:rsidR="00B7186C" w:rsidRPr="00B7186C" w:rsidRDefault="00B7186C" w:rsidP="00B7186C">
      <w:pPr>
        <w:spacing w:line="240" w:lineRule="auto"/>
        <w:rPr>
          <w:rFonts w:eastAsia="Times New Roman" w:cs="Arial"/>
          <w:bCs/>
          <w:color w:val="000000"/>
          <w:u w:val="single"/>
          <w:lang w:eastAsia="bg-BG"/>
        </w:rPr>
      </w:pPr>
    </w:p>
    <w:p w14:paraId="30CD053D" w14:textId="77777777" w:rsidR="00B7186C" w:rsidRPr="00B7186C" w:rsidRDefault="00B7186C" w:rsidP="00B7186C">
      <w:pPr>
        <w:spacing w:line="240" w:lineRule="auto"/>
        <w:rPr>
          <w:rFonts w:eastAsia="Times New Roman" w:cs="Arial"/>
        </w:rPr>
      </w:pPr>
      <w:r w:rsidRPr="00B7186C">
        <w:rPr>
          <w:rFonts w:eastAsia="Times New Roman" w:cs="Arial"/>
          <w:bCs/>
          <w:i/>
          <w:iCs/>
          <w:color w:val="000000"/>
          <w:lang w:eastAsia="bg-BG"/>
        </w:rPr>
        <w:t>Абсорбция:</w:t>
      </w:r>
      <w:r w:rsidRPr="00B7186C">
        <w:rPr>
          <w:rFonts w:eastAsia="Times New Roman" w:cs="Arial"/>
          <w:bCs/>
          <w:color w:val="000000"/>
          <w:lang w:eastAsia="bg-BG"/>
        </w:rPr>
        <w:t xml:space="preserve"> След инхалаторно приложение при млади, здрави доброволци, от данните за екскрецията чрез урината се предполага, че приблизително 33% от инхалираната доза достига системното кръвообръщение. Пероралните разтвори на тиотропиум бромид имат абсолютна бионаличност 2-3 %. Не се очаква храната да оказва влияние върху абсорбцията на това четвъртично амониево съединение.</w:t>
      </w:r>
    </w:p>
    <w:p w14:paraId="444ED1EC"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 xml:space="preserve">Максималните плазмени концентрации на тиотропиум са наблюдавани 5-7 минути след инхалация. При стабилно ниво достигнатите максимални плазмени концентрации на </w:t>
      </w:r>
      <w:r w:rsidRPr="00B7186C">
        <w:rPr>
          <w:rFonts w:eastAsia="Times New Roman" w:cs="Arial"/>
          <w:bCs/>
          <w:color w:val="000000"/>
          <w:lang w:eastAsia="bg-BG"/>
        </w:rPr>
        <w:lastRenderedPageBreak/>
        <w:t xml:space="preserve">тиотропиум при пациенти с ХОББ са 10.5 </w:t>
      </w:r>
      <w:proofErr w:type="spellStart"/>
      <w:r w:rsidRPr="00B7186C">
        <w:rPr>
          <w:rFonts w:eastAsia="Times New Roman" w:cs="Arial"/>
          <w:bCs/>
          <w:color w:val="000000"/>
          <w:lang w:val="en-US"/>
        </w:rPr>
        <w:t>pg</w:t>
      </w:r>
      <w:proofErr w:type="spellEnd"/>
      <w:r w:rsidRPr="00B7186C">
        <w:rPr>
          <w:rFonts w:eastAsia="Times New Roman" w:cs="Arial"/>
          <w:bCs/>
          <w:color w:val="000000"/>
          <w:lang w:val="ru-RU"/>
        </w:rPr>
        <w:t>/</w:t>
      </w:r>
      <w:r w:rsidRPr="00B7186C">
        <w:rPr>
          <w:rFonts w:eastAsia="Times New Roman" w:cs="Arial"/>
          <w:bCs/>
          <w:color w:val="000000"/>
          <w:lang w:val="en-US"/>
        </w:rPr>
        <w:t>ml</w:t>
      </w:r>
      <w:r w:rsidRPr="00B7186C">
        <w:rPr>
          <w:rFonts w:eastAsia="Times New Roman" w:cs="Arial"/>
          <w:bCs/>
          <w:color w:val="000000"/>
          <w:lang w:val="ru-RU"/>
        </w:rPr>
        <w:t xml:space="preserve"> </w:t>
      </w:r>
      <w:r w:rsidRPr="00B7186C">
        <w:rPr>
          <w:rFonts w:eastAsia="Times New Roman" w:cs="Arial"/>
          <w:bCs/>
          <w:color w:val="000000"/>
          <w:lang w:eastAsia="bg-BG"/>
        </w:rPr>
        <w:t xml:space="preserve">и бързо намаляват по множествено-отделителен начин. Стабилно ниво на плазмените концентрации се достига при 1,60 </w:t>
      </w:r>
      <w:proofErr w:type="spellStart"/>
      <w:r w:rsidRPr="00B7186C">
        <w:rPr>
          <w:rFonts w:eastAsia="Times New Roman" w:cs="Arial"/>
          <w:bCs/>
          <w:color w:val="000000"/>
          <w:lang w:val="en-US"/>
        </w:rPr>
        <w:t>pg</w:t>
      </w:r>
      <w:proofErr w:type="spellEnd"/>
      <w:r w:rsidRPr="00B7186C">
        <w:rPr>
          <w:rFonts w:eastAsia="Times New Roman" w:cs="Arial"/>
          <w:bCs/>
          <w:color w:val="000000"/>
          <w:lang w:val="ru-RU"/>
        </w:rPr>
        <w:t>/</w:t>
      </w:r>
      <w:r w:rsidRPr="00B7186C">
        <w:rPr>
          <w:rFonts w:eastAsia="Times New Roman" w:cs="Arial"/>
          <w:bCs/>
          <w:color w:val="000000"/>
          <w:lang w:val="en-US"/>
        </w:rPr>
        <w:t>ml</w:t>
      </w:r>
      <w:r w:rsidRPr="00B7186C">
        <w:rPr>
          <w:rFonts w:eastAsia="Times New Roman" w:cs="Arial"/>
          <w:bCs/>
          <w:color w:val="000000"/>
          <w:lang w:val="ru-RU"/>
        </w:rPr>
        <w:t>.</w:t>
      </w:r>
    </w:p>
    <w:p w14:paraId="1ED81FA1"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 xml:space="preserve">В стационарно състояние пиковата плазмена концентрация от 5,15 </w:t>
      </w:r>
      <w:proofErr w:type="spellStart"/>
      <w:r w:rsidRPr="00B7186C">
        <w:rPr>
          <w:rFonts w:eastAsia="Times New Roman" w:cs="Arial"/>
          <w:bCs/>
          <w:color w:val="000000"/>
          <w:lang w:val="en-US"/>
        </w:rPr>
        <w:t>pg</w:t>
      </w:r>
      <w:proofErr w:type="spellEnd"/>
      <w:r w:rsidRPr="00B7186C">
        <w:rPr>
          <w:rFonts w:eastAsia="Times New Roman" w:cs="Arial"/>
          <w:bCs/>
          <w:color w:val="000000"/>
          <w:lang w:val="ru-RU"/>
        </w:rPr>
        <w:t>/</w:t>
      </w:r>
      <w:r w:rsidRPr="00B7186C">
        <w:rPr>
          <w:rFonts w:eastAsia="Times New Roman" w:cs="Arial"/>
          <w:bCs/>
          <w:color w:val="000000"/>
          <w:lang w:val="en-US"/>
        </w:rPr>
        <w:t>ml</w:t>
      </w:r>
      <w:r w:rsidRPr="00B7186C">
        <w:rPr>
          <w:rFonts w:eastAsia="Times New Roman" w:cs="Arial"/>
          <w:bCs/>
          <w:color w:val="000000"/>
          <w:lang w:val="ru-RU"/>
        </w:rPr>
        <w:t xml:space="preserve"> </w:t>
      </w:r>
      <w:r w:rsidRPr="00B7186C">
        <w:rPr>
          <w:rFonts w:eastAsia="Times New Roman" w:cs="Arial"/>
          <w:bCs/>
          <w:color w:val="000000"/>
          <w:lang w:eastAsia="bg-BG"/>
        </w:rPr>
        <w:t>на тиотропиум се поддържа 5 минути след прилагане на същата доза при пациенти с астма.</w:t>
      </w:r>
    </w:p>
    <w:p w14:paraId="6442359C"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 xml:space="preserve">Системната експозиция на тиотропиум след инхалация на тиотропиум приложен чрез инхалатор Респимат е била сходна с тази на тиотропиум приложен чрез устройство </w:t>
      </w:r>
      <w:proofErr w:type="spellStart"/>
      <w:r w:rsidRPr="00B7186C">
        <w:rPr>
          <w:rFonts w:eastAsia="Times New Roman" w:cs="Arial"/>
          <w:bCs/>
          <w:color w:val="000000"/>
          <w:lang w:val="en-US"/>
        </w:rPr>
        <w:t>HandiHaler</w:t>
      </w:r>
      <w:proofErr w:type="spellEnd"/>
      <w:r w:rsidRPr="00B7186C">
        <w:rPr>
          <w:rFonts w:eastAsia="Times New Roman" w:cs="Arial"/>
          <w:bCs/>
          <w:color w:val="000000"/>
          <w:lang w:val="ru-RU"/>
        </w:rPr>
        <w:t>.</w:t>
      </w:r>
    </w:p>
    <w:p w14:paraId="61AA08C3" w14:textId="77777777" w:rsidR="00B7186C" w:rsidRPr="00B7186C" w:rsidRDefault="00B7186C" w:rsidP="00B7186C">
      <w:pPr>
        <w:spacing w:line="240" w:lineRule="auto"/>
        <w:rPr>
          <w:rFonts w:eastAsia="Times New Roman" w:cs="Arial"/>
          <w:bCs/>
          <w:i/>
          <w:iCs/>
          <w:color w:val="000000"/>
          <w:lang w:eastAsia="bg-BG"/>
        </w:rPr>
      </w:pPr>
    </w:p>
    <w:p w14:paraId="5B0F7E82" w14:textId="04198257" w:rsidR="00B7186C" w:rsidRPr="00B7186C" w:rsidRDefault="00B7186C" w:rsidP="00B7186C">
      <w:pPr>
        <w:spacing w:line="240" w:lineRule="auto"/>
        <w:rPr>
          <w:rFonts w:eastAsia="Times New Roman" w:cs="Arial"/>
        </w:rPr>
      </w:pPr>
      <w:r w:rsidRPr="00B7186C">
        <w:rPr>
          <w:rFonts w:eastAsia="Times New Roman" w:cs="Arial"/>
          <w:bCs/>
          <w:i/>
          <w:iCs/>
          <w:color w:val="000000"/>
          <w:lang w:eastAsia="bg-BG"/>
        </w:rPr>
        <w:t>Разпределение:</w:t>
      </w:r>
      <w:r w:rsidRPr="00B7186C">
        <w:rPr>
          <w:rFonts w:eastAsia="Times New Roman" w:cs="Arial"/>
          <w:bCs/>
          <w:color w:val="000000"/>
          <w:lang w:eastAsia="bg-BG"/>
        </w:rPr>
        <w:t xml:space="preserve"> Лекарственото средство се свързва 72 % с плазмените протеини и показва обем на разпределение 32</w:t>
      </w:r>
      <w:r w:rsidRPr="00B7186C">
        <w:rPr>
          <w:rFonts w:eastAsia="Times New Roman" w:cs="Arial"/>
          <w:bCs/>
          <w:color w:val="000000"/>
          <w:lang w:val="ru-RU"/>
        </w:rPr>
        <w:t>1/</w:t>
      </w:r>
      <w:r w:rsidRPr="00B7186C">
        <w:rPr>
          <w:rFonts w:eastAsia="Times New Roman" w:cs="Arial"/>
          <w:bCs/>
          <w:color w:val="000000"/>
          <w:lang w:val="en-US"/>
        </w:rPr>
        <w:t>kg</w:t>
      </w:r>
      <w:r w:rsidRPr="00B7186C">
        <w:rPr>
          <w:rFonts w:eastAsia="Times New Roman" w:cs="Arial"/>
          <w:bCs/>
          <w:color w:val="000000"/>
          <w:lang w:val="ru-RU"/>
        </w:rPr>
        <w:t xml:space="preserve">. </w:t>
      </w:r>
      <w:r w:rsidRPr="00B7186C">
        <w:rPr>
          <w:rFonts w:eastAsia="Times New Roman" w:cs="Arial"/>
          <w:bCs/>
          <w:color w:val="000000"/>
          <w:lang w:eastAsia="bg-BG"/>
        </w:rPr>
        <w:t>Не са известни локалните белодробни концентрации, но имайки предвид начина на приложение, могат да се очакват значително по-високи концентрации в белия дроб. Проучвания при плъхове са показали, че тиотропиум не преминава кръвно-мозъчната бариера в някаква съществена степен.</w:t>
      </w:r>
    </w:p>
    <w:p w14:paraId="6A46AB8E" w14:textId="77777777" w:rsidR="00B7186C" w:rsidRPr="00B7186C" w:rsidRDefault="00B7186C" w:rsidP="00B7186C">
      <w:pPr>
        <w:spacing w:line="240" w:lineRule="auto"/>
        <w:rPr>
          <w:rFonts w:eastAsia="Times New Roman" w:cs="Arial"/>
          <w:bCs/>
          <w:i/>
          <w:iCs/>
          <w:color w:val="000000"/>
          <w:lang w:eastAsia="bg-BG"/>
        </w:rPr>
      </w:pPr>
    </w:p>
    <w:p w14:paraId="7C751D16" w14:textId="531F13C7" w:rsidR="00B7186C" w:rsidRPr="00B7186C" w:rsidRDefault="00B7186C" w:rsidP="00B7186C">
      <w:pPr>
        <w:spacing w:line="240" w:lineRule="auto"/>
        <w:rPr>
          <w:rFonts w:eastAsia="Times New Roman" w:cs="Arial"/>
        </w:rPr>
      </w:pPr>
      <w:r w:rsidRPr="00B7186C">
        <w:rPr>
          <w:rFonts w:eastAsia="Times New Roman" w:cs="Arial"/>
          <w:bCs/>
          <w:i/>
          <w:iCs/>
          <w:color w:val="000000"/>
          <w:lang w:eastAsia="bg-BG"/>
        </w:rPr>
        <w:t>Биотрансформация:</w:t>
      </w:r>
      <w:r w:rsidRPr="00B7186C">
        <w:rPr>
          <w:rFonts w:eastAsia="Times New Roman" w:cs="Arial"/>
          <w:bCs/>
          <w:color w:val="000000"/>
          <w:lang w:eastAsia="bg-BG"/>
        </w:rPr>
        <w:t xml:space="preserve"> Степента на биотрансформация е ниска. Доказателство за това е уринната екскреция на 74 % непроменено вещество, след интравенозно дозиране при млади здрави доброволци. Тиотропиум бромид представлява естер, не-ензимно разграждащ се до алкохол </w:t>
      </w:r>
      <w:r w:rsidRPr="00B7186C">
        <w:rPr>
          <w:rFonts w:eastAsia="Times New Roman" w:cs="Arial"/>
          <w:bCs/>
          <w:color w:val="000000"/>
          <w:lang w:val="ru-RU"/>
        </w:rPr>
        <w:t>(</w:t>
      </w:r>
      <w:r w:rsidRPr="00B7186C">
        <w:rPr>
          <w:rFonts w:eastAsia="Times New Roman" w:cs="Arial"/>
          <w:bCs/>
          <w:color w:val="000000"/>
          <w:lang w:val="en-US"/>
        </w:rPr>
        <w:t>N</w:t>
      </w:r>
      <w:r w:rsidRPr="00B7186C">
        <w:rPr>
          <w:rFonts w:eastAsia="Times New Roman" w:cs="Arial"/>
          <w:bCs/>
          <w:color w:val="000000"/>
          <w:lang w:eastAsia="bg-BG"/>
        </w:rPr>
        <w:t xml:space="preserve">-метилскопин) и киселинно съединение (дитиенилгликолова киселина), които не се свързват с мускариновите рецептори. </w:t>
      </w:r>
      <w:r w:rsidRPr="00B7186C">
        <w:rPr>
          <w:rFonts w:eastAsia="Times New Roman" w:cs="Arial"/>
          <w:bCs/>
          <w:color w:val="000000"/>
          <w:lang w:val="en-US"/>
        </w:rPr>
        <w:t>In</w:t>
      </w:r>
      <w:r w:rsidRPr="00B7186C">
        <w:rPr>
          <w:rFonts w:eastAsia="Times New Roman" w:cs="Arial"/>
          <w:bCs/>
          <w:color w:val="000000"/>
          <w:lang w:val="ru-RU"/>
        </w:rPr>
        <w:t>-</w:t>
      </w:r>
      <w:r w:rsidRPr="00B7186C">
        <w:rPr>
          <w:rFonts w:eastAsia="Times New Roman" w:cs="Arial"/>
          <w:bCs/>
          <w:color w:val="000000"/>
          <w:lang w:val="en-US"/>
        </w:rPr>
        <w:t>vitro</w:t>
      </w:r>
      <w:r w:rsidRPr="00B7186C">
        <w:rPr>
          <w:rFonts w:eastAsia="Times New Roman" w:cs="Arial"/>
          <w:bCs/>
          <w:color w:val="000000"/>
          <w:lang w:val="ru-RU"/>
        </w:rPr>
        <w:t xml:space="preserve"> </w:t>
      </w:r>
      <w:r w:rsidRPr="00B7186C">
        <w:rPr>
          <w:rFonts w:eastAsia="Times New Roman" w:cs="Arial"/>
          <w:bCs/>
          <w:color w:val="000000"/>
          <w:lang w:eastAsia="bg-BG"/>
        </w:rPr>
        <w:t>експерименти с човешки чернодробни микрозоми и хепатоцити предполагат, че малка част от лекарственото средство (&lt;20 % от дозата след интравенозно приложение) се метаболизира по пътя на цитохром Р450-зависимо окисление и последваща глутатион конюгация до множество метаболити от фаза 11.</w:t>
      </w:r>
    </w:p>
    <w:p w14:paraId="33E9C95B" w14:textId="77777777" w:rsidR="00B7186C" w:rsidRPr="00B7186C" w:rsidRDefault="00B7186C" w:rsidP="00B7186C">
      <w:pPr>
        <w:spacing w:line="240" w:lineRule="auto"/>
        <w:rPr>
          <w:rFonts w:eastAsia="Times New Roman" w:cs="Arial"/>
        </w:rPr>
      </w:pPr>
      <w:r w:rsidRPr="00B7186C">
        <w:rPr>
          <w:rFonts w:eastAsia="Times New Roman" w:cs="Arial"/>
          <w:bCs/>
          <w:i/>
          <w:iCs/>
          <w:color w:val="000000"/>
          <w:lang w:val="en-US"/>
        </w:rPr>
        <w:t>In</w:t>
      </w:r>
      <w:r w:rsidRPr="00B7186C">
        <w:rPr>
          <w:rFonts w:eastAsia="Times New Roman" w:cs="Arial"/>
          <w:bCs/>
          <w:i/>
          <w:iCs/>
          <w:color w:val="000000"/>
          <w:lang w:val="ru-RU"/>
        </w:rPr>
        <w:t>-</w:t>
      </w:r>
      <w:r w:rsidRPr="00B7186C">
        <w:rPr>
          <w:rFonts w:eastAsia="Times New Roman" w:cs="Arial"/>
          <w:bCs/>
          <w:i/>
          <w:iCs/>
          <w:color w:val="000000"/>
          <w:lang w:val="en-US"/>
        </w:rPr>
        <w:t>vitro</w:t>
      </w:r>
      <w:r w:rsidRPr="00B7186C">
        <w:rPr>
          <w:rFonts w:eastAsia="Times New Roman" w:cs="Arial"/>
          <w:bCs/>
          <w:color w:val="000000"/>
          <w:lang w:val="ru-RU"/>
        </w:rPr>
        <w:t xml:space="preserve"> </w:t>
      </w:r>
      <w:r w:rsidRPr="00B7186C">
        <w:rPr>
          <w:rFonts w:eastAsia="Times New Roman" w:cs="Arial"/>
          <w:bCs/>
          <w:color w:val="000000"/>
          <w:lang w:eastAsia="bg-BG"/>
        </w:rPr>
        <w:t xml:space="preserve">проучвания с човешки чернодробни микрозоми показват, че този ензимен път може да се инхибира от </w:t>
      </w:r>
      <w:r w:rsidRPr="00B7186C">
        <w:rPr>
          <w:rFonts w:eastAsia="Times New Roman" w:cs="Arial"/>
          <w:bCs/>
          <w:color w:val="000000"/>
          <w:lang w:val="en-US"/>
        </w:rPr>
        <w:t>CYP</w:t>
      </w:r>
      <w:r w:rsidRPr="00B7186C">
        <w:rPr>
          <w:rFonts w:eastAsia="Times New Roman" w:cs="Arial"/>
          <w:bCs/>
          <w:color w:val="000000"/>
          <w:lang w:val="ru-RU"/>
        </w:rPr>
        <w:t xml:space="preserve"> </w:t>
      </w:r>
      <w:r w:rsidRPr="00B7186C">
        <w:rPr>
          <w:rFonts w:eastAsia="Times New Roman" w:cs="Arial"/>
          <w:bCs/>
          <w:i/>
          <w:iCs/>
          <w:color w:val="000000"/>
          <w:lang w:val="ru-RU"/>
        </w:rPr>
        <w:t>2</w:t>
      </w:r>
      <w:r w:rsidRPr="00B7186C">
        <w:rPr>
          <w:rFonts w:eastAsia="Times New Roman" w:cs="Arial"/>
          <w:bCs/>
          <w:i/>
          <w:iCs/>
          <w:color w:val="000000"/>
          <w:lang w:val="en-US"/>
        </w:rPr>
        <w:t>D</w:t>
      </w:r>
      <w:r w:rsidRPr="00B7186C">
        <w:rPr>
          <w:rFonts w:eastAsia="Times New Roman" w:cs="Arial"/>
          <w:bCs/>
          <w:i/>
          <w:iCs/>
          <w:color w:val="000000"/>
          <w:lang w:val="ru-RU"/>
        </w:rPr>
        <w:t>6</w:t>
      </w:r>
      <w:r w:rsidRPr="00B7186C">
        <w:rPr>
          <w:rFonts w:eastAsia="Times New Roman" w:cs="Arial"/>
          <w:bCs/>
          <w:color w:val="000000"/>
          <w:lang w:val="ru-RU"/>
        </w:rPr>
        <w:t xml:space="preserve"> </w:t>
      </w:r>
      <w:r w:rsidRPr="00B7186C">
        <w:rPr>
          <w:rFonts w:eastAsia="Times New Roman" w:cs="Arial"/>
          <w:bCs/>
          <w:color w:val="000000"/>
          <w:lang w:eastAsia="bg-BG"/>
        </w:rPr>
        <w:t xml:space="preserve">(и 3 А4) инхибитори, хинидин, кетоконазол и гестоден. Така </w:t>
      </w:r>
      <w:r w:rsidRPr="00B7186C">
        <w:rPr>
          <w:rFonts w:eastAsia="Times New Roman" w:cs="Arial"/>
          <w:bCs/>
          <w:color w:val="000000"/>
          <w:lang w:val="en-US"/>
        </w:rPr>
        <w:t>CYP</w:t>
      </w:r>
      <w:r w:rsidRPr="00B7186C">
        <w:rPr>
          <w:rFonts w:eastAsia="Times New Roman" w:cs="Arial"/>
          <w:bCs/>
          <w:color w:val="000000"/>
          <w:lang w:val="ru-RU"/>
        </w:rPr>
        <w:t xml:space="preserve"> 2</w:t>
      </w:r>
      <w:r w:rsidRPr="00B7186C">
        <w:rPr>
          <w:rFonts w:eastAsia="Times New Roman" w:cs="Arial"/>
          <w:bCs/>
          <w:color w:val="000000"/>
          <w:lang w:val="en-US"/>
        </w:rPr>
        <w:t>D</w:t>
      </w:r>
      <w:r w:rsidRPr="00B7186C">
        <w:rPr>
          <w:rFonts w:eastAsia="Times New Roman" w:cs="Arial"/>
          <w:bCs/>
          <w:color w:val="000000"/>
          <w:lang w:val="ru-RU"/>
        </w:rPr>
        <w:t xml:space="preserve">6 </w:t>
      </w:r>
      <w:r w:rsidRPr="00B7186C">
        <w:rPr>
          <w:rFonts w:eastAsia="Times New Roman" w:cs="Arial"/>
          <w:bCs/>
          <w:color w:val="000000"/>
          <w:lang w:eastAsia="bg-BG"/>
        </w:rPr>
        <w:t>и ЗА4 са включени в метаболитния път, отговорен за елиминирането на малка част от дозата. Тиотропиум бромид дори и в концентрации над терапевтичните, не инхибира цитохром Р1</w:t>
      </w:r>
      <w:r w:rsidRPr="00B7186C">
        <w:rPr>
          <w:rFonts w:eastAsia="Times New Roman" w:cs="Arial"/>
          <w:bCs/>
          <w:color w:val="000000"/>
          <w:lang w:val="en-US"/>
        </w:rPr>
        <w:t>Al</w:t>
      </w:r>
      <w:r w:rsidRPr="00B7186C">
        <w:rPr>
          <w:rFonts w:eastAsia="Times New Roman" w:cs="Arial"/>
          <w:bCs/>
          <w:color w:val="000000"/>
          <w:lang w:val="ru-RU"/>
        </w:rPr>
        <w:t xml:space="preserve">, </w:t>
      </w:r>
      <w:r w:rsidRPr="00B7186C">
        <w:rPr>
          <w:rFonts w:eastAsia="Times New Roman" w:cs="Arial"/>
          <w:bCs/>
          <w:color w:val="000000"/>
          <w:lang w:eastAsia="bg-BG"/>
        </w:rPr>
        <w:t>1А2,2В6,2С9, 2С19,</w:t>
      </w:r>
      <w:r w:rsidRPr="00B7186C">
        <w:rPr>
          <w:rFonts w:eastAsia="Times New Roman" w:cs="Arial"/>
          <w:bCs/>
          <w:color w:val="000000"/>
          <w:lang w:val="ru-RU"/>
        </w:rPr>
        <w:t>2</w:t>
      </w:r>
      <w:r w:rsidRPr="00B7186C">
        <w:rPr>
          <w:rFonts w:eastAsia="Times New Roman" w:cs="Arial"/>
          <w:bCs/>
          <w:color w:val="000000"/>
          <w:lang w:val="en-US"/>
        </w:rPr>
        <w:t>D</w:t>
      </w:r>
      <w:r w:rsidRPr="00B7186C">
        <w:rPr>
          <w:rFonts w:eastAsia="Times New Roman" w:cs="Arial"/>
          <w:bCs/>
          <w:color w:val="000000"/>
          <w:lang w:val="ru-RU"/>
        </w:rPr>
        <w:t>6,</w:t>
      </w:r>
      <w:r w:rsidRPr="00B7186C">
        <w:rPr>
          <w:rFonts w:eastAsia="Times New Roman" w:cs="Arial"/>
          <w:bCs/>
          <w:color w:val="000000"/>
          <w:lang w:eastAsia="bg-BG"/>
        </w:rPr>
        <w:t>2Е1 или ЗА в човешки чернодробни микрозоми.</w:t>
      </w:r>
    </w:p>
    <w:p w14:paraId="3FE704ED" w14:textId="77777777" w:rsidR="00B7186C" w:rsidRPr="00B7186C" w:rsidRDefault="00B7186C" w:rsidP="00B7186C">
      <w:pPr>
        <w:spacing w:line="240" w:lineRule="auto"/>
        <w:rPr>
          <w:rFonts w:eastAsia="Times New Roman" w:cs="Arial"/>
          <w:bCs/>
          <w:i/>
          <w:iCs/>
          <w:color w:val="000000"/>
          <w:lang w:eastAsia="bg-BG"/>
        </w:rPr>
      </w:pPr>
    </w:p>
    <w:p w14:paraId="2ADE8559" w14:textId="343066DD" w:rsidR="00B7186C" w:rsidRPr="00B7186C" w:rsidRDefault="00B7186C" w:rsidP="00B7186C">
      <w:pPr>
        <w:spacing w:line="240" w:lineRule="auto"/>
        <w:rPr>
          <w:rFonts w:eastAsia="Times New Roman" w:cs="Arial"/>
        </w:rPr>
      </w:pPr>
      <w:r w:rsidRPr="00B7186C">
        <w:rPr>
          <w:rFonts w:eastAsia="Times New Roman" w:cs="Arial"/>
          <w:bCs/>
          <w:i/>
          <w:iCs/>
          <w:color w:val="000000"/>
          <w:lang w:eastAsia="bg-BG"/>
        </w:rPr>
        <w:t>Елиминиране:</w:t>
      </w:r>
      <w:r w:rsidRPr="00B7186C">
        <w:rPr>
          <w:rFonts w:eastAsia="Times New Roman" w:cs="Arial"/>
          <w:bCs/>
          <w:color w:val="000000"/>
          <w:lang w:eastAsia="bg-BG"/>
        </w:rPr>
        <w:t xml:space="preserve"> Действителният полуживот на тиотропиум е между 27 и 45 часа след инхалаторно приложение при здрави доброволци и пациенти с ХОББ. Ефективният полуживот е 34 часа при пациенти с астма. Общият клирънс е 880 </w:t>
      </w:r>
      <w:r w:rsidRPr="00B7186C">
        <w:rPr>
          <w:rFonts w:eastAsia="Times New Roman" w:cs="Arial"/>
          <w:bCs/>
          <w:color w:val="000000"/>
          <w:lang w:val="en-US"/>
        </w:rPr>
        <w:t>ml</w:t>
      </w:r>
      <w:r w:rsidRPr="00B7186C">
        <w:rPr>
          <w:rFonts w:eastAsia="Times New Roman" w:cs="Arial"/>
          <w:bCs/>
          <w:color w:val="000000"/>
          <w:lang w:val="ru-RU"/>
        </w:rPr>
        <w:t>/</w:t>
      </w:r>
      <w:r w:rsidRPr="00B7186C">
        <w:rPr>
          <w:rFonts w:eastAsia="Times New Roman" w:cs="Arial"/>
          <w:bCs/>
          <w:color w:val="000000"/>
          <w:lang w:val="en-US"/>
        </w:rPr>
        <w:t>min</w:t>
      </w:r>
      <w:r w:rsidRPr="00B7186C">
        <w:rPr>
          <w:rFonts w:eastAsia="Times New Roman" w:cs="Arial"/>
          <w:bCs/>
          <w:color w:val="000000"/>
          <w:lang w:val="ru-RU"/>
        </w:rPr>
        <w:t xml:space="preserve"> </w:t>
      </w:r>
      <w:r w:rsidRPr="00B7186C">
        <w:rPr>
          <w:rFonts w:eastAsia="Times New Roman" w:cs="Arial"/>
          <w:bCs/>
          <w:color w:val="000000"/>
          <w:lang w:eastAsia="bg-BG"/>
        </w:rPr>
        <w:t>след интравенозно дозиране при млади здрави</w:t>
      </w:r>
    </w:p>
    <w:p w14:paraId="35AE6047"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доброволци. Приложен интравенозно, тиотропиум се екскретира главно непроменен чрез урината (74 %).</w:t>
      </w:r>
    </w:p>
    <w:p w14:paraId="3911734D" w14:textId="2BF8D845" w:rsidR="00B7186C" w:rsidRPr="00B7186C" w:rsidRDefault="00B7186C" w:rsidP="00B7186C">
      <w:pPr>
        <w:rPr>
          <w:rFonts w:eastAsia="Times New Roman" w:cs="Arial"/>
          <w:bCs/>
          <w:color w:val="000000"/>
          <w:lang w:eastAsia="bg-BG"/>
        </w:rPr>
      </w:pPr>
      <w:r w:rsidRPr="00B7186C">
        <w:rPr>
          <w:rFonts w:eastAsia="Times New Roman" w:cs="Arial"/>
          <w:bCs/>
          <w:color w:val="000000"/>
          <w:lang w:eastAsia="bg-BG"/>
        </w:rPr>
        <w:t>След инхалаторно приложение на разтвора при пациенти с ХОББ в стабилно състояние, урината екскреция е 18,6 % (0,93 μ</w:t>
      </w:r>
      <w:r w:rsidRPr="00B7186C">
        <w:rPr>
          <w:rFonts w:eastAsia="Times New Roman" w:cs="Arial"/>
          <w:bCs/>
          <w:color w:val="000000"/>
          <w:lang w:val="en-US"/>
        </w:rPr>
        <w:t>g</w:t>
      </w:r>
      <w:r w:rsidRPr="00B7186C">
        <w:rPr>
          <w:rFonts w:eastAsia="Times New Roman" w:cs="Arial"/>
          <w:bCs/>
          <w:color w:val="000000"/>
          <w:lang w:val="ru-RU"/>
        </w:rPr>
        <w:t xml:space="preserve">) </w:t>
      </w:r>
      <w:r w:rsidRPr="00B7186C">
        <w:rPr>
          <w:rFonts w:eastAsia="Times New Roman" w:cs="Arial"/>
          <w:bCs/>
          <w:color w:val="000000"/>
          <w:lang w:eastAsia="bg-BG"/>
        </w:rPr>
        <w:t>от дозата, а остатъкът, който като цяло не се абсорбира от червата, се елиминира с фецеса.</w:t>
      </w:r>
    </w:p>
    <w:p w14:paraId="048D9DAC" w14:textId="47E6715A" w:rsidR="00B7186C" w:rsidRPr="00B7186C" w:rsidRDefault="00B7186C" w:rsidP="00B7186C">
      <w:pPr>
        <w:rPr>
          <w:rFonts w:eastAsia="Times New Roman" w:cs="Arial"/>
          <w:bCs/>
          <w:color w:val="000000"/>
          <w:lang w:eastAsia="bg-BG"/>
        </w:rPr>
      </w:pPr>
    </w:p>
    <w:p w14:paraId="5DAF6D04"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След инхалаторно приложение при здрави доброволци, уринната екскреция е 20,1-29,4 % от дозата, а остатъкът, който като цяло не се абсорбира от червата, се елиминира с фецеса.</w:t>
      </w:r>
    </w:p>
    <w:p w14:paraId="2DF60EC4"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При пациенти с астма 11,9% (0,595 μ</w:t>
      </w:r>
      <w:r w:rsidRPr="00B7186C">
        <w:rPr>
          <w:rFonts w:eastAsia="Times New Roman" w:cs="Arial"/>
          <w:bCs/>
          <w:color w:val="000000"/>
          <w:lang w:val="en-US"/>
        </w:rPr>
        <w:t>g</w:t>
      </w:r>
      <w:r w:rsidRPr="00B7186C">
        <w:rPr>
          <w:rFonts w:eastAsia="Times New Roman" w:cs="Arial"/>
          <w:bCs/>
          <w:color w:val="000000"/>
          <w:lang w:val="ru-RU"/>
        </w:rPr>
        <w:t xml:space="preserve">) </w:t>
      </w:r>
      <w:r w:rsidRPr="00B7186C">
        <w:rPr>
          <w:rFonts w:eastAsia="Times New Roman" w:cs="Arial"/>
          <w:bCs/>
          <w:color w:val="000000"/>
          <w:lang w:eastAsia="bg-BG"/>
        </w:rPr>
        <w:t>от дозата в стационарно състояние се излъчва непроменена с урината в рамките на 24 часа след приложение. Бъбречният клирънс на тиотропиум надвишава креатининовия клирънс, което говори за отделяне в урината.</w:t>
      </w:r>
    </w:p>
    <w:p w14:paraId="53A146A6"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След хронично инхалаторно приложение веднъж дневно при пациенти с ХОББ, фармакокинетичното равновесно състояние се достига до 7</w:t>
      </w:r>
      <w:r w:rsidRPr="00B7186C">
        <w:rPr>
          <w:rFonts w:eastAsia="Times New Roman" w:cs="Arial"/>
          <w:bCs/>
          <w:color w:val="000000"/>
          <w:vertAlign w:val="superscript"/>
          <w:lang w:eastAsia="bg-BG"/>
        </w:rPr>
        <w:t>-ия</w:t>
      </w:r>
      <w:r w:rsidRPr="00B7186C">
        <w:rPr>
          <w:rFonts w:eastAsia="Times New Roman" w:cs="Arial"/>
          <w:bCs/>
          <w:color w:val="000000"/>
          <w:lang w:eastAsia="bg-BG"/>
        </w:rPr>
        <w:t xml:space="preserve"> ден без последващо акумулиране.</w:t>
      </w:r>
    </w:p>
    <w:p w14:paraId="49A6B732" w14:textId="77777777" w:rsidR="00B7186C" w:rsidRPr="00B7186C" w:rsidRDefault="00B7186C" w:rsidP="00B7186C">
      <w:pPr>
        <w:spacing w:line="240" w:lineRule="auto"/>
        <w:rPr>
          <w:rFonts w:eastAsia="Times New Roman" w:cs="Arial"/>
          <w:bCs/>
          <w:i/>
          <w:iCs/>
          <w:color w:val="000000"/>
          <w:lang w:eastAsia="bg-BG"/>
        </w:rPr>
      </w:pPr>
    </w:p>
    <w:p w14:paraId="6614BAF8" w14:textId="77777777" w:rsidR="00B7186C" w:rsidRPr="00B7186C" w:rsidRDefault="00B7186C" w:rsidP="00B7186C">
      <w:pPr>
        <w:spacing w:line="240" w:lineRule="auto"/>
        <w:rPr>
          <w:rFonts w:eastAsia="Times New Roman" w:cs="Arial"/>
          <w:bCs/>
          <w:color w:val="000000"/>
          <w:lang w:eastAsia="bg-BG"/>
        </w:rPr>
      </w:pPr>
      <w:r w:rsidRPr="00B7186C">
        <w:rPr>
          <w:rFonts w:eastAsia="Times New Roman" w:cs="Arial"/>
          <w:bCs/>
          <w:i/>
          <w:iCs/>
          <w:color w:val="000000"/>
          <w:lang w:eastAsia="bg-BG"/>
        </w:rPr>
        <w:t>Линейност / Нелинейност:</w:t>
      </w:r>
      <w:r w:rsidRPr="00B7186C">
        <w:rPr>
          <w:rFonts w:eastAsia="Times New Roman" w:cs="Arial"/>
          <w:bCs/>
          <w:color w:val="000000"/>
          <w:lang w:eastAsia="bg-BG"/>
        </w:rPr>
        <w:t xml:space="preserve"> Тиотропиум демонстрира линейна фармакокинетика в терапевтичната </w:t>
      </w:r>
    </w:p>
    <w:p w14:paraId="6D203926" w14:textId="44559D47" w:rsidR="00B7186C" w:rsidRPr="00B7186C" w:rsidRDefault="00B7186C" w:rsidP="00B7186C">
      <w:pPr>
        <w:spacing w:line="240" w:lineRule="auto"/>
        <w:rPr>
          <w:rFonts w:eastAsia="Times New Roman" w:cs="Arial"/>
          <w:bCs/>
          <w:color w:val="000000"/>
          <w:lang w:eastAsia="bg-BG"/>
        </w:rPr>
      </w:pPr>
      <w:r w:rsidRPr="00B7186C">
        <w:rPr>
          <w:rFonts w:eastAsia="Times New Roman" w:cs="Arial"/>
          <w:bCs/>
          <w:color w:val="000000"/>
          <w:lang w:eastAsia="bg-BG"/>
        </w:rPr>
        <w:t>дозировка независимо от лекарствената форма.</w:t>
      </w:r>
    </w:p>
    <w:p w14:paraId="237F76D3" w14:textId="77777777" w:rsidR="00B7186C" w:rsidRPr="00B7186C" w:rsidRDefault="00B7186C" w:rsidP="00B7186C">
      <w:pPr>
        <w:spacing w:line="240" w:lineRule="auto"/>
        <w:rPr>
          <w:rFonts w:eastAsia="Times New Roman" w:cs="Arial"/>
        </w:rPr>
      </w:pPr>
    </w:p>
    <w:p w14:paraId="083D67C3" w14:textId="27E28B35" w:rsidR="00B7186C" w:rsidRPr="00B7186C" w:rsidRDefault="00B7186C" w:rsidP="00B7186C">
      <w:pPr>
        <w:spacing w:line="240" w:lineRule="auto"/>
        <w:rPr>
          <w:rFonts w:eastAsia="Times New Roman" w:cs="Arial"/>
        </w:rPr>
      </w:pPr>
      <w:r w:rsidRPr="00B7186C">
        <w:rPr>
          <w:rFonts w:eastAsia="Times New Roman" w:cs="Arial"/>
          <w:bCs/>
          <w:color w:val="000000"/>
          <w:u w:val="single"/>
          <w:lang w:eastAsia="bg-BG"/>
        </w:rPr>
        <w:t>В) Характеризиране на пациентите</w:t>
      </w:r>
    </w:p>
    <w:p w14:paraId="142F9524" w14:textId="77777777" w:rsidR="00B7186C" w:rsidRPr="00B7186C" w:rsidRDefault="00B7186C" w:rsidP="00B7186C">
      <w:pPr>
        <w:spacing w:line="240" w:lineRule="auto"/>
        <w:rPr>
          <w:rFonts w:eastAsia="Times New Roman" w:cs="Arial"/>
          <w:bCs/>
          <w:i/>
          <w:iCs/>
          <w:color w:val="000000"/>
          <w:lang w:eastAsia="bg-BG"/>
        </w:rPr>
      </w:pPr>
    </w:p>
    <w:p w14:paraId="36C2482E" w14:textId="6BFE41CF" w:rsidR="00B7186C" w:rsidRPr="00B7186C" w:rsidRDefault="00B7186C" w:rsidP="00B7186C">
      <w:pPr>
        <w:spacing w:line="240" w:lineRule="auto"/>
        <w:rPr>
          <w:rFonts w:eastAsia="Times New Roman" w:cs="Arial"/>
        </w:rPr>
      </w:pPr>
      <w:r w:rsidRPr="00B7186C">
        <w:rPr>
          <w:rFonts w:eastAsia="Times New Roman" w:cs="Arial"/>
          <w:bCs/>
          <w:i/>
          <w:iCs/>
          <w:color w:val="000000"/>
          <w:lang w:eastAsia="bg-BG"/>
        </w:rPr>
        <w:t>Пациенти в напреднала възраст:</w:t>
      </w:r>
      <w:r w:rsidRPr="00B7186C">
        <w:rPr>
          <w:rFonts w:eastAsia="Times New Roman" w:cs="Arial"/>
          <w:bCs/>
          <w:color w:val="000000"/>
          <w:lang w:eastAsia="bg-BG"/>
        </w:rPr>
        <w:t xml:space="preserve"> Както при всички лекарствени продукти, които се екскретират предимно през бъбреците, напредналата възраст се явява причина за намаляване на бъбречния клирънс на тиотропиум (347 </w:t>
      </w:r>
      <w:r w:rsidRPr="00B7186C">
        <w:rPr>
          <w:rFonts w:eastAsia="Times New Roman" w:cs="Arial"/>
          <w:bCs/>
          <w:color w:val="000000"/>
          <w:lang w:val="en-US"/>
        </w:rPr>
        <w:t>ml</w:t>
      </w:r>
      <w:r w:rsidRPr="00B7186C">
        <w:rPr>
          <w:rFonts w:eastAsia="Times New Roman" w:cs="Arial"/>
          <w:bCs/>
          <w:color w:val="000000"/>
          <w:lang w:val="ru-RU"/>
        </w:rPr>
        <w:t>/</w:t>
      </w:r>
      <w:r w:rsidRPr="00B7186C">
        <w:rPr>
          <w:rFonts w:eastAsia="Times New Roman" w:cs="Arial"/>
          <w:bCs/>
          <w:color w:val="000000"/>
          <w:lang w:val="en-US"/>
        </w:rPr>
        <w:t>min</w:t>
      </w:r>
      <w:r w:rsidRPr="00B7186C">
        <w:rPr>
          <w:rFonts w:eastAsia="Times New Roman" w:cs="Arial"/>
          <w:bCs/>
          <w:color w:val="000000"/>
          <w:lang w:val="ru-RU"/>
        </w:rPr>
        <w:t xml:space="preserve"> </w:t>
      </w:r>
      <w:r w:rsidRPr="00B7186C">
        <w:rPr>
          <w:rFonts w:eastAsia="Times New Roman" w:cs="Arial"/>
          <w:bCs/>
          <w:color w:val="000000"/>
          <w:lang w:eastAsia="bg-BG"/>
        </w:rPr>
        <w:t xml:space="preserve">при пациенти с ХОББ на възраст под 65 години до 275 </w:t>
      </w:r>
      <w:r w:rsidRPr="00B7186C">
        <w:rPr>
          <w:rFonts w:eastAsia="Times New Roman" w:cs="Arial"/>
          <w:bCs/>
          <w:color w:val="000000"/>
          <w:lang w:val="en-US"/>
        </w:rPr>
        <w:t>ml</w:t>
      </w:r>
      <w:r w:rsidRPr="00B7186C">
        <w:rPr>
          <w:rFonts w:eastAsia="Times New Roman" w:cs="Arial"/>
          <w:bCs/>
          <w:color w:val="000000"/>
          <w:lang w:val="ru-RU"/>
        </w:rPr>
        <w:t>/</w:t>
      </w:r>
      <w:r w:rsidRPr="00B7186C">
        <w:rPr>
          <w:rFonts w:eastAsia="Times New Roman" w:cs="Arial"/>
          <w:bCs/>
          <w:color w:val="000000"/>
          <w:lang w:val="en-US"/>
        </w:rPr>
        <w:t>min</w:t>
      </w:r>
      <w:r w:rsidRPr="00B7186C">
        <w:rPr>
          <w:rFonts w:eastAsia="Times New Roman" w:cs="Arial"/>
          <w:bCs/>
          <w:color w:val="000000"/>
          <w:lang w:val="ru-RU"/>
        </w:rPr>
        <w:t xml:space="preserve"> </w:t>
      </w:r>
      <w:r w:rsidRPr="00B7186C">
        <w:rPr>
          <w:rFonts w:eastAsia="Times New Roman" w:cs="Arial"/>
          <w:bCs/>
          <w:color w:val="000000"/>
          <w:lang w:eastAsia="bg-BG"/>
        </w:rPr>
        <w:t xml:space="preserve">при пациенти с ХОББ на възраст над 65 години). Това не води до съответно увеличение на стойностите на </w:t>
      </w:r>
      <w:r w:rsidRPr="00B7186C">
        <w:rPr>
          <w:rFonts w:eastAsia="Times New Roman" w:cs="Arial"/>
          <w:bCs/>
          <w:color w:val="000000"/>
          <w:lang w:val="en-US"/>
        </w:rPr>
        <w:t>AUC</w:t>
      </w:r>
      <w:r w:rsidRPr="00B7186C">
        <w:rPr>
          <w:rFonts w:eastAsia="Times New Roman" w:cs="Arial"/>
          <w:bCs/>
          <w:color w:val="000000"/>
          <w:vertAlign w:val="subscript"/>
          <w:lang w:val="ru-RU"/>
        </w:rPr>
        <w:t>0-6,</w:t>
      </w:r>
      <w:proofErr w:type="spellStart"/>
      <w:r w:rsidRPr="00B7186C">
        <w:rPr>
          <w:rFonts w:eastAsia="Times New Roman" w:cs="Arial"/>
          <w:bCs/>
          <w:color w:val="000000"/>
          <w:vertAlign w:val="subscript"/>
          <w:lang w:val="en-US"/>
        </w:rPr>
        <w:t>ss</w:t>
      </w:r>
      <w:proofErr w:type="spellEnd"/>
      <w:r w:rsidRPr="00B7186C">
        <w:rPr>
          <w:rFonts w:eastAsia="Times New Roman" w:cs="Arial"/>
          <w:bCs/>
          <w:color w:val="000000"/>
          <w:lang w:val="ru-RU"/>
        </w:rPr>
        <w:t xml:space="preserve"> </w:t>
      </w:r>
      <w:r w:rsidRPr="00B7186C">
        <w:rPr>
          <w:rFonts w:eastAsia="Times New Roman" w:cs="Arial"/>
          <w:bCs/>
          <w:color w:val="000000"/>
          <w:lang w:eastAsia="bg-BG"/>
        </w:rPr>
        <w:t>или С</w:t>
      </w:r>
      <w:r w:rsidRPr="00B7186C">
        <w:rPr>
          <w:rFonts w:eastAsia="Times New Roman" w:cs="Arial"/>
          <w:bCs/>
          <w:color w:val="000000"/>
          <w:vertAlign w:val="subscript"/>
          <w:lang w:val="en-US"/>
        </w:rPr>
        <w:t>max</w:t>
      </w:r>
      <w:r w:rsidRPr="00B7186C">
        <w:rPr>
          <w:rFonts w:eastAsia="Times New Roman" w:cs="Arial"/>
          <w:bCs/>
          <w:color w:val="000000"/>
          <w:vertAlign w:val="subscript"/>
          <w:lang w:val="ru-RU"/>
        </w:rPr>
        <w:t>,</w:t>
      </w:r>
      <w:proofErr w:type="spellStart"/>
      <w:r w:rsidRPr="00B7186C">
        <w:rPr>
          <w:rFonts w:eastAsia="Times New Roman" w:cs="Arial"/>
          <w:bCs/>
          <w:color w:val="000000"/>
          <w:vertAlign w:val="subscript"/>
          <w:lang w:val="en-US"/>
        </w:rPr>
        <w:t>ss</w:t>
      </w:r>
      <w:proofErr w:type="spellEnd"/>
      <w:r w:rsidRPr="00B7186C">
        <w:rPr>
          <w:rFonts w:eastAsia="Times New Roman" w:cs="Arial"/>
          <w:bCs/>
          <w:color w:val="000000"/>
          <w:lang w:val="ru-RU"/>
        </w:rPr>
        <w:t xml:space="preserve">. </w:t>
      </w:r>
      <w:r w:rsidRPr="00B7186C">
        <w:rPr>
          <w:rFonts w:eastAsia="Times New Roman" w:cs="Arial"/>
          <w:bCs/>
          <w:color w:val="000000"/>
          <w:lang w:eastAsia="bg-BG"/>
        </w:rPr>
        <w:t>Не е установена възрастова разлика по отношение на експозицията при пациенти с астма.</w:t>
      </w:r>
    </w:p>
    <w:p w14:paraId="4950A3D7" w14:textId="77777777" w:rsidR="00B7186C" w:rsidRPr="00B7186C" w:rsidRDefault="00B7186C" w:rsidP="00B7186C">
      <w:pPr>
        <w:spacing w:line="240" w:lineRule="auto"/>
        <w:rPr>
          <w:rFonts w:eastAsia="Times New Roman" w:cs="Arial"/>
          <w:bCs/>
          <w:i/>
          <w:iCs/>
          <w:color w:val="000000"/>
          <w:lang w:eastAsia="bg-BG"/>
        </w:rPr>
      </w:pPr>
    </w:p>
    <w:p w14:paraId="5657EA38" w14:textId="00795222" w:rsidR="00B7186C" w:rsidRPr="00B7186C" w:rsidRDefault="00B7186C" w:rsidP="00B7186C">
      <w:pPr>
        <w:spacing w:line="240" w:lineRule="auto"/>
        <w:rPr>
          <w:rFonts w:eastAsia="Times New Roman" w:cs="Arial"/>
        </w:rPr>
      </w:pPr>
      <w:r w:rsidRPr="00B7186C">
        <w:rPr>
          <w:rFonts w:eastAsia="Times New Roman" w:cs="Arial"/>
          <w:bCs/>
          <w:i/>
          <w:iCs/>
          <w:color w:val="000000"/>
          <w:lang w:eastAsia="bg-BG"/>
        </w:rPr>
        <w:t>Пациенти с нарушения в бъбречната функция:</w:t>
      </w:r>
      <w:r w:rsidRPr="00B7186C">
        <w:rPr>
          <w:rFonts w:eastAsia="Times New Roman" w:cs="Arial"/>
          <w:bCs/>
          <w:color w:val="000000"/>
          <w:lang w:eastAsia="bg-BG"/>
        </w:rPr>
        <w:t xml:space="preserve"> След инхалаторно приложение веднъж дневно на тиотропиум при пациенти с ХОББ в стабилно състояние, леко бъбречно увреждане </w:t>
      </w:r>
      <w:r w:rsidRPr="00B7186C">
        <w:rPr>
          <w:rFonts w:eastAsia="Times New Roman" w:cs="Arial"/>
          <w:bCs/>
          <w:smallCaps/>
          <w:color w:val="000000"/>
          <w:lang w:val="ru-RU"/>
        </w:rPr>
        <w:t>(</w:t>
      </w:r>
      <w:proofErr w:type="spellStart"/>
      <w:r w:rsidRPr="00B7186C">
        <w:rPr>
          <w:rFonts w:eastAsia="Times New Roman" w:cs="Arial"/>
          <w:bCs/>
          <w:smallCaps/>
          <w:color w:val="000000"/>
          <w:lang w:val="en-US"/>
        </w:rPr>
        <w:t>CLcr</w:t>
      </w:r>
      <w:proofErr w:type="spellEnd"/>
      <w:r w:rsidRPr="00B7186C">
        <w:rPr>
          <w:rFonts w:eastAsia="Times New Roman" w:cs="Arial"/>
          <w:bCs/>
          <w:color w:val="000000"/>
          <w:lang w:val="ru-RU"/>
        </w:rPr>
        <w:t xml:space="preserve"> </w:t>
      </w:r>
      <w:r w:rsidRPr="00B7186C">
        <w:rPr>
          <w:rFonts w:eastAsia="Times New Roman" w:cs="Arial"/>
          <w:bCs/>
          <w:color w:val="000000"/>
          <w:lang w:eastAsia="bg-BG"/>
        </w:rPr>
        <w:t xml:space="preserve">50- 80 </w:t>
      </w:r>
      <w:r w:rsidRPr="00B7186C">
        <w:rPr>
          <w:rFonts w:eastAsia="Times New Roman" w:cs="Arial"/>
          <w:bCs/>
          <w:color w:val="000000"/>
          <w:lang w:val="en-US"/>
        </w:rPr>
        <w:t>ml</w:t>
      </w:r>
      <w:r w:rsidRPr="00B7186C">
        <w:rPr>
          <w:rFonts w:eastAsia="Times New Roman" w:cs="Arial"/>
          <w:bCs/>
          <w:color w:val="000000"/>
          <w:lang w:val="ru-RU"/>
        </w:rPr>
        <w:t>/</w:t>
      </w:r>
      <w:r w:rsidRPr="00B7186C">
        <w:rPr>
          <w:rFonts w:eastAsia="Times New Roman" w:cs="Arial"/>
          <w:bCs/>
          <w:color w:val="000000"/>
          <w:lang w:val="en-US"/>
        </w:rPr>
        <w:t>min</w:t>
      </w:r>
      <w:r w:rsidRPr="00B7186C">
        <w:rPr>
          <w:rFonts w:eastAsia="Times New Roman" w:cs="Arial"/>
          <w:bCs/>
          <w:color w:val="000000"/>
          <w:lang w:val="ru-RU"/>
        </w:rPr>
        <w:t xml:space="preserve">) </w:t>
      </w:r>
      <w:r w:rsidRPr="00B7186C">
        <w:rPr>
          <w:rFonts w:eastAsia="Times New Roman" w:cs="Arial"/>
          <w:bCs/>
          <w:color w:val="000000"/>
          <w:lang w:eastAsia="bg-BG"/>
        </w:rPr>
        <w:t>води до малко по-висока А</w:t>
      </w:r>
      <w:r w:rsidRPr="00B7186C">
        <w:rPr>
          <w:rFonts w:eastAsia="Times New Roman" w:cs="Arial"/>
          <w:bCs/>
          <w:color w:val="000000"/>
          <w:lang w:val="en-US"/>
        </w:rPr>
        <w:t>UC</w:t>
      </w:r>
      <w:r w:rsidRPr="00B7186C">
        <w:rPr>
          <w:rFonts w:eastAsia="Times New Roman" w:cs="Arial"/>
          <w:bCs/>
          <w:color w:val="000000"/>
          <w:vertAlign w:val="subscript"/>
          <w:lang w:val="ru-RU"/>
        </w:rPr>
        <w:t>0-6,</w:t>
      </w:r>
      <w:proofErr w:type="spellStart"/>
      <w:r w:rsidRPr="00B7186C">
        <w:rPr>
          <w:rFonts w:eastAsia="Times New Roman" w:cs="Arial"/>
          <w:bCs/>
          <w:color w:val="000000"/>
          <w:vertAlign w:val="subscript"/>
          <w:lang w:val="en-US"/>
        </w:rPr>
        <w:t>ss</w:t>
      </w:r>
      <w:proofErr w:type="spellEnd"/>
      <w:r w:rsidRPr="00B7186C">
        <w:rPr>
          <w:rFonts w:eastAsia="Times New Roman" w:cs="Arial"/>
          <w:bCs/>
          <w:color w:val="000000"/>
          <w:lang w:eastAsia="bg-BG"/>
        </w:rPr>
        <w:t xml:space="preserve">(повишение между 1,8-30%) и подобни стойности на Стаява в сравнение с пациенти с нормална бъбречна функция </w:t>
      </w:r>
      <w:r w:rsidRPr="00B7186C">
        <w:rPr>
          <w:rFonts w:eastAsia="Times New Roman" w:cs="Arial"/>
          <w:bCs/>
          <w:smallCaps/>
          <w:color w:val="000000"/>
          <w:lang w:val="ru-RU"/>
        </w:rPr>
        <w:t>(</w:t>
      </w:r>
      <w:proofErr w:type="spellStart"/>
      <w:r w:rsidRPr="00B7186C">
        <w:rPr>
          <w:rFonts w:eastAsia="Times New Roman" w:cs="Arial"/>
          <w:bCs/>
          <w:smallCaps/>
          <w:color w:val="000000"/>
          <w:lang w:val="en-US"/>
        </w:rPr>
        <w:t>CLcr</w:t>
      </w:r>
      <w:proofErr w:type="spellEnd"/>
      <w:r w:rsidRPr="00B7186C">
        <w:rPr>
          <w:rFonts w:eastAsia="Times New Roman" w:cs="Arial"/>
          <w:bCs/>
          <w:smallCaps/>
          <w:color w:val="000000"/>
          <w:lang w:val="ru-RU"/>
        </w:rPr>
        <w:t>&gt;80</w:t>
      </w:r>
      <w:r w:rsidRPr="00B7186C">
        <w:rPr>
          <w:rFonts w:eastAsia="Times New Roman" w:cs="Arial"/>
          <w:bCs/>
          <w:color w:val="000000"/>
          <w:lang w:val="ru-RU"/>
        </w:rPr>
        <w:t xml:space="preserve"> </w:t>
      </w:r>
      <w:r w:rsidRPr="00B7186C">
        <w:rPr>
          <w:rFonts w:eastAsia="Times New Roman" w:cs="Arial"/>
          <w:bCs/>
          <w:color w:val="000000"/>
          <w:lang w:val="en-US"/>
        </w:rPr>
        <w:t>ml</w:t>
      </w:r>
      <w:r w:rsidRPr="00B7186C">
        <w:rPr>
          <w:rFonts w:eastAsia="Times New Roman" w:cs="Arial"/>
          <w:bCs/>
          <w:color w:val="000000"/>
          <w:lang w:val="ru-RU"/>
        </w:rPr>
        <w:t>/</w:t>
      </w:r>
      <w:r w:rsidRPr="00B7186C">
        <w:rPr>
          <w:rFonts w:eastAsia="Times New Roman" w:cs="Arial"/>
          <w:bCs/>
          <w:color w:val="000000"/>
          <w:lang w:val="en-US"/>
        </w:rPr>
        <w:t>min</w:t>
      </w:r>
      <w:r w:rsidRPr="00B7186C">
        <w:rPr>
          <w:rFonts w:eastAsia="Times New Roman" w:cs="Arial"/>
          <w:bCs/>
          <w:color w:val="000000"/>
          <w:lang w:val="ru-RU"/>
        </w:rPr>
        <w:t xml:space="preserve">). </w:t>
      </w:r>
      <w:r w:rsidRPr="00B7186C">
        <w:rPr>
          <w:rFonts w:eastAsia="Times New Roman" w:cs="Arial"/>
          <w:bCs/>
          <w:color w:val="000000"/>
          <w:lang w:eastAsia="bg-BG"/>
        </w:rPr>
        <w:t xml:space="preserve">При пациенти с ХОББ, страдащи от умерено до тежко бъбречно нарушение </w:t>
      </w:r>
      <w:r w:rsidRPr="00B7186C">
        <w:rPr>
          <w:rFonts w:eastAsia="Times New Roman" w:cs="Arial"/>
          <w:bCs/>
          <w:smallCaps/>
          <w:color w:val="000000"/>
          <w:lang w:val="ru-RU"/>
        </w:rPr>
        <w:t>(</w:t>
      </w:r>
      <w:proofErr w:type="spellStart"/>
      <w:r w:rsidRPr="00B7186C">
        <w:rPr>
          <w:rFonts w:eastAsia="Times New Roman" w:cs="Arial"/>
          <w:bCs/>
          <w:smallCaps/>
          <w:color w:val="000000"/>
          <w:lang w:val="en-US"/>
        </w:rPr>
        <w:t>CLcr</w:t>
      </w:r>
      <w:proofErr w:type="spellEnd"/>
      <w:r w:rsidRPr="00B7186C">
        <w:rPr>
          <w:rFonts w:eastAsia="Times New Roman" w:cs="Arial"/>
          <w:bCs/>
          <w:color w:val="000000"/>
          <w:lang w:val="ru-RU"/>
        </w:rPr>
        <w:t xml:space="preserve"> </w:t>
      </w:r>
      <w:r w:rsidRPr="00B7186C">
        <w:rPr>
          <w:rFonts w:eastAsia="Times New Roman" w:cs="Arial"/>
          <w:bCs/>
          <w:color w:val="000000"/>
          <w:lang w:eastAsia="bg-BG"/>
        </w:rPr>
        <w:t xml:space="preserve">&lt;50 </w:t>
      </w:r>
      <w:r w:rsidRPr="00B7186C">
        <w:rPr>
          <w:rFonts w:eastAsia="Times New Roman" w:cs="Arial"/>
          <w:bCs/>
          <w:color w:val="000000"/>
          <w:lang w:val="en-US"/>
        </w:rPr>
        <w:t>ml</w:t>
      </w:r>
      <w:r w:rsidRPr="00B7186C">
        <w:rPr>
          <w:rFonts w:eastAsia="Times New Roman" w:cs="Arial"/>
          <w:bCs/>
          <w:color w:val="000000"/>
          <w:lang w:val="ru-RU"/>
        </w:rPr>
        <w:t>/</w:t>
      </w:r>
      <w:r w:rsidRPr="00B7186C">
        <w:rPr>
          <w:rFonts w:eastAsia="Times New Roman" w:cs="Arial"/>
          <w:bCs/>
          <w:color w:val="000000"/>
          <w:lang w:val="en-US"/>
        </w:rPr>
        <w:t>min</w:t>
      </w:r>
      <w:r w:rsidRPr="00B7186C">
        <w:rPr>
          <w:rFonts w:eastAsia="Times New Roman" w:cs="Arial"/>
          <w:bCs/>
          <w:color w:val="000000"/>
          <w:lang w:val="ru-RU"/>
        </w:rPr>
        <w:t xml:space="preserve">), </w:t>
      </w:r>
      <w:r w:rsidRPr="00B7186C">
        <w:rPr>
          <w:rFonts w:eastAsia="Times New Roman" w:cs="Arial"/>
          <w:bCs/>
          <w:color w:val="000000"/>
          <w:lang w:eastAsia="bg-BG"/>
        </w:rPr>
        <w:t>след интравенозно приложение на еднократна доза тиотропиум се наблюдава удвояване на общата експозиция (82 % повишение в А</w:t>
      </w:r>
      <w:r w:rsidRPr="00B7186C">
        <w:rPr>
          <w:rFonts w:eastAsia="Times New Roman" w:cs="Arial"/>
          <w:bCs/>
          <w:color w:val="000000"/>
          <w:lang w:val="en-US"/>
        </w:rPr>
        <w:t>UC</w:t>
      </w:r>
      <w:r w:rsidRPr="00B7186C">
        <w:rPr>
          <w:rFonts w:eastAsia="Times New Roman" w:cs="Arial"/>
          <w:bCs/>
          <w:color w:val="000000"/>
          <w:vertAlign w:val="subscript"/>
          <w:lang w:val="ru-RU"/>
        </w:rPr>
        <w:t>0-4</w:t>
      </w:r>
      <w:r w:rsidRPr="00B7186C">
        <w:rPr>
          <w:rFonts w:eastAsia="Times New Roman" w:cs="Arial"/>
          <w:bCs/>
          <w:color w:val="000000"/>
          <w:vertAlign w:val="subscript"/>
          <w:lang w:val="en-US"/>
        </w:rPr>
        <w:t>h</w:t>
      </w:r>
      <w:r w:rsidRPr="00B7186C">
        <w:rPr>
          <w:rFonts w:eastAsia="Times New Roman" w:cs="Arial"/>
          <w:bCs/>
          <w:color w:val="000000"/>
          <w:lang w:eastAsia="bg-BG"/>
        </w:rPr>
        <w:t xml:space="preserve"> и 52% повишение на С</w:t>
      </w:r>
      <w:r w:rsidRPr="00B7186C">
        <w:rPr>
          <w:rFonts w:eastAsia="Times New Roman" w:cs="Arial"/>
          <w:bCs/>
          <w:color w:val="000000"/>
          <w:vertAlign w:val="subscript"/>
          <w:lang w:val="en-US"/>
        </w:rPr>
        <w:t>max</w:t>
      </w:r>
      <w:r w:rsidRPr="00B7186C">
        <w:rPr>
          <w:rFonts w:eastAsia="Times New Roman" w:cs="Arial"/>
          <w:bCs/>
          <w:color w:val="000000"/>
          <w:lang w:eastAsia="bg-BG"/>
        </w:rPr>
        <w:t>) в сравнение с пациенти с ХОББ с нормална бъбречна функция, което е било потвърдено от плазмените концентрации след инхалаторно приложение на прах за инхалация.</w:t>
      </w:r>
    </w:p>
    <w:p w14:paraId="05C15A90"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 xml:space="preserve">При пациентите с астма и леко бъбречно увреждане </w:t>
      </w:r>
      <w:r w:rsidRPr="00B7186C">
        <w:rPr>
          <w:rFonts w:eastAsia="Times New Roman" w:cs="Arial"/>
          <w:bCs/>
          <w:smallCaps/>
          <w:color w:val="000000"/>
          <w:lang w:val="ru-RU"/>
        </w:rPr>
        <w:t>(</w:t>
      </w:r>
      <w:proofErr w:type="spellStart"/>
      <w:r w:rsidRPr="00B7186C">
        <w:rPr>
          <w:rFonts w:eastAsia="Times New Roman" w:cs="Arial"/>
          <w:bCs/>
          <w:smallCaps/>
          <w:color w:val="000000"/>
          <w:lang w:val="en-US"/>
        </w:rPr>
        <w:t>CLcr</w:t>
      </w:r>
      <w:proofErr w:type="spellEnd"/>
      <w:r w:rsidRPr="00B7186C">
        <w:rPr>
          <w:rFonts w:eastAsia="Times New Roman" w:cs="Arial"/>
          <w:bCs/>
          <w:color w:val="000000"/>
          <w:lang w:val="ru-RU"/>
        </w:rPr>
        <w:t xml:space="preserve"> </w:t>
      </w:r>
      <w:r w:rsidRPr="00B7186C">
        <w:rPr>
          <w:rFonts w:eastAsia="Times New Roman" w:cs="Arial"/>
          <w:bCs/>
          <w:color w:val="000000"/>
          <w:lang w:eastAsia="bg-BG"/>
        </w:rPr>
        <w:t xml:space="preserve">50-80 </w:t>
      </w:r>
      <w:r w:rsidRPr="00B7186C">
        <w:rPr>
          <w:rFonts w:eastAsia="Times New Roman" w:cs="Arial"/>
          <w:bCs/>
          <w:color w:val="000000"/>
          <w:lang w:val="en-US"/>
        </w:rPr>
        <w:t>ml</w:t>
      </w:r>
      <w:r w:rsidRPr="00B7186C">
        <w:rPr>
          <w:rFonts w:eastAsia="Times New Roman" w:cs="Arial"/>
          <w:bCs/>
          <w:color w:val="000000"/>
          <w:lang w:val="ru-RU"/>
        </w:rPr>
        <w:t>/</w:t>
      </w:r>
      <w:r w:rsidRPr="00B7186C">
        <w:rPr>
          <w:rFonts w:eastAsia="Times New Roman" w:cs="Arial"/>
          <w:bCs/>
          <w:color w:val="000000"/>
          <w:lang w:val="en-US"/>
        </w:rPr>
        <w:t>min</w:t>
      </w:r>
      <w:r w:rsidRPr="00B7186C">
        <w:rPr>
          <w:rFonts w:eastAsia="Times New Roman" w:cs="Arial"/>
          <w:bCs/>
          <w:color w:val="000000"/>
          <w:lang w:val="ru-RU"/>
        </w:rPr>
        <w:t xml:space="preserve">) </w:t>
      </w:r>
      <w:r w:rsidRPr="00B7186C">
        <w:rPr>
          <w:rFonts w:eastAsia="Times New Roman" w:cs="Arial"/>
          <w:bCs/>
          <w:color w:val="000000"/>
          <w:lang w:eastAsia="bg-BG"/>
        </w:rPr>
        <w:t>инхалаторният тиотропиум не води до значимо повишение на експозицията в сравнение с пациенти с нормална бъбречна функция.</w:t>
      </w:r>
    </w:p>
    <w:p w14:paraId="2B79880D" w14:textId="77777777" w:rsidR="00B7186C" w:rsidRPr="00B7186C" w:rsidRDefault="00B7186C" w:rsidP="00B7186C">
      <w:pPr>
        <w:spacing w:line="240" w:lineRule="auto"/>
        <w:rPr>
          <w:rFonts w:eastAsia="Times New Roman" w:cs="Arial"/>
          <w:bCs/>
          <w:i/>
          <w:iCs/>
          <w:color w:val="000000"/>
          <w:lang w:eastAsia="bg-BG"/>
        </w:rPr>
      </w:pPr>
    </w:p>
    <w:p w14:paraId="73DAFE49" w14:textId="77777777" w:rsidR="00B7186C" w:rsidRPr="00B7186C" w:rsidRDefault="00B7186C" w:rsidP="00B7186C">
      <w:pPr>
        <w:spacing w:line="240" w:lineRule="auto"/>
        <w:rPr>
          <w:rFonts w:eastAsia="Times New Roman" w:cs="Arial"/>
          <w:bCs/>
          <w:color w:val="000000"/>
          <w:lang w:eastAsia="bg-BG"/>
        </w:rPr>
      </w:pPr>
      <w:r w:rsidRPr="00B7186C">
        <w:rPr>
          <w:rFonts w:eastAsia="Times New Roman" w:cs="Arial"/>
          <w:bCs/>
          <w:i/>
          <w:iCs/>
          <w:color w:val="000000"/>
          <w:lang w:eastAsia="bg-BG"/>
        </w:rPr>
        <w:t>Пациенти с нарушения в чернодробната функция:</w:t>
      </w:r>
      <w:r w:rsidRPr="00B7186C">
        <w:rPr>
          <w:rFonts w:eastAsia="Times New Roman" w:cs="Arial"/>
          <w:bCs/>
          <w:color w:val="000000"/>
          <w:lang w:eastAsia="bg-BG"/>
        </w:rPr>
        <w:t xml:space="preserve"> Не се очаква наличието на чернодробна недостатъчност да окаже съществено влияние върху фармакокинетиката на тиотропиум. Освобождаването на тиотропиум е предимно посредством бъбречно елиминиране (74% при млади здрави доброволци) и просто, не-ензимно естерно разцепване до фармакологично неактивни </w:t>
      </w:r>
    </w:p>
    <w:p w14:paraId="65BBEF39" w14:textId="706528CC"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продукти.</w:t>
      </w:r>
    </w:p>
    <w:p w14:paraId="261D7287" w14:textId="77777777" w:rsidR="00B7186C" w:rsidRPr="00B7186C" w:rsidRDefault="00B7186C" w:rsidP="00B7186C">
      <w:pPr>
        <w:spacing w:line="240" w:lineRule="auto"/>
        <w:rPr>
          <w:rFonts w:eastAsia="Times New Roman" w:cs="Arial"/>
          <w:bCs/>
          <w:i/>
          <w:iCs/>
          <w:color w:val="000000"/>
          <w:lang w:eastAsia="bg-BG"/>
        </w:rPr>
      </w:pPr>
    </w:p>
    <w:p w14:paraId="75D53E49" w14:textId="335A312E" w:rsidR="00B7186C" w:rsidRPr="00B7186C" w:rsidRDefault="00B7186C" w:rsidP="00B7186C">
      <w:pPr>
        <w:spacing w:line="240" w:lineRule="auto"/>
        <w:rPr>
          <w:rFonts w:eastAsia="Times New Roman" w:cs="Arial"/>
        </w:rPr>
      </w:pPr>
      <w:r w:rsidRPr="00B7186C">
        <w:rPr>
          <w:rFonts w:eastAsia="Times New Roman" w:cs="Arial"/>
          <w:bCs/>
          <w:i/>
          <w:iCs/>
          <w:color w:val="000000"/>
          <w:lang w:eastAsia="bg-BG"/>
        </w:rPr>
        <w:t>Пациенти от японски произход с ХОББ:</w:t>
      </w:r>
      <w:r w:rsidRPr="00B7186C">
        <w:rPr>
          <w:rFonts w:eastAsia="Times New Roman" w:cs="Arial"/>
          <w:bCs/>
          <w:color w:val="000000"/>
          <w:lang w:eastAsia="bg-BG"/>
        </w:rPr>
        <w:t xml:space="preserve"> В кръстосано сравнително проучване, средните пикови плазмени концентрации в стационарно състояние на тиотропиум 10 минути след прилагане на дозата са били 20% до 70% по-високи при пациенти от японски произход, в сравнение с пациенти от европеидната раса с ХОББ след инхалаторно приложение на тиотропиум, но няма данни за по-висока смъртност или сърдечен риск при пациенти от японски произход в сравнение с пациенти от европеидната раса. Няма достатъчно данни за фармакокинетиката при други етноси или раси.</w:t>
      </w:r>
    </w:p>
    <w:p w14:paraId="1263101A" w14:textId="77777777" w:rsidR="00B7186C" w:rsidRPr="00B7186C" w:rsidRDefault="00B7186C" w:rsidP="00B7186C">
      <w:pPr>
        <w:spacing w:line="240" w:lineRule="auto"/>
        <w:rPr>
          <w:rFonts w:eastAsia="Times New Roman" w:cs="Arial"/>
          <w:bCs/>
          <w:i/>
          <w:iCs/>
          <w:color w:val="000000"/>
          <w:lang w:eastAsia="bg-BG"/>
        </w:rPr>
      </w:pPr>
    </w:p>
    <w:p w14:paraId="10C37BE5" w14:textId="52BF5D17" w:rsidR="00B7186C" w:rsidRPr="00B7186C" w:rsidRDefault="00B7186C" w:rsidP="00B7186C">
      <w:pPr>
        <w:spacing w:line="240" w:lineRule="auto"/>
        <w:rPr>
          <w:rFonts w:eastAsia="Times New Roman" w:cs="Arial"/>
        </w:rPr>
      </w:pPr>
      <w:r w:rsidRPr="00B7186C">
        <w:rPr>
          <w:rFonts w:eastAsia="Times New Roman" w:cs="Arial"/>
          <w:bCs/>
          <w:i/>
          <w:iCs/>
          <w:color w:val="000000"/>
          <w:lang w:eastAsia="bg-BG"/>
        </w:rPr>
        <w:t>Педиатрични пациенти:</w:t>
      </w:r>
    </w:p>
    <w:p w14:paraId="3674BFF5" w14:textId="7D6D79A0" w:rsidR="00B7186C" w:rsidRPr="00B7186C" w:rsidRDefault="00B7186C" w:rsidP="00B7186C">
      <w:pPr>
        <w:spacing w:line="240" w:lineRule="auto"/>
        <w:rPr>
          <w:rFonts w:eastAsia="Times New Roman" w:cs="Arial"/>
        </w:rPr>
      </w:pPr>
      <w:r w:rsidRPr="00B7186C">
        <w:rPr>
          <w:rFonts w:eastAsia="Times New Roman" w:cs="Arial"/>
          <w:bCs/>
          <w:color w:val="000000"/>
          <w:u w:val="single"/>
          <w:lang w:eastAsia="bg-BG"/>
        </w:rPr>
        <w:t>Астма</w:t>
      </w:r>
    </w:p>
    <w:p w14:paraId="6E97676E" w14:textId="39034A18" w:rsidR="00B7186C" w:rsidRPr="00B7186C" w:rsidRDefault="00B7186C" w:rsidP="00B7186C">
      <w:pPr>
        <w:rPr>
          <w:rFonts w:eastAsia="Times New Roman" w:cs="Arial"/>
          <w:bCs/>
          <w:color w:val="000000"/>
          <w:lang w:eastAsia="bg-BG"/>
        </w:rPr>
      </w:pPr>
      <w:r w:rsidRPr="00B7186C">
        <w:rPr>
          <w:rFonts w:eastAsia="Times New Roman" w:cs="Arial"/>
          <w:bCs/>
          <w:color w:val="000000"/>
          <w:lang w:eastAsia="bg-BG"/>
        </w:rPr>
        <w:t xml:space="preserve">Пиковата и обща експозиция </w:t>
      </w:r>
      <w:r w:rsidRPr="00B7186C">
        <w:rPr>
          <w:rFonts w:eastAsia="Times New Roman" w:cs="Arial"/>
          <w:bCs/>
          <w:color w:val="000000"/>
          <w:lang w:val="ru-RU"/>
        </w:rPr>
        <w:t>(</w:t>
      </w:r>
      <w:r w:rsidRPr="00B7186C">
        <w:rPr>
          <w:rFonts w:eastAsia="Times New Roman" w:cs="Arial"/>
          <w:bCs/>
          <w:color w:val="000000"/>
          <w:lang w:val="en-US"/>
        </w:rPr>
        <w:t>AUC</w:t>
      </w:r>
      <w:r w:rsidRPr="00B7186C">
        <w:rPr>
          <w:rFonts w:eastAsia="Times New Roman" w:cs="Arial"/>
          <w:bCs/>
          <w:color w:val="000000"/>
          <w:lang w:val="ru-RU"/>
        </w:rPr>
        <w:t xml:space="preserve"> </w:t>
      </w:r>
      <w:r w:rsidRPr="00B7186C">
        <w:rPr>
          <w:rFonts w:eastAsia="Times New Roman" w:cs="Arial"/>
          <w:bCs/>
          <w:color w:val="000000"/>
          <w:lang w:eastAsia="bg-BG"/>
        </w:rPr>
        <w:t>и уринарна секреция) на тиотропиум е сходна при пациенти с астма на възраст от 6 до 11 години, 12 до 17 години и ≥18 години. Общата експозиция</w:t>
      </w:r>
      <w:r w:rsidRPr="00B7186C">
        <w:rPr>
          <w:rFonts w:eastAsia="Times New Roman" w:cs="Arial"/>
          <w:bCs/>
          <w:color w:val="000000"/>
          <w:lang w:val="ru-RU"/>
        </w:rPr>
        <w:t xml:space="preserve"> </w:t>
      </w:r>
      <w:r w:rsidRPr="00B7186C">
        <w:rPr>
          <w:rFonts w:eastAsia="Times New Roman" w:cs="Arial"/>
          <w:bCs/>
          <w:color w:val="000000"/>
          <w:lang w:eastAsia="bg-BG"/>
        </w:rPr>
        <w:t xml:space="preserve">на тиотрониум при пациенти на възраст от 1 до 5 години е била с 52 до 60% по-ниска в сравнение с по-възрастните групи пациенти въз основа на уринарната екскреция. Данните за обща експозиция, коригирана спрямо повърхността на тялото, са </w:t>
      </w:r>
      <w:r w:rsidRPr="00B7186C">
        <w:rPr>
          <w:rFonts w:eastAsia="Times New Roman" w:cs="Arial"/>
          <w:bCs/>
          <w:color w:val="000000"/>
          <w:lang w:eastAsia="bg-BG"/>
        </w:rPr>
        <w:lastRenderedPageBreak/>
        <w:t>сравними при всички възрастови групи. Спирива Респимат е бил прилаган чрез спейсър и маска за лице при пациенти на възраст от 1 до 5 години.</w:t>
      </w:r>
    </w:p>
    <w:p w14:paraId="4E3E4C64" w14:textId="470571B8" w:rsidR="00B7186C" w:rsidRPr="00B7186C" w:rsidRDefault="00B7186C" w:rsidP="00B7186C">
      <w:pPr>
        <w:rPr>
          <w:rFonts w:eastAsia="Times New Roman" w:cs="Arial"/>
          <w:bCs/>
          <w:color w:val="000000"/>
          <w:lang w:eastAsia="bg-BG"/>
        </w:rPr>
      </w:pPr>
    </w:p>
    <w:p w14:paraId="22092A9F" w14:textId="77777777" w:rsidR="00B7186C" w:rsidRPr="00B7186C" w:rsidRDefault="00B7186C" w:rsidP="00B7186C">
      <w:pPr>
        <w:spacing w:line="240" w:lineRule="auto"/>
        <w:rPr>
          <w:rFonts w:eastAsia="Times New Roman" w:cs="Arial"/>
        </w:rPr>
      </w:pPr>
      <w:r w:rsidRPr="00B7186C">
        <w:rPr>
          <w:rFonts w:eastAsia="Times New Roman" w:cs="Arial"/>
          <w:bCs/>
          <w:color w:val="000000"/>
          <w:u w:val="single"/>
          <w:lang w:eastAsia="bg-BG"/>
        </w:rPr>
        <w:t>ХОББ</w:t>
      </w:r>
    </w:p>
    <w:p w14:paraId="54B4D201"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В програмата при ХОББ (вж. 4.2) не са включени педиатрични пациенти.</w:t>
      </w:r>
    </w:p>
    <w:p w14:paraId="377E6993" w14:textId="77777777" w:rsidR="00B7186C" w:rsidRPr="00B7186C" w:rsidRDefault="00B7186C" w:rsidP="00B7186C">
      <w:pPr>
        <w:spacing w:line="240" w:lineRule="auto"/>
        <w:rPr>
          <w:rFonts w:eastAsia="Times New Roman" w:cs="Arial"/>
          <w:bCs/>
          <w:color w:val="000000"/>
          <w:u w:val="single"/>
          <w:lang w:eastAsia="bg-BG"/>
        </w:rPr>
      </w:pPr>
    </w:p>
    <w:p w14:paraId="37E94BB4" w14:textId="6DB44315" w:rsidR="00B7186C" w:rsidRPr="00B7186C" w:rsidRDefault="00B7186C" w:rsidP="00B7186C">
      <w:pPr>
        <w:spacing w:line="240" w:lineRule="auto"/>
        <w:rPr>
          <w:rFonts w:eastAsia="Times New Roman" w:cs="Arial"/>
        </w:rPr>
      </w:pPr>
      <w:r w:rsidRPr="00B7186C">
        <w:rPr>
          <w:rFonts w:eastAsia="Times New Roman" w:cs="Arial"/>
          <w:bCs/>
          <w:color w:val="000000"/>
          <w:u w:val="single"/>
          <w:lang w:eastAsia="bg-BG"/>
        </w:rPr>
        <w:t>Кистозна Фиброза</w:t>
      </w:r>
    </w:p>
    <w:p w14:paraId="0C09FBFB" w14:textId="77777777" w:rsidR="00B7186C" w:rsidRPr="00B7186C" w:rsidRDefault="00B7186C" w:rsidP="00B7186C">
      <w:pPr>
        <w:spacing w:line="240" w:lineRule="auto"/>
        <w:rPr>
          <w:rFonts w:eastAsia="Times New Roman" w:cs="Arial"/>
        </w:rPr>
      </w:pPr>
      <w:r w:rsidRPr="00B7186C">
        <w:rPr>
          <w:rFonts w:eastAsia="Times New Roman" w:cs="Arial"/>
          <w:bCs/>
          <w:color w:val="000000"/>
          <w:lang w:eastAsia="bg-BG"/>
        </w:rPr>
        <w:t>След инхалиране на 5 μ</w:t>
      </w:r>
      <w:r w:rsidRPr="00B7186C">
        <w:rPr>
          <w:rFonts w:eastAsia="Times New Roman" w:cs="Arial"/>
          <w:bCs/>
          <w:color w:val="000000"/>
          <w:lang w:val="en-US"/>
        </w:rPr>
        <w:t>g</w:t>
      </w:r>
      <w:r w:rsidRPr="00B7186C">
        <w:rPr>
          <w:rFonts w:eastAsia="Times New Roman" w:cs="Arial"/>
          <w:bCs/>
          <w:color w:val="000000"/>
          <w:lang w:val="ru-RU"/>
        </w:rPr>
        <w:t xml:space="preserve"> </w:t>
      </w:r>
      <w:r w:rsidRPr="00B7186C">
        <w:rPr>
          <w:rFonts w:eastAsia="Times New Roman" w:cs="Arial"/>
          <w:bCs/>
          <w:color w:val="000000"/>
          <w:lang w:eastAsia="bg-BG"/>
        </w:rPr>
        <w:t xml:space="preserve">тиотропиум, плазмените нива на тиотропиум при пациенти ≥5 години е кистозна фиброза </w:t>
      </w:r>
      <w:r w:rsidRPr="00B7186C">
        <w:rPr>
          <w:rFonts w:eastAsia="Times New Roman" w:cs="Arial"/>
          <w:bCs/>
          <w:i/>
          <w:iCs/>
          <w:color w:val="000000"/>
          <w:lang w:eastAsia="bg-BG"/>
        </w:rPr>
        <w:t>е</w:t>
      </w:r>
      <w:r w:rsidRPr="00B7186C">
        <w:rPr>
          <w:rFonts w:eastAsia="Times New Roman" w:cs="Arial"/>
          <w:bCs/>
          <w:color w:val="000000"/>
          <w:lang w:eastAsia="bg-BG"/>
        </w:rPr>
        <w:t xml:space="preserve"> 10,1 </w:t>
      </w:r>
      <w:proofErr w:type="spellStart"/>
      <w:r w:rsidRPr="00B7186C">
        <w:rPr>
          <w:rFonts w:eastAsia="Times New Roman" w:cs="Arial"/>
          <w:bCs/>
          <w:i/>
          <w:iCs/>
          <w:color w:val="000000"/>
          <w:lang w:val="en-US"/>
        </w:rPr>
        <w:t>pg</w:t>
      </w:r>
      <w:proofErr w:type="spellEnd"/>
      <w:r w:rsidRPr="00B7186C">
        <w:rPr>
          <w:rFonts w:eastAsia="Times New Roman" w:cs="Arial"/>
          <w:bCs/>
          <w:i/>
          <w:iCs/>
          <w:color w:val="000000"/>
          <w:lang w:val="ru-RU"/>
        </w:rPr>
        <w:t>/</w:t>
      </w:r>
      <w:r w:rsidRPr="00B7186C">
        <w:rPr>
          <w:rFonts w:eastAsia="Times New Roman" w:cs="Arial"/>
          <w:bCs/>
          <w:i/>
          <w:iCs/>
          <w:color w:val="000000"/>
          <w:lang w:val="en-US"/>
        </w:rPr>
        <w:t>ml</w:t>
      </w:r>
      <w:r w:rsidRPr="00B7186C">
        <w:rPr>
          <w:rFonts w:eastAsia="Times New Roman" w:cs="Arial"/>
          <w:bCs/>
          <w:i/>
          <w:iCs/>
          <w:color w:val="000000"/>
          <w:lang w:val="ru-RU"/>
        </w:rPr>
        <w:t xml:space="preserve">, </w:t>
      </w:r>
      <w:r w:rsidRPr="00B7186C">
        <w:rPr>
          <w:rFonts w:eastAsia="Times New Roman" w:cs="Arial"/>
          <w:bCs/>
          <w:i/>
          <w:iCs/>
          <w:color w:val="000000"/>
          <w:lang w:eastAsia="bg-BG"/>
        </w:rPr>
        <w:t>5 минути след приемане на дозата при</w:t>
      </w:r>
      <w:r w:rsidRPr="00B7186C">
        <w:rPr>
          <w:rFonts w:eastAsia="Times New Roman" w:cs="Arial"/>
          <w:bCs/>
          <w:color w:val="000000"/>
          <w:lang w:eastAsia="bg-BG"/>
        </w:rPr>
        <w:t xml:space="preserve"> стационарно състояние и след това бързо намалява. Фракцията на дозата налична при пациенти с кистозна фиброза на възраст ≥5 години, които са използвали спейсър и маска е приблизително 3 до 4 пъти по-ниска от тази, наблюдавана при кистично фиброзните пациенти на 5 години и повече. Експозицията на тиотропиум е свързана с телесното тегло при пациентите с кистозана фиброза на възраст &lt;5 години.</w:t>
      </w:r>
    </w:p>
    <w:p w14:paraId="3E291146" w14:textId="77777777" w:rsidR="00B7186C" w:rsidRPr="00B7186C" w:rsidRDefault="00B7186C" w:rsidP="00B7186C">
      <w:pPr>
        <w:spacing w:line="240" w:lineRule="auto"/>
        <w:rPr>
          <w:rFonts w:eastAsia="Times New Roman" w:cs="Arial"/>
          <w:bCs/>
          <w:color w:val="000000"/>
          <w:u w:val="single"/>
          <w:lang w:eastAsia="bg-BG"/>
        </w:rPr>
      </w:pPr>
    </w:p>
    <w:p w14:paraId="76147983" w14:textId="5887F9BF" w:rsidR="00B7186C" w:rsidRPr="00B7186C" w:rsidRDefault="00B7186C" w:rsidP="00B7186C">
      <w:pPr>
        <w:spacing w:line="240" w:lineRule="auto"/>
        <w:rPr>
          <w:rFonts w:eastAsia="Times New Roman" w:cs="Arial"/>
        </w:rPr>
      </w:pPr>
      <w:r w:rsidRPr="00B7186C">
        <w:rPr>
          <w:rFonts w:eastAsia="Times New Roman" w:cs="Arial"/>
          <w:bCs/>
          <w:color w:val="000000"/>
          <w:u w:val="single"/>
          <w:lang w:eastAsia="bg-BG"/>
        </w:rPr>
        <w:t>Г) Фармакокинетични/Фармакодинамични взаимодействия</w:t>
      </w:r>
    </w:p>
    <w:p w14:paraId="3932D222" w14:textId="77777777" w:rsidR="00B7186C" w:rsidRPr="00B7186C" w:rsidRDefault="00B7186C" w:rsidP="00B7186C">
      <w:pPr>
        <w:rPr>
          <w:rFonts w:eastAsia="Times New Roman" w:cs="Arial"/>
          <w:bCs/>
          <w:color w:val="000000"/>
          <w:lang w:eastAsia="bg-BG"/>
        </w:rPr>
      </w:pPr>
    </w:p>
    <w:p w14:paraId="36E86E12" w14:textId="5850CF72" w:rsidR="00B7186C" w:rsidRDefault="00B7186C" w:rsidP="00B7186C">
      <w:pPr>
        <w:rPr>
          <w:rFonts w:eastAsia="Times New Roman" w:cs="Arial"/>
          <w:bCs/>
          <w:color w:val="000000"/>
          <w:lang w:eastAsia="bg-BG"/>
        </w:rPr>
      </w:pPr>
      <w:r w:rsidRPr="00B7186C">
        <w:rPr>
          <w:rFonts w:eastAsia="Times New Roman" w:cs="Arial"/>
          <w:bCs/>
          <w:color w:val="000000"/>
          <w:lang w:eastAsia="bg-BG"/>
        </w:rPr>
        <w:t>Не съществува директна зависимост между фармакокинетиката и фармакодинамиката.</w:t>
      </w:r>
    </w:p>
    <w:p w14:paraId="2F3324CD" w14:textId="77777777" w:rsidR="00B7186C" w:rsidRPr="00B7186C" w:rsidRDefault="00B7186C" w:rsidP="00B7186C">
      <w:pPr>
        <w:rPr>
          <w:rFonts w:cs="Arial"/>
        </w:rPr>
      </w:pPr>
    </w:p>
    <w:p w14:paraId="028E658A" w14:textId="5817A4E3" w:rsidR="00395555" w:rsidRDefault="002C50EE" w:rsidP="008A6AF2">
      <w:pPr>
        <w:pStyle w:val="Heading2"/>
      </w:pPr>
      <w:r>
        <w:t>5.3. Предклинични данни за безопасност</w:t>
      </w:r>
    </w:p>
    <w:p w14:paraId="1E1D7F32" w14:textId="6CA555C3" w:rsidR="00B7186C" w:rsidRDefault="00B7186C" w:rsidP="00B7186C"/>
    <w:p w14:paraId="1B4EFFF4" w14:textId="77777777" w:rsidR="00B7186C" w:rsidRPr="00B7186C" w:rsidRDefault="00B7186C" w:rsidP="00B7186C">
      <w:pPr>
        <w:rPr>
          <w:sz w:val="24"/>
          <w:szCs w:val="24"/>
        </w:rPr>
      </w:pPr>
      <w:r w:rsidRPr="00B7186C">
        <w:rPr>
          <w:lang w:eastAsia="bg-BG"/>
        </w:rPr>
        <w:t>Много от ефектите, наблюдавани при конвенционални проучвания за безопасност, проучвания с многократно дозиране за токсичност и за репродуктивна токсичност, могат да се обяснят с антихолинергичните свойства на тиотропиум бромид. При животни са наблюдавани следните ефекти: намалена консумация на храна, намалено покачване на тегло, сухота в устата и носа, намалена слъзна и слюнна секреция, мидриаза и повишена сърдечна честота. Други наблюдавани важни промени при проучвания с многократно дозиране за токсичност са: слабо дразнене на горните дихателни пътища при плъхове и мишки, проявено чрез ринит и промени в епитела на носната кухина и ларинкса, простатит, придружен с белтъчни натрупвания и литиаза в пикочния мехур на плъхове.</w:t>
      </w:r>
    </w:p>
    <w:p w14:paraId="0E6A33D9" w14:textId="77777777" w:rsidR="00B7186C" w:rsidRDefault="00B7186C" w:rsidP="00B7186C">
      <w:pPr>
        <w:rPr>
          <w:lang w:eastAsia="bg-BG"/>
        </w:rPr>
      </w:pPr>
    </w:p>
    <w:p w14:paraId="40BDE40B" w14:textId="5EE83C9D" w:rsidR="00B7186C" w:rsidRPr="00B7186C" w:rsidRDefault="00B7186C" w:rsidP="00B7186C">
      <w:pPr>
        <w:rPr>
          <w:sz w:val="24"/>
          <w:szCs w:val="24"/>
        </w:rPr>
      </w:pPr>
      <w:r w:rsidRPr="00B7186C">
        <w:rPr>
          <w:lang w:eastAsia="bg-BG"/>
        </w:rPr>
        <w:t>При ювенилни плъхове, които са излагани от ден 7 от постнаталното си развитие до полова зрялост се наблюдават същите преки и непреки фармакологични промени, както при проучванията за токсичност при повтарящи се дози, а също така и ринити. Не се отчита системна токсичност, нито се наблюдават токсикологично зависими ефекти върху ключовите параметри на развитие или върху развитието на трахеалния, или някой основен орган.</w:t>
      </w:r>
    </w:p>
    <w:p w14:paraId="16589210" w14:textId="77777777" w:rsidR="00B7186C" w:rsidRDefault="00B7186C" w:rsidP="00B7186C">
      <w:pPr>
        <w:rPr>
          <w:lang w:eastAsia="bg-BG"/>
        </w:rPr>
      </w:pPr>
    </w:p>
    <w:p w14:paraId="4FE260DF" w14:textId="54F356DF" w:rsidR="00B7186C" w:rsidRPr="00B7186C" w:rsidRDefault="00B7186C" w:rsidP="00B7186C">
      <w:pPr>
        <w:rPr>
          <w:sz w:val="24"/>
          <w:szCs w:val="24"/>
        </w:rPr>
      </w:pPr>
      <w:r w:rsidRPr="00B7186C">
        <w:rPr>
          <w:lang w:eastAsia="bg-BG"/>
        </w:rPr>
        <w:t>Вредните ефекти, по отношение на бременността, ембрионалното/феталното развитие, раждането или постнаталното развитие, биха могли да се демонстрират само при дозови нива, токсични за майчиния организъм. Тиотропиум бромид не показа тератогенност при плъхове и зайци. В основно изпитване върху репродуктивностга и фертилитета при плъхове, не са установени нежелани лекарствени реакции по отношение на фертилитета или размножителната способност както на родителите, така и на тяхното поколение, независимо от приложената доза.</w:t>
      </w:r>
    </w:p>
    <w:p w14:paraId="3AAB33E9" w14:textId="77777777" w:rsidR="00B7186C" w:rsidRPr="00B7186C" w:rsidRDefault="00B7186C" w:rsidP="00B7186C">
      <w:pPr>
        <w:rPr>
          <w:sz w:val="24"/>
          <w:szCs w:val="24"/>
        </w:rPr>
      </w:pPr>
      <w:r w:rsidRPr="00B7186C">
        <w:rPr>
          <w:lang w:eastAsia="bg-BG"/>
        </w:rPr>
        <w:t xml:space="preserve">Респираторните (дразнене) и урогениталните (простатит) промени, както и репродуктивната токсичност, са наблюдавани при локално или системно натоварване пет </w:t>
      </w:r>
      <w:r w:rsidRPr="00B7186C">
        <w:rPr>
          <w:lang w:eastAsia="bg-BG"/>
        </w:rPr>
        <w:lastRenderedPageBreak/>
        <w:t>пъти над терапевтичното. Проучвания върху генотоксичността и карциногенния потенциал не показват опасност за човешкия организъм.</w:t>
      </w:r>
    </w:p>
    <w:p w14:paraId="1DD80750" w14:textId="77777777" w:rsidR="00B7186C" w:rsidRPr="00B7186C" w:rsidRDefault="00B7186C" w:rsidP="00B7186C"/>
    <w:p w14:paraId="6A7820AB" w14:textId="1B53B306" w:rsidR="008A6AF2" w:rsidRDefault="002C50EE" w:rsidP="00395555">
      <w:pPr>
        <w:pStyle w:val="Heading1"/>
      </w:pPr>
      <w:r>
        <w:t>7. ПРИТЕЖАТЕЛ НА РАЗРЕШЕНИЕТО ЗА УПОТРЕБА</w:t>
      </w:r>
    </w:p>
    <w:p w14:paraId="7507A094" w14:textId="40A83ED5" w:rsidR="00B7186C" w:rsidRDefault="00B7186C" w:rsidP="00B7186C"/>
    <w:p w14:paraId="6F417B2F" w14:textId="77777777" w:rsidR="00B7186C" w:rsidRPr="00B7186C" w:rsidRDefault="00B7186C" w:rsidP="00B7186C">
      <w:pPr>
        <w:rPr>
          <w:sz w:val="24"/>
          <w:szCs w:val="24"/>
          <w:lang w:val="en-US"/>
        </w:rPr>
      </w:pPr>
      <w:proofErr w:type="spellStart"/>
      <w:r w:rsidRPr="00B7186C">
        <w:rPr>
          <w:lang w:val="en-US"/>
        </w:rPr>
        <w:t>Boehringer</w:t>
      </w:r>
      <w:proofErr w:type="spellEnd"/>
      <w:r w:rsidRPr="00B7186C">
        <w:rPr>
          <w:lang w:val="en-US"/>
        </w:rPr>
        <w:t xml:space="preserve"> </w:t>
      </w:r>
      <w:proofErr w:type="spellStart"/>
      <w:r w:rsidRPr="00B7186C">
        <w:rPr>
          <w:lang w:val="en-US"/>
        </w:rPr>
        <w:t>Ingelheim</w:t>
      </w:r>
      <w:proofErr w:type="spellEnd"/>
      <w:r w:rsidRPr="00B7186C">
        <w:rPr>
          <w:lang w:val="en-US"/>
        </w:rPr>
        <w:t xml:space="preserve"> International GmbH</w:t>
      </w:r>
    </w:p>
    <w:p w14:paraId="3E1FA599" w14:textId="77777777" w:rsidR="00B7186C" w:rsidRPr="00B7186C" w:rsidRDefault="00B7186C" w:rsidP="00B7186C">
      <w:pPr>
        <w:rPr>
          <w:sz w:val="24"/>
          <w:szCs w:val="24"/>
          <w:lang w:val="en-US"/>
        </w:rPr>
      </w:pPr>
      <w:r w:rsidRPr="00B7186C">
        <w:rPr>
          <w:lang w:val="en-US"/>
        </w:rPr>
        <w:t xml:space="preserve">Binger </w:t>
      </w:r>
      <w:proofErr w:type="spellStart"/>
      <w:r w:rsidRPr="00B7186C">
        <w:rPr>
          <w:lang w:val="en-US"/>
        </w:rPr>
        <w:t>Strasse</w:t>
      </w:r>
      <w:proofErr w:type="spellEnd"/>
      <w:r w:rsidRPr="00B7186C">
        <w:rPr>
          <w:lang w:val="en-US"/>
        </w:rPr>
        <w:t xml:space="preserve"> 173</w:t>
      </w:r>
    </w:p>
    <w:p w14:paraId="5F20AB3B" w14:textId="77777777" w:rsidR="00B7186C" w:rsidRPr="00B7186C" w:rsidRDefault="00B7186C" w:rsidP="00B7186C">
      <w:pPr>
        <w:rPr>
          <w:sz w:val="24"/>
          <w:szCs w:val="24"/>
          <w:lang w:val="ru-RU"/>
        </w:rPr>
      </w:pPr>
      <w:r w:rsidRPr="00B7186C">
        <w:rPr>
          <w:lang w:val="en-US"/>
        </w:rPr>
        <w:t>D</w:t>
      </w:r>
      <w:r w:rsidRPr="00B7186C">
        <w:rPr>
          <w:lang w:val="ru-RU"/>
        </w:rPr>
        <w:t xml:space="preserve">-55216 </w:t>
      </w:r>
      <w:proofErr w:type="spellStart"/>
      <w:r w:rsidRPr="00B7186C">
        <w:rPr>
          <w:lang w:val="en-US"/>
        </w:rPr>
        <w:t>Ingelheim</w:t>
      </w:r>
      <w:proofErr w:type="spellEnd"/>
      <w:r w:rsidRPr="00B7186C">
        <w:rPr>
          <w:lang w:val="ru-RU"/>
        </w:rPr>
        <w:t xml:space="preserve"> </w:t>
      </w:r>
      <w:r w:rsidRPr="00B7186C">
        <w:rPr>
          <w:lang w:val="en-US"/>
        </w:rPr>
        <w:t>am</w:t>
      </w:r>
      <w:r w:rsidRPr="00B7186C">
        <w:rPr>
          <w:lang w:val="ru-RU"/>
        </w:rPr>
        <w:t xml:space="preserve"> </w:t>
      </w:r>
      <w:proofErr w:type="spellStart"/>
      <w:r w:rsidRPr="00B7186C">
        <w:rPr>
          <w:lang w:val="en-US"/>
        </w:rPr>
        <w:t>Rhein</w:t>
      </w:r>
      <w:proofErr w:type="spellEnd"/>
    </w:p>
    <w:p w14:paraId="117F4EF8" w14:textId="0355EFAC" w:rsidR="00B7186C" w:rsidRPr="00B7186C" w:rsidRDefault="00B7186C" w:rsidP="00B7186C">
      <w:r w:rsidRPr="00B7186C">
        <w:rPr>
          <w:lang w:eastAsia="bg-BG"/>
        </w:rPr>
        <w:t>Германия</w:t>
      </w:r>
    </w:p>
    <w:p w14:paraId="04840D59" w14:textId="12D848EB" w:rsidR="002C50EE" w:rsidRDefault="002C50EE" w:rsidP="00395555">
      <w:pPr>
        <w:pStyle w:val="Heading1"/>
      </w:pPr>
      <w:r>
        <w:t>8. НОМЕР НА РАЗРЕШЕНИЕТО ЗА УПОТРЕБА</w:t>
      </w:r>
    </w:p>
    <w:p w14:paraId="14BDC060" w14:textId="77777777" w:rsidR="00B7186C" w:rsidRDefault="00B7186C" w:rsidP="00B7186C"/>
    <w:p w14:paraId="0E721207" w14:textId="194204C5" w:rsidR="00B7186C" w:rsidRPr="00B7186C" w:rsidRDefault="00B7186C" w:rsidP="00B7186C">
      <w:r>
        <w:t>20110382</w:t>
      </w:r>
    </w:p>
    <w:p w14:paraId="2CCB5832" w14:textId="4E89EF4D" w:rsidR="007C605B" w:rsidRDefault="002C50EE" w:rsidP="007C605B">
      <w:pPr>
        <w:pStyle w:val="Heading1"/>
      </w:pPr>
      <w:r>
        <w:t>9. ДАТА НА ПЪРВО РАЗРЕШАВАНЕ/ПОДНОВЯВАНЕ НА РАЗРЕШЕНИЕТО ЗА УПОТРЕБА</w:t>
      </w:r>
    </w:p>
    <w:p w14:paraId="1CAE414E" w14:textId="640C0920" w:rsidR="00B7186C" w:rsidRDefault="00B7186C" w:rsidP="00B7186C"/>
    <w:p w14:paraId="198C710D" w14:textId="77777777" w:rsidR="00B7186C" w:rsidRPr="00B7186C" w:rsidRDefault="00B7186C" w:rsidP="00B7186C">
      <w:pPr>
        <w:rPr>
          <w:sz w:val="24"/>
          <w:szCs w:val="24"/>
        </w:rPr>
      </w:pPr>
      <w:bookmarkStart w:id="3" w:name="_GoBack"/>
      <w:r w:rsidRPr="00B7186C">
        <w:rPr>
          <w:lang w:eastAsia="bg-BG"/>
        </w:rPr>
        <w:t>Дата на първо разрешаване за употреба: 17.06.2011</w:t>
      </w:r>
    </w:p>
    <w:p w14:paraId="3BD9C03D" w14:textId="77777777" w:rsidR="00B7186C" w:rsidRPr="00B7186C" w:rsidRDefault="00B7186C" w:rsidP="00B7186C">
      <w:pPr>
        <w:rPr>
          <w:sz w:val="24"/>
          <w:szCs w:val="24"/>
        </w:rPr>
      </w:pPr>
      <w:r w:rsidRPr="00B7186C">
        <w:rPr>
          <w:lang w:eastAsia="bg-BG"/>
        </w:rPr>
        <w:t>Дата на подновяване на разрешението за употреба: 14.11.2012</w:t>
      </w:r>
    </w:p>
    <w:p w14:paraId="3CC70EE1" w14:textId="2BB0A6B3" w:rsidR="00B7186C" w:rsidRPr="00B7186C" w:rsidRDefault="00B7186C" w:rsidP="00B7186C">
      <w:r w:rsidRPr="00B7186C">
        <w:rPr>
          <w:lang w:eastAsia="bg-BG"/>
        </w:rPr>
        <w:t>Дата на подновяване на разрешението за употреба: 03.08.2017</w:t>
      </w:r>
    </w:p>
    <w:bookmarkEnd w:id="3"/>
    <w:p w14:paraId="0E9D0119" w14:textId="0245C6D7" w:rsidR="002C50EE" w:rsidRDefault="002C50EE" w:rsidP="002C50EE">
      <w:pPr>
        <w:pStyle w:val="Heading1"/>
      </w:pPr>
      <w:r>
        <w:t>10. ДАТА НА АКТУАЛИЗИРАНЕ НА ТЕКСТА</w:t>
      </w:r>
    </w:p>
    <w:bookmarkEnd w:id="0"/>
    <w:p w14:paraId="43FB38A2" w14:textId="1D8A3B61" w:rsidR="007C605B" w:rsidRPr="003E3126" w:rsidRDefault="007C605B" w:rsidP="00395555"/>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0C1101B"/>
    <w:multiLevelType w:val="hybridMultilevel"/>
    <w:tmpl w:val="118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4F599F"/>
    <w:multiLevelType w:val="hybridMultilevel"/>
    <w:tmpl w:val="CDE08E62"/>
    <w:lvl w:ilvl="0" w:tplc="225690D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9297B"/>
    <w:multiLevelType w:val="hybridMultilevel"/>
    <w:tmpl w:val="136C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D62645"/>
    <w:multiLevelType w:val="hybridMultilevel"/>
    <w:tmpl w:val="B6149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06518FD"/>
    <w:multiLevelType w:val="hybridMultilevel"/>
    <w:tmpl w:val="67209844"/>
    <w:lvl w:ilvl="0" w:tplc="225690DA">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A7A2F"/>
    <w:multiLevelType w:val="hybridMultilevel"/>
    <w:tmpl w:val="C3F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EB2883"/>
    <w:multiLevelType w:val="hybridMultilevel"/>
    <w:tmpl w:val="D038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7"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C2FAE"/>
    <w:multiLevelType w:val="hybridMultilevel"/>
    <w:tmpl w:val="D954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0C7F1E"/>
    <w:multiLevelType w:val="hybridMultilevel"/>
    <w:tmpl w:val="F7AAE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977A1"/>
    <w:multiLevelType w:val="hybridMultilevel"/>
    <w:tmpl w:val="500EA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87F1C"/>
    <w:multiLevelType w:val="hybridMultilevel"/>
    <w:tmpl w:val="48AC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251B2C"/>
    <w:multiLevelType w:val="hybridMultilevel"/>
    <w:tmpl w:val="54F0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0C6176"/>
    <w:multiLevelType w:val="hybridMultilevel"/>
    <w:tmpl w:val="632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3"/>
  </w:num>
  <w:num w:numId="2">
    <w:abstractNumId w:val="0"/>
  </w:num>
  <w:num w:numId="3">
    <w:abstractNumId w:val="15"/>
  </w:num>
  <w:num w:numId="4">
    <w:abstractNumId w:val="3"/>
  </w:num>
  <w:num w:numId="5">
    <w:abstractNumId w:val="1"/>
  </w:num>
  <w:num w:numId="6">
    <w:abstractNumId w:val="19"/>
  </w:num>
  <w:num w:numId="7">
    <w:abstractNumId w:val="11"/>
  </w:num>
  <w:num w:numId="8">
    <w:abstractNumId w:val="18"/>
  </w:num>
  <w:num w:numId="9">
    <w:abstractNumId w:val="2"/>
  </w:num>
  <w:num w:numId="10">
    <w:abstractNumId w:val="5"/>
  </w:num>
  <w:num w:numId="11">
    <w:abstractNumId w:val="36"/>
  </w:num>
  <w:num w:numId="12">
    <w:abstractNumId w:val="17"/>
  </w:num>
  <w:num w:numId="13">
    <w:abstractNumId w:val="24"/>
  </w:num>
  <w:num w:numId="14">
    <w:abstractNumId w:val="14"/>
  </w:num>
  <w:num w:numId="15">
    <w:abstractNumId w:val="35"/>
  </w:num>
  <w:num w:numId="16">
    <w:abstractNumId w:val="10"/>
  </w:num>
  <w:num w:numId="17">
    <w:abstractNumId w:val="30"/>
  </w:num>
  <w:num w:numId="18">
    <w:abstractNumId w:val="8"/>
  </w:num>
  <w:num w:numId="19">
    <w:abstractNumId w:val="32"/>
  </w:num>
  <w:num w:numId="20">
    <w:abstractNumId w:val="29"/>
  </w:num>
  <w:num w:numId="21">
    <w:abstractNumId w:val="22"/>
  </w:num>
  <w:num w:numId="22">
    <w:abstractNumId w:val="31"/>
  </w:num>
  <w:num w:numId="23">
    <w:abstractNumId w:val="23"/>
  </w:num>
  <w:num w:numId="24">
    <w:abstractNumId w:val="9"/>
  </w:num>
  <w:num w:numId="25">
    <w:abstractNumId w:val="28"/>
  </w:num>
  <w:num w:numId="26">
    <w:abstractNumId w:val="27"/>
  </w:num>
  <w:num w:numId="27">
    <w:abstractNumId w:val="41"/>
  </w:num>
  <w:num w:numId="28">
    <w:abstractNumId w:val="7"/>
  </w:num>
  <w:num w:numId="29">
    <w:abstractNumId w:val="26"/>
  </w:num>
  <w:num w:numId="30">
    <w:abstractNumId w:val="43"/>
  </w:num>
  <w:num w:numId="31">
    <w:abstractNumId w:val="6"/>
  </w:num>
  <w:num w:numId="32">
    <w:abstractNumId w:val="40"/>
  </w:num>
  <w:num w:numId="33">
    <w:abstractNumId w:val="34"/>
  </w:num>
  <w:num w:numId="34">
    <w:abstractNumId w:val="42"/>
  </w:num>
  <w:num w:numId="35">
    <w:abstractNumId w:val="25"/>
  </w:num>
  <w:num w:numId="36">
    <w:abstractNumId w:val="13"/>
  </w:num>
  <w:num w:numId="37">
    <w:abstractNumId w:val="38"/>
  </w:num>
  <w:num w:numId="38">
    <w:abstractNumId w:val="37"/>
  </w:num>
  <w:num w:numId="39">
    <w:abstractNumId w:val="4"/>
  </w:num>
  <w:num w:numId="40">
    <w:abstractNumId w:val="21"/>
  </w:num>
  <w:num w:numId="41">
    <w:abstractNumId w:val="20"/>
  </w:num>
  <w:num w:numId="42">
    <w:abstractNumId w:val="12"/>
  </w:num>
  <w:num w:numId="43">
    <w:abstractNumId w:val="3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B3C38"/>
    <w:rsid w:val="002B4DBB"/>
    <w:rsid w:val="002B7B4D"/>
    <w:rsid w:val="002C50EE"/>
    <w:rsid w:val="002D6021"/>
    <w:rsid w:val="00340A0A"/>
    <w:rsid w:val="003765DC"/>
    <w:rsid w:val="00395555"/>
    <w:rsid w:val="003E3126"/>
    <w:rsid w:val="004445D6"/>
    <w:rsid w:val="004D4D6B"/>
    <w:rsid w:val="00517A5B"/>
    <w:rsid w:val="00593A00"/>
    <w:rsid w:val="005A66D9"/>
    <w:rsid w:val="00605BCA"/>
    <w:rsid w:val="006158A1"/>
    <w:rsid w:val="00617B1F"/>
    <w:rsid w:val="00672487"/>
    <w:rsid w:val="00672600"/>
    <w:rsid w:val="00681D4A"/>
    <w:rsid w:val="00685882"/>
    <w:rsid w:val="00691430"/>
    <w:rsid w:val="006D024C"/>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7186C"/>
    <w:rsid w:val="00BF2600"/>
    <w:rsid w:val="00C0049F"/>
    <w:rsid w:val="00C07B84"/>
    <w:rsid w:val="00C33464"/>
    <w:rsid w:val="00C809A7"/>
    <w:rsid w:val="00C83063"/>
    <w:rsid w:val="00C87E90"/>
    <w:rsid w:val="00CA1B57"/>
    <w:rsid w:val="00D86297"/>
    <w:rsid w:val="00DD466D"/>
    <w:rsid w:val="00EB6364"/>
    <w:rsid w:val="00F37B64"/>
    <w:rsid w:val="00F849A2"/>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7753</Words>
  <Characters>44198</Characters>
  <Application>Microsoft Office Word</Application>
  <DocSecurity>0</DocSecurity>
  <Lines>368</Lines>
  <Paragraphs>103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2022-01-17T16:29:00Z</dcterms:created>
  <dcterms:modified xsi:type="dcterms:W3CDTF">2022-01-17T16:29:00Z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