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2B31699" w14:textId="77777777" w:rsidR="00154A3F" w:rsidRPr="00154A3F" w:rsidRDefault="00154A3F" w:rsidP="00154A3F">
      <w:pPr>
        <w:spacing w:line="240" w:lineRule="auto"/>
        <w:rPr>
          <w:rFonts w:eastAsia="Times New Roman" w:cs="Arial"/>
          <w:sz w:val="32"/>
          <w:szCs w:val="24"/>
          <w:lang w:val="en-US" w:eastAsia="bg-BG"/>
        </w:rPr>
      </w:pPr>
      <w:r w:rsidRPr="00154A3F">
        <w:rPr>
          <w:rFonts w:eastAsia="Times New Roman" w:cs="Arial"/>
          <w:color w:val="000000"/>
          <w:szCs w:val="18"/>
          <w:lang w:eastAsia="bg-BG"/>
        </w:rPr>
        <w:t xml:space="preserve">Спиронолактон-Чайкафарма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филмирани таблетки</w:t>
      </w:r>
    </w:p>
    <w:p w14:paraId="2B76A833" w14:textId="77777777" w:rsidR="00154A3F" w:rsidRPr="00154A3F" w:rsidRDefault="00154A3F" w:rsidP="00154A3F">
      <w:pPr>
        <w:spacing w:line="240" w:lineRule="auto"/>
        <w:rPr>
          <w:rFonts w:eastAsia="Times New Roman" w:cs="Arial"/>
          <w:sz w:val="32"/>
          <w:szCs w:val="24"/>
          <w:lang w:val="en-US" w:eastAsia="bg-BG"/>
        </w:rPr>
      </w:pPr>
      <w:r w:rsidRPr="00154A3F">
        <w:rPr>
          <w:rFonts w:eastAsia="Times New Roman" w:cs="Arial"/>
          <w:color w:val="000000"/>
          <w:szCs w:val="18"/>
          <w:lang w:eastAsia="bg-BG"/>
        </w:rPr>
        <w:t xml:space="preserve">Спиронолактон-Чайкафарма 50 </w:t>
      </w:r>
      <w:r w:rsidRPr="00154A3F">
        <w:rPr>
          <w:rFonts w:eastAsia="Times New Roman" w:cs="Arial"/>
          <w:color w:val="000000"/>
          <w:szCs w:val="18"/>
          <w:lang w:val="en-US"/>
        </w:rPr>
        <w:t xml:space="preserve">mg </w:t>
      </w:r>
      <w:r w:rsidRPr="00154A3F">
        <w:rPr>
          <w:rFonts w:eastAsia="Times New Roman" w:cs="Arial"/>
          <w:color w:val="000000"/>
          <w:szCs w:val="18"/>
          <w:lang w:eastAsia="bg-BG"/>
        </w:rPr>
        <w:t>филмирани таблетки</w:t>
      </w:r>
    </w:p>
    <w:p w14:paraId="021F845A" w14:textId="77777777" w:rsidR="00154A3F" w:rsidRPr="00154A3F" w:rsidRDefault="00154A3F" w:rsidP="00154A3F">
      <w:pPr>
        <w:spacing w:line="240" w:lineRule="auto"/>
        <w:rPr>
          <w:rFonts w:eastAsia="Times New Roman" w:cs="Arial"/>
          <w:sz w:val="32"/>
          <w:szCs w:val="24"/>
          <w:lang w:val="en-US" w:eastAsia="bg-BG"/>
        </w:rPr>
      </w:pPr>
      <w:r w:rsidRPr="00154A3F">
        <w:rPr>
          <w:rFonts w:eastAsia="Times New Roman" w:cs="Arial"/>
          <w:color w:val="000000"/>
          <w:szCs w:val="18"/>
          <w:lang w:eastAsia="bg-BG"/>
        </w:rPr>
        <w:t xml:space="preserve">Спиронолактон-Чайкафарма 100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филмирани таблетки</w:t>
      </w:r>
    </w:p>
    <w:p w14:paraId="3BA69645" w14:textId="77777777" w:rsidR="00154A3F" w:rsidRPr="00154A3F" w:rsidRDefault="00154A3F" w:rsidP="00154A3F">
      <w:pPr>
        <w:spacing w:line="240" w:lineRule="auto"/>
        <w:rPr>
          <w:rFonts w:eastAsia="Times New Roman" w:cs="Arial"/>
          <w:color w:val="000000"/>
          <w:szCs w:val="18"/>
          <w:lang w:val="en-US"/>
        </w:rPr>
      </w:pPr>
    </w:p>
    <w:p w14:paraId="0E251052" w14:textId="1AE0C307" w:rsidR="00154A3F" w:rsidRPr="00154A3F" w:rsidRDefault="00154A3F" w:rsidP="00154A3F">
      <w:pPr>
        <w:spacing w:line="240" w:lineRule="auto"/>
        <w:rPr>
          <w:rFonts w:eastAsia="Times New Roman" w:cs="Arial"/>
          <w:sz w:val="32"/>
          <w:szCs w:val="24"/>
          <w:lang w:val="en-US" w:eastAsia="bg-BG"/>
        </w:rPr>
      </w:pPr>
      <w:proofErr w:type="spellStart"/>
      <w:r w:rsidRPr="00154A3F">
        <w:rPr>
          <w:rFonts w:eastAsia="Times New Roman" w:cs="Arial"/>
          <w:color w:val="000000"/>
          <w:szCs w:val="18"/>
          <w:lang w:val="en-US"/>
        </w:rPr>
        <w:t>Spironolacton-Tchaikapharma</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 xml:space="preserve">25 </w:t>
      </w:r>
      <w:r w:rsidRPr="00154A3F">
        <w:rPr>
          <w:rFonts w:eastAsia="Times New Roman" w:cs="Arial"/>
          <w:color w:val="000000"/>
          <w:szCs w:val="18"/>
          <w:lang w:val="en-US"/>
        </w:rPr>
        <w:t>mg film-coated tablets</w:t>
      </w:r>
    </w:p>
    <w:p w14:paraId="3EEFBFEE" w14:textId="77777777" w:rsidR="00154A3F" w:rsidRPr="00154A3F" w:rsidRDefault="00154A3F" w:rsidP="00154A3F">
      <w:pPr>
        <w:spacing w:line="240" w:lineRule="auto"/>
        <w:rPr>
          <w:rFonts w:eastAsia="Times New Roman" w:cs="Arial"/>
          <w:sz w:val="32"/>
          <w:szCs w:val="24"/>
          <w:lang w:val="en-US" w:eastAsia="bg-BG"/>
        </w:rPr>
      </w:pPr>
      <w:proofErr w:type="spellStart"/>
      <w:r w:rsidRPr="00154A3F">
        <w:rPr>
          <w:rFonts w:eastAsia="Times New Roman" w:cs="Arial"/>
          <w:color w:val="000000"/>
          <w:szCs w:val="18"/>
          <w:lang w:val="en-US"/>
        </w:rPr>
        <w:t>Spironolacton-Tchaikapharma</w:t>
      </w:r>
      <w:proofErr w:type="spellEnd"/>
      <w:r w:rsidRPr="00154A3F">
        <w:rPr>
          <w:rFonts w:eastAsia="Times New Roman" w:cs="Arial"/>
          <w:color w:val="000000"/>
          <w:szCs w:val="18"/>
          <w:lang w:val="en-US"/>
        </w:rPr>
        <w:t xml:space="preserve"> 50 mg film-coated tablets</w:t>
      </w:r>
    </w:p>
    <w:p w14:paraId="5015A1FD" w14:textId="0EA2E967" w:rsidR="00A73575" w:rsidRPr="00154A3F" w:rsidRDefault="00154A3F" w:rsidP="00154A3F">
      <w:pPr>
        <w:rPr>
          <w:rFonts w:cs="Arial"/>
          <w:sz w:val="28"/>
        </w:rPr>
      </w:pPr>
      <w:proofErr w:type="spellStart"/>
      <w:r w:rsidRPr="00154A3F">
        <w:rPr>
          <w:rFonts w:eastAsia="Times New Roman" w:cs="Arial"/>
          <w:color w:val="000000"/>
          <w:szCs w:val="18"/>
          <w:lang w:val="en-US"/>
        </w:rPr>
        <w:t>Spironolacton-Tchaikapharma</w:t>
      </w:r>
      <w:proofErr w:type="spellEnd"/>
      <w:r w:rsidRPr="00154A3F">
        <w:rPr>
          <w:rFonts w:eastAsia="Times New Roman" w:cs="Arial"/>
          <w:color w:val="000000"/>
          <w:szCs w:val="18"/>
          <w:lang w:val="en-US"/>
        </w:rPr>
        <w:t xml:space="preserve"> 100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3110A50" w14:textId="3750E4EE" w:rsidR="0091385D" w:rsidRPr="00154A3F" w:rsidRDefault="00154A3F" w:rsidP="0091385D">
      <w:pPr>
        <w:rPr>
          <w:rFonts w:cs="Arial"/>
          <w:sz w:val="28"/>
        </w:rPr>
      </w:pPr>
      <w:r w:rsidRPr="00154A3F">
        <w:rPr>
          <w:rFonts w:cs="Arial"/>
          <w:szCs w:val="18"/>
        </w:rPr>
        <w:t xml:space="preserve">Спиронолактон-Чайкафарма съдържа съответно 25 </w:t>
      </w:r>
      <w:r w:rsidRPr="00154A3F">
        <w:rPr>
          <w:rFonts w:cs="Arial"/>
          <w:szCs w:val="18"/>
          <w:lang w:val="en-US"/>
        </w:rPr>
        <w:t xml:space="preserve">mg, </w:t>
      </w:r>
      <w:r w:rsidRPr="00154A3F">
        <w:rPr>
          <w:rFonts w:cs="Arial"/>
          <w:szCs w:val="18"/>
        </w:rPr>
        <w:t xml:space="preserve">50 </w:t>
      </w:r>
      <w:r w:rsidRPr="00154A3F">
        <w:rPr>
          <w:rFonts w:cs="Arial"/>
          <w:szCs w:val="18"/>
          <w:lang w:val="en-US"/>
        </w:rPr>
        <w:t xml:space="preserve">mg </w:t>
      </w:r>
      <w:r w:rsidRPr="00154A3F">
        <w:rPr>
          <w:rFonts w:cs="Arial"/>
          <w:szCs w:val="18"/>
        </w:rPr>
        <w:t xml:space="preserve">или 100 </w:t>
      </w:r>
      <w:r w:rsidRPr="00154A3F">
        <w:rPr>
          <w:rFonts w:cs="Arial"/>
          <w:szCs w:val="18"/>
          <w:lang w:val="en-US"/>
        </w:rPr>
        <w:t xml:space="preserve">mg </w:t>
      </w:r>
      <w:r w:rsidRPr="00154A3F">
        <w:rPr>
          <w:rFonts w:cs="Arial"/>
          <w:szCs w:val="18"/>
        </w:rPr>
        <w:t>спиронолактон като активна съставка. 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2A8DAFC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Спиронолактон-Чайкафарма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представляват бели филмирани таблетки.</w:t>
      </w:r>
    </w:p>
    <w:p w14:paraId="189E4E9A"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Спиронолактон-Чайкафарма 50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представляват бели филмирани таблетки.</w:t>
      </w:r>
    </w:p>
    <w:p w14:paraId="4129ADBB" w14:textId="0C3A187B" w:rsidR="0091385D" w:rsidRPr="00154A3F" w:rsidRDefault="00154A3F" w:rsidP="00154A3F">
      <w:pPr>
        <w:rPr>
          <w:rFonts w:cs="Arial"/>
          <w:sz w:val="28"/>
        </w:rPr>
      </w:pPr>
      <w:r w:rsidRPr="00154A3F">
        <w:rPr>
          <w:rFonts w:eastAsia="Times New Roman" w:cs="Arial"/>
          <w:color w:val="000000"/>
          <w:szCs w:val="18"/>
          <w:lang w:eastAsia="bg-BG"/>
        </w:rPr>
        <w:t xml:space="preserve">Спиронолактон-Чайкафарма 100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представляват бели филмирани таблетки.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C7540F3"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За комплексно лечение на:</w:t>
      </w:r>
    </w:p>
    <w:p w14:paraId="638A3266" w14:textId="77777777" w:rsid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Застойна сърдечна недостатъчност;</w:t>
      </w:r>
    </w:p>
    <w:p w14:paraId="2191F11F" w14:textId="77777777" w:rsid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Чернодробна цироза с асцит и отоци;</w:t>
      </w:r>
    </w:p>
    <w:p w14:paraId="3CC8BC0D" w14:textId="77777777" w:rsid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Малигнен асцит;</w:t>
      </w:r>
    </w:p>
    <w:p w14:paraId="509C44DA" w14:textId="77777777" w:rsid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Нефротичен синдром;</w:t>
      </w:r>
    </w:p>
    <w:p w14:paraId="67C4DA7D" w14:textId="3E0E95F9" w:rsidR="00154A3F" w:rsidRPr="00154A3F" w:rsidRDefault="00154A3F" w:rsidP="00154A3F">
      <w:pPr>
        <w:pStyle w:val="ListParagraph"/>
        <w:numPr>
          <w:ilvl w:val="0"/>
          <w:numId w:val="35"/>
        </w:numPr>
        <w:spacing w:line="240" w:lineRule="auto"/>
        <w:rPr>
          <w:rFonts w:eastAsia="Times New Roman" w:cs="Arial"/>
          <w:color w:val="000000"/>
          <w:szCs w:val="18"/>
          <w:lang w:eastAsia="bg-BG"/>
        </w:rPr>
      </w:pPr>
      <w:r w:rsidRPr="00154A3F">
        <w:rPr>
          <w:rFonts w:eastAsia="Times New Roman" w:cs="Arial"/>
          <w:color w:val="000000"/>
          <w:szCs w:val="18"/>
          <w:lang w:eastAsia="bg-BG"/>
        </w:rPr>
        <w:t>Диагноза и лечение на първичен алдостеронизъм.</w:t>
      </w:r>
    </w:p>
    <w:p w14:paraId="335EA0F0" w14:textId="77777777" w:rsidR="00154A3F" w:rsidRPr="00154A3F" w:rsidRDefault="00154A3F" w:rsidP="00154A3F">
      <w:pPr>
        <w:rPr>
          <w:rFonts w:eastAsia="Times New Roman" w:cs="Arial"/>
          <w:color w:val="000000"/>
          <w:szCs w:val="18"/>
          <w:lang w:eastAsia="bg-BG"/>
        </w:rPr>
      </w:pPr>
    </w:p>
    <w:p w14:paraId="04B2E99C" w14:textId="1E9E20D7" w:rsidR="0091385D" w:rsidRPr="00154A3F" w:rsidRDefault="00154A3F" w:rsidP="00154A3F">
      <w:pPr>
        <w:rPr>
          <w:rFonts w:cs="Arial"/>
          <w:sz w:val="28"/>
        </w:rPr>
      </w:pPr>
      <w:r w:rsidRPr="00154A3F">
        <w:rPr>
          <w:rFonts w:eastAsia="Times New Roman" w:cs="Arial"/>
          <w:color w:val="000000"/>
          <w:szCs w:val="18"/>
          <w:lang w:eastAsia="bg-BG"/>
        </w:rPr>
        <w:t>Децата трябва да бъдат лекувани само под ръководството на специалист педиатър. Наличните педиатрични данни са ограничени (вижте точки 5.1 и 5.2).</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75C3F22E" w14:textId="77777777" w:rsidR="00154A3F" w:rsidRPr="005271CA" w:rsidRDefault="00154A3F" w:rsidP="005271CA">
      <w:pPr>
        <w:pStyle w:val="Heading3"/>
        <w:rPr>
          <w:rFonts w:eastAsia="Times New Roman"/>
          <w:sz w:val="32"/>
          <w:u w:val="single"/>
          <w:lang w:eastAsia="bg-BG"/>
        </w:rPr>
      </w:pPr>
      <w:r w:rsidRPr="005271CA">
        <w:rPr>
          <w:rFonts w:eastAsia="Times New Roman"/>
          <w:u w:val="single"/>
          <w:lang w:eastAsia="bg-BG"/>
        </w:rPr>
        <w:lastRenderedPageBreak/>
        <w:t>Дозировка</w:t>
      </w:r>
    </w:p>
    <w:p w14:paraId="7B0FCC44" w14:textId="77777777" w:rsidR="00154A3F" w:rsidRPr="00154A3F" w:rsidRDefault="00154A3F" w:rsidP="00154A3F">
      <w:pPr>
        <w:spacing w:line="240" w:lineRule="auto"/>
        <w:rPr>
          <w:rFonts w:eastAsia="Times New Roman" w:cs="Arial"/>
          <w:color w:val="000000"/>
          <w:szCs w:val="18"/>
          <w:u w:val="single"/>
          <w:lang w:eastAsia="bg-BG"/>
        </w:rPr>
      </w:pPr>
    </w:p>
    <w:p w14:paraId="792EC0F9" w14:textId="65B8BBF6"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Възрастни</w:t>
      </w:r>
    </w:p>
    <w:p w14:paraId="61184E18" w14:textId="77777777" w:rsidR="00154A3F" w:rsidRPr="00154A3F" w:rsidRDefault="00154A3F" w:rsidP="00154A3F">
      <w:pPr>
        <w:spacing w:line="240" w:lineRule="auto"/>
        <w:rPr>
          <w:rFonts w:eastAsia="Times New Roman" w:cs="Arial"/>
          <w:i/>
          <w:iCs/>
          <w:color w:val="000000"/>
          <w:szCs w:val="18"/>
          <w:u w:val="single"/>
          <w:lang w:eastAsia="bg-BG"/>
        </w:rPr>
      </w:pPr>
    </w:p>
    <w:p w14:paraId="11AE10D0" w14:textId="281C4F3B"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Застойна сърдечна недостатъчност</w:t>
      </w:r>
    </w:p>
    <w:p w14:paraId="5DC7B4E2"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Обичайната дневна доза е 100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спиронолактон, приложен като единична или разделени дози. Поддържащата доза трябва да се определя индивидуално, в зависимост от състоянието и терапевтичния отговор на пациента. Поддържаща дневна доза: 25 </w:t>
      </w:r>
      <w:r w:rsidRPr="00154A3F">
        <w:rPr>
          <w:rFonts w:eastAsia="Times New Roman" w:cs="Arial"/>
          <w:color w:val="000000"/>
          <w:szCs w:val="18"/>
          <w:lang w:val="en-US"/>
        </w:rPr>
        <w:t>mg-200 mg.</w:t>
      </w:r>
    </w:p>
    <w:p w14:paraId="6308DAA4" w14:textId="77777777" w:rsidR="00154A3F" w:rsidRPr="00154A3F" w:rsidRDefault="00154A3F" w:rsidP="00154A3F">
      <w:pPr>
        <w:spacing w:line="240" w:lineRule="auto"/>
        <w:rPr>
          <w:rFonts w:eastAsia="Times New Roman" w:cs="Arial"/>
          <w:i/>
          <w:iCs/>
          <w:color w:val="000000"/>
          <w:szCs w:val="18"/>
          <w:u w:val="single"/>
          <w:lang w:eastAsia="bg-BG"/>
        </w:rPr>
      </w:pPr>
    </w:p>
    <w:p w14:paraId="51731A37" w14:textId="6A51E69C"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 xml:space="preserve">Тежка сърдечна недостатъчност </w:t>
      </w:r>
      <w:r w:rsidRPr="00154A3F">
        <w:rPr>
          <w:rFonts w:eastAsia="Times New Roman" w:cs="Arial"/>
          <w:i/>
          <w:iCs/>
          <w:color w:val="000000"/>
          <w:szCs w:val="18"/>
          <w:u w:val="single"/>
          <w:lang w:val="en-US"/>
        </w:rPr>
        <w:t xml:space="preserve">(NYHA </w:t>
      </w:r>
      <w:r w:rsidRPr="00154A3F">
        <w:rPr>
          <w:rFonts w:eastAsia="Times New Roman" w:cs="Arial"/>
          <w:i/>
          <w:iCs/>
          <w:color w:val="000000"/>
          <w:szCs w:val="18"/>
          <w:u w:val="single"/>
          <w:lang w:eastAsia="bg-BG"/>
        </w:rPr>
        <w:t xml:space="preserve">клас </w:t>
      </w:r>
      <w:r w:rsidRPr="00154A3F">
        <w:rPr>
          <w:rFonts w:eastAsia="Times New Roman" w:cs="Arial"/>
          <w:i/>
          <w:iCs/>
          <w:color w:val="000000"/>
          <w:szCs w:val="18"/>
          <w:u w:val="single"/>
          <w:lang w:val="en-US"/>
        </w:rPr>
        <w:t>1I1-IV)</w:t>
      </w:r>
    </w:p>
    <w:p w14:paraId="475300EC" w14:textId="47C1A132" w:rsidR="0091385D" w:rsidRPr="00154A3F" w:rsidRDefault="00154A3F" w:rsidP="00154A3F">
      <w:pPr>
        <w:rPr>
          <w:rFonts w:cs="Arial"/>
          <w:sz w:val="28"/>
        </w:rPr>
      </w:pPr>
      <w:r w:rsidRPr="00154A3F">
        <w:rPr>
          <w:rFonts w:eastAsia="Times New Roman" w:cs="Arial"/>
          <w:color w:val="000000"/>
          <w:szCs w:val="18"/>
          <w:lang w:eastAsia="bg-BG"/>
        </w:rPr>
        <w:t xml:space="preserve">Въз основа на проучването </w:t>
      </w:r>
      <w:r w:rsidRPr="00154A3F">
        <w:rPr>
          <w:rFonts w:eastAsia="Times New Roman" w:cs="Arial"/>
          <w:color w:val="000000"/>
          <w:szCs w:val="18"/>
          <w:lang w:val="en-US"/>
        </w:rPr>
        <w:t xml:space="preserve">Randomized </w:t>
      </w:r>
      <w:proofErr w:type="spellStart"/>
      <w:r w:rsidRPr="00154A3F">
        <w:rPr>
          <w:rFonts w:eastAsia="Times New Roman" w:cs="Arial"/>
          <w:color w:val="000000"/>
          <w:szCs w:val="18"/>
          <w:lang w:val="en-US"/>
        </w:rPr>
        <w:t>Aldactone</w:t>
      </w:r>
      <w:proofErr w:type="spellEnd"/>
      <w:r w:rsidRPr="00154A3F">
        <w:rPr>
          <w:rFonts w:eastAsia="Times New Roman" w:cs="Arial"/>
          <w:color w:val="000000"/>
          <w:szCs w:val="18"/>
          <w:lang w:val="en-US"/>
        </w:rPr>
        <w:t xml:space="preserve"> Evaluation Study (RALES) </w:t>
      </w:r>
      <w:r w:rsidRPr="00154A3F">
        <w:rPr>
          <w:rFonts w:eastAsia="Times New Roman" w:cs="Arial"/>
          <w:color w:val="000000"/>
          <w:szCs w:val="18"/>
          <w:lang w:eastAsia="bg-BG"/>
        </w:rPr>
        <w:t xml:space="preserve">(виж също точка 5.1), стандартната терапия трябва да започне с доза от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спиронолактон веднъж дневно, ако нивото на серумния калий е ≤ 5,0 </w:t>
      </w:r>
      <w:proofErr w:type="spellStart"/>
      <w:r w:rsidRPr="00154A3F">
        <w:rPr>
          <w:rFonts w:eastAsia="Times New Roman" w:cs="Arial"/>
          <w:color w:val="000000"/>
          <w:szCs w:val="18"/>
          <w:lang w:val="en-US"/>
        </w:rPr>
        <w:t>mEq</w:t>
      </w:r>
      <w:proofErr w:type="spellEnd"/>
      <w:r w:rsidRPr="00154A3F">
        <w:rPr>
          <w:rFonts w:eastAsia="Times New Roman" w:cs="Arial"/>
          <w:color w:val="000000"/>
          <w:szCs w:val="18"/>
          <w:lang w:val="en-US"/>
        </w:rPr>
        <w:t xml:space="preserve">/L, </w:t>
      </w:r>
      <w:r w:rsidRPr="00154A3F">
        <w:rPr>
          <w:rFonts w:eastAsia="Times New Roman" w:cs="Arial"/>
          <w:color w:val="000000"/>
          <w:szCs w:val="18"/>
          <w:lang w:eastAsia="bg-BG"/>
        </w:rPr>
        <w:t xml:space="preserve">а на серумния креатинин е ≤ 2,5 </w:t>
      </w:r>
      <w:r w:rsidRPr="00154A3F">
        <w:rPr>
          <w:rFonts w:eastAsia="Times New Roman" w:cs="Arial"/>
          <w:color w:val="000000"/>
          <w:szCs w:val="18"/>
          <w:lang w:val="en-US"/>
        </w:rPr>
        <w:t>mg/</w:t>
      </w:r>
      <w:proofErr w:type="spellStart"/>
      <w:r w:rsidRPr="00154A3F">
        <w:rPr>
          <w:rFonts w:eastAsia="Times New Roman" w:cs="Arial"/>
          <w:color w:val="000000"/>
          <w:szCs w:val="18"/>
          <w:lang w:val="en-US"/>
        </w:rPr>
        <w:t>dL</w:t>
      </w:r>
      <w:proofErr w:type="spellEnd"/>
      <w:r w:rsidRPr="00154A3F">
        <w:rPr>
          <w:rFonts w:eastAsia="Times New Roman" w:cs="Arial"/>
          <w:color w:val="000000"/>
          <w:szCs w:val="18"/>
          <w:lang w:val="en-US"/>
        </w:rPr>
        <w:t>.</w:t>
      </w:r>
    </w:p>
    <w:p w14:paraId="6ACAF645" w14:textId="160A3F68" w:rsidR="0091385D" w:rsidRDefault="0091385D" w:rsidP="0091385D"/>
    <w:p w14:paraId="29CC55F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При пациентите, които понасят добре дозата от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дозата може да се увеличи до 50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ако е клинично показано. При пациентите, които не понасят дозата от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дозата може да се намали до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през ден. За указания относно мониторирането на серумния калий и серумния креатинин, вижте точка 4.4.</w:t>
      </w:r>
    </w:p>
    <w:p w14:paraId="15745EB4" w14:textId="77777777" w:rsidR="00154A3F" w:rsidRPr="00154A3F" w:rsidRDefault="00154A3F" w:rsidP="00154A3F">
      <w:pPr>
        <w:spacing w:line="240" w:lineRule="auto"/>
        <w:rPr>
          <w:rFonts w:eastAsia="Times New Roman" w:cs="Arial"/>
          <w:i/>
          <w:iCs/>
          <w:color w:val="000000"/>
          <w:szCs w:val="18"/>
          <w:u w:val="single"/>
          <w:lang w:eastAsia="bg-BG"/>
        </w:rPr>
      </w:pPr>
    </w:p>
    <w:p w14:paraId="1F0AD13B" w14:textId="3DC04DC5"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Чернодробна иироза с асиит и отоии</w:t>
      </w:r>
    </w:p>
    <w:p w14:paraId="7D09788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Дневната доза се определя от съотношението </w:t>
      </w:r>
      <w:r w:rsidRPr="00154A3F">
        <w:rPr>
          <w:rFonts w:eastAsia="Times New Roman" w:cs="Arial"/>
          <w:color w:val="000000"/>
          <w:szCs w:val="18"/>
          <w:lang w:val="en-US"/>
        </w:rPr>
        <w:t>Na'</w:t>
      </w:r>
      <w:r w:rsidRPr="00154A3F">
        <w:rPr>
          <w:rFonts w:eastAsia="Times New Roman" w:cs="Arial"/>
          <w:color w:val="000000"/>
          <w:szCs w:val="18"/>
          <w:lang w:eastAsia="bg-BG"/>
        </w:rPr>
        <w:t>/К' в урината.</w:t>
      </w:r>
    </w:p>
    <w:p w14:paraId="7C85487E" w14:textId="77777777" w:rsidR="00154A3F" w:rsidRPr="00154A3F" w:rsidRDefault="00154A3F" w:rsidP="00154A3F">
      <w:pPr>
        <w:pStyle w:val="ListParagraph"/>
        <w:numPr>
          <w:ilvl w:val="0"/>
          <w:numId w:val="36"/>
        </w:num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При съотношение &gt;1,0, препоръчителната доза е 100 </w:t>
      </w:r>
      <w:r w:rsidRPr="00154A3F">
        <w:rPr>
          <w:rFonts w:eastAsia="Times New Roman" w:cs="Arial"/>
          <w:color w:val="000000"/>
          <w:szCs w:val="18"/>
          <w:lang w:val="en-US"/>
        </w:rPr>
        <w:t>mg;</w:t>
      </w:r>
    </w:p>
    <w:p w14:paraId="75D50716" w14:textId="13068767" w:rsidR="00154A3F" w:rsidRPr="00154A3F" w:rsidRDefault="00154A3F" w:rsidP="00154A3F">
      <w:pPr>
        <w:pStyle w:val="ListParagraph"/>
        <w:numPr>
          <w:ilvl w:val="0"/>
          <w:numId w:val="36"/>
        </w:num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При съотношение &lt;1,0, препоръчителната доза е 200 - 400 </w:t>
      </w:r>
      <w:r w:rsidRPr="00154A3F">
        <w:rPr>
          <w:rFonts w:eastAsia="Times New Roman" w:cs="Arial"/>
          <w:color w:val="000000"/>
          <w:szCs w:val="18"/>
          <w:lang w:val="en-US"/>
        </w:rPr>
        <w:t>mg.</w:t>
      </w:r>
    </w:p>
    <w:p w14:paraId="40257D59" w14:textId="77777777" w:rsidR="00154A3F" w:rsidRPr="00154A3F" w:rsidRDefault="00154A3F" w:rsidP="00154A3F">
      <w:pPr>
        <w:spacing w:line="240" w:lineRule="auto"/>
        <w:rPr>
          <w:rFonts w:eastAsia="Times New Roman" w:cs="Arial"/>
          <w:color w:val="000000"/>
          <w:szCs w:val="18"/>
          <w:lang w:eastAsia="bg-BG"/>
        </w:rPr>
      </w:pPr>
    </w:p>
    <w:p w14:paraId="087DDC98" w14:textId="2C61D49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Поддържащата дневна доза се определя индивидуално.</w:t>
      </w:r>
    </w:p>
    <w:p w14:paraId="6CC02736" w14:textId="77777777" w:rsidR="00154A3F" w:rsidRPr="00154A3F" w:rsidRDefault="00154A3F" w:rsidP="00154A3F">
      <w:pPr>
        <w:spacing w:line="240" w:lineRule="auto"/>
        <w:rPr>
          <w:rFonts w:eastAsia="Times New Roman" w:cs="Arial"/>
          <w:i/>
          <w:iCs/>
          <w:color w:val="000000"/>
          <w:szCs w:val="18"/>
          <w:u w:val="single"/>
          <w:lang w:eastAsia="bg-BG"/>
        </w:rPr>
      </w:pPr>
    </w:p>
    <w:p w14:paraId="5F846199" w14:textId="069DBF4A"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Малигнен асиит</w:t>
      </w:r>
    </w:p>
    <w:p w14:paraId="74A1152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Начална дневна доза - 100-200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 по-тежки случаи дневната доза може да бъде повишена постепенно до 400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като след постигане на необходимия терапевтичен контрол, поддържащата доза се определя индивидуално в зависимост от състоянието и отговора към провежданото лечение.</w:t>
      </w:r>
    </w:p>
    <w:p w14:paraId="6B4B2B12" w14:textId="77777777" w:rsidR="00154A3F" w:rsidRPr="00154A3F" w:rsidRDefault="00154A3F" w:rsidP="00154A3F">
      <w:pPr>
        <w:spacing w:line="240" w:lineRule="auto"/>
        <w:rPr>
          <w:rFonts w:eastAsia="Times New Roman" w:cs="Arial"/>
          <w:i/>
          <w:iCs/>
          <w:color w:val="000000"/>
          <w:szCs w:val="18"/>
          <w:u w:val="single"/>
          <w:lang w:eastAsia="bg-BG"/>
        </w:rPr>
      </w:pPr>
    </w:p>
    <w:p w14:paraId="62B47811" w14:textId="22AD3EB3"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Нефротичен синдром</w:t>
      </w:r>
    </w:p>
    <w:p w14:paraId="406EFF5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Обичайната доза е 100-200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дневно. При тези бодни продуктът се прилага само ако терапията с кортикостероиди е недостатъчно ефективна, тъй като спиронолактон не притежава противовъзпалително действие и не повлиява основния патологичен процес.</w:t>
      </w:r>
    </w:p>
    <w:p w14:paraId="5C5D694E" w14:textId="77777777" w:rsidR="00154A3F" w:rsidRPr="00154A3F" w:rsidRDefault="00154A3F" w:rsidP="00154A3F">
      <w:pPr>
        <w:spacing w:line="240" w:lineRule="auto"/>
        <w:rPr>
          <w:rFonts w:eastAsia="Times New Roman" w:cs="Arial"/>
          <w:i/>
          <w:iCs/>
          <w:color w:val="000000"/>
          <w:szCs w:val="18"/>
          <w:u w:val="single"/>
          <w:lang w:eastAsia="bg-BG"/>
        </w:rPr>
      </w:pPr>
    </w:p>
    <w:p w14:paraId="7D476ECB" w14:textId="3B9EF658"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Диагностика и лечение на първичен алдостеронизъм</w:t>
      </w:r>
    </w:p>
    <w:p w14:paraId="3872640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може да бъде използван като начален диагностичен тест за установяване на предполагаем първичен хипералдостеронизъм при пациенти на нормален хранителен режим.</w:t>
      </w:r>
    </w:p>
    <w:p w14:paraId="4D6AB9EF" w14:textId="77777777" w:rsidR="00154A3F" w:rsidRPr="00154A3F" w:rsidRDefault="00154A3F" w:rsidP="00154A3F">
      <w:pPr>
        <w:spacing w:line="240" w:lineRule="auto"/>
        <w:rPr>
          <w:rFonts w:eastAsia="Times New Roman" w:cs="Arial"/>
          <w:color w:val="000000"/>
          <w:szCs w:val="18"/>
          <w:u w:val="single"/>
          <w:lang w:eastAsia="bg-BG"/>
        </w:rPr>
      </w:pPr>
    </w:p>
    <w:p w14:paraId="1774F568" w14:textId="514489E3"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Продължителен тест:</w:t>
      </w:r>
      <w:r w:rsidRPr="00154A3F">
        <w:rPr>
          <w:rFonts w:eastAsia="Times New Roman" w:cs="Arial"/>
          <w:color w:val="000000"/>
          <w:szCs w:val="18"/>
          <w:lang w:eastAsia="bg-BG"/>
        </w:rPr>
        <w:t xml:space="preserve"> спиронолактон се прилага в дневна доза 400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в продължение на 3 до 4 седмици. Корекцията на хипокалиемията и хипертонията е основание да се приеме наличие на първичен хипералдостеронизъм.</w:t>
      </w:r>
    </w:p>
    <w:p w14:paraId="0927A729" w14:textId="77777777" w:rsidR="00154A3F" w:rsidRPr="00154A3F" w:rsidRDefault="00154A3F" w:rsidP="00154A3F">
      <w:pPr>
        <w:spacing w:line="240" w:lineRule="auto"/>
        <w:rPr>
          <w:rFonts w:eastAsia="Times New Roman" w:cs="Arial"/>
          <w:color w:val="000000"/>
          <w:szCs w:val="18"/>
          <w:u w:val="single"/>
          <w:lang w:eastAsia="bg-BG"/>
        </w:rPr>
      </w:pPr>
    </w:p>
    <w:p w14:paraId="7CF75079" w14:textId="2632E27D"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lastRenderedPageBreak/>
        <w:t>Краткосрочен тест:</w:t>
      </w:r>
      <w:r w:rsidRPr="00154A3F">
        <w:rPr>
          <w:rFonts w:eastAsia="Times New Roman" w:cs="Arial"/>
          <w:color w:val="000000"/>
          <w:szCs w:val="18"/>
          <w:lang w:eastAsia="bg-BG"/>
        </w:rPr>
        <w:t xml:space="preserve"> спиронолактон се прилага в продължение на 4 дни по 400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Ако серумните нива на калия се повишат в този период, но се понижат след прекратяване на приема, може да се приеме, че се касае за първичен хипералдостеронизъм. След поставяне на предполагаема диагноза хипералдостеронизъм е необходимо да се проведат по-детайлни изследвания, а спиронолактон може да бъде приложен в дневна доза 100-400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като подготовка за хирургично лечение.</w:t>
      </w:r>
    </w:p>
    <w:p w14:paraId="6CC394DD" w14:textId="77777777" w:rsidR="00154A3F" w:rsidRPr="00154A3F" w:rsidRDefault="00154A3F" w:rsidP="00154A3F">
      <w:pPr>
        <w:spacing w:line="240" w:lineRule="auto"/>
        <w:rPr>
          <w:rFonts w:eastAsia="Times New Roman" w:cs="Arial"/>
          <w:color w:val="000000"/>
          <w:szCs w:val="18"/>
          <w:lang w:eastAsia="bg-BG"/>
        </w:rPr>
      </w:pPr>
    </w:p>
    <w:p w14:paraId="36D72CEA" w14:textId="6F2EAD84"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При пациенти, които не са подходящи за хирургична интервенция, спиронолактон може да се прилага като продължителна поддържаща терапия в най-ниската ефективна доза, определена за всеки отделен случай.</w:t>
      </w:r>
    </w:p>
    <w:p w14:paraId="7CDE173E" w14:textId="77777777" w:rsidR="00154A3F" w:rsidRPr="00154A3F" w:rsidRDefault="00154A3F" w:rsidP="00154A3F">
      <w:pPr>
        <w:spacing w:line="240" w:lineRule="auto"/>
        <w:rPr>
          <w:rFonts w:eastAsia="Times New Roman" w:cs="Arial"/>
          <w:color w:val="000000"/>
          <w:szCs w:val="18"/>
          <w:u w:val="single"/>
          <w:lang w:eastAsia="bg-BG"/>
        </w:rPr>
      </w:pPr>
    </w:p>
    <w:p w14:paraId="77E2E9B1" w14:textId="6B3C2180"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Старческа възраст</w:t>
      </w:r>
    </w:p>
    <w:p w14:paraId="572C1F97"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Препоръчва се лечението да започне с най-ниската доза, като тя постепенно се титрира до постигане на максимален благоприятен терапевтичен ефект. Необходимо е внимание при пациенти с тежки чернодробни и бъбречни увреждания, които могат да доведат до нарушения в метаболизма и ексрецията на лекарството.</w:t>
      </w:r>
    </w:p>
    <w:p w14:paraId="21A8FE9A" w14:textId="77777777" w:rsidR="00154A3F" w:rsidRPr="00154A3F" w:rsidRDefault="00154A3F" w:rsidP="00154A3F">
      <w:pPr>
        <w:spacing w:line="240" w:lineRule="auto"/>
        <w:rPr>
          <w:rFonts w:eastAsia="Times New Roman" w:cs="Arial"/>
          <w:color w:val="000000"/>
          <w:szCs w:val="18"/>
          <w:u w:val="single"/>
          <w:lang w:eastAsia="bg-BG"/>
        </w:rPr>
      </w:pPr>
    </w:p>
    <w:p w14:paraId="52C4BA19" w14:textId="794686A9"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Педиатрична популация</w:t>
      </w:r>
    </w:p>
    <w:p w14:paraId="60242D8B"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Първоначалната дневна доза е 3 </w:t>
      </w:r>
      <w:r w:rsidRPr="00154A3F">
        <w:rPr>
          <w:rFonts w:eastAsia="Times New Roman" w:cs="Arial"/>
          <w:color w:val="000000"/>
          <w:szCs w:val="18"/>
          <w:lang w:val="en-US"/>
        </w:rPr>
        <w:t xml:space="preserve">mg </w:t>
      </w:r>
      <w:r w:rsidRPr="00154A3F">
        <w:rPr>
          <w:rFonts w:eastAsia="Times New Roman" w:cs="Arial"/>
          <w:color w:val="000000"/>
          <w:szCs w:val="18"/>
          <w:lang w:eastAsia="bg-BG"/>
        </w:rPr>
        <w:t>спиронолактон на килограм телесно тегло, приложена в няколко отделни приема. Индивидуалната доза се определя в зависимост от терапевтичния отговор и поносимост (вижте точки 4.3 и 4.4).</w:t>
      </w:r>
    </w:p>
    <w:p w14:paraId="222F34F3" w14:textId="66F40CE1" w:rsidR="00154A3F" w:rsidRPr="00154A3F" w:rsidRDefault="00154A3F" w:rsidP="00154A3F">
      <w:pPr>
        <w:rPr>
          <w:rFonts w:cs="Arial"/>
          <w:sz w:val="28"/>
        </w:rPr>
      </w:pPr>
      <w:r w:rsidRPr="00154A3F">
        <w:rPr>
          <w:rFonts w:eastAsia="Times New Roman" w:cs="Arial"/>
          <w:color w:val="000000"/>
          <w:szCs w:val="18"/>
          <w:u w:val="single"/>
          <w:lang w:eastAsia="bg-BG"/>
        </w:rPr>
        <w:t>Децата трябва да бъдат лекувани само под ръководството на педиатър. Наличните педиатрични  данни са ограничени (вижте точки 5.1 и 5.2).</w:t>
      </w:r>
    </w:p>
    <w:p w14:paraId="47B10203" w14:textId="203AF975" w:rsidR="00154A3F" w:rsidRDefault="00154A3F" w:rsidP="0091385D"/>
    <w:p w14:paraId="5BBD3E83" w14:textId="77777777" w:rsidR="00154A3F" w:rsidRPr="005271CA" w:rsidRDefault="00154A3F" w:rsidP="005271CA">
      <w:pPr>
        <w:pStyle w:val="Heading3"/>
        <w:rPr>
          <w:rFonts w:eastAsia="Times New Roman"/>
          <w:sz w:val="32"/>
          <w:u w:val="single"/>
          <w:lang w:eastAsia="bg-BG"/>
        </w:rPr>
      </w:pPr>
      <w:r w:rsidRPr="005271CA">
        <w:rPr>
          <w:rFonts w:eastAsia="Times New Roman"/>
          <w:u w:val="single"/>
          <w:lang w:eastAsia="bg-BG"/>
        </w:rPr>
        <w:t>Начин на приложение</w:t>
      </w:r>
    </w:p>
    <w:p w14:paraId="1180BA20" w14:textId="0614045B" w:rsidR="00154A3F" w:rsidRPr="00154A3F" w:rsidRDefault="00154A3F" w:rsidP="00154A3F">
      <w:pPr>
        <w:rPr>
          <w:rFonts w:cs="Arial"/>
          <w:sz w:val="28"/>
        </w:rPr>
      </w:pPr>
      <w:r w:rsidRPr="00154A3F">
        <w:rPr>
          <w:rFonts w:eastAsia="Times New Roman" w:cs="Arial"/>
          <w:color w:val="000000"/>
          <w:szCs w:val="18"/>
          <w:lang w:eastAsia="bg-BG"/>
        </w:rPr>
        <w:t>Перорално приложение. Таблетките трябва да се приемат по време на хранене.</w:t>
      </w:r>
    </w:p>
    <w:p w14:paraId="165C479D" w14:textId="77777777" w:rsidR="00154A3F" w:rsidRPr="0091385D" w:rsidRDefault="00154A3F"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6C479791" w14:textId="77777777" w:rsid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Свръхчувствителност към активното вещество или към някое от помощните вещества, изброени в точка 6.1;</w:t>
      </w:r>
    </w:p>
    <w:p w14:paraId="18E593AB" w14:textId="77777777" w:rsidR="00154A3F" w:rsidRP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 xml:space="preserve">Анурия и тежка бъбречна недостатъчност </w:t>
      </w:r>
      <w:r w:rsidRPr="00154A3F">
        <w:rPr>
          <w:rFonts w:eastAsia="Times New Roman" w:cs="Arial"/>
          <w:color w:val="000000"/>
          <w:szCs w:val="18"/>
          <w:lang w:val="en-US"/>
        </w:rPr>
        <w:t>(</w:t>
      </w:r>
      <w:proofErr w:type="spellStart"/>
      <w:r w:rsidRPr="00154A3F">
        <w:rPr>
          <w:rFonts w:eastAsia="Times New Roman" w:cs="Arial"/>
          <w:color w:val="000000"/>
          <w:szCs w:val="18"/>
          <w:lang w:val="en-US"/>
        </w:rPr>
        <w:t>eGFR</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 xml:space="preserve">&lt; 30 </w:t>
      </w:r>
      <w:r w:rsidRPr="00154A3F">
        <w:rPr>
          <w:rFonts w:eastAsia="Times New Roman" w:cs="Arial"/>
          <w:color w:val="000000"/>
          <w:szCs w:val="18"/>
          <w:lang w:val="en-US"/>
        </w:rPr>
        <w:t>ml/min/1,73 m</w:t>
      </w:r>
      <w:r w:rsidRPr="00154A3F">
        <w:rPr>
          <w:rFonts w:eastAsia="Times New Roman" w:cs="Arial"/>
          <w:color w:val="000000"/>
          <w:szCs w:val="18"/>
          <w:vertAlign w:val="superscript"/>
          <w:lang w:val="en-US"/>
        </w:rPr>
        <w:t>2</w:t>
      </w:r>
      <w:r w:rsidRPr="00154A3F">
        <w:rPr>
          <w:rFonts w:eastAsia="Times New Roman" w:cs="Arial"/>
          <w:color w:val="000000"/>
          <w:szCs w:val="18"/>
          <w:lang w:val="en-US"/>
        </w:rPr>
        <w:t>);</w:t>
      </w:r>
    </w:p>
    <w:p w14:paraId="2B465272" w14:textId="77777777" w:rsid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Бързо настъпващи или тежки нарушения на бъбречната функция;</w:t>
      </w:r>
    </w:p>
    <w:p w14:paraId="16DCEB92" w14:textId="77777777" w:rsid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 xml:space="preserve">Хиперкалиемия (ниво на серумен калий &gt; 5,0 </w:t>
      </w:r>
      <w:proofErr w:type="spellStart"/>
      <w:r w:rsidRPr="00154A3F">
        <w:rPr>
          <w:rFonts w:eastAsia="Times New Roman" w:cs="Arial"/>
          <w:color w:val="000000"/>
          <w:szCs w:val="18"/>
          <w:lang w:val="en-US"/>
        </w:rPr>
        <w:t>mmol</w:t>
      </w:r>
      <w:proofErr w:type="spellEnd"/>
      <w:r w:rsidRPr="00154A3F">
        <w:rPr>
          <w:rFonts w:eastAsia="Times New Roman" w:cs="Arial"/>
          <w:color w:val="000000"/>
          <w:szCs w:val="18"/>
          <w:lang w:val="en-US"/>
        </w:rPr>
        <w:t xml:space="preserve">/l) </w:t>
      </w:r>
      <w:r w:rsidRPr="00154A3F">
        <w:rPr>
          <w:rFonts w:eastAsia="Times New Roman" w:cs="Arial"/>
          <w:color w:val="000000"/>
          <w:szCs w:val="18"/>
          <w:lang w:eastAsia="bg-BG"/>
        </w:rPr>
        <w:t>при започване на лечението;</w:t>
      </w:r>
    </w:p>
    <w:p w14:paraId="6FD971A9" w14:textId="22B50DBE" w:rsidR="00154A3F" w:rsidRPr="00154A3F" w:rsidRDefault="00154A3F" w:rsidP="00154A3F">
      <w:pPr>
        <w:pStyle w:val="ListParagraph"/>
        <w:numPr>
          <w:ilvl w:val="0"/>
          <w:numId w:val="39"/>
        </w:numPr>
        <w:spacing w:line="240" w:lineRule="auto"/>
        <w:rPr>
          <w:rFonts w:eastAsia="Times New Roman" w:cs="Arial"/>
          <w:color w:val="000000"/>
          <w:szCs w:val="18"/>
          <w:lang w:eastAsia="bg-BG"/>
        </w:rPr>
      </w:pPr>
      <w:r w:rsidRPr="00154A3F">
        <w:rPr>
          <w:rFonts w:eastAsia="Times New Roman" w:cs="Arial"/>
          <w:color w:val="000000"/>
          <w:szCs w:val="18"/>
          <w:lang w:eastAsia="bg-BG"/>
        </w:rPr>
        <w:t>Болест на Адисон.</w:t>
      </w:r>
    </w:p>
    <w:p w14:paraId="03EA4939"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Продуктът не трябва да се прилага едновременно с други калий-съхраняващи диуретици (включително еплеренон). Не се препоръчва прием на калий-съхраняващи добавки или двойна </w:t>
      </w:r>
      <w:r w:rsidRPr="00154A3F">
        <w:rPr>
          <w:rFonts w:eastAsia="Times New Roman" w:cs="Arial"/>
          <w:color w:val="000000"/>
          <w:szCs w:val="18"/>
          <w:lang w:val="en-US"/>
        </w:rPr>
        <w:t xml:space="preserve">RAAS </w:t>
      </w:r>
      <w:r w:rsidRPr="00154A3F">
        <w:rPr>
          <w:rFonts w:eastAsia="Times New Roman" w:cs="Arial"/>
          <w:color w:val="000000"/>
          <w:szCs w:val="18"/>
          <w:lang w:eastAsia="bg-BG"/>
        </w:rPr>
        <w:t xml:space="preserve">блокада с комбинация от инхибитор на ангиотензин-конвертиращия ензим (АСЕ) и ангиотензин-рецепторен блокер </w:t>
      </w:r>
      <w:r w:rsidRPr="00154A3F">
        <w:rPr>
          <w:rFonts w:eastAsia="Times New Roman" w:cs="Arial"/>
          <w:color w:val="000000"/>
          <w:szCs w:val="18"/>
          <w:lang w:val="en-US"/>
        </w:rPr>
        <w:t xml:space="preserve">(ARB), </w:t>
      </w:r>
      <w:r w:rsidRPr="00154A3F">
        <w:rPr>
          <w:rFonts w:eastAsia="Times New Roman" w:cs="Arial"/>
          <w:color w:val="000000"/>
          <w:szCs w:val="18"/>
          <w:lang w:eastAsia="bg-BG"/>
        </w:rPr>
        <w:t>поради риск от индуциране на хиперкалиемия.</w:t>
      </w:r>
    </w:p>
    <w:p w14:paraId="38985137" w14:textId="77777777" w:rsidR="00154A3F" w:rsidRPr="00154A3F" w:rsidRDefault="00154A3F" w:rsidP="00154A3F">
      <w:pPr>
        <w:rPr>
          <w:rFonts w:eastAsia="Times New Roman" w:cs="Arial"/>
          <w:color w:val="000000"/>
          <w:szCs w:val="18"/>
          <w:lang w:eastAsia="bg-BG"/>
        </w:rPr>
      </w:pPr>
    </w:p>
    <w:p w14:paraId="2309EAB0" w14:textId="1B842BFD" w:rsidR="0091385D" w:rsidRPr="00154A3F" w:rsidRDefault="00154A3F" w:rsidP="00154A3F">
      <w:pPr>
        <w:rPr>
          <w:rFonts w:cs="Arial"/>
          <w:sz w:val="28"/>
        </w:rPr>
      </w:pPr>
      <w:r w:rsidRPr="00154A3F">
        <w:rPr>
          <w:rFonts w:eastAsia="Times New Roman" w:cs="Arial"/>
          <w:color w:val="000000"/>
          <w:szCs w:val="18"/>
          <w:lang w:eastAsia="bg-BG"/>
        </w:rPr>
        <w:t>Спиронолактон е противопоказан при педиатрични пациенти с умерено до тежко бъбречно увреждане.</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A3D9CDB"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i/>
          <w:iCs/>
          <w:color w:val="000000"/>
          <w:u w:val="single"/>
          <w:lang w:eastAsia="bg-BG"/>
        </w:rPr>
        <w:t>Водно-електролитен баланс</w:t>
      </w:r>
    </w:p>
    <w:p w14:paraId="38B768B5"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lastRenderedPageBreak/>
        <w:t>При лечение с продукта е необходимо провеждане на редовен контрол на водно-електролитния баланс. Това се отнася особено за пациенти в старческа възраст, както и за тези със значимо чернодробно и бъбречно увреждане.</w:t>
      </w:r>
    </w:p>
    <w:p w14:paraId="192C4928" w14:textId="77777777" w:rsidR="00154A3F" w:rsidRPr="00154A3F" w:rsidRDefault="00154A3F" w:rsidP="00154A3F">
      <w:pPr>
        <w:spacing w:line="240" w:lineRule="auto"/>
        <w:rPr>
          <w:rFonts w:eastAsia="Times New Roman" w:cs="Arial"/>
          <w:color w:val="000000"/>
          <w:lang w:eastAsia="bg-BG"/>
        </w:rPr>
      </w:pPr>
    </w:p>
    <w:p w14:paraId="6F38B7DA" w14:textId="69C72D93"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Съпътстващата употреба на лекарствени продукти, за които е известно, че причиняват хиперкалиемия и спиронолактон може да доведе до тежка хиперкалиемия.</w:t>
      </w:r>
    </w:p>
    <w:p w14:paraId="238C5DCC" w14:textId="77777777" w:rsidR="00154A3F" w:rsidRPr="00154A3F" w:rsidRDefault="00154A3F" w:rsidP="00154A3F">
      <w:pPr>
        <w:spacing w:line="240" w:lineRule="auto"/>
        <w:rPr>
          <w:rFonts w:eastAsia="Times New Roman" w:cs="Arial"/>
          <w:color w:val="000000"/>
          <w:lang w:eastAsia="bg-BG"/>
        </w:rPr>
      </w:pPr>
    </w:p>
    <w:p w14:paraId="6DF206B3" w14:textId="52FF3475"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Хиперкалиемия може да се наблюдава при пациенти с нарушена бъбречна функция или повишен прием на калий. Тя може да доведе до сърдечни нарушения, които в някои случаи могат да бъдат фатални. В случай на хиперкалиемия, приемът на спиронолактон трябва да бъде прекратен и да се предприемат адекватни мерки за нормализиране на калиевите нива (вижте точка 4.3).</w:t>
      </w:r>
    </w:p>
    <w:p w14:paraId="78F7FF6E"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Внимателно приложение на продукта се налага при пациенти в тежко общо състояние, при които диурезата е намалена, поради висок риск от хиперкалиемия.</w:t>
      </w:r>
    </w:p>
    <w:p w14:paraId="56A637BE" w14:textId="77777777" w:rsidR="00154A3F" w:rsidRPr="00154A3F" w:rsidRDefault="00154A3F" w:rsidP="00154A3F">
      <w:pPr>
        <w:spacing w:line="240" w:lineRule="auto"/>
        <w:rPr>
          <w:rFonts w:eastAsia="Times New Roman" w:cs="Arial"/>
          <w:color w:val="000000"/>
          <w:lang w:eastAsia="bg-BG"/>
        </w:rPr>
      </w:pPr>
    </w:p>
    <w:p w14:paraId="5D0F0948" w14:textId="5AF72729"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Приложението на спиронолактон трябва да се извършва с повишено внимание при пациенти, предразположени към метаболитна или респираторна ацидоза. Ацидозата потенцира хиперкалиемичните ефекти на спиронолактон, а той от своя страна потенцира развитието на ацидозата.</w:t>
      </w:r>
    </w:p>
    <w:p w14:paraId="24E405C5"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Възможно е да се развие дилуционна хипонатриемия, особено при едновременно приложение с други диуретици. Продуктът се прилага с внимание при пациенти с хипонатриемия.</w:t>
      </w:r>
    </w:p>
    <w:p w14:paraId="67CE7709" w14:textId="77777777" w:rsidR="00154A3F" w:rsidRPr="00154A3F" w:rsidRDefault="00154A3F" w:rsidP="00154A3F">
      <w:pPr>
        <w:spacing w:line="240" w:lineRule="auto"/>
        <w:rPr>
          <w:rFonts w:eastAsia="Times New Roman" w:cs="Arial"/>
          <w:color w:val="000000"/>
          <w:lang w:eastAsia="bg-BG"/>
        </w:rPr>
      </w:pPr>
    </w:p>
    <w:p w14:paraId="5ABE1EA5" w14:textId="41B56AC9"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Обратима хиперхлоремична метаболитна ацидоза, обикновено съчетана с хиперкалиемия, е била докладвана при някои пациенти с декомпенсирана чернодробна цироза на фона на запазена бъбречна функция.</w:t>
      </w:r>
    </w:p>
    <w:p w14:paraId="45C4572F" w14:textId="77777777" w:rsidR="00154A3F" w:rsidRPr="00154A3F" w:rsidRDefault="00154A3F" w:rsidP="00154A3F">
      <w:pPr>
        <w:spacing w:line="240" w:lineRule="auto"/>
        <w:rPr>
          <w:rFonts w:eastAsia="Times New Roman" w:cs="Arial"/>
          <w:color w:val="000000"/>
          <w:lang w:eastAsia="bg-BG"/>
        </w:rPr>
      </w:pPr>
    </w:p>
    <w:p w14:paraId="4AAA961A" w14:textId="76B98230"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Едновременната употреба на спиронолактон с други калий-съхраняващи диуретици, ангиотензин-конвертиращи ензими (АСЕ) инхибитори, нестероцдни противовъзпалителни средства, ангиотензин II антагонисти, алдостеронови блокери, хепарин, нискомолекулен хепарин или други лекарства, които причиняват хиперкалиемия, калиеви добавки, диета богата на калий или заместители на сол, съдържащи калий, може да доведе до тежка хиперкалиемия.</w:t>
      </w:r>
    </w:p>
    <w:p w14:paraId="0ACFF83C" w14:textId="77777777" w:rsidR="00154A3F" w:rsidRPr="00154A3F" w:rsidRDefault="00154A3F" w:rsidP="00154A3F">
      <w:pPr>
        <w:rPr>
          <w:rFonts w:eastAsia="Times New Roman" w:cs="Arial"/>
          <w:i/>
          <w:iCs/>
          <w:color w:val="000000"/>
          <w:u w:val="single"/>
          <w:lang w:eastAsia="bg-BG"/>
        </w:rPr>
      </w:pPr>
    </w:p>
    <w:p w14:paraId="0B3BEE35" w14:textId="58EC611C" w:rsidR="0091385D" w:rsidRDefault="00154A3F" w:rsidP="00154A3F">
      <w:pPr>
        <w:rPr>
          <w:rFonts w:eastAsia="Times New Roman" w:cs="Arial"/>
          <w:i/>
          <w:iCs/>
          <w:color w:val="000000"/>
          <w:u w:val="single"/>
          <w:lang w:eastAsia="bg-BG"/>
        </w:rPr>
      </w:pPr>
      <w:r w:rsidRPr="00154A3F">
        <w:rPr>
          <w:rFonts w:eastAsia="Times New Roman" w:cs="Arial"/>
          <w:i/>
          <w:iCs/>
          <w:color w:val="000000"/>
          <w:u w:val="single"/>
          <w:lang w:eastAsia="bg-BG"/>
        </w:rPr>
        <w:t>Урея</w:t>
      </w:r>
    </w:p>
    <w:p w14:paraId="6D60AD35"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Обратимо повишение на стойностите на кръвната урея е било докладвано при лечение със спиронолактон, особено на фона на нарушена бъбречна функция.</w:t>
      </w:r>
    </w:p>
    <w:p w14:paraId="0CBB1D21" w14:textId="77777777" w:rsidR="00154A3F" w:rsidRPr="00154A3F" w:rsidRDefault="00154A3F" w:rsidP="00154A3F">
      <w:pPr>
        <w:spacing w:line="240" w:lineRule="auto"/>
        <w:rPr>
          <w:rFonts w:eastAsia="Times New Roman" w:cs="Arial"/>
          <w:i/>
          <w:iCs/>
          <w:color w:val="000000"/>
          <w:u w:val="single"/>
          <w:lang w:eastAsia="bg-BG"/>
        </w:rPr>
      </w:pPr>
    </w:p>
    <w:p w14:paraId="30E1AA77" w14:textId="4086C187" w:rsidR="00154A3F" w:rsidRPr="00154A3F" w:rsidRDefault="00154A3F" w:rsidP="00154A3F">
      <w:pPr>
        <w:spacing w:line="240" w:lineRule="auto"/>
        <w:rPr>
          <w:rFonts w:eastAsia="Times New Roman" w:cs="Arial"/>
          <w:sz w:val="24"/>
          <w:szCs w:val="24"/>
          <w:lang w:eastAsia="bg-BG"/>
        </w:rPr>
      </w:pPr>
      <w:r w:rsidRPr="00154A3F">
        <w:rPr>
          <w:rFonts w:eastAsia="Times New Roman" w:cs="Arial"/>
          <w:i/>
          <w:iCs/>
          <w:color w:val="000000"/>
          <w:u w:val="single"/>
          <w:lang w:eastAsia="bg-BG"/>
        </w:rPr>
        <w:t>Хиперкалиемия при пациенти с тежка сърдечна недостатъчност</w:t>
      </w:r>
    </w:p>
    <w:p w14:paraId="5C555366"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 xml:space="preserve">Хиперкалиемията може да бъде фатална. Изключително важно е да се следи и контролира серумния калий при пациенти с тежка сърдечна недостатъчност, приемащи спиронолактон. Избягвайте употребата на други калий-съхраняващи диуретици. Избягвайте употребата на перорални калиеви добавки при пациенти със серумен калий &gt;3.5 </w:t>
      </w:r>
      <w:proofErr w:type="spellStart"/>
      <w:r w:rsidRPr="00154A3F">
        <w:rPr>
          <w:rFonts w:eastAsia="Times New Roman" w:cs="Arial"/>
          <w:color w:val="000000"/>
          <w:lang w:val="en-US"/>
        </w:rPr>
        <w:t>mEq</w:t>
      </w:r>
      <w:proofErr w:type="spellEnd"/>
      <w:r w:rsidRPr="00154A3F">
        <w:rPr>
          <w:rFonts w:eastAsia="Times New Roman" w:cs="Arial"/>
          <w:color w:val="000000"/>
          <w:lang w:val="en-US"/>
        </w:rPr>
        <w:t xml:space="preserve">/L. </w:t>
      </w:r>
      <w:r w:rsidRPr="00154A3F">
        <w:rPr>
          <w:rFonts w:eastAsia="Times New Roman" w:cs="Arial"/>
          <w:color w:val="000000"/>
          <w:lang w:eastAsia="bg-BG"/>
        </w:rPr>
        <w:t xml:space="preserve">Препоръчително е мониторингът на калий и креатинин да се извършва на една седмица след започване или повишаване на дозата на спиронолактон, ежемесечно през първите 3 месеца, след това тримесечно в продължение на една година, а след това - на всеки 6 месеца. Лечението със спиронолактон трябва да се прекрати или да се прекъсне при стойности на серумен калий &gt; 5 </w:t>
      </w:r>
      <w:proofErr w:type="spellStart"/>
      <w:r w:rsidRPr="00154A3F">
        <w:rPr>
          <w:rFonts w:eastAsia="Times New Roman" w:cs="Arial"/>
          <w:color w:val="000000"/>
          <w:lang w:val="en-US"/>
        </w:rPr>
        <w:t>mEq</w:t>
      </w:r>
      <w:proofErr w:type="spellEnd"/>
      <w:r w:rsidRPr="00154A3F">
        <w:rPr>
          <w:rFonts w:eastAsia="Times New Roman" w:cs="Arial"/>
          <w:color w:val="000000"/>
          <w:lang w:val="en-US"/>
        </w:rPr>
        <w:t xml:space="preserve">/L </w:t>
      </w:r>
      <w:r w:rsidRPr="00154A3F">
        <w:rPr>
          <w:rFonts w:eastAsia="Times New Roman" w:cs="Arial"/>
          <w:color w:val="000000"/>
          <w:lang w:eastAsia="bg-BG"/>
        </w:rPr>
        <w:t xml:space="preserve">или серумен креатинин &gt; 4 </w:t>
      </w:r>
      <w:r w:rsidRPr="00154A3F">
        <w:rPr>
          <w:rFonts w:eastAsia="Times New Roman" w:cs="Arial"/>
          <w:color w:val="000000"/>
          <w:lang w:val="en-US"/>
        </w:rPr>
        <w:t>mg/</w:t>
      </w:r>
      <w:proofErr w:type="spellStart"/>
      <w:r w:rsidRPr="00154A3F">
        <w:rPr>
          <w:rFonts w:eastAsia="Times New Roman" w:cs="Arial"/>
          <w:color w:val="000000"/>
          <w:lang w:val="en-US"/>
        </w:rPr>
        <w:t>dL</w:t>
      </w:r>
      <w:proofErr w:type="spellEnd"/>
      <w:r w:rsidRPr="00154A3F">
        <w:rPr>
          <w:rFonts w:eastAsia="Times New Roman" w:cs="Arial"/>
          <w:color w:val="000000"/>
          <w:lang w:val="en-US"/>
        </w:rPr>
        <w:t xml:space="preserve"> </w:t>
      </w:r>
      <w:r w:rsidRPr="00154A3F">
        <w:rPr>
          <w:rFonts w:eastAsia="Times New Roman" w:cs="Arial"/>
          <w:color w:val="000000"/>
          <w:lang w:eastAsia="bg-BG"/>
        </w:rPr>
        <w:t>(виж точка 4.2).</w:t>
      </w:r>
    </w:p>
    <w:p w14:paraId="199D4414" w14:textId="77777777" w:rsidR="00154A3F" w:rsidRPr="00154A3F" w:rsidRDefault="00154A3F" w:rsidP="00154A3F">
      <w:pPr>
        <w:spacing w:line="240" w:lineRule="auto"/>
        <w:rPr>
          <w:rFonts w:eastAsia="Times New Roman" w:cs="Arial"/>
          <w:i/>
          <w:iCs/>
          <w:color w:val="000000"/>
          <w:u w:val="single"/>
          <w:lang w:eastAsia="bg-BG"/>
        </w:rPr>
      </w:pPr>
    </w:p>
    <w:p w14:paraId="506D446C" w14:textId="4E4A75FD" w:rsidR="00154A3F" w:rsidRPr="00154A3F" w:rsidRDefault="00154A3F" w:rsidP="00154A3F">
      <w:pPr>
        <w:spacing w:line="240" w:lineRule="auto"/>
        <w:rPr>
          <w:rFonts w:eastAsia="Times New Roman" w:cs="Arial"/>
          <w:sz w:val="24"/>
          <w:szCs w:val="24"/>
          <w:lang w:eastAsia="bg-BG"/>
        </w:rPr>
      </w:pPr>
      <w:r w:rsidRPr="00154A3F">
        <w:rPr>
          <w:rFonts w:eastAsia="Times New Roman" w:cs="Arial"/>
          <w:i/>
          <w:iCs/>
          <w:color w:val="000000"/>
          <w:u w:val="single"/>
          <w:lang w:eastAsia="bg-BG"/>
        </w:rPr>
        <w:t>Лактоза</w:t>
      </w:r>
    </w:p>
    <w:p w14:paraId="0AE6D14F"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lastRenderedPageBreak/>
        <w:t>Този лекарствен продукт съдържа лактоза.</w:t>
      </w:r>
    </w:p>
    <w:p w14:paraId="53F870A8"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Пациенти с редки наследствени проблеми на непоносимост към галакгоза, пълен лактазен дефицит или глюкозо-гадактозна малабсорбция не трябва да приемат това лекарство.</w:t>
      </w:r>
    </w:p>
    <w:p w14:paraId="38D78E9C" w14:textId="77777777" w:rsidR="00154A3F" w:rsidRPr="00154A3F" w:rsidRDefault="00154A3F" w:rsidP="00154A3F">
      <w:pPr>
        <w:spacing w:line="240" w:lineRule="auto"/>
        <w:rPr>
          <w:rFonts w:eastAsia="Times New Roman" w:cs="Arial"/>
          <w:i/>
          <w:iCs/>
          <w:color w:val="000000"/>
          <w:u w:val="single"/>
          <w:lang w:eastAsia="bg-BG"/>
        </w:rPr>
      </w:pPr>
    </w:p>
    <w:p w14:paraId="7D06B644" w14:textId="41496C96" w:rsidR="00154A3F" w:rsidRPr="00154A3F" w:rsidRDefault="00154A3F" w:rsidP="00154A3F">
      <w:pPr>
        <w:spacing w:line="240" w:lineRule="auto"/>
        <w:rPr>
          <w:rFonts w:eastAsia="Times New Roman" w:cs="Arial"/>
          <w:sz w:val="24"/>
          <w:szCs w:val="24"/>
          <w:lang w:eastAsia="bg-BG"/>
        </w:rPr>
      </w:pPr>
      <w:r w:rsidRPr="00154A3F">
        <w:rPr>
          <w:rFonts w:eastAsia="Times New Roman" w:cs="Arial"/>
          <w:i/>
          <w:iCs/>
          <w:color w:val="000000"/>
          <w:u w:val="single"/>
          <w:lang w:eastAsia="bg-BG"/>
        </w:rPr>
        <w:t>Педиатрична популация</w:t>
      </w:r>
    </w:p>
    <w:p w14:paraId="7F5666E7" w14:textId="058B5BB9" w:rsidR="00154A3F" w:rsidRPr="00154A3F" w:rsidRDefault="00154A3F" w:rsidP="00154A3F">
      <w:pPr>
        <w:rPr>
          <w:rFonts w:cs="Arial"/>
        </w:rPr>
      </w:pPr>
      <w:r w:rsidRPr="00154A3F">
        <w:rPr>
          <w:rFonts w:eastAsia="Times New Roman" w:cs="Arial"/>
          <w:color w:val="000000"/>
          <w:lang w:eastAsia="bg-BG"/>
        </w:rPr>
        <w:t>Калий-съхраняващите диуретици трябва да се използват с повишено внимание при хипертензивни педиатрични пациенти с лека бъбречна недостатъчност, поради риск от хиперкалиемия. (Спиронолактон е противопоказан за приложение при педиатрични пациенти с умерено или тежко бъбречно увреждане; вижте точка 4.3).</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400490C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Комбинации, причиняващи хиперкалиемия</w:t>
      </w:r>
    </w:p>
    <w:p w14:paraId="0A33DE1F"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Едновременната употреба на лекарства, за които е известно, че причиняват хиперкалиемия със спиронолактон, може да доведе до тежка хиперкалиемия. В допълнение, едновременната употреба на триметоприм/сулфометоксазол със спиронолактон може да доведе до клинично значима хиперкалиемия.</w:t>
      </w:r>
    </w:p>
    <w:p w14:paraId="22A071B6" w14:textId="77777777" w:rsidR="00154A3F" w:rsidRPr="00154A3F" w:rsidRDefault="00154A3F" w:rsidP="00154A3F">
      <w:pPr>
        <w:spacing w:line="240" w:lineRule="auto"/>
        <w:rPr>
          <w:rFonts w:eastAsia="Times New Roman" w:cs="Arial"/>
          <w:i/>
          <w:iCs/>
          <w:color w:val="000000"/>
          <w:szCs w:val="18"/>
          <w:u w:val="single"/>
          <w:lang w:eastAsia="bg-BG"/>
        </w:rPr>
      </w:pPr>
    </w:p>
    <w:p w14:paraId="02DCEFFB" w14:textId="376B18BA"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Дигоксин и други сърдечни гликозиди</w:t>
      </w:r>
    </w:p>
    <w:p w14:paraId="70EF23C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може да повлияе определянето на плазмените концентрации на дигоксин. Има съобщения, че спиронолактон води до повишаване на плазмените дигоксинови концентрации и може да повлияе определено на плазмения дигоксин. При пациенти, приемащи едновременно дигоксин и спиронолактон отговорът към лечението с дигоксин трябва да бъде оценяван спрямо дигоксиновите плазмени концентрации, независимо от това, че точното им определяне може да не бъде повлияно от приемането на спиронолактон. В случай, че е необходимо да се коригира и индивидуализира дневната доза дигоксин, пациентите трябва строго да бъдат контролирани за евентуално повишаване или намаляване на терапевтичния ефект на дигоксин.</w:t>
      </w:r>
    </w:p>
    <w:p w14:paraId="5CF8C4E0" w14:textId="77777777" w:rsidR="00154A3F" w:rsidRPr="00154A3F" w:rsidRDefault="00154A3F" w:rsidP="00154A3F">
      <w:pPr>
        <w:spacing w:line="240" w:lineRule="auto"/>
        <w:rPr>
          <w:rFonts w:eastAsia="Times New Roman" w:cs="Arial"/>
          <w:i/>
          <w:iCs/>
          <w:color w:val="000000"/>
          <w:szCs w:val="18"/>
          <w:u w:val="single"/>
          <w:lang w:eastAsia="bg-BG"/>
        </w:rPr>
      </w:pPr>
    </w:p>
    <w:p w14:paraId="213D9BD0" w14:textId="00371A4E"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Антихипертензивни средства</w:t>
      </w:r>
    </w:p>
    <w:p w14:paraId="538F3C6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Може да се наблюдава потенциране на антихипертензивните лекарства, поради което е възможно да се наложи тяхната доза да бъде намалена при включване на спиронолактон в терапевтичната схема,</w:t>
      </w:r>
    </w:p>
    <w:p w14:paraId="47159048" w14:textId="77777777" w:rsidR="00154A3F" w:rsidRPr="00154A3F" w:rsidRDefault="00154A3F" w:rsidP="00154A3F">
      <w:pPr>
        <w:spacing w:line="240" w:lineRule="auto"/>
        <w:rPr>
          <w:rFonts w:eastAsia="Times New Roman" w:cs="Arial"/>
          <w:color w:val="000000"/>
          <w:szCs w:val="18"/>
          <w:lang w:eastAsia="bg-BG"/>
        </w:rPr>
      </w:pPr>
    </w:p>
    <w:p w14:paraId="390DEE7A" w14:textId="4EA5BB76"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АСЕ инхибитори - поради това, че АСЕ инхибиторите водят до намаляване на продукцията на алдостерон, не трябва да се използват едновременно със спиронолактон, особено при пациенти с изразено бъбречно увреждане.</w:t>
      </w:r>
    </w:p>
    <w:p w14:paraId="2252D720" w14:textId="77777777" w:rsidR="00154A3F" w:rsidRPr="00154A3F" w:rsidRDefault="00154A3F" w:rsidP="00154A3F">
      <w:pPr>
        <w:rPr>
          <w:rFonts w:eastAsia="Times New Roman" w:cs="Arial"/>
          <w:color w:val="000000"/>
          <w:szCs w:val="18"/>
          <w:lang w:eastAsia="bg-BG"/>
        </w:rPr>
      </w:pPr>
    </w:p>
    <w:p w14:paraId="172AE819" w14:textId="5F13BCA4" w:rsidR="0091385D" w:rsidRPr="00154A3F" w:rsidRDefault="00154A3F" w:rsidP="00154A3F">
      <w:pPr>
        <w:rPr>
          <w:rFonts w:eastAsia="Times New Roman" w:cs="Arial"/>
          <w:color w:val="000000"/>
          <w:szCs w:val="18"/>
          <w:lang w:eastAsia="bg-BG"/>
        </w:rPr>
      </w:pPr>
      <w:r w:rsidRPr="00154A3F">
        <w:rPr>
          <w:rFonts w:eastAsia="Times New Roman" w:cs="Arial"/>
          <w:color w:val="000000"/>
          <w:szCs w:val="18"/>
          <w:lang w:eastAsia="bg-BG"/>
        </w:rPr>
        <w:t xml:space="preserve">Ангиотензин II рецепторни антагонисти (валсартан, лосарган) - едновеменното им приложение със спиронолактон </w:t>
      </w:r>
      <w:r w:rsidRPr="00154A3F">
        <w:rPr>
          <w:rFonts w:eastAsia="Times New Roman" w:cs="Arial"/>
          <w:i/>
          <w:iCs/>
          <w:color w:val="000000"/>
          <w:szCs w:val="18"/>
          <w:lang w:eastAsia="bg-BG"/>
        </w:rPr>
        <w:t>е</w:t>
      </w:r>
      <w:r w:rsidRPr="00154A3F">
        <w:rPr>
          <w:rFonts w:eastAsia="Times New Roman" w:cs="Arial"/>
          <w:color w:val="000000"/>
          <w:szCs w:val="18"/>
          <w:lang w:eastAsia="bg-BG"/>
        </w:rPr>
        <w:t xml:space="preserve"> противопоказано, поради риск от хиперкалиемия.</w:t>
      </w:r>
    </w:p>
    <w:p w14:paraId="1338CD80" w14:textId="05306CE3" w:rsidR="00154A3F" w:rsidRPr="00154A3F" w:rsidRDefault="00154A3F" w:rsidP="00154A3F">
      <w:pPr>
        <w:rPr>
          <w:rFonts w:eastAsia="Times New Roman" w:cs="Arial"/>
          <w:color w:val="000000"/>
          <w:szCs w:val="18"/>
          <w:lang w:eastAsia="bg-BG"/>
        </w:rPr>
      </w:pPr>
    </w:p>
    <w:p w14:paraId="05C0DAF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Нестероидни протововъзпалителни средства</w:t>
      </w:r>
    </w:p>
    <w:p w14:paraId="529C834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Нестероидни протововъзпалителни средства могат да отслабят натриуретичния ефект на диуретиците в резултат на инхибиция на бъбречния синтез на простагландини. Налице е повишен риск от нефротоксичност и развитие на хиперкалиемия, в случай при които НСПВС, особено индометацин се прилага едновременно със спиронолактон. Индометацин и мефенаминова киселина инхибират екскрецията на канренон, </w:t>
      </w:r>
      <w:r w:rsidRPr="00154A3F">
        <w:rPr>
          <w:rFonts w:eastAsia="Times New Roman" w:cs="Arial"/>
          <w:color w:val="000000"/>
          <w:szCs w:val="18"/>
          <w:lang w:eastAsia="bg-BG"/>
        </w:rPr>
        <w:lastRenderedPageBreak/>
        <w:t>намалявайки диуретичння ефект на спиронолактон. Ацетилсалициловата киселина може да доведе до намаляване на диуретичння ефект на спиронолактон.</w:t>
      </w:r>
    </w:p>
    <w:p w14:paraId="08271073" w14:textId="77777777" w:rsidR="00154A3F" w:rsidRPr="00154A3F" w:rsidRDefault="00154A3F" w:rsidP="00154A3F">
      <w:pPr>
        <w:spacing w:line="240" w:lineRule="auto"/>
        <w:rPr>
          <w:rFonts w:eastAsia="Times New Roman" w:cs="Arial"/>
          <w:i/>
          <w:iCs/>
          <w:color w:val="000000"/>
          <w:szCs w:val="18"/>
          <w:u w:val="single"/>
          <w:lang w:eastAsia="bg-BG"/>
        </w:rPr>
      </w:pPr>
    </w:p>
    <w:p w14:paraId="596617CF" w14:textId="41DE4C6F"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Диуретици</w:t>
      </w:r>
    </w:p>
    <w:p w14:paraId="3CAC3D30"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Едновременното приложение на спиронолактон с други калий-съхраняващи диуретици, може да доведе до хиперкалиемия. Калиевият канреноат (метаболит на спиронолактон) води до развитие на миелоидна левкемия при плъхове.</w:t>
      </w:r>
    </w:p>
    <w:p w14:paraId="145EED1D" w14:textId="77777777" w:rsidR="00154A3F" w:rsidRPr="00154A3F" w:rsidRDefault="00154A3F" w:rsidP="00154A3F">
      <w:pPr>
        <w:spacing w:line="240" w:lineRule="auto"/>
        <w:rPr>
          <w:rFonts w:eastAsia="Times New Roman" w:cs="Arial"/>
          <w:i/>
          <w:iCs/>
          <w:color w:val="000000"/>
          <w:szCs w:val="18"/>
          <w:u w:val="single"/>
          <w:lang w:eastAsia="bg-BG"/>
        </w:rPr>
      </w:pPr>
    </w:p>
    <w:p w14:paraId="36B41DE0" w14:textId="5DAEC240"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Циклоспорин</w:t>
      </w:r>
    </w:p>
    <w:p w14:paraId="36EAE022"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Едновременното приложение на калий-съхраняващи диуретици може да предизвика развитие на хиперкалиемия. При необходимост от едновременно приложение на продуктите е необходим стриктен редовен контрол на калиевите нива в серума.</w:t>
      </w:r>
    </w:p>
    <w:p w14:paraId="628147FB" w14:textId="77777777" w:rsidR="00154A3F" w:rsidRPr="00154A3F" w:rsidRDefault="00154A3F" w:rsidP="00154A3F">
      <w:pPr>
        <w:spacing w:line="240" w:lineRule="auto"/>
        <w:rPr>
          <w:rFonts w:eastAsia="Times New Roman" w:cs="Arial"/>
          <w:i/>
          <w:iCs/>
          <w:color w:val="000000"/>
          <w:szCs w:val="18"/>
          <w:u w:val="single"/>
          <w:lang w:eastAsia="bg-BG"/>
        </w:rPr>
      </w:pPr>
    </w:p>
    <w:p w14:paraId="6BA5564F" w14:textId="18BB3F8A"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Кортикостероиди</w:t>
      </w:r>
    </w:p>
    <w:p w14:paraId="40ED0C5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Едновременното приложение на спиронолактон с флудрокортизон може да доведе до парадоксално повишение на бъбречната калиева екскреция. При необходимост от едновременен прием е необходим стриктен периодичен контрол на калиевите нива в серума.</w:t>
      </w:r>
    </w:p>
    <w:p w14:paraId="3BBF3470" w14:textId="77777777" w:rsidR="00154A3F" w:rsidRPr="00154A3F" w:rsidRDefault="00154A3F" w:rsidP="00154A3F">
      <w:pPr>
        <w:spacing w:line="240" w:lineRule="auto"/>
        <w:rPr>
          <w:rFonts w:eastAsia="Times New Roman" w:cs="Arial"/>
          <w:i/>
          <w:iCs/>
          <w:color w:val="000000"/>
          <w:szCs w:val="18"/>
          <w:u w:val="single"/>
          <w:lang w:eastAsia="bg-BG"/>
        </w:rPr>
      </w:pPr>
    </w:p>
    <w:p w14:paraId="61000268" w14:textId="14B3408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Кумаринови антикоагуланти</w:t>
      </w:r>
    </w:p>
    <w:p w14:paraId="5869399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Необходимо е регулярно мониториране на протромбиновото време или </w:t>
      </w:r>
      <w:r w:rsidRPr="00154A3F">
        <w:rPr>
          <w:rFonts w:eastAsia="Times New Roman" w:cs="Arial"/>
          <w:color w:val="000000"/>
          <w:szCs w:val="18"/>
          <w:lang w:val="en-US"/>
        </w:rPr>
        <w:t xml:space="preserve">INR </w:t>
      </w:r>
      <w:r w:rsidRPr="00154A3F">
        <w:rPr>
          <w:rFonts w:eastAsia="Times New Roman" w:cs="Arial"/>
          <w:color w:val="000000"/>
          <w:szCs w:val="18"/>
          <w:lang w:eastAsia="bg-BG"/>
        </w:rPr>
        <w:t>при прекратяване или включване на спиронолактон в лечението на болни, приемащи кумаринови антикоагуланти, както и хода на лечението. Възможно е да се наложи индивидуализиране на дозата на варфарин с оглед поддържане на необходимите нива на антикоагулация.</w:t>
      </w:r>
    </w:p>
    <w:p w14:paraId="3A3DF1AA" w14:textId="77777777" w:rsidR="00154A3F" w:rsidRPr="00154A3F" w:rsidRDefault="00154A3F" w:rsidP="00154A3F">
      <w:pPr>
        <w:spacing w:line="240" w:lineRule="auto"/>
        <w:rPr>
          <w:rFonts w:eastAsia="Times New Roman" w:cs="Arial"/>
          <w:i/>
          <w:iCs/>
          <w:color w:val="000000"/>
          <w:szCs w:val="18"/>
          <w:u w:val="single"/>
          <w:lang w:eastAsia="bg-BG"/>
        </w:rPr>
      </w:pPr>
    </w:p>
    <w:p w14:paraId="57D2CEE3" w14:textId="314B8BC6"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Литиеви продукти</w:t>
      </w:r>
    </w:p>
    <w:p w14:paraId="4D57B86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Едновременното приложение на спиронолактон с литиеви продукти може да предизвика повишаване на серумните нива на лития и литиева интоксикация в резултат на намалена литиева екскреция. В тези случаи е необходимо редовно проследяване на плазмените литиеви нива в първата седмица от началото на приема на спиронолактон или след прекратяване на неговата употреба. Обикновено са необходими по-ниски дози литиев продукт при едновременното лечение със спиронолактон.</w:t>
      </w:r>
    </w:p>
    <w:p w14:paraId="69E3426E" w14:textId="77777777" w:rsidR="00154A3F" w:rsidRPr="00154A3F" w:rsidRDefault="00154A3F" w:rsidP="00154A3F">
      <w:pPr>
        <w:spacing w:line="240" w:lineRule="auto"/>
        <w:rPr>
          <w:rFonts w:eastAsia="Times New Roman" w:cs="Arial"/>
          <w:i/>
          <w:iCs/>
          <w:color w:val="000000"/>
          <w:szCs w:val="18"/>
          <w:u w:val="single"/>
          <w:lang w:eastAsia="bg-BG"/>
        </w:rPr>
      </w:pPr>
    </w:p>
    <w:p w14:paraId="394AFEE5" w14:textId="756CCC3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u w:val="single"/>
          <w:lang w:eastAsia="bg-BG"/>
        </w:rPr>
        <w:t>Други</w:t>
      </w:r>
    </w:p>
    <w:p w14:paraId="0D21741B"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Поради, това че карбеноксолон може да доведе до задръжка на натрий и това от своя страна да доведе до намаляване на ефективността на спиронолактон, едновременното им приложение трябва да се избягва.</w:t>
      </w:r>
    </w:p>
    <w:p w14:paraId="79D0AF2D" w14:textId="77777777" w:rsidR="00154A3F" w:rsidRPr="00154A3F" w:rsidRDefault="00154A3F" w:rsidP="00154A3F">
      <w:pPr>
        <w:spacing w:line="240" w:lineRule="auto"/>
        <w:rPr>
          <w:rFonts w:eastAsia="Times New Roman" w:cs="Arial"/>
          <w:color w:val="000000"/>
          <w:szCs w:val="18"/>
          <w:lang w:eastAsia="bg-BG"/>
        </w:rPr>
      </w:pPr>
    </w:p>
    <w:p w14:paraId="576FEC46" w14:textId="4E7857E4"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намалява съдовия отговор към действието на норадреналин. Необходимо е внимание при пациенти, при които се налага регионална или обща анестезия, в периода на провеждане на лечение със спиронолактон.</w:t>
      </w:r>
    </w:p>
    <w:p w14:paraId="2307C894" w14:textId="77777777" w:rsidR="00154A3F" w:rsidRPr="00154A3F" w:rsidRDefault="00154A3F" w:rsidP="00154A3F">
      <w:pPr>
        <w:spacing w:line="240" w:lineRule="auto"/>
        <w:rPr>
          <w:rFonts w:eastAsia="Times New Roman" w:cs="Arial"/>
          <w:color w:val="000000"/>
          <w:szCs w:val="18"/>
          <w:lang w:eastAsia="bg-BG"/>
        </w:rPr>
      </w:pPr>
    </w:p>
    <w:p w14:paraId="21190594" w14:textId="77777777" w:rsidR="00154A3F" w:rsidRPr="00154A3F" w:rsidRDefault="00154A3F" w:rsidP="00154A3F">
      <w:pPr>
        <w:spacing w:line="240" w:lineRule="auto"/>
        <w:rPr>
          <w:rFonts w:eastAsia="Times New Roman" w:cs="Arial"/>
          <w:color w:val="000000"/>
          <w:szCs w:val="18"/>
          <w:lang w:eastAsia="bg-BG"/>
        </w:rPr>
      </w:pPr>
      <w:r w:rsidRPr="00154A3F">
        <w:rPr>
          <w:rFonts w:eastAsia="Times New Roman" w:cs="Arial"/>
          <w:color w:val="000000"/>
          <w:szCs w:val="18"/>
          <w:lang w:eastAsia="bg-BG"/>
        </w:rPr>
        <w:t xml:space="preserve">Приемът на калий-съдържащи добавки е противопоказан с изключение на случаите на изходно намаление или изчерпване на калиевите нива. При необходимост от приложение на такива продукти е необходим периодичен контрол </w:t>
      </w:r>
    </w:p>
    <w:p w14:paraId="7BC829AB" w14:textId="7CA6ABC8"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на серумните нива на електролитите.</w:t>
      </w:r>
    </w:p>
    <w:p w14:paraId="572FA728" w14:textId="77777777" w:rsidR="00154A3F" w:rsidRPr="00154A3F" w:rsidRDefault="00154A3F" w:rsidP="00154A3F">
      <w:pPr>
        <w:rPr>
          <w:rFonts w:eastAsia="Times New Roman" w:cs="Arial"/>
          <w:color w:val="000000"/>
          <w:szCs w:val="18"/>
          <w:lang w:eastAsia="bg-BG"/>
        </w:rPr>
      </w:pPr>
    </w:p>
    <w:p w14:paraId="2DCDFB96" w14:textId="57F7C439" w:rsidR="00154A3F" w:rsidRPr="00154A3F" w:rsidRDefault="00154A3F" w:rsidP="00154A3F">
      <w:pPr>
        <w:rPr>
          <w:rFonts w:cs="Arial"/>
          <w:sz w:val="28"/>
        </w:rPr>
      </w:pPr>
      <w:r w:rsidRPr="00154A3F">
        <w:rPr>
          <w:rFonts w:eastAsia="Times New Roman" w:cs="Arial"/>
          <w:color w:val="000000"/>
          <w:szCs w:val="18"/>
          <w:lang w:eastAsia="bg-BG"/>
        </w:rPr>
        <w:t>В допълнение към другите лекарствени продукти, за които е известно че причиняват хиперкалиемия, съпътстващата употреба на триметоприм/сулфометоксазол (ко-тримексазол)</w:t>
      </w:r>
      <w:r w:rsidRPr="00154A3F">
        <w:rPr>
          <w:rFonts w:eastAsia="Times New Roman" w:cs="Arial"/>
          <w:color w:val="000000"/>
          <w:szCs w:val="18"/>
          <w:lang w:val="en-US"/>
        </w:rPr>
        <w:t xml:space="preserve"> </w:t>
      </w:r>
      <w:r w:rsidRPr="00154A3F">
        <w:rPr>
          <w:rFonts w:eastAsia="Times New Roman" w:cs="Arial"/>
          <w:color w:val="000000"/>
          <w:szCs w:val="18"/>
          <w:lang w:eastAsia="bg-BG"/>
        </w:rPr>
        <w:t>със спиронолактон може да доведе до клинично значима хиперкалиемия.</w:t>
      </w:r>
    </w:p>
    <w:p w14:paraId="5B2761C5" w14:textId="07CDADE1" w:rsidR="0091385D" w:rsidRDefault="0091385D" w:rsidP="0091385D"/>
    <w:p w14:paraId="66788CA5" w14:textId="77777777"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Спиронолактон не трябва да се прилага при пациенти, приемащи такролимус, поради риск от развитие на умерена до тежка хиперкалиемия.</w:t>
      </w:r>
    </w:p>
    <w:p w14:paraId="02E2D7FD" w14:textId="77777777" w:rsidR="00154A3F" w:rsidRPr="00154A3F" w:rsidRDefault="00154A3F" w:rsidP="00154A3F">
      <w:pPr>
        <w:spacing w:line="240" w:lineRule="auto"/>
        <w:rPr>
          <w:rFonts w:eastAsia="Times New Roman" w:cs="Arial"/>
          <w:color w:val="000000"/>
          <w:lang w:eastAsia="bg-BG"/>
        </w:rPr>
      </w:pPr>
    </w:p>
    <w:p w14:paraId="39B879F9" w14:textId="65BC4653"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Едновременното приложение с хлорпропамид може да повиши риска от хипонатриемия.</w:t>
      </w:r>
    </w:p>
    <w:p w14:paraId="27A2289F" w14:textId="77777777" w:rsidR="00154A3F" w:rsidRPr="00154A3F" w:rsidRDefault="00154A3F" w:rsidP="00154A3F">
      <w:pPr>
        <w:spacing w:line="240" w:lineRule="auto"/>
        <w:rPr>
          <w:rFonts w:eastAsia="Times New Roman" w:cs="Arial"/>
          <w:color w:val="000000"/>
          <w:lang w:eastAsia="bg-BG"/>
        </w:rPr>
      </w:pPr>
    </w:p>
    <w:p w14:paraId="752C0BBD" w14:textId="5384C5B9"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При флуорометрично изследване, спиронолактон може да интерферира определянето на вещества с подобни флуоресцентни характеристики,</w:t>
      </w:r>
    </w:p>
    <w:p w14:paraId="13ED69ED" w14:textId="77777777" w:rsidR="00154A3F" w:rsidRPr="00154A3F" w:rsidRDefault="00154A3F" w:rsidP="00154A3F">
      <w:pPr>
        <w:spacing w:line="240" w:lineRule="auto"/>
        <w:rPr>
          <w:rFonts w:eastAsia="Times New Roman" w:cs="Arial"/>
          <w:color w:val="000000"/>
          <w:lang w:eastAsia="bg-BG"/>
        </w:rPr>
      </w:pPr>
    </w:p>
    <w:p w14:paraId="35CB3A09" w14:textId="12FD2126"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Спиронолактон увеличава метаболизма на антипирин.</w:t>
      </w:r>
    </w:p>
    <w:p w14:paraId="688C1040" w14:textId="77777777" w:rsidR="00154A3F" w:rsidRPr="00154A3F" w:rsidRDefault="00154A3F" w:rsidP="00154A3F">
      <w:pPr>
        <w:spacing w:line="240" w:lineRule="auto"/>
        <w:rPr>
          <w:rFonts w:eastAsia="Times New Roman" w:cs="Arial"/>
          <w:color w:val="000000"/>
          <w:lang w:eastAsia="bg-BG"/>
        </w:rPr>
      </w:pPr>
    </w:p>
    <w:p w14:paraId="507E4628" w14:textId="160568A4" w:rsidR="00154A3F" w:rsidRPr="00154A3F" w:rsidRDefault="00154A3F" w:rsidP="00154A3F">
      <w:pPr>
        <w:spacing w:line="240" w:lineRule="auto"/>
        <w:rPr>
          <w:rFonts w:eastAsia="Times New Roman" w:cs="Arial"/>
          <w:sz w:val="24"/>
          <w:szCs w:val="24"/>
          <w:lang w:eastAsia="bg-BG"/>
        </w:rPr>
      </w:pPr>
      <w:r w:rsidRPr="00154A3F">
        <w:rPr>
          <w:rFonts w:eastAsia="Times New Roman" w:cs="Arial"/>
          <w:color w:val="000000"/>
          <w:lang w:eastAsia="bg-BG"/>
        </w:rPr>
        <w:t xml:space="preserve">Спиронолактон се свързва с андрогенния рецептор и може да повиши нивата на простатно-специфичния антиген </w:t>
      </w:r>
      <w:r w:rsidRPr="00154A3F">
        <w:rPr>
          <w:rFonts w:eastAsia="Times New Roman" w:cs="Arial"/>
          <w:color w:val="000000"/>
          <w:lang w:val="en-US"/>
        </w:rPr>
        <w:t xml:space="preserve">(prostate specific antigen, PSA) </w:t>
      </w:r>
      <w:r w:rsidRPr="00154A3F">
        <w:rPr>
          <w:rFonts w:eastAsia="Times New Roman" w:cs="Arial"/>
          <w:color w:val="000000"/>
          <w:lang w:eastAsia="bg-BG"/>
        </w:rPr>
        <w:t>при пациенти с рак на простатата, лекувани с абиратерон. Не се препоръчва употреба с абиратерон.</w:t>
      </w:r>
    </w:p>
    <w:p w14:paraId="38C2531E" w14:textId="77777777" w:rsidR="00154A3F" w:rsidRPr="00154A3F" w:rsidRDefault="00154A3F" w:rsidP="00154A3F">
      <w:pPr>
        <w:rPr>
          <w:rFonts w:eastAsia="Times New Roman" w:cs="Arial"/>
          <w:color w:val="000000"/>
          <w:lang w:eastAsia="bg-BG"/>
        </w:rPr>
      </w:pPr>
    </w:p>
    <w:p w14:paraId="78943A05" w14:textId="60585BB0" w:rsidR="00154A3F" w:rsidRPr="00154A3F" w:rsidRDefault="00154A3F" w:rsidP="00154A3F">
      <w:pPr>
        <w:rPr>
          <w:rFonts w:cs="Arial"/>
        </w:rPr>
      </w:pPr>
      <w:r w:rsidRPr="00154A3F">
        <w:rPr>
          <w:rFonts w:eastAsia="Times New Roman" w:cs="Arial"/>
          <w:color w:val="000000"/>
          <w:lang w:eastAsia="bg-BG"/>
        </w:rPr>
        <w:t>Употребата на алкохол може да повиши риска от ортостатична хипотония.</w:t>
      </w:r>
    </w:p>
    <w:p w14:paraId="5B3B7613" w14:textId="77777777" w:rsidR="00154A3F" w:rsidRPr="0091385D" w:rsidRDefault="00154A3F"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6F4BD970" w14:textId="7777777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Бременност</w:t>
      </w:r>
    </w:p>
    <w:p w14:paraId="4BE18982"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или неговите метаболити могат да преминат през плацентарната бариера. Третирането със спиронолактон на бременни плъхове води до феминизиране на мъжките фетуси. Приложението на спиронолактон при бременни жени изисква точна оценка на съотношението полза за майката/възможен риск за плода.</w:t>
      </w:r>
    </w:p>
    <w:p w14:paraId="1EF2CC68" w14:textId="77777777" w:rsidR="00154A3F" w:rsidRPr="00154A3F" w:rsidRDefault="00154A3F" w:rsidP="00154A3F">
      <w:pPr>
        <w:spacing w:line="240" w:lineRule="auto"/>
        <w:rPr>
          <w:rFonts w:eastAsia="Times New Roman" w:cs="Arial"/>
          <w:color w:val="000000"/>
          <w:szCs w:val="18"/>
          <w:u w:val="single"/>
          <w:lang w:eastAsia="bg-BG"/>
        </w:rPr>
      </w:pPr>
    </w:p>
    <w:p w14:paraId="266528C1" w14:textId="1C2051E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Кърмене</w:t>
      </w:r>
    </w:p>
    <w:p w14:paraId="11D9368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Метаболитите на спиронолактон се установяват в майчината кърма. В случаите, при които приложението на спиронолактон е наложително, е необходимо да се обсъди алтернативен начин на хранене на кърмачето.</w:t>
      </w:r>
    </w:p>
    <w:p w14:paraId="6CC6F4BA" w14:textId="77777777" w:rsidR="00154A3F" w:rsidRPr="00154A3F" w:rsidRDefault="00154A3F" w:rsidP="00154A3F">
      <w:pPr>
        <w:spacing w:line="240" w:lineRule="auto"/>
        <w:rPr>
          <w:rFonts w:eastAsia="Times New Roman" w:cs="Arial"/>
          <w:color w:val="000000"/>
          <w:szCs w:val="18"/>
          <w:u w:val="single"/>
          <w:lang w:eastAsia="bg-BG"/>
        </w:rPr>
      </w:pPr>
    </w:p>
    <w:p w14:paraId="550CA3CA" w14:textId="6398822D"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Фертилитет</w:t>
      </w:r>
    </w:p>
    <w:p w14:paraId="776662C5" w14:textId="60F46DAC" w:rsidR="0091385D" w:rsidRPr="00154A3F" w:rsidRDefault="00154A3F" w:rsidP="00154A3F">
      <w:pPr>
        <w:rPr>
          <w:rFonts w:cs="Arial"/>
          <w:sz w:val="28"/>
        </w:rPr>
      </w:pPr>
      <w:r w:rsidRPr="00154A3F">
        <w:rPr>
          <w:rFonts w:eastAsia="Times New Roman" w:cs="Arial"/>
          <w:color w:val="000000"/>
          <w:szCs w:val="18"/>
          <w:lang w:eastAsia="bg-BG"/>
        </w:rPr>
        <w:t>Спиронолактон може да предизвика импотентност и менструални нарушения (вижте точка 4.8).</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835DB54" w:rsidR="0091385D" w:rsidRPr="00154A3F" w:rsidRDefault="00154A3F" w:rsidP="0091385D">
      <w:pPr>
        <w:rPr>
          <w:rFonts w:cs="Arial"/>
          <w:sz w:val="28"/>
        </w:rPr>
      </w:pPr>
      <w:r w:rsidRPr="00154A3F">
        <w:rPr>
          <w:rFonts w:cs="Arial"/>
          <w:szCs w:val="18"/>
        </w:rPr>
        <w:t>Има съобщения за развитие на сомнолентност и световъртеж. Препоръчва се лечението с продукта да се провежда с внимание по време на работа с машини или шофиране, докато не се определи отговорът към провежданото лечение.</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109042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Нежелани реакции са класифицирани по честота, както следва: много чести (≥ 1/10), чести (≥ 1/100 &lt;1/10), нечести (≥ 1/1000 &lt;1/100), редки (≥ 1/10 000 &lt;1/1000), много редки (&lt;1/10 000), с неизвестна честота (не може да бъде оценена от наличните данни).</w:t>
      </w:r>
    </w:p>
    <w:p w14:paraId="25B7DB75" w14:textId="77777777" w:rsidR="00154A3F" w:rsidRPr="00154A3F" w:rsidRDefault="00154A3F" w:rsidP="00154A3F">
      <w:pPr>
        <w:spacing w:line="240" w:lineRule="auto"/>
        <w:rPr>
          <w:rFonts w:eastAsia="Times New Roman" w:cs="Arial"/>
          <w:color w:val="000000"/>
          <w:szCs w:val="18"/>
          <w:lang w:eastAsia="bg-BG"/>
        </w:rPr>
      </w:pPr>
    </w:p>
    <w:p w14:paraId="01F164E0" w14:textId="30436CF6"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lastRenderedPageBreak/>
        <w:t>Следните нежелани реакции са били съобщени във връзка с провеждано лечение със спиронолактон.</w:t>
      </w:r>
    </w:p>
    <w:p w14:paraId="322A8326" w14:textId="77777777" w:rsidR="00154A3F" w:rsidRPr="00154A3F" w:rsidRDefault="00154A3F" w:rsidP="00154A3F">
      <w:pPr>
        <w:spacing w:line="240" w:lineRule="auto"/>
        <w:rPr>
          <w:rFonts w:eastAsia="Times New Roman" w:cs="Arial"/>
          <w:b/>
          <w:bCs/>
          <w:color w:val="000000"/>
          <w:szCs w:val="18"/>
          <w:lang w:eastAsia="bg-BG"/>
        </w:rPr>
      </w:pPr>
      <w:bookmarkStart w:id="1" w:name="bookmark0"/>
    </w:p>
    <w:p w14:paraId="24B7A00C" w14:textId="196AD2ED"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Неоплазми - доброкачествени, злокачествени и неопределени (включително кисти и полипи)</w:t>
      </w:r>
      <w:bookmarkEnd w:id="1"/>
    </w:p>
    <w:p w14:paraId="3383A875"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рак на гърдата.</w:t>
      </w:r>
    </w:p>
    <w:p w14:paraId="32517FFF" w14:textId="77777777" w:rsidR="00154A3F" w:rsidRPr="00154A3F" w:rsidRDefault="00154A3F" w:rsidP="00154A3F">
      <w:pPr>
        <w:spacing w:line="240" w:lineRule="auto"/>
        <w:rPr>
          <w:rFonts w:eastAsia="Times New Roman" w:cs="Arial"/>
          <w:b/>
          <w:bCs/>
          <w:color w:val="000000"/>
          <w:szCs w:val="18"/>
          <w:lang w:eastAsia="bg-BG"/>
        </w:rPr>
      </w:pPr>
      <w:bookmarkStart w:id="2" w:name="bookmark2"/>
    </w:p>
    <w:p w14:paraId="5CE24E8B" w14:textId="23F6135C"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кръвта и лимфната система</w:t>
      </w:r>
      <w:bookmarkEnd w:id="2"/>
    </w:p>
    <w:p w14:paraId="70EC139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Редки:</w:t>
      </w:r>
      <w:r w:rsidRPr="00154A3F">
        <w:rPr>
          <w:rFonts w:eastAsia="Times New Roman" w:cs="Arial"/>
          <w:color w:val="000000"/>
          <w:szCs w:val="18"/>
          <w:lang w:eastAsia="bg-BG"/>
        </w:rPr>
        <w:t xml:space="preserve"> агранулоцитоза, еозинофилия и тромбоцитопения.</w:t>
      </w:r>
    </w:p>
    <w:p w14:paraId="7E3BE774" w14:textId="77777777" w:rsidR="00154A3F" w:rsidRPr="00154A3F" w:rsidRDefault="00154A3F" w:rsidP="00154A3F">
      <w:pPr>
        <w:rPr>
          <w:rFonts w:eastAsia="Times New Roman" w:cs="Arial"/>
          <w:b/>
          <w:bCs/>
          <w:color w:val="000000"/>
          <w:szCs w:val="18"/>
          <w:lang w:eastAsia="bg-BG"/>
        </w:rPr>
      </w:pPr>
    </w:p>
    <w:p w14:paraId="570508C4" w14:textId="7BA82FBA" w:rsidR="0091385D" w:rsidRPr="00154A3F" w:rsidRDefault="00154A3F" w:rsidP="00154A3F">
      <w:pPr>
        <w:rPr>
          <w:rFonts w:cs="Arial"/>
          <w:sz w:val="28"/>
        </w:rPr>
      </w:pPr>
      <w:r w:rsidRPr="00154A3F">
        <w:rPr>
          <w:rFonts w:eastAsia="Times New Roman" w:cs="Arial"/>
          <w:b/>
          <w:bCs/>
          <w:color w:val="000000"/>
          <w:szCs w:val="18"/>
          <w:lang w:eastAsia="bg-BG"/>
        </w:rPr>
        <w:t>Нарушения на имунната система</w:t>
      </w:r>
    </w:p>
    <w:p w14:paraId="3073292B"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Редки:</w:t>
      </w:r>
      <w:r w:rsidRPr="00154A3F">
        <w:rPr>
          <w:rFonts w:eastAsia="Times New Roman" w:cs="Arial"/>
          <w:color w:val="000000"/>
          <w:szCs w:val="18"/>
          <w:lang w:eastAsia="bg-BG"/>
        </w:rPr>
        <w:t xml:space="preserve"> развитие на свръхчувствителност (обикновено с умерена тежест), но в много редки случаи може да има тежко протичане с развитие на отоци, шок и колапс. Затруднения в дишането, кожни обриви или сърбеж се съобщават рядко.</w:t>
      </w:r>
    </w:p>
    <w:p w14:paraId="7E72BC3C" w14:textId="77777777" w:rsidR="00154A3F" w:rsidRPr="00154A3F" w:rsidRDefault="00154A3F" w:rsidP="00154A3F">
      <w:pPr>
        <w:spacing w:line="240" w:lineRule="auto"/>
        <w:rPr>
          <w:rFonts w:eastAsia="Times New Roman" w:cs="Arial"/>
          <w:b/>
          <w:bCs/>
          <w:color w:val="000000"/>
          <w:szCs w:val="18"/>
          <w:lang w:eastAsia="bg-BG"/>
        </w:rPr>
      </w:pPr>
    </w:p>
    <w:p w14:paraId="4CFF2D03" w14:textId="7707B9E0"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ендокринната система</w:t>
      </w:r>
    </w:p>
    <w:p w14:paraId="746EB67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С неизвестна честота:</w:t>
      </w:r>
      <w:r w:rsidRPr="00154A3F">
        <w:rPr>
          <w:rFonts w:eastAsia="Times New Roman" w:cs="Arial"/>
          <w:color w:val="000000"/>
          <w:szCs w:val="18"/>
          <w:lang w:eastAsia="bg-BG"/>
        </w:rPr>
        <w:t xml:space="preserve"> леки андрогенни ефекти, включително хирзутизъм.</w:t>
      </w:r>
    </w:p>
    <w:p w14:paraId="7507861C" w14:textId="77777777" w:rsidR="00154A3F" w:rsidRPr="00154A3F" w:rsidRDefault="00154A3F" w:rsidP="00154A3F">
      <w:pPr>
        <w:spacing w:line="240" w:lineRule="auto"/>
        <w:rPr>
          <w:rFonts w:eastAsia="Times New Roman" w:cs="Arial"/>
          <w:b/>
          <w:bCs/>
          <w:color w:val="000000"/>
          <w:szCs w:val="18"/>
          <w:lang w:eastAsia="bg-BG"/>
        </w:rPr>
      </w:pPr>
    </w:p>
    <w:p w14:paraId="565BB08D" w14:textId="12AC3F5D"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метаболизма и храненето</w:t>
      </w:r>
    </w:p>
    <w:p w14:paraId="1690F4A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Чести:</w:t>
      </w:r>
      <w:r w:rsidRPr="00154A3F">
        <w:rPr>
          <w:rFonts w:eastAsia="Times New Roman" w:cs="Arial"/>
          <w:color w:val="000000"/>
          <w:szCs w:val="18"/>
          <w:lang w:eastAsia="bg-BG"/>
        </w:rPr>
        <w:t xml:space="preserve"> хиперкалиемия и хипонатриемия. Възможни са електролитни нарушения.</w:t>
      </w:r>
    </w:p>
    <w:p w14:paraId="654C9AB2" w14:textId="77777777" w:rsidR="00154A3F" w:rsidRPr="00154A3F" w:rsidRDefault="00154A3F" w:rsidP="00154A3F">
      <w:pPr>
        <w:spacing w:line="240" w:lineRule="auto"/>
        <w:rPr>
          <w:rFonts w:eastAsia="Times New Roman" w:cs="Arial"/>
          <w:b/>
          <w:bCs/>
          <w:color w:val="000000"/>
          <w:szCs w:val="18"/>
          <w:lang w:eastAsia="bg-BG"/>
        </w:rPr>
      </w:pPr>
      <w:bookmarkStart w:id="3" w:name="bookmark4"/>
    </w:p>
    <w:p w14:paraId="520685EE" w14:textId="3CB0CA45"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нервната система</w:t>
      </w:r>
      <w:bookmarkEnd w:id="3"/>
    </w:p>
    <w:p w14:paraId="5F4CDE7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чести:</w:t>
      </w:r>
      <w:r w:rsidRPr="00154A3F">
        <w:rPr>
          <w:rFonts w:eastAsia="Times New Roman" w:cs="Arial"/>
          <w:color w:val="000000"/>
          <w:szCs w:val="18"/>
          <w:lang w:eastAsia="bg-BG"/>
        </w:rPr>
        <w:t xml:space="preserve"> има съобщения за развитие на световъртеж, главоболие;</w:t>
      </w:r>
    </w:p>
    <w:p w14:paraId="22FE6CD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С неизвестна честота:</w:t>
      </w:r>
      <w:r w:rsidRPr="00154A3F">
        <w:rPr>
          <w:rFonts w:eastAsia="Times New Roman" w:cs="Arial"/>
          <w:color w:val="000000"/>
          <w:szCs w:val="18"/>
          <w:lang w:eastAsia="bg-BG"/>
        </w:rPr>
        <w:t xml:space="preserve"> атаксия, замаяност.</w:t>
      </w:r>
    </w:p>
    <w:p w14:paraId="571C31A8" w14:textId="77777777" w:rsidR="00154A3F" w:rsidRPr="00154A3F" w:rsidRDefault="00154A3F" w:rsidP="00154A3F">
      <w:pPr>
        <w:spacing w:line="240" w:lineRule="auto"/>
        <w:rPr>
          <w:rFonts w:eastAsia="Times New Roman" w:cs="Arial"/>
          <w:b/>
          <w:bCs/>
          <w:color w:val="000000"/>
          <w:szCs w:val="18"/>
          <w:lang w:eastAsia="bg-BG"/>
        </w:rPr>
      </w:pPr>
      <w:bookmarkStart w:id="4" w:name="bookmark6"/>
    </w:p>
    <w:p w14:paraId="15A355FF" w14:textId="46D79281"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Психични нарушения</w:t>
      </w:r>
      <w:bookmarkEnd w:id="4"/>
    </w:p>
    <w:p w14:paraId="3626C6D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С неизвестна честота:</w:t>
      </w:r>
      <w:r w:rsidRPr="00154A3F">
        <w:rPr>
          <w:rFonts w:eastAsia="Times New Roman" w:cs="Arial"/>
          <w:color w:val="000000"/>
          <w:szCs w:val="18"/>
          <w:lang w:eastAsia="bg-BG"/>
        </w:rPr>
        <w:t xml:space="preserve"> обърканост.</w:t>
      </w:r>
    </w:p>
    <w:p w14:paraId="654B147A" w14:textId="77777777" w:rsidR="00154A3F" w:rsidRPr="00154A3F" w:rsidRDefault="00154A3F" w:rsidP="00154A3F">
      <w:pPr>
        <w:spacing w:line="240" w:lineRule="auto"/>
        <w:rPr>
          <w:rFonts w:eastAsia="Times New Roman" w:cs="Arial"/>
          <w:b/>
          <w:bCs/>
          <w:color w:val="000000"/>
          <w:szCs w:val="18"/>
          <w:lang w:eastAsia="bg-BG"/>
        </w:rPr>
      </w:pPr>
      <w:bookmarkStart w:id="5" w:name="bookmark8"/>
    </w:p>
    <w:p w14:paraId="08A71095" w14:textId="6FA9EF37"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Стомашно-чревни нарушения</w:t>
      </w:r>
      <w:bookmarkEnd w:id="5"/>
    </w:p>
    <w:p w14:paraId="0C33DBE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чести:</w:t>
      </w:r>
      <w:r w:rsidRPr="00154A3F">
        <w:rPr>
          <w:rFonts w:eastAsia="Times New Roman" w:cs="Arial"/>
          <w:color w:val="000000"/>
          <w:szCs w:val="18"/>
          <w:lang w:eastAsia="bg-BG"/>
        </w:rPr>
        <w:t xml:space="preserve"> нарушено храносмилане, диария;</w:t>
      </w:r>
    </w:p>
    <w:p w14:paraId="3C86FF9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Чести:</w:t>
      </w:r>
      <w:r w:rsidRPr="00154A3F">
        <w:rPr>
          <w:rFonts w:eastAsia="Times New Roman" w:cs="Arial"/>
          <w:color w:val="000000"/>
          <w:szCs w:val="18"/>
          <w:lang w:eastAsia="bg-BG"/>
        </w:rPr>
        <w:t xml:space="preserve"> гадене и </w:t>
      </w:r>
      <w:r w:rsidRPr="00154A3F">
        <w:rPr>
          <w:rFonts w:eastAsia="Times New Roman" w:cs="Arial"/>
          <w:i/>
          <w:iCs/>
          <w:color w:val="000000"/>
          <w:szCs w:val="18"/>
          <w:lang w:eastAsia="bg-BG"/>
        </w:rPr>
        <w:t>повръщане;</w:t>
      </w:r>
    </w:p>
    <w:p w14:paraId="2208D85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стомашно възпаление, язви на стомаха, чревни кръвоизливи, спазми.</w:t>
      </w:r>
    </w:p>
    <w:p w14:paraId="7AA2D0D5" w14:textId="77777777" w:rsidR="00154A3F" w:rsidRPr="00154A3F" w:rsidRDefault="00154A3F" w:rsidP="00154A3F">
      <w:pPr>
        <w:spacing w:line="240" w:lineRule="auto"/>
        <w:rPr>
          <w:rFonts w:eastAsia="Times New Roman" w:cs="Arial"/>
          <w:b/>
          <w:bCs/>
          <w:color w:val="000000"/>
          <w:szCs w:val="18"/>
          <w:lang w:eastAsia="bg-BG"/>
        </w:rPr>
      </w:pPr>
      <w:bookmarkStart w:id="6" w:name="bookmark10"/>
    </w:p>
    <w:p w14:paraId="4860652F" w14:textId="0C5D8422"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Хепато-бнлиарни нарушения</w:t>
      </w:r>
      <w:bookmarkEnd w:id="6"/>
    </w:p>
    <w:p w14:paraId="3516A546"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нарушена чернодробна функция.</w:t>
      </w:r>
    </w:p>
    <w:p w14:paraId="56F8E03C" w14:textId="77777777" w:rsidR="00154A3F" w:rsidRPr="00154A3F" w:rsidRDefault="00154A3F" w:rsidP="00154A3F">
      <w:pPr>
        <w:spacing w:line="240" w:lineRule="auto"/>
        <w:rPr>
          <w:rFonts w:eastAsia="Times New Roman" w:cs="Arial"/>
          <w:b/>
          <w:bCs/>
          <w:color w:val="000000"/>
          <w:szCs w:val="18"/>
          <w:lang w:eastAsia="bg-BG"/>
        </w:rPr>
      </w:pPr>
      <w:bookmarkStart w:id="7" w:name="bookmark12"/>
    </w:p>
    <w:p w14:paraId="40CF492B" w14:textId="4DC6996E"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кожата и подкожната тъкан</w:t>
      </w:r>
      <w:bookmarkEnd w:id="7"/>
    </w:p>
    <w:p w14:paraId="6B36CF2F" w14:textId="59A298A3"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Нечести:</w:t>
      </w:r>
      <w:r w:rsidRPr="00154A3F">
        <w:rPr>
          <w:rFonts w:eastAsia="Times New Roman" w:cs="Arial"/>
          <w:color w:val="000000"/>
          <w:szCs w:val="18"/>
          <w:lang w:eastAsia="bg-BG"/>
        </w:rPr>
        <w:t xml:space="preserve"> кожен обрив, уртикария, еритема, пруритус;</w:t>
      </w:r>
    </w:p>
    <w:p w14:paraId="30B732B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алопеция, екзема, хипертрихоза;</w:t>
      </w:r>
    </w:p>
    <w:p w14:paraId="7F224F7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С неизвестна честота:</w:t>
      </w:r>
      <w:r w:rsidRPr="00154A3F">
        <w:rPr>
          <w:rFonts w:eastAsia="Times New Roman" w:cs="Arial"/>
          <w:color w:val="000000"/>
          <w:szCs w:val="18"/>
          <w:lang w:eastAsia="bg-BG"/>
        </w:rPr>
        <w:t xml:space="preserve"> синдром на Стивънс-Джонсън </w:t>
      </w:r>
      <w:r w:rsidRPr="00154A3F">
        <w:rPr>
          <w:rFonts w:eastAsia="Times New Roman" w:cs="Arial"/>
          <w:color w:val="000000"/>
          <w:szCs w:val="18"/>
          <w:lang w:val="en-US"/>
        </w:rPr>
        <w:t xml:space="preserve">(SJS), </w:t>
      </w:r>
      <w:r w:rsidRPr="00154A3F">
        <w:rPr>
          <w:rFonts w:eastAsia="Times New Roman" w:cs="Arial"/>
          <w:color w:val="000000"/>
          <w:szCs w:val="18"/>
          <w:lang w:eastAsia="bg-BG"/>
        </w:rPr>
        <w:t xml:space="preserve">токсична епидермална некролиза </w:t>
      </w:r>
      <w:r w:rsidRPr="00154A3F">
        <w:rPr>
          <w:rFonts w:eastAsia="Times New Roman" w:cs="Arial"/>
          <w:color w:val="000000"/>
          <w:szCs w:val="18"/>
          <w:lang w:val="en-US"/>
        </w:rPr>
        <w:t xml:space="preserve">(TEN), </w:t>
      </w:r>
      <w:r w:rsidRPr="00154A3F">
        <w:rPr>
          <w:rFonts w:eastAsia="Times New Roman" w:cs="Arial"/>
          <w:color w:val="000000"/>
          <w:szCs w:val="18"/>
          <w:lang w:eastAsia="bg-BG"/>
        </w:rPr>
        <w:t xml:space="preserve">лекарствен обрив с еозинофилия и системни симптоми </w:t>
      </w:r>
      <w:r w:rsidRPr="00154A3F">
        <w:rPr>
          <w:rFonts w:eastAsia="Times New Roman" w:cs="Arial"/>
          <w:color w:val="000000"/>
          <w:szCs w:val="18"/>
          <w:lang w:val="en-US"/>
        </w:rPr>
        <w:t xml:space="preserve">(DRESS), </w:t>
      </w:r>
      <w:r w:rsidRPr="00154A3F">
        <w:rPr>
          <w:rFonts w:eastAsia="Times New Roman" w:cs="Arial"/>
          <w:color w:val="000000"/>
          <w:szCs w:val="18"/>
          <w:lang w:eastAsia="bg-BG"/>
        </w:rPr>
        <w:t>пемфигоид.</w:t>
      </w:r>
    </w:p>
    <w:p w14:paraId="57C8EE3F" w14:textId="77777777" w:rsidR="00154A3F" w:rsidRPr="00154A3F" w:rsidRDefault="00154A3F" w:rsidP="00154A3F">
      <w:pPr>
        <w:spacing w:line="240" w:lineRule="auto"/>
        <w:rPr>
          <w:rFonts w:eastAsia="Times New Roman" w:cs="Arial"/>
          <w:b/>
          <w:bCs/>
          <w:color w:val="000000"/>
          <w:szCs w:val="18"/>
          <w:lang w:eastAsia="bg-BG"/>
        </w:rPr>
      </w:pPr>
      <w:bookmarkStart w:id="8" w:name="bookmark14"/>
    </w:p>
    <w:p w14:paraId="624F0A54" w14:textId="24BF3E62"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мускулно-скелетната система и съединителната тъкан</w:t>
      </w:r>
      <w:bookmarkEnd w:id="8"/>
    </w:p>
    <w:p w14:paraId="0D4C15A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Нечести:</w:t>
      </w:r>
      <w:r w:rsidRPr="00154A3F">
        <w:rPr>
          <w:rFonts w:eastAsia="Times New Roman" w:cs="Arial"/>
          <w:color w:val="000000"/>
          <w:szCs w:val="18"/>
          <w:lang w:eastAsia="bg-BG"/>
        </w:rPr>
        <w:t xml:space="preserve"> мускулни спазми, крампи на краката;</w:t>
      </w:r>
    </w:p>
    <w:p w14:paraId="3AE7790A"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остеомалация.</w:t>
      </w:r>
    </w:p>
    <w:p w14:paraId="198DDC09" w14:textId="77777777" w:rsidR="00154A3F" w:rsidRPr="00154A3F" w:rsidRDefault="00154A3F" w:rsidP="00154A3F">
      <w:pPr>
        <w:spacing w:line="240" w:lineRule="auto"/>
        <w:rPr>
          <w:rFonts w:eastAsia="Times New Roman" w:cs="Arial"/>
          <w:b/>
          <w:bCs/>
          <w:color w:val="000000"/>
          <w:szCs w:val="18"/>
          <w:lang w:eastAsia="bg-BG"/>
        </w:rPr>
      </w:pPr>
      <w:bookmarkStart w:id="9" w:name="bookmark16"/>
    </w:p>
    <w:p w14:paraId="5D1B5883" w14:textId="5268CD03"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бъбреците и пикочните пътища</w:t>
      </w:r>
      <w:bookmarkEnd w:id="9"/>
    </w:p>
    <w:p w14:paraId="7D1F784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Нечести:</w:t>
      </w:r>
      <w:r w:rsidRPr="00154A3F">
        <w:rPr>
          <w:rFonts w:eastAsia="Times New Roman" w:cs="Arial"/>
          <w:color w:val="000000"/>
          <w:szCs w:val="18"/>
          <w:lang w:eastAsia="bg-BG"/>
        </w:rPr>
        <w:t xml:space="preserve"> повишени нива на серумния креатинин;</w:t>
      </w:r>
    </w:p>
    <w:p w14:paraId="3B56EC3A"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редки:</w:t>
      </w:r>
      <w:r w:rsidRPr="00154A3F">
        <w:rPr>
          <w:rFonts w:eastAsia="Times New Roman" w:cs="Arial"/>
          <w:color w:val="000000"/>
          <w:szCs w:val="18"/>
          <w:lang w:eastAsia="bg-BG"/>
        </w:rPr>
        <w:t xml:space="preserve"> остра бъбречна недостатъчност, особено при пациенти с предхождащи бъбречни увреждания.</w:t>
      </w:r>
    </w:p>
    <w:p w14:paraId="76FBB07C" w14:textId="77777777" w:rsidR="00154A3F" w:rsidRPr="00154A3F" w:rsidRDefault="00154A3F" w:rsidP="00154A3F">
      <w:pPr>
        <w:spacing w:line="240" w:lineRule="auto"/>
        <w:rPr>
          <w:rFonts w:eastAsia="Times New Roman" w:cs="Arial"/>
          <w:b/>
          <w:bCs/>
          <w:color w:val="000000"/>
          <w:szCs w:val="18"/>
          <w:lang w:eastAsia="bg-BG"/>
        </w:rPr>
      </w:pPr>
      <w:bookmarkStart w:id="10" w:name="bookmark18"/>
    </w:p>
    <w:p w14:paraId="10B14736" w14:textId="723F06FB"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Нарушения на възпроизводителната система и гърдата</w:t>
      </w:r>
      <w:bookmarkEnd w:id="10"/>
    </w:p>
    <w:p w14:paraId="7C05A9C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чести:</w:t>
      </w:r>
    </w:p>
    <w:p w14:paraId="004FE662"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Мъже: намалено либидо, еректилна дисфункция, импотентност, гинекомастия;</w:t>
      </w:r>
    </w:p>
    <w:p w14:paraId="1445E70A"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Жени: нарушения на гърдата, болезненост на гърдите, нарушения в менструалния цикъл, задебеляване на гласа (в много случаи необратимо);</w:t>
      </w:r>
    </w:p>
    <w:p w14:paraId="58BD2F4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Чести:</w:t>
      </w:r>
    </w:p>
    <w:p w14:paraId="6CCB3A9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Жени: промени във вагиналната секреция, намалено либидо, липса на менструация (аменорея), кървене след менопауза.</w:t>
      </w:r>
    </w:p>
    <w:p w14:paraId="2FCDD5EF" w14:textId="77777777" w:rsidR="00154A3F" w:rsidRPr="00154A3F" w:rsidRDefault="00154A3F" w:rsidP="00154A3F">
      <w:pPr>
        <w:spacing w:line="240" w:lineRule="auto"/>
        <w:rPr>
          <w:rFonts w:eastAsia="Times New Roman" w:cs="Arial"/>
          <w:b/>
          <w:bCs/>
          <w:color w:val="000000"/>
          <w:szCs w:val="18"/>
          <w:lang w:eastAsia="bg-BG"/>
        </w:rPr>
      </w:pPr>
      <w:bookmarkStart w:id="11" w:name="bookmark20"/>
    </w:p>
    <w:p w14:paraId="4B93C50A" w14:textId="30AE7511" w:rsidR="00154A3F" w:rsidRPr="00154A3F" w:rsidRDefault="00154A3F" w:rsidP="00154A3F">
      <w:pPr>
        <w:spacing w:line="240" w:lineRule="auto"/>
        <w:rPr>
          <w:rFonts w:eastAsia="Times New Roman" w:cs="Arial"/>
          <w:sz w:val="32"/>
          <w:szCs w:val="24"/>
          <w:lang w:eastAsia="bg-BG"/>
        </w:rPr>
      </w:pPr>
      <w:r w:rsidRPr="00154A3F">
        <w:rPr>
          <w:rFonts w:eastAsia="Times New Roman" w:cs="Arial"/>
          <w:b/>
          <w:bCs/>
          <w:color w:val="000000"/>
          <w:szCs w:val="18"/>
          <w:lang w:eastAsia="bg-BG"/>
        </w:rPr>
        <w:t>Общи нарушения и ефекти на мястото на приложение</w:t>
      </w:r>
      <w:bookmarkEnd w:id="11"/>
    </w:p>
    <w:p w14:paraId="7EFAF927"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Много чести:</w:t>
      </w:r>
      <w:r w:rsidRPr="00154A3F">
        <w:rPr>
          <w:rFonts w:eastAsia="Times New Roman" w:cs="Arial"/>
          <w:color w:val="000000"/>
          <w:szCs w:val="18"/>
          <w:lang w:eastAsia="bg-BG"/>
        </w:rPr>
        <w:t xml:space="preserve"> умора, сънливост;</w:t>
      </w:r>
    </w:p>
    <w:p w14:paraId="7D355C47"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Чести:</w:t>
      </w:r>
      <w:r w:rsidRPr="00154A3F">
        <w:rPr>
          <w:rFonts w:eastAsia="Times New Roman" w:cs="Arial"/>
          <w:color w:val="000000"/>
          <w:szCs w:val="18"/>
          <w:lang w:eastAsia="bg-BG"/>
        </w:rPr>
        <w:t xml:space="preserve"> неразположение.</w:t>
      </w:r>
    </w:p>
    <w:p w14:paraId="1B5293F2" w14:textId="77777777" w:rsidR="00154A3F" w:rsidRPr="00154A3F" w:rsidRDefault="00154A3F" w:rsidP="00154A3F">
      <w:pPr>
        <w:rPr>
          <w:rFonts w:eastAsia="Times New Roman" w:cs="Arial"/>
          <w:b/>
          <w:bCs/>
          <w:color w:val="000000"/>
          <w:szCs w:val="18"/>
          <w:u w:val="single"/>
          <w:lang w:eastAsia="bg-BG"/>
        </w:rPr>
      </w:pPr>
    </w:p>
    <w:p w14:paraId="43E3C48F" w14:textId="0694F39D" w:rsidR="0091385D" w:rsidRPr="00154A3F" w:rsidRDefault="00154A3F" w:rsidP="00154A3F">
      <w:pPr>
        <w:rPr>
          <w:rFonts w:cs="Arial"/>
          <w:sz w:val="28"/>
        </w:rPr>
      </w:pPr>
      <w:r w:rsidRPr="00154A3F">
        <w:rPr>
          <w:rFonts w:eastAsia="Times New Roman" w:cs="Arial"/>
          <w:b/>
          <w:bCs/>
          <w:color w:val="000000"/>
          <w:szCs w:val="18"/>
          <w:u w:val="single"/>
          <w:lang w:eastAsia="bg-BG"/>
        </w:rPr>
        <w:t>Съобщаване на нежелани реакции</w:t>
      </w:r>
    </w:p>
    <w:p w14:paraId="38A04974"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7AD46DDD" w14:textId="77777777" w:rsidR="00154A3F" w:rsidRPr="00154A3F" w:rsidRDefault="00154A3F" w:rsidP="00154A3F">
      <w:pPr>
        <w:spacing w:line="240" w:lineRule="auto"/>
        <w:rPr>
          <w:rFonts w:eastAsia="Times New Roman" w:cs="Arial"/>
          <w:color w:val="000000"/>
          <w:lang w:eastAsia="bg-BG"/>
        </w:rPr>
      </w:pPr>
    </w:p>
    <w:p w14:paraId="782EC985" w14:textId="1980BCB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Изпълнителна агенция по лекарствата.</w:t>
      </w:r>
    </w:p>
    <w:p w14:paraId="35F5E01D"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ул.,Дамян Груев” № 8</w:t>
      </w:r>
    </w:p>
    <w:p w14:paraId="34A3887C"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1303 София</w:t>
      </w:r>
    </w:p>
    <w:p w14:paraId="00B7CF9F"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Тел.: +359 2 8903417</w:t>
      </w:r>
    </w:p>
    <w:p w14:paraId="7A45E176" w14:textId="26A4C0AF" w:rsidR="00154A3F" w:rsidRPr="00154A3F" w:rsidRDefault="00154A3F" w:rsidP="00154A3F">
      <w:pPr>
        <w:rPr>
          <w:rFonts w:cs="Arial"/>
        </w:rPr>
      </w:pPr>
      <w:r w:rsidRPr="00154A3F">
        <w:rPr>
          <w:rFonts w:eastAsia="Times New Roman" w:cs="Arial"/>
          <w:color w:val="000000"/>
          <w:lang w:eastAsia="bg-BG"/>
        </w:rPr>
        <w:t xml:space="preserve">уебсайт: </w:t>
      </w:r>
      <w:hyperlink r:id="rId5" w:history="1">
        <w:r w:rsidRPr="00154A3F">
          <w:rPr>
            <w:rFonts w:eastAsia="Times New Roman" w:cs="Arial"/>
            <w:color w:val="000000"/>
            <w:lang w:val="en-US"/>
          </w:rPr>
          <w:t>www.bda.bg</w:t>
        </w:r>
      </w:hyperlink>
    </w:p>
    <w:p w14:paraId="7A5D7DF4" w14:textId="77777777" w:rsidR="00154A3F" w:rsidRPr="0091385D" w:rsidRDefault="00154A3F"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47A7339B" w14:textId="7777777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Симпт</w:t>
      </w:r>
      <w:bookmarkStart w:id="12" w:name="_GoBack"/>
      <w:bookmarkEnd w:id="12"/>
      <w:r w:rsidRPr="00154A3F">
        <w:rPr>
          <w:rFonts w:eastAsia="Times New Roman"/>
          <w:u w:val="single"/>
          <w:lang w:eastAsia="bg-BG"/>
        </w:rPr>
        <w:t>оми</w:t>
      </w:r>
    </w:p>
    <w:p w14:paraId="74739AD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Острото предозирането може да се манифестира с прояви като световъртеж, потискане на мисловната дейност, гадене, повръщане, замаяност или диария. Може да бъде индуцирана хипонатриемия или хиперкалиемия, но тези ефекта е малко вероятно да бъдат свързани с острото предозиране. Симптомите на хиперкалиемия може да се прояват като парестезия, слабост, вяла парализа или мускулни спазми, които трудно могат да бъдат различени от състояние на хипокалиемия. Елекгрокардиографските промени са първите специфични признаци на нарушения в калиевия баланс.</w:t>
      </w:r>
    </w:p>
    <w:p w14:paraId="112613F8" w14:textId="77777777" w:rsidR="00154A3F" w:rsidRPr="00154A3F" w:rsidRDefault="00154A3F" w:rsidP="00154A3F">
      <w:pPr>
        <w:spacing w:line="240" w:lineRule="auto"/>
        <w:rPr>
          <w:rFonts w:eastAsia="Times New Roman" w:cs="Arial"/>
          <w:color w:val="000000"/>
          <w:szCs w:val="18"/>
          <w:u w:val="single"/>
          <w:lang w:eastAsia="bg-BG"/>
        </w:rPr>
      </w:pPr>
    </w:p>
    <w:p w14:paraId="120852FF" w14:textId="7FEBB906"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Лечение</w:t>
      </w:r>
    </w:p>
    <w:p w14:paraId="6464C44C"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Не е идентифициран специфичен антидот. Подобрение в клиничното състояние може да се постигне след прекратяване приема на продукта.</w:t>
      </w:r>
    </w:p>
    <w:p w14:paraId="0F0079CB" w14:textId="08CB7247" w:rsidR="0091385D" w:rsidRPr="00154A3F" w:rsidRDefault="00154A3F" w:rsidP="00154A3F">
      <w:pPr>
        <w:rPr>
          <w:rFonts w:cs="Arial"/>
          <w:sz w:val="28"/>
        </w:rPr>
      </w:pPr>
      <w:r w:rsidRPr="00154A3F">
        <w:rPr>
          <w:rFonts w:eastAsia="Times New Roman" w:cs="Arial"/>
          <w:color w:val="000000"/>
          <w:szCs w:val="18"/>
          <w:lang w:eastAsia="bg-BG"/>
        </w:rPr>
        <w:t>Ако възникне нарушение на електролитния баланс и дехидратация, лечението е симптоматично и поддържащо и може да включва заместители на течности и електролита. При състояние на хиперкалиемия, да се намали приема на калий и да се приложат калий-екскретиращи диуретици, както и прилагане на водно-електролитни разтвори и глюкоза интревенозно с обикновен инсулин или перорални йонно-обменни смоли.</w:t>
      </w:r>
    </w:p>
    <w:p w14:paraId="48FF1584" w14:textId="77777777"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28128DA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Фармакотерапевтична група: Диуретици, калий-съхраняващи диуретици АТС код: </w:t>
      </w:r>
      <w:r w:rsidRPr="00154A3F">
        <w:rPr>
          <w:rFonts w:eastAsia="Times New Roman" w:cs="Arial"/>
          <w:color w:val="000000"/>
          <w:szCs w:val="18"/>
          <w:lang w:val="en-US"/>
        </w:rPr>
        <w:t>C03DA01</w:t>
      </w:r>
    </w:p>
    <w:p w14:paraId="43C66417" w14:textId="77777777" w:rsidR="00154A3F" w:rsidRPr="00154A3F" w:rsidRDefault="00154A3F" w:rsidP="00154A3F">
      <w:pPr>
        <w:spacing w:line="240" w:lineRule="auto"/>
        <w:rPr>
          <w:rFonts w:eastAsia="Times New Roman" w:cs="Arial"/>
          <w:color w:val="000000"/>
          <w:szCs w:val="18"/>
          <w:u w:val="single"/>
          <w:lang w:eastAsia="bg-BG"/>
        </w:rPr>
      </w:pPr>
    </w:p>
    <w:p w14:paraId="6AD0289C" w14:textId="248CAC9A"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Механизъм на действие</w:t>
      </w:r>
    </w:p>
    <w:p w14:paraId="4EB2E1AE"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е компетитивен алдостеронов антагонист, който води до повишаване на натриевата екскреция и намаляване на загубата на калий от дисталните бъбречни тубули. Притежава постепенно проявяващо се и продължително действие.</w:t>
      </w:r>
    </w:p>
    <w:p w14:paraId="25C69100" w14:textId="77777777" w:rsidR="00154A3F" w:rsidRPr="00154A3F" w:rsidRDefault="00154A3F" w:rsidP="00154A3F">
      <w:pPr>
        <w:spacing w:line="240" w:lineRule="auto"/>
        <w:rPr>
          <w:rFonts w:eastAsia="Times New Roman" w:cs="Arial"/>
          <w:color w:val="000000"/>
          <w:szCs w:val="18"/>
          <w:u w:val="single"/>
          <w:lang w:eastAsia="bg-BG"/>
        </w:rPr>
      </w:pPr>
    </w:p>
    <w:p w14:paraId="3F88B78A" w14:textId="2CFA9F86"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u w:val="single"/>
          <w:lang w:eastAsia="bg-BG"/>
        </w:rPr>
        <w:t>Клинична ефикасност и безопасност</w:t>
      </w:r>
    </w:p>
    <w:p w14:paraId="47C09AC0" w14:textId="77777777" w:rsidR="00154A3F" w:rsidRPr="00154A3F" w:rsidRDefault="00154A3F" w:rsidP="00154A3F">
      <w:pPr>
        <w:spacing w:line="240" w:lineRule="auto"/>
        <w:rPr>
          <w:rFonts w:eastAsia="Times New Roman" w:cs="Arial"/>
          <w:i/>
          <w:iCs/>
          <w:color w:val="000000"/>
          <w:szCs w:val="18"/>
          <w:lang w:eastAsia="bg-BG"/>
        </w:rPr>
      </w:pPr>
    </w:p>
    <w:p w14:paraId="7AF5EF1D" w14:textId="4DB5851D"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Тежка сърдечна недостатъчност</w:t>
      </w:r>
    </w:p>
    <w:p w14:paraId="5B173C8B" w14:textId="77777777" w:rsidR="00154A3F" w:rsidRPr="00154A3F" w:rsidRDefault="00154A3F" w:rsidP="00154A3F">
      <w:pPr>
        <w:rPr>
          <w:rFonts w:eastAsia="Times New Roman" w:cs="Arial"/>
          <w:sz w:val="32"/>
          <w:szCs w:val="24"/>
          <w:lang w:eastAsia="bg-BG"/>
        </w:rPr>
      </w:pPr>
      <w:r w:rsidRPr="00154A3F">
        <w:rPr>
          <w:rFonts w:eastAsia="Times New Roman" w:cs="Arial"/>
          <w:i/>
          <w:iCs/>
          <w:color w:val="000000"/>
          <w:szCs w:val="18"/>
          <w:lang w:val="en-US"/>
        </w:rPr>
        <w:t>RALES</w:t>
      </w:r>
      <w:r w:rsidRPr="00154A3F">
        <w:rPr>
          <w:rFonts w:eastAsia="Times New Roman" w:cs="Arial"/>
          <w:color w:val="000000"/>
          <w:szCs w:val="18"/>
          <w:lang w:val="en-US"/>
        </w:rPr>
        <w:t xml:space="preserve"> </w:t>
      </w:r>
      <w:r w:rsidRPr="00154A3F">
        <w:rPr>
          <w:rFonts w:eastAsia="Times New Roman" w:cs="Arial"/>
          <w:color w:val="000000"/>
          <w:szCs w:val="18"/>
          <w:lang w:eastAsia="bg-BG"/>
        </w:rPr>
        <w:t xml:space="preserve">(Рандомизирано проучване за оценка на алдактон, </w:t>
      </w:r>
      <w:r w:rsidRPr="00154A3F">
        <w:rPr>
          <w:rFonts w:eastAsia="Times New Roman" w:cs="Arial"/>
          <w:i/>
          <w:iCs/>
          <w:color w:val="000000"/>
          <w:szCs w:val="18"/>
          <w:lang w:val="en-US"/>
        </w:rPr>
        <w:t xml:space="preserve">Randomized </w:t>
      </w:r>
      <w:proofErr w:type="spellStart"/>
      <w:r w:rsidRPr="00154A3F">
        <w:rPr>
          <w:rFonts w:eastAsia="Times New Roman" w:cs="Arial"/>
          <w:i/>
          <w:iCs/>
          <w:color w:val="000000"/>
          <w:szCs w:val="18"/>
          <w:lang w:val="en-US"/>
        </w:rPr>
        <w:t>Aldactone</w:t>
      </w:r>
      <w:proofErr w:type="spellEnd"/>
      <w:r w:rsidRPr="00154A3F">
        <w:rPr>
          <w:rFonts w:eastAsia="Times New Roman" w:cs="Arial"/>
          <w:i/>
          <w:iCs/>
          <w:color w:val="000000"/>
          <w:szCs w:val="18"/>
          <w:lang w:val="en-US"/>
        </w:rPr>
        <w:t xml:space="preserve"> Evaluation Study) </w:t>
      </w:r>
      <w:r w:rsidRPr="00154A3F">
        <w:rPr>
          <w:rFonts w:eastAsia="Times New Roman" w:cs="Arial"/>
          <w:color w:val="000000"/>
          <w:szCs w:val="18"/>
          <w:lang w:eastAsia="bg-BG"/>
        </w:rPr>
        <w:t xml:space="preserve">е мултинационално, двойно-сляпо проучване при 1663 пациенти с фракция на изтласкване &lt; 35%, с анамнеза за сърдечна недостатъчност клас IV по </w:t>
      </w:r>
      <w:r w:rsidRPr="00154A3F">
        <w:rPr>
          <w:rFonts w:eastAsia="Times New Roman" w:cs="Arial"/>
          <w:color w:val="000000"/>
          <w:szCs w:val="18"/>
          <w:lang w:val="en-US"/>
        </w:rPr>
        <w:t xml:space="preserve">NYHA </w:t>
      </w:r>
      <w:r w:rsidRPr="00154A3F">
        <w:rPr>
          <w:rFonts w:eastAsia="Times New Roman" w:cs="Arial"/>
          <w:color w:val="000000"/>
          <w:szCs w:val="18"/>
          <w:lang w:eastAsia="bg-BG"/>
        </w:rPr>
        <w:t xml:space="preserve">в рамките на 6 месеца, и сърдечна недостатъчност клас Ш-1V по време на рандомизацията. Всички пациенти са приемали бримкови диуретици, 97% са приемали АСЕ инхибитор и 78% са били на терапия с дигоксин (по време на провеждане на проучването, бета-блокерите не са били широко използвани за лечение на сърдечна недостатъчност и само 15% са били лекувани с бета-блокер). Пациентите с изходни серумен креатинин &gt; 2,5 </w:t>
      </w:r>
      <w:r w:rsidRPr="00154A3F">
        <w:rPr>
          <w:rFonts w:eastAsia="Times New Roman" w:cs="Arial"/>
          <w:color w:val="000000"/>
          <w:szCs w:val="18"/>
          <w:lang w:val="en-US"/>
        </w:rPr>
        <w:t>mg/</w:t>
      </w:r>
      <w:proofErr w:type="spellStart"/>
      <w:r w:rsidRPr="00154A3F">
        <w:rPr>
          <w:rFonts w:eastAsia="Times New Roman" w:cs="Arial"/>
          <w:color w:val="000000"/>
          <w:szCs w:val="18"/>
          <w:lang w:val="en-US"/>
        </w:rPr>
        <w:t>dL</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или скорошно увеличение от 25%, или с изходен серумен калий</w:t>
      </w:r>
      <w:r w:rsidRPr="00154A3F">
        <w:rPr>
          <w:rFonts w:eastAsia="Times New Roman" w:cs="Arial"/>
          <w:sz w:val="32"/>
          <w:szCs w:val="24"/>
          <w:lang w:eastAsia="bg-BG"/>
        </w:rPr>
        <w:t xml:space="preserve"> </w:t>
      </w:r>
      <w:r w:rsidRPr="00154A3F">
        <w:rPr>
          <w:rFonts w:eastAsia="Times New Roman" w:cs="Arial"/>
          <w:color w:val="000000"/>
          <w:szCs w:val="18"/>
          <w:lang w:eastAsia="bg-BG"/>
        </w:rPr>
        <w:t xml:space="preserve">&gt; 5,0 </w:t>
      </w:r>
      <w:proofErr w:type="spellStart"/>
      <w:r w:rsidRPr="00154A3F">
        <w:rPr>
          <w:rFonts w:eastAsia="Times New Roman" w:cs="Arial"/>
          <w:color w:val="000000"/>
          <w:szCs w:val="18"/>
          <w:lang w:val="en-US"/>
        </w:rPr>
        <w:t>mEq</w:t>
      </w:r>
      <w:proofErr w:type="spellEnd"/>
      <w:r w:rsidRPr="00154A3F">
        <w:rPr>
          <w:rFonts w:eastAsia="Times New Roman" w:cs="Arial"/>
          <w:color w:val="000000"/>
          <w:szCs w:val="18"/>
          <w:lang w:val="en-US"/>
        </w:rPr>
        <w:t xml:space="preserve">/L </w:t>
      </w:r>
      <w:r w:rsidRPr="00154A3F">
        <w:rPr>
          <w:rFonts w:eastAsia="Times New Roman" w:cs="Arial"/>
          <w:color w:val="000000"/>
          <w:szCs w:val="18"/>
          <w:lang w:eastAsia="bg-BG"/>
        </w:rPr>
        <w:t>са били изключени. Пациентите са били рандомизирани 1:1 със спиронолактон 25</w:t>
      </w:r>
      <w:r>
        <w:rPr>
          <w:rFonts w:eastAsia="Times New Roman" w:cs="Arial"/>
          <w:color w:val="000000"/>
          <w:szCs w:val="18"/>
          <w:lang w:eastAsia="bg-BG"/>
        </w:rPr>
        <w:t xml:space="preserve">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перорално веднъж дневно или плацебо. Дозата на пациентите, които са понесли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е увеличена до 50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какго е клинично показано. При пациентите, които не са понесли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веднъж дневно, дозата е била намалена до 25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през ден. Първичната крайна точка за </w:t>
      </w:r>
      <w:r w:rsidRPr="00154A3F">
        <w:rPr>
          <w:rFonts w:eastAsia="Times New Roman" w:cs="Arial"/>
          <w:color w:val="000000"/>
          <w:szCs w:val="18"/>
          <w:lang w:val="en-US"/>
        </w:rPr>
        <w:t xml:space="preserve">RALES </w:t>
      </w:r>
      <w:r w:rsidRPr="00154A3F">
        <w:rPr>
          <w:rFonts w:eastAsia="Times New Roman" w:cs="Arial"/>
          <w:color w:val="000000"/>
          <w:szCs w:val="18"/>
          <w:lang w:eastAsia="bg-BG"/>
        </w:rPr>
        <w:t xml:space="preserve">е времето до обща смъртност по всякаква причина. Проучването </w:t>
      </w:r>
      <w:r w:rsidRPr="00154A3F">
        <w:rPr>
          <w:rFonts w:eastAsia="Times New Roman" w:cs="Arial"/>
          <w:color w:val="000000"/>
          <w:szCs w:val="18"/>
          <w:lang w:val="en-US"/>
        </w:rPr>
        <w:t xml:space="preserve">RALES </w:t>
      </w:r>
      <w:r w:rsidRPr="00154A3F">
        <w:rPr>
          <w:rFonts w:eastAsia="Times New Roman" w:cs="Arial"/>
          <w:color w:val="000000"/>
          <w:szCs w:val="18"/>
          <w:lang w:eastAsia="bg-BG"/>
        </w:rPr>
        <w:t>е прекратено рано, след средно проследяване от 24 месеца поради значителения принос за намаляване на смъртността, установен при планирания междинен анализ. Спиронолактон намалява риска от смърт с 30% в сравнение с плацебо (р&lt; 0,001; 95% доверителен интервал 18 % до 40%). Спиронолактон също така значимо намалява риска от сърдечно-съдова смърт, предимно внезапна смърт, смърт от прогресивна сърдечна недостатъчност, както и риска от хоспитализация поради сърдечно-свързани причини.</w:t>
      </w:r>
    </w:p>
    <w:p w14:paraId="257A8EF1"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Промените в клас </w:t>
      </w:r>
      <w:r w:rsidRPr="00154A3F">
        <w:rPr>
          <w:rFonts w:eastAsia="Times New Roman" w:cs="Arial"/>
          <w:color w:val="000000"/>
          <w:szCs w:val="18"/>
          <w:lang w:val="en-US"/>
        </w:rPr>
        <w:t xml:space="preserve">NYHA </w:t>
      </w:r>
      <w:r w:rsidRPr="00154A3F">
        <w:rPr>
          <w:rFonts w:eastAsia="Times New Roman" w:cs="Arial"/>
          <w:color w:val="000000"/>
          <w:szCs w:val="18"/>
          <w:lang w:eastAsia="bg-BG"/>
        </w:rPr>
        <w:t>са по-благоприятни при спиронолактон. Гинекомастия или болка в гърдите се съобщава при 10% от мъжете, лекувани със спиронолактон, в сравнение с 1% от мъжете в групата на плацебо (р &lt;0,001). Честотата на сериозна хиперкалиемия е ниска и в двете групи пациенти.</w:t>
      </w:r>
    </w:p>
    <w:p w14:paraId="43E43DE5" w14:textId="77777777" w:rsidR="00154A3F" w:rsidRPr="00154A3F" w:rsidRDefault="00154A3F" w:rsidP="00154A3F">
      <w:pPr>
        <w:spacing w:line="240" w:lineRule="auto"/>
        <w:rPr>
          <w:rFonts w:eastAsia="Times New Roman" w:cs="Arial"/>
          <w:i/>
          <w:iCs/>
          <w:color w:val="000000"/>
          <w:szCs w:val="18"/>
          <w:lang w:eastAsia="bg-BG"/>
        </w:rPr>
      </w:pPr>
    </w:p>
    <w:p w14:paraId="69CA8359" w14:textId="25122362"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Педиатрична популация</w:t>
      </w:r>
    </w:p>
    <w:p w14:paraId="191DD855"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Липсва съществена информация от клинични проучвания за спиронолактон при деца. Това е резултат от няколко фактора: малкото проучвания, проведени в педиатричната популация, употребата на спиронолактон в комбинация с други средства, малкия брой пациенти, оценени при всяко проучване и различието в проучваните показания.</w:t>
      </w:r>
    </w:p>
    <w:p w14:paraId="28252AA0" w14:textId="2900F70B" w:rsidR="0091385D" w:rsidRPr="00154A3F" w:rsidRDefault="00154A3F" w:rsidP="00154A3F">
      <w:pPr>
        <w:spacing w:line="240" w:lineRule="auto"/>
        <w:rPr>
          <w:rFonts w:eastAsia="Times New Roman" w:cs="Arial"/>
          <w:sz w:val="40"/>
          <w:szCs w:val="24"/>
          <w:lang w:eastAsia="bg-BG"/>
        </w:rPr>
      </w:pPr>
      <w:r w:rsidRPr="00154A3F">
        <w:rPr>
          <w:rFonts w:eastAsia="Times New Roman" w:cs="Arial"/>
          <w:color w:val="000000"/>
          <w:szCs w:val="18"/>
          <w:lang w:eastAsia="bg-BG"/>
        </w:rPr>
        <w:t>Препоръките за дозиране при педиатричната популация се основават на клиничния опит и казуси, документирани в научната литература.</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7278916" w14:textId="7777777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Абсорбция</w:t>
      </w:r>
    </w:p>
    <w:p w14:paraId="62C2DB1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 xml:space="preserve">Спиронолактон се резорбира добре след перорално приложение. След прилагането на 100 </w:t>
      </w:r>
      <w:r w:rsidRPr="00154A3F">
        <w:rPr>
          <w:rFonts w:eastAsia="Times New Roman" w:cs="Arial"/>
          <w:color w:val="000000"/>
          <w:szCs w:val="18"/>
          <w:lang w:val="en-US"/>
        </w:rPr>
        <w:t xml:space="preserve">mg </w:t>
      </w:r>
      <w:r w:rsidRPr="00154A3F">
        <w:rPr>
          <w:rFonts w:eastAsia="Times New Roman" w:cs="Arial"/>
          <w:color w:val="000000"/>
          <w:szCs w:val="18"/>
          <w:lang w:eastAsia="bg-BG"/>
        </w:rPr>
        <w:t xml:space="preserve">спиронолактон дневно в продължение на 15 дни при здрави доброволци след хранене, времето за достигане на пикова плазмена концентрация </w:t>
      </w:r>
      <w:r w:rsidRPr="00154A3F">
        <w:rPr>
          <w:rFonts w:eastAsia="Times New Roman" w:cs="Arial"/>
          <w:color w:val="000000"/>
          <w:szCs w:val="18"/>
          <w:lang w:val="en-US"/>
        </w:rPr>
        <w:t>(</w:t>
      </w:r>
      <w:proofErr w:type="spellStart"/>
      <w:r w:rsidRPr="00154A3F">
        <w:rPr>
          <w:rFonts w:eastAsia="Times New Roman" w:cs="Arial"/>
          <w:color w:val="000000"/>
          <w:szCs w:val="18"/>
          <w:lang w:val="en-US"/>
        </w:rPr>
        <w:t>t</w:t>
      </w:r>
      <w:r w:rsidRPr="00154A3F">
        <w:rPr>
          <w:rFonts w:eastAsia="Times New Roman" w:cs="Arial"/>
          <w:color w:val="000000"/>
          <w:szCs w:val="18"/>
          <w:vertAlign w:val="subscript"/>
          <w:lang w:val="en-US"/>
        </w:rPr>
        <w:t>max</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максимална плазмена концентрация (С</w:t>
      </w:r>
      <w:r w:rsidRPr="00154A3F">
        <w:rPr>
          <w:rFonts w:eastAsia="Times New Roman" w:cs="Arial"/>
          <w:color w:val="000000"/>
          <w:szCs w:val="18"/>
          <w:vertAlign w:val="subscript"/>
          <w:lang w:val="en-US"/>
        </w:rPr>
        <w:t>m</w:t>
      </w:r>
      <w:r w:rsidRPr="00154A3F">
        <w:rPr>
          <w:rFonts w:eastAsia="Times New Roman" w:cs="Arial"/>
          <w:color w:val="000000"/>
          <w:szCs w:val="18"/>
          <w:vertAlign w:val="subscript"/>
          <w:lang w:eastAsia="bg-BG"/>
        </w:rPr>
        <w:t>ах</w:t>
      </w:r>
      <w:r w:rsidRPr="00154A3F">
        <w:rPr>
          <w:rFonts w:eastAsia="Times New Roman" w:cs="Arial"/>
          <w:color w:val="000000"/>
          <w:szCs w:val="18"/>
          <w:lang w:eastAsia="bg-BG"/>
        </w:rPr>
        <w:t>) и елиминационния полуживот (</w:t>
      </w:r>
      <w:r w:rsidRPr="00154A3F">
        <w:rPr>
          <w:rFonts w:eastAsia="Times New Roman" w:cs="Arial"/>
          <w:color w:val="000000"/>
          <w:szCs w:val="18"/>
          <w:lang w:val="en-US"/>
        </w:rPr>
        <w:t>t</w:t>
      </w:r>
      <w:r w:rsidRPr="00154A3F">
        <w:rPr>
          <w:rFonts w:eastAsia="Times New Roman" w:cs="Arial"/>
          <w:color w:val="000000"/>
          <w:szCs w:val="18"/>
          <w:vertAlign w:val="subscript"/>
          <w:lang w:val="en-US"/>
        </w:rPr>
        <w:t>1/2</w:t>
      </w:r>
      <w:r w:rsidRPr="00154A3F">
        <w:rPr>
          <w:rFonts w:eastAsia="Times New Roman" w:cs="Arial"/>
          <w:color w:val="000000"/>
          <w:szCs w:val="18"/>
          <w:lang w:eastAsia="bg-BG"/>
        </w:rPr>
        <w:t xml:space="preserve">) за спиронолактон са съответно 2,6 часа, 80 </w:t>
      </w:r>
      <w:r w:rsidRPr="00154A3F">
        <w:rPr>
          <w:rFonts w:eastAsia="Times New Roman" w:cs="Arial"/>
          <w:color w:val="000000"/>
          <w:szCs w:val="18"/>
          <w:lang w:val="en-US"/>
        </w:rPr>
        <w:t xml:space="preserve">ng/ml, </w:t>
      </w:r>
      <w:r w:rsidRPr="00154A3F">
        <w:rPr>
          <w:rFonts w:eastAsia="Times New Roman" w:cs="Arial"/>
          <w:color w:val="000000"/>
          <w:szCs w:val="18"/>
          <w:lang w:eastAsia="bg-BG"/>
        </w:rPr>
        <w:t xml:space="preserve">и приблизително 1,4 часа. За метаболитите 7-алфа-(тиомегил)-спиронолактон и канренон, </w:t>
      </w:r>
      <w:proofErr w:type="spellStart"/>
      <w:r w:rsidRPr="00154A3F">
        <w:rPr>
          <w:rFonts w:eastAsia="Times New Roman" w:cs="Arial"/>
          <w:color w:val="000000"/>
          <w:szCs w:val="18"/>
          <w:lang w:val="en-US"/>
        </w:rPr>
        <w:t>tmax</w:t>
      </w:r>
      <w:proofErr w:type="spellEnd"/>
      <w:r w:rsidRPr="00154A3F">
        <w:rPr>
          <w:rFonts w:eastAsia="Times New Roman" w:cs="Arial"/>
          <w:color w:val="000000"/>
          <w:szCs w:val="18"/>
          <w:lang w:val="en-US"/>
        </w:rPr>
        <w:t xml:space="preserve"> </w:t>
      </w:r>
      <w:r w:rsidRPr="00154A3F">
        <w:rPr>
          <w:rFonts w:eastAsia="Times New Roman" w:cs="Arial"/>
          <w:color w:val="000000"/>
          <w:szCs w:val="18"/>
          <w:lang w:eastAsia="bg-BG"/>
        </w:rPr>
        <w:t>е 3,2 часа и 4,3 часа, С</w:t>
      </w:r>
      <w:r w:rsidRPr="00154A3F">
        <w:rPr>
          <w:rFonts w:eastAsia="Times New Roman" w:cs="Arial"/>
          <w:color w:val="000000"/>
          <w:szCs w:val="18"/>
          <w:vertAlign w:val="subscript"/>
          <w:lang w:val="en-US"/>
        </w:rPr>
        <w:t>max</w:t>
      </w:r>
      <w:r w:rsidRPr="00154A3F">
        <w:rPr>
          <w:rFonts w:eastAsia="Times New Roman" w:cs="Arial"/>
          <w:color w:val="000000"/>
          <w:szCs w:val="18"/>
          <w:lang w:eastAsia="bg-BG"/>
        </w:rPr>
        <w:t xml:space="preserve"> 392 </w:t>
      </w:r>
      <w:r w:rsidRPr="00154A3F">
        <w:rPr>
          <w:rFonts w:eastAsia="Times New Roman" w:cs="Arial"/>
          <w:color w:val="000000"/>
          <w:szCs w:val="18"/>
          <w:lang w:val="en-US"/>
        </w:rPr>
        <w:t xml:space="preserve">ng/ml </w:t>
      </w:r>
      <w:r w:rsidRPr="00154A3F">
        <w:rPr>
          <w:rFonts w:eastAsia="Times New Roman" w:cs="Arial"/>
          <w:color w:val="000000"/>
          <w:szCs w:val="18"/>
          <w:lang w:eastAsia="bg-BG"/>
        </w:rPr>
        <w:t xml:space="preserve">и 181 </w:t>
      </w:r>
      <w:r w:rsidRPr="00154A3F">
        <w:rPr>
          <w:rFonts w:eastAsia="Times New Roman" w:cs="Arial"/>
          <w:color w:val="000000"/>
          <w:szCs w:val="18"/>
          <w:lang w:val="en-US"/>
        </w:rPr>
        <w:t xml:space="preserve">ng/ml, </w:t>
      </w:r>
      <w:r w:rsidRPr="00154A3F">
        <w:rPr>
          <w:rFonts w:eastAsia="Times New Roman" w:cs="Arial"/>
          <w:color w:val="000000"/>
          <w:szCs w:val="18"/>
          <w:lang w:eastAsia="bg-BG"/>
        </w:rPr>
        <w:t xml:space="preserve">и </w:t>
      </w:r>
      <w:r w:rsidRPr="00154A3F">
        <w:rPr>
          <w:rFonts w:eastAsia="Times New Roman" w:cs="Arial"/>
          <w:color w:val="000000"/>
          <w:szCs w:val="18"/>
          <w:lang w:val="en-US"/>
        </w:rPr>
        <w:t>t</w:t>
      </w:r>
      <w:r w:rsidRPr="00154A3F">
        <w:rPr>
          <w:rFonts w:eastAsia="Times New Roman" w:cs="Arial"/>
          <w:color w:val="000000"/>
          <w:szCs w:val="18"/>
          <w:vertAlign w:val="subscript"/>
          <w:lang w:val="en-US"/>
        </w:rPr>
        <w:t>1/2</w:t>
      </w:r>
      <w:r w:rsidRPr="00154A3F">
        <w:rPr>
          <w:rFonts w:eastAsia="Times New Roman" w:cs="Arial"/>
          <w:color w:val="000000"/>
          <w:szCs w:val="18"/>
          <w:lang w:val="en-US"/>
        </w:rPr>
        <w:t xml:space="preserve"> </w:t>
      </w:r>
      <w:r w:rsidRPr="00154A3F">
        <w:rPr>
          <w:rFonts w:eastAsia="Times New Roman" w:cs="Arial"/>
          <w:color w:val="000000"/>
          <w:szCs w:val="18"/>
          <w:lang w:eastAsia="bg-BG"/>
        </w:rPr>
        <w:t>13,8 часа и 16,5 часа, съответно.</w:t>
      </w:r>
    </w:p>
    <w:p w14:paraId="685C1A35"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Ефектът върху бъбречната функция на единична доза спиронолактон е максимален 7 часа след приема и персистира най-малко 24 часа след него.</w:t>
      </w:r>
    </w:p>
    <w:p w14:paraId="0D5E6EA9" w14:textId="77777777" w:rsidR="00154A3F" w:rsidRPr="00154A3F" w:rsidRDefault="00154A3F" w:rsidP="00154A3F">
      <w:pPr>
        <w:spacing w:line="240" w:lineRule="auto"/>
        <w:rPr>
          <w:rFonts w:eastAsia="Times New Roman" w:cs="Arial"/>
          <w:color w:val="000000"/>
          <w:szCs w:val="18"/>
          <w:u w:val="single"/>
          <w:lang w:eastAsia="bg-BG"/>
        </w:rPr>
      </w:pPr>
    </w:p>
    <w:p w14:paraId="30665213" w14:textId="49639BD7"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Биотрансформация</w:t>
      </w:r>
    </w:p>
    <w:p w14:paraId="60676F2D"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се метаболизира до активни метаболити: включващи тиометил-спиронолактон (80%) и канренон (20%).</w:t>
      </w:r>
    </w:p>
    <w:p w14:paraId="5C587A95" w14:textId="77777777" w:rsidR="00154A3F" w:rsidRPr="00154A3F" w:rsidRDefault="00154A3F" w:rsidP="00154A3F">
      <w:pPr>
        <w:spacing w:line="240" w:lineRule="auto"/>
        <w:rPr>
          <w:rFonts w:eastAsia="Times New Roman" w:cs="Arial"/>
          <w:color w:val="000000"/>
          <w:szCs w:val="18"/>
          <w:u w:val="single"/>
          <w:lang w:eastAsia="bg-BG"/>
        </w:rPr>
      </w:pPr>
    </w:p>
    <w:p w14:paraId="7B210E1A" w14:textId="739CAAFC" w:rsidR="00154A3F" w:rsidRPr="00154A3F" w:rsidRDefault="00154A3F" w:rsidP="00154A3F">
      <w:pPr>
        <w:pStyle w:val="Heading3"/>
        <w:rPr>
          <w:rFonts w:eastAsia="Times New Roman"/>
          <w:sz w:val="32"/>
          <w:u w:val="single"/>
          <w:lang w:eastAsia="bg-BG"/>
        </w:rPr>
      </w:pPr>
      <w:r w:rsidRPr="00154A3F">
        <w:rPr>
          <w:rFonts w:eastAsia="Times New Roman"/>
          <w:u w:val="single"/>
          <w:lang w:eastAsia="bg-BG"/>
        </w:rPr>
        <w:t>Елиминиране</w:t>
      </w:r>
    </w:p>
    <w:p w14:paraId="3E26E5D8"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Въпреки че елиминационния полуживот на спиронолактон е кратък (1,3 часа), този на активните метаболити е по-дълъг (варира между 2,8 и 11,2 часа). Елиминирането на метаболитите се осъществява предимно с урината и допълнително посредством жлъчна екскреция с фекалиите.</w:t>
      </w:r>
    </w:p>
    <w:p w14:paraId="656506DF" w14:textId="77777777" w:rsidR="00154A3F" w:rsidRPr="00154A3F" w:rsidRDefault="00154A3F" w:rsidP="00154A3F">
      <w:pPr>
        <w:spacing w:line="240" w:lineRule="auto"/>
        <w:rPr>
          <w:rFonts w:eastAsia="Times New Roman" w:cs="Arial"/>
          <w:i/>
          <w:iCs/>
          <w:color w:val="000000"/>
          <w:szCs w:val="18"/>
          <w:lang w:eastAsia="bg-BG"/>
        </w:rPr>
      </w:pPr>
    </w:p>
    <w:p w14:paraId="754C669C" w14:textId="7AC7FDEA" w:rsidR="00154A3F" w:rsidRPr="00154A3F" w:rsidRDefault="00154A3F" w:rsidP="00154A3F">
      <w:pPr>
        <w:spacing w:line="240" w:lineRule="auto"/>
        <w:rPr>
          <w:rFonts w:eastAsia="Times New Roman" w:cs="Arial"/>
          <w:sz w:val="32"/>
          <w:szCs w:val="24"/>
          <w:lang w:eastAsia="bg-BG"/>
        </w:rPr>
      </w:pPr>
      <w:r w:rsidRPr="00154A3F">
        <w:rPr>
          <w:rFonts w:eastAsia="Times New Roman" w:cs="Arial"/>
          <w:i/>
          <w:iCs/>
          <w:color w:val="000000"/>
          <w:szCs w:val="18"/>
          <w:lang w:eastAsia="bg-BG"/>
        </w:rPr>
        <w:t>Педиатрична популация</w:t>
      </w:r>
    </w:p>
    <w:p w14:paraId="148BA3FC" w14:textId="0F095208" w:rsidR="0091385D" w:rsidRPr="00154A3F" w:rsidRDefault="00154A3F" w:rsidP="00154A3F">
      <w:pPr>
        <w:rPr>
          <w:rFonts w:cs="Arial"/>
          <w:sz w:val="28"/>
        </w:rPr>
      </w:pPr>
      <w:r w:rsidRPr="00154A3F">
        <w:rPr>
          <w:rFonts w:eastAsia="Times New Roman" w:cs="Arial"/>
          <w:color w:val="000000"/>
          <w:szCs w:val="18"/>
          <w:lang w:eastAsia="bg-BG"/>
        </w:rPr>
        <w:t>Липсват фармакокннетнчни данни за употребата в педиатричната популация. Препоръките за дозиране в педиатрията се основават на клиничния опит и казусите, документирани в научната литература.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F46C79F"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Приложението на високи дози спиронолактон за продължителен период от време при плъхове води до развитие на тумори.</w:t>
      </w:r>
    </w:p>
    <w:p w14:paraId="52E4D01A" w14:textId="3544EFAE" w:rsidR="0091385D"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Спиронолактон и неговите метаболити преминават плацентарната бариера, поради което е</w:t>
      </w:r>
      <w:r>
        <w:rPr>
          <w:rFonts w:eastAsia="Times New Roman" w:cs="Arial"/>
          <w:sz w:val="32"/>
          <w:szCs w:val="24"/>
          <w:lang w:eastAsia="bg-BG"/>
        </w:rPr>
        <w:t xml:space="preserve"> </w:t>
      </w:r>
      <w:r w:rsidRPr="00154A3F">
        <w:rPr>
          <w:rFonts w:eastAsia="Times New Roman" w:cs="Arial"/>
          <w:color w:val="000000"/>
          <w:szCs w:val="18"/>
          <w:lang w:eastAsia="bg-BG"/>
        </w:rPr>
        <w:t>необходима оценка на съотношението полза/риск.</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6070C7D9"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„Чайкафарма Висококачествените Лекарства" АД</w:t>
      </w:r>
    </w:p>
    <w:p w14:paraId="61AFC924" w14:textId="77777777" w:rsidR="00154A3F" w:rsidRPr="00154A3F" w:rsidRDefault="00154A3F" w:rsidP="00154A3F">
      <w:pPr>
        <w:spacing w:line="240" w:lineRule="auto"/>
        <w:rPr>
          <w:rFonts w:eastAsia="Times New Roman" w:cs="Arial"/>
          <w:sz w:val="32"/>
          <w:szCs w:val="24"/>
          <w:lang w:eastAsia="bg-BG"/>
        </w:rPr>
      </w:pPr>
      <w:r w:rsidRPr="00154A3F">
        <w:rPr>
          <w:rFonts w:eastAsia="Times New Roman" w:cs="Arial"/>
          <w:color w:val="000000"/>
          <w:szCs w:val="18"/>
          <w:lang w:eastAsia="bg-BG"/>
        </w:rPr>
        <w:t>бул ” Г. М. Димитров” № 1</w:t>
      </w:r>
    </w:p>
    <w:p w14:paraId="3FD825DB" w14:textId="2FC446D7" w:rsidR="0091385D" w:rsidRPr="00154A3F" w:rsidRDefault="00154A3F" w:rsidP="00154A3F">
      <w:pPr>
        <w:rPr>
          <w:rFonts w:cs="Arial"/>
          <w:sz w:val="28"/>
        </w:rPr>
      </w:pPr>
      <w:r w:rsidRPr="00154A3F">
        <w:rPr>
          <w:rFonts w:eastAsia="Times New Roman" w:cs="Arial"/>
          <w:color w:val="000000"/>
          <w:szCs w:val="18"/>
          <w:lang w:eastAsia="bg-BG"/>
        </w:rPr>
        <w:t>гр. София 1172, България</w:t>
      </w:r>
    </w:p>
    <w:p w14:paraId="54663093"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тел.: +359 2 962 54 54</w:t>
      </w:r>
    </w:p>
    <w:p w14:paraId="6F625D87"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факс: +359 2 9603 703</w:t>
      </w:r>
    </w:p>
    <w:p w14:paraId="129C7566" w14:textId="2BAAF3FD" w:rsidR="0091385D" w:rsidRPr="00154A3F" w:rsidRDefault="00154A3F" w:rsidP="00154A3F">
      <w:pPr>
        <w:rPr>
          <w:rFonts w:cs="Arial"/>
        </w:rPr>
      </w:pPr>
      <w:proofErr w:type="gramStart"/>
      <w:r w:rsidRPr="00154A3F">
        <w:rPr>
          <w:rFonts w:eastAsia="Times New Roman" w:cs="Arial"/>
          <w:color w:val="000000"/>
          <w:lang w:val="en-US"/>
        </w:rPr>
        <w:t>e-mail</w:t>
      </w:r>
      <w:proofErr w:type="gramEnd"/>
      <w:r w:rsidRPr="00154A3F">
        <w:rPr>
          <w:rFonts w:eastAsia="Times New Roman" w:cs="Arial"/>
          <w:color w:val="000000"/>
          <w:lang w:val="en-US"/>
        </w:rPr>
        <w:t xml:space="preserve">: </w:t>
      </w:r>
      <w:hyperlink r:id="rId6" w:history="1">
        <w:r w:rsidRPr="00154A3F">
          <w:rPr>
            <w:rFonts w:eastAsia="Times New Roman" w:cs="Arial"/>
            <w:color w:val="000000"/>
            <w:lang w:val="en-US"/>
          </w:rPr>
          <w:t>info@tchaikapharma.com</w:t>
        </w:r>
      </w:hyperlink>
    </w:p>
    <w:p w14:paraId="7BA1BA64" w14:textId="17509450" w:rsidR="00CF77F7" w:rsidRDefault="002C50EE" w:rsidP="004A448E">
      <w:pPr>
        <w:pStyle w:val="Heading1"/>
      </w:pPr>
      <w:r>
        <w:lastRenderedPageBreak/>
        <w:t>8. НОМЕР НА РАЗРЕШЕНИЕТО ЗА УПОТРЕБА</w:t>
      </w:r>
    </w:p>
    <w:p w14:paraId="095674C4" w14:textId="54CA436A" w:rsidR="0091385D" w:rsidRDefault="0091385D" w:rsidP="0091385D"/>
    <w:p w14:paraId="0B3F159B"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 xml:space="preserve">Спиронолактон-Чайкафарма 25 </w:t>
      </w:r>
      <w:r w:rsidRPr="00154A3F">
        <w:rPr>
          <w:rFonts w:eastAsia="Times New Roman" w:cs="Arial"/>
          <w:color w:val="000000"/>
          <w:lang w:val="en-US"/>
        </w:rPr>
        <w:t xml:space="preserve">mg </w:t>
      </w:r>
      <w:r w:rsidRPr="00154A3F">
        <w:rPr>
          <w:rFonts w:eastAsia="Times New Roman" w:cs="Arial"/>
          <w:color w:val="000000"/>
          <w:lang w:eastAsia="bg-BG"/>
        </w:rPr>
        <w:t>филмирани таблети х 30 - 20030339</w:t>
      </w:r>
    </w:p>
    <w:p w14:paraId="0E2C91EF"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 xml:space="preserve">Спиронолактон-Чайкафарма 50 </w:t>
      </w:r>
      <w:r w:rsidRPr="00154A3F">
        <w:rPr>
          <w:rFonts w:eastAsia="Times New Roman" w:cs="Arial"/>
          <w:color w:val="000000"/>
          <w:lang w:val="en-US"/>
        </w:rPr>
        <w:t xml:space="preserve">mg </w:t>
      </w:r>
      <w:r w:rsidRPr="00154A3F">
        <w:rPr>
          <w:rFonts w:eastAsia="Times New Roman" w:cs="Arial"/>
          <w:color w:val="000000"/>
          <w:lang w:eastAsia="bg-BG"/>
        </w:rPr>
        <w:t>филмирани таблети х 30 - 20030340</w:t>
      </w:r>
    </w:p>
    <w:p w14:paraId="6E892CE5" w14:textId="5EE74142" w:rsidR="0091385D" w:rsidRPr="00154A3F" w:rsidRDefault="00154A3F" w:rsidP="00154A3F">
      <w:pPr>
        <w:rPr>
          <w:rFonts w:cs="Arial"/>
        </w:rPr>
      </w:pPr>
      <w:r w:rsidRPr="00154A3F">
        <w:rPr>
          <w:rFonts w:eastAsia="Times New Roman" w:cs="Arial"/>
          <w:color w:val="000000"/>
          <w:lang w:eastAsia="bg-BG"/>
        </w:rPr>
        <w:t xml:space="preserve">Спиронолактон-Чайкафарма 100 </w:t>
      </w:r>
      <w:r w:rsidRPr="00154A3F">
        <w:rPr>
          <w:rFonts w:eastAsia="Times New Roman" w:cs="Arial"/>
          <w:color w:val="000000"/>
          <w:lang w:val="en-US"/>
        </w:rPr>
        <w:t xml:space="preserve">mg </w:t>
      </w:r>
      <w:r w:rsidRPr="00154A3F">
        <w:rPr>
          <w:rFonts w:eastAsia="Times New Roman" w:cs="Arial"/>
          <w:color w:val="000000"/>
          <w:lang w:eastAsia="bg-BG"/>
        </w:rPr>
        <w:t>филмирани таблети х 30 - 20030341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18E610F9" w14:textId="77777777" w:rsidR="00154A3F" w:rsidRPr="00154A3F" w:rsidRDefault="00154A3F" w:rsidP="00154A3F">
      <w:pPr>
        <w:spacing w:line="240" w:lineRule="auto"/>
        <w:rPr>
          <w:rFonts w:eastAsia="Times New Roman" w:cs="Arial"/>
          <w:lang w:eastAsia="bg-BG"/>
        </w:rPr>
      </w:pPr>
      <w:r w:rsidRPr="00154A3F">
        <w:rPr>
          <w:rFonts w:eastAsia="Times New Roman" w:cs="Arial"/>
          <w:color w:val="000000"/>
          <w:lang w:eastAsia="bg-BG"/>
        </w:rPr>
        <w:t>Дата на първо разрешение: 16.05,2003</w:t>
      </w:r>
    </w:p>
    <w:p w14:paraId="497007FA" w14:textId="4D25E790" w:rsidR="0091385D" w:rsidRPr="00154A3F" w:rsidRDefault="00154A3F" w:rsidP="00154A3F">
      <w:pPr>
        <w:rPr>
          <w:rFonts w:cs="Arial"/>
        </w:rPr>
      </w:pPr>
      <w:r w:rsidRPr="00154A3F">
        <w:rPr>
          <w:rFonts w:eastAsia="Times New Roman" w:cs="Arial"/>
          <w:color w:val="000000"/>
          <w:lang w:eastAsia="bg-BG"/>
        </w:rPr>
        <w:t>Дата на последно подновяване: 19.01.2009</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5F506BFD" w:rsidR="0091385D" w:rsidRPr="00154A3F" w:rsidRDefault="00154A3F" w:rsidP="0091385D">
      <w:pPr>
        <w:rPr>
          <w:rFonts w:cs="Arial"/>
        </w:rPr>
      </w:pPr>
      <w:r w:rsidRPr="00154A3F">
        <w:rPr>
          <w:rFonts w:cs="Arial"/>
        </w:rPr>
        <w:t>Януари, 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6307D"/>
    <w:multiLevelType w:val="hybridMultilevel"/>
    <w:tmpl w:val="EE500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0D85C73"/>
    <w:multiLevelType w:val="hybridMultilevel"/>
    <w:tmpl w:val="EB1886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20EE3"/>
    <w:multiLevelType w:val="hybridMultilevel"/>
    <w:tmpl w:val="B93EF8A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00C59"/>
    <w:multiLevelType w:val="hybridMultilevel"/>
    <w:tmpl w:val="DAC40C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B4D72"/>
    <w:multiLevelType w:val="hybridMultilevel"/>
    <w:tmpl w:val="B7F49F7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4"/>
  </w:num>
  <w:num w:numId="5">
    <w:abstractNumId w:val="1"/>
  </w:num>
  <w:num w:numId="6">
    <w:abstractNumId w:val="17"/>
  </w:num>
  <w:num w:numId="7">
    <w:abstractNumId w:val="12"/>
  </w:num>
  <w:num w:numId="8">
    <w:abstractNumId w:val="16"/>
  </w:num>
  <w:num w:numId="9">
    <w:abstractNumId w:val="3"/>
  </w:num>
  <w:num w:numId="10">
    <w:abstractNumId w:val="5"/>
  </w:num>
  <w:num w:numId="11">
    <w:abstractNumId w:val="34"/>
  </w:num>
  <w:num w:numId="12">
    <w:abstractNumId w:val="15"/>
  </w:num>
  <w:num w:numId="13">
    <w:abstractNumId w:val="20"/>
  </w:num>
  <w:num w:numId="14">
    <w:abstractNumId w:val="13"/>
  </w:num>
  <w:num w:numId="15">
    <w:abstractNumId w:val="33"/>
  </w:num>
  <w:num w:numId="16">
    <w:abstractNumId w:val="11"/>
  </w:num>
  <w:num w:numId="17">
    <w:abstractNumId w:val="26"/>
  </w:num>
  <w:num w:numId="18">
    <w:abstractNumId w:val="9"/>
  </w:num>
  <w:num w:numId="19">
    <w:abstractNumId w:val="29"/>
  </w:num>
  <w:num w:numId="20">
    <w:abstractNumId w:val="25"/>
  </w:num>
  <w:num w:numId="21">
    <w:abstractNumId w:val="18"/>
  </w:num>
  <w:num w:numId="22">
    <w:abstractNumId w:val="28"/>
  </w:num>
  <w:num w:numId="23">
    <w:abstractNumId w:val="19"/>
  </w:num>
  <w:num w:numId="24">
    <w:abstractNumId w:val="10"/>
  </w:num>
  <w:num w:numId="25">
    <w:abstractNumId w:val="24"/>
  </w:num>
  <w:num w:numId="26">
    <w:abstractNumId w:val="22"/>
  </w:num>
  <w:num w:numId="27">
    <w:abstractNumId w:val="35"/>
  </w:num>
  <w:num w:numId="28">
    <w:abstractNumId w:val="7"/>
  </w:num>
  <w:num w:numId="29">
    <w:abstractNumId w:val="21"/>
  </w:num>
  <w:num w:numId="30">
    <w:abstractNumId w:val="38"/>
  </w:num>
  <w:num w:numId="31">
    <w:abstractNumId w:val="6"/>
  </w:num>
  <w:num w:numId="32">
    <w:abstractNumId w:val="37"/>
  </w:num>
  <w:num w:numId="33">
    <w:abstractNumId w:val="31"/>
  </w:num>
  <w:num w:numId="34">
    <w:abstractNumId w:val="36"/>
  </w:num>
  <w:num w:numId="35">
    <w:abstractNumId w:val="27"/>
  </w:num>
  <w:num w:numId="36">
    <w:abstractNumId w:val="23"/>
  </w:num>
  <w:num w:numId="37">
    <w:abstractNumId w:val="32"/>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54A3F"/>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271CA"/>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14B4E"/>
    <w:rsid w:val="00A20351"/>
    <w:rsid w:val="00A65A81"/>
    <w:rsid w:val="00A73575"/>
    <w:rsid w:val="00AA23EC"/>
    <w:rsid w:val="00AC63CE"/>
    <w:rsid w:val="00AE2107"/>
    <w:rsid w:val="00B275A8"/>
    <w:rsid w:val="00BF2600"/>
    <w:rsid w:val="00C0049F"/>
    <w:rsid w:val="00C07B84"/>
    <w:rsid w:val="00C33464"/>
    <w:rsid w:val="00C40420"/>
    <w:rsid w:val="00C4384E"/>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3729</Words>
  <Characters>21261</Characters>
  <Application>Microsoft Office Word</Application>
  <DocSecurity>0</DocSecurity>
  <Lines>177</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2022-09-06T12:19:00Z</dcterms:created>
  <dcterms:modified xsi:type="dcterms:W3CDTF">2022-09-06T12:19:00Z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