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12D12859" w:rsidR="00DB32D3" w:rsidRDefault="00DD466D" w:rsidP="005726E3">
      <w:pPr>
        <w:pStyle w:val="Heading1"/>
      </w:pPr>
      <w:r>
        <w:t>1.ИМЕ НА ЛЕКАРСТВЕНИЯ ПРОДУКТ</w:t>
      </w:r>
    </w:p>
    <w:p w14:paraId="7D05ABF4" w14:textId="5DA2B6BC" w:rsidR="00087C89" w:rsidRDefault="00087C89" w:rsidP="00087C89"/>
    <w:p w14:paraId="40DA122B" w14:textId="77777777" w:rsidR="00087C89" w:rsidRDefault="00087C89" w:rsidP="00087C89">
      <w:pPr>
        <w:rPr>
          <w:lang w:eastAsia="bg-BG"/>
        </w:rPr>
      </w:pPr>
      <w:r w:rsidRPr="00087C89">
        <w:rPr>
          <w:lang w:eastAsia="bg-BG"/>
        </w:rPr>
        <w:t xml:space="preserve">Стимулотон 50 </w:t>
      </w:r>
      <w:r w:rsidRPr="00087C89">
        <w:rPr>
          <w:lang w:val="en-US"/>
        </w:rPr>
        <w:t xml:space="preserve">mg </w:t>
      </w:r>
      <w:r w:rsidRPr="00087C89">
        <w:rPr>
          <w:lang w:eastAsia="bg-BG"/>
        </w:rPr>
        <w:t xml:space="preserve">филмирани таблетки </w:t>
      </w:r>
    </w:p>
    <w:p w14:paraId="27C4B608" w14:textId="77777777" w:rsidR="00087C89" w:rsidRDefault="00087C89" w:rsidP="00087C89">
      <w:pPr>
        <w:rPr>
          <w:lang w:eastAsia="bg-BG"/>
        </w:rPr>
      </w:pPr>
      <w:r w:rsidRPr="00087C89">
        <w:rPr>
          <w:lang w:eastAsia="bg-BG"/>
        </w:rPr>
        <w:t xml:space="preserve">Стимулотон 100 </w:t>
      </w:r>
      <w:r w:rsidRPr="00087C89">
        <w:rPr>
          <w:lang w:val="en-US"/>
        </w:rPr>
        <w:t xml:space="preserve">mg </w:t>
      </w:r>
      <w:r w:rsidRPr="00087C89">
        <w:rPr>
          <w:lang w:eastAsia="bg-BG"/>
        </w:rPr>
        <w:t xml:space="preserve">филмирани таблетки </w:t>
      </w:r>
    </w:p>
    <w:p w14:paraId="56040103" w14:textId="08F7DC22" w:rsidR="00087C89" w:rsidRPr="00087C89" w:rsidRDefault="00087C89" w:rsidP="00087C89">
      <w:pPr>
        <w:rPr>
          <w:rFonts w:ascii="Times New Roman" w:hAnsi="Times New Roman" w:cs="Times New Roman"/>
          <w:sz w:val="24"/>
          <w:szCs w:val="24"/>
          <w:lang w:val="en-US" w:eastAsia="bg-BG"/>
        </w:rPr>
      </w:pPr>
      <w:r w:rsidRPr="00087C89">
        <w:rPr>
          <w:lang w:eastAsia="bg-BG"/>
        </w:rPr>
        <w:t>Сертралин</w:t>
      </w:r>
    </w:p>
    <w:p w14:paraId="029B545B" w14:textId="77777777" w:rsidR="00087C89" w:rsidRDefault="00087C89" w:rsidP="00087C89">
      <w:pPr>
        <w:rPr>
          <w:lang w:val="en-US"/>
        </w:rPr>
      </w:pPr>
    </w:p>
    <w:p w14:paraId="72A7BF95" w14:textId="1597FB96" w:rsidR="00087C89" w:rsidRPr="00087C89" w:rsidRDefault="00087C89" w:rsidP="00087C89">
      <w:pPr>
        <w:rPr>
          <w:rFonts w:ascii="Times New Roman" w:hAnsi="Times New Roman" w:cs="Times New Roman"/>
          <w:sz w:val="24"/>
          <w:szCs w:val="24"/>
          <w:lang w:val="en-US" w:eastAsia="bg-BG"/>
        </w:rPr>
      </w:pPr>
      <w:proofErr w:type="spellStart"/>
      <w:r w:rsidRPr="00087C89">
        <w:rPr>
          <w:lang w:val="en-US"/>
        </w:rPr>
        <w:t>Stimuloton</w:t>
      </w:r>
      <w:proofErr w:type="spellEnd"/>
      <w:r w:rsidRPr="00087C89">
        <w:rPr>
          <w:lang w:val="en-US"/>
        </w:rPr>
        <w:t xml:space="preserve"> </w:t>
      </w:r>
      <w:r w:rsidRPr="00087C89">
        <w:rPr>
          <w:lang w:eastAsia="bg-BG"/>
        </w:rPr>
        <w:t xml:space="preserve">50 </w:t>
      </w:r>
      <w:r w:rsidRPr="00087C89">
        <w:rPr>
          <w:lang w:val="en-US"/>
        </w:rPr>
        <w:t>mg film-coated tablets</w:t>
      </w:r>
    </w:p>
    <w:p w14:paraId="286D9BC2" w14:textId="77777777" w:rsidR="00087C89" w:rsidRPr="00087C89" w:rsidRDefault="00087C89" w:rsidP="00087C89">
      <w:pPr>
        <w:rPr>
          <w:rFonts w:ascii="Times New Roman" w:hAnsi="Times New Roman" w:cs="Times New Roman"/>
          <w:sz w:val="24"/>
          <w:szCs w:val="24"/>
          <w:lang w:val="en-US" w:eastAsia="bg-BG"/>
        </w:rPr>
      </w:pPr>
      <w:proofErr w:type="spellStart"/>
      <w:r w:rsidRPr="00087C89">
        <w:rPr>
          <w:lang w:val="en-US"/>
        </w:rPr>
        <w:t>Stimuloton</w:t>
      </w:r>
      <w:proofErr w:type="spellEnd"/>
      <w:r w:rsidRPr="00087C89">
        <w:rPr>
          <w:lang w:val="en-US"/>
        </w:rPr>
        <w:t xml:space="preserve"> 100 mg film-coated tablets</w:t>
      </w:r>
    </w:p>
    <w:p w14:paraId="0FFD3939" w14:textId="77777777" w:rsidR="00087C89" w:rsidRPr="00087C89" w:rsidRDefault="00087C89" w:rsidP="00087C89">
      <w:pPr>
        <w:rPr>
          <w:rFonts w:ascii="Times New Roman" w:hAnsi="Times New Roman" w:cs="Times New Roman"/>
          <w:sz w:val="24"/>
          <w:szCs w:val="24"/>
          <w:lang w:val="en-US" w:eastAsia="bg-BG"/>
        </w:rPr>
      </w:pPr>
      <w:r w:rsidRPr="00087C89">
        <w:rPr>
          <w:lang w:val="en-US"/>
        </w:rPr>
        <w:t>Sertraline</w:t>
      </w:r>
    </w:p>
    <w:p w14:paraId="46493751" w14:textId="77777777" w:rsidR="00087C89" w:rsidRPr="00087C89" w:rsidRDefault="00087C89" w:rsidP="00087C89"/>
    <w:p w14:paraId="48E6CABE" w14:textId="6A7ED302" w:rsidR="00DB32D3" w:rsidRDefault="00DD466D" w:rsidP="005726E3">
      <w:pPr>
        <w:pStyle w:val="Heading1"/>
      </w:pPr>
      <w:r>
        <w:t>2. КАЧЕСТВЕН И КОЛИЧЕСТВЕН СЪСТАВ</w:t>
      </w:r>
    </w:p>
    <w:p w14:paraId="1E71E758" w14:textId="12C4D8DD" w:rsidR="00087C89" w:rsidRDefault="00087C89" w:rsidP="00087C89"/>
    <w:p w14:paraId="4068C6C4" w14:textId="77777777" w:rsidR="00087C89" w:rsidRPr="00087C89" w:rsidRDefault="00087C89" w:rsidP="00087C89">
      <w:pPr>
        <w:rPr>
          <w:rFonts w:ascii="Times New Roman" w:hAnsi="Times New Roman" w:cs="Times New Roman"/>
          <w:sz w:val="24"/>
          <w:szCs w:val="24"/>
          <w:lang w:eastAsia="bg-BG"/>
        </w:rPr>
      </w:pPr>
      <w:r w:rsidRPr="00087C89">
        <w:rPr>
          <w:lang w:eastAsia="bg-BG"/>
        </w:rPr>
        <w:t>Активно вещество:</w:t>
      </w:r>
    </w:p>
    <w:p w14:paraId="0E9E1D14" w14:textId="77777777" w:rsidR="00087C89" w:rsidRPr="00087C89" w:rsidRDefault="00087C89" w:rsidP="00087C89">
      <w:pPr>
        <w:rPr>
          <w:rFonts w:ascii="Times New Roman" w:hAnsi="Times New Roman" w:cs="Times New Roman"/>
          <w:sz w:val="24"/>
          <w:szCs w:val="24"/>
          <w:lang w:eastAsia="bg-BG"/>
        </w:rPr>
      </w:pPr>
      <w:r w:rsidRPr="00087C89">
        <w:rPr>
          <w:lang w:eastAsia="bg-BG"/>
        </w:rPr>
        <w:t xml:space="preserve">50 </w:t>
      </w:r>
      <w:r w:rsidRPr="00087C89">
        <w:rPr>
          <w:lang w:val="en-US"/>
        </w:rPr>
        <w:t xml:space="preserve">mg </w:t>
      </w:r>
      <w:r w:rsidRPr="00087C89">
        <w:rPr>
          <w:lang w:eastAsia="bg-BG"/>
        </w:rPr>
        <w:t xml:space="preserve">сертралин </w:t>
      </w:r>
      <w:r w:rsidRPr="00087C89">
        <w:rPr>
          <w:i/>
          <w:iCs/>
          <w:lang w:val="en-US"/>
        </w:rPr>
        <w:t>(sertraline)</w:t>
      </w:r>
      <w:r w:rsidRPr="00087C89">
        <w:rPr>
          <w:lang w:val="en-US"/>
        </w:rPr>
        <w:t xml:space="preserve"> </w:t>
      </w:r>
      <w:r w:rsidRPr="00087C89">
        <w:rPr>
          <w:lang w:eastAsia="bg-BG"/>
        </w:rPr>
        <w:t xml:space="preserve">(под формата на 55,95 </w:t>
      </w:r>
      <w:r w:rsidRPr="00087C89">
        <w:rPr>
          <w:lang w:val="en-US"/>
        </w:rPr>
        <w:t xml:space="preserve">mg </w:t>
      </w:r>
      <w:r w:rsidRPr="00087C89">
        <w:rPr>
          <w:lang w:eastAsia="bg-BG"/>
        </w:rPr>
        <w:t xml:space="preserve">сертралинов хидрохлорид </w:t>
      </w:r>
      <w:r w:rsidRPr="00087C89">
        <w:rPr>
          <w:lang w:val="en-US"/>
        </w:rPr>
        <w:t xml:space="preserve">(as </w:t>
      </w:r>
      <w:r w:rsidRPr="00087C89">
        <w:rPr>
          <w:i/>
          <w:iCs/>
          <w:lang w:val="en-US"/>
        </w:rPr>
        <w:t>sertraline hydrochloride))</w:t>
      </w:r>
      <w:r w:rsidRPr="00087C89">
        <w:rPr>
          <w:lang w:val="en-US"/>
        </w:rPr>
        <w:t xml:space="preserve"> </w:t>
      </w:r>
      <w:r w:rsidRPr="00087C89">
        <w:rPr>
          <w:lang w:eastAsia="bg-BG"/>
        </w:rPr>
        <w:t xml:space="preserve">се съдържа във всяка филмирана таблетка Стимулотон 50 </w:t>
      </w:r>
      <w:r w:rsidRPr="00087C89">
        <w:rPr>
          <w:lang w:val="en-US"/>
        </w:rPr>
        <w:t>mg.</w:t>
      </w:r>
    </w:p>
    <w:p w14:paraId="24C04B1D" w14:textId="62CE53DE" w:rsidR="00087C89" w:rsidRPr="00087C89" w:rsidRDefault="00087C89" w:rsidP="00087C89">
      <w:r w:rsidRPr="00087C89">
        <w:rPr>
          <w:lang w:eastAsia="bg-BG"/>
        </w:rPr>
        <w:t xml:space="preserve">100 </w:t>
      </w:r>
      <w:r w:rsidRPr="00087C89">
        <w:rPr>
          <w:lang w:val="en-US"/>
        </w:rPr>
        <w:t xml:space="preserve">mg </w:t>
      </w:r>
      <w:r w:rsidRPr="00087C89">
        <w:rPr>
          <w:lang w:eastAsia="bg-BG"/>
        </w:rPr>
        <w:t xml:space="preserve">сертралин </w:t>
      </w:r>
      <w:r w:rsidRPr="00087C89">
        <w:rPr>
          <w:i/>
          <w:iCs/>
          <w:lang w:val="en-US"/>
        </w:rPr>
        <w:t>(sertraline)</w:t>
      </w:r>
      <w:r w:rsidRPr="00087C89">
        <w:rPr>
          <w:lang w:val="en-US"/>
        </w:rPr>
        <w:t xml:space="preserve"> </w:t>
      </w:r>
      <w:r w:rsidRPr="00087C89">
        <w:rPr>
          <w:lang w:eastAsia="bg-BG"/>
        </w:rPr>
        <w:t xml:space="preserve">(под формата на 111,90 </w:t>
      </w:r>
      <w:r w:rsidRPr="00087C89">
        <w:rPr>
          <w:lang w:val="en-US"/>
        </w:rPr>
        <w:t xml:space="preserve">mg </w:t>
      </w:r>
      <w:r w:rsidRPr="00087C89">
        <w:rPr>
          <w:lang w:eastAsia="bg-BG"/>
        </w:rPr>
        <w:t xml:space="preserve">сертралинов хидрохлорид </w:t>
      </w:r>
      <w:r w:rsidRPr="00087C89">
        <w:rPr>
          <w:i/>
          <w:iCs/>
          <w:lang w:val="en-US"/>
        </w:rPr>
        <w:t>(as sertraline hydrochloride))</w:t>
      </w:r>
      <w:r w:rsidRPr="00087C89">
        <w:rPr>
          <w:lang w:val="en-US"/>
        </w:rPr>
        <w:t xml:space="preserve"> </w:t>
      </w:r>
      <w:r w:rsidRPr="00087C89">
        <w:rPr>
          <w:lang w:eastAsia="bg-BG"/>
        </w:rPr>
        <w:t xml:space="preserve">се съдържа във всяка филмирана таблетка Стимулотон 100 </w:t>
      </w:r>
      <w:r w:rsidRPr="00087C89">
        <w:rPr>
          <w:lang w:val="en-US"/>
        </w:rPr>
        <w:t>mg.</w:t>
      </w:r>
    </w:p>
    <w:p w14:paraId="763B21BA" w14:textId="62572E16" w:rsidR="001A6EBD" w:rsidRDefault="00DD466D" w:rsidP="00471F10">
      <w:pPr>
        <w:pStyle w:val="Heading1"/>
      </w:pPr>
      <w:r>
        <w:t>3. ЛЕКАРСТВЕНА ФОРМА</w:t>
      </w:r>
    </w:p>
    <w:p w14:paraId="458FEF63" w14:textId="3DDF8A4C" w:rsidR="00087C89" w:rsidRDefault="00087C89" w:rsidP="00087C89"/>
    <w:p w14:paraId="075ED97C" w14:textId="77777777" w:rsidR="00087C89" w:rsidRPr="00087C89" w:rsidRDefault="00087C89" w:rsidP="00087C89">
      <w:pPr>
        <w:rPr>
          <w:rFonts w:ascii="Times New Roman" w:hAnsi="Times New Roman" w:cs="Times New Roman"/>
          <w:sz w:val="24"/>
          <w:szCs w:val="24"/>
          <w:lang w:eastAsia="bg-BG"/>
        </w:rPr>
      </w:pPr>
      <w:r w:rsidRPr="00087C89">
        <w:rPr>
          <w:lang w:eastAsia="bg-BG"/>
        </w:rPr>
        <w:t>Филмирана таблетка.</w:t>
      </w:r>
    </w:p>
    <w:p w14:paraId="09435590" w14:textId="77777777" w:rsidR="00087C89" w:rsidRDefault="00087C89" w:rsidP="00087C89">
      <w:pPr>
        <w:rPr>
          <w:lang w:eastAsia="bg-BG"/>
        </w:rPr>
      </w:pPr>
    </w:p>
    <w:p w14:paraId="5CCA2850" w14:textId="50CAA5B1" w:rsidR="00087C89" w:rsidRPr="00087C89" w:rsidRDefault="00087C89" w:rsidP="00087C89">
      <w:pPr>
        <w:rPr>
          <w:rFonts w:ascii="Times New Roman" w:hAnsi="Times New Roman" w:cs="Times New Roman"/>
          <w:sz w:val="24"/>
          <w:szCs w:val="24"/>
          <w:lang w:eastAsia="bg-BG"/>
        </w:rPr>
      </w:pPr>
      <w:r w:rsidRPr="00087C89">
        <w:rPr>
          <w:lang w:eastAsia="bg-BG"/>
        </w:rPr>
        <w:t xml:space="preserve">Описание: Бели или почти бели, без миризма, двойно-изпъкнали, продълговати, филмирани таблетки с надпис “Е271" (50 </w:t>
      </w:r>
      <w:r w:rsidRPr="00087C89">
        <w:rPr>
          <w:lang w:val="en-US"/>
        </w:rPr>
        <w:t xml:space="preserve">mg) </w:t>
      </w:r>
      <w:r w:rsidRPr="00087C89">
        <w:rPr>
          <w:lang w:eastAsia="bg-BG"/>
        </w:rPr>
        <w:t xml:space="preserve">и “Е272” (100 </w:t>
      </w:r>
      <w:r w:rsidRPr="00087C89">
        <w:rPr>
          <w:lang w:val="en-US"/>
        </w:rPr>
        <w:t xml:space="preserve">mg) </w:t>
      </w:r>
      <w:r w:rsidRPr="00087C89">
        <w:rPr>
          <w:lang w:eastAsia="bg-BG"/>
        </w:rPr>
        <w:t>върху едната страна и делителна черта от другата страна.</w:t>
      </w:r>
    </w:p>
    <w:p w14:paraId="52795CBA" w14:textId="77777777" w:rsidR="00087C89" w:rsidRPr="00087C89" w:rsidRDefault="00087C89" w:rsidP="00087C89">
      <w:pPr>
        <w:rPr>
          <w:rFonts w:ascii="Times New Roman" w:hAnsi="Times New Roman" w:cs="Times New Roman"/>
          <w:sz w:val="24"/>
          <w:szCs w:val="24"/>
          <w:lang w:eastAsia="bg-BG"/>
        </w:rPr>
      </w:pPr>
      <w:r w:rsidRPr="00087C89">
        <w:rPr>
          <w:lang w:eastAsia="bg-BG"/>
        </w:rPr>
        <w:t>Таблетките могат да бъдат разделени на равни дози.</w:t>
      </w:r>
    </w:p>
    <w:p w14:paraId="43C95D93" w14:textId="77777777" w:rsidR="00087C89" w:rsidRPr="00087C89" w:rsidRDefault="00087C89" w:rsidP="00087C89"/>
    <w:p w14:paraId="490FC2C4" w14:textId="6899DE43" w:rsidR="002C50EE" w:rsidRDefault="002C50EE" w:rsidP="002C50EE">
      <w:pPr>
        <w:pStyle w:val="Heading1"/>
      </w:pPr>
      <w:r>
        <w:t>4. КЛИНИЧНИ ДАННИ</w:t>
      </w:r>
    </w:p>
    <w:p w14:paraId="25C765CE" w14:textId="27D2CAE8" w:rsidR="001A6EBD" w:rsidRDefault="002C50EE" w:rsidP="00471F10">
      <w:pPr>
        <w:pStyle w:val="Heading2"/>
      </w:pPr>
      <w:r>
        <w:t>4.1. Терапевтични показания</w:t>
      </w:r>
    </w:p>
    <w:p w14:paraId="5CBEDE1A" w14:textId="215B71A6" w:rsidR="00087C89" w:rsidRDefault="00087C89" w:rsidP="00087C89"/>
    <w:p w14:paraId="4132DCD7" w14:textId="77777777" w:rsidR="00087C89" w:rsidRPr="00087C89" w:rsidRDefault="00087C89" w:rsidP="00087C89">
      <w:pPr>
        <w:spacing w:line="240" w:lineRule="auto"/>
        <w:rPr>
          <w:rFonts w:eastAsia="Times New Roman" w:cs="Arial"/>
          <w:sz w:val="32"/>
          <w:szCs w:val="32"/>
          <w:lang w:eastAsia="bg-BG"/>
        </w:rPr>
      </w:pPr>
      <w:r w:rsidRPr="00087C89">
        <w:rPr>
          <w:rFonts w:eastAsia="Times New Roman" w:cs="Arial"/>
          <w:color w:val="000000"/>
          <w:lang w:eastAsia="bg-BG"/>
        </w:rPr>
        <w:t>Сертралин е показан за лечение на:</w:t>
      </w:r>
    </w:p>
    <w:p w14:paraId="0E7F4845" w14:textId="77777777" w:rsidR="00087C89" w:rsidRPr="00087C89" w:rsidRDefault="00087C89" w:rsidP="00087C89">
      <w:pPr>
        <w:pStyle w:val="ListParagraph"/>
        <w:numPr>
          <w:ilvl w:val="0"/>
          <w:numId w:val="38"/>
        </w:numPr>
        <w:spacing w:line="240" w:lineRule="auto"/>
        <w:rPr>
          <w:rFonts w:eastAsia="Times New Roman" w:cs="Arial"/>
          <w:color w:val="000000"/>
          <w:lang w:eastAsia="bg-BG"/>
        </w:rPr>
      </w:pPr>
      <w:r w:rsidRPr="00087C89">
        <w:rPr>
          <w:rFonts w:eastAsia="Times New Roman" w:cs="Arial"/>
          <w:color w:val="000000"/>
          <w:lang w:eastAsia="bg-BG"/>
        </w:rPr>
        <w:t>Голям депресивен епизод. Профилактика на рецидив на голям депресивен епизод.</w:t>
      </w:r>
    </w:p>
    <w:p w14:paraId="7A117067" w14:textId="77777777" w:rsidR="00087C89" w:rsidRPr="00087C89" w:rsidRDefault="00087C89" w:rsidP="00087C89">
      <w:pPr>
        <w:pStyle w:val="ListParagraph"/>
        <w:numPr>
          <w:ilvl w:val="0"/>
          <w:numId w:val="38"/>
        </w:numPr>
        <w:spacing w:line="240" w:lineRule="auto"/>
        <w:rPr>
          <w:rFonts w:eastAsia="Times New Roman" w:cs="Arial"/>
          <w:color w:val="000000"/>
          <w:lang w:eastAsia="bg-BG"/>
        </w:rPr>
      </w:pPr>
      <w:r w:rsidRPr="00087C89">
        <w:rPr>
          <w:rFonts w:eastAsia="Times New Roman" w:cs="Arial"/>
          <w:color w:val="000000"/>
          <w:lang w:eastAsia="bg-BG"/>
        </w:rPr>
        <w:t>Паническо разстройство със или без агорафобия.</w:t>
      </w:r>
    </w:p>
    <w:p w14:paraId="7EA96247" w14:textId="77777777" w:rsidR="00087C89" w:rsidRPr="00087C89" w:rsidRDefault="00087C89" w:rsidP="00087C89">
      <w:pPr>
        <w:pStyle w:val="ListParagraph"/>
        <w:numPr>
          <w:ilvl w:val="0"/>
          <w:numId w:val="38"/>
        </w:numPr>
        <w:spacing w:line="240" w:lineRule="auto"/>
        <w:rPr>
          <w:rFonts w:eastAsia="Times New Roman" w:cs="Arial"/>
          <w:color w:val="000000"/>
          <w:lang w:eastAsia="bg-BG"/>
        </w:rPr>
      </w:pPr>
      <w:r w:rsidRPr="00087C89">
        <w:rPr>
          <w:rFonts w:eastAsia="Times New Roman" w:cs="Arial"/>
          <w:color w:val="000000"/>
          <w:lang w:eastAsia="bg-BG"/>
        </w:rPr>
        <w:t>Обсесивно-компулсивно разстройство (ОКР) при възрастни и деца и юноши на възраст 6- 17 години.</w:t>
      </w:r>
    </w:p>
    <w:p w14:paraId="30040688" w14:textId="77777777" w:rsidR="00087C89" w:rsidRPr="00087C89" w:rsidRDefault="00087C89" w:rsidP="00087C89">
      <w:pPr>
        <w:pStyle w:val="ListParagraph"/>
        <w:numPr>
          <w:ilvl w:val="0"/>
          <w:numId w:val="38"/>
        </w:numPr>
        <w:spacing w:line="240" w:lineRule="auto"/>
        <w:rPr>
          <w:rFonts w:eastAsia="Times New Roman" w:cs="Arial"/>
          <w:color w:val="000000"/>
          <w:lang w:eastAsia="bg-BG"/>
        </w:rPr>
      </w:pPr>
      <w:r w:rsidRPr="00087C89">
        <w:rPr>
          <w:rFonts w:eastAsia="Times New Roman" w:cs="Arial"/>
          <w:color w:val="000000"/>
          <w:lang w:eastAsia="bg-BG"/>
        </w:rPr>
        <w:t>Социално тревожно разстройство.</w:t>
      </w:r>
    </w:p>
    <w:p w14:paraId="4C23BDDA" w14:textId="5564DF9C" w:rsidR="00087C89" w:rsidRDefault="00087C89" w:rsidP="00087C89">
      <w:pPr>
        <w:pStyle w:val="ListParagraph"/>
        <w:numPr>
          <w:ilvl w:val="0"/>
          <w:numId w:val="38"/>
        </w:numPr>
        <w:spacing w:line="240" w:lineRule="auto"/>
        <w:rPr>
          <w:rFonts w:eastAsia="Times New Roman" w:cs="Arial"/>
          <w:color w:val="000000"/>
          <w:lang w:eastAsia="bg-BG"/>
        </w:rPr>
      </w:pPr>
      <w:r w:rsidRPr="00087C89">
        <w:rPr>
          <w:rFonts w:eastAsia="Times New Roman" w:cs="Arial"/>
          <w:color w:val="000000"/>
          <w:lang w:eastAsia="bg-BG"/>
        </w:rPr>
        <w:t>Посттравматично стресово разстройство (</w:t>
      </w:r>
      <w:r>
        <w:rPr>
          <w:rFonts w:eastAsia="Times New Roman" w:cs="Arial"/>
          <w:color w:val="000000"/>
          <w:lang w:eastAsia="bg-BG"/>
        </w:rPr>
        <w:t>ПТСР</w:t>
      </w:r>
      <w:r w:rsidRPr="00087C89">
        <w:rPr>
          <w:rFonts w:eastAsia="Times New Roman" w:cs="Arial"/>
          <w:color w:val="000000"/>
          <w:lang w:eastAsia="bg-BG"/>
        </w:rPr>
        <w:t>).</w:t>
      </w:r>
    </w:p>
    <w:p w14:paraId="19E33AAB" w14:textId="77777777" w:rsidR="00087C89" w:rsidRPr="00087C89" w:rsidRDefault="00087C89" w:rsidP="00087C89">
      <w:pPr>
        <w:spacing w:line="240" w:lineRule="auto"/>
        <w:rPr>
          <w:rFonts w:eastAsia="Times New Roman" w:cs="Arial"/>
          <w:color w:val="000000"/>
          <w:lang w:eastAsia="bg-BG"/>
        </w:rPr>
      </w:pPr>
    </w:p>
    <w:p w14:paraId="19026639" w14:textId="4F8AE968" w:rsidR="001A6EBD" w:rsidRDefault="002C50EE" w:rsidP="00471F10">
      <w:pPr>
        <w:pStyle w:val="Heading2"/>
      </w:pPr>
      <w:r>
        <w:t>4.2. Дозировка и начин на приложение</w:t>
      </w:r>
    </w:p>
    <w:p w14:paraId="1F292242" w14:textId="6C6B6C8A" w:rsidR="00087C89" w:rsidRDefault="00087C89" w:rsidP="00087C89"/>
    <w:p w14:paraId="11A27305" w14:textId="77777777" w:rsidR="00087C89" w:rsidRPr="00087C89" w:rsidRDefault="00087C89" w:rsidP="00087C89">
      <w:pPr>
        <w:pStyle w:val="Heading3"/>
        <w:rPr>
          <w:rFonts w:eastAsia="Times New Roman"/>
          <w:u w:val="single"/>
          <w:lang w:eastAsia="bg-BG"/>
        </w:rPr>
      </w:pPr>
      <w:r w:rsidRPr="00087C89">
        <w:rPr>
          <w:rFonts w:eastAsia="Times New Roman"/>
          <w:u w:val="single"/>
          <w:lang w:eastAsia="bg-BG"/>
        </w:rPr>
        <w:lastRenderedPageBreak/>
        <w:t>Дозировка</w:t>
      </w:r>
    </w:p>
    <w:p w14:paraId="2EE3964C" w14:textId="77777777" w:rsidR="00087C89" w:rsidRPr="00087C89" w:rsidRDefault="00087C89" w:rsidP="00087C89">
      <w:pPr>
        <w:spacing w:line="240" w:lineRule="auto"/>
        <w:rPr>
          <w:rFonts w:eastAsia="Times New Roman" w:cs="Arial"/>
          <w:i/>
          <w:iCs/>
          <w:color w:val="000000"/>
          <w:u w:val="single"/>
          <w:lang w:eastAsia="bg-BG"/>
        </w:rPr>
      </w:pPr>
    </w:p>
    <w:p w14:paraId="202332CD" w14:textId="2770D68D" w:rsidR="00087C89" w:rsidRPr="00087C89" w:rsidRDefault="00087C89" w:rsidP="00087C89">
      <w:pPr>
        <w:spacing w:line="240" w:lineRule="auto"/>
        <w:rPr>
          <w:rFonts w:eastAsia="Times New Roman" w:cs="Arial"/>
          <w:lang w:eastAsia="bg-BG"/>
        </w:rPr>
      </w:pPr>
      <w:r w:rsidRPr="00087C89">
        <w:rPr>
          <w:rFonts w:eastAsia="Times New Roman" w:cs="Arial"/>
          <w:i/>
          <w:iCs/>
          <w:color w:val="000000"/>
          <w:u w:val="single"/>
          <w:lang w:eastAsia="bg-BG"/>
        </w:rPr>
        <w:t>Първоначално лечение</w:t>
      </w:r>
    </w:p>
    <w:p w14:paraId="07A6DCCA" w14:textId="77777777" w:rsidR="00087C89" w:rsidRPr="00087C89" w:rsidRDefault="00087C89" w:rsidP="00087C89">
      <w:pPr>
        <w:spacing w:line="240" w:lineRule="auto"/>
        <w:rPr>
          <w:rFonts w:eastAsia="Times New Roman" w:cs="Arial"/>
          <w:i/>
          <w:iCs/>
          <w:color w:val="000000"/>
          <w:lang w:eastAsia="bg-BG"/>
        </w:rPr>
      </w:pPr>
    </w:p>
    <w:p w14:paraId="0160ADDB" w14:textId="2D328F0E"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Депресия и ОКР</w:t>
      </w:r>
    </w:p>
    <w:p w14:paraId="3CBCAC80" w14:textId="6C09A87D" w:rsidR="00087C89" w:rsidRPr="00087C89" w:rsidRDefault="00087C89" w:rsidP="00087C89">
      <w:pPr>
        <w:rPr>
          <w:rFonts w:cs="Arial"/>
        </w:rPr>
      </w:pPr>
    </w:p>
    <w:p w14:paraId="774751E9"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 xml:space="preserve">Сертралин трябва да се започва в доза от 50 </w:t>
      </w:r>
      <w:r w:rsidRPr="00087C89">
        <w:rPr>
          <w:rFonts w:eastAsia="Times New Roman" w:cs="Arial"/>
          <w:color w:val="000000"/>
          <w:lang w:val="en-US"/>
        </w:rPr>
        <w:t xml:space="preserve">mg </w:t>
      </w:r>
      <w:r w:rsidRPr="00087C89">
        <w:rPr>
          <w:rFonts w:eastAsia="Times New Roman" w:cs="Arial"/>
          <w:color w:val="000000"/>
          <w:lang w:eastAsia="bg-BG"/>
        </w:rPr>
        <w:t>дневно.</w:t>
      </w:r>
    </w:p>
    <w:p w14:paraId="6581FA98" w14:textId="77777777" w:rsidR="00087C89" w:rsidRPr="00087C89" w:rsidRDefault="00087C89" w:rsidP="00087C89">
      <w:pPr>
        <w:spacing w:line="240" w:lineRule="auto"/>
        <w:rPr>
          <w:rFonts w:eastAsia="Times New Roman" w:cs="Arial"/>
          <w:i/>
          <w:iCs/>
          <w:color w:val="000000"/>
          <w:lang w:eastAsia="bg-BG"/>
        </w:rPr>
      </w:pPr>
    </w:p>
    <w:p w14:paraId="061E4172" w14:textId="1DE49702"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Паническо разстройство, ПТСР и социално тревожно разстройство</w:t>
      </w:r>
    </w:p>
    <w:p w14:paraId="51C1782C"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 xml:space="preserve">Терапията трябва да започне с доза от 25 </w:t>
      </w:r>
      <w:r w:rsidRPr="00087C89">
        <w:rPr>
          <w:rFonts w:eastAsia="Times New Roman" w:cs="Arial"/>
          <w:color w:val="000000"/>
          <w:lang w:val="en-US"/>
        </w:rPr>
        <w:t xml:space="preserve">mg </w:t>
      </w:r>
      <w:r w:rsidRPr="00087C89">
        <w:rPr>
          <w:rFonts w:eastAsia="Times New Roman" w:cs="Arial"/>
          <w:color w:val="000000"/>
          <w:lang w:eastAsia="bg-BG"/>
        </w:rPr>
        <w:t xml:space="preserve">дневно. След една седмица дозата трябва да се повиши на 50 </w:t>
      </w:r>
      <w:r w:rsidRPr="00087C89">
        <w:rPr>
          <w:rFonts w:eastAsia="Times New Roman" w:cs="Arial"/>
          <w:color w:val="000000"/>
          <w:lang w:val="en-US"/>
        </w:rPr>
        <w:t xml:space="preserve">mg </w:t>
      </w:r>
      <w:r w:rsidRPr="00087C89">
        <w:rPr>
          <w:rFonts w:eastAsia="Times New Roman" w:cs="Arial"/>
          <w:color w:val="000000"/>
          <w:lang w:eastAsia="bg-BG"/>
        </w:rPr>
        <w:t>веднъж дневно. При тази схема на дозиране е наблюдавана по-ниска честота на характерните за началния период на лечение на паническо разстройство нежелани лекарствени реакции.</w:t>
      </w:r>
    </w:p>
    <w:p w14:paraId="74AA5CE3" w14:textId="77777777" w:rsidR="00087C89" w:rsidRPr="00087C89" w:rsidRDefault="00087C89" w:rsidP="00087C89">
      <w:pPr>
        <w:spacing w:line="240" w:lineRule="auto"/>
        <w:rPr>
          <w:rFonts w:eastAsia="Times New Roman" w:cs="Arial"/>
          <w:i/>
          <w:iCs/>
          <w:color w:val="000000"/>
          <w:u w:val="single"/>
          <w:lang w:eastAsia="bg-BG"/>
        </w:rPr>
      </w:pPr>
    </w:p>
    <w:p w14:paraId="062C0DF3" w14:textId="46779560" w:rsidR="00087C89" w:rsidRPr="00087C89" w:rsidRDefault="00087C89" w:rsidP="00087C89">
      <w:pPr>
        <w:spacing w:line="240" w:lineRule="auto"/>
        <w:rPr>
          <w:rFonts w:eastAsia="Times New Roman" w:cs="Arial"/>
          <w:lang w:eastAsia="bg-BG"/>
        </w:rPr>
      </w:pPr>
      <w:r w:rsidRPr="00087C89">
        <w:rPr>
          <w:rFonts w:eastAsia="Times New Roman" w:cs="Arial"/>
          <w:i/>
          <w:iCs/>
          <w:color w:val="000000"/>
          <w:u w:val="single"/>
          <w:lang w:eastAsia="bg-BG"/>
        </w:rPr>
        <w:t>Титриране</w:t>
      </w:r>
    </w:p>
    <w:p w14:paraId="784AAFD5" w14:textId="77777777" w:rsidR="00087C89" w:rsidRPr="00087C89" w:rsidRDefault="00087C89" w:rsidP="00087C89">
      <w:pPr>
        <w:spacing w:line="240" w:lineRule="auto"/>
        <w:rPr>
          <w:rFonts w:eastAsia="Times New Roman" w:cs="Arial"/>
          <w:i/>
          <w:iCs/>
          <w:color w:val="000000"/>
          <w:lang w:eastAsia="bg-BG"/>
        </w:rPr>
      </w:pPr>
    </w:p>
    <w:p w14:paraId="631FCE36" w14:textId="46BA6893"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 xml:space="preserve">Депресия, ОКР, паническо разстройство, социално тревожно разстройство и ПТСР </w:t>
      </w:r>
      <w:r w:rsidRPr="00087C89">
        <w:rPr>
          <w:rFonts w:eastAsia="Times New Roman" w:cs="Arial"/>
          <w:color w:val="000000"/>
          <w:lang w:eastAsia="bg-BG"/>
        </w:rPr>
        <w:t xml:space="preserve">Пациенти, които не се повлияват от доза 50 </w:t>
      </w:r>
      <w:r w:rsidRPr="00087C89">
        <w:rPr>
          <w:rFonts w:eastAsia="Times New Roman" w:cs="Arial"/>
          <w:color w:val="000000"/>
          <w:lang w:val="en-US"/>
        </w:rPr>
        <w:t xml:space="preserve">mg </w:t>
      </w:r>
      <w:r w:rsidRPr="00087C89">
        <w:rPr>
          <w:rFonts w:eastAsia="Times New Roman" w:cs="Arial"/>
          <w:color w:val="000000"/>
          <w:lang w:eastAsia="bg-BG"/>
        </w:rPr>
        <w:t xml:space="preserve">дневно, могат да се повлияят от по-високи дози. Промени в дозата трябва да се правят на стъпки от 50 </w:t>
      </w:r>
      <w:r w:rsidRPr="00087C89">
        <w:rPr>
          <w:rFonts w:eastAsia="Times New Roman" w:cs="Arial"/>
          <w:color w:val="000000"/>
          <w:lang w:val="en-US"/>
        </w:rPr>
        <w:t xml:space="preserve">mg </w:t>
      </w:r>
      <w:r w:rsidRPr="00087C89">
        <w:rPr>
          <w:rFonts w:eastAsia="Times New Roman" w:cs="Arial"/>
          <w:color w:val="000000"/>
          <w:lang w:eastAsia="bg-BG"/>
        </w:rPr>
        <w:t xml:space="preserve">през интервали от поне една седмица, като максималната доза е 200 </w:t>
      </w:r>
      <w:r w:rsidRPr="00087C89">
        <w:rPr>
          <w:rFonts w:eastAsia="Times New Roman" w:cs="Arial"/>
          <w:color w:val="000000"/>
          <w:lang w:val="en-US"/>
        </w:rPr>
        <w:t xml:space="preserve">mg </w:t>
      </w:r>
      <w:r w:rsidRPr="00087C89">
        <w:rPr>
          <w:rFonts w:eastAsia="Times New Roman" w:cs="Arial"/>
          <w:color w:val="000000"/>
          <w:lang w:eastAsia="bg-BG"/>
        </w:rPr>
        <w:t>дневно. Промени в дозата не трябва да се правят по-често от веднъж седмично, като се има предвид, че времето на полуелиминиране на сертралин е 24 часа. Начало на терапевтичен ефект може се наблюдава в рамките на 7 дни. За постигане на пълен терапевтичен ефект обаче обикновено е необходим по-дълъг период, особено при ОКР.</w:t>
      </w:r>
    </w:p>
    <w:p w14:paraId="4ADC9B15" w14:textId="77777777" w:rsidR="00087C89" w:rsidRPr="00087C89" w:rsidRDefault="00087C89" w:rsidP="00087C89">
      <w:pPr>
        <w:spacing w:line="240" w:lineRule="auto"/>
        <w:rPr>
          <w:rFonts w:eastAsia="Times New Roman" w:cs="Arial"/>
          <w:i/>
          <w:iCs/>
          <w:color w:val="000000"/>
          <w:u w:val="single"/>
          <w:lang w:eastAsia="bg-BG"/>
        </w:rPr>
      </w:pPr>
    </w:p>
    <w:p w14:paraId="5636CA87" w14:textId="644875D0" w:rsidR="00087C89" w:rsidRPr="00087C89" w:rsidRDefault="00087C89" w:rsidP="00087C89">
      <w:pPr>
        <w:spacing w:line="240" w:lineRule="auto"/>
        <w:rPr>
          <w:rFonts w:eastAsia="Times New Roman" w:cs="Arial"/>
          <w:lang w:eastAsia="bg-BG"/>
        </w:rPr>
      </w:pPr>
      <w:r w:rsidRPr="00087C89">
        <w:rPr>
          <w:rFonts w:eastAsia="Times New Roman" w:cs="Arial"/>
          <w:i/>
          <w:iCs/>
          <w:color w:val="000000"/>
          <w:u w:val="single"/>
          <w:lang w:eastAsia="bg-BG"/>
        </w:rPr>
        <w:t>Поддържаща терапия</w:t>
      </w:r>
    </w:p>
    <w:p w14:paraId="4639ABA1" w14:textId="77777777" w:rsidR="00087C89" w:rsidRPr="00087C89" w:rsidRDefault="00087C89" w:rsidP="00087C89">
      <w:pPr>
        <w:spacing w:line="240" w:lineRule="auto"/>
        <w:rPr>
          <w:rFonts w:eastAsia="Times New Roman" w:cs="Arial"/>
          <w:color w:val="000000"/>
          <w:lang w:eastAsia="bg-BG"/>
        </w:rPr>
      </w:pPr>
    </w:p>
    <w:p w14:paraId="19F74892" w14:textId="3EA7CB93" w:rsidR="00087C89" w:rsidRPr="00087C89" w:rsidRDefault="00087C89" w:rsidP="00087C89">
      <w:pPr>
        <w:spacing w:line="240" w:lineRule="auto"/>
        <w:rPr>
          <w:rFonts w:eastAsia="Times New Roman" w:cs="Arial"/>
          <w:color w:val="000000"/>
          <w:lang w:eastAsia="bg-BG"/>
        </w:rPr>
      </w:pPr>
      <w:r w:rsidRPr="00087C89">
        <w:rPr>
          <w:rFonts w:eastAsia="Times New Roman" w:cs="Arial"/>
          <w:color w:val="000000"/>
          <w:lang w:eastAsia="bg-BG"/>
        </w:rPr>
        <w:t xml:space="preserve">При дългосрочна поддържаща терапия се прилага минималната ефективна доза, като тя се адаптира </w:t>
      </w:r>
    </w:p>
    <w:p w14:paraId="0F047FE0" w14:textId="0C364B66"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съобразно терапевтичния отговор.</w:t>
      </w:r>
    </w:p>
    <w:p w14:paraId="0B18F368" w14:textId="77777777" w:rsidR="00087C89" w:rsidRPr="00087C89" w:rsidRDefault="00087C89" w:rsidP="00087C89">
      <w:pPr>
        <w:spacing w:line="240" w:lineRule="auto"/>
        <w:rPr>
          <w:rFonts w:eastAsia="Times New Roman" w:cs="Arial"/>
          <w:i/>
          <w:iCs/>
          <w:color w:val="000000"/>
          <w:u w:val="single"/>
          <w:lang w:eastAsia="bg-BG"/>
        </w:rPr>
      </w:pPr>
    </w:p>
    <w:p w14:paraId="3AAA7E41" w14:textId="2AE76BA2" w:rsidR="00087C89" w:rsidRPr="00087C89" w:rsidRDefault="00087C89" w:rsidP="00087C89">
      <w:pPr>
        <w:spacing w:line="240" w:lineRule="auto"/>
        <w:rPr>
          <w:rFonts w:eastAsia="Times New Roman" w:cs="Arial"/>
          <w:lang w:eastAsia="bg-BG"/>
        </w:rPr>
      </w:pPr>
      <w:r w:rsidRPr="00087C89">
        <w:rPr>
          <w:rFonts w:eastAsia="Times New Roman" w:cs="Arial"/>
          <w:i/>
          <w:iCs/>
          <w:color w:val="000000"/>
          <w:u w:val="single"/>
          <w:lang w:eastAsia="bg-BG"/>
        </w:rPr>
        <w:t>Депресия</w:t>
      </w:r>
    </w:p>
    <w:p w14:paraId="427202EF" w14:textId="77777777" w:rsidR="00087C89" w:rsidRPr="00087C89" w:rsidRDefault="00087C89" w:rsidP="00087C89">
      <w:pPr>
        <w:spacing w:line="240" w:lineRule="auto"/>
        <w:rPr>
          <w:rFonts w:eastAsia="Times New Roman" w:cs="Arial"/>
          <w:color w:val="000000"/>
          <w:lang w:eastAsia="bg-BG"/>
        </w:rPr>
      </w:pPr>
    </w:p>
    <w:p w14:paraId="39BA6133" w14:textId="2D7A288A"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Дългосрочна терапия може също да бъде подходяща за профилактика на рецидив на голям депресивен епизод (ГДЕ). В повечето случаи препоръчваната доза за профилактика на рецидив на голям депресивен епизод е същата като използваната по време на текущ епизод. Пациенти с депресия трябва да се лекуват достатъчен период от време от поне 6 месеца, за да е сигурно, че симптомите са изчезнали.</w:t>
      </w:r>
    </w:p>
    <w:p w14:paraId="66334CAF" w14:textId="77777777" w:rsidR="00087C89" w:rsidRPr="00087C89" w:rsidRDefault="00087C89" w:rsidP="00087C89">
      <w:pPr>
        <w:spacing w:line="240" w:lineRule="auto"/>
        <w:rPr>
          <w:rFonts w:eastAsia="Times New Roman" w:cs="Arial"/>
          <w:i/>
          <w:iCs/>
          <w:color w:val="000000"/>
          <w:u w:val="single"/>
          <w:lang w:eastAsia="bg-BG"/>
        </w:rPr>
      </w:pPr>
    </w:p>
    <w:p w14:paraId="3E2FB659" w14:textId="036C20CF" w:rsidR="00087C89" w:rsidRPr="00087C89" w:rsidRDefault="00087C89" w:rsidP="00087C89">
      <w:pPr>
        <w:spacing w:line="240" w:lineRule="auto"/>
        <w:rPr>
          <w:rFonts w:eastAsia="Times New Roman" w:cs="Arial"/>
          <w:lang w:eastAsia="bg-BG"/>
        </w:rPr>
      </w:pPr>
      <w:r w:rsidRPr="00087C89">
        <w:rPr>
          <w:rFonts w:eastAsia="Times New Roman" w:cs="Arial"/>
          <w:i/>
          <w:iCs/>
          <w:color w:val="000000"/>
          <w:u w:val="single"/>
          <w:lang w:eastAsia="bg-BG"/>
        </w:rPr>
        <w:t>Паническо разстройство и ОКР</w:t>
      </w:r>
    </w:p>
    <w:p w14:paraId="162E25C8" w14:textId="77777777" w:rsidR="00087C89" w:rsidRPr="00087C89" w:rsidRDefault="00087C89" w:rsidP="00087C89">
      <w:pPr>
        <w:spacing w:line="240" w:lineRule="auto"/>
        <w:rPr>
          <w:rFonts w:eastAsia="Times New Roman" w:cs="Arial"/>
          <w:color w:val="000000"/>
          <w:lang w:eastAsia="bg-BG"/>
        </w:rPr>
      </w:pPr>
    </w:p>
    <w:p w14:paraId="47733F7C" w14:textId="573E902E"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Непрекъснатото лечение при паническо разстройство и ОКР трябва да се оценява периодично, тъй като профилактика на рецидивите не е доказана при тези разстройства.</w:t>
      </w:r>
    </w:p>
    <w:p w14:paraId="1AADB734" w14:textId="77777777" w:rsidR="00087C89" w:rsidRPr="00087C89" w:rsidRDefault="00087C89" w:rsidP="00087C89">
      <w:pPr>
        <w:spacing w:line="240" w:lineRule="auto"/>
        <w:rPr>
          <w:rFonts w:eastAsia="Times New Roman" w:cs="Arial"/>
          <w:i/>
          <w:iCs/>
          <w:color w:val="000000"/>
          <w:lang w:eastAsia="bg-BG"/>
        </w:rPr>
      </w:pPr>
    </w:p>
    <w:p w14:paraId="2B575901" w14:textId="5911CB36"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Педиатрична популация</w:t>
      </w:r>
    </w:p>
    <w:p w14:paraId="3886B3E6" w14:textId="77777777" w:rsidR="00087C89" w:rsidRPr="00087C89" w:rsidRDefault="00087C89" w:rsidP="00087C89">
      <w:pPr>
        <w:spacing w:line="240" w:lineRule="auto"/>
        <w:rPr>
          <w:rFonts w:eastAsia="Times New Roman" w:cs="Arial"/>
          <w:i/>
          <w:iCs/>
          <w:color w:val="000000"/>
          <w:lang w:eastAsia="bg-BG"/>
        </w:rPr>
      </w:pPr>
    </w:p>
    <w:p w14:paraId="50FE56DA" w14:textId="1559FE8A"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Деца и юноши с обсесивно-компулсивно разстройство</w:t>
      </w:r>
    </w:p>
    <w:p w14:paraId="5FCC286D" w14:textId="77777777" w:rsidR="00087C89" w:rsidRPr="00087C89" w:rsidRDefault="00087C89" w:rsidP="00087C89">
      <w:pPr>
        <w:spacing w:line="240" w:lineRule="auto"/>
        <w:rPr>
          <w:rFonts w:eastAsia="Times New Roman" w:cs="Arial"/>
          <w:color w:val="000000"/>
          <w:lang w:eastAsia="bg-BG"/>
        </w:rPr>
      </w:pPr>
    </w:p>
    <w:p w14:paraId="4856BAB8" w14:textId="22B04823"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 xml:space="preserve">Възраст 13-17 години: първоначално 50 </w:t>
      </w:r>
      <w:r w:rsidRPr="00087C89">
        <w:rPr>
          <w:rFonts w:eastAsia="Times New Roman" w:cs="Arial"/>
          <w:color w:val="000000"/>
          <w:lang w:val="en-US"/>
        </w:rPr>
        <w:t xml:space="preserve">mg </w:t>
      </w:r>
      <w:r w:rsidRPr="00087C89">
        <w:rPr>
          <w:rFonts w:eastAsia="Times New Roman" w:cs="Arial"/>
          <w:color w:val="000000"/>
          <w:lang w:eastAsia="bg-BG"/>
        </w:rPr>
        <w:t>веднъж дневно.</w:t>
      </w:r>
    </w:p>
    <w:p w14:paraId="4245F04C"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lastRenderedPageBreak/>
        <w:t xml:space="preserve">Възраст 6-12 години: първоначално 25 </w:t>
      </w:r>
      <w:r w:rsidRPr="00087C89">
        <w:rPr>
          <w:rFonts w:eastAsia="Times New Roman" w:cs="Arial"/>
          <w:color w:val="000000"/>
          <w:lang w:val="en-US"/>
        </w:rPr>
        <w:t xml:space="preserve">mg </w:t>
      </w:r>
      <w:r w:rsidRPr="00087C89">
        <w:rPr>
          <w:rFonts w:eastAsia="Times New Roman" w:cs="Arial"/>
          <w:color w:val="000000"/>
          <w:lang w:eastAsia="bg-BG"/>
        </w:rPr>
        <w:t xml:space="preserve">веднъж дневно. След една седмица дозата може да се повиши до 50 </w:t>
      </w:r>
      <w:r w:rsidRPr="00087C89">
        <w:rPr>
          <w:rFonts w:eastAsia="Times New Roman" w:cs="Arial"/>
          <w:color w:val="000000"/>
          <w:lang w:val="en-US"/>
        </w:rPr>
        <w:t xml:space="preserve">mg </w:t>
      </w:r>
      <w:r w:rsidRPr="00087C89">
        <w:rPr>
          <w:rFonts w:eastAsia="Times New Roman" w:cs="Arial"/>
          <w:color w:val="000000"/>
          <w:lang w:eastAsia="bg-BG"/>
        </w:rPr>
        <w:t>веднъж дневно.</w:t>
      </w:r>
    </w:p>
    <w:p w14:paraId="10206A14"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 xml:space="preserve">Последващите дози могат да се увеличат в случай на недостатъчно повлияване постепенно с по 50 </w:t>
      </w:r>
      <w:r w:rsidRPr="00087C89">
        <w:rPr>
          <w:rFonts w:eastAsia="Times New Roman" w:cs="Arial"/>
          <w:color w:val="000000"/>
          <w:lang w:val="en-US"/>
        </w:rPr>
        <w:t xml:space="preserve">mg </w:t>
      </w:r>
      <w:r w:rsidRPr="00087C89">
        <w:rPr>
          <w:rFonts w:eastAsia="Times New Roman" w:cs="Arial"/>
          <w:color w:val="000000"/>
          <w:lang w:eastAsia="bg-BG"/>
        </w:rPr>
        <w:t xml:space="preserve">за период от няколко седмици, ако е необходимо. Максималната доза е 200 </w:t>
      </w:r>
      <w:r w:rsidRPr="00087C89">
        <w:rPr>
          <w:rFonts w:eastAsia="Times New Roman" w:cs="Arial"/>
          <w:color w:val="000000"/>
          <w:lang w:val="en-US"/>
        </w:rPr>
        <w:t xml:space="preserve">mg </w:t>
      </w:r>
      <w:r w:rsidRPr="00087C89">
        <w:rPr>
          <w:rFonts w:eastAsia="Times New Roman" w:cs="Arial"/>
          <w:color w:val="000000"/>
          <w:lang w:eastAsia="bg-BG"/>
        </w:rPr>
        <w:t xml:space="preserve">дневно. Същевременно трябва да се има предвид по-ниското телесно тегло при децата в сравнение с възрастните при повишаване на дозата над 50 </w:t>
      </w:r>
      <w:r w:rsidRPr="00087C89">
        <w:rPr>
          <w:rFonts w:eastAsia="Times New Roman" w:cs="Arial"/>
          <w:color w:val="000000"/>
          <w:lang w:val="en-US"/>
        </w:rPr>
        <w:t xml:space="preserve">mg. </w:t>
      </w:r>
      <w:r w:rsidRPr="00087C89">
        <w:rPr>
          <w:rFonts w:eastAsia="Times New Roman" w:cs="Arial"/>
          <w:color w:val="000000"/>
          <w:lang w:eastAsia="bg-BG"/>
        </w:rPr>
        <w:t>Не трябва да се правят промени на дозата на интервали, по-малки от една се</w:t>
      </w:r>
      <w:r w:rsidRPr="00087C89">
        <w:rPr>
          <w:rFonts w:eastAsia="Times New Roman" w:cs="Arial"/>
          <w:color w:val="000000"/>
          <w:u w:val="single"/>
          <w:lang w:eastAsia="bg-BG"/>
        </w:rPr>
        <w:t>дмица</w:t>
      </w:r>
      <w:r w:rsidRPr="00087C89">
        <w:rPr>
          <w:rFonts w:eastAsia="Times New Roman" w:cs="Arial"/>
          <w:color w:val="000000"/>
          <w:lang w:eastAsia="bg-BG"/>
        </w:rPr>
        <w:t>.</w:t>
      </w:r>
    </w:p>
    <w:p w14:paraId="143CE193" w14:textId="77777777" w:rsidR="00087C89" w:rsidRPr="00087C89" w:rsidRDefault="00087C89" w:rsidP="00087C89">
      <w:pPr>
        <w:spacing w:line="240" w:lineRule="auto"/>
        <w:rPr>
          <w:rFonts w:eastAsia="Times New Roman" w:cs="Arial"/>
          <w:color w:val="000000"/>
          <w:lang w:eastAsia="bg-BG"/>
        </w:rPr>
      </w:pPr>
    </w:p>
    <w:p w14:paraId="46924C45" w14:textId="3637C2E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Не е установена ефикасността при голямо депресивно разстройство в детска възраст.</w:t>
      </w:r>
    </w:p>
    <w:p w14:paraId="567F3FCF" w14:textId="77777777" w:rsidR="00087C89" w:rsidRPr="00087C89" w:rsidRDefault="00087C89" w:rsidP="00087C89">
      <w:pPr>
        <w:spacing w:line="240" w:lineRule="auto"/>
        <w:rPr>
          <w:rFonts w:eastAsia="Times New Roman" w:cs="Arial"/>
          <w:color w:val="000000"/>
          <w:lang w:eastAsia="bg-BG"/>
        </w:rPr>
      </w:pPr>
    </w:p>
    <w:p w14:paraId="7584C616" w14:textId="7EA68D14"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Няма налични данни за деца на възраст под 6 години (вж. също точка 4.4)</w:t>
      </w:r>
    </w:p>
    <w:p w14:paraId="05C87309" w14:textId="77777777" w:rsidR="00087C89" w:rsidRPr="00087C89" w:rsidRDefault="00087C89" w:rsidP="00087C89">
      <w:pPr>
        <w:spacing w:line="240" w:lineRule="auto"/>
        <w:rPr>
          <w:rFonts w:eastAsia="Times New Roman" w:cs="Arial"/>
          <w:i/>
          <w:iCs/>
          <w:color w:val="000000"/>
          <w:lang w:eastAsia="bg-BG"/>
        </w:rPr>
      </w:pPr>
    </w:p>
    <w:p w14:paraId="01B01DBA" w14:textId="472C33B5"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Старческа възраст</w:t>
      </w:r>
    </w:p>
    <w:p w14:paraId="58D0DE02" w14:textId="5FE1C9DE" w:rsidR="00087C89" w:rsidRPr="00087C89" w:rsidRDefault="00087C89" w:rsidP="00087C89">
      <w:pPr>
        <w:rPr>
          <w:rFonts w:cs="Arial"/>
        </w:rPr>
      </w:pPr>
    </w:p>
    <w:p w14:paraId="68FD3F48"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Дозата трябва да бъде определяна внимателно, тъй като лицата в старческа възраст могат да бъдат изложени на по-голям риск от хипонатриемия (вж. точка 4.4).</w:t>
      </w:r>
    </w:p>
    <w:p w14:paraId="7E3D0134" w14:textId="77777777" w:rsidR="00087C89" w:rsidRPr="00087C89" w:rsidRDefault="00087C89" w:rsidP="00087C89">
      <w:pPr>
        <w:spacing w:line="240" w:lineRule="auto"/>
        <w:rPr>
          <w:rFonts w:eastAsia="Times New Roman" w:cs="Arial"/>
          <w:i/>
          <w:iCs/>
          <w:color w:val="000000"/>
          <w:lang w:eastAsia="bg-BG"/>
        </w:rPr>
      </w:pPr>
    </w:p>
    <w:p w14:paraId="56719827" w14:textId="032359E9"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Чернодробно увреждане</w:t>
      </w:r>
    </w:p>
    <w:p w14:paraId="5EE6F8B1"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Сертралин трябва да се прилага при пациенти с чернодробно заболяване с повишено внимание. Дозата трябва да е по-ниска или интервалът между приемите - по-дълъг в случай на нарушена чернодробна функция (вж. точка 4.4.). Сертралин не трябва да се използва в случаи на тежко чернодробно увреждане поради липса на клинични данни (вж. точка 4.4).</w:t>
      </w:r>
    </w:p>
    <w:p w14:paraId="6E042DBC" w14:textId="77777777" w:rsidR="00087C89" w:rsidRPr="00087C89" w:rsidRDefault="00087C89" w:rsidP="00087C89">
      <w:pPr>
        <w:spacing w:line="240" w:lineRule="auto"/>
        <w:rPr>
          <w:rFonts w:eastAsia="Times New Roman" w:cs="Arial"/>
          <w:i/>
          <w:iCs/>
          <w:color w:val="000000"/>
          <w:lang w:eastAsia="bg-BG"/>
        </w:rPr>
      </w:pPr>
    </w:p>
    <w:p w14:paraId="5DDF870D" w14:textId="056425A0"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Бъбречно увреждане</w:t>
      </w:r>
    </w:p>
    <w:p w14:paraId="634CD503"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Не е необходима адаптация на дозата при пациенти с бъбречна недостатъчност (вж. точка 4.4.).</w:t>
      </w:r>
    </w:p>
    <w:p w14:paraId="1C1DD3B4" w14:textId="77777777" w:rsidR="00087C89" w:rsidRPr="00087C89" w:rsidRDefault="00087C89" w:rsidP="00087C89">
      <w:pPr>
        <w:spacing w:line="240" w:lineRule="auto"/>
        <w:rPr>
          <w:rFonts w:eastAsia="Times New Roman" w:cs="Arial"/>
          <w:i/>
          <w:iCs/>
          <w:color w:val="000000"/>
          <w:lang w:eastAsia="bg-BG"/>
        </w:rPr>
      </w:pPr>
    </w:p>
    <w:p w14:paraId="1594C562" w14:textId="315B717F"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Симптоми на отнемане наблюдавани при преустановяване приема на сертралин</w:t>
      </w:r>
    </w:p>
    <w:p w14:paraId="07650CA8"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Рязкото прекъсване на лечението трябва да се избягва. При спиране на лечението със сертралин, дозата трябва да се намалява постепенно за период от поне една до две седмици, за да се намали рискът от поява на симптоми на отнемане (вж. точки 4.4 и 4.8). Ако след намаляване на дозата или при спиране на лечението се появят симптоми на непоносимост, може да се разгледа възможността за повторно преминаване към по-рано предписаната доза. Впоследствие, лекарят може да продължи намаляването на дозата, но в по-постепенен курс.</w:t>
      </w:r>
    </w:p>
    <w:p w14:paraId="652B30F6" w14:textId="77777777" w:rsidR="00087C89" w:rsidRPr="00087C89" w:rsidRDefault="00087C89" w:rsidP="00087C89">
      <w:pPr>
        <w:spacing w:line="240" w:lineRule="auto"/>
        <w:rPr>
          <w:rFonts w:eastAsia="Times New Roman" w:cs="Arial"/>
          <w:color w:val="000000"/>
          <w:u w:val="single"/>
          <w:lang w:eastAsia="bg-BG"/>
        </w:rPr>
      </w:pPr>
    </w:p>
    <w:p w14:paraId="4AA34A85" w14:textId="3F4F6D91" w:rsidR="00087C89" w:rsidRPr="00087C89" w:rsidRDefault="00087C89" w:rsidP="00087C89">
      <w:pPr>
        <w:pStyle w:val="Heading3"/>
        <w:rPr>
          <w:rFonts w:eastAsia="Times New Roman"/>
          <w:u w:val="single"/>
          <w:lang w:eastAsia="bg-BG"/>
        </w:rPr>
      </w:pPr>
      <w:r w:rsidRPr="00087C89">
        <w:rPr>
          <w:rFonts w:eastAsia="Times New Roman"/>
          <w:u w:val="single"/>
          <w:lang w:eastAsia="bg-BG"/>
        </w:rPr>
        <w:t>Начин на приложение</w:t>
      </w:r>
    </w:p>
    <w:p w14:paraId="756EA0B6"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За перорално приложение.</w:t>
      </w:r>
    </w:p>
    <w:p w14:paraId="740A2D00" w14:textId="1B4B4697" w:rsidR="00087C89" w:rsidRPr="00087C89" w:rsidRDefault="00087C89" w:rsidP="00087C89">
      <w:pPr>
        <w:rPr>
          <w:rFonts w:eastAsia="Times New Roman" w:cs="Arial"/>
          <w:color w:val="000000"/>
          <w:lang w:eastAsia="bg-BG"/>
        </w:rPr>
      </w:pPr>
      <w:r w:rsidRPr="00087C89">
        <w:rPr>
          <w:rFonts w:eastAsia="Times New Roman" w:cs="Arial"/>
          <w:color w:val="000000"/>
          <w:lang w:eastAsia="bg-BG"/>
        </w:rPr>
        <w:t>Сертралин трябва да се приема веднъж дневно, сутрин или вечер. Таблетката сертралин може да се приема с или без храна.</w:t>
      </w:r>
    </w:p>
    <w:p w14:paraId="31DFCDA6" w14:textId="77777777" w:rsidR="00087C89" w:rsidRPr="00087C89" w:rsidRDefault="00087C89" w:rsidP="00087C89"/>
    <w:p w14:paraId="1BF2EFF4" w14:textId="7B3DD5B8" w:rsidR="001A6EBD" w:rsidRDefault="002C50EE" w:rsidP="00471F10">
      <w:pPr>
        <w:pStyle w:val="Heading2"/>
      </w:pPr>
      <w:r>
        <w:t>4.3. Противопоказания</w:t>
      </w:r>
    </w:p>
    <w:p w14:paraId="0E3CE6A3" w14:textId="5168B92E" w:rsidR="00087C89" w:rsidRDefault="00087C89" w:rsidP="00087C89"/>
    <w:p w14:paraId="6BCB9524" w14:textId="77777777" w:rsidR="00087C89" w:rsidRPr="00087C89" w:rsidRDefault="00087C89" w:rsidP="00087C89">
      <w:pPr>
        <w:pStyle w:val="ListParagraph"/>
        <w:numPr>
          <w:ilvl w:val="0"/>
          <w:numId w:val="39"/>
        </w:numPr>
        <w:spacing w:line="240" w:lineRule="auto"/>
        <w:rPr>
          <w:rFonts w:eastAsia="Times New Roman" w:cs="Arial"/>
          <w:color w:val="000000"/>
          <w:lang w:eastAsia="bg-BG"/>
        </w:rPr>
      </w:pPr>
      <w:r w:rsidRPr="00087C89">
        <w:rPr>
          <w:rFonts w:eastAsia="Times New Roman" w:cs="Arial"/>
          <w:color w:val="000000"/>
          <w:lang w:eastAsia="bg-BG"/>
        </w:rPr>
        <w:t>Свръхчувствителност към активното вещество или към някое от помощните вещества, изброени в точка 6.1.</w:t>
      </w:r>
    </w:p>
    <w:p w14:paraId="21AABDAC" w14:textId="77777777" w:rsidR="00087C89" w:rsidRPr="00087C89" w:rsidRDefault="00087C89" w:rsidP="00087C89">
      <w:pPr>
        <w:pStyle w:val="ListParagraph"/>
        <w:numPr>
          <w:ilvl w:val="0"/>
          <w:numId w:val="39"/>
        </w:numPr>
        <w:spacing w:line="240" w:lineRule="auto"/>
        <w:rPr>
          <w:rFonts w:eastAsia="Times New Roman" w:cs="Arial"/>
          <w:color w:val="000000"/>
          <w:lang w:eastAsia="bg-BG"/>
        </w:rPr>
      </w:pPr>
      <w:r w:rsidRPr="00087C89">
        <w:rPr>
          <w:rFonts w:eastAsia="Times New Roman" w:cs="Arial"/>
          <w:color w:val="000000"/>
          <w:lang w:eastAsia="bg-BG"/>
        </w:rPr>
        <w:t>Едновременно лечение с необратими моноаминооксидазни инхибитори (МАО- инхибитори), е противопоказано поради риска от серотонинов синдром със симптоми като ажитация, тремор и хипертермия.</w:t>
      </w:r>
    </w:p>
    <w:p w14:paraId="17D149B5" w14:textId="77777777" w:rsidR="00087C89" w:rsidRPr="00087C89" w:rsidRDefault="00087C89" w:rsidP="00087C89">
      <w:pPr>
        <w:pStyle w:val="ListParagraph"/>
        <w:numPr>
          <w:ilvl w:val="0"/>
          <w:numId w:val="39"/>
        </w:numPr>
        <w:spacing w:line="240" w:lineRule="auto"/>
        <w:rPr>
          <w:rFonts w:eastAsia="Times New Roman" w:cs="Arial"/>
          <w:color w:val="000000"/>
          <w:lang w:eastAsia="bg-BG"/>
        </w:rPr>
      </w:pPr>
      <w:r w:rsidRPr="00087C89">
        <w:rPr>
          <w:rFonts w:eastAsia="Times New Roman" w:cs="Arial"/>
          <w:color w:val="000000"/>
          <w:lang w:eastAsia="bg-BG"/>
        </w:rPr>
        <w:lastRenderedPageBreak/>
        <w:t>Лечение със сертралин не трябва да се започва поне 14 дни след прекратяване на лечение</w:t>
      </w:r>
      <w:r w:rsidRPr="00087C89">
        <w:rPr>
          <w:rFonts w:eastAsia="Times New Roman" w:cs="Arial"/>
          <w:color w:val="000000"/>
          <w:lang w:eastAsia="bg-BG"/>
        </w:rPr>
        <w:t xml:space="preserve">  </w:t>
      </w:r>
      <w:r w:rsidRPr="00087C89">
        <w:rPr>
          <w:rFonts w:eastAsia="Times New Roman" w:cs="Arial"/>
          <w:color w:val="000000"/>
          <w:lang w:eastAsia="bg-BG"/>
        </w:rPr>
        <w:t>с необратим МАО-инхибитор. Лечението със сертралин трябва да се прекрати поне 7 дни преди започване на лечение с необратим МАО-инхибитор (вж. точка 4.5).</w:t>
      </w:r>
    </w:p>
    <w:p w14:paraId="62341AB7" w14:textId="5CD12F07" w:rsidR="00087C89" w:rsidRPr="00087C89" w:rsidRDefault="00087C89" w:rsidP="00087C89">
      <w:pPr>
        <w:pStyle w:val="ListParagraph"/>
        <w:numPr>
          <w:ilvl w:val="0"/>
          <w:numId w:val="39"/>
        </w:numPr>
        <w:spacing w:line="240" w:lineRule="auto"/>
        <w:rPr>
          <w:rFonts w:ascii="Cambria" w:eastAsia="Times New Roman" w:hAnsi="Cambria" w:cs="Cambria"/>
          <w:b/>
          <w:bCs/>
          <w:color w:val="000000"/>
          <w:sz w:val="18"/>
          <w:szCs w:val="18"/>
          <w:lang w:eastAsia="bg-BG"/>
        </w:rPr>
      </w:pPr>
      <w:r w:rsidRPr="00087C89">
        <w:rPr>
          <w:rFonts w:eastAsia="Times New Roman" w:cs="Arial"/>
          <w:color w:val="000000"/>
          <w:lang w:eastAsia="bg-BG"/>
        </w:rPr>
        <w:t>Едновременната употреба на сертралин е противопоказана при пациенти, които приемат</w:t>
      </w:r>
      <w:r w:rsidRPr="00087C89">
        <w:rPr>
          <w:rFonts w:eastAsia="Times New Roman" w:cs="Arial"/>
          <w:color w:val="000000"/>
          <w:lang w:eastAsia="bg-BG"/>
        </w:rPr>
        <w:t xml:space="preserve"> </w:t>
      </w:r>
      <w:r w:rsidRPr="00087C89">
        <w:rPr>
          <w:rFonts w:eastAsia="Times New Roman" w:cs="Arial"/>
          <w:color w:val="000000"/>
          <w:lang w:eastAsia="bg-BG"/>
        </w:rPr>
        <w:t>пимозид (вж. точка 4.5).</w:t>
      </w:r>
    </w:p>
    <w:p w14:paraId="3994FBDE" w14:textId="77777777" w:rsidR="00087C89" w:rsidRPr="00087C89" w:rsidRDefault="00087C89" w:rsidP="00087C89"/>
    <w:p w14:paraId="0C106098" w14:textId="5A6AA5B2" w:rsidR="001A6EBD" w:rsidRDefault="002C50EE" w:rsidP="00471F10">
      <w:pPr>
        <w:pStyle w:val="Heading2"/>
      </w:pPr>
      <w:r>
        <w:t>4.4. Специални предупреждения и предпазни мерки при употреба</w:t>
      </w:r>
    </w:p>
    <w:p w14:paraId="48638836" w14:textId="2D6D64B2" w:rsidR="00087C89" w:rsidRDefault="00087C89" w:rsidP="00087C89"/>
    <w:p w14:paraId="2565A7BF" w14:textId="77777777"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 xml:space="preserve">Серотонинов синдром </w:t>
      </w:r>
      <w:r w:rsidRPr="00087C89">
        <w:rPr>
          <w:rFonts w:eastAsia="Times New Roman" w:cs="Arial"/>
          <w:i/>
          <w:iCs/>
          <w:color w:val="000000"/>
          <w:lang w:val="en-US"/>
        </w:rPr>
        <w:t xml:space="preserve">(SS) </w:t>
      </w:r>
      <w:r w:rsidRPr="00087C89">
        <w:rPr>
          <w:rFonts w:eastAsia="Times New Roman" w:cs="Arial"/>
          <w:i/>
          <w:iCs/>
          <w:color w:val="000000"/>
          <w:lang w:eastAsia="bg-BG"/>
        </w:rPr>
        <w:t xml:space="preserve">или Невролептичен Малигнен Синдром </w:t>
      </w:r>
      <w:r w:rsidRPr="00087C89">
        <w:rPr>
          <w:rFonts w:eastAsia="Times New Roman" w:cs="Arial"/>
          <w:i/>
          <w:iCs/>
          <w:color w:val="000000"/>
          <w:lang w:val="en-US"/>
        </w:rPr>
        <w:t>(NMS)</w:t>
      </w:r>
    </w:p>
    <w:p w14:paraId="47E10009"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 xml:space="preserve">Развитието на потенциално живото-застрашаващи симптоми като серотонинов синдром </w:t>
      </w:r>
      <w:r w:rsidRPr="00087C89">
        <w:rPr>
          <w:rFonts w:eastAsia="Times New Roman" w:cs="Arial"/>
          <w:color w:val="000000"/>
          <w:lang w:val="en-US"/>
        </w:rPr>
        <w:t xml:space="preserve">(SS) </w:t>
      </w:r>
      <w:r w:rsidRPr="00087C89">
        <w:rPr>
          <w:rFonts w:eastAsia="Times New Roman" w:cs="Arial"/>
          <w:color w:val="000000"/>
          <w:lang w:eastAsia="bg-BG"/>
        </w:rPr>
        <w:t xml:space="preserve">или невролептичен малигнен синдром </w:t>
      </w:r>
      <w:r w:rsidRPr="00087C89">
        <w:rPr>
          <w:rFonts w:eastAsia="Times New Roman" w:cs="Arial"/>
          <w:color w:val="000000"/>
          <w:lang w:val="en-US"/>
        </w:rPr>
        <w:t xml:space="preserve">(NMS) </w:t>
      </w:r>
      <w:r w:rsidRPr="00087C89">
        <w:rPr>
          <w:rFonts w:eastAsia="Times New Roman" w:cs="Arial"/>
          <w:color w:val="000000"/>
          <w:lang w:eastAsia="bg-BG"/>
        </w:rPr>
        <w:t xml:space="preserve">са съобщавани при употреба на селективни инхибитори на обратния захват на серотонина </w:t>
      </w:r>
      <w:r w:rsidRPr="00087C89">
        <w:rPr>
          <w:rFonts w:eastAsia="Times New Roman" w:cs="Arial"/>
          <w:color w:val="000000"/>
          <w:lang w:val="en-US"/>
        </w:rPr>
        <w:t xml:space="preserve">(SSRIs), </w:t>
      </w:r>
      <w:r w:rsidRPr="00087C89">
        <w:rPr>
          <w:rFonts w:eastAsia="Times New Roman" w:cs="Arial"/>
          <w:color w:val="000000"/>
          <w:lang w:eastAsia="bg-BG"/>
        </w:rPr>
        <w:t xml:space="preserve">включително лечение със сертралин. Рискът от </w:t>
      </w:r>
      <w:r w:rsidRPr="00087C89">
        <w:rPr>
          <w:rFonts w:eastAsia="Times New Roman" w:cs="Arial"/>
          <w:color w:val="000000"/>
          <w:lang w:val="en-US"/>
        </w:rPr>
        <w:t xml:space="preserve">SS </w:t>
      </w:r>
      <w:r w:rsidRPr="00087C89">
        <w:rPr>
          <w:rFonts w:eastAsia="Times New Roman" w:cs="Arial"/>
          <w:color w:val="000000"/>
          <w:lang w:eastAsia="bg-BG"/>
        </w:rPr>
        <w:t xml:space="preserve">или </w:t>
      </w:r>
      <w:r w:rsidRPr="00087C89">
        <w:rPr>
          <w:rFonts w:eastAsia="Times New Roman" w:cs="Arial"/>
          <w:color w:val="000000"/>
          <w:lang w:val="en-US"/>
        </w:rPr>
        <w:t xml:space="preserve">NMS </w:t>
      </w:r>
      <w:r w:rsidRPr="00087C89">
        <w:rPr>
          <w:rFonts w:eastAsia="Times New Roman" w:cs="Arial"/>
          <w:color w:val="000000"/>
          <w:lang w:eastAsia="bg-BG"/>
        </w:rPr>
        <w:t xml:space="preserve">при </w:t>
      </w:r>
      <w:r w:rsidRPr="00087C89">
        <w:rPr>
          <w:rFonts w:eastAsia="Times New Roman" w:cs="Arial"/>
          <w:color w:val="000000"/>
          <w:lang w:val="en-US"/>
        </w:rPr>
        <w:t xml:space="preserve">SSRIs </w:t>
      </w:r>
      <w:r w:rsidRPr="00087C89">
        <w:rPr>
          <w:rFonts w:eastAsia="Times New Roman" w:cs="Arial"/>
          <w:color w:val="000000"/>
          <w:lang w:eastAsia="bg-BG"/>
        </w:rPr>
        <w:t xml:space="preserve">се повишава при едновременното приложение с други серотонергични лекарства (вкл. други серотонергични антидепресанти, амфетамини, триптани), с лекарства, които влошават метаболизма на серотонина (включително </w:t>
      </w:r>
      <w:r w:rsidRPr="00087C89">
        <w:rPr>
          <w:rFonts w:eastAsia="Times New Roman" w:cs="Arial"/>
          <w:color w:val="000000"/>
          <w:lang w:val="en-US"/>
        </w:rPr>
        <w:t>MAO</w:t>
      </w:r>
      <w:r w:rsidRPr="00087C89">
        <w:rPr>
          <w:rFonts w:eastAsia="Times New Roman" w:cs="Arial"/>
          <w:color w:val="000000"/>
          <w:lang w:eastAsia="bg-BG"/>
        </w:rPr>
        <w:t>-инхибитори, напр. метиленово синьо), антипсихотици и други допаминови антагонисти, и с наркотични лекарства или бупренорфин (или комбинацията му с налоксон).</w:t>
      </w:r>
    </w:p>
    <w:p w14:paraId="50831FD8" w14:textId="77777777" w:rsidR="00087C89" w:rsidRPr="00087C89" w:rsidRDefault="00087C89" w:rsidP="00087C89">
      <w:pPr>
        <w:rPr>
          <w:rFonts w:eastAsia="Times New Roman" w:cs="Arial"/>
          <w:lang w:eastAsia="bg-BG"/>
        </w:rPr>
      </w:pPr>
      <w:r w:rsidRPr="00087C89">
        <w:rPr>
          <w:rFonts w:eastAsia="Times New Roman" w:cs="Arial"/>
          <w:color w:val="000000"/>
          <w:lang w:eastAsia="bg-BG"/>
        </w:rPr>
        <w:t xml:space="preserve">Ако едновременното лечение с други серотонинергични агенти е клинично оправдано, пациентите трябва да бъдат проследявани за появата на признаци и симптоми на </w:t>
      </w:r>
      <w:r w:rsidRPr="00087C89">
        <w:rPr>
          <w:rFonts w:eastAsia="Times New Roman" w:cs="Arial"/>
          <w:color w:val="000000"/>
          <w:lang w:val="en-US"/>
        </w:rPr>
        <w:t xml:space="preserve">SS </w:t>
      </w:r>
      <w:r w:rsidRPr="00087C89">
        <w:rPr>
          <w:rFonts w:eastAsia="Times New Roman" w:cs="Arial"/>
          <w:color w:val="000000"/>
          <w:lang w:eastAsia="bg-BG"/>
        </w:rPr>
        <w:t xml:space="preserve">или </w:t>
      </w:r>
      <w:r w:rsidRPr="00087C89">
        <w:rPr>
          <w:rFonts w:eastAsia="Times New Roman" w:cs="Arial"/>
          <w:color w:val="000000"/>
          <w:lang w:val="en-US"/>
        </w:rPr>
        <w:t>NMS</w:t>
      </w:r>
      <w:r w:rsidRPr="00087C89">
        <w:rPr>
          <w:rFonts w:eastAsia="Times New Roman" w:cs="Arial"/>
          <w:color w:val="000000"/>
          <w:lang w:eastAsia="bg-BG"/>
        </w:rPr>
        <w:t xml:space="preserve"> синдром (вж. точка 4.3 „Противопоказания“), особено по време на започване на лечението и увеличаване на дозата. Симптомите на серотониновия синдром могат да включват промени в психичното състояние, автономна нестабилност, невромускулни аномалии и/или стомашно-чревни симптоми. Ако се подозира серотонинов синдром, трябва да се обмисли намаляване на дозата или прекратяване на терапията в зависимост от тежестта на симптомите.</w:t>
      </w:r>
    </w:p>
    <w:p w14:paraId="01ED5368" w14:textId="77777777" w:rsidR="00087C89" w:rsidRPr="00087C89" w:rsidRDefault="00087C89" w:rsidP="00087C89">
      <w:pPr>
        <w:spacing w:line="240" w:lineRule="auto"/>
        <w:rPr>
          <w:rFonts w:eastAsia="Times New Roman" w:cs="Arial"/>
          <w:i/>
          <w:iCs/>
          <w:color w:val="000000"/>
          <w:lang w:eastAsia="bg-BG"/>
        </w:rPr>
      </w:pPr>
    </w:p>
    <w:p w14:paraId="51699070" w14:textId="3FA3973A"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 xml:space="preserve">Преминаване от селективни инхибитори на обратния захват на серотонина </w:t>
      </w:r>
      <w:r w:rsidRPr="00087C89">
        <w:rPr>
          <w:rFonts w:eastAsia="Times New Roman" w:cs="Arial"/>
          <w:i/>
          <w:iCs/>
          <w:color w:val="000000"/>
          <w:lang w:val="en-US"/>
        </w:rPr>
        <w:t xml:space="preserve">(SSRIs), </w:t>
      </w:r>
      <w:r w:rsidRPr="00087C89">
        <w:rPr>
          <w:rFonts w:eastAsia="Times New Roman" w:cs="Arial"/>
          <w:i/>
          <w:iCs/>
          <w:color w:val="000000"/>
          <w:lang w:eastAsia="bg-BG"/>
        </w:rPr>
        <w:t xml:space="preserve">антидепресанти или антиобсесивни лекарства </w:t>
      </w:r>
      <w:r w:rsidRPr="00087C89">
        <w:rPr>
          <w:rFonts w:eastAsia="Times New Roman" w:cs="Arial"/>
          <w:color w:val="000000"/>
          <w:lang w:eastAsia="bg-BG"/>
        </w:rPr>
        <w:t xml:space="preserve">Контролираният опит относно оптималното време за преминаване от </w:t>
      </w:r>
      <w:r w:rsidRPr="00087C89">
        <w:rPr>
          <w:rFonts w:eastAsia="Times New Roman" w:cs="Arial"/>
          <w:color w:val="000000"/>
          <w:lang w:val="en-US"/>
        </w:rPr>
        <w:t xml:space="preserve">SSRIs, </w:t>
      </w:r>
      <w:r w:rsidRPr="00087C89">
        <w:rPr>
          <w:rFonts w:eastAsia="Times New Roman" w:cs="Arial"/>
          <w:color w:val="000000"/>
          <w:lang w:eastAsia="bg-BG"/>
        </w:rPr>
        <w:t>антидепресанти или антиобсесивни лекарства към сертралин е ограничен. Промяна на терапията трябва да се прави особено внимателно и след строга преценка, особено когато към сертралин се преминава след приложение на лекарства с продължително действие, като флуоксетин.</w:t>
      </w:r>
    </w:p>
    <w:p w14:paraId="4D5D6AD3" w14:textId="77777777" w:rsidR="00087C89" w:rsidRPr="00087C89" w:rsidRDefault="00087C89" w:rsidP="00087C89">
      <w:pPr>
        <w:spacing w:line="240" w:lineRule="auto"/>
        <w:rPr>
          <w:rFonts w:eastAsia="Times New Roman" w:cs="Arial"/>
          <w:i/>
          <w:iCs/>
          <w:color w:val="000000"/>
          <w:lang w:eastAsia="bg-BG"/>
        </w:rPr>
      </w:pPr>
    </w:p>
    <w:p w14:paraId="59D6F2E6" w14:textId="08A56D43"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 xml:space="preserve">Други серотонинергични лекарства, като триптофан, фенфлурамин и 5-НТ агонисти </w:t>
      </w:r>
      <w:r w:rsidRPr="00087C89">
        <w:rPr>
          <w:rFonts w:eastAsia="Times New Roman" w:cs="Arial"/>
          <w:color w:val="000000"/>
          <w:lang w:eastAsia="bg-BG"/>
        </w:rPr>
        <w:t xml:space="preserve">Едновременното приложение на сертралин с други лекарства, които засилват ефектите на серотонинергичната невротрансмисия, като амфетамин, триптофан, фенфлурамин или 5-НТ агонисти или растителния лекарствен продукт жълт кантарион </w:t>
      </w:r>
      <w:r w:rsidRPr="00087C89">
        <w:rPr>
          <w:rFonts w:eastAsia="Times New Roman" w:cs="Arial"/>
          <w:i/>
          <w:iCs/>
          <w:color w:val="000000"/>
          <w:lang w:val="en-US"/>
        </w:rPr>
        <w:t xml:space="preserve">(Hypericum </w:t>
      </w:r>
      <w:proofErr w:type="spellStart"/>
      <w:r w:rsidRPr="00087C89">
        <w:rPr>
          <w:rFonts w:eastAsia="Times New Roman" w:cs="Arial"/>
          <w:i/>
          <w:iCs/>
          <w:color w:val="000000"/>
          <w:lang w:val="en-US"/>
        </w:rPr>
        <w:t>perforatum</w:t>
      </w:r>
      <w:proofErr w:type="spellEnd"/>
      <w:r w:rsidRPr="00087C89">
        <w:rPr>
          <w:rFonts w:eastAsia="Times New Roman" w:cs="Arial"/>
          <w:i/>
          <w:iCs/>
          <w:color w:val="000000"/>
          <w:lang w:val="en-US"/>
        </w:rPr>
        <w:t>),</w:t>
      </w:r>
      <w:r w:rsidRPr="00087C89">
        <w:rPr>
          <w:rFonts w:eastAsia="Times New Roman" w:cs="Arial"/>
          <w:color w:val="000000"/>
          <w:lang w:val="en-US"/>
        </w:rPr>
        <w:t xml:space="preserve"> </w:t>
      </w:r>
      <w:r w:rsidRPr="00087C89">
        <w:rPr>
          <w:rFonts w:eastAsia="Times New Roman" w:cs="Arial"/>
          <w:color w:val="000000"/>
          <w:lang w:eastAsia="bg-BG"/>
        </w:rPr>
        <w:t>трябва да става внимателно и в случаите, в които е възможно, да се избягва поради възможност от възникване на фармакодинамични взаимодействия.</w:t>
      </w:r>
    </w:p>
    <w:p w14:paraId="5F079110" w14:textId="77777777" w:rsidR="00087C89" w:rsidRPr="00087C89" w:rsidRDefault="00087C89" w:rsidP="00087C89">
      <w:pPr>
        <w:spacing w:line="240" w:lineRule="auto"/>
        <w:rPr>
          <w:rFonts w:eastAsia="Times New Roman" w:cs="Arial"/>
          <w:i/>
          <w:iCs/>
          <w:color w:val="000000"/>
          <w:lang w:eastAsia="bg-BG"/>
        </w:rPr>
      </w:pPr>
    </w:p>
    <w:p w14:paraId="26315612" w14:textId="13D7F610"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 xml:space="preserve">Удължаване на </w:t>
      </w:r>
      <w:r w:rsidRPr="00087C89">
        <w:rPr>
          <w:rFonts w:eastAsia="Times New Roman" w:cs="Arial"/>
          <w:i/>
          <w:iCs/>
          <w:color w:val="000000"/>
          <w:lang w:val="en-US"/>
        </w:rPr>
        <w:t>QT-u</w:t>
      </w:r>
      <w:r w:rsidRPr="00087C89">
        <w:rPr>
          <w:rFonts w:eastAsia="Times New Roman" w:cs="Arial"/>
          <w:i/>
          <w:iCs/>
          <w:color w:val="000000"/>
          <w:lang w:eastAsia="bg-BG"/>
        </w:rPr>
        <w:t>н</w:t>
      </w:r>
      <w:proofErr w:type="spellStart"/>
      <w:r w:rsidRPr="00087C89">
        <w:rPr>
          <w:rFonts w:eastAsia="Times New Roman" w:cs="Arial"/>
          <w:i/>
          <w:iCs/>
          <w:color w:val="000000"/>
          <w:lang w:val="en-US"/>
        </w:rPr>
        <w:t>mep</w:t>
      </w:r>
      <w:proofErr w:type="spellEnd"/>
      <w:r w:rsidRPr="00087C89">
        <w:rPr>
          <w:rFonts w:eastAsia="Times New Roman" w:cs="Arial"/>
          <w:i/>
          <w:iCs/>
          <w:color w:val="000000"/>
          <w:lang w:eastAsia="bg-BG"/>
        </w:rPr>
        <w:t>в</w:t>
      </w:r>
      <w:r w:rsidRPr="00087C89">
        <w:rPr>
          <w:rFonts w:eastAsia="Times New Roman" w:cs="Arial"/>
          <w:i/>
          <w:iCs/>
          <w:color w:val="000000"/>
          <w:lang w:val="en-US"/>
        </w:rPr>
        <w:t>a</w:t>
      </w:r>
      <w:r w:rsidRPr="00087C89">
        <w:rPr>
          <w:rFonts w:eastAsia="Times New Roman" w:cs="Arial"/>
          <w:i/>
          <w:iCs/>
          <w:color w:val="000000"/>
          <w:lang w:eastAsia="bg-BG"/>
        </w:rPr>
        <w:t>ла</w:t>
      </w:r>
      <w:r w:rsidRPr="00087C89">
        <w:rPr>
          <w:rFonts w:eastAsia="Times New Roman" w:cs="Arial"/>
          <w:i/>
          <w:iCs/>
          <w:color w:val="000000"/>
          <w:lang w:val="en-US"/>
        </w:rPr>
        <w:t>/Torsade de Pointes (</w:t>
      </w:r>
      <w:proofErr w:type="spellStart"/>
      <w:r w:rsidRPr="00087C89">
        <w:rPr>
          <w:rFonts w:eastAsia="Times New Roman" w:cs="Arial"/>
          <w:i/>
          <w:iCs/>
          <w:color w:val="000000"/>
          <w:lang w:val="en-US"/>
        </w:rPr>
        <w:t>TdP</w:t>
      </w:r>
      <w:proofErr w:type="spellEnd"/>
      <w:r w:rsidRPr="00087C89">
        <w:rPr>
          <w:rFonts w:eastAsia="Times New Roman" w:cs="Arial"/>
          <w:i/>
          <w:iCs/>
          <w:color w:val="000000"/>
          <w:lang w:val="en-US"/>
        </w:rPr>
        <w:t>)</w:t>
      </w:r>
    </w:p>
    <w:p w14:paraId="4DBFB553"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 xml:space="preserve">Съобщавани са удължаване на </w:t>
      </w:r>
      <w:r w:rsidRPr="00087C89">
        <w:rPr>
          <w:rFonts w:eastAsia="Times New Roman" w:cs="Arial"/>
          <w:color w:val="000000"/>
          <w:lang w:val="en-US"/>
        </w:rPr>
        <w:t>QT-</w:t>
      </w:r>
      <w:r w:rsidRPr="00087C89">
        <w:rPr>
          <w:rFonts w:eastAsia="Times New Roman" w:cs="Arial"/>
          <w:color w:val="000000"/>
          <w:lang w:eastAsia="bg-BG"/>
        </w:rPr>
        <w:t xml:space="preserve">интервал а и </w:t>
      </w:r>
      <w:r w:rsidRPr="00087C89">
        <w:rPr>
          <w:rFonts w:eastAsia="Times New Roman" w:cs="Arial"/>
          <w:color w:val="000000"/>
          <w:lang w:val="en-US"/>
        </w:rPr>
        <w:t>Torsade de Pointes (</w:t>
      </w:r>
      <w:proofErr w:type="spellStart"/>
      <w:r w:rsidRPr="00087C89">
        <w:rPr>
          <w:rFonts w:eastAsia="Times New Roman" w:cs="Arial"/>
          <w:color w:val="000000"/>
          <w:lang w:val="en-US"/>
        </w:rPr>
        <w:t>TdP</w:t>
      </w:r>
      <w:proofErr w:type="spellEnd"/>
      <w:r w:rsidRPr="00087C89">
        <w:rPr>
          <w:rFonts w:eastAsia="Times New Roman" w:cs="Arial"/>
          <w:color w:val="000000"/>
          <w:lang w:val="en-US"/>
        </w:rPr>
        <w:t xml:space="preserve">) </w:t>
      </w:r>
      <w:r w:rsidRPr="00087C89">
        <w:rPr>
          <w:rFonts w:eastAsia="Times New Roman" w:cs="Arial"/>
          <w:color w:val="000000"/>
          <w:lang w:eastAsia="bg-BG"/>
        </w:rPr>
        <w:t xml:space="preserve">по време на постмаркетинговата употреба на сертралин. По-голямата част от съобщенията са наблюдавани при пациенти с други рискови фактори за удължаване на </w:t>
      </w:r>
      <w:r w:rsidRPr="00087C89">
        <w:rPr>
          <w:rFonts w:eastAsia="Times New Roman" w:cs="Arial"/>
          <w:color w:val="000000"/>
          <w:lang w:val="en-US"/>
        </w:rPr>
        <w:t>QT</w:t>
      </w:r>
      <w:r w:rsidRPr="00087C89">
        <w:rPr>
          <w:rFonts w:eastAsia="Times New Roman" w:cs="Arial"/>
          <w:color w:val="000000"/>
          <w:lang w:eastAsia="bg-BG"/>
        </w:rPr>
        <w:t>-интервала/</w:t>
      </w:r>
      <w:proofErr w:type="spellStart"/>
      <w:r w:rsidRPr="00087C89">
        <w:rPr>
          <w:rFonts w:eastAsia="Times New Roman" w:cs="Arial"/>
          <w:color w:val="000000"/>
          <w:lang w:val="en-US"/>
        </w:rPr>
        <w:t>TdP</w:t>
      </w:r>
      <w:proofErr w:type="spellEnd"/>
      <w:r w:rsidRPr="00087C89">
        <w:rPr>
          <w:rFonts w:eastAsia="Times New Roman" w:cs="Arial"/>
          <w:color w:val="000000"/>
          <w:lang w:eastAsia="bg-BG"/>
        </w:rPr>
        <w:t xml:space="preserve">. Ефектът по отношение на удължаване на </w:t>
      </w:r>
      <w:r w:rsidRPr="00087C89">
        <w:rPr>
          <w:rFonts w:eastAsia="Times New Roman" w:cs="Arial"/>
          <w:color w:val="000000"/>
          <w:lang w:val="en-US"/>
        </w:rPr>
        <w:t xml:space="preserve">QT </w:t>
      </w:r>
      <w:r w:rsidRPr="00087C89">
        <w:rPr>
          <w:rFonts w:eastAsia="Times New Roman" w:cs="Arial"/>
          <w:color w:val="000000"/>
          <w:lang w:eastAsia="bg-BG"/>
        </w:rPr>
        <w:t xml:space="preserve">интервала е потвърден в задълбочено проучване на </w:t>
      </w:r>
      <w:r w:rsidRPr="00087C89">
        <w:rPr>
          <w:rFonts w:eastAsia="Times New Roman" w:cs="Arial"/>
          <w:color w:val="000000"/>
          <w:lang w:val="en-US"/>
        </w:rPr>
        <w:t xml:space="preserve">QT </w:t>
      </w:r>
      <w:r w:rsidRPr="00087C89">
        <w:rPr>
          <w:rFonts w:eastAsia="Times New Roman" w:cs="Arial"/>
          <w:color w:val="000000"/>
          <w:lang w:eastAsia="bg-BG"/>
        </w:rPr>
        <w:t xml:space="preserve">при здрави доброволци, като е отчетена статистически значима положителна връзка между експозицията и отговора. Поради това, сертралин трябва да се използва с повишено внимание при пациенти с допълнителни рискови </w:t>
      </w:r>
      <w:r w:rsidRPr="00087C89">
        <w:rPr>
          <w:rFonts w:eastAsia="Times New Roman" w:cs="Arial"/>
          <w:color w:val="000000"/>
          <w:lang w:eastAsia="bg-BG"/>
        </w:rPr>
        <w:lastRenderedPageBreak/>
        <w:t xml:space="preserve">фактори за удължаване на </w:t>
      </w:r>
      <w:r w:rsidRPr="00087C89">
        <w:rPr>
          <w:rFonts w:eastAsia="Times New Roman" w:cs="Arial"/>
          <w:color w:val="000000"/>
          <w:lang w:val="en-US"/>
        </w:rPr>
        <w:t>QT</w:t>
      </w:r>
      <w:r w:rsidRPr="00087C89">
        <w:rPr>
          <w:rFonts w:eastAsia="Times New Roman" w:cs="Arial"/>
          <w:color w:val="000000"/>
          <w:lang w:eastAsia="bg-BG"/>
        </w:rPr>
        <w:t xml:space="preserve">-интервала като: сърдечно заболяване, хипокалиемия или хипомагнезиемия, фамилна анамнеза за удължаване на </w:t>
      </w:r>
      <w:r w:rsidRPr="00087C89">
        <w:rPr>
          <w:rFonts w:eastAsia="Times New Roman" w:cs="Arial"/>
          <w:color w:val="000000"/>
          <w:lang w:val="en-US"/>
        </w:rPr>
        <w:t xml:space="preserve">QT, </w:t>
      </w:r>
      <w:r w:rsidRPr="00087C89">
        <w:rPr>
          <w:rFonts w:eastAsia="Times New Roman" w:cs="Arial"/>
          <w:color w:val="000000"/>
          <w:lang w:eastAsia="bg-BG"/>
        </w:rPr>
        <w:t xml:space="preserve">брадикардия и едновременна употреба на лекарства, които удължават </w:t>
      </w:r>
      <w:r w:rsidRPr="00087C89">
        <w:rPr>
          <w:rFonts w:eastAsia="Times New Roman" w:cs="Arial"/>
          <w:color w:val="000000"/>
          <w:lang w:val="en-US"/>
        </w:rPr>
        <w:t>QT</w:t>
      </w:r>
      <w:r w:rsidRPr="00087C89">
        <w:rPr>
          <w:rFonts w:eastAsia="Times New Roman" w:cs="Arial"/>
          <w:color w:val="000000"/>
          <w:lang w:eastAsia="bg-BG"/>
        </w:rPr>
        <w:t>-интервала (вж. точка 4.5 и 5.1).</w:t>
      </w:r>
    </w:p>
    <w:p w14:paraId="1697225E" w14:textId="77777777" w:rsidR="00087C89" w:rsidRPr="00087C89" w:rsidRDefault="00087C89" w:rsidP="00087C89">
      <w:pPr>
        <w:spacing w:line="240" w:lineRule="auto"/>
        <w:rPr>
          <w:rFonts w:eastAsia="Times New Roman" w:cs="Arial"/>
          <w:i/>
          <w:iCs/>
          <w:color w:val="000000"/>
          <w:lang w:eastAsia="bg-BG"/>
        </w:rPr>
      </w:pPr>
    </w:p>
    <w:p w14:paraId="4E9C0140" w14:textId="4054F711"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Активиране на хипомания или мания</w:t>
      </w:r>
    </w:p>
    <w:p w14:paraId="51E8D4C2"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Симптоми на мания/хипомания са съобщени при малък брой пациенти по време на терапия с предлагани на пазара антидепресанти и антиобсесивни лекарства, включително сертралин. Поради това сертралин трябва да се прилага внимателно при пациенти с анамнеза за мания/хипомания. Задължително е стриктно наблюдение от страна на лекаря. Лечението със сертралин трябва да се прекрати, ако пациентът премине в маниакална фаза.</w:t>
      </w:r>
    </w:p>
    <w:p w14:paraId="1CCCDF0D" w14:textId="77777777" w:rsidR="00087C89" w:rsidRPr="00087C89" w:rsidRDefault="00087C89" w:rsidP="00087C89">
      <w:pPr>
        <w:spacing w:line="240" w:lineRule="auto"/>
        <w:rPr>
          <w:rFonts w:eastAsia="Times New Roman" w:cs="Arial"/>
          <w:i/>
          <w:iCs/>
          <w:color w:val="000000"/>
          <w:lang w:eastAsia="bg-BG"/>
        </w:rPr>
      </w:pPr>
    </w:p>
    <w:p w14:paraId="6C36EE84" w14:textId="3F0E25CC"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Шизофрения</w:t>
      </w:r>
    </w:p>
    <w:p w14:paraId="12692834"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Психотичните симптоми могат да се утежнят при пациенти с шизофрения.</w:t>
      </w:r>
    </w:p>
    <w:p w14:paraId="59CE039B" w14:textId="77777777" w:rsidR="00087C89" w:rsidRPr="00087C89" w:rsidRDefault="00087C89" w:rsidP="00087C89">
      <w:pPr>
        <w:spacing w:line="240" w:lineRule="auto"/>
        <w:rPr>
          <w:rFonts w:eastAsia="Times New Roman" w:cs="Arial"/>
          <w:i/>
          <w:iCs/>
          <w:color w:val="000000"/>
          <w:lang w:eastAsia="bg-BG"/>
        </w:rPr>
      </w:pPr>
    </w:p>
    <w:p w14:paraId="67381C3E" w14:textId="7A95A453"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Припадъци</w:t>
      </w:r>
    </w:p>
    <w:p w14:paraId="6EA0700E"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При лечение със сертралин могат да възникнат припадъци: приложението му трябва да се избягва при пациенти с нестабилна епилепсия, а пациенти с контролирана епилепсия трябва да бъдат под внимателно наблюдение. При всеки пациент с нововъзникнали припадъци терапията трябва да бъде прекъсната.</w:t>
      </w:r>
    </w:p>
    <w:p w14:paraId="29F4E44A" w14:textId="77777777" w:rsidR="00087C89" w:rsidRPr="00087C89" w:rsidRDefault="00087C89" w:rsidP="00087C89">
      <w:pPr>
        <w:rPr>
          <w:rFonts w:eastAsia="Times New Roman" w:cs="Arial"/>
          <w:i/>
          <w:iCs/>
          <w:color w:val="000000"/>
          <w:lang w:eastAsia="bg-BG"/>
        </w:rPr>
      </w:pPr>
    </w:p>
    <w:p w14:paraId="03119472" w14:textId="77777777" w:rsidR="00087C89" w:rsidRPr="00087C89" w:rsidRDefault="00087C89" w:rsidP="00087C89">
      <w:pPr>
        <w:rPr>
          <w:rFonts w:eastAsia="Times New Roman" w:cs="Arial"/>
          <w:lang w:eastAsia="bg-BG"/>
        </w:rPr>
      </w:pPr>
      <w:r w:rsidRPr="00087C89">
        <w:rPr>
          <w:rFonts w:eastAsia="Times New Roman" w:cs="Arial"/>
          <w:i/>
          <w:iCs/>
          <w:color w:val="000000"/>
          <w:lang w:eastAsia="bg-BG"/>
        </w:rPr>
        <w:t xml:space="preserve">Самоубийство/суицидни мисли/опити за самоубийство или клинично влошаване </w:t>
      </w:r>
      <w:r w:rsidRPr="00087C89">
        <w:rPr>
          <w:rFonts w:eastAsia="Times New Roman" w:cs="Arial"/>
          <w:color w:val="000000"/>
          <w:lang w:eastAsia="bg-BG"/>
        </w:rPr>
        <w:t>Депресията е свързана с повишен риск от суицидни мисли, самонараняване и самоубийство (събития, свързани със самоубийство). Този риск съществува до достигане на значима ремисия. Тъй като подобрение може да не настъпи по време на началната фаза на лечението, пациентите трябва да бъдат под строго наблюдение до появата му. Клиничният опит сочи, ч</w:t>
      </w:r>
      <w:r w:rsidRPr="00087C89">
        <w:rPr>
          <w:rFonts w:eastAsia="Times New Roman" w:cs="Arial"/>
          <w:color w:val="000000"/>
          <w:u w:val="single"/>
          <w:lang w:eastAsia="bg-BG"/>
        </w:rPr>
        <w:t>е рискъ</w:t>
      </w:r>
      <w:r w:rsidRPr="00087C89">
        <w:rPr>
          <w:rFonts w:eastAsia="Times New Roman" w:cs="Arial"/>
          <w:color w:val="000000"/>
          <w:lang w:eastAsia="bg-BG"/>
        </w:rPr>
        <w:t>т от самоубийство може да нарасне през ранните етапи на възстановителния период. Други психични заболявалия при които сертралин се предписва, също могат да бъдат свързани с повишен риск от събития, свързани със самоубийство. Поради установеното съчетаване с голямо депресивно разстройство, при лечение на пациенти с голямо депресивно разстройство</w:t>
      </w:r>
      <w:r w:rsidRPr="00087C89">
        <w:rPr>
          <w:rFonts w:eastAsia="Times New Roman" w:cs="Arial"/>
          <w:color w:val="000000"/>
          <w:lang w:eastAsia="bg-BG"/>
        </w:rPr>
        <w:t xml:space="preserve"> </w:t>
      </w:r>
      <w:r w:rsidRPr="00087C89">
        <w:rPr>
          <w:rFonts w:eastAsia="Times New Roman" w:cs="Arial"/>
          <w:color w:val="000000"/>
          <w:lang w:eastAsia="bg-BG"/>
        </w:rPr>
        <w:t>същите предпазни мерки трябва да бъдат съблюдавани както при лечение на пациенти с други психични разстройства.</w:t>
      </w:r>
    </w:p>
    <w:p w14:paraId="54788240"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Пациенти с анамнеза за събития, свързани със самоубийство, или показващи в значителна степен суицидни идеации, преди започване на лечението, са изложени на по-висок риск от суицидни мисли или опити за самоубийство и трябва да бъдат внимателно наблюдавани по време на лечението. Мета-анализ на плацебо-контролирани клинични изпитвания на ангидепресанти при възрастни пациенти с психични разстройства е показал повишен риск от суицидно поведение при пациенти под 25-годишна възраст, лекувани с антидепресанти в сравнение с плацебо.</w:t>
      </w:r>
    </w:p>
    <w:p w14:paraId="6C05F44B" w14:textId="77777777" w:rsidR="00087C89" w:rsidRPr="00087C89" w:rsidRDefault="00087C89" w:rsidP="00087C89">
      <w:pPr>
        <w:spacing w:line="240" w:lineRule="auto"/>
        <w:rPr>
          <w:rFonts w:eastAsia="Times New Roman" w:cs="Arial"/>
          <w:color w:val="000000"/>
          <w:lang w:eastAsia="bg-BG"/>
        </w:rPr>
      </w:pPr>
    </w:p>
    <w:p w14:paraId="2E29AADE" w14:textId="2815EBDB"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Лекарствената терапия трябва да се съпътства със строго наблюдение на пациентите, в частност на тези, които са изложени на висок риск, особено в началните етапи на лечението и след промени в дозите. Пациентите (и полагащите грижи за тях) трябва да бъдат предупредени относно необходимостта от наблюдение за всеки признак на клинично влошаване, суицидно поведение или мисли и необичайни промени в поведението, както и да потърсят незабавно консултация с лекар, ако такива симптоми съществуват.</w:t>
      </w:r>
    </w:p>
    <w:p w14:paraId="4935FF4A" w14:textId="77777777" w:rsidR="00087C89" w:rsidRPr="00087C89" w:rsidRDefault="00087C89" w:rsidP="00087C89">
      <w:pPr>
        <w:spacing w:line="240" w:lineRule="auto"/>
        <w:rPr>
          <w:rFonts w:eastAsia="Times New Roman" w:cs="Arial"/>
          <w:i/>
          <w:iCs/>
          <w:color w:val="000000"/>
          <w:lang w:eastAsia="bg-BG"/>
        </w:rPr>
      </w:pPr>
    </w:p>
    <w:p w14:paraId="0F8CDA6C" w14:textId="3B79C2E1"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Педиатрична популация</w:t>
      </w:r>
    </w:p>
    <w:p w14:paraId="29A4178F"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lastRenderedPageBreak/>
        <w:t>Сертралин не трябва да се използва за лечение на деца и юноши на възраст под 18 години, с изключение на пациентите с обсесивно-компулсивно разстройство на възраст 6-17 години. Суицидно поведение (опит за самоубийство и суицидни мисли) и враждебност (предимно агресия, опозиционно поведение и гняв) са по-често наблюдавани при клинични проучвания сред децата и юношите, лекувани с ангидепресанти, в сравнение с тези, лекувани с плацебо. Въпреки това, ако въз основа на клиничната необходимост, все пак е взето решение за лечение: пациентите трябва да бъдат внимателно наблюдавани за поява на суицидни симптоми. В допълнение, липсват дългосрочни данни за безопасност при деца и юноши по отношение на растежа, съзряването и когнитивното и поведенческо развитие. Има постмаркетингови съобщения за няколко случаи на забавяне на растежа и закъснял пубертет. Клиничното значение и причинно-следствената връзка са все още неясни (вж. точка 5.3 за съответните предклинични данни за безопасност). Лекарите трябва да проследяват педиатричните пациенти на дългосрочно лечение за нарушения в растежа и развитието.</w:t>
      </w:r>
    </w:p>
    <w:p w14:paraId="1A201203" w14:textId="77777777" w:rsidR="00087C89" w:rsidRPr="00087C89" w:rsidRDefault="00087C89" w:rsidP="00087C89">
      <w:pPr>
        <w:spacing w:line="240" w:lineRule="auto"/>
        <w:rPr>
          <w:rFonts w:eastAsia="Times New Roman" w:cs="Arial"/>
          <w:i/>
          <w:iCs/>
          <w:color w:val="000000"/>
          <w:lang w:eastAsia="bg-BG"/>
        </w:rPr>
      </w:pPr>
    </w:p>
    <w:p w14:paraId="172896E1" w14:textId="378F93A6"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Абнормно кървене/хеморагия</w:t>
      </w:r>
    </w:p>
    <w:p w14:paraId="0B30E59F"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 xml:space="preserve">Има съобщения за абнормно кървене при </w:t>
      </w:r>
      <w:r w:rsidRPr="00087C89">
        <w:rPr>
          <w:rFonts w:eastAsia="Times New Roman" w:cs="Arial"/>
          <w:color w:val="000000"/>
          <w:lang w:val="en-US"/>
        </w:rPr>
        <w:t xml:space="preserve">SSRIs, </w:t>
      </w:r>
      <w:r w:rsidRPr="00087C89">
        <w:rPr>
          <w:rFonts w:eastAsia="Times New Roman" w:cs="Arial"/>
          <w:color w:val="000000"/>
          <w:lang w:eastAsia="bg-BG"/>
        </w:rPr>
        <w:t xml:space="preserve">включително кожно кървене (екхимози и пурпура) и други хеморагични събития като стомашно-чревно или гинекологично кървене, включително фатални кръвоизливи. Препоръчва се повишено внимание при пациенти, приемащи </w:t>
      </w:r>
      <w:r w:rsidRPr="00087C89">
        <w:rPr>
          <w:rFonts w:eastAsia="Times New Roman" w:cs="Arial"/>
          <w:color w:val="000000"/>
          <w:lang w:val="en-US"/>
        </w:rPr>
        <w:t xml:space="preserve">SSRIs, </w:t>
      </w:r>
      <w:r w:rsidRPr="00087C89">
        <w:rPr>
          <w:rFonts w:eastAsia="Times New Roman" w:cs="Arial"/>
          <w:color w:val="000000"/>
          <w:lang w:eastAsia="bg-BG"/>
        </w:rPr>
        <w:t>особено едновременно с лекарства, за които е известно, че повлияват функцията на тромбоцитите (напр. антикоагуланти, атипични антипсихотици и фенотиазини, повечето трициклични ангидепресанти, ацетилсалицилова киселина и нестероидни противовъзпалителни средства (НСПВС)), както и при пациенти с анамнеза за нарушения на кървенето (вж. точка 4.5).</w:t>
      </w:r>
    </w:p>
    <w:p w14:paraId="01925604" w14:textId="77777777" w:rsidR="00087C89" w:rsidRPr="00087C89" w:rsidRDefault="00087C89" w:rsidP="00087C89">
      <w:pPr>
        <w:spacing w:line="240" w:lineRule="auto"/>
        <w:rPr>
          <w:rFonts w:eastAsia="Times New Roman" w:cs="Arial"/>
          <w:color w:val="000000"/>
          <w:lang w:eastAsia="bg-BG"/>
        </w:rPr>
      </w:pPr>
    </w:p>
    <w:p w14:paraId="6DE5BADC" w14:textId="5B5FB43C"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 xml:space="preserve">Инхибиторите на обратния захват на серотонина/Инхибиторите на обратния захват на серотонина и норадреналина </w:t>
      </w:r>
      <w:r w:rsidRPr="00087C89">
        <w:rPr>
          <w:rFonts w:eastAsia="Times New Roman" w:cs="Arial"/>
          <w:color w:val="000000"/>
          <w:lang w:val="en-US"/>
        </w:rPr>
        <w:t xml:space="preserve">(SSRIs/SNRIs) </w:t>
      </w:r>
      <w:r w:rsidRPr="00087C89">
        <w:rPr>
          <w:rFonts w:eastAsia="Times New Roman" w:cs="Arial"/>
          <w:color w:val="000000"/>
          <w:lang w:eastAsia="bg-BG"/>
        </w:rPr>
        <w:t>могат да увеличат риска от следродилен кръвоизлив (вж. точки 4.6,4.8).</w:t>
      </w:r>
    </w:p>
    <w:p w14:paraId="561B505E" w14:textId="77777777" w:rsidR="00087C89" w:rsidRPr="00087C89" w:rsidRDefault="00087C89" w:rsidP="00087C89">
      <w:pPr>
        <w:spacing w:line="240" w:lineRule="auto"/>
        <w:rPr>
          <w:rFonts w:eastAsia="Times New Roman" w:cs="Arial"/>
          <w:i/>
          <w:iCs/>
          <w:color w:val="000000"/>
          <w:lang w:eastAsia="bg-BG"/>
        </w:rPr>
      </w:pPr>
    </w:p>
    <w:p w14:paraId="213E694F" w14:textId="65FA805D"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Хипонатриемия</w:t>
      </w:r>
    </w:p>
    <w:p w14:paraId="725AB804"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 xml:space="preserve">Хипонатриемия може да възникне в резултат от лечението със </w:t>
      </w:r>
      <w:r w:rsidRPr="00087C89">
        <w:rPr>
          <w:rFonts w:eastAsia="Times New Roman" w:cs="Arial"/>
          <w:color w:val="000000"/>
          <w:lang w:val="en-US"/>
        </w:rPr>
        <w:t xml:space="preserve">SSRIs </w:t>
      </w:r>
      <w:r w:rsidRPr="00087C89">
        <w:rPr>
          <w:rFonts w:eastAsia="Times New Roman" w:cs="Arial"/>
          <w:color w:val="000000"/>
          <w:lang w:eastAsia="bg-BG"/>
        </w:rPr>
        <w:t xml:space="preserve">или </w:t>
      </w:r>
      <w:r w:rsidRPr="00087C89">
        <w:rPr>
          <w:rFonts w:eastAsia="Times New Roman" w:cs="Arial"/>
          <w:color w:val="000000"/>
          <w:lang w:val="en-US"/>
        </w:rPr>
        <w:t xml:space="preserve">SNRIs </w:t>
      </w:r>
      <w:r w:rsidRPr="00087C89">
        <w:rPr>
          <w:rFonts w:eastAsia="Times New Roman" w:cs="Arial"/>
          <w:color w:val="000000"/>
          <w:lang w:eastAsia="bg-BG"/>
        </w:rPr>
        <w:t xml:space="preserve">(инхибитори на обратния захват на серотонин и норадреналин), включително сертралин. В много случаи хипонатриемията изглежда е резултат на синдром на неадекватна секреция на антидиуретичен хормон </w:t>
      </w:r>
      <w:r w:rsidRPr="00087C89">
        <w:rPr>
          <w:rFonts w:eastAsia="Times New Roman" w:cs="Arial"/>
          <w:color w:val="000000"/>
          <w:lang w:val="en-US"/>
        </w:rPr>
        <w:t xml:space="preserve">(SIADH). </w:t>
      </w:r>
      <w:r w:rsidRPr="00087C89">
        <w:rPr>
          <w:rFonts w:eastAsia="Times New Roman" w:cs="Arial"/>
          <w:color w:val="000000"/>
          <w:lang w:eastAsia="bg-BG"/>
        </w:rPr>
        <w:t xml:space="preserve">Съобщавани са случаи на нива на серумния натрий, по-ниски от 110 </w:t>
      </w:r>
      <w:r w:rsidRPr="00087C89">
        <w:rPr>
          <w:rFonts w:eastAsia="Times New Roman" w:cs="Arial"/>
          <w:color w:val="000000"/>
          <w:lang w:val="en-US"/>
        </w:rPr>
        <w:t>mmol/l.</w:t>
      </w:r>
      <w:r w:rsidRPr="00087C89">
        <w:rPr>
          <w:rFonts w:eastAsia="Times New Roman" w:cs="Arial"/>
          <w:color w:val="000000"/>
          <w:lang w:eastAsia="bg-BG"/>
        </w:rPr>
        <w:t xml:space="preserve"> Лицата в старческа възраст могат да бъдат изложени на по-висок риск от развитие на хипонатриемия при лечение със </w:t>
      </w:r>
      <w:r w:rsidRPr="00087C89">
        <w:rPr>
          <w:rFonts w:eastAsia="Times New Roman" w:cs="Arial"/>
          <w:color w:val="000000"/>
          <w:lang w:val="en-US"/>
        </w:rPr>
        <w:t xml:space="preserve">SSRIs </w:t>
      </w:r>
      <w:r w:rsidRPr="00087C89">
        <w:rPr>
          <w:rFonts w:eastAsia="Times New Roman" w:cs="Arial"/>
          <w:color w:val="000000"/>
          <w:lang w:eastAsia="bg-BG"/>
        </w:rPr>
        <w:t xml:space="preserve">или </w:t>
      </w:r>
      <w:r w:rsidRPr="00087C89">
        <w:rPr>
          <w:rFonts w:eastAsia="Times New Roman" w:cs="Arial"/>
          <w:color w:val="000000"/>
          <w:lang w:val="en-US"/>
        </w:rPr>
        <w:t xml:space="preserve">SNRIs. </w:t>
      </w:r>
      <w:r w:rsidRPr="00087C89">
        <w:rPr>
          <w:rFonts w:eastAsia="Times New Roman" w:cs="Arial"/>
          <w:color w:val="000000"/>
          <w:lang w:eastAsia="bg-BG"/>
        </w:rPr>
        <w:t>Пациенти на лечение с диуретици или</w:t>
      </w:r>
    </w:p>
    <w:p w14:paraId="1D5253C3"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такива, които поради някаква причина са с намален обем течности, също могат да бъдат</w:t>
      </w:r>
    </w:p>
    <w:p w14:paraId="2FB18166" w14:textId="77777777" w:rsidR="00087C89" w:rsidRPr="00087C89" w:rsidRDefault="00087C89" w:rsidP="00087C89">
      <w:pPr>
        <w:rPr>
          <w:rFonts w:eastAsia="Times New Roman" w:cs="Arial"/>
          <w:lang w:eastAsia="bg-BG"/>
        </w:rPr>
      </w:pPr>
      <w:r w:rsidRPr="00087C89">
        <w:rPr>
          <w:rFonts w:eastAsia="Times New Roman" w:cs="Arial"/>
          <w:color w:val="000000"/>
          <w:lang w:eastAsia="bg-BG"/>
        </w:rPr>
        <w:t>изложени на по-висок риск (вж. Лица в старческа възраст в точка 4.2).  Трябва да се обмисли</w:t>
      </w:r>
      <w:r w:rsidRPr="00087C89">
        <w:rPr>
          <w:rFonts w:eastAsia="Times New Roman" w:cs="Arial"/>
          <w:color w:val="000000"/>
          <w:lang w:eastAsia="bg-BG"/>
        </w:rPr>
        <w:t xml:space="preserve"> </w:t>
      </w:r>
      <w:r w:rsidRPr="00087C89">
        <w:rPr>
          <w:rFonts w:eastAsia="Times New Roman" w:cs="Arial"/>
          <w:color w:val="000000"/>
          <w:lang w:eastAsia="bg-BG"/>
        </w:rPr>
        <w:t>спиране на сертралин при пациенти със симптоматична хипонатриемия и да се назначи съответна медицинска интервенция. Признаците и симптомите на хипонатриемия включват главоболие, затруднена концентрация, нарушение на паметта, обърканост, слабост и нестабилност, която може да доведе до падания. Признаците и симптомите, свързани с по- тежки и/или остри случаи, включват халюцинации, синкоп, припадъци, кома, спиране на дишането и смърт.</w:t>
      </w:r>
    </w:p>
    <w:p w14:paraId="015C7781" w14:textId="77777777" w:rsidR="00087C89" w:rsidRPr="00087C89" w:rsidRDefault="00087C89" w:rsidP="00087C89">
      <w:pPr>
        <w:spacing w:line="240" w:lineRule="auto"/>
        <w:rPr>
          <w:rFonts w:eastAsia="Times New Roman" w:cs="Arial"/>
          <w:i/>
          <w:iCs/>
          <w:color w:val="000000"/>
          <w:lang w:eastAsia="bg-BG"/>
        </w:rPr>
      </w:pPr>
    </w:p>
    <w:p w14:paraId="47BDFA6C" w14:textId="70EE4F13"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 xml:space="preserve">Симптоми на отнемане, наблюдавани при спиране на лечението със сертралин </w:t>
      </w:r>
      <w:r w:rsidRPr="00087C89">
        <w:rPr>
          <w:rFonts w:eastAsia="Times New Roman" w:cs="Arial"/>
          <w:color w:val="000000"/>
          <w:lang w:eastAsia="bg-BG"/>
        </w:rPr>
        <w:t xml:space="preserve">Симптомите на отнемане при спиране на лечението са чести, особено ако то е внезапно (вж. точка 4.8). В клинични проучвания честотата на съобщаваните реакции на отнемане </w:t>
      </w:r>
      <w:r w:rsidRPr="00087C89">
        <w:rPr>
          <w:rFonts w:eastAsia="Times New Roman" w:cs="Arial"/>
          <w:color w:val="000000"/>
          <w:lang w:eastAsia="bg-BG"/>
        </w:rPr>
        <w:lastRenderedPageBreak/>
        <w:t>при пациентите, лекувани със сертралин, е била 23% при прекъсващите сертралин, спрямо 12% при тези, които са продължили да получават терапия със сертралин.</w:t>
      </w:r>
    </w:p>
    <w:p w14:paraId="546FBD24" w14:textId="77777777" w:rsidR="00087C89" w:rsidRPr="00087C89" w:rsidRDefault="00087C89" w:rsidP="00087C89">
      <w:pPr>
        <w:spacing w:line="240" w:lineRule="auto"/>
        <w:rPr>
          <w:rFonts w:eastAsia="Times New Roman" w:cs="Arial"/>
          <w:color w:val="000000"/>
          <w:lang w:eastAsia="bg-BG"/>
        </w:rPr>
      </w:pPr>
    </w:p>
    <w:p w14:paraId="5E3CEF4D" w14:textId="53613D0B"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Рискът от поява на симптоми на отнемане може да зависи от няколко фактора, включително продължителността и дозата на лечението и скоростта на намаляване на дозата. Замаяност, сетивни нарушения (включително парестезия), нарушения на съня (включително безсъние и интензивни сънища), възбуда или безпокойство, гадене и/или повръщане, тремор и главоболие са най-често съобщаваните. По принцип тези симптоми са леки до средно тежки, при някои пациенти обаче могат да бъдат тежки по интензивност. Те обикновено възникват през първите няколко дни от спиране на лечението, но има много редки съобщения за такива симптоми при пациенти, които неволно са пропуснали една доза. По принцип тези симптоми се самоограничават и обикновено отзвучават в рамките на 2 седмици, въпреки че при някои индивиди те могат да бъдат продължителни (2-3 месеца или повече). Следователно се препоръчва сертралин да бъде намаляван постепенно, когато се спира лечението, за период от няколко седмици или месеца според нуждите на пациента (вж. точка 4.2).</w:t>
      </w:r>
    </w:p>
    <w:p w14:paraId="7511FF7A" w14:textId="77777777" w:rsidR="00087C89" w:rsidRPr="00087C89" w:rsidRDefault="00087C89" w:rsidP="00087C89">
      <w:pPr>
        <w:spacing w:line="240" w:lineRule="auto"/>
        <w:rPr>
          <w:rFonts w:eastAsia="Times New Roman" w:cs="Arial"/>
          <w:i/>
          <w:iCs/>
          <w:color w:val="000000"/>
          <w:lang w:eastAsia="bg-BG"/>
        </w:rPr>
      </w:pPr>
    </w:p>
    <w:p w14:paraId="62B556A8" w14:textId="5DB7F3D4"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Акатизия/психомоторното безпокойство</w:t>
      </w:r>
    </w:p>
    <w:p w14:paraId="61CA4445"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Използването на сертралин е било свързано с развитие на акатизия, характеризираща се със субективно неприятно или тревожно безпокойство и необходимост от движение често придружавана от невъзможността от седене или стоене неподвижно. Това най-вече се появява в рамките на първите няколко седмици от лечението. При пациенти, които развиват тези симптоми, повишаването на дозата може да бъде пагубно.</w:t>
      </w:r>
    </w:p>
    <w:p w14:paraId="0F0B2B6F" w14:textId="77777777" w:rsidR="00087C89" w:rsidRPr="00087C89" w:rsidRDefault="00087C89" w:rsidP="00087C89">
      <w:pPr>
        <w:spacing w:line="240" w:lineRule="auto"/>
        <w:rPr>
          <w:rFonts w:eastAsia="Times New Roman" w:cs="Arial"/>
          <w:i/>
          <w:iCs/>
          <w:color w:val="000000"/>
          <w:lang w:eastAsia="bg-BG"/>
        </w:rPr>
      </w:pPr>
    </w:p>
    <w:p w14:paraId="27A9F1B8" w14:textId="4E82E800"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Чернодробно увреждане</w:t>
      </w:r>
    </w:p>
    <w:p w14:paraId="3DAAF3D7"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 xml:space="preserve">Сертралин се метаболизира екстензивно в черния дроб. Фармакокинетично проучване с многократни дози при индивиди с лека стабилна цироза е показало удължен елиминационен полуживот и приблизително три пъти по-високи </w:t>
      </w:r>
      <w:r w:rsidRPr="00087C89">
        <w:rPr>
          <w:rFonts w:eastAsia="Times New Roman" w:cs="Arial"/>
          <w:color w:val="000000"/>
          <w:lang w:val="en-US"/>
        </w:rPr>
        <w:t xml:space="preserve">AUC </w:t>
      </w:r>
      <w:r w:rsidRPr="00087C89">
        <w:rPr>
          <w:rFonts w:eastAsia="Times New Roman" w:cs="Arial"/>
          <w:color w:val="000000"/>
          <w:lang w:eastAsia="bg-BG"/>
        </w:rPr>
        <w:t>и С</w:t>
      </w:r>
      <w:r w:rsidRPr="00087C89">
        <w:rPr>
          <w:rFonts w:eastAsia="Times New Roman" w:cs="Arial"/>
          <w:color w:val="000000"/>
          <w:lang w:val="en-US"/>
        </w:rPr>
        <w:t xml:space="preserve">max </w:t>
      </w:r>
      <w:r w:rsidRPr="00087C89">
        <w:rPr>
          <w:rFonts w:eastAsia="Times New Roman" w:cs="Arial"/>
          <w:color w:val="000000"/>
          <w:lang w:eastAsia="bg-BG"/>
        </w:rPr>
        <w:t>в сравнение със здрави индивиди. Между двете групи не е била установена статистически значима разлика в свързването с плазмените протеини. Приложението на сертралин при пациенти с чернодробно заболяване трябва да става внимателно. Ако сертралин се прилага на пациенти с чернодробно увреждане, трябва да се обмисли намаляване на дневната доза или увеличаване на интервала между приемите, Сертралин не трябва да се използва при пациенти с тежко чернодробно увреждане (вж. точка 4.2).</w:t>
      </w:r>
    </w:p>
    <w:p w14:paraId="732BCBAF" w14:textId="77777777" w:rsidR="00087C89" w:rsidRPr="00087C89" w:rsidRDefault="00087C89" w:rsidP="00087C89">
      <w:pPr>
        <w:spacing w:line="240" w:lineRule="auto"/>
        <w:rPr>
          <w:rFonts w:eastAsia="Times New Roman" w:cs="Arial"/>
          <w:i/>
          <w:iCs/>
          <w:color w:val="000000"/>
          <w:lang w:eastAsia="bg-BG"/>
        </w:rPr>
      </w:pPr>
    </w:p>
    <w:p w14:paraId="62594A55" w14:textId="3A8DF639"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Бъбречно увреждане</w:t>
      </w:r>
    </w:p>
    <w:p w14:paraId="168586CF"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Сертралин се метаболизира екстензивно и екскрецията на непроменено лекарство в урината е незначим път на елиминация. В проучвания при пациенти с леко до умерено бъбречно увреждане (креатининов клирънс</w:t>
      </w:r>
      <w:r w:rsidRPr="00087C89">
        <w:rPr>
          <w:rFonts w:eastAsia="Times New Roman" w:cs="Arial"/>
          <w:color w:val="000000"/>
          <w:lang w:val="en-US"/>
        </w:rPr>
        <w:t xml:space="preserve"> </w:t>
      </w:r>
      <w:r w:rsidRPr="00087C89">
        <w:rPr>
          <w:rFonts w:eastAsia="Times New Roman" w:cs="Arial"/>
          <w:color w:val="000000"/>
          <w:lang w:eastAsia="bg-BG"/>
        </w:rPr>
        <w:t xml:space="preserve">30-60 </w:t>
      </w:r>
      <w:r w:rsidRPr="00087C89">
        <w:rPr>
          <w:rFonts w:eastAsia="Times New Roman" w:cs="Arial"/>
          <w:color w:val="000000"/>
          <w:lang w:val="en-US"/>
        </w:rPr>
        <w:t xml:space="preserve">ml/min) </w:t>
      </w:r>
      <w:r w:rsidRPr="00087C89">
        <w:rPr>
          <w:rFonts w:eastAsia="Times New Roman" w:cs="Arial"/>
          <w:color w:val="000000"/>
          <w:lang w:eastAsia="bg-BG"/>
        </w:rPr>
        <w:t xml:space="preserve">или умерено до тежко бъбречно увреждане (креатининов клирънс 10-29 </w:t>
      </w:r>
      <w:r w:rsidRPr="00087C89">
        <w:rPr>
          <w:rFonts w:eastAsia="Times New Roman" w:cs="Arial"/>
          <w:color w:val="000000"/>
          <w:lang w:val="en-US"/>
        </w:rPr>
        <w:t xml:space="preserve">ml/min), </w:t>
      </w:r>
      <w:r w:rsidRPr="00087C89">
        <w:rPr>
          <w:rFonts w:eastAsia="Times New Roman" w:cs="Arial"/>
          <w:color w:val="000000"/>
          <w:lang w:eastAsia="bg-BG"/>
        </w:rPr>
        <w:t xml:space="preserve">при които сертралин е прилаган многократно, не са установени сигнификантни разлики във фармакокинетичните параметри </w:t>
      </w:r>
      <w:r w:rsidRPr="00087C89">
        <w:rPr>
          <w:rFonts w:eastAsia="Times New Roman" w:cs="Arial"/>
          <w:color w:val="000000"/>
          <w:lang w:val="en-US"/>
        </w:rPr>
        <w:t>(AUC</w:t>
      </w:r>
      <w:r w:rsidRPr="00087C89">
        <w:rPr>
          <w:rFonts w:eastAsia="Times New Roman" w:cs="Arial"/>
          <w:color w:val="000000"/>
          <w:vertAlign w:val="subscript"/>
          <w:lang w:val="en-US"/>
        </w:rPr>
        <w:t>0-24</w:t>
      </w:r>
      <w:r w:rsidRPr="00087C89">
        <w:rPr>
          <w:rFonts w:eastAsia="Times New Roman" w:cs="Arial"/>
          <w:color w:val="000000"/>
          <w:lang w:val="en-US"/>
        </w:rPr>
        <w:t xml:space="preserve"> </w:t>
      </w:r>
      <w:r w:rsidRPr="00087C89">
        <w:rPr>
          <w:rFonts w:eastAsia="Times New Roman" w:cs="Arial"/>
          <w:color w:val="000000"/>
          <w:u w:val="single"/>
          <w:lang w:eastAsia="bg-BG"/>
        </w:rPr>
        <w:t xml:space="preserve">или </w:t>
      </w:r>
      <w:proofErr w:type="spellStart"/>
      <w:r w:rsidRPr="00087C89">
        <w:rPr>
          <w:rFonts w:eastAsia="Times New Roman" w:cs="Arial"/>
          <w:color w:val="000000"/>
          <w:u w:val="single"/>
          <w:lang w:val="en-US"/>
        </w:rPr>
        <w:t>C</w:t>
      </w:r>
      <w:r w:rsidRPr="00087C89">
        <w:rPr>
          <w:rFonts w:eastAsia="Times New Roman" w:cs="Arial"/>
          <w:color w:val="000000"/>
          <w:vertAlign w:val="subscript"/>
          <w:lang w:val="en-US"/>
        </w:rPr>
        <w:t>max</w:t>
      </w:r>
      <w:proofErr w:type="spellEnd"/>
      <w:r w:rsidRPr="00087C89">
        <w:rPr>
          <w:rFonts w:eastAsia="Times New Roman" w:cs="Arial"/>
          <w:color w:val="000000"/>
          <w:lang w:val="en-US"/>
        </w:rPr>
        <w:t xml:space="preserve">) </w:t>
      </w:r>
      <w:r w:rsidRPr="00087C89">
        <w:rPr>
          <w:rFonts w:eastAsia="Times New Roman" w:cs="Arial"/>
          <w:color w:val="000000"/>
          <w:lang w:eastAsia="bg-BG"/>
        </w:rPr>
        <w:t>в сравнение с контролите. Дозата сертралин не трябва да се променя според степента на бъбречно увреждане.</w:t>
      </w:r>
    </w:p>
    <w:p w14:paraId="227DF9E3" w14:textId="77777777" w:rsidR="00087C89" w:rsidRPr="00087C89" w:rsidRDefault="00087C89" w:rsidP="00087C89">
      <w:pPr>
        <w:spacing w:line="240" w:lineRule="auto"/>
        <w:rPr>
          <w:rFonts w:eastAsia="Times New Roman" w:cs="Arial"/>
          <w:i/>
          <w:iCs/>
          <w:color w:val="000000"/>
          <w:lang w:eastAsia="bg-BG"/>
        </w:rPr>
      </w:pPr>
    </w:p>
    <w:p w14:paraId="1B916434" w14:textId="55E84418" w:rsidR="00087C89" w:rsidRPr="00087C89" w:rsidRDefault="00087C89" w:rsidP="00087C89">
      <w:pPr>
        <w:spacing w:line="240" w:lineRule="auto"/>
        <w:rPr>
          <w:rFonts w:eastAsia="Times New Roman" w:cs="Arial"/>
          <w:i/>
          <w:iCs/>
          <w:color w:val="000000"/>
          <w:lang w:eastAsia="bg-BG"/>
        </w:rPr>
      </w:pPr>
      <w:r w:rsidRPr="00087C89">
        <w:rPr>
          <w:rFonts w:eastAsia="Times New Roman" w:cs="Arial"/>
          <w:i/>
          <w:iCs/>
          <w:color w:val="000000"/>
          <w:lang w:eastAsia="bg-BG"/>
        </w:rPr>
        <w:t>Старческа възраст</w:t>
      </w:r>
    </w:p>
    <w:p w14:paraId="4A4C6F4C"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Над 700 пациенти в старческа възраст (&gt;65 години) са участвали в клинични проучвания. Характерът и честотата на нежеланите реакции при лицата в старческа възраст са били сходни с тези при по-млади пациенти.</w:t>
      </w:r>
    </w:p>
    <w:p w14:paraId="7156A068"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val="en-US"/>
        </w:rPr>
        <w:t xml:space="preserve">SSRIs </w:t>
      </w:r>
      <w:r w:rsidRPr="00087C89">
        <w:rPr>
          <w:rFonts w:eastAsia="Times New Roman" w:cs="Arial"/>
          <w:color w:val="000000"/>
          <w:lang w:eastAsia="bg-BG"/>
        </w:rPr>
        <w:t xml:space="preserve">или </w:t>
      </w:r>
      <w:r w:rsidRPr="00087C89">
        <w:rPr>
          <w:rFonts w:eastAsia="Times New Roman" w:cs="Arial"/>
          <w:color w:val="000000"/>
          <w:lang w:val="en-US"/>
        </w:rPr>
        <w:t xml:space="preserve">SNRIs, </w:t>
      </w:r>
      <w:r w:rsidRPr="00087C89">
        <w:rPr>
          <w:rFonts w:eastAsia="Times New Roman" w:cs="Arial"/>
          <w:color w:val="000000"/>
          <w:lang w:eastAsia="bg-BG"/>
        </w:rPr>
        <w:t>включително сертралин, се свързват обаче със случаи на клинично значима хипонатриемия при лица в старческа възраст, които е възможно да бъдат изложени на по-висок риск от това нежелано събитие (вж. хипонатриемия в точка 4.4).</w:t>
      </w:r>
    </w:p>
    <w:p w14:paraId="1825F9DA" w14:textId="77777777" w:rsidR="00087C89" w:rsidRPr="00087C89" w:rsidRDefault="00087C89" w:rsidP="00087C89">
      <w:pPr>
        <w:spacing w:line="240" w:lineRule="auto"/>
        <w:rPr>
          <w:rFonts w:eastAsia="Times New Roman" w:cs="Arial"/>
          <w:i/>
          <w:iCs/>
          <w:color w:val="000000"/>
          <w:lang w:eastAsia="bg-BG"/>
        </w:rPr>
      </w:pPr>
    </w:p>
    <w:p w14:paraId="2354A1E8" w14:textId="1638B289"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Диабет</w:t>
      </w:r>
    </w:p>
    <w:p w14:paraId="00D3F8F5"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 xml:space="preserve">При пациенти с диабет лечението със </w:t>
      </w:r>
      <w:r w:rsidRPr="00087C89">
        <w:rPr>
          <w:rFonts w:eastAsia="Times New Roman" w:cs="Arial"/>
          <w:color w:val="000000"/>
          <w:lang w:val="en-US"/>
        </w:rPr>
        <w:t xml:space="preserve">SSRI </w:t>
      </w:r>
      <w:r w:rsidRPr="00087C89">
        <w:rPr>
          <w:rFonts w:eastAsia="Times New Roman" w:cs="Arial"/>
          <w:color w:val="000000"/>
          <w:lang w:eastAsia="bg-BG"/>
        </w:rPr>
        <w:t>може да промени гликемичния контрол. Може да се наложи промяна в дозирането на инсулин и/или перорални хипогликемични дозировки.</w:t>
      </w:r>
    </w:p>
    <w:p w14:paraId="0079CE46" w14:textId="77777777" w:rsidR="00087C89" w:rsidRPr="00087C89" w:rsidRDefault="00087C89" w:rsidP="00087C89">
      <w:pPr>
        <w:spacing w:line="240" w:lineRule="auto"/>
        <w:rPr>
          <w:rFonts w:eastAsia="Times New Roman" w:cs="Arial"/>
          <w:i/>
          <w:iCs/>
          <w:color w:val="000000"/>
          <w:lang w:eastAsia="bg-BG"/>
        </w:rPr>
      </w:pPr>
    </w:p>
    <w:p w14:paraId="5F0280E8" w14:textId="03EEEFFF"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Електроконвулсивна терапия</w:t>
      </w:r>
    </w:p>
    <w:p w14:paraId="7E181D12"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Не са провеждани клинични проучвания, които да установят рисковете или ползите от комбинираното приложение на електроконвулсивна терапия и сертралин.</w:t>
      </w:r>
    </w:p>
    <w:p w14:paraId="64A82A9B" w14:textId="77777777" w:rsidR="00087C89" w:rsidRPr="00087C89" w:rsidRDefault="00087C89" w:rsidP="00087C89">
      <w:pPr>
        <w:spacing w:line="240" w:lineRule="auto"/>
        <w:rPr>
          <w:rFonts w:eastAsia="Times New Roman" w:cs="Arial"/>
          <w:i/>
          <w:iCs/>
          <w:color w:val="000000"/>
          <w:lang w:eastAsia="bg-BG"/>
        </w:rPr>
      </w:pPr>
    </w:p>
    <w:p w14:paraId="7E202A34" w14:textId="5BEB1597"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Сок от грейпфрут</w:t>
      </w:r>
    </w:p>
    <w:p w14:paraId="33001809"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Не се препоръчва едновременният прием на сертралин и сок от грейпфрут (вж. т. 4.5).</w:t>
      </w:r>
    </w:p>
    <w:p w14:paraId="5886D216" w14:textId="77777777" w:rsidR="00087C89" w:rsidRPr="00087C89" w:rsidRDefault="00087C89" w:rsidP="00087C89">
      <w:pPr>
        <w:spacing w:line="240" w:lineRule="auto"/>
        <w:rPr>
          <w:rFonts w:eastAsia="Times New Roman" w:cs="Arial"/>
          <w:i/>
          <w:iCs/>
          <w:color w:val="000000"/>
          <w:lang w:eastAsia="bg-BG"/>
        </w:rPr>
      </w:pPr>
    </w:p>
    <w:p w14:paraId="25A6D096" w14:textId="22775F11"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Влияние върху резултатите от уринни тестове</w:t>
      </w:r>
    </w:p>
    <w:p w14:paraId="0B9CD0A1"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Има съобщения за неверни положителни резултати от имунологични скринингови тестове за наличие на бензодиазепини при пациенти, приемащи сертралин. Това се дължи на липсата на прецизност на скрининговите тестовете. Могат да се очакват неверни положителни резултати няколко дни след спиране на лечението със сертралин. Потвърдителни изследвания, напр. газова хроматография/ масова спектометрия, могат да различат сертралин от бензодиазепини.</w:t>
      </w:r>
    </w:p>
    <w:p w14:paraId="0F9AE27A" w14:textId="77777777" w:rsidR="00087C89" w:rsidRPr="00087C89" w:rsidRDefault="00087C89" w:rsidP="00087C89">
      <w:pPr>
        <w:spacing w:line="240" w:lineRule="auto"/>
        <w:rPr>
          <w:rFonts w:eastAsia="Times New Roman" w:cs="Arial"/>
          <w:i/>
          <w:iCs/>
          <w:color w:val="000000"/>
          <w:lang w:eastAsia="bg-BG"/>
        </w:rPr>
      </w:pPr>
    </w:p>
    <w:p w14:paraId="19FC6491" w14:textId="473677B3"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Закритоъгълна глаукома</w:t>
      </w:r>
    </w:p>
    <w:p w14:paraId="02AACB5F"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val="en-US"/>
        </w:rPr>
        <w:t xml:space="preserve">SSRIs, </w:t>
      </w:r>
      <w:r w:rsidRPr="00087C89">
        <w:rPr>
          <w:rFonts w:eastAsia="Times New Roman" w:cs="Arial"/>
          <w:color w:val="000000"/>
          <w:lang w:eastAsia="bg-BG"/>
        </w:rPr>
        <w:t>в т.ч. сертралин, могат да окажат ефект върху размера на зеницата, което води до мидриаза. Този мидриазен ефект може да стесни ъгъла на окото, което води до повишаване на вътреочното налягане и закритоъгълна глаукома, особено при предразположени пациенти. Следователно сертралин трябва да се прилага с повишено внимание при пациенти със закритоъгълна глаукома или анамнеза за глаукома.</w:t>
      </w:r>
    </w:p>
    <w:p w14:paraId="4477B80D" w14:textId="77777777" w:rsidR="00087C89" w:rsidRPr="00087C89" w:rsidRDefault="00087C89" w:rsidP="00087C89">
      <w:pPr>
        <w:spacing w:line="240" w:lineRule="auto"/>
        <w:rPr>
          <w:rFonts w:eastAsia="Times New Roman" w:cs="Arial"/>
          <w:color w:val="000000"/>
          <w:u w:val="single"/>
          <w:lang w:eastAsia="bg-BG"/>
        </w:rPr>
      </w:pPr>
    </w:p>
    <w:p w14:paraId="6D48B3EE" w14:textId="43EF0AA2" w:rsidR="00087C89" w:rsidRPr="00087C89" w:rsidRDefault="00087C89" w:rsidP="00087C89">
      <w:pPr>
        <w:spacing w:line="240" w:lineRule="auto"/>
        <w:rPr>
          <w:rFonts w:eastAsia="Times New Roman" w:cs="Arial"/>
          <w:lang w:eastAsia="bg-BG"/>
        </w:rPr>
      </w:pPr>
      <w:r w:rsidRPr="00087C89">
        <w:rPr>
          <w:rFonts w:eastAsia="Times New Roman" w:cs="Arial"/>
          <w:color w:val="000000"/>
          <w:u w:val="single"/>
          <w:lang w:eastAsia="bg-BG"/>
        </w:rPr>
        <w:t>Сексуална дисфункция</w:t>
      </w:r>
    </w:p>
    <w:p w14:paraId="192BA90D"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 xml:space="preserve">Селективните инхибитори на обратния захват на серотонин </w:t>
      </w:r>
      <w:r w:rsidRPr="00087C89">
        <w:rPr>
          <w:rFonts w:eastAsia="Times New Roman" w:cs="Arial"/>
          <w:smallCaps/>
          <w:color w:val="000000"/>
          <w:lang w:val="en-US"/>
        </w:rPr>
        <w:t>(SSRIs)/</w:t>
      </w:r>
      <w:r w:rsidRPr="00087C89">
        <w:rPr>
          <w:rFonts w:eastAsia="Times New Roman" w:cs="Arial"/>
          <w:smallCaps/>
          <w:color w:val="000000"/>
          <w:lang w:eastAsia="bg-BG"/>
        </w:rPr>
        <w:t>инхибитори</w:t>
      </w:r>
      <w:r w:rsidRPr="00087C89">
        <w:rPr>
          <w:rFonts w:eastAsia="Times New Roman" w:cs="Arial"/>
          <w:color w:val="000000"/>
          <w:lang w:val="en-US"/>
        </w:rPr>
        <w:t xml:space="preserve"> </w:t>
      </w:r>
      <w:r w:rsidRPr="00087C89">
        <w:rPr>
          <w:rFonts w:eastAsia="Times New Roman" w:cs="Arial"/>
          <w:color w:val="000000"/>
          <w:lang w:eastAsia="bg-BG"/>
        </w:rPr>
        <w:t xml:space="preserve">на обратния захват на серотонин и норепинефрин могат да причинят симптоми на сексуална дисфункция (вж. точка 4.8). Има съобщения за дълготрайна сексуална дисфункция, при която симптомите се запазват въпреки спирането на </w:t>
      </w:r>
      <w:r w:rsidRPr="00087C89">
        <w:rPr>
          <w:rFonts w:eastAsia="Times New Roman" w:cs="Arial"/>
          <w:color w:val="000000"/>
          <w:lang w:val="en-US"/>
        </w:rPr>
        <w:t>SSRIs/SNRI.</w:t>
      </w:r>
    </w:p>
    <w:p w14:paraId="0E995A60" w14:textId="77777777" w:rsidR="00087C89" w:rsidRPr="00087C89" w:rsidRDefault="00087C89" w:rsidP="00087C89">
      <w:pPr>
        <w:spacing w:line="240" w:lineRule="auto"/>
        <w:rPr>
          <w:rFonts w:eastAsia="Times New Roman" w:cs="Arial"/>
          <w:i/>
          <w:iCs/>
          <w:color w:val="000000"/>
          <w:lang w:eastAsia="bg-BG"/>
        </w:rPr>
      </w:pPr>
    </w:p>
    <w:p w14:paraId="3B011E61" w14:textId="3FDCA456"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Натрий</w:t>
      </w:r>
    </w:p>
    <w:p w14:paraId="34F75418"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 xml:space="preserve">Това лекарство съдържа по-малко от 1 </w:t>
      </w:r>
      <w:r w:rsidRPr="00087C89">
        <w:rPr>
          <w:rFonts w:eastAsia="Times New Roman" w:cs="Arial"/>
          <w:color w:val="000000"/>
          <w:lang w:val="en-US"/>
        </w:rPr>
        <w:t xml:space="preserve">mmol </w:t>
      </w:r>
      <w:r w:rsidRPr="00087C89">
        <w:rPr>
          <w:rFonts w:eastAsia="Times New Roman" w:cs="Arial"/>
          <w:color w:val="000000"/>
          <w:lang w:eastAsia="bg-BG"/>
        </w:rPr>
        <w:t xml:space="preserve">натрий (23 </w:t>
      </w:r>
      <w:r w:rsidRPr="00087C89">
        <w:rPr>
          <w:rFonts w:eastAsia="Times New Roman" w:cs="Arial"/>
          <w:color w:val="000000"/>
          <w:lang w:val="en-US"/>
        </w:rPr>
        <w:t xml:space="preserve">mg) </w:t>
      </w:r>
      <w:r w:rsidRPr="00087C89">
        <w:rPr>
          <w:rFonts w:eastAsia="Times New Roman" w:cs="Arial"/>
          <w:color w:val="000000"/>
          <w:lang w:eastAsia="bg-BG"/>
        </w:rPr>
        <w:t>на таблетка, т.е. по същество не съдържа натрий.</w:t>
      </w:r>
    </w:p>
    <w:p w14:paraId="29C87F25" w14:textId="6E11C767" w:rsidR="00087C89" w:rsidRPr="00087C89" w:rsidRDefault="00087C89" w:rsidP="00087C89">
      <w:pPr>
        <w:rPr>
          <w:rFonts w:ascii="Cambria" w:eastAsia="Times New Roman" w:hAnsi="Cambria" w:cs="Cambria"/>
          <w:b/>
          <w:bCs/>
          <w:color w:val="000000"/>
          <w:sz w:val="18"/>
          <w:szCs w:val="18"/>
          <w:lang w:eastAsia="bg-BG"/>
        </w:rPr>
      </w:pPr>
    </w:p>
    <w:p w14:paraId="524AC966" w14:textId="56515321" w:rsidR="001A6EBD" w:rsidRDefault="002C50EE" w:rsidP="00471F1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08EEF202" w14:textId="51C6E21C" w:rsidR="00087C89" w:rsidRDefault="00087C89" w:rsidP="00087C89"/>
    <w:p w14:paraId="1CB56F9D"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u w:val="single"/>
          <w:lang w:eastAsia="bg-BG"/>
        </w:rPr>
        <w:t>Противопоказани</w:t>
      </w:r>
    </w:p>
    <w:p w14:paraId="77879680" w14:textId="77777777"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Моноаминоксидазни инхибитори (МАО-инхибиори)</w:t>
      </w:r>
    </w:p>
    <w:p w14:paraId="27A59CBF" w14:textId="77777777"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 xml:space="preserve">Необратими (неселективни) </w:t>
      </w:r>
      <w:r w:rsidRPr="00087C89">
        <w:rPr>
          <w:rFonts w:eastAsia="Times New Roman" w:cs="Arial"/>
          <w:i/>
          <w:iCs/>
          <w:color w:val="000000"/>
          <w:lang w:val="en-US"/>
        </w:rPr>
        <w:t>MAO</w:t>
      </w:r>
      <w:r w:rsidRPr="00087C89">
        <w:rPr>
          <w:rFonts w:eastAsia="Times New Roman" w:cs="Arial"/>
          <w:i/>
          <w:iCs/>
          <w:color w:val="000000"/>
          <w:lang w:eastAsia="bg-BG"/>
        </w:rPr>
        <w:t>-инхибитори (напр. сележилин)</w:t>
      </w:r>
    </w:p>
    <w:p w14:paraId="783FAD63" w14:textId="77777777" w:rsidR="00087C89" w:rsidRPr="00D50B0B" w:rsidRDefault="00087C89" w:rsidP="00087C89">
      <w:pPr>
        <w:spacing w:line="240" w:lineRule="auto"/>
        <w:rPr>
          <w:rFonts w:eastAsia="Times New Roman" w:cs="Arial"/>
          <w:color w:val="000000"/>
          <w:lang w:eastAsia="bg-BG"/>
        </w:rPr>
      </w:pPr>
      <w:r w:rsidRPr="00087C89">
        <w:rPr>
          <w:rFonts w:eastAsia="Times New Roman" w:cs="Arial"/>
          <w:color w:val="000000"/>
          <w:lang w:eastAsia="bg-BG"/>
        </w:rPr>
        <w:t xml:space="preserve">Сертралин не трябва да се прилага в комбинация с необратими (неселективни) МАО- инхибитори като сележилин. Приемът на сертралин трябва да се започва най-рано 14 дни след преустановяване на лечението с необратим (неселекгивен) МАО-инхибитор. Приемът на сертралин трябва да се прекратява </w:t>
      </w:r>
    </w:p>
    <w:p w14:paraId="177B02C3" w14:textId="122388B1"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най-малко 7 дни преди започване на лечение с необратим (неселективен) МАО-инхибитор (вж. точка 4.3).</w:t>
      </w:r>
    </w:p>
    <w:p w14:paraId="15559A40" w14:textId="77777777" w:rsidR="00087C89" w:rsidRPr="00D50B0B" w:rsidRDefault="00087C89" w:rsidP="00087C89">
      <w:pPr>
        <w:spacing w:line="240" w:lineRule="auto"/>
        <w:rPr>
          <w:rFonts w:eastAsia="Times New Roman" w:cs="Arial"/>
          <w:i/>
          <w:iCs/>
          <w:color w:val="000000"/>
          <w:lang w:eastAsia="bg-BG"/>
        </w:rPr>
      </w:pPr>
    </w:p>
    <w:p w14:paraId="6525AF3B" w14:textId="100B4BCA" w:rsidR="00087C89" w:rsidRPr="00D50B0B" w:rsidRDefault="00087C89" w:rsidP="00087C89">
      <w:pPr>
        <w:spacing w:line="240" w:lineRule="auto"/>
        <w:rPr>
          <w:rFonts w:eastAsia="Times New Roman" w:cs="Arial"/>
          <w:i/>
          <w:iCs/>
          <w:color w:val="000000"/>
          <w:lang w:eastAsia="bg-BG"/>
        </w:rPr>
      </w:pPr>
      <w:r w:rsidRPr="00087C89">
        <w:rPr>
          <w:rFonts w:eastAsia="Times New Roman" w:cs="Arial"/>
          <w:i/>
          <w:iCs/>
          <w:color w:val="000000"/>
          <w:lang w:eastAsia="bg-BG"/>
        </w:rPr>
        <w:t>Обратим селективен МА О-А инхибитор (моклобемид)</w:t>
      </w:r>
    </w:p>
    <w:p w14:paraId="2AC331DF"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Поради риска от серотонинов синдром комбинацията между сертралин и обратим и селективен МАО-инхибитор като моклобемид е противопоказана. След лечение с обратим МАО- инхибитор може да се направи период на очистване, не повече от 14 дни, преди започване на лечението със сертралин. Препоръчително е приемът на сертралин да се прекрати най-малко 7 дни преди започване на лечение с обратим МАО-инхибитор (вж. точка 43).</w:t>
      </w:r>
    </w:p>
    <w:p w14:paraId="5B79293D" w14:textId="77777777" w:rsidR="00087C89" w:rsidRPr="00D50B0B" w:rsidRDefault="00087C89" w:rsidP="00087C89">
      <w:pPr>
        <w:spacing w:line="240" w:lineRule="auto"/>
        <w:rPr>
          <w:rFonts w:eastAsia="Times New Roman" w:cs="Arial"/>
          <w:i/>
          <w:iCs/>
          <w:color w:val="000000"/>
          <w:lang w:eastAsia="bg-BG"/>
        </w:rPr>
      </w:pPr>
    </w:p>
    <w:p w14:paraId="1D5CF7C7" w14:textId="4A87EC18"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Обратим неселективен МАО-инхибитор (линезолид)</w:t>
      </w:r>
    </w:p>
    <w:p w14:paraId="129A56E0"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Антибиотикът линезолид е слаб обратим и неселективен МАО-инхибитор и не трябва да се прилага при пациенти, лекувани със сертралин (вж. точка 4.3).</w:t>
      </w:r>
    </w:p>
    <w:p w14:paraId="46039116"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Има съобщения за тежки нежелани реакции при пациенти, които са прекратили приема на МАО-инхибитор (напр. метиленово синьо) и скоро са започнали да приемат сертралин, или които са прекратили лечение със сертралин и скоро са започнали да приемат МАО-инхибитор. Тези реакции включват тремор, миоклонус, изпотяване, гадене, повръщане, почервеняване, световъртеж и хипертермия с характеристики, наподобяващи злокачествен невролептичен синдром, припадъци и смърт.</w:t>
      </w:r>
    </w:p>
    <w:p w14:paraId="11834FEB" w14:textId="77777777" w:rsidR="00087C89" w:rsidRPr="00D50B0B" w:rsidRDefault="00087C89" w:rsidP="00087C89">
      <w:pPr>
        <w:spacing w:line="240" w:lineRule="auto"/>
        <w:rPr>
          <w:rFonts w:eastAsia="Times New Roman" w:cs="Arial"/>
          <w:i/>
          <w:iCs/>
          <w:color w:val="000000"/>
          <w:lang w:eastAsia="bg-BG"/>
        </w:rPr>
      </w:pPr>
    </w:p>
    <w:p w14:paraId="11E1DE4C" w14:textId="522FDECD"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Пимозид</w:t>
      </w:r>
    </w:p>
    <w:p w14:paraId="2119D344"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 xml:space="preserve">Повишение в нивата на пимозид с около 35% са доказани в едно проучване на еднократна ниска доза пимозид (2 </w:t>
      </w:r>
      <w:r w:rsidRPr="00087C89">
        <w:rPr>
          <w:rFonts w:eastAsia="Times New Roman" w:cs="Arial"/>
          <w:color w:val="000000"/>
          <w:lang w:val="en-US"/>
        </w:rPr>
        <w:t xml:space="preserve">mg). </w:t>
      </w:r>
      <w:r w:rsidRPr="00087C89">
        <w:rPr>
          <w:rFonts w:eastAsia="Times New Roman" w:cs="Arial"/>
          <w:color w:val="000000"/>
          <w:lang w:eastAsia="bg-BG"/>
        </w:rPr>
        <w:t>Тези повишени нива не са били свързани с промени в ЕКГ. Докато механизмът на това взаимодействие не е известно, поради стеснения терапевтичен индекс на пимозид, комбинираното приложение на сертралин и пимозид е противопоказано (вж. т. 4.3).</w:t>
      </w:r>
    </w:p>
    <w:p w14:paraId="3AC31F3F" w14:textId="77777777" w:rsidR="00087C89" w:rsidRPr="00D50B0B" w:rsidRDefault="00087C89" w:rsidP="00087C89">
      <w:pPr>
        <w:spacing w:line="240" w:lineRule="auto"/>
        <w:rPr>
          <w:rFonts w:eastAsia="Times New Roman" w:cs="Arial"/>
          <w:i/>
          <w:iCs/>
          <w:color w:val="000000"/>
          <w:u w:val="single"/>
          <w:lang w:eastAsia="bg-BG"/>
        </w:rPr>
      </w:pPr>
    </w:p>
    <w:p w14:paraId="76CAA061" w14:textId="759D9DFE" w:rsidR="00087C89" w:rsidRPr="00087C89" w:rsidRDefault="00087C89" w:rsidP="00087C89">
      <w:pPr>
        <w:spacing w:line="240" w:lineRule="auto"/>
        <w:rPr>
          <w:rFonts w:eastAsia="Times New Roman" w:cs="Arial"/>
          <w:lang w:eastAsia="bg-BG"/>
        </w:rPr>
      </w:pPr>
      <w:r w:rsidRPr="00087C89">
        <w:rPr>
          <w:rFonts w:eastAsia="Times New Roman" w:cs="Arial"/>
          <w:i/>
          <w:iCs/>
          <w:color w:val="000000"/>
          <w:u w:val="single"/>
          <w:lang w:eastAsia="bg-BG"/>
        </w:rPr>
        <w:t>Едновременно приложение със сертралин не се препоръчва</w:t>
      </w:r>
    </w:p>
    <w:p w14:paraId="5677B0C8" w14:textId="77777777"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ЦНС депресанти и алкохол</w:t>
      </w:r>
    </w:p>
    <w:p w14:paraId="48C5D920"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 xml:space="preserve">Съпътстващото приложение на сертралин 200 </w:t>
      </w:r>
      <w:r w:rsidRPr="00087C89">
        <w:rPr>
          <w:rFonts w:eastAsia="Times New Roman" w:cs="Arial"/>
          <w:color w:val="000000"/>
          <w:lang w:val="en-US"/>
        </w:rPr>
        <w:t xml:space="preserve">mg </w:t>
      </w:r>
      <w:r w:rsidRPr="00087C89">
        <w:rPr>
          <w:rFonts w:eastAsia="Times New Roman" w:cs="Arial"/>
          <w:color w:val="000000"/>
          <w:lang w:eastAsia="bg-BG"/>
        </w:rPr>
        <w:t>дневно с алкохол, карбамазепин, халоперидол или фенитоин не потенцира техните ефекти върху когнитивните и психомоторните функции при здрави индивиди; независимо от това, не се препоръчва едновременната употреба на сертралин и алкохол.</w:t>
      </w:r>
    </w:p>
    <w:p w14:paraId="1206793F" w14:textId="77777777" w:rsidR="00087C89" w:rsidRPr="00D50B0B" w:rsidRDefault="00087C89" w:rsidP="00087C89">
      <w:pPr>
        <w:spacing w:line="240" w:lineRule="auto"/>
        <w:rPr>
          <w:rFonts w:eastAsia="Times New Roman" w:cs="Arial"/>
          <w:i/>
          <w:iCs/>
          <w:color w:val="000000"/>
          <w:lang w:eastAsia="bg-BG"/>
        </w:rPr>
      </w:pPr>
    </w:p>
    <w:p w14:paraId="69276CC0" w14:textId="6A928508"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Други серотонинергични лекарства</w:t>
      </w:r>
    </w:p>
    <w:p w14:paraId="2883F092"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Повишено внимание се изисква и при употребата на фентанил (използван за обща анестезия или при лечение на хронична болка), други серотонергични лекарства (включително други серотонергични антидепресанти, амфетамини, триптани) и с други опиати или бупренорфин (или неговата комбинация с налоксон), тъй като рискът от серотонинов синдром, потенциално животозастрашаващо състояние, се увеличава (вж. точка 4.4).</w:t>
      </w:r>
    </w:p>
    <w:p w14:paraId="737CF8B6" w14:textId="77777777" w:rsidR="00087C89" w:rsidRPr="00D50B0B" w:rsidRDefault="00087C89" w:rsidP="00087C89">
      <w:pPr>
        <w:spacing w:line="240" w:lineRule="auto"/>
        <w:rPr>
          <w:rFonts w:eastAsia="Times New Roman" w:cs="Arial"/>
          <w:color w:val="000000"/>
          <w:u w:val="single"/>
          <w:lang w:eastAsia="bg-BG"/>
        </w:rPr>
      </w:pPr>
    </w:p>
    <w:p w14:paraId="68B0DD50" w14:textId="1D662A99" w:rsidR="00087C89" w:rsidRPr="00087C89" w:rsidRDefault="00087C89" w:rsidP="00087C89">
      <w:pPr>
        <w:spacing w:line="240" w:lineRule="auto"/>
        <w:rPr>
          <w:rFonts w:eastAsia="Times New Roman" w:cs="Arial"/>
          <w:lang w:eastAsia="bg-BG"/>
        </w:rPr>
      </w:pPr>
      <w:r w:rsidRPr="00087C89">
        <w:rPr>
          <w:rFonts w:eastAsia="Times New Roman" w:cs="Arial"/>
          <w:color w:val="000000"/>
          <w:u w:val="single"/>
          <w:lang w:eastAsia="bg-BG"/>
        </w:rPr>
        <w:t>Специални предпазни мерки</w:t>
      </w:r>
    </w:p>
    <w:p w14:paraId="642742D1" w14:textId="77777777"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 xml:space="preserve">Лекарства, които удължават </w:t>
      </w:r>
      <w:r w:rsidRPr="00087C89">
        <w:rPr>
          <w:rFonts w:eastAsia="Times New Roman" w:cs="Arial"/>
          <w:i/>
          <w:iCs/>
          <w:color w:val="000000"/>
          <w:lang w:val="en-US"/>
        </w:rPr>
        <w:t>QT</w:t>
      </w:r>
      <w:r w:rsidRPr="00087C89">
        <w:rPr>
          <w:rFonts w:eastAsia="Times New Roman" w:cs="Arial"/>
          <w:i/>
          <w:iCs/>
          <w:color w:val="000000"/>
          <w:lang w:eastAsia="bg-BG"/>
        </w:rPr>
        <w:t>-интервала</w:t>
      </w:r>
    </w:p>
    <w:p w14:paraId="513B3653"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 xml:space="preserve">Рискът от удължаване на </w:t>
      </w:r>
      <w:r w:rsidRPr="00087C89">
        <w:rPr>
          <w:rFonts w:eastAsia="Times New Roman" w:cs="Arial"/>
          <w:color w:val="000000"/>
          <w:lang w:val="en-US"/>
        </w:rPr>
        <w:t>QT</w:t>
      </w:r>
      <w:r w:rsidRPr="00087C89">
        <w:rPr>
          <w:rFonts w:eastAsia="Times New Roman" w:cs="Arial"/>
          <w:color w:val="000000"/>
          <w:lang w:eastAsia="bg-BG"/>
        </w:rPr>
        <w:t xml:space="preserve">-интервала и/или камерни аритмии (напр. </w:t>
      </w:r>
      <w:proofErr w:type="spellStart"/>
      <w:r w:rsidRPr="00087C89">
        <w:rPr>
          <w:rFonts w:eastAsia="Times New Roman" w:cs="Arial"/>
          <w:color w:val="000000"/>
          <w:lang w:val="en-US"/>
        </w:rPr>
        <w:t>TdP</w:t>
      </w:r>
      <w:proofErr w:type="spellEnd"/>
      <w:r w:rsidRPr="00087C89">
        <w:rPr>
          <w:rFonts w:eastAsia="Times New Roman" w:cs="Arial"/>
          <w:color w:val="000000"/>
          <w:lang w:val="en-US"/>
        </w:rPr>
        <w:t xml:space="preserve">) </w:t>
      </w:r>
      <w:r w:rsidRPr="00087C89">
        <w:rPr>
          <w:rFonts w:eastAsia="Times New Roman" w:cs="Arial"/>
          <w:color w:val="000000"/>
          <w:lang w:eastAsia="bg-BG"/>
        </w:rPr>
        <w:t xml:space="preserve">може да се повиши при едновременна употреба на други лекарства, които удължават </w:t>
      </w:r>
      <w:r w:rsidRPr="00087C89">
        <w:rPr>
          <w:rFonts w:eastAsia="Times New Roman" w:cs="Arial"/>
          <w:color w:val="000000"/>
          <w:lang w:val="en-US"/>
        </w:rPr>
        <w:t>QT</w:t>
      </w:r>
      <w:r w:rsidRPr="00087C89">
        <w:rPr>
          <w:rFonts w:eastAsia="Times New Roman" w:cs="Arial"/>
          <w:color w:val="000000"/>
          <w:lang w:eastAsia="bg-BG"/>
        </w:rPr>
        <w:t>-интервала (напр. някои антипсихотици и антибиотици) (вж. точки 4.4 и 5.1)).</w:t>
      </w:r>
    </w:p>
    <w:p w14:paraId="67337120" w14:textId="77777777" w:rsidR="00087C89" w:rsidRPr="00D50B0B" w:rsidRDefault="00087C89" w:rsidP="00087C89">
      <w:pPr>
        <w:spacing w:line="240" w:lineRule="auto"/>
        <w:rPr>
          <w:rFonts w:eastAsia="Times New Roman" w:cs="Arial"/>
          <w:i/>
          <w:iCs/>
          <w:color w:val="000000"/>
          <w:lang w:eastAsia="bg-BG"/>
        </w:rPr>
      </w:pPr>
    </w:p>
    <w:p w14:paraId="679FE54B" w14:textId="1C5E42C0"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Литий</w:t>
      </w:r>
    </w:p>
    <w:p w14:paraId="7C2C5199"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 xml:space="preserve">В плацебо-контролирано проучване при здрави доброволци едновременното приложение на сертралин с литий не променя значимо фармакокинетиката на литий, но води до нарастване на тремора спрямо плацебо, което показва възможно фармакодинамично </w:t>
      </w:r>
      <w:r w:rsidRPr="00087C89">
        <w:rPr>
          <w:rFonts w:eastAsia="Times New Roman" w:cs="Arial"/>
          <w:color w:val="000000"/>
          <w:lang w:eastAsia="bg-BG"/>
        </w:rPr>
        <w:lastRenderedPageBreak/>
        <w:t>взаимодействие. При едновременно приложение на сертралин с литий пациентите трябва да бъдат внимателно проследявани.</w:t>
      </w:r>
    </w:p>
    <w:p w14:paraId="63DE4279" w14:textId="77777777" w:rsidR="00087C89" w:rsidRPr="00D50B0B" w:rsidRDefault="00087C89" w:rsidP="00087C89">
      <w:pPr>
        <w:spacing w:line="240" w:lineRule="auto"/>
        <w:rPr>
          <w:rFonts w:eastAsia="Times New Roman" w:cs="Arial"/>
          <w:i/>
          <w:iCs/>
          <w:color w:val="000000"/>
          <w:lang w:eastAsia="bg-BG"/>
        </w:rPr>
      </w:pPr>
    </w:p>
    <w:p w14:paraId="4B43553D" w14:textId="3B87CD5D"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Фенитоин</w:t>
      </w:r>
    </w:p>
    <w:p w14:paraId="00E41523" w14:textId="77777777" w:rsidR="00087C89" w:rsidRPr="00D50B0B" w:rsidRDefault="00087C89" w:rsidP="00087C89">
      <w:pPr>
        <w:rPr>
          <w:rFonts w:eastAsia="Times New Roman" w:cs="Arial"/>
          <w:lang w:eastAsia="bg-BG"/>
        </w:rPr>
      </w:pPr>
      <w:r w:rsidRPr="00087C89">
        <w:rPr>
          <w:rFonts w:eastAsia="Times New Roman" w:cs="Arial"/>
          <w:color w:val="000000"/>
          <w:lang w:eastAsia="bg-BG"/>
        </w:rPr>
        <w:t xml:space="preserve">Плацебо-контролирано проучване при здрави доброволци показва, че дългосрочното приложение на сертралин в доза 200 </w:t>
      </w:r>
      <w:r w:rsidRPr="00087C89">
        <w:rPr>
          <w:rFonts w:eastAsia="Times New Roman" w:cs="Arial"/>
          <w:color w:val="000000"/>
          <w:lang w:val="en-US"/>
        </w:rPr>
        <w:t>mg</w:t>
      </w:r>
      <w:r w:rsidRPr="00087C89">
        <w:rPr>
          <w:rFonts w:eastAsia="Times New Roman" w:cs="Arial"/>
          <w:color w:val="000000"/>
          <w:lang w:eastAsia="bg-BG"/>
        </w:rPr>
        <w:t>/ден не води до клинично значима инхибиция/на метаболизма на фенитоин. Въпреки това, тъй при някои случаи нежеланите реакции са</w:t>
      </w:r>
      <w:r w:rsidRPr="00087C89">
        <w:rPr>
          <w:rFonts w:eastAsia="Times New Roman" w:cs="Arial"/>
          <w:color w:val="000000"/>
          <w:vertAlign w:val="subscript"/>
          <w:lang w:eastAsia="bg-BG"/>
        </w:rPr>
        <w:t xml:space="preserve"> </w:t>
      </w:r>
      <w:r w:rsidRPr="00087C89">
        <w:rPr>
          <w:rFonts w:eastAsia="Times New Roman" w:cs="Arial"/>
          <w:color w:val="000000"/>
          <w:lang w:eastAsia="bg-BG"/>
        </w:rPr>
        <w:t>възникнали от висока експозиция на фенитоин при пациенти, приемащи сертралин; препоръчва се да бъдат проследявани плазмените концентрации на фенитоин след започване на терапия със</w:t>
      </w:r>
      <w:r w:rsidRPr="00D50B0B">
        <w:rPr>
          <w:rFonts w:eastAsia="Times New Roman" w:cs="Arial"/>
          <w:color w:val="000000"/>
          <w:lang w:eastAsia="bg-BG"/>
        </w:rPr>
        <w:t xml:space="preserve"> </w:t>
      </w:r>
      <w:r w:rsidRPr="00D50B0B">
        <w:rPr>
          <w:rFonts w:eastAsia="Times New Roman" w:cs="Arial"/>
          <w:color w:val="000000"/>
          <w:lang w:eastAsia="bg-BG"/>
        </w:rPr>
        <w:t xml:space="preserve">сертралин и съответно адаптиране на дозата на фенитоин. В допълнение, съпътстващото приложение на фенитоин може да причини намаляване на плазмените концентрации на сертралин. Не може да се изключи намаляване от страна на други индуктори на </w:t>
      </w:r>
      <w:r w:rsidRPr="00D50B0B">
        <w:rPr>
          <w:rFonts w:eastAsia="Times New Roman" w:cs="Arial"/>
          <w:color w:val="000000"/>
          <w:lang w:val="en-US"/>
        </w:rPr>
        <w:t xml:space="preserve">CYP3A4, </w:t>
      </w:r>
      <w:r w:rsidRPr="00D50B0B">
        <w:rPr>
          <w:rFonts w:eastAsia="Times New Roman" w:cs="Arial"/>
          <w:color w:val="000000"/>
          <w:lang w:eastAsia="bg-BG"/>
        </w:rPr>
        <w:t xml:space="preserve">напр. фенобарбитал, карбамазепин, жълт кантарион </w:t>
      </w:r>
      <w:r w:rsidRPr="00D50B0B">
        <w:rPr>
          <w:rFonts w:eastAsia="Times New Roman" w:cs="Arial"/>
          <w:i/>
          <w:iCs/>
          <w:color w:val="000000"/>
          <w:lang w:val="en-US"/>
        </w:rPr>
        <w:t xml:space="preserve">(Hypericum </w:t>
      </w:r>
      <w:proofErr w:type="spellStart"/>
      <w:r w:rsidRPr="00D50B0B">
        <w:rPr>
          <w:rFonts w:eastAsia="Times New Roman" w:cs="Arial"/>
          <w:i/>
          <w:iCs/>
          <w:color w:val="000000"/>
          <w:lang w:val="en-US"/>
        </w:rPr>
        <w:t>perforatum</w:t>
      </w:r>
      <w:proofErr w:type="spellEnd"/>
      <w:r w:rsidRPr="00D50B0B">
        <w:rPr>
          <w:rFonts w:eastAsia="Times New Roman" w:cs="Arial"/>
          <w:i/>
          <w:iCs/>
          <w:color w:val="000000"/>
          <w:lang w:val="en-US"/>
        </w:rPr>
        <w:t>),</w:t>
      </w:r>
      <w:r w:rsidRPr="00D50B0B">
        <w:rPr>
          <w:rFonts w:eastAsia="Times New Roman" w:cs="Arial"/>
          <w:color w:val="000000"/>
          <w:lang w:val="en-US"/>
        </w:rPr>
        <w:t xml:space="preserve"> </w:t>
      </w:r>
      <w:r w:rsidRPr="00D50B0B">
        <w:rPr>
          <w:rFonts w:eastAsia="Times New Roman" w:cs="Arial"/>
          <w:color w:val="000000"/>
          <w:lang w:eastAsia="bg-BG"/>
        </w:rPr>
        <w:t>рифампицин, на плазмените нива на сертралин.</w:t>
      </w:r>
    </w:p>
    <w:p w14:paraId="0DCCECCB" w14:textId="77777777" w:rsidR="00087C89" w:rsidRPr="00D50B0B" w:rsidRDefault="00087C89" w:rsidP="00087C89">
      <w:pPr>
        <w:spacing w:line="240" w:lineRule="auto"/>
        <w:rPr>
          <w:rFonts w:eastAsia="Times New Roman" w:cs="Arial"/>
          <w:i/>
          <w:iCs/>
          <w:color w:val="000000"/>
          <w:lang w:eastAsia="bg-BG"/>
        </w:rPr>
      </w:pPr>
    </w:p>
    <w:p w14:paraId="490B90B8" w14:textId="58FD7060"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Триптани</w:t>
      </w:r>
    </w:p>
    <w:p w14:paraId="5BBBB4BD"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Има редки постмаркетингови съобщения за пациенти със слабост, хиперрефлексия, нарушена координация, обърканост, тревожност и възбуда след употреба на сертралин и суматриптан. Симптоми на серотонинергичен синдром могат да възникнат също и при други продукти от същия клас (триптани). Ако едновременното приложение на сертралин и триптани е клинично обосновано, се препоръчва внимателно наблюдение на пациента (вж. точка 4.4).</w:t>
      </w:r>
    </w:p>
    <w:p w14:paraId="144CED73" w14:textId="77777777" w:rsidR="00087C89" w:rsidRPr="00D50B0B" w:rsidRDefault="00087C89" w:rsidP="00087C89">
      <w:pPr>
        <w:spacing w:line="240" w:lineRule="auto"/>
        <w:rPr>
          <w:rFonts w:eastAsia="Times New Roman" w:cs="Arial"/>
          <w:i/>
          <w:iCs/>
          <w:color w:val="000000"/>
          <w:lang w:eastAsia="bg-BG"/>
        </w:rPr>
      </w:pPr>
    </w:p>
    <w:p w14:paraId="4B11B06B" w14:textId="09A4DA07"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Варфарин</w:t>
      </w:r>
    </w:p>
    <w:p w14:paraId="00A9D915"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 xml:space="preserve">Едновременното приложение на сертралин 200 </w:t>
      </w:r>
      <w:r w:rsidRPr="00087C89">
        <w:rPr>
          <w:rFonts w:eastAsia="Times New Roman" w:cs="Arial"/>
          <w:color w:val="000000"/>
          <w:lang w:val="en-US"/>
        </w:rPr>
        <w:t xml:space="preserve">mg </w:t>
      </w:r>
      <w:r w:rsidRPr="00087C89">
        <w:rPr>
          <w:rFonts w:eastAsia="Times New Roman" w:cs="Arial"/>
          <w:color w:val="000000"/>
          <w:lang w:eastAsia="bg-BG"/>
        </w:rPr>
        <w:t xml:space="preserve">дневно с варфарин е довело до слабо, но статистически значимо удължаване на протромбиновото време, което в редки случаи може да причини отклонение в стойността на </w:t>
      </w:r>
      <w:r w:rsidRPr="00087C89">
        <w:rPr>
          <w:rFonts w:eastAsia="Times New Roman" w:cs="Arial"/>
          <w:color w:val="000000"/>
          <w:lang w:val="en-US"/>
        </w:rPr>
        <w:t xml:space="preserve">INR. </w:t>
      </w:r>
      <w:r w:rsidRPr="00087C89">
        <w:rPr>
          <w:rFonts w:eastAsia="Times New Roman" w:cs="Arial"/>
          <w:color w:val="000000"/>
          <w:lang w:eastAsia="bg-BG"/>
        </w:rPr>
        <w:t>Поради това протромбиновото време трябва да бъде внимателно проследявано в началото и след края на лечението със сертралин.</w:t>
      </w:r>
    </w:p>
    <w:p w14:paraId="4F529658" w14:textId="77777777" w:rsidR="00087C89" w:rsidRPr="00D50B0B" w:rsidRDefault="00087C89" w:rsidP="00087C89">
      <w:pPr>
        <w:spacing w:line="240" w:lineRule="auto"/>
        <w:rPr>
          <w:rFonts w:eastAsia="Times New Roman" w:cs="Arial"/>
          <w:i/>
          <w:iCs/>
          <w:color w:val="000000"/>
          <w:lang w:eastAsia="bg-BG"/>
        </w:rPr>
      </w:pPr>
    </w:p>
    <w:p w14:paraId="0EF9B6CD" w14:textId="45B1C154"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Други лекарствени взаимодействия, дигоксин, атенолол, циметидин</w:t>
      </w:r>
    </w:p>
    <w:p w14:paraId="1CE6847B" w14:textId="663E2360"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 xml:space="preserve">Едновременното приложение с циметидин е довело до значително намаляване на клирънса на сертралин. Клиничната значимост на тези промени не е изяснена. Сертралин няма ефект върху бета-адренергичната блокираща активност на атенолол. Не са наблюдавани лекарствени взаимодействия при приложение на сертралин в доза 200 </w:t>
      </w:r>
      <w:r w:rsidRPr="00087C89">
        <w:rPr>
          <w:rFonts w:eastAsia="Times New Roman" w:cs="Arial"/>
          <w:color w:val="000000"/>
          <w:lang w:val="en-US"/>
        </w:rPr>
        <w:t xml:space="preserve">mg </w:t>
      </w:r>
      <w:r w:rsidRPr="00087C89">
        <w:rPr>
          <w:rFonts w:eastAsia="Times New Roman" w:cs="Arial"/>
          <w:color w:val="000000"/>
          <w:lang w:eastAsia="bg-BG"/>
        </w:rPr>
        <w:t>дневно с дигоксин.</w:t>
      </w:r>
    </w:p>
    <w:p w14:paraId="15DE4746" w14:textId="77777777" w:rsidR="00087C89" w:rsidRPr="00D50B0B" w:rsidRDefault="00087C89" w:rsidP="00087C89">
      <w:pPr>
        <w:spacing w:line="240" w:lineRule="auto"/>
        <w:rPr>
          <w:rFonts w:eastAsia="Times New Roman" w:cs="Arial"/>
          <w:i/>
          <w:iCs/>
          <w:color w:val="000000"/>
          <w:lang w:eastAsia="bg-BG"/>
        </w:rPr>
      </w:pPr>
    </w:p>
    <w:p w14:paraId="527535E4" w14:textId="32FFAEB6"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Лекарства, повлияващи функцията на тромбоцитите</w:t>
      </w:r>
    </w:p>
    <w:p w14:paraId="75A14DCB"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 xml:space="preserve">Рискът от кървене може да бъде повишен, когато лекарства, повлияващи функцията на тромбоцитите (напр. НСПВС, ацетилсалицилова киселина и тиклопидин), или други лекарства, които могат да повишат риска от кървене, се прилагат едновременно със </w:t>
      </w:r>
      <w:r w:rsidRPr="00087C89">
        <w:rPr>
          <w:rFonts w:eastAsia="Times New Roman" w:cs="Arial"/>
          <w:color w:val="000000"/>
          <w:lang w:val="en-US"/>
        </w:rPr>
        <w:t xml:space="preserve">SSRI, </w:t>
      </w:r>
      <w:r w:rsidRPr="00087C89">
        <w:rPr>
          <w:rFonts w:eastAsia="Times New Roman" w:cs="Arial"/>
          <w:color w:val="000000"/>
          <w:lang w:eastAsia="bg-BG"/>
        </w:rPr>
        <w:t>включително сертралин (вж. точка 4.4).</w:t>
      </w:r>
    </w:p>
    <w:p w14:paraId="7EE85B33" w14:textId="77777777" w:rsidR="00087C89" w:rsidRPr="00D50B0B" w:rsidRDefault="00087C89" w:rsidP="00087C89">
      <w:pPr>
        <w:spacing w:line="240" w:lineRule="auto"/>
        <w:rPr>
          <w:rFonts w:eastAsia="Times New Roman" w:cs="Arial"/>
          <w:i/>
          <w:iCs/>
          <w:color w:val="000000"/>
          <w:lang w:eastAsia="bg-BG"/>
        </w:rPr>
      </w:pPr>
    </w:p>
    <w:p w14:paraId="483264B9" w14:textId="2E5E9E36"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Нервномускулни блокери</w:t>
      </w:r>
    </w:p>
    <w:p w14:paraId="504EF056"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 xml:space="preserve">Селективните инхибитори на обратното захващане на серотонина </w:t>
      </w:r>
      <w:r w:rsidRPr="00087C89">
        <w:rPr>
          <w:rFonts w:eastAsia="Times New Roman" w:cs="Arial"/>
          <w:color w:val="000000"/>
          <w:lang w:val="en-US"/>
        </w:rPr>
        <w:t xml:space="preserve">(SSRIs) </w:t>
      </w:r>
      <w:r w:rsidRPr="00087C89">
        <w:rPr>
          <w:rFonts w:eastAsia="Times New Roman" w:cs="Arial"/>
          <w:color w:val="000000"/>
          <w:lang w:eastAsia="bg-BG"/>
        </w:rPr>
        <w:t>могат да понижат активността на плазмената холинестераза като в резултат се удължава нервномускулното блокиращо действие на мивакуриум или на нервномускулни блокери.</w:t>
      </w:r>
    </w:p>
    <w:p w14:paraId="23BDD8AB" w14:textId="77777777" w:rsidR="00087C89" w:rsidRPr="00D50B0B" w:rsidRDefault="00087C89" w:rsidP="00087C89">
      <w:pPr>
        <w:spacing w:line="240" w:lineRule="auto"/>
        <w:rPr>
          <w:rFonts w:eastAsia="Times New Roman" w:cs="Arial"/>
          <w:i/>
          <w:iCs/>
          <w:color w:val="000000"/>
          <w:lang w:eastAsia="bg-BG"/>
        </w:rPr>
      </w:pPr>
    </w:p>
    <w:p w14:paraId="7F66F8FE" w14:textId="0B610307" w:rsidR="00087C89" w:rsidRPr="00087C89" w:rsidRDefault="00087C89" w:rsidP="00087C89">
      <w:pPr>
        <w:spacing w:line="240" w:lineRule="auto"/>
        <w:rPr>
          <w:rFonts w:eastAsia="Times New Roman" w:cs="Arial"/>
          <w:lang w:eastAsia="bg-BG"/>
        </w:rPr>
      </w:pPr>
      <w:r w:rsidRPr="00087C89">
        <w:rPr>
          <w:rFonts w:eastAsia="Times New Roman" w:cs="Arial"/>
          <w:i/>
          <w:iCs/>
          <w:color w:val="000000"/>
          <w:lang w:eastAsia="bg-BG"/>
        </w:rPr>
        <w:t>Лекарства, метаболизирани от цитохром Р450</w:t>
      </w:r>
    </w:p>
    <w:p w14:paraId="2C6B1BBD"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lastRenderedPageBreak/>
        <w:t xml:space="preserve">Сертралин може да действа като слаб до умерен инхибитор на </w:t>
      </w:r>
      <w:r w:rsidRPr="00087C89">
        <w:rPr>
          <w:rFonts w:eastAsia="Times New Roman" w:cs="Arial"/>
          <w:color w:val="000000"/>
          <w:lang w:val="en-US"/>
        </w:rPr>
        <w:t xml:space="preserve">CYP 2D6. </w:t>
      </w:r>
      <w:r w:rsidRPr="00087C89">
        <w:rPr>
          <w:rFonts w:eastAsia="Times New Roman" w:cs="Arial"/>
          <w:color w:val="000000"/>
          <w:lang w:eastAsia="bg-BG"/>
        </w:rPr>
        <w:t xml:space="preserve">Продължителното приложение на сертралин 50 </w:t>
      </w:r>
      <w:r w:rsidRPr="00087C89">
        <w:rPr>
          <w:rFonts w:eastAsia="Times New Roman" w:cs="Arial"/>
          <w:color w:val="000000"/>
          <w:lang w:val="en-US"/>
        </w:rPr>
        <w:t xml:space="preserve">mg </w:t>
      </w:r>
      <w:r w:rsidRPr="00087C89">
        <w:rPr>
          <w:rFonts w:eastAsia="Times New Roman" w:cs="Arial"/>
          <w:color w:val="000000"/>
          <w:lang w:eastAsia="bg-BG"/>
        </w:rPr>
        <w:t xml:space="preserve">дневно е довело до умерено повишаване (средно с 23 - 37%) на равновесните плазмени нива на дезипрамин (маркер за </w:t>
      </w:r>
      <w:r w:rsidRPr="00087C89">
        <w:rPr>
          <w:rFonts w:eastAsia="Times New Roman" w:cs="Arial"/>
          <w:color w:val="000000"/>
          <w:lang w:val="en-US"/>
        </w:rPr>
        <w:t xml:space="preserve">CYP 2D6 </w:t>
      </w:r>
      <w:r w:rsidRPr="00087C89">
        <w:rPr>
          <w:rFonts w:eastAsia="Times New Roman" w:cs="Arial"/>
          <w:color w:val="000000"/>
          <w:lang w:eastAsia="bg-BG"/>
        </w:rPr>
        <w:t>изоензимна активност).</w:t>
      </w:r>
    </w:p>
    <w:p w14:paraId="2413F80E"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 xml:space="preserve">Клинично значими взаимодействия могат да възникнат с други субстрати на </w:t>
      </w:r>
      <w:r w:rsidRPr="00087C89">
        <w:rPr>
          <w:rFonts w:eastAsia="Times New Roman" w:cs="Arial"/>
          <w:color w:val="000000"/>
          <w:lang w:val="en-US"/>
        </w:rPr>
        <w:t xml:space="preserve">CYP 2D6 </w:t>
      </w:r>
      <w:r w:rsidRPr="00087C89">
        <w:rPr>
          <w:rFonts w:eastAsia="Times New Roman" w:cs="Arial"/>
          <w:color w:val="000000"/>
          <w:lang w:eastAsia="bg-BG"/>
        </w:rPr>
        <w:t>с тесен терапевтичен индекс като клас 1С антиаритмични лекарства, напр. пропафенон и флекаинид, трициклични антидепресанти и типични антипсихотици, особено при по-високи дози сертралин.</w:t>
      </w:r>
    </w:p>
    <w:p w14:paraId="2D1FF51F" w14:textId="77777777"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 xml:space="preserve">Сертралин не действа като инхибитор на </w:t>
      </w:r>
      <w:r w:rsidRPr="00087C89">
        <w:rPr>
          <w:rFonts w:eastAsia="Times New Roman" w:cs="Arial"/>
          <w:color w:val="000000"/>
          <w:lang w:val="en-US"/>
        </w:rPr>
        <w:t xml:space="preserve">CYP </w:t>
      </w:r>
      <w:r w:rsidRPr="00087C89">
        <w:rPr>
          <w:rFonts w:eastAsia="Times New Roman" w:cs="Arial"/>
          <w:color w:val="000000"/>
          <w:lang w:eastAsia="bg-BG"/>
        </w:rPr>
        <w:t xml:space="preserve">ЗА4, </w:t>
      </w:r>
      <w:r w:rsidRPr="00087C89">
        <w:rPr>
          <w:rFonts w:eastAsia="Times New Roman" w:cs="Arial"/>
          <w:color w:val="000000"/>
          <w:lang w:val="en-US"/>
        </w:rPr>
        <w:t xml:space="preserve">CYP </w:t>
      </w:r>
      <w:r w:rsidRPr="00087C89">
        <w:rPr>
          <w:rFonts w:eastAsia="Times New Roman" w:cs="Arial"/>
          <w:color w:val="000000"/>
          <w:lang w:eastAsia="bg-BG"/>
        </w:rPr>
        <w:t xml:space="preserve">2С9, </w:t>
      </w:r>
      <w:r w:rsidRPr="00087C89">
        <w:rPr>
          <w:rFonts w:eastAsia="Times New Roman" w:cs="Arial"/>
          <w:color w:val="000000"/>
          <w:lang w:val="en-US"/>
        </w:rPr>
        <w:t xml:space="preserve">CYP </w:t>
      </w:r>
      <w:r w:rsidRPr="00087C89">
        <w:rPr>
          <w:rFonts w:eastAsia="Times New Roman" w:cs="Arial"/>
          <w:color w:val="000000"/>
          <w:lang w:eastAsia="bg-BG"/>
        </w:rPr>
        <w:t xml:space="preserve">2С19 и </w:t>
      </w:r>
      <w:r w:rsidRPr="00087C89">
        <w:rPr>
          <w:rFonts w:eastAsia="Times New Roman" w:cs="Arial"/>
          <w:color w:val="000000"/>
          <w:lang w:val="en-US"/>
        </w:rPr>
        <w:t xml:space="preserve">CYP </w:t>
      </w:r>
      <w:r w:rsidRPr="00087C89">
        <w:rPr>
          <w:rFonts w:eastAsia="Times New Roman" w:cs="Arial"/>
          <w:color w:val="000000"/>
          <w:lang w:eastAsia="bg-BG"/>
        </w:rPr>
        <w:t>1А2 в клинично значима степен.</w:t>
      </w:r>
    </w:p>
    <w:p w14:paraId="0D692A66" w14:textId="77777777" w:rsidR="00087C89" w:rsidRPr="00D50B0B" w:rsidRDefault="00087C89" w:rsidP="00087C89">
      <w:pPr>
        <w:spacing w:line="240" w:lineRule="auto"/>
        <w:rPr>
          <w:rFonts w:eastAsia="Times New Roman" w:cs="Arial"/>
          <w:color w:val="000000"/>
          <w:lang w:eastAsia="bg-BG"/>
        </w:rPr>
      </w:pPr>
    </w:p>
    <w:p w14:paraId="3E0B7D67" w14:textId="452DE9A5"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 xml:space="preserve">Това е потвърдено от </w:t>
      </w:r>
      <w:r w:rsidRPr="00087C89">
        <w:rPr>
          <w:rFonts w:eastAsia="Times New Roman" w:cs="Arial"/>
          <w:color w:val="000000"/>
          <w:lang w:val="en-US"/>
        </w:rPr>
        <w:t xml:space="preserve">in vivo </w:t>
      </w:r>
      <w:r w:rsidRPr="00087C89">
        <w:rPr>
          <w:rFonts w:eastAsia="Times New Roman" w:cs="Arial"/>
          <w:color w:val="000000"/>
          <w:lang w:eastAsia="bg-BG"/>
        </w:rPr>
        <w:t xml:space="preserve">проучвания за взаимодействие с </w:t>
      </w:r>
      <w:r w:rsidRPr="00087C89">
        <w:rPr>
          <w:rFonts w:eastAsia="Times New Roman" w:cs="Arial"/>
          <w:color w:val="000000"/>
          <w:lang w:val="en-US"/>
        </w:rPr>
        <w:t xml:space="preserve">CYP </w:t>
      </w:r>
      <w:r w:rsidRPr="00087C89">
        <w:rPr>
          <w:rFonts w:eastAsia="Times New Roman" w:cs="Arial"/>
          <w:color w:val="000000"/>
          <w:lang w:eastAsia="bg-BG"/>
        </w:rPr>
        <w:t xml:space="preserve">ЗА4 субстрати (ендогенен кортизол, карбамазепин, терфенадин, алпразолам), с </w:t>
      </w:r>
      <w:r w:rsidRPr="00087C89">
        <w:rPr>
          <w:rFonts w:eastAsia="Times New Roman" w:cs="Arial"/>
          <w:color w:val="000000"/>
          <w:lang w:val="en-US"/>
        </w:rPr>
        <w:t xml:space="preserve">CYP </w:t>
      </w:r>
      <w:r w:rsidRPr="00087C89">
        <w:rPr>
          <w:rFonts w:eastAsia="Times New Roman" w:cs="Arial"/>
          <w:color w:val="000000"/>
          <w:lang w:eastAsia="bg-BG"/>
        </w:rPr>
        <w:t xml:space="preserve">2С19 субстрата диазепам и </w:t>
      </w:r>
      <w:r w:rsidRPr="00087C89">
        <w:rPr>
          <w:rFonts w:eastAsia="Times New Roman" w:cs="Arial"/>
          <w:color w:val="000000"/>
          <w:lang w:val="en-US"/>
        </w:rPr>
        <w:t xml:space="preserve">CYP </w:t>
      </w:r>
      <w:r w:rsidRPr="00087C89">
        <w:rPr>
          <w:rFonts w:eastAsia="Times New Roman" w:cs="Arial"/>
          <w:color w:val="000000"/>
          <w:lang w:eastAsia="bg-BG"/>
        </w:rPr>
        <w:t xml:space="preserve">2С9 субстратите толбутамид, глибенкламид и фенитоин. </w:t>
      </w:r>
      <w:r w:rsidRPr="00087C89">
        <w:rPr>
          <w:rFonts w:eastAsia="Times New Roman" w:cs="Arial"/>
          <w:color w:val="000000"/>
          <w:lang w:val="en-US"/>
        </w:rPr>
        <w:t xml:space="preserve">In vitro </w:t>
      </w:r>
      <w:r w:rsidRPr="00087C89">
        <w:rPr>
          <w:rFonts w:eastAsia="Times New Roman" w:cs="Arial"/>
          <w:color w:val="000000"/>
          <w:lang w:eastAsia="bg-BG"/>
        </w:rPr>
        <w:t>проучвания показват, ч</w:t>
      </w:r>
      <w:r w:rsidRPr="00087C89">
        <w:rPr>
          <w:rFonts w:eastAsia="Times New Roman" w:cs="Arial"/>
          <w:color w:val="000000"/>
          <w:u w:val="single"/>
          <w:lang w:eastAsia="bg-BG"/>
        </w:rPr>
        <w:t>е сер</w:t>
      </w:r>
      <w:r w:rsidRPr="00087C89">
        <w:rPr>
          <w:rFonts w:eastAsia="Times New Roman" w:cs="Arial"/>
          <w:color w:val="000000"/>
          <w:lang w:eastAsia="bg-BG"/>
        </w:rPr>
        <w:t xml:space="preserve">тралин има малък или няма никакъв потенциал за инхибиране наа </w:t>
      </w:r>
      <w:r w:rsidRPr="00087C89">
        <w:rPr>
          <w:rFonts w:eastAsia="Times New Roman" w:cs="Arial"/>
          <w:color w:val="000000"/>
          <w:lang w:val="en-US"/>
        </w:rPr>
        <w:t>CYP</w:t>
      </w:r>
      <w:r w:rsidRPr="00087C89">
        <w:rPr>
          <w:rFonts w:eastAsia="Times New Roman" w:cs="Arial"/>
          <w:color w:val="000000"/>
          <w:lang w:eastAsia="bg-BG"/>
        </w:rPr>
        <w:t xml:space="preserve"> 1А2.</w:t>
      </w:r>
    </w:p>
    <w:p w14:paraId="1CC65EE6" w14:textId="77777777" w:rsidR="00087C89" w:rsidRPr="00D50B0B" w:rsidRDefault="00087C89" w:rsidP="00087C89">
      <w:pPr>
        <w:spacing w:line="240" w:lineRule="auto"/>
        <w:rPr>
          <w:rFonts w:eastAsia="Times New Roman" w:cs="Arial"/>
          <w:color w:val="000000"/>
          <w:lang w:eastAsia="bg-BG"/>
        </w:rPr>
      </w:pPr>
    </w:p>
    <w:p w14:paraId="59D6BBC6" w14:textId="168C3B29" w:rsidR="00087C89" w:rsidRPr="00087C89" w:rsidRDefault="00087C89" w:rsidP="00087C89">
      <w:pPr>
        <w:spacing w:line="240" w:lineRule="auto"/>
        <w:rPr>
          <w:rFonts w:eastAsia="Times New Roman" w:cs="Arial"/>
          <w:lang w:eastAsia="bg-BG"/>
        </w:rPr>
      </w:pPr>
      <w:r w:rsidRPr="00087C89">
        <w:rPr>
          <w:rFonts w:eastAsia="Times New Roman" w:cs="Arial"/>
          <w:color w:val="000000"/>
          <w:lang w:eastAsia="bg-BG"/>
        </w:rPr>
        <w:t>Приемът на три чаша сок от грейпфрут дневно е довел до повишаване в плазмените нива на</w:t>
      </w:r>
    </w:p>
    <w:p w14:paraId="7129EC55" w14:textId="1DEE6F3A" w:rsidR="00087C89" w:rsidRPr="00087C89" w:rsidRDefault="00087C89" w:rsidP="00087C89">
      <w:pPr>
        <w:spacing w:line="240" w:lineRule="auto"/>
        <w:rPr>
          <w:rFonts w:eastAsia="Times New Roman" w:cs="Arial"/>
          <w:lang w:eastAsia="bg-BG"/>
        </w:rPr>
      </w:pPr>
      <w:r w:rsidRPr="00D50B0B">
        <w:rPr>
          <w:rFonts w:eastAsia="Times New Roman" w:cs="Arial"/>
          <w:color w:val="000000"/>
          <w:lang w:eastAsia="bg-BG"/>
        </w:rPr>
        <w:t>сертралин с около 100% в едно кръстосано проучване при осем здрави доброволци от Япония.</w:t>
      </w:r>
    </w:p>
    <w:p w14:paraId="1C674340" w14:textId="4F0592AD" w:rsidR="00087C89" w:rsidRPr="00D50B0B" w:rsidRDefault="00087C89" w:rsidP="00087C89">
      <w:pPr>
        <w:spacing w:line="240" w:lineRule="auto"/>
        <w:rPr>
          <w:rFonts w:eastAsia="Times New Roman" w:cs="Arial"/>
          <w:lang w:eastAsia="bg-BG"/>
        </w:rPr>
      </w:pPr>
    </w:p>
    <w:p w14:paraId="23210FEE" w14:textId="77777777" w:rsidR="00D50B0B" w:rsidRPr="00D50B0B" w:rsidRDefault="00D50B0B" w:rsidP="00D50B0B">
      <w:pPr>
        <w:spacing w:line="240" w:lineRule="auto"/>
        <w:rPr>
          <w:rFonts w:eastAsia="Times New Roman" w:cs="Arial"/>
          <w:lang w:eastAsia="bg-BG"/>
        </w:rPr>
      </w:pPr>
      <w:r w:rsidRPr="00D50B0B">
        <w:rPr>
          <w:rFonts w:eastAsia="Times New Roman" w:cs="Arial"/>
          <w:color w:val="000000"/>
          <w:lang w:eastAsia="bg-BG"/>
        </w:rPr>
        <w:t>Следователно, употребата на сок от грейпфрут трябва да се избягва по време на лечение със сертралин (вж. точка 4.4).</w:t>
      </w:r>
    </w:p>
    <w:p w14:paraId="7396DF61" w14:textId="77777777" w:rsidR="00D50B0B" w:rsidRPr="00D50B0B" w:rsidRDefault="00D50B0B" w:rsidP="00D50B0B">
      <w:pPr>
        <w:spacing w:line="240" w:lineRule="auto"/>
        <w:rPr>
          <w:rFonts w:eastAsia="Times New Roman" w:cs="Arial"/>
          <w:color w:val="000000"/>
          <w:lang w:eastAsia="bg-BG"/>
        </w:rPr>
      </w:pPr>
    </w:p>
    <w:p w14:paraId="466CD283" w14:textId="24DAA91F" w:rsidR="00D50B0B" w:rsidRPr="00D50B0B" w:rsidRDefault="00D50B0B" w:rsidP="00D50B0B">
      <w:pPr>
        <w:spacing w:line="240" w:lineRule="auto"/>
        <w:rPr>
          <w:rFonts w:eastAsia="Times New Roman" w:cs="Arial"/>
          <w:lang w:eastAsia="bg-BG"/>
        </w:rPr>
      </w:pPr>
      <w:r w:rsidRPr="00D50B0B">
        <w:rPr>
          <w:rFonts w:eastAsia="Times New Roman" w:cs="Arial"/>
          <w:color w:val="000000"/>
          <w:lang w:eastAsia="bg-BG"/>
        </w:rPr>
        <w:t xml:space="preserve">Въз основа на резултатите от проучването за взаимодействие със сок от грейпфрут, не може да се изключи, че едновременната употреба на сертралин и мощни </w:t>
      </w:r>
      <w:r w:rsidRPr="00D50B0B">
        <w:rPr>
          <w:rFonts w:eastAsia="Times New Roman" w:cs="Arial"/>
          <w:color w:val="000000"/>
          <w:lang w:val="en-US"/>
        </w:rPr>
        <w:t xml:space="preserve">CYP3A4 </w:t>
      </w:r>
      <w:r w:rsidRPr="00D50B0B">
        <w:rPr>
          <w:rFonts w:eastAsia="Times New Roman" w:cs="Arial"/>
          <w:color w:val="000000"/>
          <w:lang w:eastAsia="bg-BG"/>
        </w:rPr>
        <w:t xml:space="preserve">инхибитори, като протеазни инхибитори, кетоконазол, итраконазол, посаконазол, вориконазол, кларитромицин, телитромицин и нефазодон, може да предизвика допълнително повишаване на експозицията на сертралин. Това се отнася и за умерените </w:t>
      </w:r>
      <w:r w:rsidRPr="00D50B0B">
        <w:rPr>
          <w:rFonts w:eastAsia="Times New Roman" w:cs="Arial"/>
          <w:color w:val="000000"/>
          <w:lang w:val="en-US"/>
        </w:rPr>
        <w:t xml:space="preserve">CYP3A4 </w:t>
      </w:r>
      <w:r w:rsidRPr="00D50B0B">
        <w:rPr>
          <w:rFonts w:eastAsia="Times New Roman" w:cs="Arial"/>
          <w:color w:val="000000"/>
          <w:lang w:eastAsia="bg-BG"/>
        </w:rPr>
        <w:t xml:space="preserve">инхибитори, като апрепигант, еритромицин, флуконазол, верапамил и дилтиазем. Приемът на мощни </w:t>
      </w:r>
      <w:r w:rsidRPr="00D50B0B">
        <w:rPr>
          <w:rFonts w:eastAsia="Times New Roman" w:cs="Arial"/>
          <w:color w:val="000000"/>
          <w:lang w:val="en-US"/>
        </w:rPr>
        <w:t xml:space="preserve">CYP3A4 </w:t>
      </w:r>
      <w:r w:rsidRPr="00D50B0B">
        <w:rPr>
          <w:rFonts w:eastAsia="Times New Roman" w:cs="Arial"/>
          <w:color w:val="000000"/>
          <w:lang w:eastAsia="bg-BG"/>
        </w:rPr>
        <w:t>инхибитори трябва да се избягва по време на лечение със сертралин.</w:t>
      </w:r>
    </w:p>
    <w:p w14:paraId="0BC6C841" w14:textId="77777777" w:rsidR="00D50B0B" w:rsidRPr="00D50B0B" w:rsidRDefault="00D50B0B" w:rsidP="00D50B0B">
      <w:pPr>
        <w:spacing w:line="240" w:lineRule="auto"/>
        <w:rPr>
          <w:rFonts w:eastAsia="Times New Roman" w:cs="Arial"/>
          <w:color w:val="000000"/>
          <w:lang w:eastAsia="bg-BG"/>
        </w:rPr>
      </w:pPr>
    </w:p>
    <w:p w14:paraId="57D4B624" w14:textId="7E047343" w:rsidR="00D50B0B" w:rsidRPr="00D50B0B" w:rsidRDefault="00D50B0B" w:rsidP="00D50B0B">
      <w:pPr>
        <w:spacing w:line="240" w:lineRule="auto"/>
        <w:rPr>
          <w:rFonts w:eastAsia="Times New Roman" w:cs="Arial"/>
          <w:lang w:eastAsia="bg-BG"/>
        </w:rPr>
      </w:pPr>
      <w:r w:rsidRPr="00D50B0B">
        <w:rPr>
          <w:rFonts w:eastAsia="Times New Roman" w:cs="Arial"/>
          <w:color w:val="000000"/>
          <w:lang w:eastAsia="bg-BG"/>
        </w:rPr>
        <w:t xml:space="preserve">При лица със слаб метаболизъм на </w:t>
      </w:r>
      <w:r w:rsidRPr="00D50B0B">
        <w:rPr>
          <w:rFonts w:eastAsia="Times New Roman" w:cs="Arial"/>
          <w:color w:val="000000"/>
          <w:lang w:val="en-US"/>
        </w:rPr>
        <w:t xml:space="preserve">CYP2C19 </w:t>
      </w:r>
      <w:r w:rsidRPr="00D50B0B">
        <w:rPr>
          <w:rFonts w:eastAsia="Times New Roman" w:cs="Arial"/>
          <w:color w:val="000000"/>
          <w:lang w:eastAsia="bg-BG"/>
        </w:rPr>
        <w:t xml:space="preserve">плазмените нива на сертралин се повишават с около 50% в сравнение с лица с бърз метаболизъм (вж. точка 5.2). Не може да бъде изключено взаимодействие с мощни инхибитори на </w:t>
      </w:r>
      <w:r w:rsidRPr="00D50B0B">
        <w:rPr>
          <w:rFonts w:eastAsia="Times New Roman" w:cs="Arial"/>
          <w:color w:val="000000"/>
          <w:lang w:val="en-US"/>
        </w:rPr>
        <w:t xml:space="preserve">CYP2C19, </w:t>
      </w:r>
      <w:r w:rsidRPr="00D50B0B">
        <w:rPr>
          <w:rFonts w:eastAsia="Times New Roman" w:cs="Arial"/>
          <w:color w:val="000000"/>
          <w:lang w:eastAsia="bg-BG"/>
        </w:rPr>
        <w:t>напр. омепразол, ланзопразол, пантопразол, рабепразол, флуоксетин, флувоксамин.</w:t>
      </w:r>
    </w:p>
    <w:p w14:paraId="013F4771" w14:textId="77777777" w:rsidR="00D50B0B" w:rsidRPr="00D50B0B" w:rsidRDefault="00D50B0B" w:rsidP="00D50B0B">
      <w:pPr>
        <w:spacing w:line="240" w:lineRule="auto"/>
        <w:rPr>
          <w:rFonts w:eastAsia="Times New Roman" w:cs="Arial"/>
          <w:color w:val="000000"/>
          <w:lang w:eastAsia="bg-BG"/>
        </w:rPr>
      </w:pPr>
    </w:p>
    <w:p w14:paraId="165C7905" w14:textId="63FD2347" w:rsidR="00D50B0B" w:rsidRPr="00D50B0B" w:rsidRDefault="00D50B0B" w:rsidP="00D50B0B">
      <w:pPr>
        <w:spacing w:line="240" w:lineRule="auto"/>
        <w:rPr>
          <w:rFonts w:eastAsia="Times New Roman" w:cs="Arial"/>
          <w:lang w:eastAsia="bg-BG"/>
        </w:rPr>
      </w:pPr>
      <w:r w:rsidRPr="00D50B0B">
        <w:rPr>
          <w:rFonts w:eastAsia="Times New Roman" w:cs="Arial"/>
          <w:color w:val="000000"/>
          <w:lang w:eastAsia="bg-BG"/>
        </w:rPr>
        <w:t xml:space="preserve">Едновременното приложение на сертралин с метамизол, който е индуктор на метаболизиращите ензими, включително </w:t>
      </w:r>
      <w:r w:rsidRPr="00D50B0B">
        <w:rPr>
          <w:rFonts w:eastAsia="Times New Roman" w:cs="Arial"/>
          <w:color w:val="000000"/>
          <w:lang w:val="en-US"/>
        </w:rPr>
        <w:t xml:space="preserve">CYP2B6 </w:t>
      </w:r>
      <w:r w:rsidRPr="00D50B0B">
        <w:rPr>
          <w:rFonts w:eastAsia="Times New Roman" w:cs="Arial"/>
          <w:color w:val="000000"/>
          <w:lang w:eastAsia="bg-BG"/>
        </w:rPr>
        <w:t xml:space="preserve">и </w:t>
      </w:r>
      <w:r w:rsidRPr="00D50B0B">
        <w:rPr>
          <w:rFonts w:eastAsia="Times New Roman" w:cs="Arial"/>
          <w:color w:val="000000"/>
          <w:lang w:val="en-US"/>
        </w:rPr>
        <w:t xml:space="preserve">CYP3A4, </w:t>
      </w:r>
      <w:r w:rsidRPr="00D50B0B">
        <w:rPr>
          <w:rFonts w:eastAsia="Times New Roman" w:cs="Arial"/>
          <w:color w:val="000000"/>
          <w:lang w:eastAsia="bg-BG"/>
        </w:rPr>
        <w:t>може да предизвика намаляване на плазмените концентрации на сертралин с потенциално намаляване на клиничната ефикасност. Поради това се препоръчва повишено внимание, когато метамизол и сертралин се прилагат едновременно; клиничният отговор и/или нивата на лекарството трябва да се проследяват според случая.</w:t>
      </w:r>
    </w:p>
    <w:p w14:paraId="08384CA1" w14:textId="77777777" w:rsidR="00D50B0B" w:rsidRPr="00D50B0B" w:rsidRDefault="00D50B0B" w:rsidP="00D50B0B">
      <w:pPr>
        <w:spacing w:line="240" w:lineRule="auto"/>
        <w:rPr>
          <w:rFonts w:eastAsia="Times New Roman" w:cs="Arial"/>
          <w:color w:val="000000"/>
          <w:u w:val="single"/>
          <w:lang w:eastAsia="bg-BG"/>
        </w:rPr>
      </w:pPr>
    </w:p>
    <w:p w14:paraId="749B648B" w14:textId="73A47C0F" w:rsidR="00D50B0B" w:rsidRPr="00D50B0B" w:rsidRDefault="00D50B0B" w:rsidP="00D50B0B">
      <w:pPr>
        <w:spacing w:line="240" w:lineRule="auto"/>
        <w:rPr>
          <w:rFonts w:eastAsia="Times New Roman" w:cs="Arial"/>
          <w:lang w:eastAsia="bg-BG"/>
        </w:rPr>
      </w:pPr>
      <w:r w:rsidRPr="00D50B0B">
        <w:rPr>
          <w:rFonts w:eastAsia="Times New Roman" w:cs="Arial"/>
          <w:color w:val="000000"/>
          <w:u w:val="single"/>
          <w:lang w:eastAsia="bg-BG"/>
        </w:rPr>
        <w:t>Педиатрична популация</w:t>
      </w:r>
    </w:p>
    <w:p w14:paraId="086D1D63" w14:textId="77777777" w:rsidR="00D50B0B" w:rsidRPr="00D50B0B" w:rsidRDefault="00D50B0B" w:rsidP="00D50B0B">
      <w:pPr>
        <w:spacing w:line="240" w:lineRule="auto"/>
        <w:rPr>
          <w:rFonts w:eastAsia="Times New Roman" w:cs="Arial"/>
          <w:lang w:eastAsia="bg-BG"/>
        </w:rPr>
      </w:pPr>
      <w:r w:rsidRPr="00D50B0B">
        <w:rPr>
          <w:rFonts w:eastAsia="Times New Roman" w:cs="Arial"/>
          <w:color w:val="000000"/>
          <w:lang w:eastAsia="bg-BG"/>
        </w:rPr>
        <w:t>Проучвания за взаимодействия за провеждани само при възрастни.</w:t>
      </w:r>
    </w:p>
    <w:p w14:paraId="55DD2C87" w14:textId="77777777" w:rsidR="00087C89" w:rsidRPr="00087C89" w:rsidRDefault="00087C89" w:rsidP="00087C89"/>
    <w:p w14:paraId="4762A32B" w14:textId="0B14CF67" w:rsidR="001A6EBD" w:rsidRDefault="002C50EE" w:rsidP="00471F10">
      <w:pPr>
        <w:pStyle w:val="Heading2"/>
      </w:pPr>
      <w:r>
        <w:lastRenderedPageBreak/>
        <w:t>4.6. Фертилитет, бременност и кърмене</w:t>
      </w:r>
    </w:p>
    <w:p w14:paraId="38655E5D" w14:textId="23E1D540" w:rsidR="00D50B0B" w:rsidRDefault="00D50B0B" w:rsidP="00D50B0B"/>
    <w:p w14:paraId="47382BD7" w14:textId="77777777" w:rsidR="00D50B0B" w:rsidRPr="00D50B0B" w:rsidRDefault="00D50B0B" w:rsidP="00D50B0B">
      <w:pPr>
        <w:pStyle w:val="Heading3"/>
        <w:rPr>
          <w:rFonts w:eastAsia="Times New Roman"/>
          <w:sz w:val="32"/>
          <w:szCs w:val="32"/>
          <w:u w:val="single"/>
          <w:lang w:eastAsia="bg-BG"/>
        </w:rPr>
      </w:pPr>
      <w:r w:rsidRPr="00D50B0B">
        <w:rPr>
          <w:rFonts w:eastAsia="Times New Roman"/>
          <w:u w:val="single"/>
          <w:lang w:eastAsia="bg-BG"/>
        </w:rPr>
        <w:t>Бременност</w:t>
      </w:r>
    </w:p>
    <w:p w14:paraId="50F6AF98" w14:textId="77777777" w:rsidR="00D50B0B" w:rsidRPr="00D50B0B" w:rsidRDefault="00D50B0B" w:rsidP="00D50B0B">
      <w:pPr>
        <w:spacing w:line="240" w:lineRule="auto"/>
        <w:rPr>
          <w:rFonts w:eastAsia="Times New Roman" w:cs="Arial"/>
          <w:sz w:val="32"/>
          <w:szCs w:val="32"/>
          <w:lang w:eastAsia="bg-BG"/>
        </w:rPr>
      </w:pPr>
      <w:r w:rsidRPr="00D50B0B">
        <w:rPr>
          <w:rFonts w:eastAsia="Times New Roman" w:cs="Arial"/>
          <w:color w:val="000000"/>
          <w:lang w:eastAsia="bg-BG"/>
        </w:rPr>
        <w:t>Не са провеждани адекватно контролирани проучвания при бременни жени. Въпреки това значително количество данни не са доказали възникване на вродени малформации, причинени от сертралин. Проучванията при животни са демонстрирали ефекти върху репродуктивността, вероятно в резултат на токсичност при майката, причинена от фармакодинамично действие на съставката и/или от пряко фармакодинамично действие на активното вещество върху плода (вж. точка 5.3).</w:t>
      </w:r>
    </w:p>
    <w:p w14:paraId="54FC18E4" w14:textId="77777777" w:rsidR="00D50B0B" w:rsidRPr="00D50B0B" w:rsidRDefault="00D50B0B" w:rsidP="00D50B0B">
      <w:pPr>
        <w:spacing w:line="240" w:lineRule="auto"/>
        <w:rPr>
          <w:rFonts w:eastAsia="Times New Roman" w:cs="Arial"/>
          <w:color w:val="000000"/>
          <w:lang w:eastAsia="bg-BG"/>
        </w:rPr>
      </w:pPr>
    </w:p>
    <w:p w14:paraId="22BB47EA" w14:textId="739923B7" w:rsidR="00D50B0B" w:rsidRPr="00D50B0B" w:rsidRDefault="00D50B0B" w:rsidP="00D50B0B">
      <w:pPr>
        <w:spacing w:line="240" w:lineRule="auto"/>
        <w:rPr>
          <w:rFonts w:eastAsia="Times New Roman" w:cs="Arial"/>
          <w:sz w:val="32"/>
          <w:szCs w:val="32"/>
          <w:lang w:eastAsia="bg-BG"/>
        </w:rPr>
      </w:pPr>
      <w:r w:rsidRPr="00D50B0B">
        <w:rPr>
          <w:rFonts w:eastAsia="Times New Roman" w:cs="Arial"/>
          <w:color w:val="000000"/>
          <w:lang w:eastAsia="bg-BG"/>
        </w:rPr>
        <w:t xml:space="preserve">Има съобщения, че употребата на сертралин по време на бременност предизвиква симптоми, съответстващи на реакции на отнемане при някои новородени, чиито майки са били на лечение със сертралин. Това е наблюдавано и при други </w:t>
      </w:r>
      <w:r w:rsidRPr="00D50B0B">
        <w:rPr>
          <w:rFonts w:eastAsia="Times New Roman" w:cs="Arial"/>
          <w:color w:val="000000"/>
          <w:lang w:val="en-US"/>
        </w:rPr>
        <w:t xml:space="preserve">SSR1 </w:t>
      </w:r>
      <w:r w:rsidRPr="00D50B0B">
        <w:rPr>
          <w:rFonts w:eastAsia="Times New Roman" w:cs="Arial"/>
          <w:color w:val="000000"/>
          <w:lang w:eastAsia="bg-BG"/>
        </w:rPr>
        <w:t>антцдепресанти. Сертралин не се препоръчва по време на бременност, освен ако клиничното състояние на жената е такова, че се очаква ползата от лечението да надхвърли потенциалния риск.</w:t>
      </w:r>
    </w:p>
    <w:p w14:paraId="391D13E4" w14:textId="77777777" w:rsidR="00D50B0B" w:rsidRPr="00D50B0B" w:rsidRDefault="00D50B0B" w:rsidP="00D50B0B">
      <w:pPr>
        <w:spacing w:line="240" w:lineRule="auto"/>
        <w:rPr>
          <w:rFonts w:eastAsia="Times New Roman" w:cs="Arial"/>
          <w:color w:val="000000"/>
          <w:lang w:eastAsia="bg-BG"/>
        </w:rPr>
      </w:pPr>
    </w:p>
    <w:p w14:paraId="05C2B2DB" w14:textId="6653D4F1" w:rsidR="00D50B0B" w:rsidRPr="00D50B0B" w:rsidRDefault="00D50B0B" w:rsidP="00D50B0B">
      <w:pPr>
        <w:spacing w:line="240" w:lineRule="auto"/>
        <w:rPr>
          <w:rFonts w:eastAsia="Times New Roman" w:cs="Arial"/>
          <w:sz w:val="32"/>
          <w:szCs w:val="32"/>
          <w:lang w:eastAsia="bg-BG"/>
        </w:rPr>
      </w:pPr>
      <w:r w:rsidRPr="00D50B0B">
        <w:rPr>
          <w:rFonts w:eastAsia="Times New Roman" w:cs="Arial"/>
          <w:color w:val="000000"/>
          <w:lang w:eastAsia="bg-BG"/>
        </w:rPr>
        <w:t>Новородените трябва да се наблюдават, ако майката е продължила да приема сертралин през по-късните етапи от бременността, особено през третото тримесечие. Ако майката е приемала сертралин през по-късните етапи от бременността, следните симптоми могат да се проявят при новороденото: респираторен дистрес, цианоза, апнея, припадъци, нестабилност на телесната температура, затруднено хранене, повръщане, хипогликемеия, повишен мускулен тонус, хипотония, хиперрефлексия, тремор, повишена възбудимост, раздразнителност, летаргия, продължителен плач, сънливост и затруднено заспиване. Тези симптоми могат да се дължат или на серотонинергични ефекти, или на симптоми на отнемане. В повечето случаи усложненията настъпват веднага или скоро (&lt;24 часа) след раждането.</w:t>
      </w:r>
    </w:p>
    <w:p w14:paraId="72BC04A2" w14:textId="77777777" w:rsidR="00D50B0B" w:rsidRPr="00D50B0B" w:rsidRDefault="00D50B0B" w:rsidP="00D50B0B">
      <w:pPr>
        <w:spacing w:line="240" w:lineRule="auto"/>
        <w:rPr>
          <w:rFonts w:eastAsia="Times New Roman" w:cs="Arial"/>
          <w:color w:val="000000"/>
          <w:lang w:eastAsia="bg-BG"/>
        </w:rPr>
      </w:pPr>
    </w:p>
    <w:p w14:paraId="19541CAE" w14:textId="2B90F2B6" w:rsidR="00D50B0B" w:rsidRPr="00D50B0B" w:rsidRDefault="00D50B0B" w:rsidP="00D50B0B">
      <w:pPr>
        <w:spacing w:line="240" w:lineRule="auto"/>
        <w:rPr>
          <w:rFonts w:eastAsia="Times New Roman" w:cs="Arial"/>
          <w:sz w:val="32"/>
          <w:szCs w:val="32"/>
          <w:lang w:eastAsia="bg-BG"/>
        </w:rPr>
      </w:pPr>
      <w:r w:rsidRPr="00D50B0B">
        <w:rPr>
          <w:rFonts w:eastAsia="Times New Roman" w:cs="Arial"/>
          <w:color w:val="000000"/>
          <w:lang w:eastAsia="bg-BG"/>
        </w:rPr>
        <w:t xml:space="preserve">Въз основа на епидемиологичните данни се предполага, че приложението на </w:t>
      </w:r>
      <w:r w:rsidRPr="00D50B0B">
        <w:rPr>
          <w:rFonts w:eastAsia="Times New Roman" w:cs="Arial"/>
          <w:color w:val="000000"/>
          <w:lang w:val="en-US"/>
        </w:rPr>
        <w:t xml:space="preserve">SSRIs </w:t>
      </w:r>
      <w:r w:rsidRPr="00D50B0B">
        <w:rPr>
          <w:rFonts w:eastAsia="Times New Roman" w:cs="Arial"/>
          <w:color w:val="000000"/>
          <w:lang w:eastAsia="bg-BG"/>
        </w:rPr>
        <w:t>по време на</w:t>
      </w:r>
    </w:p>
    <w:p w14:paraId="1E688E83" w14:textId="7DB7988A" w:rsidR="00D50B0B" w:rsidRPr="00D50B0B" w:rsidRDefault="00D50B0B" w:rsidP="00D50B0B">
      <w:pPr>
        <w:spacing w:line="240" w:lineRule="auto"/>
        <w:rPr>
          <w:rFonts w:eastAsia="Times New Roman" w:cs="Arial"/>
          <w:sz w:val="32"/>
          <w:szCs w:val="32"/>
          <w:lang w:eastAsia="bg-BG"/>
        </w:rPr>
      </w:pPr>
      <w:r w:rsidRPr="00D50B0B">
        <w:rPr>
          <w:rFonts w:eastAsia="Times New Roman" w:cs="Arial"/>
          <w:color w:val="000000"/>
          <w:lang w:eastAsia="bg-BG"/>
        </w:rPr>
        <w:t>бременност, особено в късната бременност, може да увеличи риска от персистираща белодробна хипертония на новороденото (ПБХН). Наблюдаваният риск беше приблизително</w:t>
      </w:r>
      <w:r w:rsidRPr="00D50B0B">
        <w:rPr>
          <w:rFonts w:eastAsia="Times New Roman" w:cs="Arial"/>
          <w:sz w:val="32"/>
          <w:szCs w:val="32"/>
          <w:lang w:eastAsia="bg-BG"/>
        </w:rPr>
        <w:t xml:space="preserve"> </w:t>
      </w:r>
      <w:r w:rsidRPr="00D50B0B">
        <w:rPr>
          <w:rFonts w:eastAsia="Times New Roman" w:cs="Arial"/>
          <w:color w:val="000000"/>
          <w:lang w:eastAsia="bg-BG"/>
        </w:rPr>
        <w:t>случая на 1000 бременности. При общата популация се проявяват 1 до 2 случая на ПБХН на</w:t>
      </w:r>
      <w:r w:rsidRPr="00D50B0B">
        <w:rPr>
          <w:rFonts w:eastAsia="Times New Roman" w:cs="Arial"/>
          <w:color w:val="000000"/>
          <w:lang w:eastAsia="bg-BG"/>
        </w:rPr>
        <w:t xml:space="preserve"> </w:t>
      </w:r>
      <w:r w:rsidRPr="00D50B0B">
        <w:rPr>
          <w:rFonts w:eastAsia="Times New Roman" w:cs="Arial"/>
          <w:color w:val="000000"/>
          <w:lang w:eastAsia="bg-BG"/>
        </w:rPr>
        <w:t>000 бременности.</w:t>
      </w:r>
    </w:p>
    <w:p w14:paraId="4678AAAB" w14:textId="77777777" w:rsidR="00D50B0B" w:rsidRPr="00D50B0B" w:rsidRDefault="00D50B0B" w:rsidP="00D50B0B">
      <w:pPr>
        <w:spacing w:line="240" w:lineRule="auto"/>
        <w:rPr>
          <w:rFonts w:eastAsia="Times New Roman" w:cs="Arial"/>
          <w:color w:val="000000"/>
          <w:lang w:eastAsia="bg-BG"/>
        </w:rPr>
      </w:pPr>
    </w:p>
    <w:p w14:paraId="2C2FFE66" w14:textId="132D2888" w:rsidR="00D50B0B" w:rsidRPr="00D50B0B" w:rsidRDefault="00D50B0B" w:rsidP="00D50B0B">
      <w:pPr>
        <w:spacing w:line="240" w:lineRule="auto"/>
        <w:rPr>
          <w:rFonts w:eastAsia="Times New Roman" w:cs="Arial"/>
          <w:sz w:val="32"/>
          <w:szCs w:val="32"/>
          <w:lang w:eastAsia="bg-BG"/>
        </w:rPr>
      </w:pPr>
      <w:r w:rsidRPr="00D50B0B">
        <w:rPr>
          <w:rFonts w:eastAsia="Times New Roman" w:cs="Arial"/>
          <w:color w:val="000000"/>
          <w:lang w:eastAsia="bg-BG"/>
        </w:rPr>
        <w:t xml:space="preserve">Данните от наблюденията показват повишен риск (по-малко от 2 пъти) от следродилен кръвоизлив при експозиция на </w:t>
      </w:r>
      <w:r w:rsidRPr="00D50B0B">
        <w:rPr>
          <w:rFonts w:eastAsia="Times New Roman" w:cs="Arial"/>
          <w:color w:val="000000"/>
          <w:lang w:val="en-US"/>
        </w:rPr>
        <w:t xml:space="preserve">SSRI/SNRI </w:t>
      </w:r>
      <w:r w:rsidRPr="00D50B0B">
        <w:rPr>
          <w:rFonts w:eastAsia="Times New Roman" w:cs="Arial"/>
          <w:color w:val="000000"/>
          <w:lang w:eastAsia="bg-BG"/>
        </w:rPr>
        <w:t>в рамките на месеца преди раждането (вж. точки 4.4, 4.8).</w:t>
      </w:r>
    </w:p>
    <w:p w14:paraId="1B5AC784" w14:textId="77777777" w:rsidR="00D50B0B" w:rsidRPr="00D50B0B" w:rsidRDefault="00D50B0B" w:rsidP="00D50B0B">
      <w:pPr>
        <w:spacing w:line="240" w:lineRule="auto"/>
        <w:rPr>
          <w:rFonts w:eastAsia="Times New Roman" w:cs="Arial"/>
          <w:color w:val="000000"/>
          <w:u w:val="single"/>
          <w:lang w:eastAsia="bg-BG"/>
        </w:rPr>
      </w:pPr>
    </w:p>
    <w:p w14:paraId="483F5B7B" w14:textId="0763D122" w:rsidR="00D50B0B" w:rsidRPr="00D50B0B" w:rsidRDefault="00D50B0B" w:rsidP="00D50B0B">
      <w:pPr>
        <w:pStyle w:val="Heading3"/>
        <w:rPr>
          <w:rFonts w:eastAsia="Times New Roman"/>
          <w:sz w:val="32"/>
          <w:szCs w:val="32"/>
          <w:u w:val="single"/>
          <w:lang w:eastAsia="bg-BG"/>
        </w:rPr>
      </w:pPr>
      <w:r w:rsidRPr="00D50B0B">
        <w:rPr>
          <w:rFonts w:eastAsia="Times New Roman"/>
          <w:u w:val="single"/>
          <w:lang w:eastAsia="bg-BG"/>
        </w:rPr>
        <w:t>Кърмене</w:t>
      </w:r>
    </w:p>
    <w:p w14:paraId="41A56203" w14:textId="77777777" w:rsidR="00D50B0B" w:rsidRPr="00D50B0B" w:rsidRDefault="00D50B0B" w:rsidP="00D50B0B">
      <w:pPr>
        <w:spacing w:line="240" w:lineRule="auto"/>
        <w:rPr>
          <w:rFonts w:eastAsia="Times New Roman" w:cs="Arial"/>
          <w:sz w:val="32"/>
          <w:szCs w:val="32"/>
          <w:lang w:eastAsia="bg-BG"/>
        </w:rPr>
      </w:pPr>
      <w:r w:rsidRPr="00D50B0B">
        <w:rPr>
          <w:rFonts w:eastAsia="Times New Roman" w:cs="Arial"/>
          <w:color w:val="000000"/>
          <w:lang w:eastAsia="bg-BG"/>
        </w:rPr>
        <w:t xml:space="preserve">Публикуваните данни за нивата на сертралин в кърмата сочат, че малки количества сертралин и неговият метаболит </w:t>
      </w:r>
      <w:r w:rsidRPr="00D50B0B">
        <w:rPr>
          <w:rFonts w:eastAsia="Times New Roman" w:cs="Arial"/>
          <w:color w:val="000000"/>
          <w:lang w:val="en-US"/>
        </w:rPr>
        <w:t>N</w:t>
      </w:r>
      <w:r w:rsidRPr="00D50B0B">
        <w:rPr>
          <w:rFonts w:eastAsia="Times New Roman" w:cs="Arial"/>
          <w:color w:val="000000"/>
          <w:lang w:eastAsia="bg-BG"/>
        </w:rPr>
        <w:t>-десметилсертралин се екскретират в кърмата. Като цяло пренебрежими или недоловими нива на сертралин са открити в серума на кърмачета, с едно изключение на новородено със серумни нива около 50% от нивото на майката (но без забележим ефект върху здравето на това кърмаче). Досега не са докладвани нежелани реакции върху здравето на деца, кърмени от майки, приемащи сертралин, но риск не може да се изключи. Приложението при кърмачки не се препоръчва, освен в случаите, когато според преценката на лекаря ползата от лечението надхвърля риска.</w:t>
      </w:r>
    </w:p>
    <w:p w14:paraId="429941E6" w14:textId="77777777" w:rsidR="00D50B0B" w:rsidRPr="00D50B0B" w:rsidRDefault="00D50B0B" w:rsidP="00D50B0B">
      <w:pPr>
        <w:spacing w:line="240" w:lineRule="auto"/>
        <w:rPr>
          <w:rFonts w:eastAsia="Times New Roman" w:cs="Arial"/>
          <w:color w:val="000000"/>
          <w:lang w:eastAsia="bg-BG"/>
        </w:rPr>
      </w:pPr>
    </w:p>
    <w:p w14:paraId="00ADEF40" w14:textId="04A4D558" w:rsidR="00D50B0B" w:rsidRPr="00D50B0B" w:rsidRDefault="00D50B0B" w:rsidP="00D50B0B">
      <w:pPr>
        <w:pStyle w:val="Heading3"/>
        <w:rPr>
          <w:rFonts w:eastAsia="Times New Roman"/>
          <w:sz w:val="32"/>
          <w:szCs w:val="32"/>
          <w:u w:val="single"/>
          <w:lang w:eastAsia="bg-BG"/>
        </w:rPr>
      </w:pPr>
      <w:r w:rsidRPr="00D50B0B">
        <w:rPr>
          <w:rFonts w:eastAsia="Times New Roman"/>
          <w:u w:val="single"/>
          <w:lang w:eastAsia="bg-BG"/>
        </w:rPr>
        <w:lastRenderedPageBreak/>
        <w:t>Фертилитет</w:t>
      </w:r>
    </w:p>
    <w:p w14:paraId="76002BB4" w14:textId="2D7E785B" w:rsidR="00D50B0B" w:rsidRDefault="00D50B0B" w:rsidP="00D50B0B">
      <w:pPr>
        <w:rPr>
          <w:rFonts w:eastAsia="Times New Roman" w:cs="Arial"/>
          <w:color w:val="000000"/>
          <w:lang w:eastAsia="bg-BG"/>
        </w:rPr>
      </w:pPr>
      <w:r w:rsidRPr="00D50B0B">
        <w:rPr>
          <w:rFonts w:eastAsia="Times New Roman" w:cs="Arial"/>
          <w:color w:val="000000"/>
          <w:lang w:eastAsia="bg-BG"/>
        </w:rPr>
        <w:t xml:space="preserve">Проучванията при животни не показват ефекти на сертралин върху параметрите на фертилитета (виж т. 5.3.). Съобщаваните случаи с някои </w:t>
      </w:r>
      <w:r w:rsidRPr="00D50B0B">
        <w:rPr>
          <w:rFonts w:eastAsia="Times New Roman" w:cs="Arial"/>
          <w:color w:val="000000"/>
          <w:lang w:val="en-US"/>
        </w:rPr>
        <w:t xml:space="preserve">SSRIs </w:t>
      </w:r>
      <w:r w:rsidRPr="00D50B0B">
        <w:rPr>
          <w:rFonts w:eastAsia="Times New Roman" w:cs="Arial"/>
          <w:color w:val="000000"/>
          <w:lang w:eastAsia="bg-BG"/>
        </w:rPr>
        <w:t>са показали, че увреждането на спермата е обратимо. Не е наблюдавано повлияване на фертилитета при хора.</w:t>
      </w:r>
    </w:p>
    <w:p w14:paraId="67DBFFD7" w14:textId="77777777" w:rsidR="00D50B0B" w:rsidRPr="00D50B0B" w:rsidRDefault="00D50B0B" w:rsidP="00D50B0B">
      <w:pPr>
        <w:rPr>
          <w:rFonts w:eastAsia="Times New Roman" w:cs="Arial"/>
          <w:color w:val="000000"/>
          <w:lang w:eastAsia="bg-BG"/>
        </w:rPr>
      </w:pPr>
    </w:p>
    <w:p w14:paraId="188B33B4" w14:textId="7DF2D190" w:rsidR="001A6EBD" w:rsidRDefault="002C50EE" w:rsidP="00471F10">
      <w:pPr>
        <w:pStyle w:val="Heading2"/>
      </w:pPr>
      <w:r>
        <w:t>4.7. Ефекти върху способността за шофиране и работа с машини</w:t>
      </w:r>
    </w:p>
    <w:p w14:paraId="675E882E" w14:textId="309B4B1E" w:rsidR="00D50B0B" w:rsidRDefault="00D50B0B" w:rsidP="00D50B0B"/>
    <w:p w14:paraId="21ED90EA" w14:textId="77777777" w:rsidR="00D50B0B" w:rsidRPr="00D50B0B" w:rsidRDefault="00D50B0B" w:rsidP="00D50B0B">
      <w:pPr>
        <w:rPr>
          <w:rFonts w:ascii="Times New Roman" w:hAnsi="Times New Roman" w:cs="Times New Roman"/>
          <w:sz w:val="24"/>
          <w:szCs w:val="24"/>
          <w:lang w:eastAsia="bg-BG"/>
        </w:rPr>
      </w:pPr>
      <w:r w:rsidRPr="00D50B0B">
        <w:rPr>
          <w:lang w:eastAsia="bg-BG"/>
        </w:rPr>
        <w:t>Клинични фармакологични проучвания не са показали ефект на сертралин върху психомоторните функции. В същото време обаче, тъй като психотропните лекарства могат да нарушат психическите или физическите способности, необходими за осъществяване на потенциално опасни задачи като управление на МПС или работа с машини, се препоръчва пациентите да бъдат съответно предупредени.</w:t>
      </w:r>
    </w:p>
    <w:p w14:paraId="509D81C8" w14:textId="77777777" w:rsidR="00D50B0B" w:rsidRPr="00D50B0B" w:rsidRDefault="00D50B0B" w:rsidP="00D50B0B"/>
    <w:p w14:paraId="44CE30A3" w14:textId="2FB601FE" w:rsidR="007122AD" w:rsidRDefault="002C50EE" w:rsidP="00936AD0">
      <w:pPr>
        <w:pStyle w:val="Heading2"/>
      </w:pPr>
      <w:r>
        <w:t>4.8. Нежелани лекарствени реакции</w:t>
      </w:r>
    </w:p>
    <w:p w14:paraId="74772EE8" w14:textId="1B4F7EFB" w:rsidR="00D50B0B" w:rsidRDefault="00D50B0B" w:rsidP="00D50B0B"/>
    <w:p w14:paraId="1E102B3B" w14:textId="77777777" w:rsidR="00D50B0B" w:rsidRPr="00D50B0B" w:rsidRDefault="00D50B0B" w:rsidP="00D50B0B">
      <w:pPr>
        <w:spacing w:line="240" w:lineRule="auto"/>
        <w:rPr>
          <w:rFonts w:eastAsia="Times New Roman" w:cs="Arial"/>
          <w:sz w:val="32"/>
          <w:szCs w:val="32"/>
          <w:lang w:eastAsia="bg-BG"/>
        </w:rPr>
      </w:pPr>
      <w:r w:rsidRPr="00D50B0B">
        <w:rPr>
          <w:rFonts w:eastAsia="Times New Roman" w:cs="Arial"/>
          <w:color w:val="000000"/>
          <w:lang w:eastAsia="bg-BG"/>
        </w:rPr>
        <w:t>Гаденето е най-честата нежелана реакция. При лечението на социално тревожно разстройство, сексуални нарушения (липса на еякулация) при мъжете са възникнали в 14% от случаите при сертралин спрямо 0% при плацебо. Тези нежелани реакции са дозозависими и често отшумяват при продължаване на лечението.</w:t>
      </w:r>
    </w:p>
    <w:p w14:paraId="6D573C7D" w14:textId="77777777" w:rsidR="00D50B0B" w:rsidRPr="00D50B0B" w:rsidRDefault="00D50B0B" w:rsidP="00D50B0B">
      <w:pPr>
        <w:spacing w:line="240" w:lineRule="auto"/>
        <w:rPr>
          <w:rFonts w:eastAsia="Times New Roman" w:cs="Arial"/>
          <w:sz w:val="32"/>
          <w:szCs w:val="32"/>
          <w:lang w:eastAsia="bg-BG"/>
        </w:rPr>
      </w:pPr>
      <w:r w:rsidRPr="00D50B0B">
        <w:rPr>
          <w:rFonts w:eastAsia="Times New Roman" w:cs="Arial"/>
          <w:color w:val="000000"/>
          <w:lang w:eastAsia="bg-BG"/>
        </w:rPr>
        <w:t>Профилът на нежеланите реакции, често наблюдавани в двойно-слепи, плацебо-контролирани проучвания при пациенти с ОКР, паническо разстройство, ПТСР и социално тревожно разстройство, е сходен с този, наблюдаван в клиничните проучвания при пациенти с депресия.</w:t>
      </w:r>
    </w:p>
    <w:p w14:paraId="1C947641" w14:textId="77777777" w:rsidR="00D50B0B" w:rsidRPr="00D50B0B" w:rsidRDefault="00D50B0B" w:rsidP="00D50B0B">
      <w:pPr>
        <w:spacing w:line="240" w:lineRule="auto"/>
        <w:rPr>
          <w:rFonts w:eastAsia="Times New Roman" w:cs="Arial"/>
          <w:color w:val="000000"/>
          <w:lang w:eastAsia="bg-BG"/>
        </w:rPr>
      </w:pPr>
    </w:p>
    <w:p w14:paraId="46B8813E" w14:textId="51F7701A" w:rsidR="00D50B0B" w:rsidRPr="00D50B0B" w:rsidRDefault="00D50B0B" w:rsidP="00D50B0B">
      <w:pPr>
        <w:spacing w:line="240" w:lineRule="auto"/>
        <w:rPr>
          <w:rFonts w:eastAsia="Times New Roman" w:cs="Arial"/>
          <w:sz w:val="32"/>
          <w:szCs w:val="32"/>
          <w:lang w:eastAsia="bg-BG"/>
        </w:rPr>
      </w:pPr>
      <w:r w:rsidRPr="00D50B0B">
        <w:rPr>
          <w:rFonts w:eastAsia="Times New Roman" w:cs="Arial"/>
          <w:color w:val="000000"/>
          <w:lang w:eastAsia="bg-BG"/>
        </w:rPr>
        <w:t xml:space="preserve">В </w:t>
      </w:r>
      <w:r w:rsidRPr="00D50B0B">
        <w:rPr>
          <w:rFonts w:eastAsia="Times New Roman" w:cs="Arial"/>
          <w:i/>
          <w:iCs/>
          <w:color w:val="000000"/>
          <w:lang w:eastAsia="bg-BG"/>
        </w:rPr>
        <w:t>Таблица 1</w:t>
      </w:r>
      <w:r w:rsidRPr="00D50B0B">
        <w:rPr>
          <w:rFonts w:eastAsia="Times New Roman" w:cs="Arial"/>
          <w:color w:val="000000"/>
          <w:lang w:eastAsia="bg-BG"/>
        </w:rPr>
        <w:t xml:space="preserve"> са показани нежеланите реакции, наблюдавани в постмаркетинговия период (е неизвестна честота) и от плацебо-контролирани клинични проучвания (включващи общо 2 542 пациенти на сертралин и 2 145 на плацебо) при депресия, ОКР, паническо разстройство, ПТСР и социално тревожно разстройство. Някои нежелани лекарствени реакции, изброени в Таблица 1 могат да намалеят по сила и честота при продължаване на лечението и по принцип не водят до прекъсване на терапията.</w:t>
      </w:r>
    </w:p>
    <w:p w14:paraId="60944A05" w14:textId="77777777" w:rsidR="00D50B0B" w:rsidRPr="00D50B0B" w:rsidRDefault="00D50B0B" w:rsidP="00D50B0B">
      <w:pPr>
        <w:spacing w:line="240" w:lineRule="auto"/>
        <w:rPr>
          <w:rFonts w:eastAsia="Times New Roman" w:cs="Arial"/>
          <w:color w:val="000000"/>
          <w:u w:val="single"/>
          <w:lang w:eastAsia="bg-BG"/>
        </w:rPr>
      </w:pPr>
    </w:p>
    <w:p w14:paraId="2F430EDA" w14:textId="0689692B" w:rsidR="00D50B0B" w:rsidRPr="00D50B0B" w:rsidRDefault="00D50B0B" w:rsidP="00D50B0B">
      <w:pPr>
        <w:spacing w:line="240" w:lineRule="auto"/>
        <w:rPr>
          <w:rFonts w:eastAsia="Times New Roman" w:cs="Arial"/>
          <w:sz w:val="32"/>
          <w:szCs w:val="32"/>
          <w:lang w:eastAsia="bg-BG"/>
        </w:rPr>
      </w:pPr>
      <w:r w:rsidRPr="00D50B0B">
        <w:rPr>
          <w:rFonts w:eastAsia="Times New Roman" w:cs="Arial"/>
          <w:color w:val="000000"/>
          <w:u w:val="single"/>
          <w:lang w:eastAsia="bg-BG"/>
        </w:rPr>
        <w:t>Таблица 1: Нежелани реакции</w:t>
      </w:r>
    </w:p>
    <w:p w14:paraId="3A9D872E" w14:textId="57AD2926" w:rsidR="00D50B0B" w:rsidRPr="00D50B0B" w:rsidRDefault="00D50B0B" w:rsidP="00D50B0B">
      <w:pPr>
        <w:spacing w:line="240" w:lineRule="auto"/>
        <w:rPr>
          <w:rFonts w:eastAsia="Times New Roman" w:cs="Arial"/>
          <w:color w:val="000000"/>
          <w:lang w:eastAsia="bg-BG"/>
        </w:rPr>
      </w:pPr>
      <w:r w:rsidRPr="00D50B0B">
        <w:rPr>
          <w:rFonts w:eastAsia="Times New Roman" w:cs="Arial"/>
          <w:color w:val="000000"/>
          <w:lang w:eastAsia="bg-BG"/>
        </w:rPr>
        <w:t>Честота на нежеланите реакции, наблюдавани в плацебо-контролирани клинични проучвания при депресия, ОКР, паническо разстройство, ПТСР и социално тревожно разстройство. Обобщен анализ и постмаркетингов опит (с неизвестна честота).</w:t>
      </w:r>
    </w:p>
    <w:p w14:paraId="7A3673A6" w14:textId="15FF9FA4" w:rsidR="00D50B0B" w:rsidRDefault="00D50B0B" w:rsidP="00D50B0B"/>
    <w:tbl>
      <w:tblPr>
        <w:tblStyle w:val="TableGrid"/>
        <w:tblW w:w="0" w:type="auto"/>
        <w:tblLook w:val="04A0" w:firstRow="1" w:lastRow="0" w:firstColumn="1" w:lastColumn="0" w:noHBand="0" w:noVBand="1"/>
      </w:tblPr>
      <w:tblGrid>
        <w:gridCol w:w="1758"/>
        <w:gridCol w:w="1208"/>
        <w:gridCol w:w="1394"/>
        <w:gridCol w:w="1633"/>
        <w:gridCol w:w="1983"/>
        <w:gridCol w:w="1374"/>
      </w:tblGrid>
      <w:tr w:rsidR="00D50B0B" w14:paraId="771C721E" w14:textId="77777777" w:rsidTr="00D50B0B">
        <w:tc>
          <w:tcPr>
            <w:tcW w:w="1801" w:type="dxa"/>
          </w:tcPr>
          <w:p w14:paraId="625403FA" w14:textId="24C48796" w:rsidR="00D50B0B" w:rsidRPr="00D50B0B" w:rsidRDefault="00D50B0B" w:rsidP="00D50B0B">
            <w:pPr>
              <w:rPr>
                <w:rFonts w:cs="Arial"/>
              </w:rPr>
            </w:pPr>
            <w:r w:rsidRPr="00D50B0B">
              <w:rPr>
                <w:rFonts w:cs="Arial"/>
              </w:rPr>
              <w:t>Снстемо- органен клас</w:t>
            </w:r>
          </w:p>
        </w:tc>
        <w:tc>
          <w:tcPr>
            <w:tcW w:w="1236" w:type="dxa"/>
          </w:tcPr>
          <w:p w14:paraId="22924FE6" w14:textId="77777777" w:rsidR="00D50B0B" w:rsidRPr="00D50B0B" w:rsidRDefault="00D50B0B" w:rsidP="00D50B0B">
            <w:pPr>
              <w:rPr>
                <w:rFonts w:cs="Arial"/>
              </w:rPr>
            </w:pPr>
            <w:r w:rsidRPr="00D50B0B">
              <w:rPr>
                <w:rFonts w:cs="Arial"/>
              </w:rPr>
              <w:t>Много чести</w:t>
            </w:r>
          </w:p>
          <w:p w14:paraId="4C296E41" w14:textId="620FEC31" w:rsidR="00D50B0B" w:rsidRPr="00D50B0B" w:rsidRDefault="00D50B0B" w:rsidP="00D50B0B">
            <w:pPr>
              <w:rPr>
                <w:rFonts w:cs="Arial"/>
              </w:rPr>
            </w:pPr>
            <w:r w:rsidRPr="00D50B0B">
              <w:rPr>
                <w:rFonts w:cs="Arial"/>
              </w:rPr>
              <w:t>(≥1/10)</w:t>
            </w:r>
          </w:p>
        </w:tc>
        <w:tc>
          <w:tcPr>
            <w:tcW w:w="1427" w:type="dxa"/>
          </w:tcPr>
          <w:p w14:paraId="6C7784AF" w14:textId="17E4F223" w:rsidR="00D50B0B" w:rsidRPr="00D50B0B" w:rsidRDefault="00D50B0B" w:rsidP="00D50B0B">
            <w:pPr>
              <w:rPr>
                <w:rFonts w:cs="Arial"/>
              </w:rPr>
            </w:pPr>
            <w:r w:rsidRPr="00D50B0B">
              <w:rPr>
                <w:rFonts w:cs="Arial"/>
              </w:rPr>
              <w:t>Чести (≥1/100 до &lt;1/10)</w:t>
            </w:r>
          </w:p>
        </w:tc>
        <w:tc>
          <w:tcPr>
            <w:tcW w:w="1673" w:type="dxa"/>
          </w:tcPr>
          <w:p w14:paraId="4529F67E" w14:textId="77777777" w:rsidR="00D50B0B" w:rsidRPr="00D50B0B" w:rsidRDefault="00D50B0B" w:rsidP="00D50B0B">
            <w:pPr>
              <w:rPr>
                <w:rFonts w:cs="Arial"/>
              </w:rPr>
            </w:pPr>
            <w:r w:rsidRPr="00D50B0B">
              <w:rPr>
                <w:rFonts w:cs="Arial"/>
              </w:rPr>
              <w:t>Нечести</w:t>
            </w:r>
          </w:p>
          <w:p w14:paraId="75E20814" w14:textId="77777777" w:rsidR="00D50B0B" w:rsidRPr="00D50B0B" w:rsidRDefault="00D50B0B" w:rsidP="00D50B0B">
            <w:pPr>
              <w:rPr>
                <w:rFonts w:cs="Arial"/>
              </w:rPr>
            </w:pPr>
            <w:r w:rsidRPr="00D50B0B">
              <w:rPr>
                <w:rFonts w:cs="Arial"/>
              </w:rPr>
              <w:t>(≥1/1 000 до</w:t>
            </w:r>
          </w:p>
          <w:p w14:paraId="402A1BF2" w14:textId="7B5CCBF7" w:rsidR="00D50B0B" w:rsidRPr="00D50B0B" w:rsidRDefault="00D50B0B" w:rsidP="00D50B0B">
            <w:pPr>
              <w:rPr>
                <w:rFonts w:cs="Arial"/>
              </w:rPr>
            </w:pPr>
            <w:r w:rsidRPr="00D50B0B">
              <w:rPr>
                <w:rFonts w:cs="Arial"/>
              </w:rPr>
              <w:t>&lt;1/100)</w:t>
            </w:r>
          </w:p>
        </w:tc>
        <w:tc>
          <w:tcPr>
            <w:tcW w:w="2033" w:type="dxa"/>
          </w:tcPr>
          <w:p w14:paraId="3209C7BB" w14:textId="77777777" w:rsidR="00D50B0B" w:rsidRPr="00D50B0B" w:rsidRDefault="00D50B0B" w:rsidP="00D50B0B">
            <w:pPr>
              <w:rPr>
                <w:rFonts w:cs="Arial"/>
              </w:rPr>
            </w:pPr>
            <w:r w:rsidRPr="00D50B0B">
              <w:rPr>
                <w:rFonts w:cs="Arial"/>
              </w:rPr>
              <w:t>Редки</w:t>
            </w:r>
          </w:p>
          <w:p w14:paraId="3C40144B" w14:textId="77777777" w:rsidR="00D50B0B" w:rsidRPr="00D50B0B" w:rsidRDefault="00D50B0B" w:rsidP="00D50B0B">
            <w:pPr>
              <w:rPr>
                <w:rFonts w:cs="Arial"/>
              </w:rPr>
            </w:pPr>
            <w:r w:rsidRPr="00D50B0B">
              <w:rPr>
                <w:rFonts w:cs="Arial"/>
              </w:rPr>
              <w:t>(≥1/10 000 до</w:t>
            </w:r>
          </w:p>
          <w:p w14:paraId="2A7EDBD2" w14:textId="01576667" w:rsidR="00D50B0B" w:rsidRPr="00D50B0B" w:rsidRDefault="00D50B0B" w:rsidP="00D50B0B">
            <w:pPr>
              <w:rPr>
                <w:rFonts w:cs="Arial"/>
              </w:rPr>
            </w:pPr>
            <w:r w:rsidRPr="00D50B0B">
              <w:rPr>
                <w:rFonts w:cs="Arial"/>
              </w:rPr>
              <w:t>&lt;1/1 000)</w:t>
            </w:r>
          </w:p>
        </w:tc>
        <w:tc>
          <w:tcPr>
            <w:tcW w:w="1406" w:type="dxa"/>
          </w:tcPr>
          <w:p w14:paraId="11003924" w14:textId="77777777" w:rsidR="00D50B0B" w:rsidRPr="00D50B0B" w:rsidRDefault="00D50B0B" w:rsidP="00D50B0B">
            <w:pPr>
              <w:rPr>
                <w:rFonts w:cs="Arial"/>
              </w:rPr>
            </w:pPr>
            <w:r w:rsidRPr="00D50B0B">
              <w:rPr>
                <w:rFonts w:cs="Arial"/>
              </w:rPr>
              <w:t>С неизвестна честота</w:t>
            </w:r>
          </w:p>
          <w:p w14:paraId="29308D27" w14:textId="77777777" w:rsidR="00D50B0B" w:rsidRPr="00D50B0B" w:rsidRDefault="00D50B0B" w:rsidP="00D50B0B">
            <w:pPr>
              <w:rPr>
                <w:rFonts w:cs="Arial"/>
              </w:rPr>
            </w:pPr>
            <w:r w:rsidRPr="00D50B0B">
              <w:rPr>
                <w:rFonts w:cs="Arial"/>
              </w:rPr>
              <w:t>(от наличните данни не</w:t>
            </w:r>
          </w:p>
          <w:p w14:paraId="149ED566" w14:textId="77777777" w:rsidR="00D50B0B" w:rsidRPr="00D50B0B" w:rsidRDefault="00D50B0B" w:rsidP="00D50B0B">
            <w:pPr>
              <w:rPr>
                <w:rFonts w:cs="Arial"/>
              </w:rPr>
            </w:pPr>
            <w:r w:rsidRPr="00D50B0B">
              <w:rPr>
                <w:rFonts w:cs="Arial"/>
              </w:rPr>
              <w:t xml:space="preserve">може да бъде направена </w:t>
            </w:r>
          </w:p>
          <w:p w14:paraId="5FC3D703" w14:textId="7D8CBAD7" w:rsidR="00D50B0B" w:rsidRPr="00D50B0B" w:rsidRDefault="00D50B0B" w:rsidP="00D50B0B">
            <w:pPr>
              <w:rPr>
                <w:rFonts w:cs="Arial"/>
              </w:rPr>
            </w:pPr>
            <w:r w:rsidRPr="00D50B0B">
              <w:rPr>
                <w:rFonts w:cs="Arial"/>
              </w:rPr>
              <w:t>оценка)</w:t>
            </w:r>
          </w:p>
        </w:tc>
      </w:tr>
      <w:tr w:rsidR="00D50B0B" w14:paraId="57C0D30B" w14:textId="77777777" w:rsidTr="00D50B0B">
        <w:tc>
          <w:tcPr>
            <w:tcW w:w="1801" w:type="dxa"/>
          </w:tcPr>
          <w:p w14:paraId="1952D58C" w14:textId="0ABAC583" w:rsidR="00D50B0B" w:rsidRPr="00D50B0B" w:rsidRDefault="00D50B0B" w:rsidP="00D50B0B">
            <w:pPr>
              <w:rPr>
                <w:rFonts w:cs="Arial"/>
              </w:rPr>
            </w:pPr>
            <w:r w:rsidRPr="00D50B0B">
              <w:rPr>
                <w:rFonts w:cs="Arial"/>
                <w:i/>
                <w:iCs/>
              </w:rPr>
              <w:lastRenderedPageBreak/>
              <w:t>Инфекции и инфестации</w:t>
            </w:r>
          </w:p>
        </w:tc>
        <w:tc>
          <w:tcPr>
            <w:tcW w:w="1236" w:type="dxa"/>
          </w:tcPr>
          <w:p w14:paraId="19D71E06" w14:textId="77777777" w:rsidR="00D50B0B" w:rsidRPr="00D50B0B" w:rsidRDefault="00D50B0B" w:rsidP="00D50B0B">
            <w:pPr>
              <w:rPr>
                <w:rFonts w:cs="Arial"/>
              </w:rPr>
            </w:pPr>
          </w:p>
        </w:tc>
        <w:tc>
          <w:tcPr>
            <w:tcW w:w="1427" w:type="dxa"/>
          </w:tcPr>
          <w:p w14:paraId="6CA78E90" w14:textId="3A37E338" w:rsidR="00D50B0B" w:rsidRPr="00D50B0B" w:rsidRDefault="00D50B0B" w:rsidP="00D50B0B">
            <w:pPr>
              <w:rPr>
                <w:rFonts w:cs="Arial"/>
              </w:rPr>
            </w:pPr>
            <w:r w:rsidRPr="00D50B0B">
              <w:rPr>
                <w:rFonts w:cs="Arial"/>
              </w:rPr>
              <w:t>инфекция на горните дихателни пътища, фарингит, ринит</w:t>
            </w:r>
          </w:p>
        </w:tc>
        <w:tc>
          <w:tcPr>
            <w:tcW w:w="1673" w:type="dxa"/>
          </w:tcPr>
          <w:p w14:paraId="731527F7" w14:textId="0D14B0C4" w:rsidR="00D50B0B" w:rsidRPr="00D50B0B" w:rsidRDefault="00D50B0B" w:rsidP="00D50B0B">
            <w:pPr>
              <w:rPr>
                <w:rFonts w:cs="Arial"/>
              </w:rPr>
            </w:pPr>
            <w:r w:rsidRPr="00D50B0B">
              <w:rPr>
                <w:rFonts w:cs="Arial"/>
              </w:rPr>
              <w:t>гастроентерит, възпаление на средното ухо</w:t>
            </w:r>
          </w:p>
        </w:tc>
        <w:tc>
          <w:tcPr>
            <w:tcW w:w="2033" w:type="dxa"/>
          </w:tcPr>
          <w:p w14:paraId="0DAB201A" w14:textId="6DCE0560" w:rsidR="00D50B0B" w:rsidRPr="00D50B0B" w:rsidRDefault="00D50B0B" w:rsidP="00D50B0B">
            <w:pPr>
              <w:rPr>
                <w:rFonts w:cs="Arial"/>
              </w:rPr>
            </w:pPr>
            <w:r w:rsidRPr="00D50B0B">
              <w:rPr>
                <w:rFonts w:cs="Arial"/>
              </w:rPr>
              <w:t>дивертикулит§</w:t>
            </w:r>
          </w:p>
        </w:tc>
        <w:tc>
          <w:tcPr>
            <w:tcW w:w="1406" w:type="dxa"/>
          </w:tcPr>
          <w:p w14:paraId="78FB322D" w14:textId="77777777" w:rsidR="00D50B0B" w:rsidRPr="00D50B0B" w:rsidRDefault="00D50B0B" w:rsidP="00D50B0B">
            <w:pPr>
              <w:rPr>
                <w:rFonts w:cs="Arial"/>
              </w:rPr>
            </w:pPr>
          </w:p>
        </w:tc>
      </w:tr>
      <w:tr w:rsidR="00D50B0B" w14:paraId="4973E731" w14:textId="77777777" w:rsidTr="00D50B0B">
        <w:tc>
          <w:tcPr>
            <w:tcW w:w="1801" w:type="dxa"/>
            <w:vAlign w:val="bottom"/>
          </w:tcPr>
          <w:p w14:paraId="1B6D4003" w14:textId="13B11A3B" w:rsidR="00D50B0B" w:rsidRPr="00D50B0B" w:rsidRDefault="00D50B0B" w:rsidP="00D50B0B">
            <w:pPr>
              <w:rPr>
                <w:rFonts w:cs="Arial"/>
              </w:rPr>
            </w:pPr>
            <w:r w:rsidRPr="00D50B0B">
              <w:rPr>
                <w:rFonts w:cs="Arial"/>
                <w:i/>
                <w:iCs/>
              </w:rPr>
              <w:t>Неоплазми - доброкачествен и, злокачествени и неопределени (вкл. кисти и полипи)</w:t>
            </w:r>
          </w:p>
        </w:tc>
        <w:tc>
          <w:tcPr>
            <w:tcW w:w="1236" w:type="dxa"/>
          </w:tcPr>
          <w:p w14:paraId="493D85F6" w14:textId="77777777" w:rsidR="00D50B0B" w:rsidRPr="00D50B0B" w:rsidRDefault="00D50B0B" w:rsidP="00D50B0B">
            <w:pPr>
              <w:rPr>
                <w:rFonts w:cs="Arial"/>
              </w:rPr>
            </w:pPr>
          </w:p>
        </w:tc>
        <w:tc>
          <w:tcPr>
            <w:tcW w:w="1427" w:type="dxa"/>
          </w:tcPr>
          <w:p w14:paraId="58490429" w14:textId="77777777" w:rsidR="00D50B0B" w:rsidRPr="00D50B0B" w:rsidRDefault="00D50B0B" w:rsidP="00D50B0B">
            <w:pPr>
              <w:rPr>
                <w:rFonts w:cs="Arial"/>
              </w:rPr>
            </w:pPr>
          </w:p>
        </w:tc>
        <w:tc>
          <w:tcPr>
            <w:tcW w:w="1673" w:type="dxa"/>
          </w:tcPr>
          <w:p w14:paraId="043171EA" w14:textId="0C4801B5" w:rsidR="00D50B0B" w:rsidRPr="00D50B0B" w:rsidRDefault="00D50B0B" w:rsidP="00D50B0B">
            <w:pPr>
              <w:rPr>
                <w:rFonts w:cs="Arial"/>
              </w:rPr>
            </w:pPr>
            <w:r w:rsidRPr="00D50B0B">
              <w:rPr>
                <w:rFonts w:cs="Arial"/>
              </w:rPr>
              <w:t>неоплазма</w:t>
            </w:r>
          </w:p>
        </w:tc>
        <w:tc>
          <w:tcPr>
            <w:tcW w:w="2033" w:type="dxa"/>
          </w:tcPr>
          <w:p w14:paraId="77EBC963" w14:textId="77777777" w:rsidR="00D50B0B" w:rsidRPr="00D50B0B" w:rsidRDefault="00D50B0B" w:rsidP="00D50B0B">
            <w:pPr>
              <w:rPr>
                <w:rFonts w:cs="Arial"/>
              </w:rPr>
            </w:pPr>
          </w:p>
        </w:tc>
        <w:tc>
          <w:tcPr>
            <w:tcW w:w="1406" w:type="dxa"/>
          </w:tcPr>
          <w:p w14:paraId="2B99E1B0" w14:textId="77777777" w:rsidR="00D50B0B" w:rsidRPr="00D50B0B" w:rsidRDefault="00D50B0B" w:rsidP="00D50B0B">
            <w:pPr>
              <w:rPr>
                <w:rFonts w:cs="Arial"/>
              </w:rPr>
            </w:pPr>
          </w:p>
        </w:tc>
      </w:tr>
      <w:tr w:rsidR="00D50B0B" w14:paraId="75FF2C17" w14:textId="77777777" w:rsidTr="00D50B0B">
        <w:tc>
          <w:tcPr>
            <w:tcW w:w="1801" w:type="dxa"/>
            <w:vAlign w:val="bottom"/>
          </w:tcPr>
          <w:p w14:paraId="7E791CDC" w14:textId="4176400A" w:rsidR="00D50B0B" w:rsidRPr="00D50B0B" w:rsidRDefault="00D50B0B" w:rsidP="00D50B0B">
            <w:pPr>
              <w:rPr>
                <w:rFonts w:cs="Arial"/>
              </w:rPr>
            </w:pPr>
            <w:r w:rsidRPr="00D50B0B">
              <w:rPr>
                <w:rFonts w:cs="Arial"/>
                <w:i/>
                <w:iCs/>
              </w:rPr>
              <w:t>Нарушения на кръвта и лимфната система</w:t>
            </w:r>
          </w:p>
        </w:tc>
        <w:tc>
          <w:tcPr>
            <w:tcW w:w="1236" w:type="dxa"/>
          </w:tcPr>
          <w:p w14:paraId="075530DE" w14:textId="77777777" w:rsidR="00D50B0B" w:rsidRPr="00D50B0B" w:rsidRDefault="00D50B0B" w:rsidP="00D50B0B">
            <w:pPr>
              <w:rPr>
                <w:rFonts w:cs="Arial"/>
              </w:rPr>
            </w:pPr>
          </w:p>
        </w:tc>
        <w:tc>
          <w:tcPr>
            <w:tcW w:w="1427" w:type="dxa"/>
          </w:tcPr>
          <w:p w14:paraId="6A405B62" w14:textId="77777777" w:rsidR="00D50B0B" w:rsidRPr="00D50B0B" w:rsidRDefault="00D50B0B" w:rsidP="00D50B0B">
            <w:pPr>
              <w:rPr>
                <w:rFonts w:cs="Arial"/>
              </w:rPr>
            </w:pPr>
          </w:p>
        </w:tc>
        <w:tc>
          <w:tcPr>
            <w:tcW w:w="1673" w:type="dxa"/>
          </w:tcPr>
          <w:p w14:paraId="41FEBB48" w14:textId="77777777" w:rsidR="00D50B0B" w:rsidRPr="00D50B0B" w:rsidRDefault="00D50B0B" w:rsidP="00D50B0B">
            <w:pPr>
              <w:rPr>
                <w:rFonts w:cs="Arial"/>
              </w:rPr>
            </w:pPr>
          </w:p>
        </w:tc>
        <w:tc>
          <w:tcPr>
            <w:tcW w:w="2033" w:type="dxa"/>
          </w:tcPr>
          <w:p w14:paraId="64639C96" w14:textId="70839DD1" w:rsidR="00D50B0B" w:rsidRPr="00D50B0B" w:rsidRDefault="00D50B0B" w:rsidP="00D50B0B">
            <w:pPr>
              <w:rPr>
                <w:rFonts w:cs="Arial"/>
              </w:rPr>
            </w:pPr>
            <w:r w:rsidRPr="00D50B0B">
              <w:rPr>
                <w:rFonts w:cs="Arial"/>
              </w:rPr>
              <w:t>лимфаденопатия, тромбоцитопения* §, левкопения*§</w:t>
            </w:r>
          </w:p>
        </w:tc>
        <w:tc>
          <w:tcPr>
            <w:tcW w:w="1406" w:type="dxa"/>
          </w:tcPr>
          <w:p w14:paraId="5C7B01C1" w14:textId="77777777" w:rsidR="00D50B0B" w:rsidRPr="00D50B0B" w:rsidRDefault="00D50B0B" w:rsidP="00D50B0B">
            <w:pPr>
              <w:rPr>
                <w:rFonts w:cs="Arial"/>
              </w:rPr>
            </w:pPr>
          </w:p>
        </w:tc>
      </w:tr>
      <w:tr w:rsidR="00D50B0B" w14:paraId="171FC00B" w14:textId="77777777" w:rsidTr="00D50B0B">
        <w:tc>
          <w:tcPr>
            <w:tcW w:w="1801" w:type="dxa"/>
          </w:tcPr>
          <w:p w14:paraId="594B6C89" w14:textId="044A4122" w:rsidR="00D50B0B" w:rsidRPr="00D50B0B" w:rsidRDefault="00D50B0B" w:rsidP="00D50B0B">
            <w:pPr>
              <w:rPr>
                <w:rFonts w:cs="Arial"/>
              </w:rPr>
            </w:pPr>
            <w:r w:rsidRPr="00D50B0B">
              <w:rPr>
                <w:rFonts w:cs="Arial"/>
                <w:i/>
                <w:iCs/>
              </w:rPr>
              <w:t>Нарушения на имунната система</w:t>
            </w:r>
          </w:p>
        </w:tc>
        <w:tc>
          <w:tcPr>
            <w:tcW w:w="1236" w:type="dxa"/>
          </w:tcPr>
          <w:p w14:paraId="3D8F991D" w14:textId="77777777" w:rsidR="00D50B0B" w:rsidRPr="00D50B0B" w:rsidRDefault="00D50B0B" w:rsidP="00D50B0B">
            <w:pPr>
              <w:rPr>
                <w:rFonts w:cs="Arial"/>
              </w:rPr>
            </w:pPr>
          </w:p>
        </w:tc>
        <w:tc>
          <w:tcPr>
            <w:tcW w:w="1427" w:type="dxa"/>
          </w:tcPr>
          <w:p w14:paraId="48F1C31A" w14:textId="77777777" w:rsidR="00D50B0B" w:rsidRPr="00D50B0B" w:rsidRDefault="00D50B0B" w:rsidP="00D50B0B">
            <w:pPr>
              <w:rPr>
                <w:rFonts w:cs="Arial"/>
              </w:rPr>
            </w:pPr>
          </w:p>
        </w:tc>
        <w:tc>
          <w:tcPr>
            <w:tcW w:w="1673" w:type="dxa"/>
            <w:vAlign w:val="bottom"/>
          </w:tcPr>
          <w:p w14:paraId="7DD6A6EA" w14:textId="2FB15F8A" w:rsidR="00D50B0B" w:rsidRPr="00D50B0B" w:rsidRDefault="00D50B0B" w:rsidP="00D50B0B">
            <w:pPr>
              <w:rPr>
                <w:rFonts w:cs="Arial"/>
              </w:rPr>
            </w:pPr>
            <w:r w:rsidRPr="00D50B0B">
              <w:rPr>
                <w:rFonts w:cs="Arial"/>
              </w:rPr>
              <w:t>Свръхчувстви</w:t>
            </w:r>
            <w:r w:rsidRPr="00D50B0B">
              <w:rPr>
                <w:rFonts w:cs="Arial"/>
              </w:rPr>
              <w:softHyphen/>
              <w:t>телност*, сезонна алергия*</w:t>
            </w:r>
          </w:p>
        </w:tc>
        <w:tc>
          <w:tcPr>
            <w:tcW w:w="2033" w:type="dxa"/>
          </w:tcPr>
          <w:p w14:paraId="2ECE637B" w14:textId="42AAEEB9" w:rsidR="00D50B0B" w:rsidRPr="00D50B0B" w:rsidRDefault="00D50B0B" w:rsidP="00D50B0B">
            <w:pPr>
              <w:rPr>
                <w:rFonts w:cs="Arial"/>
              </w:rPr>
            </w:pPr>
            <w:r w:rsidRPr="00D50B0B">
              <w:rPr>
                <w:rFonts w:cs="Arial"/>
              </w:rPr>
              <w:t>анафилактоидна реакция*</w:t>
            </w:r>
          </w:p>
        </w:tc>
        <w:tc>
          <w:tcPr>
            <w:tcW w:w="1406" w:type="dxa"/>
          </w:tcPr>
          <w:p w14:paraId="3ECB44EB" w14:textId="77777777" w:rsidR="00D50B0B" w:rsidRPr="00D50B0B" w:rsidRDefault="00D50B0B" w:rsidP="00D50B0B">
            <w:pPr>
              <w:rPr>
                <w:rFonts w:cs="Arial"/>
              </w:rPr>
            </w:pPr>
          </w:p>
        </w:tc>
      </w:tr>
      <w:tr w:rsidR="00D50B0B" w14:paraId="132D6925" w14:textId="77777777" w:rsidTr="00D50B0B">
        <w:tc>
          <w:tcPr>
            <w:tcW w:w="1801" w:type="dxa"/>
          </w:tcPr>
          <w:p w14:paraId="38172337" w14:textId="329514E3" w:rsidR="00D50B0B" w:rsidRPr="00D50B0B" w:rsidRDefault="00D50B0B" w:rsidP="00D50B0B">
            <w:pPr>
              <w:rPr>
                <w:rFonts w:cs="Arial"/>
              </w:rPr>
            </w:pPr>
            <w:r w:rsidRPr="00D50B0B">
              <w:rPr>
                <w:rFonts w:cs="Arial"/>
                <w:i/>
                <w:iCs/>
              </w:rPr>
              <w:t>Нарушения на ендокринната система</w:t>
            </w:r>
          </w:p>
        </w:tc>
        <w:tc>
          <w:tcPr>
            <w:tcW w:w="1236" w:type="dxa"/>
          </w:tcPr>
          <w:p w14:paraId="6AAEB7D0" w14:textId="77777777" w:rsidR="00D50B0B" w:rsidRPr="00D50B0B" w:rsidRDefault="00D50B0B" w:rsidP="00D50B0B">
            <w:pPr>
              <w:rPr>
                <w:rFonts w:cs="Arial"/>
              </w:rPr>
            </w:pPr>
          </w:p>
        </w:tc>
        <w:tc>
          <w:tcPr>
            <w:tcW w:w="1427" w:type="dxa"/>
          </w:tcPr>
          <w:p w14:paraId="4BCEA7AA" w14:textId="77777777" w:rsidR="00D50B0B" w:rsidRPr="00D50B0B" w:rsidRDefault="00D50B0B" w:rsidP="00D50B0B">
            <w:pPr>
              <w:rPr>
                <w:rFonts w:cs="Arial"/>
              </w:rPr>
            </w:pPr>
          </w:p>
        </w:tc>
        <w:tc>
          <w:tcPr>
            <w:tcW w:w="1673" w:type="dxa"/>
          </w:tcPr>
          <w:p w14:paraId="5202FD53" w14:textId="1C4F0E9A" w:rsidR="00D50B0B" w:rsidRPr="00D50B0B" w:rsidRDefault="00D50B0B" w:rsidP="00D50B0B">
            <w:pPr>
              <w:rPr>
                <w:rFonts w:cs="Arial"/>
              </w:rPr>
            </w:pPr>
            <w:r w:rsidRPr="00D50B0B">
              <w:rPr>
                <w:rFonts w:cs="Arial"/>
              </w:rPr>
              <w:t>Хипотирои- дизъм*</w:t>
            </w:r>
          </w:p>
        </w:tc>
        <w:tc>
          <w:tcPr>
            <w:tcW w:w="2033" w:type="dxa"/>
            <w:vAlign w:val="bottom"/>
          </w:tcPr>
          <w:p w14:paraId="57BD2774" w14:textId="1FEFDE06" w:rsidR="00D50B0B" w:rsidRPr="00D50B0B" w:rsidRDefault="00D50B0B" w:rsidP="00D50B0B">
            <w:pPr>
              <w:rPr>
                <w:rFonts w:cs="Arial"/>
              </w:rPr>
            </w:pPr>
            <w:r w:rsidRPr="00D50B0B">
              <w:rPr>
                <w:rFonts w:cs="Arial"/>
              </w:rPr>
              <w:t xml:space="preserve">Хиперпролактине- мия*, синдром на неадекватна секреция на антидиуретичен хормон </w:t>
            </w:r>
            <w:r w:rsidRPr="00D50B0B">
              <w:rPr>
                <w:rFonts w:cs="Arial"/>
                <w:lang w:val="en-US"/>
              </w:rPr>
              <w:t xml:space="preserve">(SIADH) </w:t>
            </w:r>
            <w:r w:rsidRPr="00D50B0B">
              <w:rPr>
                <w:rFonts w:cs="Arial"/>
              </w:rPr>
              <w:t>*§</w:t>
            </w:r>
          </w:p>
        </w:tc>
        <w:tc>
          <w:tcPr>
            <w:tcW w:w="1406" w:type="dxa"/>
          </w:tcPr>
          <w:p w14:paraId="0E9F5FDD" w14:textId="77777777" w:rsidR="00D50B0B" w:rsidRPr="00D50B0B" w:rsidRDefault="00D50B0B" w:rsidP="00D50B0B">
            <w:pPr>
              <w:rPr>
                <w:rFonts w:cs="Arial"/>
              </w:rPr>
            </w:pPr>
          </w:p>
        </w:tc>
      </w:tr>
      <w:tr w:rsidR="00D50B0B" w14:paraId="46F80990" w14:textId="77777777" w:rsidTr="00D50B0B">
        <w:tc>
          <w:tcPr>
            <w:tcW w:w="1801" w:type="dxa"/>
          </w:tcPr>
          <w:p w14:paraId="50276B56" w14:textId="502548DF" w:rsidR="00D50B0B" w:rsidRPr="00D50B0B" w:rsidRDefault="00D50B0B" w:rsidP="00D50B0B">
            <w:pPr>
              <w:rPr>
                <w:rFonts w:cs="Arial"/>
              </w:rPr>
            </w:pPr>
            <w:r w:rsidRPr="00D50B0B">
              <w:rPr>
                <w:rFonts w:cs="Arial"/>
                <w:i/>
                <w:iCs/>
              </w:rPr>
              <w:t>Нарушения на метаболизма и храненето</w:t>
            </w:r>
          </w:p>
        </w:tc>
        <w:tc>
          <w:tcPr>
            <w:tcW w:w="1236" w:type="dxa"/>
          </w:tcPr>
          <w:p w14:paraId="134D933E" w14:textId="77777777" w:rsidR="00D50B0B" w:rsidRPr="00D50B0B" w:rsidRDefault="00D50B0B" w:rsidP="00D50B0B">
            <w:pPr>
              <w:rPr>
                <w:rFonts w:cs="Arial"/>
              </w:rPr>
            </w:pPr>
          </w:p>
        </w:tc>
        <w:tc>
          <w:tcPr>
            <w:tcW w:w="1427" w:type="dxa"/>
          </w:tcPr>
          <w:p w14:paraId="22167290" w14:textId="416971CC" w:rsidR="00D50B0B" w:rsidRPr="00D50B0B" w:rsidRDefault="00D50B0B" w:rsidP="00D50B0B">
            <w:pPr>
              <w:rPr>
                <w:rFonts w:cs="Arial"/>
              </w:rPr>
            </w:pPr>
            <w:r w:rsidRPr="00D50B0B">
              <w:rPr>
                <w:rFonts w:cs="Arial"/>
              </w:rPr>
              <w:t>понижен апетит, повишен апетит*</w:t>
            </w:r>
          </w:p>
        </w:tc>
        <w:tc>
          <w:tcPr>
            <w:tcW w:w="1673" w:type="dxa"/>
          </w:tcPr>
          <w:p w14:paraId="5235CB43" w14:textId="77777777" w:rsidR="00D50B0B" w:rsidRPr="00D50B0B" w:rsidRDefault="00D50B0B" w:rsidP="00D50B0B">
            <w:pPr>
              <w:rPr>
                <w:rFonts w:cs="Arial"/>
              </w:rPr>
            </w:pPr>
          </w:p>
        </w:tc>
        <w:tc>
          <w:tcPr>
            <w:tcW w:w="2033" w:type="dxa"/>
            <w:vAlign w:val="bottom"/>
          </w:tcPr>
          <w:p w14:paraId="74C3B815" w14:textId="053F7056" w:rsidR="00D50B0B" w:rsidRPr="00D50B0B" w:rsidRDefault="00D50B0B" w:rsidP="00D50B0B">
            <w:pPr>
              <w:rPr>
                <w:rFonts w:cs="Arial"/>
              </w:rPr>
            </w:pPr>
            <w:r w:rsidRPr="00D50B0B">
              <w:rPr>
                <w:rFonts w:cs="Arial"/>
              </w:rPr>
              <w:t>Хиперхолестероле- мия*§, захарен диабет*, хипогликемия*, хипергликемия*§, хипонатриемия*§</w:t>
            </w:r>
          </w:p>
        </w:tc>
        <w:tc>
          <w:tcPr>
            <w:tcW w:w="1406" w:type="dxa"/>
          </w:tcPr>
          <w:p w14:paraId="1379E94E" w14:textId="77777777" w:rsidR="00D50B0B" w:rsidRPr="00D50B0B" w:rsidRDefault="00D50B0B" w:rsidP="00D50B0B">
            <w:pPr>
              <w:rPr>
                <w:rFonts w:cs="Arial"/>
              </w:rPr>
            </w:pPr>
          </w:p>
        </w:tc>
      </w:tr>
      <w:tr w:rsidR="00D50B0B" w14:paraId="5D9DD7B3" w14:textId="77777777" w:rsidTr="00D50B0B">
        <w:tc>
          <w:tcPr>
            <w:tcW w:w="1801" w:type="dxa"/>
          </w:tcPr>
          <w:p w14:paraId="3493A3F1" w14:textId="06A088E0" w:rsidR="00D50B0B" w:rsidRPr="00D50B0B" w:rsidRDefault="00D50B0B" w:rsidP="00D50B0B">
            <w:pPr>
              <w:rPr>
                <w:rFonts w:cs="Arial"/>
              </w:rPr>
            </w:pPr>
            <w:r w:rsidRPr="00D50B0B">
              <w:rPr>
                <w:rFonts w:cs="Arial"/>
                <w:i/>
                <w:iCs/>
              </w:rPr>
              <w:t>Психични нарушения</w:t>
            </w:r>
          </w:p>
        </w:tc>
        <w:tc>
          <w:tcPr>
            <w:tcW w:w="1236" w:type="dxa"/>
          </w:tcPr>
          <w:p w14:paraId="1F052B18" w14:textId="57AFBDDC" w:rsidR="00D50B0B" w:rsidRPr="00D50B0B" w:rsidRDefault="00D50B0B" w:rsidP="00D50B0B">
            <w:pPr>
              <w:rPr>
                <w:rFonts w:cs="Arial"/>
              </w:rPr>
            </w:pPr>
            <w:r w:rsidRPr="00D50B0B">
              <w:rPr>
                <w:rFonts w:cs="Arial"/>
              </w:rPr>
              <w:t>безсъние</w:t>
            </w:r>
          </w:p>
        </w:tc>
        <w:tc>
          <w:tcPr>
            <w:tcW w:w="1427" w:type="dxa"/>
          </w:tcPr>
          <w:p w14:paraId="245309B1" w14:textId="0C137B84" w:rsidR="00D50B0B" w:rsidRPr="00D50B0B" w:rsidRDefault="00D50B0B" w:rsidP="00D50B0B">
            <w:pPr>
              <w:rPr>
                <w:rFonts w:cs="Arial"/>
              </w:rPr>
            </w:pPr>
            <w:r w:rsidRPr="00D50B0B">
              <w:rPr>
                <w:rFonts w:cs="Arial"/>
              </w:rPr>
              <w:t>тревожност*, депресия*, възбуда*, понижено либидо*, нервност, деперсонали</w:t>
            </w:r>
            <w:r w:rsidRPr="00D50B0B">
              <w:rPr>
                <w:rFonts w:cs="Arial"/>
              </w:rPr>
              <w:softHyphen/>
              <w:t xml:space="preserve">зация, </w:t>
            </w:r>
            <w:r w:rsidRPr="00D50B0B">
              <w:rPr>
                <w:rFonts w:cs="Arial"/>
              </w:rPr>
              <w:lastRenderedPageBreak/>
              <w:t>кошмари, бруксизъм*</w:t>
            </w:r>
          </w:p>
        </w:tc>
        <w:tc>
          <w:tcPr>
            <w:tcW w:w="1673" w:type="dxa"/>
            <w:vAlign w:val="bottom"/>
          </w:tcPr>
          <w:p w14:paraId="62761B37" w14:textId="77777777" w:rsidR="00D50B0B" w:rsidRPr="00D50B0B" w:rsidRDefault="00D50B0B" w:rsidP="00D50B0B">
            <w:pPr>
              <w:rPr>
                <w:rFonts w:cs="Arial"/>
              </w:rPr>
            </w:pPr>
            <w:r w:rsidRPr="00D50B0B">
              <w:rPr>
                <w:rFonts w:cs="Arial"/>
              </w:rPr>
              <w:lastRenderedPageBreak/>
              <w:t>суицидни мисли/дей-</w:t>
            </w:r>
          </w:p>
          <w:p w14:paraId="67FF09E2" w14:textId="77777777" w:rsidR="00D50B0B" w:rsidRPr="00D50B0B" w:rsidRDefault="00D50B0B" w:rsidP="00D50B0B">
            <w:pPr>
              <w:rPr>
                <w:rFonts w:cs="Arial"/>
              </w:rPr>
            </w:pPr>
            <w:r w:rsidRPr="00D50B0B">
              <w:rPr>
                <w:rFonts w:cs="Arial"/>
              </w:rPr>
              <w:t>ствия, психотични разстройства*, необичайни</w:t>
            </w:r>
          </w:p>
          <w:p w14:paraId="20A79A34" w14:textId="3E2B1B70" w:rsidR="00D50B0B" w:rsidRPr="00D50B0B" w:rsidRDefault="00D50B0B" w:rsidP="00D50B0B">
            <w:pPr>
              <w:rPr>
                <w:rFonts w:cs="Arial"/>
              </w:rPr>
            </w:pPr>
            <w:r w:rsidRPr="00D50B0B">
              <w:rPr>
                <w:rFonts w:cs="Arial"/>
              </w:rPr>
              <w:t xml:space="preserve">мисли, апатия </w:t>
            </w:r>
            <w:r w:rsidRPr="00D50B0B">
              <w:rPr>
                <w:rFonts w:cs="Arial"/>
              </w:rPr>
              <w:lastRenderedPageBreak/>
              <w:t>халюцинации*, агресия*, еуфорично настроение*, параноя</w:t>
            </w:r>
          </w:p>
        </w:tc>
        <w:tc>
          <w:tcPr>
            <w:tcW w:w="2033" w:type="dxa"/>
          </w:tcPr>
          <w:p w14:paraId="58D37AA1" w14:textId="16C86697" w:rsidR="00D50B0B" w:rsidRPr="00D50B0B" w:rsidRDefault="00D50B0B" w:rsidP="00D50B0B">
            <w:pPr>
              <w:rPr>
                <w:rFonts w:cs="Arial"/>
              </w:rPr>
            </w:pPr>
            <w:r w:rsidRPr="00D50B0B">
              <w:rPr>
                <w:rFonts w:cs="Arial"/>
              </w:rPr>
              <w:lastRenderedPageBreak/>
              <w:t>конверзионно разстройство* §, паронирия*§, лекарствена зависимост, сомнамбулизъм, преждевременна еякулация</w:t>
            </w:r>
          </w:p>
        </w:tc>
        <w:tc>
          <w:tcPr>
            <w:tcW w:w="1406" w:type="dxa"/>
          </w:tcPr>
          <w:p w14:paraId="4414661A" w14:textId="77777777" w:rsidR="00D50B0B" w:rsidRPr="00D50B0B" w:rsidRDefault="00D50B0B" w:rsidP="00D50B0B">
            <w:pPr>
              <w:rPr>
                <w:rFonts w:cs="Arial"/>
              </w:rPr>
            </w:pPr>
          </w:p>
        </w:tc>
      </w:tr>
      <w:tr w:rsidR="00D50B0B" w14:paraId="513E6FB4" w14:textId="77777777" w:rsidTr="00D50B0B">
        <w:tc>
          <w:tcPr>
            <w:tcW w:w="1801" w:type="dxa"/>
          </w:tcPr>
          <w:p w14:paraId="0B68C938" w14:textId="21146C99" w:rsidR="00D50B0B" w:rsidRPr="00D50B0B" w:rsidRDefault="00D50B0B" w:rsidP="00D50B0B">
            <w:pPr>
              <w:rPr>
                <w:rFonts w:cs="Arial"/>
              </w:rPr>
            </w:pPr>
            <w:r w:rsidRPr="00D50B0B">
              <w:rPr>
                <w:rFonts w:cs="Arial"/>
                <w:i/>
                <w:iCs/>
              </w:rPr>
              <w:t>Нарушения на нервната система</w:t>
            </w:r>
          </w:p>
        </w:tc>
        <w:tc>
          <w:tcPr>
            <w:tcW w:w="1236" w:type="dxa"/>
          </w:tcPr>
          <w:p w14:paraId="4DFC1EFE" w14:textId="2796F6D6" w:rsidR="00D50B0B" w:rsidRPr="00D50B0B" w:rsidRDefault="00D50B0B" w:rsidP="00D50B0B">
            <w:pPr>
              <w:rPr>
                <w:rFonts w:cs="Arial"/>
              </w:rPr>
            </w:pPr>
            <w:r w:rsidRPr="00D50B0B">
              <w:rPr>
                <w:rFonts w:cs="Arial"/>
              </w:rPr>
              <w:t>замаяност, главоболие * сънливост</w:t>
            </w:r>
          </w:p>
        </w:tc>
        <w:tc>
          <w:tcPr>
            <w:tcW w:w="1427" w:type="dxa"/>
            <w:vAlign w:val="bottom"/>
          </w:tcPr>
          <w:p w14:paraId="65882DA2" w14:textId="77777777" w:rsidR="00D50B0B" w:rsidRPr="00D50B0B" w:rsidRDefault="00D50B0B" w:rsidP="00D50B0B">
            <w:pPr>
              <w:rPr>
                <w:rFonts w:cs="Arial"/>
              </w:rPr>
            </w:pPr>
            <w:r w:rsidRPr="00D50B0B">
              <w:rPr>
                <w:rFonts w:cs="Arial"/>
              </w:rPr>
              <w:t>тремор, двигателни нарушения (включител</w:t>
            </w:r>
            <w:r w:rsidRPr="00D50B0B">
              <w:rPr>
                <w:rFonts w:cs="Arial"/>
              </w:rPr>
              <w:softHyphen/>
              <w:t>но</w:t>
            </w:r>
          </w:p>
          <w:p w14:paraId="68AE18B8" w14:textId="77777777" w:rsidR="00D50B0B" w:rsidRPr="00D50B0B" w:rsidRDefault="00D50B0B" w:rsidP="00D50B0B">
            <w:pPr>
              <w:rPr>
                <w:rFonts w:eastAsia="Times New Roman" w:cs="Arial"/>
                <w:lang w:eastAsia="bg-BG"/>
              </w:rPr>
            </w:pPr>
            <w:r w:rsidRPr="00D50B0B">
              <w:rPr>
                <w:rFonts w:cs="Arial"/>
              </w:rPr>
              <w:t xml:space="preserve">екстрапира- мидни симптоми </w:t>
            </w:r>
            <w:r w:rsidRPr="00D50B0B">
              <w:rPr>
                <w:rFonts w:eastAsia="Times New Roman" w:cs="Arial"/>
                <w:color w:val="000000"/>
                <w:lang w:eastAsia="bg-BG"/>
              </w:rPr>
              <w:t>като хиперкине- зия, повишен мускулен тонус, дистония, скърцане със зъби или нарушения в походката), парестезия*, хипертония*, нарушение на</w:t>
            </w:r>
          </w:p>
          <w:p w14:paraId="5C3DD236" w14:textId="79F73CA8" w:rsidR="00D50B0B" w:rsidRPr="00D50B0B" w:rsidRDefault="00D50B0B" w:rsidP="00D50B0B">
            <w:pPr>
              <w:rPr>
                <w:rFonts w:cs="Arial"/>
              </w:rPr>
            </w:pPr>
            <w:r w:rsidRPr="00D50B0B">
              <w:rPr>
                <w:rFonts w:eastAsia="Times New Roman" w:cs="Arial"/>
                <w:color w:val="000000"/>
                <w:lang w:eastAsia="bg-BG"/>
              </w:rPr>
              <w:t>вниманието дисгеузия</w:t>
            </w:r>
          </w:p>
        </w:tc>
        <w:tc>
          <w:tcPr>
            <w:tcW w:w="1673" w:type="dxa"/>
            <w:vAlign w:val="bottom"/>
          </w:tcPr>
          <w:p w14:paraId="4EBC0AA5" w14:textId="77777777" w:rsidR="00D50B0B" w:rsidRPr="00D50B0B" w:rsidRDefault="00D50B0B" w:rsidP="00D50B0B">
            <w:pPr>
              <w:rPr>
                <w:rFonts w:cs="Arial"/>
              </w:rPr>
            </w:pPr>
            <w:r w:rsidRPr="00D50B0B">
              <w:rPr>
                <w:rFonts w:cs="Arial"/>
              </w:rPr>
              <w:t>амнезия, хипоестезия*,</w:t>
            </w:r>
          </w:p>
          <w:p w14:paraId="1EF137E1" w14:textId="77777777" w:rsidR="00D50B0B" w:rsidRPr="00D50B0B" w:rsidRDefault="00D50B0B" w:rsidP="00D50B0B">
            <w:pPr>
              <w:rPr>
                <w:rFonts w:cs="Arial"/>
              </w:rPr>
            </w:pPr>
            <w:r w:rsidRPr="00D50B0B">
              <w:rPr>
                <w:rFonts w:cs="Arial"/>
              </w:rPr>
              <w:t>неволни</w:t>
            </w:r>
          </w:p>
          <w:p w14:paraId="00C36436" w14:textId="77777777" w:rsidR="00D50B0B" w:rsidRPr="00D50B0B" w:rsidRDefault="00D50B0B" w:rsidP="00D50B0B">
            <w:pPr>
              <w:rPr>
                <w:rFonts w:cs="Arial"/>
              </w:rPr>
            </w:pPr>
            <w:r w:rsidRPr="00D50B0B">
              <w:rPr>
                <w:rFonts w:cs="Arial"/>
              </w:rPr>
              <w:t>мускулни съкращения*, синкоп*, хиперкинезия*, мигрена*,</w:t>
            </w:r>
          </w:p>
          <w:p w14:paraId="4AB63696" w14:textId="6647EE4D" w:rsidR="00D50B0B" w:rsidRPr="00D50B0B" w:rsidRDefault="00D50B0B" w:rsidP="00D50B0B">
            <w:pPr>
              <w:rPr>
                <w:rFonts w:cs="Arial"/>
              </w:rPr>
            </w:pPr>
            <w:r w:rsidRPr="00D50B0B">
              <w:rPr>
                <w:rFonts w:cs="Arial"/>
              </w:rPr>
              <w:t>конвулсия*, замайване ри промяна на позата, нарушена координация, нарушение на речта</w:t>
            </w:r>
          </w:p>
        </w:tc>
        <w:tc>
          <w:tcPr>
            <w:tcW w:w="2033" w:type="dxa"/>
            <w:vAlign w:val="bottom"/>
          </w:tcPr>
          <w:p w14:paraId="4DD803D8" w14:textId="77777777" w:rsidR="00D50B0B" w:rsidRPr="00D50B0B" w:rsidRDefault="00D50B0B" w:rsidP="00D50B0B">
            <w:pPr>
              <w:rPr>
                <w:rFonts w:cs="Arial"/>
              </w:rPr>
            </w:pPr>
            <w:r w:rsidRPr="00D50B0B">
              <w:rPr>
                <w:rFonts w:cs="Arial"/>
              </w:rPr>
              <w:t>кома*, акатизия (вж. точка 4.4), дискинезия, хиперестезия, МОЗЪЧНО-СЪДОВ</w:t>
            </w:r>
          </w:p>
          <w:p w14:paraId="3E680914" w14:textId="77777777" w:rsidR="00D50B0B" w:rsidRPr="00D50B0B" w:rsidRDefault="00D50B0B" w:rsidP="00D50B0B">
            <w:pPr>
              <w:rPr>
                <w:rFonts w:cs="Arial"/>
              </w:rPr>
            </w:pPr>
            <w:r w:rsidRPr="00D50B0B">
              <w:rPr>
                <w:rFonts w:cs="Arial"/>
              </w:rPr>
              <w:t>спазъм (включително</w:t>
            </w:r>
            <w:r w:rsidRPr="00D50B0B">
              <w:rPr>
                <w:rFonts w:cs="Arial"/>
                <w:i/>
                <w:iCs/>
              </w:rPr>
              <w:t xml:space="preserve"> </w:t>
            </w:r>
            <w:r w:rsidRPr="00D50B0B">
              <w:rPr>
                <w:rFonts w:cs="Arial"/>
              </w:rPr>
              <w:t>обратим церебрален</w:t>
            </w:r>
          </w:p>
          <w:p w14:paraId="4B58F195" w14:textId="66BE4E49" w:rsidR="00D50B0B" w:rsidRPr="00D50B0B" w:rsidRDefault="00D50B0B" w:rsidP="00D50B0B">
            <w:pPr>
              <w:spacing w:line="240" w:lineRule="auto"/>
              <w:rPr>
                <w:rFonts w:eastAsia="Times New Roman" w:cs="Arial"/>
                <w:lang w:eastAsia="bg-BG"/>
              </w:rPr>
            </w:pPr>
            <w:r w:rsidRPr="00D50B0B">
              <w:rPr>
                <w:rFonts w:eastAsia="Times New Roman" w:cs="Arial"/>
                <w:color w:val="000000"/>
                <w:lang w:eastAsia="bg-BG"/>
              </w:rPr>
              <w:t xml:space="preserve">вазоконстриктивен синдром и синдром на </w:t>
            </w:r>
            <w:r w:rsidRPr="00D50B0B">
              <w:rPr>
                <w:rFonts w:eastAsia="Times New Roman" w:cs="Arial"/>
                <w:color w:val="000000"/>
                <w:lang w:val="en-US"/>
              </w:rPr>
              <w:t xml:space="preserve">Call-Fleming) </w:t>
            </w:r>
            <w:r w:rsidRPr="00D50B0B">
              <w:rPr>
                <w:rFonts w:eastAsia="Times New Roman" w:cs="Arial"/>
                <w:color w:val="000000"/>
                <w:lang w:eastAsia="bg-BG"/>
              </w:rPr>
              <w:t xml:space="preserve">*§, психомоторно неспокойствие*§ (вж. точка 4.4), нарушена сетивност, хореоатетоза§, Съобщавани са също признаци и симптоми, свързани със серотонинов синдром* или невролептичен малигнен синдром: В някои случаи, свързани с едновременното приложение на серотонинергични лекарства, които са включвали възбуда, обърканост, обилно изпотяване, диария, висока температура, хипертония, </w:t>
            </w:r>
            <w:r w:rsidRPr="00D50B0B">
              <w:rPr>
                <w:rFonts w:eastAsia="Times New Roman" w:cs="Arial"/>
                <w:color w:val="000000"/>
                <w:lang w:eastAsia="bg-BG"/>
              </w:rPr>
              <w:lastRenderedPageBreak/>
              <w:t>ригидности тахикардия§</w:t>
            </w:r>
          </w:p>
        </w:tc>
        <w:tc>
          <w:tcPr>
            <w:tcW w:w="1406" w:type="dxa"/>
          </w:tcPr>
          <w:p w14:paraId="2E38B9D8" w14:textId="77777777" w:rsidR="00D50B0B" w:rsidRPr="00D50B0B" w:rsidRDefault="00D50B0B" w:rsidP="00D50B0B">
            <w:pPr>
              <w:rPr>
                <w:rFonts w:cs="Arial"/>
              </w:rPr>
            </w:pPr>
          </w:p>
        </w:tc>
      </w:tr>
      <w:tr w:rsidR="00D50B0B" w14:paraId="7840236C" w14:textId="77777777" w:rsidTr="00D50B0B">
        <w:tc>
          <w:tcPr>
            <w:tcW w:w="1801" w:type="dxa"/>
          </w:tcPr>
          <w:p w14:paraId="63503D3B" w14:textId="2042993B" w:rsidR="00D50B0B" w:rsidRPr="00D50B0B" w:rsidRDefault="00D50B0B" w:rsidP="00D50B0B">
            <w:pPr>
              <w:rPr>
                <w:rFonts w:cs="Arial"/>
              </w:rPr>
            </w:pPr>
            <w:r w:rsidRPr="00D50B0B">
              <w:rPr>
                <w:rFonts w:cs="Arial"/>
                <w:i/>
                <w:iCs/>
              </w:rPr>
              <w:t>Нарушения на очите</w:t>
            </w:r>
          </w:p>
        </w:tc>
        <w:tc>
          <w:tcPr>
            <w:tcW w:w="1236" w:type="dxa"/>
          </w:tcPr>
          <w:p w14:paraId="1849EF68" w14:textId="77777777" w:rsidR="00D50B0B" w:rsidRPr="00D50B0B" w:rsidRDefault="00D50B0B" w:rsidP="00D50B0B">
            <w:pPr>
              <w:rPr>
                <w:rFonts w:cs="Arial"/>
              </w:rPr>
            </w:pPr>
          </w:p>
        </w:tc>
        <w:tc>
          <w:tcPr>
            <w:tcW w:w="1427" w:type="dxa"/>
          </w:tcPr>
          <w:p w14:paraId="67721CA1" w14:textId="35FD1F16" w:rsidR="00D50B0B" w:rsidRPr="00D50B0B" w:rsidRDefault="00D50B0B" w:rsidP="00D50B0B">
            <w:pPr>
              <w:rPr>
                <w:rFonts w:cs="Arial"/>
              </w:rPr>
            </w:pPr>
            <w:r w:rsidRPr="00D50B0B">
              <w:rPr>
                <w:rFonts w:cs="Arial"/>
              </w:rPr>
              <w:t>зрително нарушение*</w:t>
            </w:r>
          </w:p>
        </w:tc>
        <w:tc>
          <w:tcPr>
            <w:tcW w:w="1673" w:type="dxa"/>
          </w:tcPr>
          <w:p w14:paraId="1FC14101" w14:textId="4A9E60BD" w:rsidR="00D50B0B" w:rsidRPr="00D50B0B" w:rsidRDefault="00D50B0B" w:rsidP="00D50B0B">
            <w:pPr>
              <w:rPr>
                <w:rFonts w:cs="Arial"/>
              </w:rPr>
            </w:pPr>
            <w:r w:rsidRPr="00D50B0B">
              <w:rPr>
                <w:rFonts w:cs="Arial"/>
              </w:rPr>
              <w:t>мидриаза*</w:t>
            </w:r>
          </w:p>
        </w:tc>
        <w:tc>
          <w:tcPr>
            <w:tcW w:w="2033" w:type="dxa"/>
            <w:vAlign w:val="bottom"/>
          </w:tcPr>
          <w:p w14:paraId="53E78826" w14:textId="38F21305" w:rsidR="00D50B0B" w:rsidRPr="00D50B0B" w:rsidRDefault="00D50B0B" w:rsidP="00D50B0B">
            <w:pPr>
              <w:rPr>
                <w:rFonts w:cs="Arial"/>
              </w:rPr>
            </w:pPr>
            <w:r w:rsidRPr="00D50B0B">
              <w:rPr>
                <w:rFonts w:cs="Arial"/>
              </w:rPr>
              <w:t>скотом, глаукома, диплопия, фотофобия, хифема*§, разлика в размера на двете зеници*§, нарушено зрение*§, нарушение на слъзните жлези</w:t>
            </w:r>
          </w:p>
        </w:tc>
        <w:tc>
          <w:tcPr>
            <w:tcW w:w="1406" w:type="dxa"/>
          </w:tcPr>
          <w:p w14:paraId="745EE9E6" w14:textId="39D070EC" w:rsidR="00D50B0B" w:rsidRPr="00D50B0B" w:rsidRDefault="00D50B0B" w:rsidP="00D50B0B">
            <w:pPr>
              <w:rPr>
                <w:rFonts w:cs="Arial"/>
              </w:rPr>
            </w:pPr>
            <w:r w:rsidRPr="00D50B0B">
              <w:rPr>
                <w:rFonts w:cs="Arial"/>
              </w:rPr>
              <w:t>макулопатия</w:t>
            </w:r>
          </w:p>
        </w:tc>
      </w:tr>
      <w:tr w:rsidR="00D50B0B" w14:paraId="53EBC862" w14:textId="77777777" w:rsidTr="00D50B0B">
        <w:tc>
          <w:tcPr>
            <w:tcW w:w="1801" w:type="dxa"/>
            <w:vAlign w:val="bottom"/>
          </w:tcPr>
          <w:p w14:paraId="4F9BE4A3" w14:textId="0C88D9DD" w:rsidR="00D50B0B" w:rsidRPr="00D50B0B" w:rsidRDefault="00D50B0B" w:rsidP="00D50B0B">
            <w:pPr>
              <w:rPr>
                <w:rFonts w:cs="Arial"/>
              </w:rPr>
            </w:pPr>
            <w:r w:rsidRPr="00D50B0B">
              <w:rPr>
                <w:rFonts w:cs="Arial"/>
                <w:i/>
                <w:iCs/>
              </w:rPr>
              <w:t>Нарушения на ухото и лабиринта</w:t>
            </w:r>
          </w:p>
        </w:tc>
        <w:tc>
          <w:tcPr>
            <w:tcW w:w="1236" w:type="dxa"/>
          </w:tcPr>
          <w:p w14:paraId="2A9F2B8A" w14:textId="77777777" w:rsidR="00D50B0B" w:rsidRPr="00D50B0B" w:rsidRDefault="00D50B0B" w:rsidP="00D50B0B">
            <w:pPr>
              <w:rPr>
                <w:rFonts w:cs="Arial"/>
              </w:rPr>
            </w:pPr>
          </w:p>
        </w:tc>
        <w:tc>
          <w:tcPr>
            <w:tcW w:w="1427" w:type="dxa"/>
          </w:tcPr>
          <w:p w14:paraId="37561D4F" w14:textId="791ABBBD" w:rsidR="00D50B0B" w:rsidRPr="00D50B0B" w:rsidRDefault="00D50B0B" w:rsidP="00D50B0B">
            <w:pPr>
              <w:rPr>
                <w:rFonts w:cs="Arial"/>
              </w:rPr>
            </w:pPr>
            <w:r w:rsidRPr="00D50B0B">
              <w:rPr>
                <w:rFonts w:cs="Arial"/>
              </w:rPr>
              <w:t>тинитус*</w:t>
            </w:r>
          </w:p>
        </w:tc>
        <w:tc>
          <w:tcPr>
            <w:tcW w:w="1673" w:type="dxa"/>
          </w:tcPr>
          <w:p w14:paraId="7DAF20CF" w14:textId="11A1344E" w:rsidR="00D50B0B" w:rsidRPr="00D50B0B" w:rsidRDefault="00D50B0B" w:rsidP="00D50B0B">
            <w:pPr>
              <w:rPr>
                <w:rFonts w:cs="Arial"/>
              </w:rPr>
            </w:pPr>
            <w:r w:rsidRPr="00D50B0B">
              <w:rPr>
                <w:rFonts w:cs="Arial"/>
              </w:rPr>
              <w:t>болка в ухото</w:t>
            </w:r>
          </w:p>
        </w:tc>
        <w:tc>
          <w:tcPr>
            <w:tcW w:w="2033" w:type="dxa"/>
          </w:tcPr>
          <w:p w14:paraId="428A9F7B" w14:textId="77777777" w:rsidR="00D50B0B" w:rsidRPr="00D50B0B" w:rsidRDefault="00D50B0B" w:rsidP="00D50B0B">
            <w:pPr>
              <w:rPr>
                <w:rFonts w:cs="Arial"/>
              </w:rPr>
            </w:pPr>
          </w:p>
        </w:tc>
        <w:tc>
          <w:tcPr>
            <w:tcW w:w="1406" w:type="dxa"/>
          </w:tcPr>
          <w:p w14:paraId="5B151C4E" w14:textId="77777777" w:rsidR="00D50B0B" w:rsidRPr="00D50B0B" w:rsidRDefault="00D50B0B" w:rsidP="00D50B0B">
            <w:pPr>
              <w:rPr>
                <w:rFonts w:cs="Arial"/>
              </w:rPr>
            </w:pPr>
          </w:p>
        </w:tc>
      </w:tr>
      <w:tr w:rsidR="00D50B0B" w14:paraId="04DF266A" w14:textId="77777777" w:rsidTr="00D50B0B">
        <w:tc>
          <w:tcPr>
            <w:tcW w:w="1801" w:type="dxa"/>
          </w:tcPr>
          <w:p w14:paraId="17732E99" w14:textId="70604483" w:rsidR="00D50B0B" w:rsidRPr="00D50B0B" w:rsidRDefault="00D50B0B" w:rsidP="00D50B0B">
            <w:pPr>
              <w:rPr>
                <w:rFonts w:cs="Arial"/>
              </w:rPr>
            </w:pPr>
            <w:r w:rsidRPr="00D50B0B">
              <w:rPr>
                <w:rFonts w:cs="Arial"/>
                <w:i/>
                <w:iCs/>
              </w:rPr>
              <w:t>Сърдечни нарушения</w:t>
            </w:r>
          </w:p>
        </w:tc>
        <w:tc>
          <w:tcPr>
            <w:tcW w:w="1236" w:type="dxa"/>
          </w:tcPr>
          <w:p w14:paraId="38CF52A3" w14:textId="77777777" w:rsidR="00D50B0B" w:rsidRPr="00D50B0B" w:rsidRDefault="00D50B0B" w:rsidP="00D50B0B">
            <w:pPr>
              <w:rPr>
                <w:rFonts w:cs="Arial"/>
              </w:rPr>
            </w:pPr>
          </w:p>
        </w:tc>
        <w:tc>
          <w:tcPr>
            <w:tcW w:w="1427" w:type="dxa"/>
          </w:tcPr>
          <w:p w14:paraId="04A213C1" w14:textId="38314DED" w:rsidR="00D50B0B" w:rsidRPr="00D50B0B" w:rsidRDefault="00D50B0B" w:rsidP="00D50B0B">
            <w:pPr>
              <w:rPr>
                <w:rFonts w:cs="Arial"/>
              </w:rPr>
            </w:pPr>
            <w:r w:rsidRPr="00D50B0B">
              <w:rPr>
                <w:rFonts w:cs="Arial"/>
              </w:rPr>
              <w:t>палпитации*</w:t>
            </w:r>
          </w:p>
        </w:tc>
        <w:tc>
          <w:tcPr>
            <w:tcW w:w="1673" w:type="dxa"/>
          </w:tcPr>
          <w:p w14:paraId="58DC931A" w14:textId="56874C25" w:rsidR="00D50B0B" w:rsidRPr="00D50B0B" w:rsidRDefault="00D50B0B" w:rsidP="00D50B0B">
            <w:pPr>
              <w:rPr>
                <w:rFonts w:cs="Arial"/>
              </w:rPr>
            </w:pPr>
            <w:r w:rsidRPr="00D50B0B">
              <w:rPr>
                <w:rFonts w:cs="Arial"/>
              </w:rPr>
              <w:t>тахикардия*, сърдечно нарушение</w:t>
            </w:r>
          </w:p>
        </w:tc>
        <w:tc>
          <w:tcPr>
            <w:tcW w:w="2033" w:type="dxa"/>
            <w:vAlign w:val="bottom"/>
          </w:tcPr>
          <w:p w14:paraId="21042AEF" w14:textId="1F81197C" w:rsidR="00D50B0B" w:rsidRPr="00D50B0B" w:rsidRDefault="00D50B0B" w:rsidP="00D50B0B">
            <w:pPr>
              <w:rPr>
                <w:rFonts w:cs="Arial"/>
              </w:rPr>
            </w:pPr>
            <w:r w:rsidRPr="00D50B0B">
              <w:rPr>
                <w:rFonts w:cs="Arial"/>
              </w:rPr>
              <w:t xml:space="preserve">миокарден инфаркт*§, </w:t>
            </w:r>
            <w:r w:rsidRPr="00D50B0B">
              <w:rPr>
                <w:rFonts w:cs="Arial"/>
                <w:lang w:val="en-US"/>
              </w:rPr>
              <w:t xml:space="preserve">Torsade de Pointes </w:t>
            </w:r>
            <w:r w:rsidRPr="00D50B0B">
              <w:rPr>
                <w:rFonts w:cs="Arial"/>
              </w:rPr>
              <w:t xml:space="preserve">(вж. точки 4.4, 4.5 и 5.1), брадикардия, удължаване на </w:t>
            </w:r>
            <w:r w:rsidRPr="00D50B0B">
              <w:rPr>
                <w:rFonts w:cs="Arial"/>
                <w:lang w:val="en-US"/>
              </w:rPr>
              <w:t xml:space="preserve">QT </w:t>
            </w:r>
            <w:r w:rsidRPr="00D50B0B">
              <w:rPr>
                <w:rFonts w:cs="Arial"/>
              </w:rPr>
              <w:t>интервала* (вж. точки 4.4, 4.5 и 5.1)</w:t>
            </w:r>
          </w:p>
        </w:tc>
        <w:tc>
          <w:tcPr>
            <w:tcW w:w="1406" w:type="dxa"/>
          </w:tcPr>
          <w:p w14:paraId="37EFC82D" w14:textId="77777777" w:rsidR="00D50B0B" w:rsidRPr="00D50B0B" w:rsidRDefault="00D50B0B" w:rsidP="00D50B0B">
            <w:pPr>
              <w:rPr>
                <w:rFonts w:cs="Arial"/>
              </w:rPr>
            </w:pPr>
          </w:p>
        </w:tc>
      </w:tr>
      <w:tr w:rsidR="00D50B0B" w14:paraId="169FBB2B" w14:textId="77777777" w:rsidTr="00D50B0B">
        <w:tc>
          <w:tcPr>
            <w:tcW w:w="1801" w:type="dxa"/>
          </w:tcPr>
          <w:p w14:paraId="7FD16F98" w14:textId="36BB6F0F" w:rsidR="00D50B0B" w:rsidRPr="00D50B0B" w:rsidRDefault="00D50B0B" w:rsidP="00D50B0B">
            <w:pPr>
              <w:rPr>
                <w:rFonts w:cs="Arial"/>
              </w:rPr>
            </w:pPr>
            <w:r w:rsidRPr="00D50B0B">
              <w:rPr>
                <w:rFonts w:cs="Arial"/>
                <w:i/>
                <w:iCs/>
              </w:rPr>
              <w:t>Съдови нарушения</w:t>
            </w:r>
          </w:p>
        </w:tc>
        <w:tc>
          <w:tcPr>
            <w:tcW w:w="1236" w:type="dxa"/>
          </w:tcPr>
          <w:p w14:paraId="20B3182D" w14:textId="77777777" w:rsidR="00D50B0B" w:rsidRPr="00D50B0B" w:rsidRDefault="00D50B0B" w:rsidP="00D50B0B">
            <w:pPr>
              <w:rPr>
                <w:rFonts w:cs="Arial"/>
              </w:rPr>
            </w:pPr>
          </w:p>
        </w:tc>
        <w:tc>
          <w:tcPr>
            <w:tcW w:w="1427" w:type="dxa"/>
          </w:tcPr>
          <w:p w14:paraId="11B336DD" w14:textId="4FA05117" w:rsidR="00D50B0B" w:rsidRPr="00D50B0B" w:rsidRDefault="00D50B0B" w:rsidP="00D50B0B">
            <w:pPr>
              <w:rPr>
                <w:rFonts w:cs="Arial"/>
              </w:rPr>
            </w:pPr>
            <w:r w:rsidRPr="00D50B0B">
              <w:rPr>
                <w:rFonts w:cs="Arial"/>
              </w:rPr>
              <w:t>горещи вълни*</w:t>
            </w:r>
          </w:p>
        </w:tc>
        <w:tc>
          <w:tcPr>
            <w:tcW w:w="1673" w:type="dxa"/>
            <w:vAlign w:val="bottom"/>
          </w:tcPr>
          <w:p w14:paraId="234C7ED3" w14:textId="52E27224" w:rsidR="00D50B0B" w:rsidRPr="00D50B0B" w:rsidRDefault="00D50B0B" w:rsidP="00D50B0B">
            <w:pPr>
              <w:rPr>
                <w:rFonts w:cs="Arial"/>
              </w:rPr>
            </w:pPr>
            <w:r w:rsidRPr="00D50B0B">
              <w:rPr>
                <w:rFonts w:cs="Arial"/>
              </w:rPr>
              <w:t xml:space="preserve">патологично кървене (напр. гастроинтестина лно кървене)*, хипертония*, зачервяване, </w:t>
            </w:r>
            <w:r w:rsidRPr="00D50B0B">
              <w:rPr>
                <w:rFonts w:cs="Arial"/>
              </w:rPr>
              <w:t>хематурия*</w:t>
            </w:r>
          </w:p>
        </w:tc>
        <w:tc>
          <w:tcPr>
            <w:tcW w:w="2033" w:type="dxa"/>
            <w:vAlign w:val="bottom"/>
          </w:tcPr>
          <w:p w14:paraId="48AA2384" w14:textId="2A1A0EAB" w:rsidR="00D50B0B" w:rsidRPr="00D50B0B" w:rsidRDefault="00D50B0B" w:rsidP="00D50B0B">
            <w:pPr>
              <w:rPr>
                <w:rFonts w:cs="Arial"/>
              </w:rPr>
            </w:pPr>
            <w:r w:rsidRPr="00D50B0B">
              <w:rPr>
                <w:rFonts w:cs="Arial"/>
              </w:rPr>
              <w:t>периферна исхемия</w:t>
            </w:r>
          </w:p>
        </w:tc>
        <w:tc>
          <w:tcPr>
            <w:tcW w:w="1406" w:type="dxa"/>
          </w:tcPr>
          <w:p w14:paraId="42216801" w14:textId="77777777" w:rsidR="00D50B0B" w:rsidRPr="00D50B0B" w:rsidRDefault="00D50B0B" w:rsidP="00D50B0B">
            <w:pPr>
              <w:rPr>
                <w:rFonts w:cs="Arial"/>
              </w:rPr>
            </w:pPr>
          </w:p>
        </w:tc>
      </w:tr>
      <w:tr w:rsidR="00D50B0B" w14:paraId="73C4BD74" w14:textId="77777777" w:rsidTr="00D50B0B">
        <w:tc>
          <w:tcPr>
            <w:tcW w:w="1801" w:type="dxa"/>
          </w:tcPr>
          <w:p w14:paraId="08DC1B12" w14:textId="16CD5B0E" w:rsidR="00D50B0B" w:rsidRPr="00D50B0B" w:rsidRDefault="00D50B0B" w:rsidP="00D50B0B">
            <w:pPr>
              <w:rPr>
                <w:rFonts w:cs="Arial"/>
              </w:rPr>
            </w:pPr>
            <w:r w:rsidRPr="00D50B0B">
              <w:rPr>
                <w:rFonts w:cs="Arial"/>
                <w:i/>
                <w:iCs/>
              </w:rPr>
              <w:t>Респираторни, гръдни и медиастинални нарушения</w:t>
            </w:r>
          </w:p>
        </w:tc>
        <w:tc>
          <w:tcPr>
            <w:tcW w:w="1236" w:type="dxa"/>
          </w:tcPr>
          <w:p w14:paraId="7F0728B9" w14:textId="77777777" w:rsidR="00D50B0B" w:rsidRPr="00D50B0B" w:rsidRDefault="00D50B0B" w:rsidP="00D50B0B">
            <w:pPr>
              <w:rPr>
                <w:rFonts w:cs="Arial"/>
              </w:rPr>
            </w:pPr>
          </w:p>
        </w:tc>
        <w:tc>
          <w:tcPr>
            <w:tcW w:w="1427" w:type="dxa"/>
          </w:tcPr>
          <w:p w14:paraId="50B24155" w14:textId="5F2AF1E4" w:rsidR="00D50B0B" w:rsidRPr="00D50B0B" w:rsidRDefault="00D50B0B" w:rsidP="00D50B0B">
            <w:pPr>
              <w:rPr>
                <w:rFonts w:cs="Arial"/>
              </w:rPr>
            </w:pPr>
            <w:r w:rsidRPr="00D50B0B">
              <w:rPr>
                <w:rFonts w:cs="Arial"/>
              </w:rPr>
              <w:t>прозяваме*</w:t>
            </w:r>
          </w:p>
        </w:tc>
        <w:tc>
          <w:tcPr>
            <w:tcW w:w="1673" w:type="dxa"/>
          </w:tcPr>
          <w:p w14:paraId="61814B18" w14:textId="0D8E8E73" w:rsidR="00D50B0B" w:rsidRPr="00D50B0B" w:rsidRDefault="00D50B0B" w:rsidP="00D50B0B">
            <w:pPr>
              <w:rPr>
                <w:rFonts w:cs="Arial"/>
              </w:rPr>
            </w:pPr>
            <w:r w:rsidRPr="00D50B0B">
              <w:rPr>
                <w:rFonts w:cs="Arial"/>
              </w:rPr>
              <w:t>диспнея, епистаксис*, бронхоспазъм*</w:t>
            </w:r>
          </w:p>
        </w:tc>
        <w:tc>
          <w:tcPr>
            <w:tcW w:w="2033" w:type="dxa"/>
            <w:vAlign w:val="bottom"/>
          </w:tcPr>
          <w:p w14:paraId="382AC32B" w14:textId="30FB845B" w:rsidR="00D50B0B" w:rsidRPr="00D50B0B" w:rsidRDefault="00D50B0B" w:rsidP="00D50B0B">
            <w:pPr>
              <w:rPr>
                <w:rFonts w:cs="Arial"/>
              </w:rPr>
            </w:pPr>
            <w:r w:rsidRPr="00D50B0B">
              <w:rPr>
                <w:rFonts w:cs="Arial"/>
              </w:rPr>
              <w:t>хипервентилация, интерстициална белодробна болест*§, ларингоспазъм, дисфония, стридор*§ хиповентилация, хълцане</w:t>
            </w:r>
          </w:p>
        </w:tc>
        <w:tc>
          <w:tcPr>
            <w:tcW w:w="1406" w:type="dxa"/>
          </w:tcPr>
          <w:p w14:paraId="5B8E0E3A" w14:textId="77777777" w:rsidR="00D50B0B" w:rsidRPr="00D50B0B" w:rsidRDefault="00D50B0B" w:rsidP="00D50B0B">
            <w:pPr>
              <w:rPr>
                <w:rFonts w:cs="Arial"/>
              </w:rPr>
            </w:pPr>
          </w:p>
        </w:tc>
      </w:tr>
      <w:tr w:rsidR="00D50B0B" w14:paraId="4AF3E621" w14:textId="77777777" w:rsidTr="00D50B0B">
        <w:tc>
          <w:tcPr>
            <w:tcW w:w="1801" w:type="dxa"/>
          </w:tcPr>
          <w:p w14:paraId="5DA50B0B" w14:textId="3C1161D6" w:rsidR="00D50B0B" w:rsidRPr="00D50B0B" w:rsidRDefault="00D50B0B" w:rsidP="00D50B0B">
            <w:pPr>
              <w:rPr>
                <w:rFonts w:cs="Arial"/>
              </w:rPr>
            </w:pPr>
            <w:r w:rsidRPr="00D50B0B">
              <w:rPr>
                <w:rFonts w:cs="Arial"/>
                <w:i/>
                <w:iCs/>
              </w:rPr>
              <w:lastRenderedPageBreak/>
              <w:t>Стомашно- чревни нарушения</w:t>
            </w:r>
          </w:p>
        </w:tc>
        <w:tc>
          <w:tcPr>
            <w:tcW w:w="1236" w:type="dxa"/>
          </w:tcPr>
          <w:p w14:paraId="1FA5813C" w14:textId="01E3333A" w:rsidR="00D50B0B" w:rsidRPr="00D50B0B" w:rsidRDefault="00D50B0B" w:rsidP="00D50B0B">
            <w:pPr>
              <w:rPr>
                <w:rFonts w:cs="Arial"/>
              </w:rPr>
            </w:pPr>
            <w:r w:rsidRPr="00D50B0B">
              <w:rPr>
                <w:rFonts w:cs="Arial"/>
              </w:rPr>
              <w:t>гадене, диария, сухотав устата</w:t>
            </w:r>
          </w:p>
        </w:tc>
        <w:tc>
          <w:tcPr>
            <w:tcW w:w="1427" w:type="dxa"/>
          </w:tcPr>
          <w:p w14:paraId="2B5BA547" w14:textId="0430DB71" w:rsidR="00D50B0B" w:rsidRPr="00D50B0B" w:rsidRDefault="00D50B0B" w:rsidP="00D50B0B">
            <w:pPr>
              <w:rPr>
                <w:rFonts w:cs="Arial"/>
              </w:rPr>
            </w:pPr>
            <w:r w:rsidRPr="00D50B0B">
              <w:rPr>
                <w:rFonts w:cs="Arial"/>
              </w:rPr>
              <w:t>диспепсия, запек*, коремна болка*, повръщане*, флатуленция</w:t>
            </w:r>
          </w:p>
        </w:tc>
        <w:tc>
          <w:tcPr>
            <w:tcW w:w="1673" w:type="dxa"/>
            <w:vAlign w:val="bottom"/>
          </w:tcPr>
          <w:p w14:paraId="75E05D65" w14:textId="615F2756" w:rsidR="00D50B0B" w:rsidRPr="00D50B0B" w:rsidRDefault="00D50B0B" w:rsidP="00D50B0B">
            <w:pPr>
              <w:rPr>
                <w:rFonts w:cs="Arial"/>
              </w:rPr>
            </w:pPr>
            <w:r w:rsidRPr="00D50B0B">
              <w:rPr>
                <w:rFonts w:cs="Arial"/>
              </w:rPr>
              <w:t>мелена, зъбни нарушения, езофагит, глосит, хемороиди, свръхсекреция на слюнка, дисфагия, оригване, нарушение на езика</w:t>
            </w:r>
          </w:p>
        </w:tc>
        <w:tc>
          <w:tcPr>
            <w:tcW w:w="2033" w:type="dxa"/>
          </w:tcPr>
          <w:p w14:paraId="3B6BEC45" w14:textId="1A75024D" w:rsidR="00D50B0B" w:rsidRPr="00D50B0B" w:rsidRDefault="00D50B0B" w:rsidP="00D50B0B">
            <w:pPr>
              <w:rPr>
                <w:rFonts w:cs="Arial"/>
              </w:rPr>
            </w:pPr>
            <w:r w:rsidRPr="00D50B0B">
              <w:rPr>
                <w:rFonts w:cs="Arial"/>
              </w:rPr>
              <w:t>разязвяване на устата, панкреатит*§, хематохезия, разязване на езика, стоматит</w:t>
            </w:r>
          </w:p>
        </w:tc>
        <w:tc>
          <w:tcPr>
            <w:tcW w:w="1406" w:type="dxa"/>
          </w:tcPr>
          <w:p w14:paraId="3653E138" w14:textId="15E5F607" w:rsidR="00D50B0B" w:rsidRPr="00D50B0B" w:rsidRDefault="00D50B0B" w:rsidP="00D50B0B">
            <w:pPr>
              <w:rPr>
                <w:rFonts w:cs="Arial"/>
              </w:rPr>
            </w:pPr>
            <w:r w:rsidRPr="00D50B0B">
              <w:rPr>
                <w:rFonts w:cs="Arial"/>
              </w:rPr>
              <w:t>микроскопски колит</w:t>
            </w:r>
          </w:p>
        </w:tc>
      </w:tr>
      <w:tr w:rsidR="00D50B0B" w14:paraId="04C279E0" w14:textId="77777777" w:rsidTr="00D50B0B">
        <w:tc>
          <w:tcPr>
            <w:tcW w:w="1801" w:type="dxa"/>
          </w:tcPr>
          <w:p w14:paraId="09D05017" w14:textId="321C2AE8" w:rsidR="00D50B0B" w:rsidRPr="00D50B0B" w:rsidRDefault="00D50B0B" w:rsidP="00D50B0B">
            <w:pPr>
              <w:rPr>
                <w:rFonts w:cs="Arial"/>
              </w:rPr>
            </w:pPr>
            <w:r w:rsidRPr="00D50B0B">
              <w:rPr>
                <w:rFonts w:cs="Arial"/>
                <w:i/>
                <w:iCs/>
              </w:rPr>
              <w:t>Хепато- билиарни нарушения</w:t>
            </w:r>
          </w:p>
        </w:tc>
        <w:tc>
          <w:tcPr>
            <w:tcW w:w="1236" w:type="dxa"/>
          </w:tcPr>
          <w:p w14:paraId="179D3C81" w14:textId="77777777" w:rsidR="00D50B0B" w:rsidRPr="00D50B0B" w:rsidRDefault="00D50B0B" w:rsidP="00D50B0B">
            <w:pPr>
              <w:rPr>
                <w:rFonts w:cs="Arial"/>
              </w:rPr>
            </w:pPr>
          </w:p>
        </w:tc>
        <w:tc>
          <w:tcPr>
            <w:tcW w:w="1427" w:type="dxa"/>
          </w:tcPr>
          <w:p w14:paraId="0626D28B" w14:textId="77777777" w:rsidR="00D50B0B" w:rsidRPr="00D50B0B" w:rsidRDefault="00D50B0B" w:rsidP="00D50B0B">
            <w:pPr>
              <w:rPr>
                <w:rFonts w:cs="Arial"/>
              </w:rPr>
            </w:pPr>
          </w:p>
        </w:tc>
        <w:tc>
          <w:tcPr>
            <w:tcW w:w="1673" w:type="dxa"/>
          </w:tcPr>
          <w:p w14:paraId="1A67E262" w14:textId="77777777" w:rsidR="00D50B0B" w:rsidRPr="00D50B0B" w:rsidRDefault="00D50B0B" w:rsidP="00D50B0B">
            <w:pPr>
              <w:rPr>
                <w:rFonts w:cs="Arial"/>
              </w:rPr>
            </w:pPr>
          </w:p>
        </w:tc>
        <w:tc>
          <w:tcPr>
            <w:tcW w:w="2033" w:type="dxa"/>
          </w:tcPr>
          <w:p w14:paraId="1E6492CF" w14:textId="7DA6E13E" w:rsidR="00D50B0B" w:rsidRPr="00D50B0B" w:rsidRDefault="00D50B0B" w:rsidP="00D50B0B">
            <w:pPr>
              <w:rPr>
                <w:rFonts w:cs="Arial"/>
              </w:rPr>
            </w:pPr>
            <w:r w:rsidRPr="00D50B0B">
              <w:rPr>
                <w:rFonts w:cs="Arial"/>
              </w:rPr>
              <w:t>абнормна чернодробна функция, сериозни чернодробни събития (включително хепатит жълтеница и чернодробна недостатъчност)</w:t>
            </w:r>
          </w:p>
        </w:tc>
        <w:tc>
          <w:tcPr>
            <w:tcW w:w="1406" w:type="dxa"/>
          </w:tcPr>
          <w:p w14:paraId="1360D470" w14:textId="77777777" w:rsidR="00D50B0B" w:rsidRPr="00D50B0B" w:rsidRDefault="00D50B0B" w:rsidP="00D50B0B">
            <w:pPr>
              <w:rPr>
                <w:rFonts w:cs="Arial"/>
              </w:rPr>
            </w:pPr>
          </w:p>
        </w:tc>
      </w:tr>
      <w:tr w:rsidR="00D50B0B" w14:paraId="714CE94F" w14:textId="77777777" w:rsidTr="00D50B0B">
        <w:tc>
          <w:tcPr>
            <w:tcW w:w="1801" w:type="dxa"/>
          </w:tcPr>
          <w:p w14:paraId="33CA27CB" w14:textId="061BF4FF" w:rsidR="00D50B0B" w:rsidRPr="00D50B0B" w:rsidRDefault="00D50B0B" w:rsidP="00D50B0B">
            <w:pPr>
              <w:rPr>
                <w:rFonts w:cs="Arial"/>
              </w:rPr>
            </w:pPr>
            <w:r w:rsidRPr="00D50B0B">
              <w:rPr>
                <w:rFonts w:cs="Arial"/>
                <w:i/>
                <w:iCs/>
              </w:rPr>
              <w:t>Нарушения на кожата и подкожната тъкан</w:t>
            </w:r>
          </w:p>
        </w:tc>
        <w:tc>
          <w:tcPr>
            <w:tcW w:w="1236" w:type="dxa"/>
          </w:tcPr>
          <w:p w14:paraId="6D657108" w14:textId="77777777" w:rsidR="00D50B0B" w:rsidRPr="00D50B0B" w:rsidRDefault="00D50B0B" w:rsidP="00D50B0B">
            <w:pPr>
              <w:rPr>
                <w:rFonts w:cs="Arial"/>
              </w:rPr>
            </w:pPr>
          </w:p>
        </w:tc>
        <w:tc>
          <w:tcPr>
            <w:tcW w:w="1427" w:type="dxa"/>
          </w:tcPr>
          <w:p w14:paraId="67AE3B63" w14:textId="79929CA5" w:rsidR="00D50B0B" w:rsidRPr="00D50B0B" w:rsidRDefault="00D50B0B" w:rsidP="00D50B0B">
            <w:pPr>
              <w:rPr>
                <w:rFonts w:cs="Arial"/>
              </w:rPr>
            </w:pPr>
            <w:r w:rsidRPr="00D50B0B">
              <w:rPr>
                <w:rFonts w:cs="Arial"/>
              </w:rPr>
              <w:t>Хиперхидро- за, обрив*</w:t>
            </w:r>
          </w:p>
        </w:tc>
        <w:tc>
          <w:tcPr>
            <w:tcW w:w="1673" w:type="dxa"/>
          </w:tcPr>
          <w:p w14:paraId="22292BFE" w14:textId="0890671F" w:rsidR="00D50B0B" w:rsidRPr="00D50B0B" w:rsidRDefault="00D50B0B" w:rsidP="00D50B0B">
            <w:pPr>
              <w:rPr>
                <w:rFonts w:cs="Arial"/>
              </w:rPr>
            </w:pPr>
            <w:r w:rsidRPr="00D50B0B">
              <w:rPr>
                <w:rFonts w:cs="Arial"/>
              </w:rPr>
              <w:t>периорбитален оток*, уртикария*, алопеция*, сърбеж*, пурпура*, дерматит, суха кожа, оток на лицето, студена пот</w:t>
            </w:r>
          </w:p>
        </w:tc>
        <w:tc>
          <w:tcPr>
            <w:tcW w:w="2033" w:type="dxa"/>
          </w:tcPr>
          <w:p w14:paraId="20897FC0" w14:textId="26D0C96F" w:rsidR="00D50B0B" w:rsidRPr="00D50B0B" w:rsidRDefault="00D50B0B" w:rsidP="00D50B0B">
            <w:pPr>
              <w:rPr>
                <w:rFonts w:cs="Arial"/>
              </w:rPr>
            </w:pPr>
            <w:r w:rsidRPr="00D50B0B">
              <w:rPr>
                <w:rFonts w:cs="Arial"/>
              </w:rPr>
              <w:t xml:space="preserve">редки случаи на тежки кожни нежелани реакции </w:t>
            </w:r>
            <w:r w:rsidRPr="00D50B0B">
              <w:rPr>
                <w:rFonts w:cs="Arial"/>
                <w:lang w:val="en-US"/>
              </w:rPr>
              <w:t xml:space="preserve">(SCAR): </w:t>
            </w:r>
            <w:r w:rsidRPr="00D50B0B">
              <w:rPr>
                <w:rFonts w:cs="Arial"/>
              </w:rPr>
              <w:t xml:space="preserve">напр. синдром на </w:t>
            </w:r>
            <w:r w:rsidRPr="00D50B0B">
              <w:rPr>
                <w:rFonts w:cs="Arial"/>
                <w:lang w:val="en-US"/>
              </w:rPr>
              <w:t xml:space="preserve">Stevens- Johnson </w:t>
            </w:r>
            <w:r w:rsidRPr="00D50B0B">
              <w:rPr>
                <w:rFonts w:cs="Arial"/>
              </w:rPr>
              <w:t>и епидермална некролиза*§, кожна реакция *§, фоточувствителност *§, ангиоедем, нарушена консистенция на косата, необичайна миризма на кожата, булозен дерматит, фоликуларен обрив</w:t>
            </w:r>
          </w:p>
        </w:tc>
        <w:tc>
          <w:tcPr>
            <w:tcW w:w="1406" w:type="dxa"/>
          </w:tcPr>
          <w:p w14:paraId="55F69F5F" w14:textId="77777777" w:rsidR="00D50B0B" w:rsidRPr="00D50B0B" w:rsidRDefault="00D50B0B" w:rsidP="00D50B0B">
            <w:pPr>
              <w:rPr>
                <w:rFonts w:cs="Arial"/>
              </w:rPr>
            </w:pPr>
          </w:p>
        </w:tc>
      </w:tr>
      <w:tr w:rsidR="00D50B0B" w14:paraId="2FC1EB51" w14:textId="77777777" w:rsidTr="00D50B0B">
        <w:tc>
          <w:tcPr>
            <w:tcW w:w="1801" w:type="dxa"/>
          </w:tcPr>
          <w:p w14:paraId="2E9F67D2" w14:textId="624D99B1" w:rsidR="00D50B0B" w:rsidRPr="00D50B0B" w:rsidRDefault="00D50B0B" w:rsidP="00D50B0B">
            <w:pPr>
              <w:rPr>
                <w:rFonts w:cs="Arial"/>
              </w:rPr>
            </w:pPr>
            <w:r w:rsidRPr="00D50B0B">
              <w:rPr>
                <w:rFonts w:cs="Arial"/>
                <w:i/>
                <w:iCs/>
              </w:rPr>
              <w:lastRenderedPageBreak/>
              <w:t xml:space="preserve">Нарушения на мускулно- скелетната система и </w:t>
            </w:r>
            <w:r w:rsidRPr="00D50B0B">
              <w:rPr>
                <w:rFonts w:cs="Arial"/>
                <w:i/>
                <w:iCs/>
              </w:rPr>
              <w:t>съединителната тъкан</w:t>
            </w:r>
          </w:p>
        </w:tc>
        <w:tc>
          <w:tcPr>
            <w:tcW w:w="1236" w:type="dxa"/>
          </w:tcPr>
          <w:p w14:paraId="345EC153" w14:textId="77777777" w:rsidR="00D50B0B" w:rsidRPr="00D50B0B" w:rsidRDefault="00D50B0B" w:rsidP="00D50B0B">
            <w:pPr>
              <w:rPr>
                <w:rFonts w:cs="Arial"/>
              </w:rPr>
            </w:pPr>
          </w:p>
        </w:tc>
        <w:tc>
          <w:tcPr>
            <w:tcW w:w="1427" w:type="dxa"/>
          </w:tcPr>
          <w:p w14:paraId="322B656B" w14:textId="682B34F5" w:rsidR="00D50B0B" w:rsidRPr="00D50B0B" w:rsidRDefault="00D50B0B" w:rsidP="00D50B0B">
            <w:pPr>
              <w:rPr>
                <w:rFonts w:cs="Arial"/>
              </w:rPr>
            </w:pPr>
            <w:r w:rsidRPr="00D50B0B">
              <w:rPr>
                <w:rFonts w:cs="Arial"/>
              </w:rPr>
              <w:t>болка в гърба, артралгия*, миалгия</w:t>
            </w:r>
          </w:p>
        </w:tc>
        <w:tc>
          <w:tcPr>
            <w:tcW w:w="1673" w:type="dxa"/>
          </w:tcPr>
          <w:p w14:paraId="45DE92A9" w14:textId="34061ACC" w:rsidR="00D50B0B" w:rsidRPr="00D50B0B" w:rsidRDefault="00D50B0B" w:rsidP="00D50B0B">
            <w:pPr>
              <w:rPr>
                <w:rFonts w:cs="Arial"/>
              </w:rPr>
            </w:pPr>
            <w:r w:rsidRPr="00D50B0B">
              <w:rPr>
                <w:rFonts w:cs="Arial"/>
              </w:rPr>
              <w:t xml:space="preserve">остеоартрит, мускулни потрепвания, мускулни </w:t>
            </w:r>
            <w:r w:rsidRPr="00D50B0B">
              <w:rPr>
                <w:rFonts w:cs="Arial"/>
              </w:rPr>
              <w:t>крампи*, мускулна слабост</w:t>
            </w:r>
          </w:p>
        </w:tc>
        <w:tc>
          <w:tcPr>
            <w:tcW w:w="2033" w:type="dxa"/>
          </w:tcPr>
          <w:p w14:paraId="06AD409A" w14:textId="5565170B" w:rsidR="00D50B0B" w:rsidRPr="00D50B0B" w:rsidRDefault="00D50B0B" w:rsidP="00D50B0B">
            <w:pPr>
              <w:rPr>
                <w:rFonts w:cs="Arial"/>
              </w:rPr>
            </w:pPr>
            <w:r w:rsidRPr="00D50B0B">
              <w:rPr>
                <w:rFonts w:cs="Arial"/>
              </w:rPr>
              <w:t>рабдомиолиза*§,</w:t>
            </w:r>
            <w:r w:rsidRPr="00D50B0B">
              <w:rPr>
                <w:rFonts w:cs="Arial"/>
                <w:vertAlign w:val="subscript"/>
              </w:rPr>
              <w:t xml:space="preserve"> </w:t>
            </w:r>
            <w:r w:rsidRPr="00D50B0B">
              <w:rPr>
                <w:rFonts w:cs="Arial"/>
              </w:rPr>
              <w:t>костно нарушение</w:t>
            </w:r>
          </w:p>
        </w:tc>
        <w:tc>
          <w:tcPr>
            <w:tcW w:w="1406" w:type="dxa"/>
            <w:vAlign w:val="bottom"/>
          </w:tcPr>
          <w:p w14:paraId="3F941A4E" w14:textId="58804C8E" w:rsidR="00D50B0B" w:rsidRPr="00D50B0B" w:rsidRDefault="00D50B0B" w:rsidP="00D50B0B">
            <w:pPr>
              <w:rPr>
                <w:rFonts w:cs="Arial"/>
              </w:rPr>
            </w:pPr>
            <w:r w:rsidRPr="00D50B0B">
              <w:rPr>
                <w:rFonts w:cs="Arial"/>
              </w:rPr>
              <w:t>Тризъм</w:t>
            </w:r>
          </w:p>
        </w:tc>
      </w:tr>
      <w:tr w:rsidR="00D50B0B" w14:paraId="7464C465" w14:textId="77777777" w:rsidTr="00D50B0B">
        <w:tc>
          <w:tcPr>
            <w:tcW w:w="1801" w:type="dxa"/>
          </w:tcPr>
          <w:p w14:paraId="3D6D591E" w14:textId="1BEA0674" w:rsidR="00D50B0B" w:rsidRPr="00D50B0B" w:rsidRDefault="00D50B0B" w:rsidP="00D50B0B">
            <w:pPr>
              <w:rPr>
                <w:rFonts w:cs="Arial"/>
              </w:rPr>
            </w:pPr>
            <w:r w:rsidRPr="00D50B0B">
              <w:rPr>
                <w:rFonts w:cs="Arial"/>
                <w:i/>
                <w:iCs/>
              </w:rPr>
              <w:t>Нарушения на бъбреците и пикочните пътища</w:t>
            </w:r>
          </w:p>
        </w:tc>
        <w:tc>
          <w:tcPr>
            <w:tcW w:w="1236" w:type="dxa"/>
          </w:tcPr>
          <w:p w14:paraId="2700B3CF" w14:textId="77777777" w:rsidR="00D50B0B" w:rsidRPr="00D50B0B" w:rsidRDefault="00D50B0B" w:rsidP="00D50B0B">
            <w:pPr>
              <w:rPr>
                <w:rFonts w:cs="Arial"/>
              </w:rPr>
            </w:pPr>
          </w:p>
        </w:tc>
        <w:tc>
          <w:tcPr>
            <w:tcW w:w="1427" w:type="dxa"/>
          </w:tcPr>
          <w:p w14:paraId="60FED2DB" w14:textId="77777777" w:rsidR="00D50B0B" w:rsidRPr="00D50B0B" w:rsidRDefault="00D50B0B" w:rsidP="00D50B0B">
            <w:pPr>
              <w:rPr>
                <w:rFonts w:cs="Arial"/>
              </w:rPr>
            </w:pPr>
          </w:p>
        </w:tc>
        <w:tc>
          <w:tcPr>
            <w:tcW w:w="1673" w:type="dxa"/>
          </w:tcPr>
          <w:p w14:paraId="2AEC006A" w14:textId="7C064556" w:rsidR="00D50B0B" w:rsidRPr="00D50B0B" w:rsidRDefault="00D50B0B" w:rsidP="00D50B0B">
            <w:pPr>
              <w:rPr>
                <w:rFonts w:cs="Arial"/>
              </w:rPr>
            </w:pPr>
            <w:r w:rsidRPr="00D50B0B">
              <w:rPr>
                <w:rFonts w:cs="Arial"/>
              </w:rPr>
              <w:t>полакиурия, микционно нарушение, задръжка на урината, незадържане на урина*, полиурия, ноктурия</w:t>
            </w:r>
          </w:p>
        </w:tc>
        <w:tc>
          <w:tcPr>
            <w:tcW w:w="2033" w:type="dxa"/>
          </w:tcPr>
          <w:p w14:paraId="3AD8A8B7" w14:textId="179EF319" w:rsidR="00D50B0B" w:rsidRPr="00D50B0B" w:rsidRDefault="00D50B0B" w:rsidP="00D50B0B">
            <w:pPr>
              <w:rPr>
                <w:rFonts w:cs="Arial"/>
              </w:rPr>
            </w:pPr>
            <w:r w:rsidRPr="00D50B0B">
              <w:rPr>
                <w:rFonts w:cs="Arial"/>
              </w:rPr>
              <w:t>неравномерна струя на урината*, олигурия</w:t>
            </w:r>
          </w:p>
        </w:tc>
        <w:tc>
          <w:tcPr>
            <w:tcW w:w="1406" w:type="dxa"/>
          </w:tcPr>
          <w:p w14:paraId="24CD55E4" w14:textId="77777777" w:rsidR="00D50B0B" w:rsidRPr="00D50B0B" w:rsidRDefault="00D50B0B" w:rsidP="00D50B0B">
            <w:pPr>
              <w:rPr>
                <w:rFonts w:cs="Arial"/>
              </w:rPr>
            </w:pPr>
          </w:p>
        </w:tc>
      </w:tr>
      <w:tr w:rsidR="00D50B0B" w14:paraId="23336564" w14:textId="77777777" w:rsidTr="00D50B0B">
        <w:tc>
          <w:tcPr>
            <w:tcW w:w="1801" w:type="dxa"/>
          </w:tcPr>
          <w:p w14:paraId="58CF5C36" w14:textId="47E0CD7D" w:rsidR="00D50B0B" w:rsidRPr="00D50B0B" w:rsidRDefault="00D50B0B" w:rsidP="00D50B0B">
            <w:pPr>
              <w:rPr>
                <w:rFonts w:cs="Arial"/>
              </w:rPr>
            </w:pPr>
            <w:r w:rsidRPr="00D50B0B">
              <w:rPr>
                <w:rFonts w:cs="Arial"/>
                <w:i/>
                <w:iCs/>
              </w:rPr>
              <w:t>Нарушения на възпроизводител нота система и гърдата</w:t>
            </w:r>
          </w:p>
        </w:tc>
        <w:tc>
          <w:tcPr>
            <w:tcW w:w="1236" w:type="dxa"/>
          </w:tcPr>
          <w:p w14:paraId="261177D5" w14:textId="16381239" w:rsidR="00D50B0B" w:rsidRPr="00D50B0B" w:rsidRDefault="00D50B0B" w:rsidP="00D50B0B">
            <w:pPr>
              <w:rPr>
                <w:rFonts w:cs="Arial"/>
              </w:rPr>
            </w:pPr>
            <w:r w:rsidRPr="00D50B0B">
              <w:rPr>
                <w:rFonts w:cs="Arial"/>
              </w:rPr>
              <w:t>липса на еякулация</w:t>
            </w:r>
          </w:p>
        </w:tc>
        <w:tc>
          <w:tcPr>
            <w:tcW w:w="1427" w:type="dxa"/>
          </w:tcPr>
          <w:p w14:paraId="072EF5A8" w14:textId="001FD812" w:rsidR="00D50B0B" w:rsidRPr="00D50B0B" w:rsidRDefault="00D50B0B" w:rsidP="00D50B0B">
            <w:pPr>
              <w:rPr>
                <w:rFonts w:cs="Arial"/>
              </w:rPr>
            </w:pPr>
            <w:r w:rsidRPr="00D50B0B">
              <w:rPr>
                <w:rFonts w:cs="Arial"/>
              </w:rPr>
              <w:t>смущения в менструал</w:t>
            </w:r>
            <w:r w:rsidRPr="00D50B0B">
              <w:rPr>
                <w:rFonts w:cs="Arial"/>
              </w:rPr>
              <w:softHyphen/>
              <w:t>ния цикъл*, еректилна дисфункция</w:t>
            </w:r>
          </w:p>
        </w:tc>
        <w:tc>
          <w:tcPr>
            <w:tcW w:w="1673" w:type="dxa"/>
          </w:tcPr>
          <w:p w14:paraId="2F92E840" w14:textId="60B0E954" w:rsidR="00D50B0B" w:rsidRPr="00D50B0B" w:rsidRDefault="00D50B0B" w:rsidP="00D50B0B">
            <w:pPr>
              <w:rPr>
                <w:rFonts w:cs="Arial"/>
              </w:rPr>
            </w:pPr>
            <w:r w:rsidRPr="00D50B0B">
              <w:rPr>
                <w:rFonts w:cs="Arial"/>
              </w:rPr>
              <w:t>сексуална дисфункция, менорагия, вагинално кръвотечение, сексуална дисфункция при жената</w:t>
            </w:r>
          </w:p>
        </w:tc>
        <w:tc>
          <w:tcPr>
            <w:tcW w:w="2033" w:type="dxa"/>
          </w:tcPr>
          <w:p w14:paraId="31E4BE43" w14:textId="7DF41D98" w:rsidR="00D50B0B" w:rsidRPr="00D50B0B" w:rsidRDefault="00D50B0B" w:rsidP="00D50B0B">
            <w:pPr>
              <w:rPr>
                <w:rFonts w:cs="Arial"/>
              </w:rPr>
            </w:pPr>
            <w:r w:rsidRPr="00D50B0B">
              <w:rPr>
                <w:rFonts w:cs="Arial"/>
              </w:rPr>
              <w:t>галакторея*, атрофичен вулвовагинит, генитално течение, баланопостит*§, гинекомастия*, приапизъм*</w:t>
            </w:r>
          </w:p>
        </w:tc>
        <w:tc>
          <w:tcPr>
            <w:tcW w:w="1406" w:type="dxa"/>
          </w:tcPr>
          <w:p w14:paraId="2F63D01B" w14:textId="192055E5" w:rsidR="00D50B0B" w:rsidRPr="00D50B0B" w:rsidRDefault="00D50B0B" w:rsidP="00D50B0B">
            <w:pPr>
              <w:rPr>
                <w:rFonts w:cs="Arial"/>
              </w:rPr>
            </w:pPr>
            <w:r w:rsidRPr="00D50B0B">
              <w:rPr>
                <w:rFonts w:cs="Arial"/>
              </w:rPr>
              <w:t>следродилен кръвоизлив**</w:t>
            </w:r>
          </w:p>
        </w:tc>
      </w:tr>
      <w:tr w:rsidR="00D50B0B" w14:paraId="259E7638" w14:textId="77777777" w:rsidTr="00D50B0B">
        <w:tc>
          <w:tcPr>
            <w:tcW w:w="1801" w:type="dxa"/>
          </w:tcPr>
          <w:p w14:paraId="05C56F0B" w14:textId="088BE778" w:rsidR="00D50B0B" w:rsidRPr="00D50B0B" w:rsidRDefault="00D50B0B" w:rsidP="00D50B0B">
            <w:pPr>
              <w:rPr>
                <w:rFonts w:cs="Arial"/>
              </w:rPr>
            </w:pPr>
            <w:r w:rsidRPr="00D50B0B">
              <w:rPr>
                <w:rFonts w:cs="Arial"/>
                <w:i/>
                <w:iCs/>
              </w:rPr>
              <w:t>Общи нарушения и ефекти на мястото на приложение</w:t>
            </w:r>
          </w:p>
        </w:tc>
        <w:tc>
          <w:tcPr>
            <w:tcW w:w="1236" w:type="dxa"/>
          </w:tcPr>
          <w:p w14:paraId="0241B7F1" w14:textId="7A3B9FB0" w:rsidR="00D50B0B" w:rsidRPr="00D50B0B" w:rsidRDefault="00D50B0B" w:rsidP="00D50B0B">
            <w:pPr>
              <w:rPr>
                <w:rFonts w:cs="Arial"/>
              </w:rPr>
            </w:pPr>
            <w:r w:rsidRPr="00D50B0B">
              <w:rPr>
                <w:rFonts w:cs="Arial"/>
              </w:rPr>
              <w:t>умора</w:t>
            </w:r>
          </w:p>
        </w:tc>
        <w:tc>
          <w:tcPr>
            <w:tcW w:w="1427" w:type="dxa"/>
          </w:tcPr>
          <w:p w14:paraId="2E3A3BD8" w14:textId="5C6A0C83" w:rsidR="00D50B0B" w:rsidRPr="00D50B0B" w:rsidRDefault="00D50B0B" w:rsidP="00D50B0B">
            <w:pPr>
              <w:rPr>
                <w:rFonts w:cs="Arial"/>
              </w:rPr>
            </w:pPr>
            <w:r w:rsidRPr="00D50B0B">
              <w:rPr>
                <w:rFonts w:cs="Arial"/>
              </w:rPr>
              <w:t>слабост*, болка в гърдите*, неразполо</w:t>
            </w:r>
            <w:r w:rsidRPr="00D50B0B">
              <w:rPr>
                <w:rFonts w:cs="Arial"/>
              </w:rPr>
              <w:softHyphen/>
              <w:t>жение*, пирексия*</w:t>
            </w:r>
          </w:p>
        </w:tc>
        <w:tc>
          <w:tcPr>
            <w:tcW w:w="1673" w:type="dxa"/>
          </w:tcPr>
          <w:p w14:paraId="0B169628" w14:textId="6B6ED4E1" w:rsidR="00D50B0B" w:rsidRPr="00D50B0B" w:rsidRDefault="00D50B0B" w:rsidP="00D50B0B">
            <w:pPr>
              <w:rPr>
                <w:rFonts w:cs="Arial"/>
              </w:rPr>
            </w:pPr>
            <w:r w:rsidRPr="00D50B0B">
              <w:rPr>
                <w:rFonts w:cs="Arial"/>
              </w:rPr>
              <w:t>периферен оток*, втрисане, нарушение на походката*, жажда</w:t>
            </w:r>
          </w:p>
        </w:tc>
        <w:tc>
          <w:tcPr>
            <w:tcW w:w="2033" w:type="dxa"/>
          </w:tcPr>
          <w:p w14:paraId="7C8B27FC" w14:textId="15E9AD08" w:rsidR="00D50B0B" w:rsidRPr="00D50B0B" w:rsidRDefault="00D50B0B" w:rsidP="00D50B0B">
            <w:pPr>
              <w:rPr>
                <w:rFonts w:cs="Arial"/>
              </w:rPr>
            </w:pPr>
            <w:r w:rsidRPr="00D50B0B">
              <w:rPr>
                <w:rFonts w:cs="Arial"/>
              </w:rPr>
              <w:t>херния, намалена поносимост към лекарството</w:t>
            </w:r>
          </w:p>
        </w:tc>
        <w:tc>
          <w:tcPr>
            <w:tcW w:w="1406" w:type="dxa"/>
          </w:tcPr>
          <w:p w14:paraId="0189FC3E" w14:textId="77777777" w:rsidR="00D50B0B" w:rsidRPr="00D50B0B" w:rsidRDefault="00D50B0B" w:rsidP="00D50B0B">
            <w:pPr>
              <w:rPr>
                <w:rFonts w:cs="Arial"/>
              </w:rPr>
            </w:pPr>
          </w:p>
        </w:tc>
      </w:tr>
      <w:tr w:rsidR="00D50B0B" w14:paraId="60FEB587" w14:textId="77777777" w:rsidTr="00D50B0B">
        <w:tc>
          <w:tcPr>
            <w:tcW w:w="1801" w:type="dxa"/>
          </w:tcPr>
          <w:p w14:paraId="4B2A15D1" w14:textId="409FD7F5" w:rsidR="00D50B0B" w:rsidRPr="00D50B0B" w:rsidRDefault="00D50B0B" w:rsidP="00D50B0B">
            <w:pPr>
              <w:rPr>
                <w:rFonts w:cs="Arial"/>
              </w:rPr>
            </w:pPr>
            <w:r w:rsidRPr="00D50B0B">
              <w:rPr>
                <w:rFonts w:cs="Arial"/>
                <w:i/>
                <w:iCs/>
              </w:rPr>
              <w:t>Изследвания</w:t>
            </w:r>
          </w:p>
        </w:tc>
        <w:tc>
          <w:tcPr>
            <w:tcW w:w="1236" w:type="dxa"/>
          </w:tcPr>
          <w:p w14:paraId="2893BF3E" w14:textId="77777777" w:rsidR="00D50B0B" w:rsidRPr="00D50B0B" w:rsidRDefault="00D50B0B" w:rsidP="00D50B0B">
            <w:pPr>
              <w:rPr>
                <w:rFonts w:cs="Arial"/>
              </w:rPr>
            </w:pPr>
          </w:p>
        </w:tc>
        <w:tc>
          <w:tcPr>
            <w:tcW w:w="1427" w:type="dxa"/>
          </w:tcPr>
          <w:p w14:paraId="471C7441" w14:textId="4F2CB9DB" w:rsidR="00D50B0B" w:rsidRPr="00D50B0B" w:rsidRDefault="00D50B0B" w:rsidP="00D50B0B">
            <w:pPr>
              <w:rPr>
                <w:rFonts w:cs="Arial"/>
              </w:rPr>
            </w:pPr>
            <w:r w:rsidRPr="00D50B0B">
              <w:rPr>
                <w:rFonts w:cs="Arial"/>
              </w:rPr>
              <w:t>повишено телесно тегло*</w:t>
            </w:r>
          </w:p>
        </w:tc>
        <w:tc>
          <w:tcPr>
            <w:tcW w:w="1673" w:type="dxa"/>
          </w:tcPr>
          <w:p w14:paraId="29A4CD70" w14:textId="01E2D6F6" w:rsidR="00D50B0B" w:rsidRPr="00D50B0B" w:rsidRDefault="00D50B0B" w:rsidP="00D50B0B">
            <w:pPr>
              <w:rPr>
                <w:rFonts w:cs="Arial"/>
              </w:rPr>
            </w:pPr>
            <w:r w:rsidRPr="00D50B0B">
              <w:rPr>
                <w:rFonts w:cs="Arial"/>
              </w:rPr>
              <w:t>увеличена аланин аминотрансфе- раза*, увеличена аспартат аминотрансфе- раза*, понижено телесно тегло*</w:t>
            </w:r>
          </w:p>
        </w:tc>
        <w:tc>
          <w:tcPr>
            <w:tcW w:w="2033" w:type="dxa"/>
          </w:tcPr>
          <w:p w14:paraId="326A03C7" w14:textId="765D4B05" w:rsidR="00D50B0B" w:rsidRPr="00D50B0B" w:rsidRDefault="00D50B0B" w:rsidP="00D50B0B">
            <w:pPr>
              <w:rPr>
                <w:rFonts w:cs="Arial"/>
              </w:rPr>
            </w:pPr>
            <w:r w:rsidRPr="00D50B0B">
              <w:rPr>
                <w:rFonts w:cs="Arial"/>
              </w:rPr>
              <w:t>повишен серумен холестерол, абнормни стойности на лабораторни резултати, нарушение на спермата, промени в тромбоцитна функция*§</w:t>
            </w:r>
          </w:p>
        </w:tc>
        <w:tc>
          <w:tcPr>
            <w:tcW w:w="1406" w:type="dxa"/>
          </w:tcPr>
          <w:p w14:paraId="281FA4B7" w14:textId="77777777" w:rsidR="00D50B0B" w:rsidRPr="00D50B0B" w:rsidRDefault="00D50B0B" w:rsidP="00D50B0B">
            <w:pPr>
              <w:rPr>
                <w:rFonts w:cs="Arial"/>
              </w:rPr>
            </w:pPr>
          </w:p>
        </w:tc>
      </w:tr>
      <w:tr w:rsidR="00D50B0B" w14:paraId="4826BAE3" w14:textId="77777777" w:rsidTr="00D50B0B">
        <w:tc>
          <w:tcPr>
            <w:tcW w:w="1801" w:type="dxa"/>
          </w:tcPr>
          <w:p w14:paraId="2686ECF6" w14:textId="7413ECBC" w:rsidR="00D50B0B" w:rsidRPr="00D50B0B" w:rsidRDefault="00D50B0B" w:rsidP="00D50B0B">
            <w:pPr>
              <w:rPr>
                <w:rFonts w:cs="Arial"/>
              </w:rPr>
            </w:pPr>
            <w:r w:rsidRPr="00D50B0B">
              <w:rPr>
                <w:rFonts w:cs="Arial"/>
                <w:i/>
                <w:iCs/>
              </w:rPr>
              <w:t xml:space="preserve">Наранявания, отравяния и усложнения, възникнали в </w:t>
            </w:r>
            <w:r w:rsidRPr="00D50B0B">
              <w:rPr>
                <w:rFonts w:cs="Arial"/>
                <w:i/>
                <w:iCs/>
              </w:rPr>
              <w:lastRenderedPageBreak/>
              <w:t>резултат на интервенции</w:t>
            </w:r>
          </w:p>
        </w:tc>
        <w:tc>
          <w:tcPr>
            <w:tcW w:w="1236" w:type="dxa"/>
          </w:tcPr>
          <w:p w14:paraId="213D68F1" w14:textId="77777777" w:rsidR="00D50B0B" w:rsidRPr="00D50B0B" w:rsidRDefault="00D50B0B" w:rsidP="00D50B0B">
            <w:pPr>
              <w:rPr>
                <w:rFonts w:cs="Arial"/>
              </w:rPr>
            </w:pPr>
          </w:p>
        </w:tc>
        <w:tc>
          <w:tcPr>
            <w:tcW w:w="1427" w:type="dxa"/>
          </w:tcPr>
          <w:p w14:paraId="4BEFBBA5" w14:textId="3B6DEB0C" w:rsidR="00D50B0B" w:rsidRPr="00D50B0B" w:rsidRDefault="00D50B0B" w:rsidP="00D50B0B">
            <w:pPr>
              <w:rPr>
                <w:rFonts w:cs="Arial"/>
              </w:rPr>
            </w:pPr>
            <w:r w:rsidRPr="00D50B0B">
              <w:rPr>
                <w:rFonts w:cs="Arial"/>
              </w:rPr>
              <w:t>нараняване</w:t>
            </w:r>
          </w:p>
        </w:tc>
        <w:tc>
          <w:tcPr>
            <w:tcW w:w="1673" w:type="dxa"/>
          </w:tcPr>
          <w:p w14:paraId="46FE7777" w14:textId="77777777" w:rsidR="00D50B0B" w:rsidRPr="00D50B0B" w:rsidRDefault="00D50B0B" w:rsidP="00D50B0B">
            <w:pPr>
              <w:rPr>
                <w:rFonts w:cs="Arial"/>
              </w:rPr>
            </w:pPr>
          </w:p>
        </w:tc>
        <w:tc>
          <w:tcPr>
            <w:tcW w:w="2033" w:type="dxa"/>
          </w:tcPr>
          <w:p w14:paraId="2B39F7DC" w14:textId="77777777" w:rsidR="00D50B0B" w:rsidRPr="00D50B0B" w:rsidRDefault="00D50B0B" w:rsidP="00D50B0B">
            <w:pPr>
              <w:rPr>
                <w:rFonts w:cs="Arial"/>
              </w:rPr>
            </w:pPr>
          </w:p>
        </w:tc>
        <w:tc>
          <w:tcPr>
            <w:tcW w:w="1406" w:type="dxa"/>
          </w:tcPr>
          <w:p w14:paraId="69E66E6A" w14:textId="77777777" w:rsidR="00D50B0B" w:rsidRPr="00D50B0B" w:rsidRDefault="00D50B0B" w:rsidP="00D50B0B">
            <w:pPr>
              <w:rPr>
                <w:rFonts w:cs="Arial"/>
              </w:rPr>
            </w:pPr>
          </w:p>
        </w:tc>
      </w:tr>
      <w:tr w:rsidR="00D50B0B" w14:paraId="1739E759" w14:textId="77777777" w:rsidTr="00D50B0B">
        <w:tc>
          <w:tcPr>
            <w:tcW w:w="1801" w:type="dxa"/>
          </w:tcPr>
          <w:p w14:paraId="10DC8344" w14:textId="02DF03DB" w:rsidR="00D50B0B" w:rsidRPr="00D50B0B" w:rsidRDefault="00D50B0B" w:rsidP="00D50B0B">
            <w:pPr>
              <w:rPr>
                <w:rFonts w:cs="Arial"/>
              </w:rPr>
            </w:pPr>
            <w:r w:rsidRPr="00D50B0B">
              <w:rPr>
                <w:rFonts w:cs="Arial"/>
                <w:i/>
                <w:iCs/>
              </w:rPr>
              <w:t>Хирургически и медицински интервенции</w:t>
            </w:r>
          </w:p>
        </w:tc>
        <w:tc>
          <w:tcPr>
            <w:tcW w:w="1236" w:type="dxa"/>
          </w:tcPr>
          <w:p w14:paraId="76A47149" w14:textId="77777777" w:rsidR="00D50B0B" w:rsidRPr="00D50B0B" w:rsidRDefault="00D50B0B" w:rsidP="00D50B0B">
            <w:pPr>
              <w:rPr>
                <w:rFonts w:cs="Arial"/>
              </w:rPr>
            </w:pPr>
          </w:p>
        </w:tc>
        <w:tc>
          <w:tcPr>
            <w:tcW w:w="1427" w:type="dxa"/>
          </w:tcPr>
          <w:p w14:paraId="1D9AF675" w14:textId="77777777" w:rsidR="00D50B0B" w:rsidRPr="00D50B0B" w:rsidRDefault="00D50B0B" w:rsidP="00D50B0B">
            <w:pPr>
              <w:rPr>
                <w:rFonts w:cs="Arial"/>
              </w:rPr>
            </w:pPr>
          </w:p>
        </w:tc>
        <w:tc>
          <w:tcPr>
            <w:tcW w:w="1673" w:type="dxa"/>
          </w:tcPr>
          <w:p w14:paraId="5CEDA092" w14:textId="77777777" w:rsidR="00D50B0B" w:rsidRPr="00D50B0B" w:rsidRDefault="00D50B0B" w:rsidP="00D50B0B">
            <w:pPr>
              <w:rPr>
                <w:rFonts w:cs="Arial"/>
              </w:rPr>
            </w:pPr>
          </w:p>
        </w:tc>
        <w:tc>
          <w:tcPr>
            <w:tcW w:w="2033" w:type="dxa"/>
          </w:tcPr>
          <w:p w14:paraId="2335F87A" w14:textId="40A38987" w:rsidR="00D50B0B" w:rsidRPr="00D50B0B" w:rsidRDefault="00D50B0B" w:rsidP="00D50B0B">
            <w:pPr>
              <w:rPr>
                <w:rFonts w:cs="Arial"/>
              </w:rPr>
            </w:pPr>
            <w:r w:rsidRPr="00D50B0B">
              <w:rPr>
                <w:rFonts w:cs="Arial"/>
              </w:rPr>
              <w:t>съдоразширяваща интервенция</w:t>
            </w:r>
          </w:p>
        </w:tc>
        <w:tc>
          <w:tcPr>
            <w:tcW w:w="1406" w:type="dxa"/>
          </w:tcPr>
          <w:p w14:paraId="688A2853" w14:textId="77777777" w:rsidR="00D50B0B" w:rsidRPr="00D50B0B" w:rsidRDefault="00D50B0B" w:rsidP="00D50B0B">
            <w:pPr>
              <w:rPr>
                <w:rFonts w:cs="Arial"/>
              </w:rPr>
            </w:pPr>
          </w:p>
        </w:tc>
      </w:tr>
      <w:tr w:rsidR="00D50B0B" w14:paraId="56EF4C53" w14:textId="77777777" w:rsidTr="00564069">
        <w:tc>
          <w:tcPr>
            <w:tcW w:w="9576" w:type="dxa"/>
            <w:gridSpan w:val="6"/>
          </w:tcPr>
          <w:p w14:paraId="18B56085" w14:textId="77777777" w:rsidR="00D50B0B" w:rsidRPr="00D50B0B" w:rsidRDefault="00D50B0B" w:rsidP="00D50B0B">
            <w:pPr>
              <w:spacing w:line="240" w:lineRule="auto"/>
              <w:rPr>
                <w:rFonts w:eastAsia="Times New Roman" w:cs="Arial"/>
                <w:lang w:eastAsia="bg-BG"/>
              </w:rPr>
            </w:pPr>
            <w:r w:rsidRPr="00D50B0B">
              <w:rPr>
                <w:rFonts w:eastAsia="Times New Roman" w:cs="Arial"/>
                <w:color w:val="000000"/>
                <w:lang w:eastAsia="bg-BG"/>
              </w:rPr>
              <w:t>* НЛР, идентифицирани в периода след пускането на пазара.</w:t>
            </w:r>
          </w:p>
          <w:p w14:paraId="01447A74" w14:textId="77777777" w:rsidR="00D50B0B" w:rsidRPr="00D50B0B" w:rsidRDefault="00D50B0B" w:rsidP="00D50B0B">
            <w:pPr>
              <w:spacing w:line="240" w:lineRule="auto"/>
              <w:rPr>
                <w:rFonts w:eastAsia="Times New Roman" w:cs="Arial"/>
                <w:lang w:eastAsia="bg-BG"/>
              </w:rPr>
            </w:pPr>
            <w:r w:rsidRPr="00D50B0B">
              <w:rPr>
                <w:rFonts w:eastAsia="Times New Roman" w:cs="Arial"/>
                <w:color w:val="000000"/>
                <w:lang w:eastAsia="bg-BG"/>
              </w:rPr>
              <w:t xml:space="preserve">** Това събитие е съобщено за терапевтичния клас на </w:t>
            </w:r>
            <w:r w:rsidRPr="00D50B0B">
              <w:rPr>
                <w:rFonts w:eastAsia="Times New Roman" w:cs="Arial"/>
                <w:color w:val="000000"/>
                <w:lang w:val="en-US"/>
              </w:rPr>
              <w:t xml:space="preserve">SSRIs/SNRIs </w:t>
            </w:r>
            <w:r w:rsidRPr="00D50B0B">
              <w:rPr>
                <w:rFonts w:eastAsia="Times New Roman" w:cs="Arial"/>
                <w:color w:val="000000"/>
                <w:lang w:eastAsia="bg-BG"/>
              </w:rPr>
              <w:t>(вж. точки 4.4,4.6).</w:t>
            </w:r>
          </w:p>
          <w:p w14:paraId="4F1359F9" w14:textId="77777777" w:rsidR="00D50B0B" w:rsidRDefault="00D50B0B" w:rsidP="00D50B0B">
            <w:pPr>
              <w:rPr>
                <w:rFonts w:eastAsia="Times New Roman" w:cs="Arial"/>
                <w:color w:val="000000"/>
                <w:lang w:eastAsia="bg-BG"/>
              </w:rPr>
            </w:pPr>
          </w:p>
          <w:p w14:paraId="7226D611" w14:textId="471A17E4" w:rsidR="00D50B0B" w:rsidRPr="00D50B0B" w:rsidRDefault="00D50B0B" w:rsidP="00D50B0B">
            <w:pPr>
              <w:rPr>
                <w:rFonts w:cs="Arial"/>
              </w:rPr>
            </w:pPr>
            <w:r w:rsidRPr="00D50B0B">
              <w:rPr>
                <w:rFonts w:eastAsia="Times New Roman" w:cs="Arial"/>
                <w:color w:val="000000"/>
                <w:lang w:eastAsia="bg-BG"/>
              </w:rPr>
              <w:t>§ НЛР с честота въз основа на очакваната горна граница от 95% доверителен интервал; използваики правилото „3“.</w:t>
            </w:r>
          </w:p>
        </w:tc>
      </w:tr>
    </w:tbl>
    <w:p w14:paraId="7D1FDD5A" w14:textId="77777777" w:rsidR="00D50B0B" w:rsidRPr="00D50B0B" w:rsidRDefault="00D50B0B" w:rsidP="00D50B0B">
      <w:pPr>
        <w:spacing w:line="240" w:lineRule="auto"/>
        <w:rPr>
          <w:rFonts w:eastAsia="Times New Roman" w:cs="Arial"/>
          <w:lang w:eastAsia="bg-BG"/>
        </w:rPr>
      </w:pPr>
      <w:r w:rsidRPr="00D50B0B">
        <w:rPr>
          <w:rFonts w:eastAsia="Times New Roman" w:cs="Arial"/>
          <w:i/>
          <w:iCs/>
          <w:color w:val="000000"/>
          <w:lang w:eastAsia="bg-BG"/>
        </w:rPr>
        <w:t xml:space="preserve">Симптоми на отнемане, наблюдавани след прекъсване на лечението със сертралин </w:t>
      </w:r>
      <w:r w:rsidRPr="00D50B0B">
        <w:rPr>
          <w:rFonts w:eastAsia="Times New Roman" w:cs="Arial"/>
          <w:color w:val="000000"/>
          <w:lang w:eastAsia="bg-BG"/>
        </w:rPr>
        <w:t>Прекратяване на сертралин (особено когато е внезапно) често води до симптоми на отнемане. Замаяност, сензорни нарушения (включително парестезия), нарушения на съня (включително инсомния и интензивни сънища), възбуда или тревожност, гадене и/или повръщане, тремор и главоболие са най-често съобщавани. Обикновено тези събития са леки до умерени и минават от само себе си, въпреки това, при някои пациенти те могат да бъдат тежки и/или продължителни. Ето защо се препоръчва, когато лечението със сертралин повече не се изисква, постепенно спиране чрез намаляване на (виж точки 4.2 и 4.4).</w:t>
      </w:r>
    </w:p>
    <w:p w14:paraId="316D1096" w14:textId="77777777" w:rsidR="00D50B0B" w:rsidRPr="00D50B0B" w:rsidRDefault="00D50B0B" w:rsidP="00D50B0B">
      <w:pPr>
        <w:spacing w:line="240" w:lineRule="auto"/>
        <w:rPr>
          <w:rFonts w:eastAsia="Times New Roman" w:cs="Arial"/>
          <w:i/>
          <w:iCs/>
          <w:color w:val="000000"/>
          <w:lang w:eastAsia="bg-BG"/>
        </w:rPr>
      </w:pPr>
    </w:p>
    <w:p w14:paraId="4A7BC1A0" w14:textId="220B9558" w:rsidR="00D50B0B" w:rsidRPr="00D50B0B" w:rsidRDefault="00D50B0B" w:rsidP="00D50B0B">
      <w:pPr>
        <w:spacing w:line="240" w:lineRule="auto"/>
        <w:rPr>
          <w:rFonts w:eastAsia="Times New Roman" w:cs="Arial"/>
          <w:lang w:eastAsia="bg-BG"/>
        </w:rPr>
      </w:pPr>
      <w:r w:rsidRPr="00D50B0B">
        <w:rPr>
          <w:rFonts w:eastAsia="Times New Roman" w:cs="Arial"/>
          <w:i/>
          <w:iCs/>
          <w:color w:val="000000"/>
          <w:lang w:eastAsia="bg-BG"/>
        </w:rPr>
        <w:t>Старческа възраст</w:t>
      </w:r>
    </w:p>
    <w:p w14:paraId="08C001C0" w14:textId="77777777" w:rsidR="00D50B0B" w:rsidRPr="00D50B0B" w:rsidRDefault="00D50B0B" w:rsidP="00D50B0B">
      <w:pPr>
        <w:spacing w:line="240" w:lineRule="auto"/>
        <w:rPr>
          <w:rFonts w:eastAsia="Times New Roman" w:cs="Arial"/>
          <w:lang w:eastAsia="bg-BG"/>
        </w:rPr>
      </w:pPr>
      <w:r w:rsidRPr="00D50B0B">
        <w:rPr>
          <w:rFonts w:eastAsia="Times New Roman" w:cs="Arial"/>
          <w:color w:val="000000"/>
          <w:lang w:val="en-US"/>
        </w:rPr>
        <w:t xml:space="preserve">SSRIs </w:t>
      </w:r>
      <w:r w:rsidRPr="00D50B0B">
        <w:rPr>
          <w:rFonts w:eastAsia="Times New Roman" w:cs="Arial"/>
          <w:color w:val="000000"/>
          <w:lang w:eastAsia="bg-BG"/>
        </w:rPr>
        <w:t xml:space="preserve">или </w:t>
      </w:r>
      <w:r w:rsidRPr="00D50B0B">
        <w:rPr>
          <w:rFonts w:eastAsia="Times New Roman" w:cs="Arial"/>
          <w:color w:val="000000"/>
          <w:lang w:val="en-US"/>
        </w:rPr>
        <w:t xml:space="preserve">SNRIs, </w:t>
      </w:r>
      <w:r w:rsidRPr="00D50B0B">
        <w:rPr>
          <w:rFonts w:eastAsia="Times New Roman" w:cs="Arial"/>
          <w:color w:val="000000"/>
          <w:lang w:eastAsia="bg-BG"/>
        </w:rPr>
        <w:t>включително сертралин, са били свързани със случаи на клинично значима хипонатриемия при пациенти в старческа възраст, които е възможно да са изложени на по- висок риск от това нежелано събитие (вж. точка 4.4).</w:t>
      </w:r>
    </w:p>
    <w:p w14:paraId="745236AB" w14:textId="77777777" w:rsidR="00D50B0B" w:rsidRPr="00D50B0B" w:rsidRDefault="00D50B0B" w:rsidP="00D50B0B">
      <w:pPr>
        <w:spacing w:line="240" w:lineRule="auto"/>
        <w:rPr>
          <w:rFonts w:eastAsia="Times New Roman" w:cs="Arial"/>
          <w:i/>
          <w:iCs/>
          <w:color w:val="000000"/>
          <w:lang w:eastAsia="bg-BG"/>
        </w:rPr>
      </w:pPr>
    </w:p>
    <w:p w14:paraId="490FE86F" w14:textId="40220623" w:rsidR="00D50B0B" w:rsidRPr="00D50B0B" w:rsidRDefault="00D50B0B" w:rsidP="00D50B0B">
      <w:pPr>
        <w:spacing w:line="240" w:lineRule="auto"/>
        <w:rPr>
          <w:rFonts w:eastAsia="Times New Roman" w:cs="Arial"/>
          <w:lang w:eastAsia="bg-BG"/>
        </w:rPr>
      </w:pPr>
      <w:r w:rsidRPr="00D50B0B">
        <w:rPr>
          <w:rFonts w:eastAsia="Times New Roman" w:cs="Arial"/>
          <w:i/>
          <w:iCs/>
          <w:color w:val="000000"/>
          <w:lang w:eastAsia="bg-BG"/>
        </w:rPr>
        <w:t>Педиатрична популация</w:t>
      </w:r>
    </w:p>
    <w:p w14:paraId="0254C152" w14:textId="77777777" w:rsidR="00D50B0B" w:rsidRPr="00D50B0B" w:rsidRDefault="00D50B0B" w:rsidP="00D50B0B">
      <w:pPr>
        <w:spacing w:line="240" w:lineRule="auto"/>
        <w:rPr>
          <w:rFonts w:eastAsia="Times New Roman" w:cs="Arial"/>
          <w:lang w:eastAsia="bg-BG"/>
        </w:rPr>
      </w:pPr>
      <w:r w:rsidRPr="00D50B0B">
        <w:rPr>
          <w:rFonts w:eastAsia="Times New Roman" w:cs="Arial"/>
          <w:color w:val="000000"/>
          <w:lang w:eastAsia="bg-BG"/>
        </w:rPr>
        <w:t>При повече от 600 педиатрични пациенти, лекувани със сертралин, общият профил на нежелани реакции като цяло е бил сходен с наблюдавания в проучванията при възрастни. Следните нежелани реакции са били съобщени от контролирани проучвания (п = 281 пациенти, лекувани със сертралин):</w:t>
      </w:r>
    </w:p>
    <w:p w14:paraId="088915D9" w14:textId="77777777" w:rsidR="00D50B0B" w:rsidRPr="00D50B0B" w:rsidRDefault="00D50B0B" w:rsidP="00D50B0B">
      <w:pPr>
        <w:spacing w:line="240" w:lineRule="auto"/>
        <w:rPr>
          <w:rFonts w:eastAsia="Times New Roman" w:cs="Arial"/>
          <w:lang w:eastAsia="bg-BG"/>
        </w:rPr>
      </w:pPr>
      <w:r w:rsidRPr="00D50B0B">
        <w:rPr>
          <w:rFonts w:eastAsia="Times New Roman" w:cs="Arial"/>
          <w:i/>
          <w:iCs/>
          <w:color w:val="000000"/>
          <w:lang w:eastAsia="bg-BG"/>
        </w:rPr>
        <w:t>Много чести (&gt;1/10)'.</w:t>
      </w:r>
      <w:r w:rsidRPr="00D50B0B">
        <w:rPr>
          <w:rFonts w:eastAsia="Times New Roman" w:cs="Arial"/>
          <w:color w:val="000000"/>
          <w:lang w:eastAsia="bg-BG"/>
        </w:rPr>
        <w:t xml:space="preserve"> главоболие (22%), безсъние (21%), диария (11%) и гадене (15%).</w:t>
      </w:r>
    </w:p>
    <w:p w14:paraId="0E17DC03" w14:textId="77777777" w:rsidR="00D50B0B" w:rsidRPr="00D50B0B" w:rsidRDefault="00D50B0B" w:rsidP="00D50B0B">
      <w:pPr>
        <w:spacing w:line="240" w:lineRule="auto"/>
        <w:rPr>
          <w:rFonts w:eastAsia="Times New Roman" w:cs="Arial"/>
          <w:lang w:eastAsia="bg-BG"/>
        </w:rPr>
      </w:pPr>
      <w:r w:rsidRPr="00D50B0B">
        <w:rPr>
          <w:rFonts w:eastAsia="Times New Roman" w:cs="Arial"/>
          <w:i/>
          <w:iCs/>
          <w:color w:val="000000"/>
          <w:lang w:eastAsia="bg-BG"/>
        </w:rPr>
        <w:t>Чести (&gt;1/100 до &lt;1/10):</w:t>
      </w:r>
      <w:r w:rsidRPr="00D50B0B">
        <w:rPr>
          <w:rFonts w:eastAsia="Times New Roman" w:cs="Arial"/>
          <w:color w:val="000000"/>
          <w:lang w:eastAsia="bg-BG"/>
        </w:rPr>
        <w:t xml:space="preserve"> гръдна болка, мания, повишена температура, повръщане, анорексия, емоционална нестабилност, агресия, възбуда, нервност, нарушено внимание, замаяност, хиперкинезия, мигрена, сънливост, тремор, зрително нарушение, сухота в устата, диспепсия, нощни кошмари, умора, незадръжка на урината, обрив, акне, епистаксис, метеоризъм.</w:t>
      </w:r>
    </w:p>
    <w:p w14:paraId="44600FB6" w14:textId="77777777" w:rsidR="00D50B0B" w:rsidRPr="00D50B0B" w:rsidRDefault="00D50B0B" w:rsidP="00D50B0B">
      <w:pPr>
        <w:spacing w:line="240" w:lineRule="auto"/>
        <w:rPr>
          <w:rFonts w:eastAsia="Times New Roman" w:cs="Arial"/>
          <w:lang w:eastAsia="bg-BG"/>
        </w:rPr>
      </w:pPr>
      <w:r w:rsidRPr="00D50B0B">
        <w:rPr>
          <w:rFonts w:eastAsia="Times New Roman" w:cs="Arial"/>
          <w:i/>
          <w:iCs/>
          <w:color w:val="000000"/>
          <w:lang w:eastAsia="bg-BG"/>
        </w:rPr>
        <w:t>Нечести (&gt;1/1 000 до &lt;1/100)'.</w:t>
      </w:r>
      <w:r w:rsidRPr="00D50B0B">
        <w:rPr>
          <w:rFonts w:eastAsia="Times New Roman" w:cs="Arial"/>
          <w:color w:val="000000"/>
          <w:lang w:eastAsia="bg-BG"/>
        </w:rPr>
        <w:t xml:space="preserve"> удължен </w:t>
      </w:r>
      <w:r w:rsidRPr="00D50B0B">
        <w:rPr>
          <w:rFonts w:eastAsia="Times New Roman" w:cs="Arial"/>
          <w:color w:val="000000"/>
          <w:lang w:val="en-US"/>
        </w:rPr>
        <w:t>QT</w:t>
      </w:r>
      <w:r w:rsidRPr="00D50B0B">
        <w:rPr>
          <w:rFonts w:eastAsia="Times New Roman" w:cs="Arial"/>
          <w:color w:val="000000"/>
          <w:lang w:eastAsia="bg-BG"/>
        </w:rPr>
        <w:t>-интервал при ЕКГ (вж. точки 4.4, 4.5 и 5.1), опит за самоубийство, конвулсии, екстрапирамидно нарушение, парестезия, депресия, халюцинация, пурпура, хипервентилация, анемия, нарушение на чернодробната функция, повишение на аланин аминотрансфераза, цистит, херпес симплекс, възпаление на външното ухо, болка в ухото, болка в очите, мидриаза, неразположение, хематурия, гноен обрив, ринит, нараняване, намаляване на телесното тегло, мускулно потрепване, необичайни сънища, апатия, албуминурия, полакиурия, полиурия, болка в гърдите, нарушение в менструацията, алопеция, дерматит, кожно нарушение, необичайна миризма на кожата, уртикария, бруксизъм, зачервяване.</w:t>
      </w:r>
    </w:p>
    <w:p w14:paraId="34477F4A" w14:textId="77777777" w:rsidR="00D50B0B" w:rsidRPr="00D50B0B" w:rsidRDefault="00D50B0B" w:rsidP="00D50B0B">
      <w:pPr>
        <w:spacing w:line="240" w:lineRule="auto"/>
        <w:rPr>
          <w:rFonts w:eastAsia="Times New Roman" w:cs="Arial"/>
          <w:lang w:eastAsia="bg-BG"/>
        </w:rPr>
      </w:pPr>
      <w:r w:rsidRPr="00D50B0B">
        <w:rPr>
          <w:rFonts w:eastAsia="Times New Roman" w:cs="Arial"/>
          <w:i/>
          <w:iCs/>
          <w:color w:val="000000"/>
          <w:lang w:eastAsia="bg-BG"/>
        </w:rPr>
        <w:t>С неизвестна честота:</w:t>
      </w:r>
      <w:r w:rsidRPr="00D50B0B">
        <w:rPr>
          <w:rFonts w:eastAsia="Times New Roman" w:cs="Arial"/>
          <w:color w:val="000000"/>
          <w:lang w:eastAsia="bg-BG"/>
        </w:rPr>
        <w:t xml:space="preserve"> енуреза</w:t>
      </w:r>
    </w:p>
    <w:p w14:paraId="002717B3" w14:textId="77777777" w:rsidR="00D50B0B" w:rsidRPr="00D50B0B" w:rsidRDefault="00D50B0B" w:rsidP="00D50B0B">
      <w:pPr>
        <w:spacing w:line="240" w:lineRule="auto"/>
        <w:rPr>
          <w:rFonts w:eastAsia="Times New Roman" w:cs="Arial"/>
          <w:i/>
          <w:iCs/>
          <w:color w:val="000000"/>
          <w:lang w:eastAsia="bg-BG"/>
        </w:rPr>
      </w:pPr>
    </w:p>
    <w:p w14:paraId="35EB04AA" w14:textId="110822AE" w:rsidR="00D50B0B" w:rsidRPr="00D50B0B" w:rsidRDefault="00D50B0B" w:rsidP="00D50B0B">
      <w:pPr>
        <w:spacing w:line="240" w:lineRule="auto"/>
        <w:rPr>
          <w:rFonts w:eastAsia="Times New Roman" w:cs="Arial"/>
          <w:lang w:eastAsia="bg-BG"/>
        </w:rPr>
      </w:pPr>
      <w:r w:rsidRPr="00D50B0B">
        <w:rPr>
          <w:rFonts w:eastAsia="Times New Roman" w:cs="Arial"/>
          <w:i/>
          <w:iCs/>
          <w:color w:val="000000"/>
          <w:lang w:eastAsia="bg-BG"/>
        </w:rPr>
        <w:t>Класови ефекти</w:t>
      </w:r>
    </w:p>
    <w:p w14:paraId="141EABE0" w14:textId="77777777" w:rsidR="00D50B0B" w:rsidRPr="00D50B0B" w:rsidRDefault="00D50B0B" w:rsidP="00D50B0B">
      <w:pPr>
        <w:spacing w:line="240" w:lineRule="auto"/>
        <w:rPr>
          <w:rFonts w:eastAsia="Times New Roman" w:cs="Arial"/>
          <w:lang w:eastAsia="bg-BG"/>
        </w:rPr>
      </w:pPr>
      <w:r w:rsidRPr="00D50B0B">
        <w:rPr>
          <w:rFonts w:eastAsia="Times New Roman" w:cs="Arial"/>
          <w:color w:val="000000"/>
          <w:lang w:eastAsia="bg-BG"/>
        </w:rPr>
        <w:lastRenderedPageBreak/>
        <w:t xml:space="preserve">Епидемиологичните проучвания, проведени главно при пациенти на възраст над 50 години, показват увеличен риск от костни фрактури при пациенти, приемащи </w:t>
      </w:r>
      <w:r w:rsidRPr="00D50B0B">
        <w:rPr>
          <w:rFonts w:eastAsia="Times New Roman" w:cs="Arial"/>
          <w:color w:val="000000"/>
          <w:lang w:val="en-US"/>
        </w:rPr>
        <w:t xml:space="preserve">SSRIs </w:t>
      </w:r>
      <w:r w:rsidRPr="00D50B0B">
        <w:rPr>
          <w:rFonts w:eastAsia="Times New Roman" w:cs="Arial"/>
          <w:color w:val="000000"/>
          <w:lang w:eastAsia="bg-BG"/>
        </w:rPr>
        <w:t>или трициклични антидепресанти. Механизмът на това увеличение не е известен.</w:t>
      </w:r>
    </w:p>
    <w:p w14:paraId="79FD842E" w14:textId="77777777" w:rsidR="00D50B0B" w:rsidRPr="00D50B0B" w:rsidRDefault="00D50B0B" w:rsidP="00D50B0B">
      <w:pPr>
        <w:spacing w:line="240" w:lineRule="auto"/>
        <w:rPr>
          <w:rFonts w:eastAsia="Times New Roman" w:cs="Arial"/>
          <w:color w:val="000000"/>
          <w:u w:val="single"/>
          <w:lang w:eastAsia="bg-BG"/>
        </w:rPr>
      </w:pPr>
    </w:p>
    <w:p w14:paraId="77B47A1A" w14:textId="76C4E120" w:rsidR="00D50B0B" w:rsidRPr="00D50B0B" w:rsidRDefault="00D50B0B" w:rsidP="00D50B0B">
      <w:pPr>
        <w:spacing w:line="240" w:lineRule="auto"/>
        <w:rPr>
          <w:rFonts w:eastAsia="Times New Roman" w:cs="Arial"/>
          <w:lang w:eastAsia="bg-BG"/>
        </w:rPr>
      </w:pPr>
      <w:r w:rsidRPr="00D50B0B">
        <w:rPr>
          <w:rFonts w:eastAsia="Times New Roman" w:cs="Arial"/>
          <w:color w:val="000000"/>
          <w:u w:val="single"/>
          <w:lang w:eastAsia="bg-BG"/>
        </w:rPr>
        <w:t>Съобщаване на подозирани нежелани реакции</w:t>
      </w:r>
    </w:p>
    <w:p w14:paraId="61BD2D75" w14:textId="77777777" w:rsidR="00D50B0B" w:rsidRPr="00D50B0B" w:rsidRDefault="00D50B0B" w:rsidP="00D50B0B">
      <w:pPr>
        <w:spacing w:line="240" w:lineRule="auto"/>
        <w:rPr>
          <w:rFonts w:eastAsia="Times New Roman" w:cs="Arial"/>
          <w:lang w:eastAsia="bg-BG"/>
        </w:rPr>
      </w:pPr>
      <w:r w:rsidRPr="00D50B0B">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към Изпълнителната агенция по лекарствата, ул. „Дамян Груев“ № 8,1303 София, тел.: +35928903417, уебсайт: </w:t>
      </w:r>
      <w:r w:rsidRPr="00D50B0B">
        <w:rPr>
          <w:rFonts w:eastAsia="Times New Roman" w:cs="Arial"/>
          <w:lang w:eastAsia="bg-BG"/>
        </w:rPr>
        <w:fldChar w:fldCharType="begin"/>
      </w:r>
      <w:r w:rsidRPr="00D50B0B">
        <w:rPr>
          <w:rFonts w:eastAsia="Times New Roman" w:cs="Arial"/>
          <w:lang w:eastAsia="bg-BG"/>
        </w:rPr>
        <w:instrText xml:space="preserve"> HYPERLINK "http://www.bda.bg" </w:instrText>
      </w:r>
      <w:r w:rsidRPr="00D50B0B">
        <w:rPr>
          <w:rFonts w:eastAsia="Times New Roman" w:cs="Arial"/>
          <w:lang w:eastAsia="bg-BG"/>
        </w:rPr>
      </w:r>
      <w:r w:rsidRPr="00D50B0B">
        <w:rPr>
          <w:rFonts w:eastAsia="Times New Roman" w:cs="Arial"/>
          <w:lang w:eastAsia="bg-BG"/>
        </w:rPr>
        <w:fldChar w:fldCharType="separate"/>
      </w:r>
      <w:r w:rsidRPr="00D50B0B">
        <w:rPr>
          <w:rFonts w:eastAsia="Times New Roman" w:cs="Arial"/>
          <w:color w:val="000000"/>
          <w:u w:val="single"/>
          <w:lang w:val="en-US"/>
        </w:rPr>
        <w:t>www.bda.bg</w:t>
      </w:r>
      <w:r w:rsidRPr="00D50B0B">
        <w:rPr>
          <w:rFonts w:eastAsia="Times New Roman" w:cs="Arial"/>
          <w:lang w:eastAsia="bg-BG"/>
        </w:rPr>
        <w:fldChar w:fldCharType="end"/>
      </w:r>
    </w:p>
    <w:p w14:paraId="0A9C25A2" w14:textId="77777777" w:rsidR="00D50B0B" w:rsidRPr="00D50B0B" w:rsidRDefault="00D50B0B" w:rsidP="00D50B0B"/>
    <w:p w14:paraId="5A87DBA3" w14:textId="12DB6249" w:rsidR="007122AD" w:rsidRDefault="002C50EE" w:rsidP="00936AD0">
      <w:pPr>
        <w:pStyle w:val="Heading2"/>
      </w:pPr>
      <w:r>
        <w:t>4.9. Предозиране</w:t>
      </w:r>
    </w:p>
    <w:p w14:paraId="05564830" w14:textId="5A1C1FB8" w:rsidR="00D50B0B" w:rsidRDefault="00D50B0B" w:rsidP="00D50B0B"/>
    <w:p w14:paraId="5506DB02" w14:textId="77777777" w:rsidR="00D50B0B" w:rsidRPr="00D50B0B" w:rsidRDefault="00D50B0B" w:rsidP="00D50B0B">
      <w:pPr>
        <w:pStyle w:val="Heading3"/>
        <w:rPr>
          <w:rFonts w:eastAsia="Times New Roman"/>
          <w:i/>
          <w:iCs/>
          <w:sz w:val="32"/>
          <w:szCs w:val="32"/>
          <w:lang w:eastAsia="bg-BG"/>
        </w:rPr>
      </w:pPr>
      <w:r w:rsidRPr="00D50B0B">
        <w:rPr>
          <w:rFonts w:eastAsia="Times New Roman"/>
          <w:i/>
          <w:iCs/>
          <w:lang w:eastAsia="bg-BG"/>
        </w:rPr>
        <w:t>Токсичност</w:t>
      </w:r>
    </w:p>
    <w:p w14:paraId="03F9BE39" w14:textId="417C4021" w:rsidR="00D50B0B" w:rsidRPr="00D50B0B" w:rsidRDefault="00D50B0B" w:rsidP="00D50B0B">
      <w:pPr>
        <w:rPr>
          <w:rFonts w:eastAsia="Times New Roman" w:cs="Arial"/>
          <w:color w:val="000000"/>
          <w:lang w:eastAsia="bg-BG"/>
        </w:rPr>
      </w:pPr>
      <w:r w:rsidRPr="00D50B0B">
        <w:rPr>
          <w:rFonts w:eastAsia="Times New Roman" w:cs="Arial"/>
          <w:color w:val="000000"/>
          <w:lang w:eastAsia="bg-BG"/>
        </w:rPr>
        <w:t>Сертралин има терапевтична граница на безопасност, която зависи от пациентската популация и/или едновременно прилаганите лекарства. Фатални случаи от предозиране са съобщавани при самостоятелно приложенение или в комбинация на сертралин с други лекарства и/или алкохол.</w:t>
      </w:r>
    </w:p>
    <w:p w14:paraId="56B50083" w14:textId="78E18936" w:rsidR="00D50B0B" w:rsidRPr="00D50B0B" w:rsidRDefault="00D50B0B" w:rsidP="00D50B0B">
      <w:pPr>
        <w:rPr>
          <w:rFonts w:eastAsia="Times New Roman" w:cs="Arial"/>
          <w:color w:val="000000"/>
          <w:lang w:eastAsia="bg-BG"/>
        </w:rPr>
      </w:pPr>
    </w:p>
    <w:p w14:paraId="2398640C" w14:textId="77777777" w:rsidR="00D50B0B" w:rsidRPr="00D50B0B" w:rsidRDefault="00D50B0B" w:rsidP="00D50B0B">
      <w:pPr>
        <w:spacing w:line="240" w:lineRule="auto"/>
        <w:rPr>
          <w:rFonts w:eastAsia="Times New Roman" w:cs="Arial"/>
          <w:sz w:val="32"/>
          <w:szCs w:val="32"/>
          <w:lang w:eastAsia="bg-BG"/>
        </w:rPr>
      </w:pPr>
      <w:r w:rsidRPr="00D50B0B">
        <w:rPr>
          <w:rFonts w:eastAsia="Times New Roman" w:cs="Arial"/>
          <w:color w:val="000000"/>
          <w:lang w:eastAsia="bg-BG"/>
        </w:rPr>
        <w:t>Следователно всеки случай на предозиране трябва да бъде лекуван агресивно.</w:t>
      </w:r>
    </w:p>
    <w:p w14:paraId="453C8004" w14:textId="77777777" w:rsidR="00D50B0B" w:rsidRPr="00D50B0B" w:rsidRDefault="00D50B0B" w:rsidP="00D50B0B">
      <w:pPr>
        <w:spacing w:line="240" w:lineRule="auto"/>
        <w:rPr>
          <w:rFonts w:eastAsia="Times New Roman" w:cs="Arial"/>
          <w:i/>
          <w:iCs/>
          <w:color w:val="000000"/>
          <w:lang w:eastAsia="bg-BG"/>
        </w:rPr>
      </w:pPr>
    </w:p>
    <w:p w14:paraId="2842E7EB" w14:textId="0627F05B" w:rsidR="00D50B0B" w:rsidRPr="00D50B0B" w:rsidRDefault="00D50B0B" w:rsidP="00D50B0B">
      <w:pPr>
        <w:pStyle w:val="Heading3"/>
        <w:rPr>
          <w:rFonts w:eastAsia="Times New Roman"/>
          <w:i/>
          <w:iCs/>
          <w:sz w:val="32"/>
          <w:szCs w:val="32"/>
          <w:lang w:eastAsia="bg-BG"/>
        </w:rPr>
      </w:pPr>
      <w:r w:rsidRPr="00D50B0B">
        <w:rPr>
          <w:rFonts w:eastAsia="Times New Roman"/>
          <w:i/>
          <w:iCs/>
          <w:lang w:eastAsia="bg-BG"/>
        </w:rPr>
        <w:t>Симптоми</w:t>
      </w:r>
    </w:p>
    <w:p w14:paraId="29C7E7C2" w14:textId="77777777" w:rsidR="00D50B0B" w:rsidRPr="00D50B0B" w:rsidRDefault="00D50B0B" w:rsidP="00D50B0B">
      <w:pPr>
        <w:spacing w:line="240" w:lineRule="auto"/>
        <w:rPr>
          <w:rFonts w:eastAsia="Times New Roman" w:cs="Arial"/>
          <w:sz w:val="32"/>
          <w:szCs w:val="32"/>
          <w:lang w:eastAsia="bg-BG"/>
        </w:rPr>
      </w:pPr>
      <w:r w:rsidRPr="00D50B0B">
        <w:rPr>
          <w:rFonts w:eastAsia="Times New Roman" w:cs="Arial"/>
          <w:color w:val="000000"/>
          <w:lang w:eastAsia="bg-BG"/>
        </w:rPr>
        <w:t>Симптомите на предозиране включват серотонин-медиирани нежелани лекарствени реакции като сънливост, стомашно-чревни нарушения (като гадене и повръщане), тахикардия, тремор, възбуда и виене на свят. Случаи на кома са съобщавани обаче по-рядко.</w:t>
      </w:r>
    </w:p>
    <w:p w14:paraId="74F656F3" w14:textId="77777777" w:rsidR="00D50B0B" w:rsidRPr="00D50B0B" w:rsidRDefault="00D50B0B" w:rsidP="00D50B0B">
      <w:pPr>
        <w:spacing w:line="240" w:lineRule="auto"/>
        <w:rPr>
          <w:rFonts w:eastAsia="Times New Roman" w:cs="Arial"/>
          <w:color w:val="000000"/>
          <w:lang w:eastAsia="bg-BG"/>
        </w:rPr>
      </w:pPr>
    </w:p>
    <w:p w14:paraId="7512B898" w14:textId="3D07F2B1" w:rsidR="00D50B0B" w:rsidRPr="00D50B0B" w:rsidRDefault="00D50B0B" w:rsidP="00D50B0B">
      <w:pPr>
        <w:spacing w:line="240" w:lineRule="auto"/>
        <w:rPr>
          <w:rFonts w:eastAsia="Times New Roman" w:cs="Arial"/>
          <w:sz w:val="32"/>
          <w:szCs w:val="32"/>
          <w:lang w:eastAsia="bg-BG"/>
        </w:rPr>
      </w:pPr>
      <w:r w:rsidRPr="00D50B0B">
        <w:rPr>
          <w:rFonts w:eastAsia="Times New Roman" w:cs="Arial"/>
          <w:color w:val="000000"/>
          <w:lang w:eastAsia="bg-BG"/>
        </w:rPr>
        <w:t xml:space="preserve">Случаи на удължаване на </w:t>
      </w:r>
      <w:r w:rsidRPr="00D50B0B">
        <w:rPr>
          <w:rFonts w:eastAsia="Times New Roman" w:cs="Arial"/>
          <w:color w:val="000000"/>
          <w:lang w:val="en-US"/>
        </w:rPr>
        <w:t xml:space="preserve">QT </w:t>
      </w:r>
      <w:r w:rsidRPr="00D50B0B">
        <w:rPr>
          <w:rFonts w:eastAsia="Times New Roman" w:cs="Arial"/>
          <w:color w:val="000000"/>
          <w:lang w:eastAsia="bg-BG"/>
        </w:rPr>
        <w:t>интервала</w:t>
      </w:r>
      <w:r w:rsidRPr="00D50B0B">
        <w:rPr>
          <w:rFonts w:eastAsia="Times New Roman" w:cs="Arial"/>
          <w:color w:val="000000"/>
          <w:lang w:val="en-US"/>
        </w:rPr>
        <w:t xml:space="preserve">/Torsade de Pointes </w:t>
      </w:r>
      <w:r w:rsidRPr="00D50B0B">
        <w:rPr>
          <w:rFonts w:eastAsia="Times New Roman" w:cs="Arial"/>
          <w:color w:val="000000"/>
          <w:lang w:eastAsia="bg-BG"/>
        </w:rPr>
        <w:t>са съобщавани след предозиране на сертралин; поради това се изисква ЕКГ проследяване при всяко предозиране на сертралин (вж. точки 4.4, 4.5 и 5.1).</w:t>
      </w:r>
    </w:p>
    <w:p w14:paraId="2DD61285" w14:textId="77777777" w:rsidR="00D50B0B" w:rsidRPr="00D50B0B" w:rsidRDefault="00D50B0B" w:rsidP="00D50B0B">
      <w:pPr>
        <w:spacing w:line="240" w:lineRule="auto"/>
        <w:rPr>
          <w:rFonts w:eastAsia="Times New Roman" w:cs="Arial"/>
          <w:i/>
          <w:iCs/>
          <w:color w:val="000000"/>
          <w:lang w:eastAsia="bg-BG"/>
        </w:rPr>
      </w:pPr>
    </w:p>
    <w:p w14:paraId="6A40851E" w14:textId="2972A2A3" w:rsidR="00D50B0B" w:rsidRPr="00D50B0B" w:rsidRDefault="00D50B0B" w:rsidP="00D50B0B">
      <w:pPr>
        <w:pStyle w:val="Heading3"/>
        <w:rPr>
          <w:rFonts w:eastAsia="Times New Roman"/>
          <w:i/>
          <w:iCs/>
          <w:sz w:val="32"/>
          <w:szCs w:val="32"/>
          <w:lang w:eastAsia="bg-BG"/>
        </w:rPr>
      </w:pPr>
      <w:r w:rsidRPr="00D50B0B">
        <w:rPr>
          <w:rFonts w:eastAsia="Times New Roman"/>
          <w:i/>
          <w:iCs/>
          <w:lang w:eastAsia="bg-BG"/>
        </w:rPr>
        <w:t>Лечение</w:t>
      </w:r>
    </w:p>
    <w:p w14:paraId="483FD14D" w14:textId="77777777" w:rsidR="00D50B0B" w:rsidRPr="00D50B0B" w:rsidRDefault="00D50B0B" w:rsidP="00D50B0B">
      <w:pPr>
        <w:spacing w:line="240" w:lineRule="auto"/>
        <w:rPr>
          <w:rFonts w:eastAsia="Times New Roman" w:cs="Arial"/>
          <w:sz w:val="32"/>
          <w:szCs w:val="32"/>
          <w:lang w:eastAsia="bg-BG"/>
        </w:rPr>
      </w:pPr>
      <w:r w:rsidRPr="00D50B0B">
        <w:rPr>
          <w:rFonts w:eastAsia="Times New Roman" w:cs="Arial"/>
          <w:color w:val="000000"/>
          <w:lang w:eastAsia="bg-BG"/>
        </w:rPr>
        <w:t>Липсват специфични антидота на сертралин. Препоръчва се да се установи и поддържа дихателен път и да се осигури адекватна вентилация и оксигенация. Активният въглен, който може да се комбинира с очистително, може да е еднакво ефективен или по-ефективен от стомашната промивка и трябва да се има предвид при лечение на предозирането. Не се препоръчва предизвикване на повръщане. Заедно с общата симптоматична и подд ържаща терапия се препоръчва проследяване на сърдечните (напр. с ЕКГ) и други жизнени показатели. Поради големия обем на разпределение на сертралин е малко вероятно приложението на форсирана диуреза, диализа, хемоперфузия или екссангвинотрансфузия да имат благоприятен ефект.</w:t>
      </w:r>
    </w:p>
    <w:p w14:paraId="47719814" w14:textId="77777777" w:rsidR="00D50B0B" w:rsidRPr="00D50B0B" w:rsidRDefault="00D50B0B" w:rsidP="00D50B0B">
      <w:pPr>
        <w:spacing w:line="240" w:lineRule="auto"/>
        <w:rPr>
          <w:rFonts w:eastAsia="Times New Roman" w:cs="Arial"/>
          <w:i/>
          <w:iCs/>
          <w:color w:val="000000"/>
          <w:lang w:eastAsia="bg-BG"/>
        </w:rPr>
      </w:pPr>
    </w:p>
    <w:p w14:paraId="264EB78B" w14:textId="77777777" w:rsidR="00D50B0B" w:rsidRPr="00D50B0B" w:rsidRDefault="00D50B0B" w:rsidP="00D50B0B">
      <w:pPr>
        <w:spacing w:line="240" w:lineRule="auto"/>
        <w:rPr>
          <w:rFonts w:eastAsia="Times New Roman" w:cs="Arial"/>
          <w:i/>
          <w:iCs/>
          <w:color w:val="000000"/>
          <w:lang w:eastAsia="bg-BG"/>
        </w:rPr>
      </w:pPr>
      <w:r w:rsidRPr="00D50B0B">
        <w:rPr>
          <w:rFonts w:eastAsia="Times New Roman" w:cs="Arial"/>
          <w:i/>
          <w:iCs/>
          <w:color w:val="000000"/>
          <w:lang w:eastAsia="bg-BG"/>
        </w:rPr>
        <w:t xml:space="preserve">Педиатрична популация </w:t>
      </w:r>
    </w:p>
    <w:p w14:paraId="534D450C" w14:textId="6BE40989" w:rsidR="00D50B0B" w:rsidRPr="00D50B0B" w:rsidRDefault="00D50B0B" w:rsidP="00D50B0B">
      <w:pPr>
        <w:spacing w:line="240" w:lineRule="auto"/>
        <w:rPr>
          <w:rFonts w:eastAsia="Times New Roman" w:cs="Arial"/>
          <w:sz w:val="32"/>
          <w:szCs w:val="32"/>
          <w:lang w:eastAsia="bg-BG"/>
        </w:rPr>
      </w:pPr>
      <w:r w:rsidRPr="00D50B0B">
        <w:rPr>
          <w:rFonts w:eastAsia="Times New Roman" w:cs="Arial"/>
          <w:color w:val="000000"/>
          <w:lang w:eastAsia="bg-BG"/>
        </w:rPr>
        <w:t>Няма налични данни.</w:t>
      </w:r>
    </w:p>
    <w:p w14:paraId="7F59E4D5" w14:textId="77777777" w:rsidR="00D50B0B" w:rsidRPr="00D50B0B" w:rsidRDefault="00D50B0B" w:rsidP="00D50B0B"/>
    <w:p w14:paraId="02081B24" w14:textId="36FE76F4" w:rsidR="00395555" w:rsidRPr="00395555" w:rsidRDefault="002C50EE" w:rsidP="008A6AF2">
      <w:pPr>
        <w:pStyle w:val="Heading1"/>
      </w:pPr>
      <w:r>
        <w:lastRenderedPageBreak/>
        <w:t>5. ФАРМАКОЛОГИЧНИ СВОЙСТВА</w:t>
      </w:r>
    </w:p>
    <w:p w14:paraId="68A24A1A" w14:textId="43CC9231" w:rsidR="001A6EBD" w:rsidRDefault="002C50EE" w:rsidP="00471F10">
      <w:pPr>
        <w:pStyle w:val="Heading2"/>
      </w:pPr>
      <w:r>
        <w:t>5.1. Фармакодинамични свойства</w:t>
      </w:r>
    </w:p>
    <w:p w14:paraId="1A1142EA" w14:textId="2340BEB6" w:rsidR="002F027A" w:rsidRDefault="002F027A" w:rsidP="002F027A"/>
    <w:p w14:paraId="46034CF6" w14:textId="77777777" w:rsidR="002F027A" w:rsidRPr="002F027A" w:rsidRDefault="002F027A" w:rsidP="002F027A">
      <w:pPr>
        <w:spacing w:line="240" w:lineRule="auto"/>
        <w:rPr>
          <w:rFonts w:eastAsia="Times New Roman" w:cs="Arial"/>
          <w:sz w:val="32"/>
          <w:szCs w:val="32"/>
          <w:lang w:eastAsia="bg-BG"/>
        </w:rPr>
      </w:pPr>
      <w:r w:rsidRPr="002F027A">
        <w:rPr>
          <w:rFonts w:eastAsia="Times New Roman" w:cs="Arial"/>
          <w:color w:val="000000"/>
          <w:lang w:eastAsia="bg-BG"/>
        </w:rPr>
        <w:t xml:space="preserve">Фармакотерапевтична група: Психоаналептици, Антидепресанти, Селективни инхибитори на обратното захващане на серотонина </w:t>
      </w:r>
      <w:r w:rsidRPr="002F027A">
        <w:rPr>
          <w:rFonts w:eastAsia="Times New Roman" w:cs="Arial"/>
          <w:color w:val="000000"/>
          <w:lang w:val="en-US"/>
        </w:rPr>
        <w:t xml:space="preserve">(SSRI), </w:t>
      </w:r>
      <w:r w:rsidRPr="002F027A">
        <w:rPr>
          <w:rFonts w:eastAsia="Times New Roman" w:cs="Arial"/>
          <w:color w:val="000000"/>
          <w:lang w:eastAsia="bg-BG"/>
        </w:rPr>
        <w:t xml:space="preserve">АТС код: </w:t>
      </w:r>
      <w:r w:rsidRPr="002F027A">
        <w:rPr>
          <w:rFonts w:eastAsia="Times New Roman" w:cs="Arial"/>
          <w:color w:val="000000"/>
          <w:lang w:val="en-US"/>
        </w:rPr>
        <w:t xml:space="preserve">N06A </w:t>
      </w:r>
      <w:r w:rsidRPr="002F027A">
        <w:rPr>
          <w:rFonts w:eastAsia="Times New Roman" w:cs="Arial"/>
          <w:color w:val="000000"/>
          <w:lang w:eastAsia="bg-BG"/>
        </w:rPr>
        <w:t>В06</w:t>
      </w:r>
    </w:p>
    <w:p w14:paraId="2140962A" w14:textId="77777777" w:rsidR="002F027A" w:rsidRPr="002F027A" w:rsidRDefault="002F027A" w:rsidP="002F027A">
      <w:pPr>
        <w:spacing w:line="240" w:lineRule="auto"/>
        <w:rPr>
          <w:rFonts w:eastAsia="Times New Roman" w:cs="Arial"/>
          <w:color w:val="000000"/>
          <w:u w:val="single"/>
          <w:lang w:eastAsia="bg-BG"/>
        </w:rPr>
      </w:pPr>
    </w:p>
    <w:p w14:paraId="07AC5D1A" w14:textId="5355E50A" w:rsidR="002F027A" w:rsidRPr="002F027A" w:rsidRDefault="002F027A" w:rsidP="002F027A">
      <w:pPr>
        <w:spacing w:line="240" w:lineRule="auto"/>
        <w:rPr>
          <w:rFonts w:eastAsia="Times New Roman" w:cs="Arial"/>
          <w:sz w:val="32"/>
          <w:szCs w:val="32"/>
          <w:lang w:eastAsia="bg-BG"/>
        </w:rPr>
      </w:pPr>
      <w:r w:rsidRPr="002F027A">
        <w:rPr>
          <w:rFonts w:eastAsia="Times New Roman" w:cs="Arial"/>
          <w:color w:val="000000"/>
          <w:u w:val="single"/>
          <w:lang w:eastAsia="bg-BG"/>
        </w:rPr>
        <w:t>Механизъм на действие и фармакодинамични ефекти</w:t>
      </w:r>
    </w:p>
    <w:p w14:paraId="77EC21D1" w14:textId="77777777" w:rsidR="002F027A" w:rsidRPr="002F027A" w:rsidRDefault="002F027A" w:rsidP="002F027A">
      <w:pPr>
        <w:spacing w:line="240" w:lineRule="auto"/>
        <w:rPr>
          <w:rFonts w:eastAsia="Times New Roman" w:cs="Arial"/>
          <w:color w:val="000000"/>
          <w:lang w:eastAsia="bg-BG"/>
        </w:rPr>
      </w:pPr>
    </w:p>
    <w:p w14:paraId="7A7C58DA" w14:textId="45CD8174" w:rsidR="002F027A" w:rsidRPr="002F027A" w:rsidRDefault="002F027A" w:rsidP="002F027A">
      <w:pPr>
        <w:spacing w:line="240" w:lineRule="auto"/>
        <w:rPr>
          <w:rFonts w:eastAsia="Times New Roman" w:cs="Arial"/>
          <w:sz w:val="32"/>
          <w:szCs w:val="32"/>
          <w:lang w:eastAsia="bg-BG"/>
        </w:rPr>
      </w:pPr>
      <w:r w:rsidRPr="002F027A">
        <w:rPr>
          <w:rFonts w:eastAsia="Times New Roman" w:cs="Arial"/>
          <w:color w:val="000000"/>
          <w:lang w:eastAsia="bg-BG"/>
        </w:rPr>
        <w:t xml:space="preserve">Сертралин е мощен и селективен инхибитор на обратния захват на серотонина (5 НТ) в невроните </w:t>
      </w:r>
      <w:r w:rsidRPr="002F027A">
        <w:rPr>
          <w:rFonts w:eastAsia="Times New Roman" w:cs="Arial"/>
          <w:color w:val="000000"/>
          <w:lang w:val="en-US"/>
        </w:rPr>
        <w:t xml:space="preserve">in vitro, </w:t>
      </w:r>
      <w:r w:rsidRPr="002F027A">
        <w:rPr>
          <w:rFonts w:eastAsia="Times New Roman" w:cs="Arial"/>
          <w:color w:val="000000"/>
          <w:lang w:eastAsia="bg-BG"/>
        </w:rPr>
        <w:t xml:space="preserve">в резултат на което се потенцират ефектите на 5 НТ при животни. Той има едва много слаб ефект върху обратния захват на норадреналин и допамин в невроните. В клинични дози сертралин блокира обратния захват на серотонин в човешки тромбоцити. Той не проявява стимулираща, седативна или антихолинергична активност или кардиотоксичност при животни. В контролирани проучвания при здрави доброволци сертралин не причинява седация и не предизвиква промени в психомоторните функции. В съответствие със селективното инхибиране на обратния захват на 5 НТ сертралин не повишава катехоламинергичната активност. Сертралин не притежава афинитет към мускариновите (холинергични), серотонинергичните, допаминергичните, адренергичните, хистаминергичните, </w:t>
      </w:r>
      <w:r w:rsidRPr="002F027A">
        <w:rPr>
          <w:rFonts w:eastAsia="Times New Roman" w:cs="Arial"/>
          <w:color w:val="000000"/>
          <w:lang w:val="en-US"/>
        </w:rPr>
        <w:t xml:space="preserve">GABA </w:t>
      </w:r>
      <w:r w:rsidRPr="002F027A">
        <w:rPr>
          <w:rFonts w:eastAsia="Times New Roman" w:cs="Arial"/>
          <w:color w:val="000000"/>
          <w:lang w:eastAsia="bg-BG"/>
        </w:rPr>
        <w:t>или бензодиазепиновите рецептори. Продължителното приложение на сертралин при животни е свързано с намаляване на броя на мозъчните нордреналинови рецептори, както е наблюдавано и при други клинично ефективни антидепресанти и антиобсесивни лекарствени продукти.</w:t>
      </w:r>
    </w:p>
    <w:p w14:paraId="2B5F480C" w14:textId="77777777" w:rsidR="002F027A" w:rsidRPr="002F027A" w:rsidRDefault="002F027A" w:rsidP="002F027A">
      <w:pPr>
        <w:rPr>
          <w:rFonts w:eastAsia="Times New Roman" w:cs="Arial"/>
          <w:color w:val="000000"/>
          <w:lang w:eastAsia="bg-BG"/>
        </w:rPr>
      </w:pPr>
    </w:p>
    <w:p w14:paraId="26755AAB" w14:textId="77777777" w:rsidR="002F027A" w:rsidRPr="002F027A" w:rsidRDefault="002F027A" w:rsidP="002F027A">
      <w:pPr>
        <w:rPr>
          <w:rFonts w:eastAsia="Times New Roman" w:cs="Arial"/>
          <w:sz w:val="32"/>
          <w:szCs w:val="32"/>
          <w:lang w:eastAsia="bg-BG"/>
        </w:rPr>
      </w:pPr>
      <w:r w:rsidRPr="002F027A">
        <w:rPr>
          <w:rFonts w:eastAsia="Times New Roman" w:cs="Arial"/>
          <w:color w:val="000000"/>
          <w:lang w:eastAsia="bg-BG"/>
        </w:rPr>
        <w:t>Не е демонстриран потенциал за злоупотреба със сертралин. В двойно-сляпо, рандомизирано, плацебо-контролирано проучване сравняващо потенциала за злоупотреба със сер</w:t>
      </w:r>
      <w:r w:rsidRPr="002F027A">
        <w:rPr>
          <w:rFonts w:eastAsia="Times New Roman" w:cs="Arial"/>
          <w:color w:val="000000"/>
          <w:u w:val="single"/>
          <w:lang w:eastAsia="bg-BG"/>
        </w:rPr>
        <w:t>тралин</w:t>
      </w:r>
      <w:r w:rsidRPr="002F027A">
        <w:rPr>
          <w:rFonts w:eastAsia="Times New Roman" w:cs="Arial"/>
          <w:color w:val="000000"/>
          <w:lang w:eastAsia="bg-BG"/>
        </w:rPr>
        <w:t xml:space="preserve">, алпразолам и </w:t>
      </w:r>
      <w:r w:rsidRPr="002F027A">
        <w:rPr>
          <w:rFonts w:eastAsia="Times New Roman" w:cs="Arial"/>
          <w:color w:val="000000"/>
          <w:lang w:val="en-US"/>
        </w:rPr>
        <w:t>d</w:t>
      </w:r>
      <w:r w:rsidRPr="002F027A">
        <w:rPr>
          <w:rFonts w:eastAsia="Times New Roman" w:cs="Arial"/>
          <w:color w:val="000000"/>
          <w:lang w:eastAsia="bg-BG"/>
        </w:rPr>
        <w:t xml:space="preserve">-амфетамин при хора, сертралин не е предизвикал позитивни субективни ефекти, показателни за потенциал за злоупотреба. За разлика от това пациеентите са оценили значимо по-високо и алпразолам, и </w:t>
      </w:r>
      <w:r w:rsidRPr="002F027A">
        <w:rPr>
          <w:rFonts w:eastAsia="Times New Roman" w:cs="Arial"/>
          <w:color w:val="000000"/>
          <w:lang w:val="en-US"/>
        </w:rPr>
        <w:t>d</w:t>
      </w:r>
      <w:r w:rsidRPr="002F027A">
        <w:rPr>
          <w:rFonts w:eastAsia="Times New Roman" w:cs="Arial"/>
          <w:color w:val="000000"/>
          <w:lang w:eastAsia="bg-BG"/>
        </w:rPr>
        <w:t>-амфетамин в сравнение с плацебо по показатели, като харесване на лекарствения продукт, еуфория и потенциал за злоупотреба. Сертралин не е предизвикал нито стимулация и тревожност, свързани с приложението на с амфетамин, като</w:t>
      </w:r>
      <w:r w:rsidRPr="002F027A">
        <w:rPr>
          <w:rFonts w:eastAsia="Times New Roman" w:cs="Arial"/>
          <w:color w:val="000000"/>
          <w:lang w:eastAsia="bg-BG"/>
        </w:rPr>
        <w:t xml:space="preserve"> </w:t>
      </w:r>
      <w:r w:rsidRPr="002F027A">
        <w:rPr>
          <w:rFonts w:eastAsia="Times New Roman" w:cs="Arial"/>
          <w:color w:val="000000"/>
          <w:lang w:eastAsia="bg-BG"/>
        </w:rPr>
        <w:t xml:space="preserve">седация и психомоторно нарушение, свързани с приложението на алпразолам. Приложен при Макак резус-маймуни, обучени да приемат сами кокаин, сертралин не е стимулирал приемането на опиата, нито пък е могъл да замести като дискриминативен стимул </w:t>
      </w:r>
      <w:r w:rsidRPr="002F027A">
        <w:rPr>
          <w:rFonts w:eastAsia="Times New Roman" w:cs="Arial"/>
          <w:color w:val="000000"/>
          <w:lang w:val="en-US"/>
        </w:rPr>
        <w:t>d</w:t>
      </w:r>
      <w:r w:rsidRPr="002F027A">
        <w:rPr>
          <w:rFonts w:eastAsia="Times New Roman" w:cs="Arial"/>
          <w:color w:val="000000"/>
          <w:lang w:eastAsia="bg-BG"/>
        </w:rPr>
        <w:t>-амфетамин или фенобарбитал.</w:t>
      </w:r>
    </w:p>
    <w:p w14:paraId="13FFF4EB" w14:textId="77777777" w:rsidR="002F027A" w:rsidRPr="002F027A" w:rsidRDefault="002F027A" w:rsidP="002F027A">
      <w:pPr>
        <w:spacing w:line="240" w:lineRule="auto"/>
        <w:rPr>
          <w:rFonts w:eastAsia="Times New Roman" w:cs="Arial"/>
          <w:i/>
          <w:iCs/>
          <w:color w:val="000000"/>
          <w:u w:val="single"/>
          <w:lang w:eastAsia="bg-BG"/>
        </w:rPr>
      </w:pPr>
    </w:p>
    <w:p w14:paraId="7F240718" w14:textId="4A9A140C" w:rsidR="002F027A" w:rsidRPr="002F027A" w:rsidRDefault="002F027A" w:rsidP="002F027A">
      <w:pPr>
        <w:spacing w:line="240" w:lineRule="auto"/>
        <w:rPr>
          <w:rFonts w:eastAsia="Times New Roman" w:cs="Arial"/>
          <w:sz w:val="32"/>
          <w:szCs w:val="32"/>
          <w:lang w:eastAsia="bg-BG"/>
        </w:rPr>
      </w:pPr>
      <w:r w:rsidRPr="002F027A">
        <w:rPr>
          <w:rFonts w:eastAsia="Times New Roman" w:cs="Arial"/>
          <w:i/>
          <w:iCs/>
          <w:color w:val="000000"/>
          <w:u w:val="single"/>
          <w:lang w:eastAsia="bg-BG"/>
        </w:rPr>
        <w:t>Клинична ефективност и безопасност</w:t>
      </w:r>
    </w:p>
    <w:p w14:paraId="4E0D3C48" w14:textId="77777777" w:rsidR="002F027A" w:rsidRPr="002F027A" w:rsidRDefault="002F027A" w:rsidP="002F027A">
      <w:pPr>
        <w:spacing w:line="240" w:lineRule="auto"/>
        <w:rPr>
          <w:rFonts w:eastAsia="Times New Roman" w:cs="Arial"/>
          <w:i/>
          <w:iCs/>
          <w:color w:val="000000"/>
          <w:lang w:eastAsia="bg-BG"/>
        </w:rPr>
      </w:pPr>
    </w:p>
    <w:p w14:paraId="24310DAB" w14:textId="5D6385B4" w:rsidR="002F027A" w:rsidRPr="002F027A" w:rsidRDefault="002F027A" w:rsidP="002F027A">
      <w:pPr>
        <w:spacing w:line="240" w:lineRule="auto"/>
        <w:rPr>
          <w:rFonts w:eastAsia="Times New Roman" w:cs="Arial"/>
          <w:sz w:val="32"/>
          <w:szCs w:val="32"/>
          <w:lang w:eastAsia="bg-BG"/>
        </w:rPr>
      </w:pPr>
      <w:r w:rsidRPr="002F027A">
        <w:rPr>
          <w:rFonts w:eastAsia="Times New Roman" w:cs="Arial"/>
          <w:i/>
          <w:iCs/>
          <w:color w:val="000000"/>
          <w:lang w:eastAsia="bg-BG"/>
        </w:rPr>
        <w:t>Голямо депресивно разстройство</w:t>
      </w:r>
    </w:p>
    <w:p w14:paraId="08E62CF8" w14:textId="77777777" w:rsidR="002F027A" w:rsidRPr="002F027A" w:rsidRDefault="002F027A" w:rsidP="002F027A">
      <w:pPr>
        <w:spacing w:line="240" w:lineRule="auto"/>
        <w:rPr>
          <w:rFonts w:eastAsia="Times New Roman" w:cs="Arial"/>
          <w:sz w:val="32"/>
          <w:szCs w:val="32"/>
          <w:lang w:eastAsia="bg-BG"/>
        </w:rPr>
      </w:pPr>
      <w:r w:rsidRPr="002F027A">
        <w:rPr>
          <w:rFonts w:eastAsia="Times New Roman" w:cs="Arial"/>
          <w:color w:val="000000"/>
          <w:lang w:eastAsia="bg-BG"/>
        </w:rPr>
        <w:t xml:space="preserve">Проведено е клинично проучване при депресивни амбулаторни пациенти, при които е настъпил ефект до края на началната 8-седмична открита фаза на лечение със сертралин 50-200 </w:t>
      </w:r>
      <w:r w:rsidRPr="002F027A">
        <w:rPr>
          <w:rFonts w:eastAsia="Times New Roman" w:cs="Arial"/>
          <w:color w:val="000000"/>
          <w:lang w:val="en-US"/>
        </w:rPr>
        <w:t>mg</w:t>
      </w:r>
      <w:r w:rsidRPr="002F027A">
        <w:rPr>
          <w:rFonts w:eastAsia="Times New Roman" w:cs="Arial"/>
          <w:color w:val="000000"/>
          <w:lang w:eastAsia="bg-BG"/>
        </w:rPr>
        <w:t>/ден. Тези пациенти (</w:t>
      </w:r>
      <w:r w:rsidRPr="002F027A">
        <w:rPr>
          <w:rFonts w:eastAsia="Times New Roman" w:cs="Arial"/>
          <w:color w:val="000000"/>
          <w:lang w:val="en-US"/>
        </w:rPr>
        <w:t>n</w:t>
      </w:r>
      <w:r w:rsidRPr="002F027A">
        <w:rPr>
          <w:rFonts w:eastAsia="Times New Roman" w:cs="Arial"/>
          <w:color w:val="000000"/>
          <w:lang w:eastAsia="bg-BG"/>
        </w:rPr>
        <w:t xml:space="preserve">= 295) са били рандомизирани да продължат в двойно-сляпо проучване със сертралин 50-200 </w:t>
      </w:r>
      <w:r w:rsidRPr="002F027A">
        <w:rPr>
          <w:rFonts w:eastAsia="Times New Roman" w:cs="Arial"/>
          <w:color w:val="000000"/>
          <w:lang w:val="en-US"/>
        </w:rPr>
        <w:t>mg</w:t>
      </w:r>
      <w:r w:rsidRPr="002F027A">
        <w:rPr>
          <w:rFonts w:eastAsia="Times New Roman" w:cs="Arial"/>
          <w:color w:val="000000"/>
          <w:lang w:eastAsia="bg-BG"/>
        </w:rPr>
        <w:t xml:space="preserve">/ден или плацебо за 44 седмици. Наблюдавана е статистически значимо по- ниска честота на рецидивите при пациентите, приемащи сертралин, в сравнение с приемащите плацебо. Средната доза за пациентите, завършили проучването, е била 70 </w:t>
      </w:r>
      <w:r w:rsidRPr="002F027A">
        <w:rPr>
          <w:rFonts w:eastAsia="Times New Roman" w:cs="Arial"/>
          <w:color w:val="000000"/>
          <w:lang w:val="en-US"/>
        </w:rPr>
        <w:t>mg</w:t>
      </w:r>
      <w:r w:rsidRPr="002F027A">
        <w:rPr>
          <w:rFonts w:eastAsia="Times New Roman" w:cs="Arial"/>
          <w:color w:val="000000"/>
          <w:lang w:eastAsia="bg-BG"/>
        </w:rPr>
        <w:t>/ден. Процентът пациенти, повлияли се от лечението (дефинирани като тези пациенти, при които не е настъпил рецидив), за сертралин и плацебо е бил съответно 83,4% и 60,8%.</w:t>
      </w:r>
    </w:p>
    <w:p w14:paraId="4735551A" w14:textId="77777777" w:rsidR="002F027A" w:rsidRPr="002F027A" w:rsidRDefault="002F027A" w:rsidP="002F027A">
      <w:pPr>
        <w:spacing w:line="240" w:lineRule="auto"/>
        <w:rPr>
          <w:rFonts w:eastAsia="Times New Roman" w:cs="Arial"/>
          <w:i/>
          <w:iCs/>
          <w:color w:val="000000"/>
          <w:lang w:eastAsia="bg-BG"/>
        </w:rPr>
      </w:pPr>
    </w:p>
    <w:p w14:paraId="0157E364" w14:textId="6CCE7397" w:rsidR="002F027A" w:rsidRPr="002F027A" w:rsidRDefault="002F027A" w:rsidP="002F027A">
      <w:pPr>
        <w:spacing w:line="240" w:lineRule="auto"/>
        <w:rPr>
          <w:rFonts w:eastAsia="Times New Roman" w:cs="Arial"/>
          <w:sz w:val="32"/>
          <w:szCs w:val="32"/>
          <w:lang w:eastAsia="bg-BG"/>
        </w:rPr>
      </w:pPr>
      <w:r w:rsidRPr="002F027A">
        <w:rPr>
          <w:rFonts w:eastAsia="Times New Roman" w:cs="Arial"/>
          <w:i/>
          <w:iCs/>
          <w:color w:val="000000"/>
          <w:lang w:eastAsia="bg-BG"/>
        </w:rPr>
        <w:lastRenderedPageBreak/>
        <w:t>Посттравматично стресово разстройство (ПТСР)</w:t>
      </w:r>
    </w:p>
    <w:p w14:paraId="23BB16C5" w14:textId="77777777" w:rsidR="002F027A" w:rsidRPr="002F027A" w:rsidRDefault="002F027A" w:rsidP="002F027A">
      <w:pPr>
        <w:spacing w:line="240" w:lineRule="auto"/>
        <w:rPr>
          <w:rFonts w:eastAsia="Times New Roman" w:cs="Arial"/>
          <w:sz w:val="32"/>
          <w:szCs w:val="32"/>
          <w:lang w:eastAsia="bg-BG"/>
        </w:rPr>
      </w:pPr>
      <w:r w:rsidRPr="002F027A">
        <w:rPr>
          <w:rFonts w:eastAsia="Times New Roman" w:cs="Arial"/>
          <w:color w:val="000000"/>
          <w:lang w:eastAsia="bg-BG"/>
        </w:rPr>
        <w:t>Комбинирани данни от трите проучвания за ПТСР сред общата популация установяват по- ниска честота на отговор при мъжете спрямо жените. В двете позитивни проучвания сред общата популация на сертралин спрямо плацебо, честотата на повлияване при мъжете и жените е била сходна (жени: 57,2% спрямо 34,5%; мъже: 53,9% спрямо 38,2%). Броят на мъжете и жените в обединените проучвания сред общата популация е 184 и съответно 430, и следователно резултатите при жените са с по-голяма тежест, а при мъжете се свързват с други изходни характеристики (по-голяма злоупотреба с веществото, по-голяма продължителност, източник на травма и т.н.), които корелират с намаления ефект.</w:t>
      </w:r>
    </w:p>
    <w:p w14:paraId="1F366D0F" w14:textId="77777777" w:rsidR="002F027A" w:rsidRPr="002F027A" w:rsidRDefault="002F027A" w:rsidP="002F027A">
      <w:pPr>
        <w:spacing w:line="240" w:lineRule="auto"/>
        <w:rPr>
          <w:rFonts w:eastAsia="Times New Roman" w:cs="Arial"/>
          <w:i/>
          <w:iCs/>
          <w:color w:val="000000"/>
          <w:u w:val="single"/>
          <w:lang w:eastAsia="bg-BG"/>
        </w:rPr>
      </w:pPr>
    </w:p>
    <w:p w14:paraId="5B655A2F" w14:textId="640E99FD" w:rsidR="002F027A" w:rsidRPr="002F027A" w:rsidRDefault="002F027A" w:rsidP="002F027A">
      <w:pPr>
        <w:spacing w:line="240" w:lineRule="auto"/>
        <w:rPr>
          <w:rFonts w:eastAsia="Times New Roman" w:cs="Arial"/>
          <w:sz w:val="32"/>
          <w:szCs w:val="32"/>
          <w:lang w:eastAsia="bg-BG"/>
        </w:rPr>
      </w:pPr>
      <w:r w:rsidRPr="002F027A">
        <w:rPr>
          <w:rFonts w:eastAsia="Times New Roman" w:cs="Arial"/>
          <w:i/>
          <w:iCs/>
          <w:color w:val="000000"/>
          <w:u w:val="single"/>
          <w:lang w:eastAsia="bg-BG"/>
        </w:rPr>
        <w:t>Сърдечна електрофизиология</w:t>
      </w:r>
    </w:p>
    <w:p w14:paraId="5A41A184" w14:textId="77777777" w:rsidR="002F027A" w:rsidRPr="002F027A" w:rsidRDefault="002F027A" w:rsidP="002F027A">
      <w:pPr>
        <w:spacing w:line="240" w:lineRule="auto"/>
        <w:rPr>
          <w:rFonts w:eastAsia="Times New Roman" w:cs="Arial"/>
          <w:sz w:val="32"/>
          <w:szCs w:val="32"/>
          <w:lang w:eastAsia="bg-BG"/>
        </w:rPr>
      </w:pPr>
      <w:r w:rsidRPr="002F027A">
        <w:rPr>
          <w:rFonts w:eastAsia="Times New Roman" w:cs="Arial"/>
          <w:color w:val="000000"/>
          <w:lang w:eastAsia="bg-BG"/>
        </w:rPr>
        <w:t xml:space="preserve">В специализирано задълбочено проучване на </w:t>
      </w:r>
      <w:r w:rsidRPr="002F027A">
        <w:rPr>
          <w:rFonts w:eastAsia="Times New Roman" w:cs="Arial"/>
          <w:color w:val="000000"/>
          <w:lang w:val="en-US"/>
        </w:rPr>
        <w:t xml:space="preserve">QTc </w:t>
      </w:r>
      <w:r w:rsidRPr="002F027A">
        <w:rPr>
          <w:rFonts w:eastAsia="Times New Roman" w:cs="Arial"/>
          <w:color w:val="000000"/>
          <w:lang w:eastAsia="bg-BG"/>
        </w:rPr>
        <w:t xml:space="preserve">интервала, проведено при равновесни концентрации и супратерапевтични дози при здрави доброволци (лекувани с 400 </w:t>
      </w:r>
      <w:r w:rsidRPr="002F027A">
        <w:rPr>
          <w:rFonts w:eastAsia="Times New Roman" w:cs="Arial"/>
          <w:color w:val="000000"/>
          <w:lang w:val="en-US"/>
        </w:rPr>
        <w:t>mg</w:t>
      </w:r>
      <w:r w:rsidRPr="002F027A">
        <w:rPr>
          <w:rFonts w:eastAsia="Times New Roman" w:cs="Arial"/>
          <w:color w:val="000000"/>
          <w:lang w:eastAsia="bg-BG"/>
        </w:rPr>
        <w:t xml:space="preserve">/ден - два пъти над максималната препоръчителна дневна доза), горната граница на двустранния 90% доверителен интервал за времето, съответстващо на средна разлика в </w:t>
      </w:r>
      <w:proofErr w:type="spellStart"/>
      <w:r w:rsidRPr="002F027A">
        <w:rPr>
          <w:rFonts w:eastAsia="Times New Roman" w:cs="Arial"/>
          <w:color w:val="000000"/>
          <w:lang w:val="en-US"/>
        </w:rPr>
        <w:t>QTcF</w:t>
      </w:r>
      <w:proofErr w:type="spellEnd"/>
      <w:r w:rsidRPr="002F027A">
        <w:rPr>
          <w:rFonts w:eastAsia="Times New Roman" w:cs="Arial"/>
          <w:color w:val="000000"/>
          <w:lang w:val="en-US"/>
        </w:rPr>
        <w:t xml:space="preserve"> </w:t>
      </w:r>
      <w:r w:rsidRPr="002F027A">
        <w:rPr>
          <w:rFonts w:eastAsia="Times New Roman" w:cs="Arial"/>
          <w:color w:val="000000"/>
          <w:lang w:eastAsia="bg-BG"/>
        </w:rPr>
        <w:t xml:space="preserve">между сертралин и плацебо по метода на най-малките квадрати (11,666 милисекунди), е по-голяма от предварително определения праг от 10 милисекунди на времевия интервал 4-и час след прием на дозата. Анализът на съотношението „експозиция-отговор“ показва леко положителна връзка между </w:t>
      </w:r>
      <w:proofErr w:type="spellStart"/>
      <w:r w:rsidRPr="002F027A">
        <w:rPr>
          <w:rFonts w:eastAsia="Times New Roman" w:cs="Arial"/>
          <w:color w:val="000000"/>
          <w:lang w:val="en-US"/>
        </w:rPr>
        <w:t>QTcF</w:t>
      </w:r>
      <w:proofErr w:type="spellEnd"/>
      <w:r w:rsidRPr="002F027A">
        <w:rPr>
          <w:rFonts w:eastAsia="Times New Roman" w:cs="Arial"/>
          <w:color w:val="000000"/>
          <w:lang w:val="en-US"/>
        </w:rPr>
        <w:t xml:space="preserve"> </w:t>
      </w:r>
      <w:r w:rsidRPr="002F027A">
        <w:rPr>
          <w:rFonts w:eastAsia="Times New Roman" w:cs="Arial"/>
          <w:color w:val="000000"/>
          <w:lang w:eastAsia="bg-BG"/>
        </w:rPr>
        <w:t>и плазмените концентрации на сертралин [0,036 милисекунди/(</w:t>
      </w:r>
      <w:r w:rsidRPr="002F027A">
        <w:rPr>
          <w:rFonts w:eastAsia="Times New Roman" w:cs="Arial"/>
          <w:color w:val="000000"/>
          <w:lang w:val="en-US"/>
        </w:rPr>
        <w:t>ng</w:t>
      </w:r>
      <w:r w:rsidRPr="002F027A">
        <w:rPr>
          <w:rFonts w:eastAsia="Times New Roman" w:cs="Arial"/>
          <w:color w:val="000000"/>
          <w:lang w:eastAsia="bg-BG"/>
        </w:rPr>
        <w:t>/</w:t>
      </w:r>
      <w:r w:rsidRPr="002F027A">
        <w:rPr>
          <w:rFonts w:eastAsia="Times New Roman" w:cs="Arial"/>
          <w:color w:val="000000"/>
          <w:lang w:val="en-US"/>
        </w:rPr>
        <w:t>mL</w:t>
      </w:r>
      <w:r w:rsidRPr="002F027A">
        <w:rPr>
          <w:rFonts w:eastAsia="Times New Roman" w:cs="Arial"/>
          <w:color w:val="000000"/>
          <w:lang w:eastAsia="bg-BG"/>
        </w:rPr>
        <w:t xml:space="preserve">); р&lt;0,0001]. Въз основа на модела „експозиция-отговор“, прагът за клинично значимо удължаване на </w:t>
      </w:r>
      <w:proofErr w:type="spellStart"/>
      <w:r w:rsidRPr="002F027A">
        <w:rPr>
          <w:rFonts w:eastAsia="Times New Roman" w:cs="Arial"/>
          <w:color w:val="000000"/>
          <w:lang w:val="en-US"/>
        </w:rPr>
        <w:t>QTcF</w:t>
      </w:r>
      <w:proofErr w:type="spellEnd"/>
      <w:r w:rsidRPr="002F027A">
        <w:rPr>
          <w:rFonts w:eastAsia="Times New Roman" w:cs="Arial"/>
          <w:color w:val="000000"/>
          <w:lang w:val="en-US"/>
        </w:rPr>
        <w:t xml:space="preserve"> </w:t>
      </w:r>
      <w:r w:rsidRPr="002F027A">
        <w:rPr>
          <w:rFonts w:eastAsia="Times New Roman" w:cs="Arial"/>
          <w:color w:val="000000"/>
          <w:lang w:eastAsia="bg-BG"/>
        </w:rPr>
        <w:t>(т.е. прогнозираният 90% доверителен интервал да превишава 10 милисекунди) е поне 2,6 пъти по-висок от средната С</w:t>
      </w:r>
      <w:r w:rsidRPr="002F027A">
        <w:rPr>
          <w:rFonts w:eastAsia="Times New Roman" w:cs="Arial"/>
          <w:color w:val="000000"/>
          <w:vertAlign w:val="subscript"/>
          <w:lang w:val="en-US"/>
        </w:rPr>
        <w:t>max</w:t>
      </w:r>
      <w:r w:rsidRPr="002F027A">
        <w:rPr>
          <w:rFonts w:eastAsia="Times New Roman" w:cs="Arial"/>
          <w:color w:val="000000"/>
          <w:lang w:eastAsia="bg-BG"/>
        </w:rPr>
        <w:t xml:space="preserve"> (86 </w:t>
      </w:r>
      <w:r w:rsidRPr="002F027A">
        <w:rPr>
          <w:rFonts w:eastAsia="Times New Roman" w:cs="Arial"/>
          <w:color w:val="000000"/>
          <w:lang w:val="en-US"/>
        </w:rPr>
        <w:t xml:space="preserve">ng/mL) </w:t>
      </w:r>
      <w:r w:rsidRPr="002F027A">
        <w:rPr>
          <w:rFonts w:eastAsia="Times New Roman" w:cs="Arial"/>
          <w:color w:val="000000"/>
          <w:lang w:eastAsia="bg-BG"/>
        </w:rPr>
        <w:t xml:space="preserve">след приложение на най-високата препоръчителна доза сертралин (200 </w:t>
      </w:r>
      <w:r w:rsidRPr="002F027A">
        <w:rPr>
          <w:rFonts w:eastAsia="Times New Roman" w:cs="Arial"/>
          <w:color w:val="000000"/>
          <w:lang w:val="en-US"/>
        </w:rPr>
        <w:t>mg</w:t>
      </w:r>
      <w:r w:rsidRPr="002F027A">
        <w:rPr>
          <w:rFonts w:eastAsia="Times New Roman" w:cs="Arial"/>
          <w:color w:val="000000"/>
          <w:lang w:eastAsia="bg-BG"/>
        </w:rPr>
        <w:t>/ден) (вж. точки 4.4,4.5,4.8 и 4.9).</w:t>
      </w:r>
    </w:p>
    <w:p w14:paraId="2AD013FF" w14:textId="77777777" w:rsidR="002F027A" w:rsidRPr="002F027A" w:rsidRDefault="002F027A" w:rsidP="002F027A">
      <w:pPr>
        <w:spacing w:line="240" w:lineRule="auto"/>
        <w:rPr>
          <w:rFonts w:eastAsia="Times New Roman" w:cs="Arial"/>
          <w:color w:val="000000"/>
          <w:u w:val="single"/>
          <w:lang w:eastAsia="bg-BG"/>
        </w:rPr>
      </w:pPr>
    </w:p>
    <w:p w14:paraId="22DE1E6B" w14:textId="06028C61" w:rsidR="002F027A" w:rsidRPr="002F027A" w:rsidRDefault="002F027A" w:rsidP="002F027A">
      <w:pPr>
        <w:spacing w:line="240" w:lineRule="auto"/>
        <w:rPr>
          <w:rFonts w:eastAsia="Times New Roman" w:cs="Arial"/>
          <w:sz w:val="32"/>
          <w:szCs w:val="32"/>
          <w:lang w:eastAsia="bg-BG"/>
        </w:rPr>
      </w:pPr>
      <w:r w:rsidRPr="002F027A">
        <w:rPr>
          <w:rFonts w:eastAsia="Times New Roman" w:cs="Arial"/>
          <w:color w:val="000000"/>
          <w:u w:val="single"/>
          <w:lang w:eastAsia="bg-BG"/>
        </w:rPr>
        <w:t>Педиатрична популация</w:t>
      </w:r>
    </w:p>
    <w:p w14:paraId="3E41C411" w14:textId="77777777" w:rsidR="002F027A" w:rsidRPr="002F027A" w:rsidRDefault="002F027A" w:rsidP="002F027A">
      <w:pPr>
        <w:spacing w:line="240" w:lineRule="auto"/>
        <w:rPr>
          <w:rFonts w:eastAsia="Times New Roman" w:cs="Arial"/>
          <w:sz w:val="32"/>
          <w:szCs w:val="32"/>
          <w:lang w:eastAsia="bg-BG"/>
        </w:rPr>
      </w:pPr>
      <w:r w:rsidRPr="002F027A">
        <w:rPr>
          <w:rFonts w:eastAsia="Times New Roman" w:cs="Arial"/>
          <w:i/>
          <w:iCs/>
          <w:color w:val="000000"/>
          <w:lang w:eastAsia="bg-BG"/>
        </w:rPr>
        <w:t>Педиатрични пациенти с ОКР</w:t>
      </w:r>
    </w:p>
    <w:p w14:paraId="53566081" w14:textId="3BBF03B0" w:rsidR="002F027A" w:rsidRPr="002F027A" w:rsidRDefault="002F027A" w:rsidP="002F027A">
      <w:pPr>
        <w:spacing w:line="240" w:lineRule="auto"/>
        <w:rPr>
          <w:rFonts w:eastAsia="Times New Roman" w:cs="Arial"/>
          <w:sz w:val="32"/>
          <w:szCs w:val="32"/>
          <w:lang w:eastAsia="bg-BG"/>
        </w:rPr>
      </w:pPr>
      <w:r w:rsidRPr="002F027A">
        <w:rPr>
          <w:rFonts w:eastAsia="Times New Roman" w:cs="Arial"/>
          <w:color w:val="000000"/>
          <w:lang w:eastAsia="bg-BG"/>
        </w:rPr>
        <w:t xml:space="preserve">Безопасността и ефикасността на сертралин (50-200 </w:t>
      </w:r>
      <w:r w:rsidRPr="002F027A">
        <w:rPr>
          <w:rFonts w:eastAsia="Times New Roman" w:cs="Arial"/>
          <w:color w:val="000000"/>
          <w:lang w:val="en-US"/>
        </w:rPr>
        <w:t>mg</w:t>
      </w:r>
      <w:r w:rsidRPr="002F027A">
        <w:rPr>
          <w:rFonts w:eastAsia="Times New Roman" w:cs="Arial"/>
          <w:color w:val="000000"/>
          <w:lang w:eastAsia="bg-BG"/>
        </w:rPr>
        <w:t xml:space="preserve">/ден) са изследвани при лечение на амбулаторни пациенти-деца (6-12-годишни) и юноши (13-17-годишни) без депресия, с обсесивно-компулсивно разстройство (ОКР). След едноседмично единично-сляпо плацебо въведение, пациентите са рандомизирани на дванайсетседмично лечение с гъвкав дозов режим със сертралин или плацебо. Децата (6-12-годишни) са започнали с първоначална доза от 25 </w:t>
      </w:r>
      <w:r w:rsidRPr="002F027A">
        <w:rPr>
          <w:rFonts w:eastAsia="Times New Roman" w:cs="Arial"/>
          <w:color w:val="000000"/>
          <w:lang w:val="en-US"/>
        </w:rPr>
        <w:t xml:space="preserve">mg. </w:t>
      </w:r>
      <w:r w:rsidRPr="002F027A">
        <w:rPr>
          <w:rFonts w:eastAsia="Times New Roman" w:cs="Arial"/>
          <w:color w:val="000000"/>
          <w:lang w:eastAsia="bg-BG"/>
        </w:rPr>
        <w:t xml:space="preserve">Пациентите, рандомизирани на сертралин, са показали значимо по-голямо подобрение от рандомизираннте на плацебо по скалата </w:t>
      </w:r>
      <w:r w:rsidRPr="002F027A">
        <w:rPr>
          <w:rFonts w:eastAsia="Times New Roman" w:cs="Arial"/>
          <w:color w:val="000000"/>
          <w:lang w:val="en-US"/>
        </w:rPr>
        <w:t xml:space="preserve">Children's Yale-Brown Obsessive Compulsive Scale /CY- BOCS/ (p = 0,005), </w:t>
      </w:r>
      <w:r w:rsidRPr="002F027A">
        <w:rPr>
          <w:rFonts w:eastAsia="Times New Roman" w:cs="Arial"/>
          <w:color w:val="000000"/>
          <w:lang w:eastAsia="bg-BG"/>
        </w:rPr>
        <w:t xml:space="preserve">скалата </w:t>
      </w:r>
      <w:r w:rsidRPr="002F027A">
        <w:rPr>
          <w:rFonts w:eastAsia="Times New Roman" w:cs="Arial"/>
          <w:color w:val="000000"/>
          <w:lang w:val="en-US"/>
        </w:rPr>
        <w:t xml:space="preserve">NIMH Global Obsessive Compulsive Scale (p = 0,019) </w:t>
      </w:r>
      <w:r w:rsidRPr="002F027A">
        <w:rPr>
          <w:rFonts w:eastAsia="Times New Roman" w:cs="Arial"/>
          <w:color w:val="000000"/>
          <w:lang w:eastAsia="bg-BG"/>
        </w:rPr>
        <w:t>и</w:t>
      </w:r>
      <w:r w:rsidRPr="002F027A">
        <w:rPr>
          <w:rFonts w:eastAsia="Times New Roman" w:cs="Arial"/>
          <w:color w:val="000000"/>
          <w:lang w:val="en-US"/>
        </w:rPr>
        <w:t xml:space="preserve"> </w:t>
      </w:r>
      <w:r w:rsidRPr="002F027A">
        <w:rPr>
          <w:rFonts w:eastAsia="Times New Roman" w:cs="Arial"/>
          <w:color w:val="000000"/>
          <w:lang w:eastAsia="bg-BG"/>
        </w:rPr>
        <w:t xml:space="preserve">скалите </w:t>
      </w:r>
      <w:r w:rsidRPr="002F027A">
        <w:rPr>
          <w:rFonts w:eastAsia="Times New Roman" w:cs="Arial"/>
          <w:color w:val="000000"/>
          <w:lang w:val="en-US"/>
        </w:rPr>
        <w:t xml:space="preserve">CGI (Clinical Global Impressions) Improvement scales (p = 0,002). </w:t>
      </w:r>
      <w:r w:rsidRPr="002F027A">
        <w:rPr>
          <w:rFonts w:eastAsia="Times New Roman" w:cs="Arial"/>
          <w:color w:val="000000"/>
          <w:lang w:eastAsia="bg-BG"/>
        </w:rPr>
        <w:t xml:space="preserve">Освен това тенденция към по- голямо подобряване в групата на сертралин спрямо групата на плацебо е наблюдавана също и по </w:t>
      </w:r>
      <w:proofErr w:type="spellStart"/>
      <w:r w:rsidRPr="002F027A">
        <w:rPr>
          <w:rFonts w:eastAsia="Times New Roman" w:cs="Arial"/>
          <w:color w:val="000000"/>
          <w:lang w:val="en-US"/>
        </w:rPr>
        <w:t>CGISeverity</w:t>
      </w:r>
      <w:proofErr w:type="spellEnd"/>
      <w:r w:rsidRPr="002F027A">
        <w:rPr>
          <w:rFonts w:eastAsia="Times New Roman" w:cs="Arial"/>
          <w:color w:val="000000"/>
          <w:lang w:val="en-US"/>
        </w:rPr>
        <w:t xml:space="preserve"> scale </w:t>
      </w:r>
      <w:r w:rsidRPr="002F027A">
        <w:rPr>
          <w:rFonts w:eastAsia="Times New Roman" w:cs="Arial"/>
          <w:color w:val="000000"/>
          <w:lang w:eastAsia="bg-BG"/>
        </w:rPr>
        <w:t xml:space="preserve">(р = 0,089). По </w:t>
      </w:r>
      <w:r w:rsidRPr="002F027A">
        <w:rPr>
          <w:rFonts w:eastAsia="Times New Roman" w:cs="Arial"/>
          <w:color w:val="000000"/>
          <w:lang w:val="en-US"/>
        </w:rPr>
        <w:t xml:space="preserve">CY-BOCs </w:t>
      </w:r>
      <w:r w:rsidRPr="002F027A">
        <w:rPr>
          <w:rFonts w:eastAsia="Times New Roman" w:cs="Arial"/>
          <w:color w:val="000000"/>
          <w:lang w:eastAsia="bg-BG"/>
        </w:rPr>
        <w:t>средната изходна стойност и промяната от</w:t>
      </w:r>
      <w:r w:rsidRPr="002F027A">
        <w:rPr>
          <w:rFonts w:eastAsia="Times New Roman" w:cs="Arial"/>
          <w:sz w:val="32"/>
          <w:szCs w:val="32"/>
          <w:lang w:eastAsia="bg-BG"/>
        </w:rPr>
        <w:t xml:space="preserve"> </w:t>
      </w:r>
      <w:r w:rsidRPr="002F027A">
        <w:rPr>
          <w:rFonts w:eastAsia="Times New Roman" w:cs="Arial"/>
          <w:color w:val="000000"/>
          <w:lang w:eastAsia="bg-BG"/>
        </w:rPr>
        <w:t>изходните стойности за плацебо групата са 22,25 ±6,15 и -3,4 ±0,82, съответно а за групата на</w:t>
      </w:r>
      <w:r w:rsidRPr="002F027A">
        <w:rPr>
          <w:rFonts w:eastAsia="Times New Roman" w:cs="Arial"/>
          <w:color w:val="000000"/>
          <w:lang w:eastAsia="bg-BG"/>
        </w:rPr>
        <w:t xml:space="preserve"> </w:t>
      </w:r>
      <w:r w:rsidRPr="002F027A">
        <w:rPr>
          <w:rFonts w:eastAsia="Times New Roman" w:cs="Arial"/>
          <w:color w:val="000000"/>
          <w:lang w:eastAsia="bg-BG"/>
        </w:rPr>
        <w:t xml:space="preserve">сертралин са 23,36 ±4,56 и -6.8 +0.87, съответно. Пациентите, повлияни от лечението и дефинирани като пациенти с понижение от 25% или повече по </w:t>
      </w:r>
      <w:r w:rsidRPr="002F027A">
        <w:rPr>
          <w:rFonts w:eastAsia="Times New Roman" w:cs="Arial"/>
          <w:color w:val="000000"/>
          <w:lang w:val="en-US"/>
        </w:rPr>
        <w:t xml:space="preserve">CY-BOCS </w:t>
      </w:r>
      <w:r w:rsidRPr="002F027A">
        <w:rPr>
          <w:rFonts w:eastAsia="Times New Roman" w:cs="Arial"/>
          <w:color w:val="000000"/>
          <w:lang w:eastAsia="bg-BG"/>
        </w:rPr>
        <w:t>(основния критерий за ефикасност) от изходното ниво до крайната точка, са били 53% от пациентите на сертралин спрямо 37% от пациентите на плацебо (р = 0,03).</w:t>
      </w:r>
    </w:p>
    <w:p w14:paraId="33C117B2" w14:textId="77777777" w:rsidR="002F027A" w:rsidRPr="002F027A" w:rsidRDefault="002F027A" w:rsidP="002F027A">
      <w:pPr>
        <w:spacing w:line="240" w:lineRule="auto"/>
        <w:rPr>
          <w:rFonts w:eastAsia="Times New Roman" w:cs="Arial"/>
          <w:sz w:val="32"/>
          <w:szCs w:val="32"/>
          <w:lang w:eastAsia="bg-BG"/>
        </w:rPr>
      </w:pPr>
      <w:r w:rsidRPr="002F027A">
        <w:rPr>
          <w:rFonts w:eastAsia="Times New Roman" w:cs="Arial"/>
          <w:color w:val="000000"/>
          <w:lang w:eastAsia="bg-BG"/>
        </w:rPr>
        <w:t>Липсват дългосрочни изпитвания за безопасност и ефикасност при педиатрични пациенти. Няма данни за деца под 6 години.</w:t>
      </w:r>
    </w:p>
    <w:p w14:paraId="05E10C56" w14:textId="11B6D18C" w:rsidR="002F027A" w:rsidRPr="002F027A" w:rsidRDefault="002F027A" w:rsidP="002F027A"/>
    <w:p w14:paraId="436D48F6" w14:textId="08A60BCD" w:rsidR="00BB22B4" w:rsidRDefault="002C50EE" w:rsidP="00471F10">
      <w:pPr>
        <w:pStyle w:val="Heading2"/>
      </w:pPr>
      <w:r>
        <w:t>5.2. Фармакокинетични свойства</w:t>
      </w:r>
    </w:p>
    <w:p w14:paraId="651F6181" w14:textId="7FEC8E3E" w:rsidR="002F027A" w:rsidRDefault="002F027A" w:rsidP="002F027A"/>
    <w:p w14:paraId="799026DD" w14:textId="00840603" w:rsidR="002F027A" w:rsidRPr="002F027A" w:rsidRDefault="002F027A" w:rsidP="002F027A">
      <w:pPr>
        <w:pStyle w:val="Heading3"/>
        <w:rPr>
          <w:rFonts w:eastAsia="Times New Roman"/>
          <w:sz w:val="32"/>
          <w:szCs w:val="32"/>
          <w:u w:val="single"/>
          <w:lang w:eastAsia="bg-BG"/>
        </w:rPr>
      </w:pPr>
      <w:r w:rsidRPr="002F027A">
        <w:rPr>
          <w:rFonts w:eastAsia="Times New Roman"/>
          <w:u w:val="single"/>
          <w:lang w:eastAsia="bg-BG"/>
        </w:rPr>
        <w:lastRenderedPageBreak/>
        <w:t>Абсорб</w:t>
      </w:r>
      <w:r w:rsidRPr="002F027A">
        <w:rPr>
          <w:rFonts w:eastAsia="Times New Roman"/>
          <w:u w:val="single"/>
          <w:lang w:eastAsia="bg-BG"/>
        </w:rPr>
        <w:t>ц</w:t>
      </w:r>
      <w:r w:rsidRPr="002F027A">
        <w:rPr>
          <w:rFonts w:eastAsia="Times New Roman"/>
          <w:u w:val="single"/>
          <w:lang w:eastAsia="bg-BG"/>
        </w:rPr>
        <w:t>ия</w:t>
      </w:r>
    </w:p>
    <w:p w14:paraId="2A2FF269" w14:textId="77777777" w:rsidR="002F027A" w:rsidRPr="002F027A" w:rsidRDefault="002F027A" w:rsidP="002F027A">
      <w:pPr>
        <w:spacing w:line="240" w:lineRule="auto"/>
        <w:rPr>
          <w:rFonts w:eastAsia="Times New Roman" w:cs="Arial"/>
          <w:sz w:val="32"/>
          <w:szCs w:val="32"/>
          <w:lang w:eastAsia="bg-BG"/>
        </w:rPr>
      </w:pPr>
      <w:r w:rsidRPr="002F027A">
        <w:rPr>
          <w:rFonts w:eastAsia="Times New Roman" w:cs="Arial"/>
          <w:color w:val="000000"/>
          <w:lang w:eastAsia="bg-BG"/>
        </w:rPr>
        <w:t xml:space="preserve">При хора след перорално еднократно дневно приложение на 50-200 </w:t>
      </w:r>
      <w:r w:rsidRPr="002F027A">
        <w:rPr>
          <w:rFonts w:eastAsia="Times New Roman" w:cs="Arial"/>
          <w:color w:val="000000"/>
          <w:lang w:val="en-US"/>
        </w:rPr>
        <w:t xml:space="preserve">mg </w:t>
      </w:r>
      <w:r w:rsidRPr="002F027A">
        <w:rPr>
          <w:rFonts w:eastAsia="Times New Roman" w:cs="Arial"/>
          <w:color w:val="000000"/>
          <w:lang w:eastAsia="bg-BG"/>
        </w:rPr>
        <w:t>в продължение на 14 дни, максимални плазмени концентрации се достигат между 4,5-8,4 часа след приема. Храната не променя значимо бионаличностга на таблетките сертралин.</w:t>
      </w:r>
    </w:p>
    <w:p w14:paraId="3397444E" w14:textId="77777777" w:rsidR="002F027A" w:rsidRPr="002F027A" w:rsidRDefault="002F027A" w:rsidP="002F027A">
      <w:pPr>
        <w:spacing w:line="240" w:lineRule="auto"/>
        <w:rPr>
          <w:rFonts w:eastAsia="Times New Roman" w:cs="Arial"/>
          <w:color w:val="000000"/>
          <w:u w:val="single"/>
          <w:lang w:eastAsia="bg-BG"/>
        </w:rPr>
      </w:pPr>
    </w:p>
    <w:p w14:paraId="0C735F05" w14:textId="0BA427CB" w:rsidR="002F027A" w:rsidRPr="002F027A" w:rsidRDefault="002F027A" w:rsidP="002F027A">
      <w:pPr>
        <w:pStyle w:val="Heading3"/>
        <w:rPr>
          <w:rFonts w:eastAsia="Times New Roman"/>
          <w:sz w:val="32"/>
          <w:szCs w:val="32"/>
          <w:u w:val="single"/>
          <w:lang w:eastAsia="bg-BG"/>
        </w:rPr>
      </w:pPr>
      <w:r w:rsidRPr="002F027A">
        <w:rPr>
          <w:rFonts w:eastAsia="Times New Roman"/>
          <w:u w:val="single"/>
          <w:lang w:eastAsia="bg-BG"/>
        </w:rPr>
        <w:t>Разпределение</w:t>
      </w:r>
    </w:p>
    <w:p w14:paraId="4110F11F" w14:textId="77777777" w:rsidR="002F027A" w:rsidRPr="002F027A" w:rsidRDefault="002F027A" w:rsidP="002F027A">
      <w:pPr>
        <w:spacing w:line="240" w:lineRule="auto"/>
        <w:rPr>
          <w:rFonts w:eastAsia="Times New Roman" w:cs="Arial"/>
          <w:sz w:val="32"/>
          <w:szCs w:val="32"/>
          <w:lang w:eastAsia="bg-BG"/>
        </w:rPr>
      </w:pPr>
      <w:r w:rsidRPr="002F027A">
        <w:rPr>
          <w:rFonts w:eastAsia="Times New Roman" w:cs="Arial"/>
          <w:color w:val="000000"/>
          <w:lang w:eastAsia="bg-BG"/>
        </w:rPr>
        <w:t>Приблизително 98% от циркулиращото в системното кръвообращение лекарство е свързано с плазмените протеини.</w:t>
      </w:r>
    </w:p>
    <w:p w14:paraId="7F363B43" w14:textId="77777777" w:rsidR="002F027A" w:rsidRPr="002F027A" w:rsidRDefault="002F027A" w:rsidP="002F027A">
      <w:pPr>
        <w:spacing w:line="240" w:lineRule="auto"/>
        <w:rPr>
          <w:rFonts w:eastAsia="Times New Roman" w:cs="Arial"/>
          <w:color w:val="000000"/>
          <w:u w:val="single"/>
          <w:lang w:eastAsia="bg-BG"/>
        </w:rPr>
      </w:pPr>
    </w:p>
    <w:p w14:paraId="41FF15D7" w14:textId="4D242898" w:rsidR="002F027A" w:rsidRPr="002F027A" w:rsidRDefault="002F027A" w:rsidP="002F027A">
      <w:pPr>
        <w:pStyle w:val="Heading3"/>
        <w:rPr>
          <w:rFonts w:eastAsia="Times New Roman"/>
          <w:sz w:val="32"/>
          <w:szCs w:val="32"/>
          <w:u w:val="single"/>
          <w:lang w:eastAsia="bg-BG"/>
        </w:rPr>
      </w:pPr>
      <w:r w:rsidRPr="002F027A">
        <w:rPr>
          <w:rFonts w:eastAsia="Times New Roman"/>
          <w:u w:val="single"/>
          <w:lang w:eastAsia="bg-BG"/>
        </w:rPr>
        <w:t>Биотрансформация</w:t>
      </w:r>
    </w:p>
    <w:p w14:paraId="71F5C24D" w14:textId="77777777" w:rsidR="002F027A" w:rsidRPr="002F027A" w:rsidRDefault="002F027A" w:rsidP="002F027A">
      <w:pPr>
        <w:spacing w:line="240" w:lineRule="auto"/>
        <w:rPr>
          <w:rFonts w:eastAsia="Times New Roman" w:cs="Arial"/>
          <w:sz w:val="32"/>
          <w:szCs w:val="32"/>
          <w:lang w:eastAsia="bg-BG"/>
        </w:rPr>
      </w:pPr>
      <w:r w:rsidRPr="002F027A">
        <w:rPr>
          <w:rFonts w:eastAsia="Times New Roman" w:cs="Arial"/>
          <w:color w:val="000000"/>
          <w:lang w:eastAsia="bg-BG"/>
        </w:rPr>
        <w:t xml:space="preserve">Сертралин претърпява значителен метаболизъм при първото си преминаване през черния дроб. Въз основа на клиничните данни и данните от </w:t>
      </w:r>
      <w:r w:rsidRPr="002F027A">
        <w:rPr>
          <w:rFonts w:eastAsia="Times New Roman" w:cs="Arial"/>
          <w:i/>
          <w:iCs/>
          <w:color w:val="000000"/>
          <w:lang w:val="en-US"/>
        </w:rPr>
        <w:t>in vitro</w:t>
      </w:r>
      <w:r w:rsidRPr="002F027A">
        <w:rPr>
          <w:rFonts w:eastAsia="Times New Roman" w:cs="Arial"/>
          <w:color w:val="000000"/>
          <w:lang w:val="en-US"/>
        </w:rPr>
        <w:t xml:space="preserve"> </w:t>
      </w:r>
      <w:r w:rsidRPr="002F027A">
        <w:rPr>
          <w:rFonts w:eastAsia="Times New Roman" w:cs="Arial"/>
          <w:color w:val="000000"/>
          <w:lang w:eastAsia="bg-BG"/>
        </w:rPr>
        <w:t xml:space="preserve">проучванията може да се направи заключение, че сертралин се метаболизира по множество пътища, включващи </w:t>
      </w:r>
      <w:r w:rsidRPr="002F027A">
        <w:rPr>
          <w:rFonts w:eastAsia="Times New Roman" w:cs="Arial"/>
          <w:color w:val="000000"/>
          <w:lang w:val="en-US"/>
        </w:rPr>
        <w:t xml:space="preserve">CYP3A4, CYP2C19 </w:t>
      </w:r>
      <w:r w:rsidRPr="002F027A">
        <w:rPr>
          <w:rFonts w:eastAsia="Times New Roman" w:cs="Arial"/>
          <w:color w:val="000000"/>
          <w:lang w:eastAsia="bg-BG"/>
        </w:rPr>
        <w:t xml:space="preserve">(вж. т. 4.5) и </w:t>
      </w:r>
      <w:r w:rsidRPr="002F027A">
        <w:rPr>
          <w:rFonts w:eastAsia="Times New Roman" w:cs="Arial"/>
          <w:color w:val="000000"/>
          <w:lang w:val="en-US"/>
        </w:rPr>
        <w:t xml:space="preserve">CYP2B6. </w:t>
      </w:r>
      <w:r w:rsidRPr="002F027A">
        <w:rPr>
          <w:rFonts w:eastAsia="Times New Roman" w:cs="Arial"/>
          <w:color w:val="000000"/>
          <w:lang w:eastAsia="bg-BG"/>
        </w:rPr>
        <w:t xml:space="preserve">Сертралин и неговият основен метаболит, десметилсертралин, са субстрати също на Р-гликопротеина в </w:t>
      </w:r>
      <w:r w:rsidRPr="002F027A">
        <w:rPr>
          <w:rFonts w:eastAsia="Times New Roman" w:cs="Arial"/>
          <w:i/>
          <w:iCs/>
          <w:color w:val="000000"/>
          <w:lang w:val="en-US"/>
        </w:rPr>
        <w:t>in vitro</w:t>
      </w:r>
      <w:r w:rsidRPr="002F027A">
        <w:rPr>
          <w:rFonts w:eastAsia="Times New Roman" w:cs="Arial"/>
          <w:color w:val="000000"/>
          <w:lang w:val="en-US"/>
        </w:rPr>
        <w:t xml:space="preserve"> </w:t>
      </w:r>
      <w:r w:rsidRPr="002F027A">
        <w:rPr>
          <w:rFonts w:eastAsia="Times New Roman" w:cs="Arial"/>
          <w:color w:val="000000"/>
          <w:lang w:eastAsia="bg-BG"/>
        </w:rPr>
        <w:t>условия.</w:t>
      </w:r>
    </w:p>
    <w:p w14:paraId="4DB26028" w14:textId="77777777" w:rsidR="002F027A" w:rsidRPr="002F027A" w:rsidRDefault="002F027A" w:rsidP="002F027A">
      <w:pPr>
        <w:spacing w:line="240" w:lineRule="auto"/>
        <w:rPr>
          <w:rFonts w:eastAsia="Times New Roman" w:cs="Arial"/>
          <w:color w:val="000000"/>
          <w:u w:val="single"/>
          <w:lang w:eastAsia="bg-BG"/>
        </w:rPr>
      </w:pPr>
    </w:p>
    <w:p w14:paraId="7C2C0512" w14:textId="5E8C76B1" w:rsidR="002F027A" w:rsidRPr="002F027A" w:rsidRDefault="002F027A" w:rsidP="002F027A">
      <w:pPr>
        <w:pStyle w:val="Heading3"/>
        <w:rPr>
          <w:rFonts w:eastAsia="Times New Roman"/>
          <w:sz w:val="32"/>
          <w:szCs w:val="32"/>
          <w:u w:val="single"/>
          <w:lang w:eastAsia="bg-BG"/>
        </w:rPr>
      </w:pPr>
      <w:r w:rsidRPr="002F027A">
        <w:rPr>
          <w:rFonts w:eastAsia="Times New Roman"/>
          <w:u w:val="single"/>
          <w:lang w:eastAsia="bg-BG"/>
        </w:rPr>
        <w:t>Елиминиране</w:t>
      </w:r>
    </w:p>
    <w:p w14:paraId="3FCB828B" w14:textId="77777777" w:rsidR="002F027A" w:rsidRPr="002F027A" w:rsidRDefault="002F027A" w:rsidP="002F027A">
      <w:pPr>
        <w:spacing w:line="240" w:lineRule="auto"/>
        <w:rPr>
          <w:rFonts w:eastAsia="Times New Roman" w:cs="Arial"/>
          <w:sz w:val="32"/>
          <w:szCs w:val="32"/>
          <w:lang w:eastAsia="bg-BG"/>
        </w:rPr>
      </w:pPr>
      <w:r w:rsidRPr="002F027A">
        <w:rPr>
          <w:rFonts w:eastAsia="Times New Roman" w:cs="Arial"/>
          <w:color w:val="000000"/>
          <w:lang w:eastAsia="bg-BG"/>
        </w:rPr>
        <w:t xml:space="preserve">Средният полуживот на сертралин е приблизително часа (в диапазона 22-36 часа). В съответствие с терминалния елиминационен полуживот, за да се достигнат равновесни концентрации, е необходимо приблизително двукратно кумулиране, което е налице една седмица след началото при еднократно дневно приложение на лекарството. Плазменият полуживот на </w:t>
      </w:r>
      <w:r w:rsidRPr="002F027A">
        <w:rPr>
          <w:rFonts w:eastAsia="Times New Roman" w:cs="Arial"/>
          <w:color w:val="000000"/>
          <w:lang w:val="en-US"/>
        </w:rPr>
        <w:t>N</w:t>
      </w:r>
      <w:r w:rsidRPr="002F027A">
        <w:rPr>
          <w:rFonts w:eastAsia="Times New Roman" w:cs="Arial"/>
          <w:color w:val="000000"/>
          <w:lang w:eastAsia="bg-BG"/>
        </w:rPr>
        <w:t xml:space="preserve">-десметилсертралин е между 62 и </w:t>
      </w:r>
      <w:r w:rsidRPr="002F027A">
        <w:rPr>
          <w:rFonts w:eastAsia="Times New Roman" w:cs="Arial"/>
          <w:i/>
          <w:iCs/>
          <w:color w:val="000000"/>
          <w:lang w:eastAsia="bg-BG"/>
        </w:rPr>
        <w:t>104</w:t>
      </w:r>
      <w:r w:rsidRPr="002F027A">
        <w:rPr>
          <w:rFonts w:eastAsia="Times New Roman" w:cs="Arial"/>
          <w:color w:val="000000"/>
          <w:lang w:eastAsia="bg-BG"/>
        </w:rPr>
        <w:t xml:space="preserve"> ч. Сертралин и </w:t>
      </w:r>
      <w:r w:rsidRPr="002F027A">
        <w:rPr>
          <w:rFonts w:eastAsia="Times New Roman" w:cs="Arial"/>
          <w:color w:val="000000"/>
          <w:lang w:val="en-US"/>
        </w:rPr>
        <w:t>N</w:t>
      </w:r>
      <w:r w:rsidRPr="002F027A">
        <w:rPr>
          <w:rFonts w:eastAsia="Times New Roman" w:cs="Arial"/>
          <w:color w:val="000000"/>
          <w:lang w:eastAsia="bg-BG"/>
        </w:rPr>
        <w:t>-десметилсертралин се метаболизират във висока степен при хора, като получените метаболити се екскретират в еднаква степен в урината и фецеса. Едва малко количество (&lt;0,2%) непроменен сертралин се екскретира в урината.</w:t>
      </w:r>
    </w:p>
    <w:p w14:paraId="1063B581" w14:textId="77777777" w:rsidR="002F027A" w:rsidRPr="002F027A" w:rsidRDefault="002F027A" w:rsidP="002F027A">
      <w:pPr>
        <w:spacing w:line="240" w:lineRule="auto"/>
        <w:rPr>
          <w:rFonts w:eastAsia="Times New Roman" w:cs="Arial"/>
          <w:i/>
          <w:iCs/>
          <w:color w:val="000000"/>
          <w:u w:val="single"/>
          <w:lang w:eastAsia="bg-BG"/>
        </w:rPr>
      </w:pPr>
    </w:p>
    <w:p w14:paraId="7D5BE3D6" w14:textId="4F1FC209" w:rsidR="002F027A" w:rsidRPr="002F027A" w:rsidRDefault="002F027A" w:rsidP="002F027A">
      <w:pPr>
        <w:spacing w:line="240" w:lineRule="auto"/>
        <w:rPr>
          <w:rFonts w:eastAsia="Times New Roman" w:cs="Arial"/>
          <w:sz w:val="32"/>
          <w:szCs w:val="32"/>
          <w:lang w:eastAsia="bg-BG"/>
        </w:rPr>
      </w:pPr>
      <w:r w:rsidRPr="002F027A">
        <w:rPr>
          <w:rFonts w:eastAsia="Times New Roman" w:cs="Arial"/>
          <w:i/>
          <w:iCs/>
          <w:color w:val="000000"/>
          <w:u w:val="single"/>
          <w:lang w:eastAsia="bg-BG"/>
        </w:rPr>
        <w:t>Фармакокинетика при особени групи пациенти</w:t>
      </w:r>
    </w:p>
    <w:p w14:paraId="3D97779D" w14:textId="77777777" w:rsidR="002F027A" w:rsidRPr="002F027A" w:rsidRDefault="002F027A" w:rsidP="002F027A">
      <w:pPr>
        <w:spacing w:line="240" w:lineRule="auto"/>
        <w:rPr>
          <w:rFonts w:eastAsia="Times New Roman" w:cs="Arial"/>
          <w:i/>
          <w:iCs/>
          <w:color w:val="000000"/>
          <w:lang w:eastAsia="bg-BG"/>
        </w:rPr>
      </w:pPr>
    </w:p>
    <w:p w14:paraId="494084AC" w14:textId="5C36CE5C" w:rsidR="002F027A" w:rsidRPr="002F027A" w:rsidRDefault="002F027A" w:rsidP="002F027A">
      <w:pPr>
        <w:spacing w:line="240" w:lineRule="auto"/>
        <w:rPr>
          <w:rFonts w:eastAsia="Times New Roman" w:cs="Arial"/>
          <w:sz w:val="32"/>
          <w:szCs w:val="32"/>
          <w:lang w:eastAsia="bg-BG"/>
        </w:rPr>
      </w:pPr>
      <w:r w:rsidRPr="002F027A">
        <w:rPr>
          <w:rFonts w:eastAsia="Times New Roman" w:cs="Arial"/>
          <w:i/>
          <w:iCs/>
          <w:color w:val="000000"/>
          <w:lang w:eastAsia="bg-BG"/>
        </w:rPr>
        <w:t>Педиатрична популация с ОКР</w:t>
      </w:r>
    </w:p>
    <w:p w14:paraId="4B2EA51B" w14:textId="77777777" w:rsidR="002F027A" w:rsidRPr="002F027A" w:rsidRDefault="002F027A" w:rsidP="002F027A">
      <w:pPr>
        <w:spacing w:line="240" w:lineRule="auto"/>
        <w:rPr>
          <w:rFonts w:eastAsia="Times New Roman" w:cs="Arial"/>
          <w:sz w:val="32"/>
          <w:szCs w:val="32"/>
          <w:lang w:eastAsia="bg-BG"/>
        </w:rPr>
      </w:pPr>
      <w:r w:rsidRPr="002F027A">
        <w:rPr>
          <w:rFonts w:eastAsia="Times New Roman" w:cs="Arial"/>
          <w:color w:val="000000"/>
          <w:lang w:eastAsia="bg-BG"/>
        </w:rPr>
        <w:t xml:space="preserve">Фармакокинетиката на сертралин е била проучена при 29 педиатрични пациенти на възраст 6- 12 години и 32 пациенти-юноши на възраст 13-17 години. Пациентите са били титрирани постепенно до дневна доза от 200 </w:t>
      </w:r>
      <w:r w:rsidRPr="002F027A">
        <w:rPr>
          <w:rFonts w:eastAsia="Times New Roman" w:cs="Arial"/>
          <w:color w:val="000000"/>
          <w:lang w:val="en-US"/>
        </w:rPr>
        <w:t xml:space="preserve">mg </w:t>
      </w:r>
      <w:r w:rsidRPr="002F027A">
        <w:rPr>
          <w:rFonts w:eastAsia="Times New Roman" w:cs="Arial"/>
          <w:color w:val="000000"/>
          <w:lang w:eastAsia="bg-BG"/>
        </w:rPr>
        <w:t xml:space="preserve">в рамките на 32 дни или с 25 </w:t>
      </w:r>
      <w:r w:rsidRPr="002F027A">
        <w:rPr>
          <w:rFonts w:eastAsia="Times New Roman" w:cs="Arial"/>
          <w:color w:val="000000"/>
          <w:lang w:val="en-US"/>
        </w:rPr>
        <w:t xml:space="preserve">mg </w:t>
      </w:r>
      <w:r w:rsidRPr="002F027A">
        <w:rPr>
          <w:rFonts w:eastAsia="Times New Roman" w:cs="Arial"/>
          <w:color w:val="000000"/>
          <w:lang w:eastAsia="bg-BG"/>
        </w:rPr>
        <w:t xml:space="preserve">начална доза и стъпаловидно увеличение, или е 50 </w:t>
      </w:r>
      <w:r w:rsidRPr="002F027A">
        <w:rPr>
          <w:rFonts w:eastAsia="Times New Roman" w:cs="Arial"/>
          <w:color w:val="000000"/>
          <w:lang w:val="en-US"/>
        </w:rPr>
        <w:t xml:space="preserve">mg </w:t>
      </w:r>
      <w:r w:rsidRPr="002F027A">
        <w:rPr>
          <w:rFonts w:eastAsia="Times New Roman" w:cs="Arial"/>
          <w:color w:val="000000"/>
          <w:lang w:eastAsia="bg-BG"/>
        </w:rPr>
        <w:t xml:space="preserve">начална доза и стъпаловидно увеличение. Схемите от 25 </w:t>
      </w:r>
      <w:r w:rsidRPr="002F027A">
        <w:rPr>
          <w:rFonts w:eastAsia="Times New Roman" w:cs="Arial"/>
          <w:color w:val="000000"/>
          <w:lang w:val="en-US"/>
        </w:rPr>
        <w:t xml:space="preserve">mg </w:t>
      </w:r>
      <w:r w:rsidRPr="002F027A">
        <w:rPr>
          <w:rFonts w:eastAsia="Times New Roman" w:cs="Arial"/>
          <w:color w:val="000000"/>
          <w:lang w:eastAsia="bg-BG"/>
        </w:rPr>
        <w:t xml:space="preserve">и 50 </w:t>
      </w:r>
      <w:r w:rsidRPr="002F027A">
        <w:rPr>
          <w:rFonts w:eastAsia="Times New Roman" w:cs="Arial"/>
          <w:color w:val="000000"/>
          <w:lang w:val="en-US"/>
        </w:rPr>
        <w:t xml:space="preserve">mg </w:t>
      </w:r>
      <w:r w:rsidRPr="002F027A">
        <w:rPr>
          <w:rFonts w:eastAsia="Times New Roman" w:cs="Arial"/>
          <w:color w:val="000000"/>
          <w:lang w:eastAsia="bg-BG"/>
        </w:rPr>
        <w:t xml:space="preserve">са били с еднаква поносимост. В стационарно състояние за дозата от 200 </w:t>
      </w:r>
      <w:r w:rsidRPr="002F027A">
        <w:rPr>
          <w:rFonts w:eastAsia="Times New Roman" w:cs="Arial"/>
          <w:color w:val="000000"/>
          <w:lang w:val="en-US"/>
        </w:rPr>
        <w:t xml:space="preserve">mg </w:t>
      </w:r>
      <w:r w:rsidRPr="002F027A">
        <w:rPr>
          <w:rFonts w:eastAsia="Times New Roman" w:cs="Arial"/>
          <w:color w:val="000000"/>
          <w:lang w:eastAsia="bg-BG"/>
        </w:rPr>
        <w:t xml:space="preserve">плазмените нива на сертралин при групата на 6-12-годишните са били приблизително с 35% по- високи в сравнение с групата на 13-17-годишните и с 21% по-високи в сравнение с референтната група възрастни. Не е имало значими разлики между момчета и момичета по отношение на клирънса. Следователно при деца, особено с ниско телесно тегло, се препоръчва ниска начална доза и стъпки на титриране от 25 </w:t>
      </w:r>
      <w:r w:rsidRPr="002F027A">
        <w:rPr>
          <w:rFonts w:eastAsia="Times New Roman" w:cs="Arial"/>
          <w:color w:val="000000"/>
          <w:lang w:val="en-US"/>
        </w:rPr>
        <w:t>mg.</w:t>
      </w:r>
    </w:p>
    <w:p w14:paraId="5780E8DB" w14:textId="77777777" w:rsidR="002F027A" w:rsidRPr="002F027A" w:rsidRDefault="002F027A" w:rsidP="002F027A">
      <w:pPr>
        <w:spacing w:line="240" w:lineRule="auto"/>
        <w:rPr>
          <w:rFonts w:eastAsia="Times New Roman" w:cs="Arial"/>
          <w:sz w:val="32"/>
          <w:szCs w:val="32"/>
          <w:lang w:eastAsia="bg-BG"/>
        </w:rPr>
      </w:pPr>
      <w:r w:rsidRPr="002F027A">
        <w:rPr>
          <w:rFonts w:eastAsia="Times New Roman" w:cs="Arial"/>
          <w:color w:val="000000"/>
          <w:lang w:eastAsia="bg-BG"/>
        </w:rPr>
        <w:t>Дозата при юноши може да бъде както при възрастни.</w:t>
      </w:r>
    </w:p>
    <w:p w14:paraId="54391FE2" w14:textId="77777777" w:rsidR="002F027A" w:rsidRPr="002F027A" w:rsidRDefault="002F027A" w:rsidP="002F027A">
      <w:pPr>
        <w:spacing w:line="240" w:lineRule="auto"/>
        <w:rPr>
          <w:rFonts w:eastAsia="Times New Roman" w:cs="Arial"/>
          <w:i/>
          <w:iCs/>
          <w:color w:val="000000"/>
          <w:lang w:eastAsia="bg-BG"/>
        </w:rPr>
      </w:pPr>
    </w:p>
    <w:p w14:paraId="0771F08E" w14:textId="76D493DB" w:rsidR="002F027A" w:rsidRPr="002F027A" w:rsidRDefault="002F027A" w:rsidP="002F027A">
      <w:pPr>
        <w:spacing w:line="240" w:lineRule="auto"/>
        <w:rPr>
          <w:rFonts w:eastAsia="Times New Roman" w:cs="Arial"/>
          <w:sz w:val="32"/>
          <w:szCs w:val="32"/>
          <w:lang w:eastAsia="bg-BG"/>
        </w:rPr>
      </w:pPr>
      <w:r w:rsidRPr="002F027A">
        <w:rPr>
          <w:rFonts w:eastAsia="Times New Roman" w:cs="Arial"/>
          <w:i/>
          <w:iCs/>
          <w:color w:val="000000"/>
          <w:lang w:eastAsia="bg-BG"/>
        </w:rPr>
        <w:t>Юноши и лица в старческа възраст</w:t>
      </w:r>
    </w:p>
    <w:p w14:paraId="392626A4" w14:textId="77777777" w:rsidR="002F027A" w:rsidRPr="002F027A" w:rsidRDefault="002F027A" w:rsidP="002F027A">
      <w:pPr>
        <w:spacing w:line="240" w:lineRule="auto"/>
        <w:rPr>
          <w:rFonts w:eastAsia="Times New Roman" w:cs="Arial"/>
          <w:sz w:val="32"/>
          <w:szCs w:val="32"/>
          <w:lang w:eastAsia="bg-BG"/>
        </w:rPr>
      </w:pPr>
      <w:r w:rsidRPr="002F027A">
        <w:rPr>
          <w:rFonts w:eastAsia="Times New Roman" w:cs="Arial"/>
          <w:color w:val="000000"/>
          <w:lang w:eastAsia="bg-BG"/>
        </w:rPr>
        <w:t>Фармакокинетичният профил при юноши и лица в старческа възраст не се различава значимо от този при възрастни между 18 и 65 години.</w:t>
      </w:r>
    </w:p>
    <w:p w14:paraId="5AD8A126" w14:textId="77777777" w:rsidR="002F027A" w:rsidRPr="002F027A" w:rsidRDefault="002F027A" w:rsidP="002F027A">
      <w:pPr>
        <w:spacing w:line="240" w:lineRule="auto"/>
        <w:rPr>
          <w:rFonts w:eastAsia="Times New Roman" w:cs="Arial"/>
          <w:i/>
          <w:iCs/>
          <w:color w:val="000000"/>
          <w:lang w:eastAsia="bg-BG"/>
        </w:rPr>
      </w:pPr>
    </w:p>
    <w:p w14:paraId="07A53E1E" w14:textId="2E890D86" w:rsidR="002F027A" w:rsidRPr="002F027A" w:rsidRDefault="002F027A" w:rsidP="002F027A">
      <w:pPr>
        <w:spacing w:line="240" w:lineRule="auto"/>
        <w:rPr>
          <w:rFonts w:eastAsia="Times New Roman" w:cs="Arial"/>
          <w:sz w:val="32"/>
          <w:szCs w:val="32"/>
          <w:lang w:eastAsia="bg-BG"/>
        </w:rPr>
      </w:pPr>
      <w:r w:rsidRPr="002F027A">
        <w:rPr>
          <w:rFonts w:eastAsia="Times New Roman" w:cs="Arial"/>
          <w:i/>
          <w:iCs/>
          <w:color w:val="000000"/>
          <w:lang w:eastAsia="bg-BG"/>
        </w:rPr>
        <w:t>Чернодробно увреждане</w:t>
      </w:r>
    </w:p>
    <w:p w14:paraId="6AB8B418" w14:textId="77777777" w:rsidR="002F027A" w:rsidRPr="002F027A" w:rsidRDefault="002F027A" w:rsidP="002F027A">
      <w:pPr>
        <w:spacing w:line="240" w:lineRule="auto"/>
        <w:rPr>
          <w:rFonts w:eastAsia="Times New Roman" w:cs="Arial"/>
          <w:sz w:val="32"/>
          <w:szCs w:val="32"/>
          <w:lang w:eastAsia="bg-BG"/>
        </w:rPr>
      </w:pPr>
      <w:r w:rsidRPr="002F027A">
        <w:rPr>
          <w:rFonts w:eastAsia="Times New Roman" w:cs="Arial"/>
          <w:color w:val="000000"/>
          <w:lang w:eastAsia="bg-BG"/>
        </w:rPr>
        <w:t xml:space="preserve">При пациенти с чернодробно увреждане полуживотът на сертралин е удължен и </w:t>
      </w:r>
      <w:r w:rsidRPr="002F027A">
        <w:rPr>
          <w:rFonts w:eastAsia="Times New Roman" w:cs="Arial"/>
          <w:color w:val="000000"/>
          <w:lang w:val="en-US"/>
        </w:rPr>
        <w:t xml:space="preserve">AUC </w:t>
      </w:r>
      <w:r w:rsidRPr="002F027A">
        <w:rPr>
          <w:rFonts w:eastAsia="Times New Roman" w:cs="Arial"/>
          <w:color w:val="000000"/>
          <w:lang w:eastAsia="bg-BG"/>
        </w:rPr>
        <w:t>е увеличена три пъти (вж. точки 4.2 и 4.4).</w:t>
      </w:r>
    </w:p>
    <w:p w14:paraId="2FC9A062" w14:textId="77777777" w:rsidR="002F027A" w:rsidRPr="002F027A" w:rsidRDefault="002F027A" w:rsidP="002F027A">
      <w:pPr>
        <w:spacing w:line="240" w:lineRule="auto"/>
        <w:rPr>
          <w:rFonts w:eastAsia="Times New Roman" w:cs="Arial"/>
          <w:i/>
          <w:iCs/>
          <w:color w:val="000000"/>
          <w:lang w:eastAsia="bg-BG"/>
        </w:rPr>
      </w:pPr>
    </w:p>
    <w:p w14:paraId="4AE1F9A0" w14:textId="520BF52D" w:rsidR="002F027A" w:rsidRPr="002F027A" w:rsidRDefault="002F027A" w:rsidP="002F027A">
      <w:pPr>
        <w:spacing w:line="240" w:lineRule="auto"/>
        <w:rPr>
          <w:rFonts w:eastAsia="Times New Roman" w:cs="Arial"/>
          <w:sz w:val="32"/>
          <w:szCs w:val="32"/>
          <w:lang w:eastAsia="bg-BG"/>
        </w:rPr>
      </w:pPr>
      <w:r w:rsidRPr="002F027A">
        <w:rPr>
          <w:rFonts w:eastAsia="Times New Roman" w:cs="Arial"/>
          <w:i/>
          <w:iCs/>
          <w:color w:val="000000"/>
          <w:lang w:eastAsia="bg-BG"/>
        </w:rPr>
        <w:t>Бъбречно увреждане</w:t>
      </w:r>
    </w:p>
    <w:p w14:paraId="5A324118" w14:textId="77777777" w:rsidR="002F027A" w:rsidRPr="002F027A" w:rsidRDefault="002F027A" w:rsidP="002F027A">
      <w:pPr>
        <w:spacing w:line="240" w:lineRule="auto"/>
        <w:rPr>
          <w:rFonts w:eastAsia="Times New Roman" w:cs="Arial"/>
          <w:sz w:val="32"/>
          <w:szCs w:val="32"/>
          <w:lang w:eastAsia="bg-BG"/>
        </w:rPr>
      </w:pPr>
      <w:r w:rsidRPr="002F027A">
        <w:rPr>
          <w:rFonts w:eastAsia="Times New Roman" w:cs="Arial"/>
          <w:color w:val="000000"/>
          <w:lang w:eastAsia="bg-BG"/>
        </w:rPr>
        <w:lastRenderedPageBreak/>
        <w:t>Няма значимо натрупване на сертралин при пациенти с умерено до тежко бъбречно увреждане.</w:t>
      </w:r>
    </w:p>
    <w:p w14:paraId="7ADD724E" w14:textId="77777777" w:rsidR="002F027A" w:rsidRPr="002F027A" w:rsidRDefault="002F027A" w:rsidP="002F027A">
      <w:pPr>
        <w:spacing w:line="240" w:lineRule="auto"/>
        <w:rPr>
          <w:rFonts w:eastAsia="Times New Roman" w:cs="Arial"/>
          <w:i/>
          <w:iCs/>
          <w:color w:val="000000"/>
          <w:lang w:eastAsia="bg-BG"/>
        </w:rPr>
      </w:pPr>
    </w:p>
    <w:p w14:paraId="54F82AFB" w14:textId="03F8CD02" w:rsidR="002F027A" w:rsidRPr="002F027A" w:rsidRDefault="002F027A" w:rsidP="002F027A">
      <w:pPr>
        <w:spacing w:line="240" w:lineRule="auto"/>
        <w:rPr>
          <w:rFonts w:eastAsia="Times New Roman" w:cs="Arial"/>
          <w:sz w:val="32"/>
          <w:szCs w:val="32"/>
          <w:lang w:eastAsia="bg-BG"/>
        </w:rPr>
      </w:pPr>
      <w:r w:rsidRPr="002F027A">
        <w:rPr>
          <w:rFonts w:eastAsia="Times New Roman" w:cs="Arial"/>
          <w:i/>
          <w:iCs/>
          <w:color w:val="000000"/>
          <w:lang w:eastAsia="bg-BG"/>
        </w:rPr>
        <w:t>Линейност/ нелинейност</w:t>
      </w:r>
    </w:p>
    <w:p w14:paraId="4F95C34A" w14:textId="77777777" w:rsidR="002F027A" w:rsidRPr="002F027A" w:rsidRDefault="002F027A" w:rsidP="002F027A">
      <w:pPr>
        <w:spacing w:line="240" w:lineRule="auto"/>
        <w:rPr>
          <w:rFonts w:eastAsia="Times New Roman" w:cs="Arial"/>
          <w:sz w:val="32"/>
          <w:szCs w:val="32"/>
          <w:lang w:eastAsia="bg-BG"/>
        </w:rPr>
      </w:pPr>
      <w:r w:rsidRPr="002F027A">
        <w:rPr>
          <w:rFonts w:eastAsia="Times New Roman" w:cs="Arial"/>
          <w:color w:val="000000"/>
          <w:lang w:eastAsia="bg-BG"/>
        </w:rPr>
        <w:t xml:space="preserve">Сертралин демонстрира дозозависима фармакокинетика в диапазона 50-200 </w:t>
      </w:r>
      <w:r w:rsidRPr="002F027A">
        <w:rPr>
          <w:rFonts w:eastAsia="Times New Roman" w:cs="Arial"/>
          <w:color w:val="000000"/>
          <w:lang w:val="en-US"/>
        </w:rPr>
        <w:t>mg.</w:t>
      </w:r>
    </w:p>
    <w:p w14:paraId="466DF911" w14:textId="77777777" w:rsidR="002F027A" w:rsidRPr="002F027A" w:rsidRDefault="002F027A" w:rsidP="002F027A">
      <w:pPr>
        <w:spacing w:line="240" w:lineRule="auto"/>
        <w:rPr>
          <w:rFonts w:eastAsia="Times New Roman" w:cs="Arial"/>
          <w:i/>
          <w:iCs/>
          <w:color w:val="000000"/>
          <w:lang w:eastAsia="bg-BG"/>
        </w:rPr>
      </w:pPr>
    </w:p>
    <w:p w14:paraId="3F71BB22" w14:textId="651A8BB1" w:rsidR="002F027A" w:rsidRPr="002F027A" w:rsidRDefault="002F027A" w:rsidP="002F027A">
      <w:pPr>
        <w:spacing w:line="240" w:lineRule="auto"/>
        <w:rPr>
          <w:rFonts w:eastAsia="Times New Roman" w:cs="Arial"/>
          <w:sz w:val="32"/>
          <w:szCs w:val="32"/>
          <w:lang w:eastAsia="bg-BG"/>
        </w:rPr>
      </w:pPr>
      <w:r w:rsidRPr="002F027A">
        <w:rPr>
          <w:rFonts w:eastAsia="Times New Roman" w:cs="Arial"/>
          <w:i/>
          <w:iCs/>
          <w:color w:val="000000"/>
          <w:lang w:eastAsia="bg-BG"/>
        </w:rPr>
        <w:t>Фармакогеномика</w:t>
      </w:r>
    </w:p>
    <w:p w14:paraId="0924EB9C" w14:textId="77777777" w:rsidR="002F027A" w:rsidRPr="002F027A" w:rsidRDefault="002F027A" w:rsidP="002F027A">
      <w:pPr>
        <w:spacing w:line="240" w:lineRule="auto"/>
        <w:rPr>
          <w:rFonts w:eastAsia="Times New Roman" w:cs="Arial"/>
          <w:sz w:val="32"/>
          <w:szCs w:val="32"/>
          <w:lang w:eastAsia="bg-BG"/>
        </w:rPr>
      </w:pPr>
      <w:r w:rsidRPr="002F027A">
        <w:rPr>
          <w:rFonts w:eastAsia="Times New Roman" w:cs="Arial"/>
          <w:color w:val="000000"/>
          <w:lang w:eastAsia="bg-BG"/>
        </w:rPr>
        <w:t xml:space="preserve">Плазмените нива на сертралин са приблизително 50% по-високи при индивиди, които са слаби метаболизатори на </w:t>
      </w:r>
      <w:r w:rsidRPr="002F027A">
        <w:rPr>
          <w:rFonts w:eastAsia="Times New Roman" w:cs="Arial"/>
          <w:color w:val="000000"/>
          <w:lang w:val="en-US"/>
        </w:rPr>
        <w:t xml:space="preserve">CYP2C19 </w:t>
      </w:r>
      <w:r w:rsidRPr="002F027A">
        <w:rPr>
          <w:rFonts w:eastAsia="Times New Roman" w:cs="Arial"/>
          <w:color w:val="000000"/>
          <w:lang w:eastAsia="bg-BG"/>
        </w:rPr>
        <w:t>в сравнение с екстензивните метаболизитори. Не е ясно клиничното значение на това, като при пациентите е необходимо титриране според клиничния им отговор.</w:t>
      </w:r>
    </w:p>
    <w:p w14:paraId="15771C99" w14:textId="77777777" w:rsidR="002F027A" w:rsidRPr="002F027A" w:rsidRDefault="002F027A" w:rsidP="002F027A"/>
    <w:p w14:paraId="4F31844C" w14:textId="16C0C207" w:rsidR="00875EEC" w:rsidRDefault="002C50EE" w:rsidP="005726E3">
      <w:pPr>
        <w:pStyle w:val="Heading2"/>
      </w:pPr>
      <w:r>
        <w:t>5.3. Предклинични данни за безопасност</w:t>
      </w:r>
    </w:p>
    <w:p w14:paraId="7BE054D7" w14:textId="6823B530" w:rsidR="002F027A" w:rsidRDefault="002F027A" w:rsidP="002F027A"/>
    <w:p w14:paraId="68B2A948" w14:textId="77777777" w:rsidR="002F027A" w:rsidRPr="002F027A" w:rsidRDefault="002F027A" w:rsidP="002F027A">
      <w:pPr>
        <w:spacing w:line="240" w:lineRule="auto"/>
        <w:rPr>
          <w:rFonts w:eastAsia="Times New Roman" w:cs="Arial"/>
          <w:sz w:val="32"/>
          <w:szCs w:val="32"/>
          <w:lang w:eastAsia="bg-BG"/>
        </w:rPr>
      </w:pPr>
      <w:r w:rsidRPr="002F027A">
        <w:rPr>
          <w:rFonts w:eastAsia="Times New Roman" w:cs="Arial"/>
          <w:color w:val="000000"/>
          <w:lang w:eastAsia="bg-BG"/>
        </w:rPr>
        <w:t>Предклиничниге данни не показват особен риск за хората на база на конвенционалните фармакологични проучвания за безопасност, токсичност при многократно прилагане, генотоксичност и карциногенен потенциал. Проучвания върху репродуктивната токсичност при животни не са показали тератогенност или нежелани ефекти върху мъжкия фертилитет.. Наблюдаваната фетотоксичност е вероятно свързана с майчина токсичност. Неонаталната преживяемост и телесното тегло при кученца са били намалени само през първите дни след раждането. Не е установено дали ранната постнатална смъртност се дължи на експозиция по време на бременност след 15-я ден от бременността. Забавянето в постнаталното развитие при кученцата на лекувани майки вероятно се дължи на ефекти върху майките и следователно не се отнася за риска при хора.</w:t>
      </w:r>
    </w:p>
    <w:p w14:paraId="291514D6" w14:textId="77777777" w:rsidR="002F027A" w:rsidRPr="002F027A" w:rsidRDefault="002F027A" w:rsidP="002F027A">
      <w:pPr>
        <w:spacing w:line="240" w:lineRule="auto"/>
        <w:rPr>
          <w:rFonts w:eastAsia="Times New Roman" w:cs="Arial"/>
          <w:sz w:val="32"/>
          <w:szCs w:val="32"/>
          <w:lang w:eastAsia="bg-BG"/>
        </w:rPr>
      </w:pPr>
      <w:r w:rsidRPr="002F027A">
        <w:rPr>
          <w:rFonts w:eastAsia="Times New Roman" w:cs="Arial"/>
          <w:color w:val="000000"/>
          <w:lang w:eastAsia="bg-BG"/>
        </w:rPr>
        <w:t>Проучванията при гризачи и други животински видове не показват ефекти върху фертилитета.</w:t>
      </w:r>
    </w:p>
    <w:p w14:paraId="33965172" w14:textId="77777777" w:rsidR="002F027A" w:rsidRPr="002F027A" w:rsidRDefault="002F027A" w:rsidP="002F027A">
      <w:pPr>
        <w:spacing w:line="240" w:lineRule="auto"/>
        <w:rPr>
          <w:rFonts w:eastAsia="Times New Roman" w:cs="Arial"/>
          <w:i/>
          <w:iCs/>
          <w:color w:val="000000"/>
          <w:lang w:eastAsia="bg-BG"/>
        </w:rPr>
      </w:pPr>
    </w:p>
    <w:p w14:paraId="28CD1BE0" w14:textId="136F6585" w:rsidR="002F027A" w:rsidRPr="002F027A" w:rsidRDefault="002F027A" w:rsidP="002F027A">
      <w:pPr>
        <w:spacing w:line="240" w:lineRule="auto"/>
        <w:rPr>
          <w:rFonts w:eastAsia="Times New Roman" w:cs="Arial"/>
          <w:sz w:val="32"/>
          <w:szCs w:val="32"/>
          <w:lang w:eastAsia="bg-BG"/>
        </w:rPr>
      </w:pPr>
      <w:r w:rsidRPr="002F027A">
        <w:rPr>
          <w:rFonts w:eastAsia="Times New Roman" w:cs="Arial"/>
          <w:i/>
          <w:iCs/>
          <w:color w:val="000000"/>
          <w:lang w:eastAsia="bg-BG"/>
        </w:rPr>
        <w:t>Проучвания при млади животни</w:t>
      </w:r>
    </w:p>
    <w:p w14:paraId="7FAFB994" w14:textId="77777777" w:rsidR="002F027A" w:rsidRPr="002F027A" w:rsidRDefault="002F027A" w:rsidP="002F027A">
      <w:pPr>
        <w:spacing w:line="240" w:lineRule="auto"/>
        <w:rPr>
          <w:rFonts w:eastAsia="Times New Roman" w:cs="Arial"/>
          <w:color w:val="000000"/>
          <w:lang w:eastAsia="bg-BG"/>
        </w:rPr>
      </w:pPr>
    </w:p>
    <w:p w14:paraId="5FB33AD0" w14:textId="4F72BC54" w:rsidR="002F027A" w:rsidRPr="002F027A" w:rsidRDefault="002F027A" w:rsidP="002F027A">
      <w:pPr>
        <w:spacing w:line="240" w:lineRule="auto"/>
        <w:rPr>
          <w:rFonts w:eastAsia="Times New Roman" w:cs="Arial"/>
          <w:sz w:val="32"/>
          <w:szCs w:val="32"/>
          <w:lang w:eastAsia="bg-BG"/>
        </w:rPr>
      </w:pPr>
      <w:r w:rsidRPr="002F027A">
        <w:rPr>
          <w:rFonts w:eastAsia="Times New Roman" w:cs="Arial"/>
          <w:color w:val="000000"/>
          <w:lang w:eastAsia="bg-BG"/>
        </w:rPr>
        <w:t xml:space="preserve">Проведено е едно проучване на токсичността при млади плъхове, в което сертралин е прилаган през устата на мъжки и женски плъхове от 21-ия до 56-ия ден след раждането (в дози от 10,40 или 80 </w:t>
      </w:r>
      <w:r w:rsidRPr="002F027A">
        <w:rPr>
          <w:rFonts w:eastAsia="Times New Roman" w:cs="Arial"/>
          <w:color w:val="000000"/>
          <w:lang w:val="en-US"/>
        </w:rPr>
        <w:t xml:space="preserve">mg/kg </w:t>
      </w:r>
      <w:r w:rsidRPr="002F027A">
        <w:rPr>
          <w:rFonts w:eastAsia="Times New Roman" w:cs="Arial"/>
          <w:color w:val="000000"/>
          <w:lang w:eastAsia="bg-BG"/>
        </w:rPr>
        <w:t xml:space="preserve">дневно) с фаза на възстановяване без прилагане на лекарството до 196-ия ден след раждането. При мъжки и женски индивиди е наблюдавано забавяне в половото съзряване при различни дозови нива (при мъжките - 80 </w:t>
      </w:r>
      <w:r w:rsidRPr="002F027A">
        <w:rPr>
          <w:rFonts w:eastAsia="Times New Roman" w:cs="Arial"/>
          <w:color w:val="000000"/>
          <w:lang w:val="en-US"/>
        </w:rPr>
        <w:t xml:space="preserve">mg/kg </w:t>
      </w:r>
      <w:r w:rsidRPr="002F027A">
        <w:rPr>
          <w:rFonts w:eastAsia="Times New Roman" w:cs="Arial"/>
          <w:color w:val="000000"/>
          <w:lang w:eastAsia="bg-BG"/>
        </w:rPr>
        <w:t xml:space="preserve">и при женските - ≥10 </w:t>
      </w:r>
      <w:r w:rsidRPr="002F027A">
        <w:rPr>
          <w:rFonts w:eastAsia="Times New Roman" w:cs="Arial"/>
          <w:color w:val="000000"/>
          <w:lang w:val="en-US"/>
        </w:rPr>
        <w:t xml:space="preserve">mg/kg), </w:t>
      </w:r>
      <w:r w:rsidRPr="002F027A">
        <w:rPr>
          <w:rFonts w:eastAsia="Times New Roman" w:cs="Arial"/>
          <w:color w:val="000000"/>
          <w:lang w:eastAsia="bg-BG"/>
        </w:rPr>
        <w:t>но въпреки тази констатация, не е имало никакви ефекти, свързани със сертралин, върху репродуктивните крайни показатели на проучването при мъжки или женски индивиди. Освен това между 21-ия и 56-ия ден след раждането са наблюдавани също дехидратация, хроморинорея и намаление на средното наддаване на телесно тегло. Всички горепосочени ефекти, които са счетени за свързани с приложението на сертралин, са неутрализирани в определен момент от фазата на възстановяване без прилагане на лекарството в проучването.</w:t>
      </w:r>
    </w:p>
    <w:p w14:paraId="4D7CFB3A" w14:textId="77777777" w:rsidR="002F027A" w:rsidRPr="002F027A" w:rsidRDefault="002F027A" w:rsidP="002F027A">
      <w:pPr>
        <w:spacing w:line="240" w:lineRule="auto"/>
        <w:rPr>
          <w:rFonts w:eastAsia="Times New Roman" w:cs="Arial"/>
          <w:color w:val="000000"/>
          <w:u w:val="single"/>
          <w:lang w:eastAsia="bg-BG"/>
        </w:rPr>
      </w:pPr>
    </w:p>
    <w:p w14:paraId="79E4209D" w14:textId="28BF49BF" w:rsidR="002F027A" w:rsidRPr="002F027A" w:rsidRDefault="002F027A" w:rsidP="002F027A">
      <w:pPr>
        <w:spacing w:line="240" w:lineRule="auto"/>
        <w:rPr>
          <w:rFonts w:eastAsia="Times New Roman" w:cs="Arial"/>
          <w:sz w:val="32"/>
          <w:szCs w:val="32"/>
          <w:lang w:eastAsia="bg-BG"/>
        </w:rPr>
      </w:pPr>
      <w:r w:rsidRPr="002F027A">
        <w:rPr>
          <w:rFonts w:eastAsia="Times New Roman" w:cs="Arial"/>
          <w:color w:val="000000"/>
          <w:u w:val="single"/>
          <w:lang w:eastAsia="bg-BG"/>
        </w:rPr>
        <w:t>Оценка на риска за околната среда</w:t>
      </w:r>
    </w:p>
    <w:p w14:paraId="3FC42C2F" w14:textId="77777777" w:rsidR="002F027A" w:rsidRPr="002F027A" w:rsidRDefault="002F027A" w:rsidP="002F027A">
      <w:pPr>
        <w:spacing w:line="240" w:lineRule="auto"/>
        <w:rPr>
          <w:rFonts w:eastAsia="Times New Roman" w:cs="Arial"/>
          <w:sz w:val="32"/>
          <w:szCs w:val="32"/>
          <w:lang w:eastAsia="bg-BG"/>
        </w:rPr>
      </w:pPr>
      <w:r w:rsidRPr="002F027A">
        <w:rPr>
          <w:rFonts w:eastAsia="Times New Roman" w:cs="Arial"/>
          <w:color w:val="000000"/>
          <w:lang w:eastAsia="bg-BG"/>
        </w:rPr>
        <w:t>При приложение в съответствие с продуктовата информация не е вероятно Стимулотон да причини неприемливо влияние върху околната среда.</w:t>
      </w:r>
    </w:p>
    <w:p w14:paraId="3CEAE0A8" w14:textId="77777777" w:rsidR="002F027A" w:rsidRPr="002F027A" w:rsidRDefault="002F027A" w:rsidP="002F027A"/>
    <w:p w14:paraId="357049A8" w14:textId="0CEB0BD4" w:rsidR="00BB22B4" w:rsidRDefault="002C50EE" w:rsidP="00471F10">
      <w:pPr>
        <w:pStyle w:val="Heading1"/>
      </w:pPr>
      <w:r>
        <w:t>7. ПРИТЕЖАТЕЛ НА РАЗРЕШЕНИЕТО ЗА УПОТРЕБА</w:t>
      </w:r>
    </w:p>
    <w:p w14:paraId="303178B1" w14:textId="74EFEC60" w:rsidR="002F027A" w:rsidRDefault="002F027A" w:rsidP="002F027A"/>
    <w:p w14:paraId="69B63114" w14:textId="77777777" w:rsidR="002F027A" w:rsidRPr="002F027A" w:rsidRDefault="002F027A" w:rsidP="002F027A">
      <w:pPr>
        <w:rPr>
          <w:rFonts w:ascii="Times New Roman" w:hAnsi="Times New Roman" w:cs="Times New Roman"/>
          <w:sz w:val="24"/>
          <w:szCs w:val="24"/>
          <w:lang w:val="en-US" w:eastAsia="bg-BG"/>
        </w:rPr>
      </w:pPr>
      <w:r w:rsidRPr="002F027A">
        <w:rPr>
          <w:lang w:val="en-US"/>
        </w:rPr>
        <w:lastRenderedPageBreak/>
        <w:t>Egis Pharmaceuticals PLC</w:t>
      </w:r>
    </w:p>
    <w:p w14:paraId="0D85B0AC" w14:textId="77777777" w:rsidR="002F027A" w:rsidRPr="002F027A" w:rsidRDefault="002F027A" w:rsidP="002F027A">
      <w:pPr>
        <w:rPr>
          <w:rFonts w:ascii="Times New Roman" w:hAnsi="Times New Roman" w:cs="Times New Roman"/>
          <w:sz w:val="24"/>
          <w:szCs w:val="24"/>
          <w:lang w:val="en-US" w:eastAsia="bg-BG"/>
        </w:rPr>
      </w:pPr>
      <w:r w:rsidRPr="002F027A">
        <w:rPr>
          <w:lang w:eastAsia="bg-BG"/>
        </w:rPr>
        <w:t xml:space="preserve">1106 </w:t>
      </w:r>
      <w:r w:rsidRPr="002F027A">
        <w:rPr>
          <w:lang w:val="en-US"/>
        </w:rPr>
        <w:t xml:space="preserve">Budapest, </w:t>
      </w:r>
      <w:proofErr w:type="spellStart"/>
      <w:r w:rsidRPr="002F027A">
        <w:rPr>
          <w:lang w:val="en-US"/>
        </w:rPr>
        <w:t>Kereszturi</w:t>
      </w:r>
      <w:proofErr w:type="spellEnd"/>
      <w:r w:rsidRPr="002F027A">
        <w:rPr>
          <w:lang w:val="en-US"/>
        </w:rPr>
        <w:t xml:space="preserve"> </w:t>
      </w:r>
      <w:proofErr w:type="spellStart"/>
      <w:r w:rsidRPr="002F027A">
        <w:rPr>
          <w:lang w:val="en-US"/>
        </w:rPr>
        <w:t>ut</w:t>
      </w:r>
      <w:proofErr w:type="spellEnd"/>
      <w:r w:rsidRPr="002F027A">
        <w:rPr>
          <w:lang w:val="en-US"/>
        </w:rPr>
        <w:t xml:space="preserve"> 30-38.</w:t>
      </w:r>
    </w:p>
    <w:p w14:paraId="334C030E" w14:textId="5CD7793E" w:rsidR="002F027A" w:rsidRPr="002F027A" w:rsidRDefault="002F027A" w:rsidP="002F027A">
      <w:r w:rsidRPr="002F027A">
        <w:rPr>
          <w:lang w:eastAsia="bg-BG"/>
        </w:rPr>
        <w:t>Унгария</w:t>
      </w:r>
    </w:p>
    <w:p w14:paraId="796B2EC6" w14:textId="0333CC52" w:rsidR="00BB22B4" w:rsidRDefault="00936AD0" w:rsidP="00471F10">
      <w:pPr>
        <w:pStyle w:val="Heading1"/>
      </w:pPr>
      <w:r>
        <w:t>8.</w:t>
      </w:r>
      <w:r w:rsidR="002C50EE">
        <w:t>НОМЕР НА РАЗРЕШЕНИЕТО ЗА УПОТРЕБА</w:t>
      </w:r>
    </w:p>
    <w:p w14:paraId="7532148B" w14:textId="1D4AFF87" w:rsidR="002F027A" w:rsidRDefault="002F027A" w:rsidP="002F027A"/>
    <w:p w14:paraId="3204BA74" w14:textId="77777777" w:rsidR="002F027A" w:rsidRPr="002F027A" w:rsidRDefault="002F027A" w:rsidP="002F027A">
      <w:pPr>
        <w:rPr>
          <w:rFonts w:ascii="Times New Roman" w:hAnsi="Times New Roman" w:cs="Times New Roman"/>
          <w:sz w:val="24"/>
          <w:szCs w:val="24"/>
          <w:lang w:eastAsia="bg-BG"/>
        </w:rPr>
      </w:pPr>
      <w:r w:rsidRPr="002F027A">
        <w:rPr>
          <w:lang w:eastAsia="bg-BG"/>
        </w:rPr>
        <w:t xml:space="preserve">Стимулотон 50 </w:t>
      </w:r>
      <w:r w:rsidRPr="002F027A">
        <w:rPr>
          <w:lang w:val="en-US"/>
        </w:rPr>
        <w:t xml:space="preserve">mg </w:t>
      </w:r>
      <w:r w:rsidRPr="002F027A">
        <w:rPr>
          <w:lang w:eastAsia="bg-BG"/>
        </w:rPr>
        <w:t>филмирани таблетки: Рег.№: 20040312</w:t>
      </w:r>
    </w:p>
    <w:p w14:paraId="61399F27" w14:textId="7A71C031" w:rsidR="002F027A" w:rsidRPr="002F027A" w:rsidRDefault="002F027A" w:rsidP="002F027A">
      <w:r w:rsidRPr="002F027A">
        <w:rPr>
          <w:lang w:eastAsia="bg-BG"/>
        </w:rPr>
        <w:t xml:space="preserve">Стимулотон 100 </w:t>
      </w:r>
      <w:r w:rsidRPr="002F027A">
        <w:rPr>
          <w:lang w:val="en-US"/>
        </w:rPr>
        <w:t xml:space="preserve">mg </w:t>
      </w:r>
      <w:r w:rsidRPr="002F027A">
        <w:rPr>
          <w:lang w:eastAsia="bg-BG"/>
        </w:rPr>
        <w:t>филмирани таблетки: Рег.№: 20050194</w:t>
      </w:r>
    </w:p>
    <w:p w14:paraId="3715C10B" w14:textId="62C22072" w:rsidR="00BB22B4" w:rsidRDefault="002C50EE" w:rsidP="00471F10">
      <w:pPr>
        <w:pStyle w:val="Heading1"/>
      </w:pPr>
      <w:r>
        <w:t>9. ДАТА НА ПЪРВО РАЗРЕШАВАНЕ/ПОДНОВЯВАНЕ НА РАЗРЕШЕНИЕТО ЗА УПОТРЕБА</w:t>
      </w:r>
    </w:p>
    <w:p w14:paraId="4C63AB47" w14:textId="26AE91EB" w:rsidR="002F027A" w:rsidRDefault="002F027A" w:rsidP="002F027A"/>
    <w:p w14:paraId="25E4FBDC" w14:textId="77777777" w:rsidR="002F027A" w:rsidRPr="002F027A" w:rsidRDefault="002F027A" w:rsidP="002F027A">
      <w:pPr>
        <w:rPr>
          <w:rFonts w:ascii="Times New Roman" w:hAnsi="Times New Roman" w:cs="Times New Roman"/>
          <w:sz w:val="24"/>
          <w:szCs w:val="24"/>
          <w:lang w:eastAsia="bg-BG"/>
        </w:rPr>
      </w:pPr>
      <w:r w:rsidRPr="002F027A">
        <w:rPr>
          <w:lang w:eastAsia="bg-BG"/>
        </w:rPr>
        <w:t xml:space="preserve">Стимулотон 50 </w:t>
      </w:r>
      <w:r w:rsidRPr="002F027A">
        <w:rPr>
          <w:lang w:val="en-US"/>
        </w:rPr>
        <w:t>mg</w:t>
      </w:r>
    </w:p>
    <w:p w14:paraId="5C9EEFAD" w14:textId="77777777" w:rsidR="002F027A" w:rsidRPr="002F027A" w:rsidRDefault="002F027A" w:rsidP="002F027A">
      <w:pPr>
        <w:rPr>
          <w:rFonts w:ascii="Times New Roman" w:hAnsi="Times New Roman" w:cs="Times New Roman"/>
          <w:sz w:val="24"/>
          <w:szCs w:val="24"/>
          <w:lang w:eastAsia="bg-BG"/>
        </w:rPr>
      </w:pPr>
      <w:r w:rsidRPr="002F027A">
        <w:rPr>
          <w:lang w:eastAsia="bg-BG"/>
        </w:rPr>
        <w:t>Дата на първо разрешаване: 01.07.2004 г.</w:t>
      </w:r>
    </w:p>
    <w:p w14:paraId="1220B705" w14:textId="448B820F" w:rsidR="002F027A" w:rsidRDefault="002F027A" w:rsidP="002F027A">
      <w:pPr>
        <w:rPr>
          <w:lang w:eastAsia="bg-BG"/>
        </w:rPr>
      </w:pPr>
      <w:r w:rsidRPr="002F027A">
        <w:rPr>
          <w:lang w:eastAsia="bg-BG"/>
        </w:rPr>
        <w:t>Дата на последно подновяване: 30.09.2009 г.</w:t>
      </w:r>
    </w:p>
    <w:p w14:paraId="37095BD5" w14:textId="7D14C0CF" w:rsidR="002F027A" w:rsidRDefault="002F027A" w:rsidP="002F027A">
      <w:pPr>
        <w:rPr>
          <w:lang w:eastAsia="bg-BG"/>
        </w:rPr>
      </w:pPr>
    </w:p>
    <w:p w14:paraId="713EE153" w14:textId="77777777" w:rsidR="002F027A" w:rsidRPr="002F027A" w:rsidRDefault="002F027A" w:rsidP="002F027A">
      <w:pPr>
        <w:rPr>
          <w:rFonts w:ascii="Times New Roman" w:hAnsi="Times New Roman" w:cs="Times New Roman"/>
          <w:sz w:val="24"/>
          <w:szCs w:val="24"/>
          <w:lang w:eastAsia="bg-BG"/>
        </w:rPr>
      </w:pPr>
      <w:r w:rsidRPr="002F027A">
        <w:rPr>
          <w:lang w:eastAsia="bg-BG"/>
        </w:rPr>
        <w:t xml:space="preserve">Стимулотон 100 </w:t>
      </w:r>
      <w:r w:rsidRPr="002F027A">
        <w:rPr>
          <w:lang w:val="en-US"/>
        </w:rPr>
        <w:t>mg</w:t>
      </w:r>
    </w:p>
    <w:p w14:paraId="145716CE" w14:textId="77777777" w:rsidR="002F027A" w:rsidRPr="002F027A" w:rsidRDefault="002F027A" w:rsidP="002F027A">
      <w:pPr>
        <w:rPr>
          <w:rFonts w:ascii="Times New Roman" w:hAnsi="Times New Roman" w:cs="Times New Roman"/>
          <w:sz w:val="24"/>
          <w:szCs w:val="24"/>
          <w:lang w:eastAsia="bg-BG"/>
        </w:rPr>
      </w:pPr>
      <w:r w:rsidRPr="002F027A">
        <w:rPr>
          <w:lang w:eastAsia="bg-BG"/>
        </w:rPr>
        <w:t>Дата на първо разрешаване: 06.04.2005 г.</w:t>
      </w:r>
    </w:p>
    <w:p w14:paraId="2035BB83" w14:textId="6C1294CE" w:rsidR="002F027A" w:rsidRPr="002F027A" w:rsidRDefault="002F027A" w:rsidP="002F027A">
      <w:r w:rsidRPr="002F027A">
        <w:rPr>
          <w:lang w:eastAsia="bg-BG"/>
        </w:rPr>
        <w:t>Дата на последно подновяване: 18.11.2011 г.</w:t>
      </w:r>
    </w:p>
    <w:p w14:paraId="43FB38A2" w14:textId="0C18A683" w:rsidR="007C605B" w:rsidRDefault="002C50EE" w:rsidP="005726E3">
      <w:pPr>
        <w:pStyle w:val="Heading1"/>
      </w:pPr>
      <w:r>
        <w:t>10. ДАТА НА АКТУАЛИЗИРАНЕ НА ТЕКСТА</w:t>
      </w:r>
      <w:bookmarkEnd w:id="0"/>
    </w:p>
    <w:p w14:paraId="472617BD" w14:textId="45FF4A4E" w:rsidR="00BB22B4" w:rsidRPr="00BB22B4" w:rsidRDefault="002F027A" w:rsidP="002F027A">
      <w:r>
        <w:t>Февруари, 2021 г.</w:t>
      </w:r>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B532F5"/>
    <w:multiLevelType w:val="hybridMultilevel"/>
    <w:tmpl w:val="186895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33D9B"/>
    <w:multiLevelType w:val="hybridMultilevel"/>
    <w:tmpl w:val="629C62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971520234">
    <w:abstractNumId w:val="31"/>
  </w:num>
  <w:num w:numId="2" w16cid:durableId="1639189391">
    <w:abstractNumId w:val="0"/>
  </w:num>
  <w:num w:numId="3" w16cid:durableId="808400817">
    <w:abstractNumId w:val="14"/>
  </w:num>
  <w:num w:numId="4" w16cid:durableId="620112228">
    <w:abstractNumId w:val="3"/>
  </w:num>
  <w:num w:numId="5" w16cid:durableId="2137092045">
    <w:abstractNumId w:val="1"/>
  </w:num>
  <w:num w:numId="6" w16cid:durableId="807356460">
    <w:abstractNumId w:val="18"/>
  </w:num>
  <w:num w:numId="7" w16cid:durableId="866060196">
    <w:abstractNumId w:val="12"/>
  </w:num>
  <w:num w:numId="8" w16cid:durableId="1607693561">
    <w:abstractNumId w:val="17"/>
  </w:num>
  <w:num w:numId="9" w16cid:durableId="1893422466">
    <w:abstractNumId w:val="2"/>
  </w:num>
  <w:num w:numId="10" w16cid:durableId="1272324281">
    <w:abstractNumId w:val="4"/>
  </w:num>
  <w:num w:numId="11" w16cid:durableId="679163511">
    <w:abstractNumId w:val="34"/>
  </w:num>
  <w:num w:numId="12" w16cid:durableId="1501384520">
    <w:abstractNumId w:val="15"/>
  </w:num>
  <w:num w:numId="13" w16cid:durableId="2133205864">
    <w:abstractNumId w:val="21"/>
  </w:num>
  <w:num w:numId="14" w16cid:durableId="670528213">
    <w:abstractNumId w:val="13"/>
  </w:num>
  <w:num w:numId="15" w16cid:durableId="1176269033">
    <w:abstractNumId w:val="33"/>
  </w:num>
  <w:num w:numId="16" w16cid:durableId="27806426">
    <w:abstractNumId w:val="11"/>
  </w:num>
  <w:num w:numId="17" w16cid:durableId="1929994551">
    <w:abstractNumId w:val="27"/>
  </w:num>
  <w:num w:numId="18" w16cid:durableId="1005665435">
    <w:abstractNumId w:val="8"/>
  </w:num>
  <w:num w:numId="19" w16cid:durableId="479737213">
    <w:abstractNumId w:val="29"/>
  </w:num>
  <w:num w:numId="20" w16cid:durableId="236324673">
    <w:abstractNumId w:val="26"/>
  </w:num>
  <w:num w:numId="21" w16cid:durableId="154230292">
    <w:abstractNumId w:val="19"/>
  </w:num>
  <w:num w:numId="22" w16cid:durableId="244460697">
    <w:abstractNumId w:val="28"/>
  </w:num>
  <w:num w:numId="23" w16cid:durableId="2032564685">
    <w:abstractNumId w:val="20"/>
  </w:num>
  <w:num w:numId="24" w16cid:durableId="1758553380">
    <w:abstractNumId w:val="9"/>
  </w:num>
  <w:num w:numId="25" w16cid:durableId="581911521">
    <w:abstractNumId w:val="25"/>
  </w:num>
  <w:num w:numId="26" w16cid:durableId="920288540">
    <w:abstractNumId w:val="24"/>
  </w:num>
  <w:num w:numId="27" w16cid:durableId="613943236">
    <w:abstractNumId w:val="35"/>
  </w:num>
  <w:num w:numId="28" w16cid:durableId="1070738554">
    <w:abstractNumId w:val="6"/>
  </w:num>
  <w:num w:numId="29" w16cid:durableId="1407679185">
    <w:abstractNumId w:val="23"/>
  </w:num>
  <w:num w:numId="30" w16cid:durableId="1070079633">
    <w:abstractNumId w:val="38"/>
  </w:num>
  <w:num w:numId="31" w16cid:durableId="229048830">
    <w:abstractNumId w:val="5"/>
  </w:num>
  <w:num w:numId="32" w16cid:durableId="37822611">
    <w:abstractNumId w:val="37"/>
  </w:num>
  <w:num w:numId="33" w16cid:durableId="1199630">
    <w:abstractNumId w:val="32"/>
  </w:num>
  <w:num w:numId="34" w16cid:durableId="990984569">
    <w:abstractNumId w:val="36"/>
  </w:num>
  <w:num w:numId="35" w16cid:durableId="1815021096">
    <w:abstractNumId w:val="7"/>
  </w:num>
  <w:num w:numId="36" w16cid:durableId="2055155041">
    <w:abstractNumId w:val="10"/>
  </w:num>
  <w:num w:numId="37" w16cid:durableId="770786414">
    <w:abstractNumId w:val="16"/>
  </w:num>
  <w:num w:numId="38" w16cid:durableId="281883603">
    <w:abstractNumId w:val="30"/>
  </w:num>
  <w:num w:numId="39" w16cid:durableId="18579610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087C89"/>
    <w:rsid w:val="00185A46"/>
    <w:rsid w:val="001915B6"/>
    <w:rsid w:val="001A6EBD"/>
    <w:rsid w:val="001D1B23"/>
    <w:rsid w:val="002B3C38"/>
    <w:rsid w:val="002B4DBB"/>
    <w:rsid w:val="002C50EE"/>
    <w:rsid w:val="002F027A"/>
    <w:rsid w:val="00340A0A"/>
    <w:rsid w:val="003765DC"/>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B22B4"/>
    <w:rsid w:val="00BF2600"/>
    <w:rsid w:val="00C0049F"/>
    <w:rsid w:val="00C07B84"/>
    <w:rsid w:val="00C33464"/>
    <w:rsid w:val="00C40420"/>
    <w:rsid w:val="00C809A7"/>
    <w:rsid w:val="00C83063"/>
    <w:rsid w:val="00C87E90"/>
    <w:rsid w:val="00CA1B57"/>
    <w:rsid w:val="00CF77F7"/>
    <w:rsid w:val="00D50B0B"/>
    <w:rsid w:val="00D86297"/>
    <w:rsid w:val="00DB32D3"/>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8469</Words>
  <Characters>48277</Characters>
  <Application>Microsoft Office Word</Application>
  <DocSecurity>0</DocSecurity>
  <Lines>402</Lines>
  <Paragraphs>113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ВАСИЛЕВ</cp:lastModifiedBy>
  <cp:revision>2</cp:revision>
  <dcterms:created xsi:type="dcterms:W3CDTF">2022-12-27T10:52:00Z</dcterms:created>
  <dcterms:modified xsi:type="dcterms:W3CDTF">2022-12-27T10:52:00Z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