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60F211E4" w14:textId="77777777" w:rsidR="00B44F80" w:rsidRPr="00231C6D" w:rsidRDefault="00B44F80" w:rsidP="0091385D">
      <w:pPr>
        <w:rPr>
          <w:rFonts w:cs="Arial"/>
          <w:szCs w:val="20"/>
        </w:rPr>
      </w:pPr>
      <w:r w:rsidRPr="00231C6D">
        <w:rPr>
          <w:rFonts w:cs="Arial"/>
          <w:szCs w:val="20"/>
        </w:rPr>
        <w:t xml:space="preserve">Сулфасалазин ЕН 500 </w:t>
      </w:r>
      <w:r w:rsidRPr="00231C6D">
        <w:rPr>
          <w:rFonts w:cs="Arial"/>
          <w:szCs w:val="20"/>
          <w:lang w:val="en-US"/>
        </w:rPr>
        <w:t xml:space="preserve">mg </w:t>
      </w:r>
      <w:r w:rsidRPr="00231C6D">
        <w:rPr>
          <w:rFonts w:cs="Arial"/>
          <w:szCs w:val="20"/>
        </w:rPr>
        <w:t xml:space="preserve">стомашно-устойчиви таблетки </w:t>
      </w:r>
    </w:p>
    <w:p w14:paraId="69AC8148" w14:textId="32FAF768" w:rsidR="00EC41ED" w:rsidRPr="00231C6D" w:rsidRDefault="00B44F80" w:rsidP="0091385D">
      <w:pPr>
        <w:rPr>
          <w:rFonts w:cs="Arial"/>
          <w:sz w:val="24"/>
        </w:rPr>
      </w:pPr>
      <w:proofErr w:type="spellStart"/>
      <w:r w:rsidRPr="00231C6D">
        <w:rPr>
          <w:rFonts w:cs="Arial"/>
          <w:szCs w:val="20"/>
          <w:lang w:val="en-US"/>
        </w:rPr>
        <w:t>Sulfasalazin</w:t>
      </w:r>
      <w:proofErr w:type="spellEnd"/>
      <w:r w:rsidRPr="00231C6D">
        <w:rPr>
          <w:rFonts w:cs="Arial"/>
          <w:szCs w:val="20"/>
          <w:lang w:val="en-US"/>
        </w:rPr>
        <w:t xml:space="preserve"> EN </w:t>
      </w:r>
      <w:r w:rsidRPr="00231C6D">
        <w:rPr>
          <w:rFonts w:cs="Arial"/>
          <w:szCs w:val="20"/>
        </w:rPr>
        <w:t xml:space="preserve">500 </w:t>
      </w:r>
      <w:r w:rsidRPr="00231C6D">
        <w:rPr>
          <w:rFonts w:cs="Arial"/>
          <w:szCs w:val="20"/>
          <w:lang w:val="en-US"/>
        </w:rPr>
        <w:t>mg gastro-resistant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3E9FCA82"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 xml:space="preserve">Всяка стомашно-устойчива таблетка съдържа 500 </w:t>
      </w:r>
      <w:r w:rsidRPr="00B44F80">
        <w:rPr>
          <w:rFonts w:eastAsia="Times New Roman" w:cs="Arial"/>
          <w:color w:val="000000"/>
          <w:szCs w:val="20"/>
          <w:lang w:val="en-US"/>
        </w:rPr>
        <w:t xml:space="preserve">mg </w:t>
      </w:r>
      <w:r w:rsidRPr="00B44F80">
        <w:rPr>
          <w:rFonts w:eastAsia="Times New Roman" w:cs="Arial"/>
          <w:color w:val="000000"/>
          <w:szCs w:val="20"/>
          <w:lang w:eastAsia="bg-BG"/>
        </w:rPr>
        <w:t xml:space="preserve">сулфасалазин </w:t>
      </w:r>
      <w:r w:rsidRPr="00B44F80">
        <w:rPr>
          <w:rFonts w:eastAsia="Times New Roman" w:cs="Arial"/>
          <w:i/>
          <w:iCs/>
          <w:color w:val="000000"/>
          <w:szCs w:val="20"/>
          <w:lang w:val="en-US"/>
        </w:rPr>
        <w:t>(sulfasalazine)</w:t>
      </w:r>
    </w:p>
    <w:p w14:paraId="387823B0" w14:textId="77777777" w:rsidR="00B44F80" w:rsidRPr="00231C6D" w:rsidRDefault="00B44F80" w:rsidP="00B44F80">
      <w:pPr>
        <w:rPr>
          <w:rFonts w:eastAsia="Times New Roman" w:cs="Arial"/>
          <w:color w:val="000000"/>
          <w:szCs w:val="20"/>
          <w:lang w:eastAsia="bg-BG"/>
        </w:rPr>
      </w:pPr>
    </w:p>
    <w:p w14:paraId="54632B43" w14:textId="401D2097" w:rsidR="00EC41ED" w:rsidRPr="00231C6D" w:rsidRDefault="00B44F80" w:rsidP="00B44F80">
      <w:pPr>
        <w:rPr>
          <w:rFonts w:cs="Arial"/>
          <w:sz w:val="24"/>
        </w:rPr>
      </w:pPr>
      <w:r w:rsidRPr="00231C6D">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0DB542BB"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Стомашно-устойчива таблетка</w:t>
      </w:r>
    </w:p>
    <w:p w14:paraId="743244F0" w14:textId="7DCDBAE6" w:rsidR="00EC41ED" w:rsidRPr="00231C6D" w:rsidRDefault="00B44F80" w:rsidP="00B44F80">
      <w:pPr>
        <w:rPr>
          <w:rFonts w:cs="Arial"/>
          <w:sz w:val="24"/>
        </w:rPr>
      </w:pPr>
      <w:r w:rsidRPr="00231C6D">
        <w:rPr>
          <w:rFonts w:eastAsia="Times New Roman" w:cs="Arial"/>
          <w:color w:val="000000"/>
          <w:szCs w:val="20"/>
          <w:lang w:eastAsia="bg-BG"/>
        </w:rPr>
        <w:t>Таблетките са кръгли, леко двойноизпъкнали, с бледокафеникав цвят.</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6B5D7BD"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Лекарството се препоръчва за</w:t>
      </w:r>
    </w:p>
    <w:p w14:paraId="7FD09D41" w14:textId="77777777" w:rsidR="00B44F80" w:rsidRPr="00231C6D" w:rsidRDefault="00B44F80" w:rsidP="00B44F80">
      <w:pPr>
        <w:pStyle w:val="ListParagraph"/>
        <w:numPr>
          <w:ilvl w:val="0"/>
          <w:numId w:val="36"/>
        </w:numPr>
        <w:spacing w:line="240" w:lineRule="auto"/>
        <w:rPr>
          <w:rFonts w:eastAsia="Times New Roman" w:cs="Arial"/>
          <w:sz w:val="28"/>
          <w:szCs w:val="24"/>
          <w:lang w:eastAsia="bg-BG"/>
        </w:rPr>
      </w:pPr>
      <w:r w:rsidRPr="00231C6D">
        <w:rPr>
          <w:rFonts w:eastAsia="Times New Roman" w:cs="Arial"/>
          <w:color w:val="000000"/>
          <w:szCs w:val="20"/>
          <w:lang w:eastAsia="bg-BG"/>
        </w:rPr>
        <w:t>лечение на остри пристъпи и обостряне на болестта на крон, улцерозен колит и проктит,</w:t>
      </w:r>
    </w:p>
    <w:p w14:paraId="72AD6B62" w14:textId="4D639179" w:rsidR="00B44F80" w:rsidRPr="00231C6D" w:rsidRDefault="00B44F80" w:rsidP="00B44F80">
      <w:pPr>
        <w:pStyle w:val="ListParagraph"/>
        <w:numPr>
          <w:ilvl w:val="0"/>
          <w:numId w:val="36"/>
        </w:numPr>
        <w:spacing w:line="240" w:lineRule="auto"/>
        <w:rPr>
          <w:rFonts w:eastAsia="Times New Roman" w:cs="Arial"/>
          <w:sz w:val="28"/>
          <w:szCs w:val="24"/>
          <w:lang w:eastAsia="bg-BG"/>
        </w:rPr>
      </w:pPr>
      <w:r w:rsidRPr="00231C6D">
        <w:rPr>
          <w:rFonts w:eastAsia="Times New Roman" w:cs="Arial"/>
          <w:color w:val="000000"/>
          <w:szCs w:val="20"/>
          <w:lang w:eastAsia="bg-BG"/>
        </w:rPr>
        <w:t>поддържане на ремисия на улцерозен колит и проктит,</w:t>
      </w:r>
    </w:p>
    <w:p w14:paraId="75E9A20B" w14:textId="6A8B078C" w:rsidR="00B44F80" w:rsidRPr="00231C6D" w:rsidRDefault="00B44F80" w:rsidP="00B44F80">
      <w:pPr>
        <w:pStyle w:val="ListParagraph"/>
        <w:numPr>
          <w:ilvl w:val="0"/>
          <w:numId w:val="36"/>
        </w:numPr>
        <w:spacing w:line="240" w:lineRule="auto"/>
        <w:rPr>
          <w:rFonts w:eastAsia="Times New Roman" w:cs="Arial"/>
          <w:sz w:val="28"/>
          <w:szCs w:val="24"/>
          <w:lang w:eastAsia="bg-BG"/>
        </w:rPr>
      </w:pPr>
      <w:r w:rsidRPr="00231C6D">
        <w:rPr>
          <w:rFonts w:eastAsia="Times New Roman" w:cs="Arial"/>
          <w:color w:val="000000"/>
          <w:szCs w:val="20"/>
          <w:lang w:eastAsia="bg-BG"/>
        </w:rPr>
        <w:t>лечение на ревматоиден артрит и ювенилен ревматоиден полиартрит, които не се повлияват достатъчно от нестероидни противовъзпалителни лекарства.</w:t>
      </w:r>
    </w:p>
    <w:p w14:paraId="6DFA4B9D" w14:textId="1EFA8752" w:rsidR="0091385D" w:rsidRPr="00231C6D" w:rsidRDefault="00B44F80" w:rsidP="00B44F80">
      <w:pPr>
        <w:rPr>
          <w:rFonts w:cs="Arial"/>
          <w:sz w:val="24"/>
        </w:rPr>
      </w:pPr>
      <w:r w:rsidRPr="00231C6D">
        <w:rPr>
          <w:rFonts w:eastAsia="Times New Roman" w:cs="Arial"/>
          <w:color w:val="000000"/>
          <w:szCs w:val="20"/>
          <w:lang w:eastAsia="bg-BG"/>
        </w:rPr>
        <w:t>Сулфасалазин може да се комбинира с кортикостероиди и метронидазол.</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64AA6A8"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Дозировката трябва да се съобрази с тежестта на заболяването и евентуалните нежелани реакции. Пациентите трябва да приемат таблетките по време на хранене, с чаша течност. Пропуснатата доза трябва да се приеме колкото е възможно по-скоро, освен в случай, че наближава времето за прием на следващата доза. В такъв случай е необходимо да се приеме само следващата доза по схемата (без да се удвоява).</w:t>
      </w:r>
    </w:p>
    <w:p w14:paraId="14FA3FFD" w14:textId="77777777" w:rsidR="00B44F80" w:rsidRPr="00231C6D" w:rsidRDefault="00B44F80" w:rsidP="00B44F80">
      <w:pPr>
        <w:spacing w:line="240" w:lineRule="auto"/>
        <w:rPr>
          <w:rFonts w:eastAsia="Times New Roman" w:cs="Arial"/>
          <w:color w:val="000000"/>
          <w:szCs w:val="20"/>
          <w:u w:val="single"/>
          <w:lang w:eastAsia="bg-BG"/>
        </w:rPr>
      </w:pPr>
    </w:p>
    <w:p w14:paraId="28E86236" w14:textId="6DF2C19B" w:rsidR="00B44F80" w:rsidRPr="00B44F80" w:rsidRDefault="00B44F80" w:rsidP="00B44F80">
      <w:pPr>
        <w:spacing w:line="240" w:lineRule="auto"/>
        <w:rPr>
          <w:rFonts w:eastAsia="Times New Roman" w:cs="Arial"/>
          <w:color w:val="000000"/>
          <w:szCs w:val="20"/>
          <w:u w:val="single"/>
          <w:lang w:eastAsia="bg-BG"/>
        </w:rPr>
      </w:pPr>
      <w:r w:rsidRPr="00B44F80">
        <w:rPr>
          <w:rFonts w:eastAsia="Times New Roman" w:cs="Arial"/>
          <w:color w:val="000000"/>
          <w:szCs w:val="20"/>
          <w:u w:val="single"/>
          <w:lang w:eastAsia="bg-BG"/>
        </w:rPr>
        <w:t>Улцерозен колит</w:t>
      </w:r>
    </w:p>
    <w:p w14:paraId="3860F7EF" w14:textId="77777777" w:rsidR="00B44F80" w:rsidRPr="00231C6D" w:rsidRDefault="00B44F80" w:rsidP="00B44F80">
      <w:pPr>
        <w:spacing w:line="240" w:lineRule="auto"/>
        <w:rPr>
          <w:rFonts w:eastAsia="Times New Roman" w:cs="Arial"/>
          <w:color w:val="000000"/>
          <w:szCs w:val="20"/>
          <w:u w:val="single"/>
          <w:lang w:eastAsia="bg-BG"/>
        </w:rPr>
      </w:pPr>
    </w:p>
    <w:p w14:paraId="760C69BC" w14:textId="5F7576F1"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u w:val="single"/>
          <w:lang w:eastAsia="bg-BG"/>
        </w:rPr>
        <w:lastRenderedPageBreak/>
        <w:t>Възрастни и старческа възраст</w:t>
      </w:r>
    </w:p>
    <w:p w14:paraId="55CF9BFC" w14:textId="77777777" w:rsidR="00B44F80" w:rsidRPr="00231C6D" w:rsidRDefault="00B44F80" w:rsidP="00B44F80">
      <w:pPr>
        <w:spacing w:line="240" w:lineRule="auto"/>
        <w:rPr>
          <w:rFonts w:eastAsia="Times New Roman" w:cs="Arial"/>
          <w:color w:val="000000"/>
          <w:szCs w:val="20"/>
          <w:lang w:eastAsia="bg-BG"/>
        </w:rPr>
      </w:pPr>
    </w:p>
    <w:p w14:paraId="5541535F" w14:textId="7B145361"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Остри пристъпи: 2 до 4 таблетки 4 пъти дневно, могат да бъдат прилагани съвместно със стероиди като част от интензивен терапевтичен режим. Бързото преминаване на таблетките през организма може да понижи ефекта от лекарството.</w:t>
      </w:r>
    </w:p>
    <w:p w14:paraId="462849F0"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Вечерният интервал между дозите не трябва да надвишава 8 часа.</w:t>
      </w:r>
    </w:p>
    <w:p w14:paraId="4B675630" w14:textId="77777777" w:rsidR="00B44F80" w:rsidRPr="00231C6D" w:rsidRDefault="00B44F80" w:rsidP="00B44F80">
      <w:pPr>
        <w:spacing w:line="240" w:lineRule="auto"/>
        <w:rPr>
          <w:rFonts w:eastAsia="Times New Roman" w:cs="Arial"/>
          <w:color w:val="000000"/>
          <w:szCs w:val="20"/>
          <w:lang w:eastAsia="bg-BG"/>
        </w:rPr>
      </w:pPr>
    </w:p>
    <w:p w14:paraId="12A961A5" w14:textId="189FF42E"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Средни по тежест пристъпи: 2 до 4 таблетки 4 пъти дневно, могат да бъдат прилагани съвместно със стероиди.</w:t>
      </w:r>
    </w:p>
    <w:p w14:paraId="1293C6A0" w14:textId="77777777" w:rsidR="00B44F80" w:rsidRPr="00231C6D" w:rsidRDefault="00B44F80" w:rsidP="00B44F80">
      <w:pPr>
        <w:spacing w:line="240" w:lineRule="auto"/>
        <w:rPr>
          <w:rFonts w:eastAsia="Times New Roman" w:cs="Arial"/>
          <w:color w:val="000000"/>
          <w:szCs w:val="20"/>
          <w:lang w:eastAsia="bg-BG"/>
        </w:rPr>
      </w:pPr>
    </w:p>
    <w:p w14:paraId="0713A82C" w14:textId="5662423B"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 xml:space="preserve">Леки пристъпи: 2 до 4 таблетки 4 пъти дневно, могат да бъдат прилагани с или без стероиди. </w:t>
      </w:r>
    </w:p>
    <w:p w14:paraId="52D7AEED" w14:textId="77777777" w:rsidR="00B44F80" w:rsidRPr="00231C6D" w:rsidRDefault="00B44F80" w:rsidP="00B44F80">
      <w:pPr>
        <w:spacing w:line="240" w:lineRule="auto"/>
        <w:rPr>
          <w:rFonts w:eastAsia="Times New Roman" w:cs="Arial"/>
          <w:color w:val="000000"/>
          <w:szCs w:val="20"/>
          <w:lang w:eastAsia="bg-BG"/>
        </w:rPr>
      </w:pPr>
    </w:p>
    <w:p w14:paraId="7FBF1BCE" w14:textId="692B49B0" w:rsidR="00EC41ED" w:rsidRPr="00231C6D" w:rsidRDefault="00B44F80" w:rsidP="00231C6D">
      <w:pPr>
        <w:spacing w:line="240" w:lineRule="auto"/>
        <w:rPr>
          <w:rFonts w:eastAsia="Times New Roman" w:cs="Arial"/>
          <w:sz w:val="28"/>
          <w:szCs w:val="24"/>
          <w:lang w:eastAsia="bg-BG"/>
        </w:rPr>
      </w:pPr>
      <w:r w:rsidRPr="00B44F80">
        <w:rPr>
          <w:rFonts w:eastAsia="Times New Roman" w:cs="Arial"/>
          <w:color w:val="000000"/>
          <w:szCs w:val="20"/>
          <w:lang w:eastAsia="bg-BG"/>
        </w:rPr>
        <w:t>Поддържаща терапия: С настъпване на ремисия, дозата трябва постепенно да се намалява до 4 таблетки на ден. Тази доза трябва да се приема за неопределен период от време, тъй като</w:t>
      </w:r>
      <w:r w:rsidR="00231C6D">
        <w:rPr>
          <w:rFonts w:eastAsia="Times New Roman" w:cs="Arial"/>
          <w:sz w:val="28"/>
          <w:szCs w:val="24"/>
          <w:lang w:eastAsia="bg-BG"/>
        </w:rPr>
        <w:t xml:space="preserve"> </w:t>
      </w:r>
      <w:r w:rsidRPr="00231C6D">
        <w:rPr>
          <w:rFonts w:eastAsia="Times New Roman" w:cs="Arial"/>
          <w:color w:val="000000"/>
          <w:szCs w:val="20"/>
          <w:lang w:eastAsia="bg-BG"/>
        </w:rPr>
        <w:t>прекратяването на приема, дори няколко години след остър пристъп, е свързано с четирикратно увеличаване на риска от рецидив.</w:t>
      </w:r>
    </w:p>
    <w:p w14:paraId="132F3111" w14:textId="375E9DFA" w:rsidR="005B0F27" w:rsidRPr="00231C6D" w:rsidRDefault="005B0F27" w:rsidP="0091385D">
      <w:pPr>
        <w:rPr>
          <w:rFonts w:cs="Arial"/>
          <w:sz w:val="24"/>
        </w:rPr>
      </w:pPr>
    </w:p>
    <w:p w14:paraId="4EA07615"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i/>
          <w:iCs/>
          <w:color w:val="000000"/>
          <w:szCs w:val="20"/>
          <w:lang w:eastAsia="bg-BG"/>
        </w:rPr>
        <w:t>Педиатрична популация</w:t>
      </w:r>
    </w:p>
    <w:p w14:paraId="7CDEF465"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Дозата трябва да се редуцира пропорционално на телесното тегло.</w:t>
      </w:r>
    </w:p>
    <w:p w14:paraId="1052AEB2"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 xml:space="preserve">Остра атака или рецидив: 40-60 </w:t>
      </w:r>
      <w:r w:rsidRPr="00B44F80">
        <w:rPr>
          <w:rFonts w:eastAsia="Times New Roman" w:cs="Arial"/>
          <w:color w:val="000000"/>
          <w:szCs w:val="20"/>
          <w:lang w:val="en-US"/>
        </w:rPr>
        <w:t>mg/kg</w:t>
      </w:r>
      <w:r w:rsidRPr="00B44F80">
        <w:rPr>
          <w:rFonts w:eastAsia="Times New Roman" w:cs="Arial"/>
          <w:color w:val="000000"/>
          <w:szCs w:val="20"/>
          <w:lang w:eastAsia="bg-BG"/>
        </w:rPr>
        <w:t>/ден.</w:t>
      </w:r>
    </w:p>
    <w:p w14:paraId="4F049AA3" w14:textId="7777777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 xml:space="preserve">Поддържаща доза: 20-30 </w:t>
      </w:r>
      <w:r w:rsidRPr="00B44F80">
        <w:rPr>
          <w:rFonts w:eastAsia="Times New Roman" w:cs="Arial"/>
          <w:color w:val="000000"/>
          <w:szCs w:val="20"/>
          <w:lang w:val="en-US"/>
        </w:rPr>
        <w:t>mg/kg</w:t>
      </w:r>
      <w:r w:rsidRPr="00B44F80">
        <w:rPr>
          <w:rFonts w:eastAsia="Times New Roman" w:cs="Arial"/>
          <w:color w:val="000000"/>
          <w:szCs w:val="20"/>
          <w:lang w:eastAsia="bg-BG"/>
        </w:rPr>
        <w:t>/ден.</w:t>
      </w:r>
    </w:p>
    <w:p w14:paraId="031A354E" w14:textId="77777777" w:rsidR="00B44F80" w:rsidRPr="00231C6D" w:rsidRDefault="00B44F80" w:rsidP="00B44F80">
      <w:pPr>
        <w:spacing w:line="240" w:lineRule="auto"/>
        <w:rPr>
          <w:rFonts w:eastAsia="Times New Roman" w:cs="Arial"/>
          <w:color w:val="000000"/>
          <w:szCs w:val="20"/>
          <w:u w:val="single"/>
          <w:lang w:eastAsia="bg-BG"/>
        </w:rPr>
      </w:pPr>
    </w:p>
    <w:p w14:paraId="7EAD2CFD" w14:textId="4E3284B7"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u w:val="single"/>
          <w:lang w:eastAsia="bg-BG"/>
        </w:rPr>
        <w:t>(б)</w:t>
      </w:r>
      <w:r w:rsidRPr="00B44F80">
        <w:rPr>
          <w:rFonts w:eastAsia="Times New Roman" w:cs="Arial"/>
          <w:color w:val="000000"/>
          <w:szCs w:val="20"/>
          <w:u w:val="single"/>
          <w:lang w:eastAsia="bg-BG"/>
        </w:rPr>
        <w:tab/>
        <w:t>Болест на Крон</w:t>
      </w:r>
    </w:p>
    <w:p w14:paraId="633B2A95" w14:textId="77777777" w:rsidR="00B44F80" w:rsidRPr="00231C6D" w:rsidRDefault="00B44F80" w:rsidP="00B44F80">
      <w:pPr>
        <w:spacing w:line="240" w:lineRule="auto"/>
        <w:rPr>
          <w:rFonts w:eastAsia="Times New Roman" w:cs="Arial"/>
          <w:color w:val="000000"/>
          <w:szCs w:val="20"/>
          <w:lang w:eastAsia="bg-BG"/>
        </w:rPr>
      </w:pPr>
    </w:p>
    <w:p w14:paraId="54A3D494" w14:textId="1F7B9621"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При активна болест на Крон, Сулфасалазин ЕН трябва да се прилага както в случаите на пристъпи на улцерозен колит (вж. по-горе).</w:t>
      </w:r>
    </w:p>
    <w:p w14:paraId="0B516F96" w14:textId="77777777" w:rsidR="00B44F80" w:rsidRPr="00231C6D" w:rsidRDefault="00B44F80" w:rsidP="00B44F80">
      <w:pPr>
        <w:spacing w:line="240" w:lineRule="auto"/>
        <w:rPr>
          <w:rFonts w:eastAsia="Times New Roman" w:cs="Arial"/>
          <w:color w:val="000000"/>
          <w:szCs w:val="20"/>
          <w:u w:val="single"/>
          <w:lang w:eastAsia="bg-BG"/>
        </w:rPr>
      </w:pPr>
    </w:p>
    <w:p w14:paraId="2C1F168C" w14:textId="33F2F944"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u w:val="single"/>
          <w:lang w:eastAsia="bg-BG"/>
        </w:rPr>
        <w:t>(с) Ревматоиден артрит</w:t>
      </w:r>
    </w:p>
    <w:p w14:paraId="20CF0438" w14:textId="77777777" w:rsidR="00B44F80" w:rsidRPr="00231C6D" w:rsidRDefault="00B44F80" w:rsidP="00B44F80">
      <w:pPr>
        <w:spacing w:line="240" w:lineRule="auto"/>
        <w:rPr>
          <w:rFonts w:eastAsia="Times New Roman" w:cs="Arial"/>
          <w:color w:val="000000"/>
          <w:szCs w:val="20"/>
          <w:lang w:eastAsia="bg-BG"/>
        </w:rPr>
      </w:pPr>
    </w:p>
    <w:p w14:paraId="3FB0B819" w14:textId="6FDD889E"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Пациенти с ревматоиден артрит и тези, лекувани за дълъг период от време с НСПВС, могат да имат чувствителен стомах и поради тази причина се препоръчва Сулфасалазин ЕН да се приема както следва:</w:t>
      </w:r>
    </w:p>
    <w:p w14:paraId="2B781E07" w14:textId="77777777" w:rsidR="00B44F80" w:rsidRPr="00231C6D" w:rsidRDefault="00B44F80" w:rsidP="00B44F80">
      <w:pPr>
        <w:spacing w:line="240" w:lineRule="auto"/>
        <w:rPr>
          <w:rFonts w:eastAsia="Times New Roman" w:cs="Arial"/>
          <w:color w:val="000000"/>
          <w:szCs w:val="20"/>
          <w:lang w:eastAsia="bg-BG"/>
        </w:rPr>
      </w:pPr>
    </w:p>
    <w:p w14:paraId="79937C9B" w14:textId="40E1A4B2" w:rsidR="00B44F80" w:rsidRPr="00B44F80" w:rsidRDefault="00B44F80" w:rsidP="00B44F80">
      <w:pPr>
        <w:spacing w:line="240" w:lineRule="auto"/>
        <w:rPr>
          <w:rFonts w:eastAsia="Times New Roman" w:cs="Arial"/>
          <w:sz w:val="28"/>
          <w:szCs w:val="24"/>
          <w:lang w:eastAsia="bg-BG"/>
        </w:rPr>
      </w:pPr>
      <w:r w:rsidRPr="00B44F80">
        <w:rPr>
          <w:rFonts w:eastAsia="Times New Roman" w:cs="Arial"/>
          <w:color w:val="000000"/>
          <w:szCs w:val="20"/>
          <w:lang w:eastAsia="bg-BG"/>
        </w:rPr>
        <w:t xml:space="preserve">Пациентите трябва да започнат лечението с 1 таблетка сулфасалазин (500 </w:t>
      </w:r>
      <w:r w:rsidRPr="00B44F80">
        <w:rPr>
          <w:rFonts w:eastAsia="Times New Roman" w:cs="Arial"/>
          <w:color w:val="000000"/>
          <w:szCs w:val="20"/>
          <w:lang w:val="en-US"/>
        </w:rPr>
        <w:t xml:space="preserve">mg) </w:t>
      </w:r>
      <w:r w:rsidRPr="00B44F80">
        <w:rPr>
          <w:rFonts w:eastAsia="Times New Roman" w:cs="Arial"/>
          <w:color w:val="000000"/>
          <w:szCs w:val="20"/>
          <w:lang w:eastAsia="bg-BG"/>
        </w:rPr>
        <w:t xml:space="preserve">на ден. Те трябва да увеличават дозата на сулфасалазин постепенно, на седмични интервали, така че след 4 седмици да приемат по 2 таблетки (1 </w:t>
      </w:r>
      <w:r w:rsidRPr="00B44F80">
        <w:rPr>
          <w:rFonts w:eastAsia="Times New Roman" w:cs="Arial"/>
          <w:color w:val="000000"/>
          <w:szCs w:val="20"/>
          <w:lang w:val="en-US"/>
        </w:rPr>
        <w:t xml:space="preserve">g) </w:t>
      </w:r>
      <w:r w:rsidRPr="00B44F80">
        <w:rPr>
          <w:rFonts w:eastAsia="Times New Roman" w:cs="Arial"/>
          <w:color w:val="000000"/>
          <w:szCs w:val="20"/>
          <w:lang w:eastAsia="bg-BG"/>
        </w:rPr>
        <w:t>2 до 3 пъти на ден.</w:t>
      </w:r>
    </w:p>
    <w:p w14:paraId="2CDF0A06" w14:textId="77777777" w:rsidR="00B44F80" w:rsidRPr="00231C6D" w:rsidRDefault="00B44F80" w:rsidP="00B44F80">
      <w:pPr>
        <w:rPr>
          <w:rFonts w:eastAsia="Times New Roman" w:cs="Arial"/>
          <w:color w:val="000000"/>
          <w:szCs w:val="20"/>
          <w:lang w:eastAsia="bg-BG"/>
        </w:rPr>
      </w:pPr>
    </w:p>
    <w:p w14:paraId="43DF5E88" w14:textId="3A24B275" w:rsidR="00B44F80" w:rsidRPr="00231C6D" w:rsidRDefault="00B44F80" w:rsidP="00B44F80">
      <w:pPr>
        <w:rPr>
          <w:rFonts w:cs="Arial"/>
          <w:sz w:val="24"/>
        </w:rPr>
      </w:pPr>
      <w:r w:rsidRPr="00231C6D">
        <w:rPr>
          <w:rFonts w:eastAsia="Times New Roman" w:cs="Arial"/>
          <w:color w:val="000000"/>
          <w:szCs w:val="20"/>
          <w:lang w:eastAsia="bg-BG"/>
        </w:rPr>
        <w:t xml:space="preserve">Пациентът трябва да започне лечението с прием на една таблетка дневно, като приеманата дозата се увеличава постепенно чрез добавяне на една таблетка на ден през седмичен интервал, докато се достигне прием от една таблетка четири пъти на ден или две таблетки три пъти на ден, в съответствие с толерантността на пациента и клиничния отговор. Намаляването на </w:t>
      </w:r>
      <w:r w:rsidRPr="00231C6D">
        <w:rPr>
          <w:rFonts w:eastAsia="Times New Roman" w:cs="Arial"/>
          <w:color w:val="000000"/>
          <w:szCs w:val="20"/>
          <w:lang w:val="en-US"/>
        </w:rPr>
        <w:t xml:space="preserve">ESR </w:t>
      </w:r>
      <w:r w:rsidRPr="00231C6D">
        <w:rPr>
          <w:rFonts w:eastAsia="Times New Roman" w:cs="Arial"/>
          <w:color w:val="000000"/>
          <w:szCs w:val="20"/>
          <w:lang w:eastAsia="bg-BG"/>
        </w:rPr>
        <w:t>и С-реактивния протеин трябва да съпътства подобряването на ставната мобилност. НСПВС могат да се приемат едновременно със сулфасалазин.</w:t>
      </w:r>
    </w:p>
    <w:p w14:paraId="375B9A76" w14:textId="77777777" w:rsidR="00B44F80" w:rsidRPr="0091385D" w:rsidRDefault="00B44F80"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6665818E"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lastRenderedPageBreak/>
        <w:t>Свръхчувствителност към активното вещество, сулфонамиди, салицилати или към някое от помощните вещества, изброени в точка 6.1.</w:t>
      </w:r>
    </w:p>
    <w:p w14:paraId="030B6A4D" w14:textId="5F280AA3" w:rsidR="00EC41ED" w:rsidRPr="00231C6D" w:rsidRDefault="00B44F80" w:rsidP="00B44F80">
      <w:pPr>
        <w:rPr>
          <w:rFonts w:cs="Arial"/>
        </w:rPr>
      </w:pPr>
      <w:r w:rsidRPr="00231C6D">
        <w:rPr>
          <w:rFonts w:eastAsia="Times New Roman" w:cs="Arial"/>
          <w:color w:val="000000"/>
          <w:lang w:eastAsia="bg-BG"/>
        </w:rPr>
        <w:t>Лекарството не трябва да се прима от пациенти с жълтеница или порфирия. Лекарството не се препоръчва за деца на възраст под 2 години.</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6C80D549"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Съобщава се за сериозни инфекции, свързани с миелосупресия, включително сепсис и пневмония. Пациентите, които развият нова инфекция по време на лечение със сулфасалазин, трябва да бъдат внимателно наблюдавани. Прилагането на сулфасалазин трябва да бъде прекратено, ако пациент развие сериозна инфекция. Трябва да се внимава, когато се обмисля употребата на сулфасалазин при пациенти с анамнеза за повтарящи се или хронични инфекции или със съпътстващи състояния, които могат да предразположат пациентите към развитие на инфекции.</w:t>
      </w:r>
    </w:p>
    <w:p w14:paraId="4FBF9E15" w14:textId="77777777" w:rsidR="00B44F80" w:rsidRPr="00231C6D" w:rsidRDefault="00B44F80" w:rsidP="00B44F80">
      <w:pPr>
        <w:rPr>
          <w:rFonts w:eastAsia="Times New Roman" w:cs="Arial"/>
          <w:color w:val="000000"/>
          <w:lang w:eastAsia="bg-BG"/>
        </w:rPr>
      </w:pPr>
    </w:p>
    <w:p w14:paraId="45531560" w14:textId="77777777" w:rsidR="00B44F80" w:rsidRPr="00231C6D" w:rsidRDefault="00B44F80" w:rsidP="00B44F80">
      <w:pPr>
        <w:rPr>
          <w:rFonts w:eastAsia="Times New Roman" w:cs="Arial"/>
          <w:lang w:eastAsia="bg-BG"/>
        </w:rPr>
      </w:pPr>
      <w:r w:rsidRPr="00231C6D">
        <w:rPr>
          <w:rFonts w:eastAsia="Times New Roman" w:cs="Arial"/>
          <w:color w:val="000000"/>
          <w:lang w:eastAsia="bg-BG"/>
        </w:rPr>
        <w:t>Пълна кръвна картина, включително диференциален брой на белите кръвни клетки, червените кръвни клетки и тромбоцитите, както и тестове за чернодробната функция, трябва да се извършват преди започване на лечение със сулфасалазин и всяка втора седмица през първите три месеца от терапията. През вторите три месеца същите тестове трябва да се правят веднъж месечно и след това - веднъж на всеки три месеца или както е клинично необходимо. Оценка на бъбречната функция (включително анализ на урината) трябва да се извършва при всички пациенти при започване на лечението и поне веднъж месечно през първите три месеца на терапията. След това наблюдението трябва да се извърши според клиничните показания. Наличието на клинични симптоми като възпалено гърло, треска, бледност, пурпура или жълтеница по време на лечението със сулфасалазин може да е показател за миелосупресия, хемолиза или хепатотоксичност. Лечението със сулфасалазин трябва да се прекрати, докато не са налични резултатите от кръвните изследвания. Моля, вижте точка 4.4 „Влияние върху лабораторни изследвания'</w:t>
      </w:r>
      <w:r w:rsidRPr="00231C6D">
        <w:rPr>
          <w:rFonts w:eastAsia="Times New Roman" w:cs="Arial"/>
          <w:color w:val="000000"/>
          <w:vertAlign w:val="superscript"/>
          <w:lang w:eastAsia="bg-BG"/>
        </w:rPr>
        <w:t>4</w:t>
      </w:r>
      <w:r w:rsidRPr="00231C6D">
        <w:rPr>
          <w:rFonts w:eastAsia="Times New Roman" w:cs="Arial"/>
          <w:color w:val="000000"/>
          <w:lang w:eastAsia="bg-BG"/>
        </w:rPr>
        <w:t>.</w:t>
      </w:r>
    </w:p>
    <w:p w14:paraId="294FC858" w14:textId="77777777" w:rsidR="00B44F80" w:rsidRPr="00231C6D" w:rsidRDefault="00B44F80" w:rsidP="00B44F80">
      <w:pPr>
        <w:spacing w:line="240" w:lineRule="auto"/>
        <w:rPr>
          <w:rFonts w:eastAsia="Times New Roman" w:cs="Arial"/>
          <w:color w:val="000000"/>
          <w:lang w:eastAsia="bg-BG"/>
        </w:rPr>
      </w:pPr>
    </w:p>
    <w:p w14:paraId="1F67CCDC" w14:textId="0D9F0A03"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Сулфасалазин не трябва да се приема от пациенти с нарушена чернодробна или бъбречна функция или с кръвни дискразии, освен ако потенциалната полза не надвишава риска.</w:t>
      </w:r>
    </w:p>
    <w:p w14:paraId="2FA5FB1B" w14:textId="77777777" w:rsidR="00B44F80" w:rsidRPr="00231C6D" w:rsidRDefault="00B44F80" w:rsidP="00B44F80">
      <w:pPr>
        <w:spacing w:line="240" w:lineRule="auto"/>
        <w:rPr>
          <w:rFonts w:eastAsia="Times New Roman" w:cs="Arial"/>
          <w:color w:val="000000"/>
          <w:lang w:eastAsia="bg-BG"/>
        </w:rPr>
      </w:pPr>
    </w:p>
    <w:p w14:paraId="6C2AC440" w14:textId="28A07B46"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Сулфасалазин трябва да се прилага с повишено внимание при пациенти с тежка алергия или бронхиална астма.</w:t>
      </w:r>
    </w:p>
    <w:p w14:paraId="51A7ACE4" w14:textId="77777777" w:rsidR="00B44F80" w:rsidRPr="00231C6D" w:rsidRDefault="00B44F80" w:rsidP="00B44F80">
      <w:pPr>
        <w:spacing w:line="240" w:lineRule="auto"/>
        <w:rPr>
          <w:rFonts w:eastAsia="Times New Roman" w:cs="Arial"/>
          <w:color w:val="000000"/>
          <w:lang w:eastAsia="bg-BG"/>
        </w:rPr>
      </w:pPr>
    </w:p>
    <w:p w14:paraId="3FB7AB29" w14:textId="6E87251D"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Тежките реакции на свръхчувствителност могат да включват засягане на вътрешни органи, като хепатит, нефрит, миокардит, синдром, подобен на мононуклеоза (т.е. псевдомононуклеоза), хематологични отклонения (включително хематофагична хистиоцитоза) и/или пневмонит, включително еозинофилна инфилтрация.</w:t>
      </w:r>
    </w:p>
    <w:p w14:paraId="3C35944D" w14:textId="77777777" w:rsidR="00B44F80" w:rsidRPr="00231C6D" w:rsidRDefault="00B44F80" w:rsidP="00B44F80">
      <w:pPr>
        <w:spacing w:line="240" w:lineRule="auto"/>
        <w:rPr>
          <w:rFonts w:eastAsia="Times New Roman" w:cs="Arial"/>
          <w:color w:val="000000"/>
          <w:lang w:eastAsia="bg-BG"/>
        </w:rPr>
      </w:pPr>
    </w:p>
    <w:p w14:paraId="042E0A8E" w14:textId="6C741424"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Пероралният сулфасалазин инхибира абсорбцията и метаболизма на фолиевата киселина и може да причини дефицит на фолиева киселина (вж. точка 4.6), което потенциално може да доведе до сериозни заболявания на кръвта (например макроцитоза и панцитопения). Това може да се нормализира чрез прилагане на фолиева киселина или фолинова киселина (леуковорин).</w:t>
      </w:r>
    </w:p>
    <w:p w14:paraId="10AA3305" w14:textId="77777777" w:rsidR="00B44F80" w:rsidRPr="00231C6D" w:rsidRDefault="00B44F80" w:rsidP="00B44F80">
      <w:pPr>
        <w:spacing w:line="240" w:lineRule="auto"/>
        <w:rPr>
          <w:rFonts w:eastAsia="Times New Roman" w:cs="Arial"/>
          <w:i/>
          <w:iCs/>
          <w:color w:val="000000"/>
          <w:lang w:eastAsia="bg-BG"/>
        </w:rPr>
      </w:pPr>
    </w:p>
    <w:p w14:paraId="7557A813" w14:textId="0E348A4C"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 xml:space="preserve">Лекарствен обрив с еозинофилия и системни симптоми </w:t>
      </w:r>
      <w:r w:rsidRPr="00B44F80">
        <w:rPr>
          <w:rFonts w:eastAsia="Times New Roman" w:cs="Arial"/>
          <w:i/>
          <w:iCs/>
          <w:color w:val="000000"/>
          <w:lang w:val="en-US"/>
        </w:rPr>
        <w:t>(DRESS)</w:t>
      </w:r>
    </w:p>
    <w:p w14:paraId="3ED7CD79"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lastRenderedPageBreak/>
        <w:t xml:space="preserve">Съобщавани са тежки, животозастрашаващи реакции на системна свръхчувствителност като лекарствен обрив с еозинофилия и системни симптоми </w:t>
      </w:r>
      <w:r w:rsidRPr="00B44F80">
        <w:rPr>
          <w:rFonts w:eastAsia="Times New Roman" w:cs="Arial"/>
          <w:color w:val="000000"/>
          <w:lang w:val="en-US"/>
        </w:rPr>
        <w:t xml:space="preserve">(DRESS) </w:t>
      </w:r>
      <w:r w:rsidRPr="00B44F80">
        <w:rPr>
          <w:rFonts w:eastAsia="Times New Roman" w:cs="Arial"/>
          <w:color w:val="000000"/>
          <w:lang w:eastAsia="bg-BG"/>
        </w:rPr>
        <w:t>при пациенти, приемащи различни лекарства, включително сулфасалазин (вж. точка 4.8).</w:t>
      </w:r>
    </w:p>
    <w:p w14:paraId="02DA5D28" w14:textId="77777777" w:rsidR="00B44F80" w:rsidRPr="00231C6D" w:rsidRDefault="00B44F80" w:rsidP="00B44F80">
      <w:pPr>
        <w:spacing w:line="240" w:lineRule="auto"/>
        <w:rPr>
          <w:rFonts w:eastAsia="Times New Roman" w:cs="Arial"/>
          <w:color w:val="000000"/>
          <w:lang w:eastAsia="bg-BG"/>
        </w:rPr>
      </w:pPr>
    </w:p>
    <w:p w14:paraId="77F27C70" w14:textId="76785ED1"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Важно е да се отбележи, че ранните прояви на свръхчувствителност, като треска или лимфаденопатия, могат да са налични, въпреки че обривът не е видим. Ако са налице такива признаци или симптоми, пациентът трябва да бъде оценен незабавно. Сулфасалазин трябва да се прекрати, ако не може да се установи алтернативна етиология за признаците или симптомите.</w:t>
      </w:r>
    </w:p>
    <w:p w14:paraId="5AE7D60C" w14:textId="77777777" w:rsidR="00B44F80" w:rsidRPr="00231C6D" w:rsidRDefault="00B44F80" w:rsidP="00B44F80">
      <w:pPr>
        <w:spacing w:line="240" w:lineRule="auto"/>
        <w:rPr>
          <w:rFonts w:eastAsia="Times New Roman" w:cs="Arial"/>
          <w:color w:val="000000"/>
          <w:lang w:eastAsia="bg-BG"/>
        </w:rPr>
      </w:pPr>
    </w:p>
    <w:p w14:paraId="2C9CBA97" w14:textId="74C594BC"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 xml:space="preserve">Сериозни кожни реакции, някои от които фатални, включително ексфолиативен дерматит, синдром на </w:t>
      </w:r>
      <w:r w:rsidRPr="00B44F80">
        <w:rPr>
          <w:rFonts w:eastAsia="Times New Roman" w:cs="Arial"/>
          <w:color w:val="000000"/>
          <w:lang w:val="en-US"/>
        </w:rPr>
        <w:t xml:space="preserve">Stevens-Johnson </w:t>
      </w:r>
      <w:r w:rsidRPr="00B44F80">
        <w:rPr>
          <w:rFonts w:eastAsia="Times New Roman" w:cs="Arial"/>
          <w:color w:val="000000"/>
          <w:lang w:eastAsia="bg-BG"/>
        </w:rPr>
        <w:t>и токсична епидермална некролиза, се съобщават много рядко във връзка с употребата на сулфасалазин. Изглежда, че пациентите са изложени на най-висок риск в началото на терапията, като първоначалната поява на симптоми в повечето случаи се наблюдава в рамките на първия месец от лечението. Сулфасалазин трябва да се прекрати при първата поява на кожен обрив, лезии на лигавиците или други признаци на свръхчувствителност.</w:t>
      </w:r>
    </w:p>
    <w:p w14:paraId="52EC9DB6" w14:textId="77777777" w:rsidR="00B44F80" w:rsidRPr="00231C6D" w:rsidRDefault="00B44F80" w:rsidP="00B44F80">
      <w:pPr>
        <w:spacing w:line="240" w:lineRule="auto"/>
        <w:rPr>
          <w:rFonts w:eastAsia="Times New Roman" w:cs="Arial"/>
          <w:color w:val="000000"/>
          <w:lang w:eastAsia="bg-BG"/>
        </w:rPr>
      </w:pPr>
    </w:p>
    <w:p w14:paraId="13AF0DE5" w14:textId="0B0B7DFA"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 xml:space="preserve">Тъй като сулфасалазин може да причини хемолитична анемия, той трябва да се използва с повишено внимание при пациенти с </w:t>
      </w:r>
      <w:r w:rsidRPr="00B44F80">
        <w:rPr>
          <w:rFonts w:eastAsia="Times New Roman" w:cs="Arial"/>
          <w:color w:val="000000"/>
          <w:lang w:val="en-US"/>
        </w:rPr>
        <w:t xml:space="preserve">G-6-PD </w:t>
      </w:r>
      <w:r w:rsidRPr="00B44F80">
        <w:rPr>
          <w:rFonts w:eastAsia="Times New Roman" w:cs="Arial"/>
          <w:color w:val="000000"/>
          <w:lang w:eastAsia="bg-BG"/>
        </w:rPr>
        <w:t>дефицит.</w:t>
      </w:r>
    </w:p>
    <w:p w14:paraId="5C42CE59" w14:textId="77777777" w:rsidR="00B44F80" w:rsidRPr="00231C6D" w:rsidRDefault="00B44F80" w:rsidP="00B44F80">
      <w:pPr>
        <w:spacing w:line="240" w:lineRule="auto"/>
        <w:rPr>
          <w:rFonts w:eastAsia="Times New Roman" w:cs="Arial"/>
          <w:color w:val="000000"/>
          <w:lang w:eastAsia="bg-BG"/>
        </w:rPr>
      </w:pPr>
    </w:p>
    <w:p w14:paraId="3DB4D844" w14:textId="5A6B2A4E"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Тъй като сулфасалазин причинява образуване на кристалурия и камъни в бъбреците, трябва да се поддържа адекватен прием на течности.</w:t>
      </w:r>
    </w:p>
    <w:p w14:paraId="4B911409" w14:textId="77777777" w:rsidR="00B44F80" w:rsidRPr="00231C6D" w:rsidRDefault="00B44F80" w:rsidP="00B44F80">
      <w:pPr>
        <w:spacing w:line="240" w:lineRule="auto"/>
        <w:rPr>
          <w:rFonts w:eastAsia="Times New Roman" w:cs="Arial"/>
          <w:color w:val="000000"/>
          <w:lang w:eastAsia="bg-BG"/>
        </w:rPr>
      </w:pPr>
    </w:p>
    <w:p w14:paraId="5DD98CE1" w14:textId="09F30846"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Олигоспермия и безплодие могат да се появят при мъже, лекувани със сулфасалазин. Изглежда, че прекратяването на приема на лекарството може да прекрати тези ефекти в рамките на 2 до 3 месеца.</w:t>
      </w:r>
    </w:p>
    <w:p w14:paraId="675B8023" w14:textId="77777777" w:rsidR="00B44F80" w:rsidRPr="00231C6D" w:rsidRDefault="00B44F80" w:rsidP="00B44F80">
      <w:pPr>
        <w:spacing w:line="240" w:lineRule="auto"/>
        <w:rPr>
          <w:rFonts w:eastAsia="Times New Roman" w:cs="Arial"/>
          <w:color w:val="000000"/>
          <w:lang w:eastAsia="bg-BG"/>
        </w:rPr>
      </w:pPr>
    </w:p>
    <w:p w14:paraId="7DFE8E51" w14:textId="17BA765D"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Някои видове меки контактни лещи с продължително износване могат да бъдат трайно оцветени по време на терапията.</w:t>
      </w:r>
    </w:p>
    <w:p w14:paraId="54F84D1E" w14:textId="77777777" w:rsidR="00B44F80" w:rsidRPr="00231C6D" w:rsidRDefault="00B44F80" w:rsidP="00B44F80">
      <w:pPr>
        <w:spacing w:line="240" w:lineRule="auto"/>
        <w:rPr>
          <w:rFonts w:eastAsia="Times New Roman" w:cs="Arial"/>
          <w:i/>
          <w:iCs/>
          <w:color w:val="000000"/>
          <w:lang w:eastAsia="bg-BG"/>
        </w:rPr>
      </w:pPr>
    </w:p>
    <w:p w14:paraId="29A6BFEC" w14:textId="3C4F9AF4"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Влияние върху лабораторни изследвания</w:t>
      </w:r>
    </w:p>
    <w:p w14:paraId="7D1D9C5E"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При пациенти с експозиция на сулфасалазин или неговия метаболит, месаламин/месалазин, се съобщава за възможно влияние върху измерванията на норметанефрин в урината чрез течна</w:t>
      </w:r>
      <w:r w:rsidRPr="00B44F80">
        <w:rPr>
          <w:rFonts w:eastAsia="Times New Roman" w:cs="Arial"/>
          <w:color w:val="000000"/>
          <w:vertAlign w:val="superscript"/>
          <w:lang w:eastAsia="bg-BG"/>
        </w:rPr>
        <w:t xml:space="preserve"> </w:t>
      </w:r>
      <w:r w:rsidRPr="00B44F80">
        <w:rPr>
          <w:rFonts w:eastAsia="Times New Roman" w:cs="Arial"/>
          <w:color w:val="000000"/>
          <w:lang w:eastAsia="bg-BG"/>
        </w:rPr>
        <w:t>хроматография, водещо до фалшиво положителен резултат от изследването.</w:t>
      </w:r>
    </w:p>
    <w:p w14:paraId="74EAEC67" w14:textId="77777777" w:rsidR="00B44F80" w:rsidRPr="00231C6D" w:rsidRDefault="00B44F80" w:rsidP="00B44F80">
      <w:pPr>
        <w:rPr>
          <w:rFonts w:eastAsia="Times New Roman" w:cs="Arial"/>
          <w:lang w:eastAsia="bg-BG"/>
        </w:rPr>
      </w:pPr>
      <w:r w:rsidRPr="00231C6D">
        <w:rPr>
          <w:rFonts w:eastAsia="Times New Roman" w:cs="Arial"/>
          <w:color w:val="000000"/>
          <w:lang w:eastAsia="bg-BG"/>
        </w:rPr>
        <w:t xml:space="preserve">Сулфасалазин или неговите метаболити могат да повлияят на </w:t>
      </w:r>
      <w:r w:rsidRPr="00231C6D">
        <w:rPr>
          <w:rFonts w:eastAsia="Times New Roman" w:cs="Arial"/>
          <w:color w:val="000000"/>
          <w:lang w:val="en-US"/>
        </w:rPr>
        <w:t>a6cop6</w:t>
      </w:r>
      <w:r w:rsidRPr="00231C6D">
        <w:rPr>
          <w:rFonts w:eastAsia="Times New Roman" w:cs="Arial"/>
          <w:color w:val="000000"/>
          <w:lang w:eastAsia="bg-BG"/>
        </w:rPr>
        <w:t xml:space="preserve">цията на ултравиолетовите лъчи, особено при 340 </w:t>
      </w:r>
      <w:r w:rsidRPr="00231C6D">
        <w:rPr>
          <w:rFonts w:eastAsia="Times New Roman" w:cs="Arial"/>
          <w:color w:val="000000"/>
          <w:lang w:val="en-US"/>
        </w:rPr>
        <w:t xml:space="preserve">nm, </w:t>
      </w:r>
      <w:r w:rsidRPr="00231C6D">
        <w:rPr>
          <w:rFonts w:eastAsia="Times New Roman" w:cs="Arial"/>
          <w:color w:val="000000"/>
          <w:lang w:eastAsia="bg-BG"/>
        </w:rPr>
        <w:t xml:space="preserve">както и на някои лабораторни анализи, които използват НАДН или НАДФН за измерване на абсорбцията на ултравиолетовите лъчи около тази дължина на вълната. Примери за такива анализи могат да включват урея, амоняк, </w:t>
      </w:r>
      <w:r w:rsidRPr="00231C6D">
        <w:rPr>
          <w:rFonts w:eastAsia="Times New Roman" w:cs="Arial"/>
          <w:color w:val="000000"/>
          <w:lang w:val="en-US"/>
        </w:rPr>
        <w:t xml:space="preserve">LDH, a-HBDH </w:t>
      </w:r>
      <w:r w:rsidRPr="00231C6D">
        <w:rPr>
          <w:rFonts w:eastAsia="Times New Roman" w:cs="Arial"/>
          <w:color w:val="000000"/>
          <w:lang w:eastAsia="bg-BG"/>
        </w:rPr>
        <w:t xml:space="preserve">и глюкоза. Възможно е също аланин аминотрансфераза </w:t>
      </w:r>
      <w:r w:rsidRPr="00231C6D">
        <w:rPr>
          <w:rFonts w:eastAsia="Times New Roman" w:cs="Arial"/>
          <w:color w:val="000000"/>
          <w:lang w:val="en-US"/>
        </w:rPr>
        <w:t xml:space="preserve">(ALT), </w:t>
      </w:r>
      <w:r w:rsidRPr="00231C6D">
        <w:rPr>
          <w:rFonts w:eastAsia="Times New Roman" w:cs="Arial"/>
          <w:color w:val="000000"/>
          <w:lang w:eastAsia="bg-BG"/>
        </w:rPr>
        <w:t xml:space="preserve">аспартат аминотрансфераза </w:t>
      </w:r>
      <w:r w:rsidRPr="00231C6D">
        <w:rPr>
          <w:rFonts w:eastAsia="Times New Roman" w:cs="Arial"/>
          <w:color w:val="000000"/>
          <w:lang w:val="en-US"/>
        </w:rPr>
        <w:t xml:space="preserve">(AST), MB </w:t>
      </w:r>
      <w:r w:rsidRPr="00231C6D">
        <w:rPr>
          <w:rFonts w:eastAsia="Times New Roman" w:cs="Arial"/>
          <w:color w:val="000000"/>
          <w:lang w:eastAsia="bg-BG"/>
        </w:rPr>
        <w:t xml:space="preserve">фракцията на креатин киназа (СК-МВ), глутамат дехидрогеназа </w:t>
      </w:r>
      <w:r w:rsidRPr="00231C6D">
        <w:rPr>
          <w:rFonts w:eastAsia="Times New Roman" w:cs="Arial"/>
          <w:color w:val="000000"/>
          <w:lang w:val="en-US"/>
        </w:rPr>
        <w:t xml:space="preserve">(GLDH) </w:t>
      </w:r>
      <w:r w:rsidRPr="00231C6D">
        <w:rPr>
          <w:rFonts w:eastAsia="Times New Roman" w:cs="Arial"/>
          <w:color w:val="000000"/>
          <w:lang w:eastAsia="bg-BG"/>
        </w:rPr>
        <w:t>или тироксин да показват повлияване, когато лечението със сулфасалазин се прилага при високи дози. Консултирайте се с лабораторията, която извършва изследванията, относно използваната методология. Необходимо е повишено внимание при тълкуването на тези лабораторни резултати при пациенти, които получават сулфасалазин. Резултатите трябва да се интерпретират във връзка с клиничните находки.</w:t>
      </w:r>
    </w:p>
    <w:p w14:paraId="224D25E1" w14:textId="77777777" w:rsidR="00B44F80" w:rsidRPr="00231C6D" w:rsidRDefault="00B44F80" w:rsidP="00B44F80">
      <w:pPr>
        <w:spacing w:line="240" w:lineRule="auto"/>
        <w:rPr>
          <w:rFonts w:eastAsia="Times New Roman" w:cs="Arial"/>
          <w:color w:val="000000"/>
          <w:u w:val="single"/>
          <w:lang w:eastAsia="bg-BG"/>
        </w:rPr>
      </w:pPr>
    </w:p>
    <w:p w14:paraId="737C2759" w14:textId="47805BC3" w:rsidR="00B44F80" w:rsidRPr="00B44F80" w:rsidRDefault="00B44F80" w:rsidP="00B44F80">
      <w:pPr>
        <w:spacing w:line="240" w:lineRule="auto"/>
        <w:rPr>
          <w:rFonts w:eastAsia="Times New Roman" w:cs="Arial"/>
          <w:lang w:eastAsia="bg-BG"/>
        </w:rPr>
      </w:pPr>
      <w:r w:rsidRPr="00B44F80">
        <w:rPr>
          <w:rFonts w:eastAsia="Times New Roman" w:cs="Arial"/>
          <w:color w:val="000000"/>
          <w:u w:val="single"/>
          <w:lang w:eastAsia="bg-BG"/>
        </w:rPr>
        <w:t>Педиатрична популация</w:t>
      </w:r>
    </w:p>
    <w:p w14:paraId="0E28BBDE" w14:textId="7CFE6BF4" w:rsidR="007A2185" w:rsidRPr="00231C6D" w:rsidRDefault="00B44F80" w:rsidP="00B44F80">
      <w:pPr>
        <w:rPr>
          <w:rFonts w:cs="Arial"/>
        </w:rPr>
      </w:pPr>
      <w:r w:rsidRPr="00231C6D">
        <w:rPr>
          <w:rFonts w:eastAsia="Times New Roman" w:cs="Arial"/>
          <w:color w:val="000000"/>
          <w:lang w:eastAsia="bg-BG"/>
        </w:rPr>
        <w:lastRenderedPageBreak/>
        <w:t>Употребата при деца със системен настъпващ ювенилен ревматоиден артрит може да доведе до реакция на серумна болест; следователно, сулфасалазин не се препоръчва при тези пациенти.</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E3E3C3E"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Едновременната употребата на сулфонамиди с антагонисти на фолиева киселина или хипогликемични лекарствени средства може да увеличи ефекта на тези средства.</w:t>
      </w:r>
    </w:p>
    <w:p w14:paraId="1C3E3AA6" w14:textId="77777777" w:rsidR="00B44F80" w:rsidRPr="00231C6D" w:rsidRDefault="00B44F80" w:rsidP="00B44F80">
      <w:pPr>
        <w:spacing w:line="240" w:lineRule="auto"/>
        <w:rPr>
          <w:rFonts w:eastAsia="Times New Roman" w:cs="Arial"/>
          <w:color w:val="000000"/>
          <w:lang w:eastAsia="bg-BG"/>
        </w:rPr>
      </w:pPr>
    </w:p>
    <w:p w14:paraId="2499F2B0" w14:textId="062388A8"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Съобщава се за намалена абсорбция на дигоксин, което води до нетерапевтични серумни нива, при едновременна употреба с перорален сулфасалазин.</w:t>
      </w:r>
    </w:p>
    <w:p w14:paraId="35FB561E" w14:textId="77777777" w:rsidR="00B44F80" w:rsidRPr="00231C6D" w:rsidRDefault="00B44F80" w:rsidP="00B44F80">
      <w:pPr>
        <w:spacing w:line="240" w:lineRule="auto"/>
        <w:rPr>
          <w:rFonts w:eastAsia="Times New Roman" w:cs="Arial"/>
          <w:color w:val="000000"/>
          <w:lang w:eastAsia="bg-BG"/>
        </w:rPr>
      </w:pPr>
    </w:p>
    <w:p w14:paraId="41000D73" w14:textId="0CFBE135"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Поради инхибирането на тиопурин метилтрансфераза (ТРМТ) чрез сулфасалазин, се съобщава за супресация на костния мозък и левкопения, при едновремннна употреба на тиопурин 6- меркаптопурин или неговото предлекарство, азатиоприн, с перорален сулфасалазин.</w:t>
      </w:r>
    </w:p>
    <w:p w14:paraId="31510A10" w14:textId="77777777" w:rsidR="00B44F80" w:rsidRPr="00231C6D" w:rsidRDefault="00B44F80" w:rsidP="00B44F80">
      <w:pPr>
        <w:rPr>
          <w:rFonts w:eastAsia="Times New Roman" w:cs="Arial"/>
          <w:color w:val="000000"/>
          <w:lang w:eastAsia="bg-BG"/>
        </w:rPr>
      </w:pPr>
    </w:p>
    <w:p w14:paraId="5B2761C5" w14:textId="2FDC4BB4" w:rsidR="0091385D" w:rsidRPr="00231C6D" w:rsidRDefault="00B44F80" w:rsidP="00B44F80">
      <w:pPr>
        <w:rPr>
          <w:rFonts w:cs="Arial"/>
        </w:rPr>
      </w:pPr>
      <w:r w:rsidRPr="00231C6D">
        <w:rPr>
          <w:rFonts w:eastAsia="Times New Roman" w:cs="Arial"/>
          <w:color w:val="000000"/>
          <w:lang w:eastAsia="bg-BG"/>
        </w:rPr>
        <w:t>Едновременното приложение на перорален сулфасалазин и метотрексат при пациенти с ревматоиден артрит не променя фармакокинетиката на лекарствата. Отчетена е обаче повишена честота на стомашно-чревни нежелани събития, най-вече гадене.</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481599E8" w14:textId="77777777" w:rsidR="00B44F80" w:rsidRPr="00231C6D" w:rsidRDefault="00B44F80" w:rsidP="00231C6D">
      <w:pPr>
        <w:pStyle w:val="Heading3"/>
        <w:rPr>
          <w:rFonts w:eastAsia="Times New Roman"/>
          <w:u w:val="single"/>
          <w:lang w:eastAsia="bg-BG"/>
        </w:rPr>
      </w:pPr>
      <w:r w:rsidRPr="00231C6D">
        <w:rPr>
          <w:rFonts w:eastAsia="Times New Roman"/>
          <w:u w:val="single"/>
          <w:lang w:eastAsia="bg-BG"/>
        </w:rPr>
        <w:t>Бременност</w:t>
      </w:r>
    </w:p>
    <w:p w14:paraId="7FBE3238"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Проучванията върху размножаване при плъхове и зайци не показват доказателства за вреда за плода. Пероралният сулфасалазин инхибира абсорбцията и метаболизма на фолиевата киселина и може да причини дефицит на фолиева киселина (вж. точка 4.4). Има съобщения за новородени с дефекти на невралната тръба, родени от майки, които са били изложени на сулфасалазин по време на бременността, въпреки че ролята на сулфасалазин при тези дефекти не е установена. Тъй като възможността за увреждане не може да бъде напълно изключена, сулфасалазин трябва да се използва по време на бременност, само ако това е категорично необходимо.</w:t>
      </w:r>
    </w:p>
    <w:p w14:paraId="1860CDA8" w14:textId="77777777" w:rsidR="00B44F80" w:rsidRPr="00231C6D" w:rsidRDefault="00B44F80" w:rsidP="00B44F80">
      <w:pPr>
        <w:spacing w:line="240" w:lineRule="auto"/>
        <w:rPr>
          <w:rFonts w:eastAsia="Times New Roman" w:cs="Arial"/>
          <w:color w:val="000000"/>
          <w:u w:val="single"/>
          <w:lang w:eastAsia="bg-BG"/>
        </w:rPr>
      </w:pPr>
    </w:p>
    <w:p w14:paraId="3E997F7C" w14:textId="18E15AB0" w:rsidR="00B44F80" w:rsidRPr="00231C6D" w:rsidRDefault="00B44F80" w:rsidP="00231C6D">
      <w:pPr>
        <w:pStyle w:val="Heading3"/>
        <w:rPr>
          <w:rFonts w:eastAsia="Times New Roman"/>
          <w:u w:val="single"/>
          <w:lang w:eastAsia="bg-BG"/>
        </w:rPr>
      </w:pPr>
      <w:r w:rsidRPr="00231C6D">
        <w:rPr>
          <w:rFonts w:eastAsia="Times New Roman"/>
          <w:u w:val="single"/>
          <w:lang w:eastAsia="bg-BG"/>
        </w:rPr>
        <w:t>Кърмене</w:t>
      </w:r>
    </w:p>
    <w:p w14:paraId="59903F5C" w14:textId="3A52E328" w:rsidR="00B44F80" w:rsidRPr="00231C6D" w:rsidRDefault="00B44F80" w:rsidP="00B44F80">
      <w:pPr>
        <w:rPr>
          <w:rFonts w:eastAsia="Times New Roman" w:cs="Arial"/>
          <w:color w:val="000000"/>
          <w:lang w:eastAsia="bg-BG"/>
        </w:rPr>
      </w:pPr>
      <w:r w:rsidRPr="00231C6D">
        <w:rPr>
          <w:rFonts w:eastAsia="Times New Roman" w:cs="Arial"/>
          <w:color w:val="000000"/>
          <w:lang w:eastAsia="bg-BG"/>
        </w:rPr>
        <w:t>Сулфасалазин и сулфапиридин се екскретират в ниски нива в кърмата. Трябва да се проявява специално внимание, особено при кърмите на недоносени деца или на деца с дефицит на глюкозо-6-фосфат дехидрогеназа. Има съобщения за кървави изпражнения или диария при кърмачета, които кърмят от майки, приемащи сулфасалазин. В съобщените случаи, кървавите изпражнения или диарията отзвучават у кърмачето след прекратяване на приема на сулфасалазин от майката.</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300ECA73"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Ефектът на сулфасалазин върху способността за шофиране и работа с машини не е</w:t>
      </w:r>
    </w:p>
    <w:p w14:paraId="1C9ABB96" w14:textId="42795A2B" w:rsidR="007A2185" w:rsidRPr="00231C6D" w:rsidRDefault="00B44F80" w:rsidP="00B44F80">
      <w:pPr>
        <w:rPr>
          <w:rFonts w:cs="Arial"/>
        </w:rPr>
      </w:pPr>
      <w:r w:rsidRPr="00231C6D">
        <w:rPr>
          <w:rFonts w:eastAsia="Times New Roman" w:cs="Arial"/>
          <w:color w:val="000000"/>
          <w:lang w:eastAsia="bg-BG"/>
        </w:rPr>
        <w:t>систематично оценяван.</w:t>
      </w:r>
    </w:p>
    <w:p w14:paraId="35801A15" w14:textId="77777777" w:rsidR="0091385D" w:rsidRPr="0091385D" w:rsidRDefault="0091385D" w:rsidP="0091385D"/>
    <w:p w14:paraId="4838F52A" w14:textId="44850CE5" w:rsidR="0091385D" w:rsidRDefault="002C50EE" w:rsidP="007A2185">
      <w:pPr>
        <w:pStyle w:val="Heading2"/>
      </w:pPr>
      <w:r>
        <w:lastRenderedPageBreak/>
        <w:t>4.8. Нежелани лекарствени реакции</w:t>
      </w:r>
    </w:p>
    <w:p w14:paraId="3F4C8EE6" w14:textId="620F0432" w:rsidR="00B44F80" w:rsidRDefault="00B44F80" w:rsidP="00B44F80"/>
    <w:p w14:paraId="45A90B8E"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Нежеланите лекарствени реакции на сулфасалазин са свързани главно с високи концентрации на сулфапиридин в кръвта, особено при хора, при които метаболизирането и екскретирането му му е по-бавно (бавни ацетилатори). Нежеланите лекарствени реакции са по-чести при пациенти с ревматоиден артрит.</w:t>
      </w:r>
    </w:p>
    <w:p w14:paraId="012D2706"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Нежеланите реакции, които могат да възникнат по време на лечение със сулфасалазин, се класифицират в следните групи по честота:</w:t>
      </w:r>
    </w:p>
    <w:p w14:paraId="6E608DF2" w14:textId="77777777" w:rsidR="00B44F80" w:rsidRPr="00231C6D" w:rsidRDefault="00B44F80" w:rsidP="00B44F80">
      <w:pPr>
        <w:pStyle w:val="ListParagraph"/>
        <w:numPr>
          <w:ilvl w:val="0"/>
          <w:numId w:val="37"/>
        </w:numPr>
        <w:spacing w:line="240" w:lineRule="auto"/>
        <w:rPr>
          <w:rFonts w:eastAsia="Times New Roman" w:cs="Arial"/>
          <w:lang w:eastAsia="bg-BG"/>
        </w:rPr>
      </w:pPr>
      <w:r w:rsidRPr="00231C6D">
        <w:rPr>
          <w:rFonts w:eastAsia="Times New Roman" w:cs="Arial"/>
          <w:color w:val="000000"/>
          <w:lang w:eastAsia="bg-BG"/>
        </w:rPr>
        <w:t>много чести (≥ 1 / 10),</w:t>
      </w:r>
    </w:p>
    <w:p w14:paraId="407B2BDE" w14:textId="77777777" w:rsidR="00B44F80" w:rsidRPr="00231C6D" w:rsidRDefault="00B44F80" w:rsidP="00B44F80">
      <w:pPr>
        <w:pStyle w:val="ListParagraph"/>
        <w:numPr>
          <w:ilvl w:val="0"/>
          <w:numId w:val="37"/>
        </w:numPr>
        <w:spacing w:line="240" w:lineRule="auto"/>
        <w:rPr>
          <w:rFonts w:eastAsia="Times New Roman" w:cs="Arial"/>
          <w:lang w:eastAsia="bg-BG"/>
        </w:rPr>
      </w:pPr>
      <w:r w:rsidRPr="00231C6D">
        <w:rPr>
          <w:rFonts w:eastAsia="Times New Roman" w:cs="Arial"/>
          <w:color w:val="000000"/>
          <w:lang w:eastAsia="bg-BG"/>
        </w:rPr>
        <w:t>чести (≥ 1 /100 до &lt;1/10)),</w:t>
      </w:r>
    </w:p>
    <w:p w14:paraId="308AE461" w14:textId="77777777" w:rsidR="00B44F80" w:rsidRPr="00231C6D" w:rsidRDefault="00B44F80" w:rsidP="00B44F80">
      <w:pPr>
        <w:pStyle w:val="ListParagraph"/>
        <w:numPr>
          <w:ilvl w:val="0"/>
          <w:numId w:val="37"/>
        </w:numPr>
        <w:spacing w:line="240" w:lineRule="auto"/>
        <w:rPr>
          <w:rFonts w:eastAsia="Times New Roman" w:cs="Arial"/>
          <w:lang w:eastAsia="bg-BG"/>
        </w:rPr>
      </w:pPr>
      <w:r w:rsidRPr="00231C6D">
        <w:rPr>
          <w:rFonts w:eastAsia="Times New Roman" w:cs="Arial"/>
          <w:color w:val="000000"/>
          <w:lang w:eastAsia="bg-BG"/>
        </w:rPr>
        <w:t>нечести (≥ 1 1 000 до &lt;1/100),</w:t>
      </w:r>
    </w:p>
    <w:p w14:paraId="4718D751" w14:textId="77777777" w:rsidR="00B44F80" w:rsidRPr="00231C6D" w:rsidRDefault="00B44F80" w:rsidP="00B44F80">
      <w:pPr>
        <w:pStyle w:val="ListParagraph"/>
        <w:numPr>
          <w:ilvl w:val="0"/>
          <w:numId w:val="37"/>
        </w:numPr>
        <w:spacing w:line="240" w:lineRule="auto"/>
        <w:rPr>
          <w:rFonts w:eastAsia="Times New Roman" w:cs="Arial"/>
          <w:lang w:eastAsia="bg-BG"/>
        </w:rPr>
      </w:pPr>
      <w:r w:rsidRPr="00231C6D">
        <w:rPr>
          <w:rFonts w:eastAsia="Times New Roman" w:cs="Arial"/>
          <w:color w:val="000000"/>
          <w:lang w:eastAsia="bg-BG"/>
        </w:rPr>
        <w:t xml:space="preserve">редки (≥ 1/10 000 до &lt;1/1 000), </w:t>
      </w:r>
    </w:p>
    <w:p w14:paraId="4CE6255F" w14:textId="77777777" w:rsidR="00B44F80" w:rsidRPr="00231C6D" w:rsidRDefault="00B44F80" w:rsidP="00B44F80">
      <w:pPr>
        <w:pStyle w:val="ListParagraph"/>
        <w:numPr>
          <w:ilvl w:val="0"/>
          <w:numId w:val="37"/>
        </w:numPr>
        <w:spacing w:line="240" w:lineRule="auto"/>
        <w:rPr>
          <w:rFonts w:eastAsia="Times New Roman" w:cs="Arial"/>
          <w:lang w:eastAsia="bg-BG"/>
        </w:rPr>
      </w:pPr>
      <w:r w:rsidRPr="00231C6D">
        <w:rPr>
          <w:rFonts w:eastAsia="Times New Roman" w:cs="Arial"/>
          <w:color w:val="000000"/>
          <w:lang w:eastAsia="bg-BG"/>
        </w:rPr>
        <w:t xml:space="preserve">много редки (&lt;1/10 000) </w:t>
      </w:r>
    </w:p>
    <w:p w14:paraId="03597760" w14:textId="7E02CFAD" w:rsidR="00B44F80" w:rsidRPr="00231C6D" w:rsidRDefault="00B44F80" w:rsidP="00B44F80">
      <w:pPr>
        <w:pStyle w:val="ListParagraph"/>
        <w:numPr>
          <w:ilvl w:val="0"/>
          <w:numId w:val="37"/>
        </w:numPr>
        <w:spacing w:line="240" w:lineRule="auto"/>
        <w:rPr>
          <w:rFonts w:eastAsia="Times New Roman" w:cs="Arial"/>
          <w:lang w:eastAsia="bg-BG"/>
        </w:rPr>
      </w:pPr>
      <w:r w:rsidRPr="00231C6D">
        <w:rPr>
          <w:rFonts w:eastAsia="Times New Roman" w:cs="Arial"/>
          <w:color w:val="000000"/>
          <w:lang w:eastAsia="bg-BG"/>
        </w:rPr>
        <w:t>с неизвестна честота (не може да се оцени от наличните данни).</w:t>
      </w:r>
    </w:p>
    <w:p w14:paraId="1A454EF5"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Във всяка група нежеланите ефекти са представени в низходяща степен на сериозност.</w:t>
      </w:r>
    </w:p>
    <w:p w14:paraId="5AFEB196" w14:textId="77777777" w:rsidR="00B44F80" w:rsidRPr="00231C6D" w:rsidRDefault="00B44F80" w:rsidP="00B44F80">
      <w:pPr>
        <w:spacing w:line="240" w:lineRule="auto"/>
        <w:rPr>
          <w:rFonts w:eastAsia="Times New Roman" w:cs="Arial"/>
          <w:color w:val="000000"/>
          <w:lang w:eastAsia="bg-BG"/>
        </w:rPr>
      </w:pPr>
    </w:p>
    <w:p w14:paraId="6FF2BF81" w14:textId="6AA1C490"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Честотата на нежеланите реакции, изброени в системно-органни класове:</w:t>
      </w:r>
    </w:p>
    <w:p w14:paraId="445ACE1B" w14:textId="77777777" w:rsidR="00B44F80" w:rsidRPr="00231C6D" w:rsidRDefault="00B44F80" w:rsidP="00B44F80">
      <w:pPr>
        <w:spacing w:line="240" w:lineRule="auto"/>
        <w:rPr>
          <w:rFonts w:eastAsia="Times New Roman" w:cs="Arial"/>
          <w:i/>
          <w:iCs/>
          <w:color w:val="000000"/>
          <w:lang w:eastAsia="bg-BG"/>
        </w:rPr>
      </w:pPr>
    </w:p>
    <w:p w14:paraId="4EA9A209" w14:textId="60980DEB"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Инфекции и инфестации:</w:t>
      </w:r>
    </w:p>
    <w:p w14:paraId="5CBA1BF1" w14:textId="7711DC67"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с неизвестна честота: асептичен менингит, псевдомембранозен колит, паротит</w:t>
      </w:r>
    </w:p>
    <w:p w14:paraId="403ADDF9" w14:textId="77777777" w:rsidR="00B44F80" w:rsidRPr="00231C6D" w:rsidRDefault="00B44F80" w:rsidP="00B44F80">
      <w:pPr>
        <w:spacing w:line="240" w:lineRule="auto"/>
        <w:rPr>
          <w:rFonts w:eastAsia="Times New Roman" w:cs="Arial"/>
          <w:i/>
          <w:iCs/>
          <w:color w:val="000000"/>
          <w:lang w:eastAsia="bg-BG"/>
        </w:rPr>
      </w:pPr>
    </w:p>
    <w:p w14:paraId="6ACEE33C" w14:textId="77EFA932"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Изследвания:</w:t>
      </w:r>
    </w:p>
    <w:p w14:paraId="6E1378A5" w14:textId="77777777"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 xml:space="preserve">нечести: повишаване на чернодробните ензими </w:t>
      </w:r>
    </w:p>
    <w:p w14:paraId="1DF06A36" w14:textId="652F9928"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с неизвестна честота: индукция на автоантитела</w:t>
      </w:r>
    </w:p>
    <w:p w14:paraId="33448F6C" w14:textId="77777777" w:rsidR="00B44F80" w:rsidRPr="00231C6D" w:rsidRDefault="00B44F80" w:rsidP="00B44F80">
      <w:pPr>
        <w:spacing w:line="240" w:lineRule="auto"/>
        <w:rPr>
          <w:rFonts w:eastAsia="Times New Roman" w:cs="Arial"/>
          <w:i/>
          <w:iCs/>
          <w:color w:val="000000"/>
          <w:lang w:eastAsia="bg-BG"/>
        </w:rPr>
      </w:pPr>
    </w:p>
    <w:p w14:paraId="557BF3FE" w14:textId="77777777" w:rsidR="00B44F80" w:rsidRPr="00231C6D" w:rsidRDefault="00B44F80" w:rsidP="00B44F80">
      <w:pPr>
        <w:spacing w:line="240" w:lineRule="auto"/>
        <w:rPr>
          <w:rFonts w:eastAsia="Times New Roman" w:cs="Arial"/>
          <w:i/>
          <w:iCs/>
          <w:color w:val="000000"/>
          <w:lang w:eastAsia="bg-BG"/>
        </w:rPr>
      </w:pPr>
      <w:r w:rsidRPr="00B44F80">
        <w:rPr>
          <w:rFonts w:eastAsia="Times New Roman" w:cs="Arial"/>
          <w:i/>
          <w:iCs/>
          <w:color w:val="000000"/>
          <w:lang w:eastAsia="bg-BG"/>
        </w:rPr>
        <w:t>Нарушения</w:t>
      </w:r>
      <w:r w:rsidRPr="00231C6D">
        <w:rPr>
          <w:rFonts w:eastAsia="Times New Roman" w:cs="Arial"/>
          <w:i/>
          <w:iCs/>
          <w:color w:val="000000"/>
          <w:lang w:eastAsia="bg-BG"/>
        </w:rPr>
        <w:t xml:space="preserve"> на кръвта и лимфната система: </w:t>
      </w:r>
    </w:p>
    <w:p w14:paraId="1311F9EC" w14:textId="77777777"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 xml:space="preserve">чести: левкопения </w:t>
      </w:r>
    </w:p>
    <w:p w14:paraId="7AF315E1" w14:textId="5A9B4E26"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 xml:space="preserve">нечести: тромбоцитопения </w:t>
      </w:r>
    </w:p>
    <w:p w14:paraId="2B27655F" w14:textId="6DF213EB"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 xml:space="preserve">с неизвестна честота: панцитопения, агранулоцитоза, апластична анемия, псевдомононуклеоза, хемолитична анемия, макроцитоза, мегалобластна анемия, метхемоглобинемия, анемия на </w:t>
      </w:r>
      <w:r w:rsidRPr="00231C6D">
        <w:rPr>
          <w:rFonts w:eastAsia="Times New Roman" w:cs="Arial"/>
          <w:color w:val="000000"/>
          <w:lang w:val="en-US"/>
        </w:rPr>
        <w:t xml:space="preserve">Heinz, </w:t>
      </w:r>
      <w:r w:rsidRPr="00231C6D">
        <w:rPr>
          <w:rFonts w:eastAsia="Times New Roman" w:cs="Arial"/>
          <w:color w:val="000000"/>
          <w:lang w:eastAsia="bg-BG"/>
        </w:rPr>
        <w:t>хипопротромбинанемия, лимфаденопатия, неутропения</w:t>
      </w:r>
    </w:p>
    <w:p w14:paraId="52B27E13" w14:textId="77777777" w:rsidR="00B44F80" w:rsidRPr="00231C6D" w:rsidRDefault="00B44F80" w:rsidP="00B44F80">
      <w:pPr>
        <w:spacing w:line="240" w:lineRule="auto"/>
        <w:rPr>
          <w:rFonts w:eastAsia="Times New Roman" w:cs="Arial"/>
          <w:i/>
          <w:iCs/>
          <w:color w:val="000000"/>
          <w:lang w:eastAsia="bg-BG"/>
        </w:rPr>
      </w:pPr>
    </w:p>
    <w:p w14:paraId="2168B97E" w14:textId="683EF7BA"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Нарушения на нервната система</w:t>
      </w:r>
    </w:p>
    <w:p w14:paraId="3E89E533" w14:textId="77777777"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 xml:space="preserve">чести: замаяност, главоболие, нарушения на вкуса </w:t>
      </w:r>
    </w:p>
    <w:p w14:paraId="49A0D14B" w14:textId="06888603"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с неизвестна честота: енцефалопатия, периферна невропатия, нарушения на миризмата, атаксия, конвулсии</w:t>
      </w:r>
    </w:p>
    <w:p w14:paraId="7CB5D435" w14:textId="77777777" w:rsidR="00B44F80" w:rsidRPr="00231C6D" w:rsidRDefault="00B44F80" w:rsidP="00B44F80">
      <w:pPr>
        <w:spacing w:line="240" w:lineRule="auto"/>
        <w:rPr>
          <w:rFonts w:eastAsia="Times New Roman" w:cs="Arial"/>
          <w:i/>
          <w:iCs/>
          <w:color w:val="000000"/>
          <w:lang w:eastAsia="bg-BG"/>
        </w:rPr>
      </w:pPr>
    </w:p>
    <w:p w14:paraId="3989FEC4" w14:textId="249B8123"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Нарушения на очите:</w:t>
      </w:r>
    </w:p>
    <w:p w14:paraId="7DFF7AD8"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-с неизвестна честота: конюнктивална и склерална инфекция</w:t>
      </w:r>
    </w:p>
    <w:p w14:paraId="61881E18" w14:textId="77777777" w:rsidR="00B44F80" w:rsidRPr="00231C6D" w:rsidRDefault="00B44F80" w:rsidP="00B44F80">
      <w:pPr>
        <w:spacing w:line="240" w:lineRule="auto"/>
        <w:rPr>
          <w:rFonts w:eastAsia="Times New Roman" w:cs="Arial"/>
          <w:i/>
          <w:iCs/>
          <w:color w:val="000000"/>
          <w:lang w:eastAsia="bg-BG"/>
        </w:rPr>
      </w:pPr>
    </w:p>
    <w:p w14:paraId="4D18A1E9" w14:textId="669AF3CE"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Нарушения на ухото и лабиринта: -</w:t>
      </w:r>
      <w:r w:rsidRPr="00B44F80">
        <w:rPr>
          <w:rFonts w:eastAsia="Times New Roman" w:cs="Arial"/>
          <w:color w:val="000000"/>
          <w:lang w:eastAsia="bg-BG"/>
        </w:rPr>
        <w:t>чести: шум в ушите с неизвестна честота: световъртеж</w:t>
      </w:r>
    </w:p>
    <w:p w14:paraId="581DF450" w14:textId="77777777" w:rsidR="00B44F80" w:rsidRPr="00231C6D" w:rsidRDefault="00B44F80" w:rsidP="00B44F80">
      <w:pPr>
        <w:spacing w:line="240" w:lineRule="auto"/>
        <w:rPr>
          <w:rFonts w:eastAsia="Times New Roman" w:cs="Arial"/>
          <w:i/>
          <w:iCs/>
          <w:color w:val="000000"/>
          <w:lang w:eastAsia="bg-BG"/>
        </w:rPr>
      </w:pPr>
    </w:p>
    <w:p w14:paraId="131C27E4" w14:textId="77777777" w:rsidR="00B44F80" w:rsidRPr="00231C6D" w:rsidRDefault="00B44F80" w:rsidP="00B44F80">
      <w:pPr>
        <w:spacing w:line="240" w:lineRule="auto"/>
        <w:rPr>
          <w:rFonts w:eastAsia="Times New Roman" w:cs="Arial"/>
          <w:i/>
          <w:iCs/>
          <w:color w:val="000000"/>
          <w:lang w:eastAsia="bg-BG"/>
        </w:rPr>
      </w:pPr>
      <w:r w:rsidRPr="00B44F80">
        <w:rPr>
          <w:rFonts w:eastAsia="Times New Roman" w:cs="Arial"/>
          <w:i/>
          <w:iCs/>
          <w:color w:val="000000"/>
          <w:lang w:eastAsia="bg-BG"/>
        </w:rPr>
        <w:t>Сърдечни нарушения:</w:t>
      </w:r>
    </w:p>
    <w:p w14:paraId="450841C9" w14:textId="1E61465D"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color w:val="000000"/>
          <w:lang w:eastAsia="bg-BG"/>
        </w:rPr>
        <w:t>с неизвестна честота: алергичен миокардит, перикардит, цианоза</w:t>
      </w:r>
    </w:p>
    <w:p w14:paraId="7F7035BF" w14:textId="77777777" w:rsidR="00B44F80" w:rsidRPr="00231C6D" w:rsidRDefault="00B44F80" w:rsidP="00B44F80">
      <w:pPr>
        <w:spacing w:line="240" w:lineRule="auto"/>
        <w:rPr>
          <w:rFonts w:eastAsia="Times New Roman" w:cs="Arial"/>
          <w:i/>
          <w:iCs/>
          <w:color w:val="000000"/>
          <w:lang w:eastAsia="bg-BG"/>
        </w:rPr>
      </w:pPr>
    </w:p>
    <w:p w14:paraId="264FF7DA" w14:textId="77777777" w:rsidR="00B44F80" w:rsidRPr="00231C6D" w:rsidRDefault="00B44F80" w:rsidP="00B44F80">
      <w:pPr>
        <w:spacing w:line="240" w:lineRule="auto"/>
        <w:rPr>
          <w:rFonts w:eastAsia="Times New Roman" w:cs="Arial"/>
          <w:i/>
          <w:iCs/>
          <w:color w:val="000000"/>
          <w:lang w:eastAsia="bg-BG"/>
        </w:rPr>
      </w:pPr>
      <w:r w:rsidRPr="00231C6D">
        <w:rPr>
          <w:rFonts w:eastAsia="Times New Roman" w:cs="Arial"/>
          <w:i/>
          <w:iCs/>
          <w:color w:val="000000"/>
          <w:lang w:eastAsia="bg-BG"/>
        </w:rPr>
        <w:lastRenderedPageBreak/>
        <w:t xml:space="preserve">Съдови нарушения: </w:t>
      </w:r>
    </w:p>
    <w:p w14:paraId="68D08333" w14:textId="11D529D1" w:rsidR="00B44F80" w:rsidRPr="00231C6D" w:rsidRDefault="00B44F80" w:rsidP="00B44F80">
      <w:pPr>
        <w:pStyle w:val="ListParagraph"/>
        <w:numPr>
          <w:ilvl w:val="0"/>
          <w:numId w:val="2"/>
        </w:numPr>
        <w:spacing w:line="240" w:lineRule="auto"/>
        <w:rPr>
          <w:rFonts w:eastAsia="Times New Roman" w:cs="Arial"/>
          <w:lang w:eastAsia="bg-BG"/>
        </w:rPr>
      </w:pPr>
      <w:r w:rsidRPr="00231C6D">
        <w:rPr>
          <w:rFonts w:eastAsia="Times New Roman" w:cs="Arial"/>
          <w:i/>
          <w:iCs/>
          <w:color w:val="000000"/>
          <w:lang w:eastAsia="bg-BG"/>
        </w:rPr>
        <w:t>с неизвестна честота: бледност, васкулит</w:t>
      </w:r>
    </w:p>
    <w:p w14:paraId="15A14EDA" w14:textId="77777777" w:rsidR="00B44F80" w:rsidRPr="00231C6D" w:rsidRDefault="00B44F80" w:rsidP="00B44F80">
      <w:pPr>
        <w:spacing w:line="240" w:lineRule="auto"/>
        <w:rPr>
          <w:rFonts w:eastAsia="Times New Roman" w:cs="Arial"/>
          <w:i/>
          <w:iCs/>
          <w:color w:val="000000"/>
          <w:lang w:eastAsia="bg-BG"/>
        </w:rPr>
      </w:pPr>
    </w:p>
    <w:p w14:paraId="22462ACC" w14:textId="0ECAD02F" w:rsidR="00B44F80" w:rsidRPr="00B44F80" w:rsidRDefault="00B44F80" w:rsidP="00B44F80">
      <w:pPr>
        <w:spacing w:line="240" w:lineRule="auto"/>
        <w:rPr>
          <w:rFonts w:eastAsia="Times New Roman" w:cs="Arial"/>
          <w:lang w:eastAsia="bg-BG"/>
        </w:rPr>
      </w:pPr>
      <w:r w:rsidRPr="00B44F80">
        <w:rPr>
          <w:rFonts w:eastAsia="Times New Roman" w:cs="Arial"/>
          <w:i/>
          <w:iCs/>
          <w:color w:val="000000"/>
          <w:lang w:eastAsia="bg-BG"/>
        </w:rPr>
        <w:t>Дихателни, гръдни и медиастинални нарушения:</w:t>
      </w:r>
    </w:p>
    <w:p w14:paraId="317D83E4" w14:textId="77777777" w:rsidR="00B44F80" w:rsidRPr="00231C6D" w:rsidRDefault="00B44F80" w:rsidP="00B44F80">
      <w:pPr>
        <w:numPr>
          <w:ilvl w:val="0"/>
          <w:numId w:val="2"/>
        </w:numPr>
        <w:spacing w:line="240" w:lineRule="auto"/>
        <w:rPr>
          <w:rFonts w:eastAsia="Times New Roman" w:cs="Arial"/>
          <w:color w:val="000000"/>
          <w:lang w:eastAsia="bg-BG"/>
        </w:rPr>
      </w:pPr>
      <w:r w:rsidRPr="00B44F80">
        <w:rPr>
          <w:rFonts w:eastAsia="Times New Roman" w:cs="Arial"/>
          <w:color w:val="000000"/>
          <w:lang w:eastAsia="bg-BG"/>
        </w:rPr>
        <w:t>чести: кашлица</w:t>
      </w:r>
      <w:r w:rsidRPr="00B44F80">
        <w:rPr>
          <w:rFonts w:eastAsia="Times New Roman" w:cs="Arial"/>
          <w:color w:val="000000"/>
          <w:lang w:eastAsia="bg-BG"/>
        </w:rPr>
        <w:tab/>
      </w:r>
    </w:p>
    <w:p w14:paraId="261B00AD" w14:textId="77777777" w:rsidR="00B44F80" w:rsidRPr="00231C6D" w:rsidRDefault="00B44F80" w:rsidP="00B44F80">
      <w:pPr>
        <w:numPr>
          <w:ilvl w:val="0"/>
          <w:numId w:val="2"/>
        </w:numPr>
        <w:spacing w:line="240" w:lineRule="auto"/>
        <w:rPr>
          <w:rFonts w:eastAsia="Times New Roman" w:cs="Arial"/>
          <w:color w:val="000000"/>
          <w:lang w:eastAsia="bg-BG"/>
        </w:rPr>
      </w:pPr>
      <w:r w:rsidRPr="00B44F80">
        <w:rPr>
          <w:rFonts w:eastAsia="Times New Roman" w:cs="Arial"/>
          <w:color w:val="000000"/>
          <w:lang w:eastAsia="bg-BG"/>
        </w:rPr>
        <w:t>нечести: диспнея</w:t>
      </w:r>
    </w:p>
    <w:p w14:paraId="7520D9B6" w14:textId="7E8742CF" w:rsidR="00B44F80" w:rsidRPr="00231C6D" w:rsidRDefault="00B44F80" w:rsidP="00B44F80">
      <w:pPr>
        <w:numPr>
          <w:ilvl w:val="0"/>
          <w:numId w:val="2"/>
        </w:numPr>
        <w:spacing w:line="240" w:lineRule="auto"/>
        <w:rPr>
          <w:rFonts w:eastAsia="Times New Roman" w:cs="Arial"/>
          <w:color w:val="000000"/>
          <w:lang w:eastAsia="bg-BG"/>
        </w:rPr>
      </w:pPr>
      <w:r w:rsidRPr="00231C6D">
        <w:rPr>
          <w:rFonts w:eastAsia="Times New Roman" w:cs="Arial"/>
          <w:color w:val="000000"/>
          <w:lang w:eastAsia="bg-BG"/>
        </w:rPr>
        <w:t>с неизвестна честота: интерстициална белодробна болест, еозинофилна инфилтрация. фиброзиращ алвеолит, болка в орофаринкса</w:t>
      </w:r>
    </w:p>
    <w:p w14:paraId="2A74E8AD" w14:textId="45656A23" w:rsidR="00B44F80" w:rsidRPr="00231C6D" w:rsidRDefault="00B44F80" w:rsidP="00B44F80">
      <w:pPr>
        <w:rPr>
          <w:rFonts w:cs="Arial"/>
        </w:rPr>
      </w:pPr>
    </w:p>
    <w:p w14:paraId="7EFC1738" w14:textId="77777777"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Стомашно-чревни нарушения:</w:t>
      </w:r>
    </w:p>
    <w:p w14:paraId="2698215C"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много чести: стомашен дистрес, гадене</w:t>
      </w:r>
    </w:p>
    <w:p w14:paraId="20D781AA"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ч</w:t>
      </w:r>
      <w:bookmarkStart w:id="1" w:name="_GoBack"/>
      <w:bookmarkEnd w:id="1"/>
      <w:r w:rsidRPr="00231C6D">
        <w:rPr>
          <w:rFonts w:eastAsia="Times New Roman" w:cs="Arial"/>
          <w:color w:val="000000"/>
          <w:lang w:eastAsia="bg-BG"/>
        </w:rPr>
        <w:t>ести: коремна болка, диария, повръщане</w:t>
      </w:r>
    </w:p>
    <w:p w14:paraId="55F75092" w14:textId="3BB4C432"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с неизвестна честота: влошаване на улцерозен колит, стоматит, панкреатит</w:t>
      </w:r>
    </w:p>
    <w:p w14:paraId="09AB0F20" w14:textId="77777777" w:rsidR="00231C6D" w:rsidRPr="00231C6D" w:rsidRDefault="00231C6D" w:rsidP="00231C6D">
      <w:pPr>
        <w:spacing w:line="240" w:lineRule="auto"/>
        <w:rPr>
          <w:rFonts w:eastAsia="Times New Roman" w:cs="Arial"/>
          <w:i/>
          <w:iCs/>
          <w:color w:val="000000"/>
          <w:lang w:eastAsia="bg-BG"/>
        </w:rPr>
      </w:pPr>
    </w:p>
    <w:p w14:paraId="0BDAE542" w14:textId="6958AB28"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Нарушения на бъбреците и пикочните пътища:</w:t>
      </w:r>
    </w:p>
    <w:p w14:paraId="6FB96A3F"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чести: протеинурия</w:t>
      </w:r>
    </w:p>
    <w:p w14:paraId="10168E0D" w14:textId="05F05354"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с неизвестна честота: нефротичен синдром, интерстициален нефрит, нефролитиаза, хематурия, кристалурия</w:t>
      </w:r>
    </w:p>
    <w:p w14:paraId="1DC408CE" w14:textId="77777777" w:rsidR="00231C6D" w:rsidRPr="00231C6D" w:rsidRDefault="00231C6D" w:rsidP="00231C6D">
      <w:pPr>
        <w:spacing w:line="240" w:lineRule="auto"/>
        <w:rPr>
          <w:rFonts w:eastAsia="Times New Roman" w:cs="Arial"/>
          <w:i/>
          <w:iCs/>
          <w:color w:val="000000"/>
          <w:lang w:eastAsia="bg-BG"/>
        </w:rPr>
      </w:pPr>
    </w:p>
    <w:p w14:paraId="4C54415E" w14:textId="02700031"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Нарушения на метаболизма и храненето:</w:t>
      </w:r>
    </w:p>
    <w:p w14:paraId="535B15F5"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чести:загуба на апетит</w:t>
      </w:r>
    </w:p>
    <w:p w14:paraId="16710260" w14:textId="62618C95"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нечести: недостиг на фолиева киселина</w:t>
      </w:r>
    </w:p>
    <w:p w14:paraId="06FA433C" w14:textId="77777777" w:rsidR="00231C6D" w:rsidRPr="00231C6D" w:rsidRDefault="00231C6D" w:rsidP="00231C6D">
      <w:pPr>
        <w:spacing w:line="240" w:lineRule="auto"/>
        <w:rPr>
          <w:rFonts w:eastAsia="Times New Roman" w:cs="Arial"/>
          <w:i/>
          <w:iCs/>
          <w:color w:val="000000"/>
          <w:lang w:eastAsia="bg-BG"/>
        </w:rPr>
      </w:pPr>
    </w:p>
    <w:p w14:paraId="0874DE97" w14:textId="049298BD"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Нарушения на имунната система:</w:t>
      </w:r>
    </w:p>
    <w:p w14:paraId="068C05CD" w14:textId="627020B4"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с неизвестна честота: анафилаксия, серумна болест, полиартерит нодоза</w:t>
      </w:r>
    </w:p>
    <w:p w14:paraId="66004DEB" w14:textId="77777777" w:rsidR="00231C6D" w:rsidRPr="00231C6D" w:rsidRDefault="00231C6D" w:rsidP="00231C6D">
      <w:pPr>
        <w:spacing w:line="240" w:lineRule="auto"/>
        <w:rPr>
          <w:rFonts w:eastAsia="Times New Roman" w:cs="Arial"/>
          <w:i/>
          <w:iCs/>
          <w:color w:val="000000"/>
          <w:lang w:eastAsia="bg-BG"/>
        </w:rPr>
      </w:pPr>
    </w:p>
    <w:p w14:paraId="44C72CC4" w14:textId="49F20D98"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Хепатобилиарни нарушения:</w:t>
      </w:r>
    </w:p>
    <w:p w14:paraId="4106518C"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чести: жълтеница</w:t>
      </w:r>
    </w:p>
    <w:p w14:paraId="1B267649" w14:textId="3F231C6D"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с неизвестна честота: чернодробна недостатъчност, фулминантен хепатит, хепатит, холестатичен хепатит, холестаза</w:t>
      </w:r>
    </w:p>
    <w:p w14:paraId="623A535D" w14:textId="77777777" w:rsidR="00231C6D" w:rsidRPr="00231C6D" w:rsidRDefault="00231C6D" w:rsidP="00231C6D">
      <w:pPr>
        <w:spacing w:line="240" w:lineRule="auto"/>
        <w:rPr>
          <w:rFonts w:eastAsia="Times New Roman" w:cs="Arial"/>
          <w:i/>
          <w:iCs/>
          <w:color w:val="000000"/>
          <w:lang w:eastAsia="bg-BG"/>
        </w:rPr>
      </w:pPr>
    </w:p>
    <w:p w14:paraId="2D94988D" w14:textId="34BA1813"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Нарушения на репродуктивната система и гърдата:</w:t>
      </w:r>
    </w:p>
    <w:p w14:paraId="38AD1E62" w14:textId="7CCA5C1D"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с неизвестна честота: обратима олигоспермия</w:t>
      </w:r>
    </w:p>
    <w:p w14:paraId="45B44A8F" w14:textId="77777777" w:rsidR="00231C6D" w:rsidRPr="00231C6D" w:rsidRDefault="00231C6D" w:rsidP="00231C6D">
      <w:pPr>
        <w:spacing w:line="240" w:lineRule="auto"/>
        <w:rPr>
          <w:rFonts w:eastAsia="Times New Roman" w:cs="Arial"/>
          <w:i/>
          <w:iCs/>
          <w:color w:val="000000"/>
          <w:lang w:eastAsia="bg-BG"/>
        </w:rPr>
      </w:pPr>
    </w:p>
    <w:p w14:paraId="6473622D" w14:textId="424E0220"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Психични нарушения:</w:t>
      </w:r>
    </w:p>
    <w:p w14:paraId="398A4A9D" w14:textId="5C01E393"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нечести: депресия, халюцинации, безсъние</w:t>
      </w:r>
    </w:p>
    <w:p w14:paraId="0A71942C" w14:textId="77777777" w:rsidR="00231C6D" w:rsidRPr="00231C6D" w:rsidRDefault="00231C6D" w:rsidP="00231C6D">
      <w:pPr>
        <w:spacing w:line="240" w:lineRule="auto"/>
        <w:rPr>
          <w:rFonts w:eastAsia="Times New Roman" w:cs="Arial"/>
          <w:i/>
          <w:iCs/>
          <w:color w:val="000000"/>
          <w:lang w:eastAsia="bg-BG"/>
        </w:rPr>
      </w:pPr>
    </w:p>
    <w:p w14:paraId="095D42F4" w14:textId="729CF50B"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Нарушения на кожата и подкожната тъкан:</w:t>
      </w:r>
    </w:p>
    <w:p w14:paraId="2AEBB119"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чести: пурпура, пруритус</w:t>
      </w:r>
    </w:p>
    <w:p w14:paraId="539D8B16"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нечести: алопеция, уртикария</w:t>
      </w:r>
    </w:p>
    <w:p w14:paraId="2EECE943" w14:textId="77777777"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много редки: токсична епидермална некролиза</w:t>
      </w:r>
    </w:p>
    <w:p w14:paraId="1E00DEF2" w14:textId="630AC322" w:rsidR="00231C6D" w:rsidRPr="00231C6D" w:rsidRDefault="00231C6D" w:rsidP="00231C6D">
      <w:pPr>
        <w:pStyle w:val="ListParagraph"/>
        <w:numPr>
          <w:ilvl w:val="0"/>
          <w:numId w:val="38"/>
        </w:numPr>
        <w:spacing w:line="240" w:lineRule="auto"/>
        <w:rPr>
          <w:rFonts w:eastAsia="Times New Roman" w:cs="Arial"/>
          <w:lang w:eastAsia="bg-BG"/>
        </w:rPr>
      </w:pPr>
      <w:r w:rsidRPr="00231C6D">
        <w:rPr>
          <w:rFonts w:eastAsia="Times New Roman" w:cs="Arial"/>
          <w:color w:val="000000"/>
          <w:lang w:eastAsia="bg-BG"/>
        </w:rPr>
        <w:t xml:space="preserve">с неизвестна честота: лекарствен обрив с еозинофилия и системни симптоми </w:t>
      </w:r>
      <w:r w:rsidRPr="00231C6D">
        <w:rPr>
          <w:rFonts w:eastAsia="Times New Roman" w:cs="Arial"/>
          <w:color w:val="000000"/>
          <w:lang w:val="en-US"/>
        </w:rPr>
        <w:t xml:space="preserve">(DRESS), </w:t>
      </w:r>
      <w:r w:rsidRPr="00231C6D">
        <w:rPr>
          <w:rFonts w:eastAsia="Times New Roman" w:cs="Arial"/>
          <w:color w:val="000000"/>
          <w:lang w:eastAsia="bg-BG"/>
        </w:rPr>
        <w:t xml:space="preserve">епидермална некролиза (синдром на </w:t>
      </w:r>
      <w:r w:rsidRPr="00231C6D">
        <w:rPr>
          <w:rFonts w:eastAsia="Times New Roman" w:cs="Arial"/>
          <w:color w:val="000000"/>
          <w:lang w:val="en-US"/>
        </w:rPr>
        <w:t xml:space="preserve">Lyell), </w:t>
      </w:r>
      <w:r w:rsidRPr="00231C6D">
        <w:rPr>
          <w:rFonts w:eastAsia="Times New Roman" w:cs="Arial"/>
          <w:color w:val="000000"/>
          <w:lang w:eastAsia="bg-BG"/>
        </w:rPr>
        <w:t xml:space="preserve">синдром на </w:t>
      </w:r>
      <w:r w:rsidRPr="00231C6D">
        <w:rPr>
          <w:rFonts w:eastAsia="Times New Roman" w:cs="Arial"/>
          <w:color w:val="000000"/>
          <w:lang w:val="en-US"/>
        </w:rPr>
        <w:t xml:space="preserve">Stevens-Johnson, </w:t>
      </w:r>
      <w:r w:rsidRPr="00231C6D">
        <w:rPr>
          <w:rFonts w:eastAsia="Times New Roman" w:cs="Arial"/>
          <w:color w:val="000000"/>
          <w:lang w:eastAsia="bg-BG"/>
        </w:rPr>
        <w:t>екзантема, ексфолиативен дерматит, ангиоедем, токсична пустулодермия, лихен планус, фоточувствителност, еритема, периорбитален оток</w:t>
      </w:r>
    </w:p>
    <w:p w14:paraId="18F9F4D1" w14:textId="77777777" w:rsidR="00231C6D" w:rsidRPr="00231C6D" w:rsidRDefault="00231C6D" w:rsidP="00231C6D">
      <w:pPr>
        <w:spacing w:line="240" w:lineRule="auto"/>
        <w:rPr>
          <w:rFonts w:eastAsia="Times New Roman" w:cs="Arial"/>
          <w:i/>
          <w:iCs/>
          <w:color w:val="000000"/>
          <w:lang w:eastAsia="bg-BG"/>
        </w:rPr>
      </w:pPr>
    </w:p>
    <w:p w14:paraId="1EE78B64" w14:textId="77777777"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Нарушения на мускулно-скелетната и съединителната тъкан:</w:t>
      </w:r>
    </w:p>
    <w:p w14:paraId="52BB0E0C" w14:textId="77777777" w:rsidR="00231C6D" w:rsidRPr="00231C6D" w:rsidRDefault="00231C6D" w:rsidP="00231C6D">
      <w:pPr>
        <w:pStyle w:val="ListParagraph"/>
        <w:numPr>
          <w:ilvl w:val="0"/>
          <w:numId w:val="39"/>
        </w:numPr>
        <w:spacing w:line="240" w:lineRule="auto"/>
        <w:rPr>
          <w:rFonts w:eastAsia="Times New Roman" w:cs="Arial"/>
          <w:lang w:eastAsia="bg-BG"/>
        </w:rPr>
      </w:pPr>
      <w:r w:rsidRPr="00231C6D">
        <w:rPr>
          <w:rFonts w:eastAsia="Times New Roman" w:cs="Arial"/>
          <w:color w:val="000000"/>
          <w:lang w:eastAsia="bg-BG"/>
        </w:rPr>
        <w:t>чести: артралгия</w:t>
      </w:r>
    </w:p>
    <w:p w14:paraId="04BBEF01" w14:textId="0A35F314" w:rsidR="00231C6D" w:rsidRPr="00231C6D" w:rsidRDefault="00231C6D" w:rsidP="00231C6D">
      <w:pPr>
        <w:pStyle w:val="ListParagraph"/>
        <w:numPr>
          <w:ilvl w:val="0"/>
          <w:numId w:val="39"/>
        </w:numPr>
        <w:spacing w:line="240" w:lineRule="auto"/>
        <w:rPr>
          <w:rFonts w:eastAsia="Times New Roman" w:cs="Arial"/>
          <w:lang w:eastAsia="bg-BG"/>
        </w:rPr>
      </w:pPr>
      <w:r w:rsidRPr="00231C6D">
        <w:rPr>
          <w:rFonts w:eastAsia="Times New Roman" w:cs="Arial"/>
          <w:color w:val="000000"/>
          <w:lang w:eastAsia="bg-BG"/>
        </w:rPr>
        <w:t xml:space="preserve">с неизвестна честота: системен лупус еритематозус, синдром на </w:t>
      </w:r>
      <w:proofErr w:type="spellStart"/>
      <w:r w:rsidRPr="00231C6D">
        <w:rPr>
          <w:rFonts w:eastAsia="Times New Roman" w:cs="Arial"/>
          <w:color w:val="000000"/>
          <w:lang w:val="en-US"/>
        </w:rPr>
        <w:t>Sjogren</w:t>
      </w:r>
      <w:proofErr w:type="spellEnd"/>
    </w:p>
    <w:p w14:paraId="38CCB588" w14:textId="77777777" w:rsidR="00231C6D" w:rsidRPr="00231C6D" w:rsidRDefault="00231C6D" w:rsidP="00231C6D">
      <w:pPr>
        <w:spacing w:line="240" w:lineRule="auto"/>
        <w:rPr>
          <w:rFonts w:eastAsia="Times New Roman" w:cs="Arial"/>
          <w:lang w:eastAsia="bg-BG"/>
        </w:rPr>
      </w:pPr>
      <w:r w:rsidRPr="00231C6D">
        <w:rPr>
          <w:rFonts w:eastAsia="Times New Roman" w:cs="Arial"/>
          <w:color w:val="000000"/>
          <w:lang w:eastAsia="bg-BG"/>
        </w:rPr>
        <w:t>Вродени, фамилни и генетични нарушения</w:t>
      </w:r>
    </w:p>
    <w:p w14:paraId="205CF6C7" w14:textId="6541858C" w:rsidR="00231C6D" w:rsidRPr="00231C6D" w:rsidRDefault="00231C6D" w:rsidP="00231C6D">
      <w:pPr>
        <w:pStyle w:val="ListParagraph"/>
        <w:numPr>
          <w:ilvl w:val="0"/>
          <w:numId w:val="39"/>
        </w:numPr>
        <w:spacing w:line="240" w:lineRule="auto"/>
        <w:rPr>
          <w:rFonts w:eastAsia="Times New Roman" w:cs="Arial"/>
          <w:lang w:eastAsia="bg-BG"/>
        </w:rPr>
      </w:pPr>
      <w:r w:rsidRPr="00231C6D">
        <w:rPr>
          <w:rFonts w:eastAsia="Times New Roman" w:cs="Arial"/>
          <w:color w:val="000000"/>
          <w:lang w:eastAsia="bg-BG"/>
        </w:rPr>
        <w:lastRenderedPageBreak/>
        <w:t>с неизвестна честота: може да се ускори настъпването на остра атака при пациенти с порфирия</w:t>
      </w:r>
    </w:p>
    <w:p w14:paraId="341467E7" w14:textId="77777777" w:rsidR="00231C6D" w:rsidRPr="00231C6D" w:rsidRDefault="00231C6D" w:rsidP="00231C6D">
      <w:pPr>
        <w:spacing w:line="240" w:lineRule="auto"/>
        <w:rPr>
          <w:rFonts w:eastAsia="Times New Roman" w:cs="Arial"/>
          <w:i/>
          <w:iCs/>
          <w:color w:val="000000"/>
          <w:lang w:eastAsia="bg-BG"/>
        </w:rPr>
      </w:pPr>
    </w:p>
    <w:p w14:paraId="2973F800" w14:textId="4831A85A" w:rsidR="00231C6D" w:rsidRPr="00231C6D" w:rsidRDefault="00231C6D" w:rsidP="00231C6D">
      <w:pPr>
        <w:spacing w:line="240" w:lineRule="auto"/>
        <w:rPr>
          <w:rFonts w:eastAsia="Times New Roman" w:cs="Arial"/>
          <w:lang w:eastAsia="bg-BG"/>
        </w:rPr>
      </w:pPr>
      <w:r w:rsidRPr="00231C6D">
        <w:rPr>
          <w:rFonts w:eastAsia="Times New Roman" w:cs="Arial"/>
          <w:i/>
          <w:iCs/>
          <w:color w:val="000000"/>
          <w:lang w:eastAsia="bg-BG"/>
        </w:rPr>
        <w:t>Общи нарушения и нарушения на мястото на приложение</w:t>
      </w:r>
    </w:p>
    <w:p w14:paraId="1730E09E" w14:textId="77777777" w:rsidR="00231C6D" w:rsidRPr="00231C6D" w:rsidRDefault="00231C6D" w:rsidP="00231C6D">
      <w:pPr>
        <w:pStyle w:val="ListParagraph"/>
        <w:numPr>
          <w:ilvl w:val="0"/>
          <w:numId w:val="39"/>
        </w:numPr>
        <w:spacing w:line="240" w:lineRule="auto"/>
        <w:rPr>
          <w:rFonts w:eastAsia="Times New Roman" w:cs="Arial"/>
          <w:lang w:eastAsia="bg-BG"/>
        </w:rPr>
      </w:pPr>
      <w:r w:rsidRPr="00231C6D">
        <w:rPr>
          <w:rFonts w:eastAsia="Times New Roman" w:cs="Arial"/>
          <w:color w:val="000000"/>
          <w:lang w:eastAsia="bg-BG"/>
        </w:rPr>
        <w:t>чести: треска</w:t>
      </w:r>
    </w:p>
    <w:p w14:paraId="7DD80041" w14:textId="77777777" w:rsidR="00231C6D" w:rsidRPr="00231C6D" w:rsidRDefault="00231C6D" w:rsidP="00231C6D">
      <w:pPr>
        <w:pStyle w:val="ListParagraph"/>
        <w:numPr>
          <w:ilvl w:val="0"/>
          <w:numId w:val="39"/>
        </w:numPr>
        <w:spacing w:line="240" w:lineRule="auto"/>
        <w:rPr>
          <w:rFonts w:eastAsia="Times New Roman" w:cs="Arial"/>
          <w:lang w:eastAsia="bg-BG"/>
        </w:rPr>
      </w:pPr>
      <w:r w:rsidRPr="00231C6D">
        <w:rPr>
          <w:rFonts w:eastAsia="Times New Roman" w:cs="Arial"/>
          <w:color w:val="000000"/>
          <w:lang w:eastAsia="bg-BG"/>
        </w:rPr>
        <w:t>нечести: оток на лицето</w:t>
      </w:r>
    </w:p>
    <w:p w14:paraId="5EA58A4B" w14:textId="3BD88E4D" w:rsidR="00231C6D" w:rsidRPr="00231C6D" w:rsidRDefault="00231C6D" w:rsidP="00231C6D">
      <w:pPr>
        <w:pStyle w:val="ListParagraph"/>
        <w:numPr>
          <w:ilvl w:val="0"/>
          <w:numId w:val="39"/>
        </w:numPr>
        <w:spacing w:line="240" w:lineRule="auto"/>
        <w:rPr>
          <w:rFonts w:eastAsia="Times New Roman" w:cs="Arial"/>
          <w:lang w:eastAsia="bg-BG"/>
        </w:rPr>
      </w:pPr>
      <w:r w:rsidRPr="00231C6D">
        <w:rPr>
          <w:rFonts w:eastAsia="Times New Roman" w:cs="Arial"/>
          <w:color w:val="000000"/>
          <w:lang w:eastAsia="bg-BG"/>
        </w:rPr>
        <w:t>с неизвестна честота: жълто оцветяване на кожата и телесните течности, лекарствена треска, генерализирани кожни обриви</w:t>
      </w:r>
    </w:p>
    <w:p w14:paraId="0537FA19" w14:textId="77777777" w:rsidR="00231C6D" w:rsidRPr="00B44F80" w:rsidRDefault="00231C6D" w:rsidP="00B44F80"/>
    <w:p w14:paraId="69C6158A"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u w:val="single"/>
          <w:lang w:eastAsia="bg-BG"/>
        </w:rPr>
        <w:t>Съобщаване на подозирани нежелани реакции</w:t>
      </w:r>
    </w:p>
    <w:p w14:paraId="0254AACC" w14:textId="5EDDD5A9" w:rsidR="007A2185" w:rsidRPr="00231C6D" w:rsidRDefault="00B44F80" w:rsidP="0091385D">
      <w:pPr>
        <w:rPr>
          <w:rFonts w:cs="Arial"/>
        </w:rPr>
      </w:pPr>
      <w:r w:rsidRPr="00231C6D">
        <w:rPr>
          <w:rFonts w:eastAsia="Times New Roman" w:cs="Arial"/>
          <w:color w:val="000000"/>
          <w:lang w:eastAsia="bg-BG"/>
        </w:rPr>
        <w:t>Съобщаването на подозирани нежелани реакции след разрешаване за употреба нд лекарствения продукт е важно. Това позволява да продължи наблюдението на съотношението полза/риск за</w:t>
      </w:r>
      <w:r w:rsidRPr="00231C6D">
        <w:rPr>
          <w:rFonts w:cs="Arial"/>
        </w:rPr>
        <w:t xml:space="preserve"> </w:t>
      </w:r>
      <w:r w:rsidRPr="00231C6D">
        <w:rPr>
          <w:rFonts w:cs="Arial"/>
        </w:rPr>
        <w:t xml:space="preserve">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Тел.:+35 928903417 уебсайт: </w:t>
      </w:r>
      <w:r w:rsidRPr="00231C6D">
        <w:rPr>
          <w:rFonts w:cs="Arial"/>
        </w:rPr>
        <w:fldChar w:fldCharType="begin"/>
      </w:r>
      <w:r w:rsidRPr="00231C6D">
        <w:rPr>
          <w:rFonts w:cs="Arial"/>
        </w:rPr>
        <w:instrText xml:space="preserve"> HYPERLINK "http://www.bda.bg" </w:instrText>
      </w:r>
      <w:r w:rsidRPr="00231C6D">
        <w:rPr>
          <w:rFonts w:cs="Arial"/>
        </w:rPr>
      </w:r>
      <w:r w:rsidRPr="00231C6D">
        <w:rPr>
          <w:rFonts w:cs="Arial"/>
        </w:rPr>
        <w:fldChar w:fldCharType="separate"/>
      </w:r>
      <w:r w:rsidRPr="00231C6D">
        <w:rPr>
          <w:rFonts w:cs="Arial"/>
          <w:u w:val="single"/>
          <w:lang w:val="en-US"/>
        </w:rPr>
        <w:t>www.bda.bg</w:t>
      </w:r>
      <w:r w:rsidRPr="00231C6D">
        <w:rPr>
          <w:rFonts w:cs="Arial"/>
        </w:rPr>
        <w:fldChar w:fldCharType="end"/>
      </w:r>
      <w:r w:rsidRPr="00231C6D">
        <w:rPr>
          <w:rFonts w:cs="Arial"/>
          <w:lang w:val="en-US"/>
        </w:rPr>
        <w:t>.</w:t>
      </w:r>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06407DE3"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Най-честите симптоми на предозиране, подобно на други сулфонамиди, са гадене и повръщане. Пациентите с нарушена бъбречна функция са изложени на повишен риск от сериозна токсичност.</w:t>
      </w:r>
    </w:p>
    <w:p w14:paraId="6A43B8F3" w14:textId="732A16BF" w:rsidR="007A2185" w:rsidRPr="00231C6D" w:rsidRDefault="00B44F80" w:rsidP="00B44F80">
      <w:pPr>
        <w:rPr>
          <w:rFonts w:cs="Arial"/>
        </w:rPr>
      </w:pPr>
      <w:r w:rsidRPr="00231C6D">
        <w:rPr>
          <w:rFonts w:eastAsia="Times New Roman" w:cs="Arial"/>
          <w:color w:val="000000"/>
          <w:lang w:eastAsia="bg-BG"/>
        </w:rPr>
        <w:t>Лечението е симптоматично и трябва да бъде поддържащо, включително алкализиране на урината. Пациентите трябва да се наблюдават за развитие на метхемоглобинемия или сулфахемоглобинемия. Ако възникнат, трябва да се лекуват по клинично подходящ начин.</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0EBE11DE"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Фармакотерапевтична група: аминосалицилова киселина и други подобни средства, АТС код: А07ЕС01.</w:t>
      </w:r>
    </w:p>
    <w:p w14:paraId="0510B387" w14:textId="77777777" w:rsidR="00B44F80" w:rsidRPr="00231C6D" w:rsidRDefault="00B44F80" w:rsidP="00B44F80">
      <w:pPr>
        <w:rPr>
          <w:rFonts w:eastAsia="Times New Roman" w:cs="Arial"/>
          <w:color w:val="000000"/>
          <w:lang w:eastAsia="bg-BG"/>
        </w:rPr>
      </w:pPr>
    </w:p>
    <w:p w14:paraId="038F692B" w14:textId="64FAD029" w:rsidR="007A2185" w:rsidRPr="00231C6D" w:rsidRDefault="00B44F80" w:rsidP="00B44F80">
      <w:pPr>
        <w:rPr>
          <w:rFonts w:cs="Arial"/>
        </w:rPr>
      </w:pPr>
      <w:r w:rsidRPr="00231C6D">
        <w:rPr>
          <w:rFonts w:eastAsia="Times New Roman" w:cs="Arial"/>
          <w:color w:val="000000"/>
          <w:lang w:eastAsia="bg-BG"/>
        </w:rPr>
        <w:t xml:space="preserve">Сулфасалазинът се метаболизира от бактериите в дебелото черво до сулфапиридин и месалазин. И трите съединения имат фармакологични ефекти, главно имуномодулиращи, антибактериални и промяна в каскадата на арахидоновата киселина, както и в активността на някои ензими. Общият резултат е намаляване на активността на някои възпалителни заболявания, а именно улцерозен колит, болест на </w:t>
      </w:r>
      <w:r w:rsidRPr="00231C6D">
        <w:rPr>
          <w:rFonts w:eastAsia="Times New Roman" w:cs="Arial"/>
          <w:color w:val="000000"/>
          <w:lang w:val="en-US"/>
        </w:rPr>
        <w:t xml:space="preserve">Crohn </w:t>
      </w:r>
      <w:r w:rsidRPr="00231C6D">
        <w:rPr>
          <w:rFonts w:eastAsia="Times New Roman" w:cs="Arial"/>
          <w:color w:val="000000"/>
          <w:lang w:eastAsia="bg-BG"/>
        </w:rPr>
        <w:t xml:space="preserve">и ревматоиден артрит. При ревматоиден артрит ефектът на лекарството е променящ хода на заболяването, за период от един до три месеца. Смята се, че мезалазинът не предизвиква този ефект. Подобрението на </w:t>
      </w:r>
      <w:r w:rsidRPr="00231C6D">
        <w:rPr>
          <w:rFonts w:eastAsia="Times New Roman" w:cs="Arial"/>
          <w:color w:val="000000"/>
          <w:lang w:val="en-US"/>
        </w:rPr>
        <w:t xml:space="preserve">ESR </w:t>
      </w:r>
      <w:r w:rsidRPr="00231C6D">
        <w:rPr>
          <w:rFonts w:eastAsia="Times New Roman" w:cs="Arial"/>
          <w:color w:val="000000"/>
          <w:lang w:eastAsia="bg-BG"/>
        </w:rPr>
        <w:t xml:space="preserve">и </w:t>
      </w:r>
      <w:r w:rsidRPr="00231C6D">
        <w:rPr>
          <w:rFonts w:eastAsia="Times New Roman" w:cs="Arial"/>
          <w:color w:val="000000"/>
          <w:lang w:val="en-US"/>
        </w:rPr>
        <w:t xml:space="preserve">CRP </w:t>
      </w:r>
      <w:r w:rsidRPr="00231C6D">
        <w:rPr>
          <w:rFonts w:eastAsia="Times New Roman" w:cs="Arial"/>
          <w:color w:val="000000"/>
          <w:lang w:eastAsia="bg-BG"/>
        </w:rPr>
        <w:t xml:space="preserve">и прогресия </w:t>
      </w:r>
      <w:r w:rsidRPr="00231C6D">
        <w:rPr>
          <w:rFonts w:eastAsia="Times New Roman" w:cs="Arial"/>
          <w:color w:val="000000"/>
          <w:lang w:val="en-US"/>
        </w:rPr>
        <w:t xml:space="preserve">(Larsen </w:t>
      </w:r>
      <w:r w:rsidRPr="00231C6D">
        <w:rPr>
          <w:rFonts w:eastAsia="Times New Roman" w:cs="Arial"/>
          <w:color w:val="000000"/>
          <w:lang w:eastAsia="bg-BG"/>
        </w:rPr>
        <w:t xml:space="preserve">или </w:t>
      </w:r>
      <w:r w:rsidRPr="00231C6D">
        <w:rPr>
          <w:rFonts w:eastAsia="Times New Roman" w:cs="Arial"/>
          <w:color w:val="000000"/>
          <w:lang w:val="en-US"/>
        </w:rPr>
        <w:t xml:space="preserve">Sharp Index) </w:t>
      </w:r>
      <w:r w:rsidRPr="00231C6D">
        <w:rPr>
          <w:rFonts w:eastAsia="Times New Roman" w:cs="Arial"/>
          <w:color w:val="000000"/>
          <w:lang w:eastAsia="bg-BG"/>
        </w:rPr>
        <w:t>са показали значително понижение при ранно започнали терапията пациенти, в сравнение с лечение с плацебо или хидроксихлорохин в продължение на две години. Постигнатият ефект се запазва след спиране на лечението.</w:t>
      </w:r>
    </w:p>
    <w:p w14:paraId="36152471" w14:textId="77777777" w:rsidR="0091385D" w:rsidRPr="0091385D" w:rsidRDefault="0091385D" w:rsidP="0091385D"/>
    <w:p w14:paraId="5031193D" w14:textId="408B9A83" w:rsidR="0091385D" w:rsidRDefault="002C50EE" w:rsidP="007A2185">
      <w:pPr>
        <w:pStyle w:val="Heading2"/>
      </w:pPr>
      <w:r>
        <w:lastRenderedPageBreak/>
        <w:t>5.2. Фармакокинетични свойства</w:t>
      </w:r>
    </w:p>
    <w:p w14:paraId="46B35D05" w14:textId="586024C4" w:rsidR="007A2185" w:rsidRDefault="007A2185" w:rsidP="007A2185"/>
    <w:p w14:paraId="5F4AEE63"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 xml:space="preserve">Около 90% от дозата на сулфасалазин </w:t>
      </w:r>
      <w:r w:rsidRPr="00B44F80">
        <w:rPr>
          <w:rFonts w:eastAsia="Times New Roman" w:cs="Arial"/>
          <w:color w:val="000000"/>
          <w:lang w:val="en-US"/>
        </w:rPr>
        <w:t xml:space="preserve">(SU) </w:t>
      </w:r>
      <w:r w:rsidRPr="00B44F80">
        <w:rPr>
          <w:rFonts w:eastAsia="Times New Roman" w:cs="Arial"/>
          <w:color w:val="000000"/>
          <w:lang w:eastAsia="bg-BG"/>
        </w:rPr>
        <w:t xml:space="preserve">достига до дебелото черво, където чревните бактериите разделят лекарството на сулфапиридин </w:t>
      </w:r>
      <w:r w:rsidRPr="00B44F80">
        <w:rPr>
          <w:rFonts w:eastAsia="Times New Roman" w:cs="Arial"/>
          <w:color w:val="000000"/>
          <w:lang w:val="en-US"/>
        </w:rPr>
        <w:t xml:space="preserve">(SP) </w:t>
      </w:r>
      <w:r w:rsidRPr="00B44F80">
        <w:rPr>
          <w:rFonts w:eastAsia="Times New Roman" w:cs="Arial"/>
          <w:color w:val="000000"/>
          <w:lang w:eastAsia="bg-BG"/>
        </w:rPr>
        <w:t xml:space="preserve">и месалазин (МЕ). Повечето </w:t>
      </w:r>
      <w:r w:rsidRPr="00B44F80">
        <w:rPr>
          <w:rFonts w:eastAsia="Times New Roman" w:cs="Arial"/>
          <w:color w:val="000000"/>
          <w:lang w:val="en-US"/>
        </w:rPr>
        <w:t xml:space="preserve">SP </w:t>
      </w:r>
      <w:r w:rsidRPr="00B44F80">
        <w:rPr>
          <w:rFonts w:eastAsia="Times New Roman" w:cs="Arial"/>
          <w:color w:val="000000"/>
          <w:lang w:eastAsia="bg-BG"/>
        </w:rPr>
        <w:t xml:space="preserve">се абсорбира или хидроксилира, или глюкорониране и в урината се появява смес от непроменен и от метаболизиран </w:t>
      </w:r>
      <w:r w:rsidRPr="00B44F80">
        <w:rPr>
          <w:rFonts w:eastAsia="Times New Roman" w:cs="Arial"/>
          <w:color w:val="000000"/>
          <w:lang w:val="en-US"/>
        </w:rPr>
        <w:t xml:space="preserve">SP. </w:t>
      </w:r>
      <w:r w:rsidRPr="00B44F80">
        <w:rPr>
          <w:rFonts w:eastAsia="Times New Roman" w:cs="Arial"/>
          <w:color w:val="000000"/>
          <w:lang w:eastAsia="bg-BG"/>
        </w:rPr>
        <w:t xml:space="preserve">Част от МЕ се поема и ацетилира в стената на дебелото черво, така че бъбречната екскреция е главно на ацетилиран </w:t>
      </w:r>
      <w:r w:rsidRPr="00B44F80">
        <w:rPr>
          <w:rFonts w:eastAsia="Times New Roman" w:cs="Arial"/>
          <w:color w:val="000000"/>
          <w:lang w:val="en-US"/>
        </w:rPr>
        <w:t xml:space="preserve">ME </w:t>
      </w:r>
      <w:r w:rsidRPr="00B44F80">
        <w:rPr>
          <w:rFonts w:eastAsia="Times New Roman" w:cs="Arial"/>
          <w:color w:val="000000"/>
          <w:lang w:eastAsia="bg-BG"/>
        </w:rPr>
        <w:t xml:space="preserve">(Ас-МЕ). </w:t>
      </w:r>
      <w:r w:rsidRPr="00B44F80">
        <w:rPr>
          <w:rFonts w:eastAsia="Times New Roman" w:cs="Arial"/>
          <w:color w:val="000000"/>
          <w:lang w:val="en-US"/>
        </w:rPr>
        <w:t xml:space="preserve">SU </w:t>
      </w:r>
      <w:r w:rsidRPr="00B44F80">
        <w:rPr>
          <w:rFonts w:eastAsia="Times New Roman" w:cs="Arial"/>
          <w:color w:val="000000"/>
          <w:lang w:eastAsia="bg-BG"/>
        </w:rPr>
        <w:t>се отделя с жлъчката и урината.</w:t>
      </w:r>
    </w:p>
    <w:p w14:paraId="4F9D54A7" w14:textId="77777777" w:rsidR="00B44F80" w:rsidRPr="00231C6D" w:rsidRDefault="00B44F80" w:rsidP="00B44F80">
      <w:pPr>
        <w:spacing w:line="240" w:lineRule="auto"/>
        <w:rPr>
          <w:rFonts w:eastAsia="Times New Roman" w:cs="Arial"/>
          <w:color w:val="000000"/>
          <w:lang w:eastAsia="bg-BG"/>
        </w:rPr>
      </w:pPr>
    </w:p>
    <w:p w14:paraId="58A8463F" w14:textId="53DC906C"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 xml:space="preserve">Проучвания със сулфасалазин не показват статистически значими разлики в основните параметри в сравнение с еквивалентна доза </w:t>
      </w:r>
      <w:r w:rsidRPr="00B44F80">
        <w:rPr>
          <w:rFonts w:eastAsia="Times New Roman" w:cs="Arial"/>
          <w:color w:val="000000"/>
          <w:lang w:val="en-US"/>
        </w:rPr>
        <w:t xml:space="preserve">SU </w:t>
      </w:r>
      <w:r w:rsidRPr="00B44F80">
        <w:rPr>
          <w:rFonts w:eastAsia="Times New Roman" w:cs="Arial"/>
          <w:color w:val="000000"/>
          <w:lang w:eastAsia="bg-BG"/>
        </w:rPr>
        <w:t xml:space="preserve">на прах, а данните по-долу се отнасят до обикновените таблетки. По отношение на употребата на сулфасалазин при заболяване на червата, няма доказателства, че системните нива имат клинично значение, различно от това по отношение на честотата на НЛР. Тук нивата на </w:t>
      </w:r>
      <w:r w:rsidRPr="00B44F80">
        <w:rPr>
          <w:rFonts w:eastAsia="Times New Roman" w:cs="Arial"/>
          <w:color w:val="000000"/>
          <w:lang w:val="en-US"/>
        </w:rPr>
        <w:t xml:space="preserve">SP </w:t>
      </w:r>
      <w:r w:rsidRPr="00B44F80">
        <w:rPr>
          <w:rFonts w:eastAsia="Times New Roman" w:cs="Arial"/>
          <w:color w:val="000000"/>
          <w:lang w:eastAsia="bg-BG"/>
        </w:rPr>
        <w:t xml:space="preserve">над и около 50 </w:t>
      </w:r>
      <w:proofErr w:type="spellStart"/>
      <w:r w:rsidRPr="00B44F80">
        <w:rPr>
          <w:rFonts w:eastAsia="Times New Roman" w:cs="Arial"/>
          <w:color w:val="000000"/>
          <w:lang w:val="en-US"/>
        </w:rPr>
        <w:t>ug</w:t>
      </w:r>
      <w:proofErr w:type="spellEnd"/>
      <w:r w:rsidRPr="00B44F80">
        <w:rPr>
          <w:rFonts w:eastAsia="Times New Roman" w:cs="Arial"/>
          <w:color w:val="000000"/>
          <w:lang w:val="en-US"/>
        </w:rPr>
        <w:t xml:space="preserve">/mL </w:t>
      </w:r>
      <w:r w:rsidRPr="00B44F80">
        <w:rPr>
          <w:rFonts w:eastAsia="Times New Roman" w:cs="Arial"/>
          <w:color w:val="000000"/>
          <w:lang w:eastAsia="bg-BG"/>
        </w:rPr>
        <w:t xml:space="preserve">са свързани със значителен риск от НЛР, особено при бавни ацетилатори. За </w:t>
      </w:r>
      <w:r w:rsidRPr="00B44F80">
        <w:rPr>
          <w:rFonts w:eastAsia="Times New Roman" w:cs="Arial"/>
          <w:color w:val="000000"/>
          <w:lang w:val="en-US"/>
        </w:rPr>
        <w:t xml:space="preserve">SU, </w:t>
      </w:r>
      <w:r w:rsidRPr="00B44F80">
        <w:rPr>
          <w:rFonts w:eastAsia="Times New Roman" w:cs="Arial"/>
          <w:color w:val="000000"/>
          <w:lang w:eastAsia="bg-BG"/>
        </w:rPr>
        <w:t xml:space="preserve">приет като единична перорална доза от 3 </w:t>
      </w:r>
      <w:r w:rsidRPr="00B44F80">
        <w:rPr>
          <w:rFonts w:eastAsia="Times New Roman" w:cs="Arial"/>
          <w:color w:val="000000"/>
          <w:lang w:val="en-US"/>
        </w:rPr>
        <w:t xml:space="preserve">g: </w:t>
      </w:r>
      <w:r w:rsidRPr="00B44F80">
        <w:rPr>
          <w:rFonts w:eastAsia="Times New Roman" w:cs="Arial"/>
          <w:color w:val="000000"/>
          <w:lang w:eastAsia="bg-BG"/>
        </w:rPr>
        <w:t xml:space="preserve">пиковите плазмени нива на </w:t>
      </w:r>
      <w:r w:rsidRPr="00B44F80">
        <w:rPr>
          <w:rFonts w:eastAsia="Times New Roman" w:cs="Arial"/>
          <w:color w:val="000000"/>
          <w:lang w:val="en-US"/>
        </w:rPr>
        <w:t xml:space="preserve">SU </w:t>
      </w:r>
      <w:r w:rsidRPr="00B44F80">
        <w:rPr>
          <w:rFonts w:eastAsia="Times New Roman" w:cs="Arial"/>
          <w:color w:val="000000"/>
          <w:lang w:eastAsia="bg-BG"/>
        </w:rPr>
        <w:t>настъпват след 3-5 часа, елиминационният полуживот е 5,7 4- 0,7 часа, а времето на преминаване е 1,5 часа.</w:t>
      </w:r>
    </w:p>
    <w:p w14:paraId="4A9BC982" w14:textId="77777777" w:rsidR="00B44F80" w:rsidRPr="00B44F80" w:rsidRDefault="00B44F80" w:rsidP="00B44F80">
      <w:pPr>
        <w:spacing w:line="240" w:lineRule="auto"/>
        <w:rPr>
          <w:rFonts w:eastAsia="Times New Roman" w:cs="Arial"/>
          <w:lang w:eastAsia="bg-BG"/>
        </w:rPr>
      </w:pPr>
    </w:p>
    <w:p w14:paraId="7B6F6730" w14:textId="558E6C46" w:rsidR="00B44F80" w:rsidRPr="00231C6D" w:rsidRDefault="00B44F80" w:rsidP="00B44F80">
      <w:pPr>
        <w:rPr>
          <w:rFonts w:cs="Arial"/>
        </w:rPr>
      </w:pPr>
      <w:r w:rsidRPr="00231C6D">
        <w:rPr>
          <w:rFonts w:eastAsia="Times New Roman" w:cs="Arial"/>
          <w:color w:val="000000"/>
          <w:lang w:eastAsia="bg-BG"/>
        </w:rPr>
        <w:t>По време на поддържащата терапия бъбречният клирънс е: 7.2</w:t>
      </w:r>
      <w:r w:rsidRPr="00231C6D">
        <w:rPr>
          <w:rFonts w:eastAsia="Times New Roman" w:cs="Arial"/>
          <w:color w:val="000000"/>
          <w:lang w:val="en-US"/>
        </w:rPr>
        <w:t xml:space="preserve"> + 1.7 ml/min </w:t>
      </w:r>
      <w:r w:rsidRPr="00231C6D">
        <w:rPr>
          <w:rFonts w:eastAsia="Times New Roman" w:cs="Arial"/>
          <w:color w:val="000000"/>
          <w:lang w:eastAsia="bg-BG"/>
        </w:rPr>
        <w:t xml:space="preserve">за </w:t>
      </w:r>
      <w:r w:rsidRPr="00231C6D">
        <w:rPr>
          <w:rFonts w:eastAsia="Times New Roman" w:cs="Arial"/>
          <w:color w:val="000000"/>
          <w:lang w:val="en-US"/>
        </w:rPr>
        <w:t>SU 9,9 +</w:t>
      </w:r>
      <w:r w:rsidRPr="00231C6D">
        <w:rPr>
          <w:rFonts w:eastAsia="Times New Roman" w:cs="Arial"/>
          <w:i/>
          <w:iCs/>
          <w:color w:val="000000"/>
          <w:lang w:eastAsia="bg-BG"/>
        </w:rPr>
        <w:t xml:space="preserve"> </w:t>
      </w:r>
      <w:r w:rsidRPr="00231C6D">
        <w:rPr>
          <w:rFonts w:eastAsia="Times New Roman" w:cs="Arial"/>
          <w:color w:val="000000"/>
          <w:lang w:eastAsia="bg-BG"/>
        </w:rPr>
        <w:t xml:space="preserve">1,9 </w:t>
      </w:r>
      <w:r w:rsidRPr="00231C6D">
        <w:rPr>
          <w:rFonts w:eastAsia="Times New Roman" w:cs="Arial"/>
          <w:color w:val="000000"/>
          <w:lang w:val="en-US"/>
        </w:rPr>
        <w:t xml:space="preserve">ml/min. </w:t>
      </w:r>
      <w:r w:rsidRPr="00231C6D">
        <w:rPr>
          <w:rFonts w:eastAsia="Times New Roman" w:cs="Arial"/>
          <w:color w:val="000000"/>
          <w:lang w:eastAsia="bg-BG"/>
        </w:rPr>
        <w:t xml:space="preserve">за </w:t>
      </w:r>
      <w:r w:rsidRPr="00231C6D">
        <w:rPr>
          <w:rFonts w:eastAsia="Times New Roman" w:cs="Arial"/>
          <w:color w:val="000000"/>
          <w:lang w:val="en-US"/>
        </w:rPr>
        <w:t xml:space="preserve">SP </w:t>
      </w:r>
      <w:r w:rsidRPr="00231C6D">
        <w:rPr>
          <w:rFonts w:eastAsia="Times New Roman" w:cs="Arial"/>
          <w:color w:val="000000"/>
          <w:lang w:eastAsia="bg-BG"/>
        </w:rPr>
        <w:t xml:space="preserve">и </w:t>
      </w:r>
      <w:r w:rsidRPr="00231C6D">
        <w:rPr>
          <w:rFonts w:eastAsia="Times New Roman" w:cs="Arial"/>
          <w:color w:val="000000"/>
          <w:lang w:val="en-US"/>
        </w:rPr>
        <w:t xml:space="preserve">100 4- 20 ml/min. </w:t>
      </w:r>
      <w:r w:rsidRPr="00231C6D">
        <w:rPr>
          <w:rFonts w:eastAsia="Times New Roman" w:cs="Arial"/>
          <w:color w:val="000000"/>
          <w:lang w:eastAsia="bg-BG"/>
        </w:rPr>
        <w:t xml:space="preserve">за Ас-МЕ. Свободен </w:t>
      </w:r>
      <w:r w:rsidRPr="00231C6D">
        <w:rPr>
          <w:rFonts w:eastAsia="Times New Roman" w:cs="Arial"/>
          <w:color w:val="000000"/>
          <w:lang w:val="en-US"/>
        </w:rPr>
        <w:t xml:space="preserve">SP </w:t>
      </w:r>
      <w:r w:rsidRPr="00231C6D">
        <w:rPr>
          <w:rFonts w:eastAsia="Times New Roman" w:cs="Arial"/>
          <w:color w:val="000000"/>
          <w:lang w:eastAsia="bg-BG"/>
        </w:rPr>
        <w:t>първоначално</w:t>
      </w:r>
      <w:r w:rsidRPr="00231C6D">
        <w:rPr>
          <w:rFonts w:eastAsia="Times New Roman" w:cs="Arial"/>
          <w:color w:val="000000"/>
          <w:lang w:val="en-US"/>
        </w:rPr>
        <w:t xml:space="preserve"> </w:t>
      </w:r>
      <w:r w:rsidRPr="00231C6D">
        <w:rPr>
          <w:rFonts w:eastAsia="Times New Roman" w:cs="Arial"/>
          <w:color w:val="000000"/>
          <w:lang w:eastAsia="bg-BG"/>
        </w:rPr>
        <w:t>се появява в плазмата 4,3 часа след прием на еднократна перорална доза с абсорбционен полуживот 2,7 часа.</w:t>
      </w:r>
    </w:p>
    <w:p w14:paraId="6DFD8A9B" w14:textId="32BB595D" w:rsidR="00B44F80" w:rsidRPr="00231C6D" w:rsidRDefault="00B44F80" w:rsidP="007A2185">
      <w:pPr>
        <w:rPr>
          <w:rFonts w:cs="Arial"/>
        </w:rPr>
      </w:pPr>
    </w:p>
    <w:p w14:paraId="0EE85673"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Елиминационният полуживот се изчислява на 18 часа. Що се отнася до месалазин, в урината се наблюдава само Мс-МЕ (несвързан МЕ), като ацетилирането вероятно е постигнато в голяма степен в лигавицата на дебелото черво.</w:t>
      </w:r>
    </w:p>
    <w:p w14:paraId="21DC9DC7" w14:textId="77777777" w:rsidR="00B44F80" w:rsidRPr="00231C6D" w:rsidRDefault="00B44F80" w:rsidP="00B44F80">
      <w:pPr>
        <w:spacing w:line="240" w:lineRule="auto"/>
        <w:rPr>
          <w:rFonts w:eastAsia="Times New Roman" w:cs="Arial"/>
          <w:color w:val="000000"/>
          <w:lang w:eastAsia="bg-BG"/>
        </w:rPr>
      </w:pPr>
    </w:p>
    <w:p w14:paraId="02493ABF" w14:textId="7C714E7A"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 xml:space="preserve">След доза от 3 </w:t>
      </w:r>
      <w:r w:rsidRPr="00B44F80">
        <w:rPr>
          <w:rFonts w:eastAsia="Times New Roman" w:cs="Arial"/>
          <w:color w:val="000000"/>
          <w:lang w:val="en-US"/>
        </w:rPr>
        <w:t xml:space="preserve">g SU, lag-time </w:t>
      </w:r>
      <w:r w:rsidRPr="00B44F80">
        <w:rPr>
          <w:rFonts w:eastAsia="Times New Roman" w:cs="Arial"/>
          <w:color w:val="000000"/>
          <w:lang w:eastAsia="bg-BG"/>
        </w:rPr>
        <w:t>на дозата е 6,1 + 2,3 часа, а плазмените нива на общ МЕ са под 2 μ</w:t>
      </w:r>
      <w:r w:rsidRPr="00B44F80">
        <w:rPr>
          <w:rFonts w:eastAsia="Times New Roman" w:cs="Arial"/>
          <w:color w:val="000000"/>
          <w:lang w:val="en-US"/>
        </w:rPr>
        <w:t xml:space="preserve">g/ml. </w:t>
      </w:r>
      <w:r w:rsidRPr="00B44F80">
        <w:rPr>
          <w:rFonts w:eastAsia="Times New Roman" w:cs="Arial"/>
          <w:color w:val="000000"/>
          <w:lang w:eastAsia="bg-BG"/>
        </w:rPr>
        <w:t xml:space="preserve">Времето на полуживот при урина екскреция е 6,0 + 3,1 часа, а полуживотът при абсорбция въз основа на тези цифри е 3,0 + 1,5 часа. Константата на бъбречен клирънс е 125 </w:t>
      </w:r>
      <w:r w:rsidRPr="00B44F80">
        <w:rPr>
          <w:rFonts w:eastAsia="Times New Roman" w:cs="Arial"/>
          <w:color w:val="000000"/>
          <w:lang w:val="en-US"/>
        </w:rPr>
        <w:t xml:space="preserve">ml/mi, </w:t>
      </w:r>
      <w:r w:rsidRPr="00B44F80">
        <w:rPr>
          <w:rFonts w:eastAsia="Times New Roman" w:cs="Arial"/>
          <w:color w:val="000000"/>
          <w:lang w:eastAsia="bg-BG"/>
        </w:rPr>
        <w:t xml:space="preserve">съответстваща на скоростта на гломерулна филтрация </w:t>
      </w:r>
      <w:r w:rsidRPr="00B44F80">
        <w:rPr>
          <w:rFonts w:eastAsia="Times New Roman" w:cs="Arial"/>
          <w:color w:val="000000"/>
          <w:lang w:val="en-US"/>
        </w:rPr>
        <w:t>(GFR).</w:t>
      </w:r>
    </w:p>
    <w:p w14:paraId="3731615F" w14:textId="77777777" w:rsidR="00B44F80" w:rsidRPr="00231C6D" w:rsidRDefault="00B44F80" w:rsidP="00B44F80">
      <w:pPr>
        <w:rPr>
          <w:rFonts w:eastAsia="Times New Roman" w:cs="Arial"/>
          <w:color w:val="000000"/>
          <w:lang w:eastAsia="bg-BG"/>
        </w:rPr>
      </w:pPr>
    </w:p>
    <w:p w14:paraId="45551830" w14:textId="39B3863B" w:rsidR="007A2185" w:rsidRPr="00231C6D" w:rsidRDefault="00B44F80" w:rsidP="00B44F80">
      <w:pPr>
        <w:rPr>
          <w:rFonts w:cs="Arial"/>
        </w:rPr>
      </w:pPr>
      <w:r w:rsidRPr="00231C6D">
        <w:rPr>
          <w:rFonts w:eastAsia="Times New Roman" w:cs="Arial"/>
          <w:color w:val="000000"/>
          <w:lang w:eastAsia="bg-BG"/>
        </w:rPr>
        <w:t>При ревматоиден артрит няма данни, които да предполагат различна информация от гореизложената.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3371CFC5" w:rsidR="007A2185" w:rsidRPr="00231C6D" w:rsidRDefault="00B44F80" w:rsidP="0091385D">
      <w:pPr>
        <w:rPr>
          <w:rFonts w:cs="Arial"/>
        </w:rPr>
      </w:pPr>
      <w:r w:rsidRPr="00231C6D">
        <w:rPr>
          <w:rFonts w:cs="Arial"/>
        </w:rPr>
        <w:t>Няма значими предклинични данни за лекарството, които са в допълнение към настоящата информация, описана в другите точни на Кратката характеристика на продукта.</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F02909F" w14:textId="408817D8" w:rsidR="007A2185" w:rsidRPr="00231C6D" w:rsidRDefault="00B44F80" w:rsidP="0091385D">
      <w:pPr>
        <w:rPr>
          <w:rFonts w:cs="Arial"/>
        </w:rPr>
      </w:pPr>
      <w:r w:rsidRPr="00231C6D">
        <w:rPr>
          <w:rFonts w:cs="Arial"/>
        </w:rPr>
        <w:t xml:space="preserve">K.RKA, d.d., Novo mesto, SmarjeSka cesta 6, 8501 Novo mesto, </w:t>
      </w:r>
      <w:r w:rsidRPr="00231C6D">
        <w:rPr>
          <w:rFonts w:cs="Arial"/>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lastRenderedPageBreak/>
        <w:t>8. НОМЕР НА РАЗРЕШЕНИЕТО ЗА УПОТРЕБА</w:t>
      </w:r>
    </w:p>
    <w:p w14:paraId="095674C4" w14:textId="3072FB0E" w:rsidR="0091385D" w:rsidRDefault="0091385D" w:rsidP="0091385D"/>
    <w:p w14:paraId="46161304" w14:textId="01D303F7" w:rsidR="007A2185" w:rsidRPr="00231C6D" w:rsidRDefault="00B44F80" w:rsidP="0091385D">
      <w:pPr>
        <w:rPr>
          <w:rFonts w:cs="Arial"/>
        </w:rPr>
      </w:pPr>
      <w:r w:rsidRPr="00231C6D">
        <w:rPr>
          <w:rFonts w:cs="Arial"/>
        </w:rPr>
        <w:t>Pe</w:t>
      </w:r>
      <w:r w:rsidRPr="00231C6D">
        <w:rPr>
          <w:rFonts w:cs="Arial"/>
          <w:lang w:eastAsia="bg-BG"/>
        </w:rPr>
        <w:t>г</w:t>
      </w:r>
      <w:r w:rsidRPr="00231C6D">
        <w:rPr>
          <w:rFonts w:cs="Arial"/>
        </w:rPr>
        <w:t>. №: 20020203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5C7EA50A" w14:textId="77777777" w:rsidR="00B44F80" w:rsidRPr="00B44F80" w:rsidRDefault="00B44F80" w:rsidP="00B44F80">
      <w:pPr>
        <w:spacing w:line="240" w:lineRule="auto"/>
        <w:rPr>
          <w:rFonts w:eastAsia="Times New Roman" w:cs="Arial"/>
          <w:lang w:eastAsia="bg-BG"/>
        </w:rPr>
      </w:pPr>
      <w:r w:rsidRPr="00B44F80">
        <w:rPr>
          <w:rFonts w:eastAsia="Times New Roman" w:cs="Arial"/>
          <w:color w:val="000000"/>
          <w:lang w:eastAsia="bg-BG"/>
        </w:rPr>
        <w:t>Дата на първо разрешаване: 12.03.2002</w:t>
      </w:r>
    </w:p>
    <w:p w14:paraId="6C57D8B6" w14:textId="018E4754" w:rsidR="007A2185" w:rsidRPr="00231C6D" w:rsidRDefault="00B44F80" w:rsidP="00B44F80">
      <w:pPr>
        <w:rPr>
          <w:rFonts w:cs="Arial"/>
        </w:rPr>
      </w:pPr>
      <w:r w:rsidRPr="00231C6D">
        <w:rPr>
          <w:rFonts w:eastAsia="Times New Roman" w:cs="Arial"/>
          <w:color w:val="000000"/>
          <w:lang w:eastAsia="bg-BG"/>
        </w:rPr>
        <w:t>Дата на последно подновяване: 17.09.2007</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7777777" w:rsidR="007A2185" w:rsidRDefault="007A2185"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855E2"/>
    <w:multiLevelType w:val="hybridMultilevel"/>
    <w:tmpl w:val="27CAD418"/>
    <w:lvl w:ilvl="0" w:tplc="4B4E6378">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FB7C49"/>
    <w:multiLevelType w:val="hybridMultilevel"/>
    <w:tmpl w:val="62DAAD4A"/>
    <w:lvl w:ilvl="0" w:tplc="4B4E6378">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C5010A"/>
    <w:multiLevelType w:val="hybridMultilevel"/>
    <w:tmpl w:val="0B6C85E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79B0127"/>
    <w:multiLevelType w:val="hybridMultilevel"/>
    <w:tmpl w:val="DB5E61DC"/>
    <w:lvl w:ilvl="0" w:tplc="4B4E6378">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20"/>
  </w:num>
  <w:num w:numId="7">
    <w:abstractNumId w:val="12"/>
  </w:num>
  <w:num w:numId="8">
    <w:abstractNumId w:val="19"/>
  </w:num>
  <w:num w:numId="9">
    <w:abstractNumId w:val="2"/>
  </w:num>
  <w:num w:numId="10">
    <w:abstractNumId w:val="4"/>
  </w:num>
  <w:num w:numId="11">
    <w:abstractNumId w:val="34"/>
  </w:num>
  <w:num w:numId="12">
    <w:abstractNumId w:val="18"/>
  </w:num>
  <w:num w:numId="13">
    <w:abstractNumId w:val="23"/>
  </w:num>
  <w:num w:numId="14">
    <w:abstractNumId w:val="14"/>
  </w:num>
  <w:num w:numId="15">
    <w:abstractNumId w:val="33"/>
  </w:num>
  <w:num w:numId="16">
    <w:abstractNumId w:val="11"/>
  </w:num>
  <w:num w:numId="17">
    <w:abstractNumId w:val="28"/>
  </w:num>
  <w:num w:numId="18">
    <w:abstractNumId w:val="9"/>
  </w:num>
  <w:num w:numId="19">
    <w:abstractNumId w:val="30"/>
  </w:num>
  <w:num w:numId="20">
    <w:abstractNumId w:val="27"/>
  </w:num>
  <w:num w:numId="21">
    <w:abstractNumId w:val="21"/>
  </w:num>
  <w:num w:numId="22">
    <w:abstractNumId w:val="29"/>
  </w:num>
  <w:num w:numId="23">
    <w:abstractNumId w:val="22"/>
  </w:num>
  <w:num w:numId="24">
    <w:abstractNumId w:val="10"/>
  </w:num>
  <w:num w:numId="25">
    <w:abstractNumId w:val="26"/>
  </w:num>
  <w:num w:numId="26">
    <w:abstractNumId w:val="25"/>
  </w:num>
  <w:num w:numId="27">
    <w:abstractNumId w:val="35"/>
  </w:num>
  <w:num w:numId="28">
    <w:abstractNumId w:val="7"/>
  </w:num>
  <w:num w:numId="29">
    <w:abstractNumId w:val="24"/>
  </w:num>
  <w:num w:numId="30">
    <w:abstractNumId w:val="38"/>
  </w:num>
  <w:num w:numId="31">
    <w:abstractNumId w:val="5"/>
  </w:num>
  <w:num w:numId="32">
    <w:abstractNumId w:val="37"/>
  </w:num>
  <w:num w:numId="33">
    <w:abstractNumId w:val="32"/>
  </w:num>
  <w:num w:numId="34">
    <w:abstractNumId w:val="36"/>
  </w:num>
  <w:num w:numId="35">
    <w:abstractNumId w:val="16"/>
  </w:num>
  <w:num w:numId="36">
    <w:abstractNumId w:val="13"/>
  </w:num>
  <w:num w:numId="37">
    <w:abstractNumId w:val="8"/>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31C6D"/>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44F80"/>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16972</Characters>
  <Application>Microsoft Office Word</Application>
  <DocSecurity>0</DocSecurity>
  <Lines>141</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2023-06-02T16:33:00Z</dcterms:created>
  <dcterms:modified xsi:type="dcterms:W3CDTF">2023-06-02T16:33:00Z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