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7B7F9CBA" w:rsidR="0091385D" w:rsidRDefault="0091385D" w:rsidP="0091385D"/>
    <w:p w14:paraId="519A12A9" w14:textId="77777777" w:rsidR="008E6A73" w:rsidRPr="008E6A73" w:rsidRDefault="008E6A73" w:rsidP="008E6A73">
      <w:pPr>
        <w:spacing w:line="240" w:lineRule="auto"/>
        <w:rPr>
          <w:rFonts w:eastAsia="Times New Roman" w:cs="Arial"/>
          <w:lang w:val="en-US" w:eastAsia="bg-BG"/>
        </w:rPr>
      </w:pPr>
      <w:r w:rsidRPr="008E6A73">
        <w:rPr>
          <w:rFonts w:eastAsia="Times New Roman" w:cs="Arial"/>
          <w:b/>
          <w:bCs/>
          <w:color w:val="000000"/>
          <w:lang w:eastAsia="bg-BG"/>
        </w:rPr>
        <w:t xml:space="preserve">СУЛПЕРАЗОН 1 </w:t>
      </w:r>
      <w:r w:rsidRPr="008E6A73">
        <w:rPr>
          <w:rFonts w:eastAsia="Times New Roman" w:cs="Arial"/>
          <w:b/>
          <w:bCs/>
          <w:color w:val="000000"/>
          <w:lang w:val="en-US"/>
        </w:rPr>
        <w:t xml:space="preserve">g/l g </w:t>
      </w:r>
      <w:r w:rsidRPr="008E6A73">
        <w:rPr>
          <w:rFonts w:eastAsia="Times New Roman" w:cs="Arial"/>
          <w:b/>
          <w:bCs/>
          <w:color w:val="000000"/>
          <w:lang w:eastAsia="bg-BG"/>
        </w:rPr>
        <w:t>прах за инжекционен разтвор</w:t>
      </w:r>
    </w:p>
    <w:p w14:paraId="69AC8148" w14:textId="1ECAC5EC" w:rsidR="00EC41ED" w:rsidRPr="0019325A" w:rsidRDefault="008E6A73" w:rsidP="008E6A73">
      <w:pPr>
        <w:rPr>
          <w:rFonts w:cs="Arial"/>
        </w:rPr>
      </w:pPr>
      <w:r w:rsidRPr="0019325A">
        <w:rPr>
          <w:rFonts w:eastAsia="Times New Roman" w:cs="Arial"/>
          <w:b/>
          <w:bCs/>
          <w:color w:val="000000"/>
          <w:lang w:val="en-US"/>
        </w:rPr>
        <w:t xml:space="preserve">SULPERAZON </w:t>
      </w:r>
      <w:r w:rsidRPr="0019325A">
        <w:rPr>
          <w:rFonts w:eastAsia="Times New Roman" w:cs="Arial"/>
          <w:b/>
          <w:bCs/>
          <w:color w:val="000000"/>
          <w:lang w:eastAsia="bg-BG"/>
        </w:rPr>
        <w:t xml:space="preserve">1 </w:t>
      </w:r>
      <w:r w:rsidRPr="0019325A">
        <w:rPr>
          <w:rFonts w:eastAsia="Times New Roman" w:cs="Arial"/>
          <w:b/>
          <w:bCs/>
          <w:color w:val="000000"/>
          <w:lang w:val="en-US"/>
        </w:rPr>
        <w:t>g/l g powder for solution for injection</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478BAC70" w:rsidR="0091385D" w:rsidRDefault="0091385D" w:rsidP="0091385D"/>
    <w:p w14:paraId="3B6FA58B" w14:textId="77777777" w:rsidR="008E6A73" w:rsidRPr="008E6A73" w:rsidRDefault="008E6A73" w:rsidP="008E6A73">
      <w:pPr>
        <w:spacing w:line="240" w:lineRule="auto"/>
        <w:rPr>
          <w:rFonts w:eastAsia="Times New Roman" w:cs="Arial"/>
          <w:lang w:eastAsia="bg-BG"/>
        </w:rPr>
      </w:pPr>
      <w:r w:rsidRPr="008E6A73">
        <w:rPr>
          <w:rFonts w:eastAsia="Times New Roman" w:cs="Arial"/>
          <w:b/>
          <w:bCs/>
          <w:color w:val="000000"/>
          <w:lang w:eastAsia="bg-BG"/>
        </w:rPr>
        <w:t xml:space="preserve">Сулперазон е комбинация от сулбактам натрий </w:t>
      </w:r>
      <w:r w:rsidRPr="008E6A73">
        <w:rPr>
          <w:rFonts w:eastAsia="Times New Roman" w:cs="Arial"/>
          <w:b/>
          <w:bCs/>
          <w:color w:val="000000"/>
          <w:lang w:val="en-US"/>
        </w:rPr>
        <w:t>(</w:t>
      </w:r>
      <w:proofErr w:type="spellStart"/>
      <w:r w:rsidRPr="008E6A73">
        <w:rPr>
          <w:rFonts w:eastAsia="Times New Roman" w:cs="Arial"/>
          <w:b/>
          <w:bCs/>
          <w:color w:val="000000"/>
          <w:lang w:val="en-US"/>
        </w:rPr>
        <w:t>sulbactam</w:t>
      </w:r>
      <w:proofErr w:type="spellEnd"/>
      <w:r w:rsidRPr="008E6A73">
        <w:rPr>
          <w:rFonts w:eastAsia="Times New Roman" w:cs="Arial"/>
          <w:b/>
          <w:bCs/>
          <w:color w:val="000000"/>
          <w:lang w:val="en-US"/>
        </w:rPr>
        <w:t xml:space="preserve"> sodium) </w:t>
      </w:r>
      <w:r w:rsidRPr="008E6A73">
        <w:rPr>
          <w:rFonts w:eastAsia="Times New Roman" w:cs="Arial"/>
          <w:b/>
          <w:bCs/>
          <w:color w:val="000000"/>
          <w:lang w:eastAsia="bg-BG"/>
        </w:rPr>
        <w:t xml:space="preserve">и цефоперазон натрий </w:t>
      </w:r>
      <w:r w:rsidRPr="008E6A73">
        <w:rPr>
          <w:rFonts w:eastAsia="Times New Roman" w:cs="Arial"/>
          <w:b/>
          <w:bCs/>
          <w:color w:val="000000"/>
          <w:lang w:val="en-US"/>
        </w:rPr>
        <w:t>(</w:t>
      </w:r>
      <w:proofErr w:type="spellStart"/>
      <w:r w:rsidRPr="008E6A73">
        <w:rPr>
          <w:rFonts w:eastAsia="Times New Roman" w:cs="Arial"/>
          <w:b/>
          <w:bCs/>
          <w:color w:val="000000"/>
          <w:lang w:val="en-US"/>
        </w:rPr>
        <w:t>cefoperazone</w:t>
      </w:r>
      <w:proofErr w:type="spellEnd"/>
      <w:r w:rsidRPr="008E6A73">
        <w:rPr>
          <w:rFonts w:eastAsia="Times New Roman" w:cs="Arial"/>
          <w:b/>
          <w:bCs/>
          <w:color w:val="000000"/>
          <w:lang w:val="en-US"/>
        </w:rPr>
        <w:t xml:space="preserve"> sodium) </w:t>
      </w:r>
      <w:r w:rsidRPr="008E6A73">
        <w:rPr>
          <w:rFonts w:eastAsia="Times New Roman" w:cs="Arial"/>
          <w:b/>
          <w:bCs/>
          <w:color w:val="000000"/>
          <w:lang w:eastAsia="bg-BG"/>
        </w:rPr>
        <w:t xml:space="preserve">под формата на сух прах за приготвяне на инжекционен разтвор в съотношение 1:1 сулбактам/цефоперазон </w:t>
      </w:r>
      <w:r w:rsidRPr="008E6A73">
        <w:rPr>
          <w:rFonts w:eastAsia="Times New Roman" w:cs="Arial"/>
          <w:b/>
          <w:bCs/>
          <w:color w:val="000000"/>
          <w:lang w:val="en-US"/>
        </w:rPr>
        <w:t>(SBT/CPZ).</w:t>
      </w:r>
    </w:p>
    <w:p w14:paraId="3BD15F08" w14:textId="77777777" w:rsidR="008E6A73" w:rsidRPr="0019325A" w:rsidRDefault="008E6A73" w:rsidP="008E6A73">
      <w:pPr>
        <w:spacing w:line="240" w:lineRule="auto"/>
        <w:rPr>
          <w:rFonts w:eastAsia="Times New Roman" w:cs="Arial"/>
          <w:b/>
          <w:bCs/>
          <w:color w:val="000000"/>
          <w:lang w:eastAsia="bg-BG"/>
        </w:rPr>
      </w:pPr>
    </w:p>
    <w:p w14:paraId="452EA661" w14:textId="71B159DD" w:rsidR="008E6A73" w:rsidRPr="008E6A73" w:rsidRDefault="008E6A73" w:rsidP="008E6A73">
      <w:pPr>
        <w:spacing w:line="240" w:lineRule="auto"/>
        <w:rPr>
          <w:rFonts w:eastAsia="Times New Roman" w:cs="Arial"/>
          <w:lang w:eastAsia="bg-BG"/>
        </w:rPr>
      </w:pPr>
      <w:r w:rsidRPr="008E6A73">
        <w:rPr>
          <w:rFonts w:eastAsia="Times New Roman" w:cs="Arial"/>
          <w:b/>
          <w:bCs/>
          <w:color w:val="000000"/>
          <w:lang w:eastAsia="bg-BG"/>
        </w:rPr>
        <w:t xml:space="preserve">Сулбактам натрий е производно на основното пеницилиново ядро. Той е необратим бета-лактамазен инхибитор само за парентерално приложение. По химична природа е натриев пеницилинат сулфон. Сулбактам е светло сив кристален прах с висока разтворимост във вода. Молекулното му тегло е </w:t>
      </w:r>
      <w:r w:rsidRPr="008E6A73">
        <w:rPr>
          <w:rFonts w:eastAsia="Times New Roman" w:cs="Arial"/>
          <w:b/>
          <w:bCs/>
          <w:i/>
          <w:iCs/>
          <w:color w:val="000000"/>
          <w:lang w:eastAsia="bg-BG"/>
        </w:rPr>
        <w:t>255,22.</w:t>
      </w:r>
    </w:p>
    <w:p w14:paraId="323D389B" w14:textId="77777777" w:rsidR="008E6A73" w:rsidRPr="0019325A" w:rsidRDefault="008E6A73" w:rsidP="008E6A73">
      <w:pPr>
        <w:spacing w:line="240" w:lineRule="auto"/>
        <w:rPr>
          <w:rFonts w:eastAsia="Times New Roman" w:cs="Arial"/>
          <w:b/>
          <w:bCs/>
          <w:color w:val="000000"/>
          <w:lang w:eastAsia="bg-BG"/>
        </w:rPr>
      </w:pPr>
    </w:p>
    <w:p w14:paraId="29B1ABC2" w14:textId="77EBF5AF" w:rsidR="008E6A73" w:rsidRPr="008E6A73" w:rsidRDefault="008E6A73" w:rsidP="008E6A73">
      <w:pPr>
        <w:spacing w:line="240" w:lineRule="auto"/>
        <w:rPr>
          <w:rFonts w:eastAsia="Times New Roman" w:cs="Arial"/>
          <w:lang w:eastAsia="bg-BG"/>
        </w:rPr>
      </w:pPr>
      <w:r w:rsidRPr="008E6A73">
        <w:rPr>
          <w:rFonts w:eastAsia="Times New Roman" w:cs="Arial"/>
          <w:b/>
          <w:bCs/>
          <w:color w:val="000000"/>
          <w:lang w:eastAsia="bg-BG"/>
        </w:rPr>
        <w:t>Цефоперазон натрий е полусинтетичен широкоспектърен цефалоспоринов антибиотик само за парентерално приложение. Цефоперазон е бял кристален прах, който е лесно разтворим във вода. Молекулното му тегло е 667,65.</w:t>
      </w:r>
    </w:p>
    <w:p w14:paraId="71BD569B" w14:textId="77777777" w:rsidR="008E6A73" w:rsidRPr="0019325A" w:rsidRDefault="008E6A73" w:rsidP="008E6A73">
      <w:pPr>
        <w:spacing w:line="240" w:lineRule="auto"/>
        <w:rPr>
          <w:rFonts w:eastAsia="Times New Roman" w:cs="Arial"/>
          <w:b/>
          <w:bCs/>
          <w:color w:val="000000"/>
          <w:lang w:eastAsia="bg-BG"/>
        </w:rPr>
      </w:pPr>
    </w:p>
    <w:p w14:paraId="2017071F" w14:textId="6A379789" w:rsidR="008E6A73" w:rsidRPr="008E6A73" w:rsidRDefault="008E6A73" w:rsidP="008E6A73">
      <w:pPr>
        <w:spacing w:line="240" w:lineRule="auto"/>
        <w:rPr>
          <w:rFonts w:eastAsia="Times New Roman" w:cs="Arial"/>
          <w:lang w:eastAsia="bg-BG"/>
        </w:rPr>
      </w:pPr>
      <w:r w:rsidRPr="008E6A73">
        <w:rPr>
          <w:rFonts w:eastAsia="Times New Roman" w:cs="Arial"/>
          <w:b/>
          <w:bCs/>
          <w:color w:val="000000"/>
          <w:lang w:eastAsia="bg-BG"/>
        </w:rPr>
        <w:t xml:space="preserve">Флаконите съдържат еквивалентни количества сулбактам и цефоперазон 1 </w:t>
      </w:r>
      <w:r w:rsidRPr="008E6A73">
        <w:rPr>
          <w:rFonts w:eastAsia="Times New Roman" w:cs="Arial"/>
          <w:b/>
          <w:bCs/>
          <w:color w:val="000000"/>
          <w:lang w:val="en-US"/>
        </w:rPr>
        <w:t xml:space="preserve">g </w:t>
      </w:r>
      <w:r w:rsidRPr="008E6A73">
        <w:rPr>
          <w:rFonts w:eastAsia="Times New Roman" w:cs="Arial"/>
          <w:b/>
          <w:bCs/>
          <w:color w:val="000000"/>
          <w:lang w:eastAsia="bg-BG"/>
        </w:rPr>
        <w:t xml:space="preserve">+ 1 </w:t>
      </w:r>
      <w:r w:rsidRPr="008E6A73">
        <w:rPr>
          <w:rFonts w:eastAsia="Times New Roman" w:cs="Arial"/>
          <w:b/>
          <w:bCs/>
          <w:color w:val="000000"/>
          <w:lang w:val="en-US"/>
        </w:rPr>
        <w:t>g.</w:t>
      </w:r>
    </w:p>
    <w:p w14:paraId="4E64465B" w14:textId="77777777" w:rsidR="008E6A73" w:rsidRPr="0019325A" w:rsidRDefault="008E6A73" w:rsidP="008E6A73">
      <w:pPr>
        <w:spacing w:line="240" w:lineRule="auto"/>
        <w:rPr>
          <w:rFonts w:eastAsia="Times New Roman" w:cs="Arial"/>
          <w:b/>
          <w:bCs/>
          <w:color w:val="000000"/>
          <w:u w:val="single"/>
          <w:lang w:eastAsia="bg-BG"/>
        </w:rPr>
      </w:pPr>
    </w:p>
    <w:p w14:paraId="2E78FB57" w14:textId="07CFEA83" w:rsidR="008E6A73" w:rsidRPr="008E6A73" w:rsidRDefault="008E6A73" w:rsidP="008E6A73">
      <w:pPr>
        <w:spacing w:line="240" w:lineRule="auto"/>
        <w:rPr>
          <w:rFonts w:eastAsia="Times New Roman" w:cs="Arial"/>
          <w:lang w:eastAsia="bg-BG"/>
        </w:rPr>
      </w:pPr>
      <w:r w:rsidRPr="008E6A73">
        <w:rPr>
          <w:rFonts w:eastAsia="Times New Roman" w:cs="Arial"/>
          <w:b/>
          <w:bCs/>
          <w:color w:val="000000"/>
          <w:u w:val="single"/>
          <w:lang w:eastAsia="bg-BG"/>
        </w:rPr>
        <w:t>Помощни вещества с известно действие</w:t>
      </w:r>
    </w:p>
    <w:p w14:paraId="724F1297" w14:textId="77777777" w:rsidR="008E6A73" w:rsidRPr="008E6A73" w:rsidRDefault="008E6A73" w:rsidP="008E6A73">
      <w:pPr>
        <w:spacing w:line="240" w:lineRule="auto"/>
        <w:rPr>
          <w:rFonts w:eastAsia="Times New Roman" w:cs="Arial"/>
          <w:lang w:eastAsia="bg-BG"/>
        </w:rPr>
      </w:pPr>
      <w:r w:rsidRPr="008E6A73">
        <w:rPr>
          <w:rFonts w:eastAsia="Times New Roman" w:cs="Arial"/>
          <w:b/>
          <w:bCs/>
          <w:color w:val="000000"/>
          <w:lang w:eastAsia="bg-BG"/>
        </w:rPr>
        <w:t xml:space="preserve">Сулперазон 1 </w:t>
      </w:r>
      <w:r w:rsidRPr="008E6A73">
        <w:rPr>
          <w:rFonts w:eastAsia="Times New Roman" w:cs="Arial"/>
          <w:b/>
          <w:bCs/>
          <w:color w:val="000000"/>
          <w:lang w:val="en-US"/>
        </w:rPr>
        <w:t xml:space="preserve">g/1 g </w:t>
      </w:r>
      <w:r w:rsidRPr="008E6A73">
        <w:rPr>
          <w:rFonts w:eastAsia="Times New Roman" w:cs="Arial"/>
          <w:b/>
          <w:bCs/>
          <w:color w:val="000000"/>
          <w:lang w:eastAsia="bg-BG"/>
        </w:rPr>
        <w:t xml:space="preserve">прах за инжекционен разтвор съдържа 134,2 </w:t>
      </w:r>
      <w:r w:rsidRPr="008E6A73">
        <w:rPr>
          <w:rFonts w:eastAsia="Times New Roman" w:cs="Arial"/>
          <w:b/>
          <w:bCs/>
          <w:color w:val="000000"/>
          <w:lang w:val="en-US"/>
        </w:rPr>
        <w:t xml:space="preserve">mg </w:t>
      </w:r>
      <w:r w:rsidRPr="008E6A73">
        <w:rPr>
          <w:rFonts w:eastAsia="Times New Roman" w:cs="Arial"/>
          <w:b/>
          <w:bCs/>
          <w:color w:val="000000"/>
          <w:lang w:eastAsia="bg-BG"/>
        </w:rPr>
        <w:t>натрий във всеки флакон.</w:t>
      </w:r>
    </w:p>
    <w:p w14:paraId="6AB0483B" w14:textId="77777777" w:rsidR="008E6A73" w:rsidRPr="0019325A" w:rsidRDefault="008E6A73" w:rsidP="008E6A73">
      <w:pPr>
        <w:rPr>
          <w:rFonts w:eastAsia="Times New Roman" w:cs="Arial"/>
          <w:b/>
          <w:bCs/>
          <w:color w:val="000000"/>
          <w:lang w:eastAsia="bg-BG"/>
        </w:rPr>
      </w:pPr>
    </w:p>
    <w:p w14:paraId="54632B43" w14:textId="5023062A" w:rsidR="00EC41ED" w:rsidRPr="0019325A" w:rsidRDefault="008E6A73" w:rsidP="008E6A73">
      <w:pPr>
        <w:rPr>
          <w:rFonts w:cs="Arial"/>
        </w:rPr>
      </w:pPr>
      <w:r w:rsidRPr="0019325A">
        <w:rPr>
          <w:rFonts w:eastAsia="Times New Roman" w:cs="Arial"/>
          <w:b/>
          <w:bCs/>
          <w:color w:val="000000"/>
          <w:lang w:eastAsia="bg-BG"/>
        </w:rPr>
        <w:t>За пълния списък на помощните вещества вижте точка 6.1.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004E96C" w14:textId="67F9C61D" w:rsidR="0091385D" w:rsidRDefault="0091385D" w:rsidP="0091385D"/>
    <w:p w14:paraId="743244F0" w14:textId="6142527E" w:rsidR="00EC41ED" w:rsidRPr="0019325A" w:rsidRDefault="008E6A73" w:rsidP="0091385D">
      <w:pPr>
        <w:rPr>
          <w:rFonts w:cs="Arial"/>
        </w:rPr>
      </w:pPr>
      <w:r w:rsidRPr="0019325A">
        <w:rPr>
          <w:rFonts w:cs="Arial"/>
          <w:b/>
          <w:bCs/>
        </w:rPr>
        <w:t>Прах за инжекционен разтвор</w:t>
      </w:r>
    </w:p>
    <w:p w14:paraId="7D287A22" w14:textId="77777777" w:rsidR="00A73575" w:rsidRPr="0091385D" w:rsidRDefault="00A73575"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6D0B7114" w14:textId="77777777" w:rsidR="008E6A73" w:rsidRPr="008E6A73" w:rsidRDefault="008E6A73" w:rsidP="008E6A73">
      <w:pPr>
        <w:spacing w:line="240" w:lineRule="auto"/>
        <w:rPr>
          <w:rFonts w:eastAsia="Times New Roman" w:cs="Arial"/>
          <w:lang w:eastAsia="bg-BG"/>
        </w:rPr>
      </w:pPr>
      <w:r w:rsidRPr="008E6A73">
        <w:rPr>
          <w:rFonts w:eastAsia="Times New Roman" w:cs="Arial"/>
          <w:b/>
          <w:bCs/>
          <w:color w:val="000000"/>
          <w:u w:val="single"/>
          <w:lang w:eastAsia="bg-BG"/>
        </w:rPr>
        <w:t>Монотепапия</w:t>
      </w:r>
    </w:p>
    <w:p w14:paraId="6AFE062C" w14:textId="396EAE2B" w:rsidR="008E6A73" w:rsidRPr="0019325A" w:rsidRDefault="008E6A73" w:rsidP="008E6A73">
      <w:pPr>
        <w:spacing w:line="240" w:lineRule="auto"/>
        <w:rPr>
          <w:rFonts w:eastAsia="Times New Roman" w:cs="Arial"/>
          <w:b/>
          <w:bCs/>
          <w:color w:val="000000"/>
          <w:lang w:eastAsia="bg-BG"/>
        </w:rPr>
      </w:pPr>
      <w:r w:rsidRPr="008E6A73">
        <w:rPr>
          <w:rFonts w:eastAsia="Times New Roman" w:cs="Arial"/>
          <w:b/>
          <w:bCs/>
          <w:color w:val="000000"/>
          <w:lang w:eastAsia="bg-BG"/>
        </w:rPr>
        <w:t>Сулперазон е показан за лечение на следните инфекции, когато са причинени от чувствителни микроорганизми:</w:t>
      </w:r>
    </w:p>
    <w:p w14:paraId="661C6F53" w14:textId="77777777" w:rsidR="008E6A73" w:rsidRPr="008E6A73" w:rsidRDefault="008E6A73" w:rsidP="008E6A73">
      <w:pPr>
        <w:spacing w:line="240" w:lineRule="auto"/>
        <w:rPr>
          <w:rFonts w:eastAsia="Times New Roman" w:cs="Arial"/>
          <w:lang w:eastAsia="bg-BG"/>
        </w:rPr>
      </w:pPr>
    </w:p>
    <w:p w14:paraId="6E13726C" w14:textId="77777777" w:rsidR="008E6A73" w:rsidRPr="0019325A" w:rsidRDefault="008E6A73" w:rsidP="008E6A73">
      <w:pPr>
        <w:numPr>
          <w:ilvl w:val="0"/>
          <w:numId w:val="2"/>
        </w:numPr>
        <w:spacing w:line="240" w:lineRule="auto"/>
        <w:rPr>
          <w:rFonts w:eastAsia="Times New Roman" w:cs="Arial"/>
          <w:b/>
          <w:bCs/>
          <w:color w:val="000000"/>
          <w:lang w:eastAsia="bg-BG"/>
        </w:rPr>
      </w:pPr>
      <w:r w:rsidRPr="008E6A73">
        <w:rPr>
          <w:rFonts w:eastAsia="Times New Roman" w:cs="Arial"/>
          <w:b/>
          <w:bCs/>
          <w:color w:val="000000"/>
          <w:lang w:eastAsia="bg-BG"/>
        </w:rPr>
        <w:lastRenderedPageBreak/>
        <w:t>Инфекции на дихателните пътища (горни и долни)</w:t>
      </w:r>
    </w:p>
    <w:p w14:paraId="1DDE6982" w14:textId="77777777" w:rsidR="008E6A73" w:rsidRPr="0019325A" w:rsidRDefault="008E6A73" w:rsidP="008E6A73">
      <w:pPr>
        <w:numPr>
          <w:ilvl w:val="0"/>
          <w:numId w:val="2"/>
        </w:numPr>
        <w:spacing w:line="240" w:lineRule="auto"/>
        <w:rPr>
          <w:rFonts w:eastAsia="Times New Roman" w:cs="Arial"/>
          <w:b/>
          <w:bCs/>
          <w:color w:val="000000"/>
          <w:lang w:eastAsia="bg-BG"/>
        </w:rPr>
      </w:pPr>
      <w:r w:rsidRPr="008E6A73">
        <w:rPr>
          <w:rFonts w:eastAsia="Times New Roman" w:cs="Arial"/>
          <w:b/>
          <w:bCs/>
          <w:color w:val="000000"/>
          <w:lang w:eastAsia="bg-BG"/>
        </w:rPr>
        <w:t xml:space="preserve">Инфекции на пикочните пътища (горни и долни) </w:t>
      </w:r>
    </w:p>
    <w:p w14:paraId="4D6DA94A" w14:textId="77777777" w:rsidR="008E6A73" w:rsidRPr="0019325A" w:rsidRDefault="008E6A73" w:rsidP="008E6A73">
      <w:pPr>
        <w:numPr>
          <w:ilvl w:val="0"/>
          <w:numId w:val="2"/>
        </w:numPr>
        <w:spacing w:line="240" w:lineRule="auto"/>
        <w:rPr>
          <w:rFonts w:eastAsia="Times New Roman" w:cs="Arial"/>
          <w:b/>
          <w:bCs/>
          <w:color w:val="000000"/>
          <w:lang w:eastAsia="bg-BG"/>
        </w:rPr>
      </w:pPr>
      <w:r w:rsidRPr="008E6A73">
        <w:rPr>
          <w:rFonts w:eastAsia="Times New Roman" w:cs="Arial"/>
          <w:b/>
          <w:bCs/>
          <w:color w:val="000000"/>
          <w:lang w:eastAsia="bg-BG"/>
        </w:rPr>
        <w:t>Перитонит, холецистит, холангит и други интра-</w:t>
      </w:r>
      <w:r w:rsidRPr="0019325A">
        <w:rPr>
          <w:rFonts w:eastAsia="Times New Roman" w:cs="Arial"/>
          <w:b/>
          <w:bCs/>
          <w:color w:val="000000"/>
          <w:lang w:eastAsia="bg-BG"/>
        </w:rPr>
        <w:t xml:space="preserve">абдоминални инфекции </w:t>
      </w:r>
    </w:p>
    <w:p w14:paraId="1326782F" w14:textId="78E3923A" w:rsidR="008E6A73" w:rsidRPr="0019325A" w:rsidRDefault="008E6A73" w:rsidP="008E6A73">
      <w:pPr>
        <w:numPr>
          <w:ilvl w:val="0"/>
          <w:numId w:val="2"/>
        </w:numPr>
        <w:spacing w:line="240" w:lineRule="auto"/>
        <w:rPr>
          <w:rFonts w:eastAsia="Times New Roman" w:cs="Arial"/>
          <w:b/>
          <w:bCs/>
          <w:color w:val="000000"/>
          <w:lang w:eastAsia="bg-BG"/>
        </w:rPr>
      </w:pPr>
      <w:r w:rsidRPr="0019325A">
        <w:rPr>
          <w:rFonts w:eastAsia="Times New Roman" w:cs="Arial"/>
          <w:b/>
          <w:bCs/>
          <w:color w:val="000000"/>
          <w:lang w:eastAsia="bg-BG"/>
        </w:rPr>
        <w:t>Септицемия</w:t>
      </w:r>
    </w:p>
    <w:p w14:paraId="5CF11039" w14:textId="138C946B" w:rsidR="008E6A73" w:rsidRPr="008E6A73" w:rsidRDefault="008E6A73" w:rsidP="008E6A73">
      <w:pPr>
        <w:numPr>
          <w:ilvl w:val="0"/>
          <w:numId w:val="2"/>
        </w:numPr>
        <w:spacing w:line="240" w:lineRule="auto"/>
        <w:rPr>
          <w:rFonts w:eastAsia="Times New Roman" w:cs="Arial"/>
          <w:b/>
          <w:bCs/>
          <w:color w:val="000000"/>
          <w:lang w:eastAsia="bg-BG"/>
        </w:rPr>
      </w:pPr>
      <w:r w:rsidRPr="008E6A73">
        <w:rPr>
          <w:rFonts w:eastAsia="Times New Roman" w:cs="Arial"/>
          <w:b/>
          <w:bCs/>
          <w:color w:val="000000"/>
          <w:lang w:eastAsia="bg-BG"/>
        </w:rPr>
        <w:t>Менингит</w:t>
      </w:r>
    </w:p>
    <w:p w14:paraId="3A691884" w14:textId="77777777" w:rsidR="008E6A73" w:rsidRPr="0019325A" w:rsidRDefault="008E6A73" w:rsidP="008E6A73">
      <w:pPr>
        <w:numPr>
          <w:ilvl w:val="0"/>
          <w:numId w:val="2"/>
        </w:numPr>
        <w:spacing w:line="240" w:lineRule="auto"/>
        <w:rPr>
          <w:rFonts w:eastAsia="Times New Roman" w:cs="Arial"/>
          <w:b/>
          <w:bCs/>
          <w:color w:val="000000"/>
          <w:lang w:eastAsia="bg-BG"/>
        </w:rPr>
      </w:pPr>
      <w:r w:rsidRPr="008E6A73">
        <w:rPr>
          <w:rFonts w:eastAsia="Times New Roman" w:cs="Arial"/>
          <w:b/>
          <w:bCs/>
          <w:color w:val="000000"/>
          <w:lang w:eastAsia="bg-BG"/>
        </w:rPr>
        <w:t>Кожни инфекции и инфекции на меките тъкани</w:t>
      </w:r>
    </w:p>
    <w:p w14:paraId="291A816A" w14:textId="77777777" w:rsidR="008E6A73" w:rsidRPr="0019325A" w:rsidRDefault="008E6A73" w:rsidP="008E6A73">
      <w:pPr>
        <w:numPr>
          <w:ilvl w:val="0"/>
          <w:numId w:val="2"/>
        </w:numPr>
        <w:spacing w:line="240" w:lineRule="auto"/>
        <w:rPr>
          <w:rFonts w:eastAsia="Times New Roman" w:cs="Arial"/>
          <w:b/>
          <w:bCs/>
          <w:color w:val="000000"/>
          <w:lang w:eastAsia="bg-BG"/>
        </w:rPr>
      </w:pPr>
      <w:r w:rsidRPr="008E6A73">
        <w:rPr>
          <w:rFonts w:eastAsia="Times New Roman" w:cs="Arial"/>
          <w:b/>
          <w:bCs/>
          <w:color w:val="000000"/>
          <w:lang w:eastAsia="bg-BG"/>
        </w:rPr>
        <w:t>Костни и ставни инфекции</w:t>
      </w:r>
    </w:p>
    <w:p w14:paraId="35A4D388" w14:textId="1A3973C1" w:rsidR="008E6A73" w:rsidRPr="008E6A73" w:rsidRDefault="008E6A73" w:rsidP="008E6A73">
      <w:pPr>
        <w:numPr>
          <w:ilvl w:val="0"/>
          <w:numId w:val="2"/>
        </w:numPr>
        <w:spacing w:line="240" w:lineRule="auto"/>
        <w:rPr>
          <w:rFonts w:eastAsia="Times New Roman" w:cs="Arial"/>
          <w:b/>
          <w:bCs/>
          <w:color w:val="000000"/>
          <w:lang w:eastAsia="bg-BG"/>
        </w:rPr>
      </w:pPr>
      <w:r w:rsidRPr="008E6A73">
        <w:rPr>
          <w:rFonts w:eastAsia="Times New Roman" w:cs="Arial"/>
          <w:b/>
          <w:bCs/>
          <w:color w:val="000000"/>
          <w:lang w:eastAsia="bg-BG"/>
        </w:rPr>
        <w:t>Тазово-възпалителна болест, ендометрит, гонорея и други инфекции на половата система.</w:t>
      </w:r>
    </w:p>
    <w:p w14:paraId="344436FC" w14:textId="77777777" w:rsidR="008E6A73" w:rsidRPr="0019325A" w:rsidRDefault="008E6A73" w:rsidP="008E6A73">
      <w:pPr>
        <w:spacing w:line="240" w:lineRule="auto"/>
        <w:rPr>
          <w:rFonts w:eastAsia="Times New Roman" w:cs="Arial"/>
          <w:b/>
          <w:bCs/>
          <w:color w:val="000000"/>
          <w:u w:val="single"/>
          <w:lang w:eastAsia="bg-BG"/>
        </w:rPr>
      </w:pPr>
    </w:p>
    <w:p w14:paraId="0F53CD45" w14:textId="6BE7BCD5" w:rsidR="008E6A73" w:rsidRPr="008E6A73" w:rsidRDefault="008E6A73" w:rsidP="008E6A73">
      <w:pPr>
        <w:spacing w:line="240" w:lineRule="auto"/>
        <w:rPr>
          <w:rFonts w:eastAsia="Times New Roman" w:cs="Arial"/>
          <w:lang w:eastAsia="bg-BG"/>
        </w:rPr>
      </w:pPr>
      <w:r w:rsidRPr="008E6A73">
        <w:rPr>
          <w:rFonts w:eastAsia="Times New Roman" w:cs="Arial"/>
          <w:b/>
          <w:bCs/>
          <w:color w:val="000000"/>
          <w:u w:val="single"/>
          <w:lang w:eastAsia="bg-BG"/>
        </w:rPr>
        <w:t>Комбинирана терапия</w:t>
      </w:r>
    </w:p>
    <w:p w14:paraId="6DFA4B9D" w14:textId="6F8FA79B" w:rsidR="0091385D" w:rsidRPr="0019325A" w:rsidRDefault="008E6A73" w:rsidP="008E6A73">
      <w:pPr>
        <w:rPr>
          <w:rFonts w:cs="Arial"/>
        </w:rPr>
      </w:pPr>
      <w:r w:rsidRPr="0019325A">
        <w:rPr>
          <w:rFonts w:eastAsia="Times New Roman" w:cs="Arial"/>
          <w:b/>
          <w:bCs/>
          <w:color w:val="000000"/>
          <w:lang w:eastAsia="bg-BG"/>
        </w:rPr>
        <w:t xml:space="preserve">Поради широкия спектър на активност на Сулперазон повечето инфекции могат да бъдат лекувани адекватно с монотерапия с този антибиотик. Въпреки това обаче, Сулперазон може да бъде прилаган едновременно с други антибиотици, ако такива комбинации са показани. Ако се прилага заедно с аминогликозид (вижте точка 6.2. Несъвместимости </w:t>
      </w:r>
      <w:r w:rsidRPr="0019325A">
        <w:rPr>
          <w:rFonts w:eastAsia="Times New Roman" w:cs="Arial"/>
          <w:b/>
          <w:bCs/>
          <w:i/>
          <w:iCs/>
          <w:color w:val="000000"/>
          <w:lang w:eastAsia="bg-BG"/>
        </w:rPr>
        <w:t>Амююгликозидй),</w:t>
      </w:r>
      <w:r w:rsidRPr="0019325A">
        <w:rPr>
          <w:rFonts w:eastAsia="Times New Roman" w:cs="Arial"/>
          <w:b/>
          <w:bCs/>
          <w:color w:val="000000"/>
          <w:lang w:eastAsia="bg-BG"/>
        </w:rPr>
        <w:t xml:space="preserve"> бъбречната функция трябва да </w:t>
      </w:r>
      <w:r w:rsidRPr="0019325A">
        <w:rPr>
          <w:rFonts w:cs="Arial"/>
          <w:b/>
          <w:bCs/>
        </w:rPr>
        <w:t xml:space="preserve">се проследява по време на лечението (вижте точка 4.2. Дозировка и начин на приложение </w:t>
      </w:r>
      <w:r w:rsidRPr="0019325A">
        <w:rPr>
          <w:rFonts w:cs="Arial"/>
          <w:b/>
          <w:bCs/>
          <w:i/>
          <w:iCs/>
        </w:rPr>
        <w:t>Приложение при бъбречна дисфункция).</w:t>
      </w:r>
    </w:p>
    <w:p w14:paraId="642F56D9" w14:textId="77777777" w:rsidR="00EC41ED" w:rsidRPr="0091385D" w:rsidRDefault="00EC41ED" w:rsidP="0091385D"/>
    <w:p w14:paraId="30BE2C7B" w14:textId="3633C1E4" w:rsidR="008134C8" w:rsidRDefault="002C50EE" w:rsidP="004A448E">
      <w:pPr>
        <w:pStyle w:val="Heading2"/>
      </w:pPr>
      <w:r>
        <w:t>4.2. Дозировка и начин на приложение</w:t>
      </w:r>
    </w:p>
    <w:p w14:paraId="7AA22B68" w14:textId="0723B40D" w:rsidR="0091385D" w:rsidRDefault="0091385D" w:rsidP="0091385D"/>
    <w:p w14:paraId="355D0640" w14:textId="77777777" w:rsidR="008E6A73" w:rsidRPr="008E6A73" w:rsidRDefault="008E6A73" w:rsidP="008E6A73">
      <w:pPr>
        <w:spacing w:line="240" w:lineRule="auto"/>
        <w:rPr>
          <w:rFonts w:eastAsia="Times New Roman" w:cs="Arial"/>
          <w:lang w:eastAsia="bg-BG"/>
        </w:rPr>
      </w:pPr>
      <w:r w:rsidRPr="008E6A73">
        <w:rPr>
          <w:rFonts w:eastAsia="Times New Roman" w:cs="Arial"/>
          <w:b/>
          <w:bCs/>
          <w:color w:val="000000"/>
          <w:u w:val="single"/>
          <w:lang w:eastAsia="bg-BG"/>
        </w:rPr>
        <w:t>Приложение при възрастни</w:t>
      </w:r>
    </w:p>
    <w:p w14:paraId="7FBF1BCE" w14:textId="540AABD0" w:rsidR="00EC41ED" w:rsidRPr="0019325A" w:rsidRDefault="008E6A73" w:rsidP="008E6A73">
      <w:pPr>
        <w:rPr>
          <w:rFonts w:eastAsia="Times New Roman" w:cs="Arial"/>
          <w:b/>
          <w:bCs/>
          <w:color w:val="000000"/>
          <w:lang w:eastAsia="bg-BG"/>
        </w:rPr>
      </w:pPr>
      <w:r w:rsidRPr="0019325A">
        <w:rPr>
          <w:rFonts w:eastAsia="Times New Roman" w:cs="Arial"/>
          <w:b/>
          <w:bCs/>
          <w:color w:val="000000"/>
          <w:lang w:eastAsia="bg-BG"/>
        </w:rPr>
        <w:t xml:space="preserve">Препоръчителните </w:t>
      </w:r>
      <w:r w:rsidRPr="0019325A">
        <w:rPr>
          <w:rFonts w:eastAsia="Times New Roman" w:cs="Arial"/>
          <w:b/>
          <w:bCs/>
          <w:i/>
          <w:iCs/>
          <w:color w:val="000000"/>
          <w:lang w:eastAsia="bg-BG"/>
        </w:rPr>
        <w:t>дневни дози за Сулперазон при</w:t>
      </w:r>
      <w:r w:rsidRPr="0019325A">
        <w:rPr>
          <w:rFonts w:eastAsia="Times New Roman" w:cs="Arial"/>
          <w:b/>
          <w:bCs/>
          <w:color w:val="000000"/>
          <w:lang w:eastAsia="bg-BG"/>
        </w:rPr>
        <w:t xml:space="preserve"> възрастни </w:t>
      </w:r>
      <w:r w:rsidRPr="0019325A">
        <w:rPr>
          <w:rFonts w:eastAsia="Times New Roman" w:cs="Arial"/>
          <w:b/>
          <w:bCs/>
          <w:i/>
          <w:iCs/>
          <w:color w:val="000000"/>
          <w:lang w:eastAsia="bg-BG"/>
        </w:rPr>
        <w:t>са,</w:t>
      </w:r>
      <w:r w:rsidRPr="0019325A">
        <w:rPr>
          <w:rFonts w:eastAsia="Times New Roman" w:cs="Arial"/>
          <w:b/>
          <w:bCs/>
          <w:color w:val="000000"/>
          <w:lang w:eastAsia="bg-BG"/>
        </w:rPr>
        <w:t xml:space="preserve"> както следва:</w:t>
      </w:r>
    </w:p>
    <w:p w14:paraId="386E22FB" w14:textId="7440B78B" w:rsidR="008E6A73" w:rsidRPr="0019325A" w:rsidRDefault="008E6A73" w:rsidP="008E6A73">
      <w:pPr>
        <w:rPr>
          <w:rFonts w:eastAsia="Times New Roman" w:cs="Arial"/>
          <w:b/>
          <w:bCs/>
          <w:color w:val="000000"/>
          <w:lang w:eastAsia="bg-BG"/>
        </w:rPr>
      </w:pPr>
    </w:p>
    <w:tbl>
      <w:tblPr>
        <w:tblStyle w:val="TableGrid"/>
        <w:tblW w:w="0" w:type="auto"/>
        <w:tblLook w:val="04A0" w:firstRow="1" w:lastRow="0" w:firstColumn="1" w:lastColumn="0" w:noHBand="0" w:noVBand="1"/>
      </w:tblPr>
      <w:tblGrid>
        <w:gridCol w:w="2337"/>
        <w:gridCol w:w="2337"/>
        <w:gridCol w:w="2338"/>
        <w:gridCol w:w="2338"/>
      </w:tblGrid>
      <w:tr w:rsidR="008E6A73" w:rsidRPr="0019325A" w14:paraId="31075E4C" w14:textId="77777777" w:rsidTr="008E6A73">
        <w:tc>
          <w:tcPr>
            <w:tcW w:w="2337" w:type="dxa"/>
          </w:tcPr>
          <w:p w14:paraId="4CF053D4" w14:textId="0F0B9980" w:rsidR="008E6A73" w:rsidRPr="0019325A" w:rsidRDefault="008E6A73" w:rsidP="008E6A73">
            <w:pPr>
              <w:rPr>
                <w:rFonts w:cs="Arial"/>
              </w:rPr>
            </w:pPr>
            <w:r w:rsidRPr="0019325A">
              <w:rPr>
                <w:rFonts w:cs="Arial"/>
                <w:b/>
                <w:bCs/>
              </w:rPr>
              <w:t>Съотношение</w:t>
            </w:r>
          </w:p>
        </w:tc>
        <w:tc>
          <w:tcPr>
            <w:tcW w:w="2337" w:type="dxa"/>
          </w:tcPr>
          <w:p w14:paraId="3ACCD6A4" w14:textId="4B0C8177" w:rsidR="008E6A73" w:rsidRPr="0019325A" w:rsidRDefault="008E6A73" w:rsidP="008E6A73">
            <w:pPr>
              <w:rPr>
                <w:rFonts w:cs="Arial"/>
              </w:rPr>
            </w:pPr>
            <w:r w:rsidRPr="0019325A">
              <w:rPr>
                <w:rFonts w:cs="Arial"/>
                <w:b/>
                <w:bCs/>
                <w:u w:val="single"/>
                <w:lang w:val="en-US"/>
              </w:rPr>
              <w:t>SBT/CPZ(g)</w:t>
            </w:r>
          </w:p>
        </w:tc>
        <w:tc>
          <w:tcPr>
            <w:tcW w:w="2338" w:type="dxa"/>
          </w:tcPr>
          <w:p w14:paraId="39CF9463" w14:textId="77777777" w:rsidR="008E6A73" w:rsidRPr="0019325A" w:rsidRDefault="008E6A73" w:rsidP="008E6A73">
            <w:pPr>
              <w:rPr>
                <w:rFonts w:cs="Arial"/>
              </w:rPr>
            </w:pPr>
            <w:r w:rsidRPr="0019325A">
              <w:rPr>
                <w:rFonts w:cs="Arial"/>
                <w:b/>
                <w:bCs/>
              </w:rPr>
              <w:t>Сулбактам</w:t>
            </w:r>
          </w:p>
          <w:p w14:paraId="5F531743" w14:textId="6B7C71DA" w:rsidR="008E6A73" w:rsidRPr="0019325A" w:rsidRDefault="008E6A73" w:rsidP="008E6A73">
            <w:pPr>
              <w:rPr>
                <w:rFonts w:cs="Arial"/>
              </w:rPr>
            </w:pPr>
            <w:r w:rsidRPr="0019325A">
              <w:rPr>
                <w:rFonts w:cs="Arial"/>
                <w:b/>
                <w:bCs/>
              </w:rPr>
              <w:t xml:space="preserve">Активност </w:t>
            </w:r>
            <w:r w:rsidRPr="0019325A">
              <w:rPr>
                <w:rFonts w:cs="Arial"/>
                <w:b/>
                <w:bCs/>
                <w:lang w:val="en-US"/>
              </w:rPr>
              <w:t>(g)</w:t>
            </w:r>
          </w:p>
        </w:tc>
        <w:tc>
          <w:tcPr>
            <w:tcW w:w="2338" w:type="dxa"/>
          </w:tcPr>
          <w:p w14:paraId="2028BADF" w14:textId="77777777" w:rsidR="008E6A73" w:rsidRPr="0019325A" w:rsidRDefault="008E6A73" w:rsidP="008E6A73">
            <w:pPr>
              <w:rPr>
                <w:rFonts w:cs="Arial"/>
              </w:rPr>
            </w:pPr>
            <w:r w:rsidRPr="0019325A">
              <w:rPr>
                <w:rFonts w:cs="Arial"/>
                <w:b/>
                <w:bCs/>
              </w:rPr>
              <w:t>Цефоперазон</w:t>
            </w:r>
          </w:p>
          <w:p w14:paraId="11B03C56" w14:textId="5595CE75" w:rsidR="008E6A73" w:rsidRPr="0019325A" w:rsidRDefault="008E6A73" w:rsidP="008E6A73">
            <w:pPr>
              <w:rPr>
                <w:rFonts w:cs="Arial"/>
              </w:rPr>
            </w:pPr>
            <w:r w:rsidRPr="0019325A">
              <w:rPr>
                <w:rFonts w:cs="Arial"/>
                <w:b/>
                <w:bCs/>
              </w:rPr>
              <w:t xml:space="preserve">Активност </w:t>
            </w:r>
            <w:r w:rsidRPr="0019325A">
              <w:rPr>
                <w:rFonts w:cs="Arial"/>
                <w:b/>
                <w:bCs/>
                <w:lang w:val="en-US"/>
              </w:rPr>
              <w:t>(g)</w:t>
            </w:r>
          </w:p>
        </w:tc>
      </w:tr>
      <w:tr w:rsidR="008E6A73" w:rsidRPr="0019325A" w14:paraId="52A2862A" w14:textId="77777777" w:rsidTr="008E6A73">
        <w:tc>
          <w:tcPr>
            <w:tcW w:w="2337" w:type="dxa"/>
          </w:tcPr>
          <w:p w14:paraId="02B96626" w14:textId="6F1E4959" w:rsidR="008E6A73" w:rsidRPr="0019325A" w:rsidRDefault="008E6A73" w:rsidP="008E6A73">
            <w:pPr>
              <w:rPr>
                <w:rFonts w:cs="Arial"/>
              </w:rPr>
            </w:pPr>
            <w:r w:rsidRPr="0019325A">
              <w:rPr>
                <w:rFonts w:cs="Arial"/>
                <w:b/>
                <w:bCs/>
              </w:rPr>
              <w:t>1:1</w:t>
            </w:r>
          </w:p>
        </w:tc>
        <w:tc>
          <w:tcPr>
            <w:tcW w:w="2337" w:type="dxa"/>
          </w:tcPr>
          <w:p w14:paraId="1D907FCC" w14:textId="77F0DC48" w:rsidR="008E6A73" w:rsidRPr="0019325A" w:rsidRDefault="008E6A73" w:rsidP="008E6A73">
            <w:pPr>
              <w:rPr>
                <w:rFonts w:cs="Arial"/>
              </w:rPr>
            </w:pPr>
            <w:r w:rsidRPr="0019325A">
              <w:rPr>
                <w:rFonts w:cs="Arial"/>
                <w:b/>
                <w:bCs/>
              </w:rPr>
              <w:t>2,0 -4,0</w:t>
            </w:r>
          </w:p>
        </w:tc>
        <w:tc>
          <w:tcPr>
            <w:tcW w:w="2338" w:type="dxa"/>
          </w:tcPr>
          <w:p w14:paraId="4B836D3C" w14:textId="6E3FA738" w:rsidR="008E6A73" w:rsidRPr="0019325A" w:rsidRDefault="008E6A73" w:rsidP="008E6A73">
            <w:pPr>
              <w:rPr>
                <w:rFonts w:cs="Arial"/>
              </w:rPr>
            </w:pPr>
            <w:r w:rsidRPr="0019325A">
              <w:rPr>
                <w:rFonts w:cs="Arial"/>
                <w:b/>
                <w:bCs/>
              </w:rPr>
              <w:t>1,0-2,0</w:t>
            </w:r>
          </w:p>
        </w:tc>
        <w:tc>
          <w:tcPr>
            <w:tcW w:w="2338" w:type="dxa"/>
          </w:tcPr>
          <w:p w14:paraId="0C026327" w14:textId="1AFF134C" w:rsidR="008E6A73" w:rsidRPr="0019325A" w:rsidRDefault="008E6A73" w:rsidP="008E6A73">
            <w:pPr>
              <w:rPr>
                <w:rFonts w:cs="Arial"/>
              </w:rPr>
            </w:pPr>
            <w:r w:rsidRPr="0019325A">
              <w:rPr>
                <w:rFonts w:cs="Arial"/>
                <w:b/>
                <w:bCs/>
              </w:rPr>
              <w:t>1,0-2,0</w:t>
            </w:r>
          </w:p>
        </w:tc>
      </w:tr>
    </w:tbl>
    <w:p w14:paraId="71CE50D2" w14:textId="506AF538" w:rsidR="008E6A73" w:rsidRPr="0019325A" w:rsidRDefault="008E6A73" w:rsidP="008E6A73">
      <w:pPr>
        <w:rPr>
          <w:rFonts w:cs="Arial"/>
        </w:rPr>
      </w:pPr>
    </w:p>
    <w:p w14:paraId="33135604" w14:textId="77777777" w:rsidR="008E6A73" w:rsidRPr="008E6A73" w:rsidRDefault="008E6A73" w:rsidP="008E6A73">
      <w:pPr>
        <w:spacing w:line="240" w:lineRule="auto"/>
        <w:rPr>
          <w:rFonts w:eastAsia="Times New Roman" w:cs="Arial"/>
          <w:lang w:eastAsia="bg-BG"/>
        </w:rPr>
      </w:pPr>
      <w:r w:rsidRPr="008E6A73">
        <w:rPr>
          <w:rFonts w:eastAsia="Times New Roman" w:cs="Arial"/>
          <w:b/>
          <w:bCs/>
          <w:color w:val="000000"/>
          <w:lang w:eastAsia="bg-BG"/>
        </w:rPr>
        <w:t>Дозите трябва да се прилагат на всеки 12 часа, разделени поравно.</w:t>
      </w:r>
    </w:p>
    <w:p w14:paraId="2FCAFDB7" w14:textId="77777777" w:rsidR="008E6A73" w:rsidRPr="0019325A" w:rsidRDefault="008E6A73" w:rsidP="008E6A73">
      <w:pPr>
        <w:spacing w:line="240" w:lineRule="auto"/>
        <w:rPr>
          <w:rFonts w:eastAsia="Times New Roman" w:cs="Arial"/>
          <w:b/>
          <w:bCs/>
          <w:color w:val="000000"/>
          <w:lang w:eastAsia="bg-BG"/>
        </w:rPr>
      </w:pPr>
    </w:p>
    <w:p w14:paraId="07D7B8CA" w14:textId="4E0BA523" w:rsidR="008E6A73" w:rsidRPr="008E6A73" w:rsidRDefault="008E6A73" w:rsidP="008E6A73">
      <w:pPr>
        <w:spacing w:line="240" w:lineRule="auto"/>
        <w:rPr>
          <w:rFonts w:eastAsia="Times New Roman" w:cs="Arial"/>
          <w:lang w:eastAsia="bg-BG"/>
        </w:rPr>
      </w:pPr>
      <w:r w:rsidRPr="008E6A73">
        <w:rPr>
          <w:rFonts w:eastAsia="Times New Roman" w:cs="Arial"/>
          <w:b/>
          <w:bCs/>
          <w:color w:val="000000"/>
          <w:lang w:eastAsia="bg-BG"/>
        </w:rPr>
        <w:t xml:space="preserve">При тежки или рефрактерни на лечение инфекции дневната доза на Сулперазон може да бъде увеличена до 8 </w:t>
      </w:r>
      <w:r w:rsidRPr="008E6A73">
        <w:rPr>
          <w:rFonts w:eastAsia="Times New Roman" w:cs="Arial"/>
          <w:b/>
          <w:bCs/>
          <w:color w:val="000000"/>
          <w:lang w:val="en-US"/>
        </w:rPr>
        <w:t xml:space="preserve">g </w:t>
      </w:r>
      <w:r w:rsidRPr="008E6A73">
        <w:rPr>
          <w:rFonts w:eastAsia="Times New Roman" w:cs="Arial"/>
          <w:b/>
          <w:bCs/>
          <w:color w:val="000000"/>
          <w:lang w:eastAsia="bg-BG"/>
        </w:rPr>
        <w:t xml:space="preserve">( активност на цефоперазон 4 </w:t>
      </w:r>
      <w:r w:rsidRPr="008E6A73">
        <w:rPr>
          <w:rFonts w:eastAsia="Times New Roman" w:cs="Arial"/>
          <w:b/>
          <w:bCs/>
          <w:color w:val="000000"/>
          <w:lang w:val="en-US"/>
        </w:rPr>
        <w:t xml:space="preserve">g). </w:t>
      </w:r>
      <w:r w:rsidRPr="008E6A73">
        <w:rPr>
          <w:rFonts w:eastAsia="Times New Roman" w:cs="Arial"/>
          <w:b/>
          <w:bCs/>
          <w:color w:val="000000"/>
          <w:lang w:eastAsia="bg-BG"/>
        </w:rPr>
        <w:t>Пациентите може да имат нужда от допълнително приложение на цефоперазон отделно. Дозите трябва да се прилагат на всеки 12 часа, разделени поравно.</w:t>
      </w:r>
    </w:p>
    <w:p w14:paraId="19C988A5" w14:textId="77777777" w:rsidR="008E6A73" w:rsidRPr="0019325A" w:rsidRDefault="008E6A73" w:rsidP="008E6A73">
      <w:pPr>
        <w:spacing w:line="240" w:lineRule="auto"/>
        <w:rPr>
          <w:rFonts w:eastAsia="Times New Roman" w:cs="Arial"/>
          <w:b/>
          <w:bCs/>
          <w:color w:val="000000"/>
          <w:lang w:eastAsia="bg-BG"/>
        </w:rPr>
      </w:pPr>
    </w:p>
    <w:p w14:paraId="79D8CEFB" w14:textId="197432B2" w:rsidR="008E6A73" w:rsidRPr="008E6A73" w:rsidRDefault="008E6A73" w:rsidP="008E6A73">
      <w:pPr>
        <w:spacing w:line="240" w:lineRule="auto"/>
        <w:rPr>
          <w:rFonts w:eastAsia="Times New Roman" w:cs="Arial"/>
          <w:lang w:eastAsia="bg-BG"/>
        </w:rPr>
      </w:pPr>
      <w:r w:rsidRPr="008E6A73">
        <w:rPr>
          <w:rFonts w:eastAsia="Times New Roman" w:cs="Arial"/>
          <w:b/>
          <w:bCs/>
          <w:color w:val="000000"/>
          <w:lang w:eastAsia="bg-BG"/>
        </w:rPr>
        <w:t xml:space="preserve">Препоръчителната максимална дневна доза на сулбактам е 4 </w:t>
      </w:r>
      <w:r w:rsidRPr="008E6A73">
        <w:rPr>
          <w:rFonts w:eastAsia="Times New Roman" w:cs="Arial"/>
          <w:b/>
          <w:bCs/>
          <w:color w:val="000000"/>
          <w:lang w:val="en-US"/>
        </w:rPr>
        <w:t>g.</w:t>
      </w:r>
    </w:p>
    <w:p w14:paraId="076A5154" w14:textId="77777777" w:rsidR="008E6A73" w:rsidRPr="0019325A" w:rsidRDefault="008E6A73" w:rsidP="008E6A73">
      <w:pPr>
        <w:spacing w:line="240" w:lineRule="auto"/>
        <w:rPr>
          <w:rFonts w:eastAsia="Times New Roman" w:cs="Arial"/>
          <w:b/>
          <w:bCs/>
          <w:color w:val="000000"/>
          <w:u w:val="single"/>
          <w:lang w:eastAsia="bg-BG"/>
        </w:rPr>
      </w:pPr>
    </w:p>
    <w:p w14:paraId="0D897CD5" w14:textId="638BDB56" w:rsidR="008E6A73" w:rsidRPr="008E6A73" w:rsidRDefault="008E6A73" w:rsidP="008E6A73">
      <w:pPr>
        <w:spacing w:line="240" w:lineRule="auto"/>
        <w:rPr>
          <w:rFonts w:eastAsia="Times New Roman" w:cs="Arial"/>
          <w:lang w:eastAsia="bg-BG"/>
        </w:rPr>
      </w:pPr>
      <w:r w:rsidRPr="008E6A73">
        <w:rPr>
          <w:rFonts w:eastAsia="Times New Roman" w:cs="Arial"/>
          <w:b/>
          <w:bCs/>
          <w:color w:val="000000"/>
          <w:u w:val="single"/>
          <w:lang w:eastAsia="bg-BG"/>
        </w:rPr>
        <w:t>Приложение при чернодробна дисфункиия</w:t>
      </w:r>
    </w:p>
    <w:p w14:paraId="6E869E6A" w14:textId="77777777" w:rsidR="008E6A73" w:rsidRPr="008E6A73" w:rsidRDefault="008E6A73" w:rsidP="008E6A73">
      <w:pPr>
        <w:spacing w:line="240" w:lineRule="auto"/>
        <w:rPr>
          <w:rFonts w:eastAsia="Times New Roman" w:cs="Arial"/>
          <w:lang w:eastAsia="bg-BG"/>
        </w:rPr>
      </w:pPr>
      <w:r w:rsidRPr="008E6A73">
        <w:rPr>
          <w:rFonts w:eastAsia="Times New Roman" w:cs="Arial"/>
          <w:b/>
          <w:bCs/>
          <w:color w:val="000000"/>
          <w:lang w:eastAsia="bg-BG"/>
        </w:rPr>
        <w:t xml:space="preserve">Вижте точка </w:t>
      </w:r>
      <w:r w:rsidRPr="008E6A73">
        <w:rPr>
          <w:rFonts w:eastAsia="Times New Roman" w:cs="Arial"/>
          <w:b/>
          <w:bCs/>
          <w:i/>
          <w:iCs/>
          <w:color w:val="000000"/>
          <w:lang w:eastAsia="bg-BG"/>
        </w:rPr>
        <w:t>4.4</w:t>
      </w:r>
      <w:r w:rsidRPr="008E6A73">
        <w:rPr>
          <w:rFonts w:eastAsia="Times New Roman" w:cs="Arial"/>
          <w:b/>
          <w:bCs/>
          <w:color w:val="000000"/>
          <w:lang w:eastAsia="bg-BG"/>
        </w:rPr>
        <w:t xml:space="preserve"> Специални предупреждения и предпазни мерки при употреба.</w:t>
      </w:r>
    </w:p>
    <w:p w14:paraId="7661BEB5" w14:textId="77777777" w:rsidR="008E6A73" w:rsidRPr="0019325A" w:rsidRDefault="008E6A73" w:rsidP="008E6A73">
      <w:pPr>
        <w:spacing w:line="240" w:lineRule="auto"/>
        <w:rPr>
          <w:rFonts w:eastAsia="Times New Roman" w:cs="Arial"/>
          <w:b/>
          <w:bCs/>
          <w:color w:val="000000"/>
          <w:u w:val="single"/>
          <w:lang w:eastAsia="bg-BG"/>
        </w:rPr>
      </w:pPr>
    </w:p>
    <w:p w14:paraId="3D783AB3" w14:textId="18E905AA" w:rsidR="008E6A73" w:rsidRPr="008E6A73" w:rsidRDefault="008E6A73" w:rsidP="008E6A73">
      <w:pPr>
        <w:spacing w:line="240" w:lineRule="auto"/>
        <w:rPr>
          <w:rFonts w:eastAsia="Times New Roman" w:cs="Arial"/>
          <w:b/>
          <w:u w:val="single"/>
          <w:lang w:eastAsia="bg-BG"/>
        </w:rPr>
      </w:pPr>
      <w:r w:rsidRPr="008E6A73">
        <w:rPr>
          <w:rFonts w:eastAsia="Times New Roman" w:cs="Arial"/>
          <w:b/>
          <w:bCs/>
          <w:color w:val="000000"/>
          <w:u w:val="single"/>
          <w:lang w:eastAsia="bg-BG"/>
        </w:rPr>
        <w:t xml:space="preserve">Приложение </w:t>
      </w:r>
      <w:r w:rsidR="0019325A" w:rsidRPr="0019325A">
        <w:rPr>
          <w:b/>
          <w:u w:val="single"/>
        </w:rPr>
        <w:t>при</w:t>
      </w:r>
      <w:r w:rsidRPr="008E6A73">
        <w:rPr>
          <w:rFonts w:eastAsia="Times New Roman" w:cs="Arial"/>
          <w:b/>
          <w:bCs/>
          <w:color w:val="000000"/>
          <w:u w:val="single"/>
          <w:lang w:eastAsia="bg-BG"/>
        </w:rPr>
        <w:t xml:space="preserve"> бъбречна писфункция</w:t>
      </w:r>
    </w:p>
    <w:p w14:paraId="4870B7F9" w14:textId="77777777" w:rsidR="008E6A73" w:rsidRPr="008E6A73" w:rsidRDefault="008E6A73" w:rsidP="008E6A73">
      <w:pPr>
        <w:spacing w:line="240" w:lineRule="auto"/>
        <w:rPr>
          <w:rFonts w:eastAsia="Times New Roman" w:cs="Arial"/>
          <w:lang w:eastAsia="bg-BG"/>
        </w:rPr>
      </w:pPr>
      <w:r w:rsidRPr="008E6A73">
        <w:rPr>
          <w:rFonts w:eastAsia="Times New Roman" w:cs="Arial"/>
          <w:b/>
          <w:bCs/>
          <w:color w:val="000000"/>
          <w:lang w:eastAsia="bg-BG"/>
        </w:rPr>
        <w:t xml:space="preserve">При пациенти със значително намалена бъбречна функция (креатининов клирънс &lt;30 </w:t>
      </w:r>
      <w:r w:rsidRPr="008E6A73">
        <w:rPr>
          <w:rFonts w:eastAsia="Times New Roman" w:cs="Arial"/>
          <w:b/>
          <w:bCs/>
          <w:color w:val="000000"/>
          <w:lang w:val="en-US"/>
        </w:rPr>
        <w:t xml:space="preserve">ml/min) </w:t>
      </w:r>
      <w:r w:rsidRPr="008E6A73">
        <w:rPr>
          <w:rFonts w:eastAsia="Times New Roman" w:cs="Arial"/>
          <w:b/>
          <w:bCs/>
          <w:color w:val="000000"/>
          <w:lang w:eastAsia="bg-BG"/>
        </w:rPr>
        <w:t xml:space="preserve">е необходимо адаптиране на дозовия режим на Сулперазон, за да се компенсира намаленият клирънс на сулбактам. Пациентите с креатининов клирънс между 15 и 30 </w:t>
      </w:r>
      <w:r w:rsidRPr="008E6A73">
        <w:rPr>
          <w:rFonts w:eastAsia="Times New Roman" w:cs="Arial"/>
          <w:b/>
          <w:bCs/>
          <w:color w:val="000000"/>
          <w:lang w:val="en-US"/>
        </w:rPr>
        <w:t xml:space="preserve">ml/min </w:t>
      </w:r>
      <w:r w:rsidRPr="008E6A73">
        <w:rPr>
          <w:rFonts w:eastAsia="Times New Roman" w:cs="Arial"/>
          <w:b/>
          <w:bCs/>
          <w:color w:val="000000"/>
          <w:lang w:eastAsia="bg-BG"/>
        </w:rPr>
        <w:t xml:space="preserve">трябва да получават максимално 1 </w:t>
      </w:r>
      <w:r w:rsidRPr="008E6A73">
        <w:rPr>
          <w:rFonts w:eastAsia="Times New Roman" w:cs="Arial"/>
          <w:b/>
          <w:bCs/>
          <w:color w:val="000000"/>
          <w:lang w:val="en-US"/>
        </w:rPr>
        <w:t xml:space="preserve">g </w:t>
      </w:r>
      <w:r w:rsidRPr="008E6A73">
        <w:rPr>
          <w:rFonts w:eastAsia="Times New Roman" w:cs="Arial"/>
          <w:b/>
          <w:bCs/>
          <w:color w:val="000000"/>
          <w:lang w:eastAsia="bg-BG"/>
        </w:rPr>
        <w:t xml:space="preserve">сулбактам, прилаган на всеки 12 часа (максимална дневна доза 2 </w:t>
      </w:r>
      <w:r w:rsidRPr="008E6A73">
        <w:rPr>
          <w:rFonts w:eastAsia="Times New Roman" w:cs="Arial"/>
          <w:b/>
          <w:bCs/>
          <w:color w:val="000000"/>
          <w:lang w:val="en-US"/>
        </w:rPr>
        <w:t xml:space="preserve">g </w:t>
      </w:r>
      <w:r w:rsidRPr="008E6A73">
        <w:rPr>
          <w:rFonts w:eastAsia="Times New Roman" w:cs="Arial"/>
          <w:b/>
          <w:bCs/>
          <w:color w:val="000000"/>
          <w:lang w:eastAsia="bg-BG"/>
        </w:rPr>
        <w:t xml:space="preserve">сулбактам), докато пациентите с креатининов клирънс под 15 </w:t>
      </w:r>
      <w:r w:rsidRPr="008E6A73">
        <w:rPr>
          <w:rFonts w:eastAsia="Times New Roman" w:cs="Arial"/>
          <w:b/>
          <w:bCs/>
          <w:color w:val="000000"/>
          <w:lang w:val="en-US"/>
        </w:rPr>
        <w:t xml:space="preserve">ml/min </w:t>
      </w:r>
      <w:r w:rsidRPr="008E6A73">
        <w:rPr>
          <w:rFonts w:eastAsia="Times New Roman" w:cs="Arial"/>
          <w:b/>
          <w:bCs/>
          <w:color w:val="000000"/>
          <w:lang w:eastAsia="bg-BG"/>
        </w:rPr>
        <w:t xml:space="preserve">трябва да получават максимум 500 </w:t>
      </w:r>
      <w:r w:rsidRPr="008E6A73">
        <w:rPr>
          <w:rFonts w:eastAsia="Times New Roman" w:cs="Arial"/>
          <w:b/>
          <w:bCs/>
          <w:color w:val="000000"/>
          <w:lang w:val="en-US"/>
        </w:rPr>
        <w:t xml:space="preserve">mg </w:t>
      </w:r>
      <w:r w:rsidRPr="008E6A73">
        <w:rPr>
          <w:rFonts w:eastAsia="Times New Roman" w:cs="Arial"/>
          <w:b/>
          <w:bCs/>
          <w:color w:val="000000"/>
          <w:lang w:eastAsia="bg-BG"/>
        </w:rPr>
        <w:lastRenderedPageBreak/>
        <w:t xml:space="preserve">сулбактам на всеки 12 часа (максимална дневна доза 1 </w:t>
      </w:r>
      <w:r w:rsidRPr="008E6A73">
        <w:rPr>
          <w:rFonts w:eastAsia="Times New Roman" w:cs="Arial"/>
          <w:b/>
          <w:bCs/>
          <w:color w:val="000000"/>
          <w:lang w:val="en-US"/>
        </w:rPr>
        <w:t xml:space="preserve">g </w:t>
      </w:r>
      <w:r w:rsidRPr="008E6A73">
        <w:rPr>
          <w:rFonts w:eastAsia="Times New Roman" w:cs="Arial"/>
          <w:b/>
          <w:bCs/>
          <w:color w:val="000000"/>
          <w:lang w:eastAsia="bg-BG"/>
        </w:rPr>
        <w:t>сулбактам). При тежки инфекции може да се наложи допълнително приложение на цефоперазон.</w:t>
      </w:r>
    </w:p>
    <w:p w14:paraId="47D3C2D2" w14:textId="77777777" w:rsidR="008E6A73" w:rsidRPr="0019325A" w:rsidRDefault="008E6A73" w:rsidP="008E6A73">
      <w:pPr>
        <w:spacing w:line="240" w:lineRule="auto"/>
        <w:rPr>
          <w:rFonts w:eastAsia="Times New Roman" w:cs="Arial"/>
          <w:b/>
          <w:bCs/>
          <w:color w:val="000000"/>
          <w:lang w:eastAsia="bg-BG"/>
        </w:rPr>
      </w:pPr>
    </w:p>
    <w:p w14:paraId="274EA838" w14:textId="1EDE0E35" w:rsidR="008E6A73" w:rsidRPr="008E6A73" w:rsidRDefault="008E6A73" w:rsidP="008E6A73">
      <w:pPr>
        <w:spacing w:line="240" w:lineRule="auto"/>
        <w:rPr>
          <w:rFonts w:eastAsia="Times New Roman" w:cs="Arial"/>
          <w:lang w:eastAsia="bg-BG"/>
        </w:rPr>
      </w:pPr>
      <w:r w:rsidRPr="008E6A73">
        <w:rPr>
          <w:rFonts w:eastAsia="Times New Roman" w:cs="Arial"/>
          <w:b/>
          <w:bCs/>
          <w:color w:val="000000"/>
          <w:lang w:eastAsia="bg-BG"/>
        </w:rPr>
        <w:t>Фармакокинетичният профил на сулбактам значително се изменя при хемодиализа. Серумният полуживот на цефоперазон е слабо намален по време на хемодиализа. По тази причина приложението на лекарствения продукт трябва да се насрочи за времето след провеждане на диализа.</w:t>
      </w:r>
    </w:p>
    <w:p w14:paraId="7D0BDA37" w14:textId="77777777" w:rsidR="008E6A73" w:rsidRPr="0019325A" w:rsidRDefault="008E6A73" w:rsidP="008E6A73">
      <w:pPr>
        <w:spacing w:line="240" w:lineRule="auto"/>
        <w:rPr>
          <w:rFonts w:eastAsia="Times New Roman" w:cs="Arial"/>
          <w:b/>
          <w:bCs/>
          <w:color w:val="000000"/>
          <w:u w:val="single"/>
          <w:lang w:eastAsia="bg-BG"/>
        </w:rPr>
      </w:pPr>
    </w:p>
    <w:p w14:paraId="0F98413E" w14:textId="3784CF27" w:rsidR="008E6A73" w:rsidRPr="008E6A73" w:rsidRDefault="008E6A73" w:rsidP="008E6A73">
      <w:pPr>
        <w:spacing w:line="240" w:lineRule="auto"/>
        <w:rPr>
          <w:rFonts w:eastAsia="Times New Roman" w:cs="Arial"/>
          <w:lang w:eastAsia="bg-BG"/>
        </w:rPr>
      </w:pPr>
      <w:r w:rsidRPr="008E6A73">
        <w:rPr>
          <w:rFonts w:eastAsia="Times New Roman" w:cs="Arial"/>
          <w:b/>
          <w:bCs/>
          <w:color w:val="000000"/>
          <w:u w:val="single"/>
          <w:lang w:eastAsia="bg-BG"/>
        </w:rPr>
        <w:t xml:space="preserve">Приложение пои хора в старческа възраст </w:t>
      </w:r>
      <w:r w:rsidRPr="008E6A73">
        <w:rPr>
          <w:rFonts w:eastAsia="Times New Roman" w:cs="Arial"/>
          <w:b/>
          <w:bCs/>
          <w:color w:val="000000"/>
          <w:lang w:eastAsia="bg-BG"/>
        </w:rPr>
        <w:t>Вижте точка 5.2 Фармакокинетични свойства.</w:t>
      </w:r>
    </w:p>
    <w:p w14:paraId="0A27E4E5" w14:textId="77777777" w:rsidR="008E6A73" w:rsidRPr="0019325A" w:rsidRDefault="008E6A73" w:rsidP="008E6A73">
      <w:pPr>
        <w:spacing w:line="240" w:lineRule="auto"/>
        <w:rPr>
          <w:rFonts w:eastAsia="Times New Roman" w:cs="Arial"/>
          <w:b/>
          <w:bCs/>
          <w:color w:val="000000"/>
          <w:u w:val="single"/>
          <w:lang w:eastAsia="bg-BG"/>
        </w:rPr>
      </w:pPr>
    </w:p>
    <w:p w14:paraId="5F0B9348" w14:textId="21E5DBA4" w:rsidR="008E6A73" w:rsidRPr="008E6A73" w:rsidRDefault="008E6A73" w:rsidP="008E6A73">
      <w:pPr>
        <w:spacing w:line="240" w:lineRule="auto"/>
        <w:rPr>
          <w:rFonts w:eastAsia="Times New Roman" w:cs="Arial"/>
          <w:lang w:eastAsia="bg-BG"/>
        </w:rPr>
      </w:pPr>
      <w:r w:rsidRPr="008E6A73">
        <w:rPr>
          <w:rFonts w:eastAsia="Times New Roman" w:cs="Arial"/>
          <w:b/>
          <w:bCs/>
          <w:color w:val="000000"/>
          <w:u w:val="single"/>
          <w:lang w:eastAsia="bg-BG"/>
        </w:rPr>
        <w:t>Приложение пои депа</w:t>
      </w:r>
    </w:p>
    <w:p w14:paraId="324E3897" w14:textId="4ABF6205" w:rsidR="008E6A73" w:rsidRPr="0019325A" w:rsidRDefault="008E6A73" w:rsidP="008E6A73">
      <w:pPr>
        <w:rPr>
          <w:rFonts w:eastAsia="Times New Roman" w:cs="Arial"/>
          <w:b/>
          <w:bCs/>
          <w:color w:val="000000"/>
          <w:lang w:eastAsia="bg-BG"/>
        </w:rPr>
      </w:pPr>
      <w:r w:rsidRPr="0019325A">
        <w:rPr>
          <w:rFonts w:eastAsia="Times New Roman" w:cs="Arial"/>
          <w:b/>
          <w:bCs/>
          <w:color w:val="000000"/>
          <w:lang w:eastAsia="bg-BG"/>
        </w:rPr>
        <w:t>Препоръчителните дневни дози за Сулперазон при деца са, кажто следва:</w:t>
      </w:r>
    </w:p>
    <w:p w14:paraId="2B204557" w14:textId="1010E72F" w:rsidR="008E6A73" w:rsidRPr="0019325A" w:rsidRDefault="008E6A73" w:rsidP="008E6A73">
      <w:pPr>
        <w:rPr>
          <w:rFonts w:eastAsia="Times New Roman" w:cs="Arial"/>
          <w:b/>
          <w:bCs/>
          <w:color w:val="000000"/>
          <w:lang w:eastAsia="bg-BG"/>
        </w:rPr>
      </w:pPr>
    </w:p>
    <w:tbl>
      <w:tblPr>
        <w:tblStyle w:val="TableGrid"/>
        <w:tblW w:w="0" w:type="auto"/>
        <w:tblLook w:val="04A0" w:firstRow="1" w:lastRow="0" w:firstColumn="1" w:lastColumn="0" w:noHBand="0" w:noVBand="1"/>
      </w:tblPr>
      <w:tblGrid>
        <w:gridCol w:w="2337"/>
        <w:gridCol w:w="2337"/>
        <w:gridCol w:w="2338"/>
        <w:gridCol w:w="2338"/>
      </w:tblGrid>
      <w:tr w:rsidR="008E6A73" w:rsidRPr="0019325A" w14:paraId="56DDB670" w14:textId="77777777" w:rsidTr="002C77E9">
        <w:tc>
          <w:tcPr>
            <w:tcW w:w="2337" w:type="dxa"/>
            <w:vAlign w:val="bottom"/>
          </w:tcPr>
          <w:p w14:paraId="44ADC573" w14:textId="68D51AC2" w:rsidR="008E6A73" w:rsidRPr="0019325A" w:rsidRDefault="008E6A73" w:rsidP="008E6A73">
            <w:pPr>
              <w:rPr>
                <w:rFonts w:cs="Arial"/>
              </w:rPr>
            </w:pPr>
            <w:r w:rsidRPr="0019325A">
              <w:rPr>
                <w:rFonts w:cs="Arial"/>
                <w:b/>
                <w:bCs/>
              </w:rPr>
              <w:t>Съотношение</w:t>
            </w:r>
          </w:p>
        </w:tc>
        <w:tc>
          <w:tcPr>
            <w:tcW w:w="2337" w:type="dxa"/>
            <w:vAlign w:val="bottom"/>
          </w:tcPr>
          <w:p w14:paraId="597CB022" w14:textId="527074CB" w:rsidR="008E6A73" w:rsidRPr="0019325A" w:rsidRDefault="008E6A73" w:rsidP="008E6A73">
            <w:pPr>
              <w:rPr>
                <w:rFonts w:cs="Arial"/>
              </w:rPr>
            </w:pPr>
            <w:r w:rsidRPr="0019325A">
              <w:rPr>
                <w:rFonts w:cs="Arial"/>
                <w:b/>
                <w:bCs/>
                <w:lang w:val="en-US"/>
              </w:rPr>
              <w:t>SBT/CPZ (mg/kg</w:t>
            </w:r>
            <w:r w:rsidRPr="0019325A">
              <w:rPr>
                <w:rFonts w:cs="Arial"/>
                <w:b/>
                <w:bCs/>
              </w:rPr>
              <w:t>/ден)</w:t>
            </w:r>
          </w:p>
        </w:tc>
        <w:tc>
          <w:tcPr>
            <w:tcW w:w="2338" w:type="dxa"/>
            <w:vAlign w:val="bottom"/>
          </w:tcPr>
          <w:p w14:paraId="3F3D744D" w14:textId="77777777" w:rsidR="008E6A73" w:rsidRPr="0019325A" w:rsidRDefault="008E6A73" w:rsidP="008E6A73">
            <w:pPr>
              <w:rPr>
                <w:rFonts w:cs="Arial"/>
              </w:rPr>
            </w:pPr>
            <w:r w:rsidRPr="0019325A">
              <w:rPr>
                <w:rFonts w:cs="Arial"/>
                <w:b/>
                <w:bCs/>
              </w:rPr>
              <w:t>Сулбактам</w:t>
            </w:r>
          </w:p>
          <w:p w14:paraId="1F7DDCA6" w14:textId="33A37EAC" w:rsidR="008E6A73" w:rsidRPr="0019325A" w:rsidRDefault="008E6A73" w:rsidP="008E6A73">
            <w:pPr>
              <w:rPr>
                <w:rFonts w:cs="Arial"/>
              </w:rPr>
            </w:pPr>
            <w:r w:rsidRPr="0019325A">
              <w:rPr>
                <w:rFonts w:cs="Arial"/>
                <w:b/>
                <w:bCs/>
              </w:rPr>
              <w:t xml:space="preserve">Активност </w:t>
            </w:r>
            <w:r w:rsidRPr="0019325A">
              <w:rPr>
                <w:rFonts w:cs="Arial"/>
                <w:b/>
                <w:bCs/>
                <w:lang w:val="en-US"/>
              </w:rPr>
              <w:t>(mg/kg</w:t>
            </w:r>
            <w:r w:rsidRPr="0019325A">
              <w:rPr>
                <w:rFonts w:cs="Arial"/>
                <w:b/>
                <w:bCs/>
              </w:rPr>
              <w:t>/ден)</w:t>
            </w:r>
          </w:p>
        </w:tc>
        <w:tc>
          <w:tcPr>
            <w:tcW w:w="2338" w:type="dxa"/>
            <w:vAlign w:val="bottom"/>
          </w:tcPr>
          <w:p w14:paraId="3A868D0B" w14:textId="223F5804" w:rsidR="008E6A73" w:rsidRPr="0019325A" w:rsidRDefault="008E6A73" w:rsidP="008E6A73">
            <w:pPr>
              <w:rPr>
                <w:rFonts w:cs="Arial"/>
              </w:rPr>
            </w:pPr>
            <w:r w:rsidRPr="0019325A">
              <w:rPr>
                <w:rFonts w:cs="Arial"/>
                <w:b/>
                <w:bCs/>
              </w:rPr>
              <w:t xml:space="preserve">Цефоперазон Активност </w:t>
            </w:r>
            <w:r w:rsidRPr="0019325A">
              <w:rPr>
                <w:rFonts w:cs="Arial"/>
                <w:b/>
                <w:bCs/>
                <w:lang w:val="en-US"/>
              </w:rPr>
              <w:t>(mg/</w:t>
            </w:r>
            <w:proofErr w:type="spellStart"/>
            <w:r w:rsidRPr="0019325A">
              <w:rPr>
                <w:rFonts w:cs="Arial"/>
                <w:b/>
                <w:bCs/>
                <w:lang w:val="en-US"/>
              </w:rPr>
              <w:t>kft</w:t>
            </w:r>
            <w:proofErr w:type="spellEnd"/>
            <w:r w:rsidRPr="0019325A">
              <w:rPr>
                <w:rFonts w:cs="Arial"/>
                <w:b/>
                <w:bCs/>
              </w:rPr>
              <w:t>/ден)</w:t>
            </w:r>
          </w:p>
        </w:tc>
      </w:tr>
      <w:tr w:rsidR="008E6A73" w:rsidRPr="0019325A" w14:paraId="0708DE1F" w14:textId="77777777" w:rsidTr="002C77E9">
        <w:tc>
          <w:tcPr>
            <w:tcW w:w="2337" w:type="dxa"/>
            <w:vAlign w:val="center"/>
          </w:tcPr>
          <w:p w14:paraId="12ACBF8E" w14:textId="73204886" w:rsidR="008E6A73" w:rsidRPr="0019325A" w:rsidRDefault="008E6A73" w:rsidP="008E6A73">
            <w:pPr>
              <w:rPr>
                <w:rFonts w:cs="Arial"/>
              </w:rPr>
            </w:pPr>
            <w:r w:rsidRPr="0019325A">
              <w:rPr>
                <w:rFonts w:cs="Arial"/>
                <w:b/>
                <w:bCs/>
              </w:rPr>
              <w:t>1:1</w:t>
            </w:r>
          </w:p>
        </w:tc>
        <w:tc>
          <w:tcPr>
            <w:tcW w:w="2337" w:type="dxa"/>
            <w:vAlign w:val="center"/>
          </w:tcPr>
          <w:p w14:paraId="083D6E66" w14:textId="388B29ED" w:rsidR="008E6A73" w:rsidRPr="0019325A" w:rsidRDefault="008E6A73" w:rsidP="008E6A73">
            <w:pPr>
              <w:rPr>
                <w:rFonts w:cs="Arial"/>
              </w:rPr>
            </w:pPr>
            <w:r w:rsidRPr="0019325A">
              <w:rPr>
                <w:rFonts w:cs="Arial"/>
                <w:b/>
                <w:bCs/>
              </w:rPr>
              <w:t>40-80</w:t>
            </w:r>
          </w:p>
        </w:tc>
        <w:tc>
          <w:tcPr>
            <w:tcW w:w="2338" w:type="dxa"/>
            <w:vAlign w:val="center"/>
          </w:tcPr>
          <w:p w14:paraId="37C1014B" w14:textId="4DD43CA4" w:rsidR="008E6A73" w:rsidRPr="0019325A" w:rsidRDefault="008E6A73" w:rsidP="008E6A73">
            <w:pPr>
              <w:rPr>
                <w:rFonts w:cs="Arial"/>
              </w:rPr>
            </w:pPr>
            <w:r w:rsidRPr="0019325A">
              <w:rPr>
                <w:rFonts w:cs="Arial"/>
                <w:b/>
                <w:bCs/>
              </w:rPr>
              <w:t>20-40</w:t>
            </w:r>
          </w:p>
        </w:tc>
        <w:tc>
          <w:tcPr>
            <w:tcW w:w="2338" w:type="dxa"/>
            <w:vAlign w:val="center"/>
          </w:tcPr>
          <w:p w14:paraId="025B639B" w14:textId="62274DB9" w:rsidR="008E6A73" w:rsidRPr="0019325A" w:rsidRDefault="008E6A73" w:rsidP="008E6A73">
            <w:pPr>
              <w:rPr>
                <w:rFonts w:cs="Arial"/>
              </w:rPr>
            </w:pPr>
            <w:r w:rsidRPr="0019325A">
              <w:rPr>
                <w:rFonts w:cs="Arial"/>
                <w:b/>
                <w:bCs/>
              </w:rPr>
              <w:t>20-40</w:t>
            </w:r>
          </w:p>
        </w:tc>
      </w:tr>
    </w:tbl>
    <w:p w14:paraId="7381C1F9" w14:textId="7A3DF033" w:rsidR="008E6A73" w:rsidRDefault="008E6A73" w:rsidP="008E6A73"/>
    <w:p w14:paraId="0A927CFB" w14:textId="77777777" w:rsidR="008E6A73" w:rsidRPr="008E6A73" w:rsidRDefault="008E6A73" w:rsidP="008E6A73">
      <w:pPr>
        <w:spacing w:line="240" w:lineRule="auto"/>
        <w:rPr>
          <w:rFonts w:eastAsia="Times New Roman" w:cs="Arial"/>
          <w:sz w:val="24"/>
          <w:szCs w:val="24"/>
          <w:lang w:eastAsia="bg-BG"/>
        </w:rPr>
      </w:pPr>
      <w:r w:rsidRPr="008E6A73">
        <w:rPr>
          <w:rFonts w:eastAsia="Times New Roman" w:cs="Arial"/>
          <w:b/>
          <w:bCs/>
          <w:color w:val="000000"/>
          <w:lang w:eastAsia="bg-BG"/>
        </w:rPr>
        <w:t>Дозите трябва да се прилагат на всеки 6 до 12 часа, разделени поравно.</w:t>
      </w:r>
    </w:p>
    <w:p w14:paraId="104889F7" w14:textId="77777777" w:rsidR="008E6A73" w:rsidRPr="0019325A" w:rsidRDefault="008E6A73" w:rsidP="008E6A73">
      <w:pPr>
        <w:spacing w:line="240" w:lineRule="auto"/>
        <w:rPr>
          <w:rFonts w:eastAsia="Times New Roman" w:cs="Arial"/>
          <w:b/>
          <w:bCs/>
          <w:color w:val="000000"/>
          <w:lang w:eastAsia="bg-BG"/>
        </w:rPr>
      </w:pPr>
    </w:p>
    <w:p w14:paraId="3534DA6A" w14:textId="72AA124D" w:rsidR="008E6A73" w:rsidRPr="0019325A" w:rsidRDefault="008E6A73" w:rsidP="008E6A73">
      <w:pPr>
        <w:spacing w:line="240" w:lineRule="auto"/>
        <w:rPr>
          <w:rFonts w:eastAsia="Times New Roman" w:cs="Arial"/>
          <w:b/>
          <w:bCs/>
          <w:color w:val="000000"/>
          <w:lang w:eastAsia="bg-BG"/>
        </w:rPr>
      </w:pPr>
      <w:r w:rsidRPr="008E6A73">
        <w:rPr>
          <w:rFonts w:eastAsia="Times New Roman" w:cs="Arial"/>
          <w:b/>
          <w:bCs/>
          <w:color w:val="000000"/>
          <w:lang w:eastAsia="bg-BG"/>
        </w:rPr>
        <w:t xml:space="preserve">При тежки или рефрактерни на лечение инфекции тези дози могат да бъдат увеличени до 160 </w:t>
      </w:r>
      <w:r w:rsidRPr="008E6A73">
        <w:rPr>
          <w:rFonts w:eastAsia="Times New Roman" w:cs="Arial"/>
          <w:b/>
          <w:bCs/>
          <w:color w:val="000000"/>
          <w:lang w:val="en-US"/>
        </w:rPr>
        <w:t>mg/kg</w:t>
      </w:r>
      <w:r w:rsidRPr="008E6A73">
        <w:rPr>
          <w:rFonts w:eastAsia="Times New Roman" w:cs="Arial"/>
          <w:b/>
          <w:bCs/>
          <w:color w:val="000000"/>
          <w:lang w:eastAsia="bg-BG"/>
        </w:rPr>
        <w:t xml:space="preserve">/ден (активност на цефоперазон 80 </w:t>
      </w:r>
      <w:r w:rsidRPr="008E6A73">
        <w:rPr>
          <w:rFonts w:eastAsia="Times New Roman" w:cs="Arial"/>
          <w:b/>
          <w:bCs/>
          <w:color w:val="000000"/>
          <w:lang w:val="en-US"/>
        </w:rPr>
        <w:t>mg/kg</w:t>
      </w:r>
      <w:r w:rsidRPr="008E6A73">
        <w:rPr>
          <w:rFonts w:eastAsia="Times New Roman" w:cs="Arial"/>
          <w:b/>
          <w:bCs/>
          <w:color w:val="000000"/>
          <w:lang w:eastAsia="bg-BG"/>
        </w:rPr>
        <w:t>/ден). Дозите трябва да се прилагат разделени на</w:t>
      </w:r>
      <w:r w:rsidRPr="0019325A">
        <w:rPr>
          <w:rFonts w:eastAsia="Times New Roman" w:cs="Arial"/>
          <w:sz w:val="24"/>
          <w:szCs w:val="24"/>
          <w:lang w:eastAsia="bg-BG"/>
        </w:rPr>
        <w:t xml:space="preserve"> </w:t>
      </w:r>
      <w:r w:rsidRPr="0019325A">
        <w:rPr>
          <w:rFonts w:eastAsia="Times New Roman" w:cs="Arial"/>
          <w:b/>
          <w:bCs/>
          <w:color w:val="000000"/>
          <w:lang w:eastAsia="bg-BG"/>
        </w:rPr>
        <w:t>2 до 4 равни части (вж. точка 4.4 Специални предупреждения и предпазни мерки прн употреба.</w:t>
      </w:r>
    </w:p>
    <w:p w14:paraId="018D17A0" w14:textId="1CD00E26" w:rsidR="008E6A73" w:rsidRPr="0019325A" w:rsidRDefault="008E6A73" w:rsidP="008E6A73">
      <w:pPr>
        <w:spacing w:line="240" w:lineRule="auto"/>
        <w:rPr>
          <w:rFonts w:eastAsia="Times New Roman" w:cs="Arial"/>
          <w:b/>
          <w:bCs/>
          <w:color w:val="000000"/>
          <w:lang w:eastAsia="bg-BG"/>
        </w:rPr>
      </w:pPr>
    </w:p>
    <w:p w14:paraId="6E903995" w14:textId="77777777" w:rsidR="008E6A73" w:rsidRPr="008E6A73" w:rsidRDefault="008E6A73" w:rsidP="008E6A73">
      <w:pPr>
        <w:spacing w:line="240" w:lineRule="auto"/>
        <w:rPr>
          <w:rFonts w:eastAsia="Times New Roman" w:cs="Arial"/>
          <w:sz w:val="24"/>
          <w:szCs w:val="24"/>
          <w:lang w:eastAsia="bg-BG"/>
        </w:rPr>
      </w:pPr>
      <w:r w:rsidRPr="008E6A73">
        <w:rPr>
          <w:rFonts w:eastAsia="Times New Roman" w:cs="Arial"/>
          <w:b/>
          <w:bCs/>
          <w:i/>
          <w:iCs/>
          <w:color w:val="000000"/>
          <w:lang w:eastAsia="bg-BG"/>
        </w:rPr>
        <w:t>Приложение при кърмачета</w:t>
      </w:r>
      <w:r w:rsidRPr="008E6A73">
        <w:rPr>
          <w:rFonts w:eastAsia="Times New Roman" w:cs="Arial"/>
          <w:b/>
          <w:bCs/>
          <w:color w:val="000000"/>
          <w:lang w:eastAsia="bg-BG"/>
        </w:rPr>
        <w:t xml:space="preserve"> и точка 53 Предклинични данни за безопасност - </w:t>
      </w:r>
      <w:r w:rsidRPr="008E6A73">
        <w:rPr>
          <w:rFonts w:eastAsia="Times New Roman" w:cs="Arial"/>
          <w:b/>
          <w:bCs/>
          <w:i/>
          <w:iCs/>
          <w:color w:val="000000"/>
          <w:lang w:eastAsia="bg-BG"/>
        </w:rPr>
        <w:t>Приложение при деца).</w:t>
      </w:r>
    </w:p>
    <w:p w14:paraId="7C6563F0" w14:textId="77777777" w:rsidR="008E6A73" w:rsidRPr="0019325A" w:rsidRDefault="008E6A73" w:rsidP="008E6A73">
      <w:pPr>
        <w:spacing w:line="240" w:lineRule="auto"/>
        <w:rPr>
          <w:rFonts w:eastAsia="Times New Roman" w:cs="Arial"/>
          <w:b/>
          <w:bCs/>
          <w:color w:val="000000"/>
          <w:u w:val="single"/>
          <w:lang w:eastAsia="bg-BG"/>
        </w:rPr>
      </w:pPr>
    </w:p>
    <w:p w14:paraId="2DFE067C" w14:textId="11D6E6EA" w:rsidR="008E6A73" w:rsidRPr="008E6A73" w:rsidRDefault="008E6A73" w:rsidP="008E6A73">
      <w:pPr>
        <w:spacing w:line="240" w:lineRule="auto"/>
        <w:rPr>
          <w:rFonts w:eastAsia="Times New Roman" w:cs="Arial"/>
          <w:sz w:val="24"/>
          <w:szCs w:val="24"/>
          <w:lang w:eastAsia="bg-BG"/>
        </w:rPr>
      </w:pPr>
      <w:r w:rsidRPr="008E6A73">
        <w:rPr>
          <w:rFonts w:eastAsia="Times New Roman" w:cs="Arial"/>
          <w:b/>
          <w:bCs/>
          <w:color w:val="000000"/>
          <w:u w:val="single"/>
          <w:lang w:eastAsia="bg-BG"/>
        </w:rPr>
        <w:t>Приложение при новородени</w:t>
      </w:r>
    </w:p>
    <w:p w14:paraId="054B988B" w14:textId="77777777" w:rsidR="008E6A73" w:rsidRPr="008E6A73" w:rsidRDefault="008E6A73" w:rsidP="008E6A73">
      <w:pPr>
        <w:spacing w:line="240" w:lineRule="auto"/>
        <w:rPr>
          <w:rFonts w:eastAsia="Times New Roman" w:cs="Arial"/>
          <w:sz w:val="24"/>
          <w:szCs w:val="24"/>
          <w:lang w:eastAsia="bg-BG"/>
        </w:rPr>
      </w:pPr>
      <w:r w:rsidRPr="008E6A73">
        <w:rPr>
          <w:rFonts w:eastAsia="Times New Roman" w:cs="Arial"/>
          <w:b/>
          <w:bCs/>
          <w:color w:val="000000"/>
          <w:lang w:eastAsia="bg-BG"/>
        </w:rPr>
        <w:t>При новородени до едноседмична възраст лекарството трябва да се дава на всеки 12 часа.</w:t>
      </w:r>
    </w:p>
    <w:p w14:paraId="4027C9A3" w14:textId="77777777" w:rsidR="008E6A73" w:rsidRPr="008E6A73" w:rsidRDefault="008E6A73" w:rsidP="008E6A73">
      <w:pPr>
        <w:spacing w:line="240" w:lineRule="auto"/>
        <w:rPr>
          <w:rFonts w:eastAsia="Times New Roman" w:cs="Arial"/>
          <w:sz w:val="24"/>
          <w:szCs w:val="24"/>
          <w:lang w:eastAsia="bg-BG"/>
        </w:rPr>
      </w:pPr>
      <w:r w:rsidRPr="008E6A73">
        <w:rPr>
          <w:rFonts w:eastAsia="Times New Roman" w:cs="Arial"/>
          <w:b/>
          <w:bCs/>
          <w:color w:val="000000"/>
          <w:lang w:eastAsia="bg-BG"/>
        </w:rPr>
        <w:t xml:space="preserve">Максималната дневна доза на сулбактам при деца не трябва да надвишава 80 </w:t>
      </w:r>
      <w:r w:rsidRPr="008E6A73">
        <w:rPr>
          <w:rFonts w:eastAsia="Times New Roman" w:cs="Arial"/>
          <w:b/>
          <w:bCs/>
          <w:color w:val="000000"/>
          <w:lang w:val="en-US"/>
        </w:rPr>
        <w:t>mg/kg</w:t>
      </w:r>
      <w:r w:rsidRPr="008E6A73">
        <w:rPr>
          <w:rFonts w:eastAsia="Times New Roman" w:cs="Arial"/>
          <w:b/>
          <w:bCs/>
          <w:color w:val="000000"/>
          <w:lang w:eastAsia="bg-BG"/>
        </w:rPr>
        <w:t xml:space="preserve">/ден (вж. точка 4.4 Специални предупреждения и предпазни мерки </w:t>
      </w:r>
      <w:r w:rsidRPr="008E6A73">
        <w:rPr>
          <w:rFonts w:eastAsia="Times New Roman" w:cs="Arial"/>
          <w:b/>
          <w:bCs/>
          <w:i/>
          <w:iCs/>
          <w:color w:val="000000"/>
          <w:lang w:eastAsia="bg-BG"/>
        </w:rPr>
        <w:t>при</w:t>
      </w:r>
      <w:r w:rsidRPr="008E6A73">
        <w:rPr>
          <w:rFonts w:eastAsia="Times New Roman" w:cs="Arial"/>
          <w:b/>
          <w:bCs/>
          <w:color w:val="000000"/>
          <w:lang w:eastAsia="bg-BG"/>
        </w:rPr>
        <w:t xml:space="preserve"> употреба - </w:t>
      </w:r>
      <w:r w:rsidRPr="008E6A73">
        <w:rPr>
          <w:rFonts w:eastAsia="Times New Roman" w:cs="Arial"/>
          <w:b/>
          <w:bCs/>
          <w:i/>
          <w:iCs/>
          <w:color w:val="000000"/>
          <w:lang w:eastAsia="bg-BG"/>
        </w:rPr>
        <w:t>Приложение при кърмачета).</w:t>
      </w:r>
    </w:p>
    <w:p w14:paraId="23E23CD6" w14:textId="77777777" w:rsidR="008E6A73" w:rsidRPr="0019325A" w:rsidRDefault="008E6A73" w:rsidP="008E6A73">
      <w:pPr>
        <w:spacing w:line="240" w:lineRule="auto"/>
        <w:rPr>
          <w:rFonts w:eastAsia="Times New Roman" w:cs="Arial"/>
          <w:b/>
          <w:bCs/>
          <w:color w:val="000000"/>
          <w:u w:val="single"/>
          <w:lang w:eastAsia="bg-BG"/>
        </w:rPr>
      </w:pPr>
    </w:p>
    <w:p w14:paraId="516F5472" w14:textId="58B7F296" w:rsidR="008E6A73" w:rsidRPr="008E6A73" w:rsidRDefault="008E6A73" w:rsidP="008E6A73">
      <w:pPr>
        <w:spacing w:line="240" w:lineRule="auto"/>
        <w:rPr>
          <w:rFonts w:eastAsia="Times New Roman" w:cs="Arial"/>
          <w:sz w:val="24"/>
          <w:szCs w:val="24"/>
          <w:lang w:eastAsia="bg-BG"/>
        </w:rPr>
      </w:pPr>
      <w:r w:rsidRPr="008E6A73">
        <w:rPr>
          <w:rFonts w:eastAsia="Times New Roman" w:cs="Arial"/>
          <w:b/>
          <w:bCs/>
          <w:color w:val="000000"/>
          <w:u w:val="single"/>
          <w:lang w:eastAsia="bg-BG"/>
        </w:rPr>
        <w:t>Интравенозно приложение</w:t>
      </w:r>
    </w:p>
    <w:p w14:paraId="37077846" w14:textId="77777777" w:rsidR="008E6A73" w:rsidRPr="008E6A73" w:rsidRDefault="008E6A73" w:rsidP="008E6A73">
      <w:pPr>
        <w:spacing w:line="240" w:lineRule="auto"/>
        <w:rPr>
          <w:rFonts w:eastAsia="Times New Roman" w:cs="Arial"/>
          <w:sz w:val="24"/>
          <w:szCs w:val="24"/>
          <w:lang w:eastAsia="bg-BG"/>
        </w:rPr>
      </w:pPr>
      <w:r w:rsidRPr="008E6A73">
        <w:rPr>
          <w:rFonts w:eastAsia="Times New Roman" w:cs="Arial"/>
          <w:b/>
          <w:bCs/>
          <w:color w:val="000000"/>
          <w:lang w:eastAsia="bg-BG"/>
        </w:rPr>
        <w:t xml:space="preserve">За интермитентна венозна инфузия всеки флакон Сулперазон трябва да се разтвори със съответното количество (вж. точка 6.6 Специални предпазни мерки при изхвърляне и работа - </w:t>
      </w:r>
      <w:r w:rsidRPr="008E6A73">
        <w:rPr>
          <w:rFonts w:eastAsia="Times New Roman" w:cs="Arial"/>
          <w:b/>
          <w:bCs/>
          <w:i/>
          <w:iCs/>
          <w:color w:val="000000"/>
          <w:lang w:eastAsia="bg-BG"/>
        </w:rPr>
        <w:t>Приготвяне)</w:t>
      </w:r>
      <w:r w:rsidRPr="008E6A73">
        <w:rPr>
          <w:rFonts w:eastAsia="Times New Roman" w:cs="Arial"/>
          <w:b/>
          <w:bCs/>
          <w:color w:val="000000"/>
          <w:lang w:eastAsia="bg-BG"/>
        </w:rPr>
        <w:t xml:space="preserve"> 5% воден разтвор на глюкоза, 0.9% инжекционен разтвор на натриев хлорид или стерилна вода за инжекции и след това да се разреди до 20 </w:t>
      </w:r>
      <w:r w:rsidRPr="008E6A73">
        <w:rPr>
          <w:rFonts w:eastAsia="Times New Roman" w:cs="Arial"/>
          <w:b/>
          <w:bCs/>
          <w:color w:val="000000"/>
          <w:lang w:val="en-US"/>
        </w:rPr>
        <w:t xml:space="preserve">ml </w:t>
      </w:r>
      <w:r w:rsidRPr="008E6A73">
        <w:rPr>
          <w:rFonts w:eastAsia="Times New Roman" w:cs="Arial"/>
          <w:b/>
          <w:bCs/>
          <w:color w:val="000000"/>
          <w:lang w:eastAsia="bg-BG"/>
        </w:rPr>
        <w:t>със същия разтвор, след което да се приложи в продължение на 15 до 60 минути.</w:t>
      </w:r>
    </w:p>
    <w:p w14:paraId="1766F8CD" w14:textId="77777777" w:rsidR="008E6A73" w:rsidRPr="0019325A" w:rsidRDefault="008E6A73" w:rsidP="008E6A73">
      <w:pPr>
        <w:spacing w:line="240" w:lineRule="auto"/>
        <w:rPr>
          <w:rFonts w:eastAsia="Times New Roman" w:cs="Arial"/>
          <w:b/>
          <w:bCs/>
          <w:color w:val="000000"/>
          <w:lang w:eastAsia="bg-BG"/>
        </w:rPr>
      </w:pPr>
    </w:p>
    <w:p w14:paraId="349DED9F" w14:textId="39449723" w:rsidR="008E6A73" w:rsidRPr="008E6A73" w:rsidRDefault="008E6A73" w:rsidP="008E6A73">
      <w:pPr>
        <w:spacing w:line="240" w:lineRule="auto"/>
        <w:rPr>
          <w:rFonts w:eastAsia="Times New Roman" w:cs="Arial"/>
          <w:sz w:val="24"/>
          <w:szCs w:val="24"/>
          <w:lang w:eastAsia="bg-BG"/>
        </w:rPr>
      </w:pPr>
      <w:r w:rsidRPr="008E6A73">
        <w:rPr>
          <w:rFonts w:eastAsia="Times New Roman" w:cs="Arial"/>
          <w:b/>
          <w:bCs/>
          <w:color w:val="000000"/>
          <w:lang w:eastAsia="bg-BG"/>
        </w:rPr>
        <w:t xml:space="preserve">Разтворът Рингер лактат е подходящо средство за интравенозна инфузия, но не и за първоначално разтваряне (вж. точка 6.2 Несъвместимости - </w:t>
      </w:r>
      <w:r w:rsidRPr="008E6A73">
        <w:rPr>
          <w:rFonts w:eastAsia="Times New Roman" w:cs="Arial"/>
          <w:b/>
          <w:bCs/>
          <w:i/>
          <w:iCs/>
          <w:color w:val="000000"/>
          <w:lang w:eastAsia="bg-BG"/>
        </w:rPr>
        <w:t>Разтвор Рингер лактат</w:t>
      </w:r>
      <w:r w:rsidRPr="008E6A73">
        <w:rPr>
          <w:rFonts w:eastAsia="Times New Roman" w:cs="Arial"/>
          <w:b/>
          <w:bCs/>
          <w:color w:val="000000"/>
          <w:lang w:eastAsia="bg-BG"/>
        </w:rPr>
        <w:t xml:space="preserve"> и точка 6.6 Специални предпазни мерки при изхвърляне и работа - </w:t>
      </w:r>
      <w:r w:rsidRPr="008E6A73">
        <w:rPr>
          <w:rFonts w:eastAsia="Times New Roman" w:cs="Arial"/>
          <w:b/>
          <w:bCs/>
          <w:i/>
          <w:iCs/>
          <w:color w:val="000000"/>
          <w:lang w:eastAsia="bg-BG"/>
        </w:rPr>
        <w:t>Разтвор Рингер лактат).</w:t>
      </w:r>
    </w:p>
    <w:p w14:paraId="5BAC91B6" w14:textId="77777777" w:rsidR="008E6A73" w:rsidRPr="0019325A" w:rsidRDefault="008E6A73" w:rsidP="008E6A73">
      <w:pPr>
        <w:spacing w:line="240" w:lineRule="auto"/>
        <w:rPr>
          <w:rFonts w:eastAsia="Times New Roman" w:cs="Arial"/>
          <w:b/>
          <w:bCs/>
          <w:color w:val="000000"/>
          <w:lang w:eastAsia="bg-BG"/>
        </w:rPr>
      </w:pPr>
    </w:p>
    <w:p w14:paraId="29B1BE96" w14:textId="64639734" w:rsidR="008E6A73" w:rsidRPr="008E6A73" w:rsidRDefault="008E6A73" w:rsidP="008E6A73">
      <w:pPr>
        <w:spacing w:line="240" w:lineRule="auto"/>
        <w:rPr>
          <w:rFonts w:eastAsia="Times New Roman" w:cs="Arial"/>
          <w:sz w:val="24"/>
          <w:szCs w:val="24"/>
          <w:lang w:eastAsia="bg-BG"/>
        </w:rPr>
      </w:pPr>
      <w:r w:rsidRPr="008E6A73">
        <w:rPr>
          <w:rFonts w:eastAsia="Times New Roman" w:cs="Arial"/>
          <w:b/>
          <w:bCs/>
          <w:color w:val="000000"/>
          <w:lang w:eastAsia="bg-BG"/>
        </w:rPr>
        <w:lastRenderedPageBreak/>
        <w:t>За интравенозно инжектиране всеки флакон трябва да се разтвори, както е описано по-горе, и да се приложи за минимум 3 минути.</w:t>
      </w:r>
    </w:p>
    <w:p w14:paraId="001A2B76" w14:textId="77777777" w:rsidR="008E6A73" w:rsidRPr="0019325A" w:rsidRDefault="008E6A73" w:rsidP="008E6A73">
      <w:pPr>
        <w:spacing w:line="240" w:lineRule="auto"/>
        <w:rPr>
          <w:rFonts w:eastAsia="Times New Roman" w:cs="Arial"/>
          <w:b/>
          <w:bCs/>
          <w:color w:val="000000"/>
          <w:u w:val="single"/>
          <w:lang w:eastAsia="bg-BG"/>
        </w:rPr>
      </w:pPr>
    </w:p>
    <w:p w14:paraId="22E94175" w14:textId="065EDB92" w:rsidR="008E6A73" w:rsidRPr="008E6A73" w:rsidRDefault="008E6A73" w:rsidP="008E6A73">
      <w:pPr>
        <w:spacing w:line="240" w:lineRule="auto"/>
        <w:rPr>
          <w:rFonts w:eastAsia="Times New Roman" w:cs="Arial"/>
          <w:sz w:val="24"/>
          <w:szCs w:val="24"/>
          <w:lang w:eastAsia="bg-BG"/>
        </w:rPr>
      </w:pPr>
      <w:r w:rsidRPr="008E6A73">
        <w:rPr>
          <w:rFonts w:eastAsia="Times New Roman" w:cs="Arial"/>
          <w:b/>
          <w:bCs/>
          <w:color w:val="000000"/>
          <w:u w:val="single"/>
          <w:lang w:eastAsia="bg-BG"/>
        </w:rPr>
        <w:t>Интрамускулно приложение</w:t>
      </w:r>
    </w:p>
    <w:p w14:paraId="74BB840C" w14:textId="6980EB7C" w:rsidR="008E6A73" w:rsidRPr="0019325A" w:rsidRDefault="008E6A73" w:rsidP="008E6A73">
      <w:pPr>
        <w:spacing w:line="240" w:lineRule="auto"/>
        <w:rPr>
          <w:rFonts w:eastAsia="Times New Roman" w:cs="Arial"/>
          <w:sz w:val="24"/>
          <w:szCs w:val="24"/>
          <w:lang w:eastAsia="bg-BG"/>
        </w:rPr>
      </w:pPr>
      <w:r w:rsidRPr="0019325A">
        <w:rPr>
          <w:rFonts w:eastAsia="Times New Roman" w:cs="Arial"/>
          <w:b/>
          <w:bCs/>
          <w:color w:val="000000"/>
          <w:lang w:eastAsia="bg-BG"/>
        </w:rPr>
        <w:t xml:space="preserve">Лидокаинов хидрохлорид 2% е подходящо средство за интрамускулно приложение, но не и за първоначално разтваряне (вж. точка </w:t>
      </w:r>
      <w:r w:rsidRPr="0019325A">
        <w:rPr>
          <w:rFonts w:eastAsia="Times New Roman" w:cs="Arial"/>
          <w:b/>
          <w:bCs/>
          <w:i/>
          <w:iCs/>
          <w:color w:val="000000"/>
          <w:lang w:eastAsia="bg-BG"/>
        </w:rPr>
        <w:t>62</w:t>
      </w:r>
      <w:r w:rsidRPr="0019325A">
        <w:rPr>
          <w:rFonts w:eastAsia="Times New Roman" w:cs="Arial"/>
          <w:b/>
          <w:bCs/>
          <w:color w:val="000000"/>
          <w:lang w:eastAsia="bg-BG"/>
        </w:rPr>
        <w:t xml:space="preserve"> Несъвместимости - </w:t>
      </w:r>
      <w:r w:rsidRPr="0019325A">
        <w:rPr>
          <w:rFonts w:eastAsia="Times New Roman" w:cs="Arial"/>
          <w:b/>
          <w:bCs/>
          <w:i/>
          <w:iCs/>
          <w:color w:val="000000"/>
          <w:lang w:eastAsia="bg-BG"/>
        </w:rPr>
        <w:t>Лидокаин</w:t>
      </w:r>
      <w:r w:rsidRPr="0019325A">
        <w:rPr>
          <w:rFonts w:eastAsia="Times New Roman" w:cs="Arial"/>
          <w:b/>
          <w:bCs/>
          <w:color w:val="000000"/>
          <w:lang w:eastAsia="bg-BG"/>
        </w:rPr>
        <w:t xml:space="preserve"> и точка 6.6 Специални предпазни мерки при изхвърляне и работа - </w:t>
      </w:r>
      <w:r w:rsidRPr="0019325A">
        <w:rPr>
          <w:rFonts w:eastAsia="Times New Roman" w:cs="Arial"/>
          <w:b/>
          <w:bCs/>
          <w:i/>
          <w:iCs/>
          <w:color w:val="000000"/>
          <w:lang w:eastAsia="bg-BG"/>
        </w:rPr>
        <w:t>Лидокаин).</w:t>
      </w:r>
    </w:p>
    <w:p w14:paraId="132F3111" w14:textId="77777777" w:rsidR="005B0F27" w:rsidRPr="0091385D" w:rsidRDefault="005B0F27" w:rsidP="0091385D"/>
    <w:p w14:paraId="28C984E8" w14:textId="0756AE28" w:rsidR="008134C8" w:rsidRDefault="002C50EE" w:rsidP="004A448E">
      <w:pPr>
        <w:pStyle w:val="Heading2"/>
      </w:pPr>
      <w:r>
        <w:t>4.3. Противопоказания</w:t>
      </w:r>
    </w:p>
    <w:p w14:paraId="2363D607" w14:textId="619A99CE" w:rsidR="0091385D" w:rsidRDefault="0091385D" w:rsidP="0091385D"/>
    <w:p w14:paraId="030B6A4D" w14:textId="0FF7F0E1" w:rsidR="00EC41ED" w:rsidRPr="0019325A" w:rsidRDefault="008E6A73" w:rsidP="0091385D">
      <w:r w:rsidRPr="0019325A">
        <w:rPr>
          <w:b/>
          <w:bCs/>
        </w:rPr>
        <w:t>Сулперазон е противопоказан при пациенти с известна свръхчувствителност към някоя от съставките на този продукт или към други лекарства от същия клас, или при пациенти с доказана тежка свръхчувствителност към бета-лактами (вж. точка 4.4).</w:t>
      </w:r>
    </w:p>
    <w:p w14:paraId="31B39DC6" w14:textId="77777777" w:rsidR="0091385D" w:rsidRPr="0091385D" w:rsidRDefault="0091385D"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1E0703C7" w:rsidR="0091385D" w:rsidRDefault="0091385D" w:rsidP="0091385D"/>
    <w:p w14:paraId="6F8EF9A4" w14:textId="77777777" w:rsidR="008E6A73" w:rsidRPr="008E6A73" w:rsidRDefault="008E6A73" w:rsidP="008E6A73">
      <w:pPr>
        <w:spacing w:line="240" w:lineRule="auto"/>
        <w:rPr>
          <w:rFonts w:eastAsia="Times New Roman" w:cs="Arial"/>
          <w:sz w:val="24"/>
          <w:szCs w:val="24"/>
          <w:lang w:eastAsia="bg-BG"/>
        </w:rPr>
      </w:pPr>
      <w:r w:rsidRPr="008E6A73">
        <w:rPr>
          <w:rFonts w:eastAsia="Times New Roman" w:cs="Arial"/>
          <w:b/>
          <w:bCs/>
          <w:color w:val="000000"/>
          <w:u w:val="single"/>
          <w:lang w:eastAsia="bg-BG"/>
        </w:rPr>
        <w:t>Свръхчувствителност</w:t>
      </w:r>
    </w:p>
    <w:p w14:paraId="5B0C015C" w14:textId="77777777" w:rsidR="008E6A73" w:rsidRPr="008E6A73" w:rsidRDefault="008E6A73" w:rsidP="008E6A73">
      <w:pPr>
        <w:spacing w:line="240" w:lineRule="auto"/>
        <w:rPr>
          <w:rFonts w:eastAsia="Times New Roman" w:cs="Arial"/>
          <w:sz w:val="24"/>
          <w:szCs w:val="24"/>
          <w:lang w:eastAsia="bg-BG"/>
        </w:rPr>
      </w:pPr>
      <w:r w:rsidRPr="008E6A73">
        <w:rPr>
          <w:rFonts w:eastAsia="Times New Roman" w:cs="Arial"/>
          <w:b/>
          <w:bCs/>
          <w:color w:val="000000"/>
          <w:lang w:eastAsia="bg-BG"/>
        </w:rPr>
        <w:t>Съобщавани са сериозни и понякога фатални реакции на свръхчувствителност (анафилактични реакции) при пациенти, крито са на терапия с бета-лактам или цефалоспорин, включително сулбактам/цефоперазон. Възникването на тези реакции е по-вероятно при пациенти с анамнеза за свръхчувствителност към множество алергени.</w:t>
      </w:r>
    </w:p>
    <w:p w14:paraId="16712E0F" w14:textId="77777777" w:rsidR="008E6A73" w:rsidRPr="0019325A" w:rsidRDefault="008E6A73" w:rsidP="008E6A73">
      <w:pPr>
        <w:spacing w:line="240" w:lineRule="auto"/>
        <w:rPr>
          <w:rFonts w:eastAsia="Times New Roman" w:cs="Arial"/>
          <w:b/>
          <w:bCs/>
          <w:color w:val="000000"/>
          <w:lang w:eastAsia="bg-BG"/>
        </w:rPr>
      </w:pPr>
    </w:p>
    <w:p w14:paraId="769D1F21" w14:textId="1519B63E" w:rsidR="008E6A73" w:rsidRPr="008E6A73" w:rsidRDefault="008E6A73" w:rsidP="008E6A73">
      <w:pPr>
        <w:spacing w:line="240" w:lineRule="auto"/>
        <w:rPr>
          <w:rFonts w:eastAsia="Times New Roman" w:cs="Arial"/>
          <w:sz w:val="24"/>
          <w:szCs w:val="24"/>
          <w:lang w:eastAsia="bg-BG"/>
        </w:rPr>
      </w:pPr>
      <w:r w:rsidRPr="008E6A73">
        <w:rPr>
          <w:rFonts w:eastAsia="Times New Roman" w:cs="Arial"/>
          <w:b/>
          <w:bCs/>
          <w:color w:val="000000"/>
          <w:lang w:eastAsia="bg-BG"/>
        </w:rPr>
        <w:t>Преди започване на лечение със сулбактам/цефоперазон трябва да се извърши внимателна проверка, за да се установи дали пациентът е имал предишни реакции на свръхчувствителност към цефалоспорини, пеницилини или други лекарства (вж. точка 4.3). Антибиотиците трябва да се прилагат с повишено внимание при всеки пациент, за когото е доказана някаква форма на алергия, особено към лекарства.</w:t>
      </w:r>
    </w:p>
    <w:p w14:paraId="43906259" w14:textId="77777777" w:rsidR="008E6A73" w:rsidRPr="0019325A" w:rsidRDefault="008E6A73" w:rsidP="008E6A73">
      <w:pPr>
        <w:spacing w:line="240" w:lineRule="auto"/>
        <w:rPr>
          <w:rFonts w:eastAsia="Times New Roman" w:cs="Arial"/>
          <w:b/>
          <w:bCs/>
          <w:color w:val="000000"/>
          <w:lang w:eastAsia="bg-BG"/>
        </w:rPr>
      </w:pPr>
    </w:p>
    <w:p w14:paraId="04C026BC" w14:textId="62431BDA" w:rsidR="008E6A73" w:rsidRPr="008E6A73" w:rsidRDefault="008E6A73" w:rsidP="008E6A73">
      <w:pPr>
        <w:spacing w:line="240" w:lineRule="auto"/>
        <w:rPr>
          <w:rFonts w:eastAsia="Times New Roman" w:cs="Arial"/>
          <w:sz w:val="24"/>
          <w:szCs w:val="24"/>
          <w:lang w:eastAsia="bg-BG"/>
        </w:rPr>
      </w:pPr>
      <w:r w:rsidRPr="008E6A73">
        <w:rPr>
          <w:rFonts w:eastAsia="Times New Roman" w:cs="Arial"/>
          <w:b/>
          <w:bCs/>
          <w:color w:val="000000"/>
          <w:lang w:eastAsia="bg-BG"/>
        </w:rPr>
        <w:t>Ако възникне алергична реакция, лекарството трябва да се спре и да се проведе съответното лечение.</w:t>
      </w:r>
    </w:p>
    <w:p w14:paraId="30B31BED" w14:textId="77777777" w:rsidR="008E6A73" w:rsidRPr="0019325A" w:rsidRDefault="008E6A73" w:rsidP="008E6A73">
      <w:pPr>
        <w:spacing w:line="240" w:lineRule="auto"/>
        <w:rPr>
          <w:rFonts w:eastAsia="Times New Roman" w:cs="Arial"/>
          <w:b/>
          <w:bCs/>
          <w:color w:val="000000"/>
          <w:lang w:eastAsia="bg-BG"/>
        </w:rPr>
      </w:pPr>
    </w:p>
    <w:p w14:paraId="5A9AA395" w14:textId="7AD74D08" w:rsidR="008E6A73" w:rsidRPr="008E6A73" w:rsidRDefault="008E6A73" w:rsidP="008E6A73">
      <w:pPr>
        <w:spacing w:line="240" w:lineRule="auto"/>
        <w:rPr>
          <w:rFonts w:eastAsia="Times New Roman" w:cs="Arial"/>
          <w:sz w:val="24"/>
          <w:szCs w:val="24"/>
          <w:lang w:eastAsia="bg-BG"/>
        </w:rPr>
      </w:pPr>
      <w:r w:rsidRPr="008E6A73">
        <w:rPr>
          <w:rFonts w:eastAsia="Times New Roman" w:cs="Arial"/>
          <w:b/>
          <w:bCs/>
          <w:color w:val="000000"/>
          <w:lang w:eastAsia="bg-BG"/>
        </w:rPr>
        <w:t>Сериозните анафилактични реакции изискват незабавно спешно приложение на адреналин. Ако са показани, трябва да се приложат кислородотерапия, интравенозни кортикостероиди и поддържане на проходими дихателни пътища, включително интубиране (вж. точка 4.8).</w:t>
      </w:r>
    </w:p>
    <w:p w14:paraId="349CB4F8" w14:textId="77777777" w:rsidR="008E6A73" w:rsidRPr="0019325A" w:rsidRDefault="008E6A73" w:rsidP="008E6A73">
      <w:pPr>
        <w:rPr>
          <w:rFonts w:eastAsia="Times New Roman" w:cs="Arial"/>
          <w:b/>
          <w:bCs/>
          <w:color w:val="000000"/>
          <w:lang w:eastAsia="bg-BG"/>
        </w:rPr>
      </w:pPr>
    </w:p>
    <w:p w14:paraId="53B23932" w14:textId="77777777" w:rsidR="0019325A" w:rsidRPr="0019325A" w:rsidRDefault="008E6A73" w:rsidP="0019325A">
      <w:pPr>
        <w:rPr>
          <w:rFonts w:eastAsia="Times New Roman" w:cs="Arial"/>
          <w:sz w:val="24"/>
          <w:szCs w:val="24"/>
          <w:lang w:eastAsia="bg-BG"/>
        </w:rPr>
      </w:pPr>
      <w:r w:rsidRPr="0019325A">
        <w:rPr>
          <w:rFonts w:eastAsia="Times New Roman" w:cs="Arial"/>
          <w:b/>
          <w:bCs/>
          <w:color w:val="000000"/>
          <w:lang w:eastAsia="bg-BG"/>
        </w:rPr>
        <w:t xml:space="preserve">Съобщавани са тежки и понякога фатални кожни реакции при пациенти, подложени на лечение със сулбактам/цефоперазон, като токсична епидермална некролиза </w:t>
      </w:r>
      <w:r w:rsidRPr="0019325A">
        <w:rPr>
          <w:rFonts w:eastAsia="Times New Roman" w:cs="Arial"/>
          <w:b/>
          <w:bCs/>
          <w:color w:val="000000"/>
          <w:lang w:val="en-US"/>
        </w:rPr>
        <w:t xml:space="preserve">(TEN), </w:t>
      </w:r>
      <w:r w:rsidRPr="0019325A">
        <w:rPr>
          <w:rFonts w:eastAsia="Times New Roman" w:cs="Arial"/>
          <w:b/>
          <w:bCs/>
          <w:color w:val="000000"/>
          <w:lang w:eastAsia="bg-BG"/>
        </w:rPr>
        <w:t>синдром на Стивънс-Джонсън</w:t>
      </w:r>
      <w:r w:rsidR="0019325A" w:rsidRPr="0019325A">
        <w:rPr>
          <w:rFonts w:eastAsia="Times New Roman" w:cs="Arial"/>
          <w:b/>
          <w:bCs/>
          <w:color w:val="000000"/>
          <w:lang w:eastAsia="bg-BG"/>
        </w:rPr>
        <w:t xml:space="preserve"> </w:t>
      </w:r>
      <w:r w:rsidR="0019325A" w:rsidRPr="0019325A">
        <w:rPr>
          <w:rFonts w:eastAsia="Times New Roman" w:cs="Arial"/>
          <w:b/>
          <w:bCs/>
          <w:color w:val="000000"/>
          <w:lang w:val="en-US"/>
        </w:rPr>
        <w:t xml:space="preserve">(SJS) </w:t>
      </w:r>
      <w:r w:rsidR="0019325A" w:rsidRPr="0019325A">
        <w:rPr>
          <w:rFonts w:eastAsia="Times New Roman" w:cs="Arial"/>
          <w:b/>
          <w:bCs/>
          <w:color w:val="000000"/>
          <w:lang w:eastAsia="bg-BG"/>
        </w:rPr>
        <w:t>и ексфолиативен дерматит. При поява на тежка кожна реакция приложението на сулбактам/цефоперазон трябва да се преустанови и да се назначи съответна терапия (вж. точка 4.8).</w:t>
      </w:r>
    </w:p>
    <w:p w14:paraId="05654462" w14:textId="77777777" w:rsidR="0019325A" w:rsidRPr="0019325A" w:rsidRDefault="0019325A" w:rsidP="0019325A">
      <w:pPr>
        <w:spacing w:line="240" w:lineRule="auto"/>
        <w:rPr>
          <w:rFonts w:eastAsia="Times New Roman" w:cs="Arial"/>
          <w:b/>
          <w:bCs/>
          <w:color w:val="000000"/>
          <w:u w:val="single"/>
          <w:lang w:eastAsia="bg-BG"/>
        </w:rPr>
      </w:pPr>
    </w:p>
    <w:p w14:paraId="77492547" w14:textId="12348F2C" w:rsidR="0019325A" w:rsidRPr="0019325A" w:rsidRDefault="0019325A" w:rsidP="0019325A">
      <w:pPr>
        <w:spacing w:line="240" w:lineRule="auto"/>
        <w:rPr>
          <w:rFonts w:eastAsia="Times New Roman" w:cs="Arial"/>
          <w:sz w:val="24"/>
          <w:szCs w:val="24"/>
          <w:lang w:eastAsia="bg-BG"/>
        </w:rPr>
      </w:pPr>
      <w:r w:rsidRPr="0019325A">
        <w:rPr>
          <w:rFonts w:eastAsia="Times New Roman" w:cs="Arial"/>
          <w:b/>
          <w:bCs/>
          <w:color w:val="000000"/>
          <w:u w:val="single"/>
          <w:lang w:eastAsia="bg-BG"/>
        </w:rPr>
        <w:t>Приложение при чернодробна дисфункция</w:t>
      </w:r>
    </w:p>
    <w:p w14:paraId="4C280722" w14:textId="77777777" w:rsidR="0019325A" w:rsidRPr="0019325A" w:rsidRDefault="0019325A" w:rsidP="0019325A">
      <w:pPr>
        <w:spacing w:line="240" w:lineRule="auto"/>
        <w:rPr>
          <w:rFonts w:eastAsia="Times New Roman" w:cs="Arial"/>
          <w:sz w:val="24"/>
          <w:szCs w:val="24"/>
          <w:lang w:eastAsia="bg-BG"/>
        </w:rPr>
      </w:pPr>
      <w:r w:rsidRPr="0019325A">
        <w:rPr>
          <w:rFonts w:eastAsia="Times New Roman" w:cs="Arial"/>
          <w:b/>
          <w:bCs/>
          <w:color w:val="000000"/>
          <w:lang w:eastAsia="bg-BG"/>
        </w:rPr>
        <w:t xml:space="preserve">Цефоперазон се екскретира изключително чрез жлъчката. При пациенти с чернодробно заболяване и/или жлъчна обструкция серумният полуживот на цефоперазон обикновено се удължава, а неговата уринна екскреция се увеличава. Дори при тежка чернодробна дисфункция цефоперазон достига терапевтични </w:t>
      </w:r>
      <w:r w:rsidRPr="0019325A">
        <w:rPr>
          <w:rFonts w:eastAsia="Times New Roman" w:cs="Arial"/>
          <w:b/>
          <w:bCs/>
          <w:color w:val="000000"/>
          <w:lang w:eastAsia="bg-BG"/>
        </w:rPr>
        <w:lastRenderedPageBreak/>
        <w:t>концентрации в жлъчката и се наблюдава само 2 до 4-кратно удължаване на полуживота.</w:t>
      </w:r>
    </w:p>
    <w:p w14:paraId="69803D2F" w14:textId="77777777" w:rsidR="0019325A" w:rsidRPr="0019325A" w:rsidRDefault="0019325A" w:rsidP="0019325A">
      <w:pPr>
        <w:spacing w:line="240" w:lineRule="auto"/>
        <w:rPr>
          <w:rFonts w:eastAsia="Times New Roman" w:cs="Arial"/>
          <w:b/>
          <w:bCs/>
          <w:color w:val="000000"/>
          <w:lang w:eastAsia="bg-BG"/>
        </w:rPr>
      </w:pPr>
    </w:p>
    <w:p w14:paraId="36A68462" w14:textId="11C263ED" w:rsidR="0019325A" w:rsidRPr="0019325A" w:rsidRDefault="0019325A" w:rsidP="0019325A">
      <w:pPr>
        <w:spacing w:line="240" w:lineRule="auto"/>
        <w:rPr>
          <w:rFonts w:eastAsia="Times New Roman" w:cs="Arial"/>
          <w:sz w:val="24"/>
          <w:szCs w:val="24"/>
          <w:lang w:eastAsia="bg-BG"/>
        </w:rPr>
      </w:pPr>
      <w:r w:rsidRPr="0019325A">
        <w:rPr>
          <w:rFonts w:eastAsia="Times New Roman" w:cs="Arial"/>
          <w:b/>
          <w:bCs/>
          <w:color w:val="000000"/>
          <w:lang w:eastAsia="bg-BG"/>
        </w:rPr>
        <w:t>Може да се наложи корекция на дозата в случаи на тежка жлъчна обструкция, тежко чернодробно заболяване или в случаи на бъбречно увреждане, съпътстващо някое от тези състояния.</w:t>
      </w:r>
    </w:p>
    <w:p w14:paraId="6C2B4DF8" w14:textId="77777777" w:rsidR="0019325A" w:rsidRPr="0019325A" w:rsidRDefault="0019325A" w:rsidP="0019325A">
      <w:pPr>
        <w:spacing w:line="240" w:lineRule="auto"/>
        <w:rPr>
          <w:rFonts w:eastAsia="Times New Roman" w:cs="Arial"/>
          <w:b/>
          <w:bCs/>
          <w:color w:val="000000"/>
          <w:lang w:eastAsia="bg-BG"/>
        </w:rPr>
      </w:pPr>
    </w:p>
    <w:p w14:paraId="2D31860F" w14:textId="77B815DA" w:rsidR="0019325A" w:rsidRPr="0019325A" w:rsidRDefault="0019325A" w:rsidP="0019325A">
      <w:pPr>
        <w:spacing w:line="240" w:lineRule="auto"/>
        <w:rPr>
          <w:rFonts w:eastAsia="Times New Roman" w:cs="Arial"/>
          <w:sz w:val="24"/>
          <w:szCs w:val="24"/>
          <w:lang w:eastAsia="bg-BG"/>
        </w:rPr>
      </w:pPr>
      <w:r w:rsidRPr="0019325A">
        <w:rPr>
          <w:rFonts w:eastAsia="Times New Roman" w:cs="Arial"/>
          <w:b/>
          <w:bCs/>
          <w:color w:val="000000"/>
          <w:lang w:eastAsia="bg-BG"/>
        </w:rPr>
        <w:t xml:space="preserve">При пациенти с чернодробна дисфункция и съпътстващо бъбречно увреждане трябва да бъдат проследявани серумните концентрации на цефоперазон и дозировката да бъде адаптирана, ако е необходимо. В тези случаи дозировката на цефоперазон не трябва да надвишава 2 </w:t>
      </w:r>
      <w:r w:rsidRPr="0019325A">
        <w:rPr>
          <w:rFonts w:eastAsia="Times New Roman" w:cs="Arial"/>
          <w:b/>
          <w:bCs/>
          <w:color w:val="000000"/>
          <w:lang w:val="en-US"/>
        </w:rPr>
        <w:t>g</w:t>
      </w:r>
      <w:r w:rsidRPr="0019325A">
        <w:rPr>
          <w:rFonts w:eastAsia="Times New Roman" w:cs="Arial"/>
          <w:b/>
          <w:bCs/>
          <w:color w:val="000000"/>
          <w:lang w:eastAsia="bg-BG"/>
        </w:rPr>
        <w:t>/ден без внимателно проследяване на серумните концентрации.</w:t>
      </w:r>
    </w:p>
    <w:p w14:paraId="413462E3" w14:textId="77777777" w:rsidR="0019325A" w:rsidRPr="0019325A" w:rsidRDefault="0019325A" w:rsidP="0019325A">
      <w:pPr>
        <w:spacing w:line="240" w:lineRule="auto"/>
        <w:rPr>
          <w:rFonts w:eastAsia="Times New Roman" w:cs="Arial"/>
          <w:b/>
          <w:bCs/>
          <w:color w:val="000000"/>
          <w:u w:val="single"/>
          <w:lang w:eastAsia="bg-BG"/>
        </w:rPr>
      </w:pPr>
    </w:p>
    <w:p w14:paraId="5FF0BAD9" w14:textId="18FD1C53" w:rsidR="0019325A" w:rsidRPr="0019325A" w:rsidRDefault="0019325A" w:rsidP="0019325A">
      <w:pPr>
        <w:spacing w:line="240" w:lineRule="auto"/>
        <w:rPr>
          <w:rFonts w:eastAsia="Times New Roman" w:cs="Arial"/>
          <w:sz w:val="24"/>
          <w:szCs w:val="24"/>
          <w:lang w:eastAsia="bg-BG"/>
        </w:rPr>
      </w:pPr>
      <w:r w:rsidRPr="0019325A">
        <w:rPr>
          <w:rFonts w:eastAsia="Times New Roman" w:cs="Arial"/>
          <w:b/>
          <w:bCs/>
          <w:color w:val="000000"/>
          <w:u w:val="single"/>
          <w:lang w:eastAsia="bg-BG"/>
        </w:rPr>
        <w:t>Обши положения</w:t>
      </w:r>
    </w:p>
    <w:p w14:paraId="313D0906" w14:textId="77777777" w:rsidR="0019325A" w:rsidRPr="0019325A" w:rsidRDefault="0019325A" w:rsidP="0019325A">
      <w:pPr>
        <w:spacing w:line="240" w:lineRule="auto"/>
        <w:rPr>
          <w:rFonts w:eastAsia="Times New Roman" w:cs="Arial"/>
          <w:sz w:val="24"/>
          <w:szCs w:val="24"/>
          <w:lang w:eastAsia="bg-BG"/>
        </w:rPr>
      </w:pPr>
      <w:r w:rsidRPr="0019325A">
        <w:rPr>
          <w:rFonts w:eastAsia="Times New Roman" w:cs="Arial"/>
          <w:b/>
          <w:bCs/>
          <w:color w:val="000000"/>
          <w:lang w:eastAsia="bg-BG"/>
        </w:rPr>
        <w:t>Получени са съобщения за случаи на сериозни кръвоизливи, включително летални, при употребата на сулбактам/цефоперазон. Рискови са тези пациенти, които са с недохранване, състояние на малабсорбция, пациенти на режим на продължително интравенозно хранене и пациенти на антикоагулантна терапия. Тези пациенти трябва да се наблюдават за признаци на кървене, тромбоцитопения и хипопротромбинемия. Сулбактам/цефоперазон трябва да се спре, ако се наблюдава персистиращ кръвоизлив, за който не може да се намери друго обяснение.</w:t>
      </w:r>
    </w:p>
    <w:p w14:paraId="0D8FFE21" w14:textId="77777777" w:rsidR="0019325A" w:rsidRPr="0019325A" w:rsidRDefault="0019325A" w:rsidP="0019325A">
      <w:pPr>
        <w:spacing w:line="240" w:lineRule="auto"/>
        <w:rPr>
          <w:rFonts w:eastAsia="Times New Roman" w:cs="Arial"/>
          <w:sz w:val="24"/>
          <w:szCs w:val="24"/>
          <w:lang w:eastAsia="bg-BG"/>
        </w:rPr>
      </w:pPr>
      <w:r w:rsidRPr="0019325A">
        <w:rPr>
          <w:rFonts w:eastAsia="Times New Roman" w:cs="Arial"/>
          <w:b/>
          <w:bCs/>
          <w:color w:val="000000"/>
          <w:lang w:eastAsia="bg-BG"/>
        </w:rPr>
        <w:t>Както и при други антибиотици, при продължително лечение със Сулперазон може да възникне свръхрастеж на резистентни микроорганизми. Пациентите трябва да бъдат наблюдавани внимателно по време на лечението. Препоръчително е при продължителна терапия, както и при всички мощни, системно действащи антибиотици периодично да се следи за органни и системни нарушения, като това включва бъбречната, чернодробната и хемопоетичната системи. Това е особено важно при новородените, особено при недоносените, и при кърмачетата.</w:t>
      </w:r>
    </w:p>
    <w:p w14:paraId="451B86BD" w14:textId="77777777" w:rsidR="0019325A" w:rsidRPr="0019325A" w:rsidRDefault="0019325A" w:rsidP="0019325A">
      <w:pPr>
        <w:spacing w:line="240" w:lineRule="auto"/>
        <w:rPr>
          <w:rFonts w:eastAsia="Times New Roman" w:cs="Arial"/>
          <w:b/>
          <w:bCs/>
          <w:i/>
          <w:iCs/>
          <w:color w:val="000000"/>
          <w:lang w:val="en-US"/>
        </w:rPr>
      </w:pPr>
    </w:p>
    <w:p w14:paraId="24A2CC9D" w14:textId="0FC05E11" w:rsidR="0019325A" w:rsidRPr="0019325A" w:rsidRDefault="0019325A" w:rsidP="0019325A">
      <w:pPr>
        <w:spacing w:line="240" w:lineRule="auto"/>
        <w:rPr>
          <w:rFonts w:eastAsia="Times New Roman" w:cs="Arial"/>
          <w:sz w:val="24"/>
          <w:szCs w:val="24"/>
          <w:lang w:eastAsia="bg-BG"/>
        </w:rPr>
      </w:pPr>
      <w:r w:rsidRPr="0019325A">
        <w:rPr>
          <w:rFonts w:eastAsia="Times New Roman" w:cs="Arial"/>
          <w:b/>
          <w:bCs/>
          <w:i/>
          <w:iCs/>
          <w:color w:val="000000"/>
          <w:lang w:val="en-US"/>
        </w:rPr>
        <w:t>Clostridium difficile</w:t>
      </w:r>
      <w:r w:rsidRPr="0019325A">
        <w:rPr>
          <w:rFonts w:eastAsia="Times New Roman" w:cs="Arial"/>
          <w:b/>
          <w:bCs/>
          <w:color w:val="000000"/>
          <w:lang w:val="en-US"/>
        </w:rPr>
        <w:t xml:space="preserve"> </w:t>
      </w:r>
      <w:r w:rsidRPr="0019325A">
        <w:rPr>
          <w:rFonts w:eastAsia="Times New Roman" w:cs="Arial"/>
          <w:b/>
          <w:bCs/>
          <w:color w:val="000000"/>
          <w:lang w:eastAsia="bg-BG"/>
        </w:rPr>
        <w:t xml:space="preserve">свързана диария </w:t>
      </w:r>
      <w:r w:rsidRPr="0019325A">
        <w:rPr>
          <w:rFonts w:eastAsia="Times New Roman" w:cs="Arial"/>
          <w:b/>
          <w:bCs/>
          <w:color w:val="000000"/>
          <w:lang w:val="en-US"/>
        </w:rPr>
        <w:t xml:space="preserve">(CDAD) </w:t>
      </w:r>
      <w:r w:rsidRPr="0019325A">
        <w:rPr>
          <w:rFonts w:eastAsia="Times New Roman" w:cs="Arial"/>
          <w:b/>
          <w:bCs/>
          <w:color w:val="000000"/>
          <w:lang w:eastAsia="bg-BG"/>
        </w:rPr>
        <w:t xml:space="preserve">е съобщавана при приложение на почти всички ангибактериални средства, включително Сулперазон, като тежестта може да варира от лека диария до фатален колит. Лечението с ангибактериални средства променя нормалната флора на дебелото черво, което води до свръхрастеж на С. </w:t>
      </w:r>
      <w:proofErr w:type="gramStart"/>
      <w:r w:rsidRPr="0019325A">
        <w:rPr>
          <w:rFonts w:eastAsia="Times New Roman" w:cs="Arial"/>
          <w:b/>
          <w:bCs/>
          <w:i/>
          <w:iCs/>
          <w:color w:val="000000"/>
          <w:lang w:val="en-US"/>
        </w:rPr>
        <w:t>difficile</w:t>
      </w:r>
      <w:proofErr w:type="gramEnd"/>
      <w:r w:rsidRPr="0019325A">
        <w:rPr>
          <w:rFonts w:eastAsia="Times New Roman" w:cs="Arial"/>
          <w:b/>
          <w:bCs/>
          <w:i/>
          <w:iCs/>
          <w:color w:val="000000"/>
          <w:lang w:val="en-US"/>
        </w:rPr>
        <w:t>.</w:t>
      </w:r>
    </w:p>
    <w:p w14:paraId="61E57A7B" w14:textId="77777777" w:rsidR="0019325A" w:rsidRPr="0019325A" w:rsidRDefault="0019325A" w:rsidP="0019325A">
      <w:pPr>
        <w:spacing w:line="240" w:lineRule="auto"/>
        <w:rPr>
          <w:rFonts w:eastAsia="Times New Roman" w:cs="Arial"/>
          <w:sz w:val="24"/>
          <w:szCs w:val="24"/>
          <w:lang w:eastAsia="bg-BG"/>
        </w:rPr>
      </w:pPr>
    </w:p>
    <w:p w14:paraId="060A20DD" w14:textId="4C0CDDB8" w:rsidR="0019325A" w:rsidRPr="0019325A" w:rsidRDefault="0019325A" w:rsidP="0019325A">
      <w:pPr>
        <w:spacing w:line="240" w:lineRule="auto"/>
        <w:rPr>
          <w:rFonts w:eastAsia="Times New Roman" w:cs="Arial"/>
          <w:sz w:val="24"/>
          <w:szCs w:val="24"/>
          <w:lang w:eastAsia="bg-BG"/>
        </w:rPr>
      </w:pPr>
      <w:r w:rsidRPr="0019325A">
        <w:rPr>
          <w:rFonts w:eastAsia="Times New Roman" w:cs="Arial"/>
          <w:b/>
          <w:bCs/>
          <w:i/>
          <w:iCs/>
          <w:color w:val="000000"/>
          <w:lang w:eastAsia="bg-BG"/>
        </w:rPr>
        <w:t xml:space="preserve">С. </w:t>
      </w:r>
      <w:proofErr w:type="gramStart"/>
      <w:r w:rsidRPr="0019325A">
        <w:rPr>
          <w:rFonts w:eastAsia="Times New Roman" w:cs="Arial"/>
          <w:b/>
          <w:bCs/>
          <w:i/>
          <w:iCs/>
          <w:color w:val="000000"/>
          <w:lang w:val="en-US"/>
        </w:rPr>
        <w:t>difficile</w:t>
      </w:r>
      <w:proofErr w:type="gramEnd"/>
      <w:r w:rsidRPr="0019325A">
        <w:rPr>
          <w:rFonts w:eastAsia="Times New Roman" w:cs="Arial"/>
          <w:b/>
          <w:bCs/>
          <w:color w:val="000000"/>
          <w:lang w:val="en-US"/>
        </w:rPr>
        <w:t xml:space="preserve"> </w:t>
      </w:r>
      <w:r w:rsidRPr="0019325A">
        <w:rPr>
          <w:rFonts w:eastAsia="Times New Roman" w:cs="Arial"/>
          <w:b/>
          <w:bCs/>
          <w:color w:val="000000"/>
          <w:lang w:eastAsia="bg-BG"/>
        </w:rPr>
        <w:t xml:space="preserve">произвежда токсини А и В, които допринасят за развитието на </w:t>
      </w:r>
      <w:r w:rsidRPr="0019325A">
        <w:rPr>
          <w:rFonts w:eastAsia="Times New Roman" w:cs="Arial"/>
          <w:b/>
          <w:bCs/>
          <w:color w:val="000000"/>
          <w:lang w:val="en-US"/>
        </w:rPr>
        <w:t xml:space="preserve">CDAD. </w:t>
      </w:r>
      <w:r w:rsidRPr="0019325A">
        <w:rPr>
          <w:rFonts w:eastAsia="Times New Roman" w:cs="Arial"/>
          <w:b/>
          <w:bCs/>
          <w:color w:val="000000"/>
          <w:lang w:eastAsia="bg-BG"/>
        </w:rPr>
        <w:t xml:space="preserve">Хипертоксин, произвеждан от щамовете на </w:t>
      </w:r>
      <w:r w:rsidRPr="0019325A">
        <w:rPr>
          <w:rFonts w:eastAsia="Times New Roman" w:cs="Arial"/>
          <w:b/>
          <w:bCs/>
          <w:i/>
          <w:iCs/>
          <w:color w:val="000000"/>
          <w:lang w:eastAsia="bg-BG"/>
        </w:rPr>
        <w:t xml:space="preserve">С. </w:t>
      </w:r>
      <w:proofErr w:type="gramStart"/>
      <w:r w:rsidRPr="0019325A">
        <w:rPr>
          <w:rFonts w:eastAsia="Times New Roman" w:cs="Arial"/>
          <w:b/>
          <w:bCs/>
          <w:i/>
          <w:iCs/>
          <w:color w:val="000000"/>
          <w:lang w:val="en-US"/>
        </w:rPr>
        <w:t>difficile</w:t>
      </w:r>
      <w:proofErr w:type="gramEnd"/>
      <w:r w:rsidRPr="0019325A">
        <w:rPr>
          <w:rFonts w:eastAsia="Times New Roman" w:cs="Arial"/>
          <w:b/>
          <w:bCs/>
          <w:i/>
          <w:iCs/>
          <w:color w:val="000000"/>
          <w:lang w:val="en-US"/>
        </w:rPr>
        <w:t>,</w:t>
      </w:r>
      <w:r w:rsidRPr="0019325A">
        <w:rPr>
          <w:rFonts w:eastAsia="Times New Roman" w:cs="Arial"/>
          <w:b/>
          <w:bCs/>
          <w:color w:val="000000"/>
          <w:lang w:val="en-US"/>
        </w:rPr>
        <w:t xml:space="preserve"> </w:t>
      </w:r>
      <w:r w:rsidRPr="0019325A">
        <w:rPr>
          <w:rFonts w:eastAsia="Times New Roman" w:cs="Arial"/>
          <w:b/>
          <w:bCs/>
          <w:color w:val="000000"/>
          <w:lang w:eastAsia="bg-BG"/>
        </w:rPr>
        <w:t xml:space="preserve">причинява повишена заболеваемост и смъртност, като тези инфекции могат да бъдат рефрактерни на антимикробно лечение и може да изискват колектомия. </w:t>
      </w:r>
      <w:r w:rsidRPr="0019325A">
        <w:rPr>
          <w:rFonts w:eastAsia="Times New Roman" w:cs="Arial"/>
          <w:b/>
          <w:bCs/>
          <w:color w:val="000000"/>
          <w:lang w:val="en-US"/>
        </w:rPr>
        <w:t xml:space="preserve">CDAD </w:t>
      </w:r>
      <w:r w:rsidRPr="0019325A">
        <w:rPr>
          <w:rFonts w:eastAsia="Times New Roman" w:cs="Arial"/>
          <w:b/>
          <w:bCs/>
          <w:color w:val="000000"/>
          <w:lang w:eastAsia="bg-BG"/>
        </w:rPr>
        <w:t xml:space="preserve">трябва да се има предвид при всички пациенти с диария след антибиотична употреба. Небходима е щателна анамнеза, тъй като е съобщавано за поява на </w:t>
      </w:r>
      <w:r w:rsidRPr="0019325A">
        <w:rPr>
          <w:rFonts w:eastAsia="Times New Roman" w:cs="Arial"/>
          <w:b/>
          <w:bCs/>
          <w:color w:val="000000"/>
          <w:lang w:val="en-US"/>
        </w:rPr>
        <w:t xml:space="preserve">CDAD </w:t>
      </w:r>
      <w:r w:rsidRPr="0019325A">
        <w:rPr>
          <w:rFonts w:eastAsia="Times New Roman" w:cs="Arial"/>
          <w:b/>
          <w:bCs/>
          <w:color w:val="000000"/>
          <w:lang w:eastAsia="bg-BG"/>
        </w:rPr>
        <w:t>над два месеца след приложението на антибактериални средства.</w:t>
      </w:r>
    </w:p>
    <w:p w14:paraId="6D801DE5" w14:textId="77777777" w:rsidR="0019325A" w:rsidRPr="0019325A" w:rsidRDefault="0019325A" w:rsidP="0019325A">
      <w:pPr>
        <w:spacing w:line="240" w:lineRule="auto"/>
        <w:rPr>
          <w:rFonts w:eastAsia="Times New Roman" w:cs="Arial"/>
          <w:b/>
          <w:bCs/>
          <w:color w:val="000000"/>
          <w:u w:val="single"/>
          <w:lang w:eastAsia="bg-BG"/>
        </w:rPr>
      </w:pPr>
    </w:p>
    <w:p w14:paraId="4D9B6A0B" w14:textId="3B98BC64" w:rsidR="0019325A" w:rsidRPr="0019325A" w:rsidRDefault="0019325A" w:rsidP="0019325A">
      <w:pPr>
        <w:spacing w:line="240" w:lineRule="auto"/>
        <w:rPr>
          <w:rFonts w:eastAsia="Times New Roman" w:cs="Arial"/>
          <w:sz w:val="24"/>
          <w:szCs w:val="24"/>
          <w:lang w:eastAsia="bg-BG"/>
        </w:rPr>
      </w:pPr>
      <w:r w:rsidRPr="0019325A">
        <w:rPr>
          <w:rFonts w:eastAsia="Times New Roman" w:cs="Arial"/>
          <w:b/>
          <w:bCs/>
          <w:color w:val="000000"/>
          <w:u w:val="single"/>
          <w:lang w:eastAsia="bg-BG"/>
        </w:rPr>
        <w:t>Приложение при кърмачета</w:t>
      </w:r>
    </w:p>
    <w:p w14:paraId="5E4004D5" w14:textId="77777777" w:rsidR="0019325A" w:rsidRPr="0019325A" w:rsidRDefault="0019325A" w:rsidP="0019325A">
      <w:pPr>
        <w:spacing w:line="240" w:lineRule="auto"/>
        <w:rPr>
          <w:rFonts w:eastAsia="Times New Roman" w:cs="Arial"/>
          <w:sz w:val="24"/>
          <w:szCs w:val="24"/>
          <w:lang w:eastAsia="bg-BG"/>
        </w:rPr>
      </w:pPr>
      <w:r w:rsidRPr="0019325A">
        <w:rPr>
          <w:rFonts w:eastAsia="Times New Roman" w:cs="Arial"/>
          <w:b/>
          <w:bCs/>
          <w:color w:val="000000"/>
          <w:lang w:eastAsia="bg-BG"/>
        </w:rPr>
        <w:t xml:space="preserve">Сулперазон е използван успешно при кърмачета. Не е проучен подробно въпросът с приложението при недоносени деца или новородени. Ето защо, преди да се назначи терапия при недоносени и новородени трябва да се преценят потенциалните ползи и възможните рискове (вж. точка 5.3 Предклинични данни за безопасност - </w:t>
      </w:r>
      <w:r w:rsidRPr="0019325A">
        <w:rPr>
          <w:rFonts w:eastAsia="Times New Roman" w:cs="Arial"/>
          <w:b/>
          <w:bCs/>
          <w:i/>
          <w:iCs/>
          <w:color w:val="000000"/>
          <w:lang w:eastAsia="bg-BG"/>
        </w:rPr>
        <w:t>Приложение при деца).</w:t>
      </w:r>
    </w:p>
    <w:p w14:paraId="30108BF2" w14:textId="77777777" w:rsidR="0019325A" w:rsidRPr="0019325A" w:rsidRDefault="0019325A" w:rsidP="0019325A">
      <w:pPr>
        <w:spacing w:line="240" w:lineRule="auto"/>
        <w:rPr>
          <w:rFonts w:eastAsia="Times New Roman" w:cs="Arial"/>
          <w:b/>
          <w:bCs/>
          <w:color w:val="000000"/>
          <w:lang w:eastAsia="bg-BG"/>
        </w:rPr>
      </w:pPr>
    </w:p>
    <w:p w14:paraId="59063B3D" w14:textId="6707C4AA" w:rsidR="0019325A" w:rsidRPr="0019325A" w:rsidRDefault="0019325A" w:rsidP="0019325A">
      <w:pPr>
        <w:spacing w:line="240" w:lineRule="auto"/>
        <w:rPr>
          <w:rFonts w:eastAsia="Times New Roman" w:cs="Arial"/>
          <w:sz w:val="24"/>
          <w:szCs w:val="24"/>
          <w:lang w:eastAsia="bg-BG"/>
        </w:rPr>
      </w:pPr>
      <w:r w:rsidRPr="0019325A">
        <w:rPr>
          <w:rFonts w:eastAsia="Times New Roman" w:cs="Arial"/>
          <w:b/>
          <w:bCs/>
          <w:color w:val="000000"/>
          <w:lang w:eastAsia="bg-BG"/>
        </w:rPr>
        <w:lastRenderedPageBreak/>
        <w:t>Цефоперазон не измества билирубина от местата му на свързване с плазмените протеини.</w:t>
      </w:r>
    </w:p>
    <w:p w14:paraId="6B05F6A9" w14:textId="77777777" w:rsidR="0019325A" w:rsidRPr="0019325A" w:rsidRDefault="0019325A" w:rsidP="0019325A">
      <w:pPr>
        <w:spacing w:line="240" w:lineRule="auto"/>
        <w:rPr>
          <w:rFonts w:eastAsia="Times New Roman" w:cs="Arial"/>
          <w:b/>
          <w:bCs/>
          <w:color w:val="000000"/>
          <w:u w:val="single"/>
          <w:lang w:eastAsia="bg-BG"/>
        </w:rPr>
      </w:pPr>
    </w:p>
    <w:p w14:paraId="5F1B8786" w14:textId="05D582C2" w:rsidR="0019325A" w:rsidRPr="0019325A" w:rsidRDefault="0019325A" w:rsidP="0019325A">
      <w:pPr>
        <w:spacing w:line="240" w:lineRule="auto"/>
        <w:rPr>
          <w:rFonts w:eastAsia="Times New Roman" w:cs="Arial"/>
          <w:sz w:val="24"/>
          <w:szCs w:val="24"/>
          <w:lang w:eastAsia="bg-BG"/>
        </w:rPr>
      </w:pPr>
      <w:r w:rsidRPr="0019325A">
        <w:rPr>
          <w:rFonts w:eastAsia="Times New Roman" w:cs="Arial"/>
          <w:b/>
          <w:bCs/>
          <w:color w:val="000000"/>
          <w:u w:val="single"/>
          <w:lang w:eastAsia="bg-BG"/>
        </w:rPr>
        <w:t>Информация за помощните вещества</w:t>
      </w:r>
      <w:r w:rsidRPr="0019325A">
        <w:rPr>
          <w:rFonts w:eastAsia="Times New Roman" w:cs="Arial"/>
          <w:b/>
          <w:bCs/>
          <w:color w:val="000000"/>
          <w:lang w:eastAsia="bg-BG"/>
        </w:rPr>
        <w:tab/>
      </w:r>
    </w:p>
    <w:p w14:paraId="0E28BBDE" w14:textId="5ED49559" w:rsidR="007A2185" w:rsidRPr="0019325A" w:rsidRDefault="0019325A" w:rsidP="0019325A">
      <w:pPr>
        <w:rPr>
          <w:rFonts w:eastAsia="Times New Roman" w:cs="Arial"/>
          <w:b/>
          <w:bCs/>
          <w:color w:val="000000"/>
          <w:lang w:eastAsia="bg-BG"/>
        </w:rPr>
      </w:pPr>
      <w:r w:rsidRPr="0019325A">
        <w:rPr>
          <w:rFonts w:eastAsia="Times New Roman" w:cs="Arial"/>
          <w:b/>
          <w:bCs/>
          <w:color w:val="000000"/>
          <w:lang w:eastAsia="bg-BG"/>
        </w:rPr>
        <w:t xml:space="preserve">Сулперазон 1 </w:t>
      </w:r>
      <w:r w:rsidRPr="0019325A">
        <w:rPr>
          <w:rFonts w:eastAsia="Times New Roman" w:cs="Arial"/>
          <w:b/>
          <w:bCs/>
          <w:color w:val="000000"/>
          <w:lang w:val="en-US"/>
        </w:rPr>
        <w:t xml:space="preserve">g/1 g </w:t>
      </w:r>
      <w:r w:rsidRPr="0019325A">
        <w:rPr>
          <w:rFonts w:eastAsia="Times New Roman" w:cs="Arial"/>
          <w:b/>
          <w:bCs/>
          <w:color w:val="000000"/>
          <w:lang w:eastAsia="bg-BG"/>
        </w:rPr>
        <w:t xml:space="preserve">прах за инжекционен разтвор съдържа 134,2 </w:t>
      </w:r>
      <w:r w:rsidRPr="0019325A">
        <w:rPr>
          <w:rFonts w:eastAsia="Times New Roman" w:cs="Arial"/>
          <w:b/>
          <w:bCs/>
          <w:color w:val="000000"/>
          <w:lang w:val="en-US"/>
        </w:rPr>
        <w:t xml:space="preserve">mg </w:t>
      </w:r>
      <w:r w:rsidRPr="0019325A">
        <w:rPr>
          <w:rFonts w:eastAsia="Times New Roman" w:cs="Arial"/>
          <w:b/>
          <w:bCs/>
          <w:color w:val="000000"/>
          <w:lang w:eastAsia="bg-BG"/>
        </w:rPr>
        <w:t xml:space="preserve">натрий във всеки флакон, който са еквивалентни на 6,7% от препоръчителния максимален дневен прием от 2 </w:t>
      </w:r>
      <w:r w:rsidRPr="0019325A">
        <w:rPr>
          <w:rFonts w:eastAsia="Times New Roman" w:cs="Arial"/>
          <w:b/>
          <w:bCs/>
          <w:color w:val="000000"/>
          <w:lang w:val="en-US"/>
        </w:rPr>
        <w:t xml:space="preserve">g </w:t>
      </w:r>
      <w:r w:rsidRPr="0019325A">
        <w:rPr>
          <w:rFonts w:eastAsia="Times New Roman" w:cs="Arial"/>
          <w:b/>
          <w:bCs/>
          <w:color w:val="000000"/>
          <w:lang w:eastAsia="bg-BG"/>
        </w:rPr>
        <w:t>натрий за възрастен.</w:t>
      </w:r>
    </w:p>
    <w:p w14:paraId="5857E2A8" w14:textId="3E9F3BC5" w:rsidR="0019325A" w:rsidRDefault="0019325A" w:rsidP="0019325A">
      <w:pPr>
        <w:rPr>
          <w:rFonts w:ascii="Times New Roman" w:eastAsia="Times New Roman" w:hAnsi="Times New Roman" w:cs="Times New Roman"/>
          <w:b/>
          <w:bCs/>
          <w:color w:val="000000"/>
          <w:lang w:eastAsia="bg-BG"/>
        </w:rPr>
      </w:pPr>
    </w:p>
    <w:p w14:paraId="6959F2ED" w14:textId="12A78A0F" w:rsidR="0019325A" w:rsidRPr="0019325A" w:rsidRDefault="0019325A" w:rsidP="0019325A">
      <w:r w:rsidRPr="0019325A">
        <w:rPr>
          <w:b/>
          <w:bCs/>
        </w:rPr>
        <w:t xml:space="preserve">Максималната дневна доза от 8 </w:t>
      </w:r>
      <w:r w:rsidRPr="0019325A">
        <w:rPr>
          <w:b/>
          <w:bCs/>
          <w:lang w:val="en-US"/>
        </w:rPr>
        <w:t xml:space="preserve">g </w:t>
      </w:r>
      <w:r w:rsidRPr="0019325A">
        <w:rPr>
          <w:b/>
          <w:bCs/>
        </w:rPr>
        <w:t xml:space="preserve">(т.е. </w:t>
      </w:r>
      <w:r w:rsidRPr="0019325A">
        <w:rPr>
          <w:b/>
          <w:bCs/>
          <w:i/>
          <w:iCs/>
        </w:rPr>
        <w:t>4</w:t>
      </w:r>
      <w:r w:rsidRPr="0019325A">
        <w:rPr>
          <w:b/>
          <w:bCs/>
        </w:rPr>
        <w:t xml:space="preserve"> </w:t>
      </w:r>
      <w:r w:rsidRPr="0019325A">
        <w:rPr>
          <w:b/>
          <w:bCs/>
          <w:lang w:val="en-US"/>
        </w:rPr>
        <w:t xml:space="preserve">g </w:t>
      </w:r>
      <w:r w:rsidRPr="0019325A">
        <w:rPr>
          <w:b/>
          <w:bCs/>
        </w:rPr>
        <w:t xml:space="preserve">цефоперазон и 4 </w:t>
      </w:r>
      <w:r w:rsidRPr="0019325A">
        <w:rPr>
          <w:b/>
          <w:bCs/>
          <w:lang w:val="en-US"/>
        </w:rPr>
        <w:t xml:space="preserve">g </w:t>
      </w:r>
      <w:r w:rsidRPr="0019325A">
        <w:rPr>
          <w:b/>
          <w:bCs/>
        </w:rPr>
        <w:t xml:space="preserve">сулбактам) (вж. точка 4.2) съответства на прием от 536,8 </w:t>
      </w:r>
      <w:r w:rsidRPr="0019325A">
        <w:rPr>
          <w:b/>
          <w:bCs/>
          <w:lang w:val="en-US"/>
        </w:rPr>
        <w:t xml:space="preserve">mg </w:t>
      </w:r>
      <w:r w:rsidRPr="0019325A">
        <w:rPr>
          <w:b/>
          <w:bCs/>
        </w:rPr>
        <w:t>натрий, крито са еквивалентни на 26,8% от препоръчителния максимален дневен прием на натрий. Този лекарствен продукт се счита с „високо ниво“ на натрий. Съдържанието на натрий в този лекарствен продукт следва да се има предвид, когато се прилага на пациенти на диета с ниско съдържание на сол.</w:t>
      </w:r>
    </w:p>
    <w:p w14:paraId="24E3E82F" w14:textId="77777777" w:rsidR="0091385D" w:rsidRPr="0091385D" w:rsidRDefault="0091385D" w:rsidP="0091385D"/>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38FC2D5C" w14:textId="77777777" w:rsidR="0019325A" w:rsidRPr="0019325A" w:rsidRDefault="0019325A" w:rsidP="0019325A">
      <w:pPr>
        <w:spacing w:line="240" w:lineRule="auto"/>
        <w:rPr>
          <w:rFonts w:eastAsia="Times New Roman" w:cs="Arial"/>
          <w:lang w:eastAsia="bg-BG"/>
        </w:rPr>
      </w:pPr>
      <w:r w:rsidRPr="0019325A">
        <w:rPr>
          <w:rFonts w:eastAsia="Times New Roman" w:cs="Arial"/>
          <w:b/>
          <w:bCs/>
          <w:color w:val="000000"/>
          <w:u w:val="single"/>
          <w:lang w:eastAsia="bg-BG"/>
        </w:rPr>
        <w:t>Алкохол</w:t>
      </w:r>
    </w:p>
    <w:p w14:paraId="3D64F328" w14:textId="77777777" w:rsidR="0019325A" w:rsidRPr="0019325A" w:rsidRDefault="0019325A" w:rsidP="0019325A">
      <w:pPr>
        <w:spacing w:line="240" w:lineRule="auto"/>
        <w:rPr>
          <w:rFonts w:eastAsia="Times New Roman" w:cs="Arial"/>
          <w:lang w:eastAsia="bg-BG"/>
        </w:rPr>
      </w:pPr>
      <w:r w:rsidRPr="0019325A">
        <w:rPr>
          <w:rFonts w:eastAsia="Times New Roman" w:cs="Arial"/>
          <w:b/>
          <w:bCs/>
          <w:color w:val="000000"/>
          <w:lang w:eastAsia="bg-BG"/>
        </w:rPr>
        <w:t>При прием на алкохол по време на лечението с цефоперазон и до петия ден след прекъсването му е наблюдавана реакция, характеризираща се със зачервяване, изпотяване, главоболие и тахикардия. Подобна реакция се съобщава при приложението и на други цефалоспорини и пациентите трябва да бъдат предупредени да не употребяват алкохолни напитки по време на лечението със Сулперазон. При пациенти, при които се изисква изкуствено перорално или парентерално хранене, трябва да се избягват разтвори, съдържащи етанол.</w:t>
      </w:r>
    </w:p>
    <w:p w14:paraId="6C28D6F6" w14:textId="77777777" w:rsidR="0019325A" w:rsidRPr="0019325A" w:rsidRDefault="0019325A" w:rsidP="0019325A">
      <w:pPr>
        <w:spacing w:line="240" w:lineRule="auto"/>
        <w:rPr>
          <w:rFonts w:eastAsia="Times New Roman" w:cs="Arial"/>
          <w:b/>
          <w:bCs/>
          <w:color w:val="000000"/>
          <w:u w:val="single"/>
          <w:lang w:eastAsia="bg-BG"/>
        </w:rPr>
      </w:pPr>
    </w:p>
    <w:p w14:paraId="64D127AF" w14:textId="75983B53" w:rsidR="0019325A" w:rsidRPr="0019325A" w:rsidRDefault="0019325A" w:rsidP="0019325A">
      <w:pPr>
        <w:spacing w:line="240" w:lineRule="auto"/>
        <w:rPr>
          <w:rFonts w:eastAsia="Times New Roman" w:cs="Arial"/>
          <w:lang w:eastAsia="bg-BG"/>
        </w:rPr>
      </w:pPr>
      <w:r w:rsidRPr="0019325A">
        <w:rPr>
          <w:rFonts w:eastAsia="Times New Roman" w:cs="Arial"/>
          <w:b/>
          <w:bCs/>
          <w:color w:val="000000"/>
          <w:u w:val="single"/>
          <w:lang w:eastAsia="bg-BG"/>
        </w:rPr>
        <w:t>Взаимодействия с лабораторни тестове</w:t>
      </w:r>
    </w:p>
    <w:p w14:paraId="5B2761C5" w14:textId="46EC62D4" w:rsidR="0091385D" w:rsidRPr="0019325A" w:rsidRDefault="0019325A" w:rsidP="0019325A">
      <w:pPr>
        <w:rPr>
          <w:rFonts w:cs="Arial"/>
        </w:rPr>
      </w:pPr>
      <w:r w:rsidRPr="0019325A">
        <w:rPr>
          <w:rFonts w:eastAsia="Times New Roman" w:cs="Arial"/>
          <w:b/>
          <w:bCs/>
          <w:color w:val="000000"/>
          <w:lang w:eastAsia="bg-BG"/>
        </w:rPr>
        <w:t>Фалшиво положителни реакции за глюкоза в урината могат да възникнат при използване на тестовете на Бенедикт или Фелинг.</w:t>
      </w:r>
    </w:p>
    <w:p w14:paraId="0395BD2E" w14:textId="77777777" w:rsidR="007A2185" w:rsidRPr="0091385D" w:rsidRDefault="007A2185" w:rsidP="0091385D"/>
    <w:p w14:paraId="394A7584" w14:textId="10DEA5B3" w:rsidR="004F498A" w:rsidRDefault="002C50EE" w:rsidP="004A448E">
      <w:pPr>
        <w:pStyle w:val="Heading2"/>
      </w:pPr>
      <w:r>
        <w:t>4.6. Фертилитет, бременност и кърмене</w:t>
      </w:r>
    </w:p>
    <w:p w14:paraId="4887836B" w14:textId="0528FAED" w:rsidR="0091385D" w:rsidRDefault="0091385D" w:rsidP="0091385D"/>
    <w:p w14:paraId="70D307F3" w14:textId="77777777" w:rsidR="0019325A" w:rsidRPr="0019325A" w:rsidRDefault="0019325A" w:rsidP="0019325A">
      <w:pPr>
        <w:pStyle w:val="Heading3"/>
        <w:rPr>
          <w:rFonts w:eastAsia="Times New Roman"/>
          <w:b/>
          <w:u w:val="single"/>
          <w:lang w:eastAsia="bg-BG"/>
        </w:rPr>
      </w:pPr>
      <w:r w:rsidRPr="0019325A">
        <w:rPr>
          <w:rFonts w:eastAsia="Times New Roman"/>
          <w:b/>
          <w:u w:val="single"/>
          <w:lang w:eastAsia="bg-BG"/>
        </w:rPr>
        <w:t>Бременност</w:t>
      </w:r>
    </w:p>
    <w:p w14:paraId="6AE4E1FF" w14:textId="77777777" w:rsidR="0019325A" w:rsidRPr="0019325A" w:rsidRDefault="0019325A" w:rsidP="0019325A">
      <w:pPr>
        <w:spacing w:line="240" w:lineRule="auto"/>
        <w:rPr>
          <w:rFonts w:eastAsia="Times New Roman" w:cs="Arial"/>
          <w:lang w:eastAsia="bg-BG"/>
        </w:rPr>
      </w:pPr>
      <w:r w:rsidRPr="0019325A">
        <w:rPr>
          <w:rFonts w:eastAsia="Times New Roman" w:cs="Arial"/>
          <w:b/>
          <w:bCs/>
          <w:color w:val="000000"/>
          <w:lang w:eastAsia="bg-BG"/>
        </w:rPr>
        <w:t>Проведени са репродуктивни проучвания при плъхове с дози до 10 пъти по-високи от човешките и не са получени данни за увреждане на фертилитета или за тератогенно действие. Сулбактам и цефоперазон преминават плацентарната бариера. Въпреки това обаче няма адекватни и добре контролирани проучвания при бременни жени. Тъй като проучванията върху репродуктивната функция при животни не винаги са показателни за отговора при човека, това лекарство трябва да се използва при бременност само при доказана необходимост.</w:t>
      </w:r>
    </w:p>
    <w:p w14:paraId="2F1D3346" w14:textId="77777777" w:rsidR="0019325A" w:rsidRPr="0019325A" w:rsidRDefault="0019325A" w:rsidP="0019325A">
      <w:pPr>
        <w:spacing w:line="240" w:lineRule="auto"/>
        <w:rPr>
          <w:rFonts w:eastAsia="Times New Roman" w:cs="Arial"/>
          <w:b/>
          <w:bCs/>
          <w:color w:val="000000"/>
          <w:u w:val="single"/>
          <w:lang w:eastAsia="bg-BG"/>
        </w:rPr>
      </w:pPr>
    </w:p>
    <w:p w14:paraId="69BEE30E" w14:textId="7996F40B" w:rsidR="0019325A" w:rsidRPr="0019325A" w:rsidRDefault="0019325A" w:rsidP="0019325A">
      <w:pPr>
        <w:pStyle w:val="Heading3"/>
        <w:rPr>
          <w:rFonts w:eastAsia="Times New Roman"/>
          <w:b/>
          <w:u w:val="single"/>
          <w:lang w:eastAsia="bg-BG"/>
        </w:rPr>
      </w:pPr>
      <w:r w:rsidRPr="0019325A">
        <w:rPr>
          <w:rFonts w:eastAsia="Times New Roman"/>
          <w:b/>
          <w:u w:val="single"/>
          <w:lang w:eastAsia="bg-BG"/>
        </w:rPr>
        <w:t>Кърм</w:t>
      </w:r>
      <w:bookmarkStart w:id="1" w:name="_GoBack"/>
      <w:bookmarkEnd w:id="1"/>
      <w:r w:rsidRPr="0019325A">
        <w:rPr>
          <w:rFonts w:eastAsia="Times New Roman"/>
          <w:b/>
          <w:u w:val="single"/>
          <w:lang w:eastAsia="bg-BG"/>
        </w:rPr>
        <w:t>ене</w:t>
      </w:r>
    </w:p>
    <w:p w14:paraId="102F0D07" w14:textId="5B196DD2" w:rsidR="007A2185" w:rsidRPr="0019325A" w:rsidRDefault="0019325A" w:rsidP="0019325A">
      <w:pPr>
        <w:rPr>
          <w:rFonts w:cs="Arial"/>
        </w:rPr>
      </w:pPr>
      <w:r w:rsidRPr="0019325A">
        <w:rPr>
          <w:rFonts w:eastAsia="Times New Roman" w:cs="Arial"/>
          <w:b/>
          <w:bCs/>
          <w:color w:val="000000"/>
          <w:lang w:eastAsia="bg-BG"/>
        </w:rPr>
        <w:t>Само малки количества сулбактам и цефоперазон се екскретират в човешката кърма. Въпреки че двете вещества слабо преминават в млякото при кърмещи жени, Сулперазон трябва да се прилага с повишено внимание при кърмещи жени.</w:t>
      </w:r>
    </w:p>
    <w:p w14:paraId="3E8789C3" w14:textId="77777777" w:rsidR="0091385D" w:rsidRPr="0091385D" w:rsidRDefault="0091385D" w:rsidP="0091385D"/>
    <w:p w14:paraId="064DF1DE" w14:textId="70BCC16C" w:rsidR="00CF77F7" w:rsidRDefault="002C50EE" w:rsidP="004A448E">
      <w:pPr>
        <w:pStyle w:val="Heading2"/>
      </w:pPr>
      <w:r>
        <w:lastRenderedPageBreak/>
        <w:t>4.7. Ефекти върху способността за шофиране и работа с машини</w:t>
      </w:r>
    </w:p>
    <w:p w14:paraId="1455464C" w14:textId="78136F1E" w:rsidR="0091385D" w:rsidRDefault="0091385D" w:rsidP="0091385D"/>
    <w:p w14:paraId="1C9ABB96" w14:textId="40001E94" w:rsidR="007A2185" w:rsidRPr="0019325A" w:rsidRDefault="0019325A" w:rsidP="0091385D">
      <w:pPr>
        <w:rPr>
          <w:rFonts w:cs="Arial"/>
        </w:rPr>
      </w:pPr>
      <w:r w:rsidRPr="0019325A">
        <w:rPr>
          <w:rFonts w:cs="Arial"/>
          <w:b/>
          <w:bCs/>
        </w:rPr>
        <w:t>Клиничният опит показва, че не е вероятно Сулперазон да увреди способността на пациента да шофира или да използва машини.</w:t>
      </w:r>
    </w:p>
    <w:p w14:paraId="35801A15" w14:textId="77777777" w:rsidR="0091385D" w:rsidRPr="0091385D" w:rsidRDefault="0091385D" w:rsidP="0091385D"/>
    <w:p w14:paraId="4838F52A" w14:textId="058F0B9C" w:rsidR="0091385D" w:rsidRDefault="002C50EE" w:rsidP="007A2185">
      <w:pPr>
        <w:pStyle w:val="Heading2"/>
      </w:pPr>
      <w:r>
        <w:t>4.8. Нежелани лекарствени реакции</w:t>
      </w:r>
    </w:p>
    <w:p w14:paraId="76E0B7A2" w14:textId="5BBD2581" w:rsidR="005B0F27" w:rsidRDefault="005B0F27" w:rsidP="0091385D"/>
    <w:p w14:paraId="435A3785" w14:textId="77777777" w:rsidR="0019325A" w:rsidRPr="0019325A" w:rsidRDefault="0019325A" w:rsidP="0019325A">
      <w:pPr>
        <w:spacing w:line="240" w:lineRule="auto"/>
        <w:rPr>
          <w:rFonts w:eastAsia="Times New Roman" w:cs="Arial"/>
          <w:lang w:eastAsia="bg-BG"/>
        </w:rPr>
      </w:pPr>
      <w:r w:rsidRPr="0019325A">
        <w:rPr>
          <w:rFonts w:eastAsia="Times New Roman" w:cs="Arial"/>
          <w:b/>
          <w:bCs/>
          <w:color w:val="000000"/>
          <w:lang w:eastAsia="bg-BG"/>
        </w:rPr>
        <w:t>Сулперазон обикновено се понася добре. Повечето от нежеланите лекарствени реакции са леки до умерено тежки и преминават в хода на лечение. Следните нежелани реакции са наблюдавани в клинични проучвания (сравнителни и несравнителни проучвания) и в постмаркетинговия период.</w:t>
      </w:r>
    </w:p>
    <w:p w14:paraId="04D9631A" w14:textId="77777777" w:rsidR="0019325A" w:rsidRPr="0019325A" w:rsidRDefault="0019325A" w:rsidP="0019325A">
      <w:pPr>
        <w:rPr>
          <w:rFonts w:eastAsia="Times New Roman" w:cs="Arial"/>
          <w:b/>
          <w:bCs/>
          <w:color w:val="000000"/>
          <w:lang w:eastAsia="bg-BG"/>
        </w:rPr>
      </w:pPr>
    </w:p>
    <w:p w14:paraId="0254AACC" w14:textId="5AFBB19B" w:rsidR="007A2185" w:rsidRDefault="0019325A" w:rsidP="0019325A">
      <w:r w:rsidRPr="0019325A">
        <w:rPr>
          <w:rFonts w:eastAsia="Times New Roman" w:cs="Arial"/>
          <w:b/>
          <w:bCs/>
          <w:color w:val="000000"/>
          <w:lang w:eastAsia="bg-BG"/>
        </w:rPr>
        <w:t xml:space="preserve">В таблицата по-долу са изброени всички нежелани лекарствени реакции по </w:t>
      </w:r>
      <w:proofErr w:type="spellStart"/>
      <w:r w:rsidRPr="0019325A">
        <w:rPr>
          <w:rFonts w:eastAsia="Times New Roman" w:cs="Arial"/>
          <w:b/>
          <w:bCs/>
          <w:color w:val="000000"/>
          <w:lang w:val="en-US"/>
        </w:rPr>
        <w:t>MedDRA</w:t>
      </w:r>
      <w:proofErr w:type="spellEnd"/>
      <w:r w:rsidRPr="0019325A">
        <w:rPr>
          <w:rFonts w:eastAsia="Times New Roman" w:cs="Arial"/>
          <w:b/>
          <w:bCs/>
          <w:color w:val="000000"/>
          <w:lang w:val="en-US"/>
        </w:rPr>
        <w:t xml:space="preserve"> </w:t>
      </w:r>
      <w:r w:rsidRPr="0019325A">
        <w:rPr>
          <w:rFonts w:eastAsia="Times New Roman" w:cs="Arial"/>
          <w:b/>
          <w:bCs/>
          <w:color w:val="000000"/>
          <w:lang w:eastAsia="bg-BG"/>
        </w:rPr>
        <w:t>системо- органен клас, в низходящ ред по отношение на тяхното клинично значение.</w:t>
      </w:r>
    </w:p>
    <w:p w14:paraId="443BC107" w14:textId="22BB7D1E" w:rsidR="005B0F27" w:rsidRDefault="005B0F27" w:rsidP="0091385D"/>
    <w:tbl>
      <w:tblPr>
        <w:tblStyle w:val="TableGrid"/>
        <w:tblW w:w="0" w:type="auto"/>
        <w:tblLook w:val="04A0" w:firstRow="1" w:lastRow="0" w:firstColumn="1" w:lastColumn="0" w:noHBand="0" w:noVBand="1"/>
      </w:tblPr>
      <w:tblGrid>
        <w:gridCol w:w="1719"/>
        <w:gridCol w:w="1700"/>
        <w:gridCol w:w="1734"/>
        <w:gridCol w:w="1568"/>
        <w:gridCol w:w="2629"/>
      </w:tblGrid>
      <w:tr w:rsidR="0019325A" w14:paraId="286CBA93" w14:textId="77777777" w:rsidTr="0019325A">
        <w:tc>
          <w:tcPr>
            <w:tcW w:w="1719" w:type="dxa"/>
          </w:tcPr>
          <w:p w14:paraId="7356B5C1" w14:textId="597D2216" w:rsidR="0019325A" w:rsidRDefault="0019325A" w:rsidP="0019325A">
            <w:r>
              <w:rPr>
                <w:b/>
                <w:bCs/>
              </w:rPr>
              <w:t>Снстемо- органен клас</w:t>
            </w:r>
          </w:p>
        </w:tc>
        <w:tc>
          <w:tcPr>
            <w:tcW w:w="1700" w:type="dxa"/>
          </w:tcPr>
          <w:p w14:paraId="30919410" w14:textId="77777777" w:rsidR="0019325A" w:rsidRDefault="0019325A" w:rsidP="0019325A">
            <w:r>
              <w:rPr>
                <w:b/>
                <w:bCs/>
              </w:rPr>
              <w:t>Много честа</w:t>
            </w:r>
          </w:p>
          <w:p w14:paraId="6087B52E" w14:textId="5BE9FD22" w:rsidR="0019325A" w:rsidRDefault="0019325A" w:rsidP="0019325A">
            <w:r>
              <w:rPr>
                <w:b/>
                <w:bCs/>
              </w:rPr>
              <w:t>≥1/10</w:t>
            </w:r>
          </w:p>
        </w:tc>
        <w:tc>
          <w:tcPr>
            <w:tcW w:w="1734" w:type="dxa"/>
          </w:tcPr>
          <w:p w14:paraId="3AA0DA98" w14:textId="77777777" w:rsidR="0019325A" w:rsidRDefault="0019325A" w:rsidP="0019325A">
            <w:r>
              <w:rPr>
                <w:b/>
                <w:bCs/>
              </w:rPr>
              <w:t>Чести</w:t>
            </w:r>
          </w:p>
          <w:p w14:paraId="513EA085" w14:textId="47EEB982" w:rsidR="0019325A" w:rsidRDefault="0019325A" w:rsidP="0019325A">
            <w:r>
              <w:rPr>
                <w:b/>
                <w:bCs/>
              </w:rPr>
              <w:t>≥1/100 до &lt;1/10</w:t>
            </w:r>
          </w:p>
        </w:tc>
        <w:tc>
          <w:tcPr>
            <w:tcW w:w="1568" w:type="dxa"/>
          </w:tcPr>
          <w:p w14:paraId="2C4F8439" w14:textId="77777777" w:rsidR="0019325A" w:rsidRDefault="0019325A" w:rsidP="0019325A">
            <w:r>
              <w:rPr>
                <w:b/>
                <w:bCs/>
              </w:rPr>
              <w:t>Нечестн</w:t>
            </w:r>
          </w:p>
          <w:p w14:paraId="6AA0DCFD" w14:textId="019049F0" w:rsidR="0019325A" w:rsidRDefault="0019325A" w:rsidP="0019325A">
            <w:r>
              <w:rPr>
                <w:b/>
                <w:bCs/>
              </w:rPr>
              <w:t>≥1/1000 до &lt;1/100</w:t>
            </w:r>
          </w:p>
        </w:tc>
        <w:tc>
          <w:tcPr>
            <w:tcW w:w="2629" w:type="dxa"/>
          </w:tcPr>
          <w:p w14:paraId="384ACB79" w14:textId="17713DC1" w:rsidR="0019325A" w:rsidRDefault="0019325A" w:rsidP="0019325A">
            <w:r>
              <w:rPr>
                <w:b/>
                <w:bCs/>
              </w:rPr>
              <w:t>С неизвестна честота (от наличните данни не може да бъде направена оценка)</w:t>
            </w:r>
          </w:p>
        </w:tc>
      </w:tr>
      <w:tr w:rsidR="0019325A" w14:paraId="278D661D" w14:textId="77777777" w:rsidTr="0019325A">
        <w:tc>
          <w:tcPr>
            <w:tcW w:w="1719" w:type="dxa"/>
          </w:tcPr>
          <w:p w14:paraId="6E3E562B" w14:textId="1AC91E7D" w:rsidR="0019325A" w:rsidRDefault="0019325A" w:rsidP="0019325A">
            <w:r>
              <w:rPr>
                <w:b/>
                <w:bCs/>
              </w:rPr>
              <w:t>Нарушения на кръвта и лимфната система</w:t>
            </w:r>
          </w:p>
        </w:tc>
        <w:tc>
          <w:tcPr>
            <w:tcW w:w="1700" w:type="dxa"/>
          </w:tcPr>
          <w:p w14:paraId="687C955F" w14:textId="30A3570F" w:rsidR="0019325A" w:rsidRDefault="0019325A" w:rsidP="0019325A">
            <w:r>
              <w:rPr>
                <w:b/>
                <w:bCs/>
              </w:rPr>
              <w:t>Неутропения</w:t>
            </w:r>
            <w:r>
              <w:rPr>
                <w:b/>
                <w:bCs/>
                <w:lang w:val="en-US"/>
              </w:rPr>
              <w:t>†</w:t>
            </w:r>
            <w:r>
              <w:rPr>
                <w:b/>
                <w:bCs/>
              </w:rPr>
              <w:t>, Левкопения</w:t>
            </w:r>
            <w:r>
              <w:rPr>
                <w:b/>
                <w:bCs/>
                <w:lang w:val="en-US"/>
              </w:rPr>
              <w:t>†</w:t>
            </w:r>
            <w:r>
              <w:rPr>
                <w:b/>
                <w:bCs/>
              </w:rPr>
              <w:t>, Позитивен директен тест на Кумбс</w:t>
            </w:r>
            <w:r>
              <w:rPr>
                <w:b/>
                <w:bCs/>
                <w:lang w:val="en-US"/>
              </w:rPr>
              <w:t>†</w:t>
            </w:r>
            <w:r>
              <w:rPr>
                <w:b/>
                <w:bCs/>
              </w:rPr>
              <w:t>, Понижен хемоглобин</w:t>
            </w:r>
            <w:r>
              <w:rPr>
                <w:b/>
                <w:bCs/>
                <w:lang w:val="en-US"/>
              </w:rPr>
              <w:t>†</w:t>
            </w:r>
            <w:r>
              <w:rPr>
                <w:b/>
                <w:bCs/>
              </w:rPr>
              <w:t>, Понижен хематокрит</w:t>
            </w:r>
            <w:r>
              <w:rPr>
                <w:b/>
                <w:bCs/>
                <w:lang w:val="en-US"/>
              </w:rPr>
              <w:t>†</w:t>
            </w:r>
            <w:r>
              <w:rPr>
                <w:b/>
                <w:bCs/>
              </w:rPr>
              <w:t>, Тромбоцито- пения</w:t>
            </w:r>
            <w:r>
              <w:rPr>
                <w:b/>
                <w:bCs/>
                <w:lang w:val="en-US"/>
              </w:rPr>
              <w:t>†</w:t>
            </w:r>
          </w:p>
        </w:tc>
        <w:tc>
          <w:tcPr>
            <w:tcW w:w="1734" w:type="dxa"/>
          </w:tcPr>
          <w:p w14:paraId="0E7B5121" w14:textId="054FB664" w:rsidR="0019325A" w:rsidRDefault="0019325A" w:rsidP="0019325A">
            <w:r>
              <w:rPr>
                <w:b/>
                <w:bCs/>
              </w:rPr>
              <w:t>Коагулопатия*, Еозинофилия</w:t>
            </w:r>
            <w:r>
              <w:rPr>
                <w:b/>
                <w:bCs/>
                <w:lang w:val="en-US"/>
              </w:rPr>
              <w:t>†</w:t>
            </w:r>
          </w:p>
        </w:tc>
        <w:tc>
          <w:tcPr>
            <w:tcW w:w="1568" w:type="dxa"/>
          </w:tcPr>
          <w:p w14:paraId="2BE41CE1" w14:textId="77777777" w:rsidR="0019325A" w:rsidRDefault="0019325A" w:rsidP="0019325A"/>
        </w:tc>
        <w:tc>
          <w:tcPr>
            <w:tcW w:w="2629" w:type="dxa"/>
          </w:tcPr>
          <w:p w14:paraId="6934BEEC" w14:textId="5E14C8EF" w:rsidR="0019325A" w:rsidRDefault="0019325A" w:rsidP="0019325A">
            <w:r>
              <w:rPr>
                <w:b/>
                <w:bCs/>
              </w:rPr>
              <w:t>Хипопротромбинемия*</w:t>
            </w:r>
          </w:p>
        </w:tc>
      </w:tr>
      <w:tr w:rsidR="0019325A" w14:paraId="0D772F92" w14:textId="77777777" w:rsidTr="0019325A">
        <w:tc>
          <w:tcPr>
            <w:tcW w:w="1719" w:type="dxa"/>
          </w:tcPr>
          <w:p w14:paraId="76931C1B" w14:textId="5E6D51EA" w:rsidR="0019325A" w:rsidRDefault="0019325A" w:rsidP="0019325A">
            <w:r>
              <w:rPr>
                <w:b/>
                <w:bCs/>
              </w:rPr>
              <w:t>Нарушения на имунната система</w:t>
            </w:r>
          </w:p>
        </w:tc>
        <w:tc>
          <w:tcPr>
            <w:tcW w:w="1700" w:type="dxa"/>
          </w:tcPr>
          <w:p w14:paraId="04AA3325" w14:textId="77777777" w:rsidR="0019325A" w:rsidRDefault="0019325A" w:rsidP="0019325A"/>
        </w:tc>
        <w:tc>
          <w:tcPr>
            <w:tcW w:w="1734" w:type="dxa"/>
          </w:tcPr>
          <w:p w14:paraId="1078C552" w14:textId="77777777" w:rsidR="0019325A" w:rsidRDefault="0019325A" w:rsidP="0019325A"/>
        </w:tc>
        <w:tc>
          <w:tcPr>
            <w:tcW w:w="1568" w:type="dxa"/>
          </w:tcPr>
          <w:p w14:paraId="04369B15" w14:textId="77777777" w:rsidR="0019325A" w:rsidRDefault="0019325A" w:rsidP="0019325A"/>
        </w:tc>
        <w:tc>
          <w:tcPr>
            <w:tcW w:w="2629" w:type="dxa"/>
            <w:vAlign w:val="bottom"/>
          </w:tcPr>
          <w:p w14:paraId="3DE82243" w14:textId="22EC56BA" w:rsidR="0019325A" w:rsidRDefault="0019325A" w:rsidP="0019325A">
            <w:r>
              <w:rPr>
                <w:b/>
                <w:bCs/>
              </w:rPr>
              <w:t>Анафилактичен шок*</w:t>
            </w:r>
            <w:r>
              <w:rPr>
                <w:b/>
                <w:bCs/>
                <w:vertAlign w:val="superscript"/>
                <w:lang w:val="en-US"/>
              </w:rPr>
              <w:t>₰</w:t>
            </w:r>
            <w:r>
              <w:rPr>
                <w:b/>
                <w:bCs/>
              </w:rPr>
              <w:t>, Анафилактични реакция*</w:t>
            </w:r>
            <w:r>
              <w:rPr>
                <w:b/>
                <w:bCs/>
                <w:vertAlign w:val="superscript"/>
                <w:lang w:val="en-US"/>
              </w:rPr>
              <w:t>₰</w:t>
            </w:r>
            <w:r>
              <w:rPr>
                <w:b/>
                <w:bCs/>
              </w:rPr>
              <w:t>, Анафилактоидна реакция</w:t>
            </w:r>
            <w:r>
              <w:rPr>
                <w:b/>
                <w:bCs/>
                <w:vertAlign w:val="superscript"/>
                <w:lang w:val="en-US"/>
              </w:rPr>
              <w:t>₰</w:t>
            </w:r>
            <w:r>
              <w:rPr>
                <w:b/>
                <w:bCs/>
              </w:rPr>
              <w:t>, включително шок*, Свръхчувствителност*</w:t>
            </w:r>
            <w:r>
              <w:rPr>
                <w:b/>
                <w:bCs/>
                <w:vertAlign w:val="superscript"/>
                <w:lang w:val="en-US"/>
              </w:rPr>
              <w:t>₰</w:t>
            </w:r>
          </w:p>
        </w:tc>
      </w:tr>
      <w:tr w:rsidR="0019325A" w14:paraId="14151C9F" w14:textId="77777777" w:rsidTr="0019325A">
        <w:tc>
          <w:tcPr>
            <w:tcW w:w="1719" w:type="dxa"/>
          </w:tcPr>
          <w:p w14:paraId="3068B59A" w14:textId="5FC7D371" w:rsidR="0019325A" w:rsidRDefault="0019325A" w:rsidP="0019325A">
            <w:r>
              <w:rPr>
                <w:b/>
                <w:bCs/>
              </w:rPr>
              <w:t>Нарушения на нервната система</w:t>
            </w:r>
          </w:p>
        </w:tc>
        <w:tc>
          <w:tcPr>
            <w:tcW w:w="1700" w:type="dxa"/>
          </w:tcPr>
          <w:p w14:paraId="3C0BAC50" w14:textId="77777777" w:rsidR="0019325A" w:rsidRDefault="0019325A" w:rsidP="0019325A"/>
        </w:tc>
        <w:tc>
          <w:tcPr>
            <w:tcW w:w="1734" w:type="dxa"/>
          </w:tcPr>
          <w:p w14:paraId="26DE4AF6" w14:textId="77777777" w:rsidR="0019325A" w:rsidRDefault="0019325A" w:rsidP="0019325A"/>
        </w:tc>
        <w:tc>
          <w:tcPr>
            <w:tcW w:w="1568" w:type="dxa"/>
          </w:tcPr>
          <w:p w14:paraId="38EE874D" w14:textId="100786E5" w:rsidR="0019325A" w:rsidRDefault="0019325A" w:rsidP="0019325A">
            <w:r>
              <w:rPr>
                <w:b/>
                <w:bCs/>
              </w:rPr>
              <w:t>Главоболие</w:t>
            </w:r>
          </w:p>
        </w:tc>
        <w:tc>
          <w:tcPr>
            <w:tcW w:w="2629" w:type="dxa"/>
          </w:tcPr>
          <w:p w14:paraId="31C956D6" w14:textId="77777777" w:rsidR="0019325A" w:rsidRDefault="0019325A" w:rsidP="0019325A"/>
        </w:tc>
      </w:tr>
      <w:tr w:rsidR="0019325A" w14:paraId="7D104D12" w14:textId="77777777" w:rsidTr="0019325A">
        <w:tc>
          <w:tcPr>
            <w:tcW w:w="1719" w:type="dxa"/>
          </w:tcPr>
          <w:p w14:paraId="08F7C12E" w14:textId="0BCEC7CD" w:rsidR="0019325A" w:rsidRDefault="0019325A" w:rsidP="0019325A">
            <w:r>
              <w:rPr>
                <w:b/>
                <w:bCs/>
              </w:rPr>
              <w:t>Съдови нарушения</w:t>
            </w:r>
          </w:p>
        </w:tc>
        <w:tc>
          <w:tcPr>
            <w:tcW w:w="1700" w:type="dxa"/>
          </w:tcPr>
          <w:p w14:paraId="23BAA4C8" w14:textId="77777777" w:rsidR="0019325A" w:rsidRDefault="0019325A" w:rsidP="0019325A"/>
        </w:tc>
        <w:tc>
          <w:tcPr>
            <w:tcW w:w="1734" w:type="dxa"/>
          </w:tcPr>
          <w:p w14:paraId="4A50406E" w14:textId="77777777" w:rsidR="0019325A" w:rsidRDefault="0019325A" w:rsidP="0019325A"/>
        </w:tc>
        <w:tc>
          <w:tcPr>
            <w:tcW w:w="1568" w:type="dxa"/>
          </w:tcPr>
          <w:p w14:paraId="03C4A983" w14:textId="77777777" w:rsidR="0019325A" w:rsidRDefault="0019325A" w:rsidP="0019325A"/>
        </w:tc>
        <w:tc>
          <w:tcPr>
            <w:tcW w:w="2629" w:type="dxa"/>
            <w:vAlign w:val="bottom"/>
          </w:tcPr>
          <w:p w14:paraId="2AA7A922" w14:textId="16D3B753" w:rsidR="0019325A" w:rsidRDefault="0019325A" w:rsidP="0019325A">
            <w:r>
              <w:rPr>
                <w:b/>
                <w:bCs/>
              </w:rPr>
              <w:t xml:space="preserve">Кръвоизлив (включително </w:t>
            </w:r>
            <w:r>
              <w:rPr>
                <w:b/>
                <w:bCs/>
              </w:rPr>
              <w:lastRenderedPageBreak/>
              <w:t>летален)  Васкулит*, Хипотония*</w:t>
            </w:r>
          </w:p>
        </w:tc>
      </w:tr>
      <w:tr w:rsidR="0019325A" w14:paraId="11FD7884" w14:textId="77777777" w:rsidTr="0019325A">
        <w:tc>
          <w:tcPr>
            <w:tcW w:w="1719" w:type="dxa"/>
            <w:vAlign w:val="bottom"/>
          </w:tcPr>
          <w:p w14:paraId="7569B5EE" w14:textId="532CB94D" w:rsidR="0019325A" w:rsidRDefault="0019325A" w:rsidP="0019325A">
            <w:r>
              <w:rPr>
                <w:b/>
                <w:bCs/>
              </w:rPr>
              <w:lastRenderedPageBreak/>
              <w:t>Стомашно- чревни нарушения</w:t>
            </w:r>
          </w:p>
        </w:tc>
        <w:tc>
          <w:tcPr>
            <w:tcW w:w="1700" w:type="dxa"/>
          </w:tcPr>
          <w:p w14:paraId="7375582E" w14:textId="77777777" w:rsidR="0019325A" w:rsidRDefault="0019325A" w:rsidP="0019325A"/>
        </w:tc>
        <w:tc>
          <w:tcPr>
            <w:tcW w:w="1734" w:type="dxa"/>
            <w:vAlign w:val="bottom"/>
          </w:tcPr>
          <w:p w14:paraId="77C4CC20" w14:textId="75CDAA1E" w:rsidR="0019325A" w:rsidRDefault="0019325A" w:rsidP="0019325A">
            <w:r>
              <w:rPr>
                <w:b/>
                <w:bCs/>
              </w:rPr>
              <w:t>Диария, Гадене, Повръщане</w:t>
            </w:r>
          </w:p>
        </w:tc>
        <w:tc>
          <w:tcPr>
            <w:tcW w:w="1568" w:type="dxa"/>
          </w:tcPr>
          <w:p w14:paraId="53D7EBB9" w14:textId="77777777" w:rsidR="0019325A" w:rsidRDefault="0019325A" w:rsidP="0019325A"/>
        </w:tc>
        <w:tc>
          <w:tcPr>
            <w:tcW w:w="2629" w:type="dxa"/>
          </w:tcPr>
          <w:p w14:paraId="1D7AFB0A" w14:textId="6E04375C" w:rsidR="0019325A" w:rsidRDefault="0019325A" w:rsidP="0019325A">
            <w:r>
              <w:rPr>
                <w:b/>
                <w:bCs/>
              </w:rPr>
              <w:t>Псевдомембранозен колит*</w:t>
            </w:r>
          </w:p>
        </w:tc>
      </w:tr>
      <w:tr w:rsidR="0019325A" w14:paraId="5710CB3D" w14:textId="77777777" w:rsidTr="0019325A">
        <w:tc>
          <w:tcPr>
            <w:tcW w:w="1719" w:type="dxa"/>
          </w:tcPr>
          <w:p w14:paraId="4405172D" w14:textId="32CCA501" w:rsidR="0019325A" w:rsidRDefault="0019325A" w:rsidP="0019325A">
            <w:r>
              <w:rPr>
                <w:b/>
                <w:bCs/>
              </w:rPr>
              <w:t>Хепатобнлнар- нн нарушения</w:t>
            </w:r>
          </w:p>
        </w:tc>
        <w:tc>
          <w:tcPr>
            <w:tcW w:w="1700" w:type="dxa"/>
            <w:vAlign w:val="bottom"/>
          </w:tcPr>
          <w:p w14:paraId="1256EE2B" w14:textId="6FE2F672" w:rsidR="0019325A" w:rsidRDefault="0019325A" w:rsidP="0019325A">
            <w:r>
              <w:rPr>
                <w:b/>
                <w:bCs/>
              </w:rPr>
              <w:t>Повишена аланин аминотранс- фераза†, Повишена аспартат аминотранс- фераза†, Повишена алкална фосфатазав кръвта†</w:t>
            </w:r>
          </w:p>
        </w:tc>
        <w:tc>
          <w:tcPr>
            <w:tcW w:w="1734" w:type="dxa"/>
          </w:tcPr>
          <w:p w14:paraId="2BFBB2C7" w14:textId="71156082" w:rsidR="0019325A" w:rsidRDefault="0019325A" w:rsidP="0019325A">
            <w:r>
              <w:rPr>
                <w:b/>
                <w:bCs/>
              </w:rPr>
              <w:t>Повишен билирубин в кръвта*</w:t>
            </w:r>
          </w:p>
        </w:tc>
        <w:tc>
          <w:tcPr>
            <w:tcW w:w="1568" w:type="dxa"/>
          </w:tcPr>
          <w:p w14:paraId="720636E2" w14:textId="77777777" w:rsidR="0019325A" w:rsidRDefault="0019325A" w:rsidP="0019325A"/>
        </w:tc>
        <w:tc>
          <w:tcPr>
            <w:tcW w:w="2629" w:type="dxa"/>
          </w:tcPr>
          <w:p w14:paraId="73747DF3" w14:textId="5C24470C" w:rsidR="0019325A" w:rsidRDefault="0019325A" w:rsidP="0019325A">
            <w:r>
              <w:rPr>
                <w:b/>
                <w:bCs/>
              </w:rPr>
              <w:t>Жълтеница*</w:t>
            </w:r>
          </w:p>
        </w:tc>
      </w:tr>
      <w:tr w:rsidR="0019325A" w14:paraId="0EF4BB11" w14:textId="77777777" w:rsidTr="0019325A">
        <w:tc>
          <w:tcPr>
            <w:tcW w:w="1719" w:type="dxa"/>
          </w:tcPr>
          <w:p w14:paraId="3A51B5A8" w14:textId="76C67FE2" w:rsidR="0019325A" w:rsidRDefault="0019325A" w:rsidP="0019325A">
            <w:r>
              <w:rPr>
                <w:b/>
                <w:bCs/>
              </w:rPr>
              <w:t>Нарушения на кожата и подкожната тъкан</w:t>
            </w:r>
          </w:p>
        </w:tc>
        <w:tc>
          <w:tcPr>
            <w:tcW w:w="1700" w:type="dxa"/>
          </w:tcPr>
          <w:p w14:paraId="6BB2C758" w14:textId="77777777" w:rsidR="0019325A" w:rsidRDefault="0019325A" w:rsidP="0019325A"/>
        </w:tc>
        <w:tc>
          <w:tcPr>
            <w:tcW w:w="1734" w:type="dxa"/>
          </w:tcPr>
          <w:p w14:paraId="44966897" w14:textId="77777777" w:rsidR="0019325A" w:rsidRDefault="0019325A" w:rsidP="0019325A"/>
        </w:tc>
        <w:tc>
          <w:tcPr>
            <w:tcW w:w="1568" w:type="dxa"/>
          </w:tcPr>
          <w:p w14:paraId="593738CE" w14:textId="3824E9DA" w:rsidR="0019325A" w:rsidRDefault="0019325A" w:rsidP="0019325A">
            <w:r>
              <w:rPr>
                <w:b/>
                <w:bCs/>
              </w:rPr>
              <w:t>Сърбеж, Уртикария</w:t>
            </w:r>
          </w:p>
        </w:tc>
        <w:tc>
          <w:tcPr>
            <w:tcW w:w="2629" w:type="dxa"/>
            <w:vAlign w:val="bottom"/>
          </w:tcPr>
          <w:p w14:paraId="7B2C27A2" w14:textId="77777777" w:rsidR="0019325A" w:rsidRDefault="0019325A" w:rsidP="0019325A">
            <w:r>
              <w:rPr>
                <w:b/>
                <w:bCs/>
              </w:rPr>
              <w:t>Токсична епидермална некролиза*</w:t>
            </w:r>
            <w:r>
              <w:rPr>
                <w:b/>
                <w:bCs/>
                <w:vertAlign w:val="superscript"/>
                <w:lang w:val="en-US"/>
              </w:rPr>
              <w:t>₰</w:t>
            </w:r>
            <w:r>
              <w:rPr>
                <w:b/>
                <w:bCs/>
              </w:rPr>
              <w:t>, Синдром на Стивънс- Джонсън*</w:t>
            </w:r>
            <w:r>
              <w:rPr>
                <w:b/>
                <w:bCs/>
                <w:vertAlign w:val="superscript"/>
                <w:lang w:val="en-US"/>
              </w:rPr>
              <w:t>₰</w:t>
            </w:r>
            <w:r>
              <w:rPr>
                <w:b/>
                <w:bCs/>
              </w:rPr>
              <w:t>, Ексфслиативен дерматат*</w:t>
            </w:r>
            <w:r>
              <w:rPr>
                <w:b/>
                <w:bCs/>
                <w:vertAlign w:val="superscript"/>
                <w:lang w:val="en-US"/>
              </w:rPr>
              <w:t>₰</w:t>
            </w:r>
            <w:r>
              <w:rPr>
                <w:b/>
                <w:bCs/>
              </w:rPr>
              <w:t>,</w:t>
            </w:r>
          </w:p>
          <w:p w14:paraId="368B0968" w14:textId="67F97114" w:rsidR="0019325A" w:rsidRDefault="0019325A" w:rsidP="0019325A">
            <w:r>
              <w:rPr>
                <w:b/>
                <w:bCs/>
              </w:rPr>
              <w:t xml:space="preserve">Макулопапулозен </w:t>
            </w:r>
            <w:r>
              <w:rPr>
                <w:b/>
                <w:bCs/>
                <w:u w:val="single"/>
              </w:rPr>
              <w:t>обрив*</w:t>
            </w:r>
          </w:p>
        </w:tc>
      </w:tr>
      <w:tr w:rsidR="0019325A" w14:paraId="580D690E" w14:textId="77777777" w:rsidTr="0019325A">
        <w:tc>
          <w:tcPr>
            <w:tcW w:w="1719" w:type="dxa"/>
            <w:vAlign w:val="bottom"/>
          </w:tcPr>
          <w:p w14:paraId="5DB93E4F" w14:textId="6773F696" w:rsidR="0019325A" w:rsidRDefault="0019325A" w:rsidP="0019325A">
            <w:r>
              <w:rPr>
                <w:b/>
                <w:bCs/>
              </w:rPr>
              <w:t>Нарушения на бъбреците и пикочните пътища</w:t>
            </w:r>
          </w:p>
        </w:tc>
        <w:tc>
          <w:tcPr>
            <w:tcW w:w="1700" w:type="dxa"/>
          </w:tcPr>
          <w:p w14:paraId="26985350" w14:textId="77777777" w:rsidR="0019325A" w:rsidRDefault="0019325A" w:rsidP="0019325A"/>
        </w:tc>
        <w:tc>
          <w:tcPr>
            <w:tcW w:w="1734" w:type="dxa"/>
          </w:tcPr>
          <w:p w14:paraId="3CC0EC25" w14:textId="77777777" w:rsidR="0019325A" w:rsidRDefault="0019325A" w:rsidP="0019325A"/>
        </w:tc>
        <w:tc>
          <w:tcPr>
            <w:tcW w:w="1568" w:type="dxa"/>
          </w:tcPr>
          <w:p w14:paraId="5030173D" w14:textId="77777777" w:rsidR="0019325A" w:rsidRDefault="0019325A" w:rsidP="0019325A"/>
        </w:tc>
        <w:tc>
          <w:tcPr>
            <w:tcW w:w="2629" w:type="dxa"/>
          </w:tcPr>
          <w:p w14:paraId="5FF86A28" w14:textId="66C7CF07" w:rsidR="0019325A" w:rsidRDefault="0019325A" w:rsidP="0019325A">
            <w:r>
              <w:rPr>
                <w:b/>
                <w:bCs/>
              </w:rPr>
              <w:t>Хематурия</w:t>
            </w:r>
          </w:p>
        </w:tc>
      </w:tr>
      <w:tr w:rsidR="0019325A" w14:paraId="01CF09AC" w14:textId="77777777" w:rsidTr="0019325A">
        <w:tc>
          <w:tcPr>
            <w:tcW w:w="1719" w:type="dxa"/>
          </w:tcPr>
          <w:p w14:paraId="158426D7" w14:textId="3D03BA95" w:rsidR="0019325A" w:rsidRDefault="0019325A" w:rsidP="0019325A">
            <w:r>
              <w:rPr>
                <w:b/>
                <w:bCs/>
              </w:rPr>
              <w:t>Общи нарушения и ефекти на мястото на приложение</w:t>
            </w:r>
          </w:p>
        </w:tc>
        <w:tc>
          <w:tcPr>
            <w:tcW w:w="1700" w:type="dxa"/>
          </w:tcPr>
          <w:p w14:paraId="09D2B70A" w14:textId="77777777" w:rsidR="0019325A" w:rsidRDefault="0019325A" w:rsidP="0019325A"/>
        </w:tc>
        <w:tc>
          <w:tcPr>
            <w:tcW w:w="1734" w:type="dxa"/>
          </w:tcPr>
          <w:p w14:paraId="73C49F32" w14:textId="77777777" w:rsidR="0019325A" w:rsidRDefault="0019325A" w:rsidP="0019325A"/>
        </w:tc>
        <w:tc>
          <w:tcPr>
            <w:tcW w:w="1568" w:type="dxa"/>
          </w:tcPr>
          <w:p w14:paraId="591C3394" w14:textId="5319AA17" w:rsidR="0019325A" w:rsidRDefault="0019325A" w:rsidP="0019325A">
            <w:r>
              <w:rPr>
                <w:b/>
                <w:bCs/>
              </w:rPr>
              <w:t>Флебит на мястото на инфузия, Болка на мястото на инжектиране, Пирексия, Студени тръпки</w:t>
            </w:r>
          </w:p>
        </w:tc>
        <w:tc>
          <w:tcPr>
            <w:tcW w:w="2629" w:type="dxa"/>
          </w:tcPr>
          <w:p w14:paraId="29F39CB1" w14:textId="77777777" w:rsidR="0019325A" w:rsidRDefault="0019325A" w:rsidP="0019325A"/>
        </w:tc>
      </w:tr>
    </w:tbl>
    <w:p w14:paraId="436B65AF" w14:textId="62A6D688" w:rsidR="0019325A" w:rsidRPr="0019325A" w:rsidRDefault="0019325A" w:rsidP="0019325A">
      <w:pPr>
        <w:spacing w:line="240" w:lineRule="auto"/>
        <w:rPr>
          <w:rFonts w:eastAsia="Times New Roman" w:cs="Arial"/>
          <w:b/>
          <w:bCs/>
          <w:color w:val="000000"/>
          <w:lang w:eastAsia="bg-BG"/>
        </w:rPr>
      </w:pPr>
      <w:r w:rsidRPr="00D22BF9">
        <w:rPr>
          <w:rFonts w:eastAsia="Times New Roman" w:cs="Arial"/>
          <w:b/>
          <w:bCs/>
          <w:color w:val="000000"/>
          <w:lang w:val="en-US" w:eastAsia="bg-BG"/>
        </w:rPr>
        <w:t>*</w:t>
      </w:r>
      <w:r w:rsidRPr="0019325A">
        <w:rPr>
          <w:rFonts w:eastAsia="Times New Roman" w:cs="Arial"/>
          <w:b/>
          <w:bCs/>
          <w:color w:val="000000"/>
          <w:lang w:eastAsia="bg-BG"/>
        </w:rPr>
        <w:t>Нежелани лекарствени реакции, установени при постмаркетинговата употреба</w:t>
      </w:r>
    </w:p>
    <w:p w14:paraId="0A28C82A" w14:textId="46C3DA9F" w:rsidR="0019325A" w:rsidRPr="0019325A" w:rsidRDefault="0019325A" w:rsidP="0019325A">
      <w:pPr>
        <w:spacing w:line="240" w:lineRule="auto"/>
        <w:rPr>
          <w:rFonts w:eastAsia="Times New Roman" w:cs="Arial"/>
          <w:lang w:eastAsia="bg-BG"/>
        </w:rPr>
      </w:pPr>
      <w:r w:rsidRPr="00D22BF9">
        <w:rPr>
          <w:rFonts w:eastAsia="Times New Roman" w:cs="Arial"/>
          <w:b/>
          <w:bCs/>
          <w:color w:val="000000"/>
          <w:lang w:eastAsia="bg-BG"/>
        </w:rPr>
        <w:t>†</w:t>
      </w:r>
      <w:r w:rsidRPr="0019325A">
        <w:rPr>
          <w:rFonts w:eastAsia="Times New Roman" w:cs="Arial"/>
          <w:b/>
          <w:bCs/>
          <w:color w:val="000000"/>
          <w:lang w:eastAsia="bg-BG"/>
        </w:rPr>
        <w:t>При изчислението на честотите на нежеланите лекарствени реакции за отклонения в лабораторните показатели са включени всички налични лабораторни стойности, вкл. тези на лицата с първоначални отклонения. Този консервативен подход беше предприет поради това, че първичните данни не позволиха да се направи разлика между групите от лица с първоначални отклонения, които имаха значими лабораторни изменения по време на лечението, спрямо лицата с първоначални отклонения, които нямаха значими лабораторни изменения по време на лечението.</w:t>
      </w:r>
    </w:p>
    <w:p w14:paraId="5993A1B6" w14:textId="77777777" w:rsidR="0019325A" w:rsidRPr="0019325A" w:rsidRDefault="0019325A" w:rsidP="0019325A">
      <w:pPr>
        <w:spacing w:line="240" w:lineRule="auto"/>
        <w:rPr>
          <w:rFonts w:eastAsia="Times New Roman" w:cs="Arial"/>
          <w:lang w:eastAsia="bg-BG"/>
        </w:rPr>
      </w:pPr>
      <w:r w:rsidRPr="0019325A">
        <w:rPr>
          <w:rFonts w:eastAsia="Times New Roman" w:cs="Arial"/>
          <w:b/>
          <w:bCs/>
          <w:color w:val="000000"/>
          <w:lang w:eastAsia="bg-BG"/>
        </w:rPr>
        <w:lastRenderedPageBreak/>
        <w:t>За левкоцитите, неутрофилите, тромбоцитите, хемоглобина и хематокрита са съобщени изменения само в проучвания. Завишените и понижени стойности не са разграничени.</w:t>
      </w:r>
    </w:p>
    <w:p w14:paraId="0FAFB4A3" w14:textId="18669CFC" w:rsidR="0019325A" w:rsidRPr="0019325A" w:rsidRDefault="0019325A" w:rsidP="0019325A">
      <w:pPr>
        <w:spacing w:line="240" w:lineRule="auto"/>
        <w:rPr>
          <w:rFonts w:eastAsia="Times New Roman" w:cs="Arial"/>
          <w:lang w:eastAsia="bg-BG"/>
        </w:rPr>
      </w:pPr>
      <w:r w:rsidRPr="0019325A">
        <w:rPr>
          <w:rFonts w:eastAsia="Times New Roman" w:cs="Arial"/>
          <w:b/>
          <w:bCs/>
          <w:color w:val="000000"/>
          <w:vertAlign w:val="superscript"/>
          <w:lang w:eastAsia="bg-BG"/>
        </w:rPr>
        <w:t>₰</w:t>
      </w:r>
      <w:r w:rsidRPr="0019325A">
        <w:rPr>
          <w:rFonts w:eastAsia="Times New Roman" w:cs="Arial"/>
          <w:b/>
          <w:bCs/>
          <w:color w:val="000000"/>
          <w:lang w:eastAsia="bg-BG"/>
        </w:rPr>
        <w:t>Има съобщения за фатални случаи.</w:t>
      </w:r>
    </w:p>
    <w:p w14:paraId="5683DE52" w14:textId="77777777" w:rsidR="0019325A" w:rsidRPr="00D22BF9" w:rsidRDefault="0019325A" w:rsidP="0019325A">
      <w:pPr>
        <w:spacing w:line="240" w:lineRule="auto"/>
        <w:rPr>
          <w:rFonts w:eastAsia="Times New Roman" w:cs="Arial"/>
          <w:b/>
          <w:bCs/>
          <w:color w:val="000000"/>
          <w:u w:val="single"/>
          <w:lang w:eastAsia="bg-BG"/>
        </w:rPr>
      </w:pPr>
    </w:p>
    <w:p w14:paraId="62B18BCF" w14:textId="435CB476" w:rsidR="0019325A" w:rsidRPr="0019325A" w:rsidRDefault="0019325A" w:rsidP="0019325A">
      <w:pPr>
        <w:spacing w:line="240" w:lineRule="auto"/>
        <w:rPr>
          <w:rFonts w:eastAsia="Times New Roman" w:cs="Arial"/>
          <w:lang w:eastAsia="bg-BG"/>
        </w:rPr>
      </w:pPr>
      <w:r w:rsidRPr="0019325A">
        <w:rPr>
          <w:rFonts w:eastAsia="Times New Roman" w:cs="Arial"/>
          <w:b/>
          <w:bCs/>
          <w:color w:val="000000"/>
          <w:u w:val="single"/>
          <w:lang w:eastAsia="bg-BG"/>
        </w:rPr>
        <w:t>Съобщаване на подозирани нежелани реакции</w:t>
      </w:r>
    </w:p>
    <w:p w14:paraId="0DBBA2DF" w14:textId="504D5FB0" w:rsidR="0019325A" w:rsidRPr="00D22BF9" w:rsidRDefault="0019325A" w:rsidP="0019325A">
      <w:pPr>
        <w:rPr>
          <w:rFonts w:cs="Arial"/>
        </w:rPr>
      </w:pPr>
      <w:r w:rsidRPr="00D22BF9">
        <w:rPr>
          <w:rFonts w:eastAsia="Times New Roman" w:cs="Arial"/>
          <w:b/>
          <w:bCs/>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 1303 София, тел. +359 2 8903 417, уебсайт: </w:t>
      </w:r>
      <w:r w:rsidRPr="00D22BF9">
        <w:rPr>
          <w:rFonts w:eastAsia="Times New Roman" w:cs="Arial"/>
          <w:lang w:eastAsia="bg-BG"/>
        </w:rPr>
        <w:fldChar w:fldCharType="begin"/>
      </w:r>
      <w:r w:rsidRPr="00D22BF9">
        <w:rPr>
          <w:rFonts w:eastAsia="Times New Roman" w:cs="Arial"/>
          <w:lang w:eastAsia="bg-BG"/>
        </w:rPr>
        <w:instrText xml:space="preserve"> HYPERLINK "http://www.bda.bg" </w:instrText>
      </w:r>
      <w:r w:rsidRPr="00D22BF9">
        <w:rPr>
          <w:rFonts w:eastAsia="Times New Roman" w:cs="Arial"/>
          <w:lang w:eastAsia="bg-BG"/>
        </w:rPr>
      </w:r>
      <w:r w:rsidRPr="00D22BF9">
        <w:rPr>
          <w:rFonts w:eastAsia="Times New Roman" w:cs="Arial"/>
          <w:lang w:eastAsia="bg-BG"/>
        </w:rPr>
        <w:fldChar w:fldCharType="separate"/>
      </w:r>
      <w:r w:rsidRPr="00D22BF9">
        <w:rPr>
          <w:rFonts w:eastAsia="Times New Roman" w:cs="Arial"/>
          <w:b/>
          <w:bCs/>
          <w:color w:val="000000"/>
          <w:lang w:val="en-US"/>
        </w:rPr>
        <w:t>www.bda.bg</w:t>
      </w:r>
      <w:r w:rsidRPr="00D22BF9">
        <w:rPr>
          <w:rFonts w:eastAsia="Times New Roman" w:cs="Arial"/>
          <w:lang w:eastAsia="bg-BG"/>
        </w:rPr>
        <w:fldChar w:fldCharType="end"/>
      </w:r>
      <w:r w:rsidRPr="00D22BF9">
        <w:rPr>
          <w:rFonts w:eastAsia="Times New Roman" w:cs="Arial"/>
          <w:b/>
          <w:bCs/>
          <w:color w:val="000000"/>
          <w:lang w:val="en-US"/>
        </w:rPr>
        <w:t>.</w:t>
      </w:r>
    </w:p>
    <w:p w14:paraId="7FF8C850" w14:textId="77777777" w:rsidR="0019325A" w:rsidRPr="0091385D" w:rsidRDefault="0019325A" w:rsidP="0091385D"/>
    <w:p w14:paraId="0A023CE0" w14:textId="13F87CFD" w:rsidR="00CF77F7" w:rsidRDefault="002C50EE" w:rsidP="004A448E">
      <w:pPr>
        <w:pStyle w:val="Heading2"/>
      </w:pPr>
      <w:r>
        <w:t>4.9. Предозиране</w:t>
      </w:r>
    </w:p>
    <w:p w14:paraId="3EDFC3FC" w14:textId="771B3817" w:rsidR="0091385D" w:rsidRDefault="0091385D" w:rsidP="0091385D"/>
    <w:p w14:paraId="6A43B8F3" w14:textId="2FFE428B" w:rsidR="007A2185" w:rsidRDefault="0019325A" w:rsidP="0091385D">
      <w:r>
        <w:rPr>
          <w:b/>
          <w:bCs/>
        </w:rPr>
        <w:t>Налична е ограничена информация относно острата токсичност на цефоперазон натрий и сулбактам натрий при хора. Предозирането на лекарството се очаква да доведе до реакции, които по принцип са по-силно изразена форма на съобщаваните нежелани лекарствени реакции. Трябва да се обърне внимание на факта, че високите концентрации на бета-лактамни антибиотици в церебро-спиналната течност могат да предизвикат неврологични ефекти, включително гърчове. Тъй като и цефоперазон, и сулбактам се отстраняват от циркулацията чрез хемодиализа, тези процедури могат да подпомогнат елиминирането на лекарството от организма, ако настъпи предозиране при пациенти с увредена бъбречна функция.</w:t>
      </w:r>
    </w:p>
    <w:p w14:paraId="48FF1584" w14:textId="77777777" w:rsidR="0091385D" w:rsidRPr="0091385D" w:rsidRDefault="0091385D" w:rsidP="0091385D"/>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73F11A6B" w:rsidR="0091385D" w:rsidRDefault="0091385D" w:rsidP="0091385D"/>
    <w:p w14:paraId="65FD0917" w14:textId="77777777" w:rsidR="00D22BF9" w:rsidRPr="00D22BF9" w:rsidRDefault="00D22BF9" w:rsidP="00D22BF9">
      <w:pPr>
        <w:spacing w:line="240" w:lineRule="auto"/>
        <w:rPr>
          <w:rFonts w:eastAsia="Times New Roman" w:cs="Arial"/>
          <w:lang w:eastAsia="bg-BG"/>
        </w:rPr>
      </w:pPr>
      <w:r w:rsidRPr="00D22BF9">
        <w:rPr>
          <w:rFonts w:eastAsia="Times New Roman" w:cs="Arial"/>
          <w:b/>
          <w:bCs/>
          <w:color w:val="000000"/>
          <w:lang w:eastAsia="bg-BG"/>
        </w:rPr>
        <w:t xml:space="preserve">Фармакотерапевтична група: Други бета-лактамни ангибактериални средства: Трето поколение цефалоспорини, АТС код: </w:t>
      </w:r>
      <w:r w:rsidRPr="00D22BF9">
        <w:rPr>
          <w:rFonts w:eastAsia="Times New Roman" w:cs="Arial"/>
          <w:b/>
          <w:bCs/>
          <w:color w:val="000000"/>
          <w:lang w:val="en-US"/>
        </w:rPr>
        <w:t>J01DD62</w:t>
      </w:r>
    </w:p>
    <w:p w14:paraId="35B1B5FC" w14:textId="77777777" w:rsidR="00D22BF9" w:rsidRPr="005F3611" w:rsidRDefault="00D22BF9" w:rsidP="00D22BF9">
      <w:pPr>
        <w:spacing w:line="240" w:lineRule="auto"/>
        <w:rPr>
          <w:rFonts w:eastAsia="Times New Roman" w:cs="Arial"/>
          <w:b/>
          <w:bCs/>
          <w:color w:val="000000"/>
          <w:u w:val="single"/>
          <w:lang w:eastAsia="bg-BG"/>
        </w:rPr>
      </w:pPr>
    </w:p>
    <w:p w14:paraId="375292C5" w14:textId="14EF26D7" w:rsidR="00D22BF9" w:rsidRPr="00D22BF9" w:rsidRDefault="00D22BF9" w:rsidP="00D22BF9">
      <w:pPr>
        <w:spacing w:line="240" w:lineRule="auto"/>
        <w:rPr>
          <w:rFonts w:eastAsia="Times New Roman" w:cs="Arial"/>
          <w:lang w:eastAsia="bg-BG"/>
        </w:rPr>
      </w:pPr>
      <w:r w:rsidRPr="00D22BF9">
        <w:rPr>
          <w:rFonts w:eastAsia="Times New Roman" w:cs="Arial"/>
          <w:b/>
          <w:bCs/>
          <w:color w:val="000000"/>
          <w:u w:val="single"/>
          <w:lang w:eastAsia="bg-BG"/>
        </w:rPr>
        <w:t>Механизъм на действие</w:t>
      </w:r>
    </w:p>
    <w:p w14:paraId="7C8E5BDD" w14:textId="77777777" w:rsidR="00D22BF9" w:rsidRPr="005F3611" w:rsidRDefault="00D22BF9" w:rsidP="00D22BF9">
      <w:pPr>
        <w:rPr>
          <w:rFonts w:eastAsia="Times New Roman" w:cs="Arial"/>
          <w:lang w:eastAsia="bg-BG"/>
        </w:rPr>
      </w:pPr>
      <w:r w:rsidRPr="005F3611">
        <w:rPr>
          <w:rFonts w:eastAsia="Times New Roman" w:cs="Arial"/>
          <w:b/>
          <w:bCs/>
          <w:color w:val="000000"/>
          <w:lang w:eastAsia="bg-BG"/>
        </w:rPr>
        <w:t>Антибактериалният компонент на Сулперазон е цефоперазон, трето поколение цефалоспорин, който действа върху чувствителни към него активно размн</w:t>
      </w:r>
      <w:r w:rsidRPr="005F3611">
        <w:rPr>
          <w:rFonts w:eastAsia="Times New Roman" w:cs="Arial"/>
          <w:b/>
          <w:bCs/>
          <w:color w:val="000000"/>
          <w:u w:val="single"/>
          <w:lang w:eastAsia="bg-BG"/>
        </w:rPr>
        <w:t>ожаващи</w:t>
      </w:r>
      <w:r w:rsidRPr="005F3611">
        <w:rPr>
          <w:rFonts w:eastAsia="Times New Roman" w:cs="Arial"/>
          <w:b/>
          <w:bCs/>
          <w:color w:val="000000"/>
          <w:lang w:eastAsia="bg-BG"/>
        </w:rPr>
        <w:t xml:space="preserve"> се микроорганизми, като инхибира биосинтеза на мукопептид в клетъчната стена. Сулбактам не притежава полезна антибактериална активност освен срещу </w:t>
      </w:r>
      <w:proofErr w:type="spellStart"/>
      <w:r w:rsidRPr="005F3611">
        <w:rPr>
          <w:rFonts w:eastAsia="Times New Roman" w:cs="Arial"/>
          <w:b/>
          <w:bCs/>
          <w:i/>
          <w:iCs/>
          <w:color w:val="000000"/>
          <w:lang w:val="en-US"/>
        </w:rPr>
        <w:t>Neisseriaceae</w:t>
      </w:r>
      <w:proofErr w:type="spellEnd"/>
      <w:r w:rsidRPr="005F3611">
        <w:rPr>
          <w:rFonts w:eastAsia="Times New Roman" w:cs="Arial"/>
          <w:b/>
          <w:bCs/>
          <w:i/>
          <w:iCs/>
          <w:color w:val="000000"/>
          <w:lang w:val="en-US"/>
        </w:rPr>
        <w:t xml:space="preserve"> </w:t>
      </w:r>
      <w:r w:rsidRPr="005F3611">
        <w:rPr>
          <w:rFonts w:eastAsia="Times New Roman" w:cs="Arial"/>
          <w:b/>
          <w:bCs/>
          <w:i/>
          <w:iCs/>
          <w:color w:val="000000"/>
          <w:lang w:eastAsia="bg-BG"/>
        </w:rPr>
        <w:t xml:space="preserve">и </w:t>
      </w:r>
      <w:proofErr w:type="spellStart"/>
      <w:r w:rsidRPr="005F3611">
        <w:rPr>
          <w:rFonts w:eastAsia="Times New Roman" w:cs="Arial"/>
          <w:b/>
          <w:bCs/>
          <w:i/>
          <w:iCs/>
          <w:color w:val="000000"/>
          <w:lang w:val="en-US"/>
        </w:rPr>
        <w:t>Acinetobacter</w:t>
      </w:r>
      <w:proofErr w:type="spellEnd"/>
      <w:r w:rsidRPr="005F3611">
        <w:rPr>
          <w:rFonts w:eastAsia="Times New Roman" w:cs="Arial"/>
          <w:b/>
          <w:bCs/>
          <w:i/>
          <w:iCs/>
          <w:color w:val="000000"/>
          <w:lang w:val="en-US"/>
        </w:rPr>
        <w:t>.</w:t>
      </w:r>
      <w:r w:rsidRPr="005F3611">
        <w:rPr>
          <w:rFonts w:eastAsia="Times New Roman" w:cs="Arial"/>
          <w:b/>
          <w:bCs/>
          <w:color w:val="000000"/>
          <w:lang w:val="en-US"/>
        </w:rPr>
        <w:t xml:space="preserve"> </w:t>
      </w:r>
      <w:r w:rsidRPr="005F3611">
        <w:rPr>
          <w:rFonts w:eastAsia="Times New Roman" w:cs="Arial"/>
          <w:b/>
          <w:bCs/>
          <w:color w:val="000000"/>
          <w:lang w:eastAsia="bg-BG"/>
        </w:rPr>
        <w:t>В същото време биохимични проучвания с безклетьчни бактериални системи показват, че той е необратим</w:t>
      </w:r>
      <w:r w:rsidRPr="005F3611">
        <w:rPr>
          <w:rFonts w:eastAsia="Times New Roman" w:cs="Arial"/>
          <w:b/>
          <w:bCs/>
          <w:color w:val="000000"/>
          <w:lang w:val="en-US"/>
        </w:rPr>
        <w:t xml:space="preserve"> </w:t>
      </w:r>
      <w:r w:rsidRPr="005F3611">
        <w:rPr>
          <w:rFonts w:eastAsia="Times New Roman" w:cs="Arial"/>
          <w:b/>
          <w:bCs/>
          <w:color w:val="000000"/>
          <w:lang w:eastAsia="bg-BG"/>
        </w:rPr>
        <w:t>инхибитор на повечето важни бета- лактамази, продуцирани от резистентни към бета-лактамни антибиотици микроорганизми.</w:t>
      </w:r>
    </w:p>
    <w:p w14:paraId="25CC041E" w14:textId="77777777" w:rsidR="00D22BF9" w:rsidRPr="005F3611" w:rsidRDefault="00D22BF9" w:rsidP="00D22BF9">
      <w:pPr>
        <w:spacing w:line="240" w:lineRule="auto"/>
        <w:rPr>
          <w:rFonts w:eastAsia="Times New Roman" w:cs="Arial"/>
          <w:b/>
          <w:bCs/>
          <w:color w:val="000000"/>
          <w:u w:val="single"/>
          <w:lang w:eastAsia="bg-BG"/>
        </w:rPr>
      </w:pPr>
    </w:p>
    <w:p w14:paraId="7C672CA9" w14:textId="5D948555" w:rsidR="00D22BF9" w:rsidRPr="00D22BF9" w:rsidRDefault="00D22BF9" w:rsidP="00D22BF9">
      <w:pPr>
        <w:spacing w:line="240" w:lineRule="auto"/>
        <w:rPr>
          <w:rFonts w:eastAsia="Times New Roman" w:cs="Arial"/>
          <w:lang w:eastAsia="bg-BG"/>
        </w:rPr>
      </w:pPr>
      <w:r w:rsidRPr="00D22BF9">
        <w:rPr>
          <w:rFonts w:eastAsia="Times New Roman" w:cs="Arial"/>
          <w:b/>
          <w:bCs/>
          <w:color w:val="000000"/>
          <w:u w:val="single"/>
          <w:lang w:eastAsia="bg-BG"/>
        </w:rPr>
        <w:t>Клинична ефикасност и безопасност</w:t>
      </w:r>
    </w:p>
    <w:p w14:paraId="1D294782" w14:textId="77777777" w:rsidR="00D22BF9" w:rsidRPr="00D22BF9" w:rsidRDefault="00D22BF9" w:rsidP="00D22BF9">
      <w:pPr>
        <w:spacing w:line="240" w:lineRule="auto"/>
        <w:rPr>
          <w:rFonts w:eastAsia="Times New Roman" w:cs="Arial"/>
          <w:lang w:eastAsia="bg-BG"/>
        </w:rPr>
      </w:pPr>
      <w:r w:rsidRPr="00D22BF9">
        <w:rPr>
          <w:rFonts w:eastAsia="Times New Roman" w:cs="Arial"/>
          <w:b/>
          <w:bCs/>
          <w:color w:val="000000"/>
          <w:lang w:eastAsia="bg-BG"/>
        </w:rPr>
        <w:t xml:space="preserve">Способността на сулбактам да предотвратява разграждането на пеницилините и цефалоспорините от резистентни микроорганизми е потвърдена в проучвания с </w:t>
      </w:r>
      <w:r w:rsidRPr="00D22BF9">
        <w:rPr>
          <w:rFonts w:eastAsia="Times New Roman" w:cs="Arial"/>
          <w:b/>
          <w:bCs/>
          <w:color w:val="000000"/>
          <w:lang w:eastAsia="bg-BG"/>
        </w:rPr>
        <w:lastRenderedPageBreak/>
        <w:t>използване на цели бактериални клетки от резистентни щамове, при които сулбактам показва забележителна синергия с пеницилини и цефалоспорини. Тъй като сулбактам също се свързва с някои от пеннцилин-свързващите протеини, чувствителни щамове също често се оказват по-чувствителни към сулбактам/цефоперазон, отколкото само към цефоперазон.</w:t>
      </w:r>
    </w:p>
    <w:p w14:paraId="498718E7" w14:textId="77777777" w:rsidR="00D22BF9" w:rsidRPr="005F3611" w:rsidRDefault="00D22BF9" w:rsidP="00D22BF9">
      <w:pPr>
        <w:spacing w:line="240" w:lineRule="auto"/>
        <w:rPr>
          <w:rFonts w:eastAsia="Times New Roman" w:cs="Arial"/>
          <w:b/>
          <w:bCs/>
          <w:color w:val="000000"/>
          <w:lang w:eastAsia="bg-BG"/>
        </w:rPr>
      </w:pPr>
    </w:p>
    <w:p w14:paraId="53A9004C" w14:textId="1EC6BE81" w:rsidR="00D22BF9" w:rsidRPr="00D22BF9" w:rsidRDefault="00D22BF9" w:rsidP="00D22BF9">
      <w:pPr>
        <w:spacing w:line="240" w:lineRule="auto"/>
        <w:rPr>
          <w:rFonts w:eastAsia="Times New Roman" w:cs="Arial"/>
          <w:lang w:eastAsia="bg-BG"/>
        </w:rPr>
      </w:pPr>
      <w:r w:rsidRPr="00D22BF9">
        <w:rPr>
          <w:rFonts w:eastAsia="Times New Roman" w:cs="Arial"/>
          <w:b/>
          <w:bCs/>
          <w:color w:val="000000"/>
          <w:lang w:eastAsia="bg-BG"/>
        </w:rPr>
        <w:t>Комбинацията от сулбактам и цефоперазон е активна срещу всички микроорганизми, чувствителни към цефоперазон. В допълнение, тя демонстрира синергична активност (до четирикратно намаление на минималните инхибиращи концентрации на комбинацията в сравнение с тези на всеки един от компонентите й) при редица микроорганизми, като тя е най-изразена при:</w:t>
      </w:r>
    </w:p>
    <w:p w14:paraId="69265CC4" w14:textId="77777777" w:rsidR="00D22BF9" w:rsidRPr="005F3611" w:rsidRDefault="00D22BF9" w:rsidP="00D22BF9">
      <w:pPr>
        <w:spacing w:line="240" w:lineRule="auto"/>
        <w:rPr>
          <w:rFonts w:eastAsia="Times New Roman" w:cs="Arial"/>
          <w:b/>
          <w:bCs/>
          <w:i/>
          <w:iCs/>
          <w:color w:val="000000"/>
          <w:lang w:val="en-US"/>
        </w:rPr>
      </w:pPr>
    </w:p>
    <w:p w14:paraId="157D34AF" w14:textId="5ED33F0A" w:rsidR="00D22BF9" w:rsidRPr="00D22BF9" w:rsidRDefault="00D22BF9" w:rsidP="00D22BF9">
      <w:pPr>
        <w:spacing w:line="240" w:lineRule="auto"/>
        <w:rPr>
          <w:rFonts w:eastAsia="Times New Roman" w:cs="Arial"/>
          <w:lang w:eastAsia="bg-BG"/>
        </w:rPr>
      </w:pPr>
      <w:proofErr w:type="spellStart"/>
      <w:r w:rsidRPr="00D22BF9">
        <w:rPr>
          <w:rFonts w:eastAsia="Times New Roman" w:cs="Arial"/>
          <w:b/>
          <w:bCs/>
          <w:i/>
          <w:iCs/>
          <w:color w:val="000000"/>
          <w:lang w:val="en-US"/>
        </w:rPr>
        <w:t>Haemophilus</w:t>
      </w:r>
      <w:proofErr w:type="spellEnd"/>
      <w:r w:rsidRPr="00D22BF9">
        <w:rPr>
          <w:rFonts w:eastAsia="Times New Roman" w:cs="Arial"/>
          <w:b/>
          <w:bCs/>
          <w:i/>
          <w:iCs/>
          <w:color w:val="000000"/>
          <w:lang w:val="en-US"/>
        </w:rPr>
        <w:t xml:space="preserve"> </w:t>
      </w:r>
      <w:proofErr w:type="spellStart"/>
      <w:r w:rsidRPr="00D22BF9">
        <w:rPr>
          <w:rFonts w:eastAsia="Times New Roman" w:cs="Arial"/>
          <w:b/>
          <w:bCs/>
          <w:i/>
          <w:iCs/>
          <w:color w:val="000000"/>
          <w:lang w:val="en-US"/>
        </w:rPr>
        <w:t>influenzae</w:t>
      </w:r>
      <w:proofErr w:type="spellEnd"/>
      <w:r w:rsidRPr="00D22BF9">
        <w:rPr>
          <w:rFonts w:eastAsia="Times New Roman" w:cs="Arial"/>
          <w:b/>
          <w:bCs/>
          <w:i/>
          <w:iCs/>
          <w:color w:val="000000"/>
          <w:lang w:val="en-US"/>
        </w:rPr>
        <w:t xml:space="preserve"> </w:t>
      </w:r>
      <w:proofErr w:type="spellStart"/>
      <w:r w:rsidRPr="00D22BF9">
        <w:rPr>
          <w:rFonts w:eastAsia="Times New Roman" w:cs="Arial"/>
          <w:b/>
          <w:bCs/>
          <w:i/>
          <w:iCs/>
          <w:color w:val="000000"/>
          <w:lang w:val="en-US"/>
        </w:rPr>
        <w:t>Bacteroides</w:t>
      </w:r>
      <w:proofErr w:type="spellEnd"/>
      <w:r w:rsidRPr="00D22BF9">
        <w:rPr>
          <w:rFonts w:eastAsia="Times New Roman" w:cs="Arial"/>
          <w:b/>
          <w:bCs/>
          <w:color w:val="000000"/>
          <w:lang w:val="en-US"/>
        </w:rPr>
        <w:t xml:space="preserve"> spp. </w:t>
      </w:r>
      <w:r w:rsidRPr="00D22BF9">
        <w:rPr>
          <w:rFonts w:eastAsia="Times New Roman" w:cs="Arial"/>
          <w:b/>
          <w:bCs/>
          <w:i/>
          <w:iCs/>
          <w:color w:val="000000"/>
          <w:lang w:val="en-US"/>
        </w:rPr>
        <w:t>Staphylococcus</w:t>
      </w:r>
      <w:r w:rsidRPr="00D22BF9">
        <w:rPr>
          <w:rFonts w:eastAsia="Times New Roman" w:cs="Arial"/>
          <w:b/>
          <w:bCs/>
          <w:color w:val="000000"/>
          <w:lang w:val="en-US"/>
        </w:rPr>
        <w:t xml:space="preserve"> spp. </w:t>
      </w:r>
      <w:proofErr w:type="spellStart"/>
      <w:r w:rsidRPr="00D22BF9">
        <w:rPr>
          <w:rFonts w:eastAsia="Times New Roman" w:cs="Arial"/>
          <w:b/>
          <w:bCs/>
          <w:i/>
          <w:iCs/>
          <w:color w:val="000000"/>
          <w:lang w:val="en-US"/>
        </w:rPr>
        <w:t>Acinetobacter</w:t>
      </w:r>
      <w:proofErr w:type="spellEnd"/>
      <w:r w:rsidRPr="00D22BF9">
        <w:rPr>
          <w:rFonts w:eastAsia="Times New Roman" w:cs="Arial"/>
          <w:b/>
          <w:bCs/>
          <w:i/>
          <w:iCs/>
          <w:color w:val="000000"/>
          <w:lang w:val="en-US"/>
        </w:rPr>
        <w:t xml:space="preserve"> </w:t>
      </w:r>
      <w:proofErr w:type="spellStart"/>
      <w:r w:rsidRPr="00D22BF9">
        <w:rPr>
          <w:rFonts w:eastAsia="Times New Roman" w:cs="Arial"/>
          <w:b/>
          <w:bCs/>
          <w:i/>
          <w:iCs/>
          <w:color w:val="000000"/>
          <w:lang w:val="en-US"/>
        </w:rPr>
        <w:t>calcoaceticus</w:t>
      </w:r>
      <w:proofErr w:type="spellEnd"/>
      <w:r w:rsidRPr="00D22BF9">
        <w:rPr>
          <w:rFonts w:eastAsia="Times New Roman" w:cs="Arial"/>
          <w:b/>
          <w:bCs/>
          <w:i/>
          <w:iCs/>
          <w:color w:val="000000"/>
          <w:lang w:val="en-US"/>
        </w:rPr>
        <w:t xml:space="preserve"> </w:t>
      </w:r>
      <w:proofErr w:type="spellStart"/>
      <w:r w:rsidRPr="00D22BF9">
        <w:rPr>
          <w:rFonts w:eastAsia="Times New Roman" w:cs="Arial"/>
          <w:b/>
          <w:bCs/>
          <w:i/>
          <w:iCs/>
          <w:color w:val="000000"/>
          <w:lang w:val="en-US"/>
        </w:rPr>
        <w:t>Enterobacter</w:t>
      </w:r>
      <w:proofErr w:type="spellEnd"/>
      <w:r w:rsidRPr="00D22BF9">
        <w:rPr>
          <w:rFonts w:eastAsia="Times New Roman" w:cs="Arial"/>
          <w:b/>
          <w:bCs/>
          <w:i/>
          <w:iCs/>
          <w:color w:val="000000"/>
          <w:lang w:val="en-US"/>
        </w:rPr>
        <w:t xml:space="preserve"> </w:t>
      </w:r>
      <w:proofErr w:type="spellStart"/>
      <w:r w:rsidRPr="00D22BF9">
        <w:rPr>
          <w:rFonts w:eastAsia="Times New Roman" w:cs="Arial"/>
          <w:b/>
          <w:bCs/>
          <w:i/>
          <w:iCs/>
          <w:color w:val="000000"/>
          <w:lang w:val="en-US"/>
        </w:rPr>
        <w:t>aerogenes</w:t>
      </w:r>
      <w:proofErr w:type="spellEnd"/>
      <w:r w:rsidRPr="00D22BF9">
        <w:rPr>
          <w:rFonts w:eastAsia="Times New Roman" w:cs="Arial"/>
          <w:b/>
          <w:bCs/>
          <w:i/>
          <w:iCs/>
          <w:color w:val="000000"/>
          <w:lang w:val="en-US"/>
        </w:rPr>
        <w:t xml:space="preserve"> Escherichia coli Proteus mirabilis </w:t>
      </w:r>
      <w:proofErr w:type="spellStart"/>
      <w:r w:rsidRPr="00D22BF9">
        <w:rPr>
          <w:rFonts w:eastAsia="Times New Roman" w:cs="Arial"/>
          <w:b/>
          <w:bCs/>
          <w:i/>
          <w:iCs/>
          <w:color w:val="000000"/>
          <w:lang w:val="en-US"/>
        </w:rPr>
        <w:t>Klebsiella</w:t>
      </w:r>
      <w:proofErr w:type="spellEnd"/>
      <w:r w:rsidRPr="00D22BF9">
        <w:rPr>
          <w:rFonts w:eastAsia="Times New Roman" w:cs="Arial"/>
          <w:b/>
          <w:bCs/>
          <w:i/>
          <w:iCs/>
          <w:color w:val="000000"/>
          <w:lang w:val="en-US"/>
        </w:rPr>
        <w:t xml:space="preserve"> </w:t>
      </w:r>
      <w:proofErr w:type="spellStart"/>
      <w:r w:rsidRPr="00D22BF9">
        <w:rPr>
          <w:rFonts w:eastAsia="Times New Roman" w:cs="Arial"/>
          <w:b/>
          <w:bCs/>
          <w:i/>
          <w:iCs/>
          <w:color w:val="000000"/>
          <w:lang w:val="en-US"/>
        </w:rPr>
        <w:t>pneumoniae</w:t>
      </w:r>
      <w:proofErr w:type="spellEnd"/>
      <w:r w:rsidRPr="00D22BF9">
        <w:rPr>
          <w:rFonts w:eastAsia="Times New Roman" w:cs="Arial"/>
          <w:b/>
          <w:bCs/>
          <w:i/>
          <w:iCs/>
          <w:color w:val="000000"/>
          <w:lang w:val="en-US"/>
        </w:rPr>
        <w:t xml:space="preserve"> </w:t>
      </w:r>
      <w:proofErr w:type="spellStart"/>
      <w:r w:rsidRPr="00D22BF9">
        <w:rPr>
          <w:rFonts w:eastAsia="Times New Roman" w:cs="Arial"/>
          <w:b/>
          <w:bCs/>
          <w:i/>
          <w:iCs/>
          <w:color w:val="000000"/>
          <w:lang w:val="en-US"/>
        </w:rPr>
        <w:t>Morgcmella</w:t>
      </w:r>
      <w:proofErr w:type="spellEnd"/>
      <w:r w:rsidRPr="00D22BF9">
        <w:rPr>
          <w:rFonts w:eastAsia="Times New Roman" w:cs="Arial"/>
          <w:b/>
          <w:bCs/>
          <w:i/>
          <w:iCs/>
          <w:color w:val="000000"/>
          <w:lang w:val="en-US"/>
        </w:rPr>
        <w:t xml:space="preserve"> </w:t>
      </w:r>
      <w:proofErr w:type="spellStart"/>
      <w:r w:rsidRPr="00D22BF9">
        <w:rPr>
          <w:rFonts w:eastAsia="Times New Roman" w:cs="Arial"/>
          <w:b/>
          <w:bCs/>
          <w:i/>
          <w:iCs/>
          <w:color w:val="000000"/>
          <w:lang w:val="en-US"/>
        </w:rPr>
        <w:t>morganii</w:t>
      </w:r>
      <w:proofErr w:type="spellEnd"/>
      <w:r w:rsidRPr="00D22BF9">
        <w:rPr>
          <w:rFonts w:eastAsia="Times New Roman" w:cs="Arial"/>
          <w:b/>
          <w:bCs/>
          <w:i/>
          <w:iCs/>
          <w:color w:val="000000"/>
          <w:lang w:val="en-US"/>
        </w:rPr>
        <w:t xml:space="preserve"> </w:t>
      </w:r>
      <w:proofErr w:type="spellStart"/>
      <w:r w:rsidRPr="00D22BF9">
        <w:rPr>
          <w:rFonts w:eastAsia="Times New Roman" w:cs="Arial"/>
          <w:b/>
          <w:bCs/>
          <w:i/>
          <w:iCs/>
          <w:color w:val="000000"/>
          <w:lang w:val="en-US"/>
        </w:rPr>
        <w:t>Citrobacter</w:t>
      </w:r>
      <w:proofErr w:type="spellEnd"/>
      <w:r w:rsidRPr="00D22BF9">
        <w:rPr>
          <w:rFonts w:eastAsia="Times New Roman" w:cs="Arial"/>
          <w:b/>
          <w:bCs/>
          <w:i/>
          <w:iCs/>
          <w:color w:val="000000"/>
          <w:lang w:eastAsia="bg-BG"/>
        </w:rPr>
        <w:t xml:space="preserve"> </w:t>
      </w:r>
      <w:proofErr w:type="spellStart"/>
      <w:r w:rsidRPr="00D22BF9">
        <w:rPr>
          <w:rFonts w:eastAsia="Times New Roman" w:cs="Arial"/>
          <w:b/>
          <w:bCs/>
          <w:i/>
          <w:iCs/>
          <w:color w:val="000000"/>
          <w:lang w:val="en-US"/>
        </w:rPr>
        <w:t>freundii</w:t>
      </w:r>
      <w:proofErr w:type="spellEnd"/>
      <w:r w:rsidRPr="00D22BF9">
        <w:rPr>
          <w:rFonts w:eastAsia="Times New Roman" w:cs="Arial"/>
          <w:b/>
          <w:bCs/>
          <w:i/>
          <w:iCs/>
          <w:color w:val="000000"/>
          <w:lang w:val="en-US"/>
        </w:rPr>
        <w:t xml:space="preserve"> </w:t>
      </w:r>
      <w:proofErr w:type="spellStart"/>
      <w:r w:rsidRPr="00D22BF9">
        <w:rPr>
          <w:rFonts w:eastAsia="Times New Roman" w:cs="Arial"/>
          <w:b/>
          <w:bCs/>
          <w:i/>
          <w:iCs/>
          <w:color w:val="000000"/>
          <w:lang w:val="en-US"/>
        </w:rPr>
        <w:t>Enterobacter</w:t>
      </w:r>
      <w:proofErr w:type="spellEnd"/>
      <w:r w:rsidRPr="00D22BF9">
        <w:rPr>
          <w:rFonts w:eastAsia="Times New Roman" w:cs="Arial"/>
          <w:b/>
          <w:bCs/>
          <w:i/>
          <w:iCs/>
          <w:color w:val="000000"/>
          <w:lang w:val="en-US"/>
        </w:rPr>
        <w:t xml:space="preserve"> cloacae </w:t>
      </w:r>
      <w:proofErr w:type="spellStart"/>
      <w:r w:rsidRPr="00D22BF9">
        <w:rPr>
          <w:rFonts w:eastAsia="Times New Roman" w:cs="Arial"/>
          <w:b/>
          <w:bCs/>
          <w:i/>
          <w:iCs/>
          <w:color w:val="000000"/>
          <w:lang w:val="en-US"/>
        </w:rPr>
        <w:t>Citrobacter</w:t>
      </w:r>
      <w:proofErr w:type="spellEnd"/>
      <w:r w:rsidRPr="00D22BF9">
        <w:rPr>
          <w:rFonts w:eastAsia="Times New Roman" w:cs="Arial"/>
          <w:b/>
          <w:bCs/>
          <w:i/>
          <w:iCs/>
          <w:color w:val="000000"/>
          <w:lang w:val="en-US"/>
        </w:rPr>
        <w:t xml:space="preserve"> </w:t>
      </w:r>
      <w:proofErr w:type="spellStart"/>
      <w:r w:rsidRPr="00D22BF9">
        <w:rPr>
          <w:rFonts w:eastAsia="Times New Roman" w:cs="Arial"/>
          <w:b/>
          <w:bCs/>
          <w:i/>
          <w:iCs/>
          <w:color w:val="000000"/>
          <w:lang w:val="en-US"/>
        </w:rPr>
        <w:t>diversus</w:t>
      </w:r>
      <w:proofErr w:type="spellEnd"/>
    </w:p>
    <w:p w14:paraId="4352A3C1" w14:textId="77777777" w:rsidR="00D22BF9" w:rsidRPr="005F3611" w:rsidRDefault="00D22BF9" w:rsidP="00D22BF9">
      <w:pPr>
        <w:spacing w:line="240" w:lineRule="auto"/>
        <w:rPr>
          <w:rFonts w:eastAsia="Times New Roman" w:cs="Arial"/>
          <w:b/>
          <w:bCs/>
          <w:color w:val="000000"/>
          <w:lang w:eastAsia="bg-BG"/>
        </w:rPr>
      </w:pPr>
    </w:p>
    <w:p w14:paraId="7F5AE594" w14:textId="7FC1A7E3" w:rsidR="00D22BF9" w:rsidRPr="00D22BF9" w:rsidRDefault="00D22BF9" w:rsidP="00D22BF9">
      <w:pPr>
        <w:spacing w:line="240" w:lineRule="auto"/>
        <w:rPr>
          <w:rFonts w:eastAsia="Times New Roman" w:cs="Arial"/>
          <w:lang w:eastAsia="bg-BG"/>
        </w:rPr>
      </w:pPr>
      <w:r w:rsidRPr="00D22BF9">
        <w:rPr>
          <w:rFonts w:eastAsia="Times New Roman" w:cs="Arial"/>
          <w:b/>
          <w:bCs/>
          <w:color w:val="000000"/>
          <w:lang w:eastAsia="bg-BG"/>
        </w:rPr>
        <w:t xml:space="preserve">Сулперазон е активен </w:t>
      </w:r>
      <w:r w:rsidRPr="00D22BF9">
        <w:rPr>
          <w:rFonts w:eastAsia="Times New Roman" w:cs="Arial"/>
          <w:b/>
          <w:bCs/>
          <w:i/>
          <w:iCs/>
          <w:color w:val="000000"/>
          <w:lang w:val="en-US"/>
        </w:rPr>
        <w:t>in vitro</w:t>
      </w:r>
      <w:r w:rsidRPr="00D22BF9">
        <w:rPr>
          <w:rFonts w:eastAsia="Times New Roman" w:cs="Arial"/>
          <w:b/>
          <w:bCs/>
          <w:color w:val="000000"/>
          <w:lang w:val="en-US"/>
        </w:rPr>
        <w:t xml:space="preserve"> </w:t>
      </w:r>
      <w:r w:rsidRPr="00D22BF9">
        <w:rPr>
          <w:rFonts w:eastAsia="Times New Roman" w:cs="Arial"/>
          <w:b/>
          <w:bCs/>
          <w:color w:val="000000"/>
          <w:lang w:eastAsia="bg-BG"/>
        </w:rPr>
        <w:t>срещу голямо множество клинично значими микроорганизми.</w:t>
      </w:r>
    </w:p>
    <w:p w14:paraId="274AF486" w14:textId="77777777" w:rsidR="00D22BF9" w:rsidRPr="005F3611" w:rsidRDefault="00D22BF9" w:rsidP="00D22BF9">
      <w:pPr>
        <w:spacing w:line="240" w:lineRule="auto"/>
        <w:rPr>
          <w:rFonts w:eastAsia="Times New Roman" w:cs="Arial"/>
          <w:b/>
          <w:bCs/>
          <w:color w:val="000000"/>
          <w:u w:val="single"/>
          <w:lang w:eastAsia="bg-BG"/>
        </w:rPr>
      </w:pPr>
    </w:p>
    <w:p w14:paraId="5D264DF5" w14:textId="5460F95B" w:rsidR="00D22BF9" w:rsidRPr="00D22BF9" w:rsidRDefault="00D22BF9" w:rsidP="00D22BF9">
      <w:pPr>
        <w:spacing w:line="240" w:lineRule="auto"/>
        <w:rPr>
          <w:rFonts w:eastAsia="Times New Roman" w:cs="Arial"/>
          <w:lang w:eastAsia="bg-BG"/>
        </w:rPr>
      </w:pPr>
      <w:r w:rsidRPr="00D22BF9">
        <w:rPr>
          <w:rFonts w:eastAsia="Times New Roman" w:cs="Arial"/>
          <w:b/>
          <w:bCs/>
          <w:color w:val="000000"/>
          <w:u w:val="single"/>
          <w:lang w:eastAsia="bg-BG"/>
        </w:rPr>
        <w:t>Грам-положителни микроорганизми</w:t>
      </w:r>
      <w:r w:rsidRPr="00D22BF9">
        <w:rPr>
          <w:rFonts w:eastAsia="Times New Roman" w:cs="Arial"/>
          <w:b/>
          <w:bCs/>
          <w:color w:val="000000"/>
          <w:lang w:eastAsia="bg-BG"/>
        </w:rPr>
        <w:t>:</w:t>
      </w:r>
    </w:p>
    <w:p w14:paraId="107DC2A3" w14:textId="77777777" w:rsidR="00D22BF9" w:rsidRPr="005F3611" w:rsidRDefault="00D22BF9" w:rsidP="00D22BF9">
      <w:pPr>
        <w:spacing w:line="240" w:lineRule="auto"/>
        <w:rPr>
          <w:rFonts w:eastAsia="Times New Roman" w:cs="Arial"/>
          <w:b/>
          <w:bCs/>
          <w:i/>
          <w:iCs/>
          <w:color w:val="000000"/>
          <w:lang w:val="en-US"/>
        </w:rPr>
      </w:pPr>
    </w:p>
    <w:p w14:paraId="21899F20" w14:textId="019371B4" w:rsidR="00D22BF9" w:rsidRPr="00D22BF9" w:rsidRDefault="00D22BF9" w:rsidP="00D22BF9">
      <w:pPr>
        <w:spacing w:line="240" w:lineRule="auto"/>
        <w:rPr>
          <w:rFonts w:eastAsia="Times New Roman" w:cs="Arial"/>
          <w:lang w:eastAsia="bg-BG"/>
        </w:rPr>
      </w:pPr>
      <w:r w:rsidRPr="00D22BF9">
        <w:rPr>
          <w:rFonts w:eastAsia="Times New Roman" w:cs="Arial"/>
          <w:b/>
          <w:bCs/>
          <w:i/>
          <w:iCs/>
          <w:color w:val="000000"/>
          <w:lang w:val="en-US"/>
        </w:rPr>
        <w:t>Staphylococcus aureus,</w:t>
      </w:r>
      <w:r w:rsidRPr="00D22BF9">
        <w:rPr>
          <w:rFonts w:eastAsia="Times New Roman" w:cs="Arial"/>
          <w:b/>
          <w:bCs/>
          <w:color w:val="000000"/>
          <w:lang w:val="en-US"/>
        </w:rPr>
        <w:t xml:space="preserve"> </w:t>
      </w:r>
      <w:r w:rsidRPr="00D22BF9">
        <w:rPr>
          <w:rFonts w:eastAsia="Times New Roman" w:cs="Arial"/>
          <w:b/>
          <w:bCs/>
          <w:color w:val="000000"/>
          <w:lang w:eastAsia="bg-BG"/>
        </w:rPr>
        <w:t xml:space="preserve">пеницилиназо-продуциращи и пеницил иназо-непродуциращи щамове </w:t>
      </w:r>
      <w:r w:rsidRPr="00D22BF9">
        <w:rPr>
          <w:rFonts w:eastAsia="Times New Roman" w:cs="Arial"/>
          <w:b/>
          <w:bCs/>
          <w:i/>
          <w:iCs/>
          <w:color w:val="000000"/>
          <w:lang w:val="en-US"/>
        </w:rPr>
        <w:t>Staphylococcus epidermidis</w:t>
      </w:r>
    </w:p>
    <w:p w14:paraId="37AA506A" w14:textId="77777777" w:rsidR="00D22BF9" w:rsidRPr="00D22BF9" w:rsidRDefault="00D22BF9" w:rsidP="00D22BF9">
      <w:pPr>
        <w:spacing w:line="240" w:lineRule="auto"/>
        <w:rPr>
          <w:rFonts w:eastAsia="Times New Roman" w:cs="Arial"/>
          <w:lang w:eastAsia="bg-BG"/>
        </w:rPr>
      </w:pPr>
      <w:r w:rsidRPr="00D22BF9">
        <w:rPr>
          <w:rFonts w:eastAsia="Times New Roman" w:cs="Arial"/>
          <w:b/>
          <w:bCs/>
          <w:i/>
          <w:iCs/>
          <w:color w:val="000000"/>
          <w:lang w:val="en-US"/>
        </w:rPr>
        <w:t xml:space="preserve">Streptococcus </w:t>
      </w:r>
      <w:proofErr w:type="spellStart"/>
      <w:r w:rsidRPr="00D22BF9">
        <w:rPr>
          <w:rFonts w:eastAsia="Times New Roman" w:cs="Arial"/>
          <w:b/>
          <w:bCs/>
          <w:i/>
          <w:iCs/>
          <w:color w:val="000000"/>
          <w:lang w:val="en-US"/>
        </w:rPr>
        <w:t>pneumoniae</w:t>
      </w:r>
      <w:proofErr w:type="spellEnd"/>
      <w:r w:rsidRPr="00D22BF9">
        <w:rPr>
          <w:rFonts w:eastAsia="Times New Roman" w:cs="Arial"/>
          <w:b/>
          <w:bCs/>
          <w:color w:val="000000"/>
          <w:lang w:val="en-US"/>
        </w:rPr>
        <w:t xml:space="preserve"> </w:t>
      </w:r>
      <w:r w:rsidRPr="00D22BF9">
        <w:rPr>
          <w:rFonts w:eastAsia="Times New Roman" w:cs="Arial"/>
          <w:b/>
          <w:bCs/>
          <w:color w:val="000000"/>
          <w:lang w:eastAsia="bg-BG"/>
        </w:rPr>
        <w:t xml:space="preserve">(преди </w:t>
      </w:r>
      <w:r w:rsidRPr="00D22BF9">
        <w:rPr>
          <w:rFonts w:eastAsia="Times New Roman" w:cs="Arial"/>
          <w:b/>
          <w:bCs/>
          <w:i/>
          <w:iCs/>
          <w:color w:val="000000"/>
          <w:lang w:val="en-US"/>
        </w:rPr>
        <w:t xml:space="preserve">Diplococcus </w:t>
      </w:r>
      <w:proofErr w:type="spellStart"/>
      <w:r w:rsidRPr="00D22BF9">
        <w:rPr>
          <w:rFonts w:eastAsia="Times New Roman" w:cs="Arial"/>
          <w:b/>
          <w:bCs/>
          <w:i/>
          <w:iCs/>
          <w:color w:val="000000"/>
          <w:lang w:val="en-US"/>
        </w:rPr>
        <w:t>pneumoniae</w:t>
      </w:r>
      <w:proofErr w:type="spellEnd"/>
      <w:r w:rsidRPr="00D22BF9">
        <w:rPr>
          <w:rFonts w:eastAsia="Times New Roman" w:cs="Arial"/>
          <w:b/>
          <w:bCs/>
          <w:i/>
          <w:iCs/>
          <w:color w:val="000000"/>
          <w:lang w:val="en-US"/>
        </w:rPr>
        <w:t>)</w:t>
      </w:r>
    </w:p>
    <w:p w14:paraId="1BDBB86B" w14:textId="77777777" w:rsidR="00D22BF9" w:rsidRPr="00D22BF9" w:rsidRDefault="00D22BF9" w:rsidP="00D22BF9">
      <w:pPr>
        <w:spacing w:line="240" w:lineRule="auto"/>
        <w:rPr>
          <w:rFonts w:eastAsia="Times New Roman" w:cs="Arial"/>
          <w:lang w:eastAsia="bg-BG"/>
        </w:rPr>
      </w:pPr>
      <w:r w:rsidRPr="00D22BF9">
        <w:rPr>
          <w:rFonts w:eastAsia="Times New Roman" w:cs="Arial"/>
          <w:b/>
          <w:bCs/>
          <w:i/>
          <w:iCs/>
          <w:color w:val="000000"/>
          <w:lang w:val="en-US"/>
        </w:rPr>
        <w:t xml:space="preserve">Streptococcus </w:t>
      </w:r>
      <w:proofErr w:type="spellStart"/>
      <w:r w:rsidRPr="00D22BF9">
        <w:rPr>
          <w:rFonts w:eastAsia="Times New Roman" w:cs="Arial"/>
          <w:b/>
          <w:bCs/>
          <w:i/>
          <w:iCs/>
          <w:color w:val="000000"/>
          <w:lang w:val="en-US"/>
        </w:rPr>
        <w:t>pyogenes</w:t>
      </w:r>
      <w:proofErr w:type="spellEnd"/>
      <w:r w:rsidRPr="00D22BF9">
        <w:rPr>
          <w:rFonts w:eastAsia="Times New Roman" w:cs="Arial"/>
          <w:b/>
          <w:bCs/>
          <w:color w:val="000000"/>
          <w:lang w:val="en-US"/>
        </w:rPr>
        <w:t xml:space="preserve"> </w:t>
      </w:r>
      <w:r w:rsidRPr="00D22BF9">
        <w:rPr>
          <w:rFonts w:eastAsia="Times New Roman" w:cs="Arial"/>
          <w:b/>
          <w:bCs/>
          <w:color w:val="000000"/>
          <w:lang w:eastAsia="bg-BG"/>
        </w:rPr>
        <w:t>(група А бета-хемолитични стрептококи)</w:t>
      </w:r>
    </w:p>
    <w:p w14:paraId="573EA667" w14:textId="77777777" w:rsidR="00D22BF9" w:rsidRPr="00D22BF9" w:rsidRDefault="00D22BF9" w:rsidP="00D22BF9">
      <w:pPr>
        <w:spacing w:line="240" w:lineRule="auto"/>
        <w:rPr>
          <w:rFonts w:eastAsia="Times New Roman" w:cs="Arial"/>
          <w:lang w:eastAsia="bg-BG"/>
        </w:rPr>
      </w:pPr>
      <w:r w:rsidRPr="00D22BF9">
        <w:rPr>
          <w:rFonts w:eastAsia="Times New Roman" w:cs="Arial"/>
          <w:b/>
          <w:bCs/>
          <w:i/>
          <w:iCs/>
          <w:color w:val="000000"/>
          <w:lang w:val="en-US"/>
        </w:rPr>
        <w:t xml:space="preserve">Streptococcus </w:t>
      </w:r>
      <w:proofErr w:type="spellStart"/>
      <w:r w:rsidRPr="00D22BF9">
        <w:rPr>
          <w:rFonts w:eastAsia="Times New Roman" w:cs="Arial"/>
          <w:b/>
          <w:bCs/>
          <w:i/>
          <w:iCs/>
          <w:color w:val="000000"/>
          <w:lang w:val="en-US"/>
        </w:rPr>
        <w:t>agalactiae</w:t>
      </w:r>
      <w:proofErr w:type="spellEnd"/>
      <w:r w:rsidRPr="00D22BF9">
        <w:rPr>
          <w:rFonts w:eastAsia="Times New Roman" w:cs="Arial"/>
          <w:b/>
          <w:bCs/>
          <w:color w:val="000000"/>
          <w:lang w:val="en-US"/>
        </w:rPr>
        <w:t xml:space="preserve"> </w:t>
      </w:r>
      <w:r w:rsidRPr="00D22BF9">
        <w:rPr>
          <w:rFonts w:eastAsia="Times New Roman" w:cs="Arial"/>
          <w:b/>
          <w:bCs/>
          <w:color w:val="000000"/>
          <w:lang w:eastAsia="bg-BG"/>
        </w:rPr>
        <w:t>(група В бета-хемолитични стрептококи)</w:t>
      </w:r>
    </w:p>
    <w:p w14:paraId="4E3ADB65" w14:textId="784E417A" w:rsidR="00D22BF9" w:rsidRPr="005F3611" w:rsidRDefault="00D22BF9" w:rsidP="00D22BF9">
      <w:pPr>
        <w:spacing w:line="240" w:lineRule="auto"/>
        <w:rPr>
          <w:rFonts w:eastAsia="Times New Roman" w:cs="Arial"/>
          <w:b/>
          <w:bCs/>
          <w:color w:val="000000"/>
          <w:lang w:eastAsia="bg-BG"/>
        </w:rPr>
      </w:pPr>
      <w:r w:rsidRPr="00D22BF9">
        <w:rPr>
          <w:rFonts w:eastAsia="Times New Roman" w:cs="Arial"/>
          <w:b/>
          <w:bCs/>
          <w:color w:val="000000"/>
          <w:lang w:eastAsia="bg-BG"/>
        </w:rPr>
        <w:t xml:space="preserve">Повечето други щамове бета-хемолитични стрептококи </w:t>
      </w:r>
    </w:p>
    <w:p w14:paraId="1982ACD7" w14:textId="7F6B30C4" w:rsidR="00D22BF9" w:rsidRPr="00D22BF9" w:rsidRDefault="00D22BF9" w:rsidP="00D22BF9">
      <w:pPr>
        <w:spacing w:line="240" w:lineRule="auto"/>
        <w:rPr>
          <w:rFonts w:eastAsia="Times New Roman" w:cs="Arial"/>
          <w:lang w:eastAsia="bg-BG"/>
        </w:rPr>
      </w:pPr>
      <w:r w:rsidRPr="00D22BF9">
        <w:rPr>
          <w:rFonts w:eastAsia="Times New Roman" w:cs="Arial"/>
          <w:b/>
          <w:bCs/>
          <w:color w:val="000000"/>
          <w:lang w:eastAsia="bg-BG"/>
        </w:rPr>
        <w:t xml:space="preserve">Много щамове на </w:t>
      </w:r>
      <w:r w:rsidRPr="00D22BF9">
        <w:rPr>
          <w:rFonts w:eastAsia="Times New Roman" w:cs="Arial"/>
          <w:b/>
          <w:bCs/>
          <w:i/>
          <w:iCs/>
          <w:color w:val="000000"/>
          <w:lang w:val="en-US"/>
        </w:rPr>
        <w:t xml:space="preserve">Streptococcus </w:t>
      </w:r>
      <w:proofErr w:type="spellStart"/>
      <w:r w:rsidRPr="00D22BF9">
        <w:rPr>
          <w:rFonts w:eastAsia="Times New Roman" w:cs="Arial"/>
          <w:b/>
          <w:bCs/>
          <w:i/>
          <w:iCs/>
          <w:color w:val="000000"/>
          <w:lang w:val="en-US"/>
        </w:rPr>
        <w:t>faecalis</w:t>
      </w:r>
      <w:proofErr w:type="spellEnd"/>
      <w:r w:rsidRPr="00D22BF9">
        <w:rPr>
          <w:rFonts w:eastAsia="Times New Roman" w:cs="Arial"/>
          <w:b/>
          <w:bCs/>
          <w:color w:val="000000"/>
          <w:lang w:val="en-US"/>
        </w:rPr>
        <w:t xml:space="preserve"> </w:t>
      </w:r>
      <w:r w:rsidRPr="00D22BF9">
        <w:rPr>
          <w:rFonts w:eastAsia="Times New Roman" w:cs="Arial"/>
          <w:b/>
          <w:bCs/>
          <w:color w:val="000000"/>
          <w:lang w:eastAsia="bg-BG"/>
        </w:rPr>
        <w:t>(ентерококи)</w:t>
      </w:r>
    </w:p>
    <w:p w14:paraId="5FBE3BE8" w14:textId="77777777" w:rsidR="00D22BF9" w:rsidRPr="005F3611" w:rsidRDefault="00D22BF9" w:rsidP="00D22BF9">
      <w:pPr>
        <w:spacing w:line="240" w:lineRule="auto"/>
        <w:rPr>
          <w:rFonts w:eastAsia="Times New Roman" w:cs="Arial"/>
          <w:b/>
          <w:bCs/>
          <w:i/>
          <w:iCs/>
          <w:color w:val="000000"/>
          <w:lang w:val="en-US"/>
        </w:rPr>
      </w:pPr>
    </w:p>
    <w:p w14:paraId="2BA51CCA" w14:textId="77777777" w:rsidR="00D22BF9" w:rsidRPr="00D22BF9" w:rsidRDefault="00D22BF9" w:rsidP="00D22BF9">
      <w:pPr>
        <w:spacing w:line="240" w:lineRule="auto"/>
        <w:rPr>
          <w:rFonts w:eastAsia="Times New Roman" w:cs="Arial"/>
          <w:lang w:eastAsia="bg-BG"/>
        </w:rPr>
      </w:pPr>
      <w:r w:rsidRPr="00D22BF9">
        <w:rPr>
          <w:rFonts w:eastAsia="Times New Roman" w:cs="Arial"/>
          <w:b/>
          <w:bCs/>
          <w:color w:val="000000"/>
          <w:u w:val="single"/>
          <w:lang w:eastAsia="bg-BG"/>
        </w:rPr>
        <w:t>Грам-положителни микроорганизми</w:t>
      </w:r>
      <w:r w:rsidRPr="00D22BF9">
        <w:rPr>
          <w:rFonts w:eastAsia="Times New Roman" w:cs="Arial"/>
          <w:b/>
          <w:bCs/>
          <w:color w:val="000000"/>
          <w:lang w:eastAsia="bg-BG"/>
        </w:rPr>
        <w:t>:</w:t>
      </w:r>
    </w:p>
    <w:p w14:paraId="309D65D9" w14:textId="77777777" w:rsidR="00D22BF9" w:rsidRPr="005F3611" w:rsidRDefault="00D22BF9" w:rsidP="00D22BF9">
      <w:pPr>
        <w:spacing w:line="240" w:lineRule="auto"/>
        <w:rPr>
          <w:rFonts w:eastAsia="Times New Roman" w:cs="Arial"/>
          <w:b/>
          <w:bCs/>
          <w:i/>
          <w:iCs/>
          <w:color w:val="000000"/>
          <w:lang w:val="en-US"/>
        </w:rPr>
      </w:pPr>
    </w:p>
    <w:p w14:paraId="452D6B67" w14:textId="200D12F8" w:rsidR="00D22BF9" w:rsidRPr="00D22BF9" w:rsidRDefault="00D22BF9" w:rsidP="00D22BF9">
      <w:pPr>
        <w:spacing w:line="240" w:lineRule="auto"/>
        <w:rPr>
          <w:rFonts w:eastAsia="Times New Roman" w:cs="Arial"/>
          <w:lang w:eastAsia="bg-BG"/>
        </w:rPr>
      </w:pPr>
      <w:r w:rsidRPr="00D22BF9">
        <w:rPr>
          <w:rFonts w:eastAsia="Times New Roman" w:cs="Arial"/>
          <w:b/>
          <w:bCs/>
          <w:i/>
          <w:iCs/>
          <w:color w:val="000000"/>
          <w:lang w:val="en-US"/>
        </w:rPr>
        <w:t>Escherichia coli</w:t>
      </w:r>
    </w:p>
    <w:p w14:paraId="7A7E2A34" w14:textId="77777777" w:rsidR="00D22BF9" w:rsidRPr="00D22BF9" w:rsidRDefault="00D22BF9" w:rsidP="00D22BF9">
      <w:pPr>
        <w:spacing w:line="240" w:lineRule="auto"/>
        <w:rPr>
          <w:rFonts w:eastAsia="Times New Roman" w:cs="Arial"/>
          <w:lang w:eastAsia="bg-BG"/>
        </w:rPr>
      </w:pPr>
      <w:proofErr w:type="spellStart"/>
      <w:r w:rsidRPr="00D22BF9">
        <w:rPr>
          <w:rFonts w:eastAsia="Times New Roman" w:cs="Arial"/>
          <w:b/>
          <w:bCs/>
          <w:i/>
          <w:iCs/>
          <w:color w:val="000000"/>
          <w:lang w:val="en-US"/>
        </w:rPr>
        <w:t>Klebsiella</w:t>
      </w:r>
      <w:proofErr w:type="spellEnd"/>
      <w:r w:rsidRPr="00D22BF9">
        <w:rPr>
          <w:rFonts w:eastAsia="Times New Roman" w:cs="Arial"/>
          <w:b/>
          <w:bCs/>
          <w:color w:val="000000"/>
          <w:lang w:val="en-US"/>
        </w:rPr>
        <w:t xml:space="preserve"> spp.</w:t>
      </w:r>
    </w:p>
    <w:p w14:paraId="5525FA49" w14:textId="77777777" w:rsidR="00D22BF9" w:rsidRPr="00D22BF9" w:rsidRDefault="00D22BF9" w:rsidP="00D22BF9">
      <w:pPr>
        <w:spacing w:line="240" w:lineRule="auto"/>
        <w:rPr>
          <w:rFonts w:eastAsia="Times New Roman" w:cs="Arial"/>
          <w:lang w:eastAsia="bg-BG"/>
        </w:rPr>
      </w:pPr>
      <w:proofErr w:type="spellStart"/>
      <w:r w:rsidRPr="00D22BF9">
        <w:rPr>
          <w:rFonts w:eastAsia="Times New Roman" w:cs="Arial"/>
          <w:b/>
          <w:bCs/>
          <w:i/>
          <w:iCs/>
          <w:color w:val="000000"/>
          <w:lang w:val="en-US"/>
        </w:rPr>
        <w:t>Enterobacter</w:t>
      </w:r>
      <w:proofErr w:type="spellEnd"/>
      <w:r w:rsidRPr="00D22BF9">
        <w:rPr>
          <w:rFonts w:eastAsia="Times New Roman" w:cs="Arial"/>
          <w:b/>
          <w:bCs/>
          <w:color w:val="000000"/>
          <w:lang w:val="en-US"/>
        </w:rPr>
        <w:t xml:space="preserve"> </w:t>
      </w:r>
      <w:proofErr w:type="spellStart"/>
      <w:r w:rsidRPr="00D22BF9">
        <w:rPr>
          <w:rFonts w:eastAsia="Times New Roman" w:cs="Arial"/>
          <w:b/>
          <w:bCs/>
          <w:color w:val="000000"/>
          <w:lang w:val="en-US"/>
        </w:rPr>
        <w:t>spp</w:t>
      </w:r>
      <w:proofErr w:type="spellEnd"/>
    </w:p>
    <w:p w14:paraId="2CFFA3DA" w14:textId="77777777" w:rsidR="00D22BF9" w:rsidRPr="00D22BF9" w:rsidRDefault="00D22BF9" w:rsidP="00D22BF9">
      <w:pPr>
        <w:spacing w:line="240" w:lineRule="auto"/>
        <w:rPr>
          <w:rFonts w:eastAsia="Times New Roman" w:cs="Arial"/>
          <w:lang w:eastAsia="bg-BG"/>
        </w:rPr>
      </w:pPr>
      <w:proofErr w:type="spellStart"/>
      <w:r w:rsidRPr="00D22BF9">
        <w:rPr>
          <w:rFonts w:eastAsia="Times New Roman" w:cs="Arial"/>
          <w:b/>
          <w:bCs/>
          <w:i/>
          <w:iCs/>
          <w:color w:val="000000"/>
          <w:lang w:val="en-US"/>
        </w:rPr>
        <w:t>Citrobacter</w:t>
      </w:r>
      <w:proofErr w:type="spellEnd"/>
      <w:r w:rsidRPr="00D22BF9">
        <w:rPr>
          <w:rFonts w:eastAsia="Times New Roman" w:cs="Arial"/>
          <w:b/>
          <w:bCs/>
          <w:color w:val="000000"/>
          <w:lang w:val="en-US"/>
        </w:rPr>
        <w:t xml:space="preserve"> spp.</w:t>
      </w:r>
    </w:p>
    <w:p w14:paraId="663DBA29" w14:textId="77777777" w:rsidR="00D22BF9" w:rsidRPr="00D22BF9" w:rsidRDefault="00D22BF9" w:rsidP="00D22BF9">
      <w:pPr>
        <w:spacing w:line="240" w:lineRule="auto"/>
        <w:rPr>
          <w:rFonts w:eastAsia="Times New Roman" w:cs="Arial"/>
          <w:lang w:eastAsia="bg-BG"/>
        </w:rPr>
      </w:pPr>
      <w:proofErr w:type="spellStart"/>
      <w:r w:rsidRPr="00D22BF9">
        <w:rPr>
          <w:rFonts w:eastAsia="Times New Roman" w:cs="Arial"/>
          <w:b/>
          <w:bCs/>
          <w:i/>
          <w:iCs/>
          <w:color w:val="000000"/>
          <w:lang w:val="en-US"/>
        </w:rPr>
        <w:t>Haemophilus</w:t>
      </w:r>
      <w:proofErr w:type="spellEnd"/>
      <w:r w:rsidRPr="00D22BF9">
        <w:rPr>
          <w:rFonts w:eastAsia="Times New Roman" w:cs="Arial"/>
          <w:b/>
          <w:bCs/>
          <w:i/>
          <w:iCs/>
          <w:color w:val="000000"/>
          <w:lang w:val="en-US"/>
        </w:rPr>
        <w:t xml:space="preserve"> </w:t>
      </w:r>
      <w:proofErr w:type="spellStart"/>
      <w:r w:rsidRPr="00D22BF9">
        <w:rPr>
          <w:rFonts w:eastAsia="Times New Roman" w:cs="Arial"/>
          <w:b/>
          <w:bCs/>
          <w:i/>
          <w:iCs/>
          <w:color w:val="000000"/>
          <w:lang w:val="en-US"/>
        </w:rPr>
        <w:t>influenzae</w:t>
      </w:r>
      <w:proofErr w:type="spellEnd"/>
    </w:p>
    <w:p w14:paraId="691B9A2C" w14:textId="77777777" w:rsidR="00D22BF9" w:rsidRPr="00D22BF9" w:rsidRDefault="00D22BF9" w:rsidP="00D22BF9">
      <w:pPr>
        <w:spacing w:line="240" w:lineRule="auto"/>
        <w:rPr>
          <w:rFonts w:eastAsia="Times New Roman" w:cs="Arial"/>
          <w:lang w:eastAsia="bg-BG"/>
        </w:rPr>
      </w:pPr>
      <w:r w:rsidRPr="00D22BF9">
        <w:rPr>
          <w:rFonts w:eastAsia="Times New Roman" w:cs="Arial"/>
          <w:b/>
          <w:bCs/>
          <w:i/>
          <w:iCs/>
          <w:color w:val="000000"/>
          <w:lang w:val="en-US"/>
        </w:rPr>
        <w:t>Proteus mirabilis</w:t>
      </w:r>
    </w:p>
    <w:p w14:paraId="62F67DAC" w14:textId="77777777" w:rsidR="00D22BF9" w:rsidRPr="00D22BF9" w:rsidRDefault="00D22BF9" w:rsidP="00D22BF9">
      <w:pPr>
        <w:spacing w:line="240" w:lineRule="auto"/>
        <w:rPr>
          <w:rFonts w:eastAsia="Times New Roman" w:cs="Arial"/>
          <w:lang w:eastAsia="bg-BG"/>
        </w:rPr>
      </w:pPr>
      <w:r w:rsidRPr="00D22BF9">
        <w:rPr>
          <w:rFonts w:eastAsia="Times New Roman" w:cs="Arial"/>
          <w:b/>
          <w:bCs/>
          <w:i/>
          <w:iCs/>
          <w:color w:val="000000"/>
          <w:lang w:val="en-US"/>
        </w:rPr>
        <w:t>Proteus vulgaris</w:t>
      </w:r>
    </w:p>
    <w:p w14:paraId="25401AB5" w14:textId="77777777" w:rsidR="00D22BF9" w:rsidRPr="00D22BF9" w:rsidRDefault="00D22BF9" w:rsidP="00D22BF9">
      <w:pPr>
        <w:spacing w:line="240" w:lineRule="auto"/>
        <w:rPr>
          <w:rFonts w:eastAsia="Times New Roman" w:cs="Arial"/>
          <w:lang w:eastAsia="bg-BG"/>
        </w:rPr>
      </w:pPr>
      <w:proofErr w:type="spellStart"/>
      <w:r w:rsidRPr="00D22BF9">
        <w:rPr>
          <w:rFonts w:eastAsia="Times New Roman" w:cs="Arial"/>
          <w:b/>
          <w:bCs/>
          <w:i/>
          <w:iCs/>
          <w:color w:val="000000"/>
          <w:lang w:val="en-US"/>
        </w:rPr>
        <w:t>Morganella</w:t>
      </w:r>
      <w:proofErr w:type="spellEnd"/>
      <w:r w:rsidRPr="00D22BF9">
        <w:rPr>
          <w:rFonts w:eastAsia="Times New Roman" w:cs="Arial"/>
          <w:b/>
          <w:bCs/>
          <w:i/>
          <w:iCs/>
          <w:color w:val="000000"/>
          <w:lang w:val="en-US"/>
        </w:rPr>
        <w:t xml:space="preserve"> </w:t>
      </w:r>
      <w:proofErr w:type="spellStart"/>
      <w:r w:rsidRPr="00D22BF9">
        <w:rPr>
          <w:rFonts w:eastAsia="Times New Roman" w:cs="Arial"/>
          <w:b/>
          <w:bCs/>
          <w:i/>
          <w:iCs/>
          <w:color w:val="000000"/>
          <w:lang w:val="en-US"/>
        </w:rPr>
        <w:t>morganii</w:t>
      </w:r>
      <w:proofErr w:type="spellEnd"/>
      <w:r w:rsidRPr="00D22BF9">
        <w:rPr>
          <w:rFonts w:eastAsia="Times New Roman" w:cs="Arial"/>
          <w:b/>
          <w:bCs/>
          <w:color w:val="000000"/>
          <w:lang w:val="en-US"/>
        </w:rPr>
        <w:t xml:space="preserve"> </w:t>
      </w:r>
      <w:r w:rsidRPr="00D22BF9">
        <w:rPr>
          <w:rFonts w:eastAsia="Times New Roman" w:cs="Arial"/>
          <w:b/>
          <w:bCs/>
          <w:color w:val="000000"/>
          <w:lang w:eastAsia="bg-BG"/>
        </w:rPr>
        <w:t xml:space="preserve">(преди </w:t>
      </w:r>
      <w:r w:rsidRPr="00D22BF9">
        <w:rPr>
          <w:rFonts w:eastAsia="Times New Roman" w:cs="Arial"/>
          <w:b/>
          <w:bCs/>
          <w:i/>
          <w:iCs/>
          <w:color w:val="000000"/>
          <w:lang w:val="en-US"/>
        </w:rPr>
        <w:t xml:space="preserve">Proteus </w:t>
      </w:r>
      <w:proofErr w:type="spellStart"/>
      <w:r w:rsidRPr="00D22BF9">
        <w:rPr>
          <w:rFonts w:eastAsia="Times New Roman" w:cs="Arial"/>
          <w:b/>
          <w:bCs/>
          <w:i/>
          <w:iCs/>
          <w:color w:val="000000"/>
          <w:lang w:val="en-US"/>
        </w:rPr>
        <w:t>morganii</w:t>
      </w:r>
      <w:proofErr w:type="spellEnd"/>
      <w:r w:rsidRPr="00D22BF9">
        <w:rPr>
          <w:rFonts w:eastAsia="Times New Roman" w:cs="Arial"/>
          <w:b/>
          <w:bCs/>
          <w:i/>
          <w:iCs/>
          <w:color w:val="000000"/>
          <w:lang w:val="en-US"/>
        </w:rPr>
        <w:t>)</w:t>
      </w:r>
    </w:p>
    <w:p w14:paraId="274D68D3" w14:textId="77777777" w:rsidR="00D22BF9" w:rsidRPr="00D22BF9" w:rsidRDefault="00D22BF9" w:rsidP="00D22BF9">
      <w:pPr>
        <w:spacing w:line="240" w:lineRule="auto"/>
        <w:rPr>
          <w:rFonts w:eastAsia="Times New Roman" w:cs="Arial"/>
          <w:lang w:eastAsia="bg-BG"/>
        </w:rPr>
      </w:pPr>
      <w:proofErr w:type="spellStart"/>
      <w:r w:rsidRPr="00D22BF9">
        <w:rPr>
          <w:rFonts w:eastAsia="Times New Roman" w:cs="Arial"/>
          <w:b/>
          <w:bCs/>
          <w:i/>
          <w:iCs/>
          <w:color w:val="000000"/>
          <w:lang w:val="en-US"/>
        </w:rPr>
        <w:t>Providencia</w:t>
      </w:r>
      <w:proofErr w:type="spellEnd"/>
      <w:r w:rsidRPr="00D22BF9">
        <w:rPr>
          <w:rFonts w:eastAsia="Times New Roman" w:cs="Arial"/>
          <w:b/>
          <w:bCs/>
          <w:i/>
          <w:iCs/>
          <w:color w:val="000000"/>
          <w:lang w:val="en-US"/>
        </w:rPr>
        <w:t xml:space="preserve"> </w:t>
      </w:r>
      <w:proofErr w:type="spellStart"/>
      <w:r w:rsidRPr="00D22BF9">
        <w:rPr>
          <w:rFonts w:eastAsia="Times New Roman" w:cs="Arial"/>
          <w:b/>
          <w:bCs/>
          <w:i/>
          <w:iCs/>
          <w:color w:val="000000"/>
          <w:lang w:val="en-US"/>
        </w:rPr>
        <w:t>rettgeri</w:t>
      </w:r>
      <w:proofErr w:type="spellEnd"/>
      <w:r w:rsidRPr="00D22BF9">
        <w:rPr>
          <w:rFonts w:eastAsia="Times New Roman" w:cs="Arial"/>
          <w:b/>
          <w:bCs/>
          <w:color w:val="000000"/>
          <w:lang w:val="en-US"/>
        </w:rPr>
        <w:t xml:space="preserve"> </w:t>
      </w:r>
      <w:r w:rsidRPr="00D22BF9">
        <w:rPr>
          <w:rFonts w:eastAsia="Times New Roman" w:cs="Arial"/>
          <w:b/>
          <w:bCs/>
          <w:color w:val="000000"/>
          <w:lang w:eastAsia="bg-BG"/>
        </w:rPr>
        <w:t xml:space="preserve">(преди </w:t>
      </w:r>
      <w:r w:rsidRPr="00D22BF9">
        <w:rPr>
          <w:rFonts w:eastAsia="Times New Roman" w:cs="Arial"/>
          <w:b/>
          <w:bCs/>
          <w:i/>
          <w:iCs/>
          <w:color w:val="000000"/>
          <w:lang w:val="en-US"/>
        </w:rPr>
        <w:t xml:space="preserve">Proteus </w:t>
      </w:r>
      <w:proofErr w:type="spellStart"/>
      <w:r w:rsidRPr="00D22BF9">
        <w:rPr>
          <w:rFonts w:eastAsia="Times New Roman" w:cs="Arial"/>
          <w:b/>
          <w:bCs/>
          <w:i/>
          <w:iCs/>
          <w:color w:val="000000"/>
          <w:lang w:val="en-US"/>
        </w:rPr>
        <w:t>rettgeri</w:t>
      </w:r>
      <w:proofErr w:type="spellEnd"/>
      <w:r w:rsidRPr="00D22BF9">
        <w:rPr>
          <w:rFonts w:eastAsia="Times New Roman" w:cs="Arial"/>
          <w:b/>
          <w:bCs/>
          <w:i/>
          <w:iCs/>
          <w:color w:val="000000"/>
          <w:lang w:val="en-US"/>
        </w:rPr>
        <w:t>)</w:t>
      </w:r>
    </w:p>
    <w:p w14:paraId="5FBB1CAD" w14:textId="77777777" w:rsidR="00D22BF9" w:rsidRPr="00D22BF9" w:rsidRDefault="00D22BF9" w:rsidP="00D22BF9">
      <w:pPr>
        <w:spacing w:line="240" w:lineRule="auto"/>
        <w:rPr>
          <w:rFonts w:eastAsia="Times New Roman" w:cs="Arial"/>
          <w:lang w:eastAsia="bg-BG"/>
        </w:rPr>
      </w:pPr>
      <w:proofErr w:type="spellStart"/>
      <w:r w:rsidRPr="00D22BF9">
        <w:rPr>
          <w:rFonts w:eastAsia="Times New Roman" w:cs="Arial"/>
          <w:b/>
          <w:bCs/>
          <w:i/>
          <w:iCs/>
          <w:color w:val="000000"/>
          <w:lang w:val="en-US"/>
        </w:rPr>
        <w:t>Providencia</w:t>
      </w:r>
      <w:proofErr w:type="spellEnd"/>
      <w:r w:rsidRPr="00D22BF9">
        <w:rPr>
          <w:rFonts w:eastAsia="Times New Roman" w:cs="Arial"/>
          <w:b/>
          <w:bCs/>
          <w:color w:val="000000"/>
          <w:lang w:val="en-US"/>
        </w:rPr>
        <w:t xml:space="preserve"> spp.</w:t>
      </w:r>
    </w:p>
    <w:p w14:paraId="2847F144" w14:textId="77777777" w:rsidR="00D22BF9" w:rsidRPr="00D22BF9" w:rsidRDefault="00D22BF9" w:rsidP="00D22BF9">
      <w:pPr>
        <w:spacing w:line="240" w:lineRule="auto"/>
        <w:rPr>
          <w:rFonts w:eastAsia="Times New Roman" w:cs="Arial"/>
          <w:lang w:eastAsia="bg-BG"/>
        </w:rPr>
      </w:pPr>
      <w:proofErr w:type="spellStart"/>
      <w:r w:rsidRPr="00D22BF9">
        <w:rPr>
          <w:rFonts w:eastAsia="Times New Roman" w:cs="Arial"/>
          <w:b/>
          <w:bCs/>
          <w:i/>
          <w:iCs/>
          <w:color w:val="000000"/>
          <w:lang w:val="en-US"/>
        </w:rPr>
        <w:t>Serratia</w:t>
      </w:r>
      <w:proofErr w:type="spellEnd"/>
      <w:r w:rsidRPr="00D22BF9">
        <w:rPr>
          <w:rFonts w:eastAsia="Times New Roman" w:cs="Arial"/>
          <w:b/>
          <w:bCs/>
          <w:color w:val="000000"/>
          <w:lang w:val="en-US"/>
        </w:rPr>
        <w:t xml:space="preserve"> spp. </w:t>
      </w:r>
      <w:r w:rsidRPr="00D22BF9">
        <w:rPr>
          <w:rFonts w:eastAsia="Times New Roman" w:cs="Arial"/>
          <w:b/>
          <w:bCs/>
          <w:color w:val="000000"/>
          <w:lang w:eastAsia="bg-BG"/>
        </w:rPr>
        <w:t xml:space="preserve">(включително </w:t>
      </w:r>
      <w:r w:rsidRPr="00D22BF9">
        <w:rPr>
          <w:rFonts w:eastAsia="Times New Roman" w:cs="Arial"/>
          <w:b/>
          <w:bCs/>
          <w:color w:val="000000"/>
          <w:lang w:val="en-US"/>
        </w:rPr>
        <w:t xml:space="preserve">5. </w:t>
      </w:r>
      <w:proofErr w:type="spellStart"/>
      <w:r w:rsidRPr="00D22BF9">
        <w:rPr>
          <w:rFonts w:eastAsia="Times New Roman" w:cs="Arial"/>
          <w:b/>
          <w:bCs/>
          <w:i/>
          <w:iCs/>
          <w:color w:val="000000"/>
          <w:lang w:val="en-US"/>
        </w:rPr>
        <w:t>marcescens</w:t>
      </w:r>
      <w:proofErr w:type="spellEnd"/>
      <w:r w:rsidRPr="00D22BF9">
        <w:rPr>
          <w:rFonts w:eastAsia="Times New Roman" w:cs="Arial"/>
          <w:b/>
          <w:bCs/>
          <w:i/>
          <w:iCs/>
          <w:color w:val="000000"/>
          <w:lang w:val="en-US"/>
        </w:rPr>
        <w:t>)</w:t>
      </w:r>
    </w:p>
    <w:p w14:paraId="6AFF7E10" w14:textId="77777777" w:rsidR="00D22BF9" w:rsidRPr="00D22BF9" w:rsidRDefault="00D22BF9" w:rsidP="00D22BF9">
      <w:pPr>
        <w:spacing w:line="240" w:lineRule="auto"/>
        <w:rPr>
          <w:rFonts w:eastAsia="Times New Roman" w:cs="Arial"/>
          <w:lang w:eastAsia="bg-BG"/>
        </w:rPr>
      </w:pPr>
      <w:r w:rsidRPr="00D22BF9">
        <w:rPr>
          <w:rFonts w:eastAsia="Times New Roman" w:cs="Arial"/>
          <w:b/>
          <w:bCs/>
          <w:i/>
          <w:iCs/>
          <w:color w:val="000000"/>
          <w:lang w:val="en-US"/>
        </w:rPr>
        <w:t>Salmonella</w:t>
      </w:r>
      <w:r w:rsidRPr="00D22BF9">
        <w:rPr>
          <w:rFonts w:eastAsia="Times New Roman" w:cs="Arial"/>
          <w:b/>
          <w:bCs/>
          <w:color w:val="000000"/>
          <w:lang w:val="en-US"/>
        </w:rPr>
        <w:t xml:space="preserve"> </w:t>
      </w:r>
      <w:r w:rsidRPr="00D22BF9">
        <w:rPr>
          <w:rFonts w:eastAsia="Times New Roman" w:cs="Arial"/>
          <w:b/>
          <w:bCs/>
          <w:color w:val="000000"/>
          <w:lang w:eastAsia="bg-BG"/>
        </w:rPr>
        <w:t xml:space="preserve">и </w:t>
      </w:r>
      <w:proofErr w:type="spellStart"/>
      <w:r w:rsidRPr="00D22BF9">
        <w:rPr>
          <w:rFonts w:eastAsia="Times New Roman" w:cs="Arial"/>
          <w:b/>
          <w:bCs/>
          <w:i/>
          <w:iCs/>
          <w:color w:val="000000"/>
          <w:lang w:val="en-US"/>
        </w:rPr>
        <w:t>Shigella</w:t>
      </w:r>
      <w:proofErr w:type="spellEnd"/>
      <w:r w:rsidRPr="00D22BF9">
        <w:rPr>
          <w:rFonts w:eastAsia="Times New Roman" w:cs="Arial"/>
          <w:b/>
          <w:bCs/>
          <w:color w:val="000000"/>
          <w:lang w:val="en-US"/>
        </w:rPr>
        <w:t xml:space="preserve"> spp.</w:t>
      </w:r>
    </w:p>
    <w:p w14:paraId="038F692B" w14:textId="66942D23" w:rsidR="007A2185" w:rsidRPr="005F3611" w:rsidRDefault="00D22BF9" w:rsidP="00D22BF9">
      <w:pPr>
        <w:rPr>
          <w:rFonts w:cs="Arial"/>
        </w:rPr>
      </w:pPr>
      <w:r w:rsidRPr="005F3611">
        <w:rPr>
          <w:rFonts w:eastAsia="Times New Roman" w:cs="Arial"/>
          <w:b/>
          <w:bCs/>
          <w:i/>
          <w:iCs/>
          <w:color w:val="000000"/>
          <w:lang w:val="en-US"/>
        </w:rPr>
        <w:t>Pseudomonas aeruginosa</w:t>
      </w:r>
      <w:r w:rsidRPr="005F3611">
        <w:rPr>
          <w:rFonts w:eastAsia="Times New Roman" w:cs="Arial"/>
          <w:b/>
          <w:bCs/>
          <w:color w:val="000000"/>
          <w:lang w:val="en-US"/>
        </w:rPr>
        <w:t xml:space="preserve"> </w:t>
      </w:r>
      <w:r w:rsidRPr="005F3611">
        <w:rPr>
          <w:rFonts w:eastAsia="Times New Roman" w:cs="Arial"/>
          <w:b/>
          <w:bCs/>
          <w:color w:val="000000"/>
          <w:lang w:eastAsia="bg-BG"/>
        </w:rPr>
        <w:t xml:space="preserve">и някои други </w:t>
      </w:r>
      <w:r w:rsidRPr="005F3611">
        <w:rPr>
          <w:rFonts w:eastAsia="Times New Roman" w:cs="Arial"/>
          <w:b/>
          <w:bCs/>
          <w:i/>
          <w:iCs/>
          <w:color w:val="000000"/>
          <w:lang w:val="en-US"/>
        </w:rPr>
        <w:t>Pseudomonas</w:t>
      </w:r>
      <w:r w:rsidRPr="005F3611">
        <w:rPr>
          <w:rFonts w:eastAsia="Times New Roman" w:cs="Arial"/>
          <w:b/>
          <w:bCs/>
          <w:color w:val="000000"/>
          <w:lang w:val="en-US"/>
        </w:rPr>
        <w:t xml:space="preserve"> spp.</w:t>
      </w:r>
    </w:p>
    <w:p w14:paraId="36152471" w14:textId="6D32EC30" w:rsidR="0091385D" w:rsidRPr="005F3611" w:rsidRDefault="0091385D" w:rsidP="0091385D">
      <w:pPr>
        <w:rPr>
          <w:rFonts w:cs="Arial"/>
        </w:rPr>
      </w:pPr>
    </w:p>
    <w:p w14:paraId="6EBB9187" w14:textId="77777777" w:rsidR="00D22BF9" w:rsidRPr="00D22BF9" w:rsidRDefault="00D22BF9" w:rsidP="00D22BF9">
      <w:pPr>
        <w:spacing w:line="240" w:lineRule="auto"/>
        <w:rPr>
          <w:rFonts w:eastAsia="Times New Roman" w:cs="Arial"/>
          <w:lang w:val="en-US" w:eastAsia="bg-BG"/>
        </w:rPr>
      </w:pPr>
      <w:proofErr w:type="spellStart"/>
      <w:r w:rsidRPr="00D22BF9">
        <w:rPr>
          <w:rFonts w:eastAsia="Times New Roman" w:cs="Arial"/>
          <w:b/>
          <w:bCs/>
          <w:i/>
          <w:iCs/>
          <w:color w:val="000000"/>
          <w:lang w:val="en-US"/>
        </w:rPr>
        <w:t>Acinetobacter</w:t>
      </w:r>
      <w:proofErr w:type="spellEnd"/>
      <w:r w:rsidRPr="00D22BF9">
        <w:rPr>
          <w:rFonts w:eastAsia="Times New Roman" w:cs="Arial"/>
          <w:b/>
          <w:bCs/>
          <w:i/>
          <w:iCs/>
          <w:color w:val="000000"/>
          <w:lang w:val="en-US"/>
        </w:rPr>
        <w:t xml:space="preserve"> </w:t>
      </w:r>
      <w:proofErr w:type="spellStart"/>
      <w:r w:rsidRPr="00D22BF9">
        <w:rPr>
          <w:rFonts w:eastAsia="Times New Roman" w:cs="Arial"/>
          <w:b/>
          <w:bCs/>
          <w:i/>
          <w:iCs/>
          <w:color w:val="000000"/>
          <w:lang w:val="en-US"/>
        </w:rPr>
        <w:t>cdlcoaceticus</w:t>
      </w:r>
      <w:proofErr w:type="spellEnd"/>
    </w:p>
    <w:p w14:paraId="2CCACA20" w14:textId="77777777" w:rsidR="00D22BF9" w:rsidRPr="00D22BF9" w:rsidRDefault="00D22BF9" w:rsidP="00D22BF9">
      <w:pPr>
        <w:spacing w:line="240" w:lineRule="auto"/>
        <w:rPr>
          <w:rFonts w:eastAsia="Times New Roman" w:cs="Arial"/>
          <w:lang w:val="en-US" w:eastAsia="bg-BG"/>
        </w:rPr>
      </w:pPr>
      <w:r w:rsidRPr="00D22BF9">
        <w:rPr>
          <w:rFonts w:eastAsia="Times New Roman" w:cs="Arial"/>
          <w:b/>
          <w:bCs/>
          <w:i/>
          <w:iCs/>
          <w:color w:val="000000"/>
          <w:lang w:val="en-US"/>
        </w:rPr>
        <w:t xml:space="preserve">Neisseria </w:t>
      </w:r>
      <w:proofErr w:type="spellStart"/>
      <w:r w:rsidRPr="00D22BF9">
        <w:rPr>
          <w:rFonts w:eastAsia="Times New Roman" w:cs="Arial"/>
          <w:b/>
          <w:bCs/>
          <w:i/>
          <w:iCs/>
          <w:color w:val="000000"/>
          <w:lang w:val="en-US"/>
        </w:rPr>
        <w:t>gonorrhoeae</w:t>
      </w:r>
      <w:proofErr w:type="spellEnd"/>
    </w:p>
    <w:p w14:paraId="7AB90A28" w14:textId="77777777" w:rsidR="00D22BF9" w:rsidRPr="00D22BF9" w:rsidRDefault="00D22BF9" w:rsidP="00D22BF9">
      <w:pPr>
        <w:spacing w:line="240" w:lineRule="auto"/>
        <w:rPr>
          <w:rFonts w:eastAsia="Times New Roman" w:cs="Arial"/>
          <w:lang w:val="en-US" w:eastAsia="bg-BG"/>
        </w:rPr>
      </w:pPr>
      <w:r w:rsidRPr="00D22BF9">
        <w:rPr>
          <w:rFonts w:eastAsia="Times New Roman" w:cs="Arial"/>
          <w:b/>
          <w:bCs/>
          <w:i/>
          <w:iCs/>
          <w:color w:val="000000"/>
          <w:lang w:val="en-US"/>
        </w:rPr>
        <w:t xml:space="preserve">Neisseria </w:t>
      </w:r>
      <w:proofErr w:type="spellStart"/>
      <w:r w:rsidRPr="00D22BF9">
        <w:rPr>
          <w:rFonts w:eastAsia="Times New Roman" w:cs="Arial"/>
          <w:b/>
          <w:bCs/>
          <w:i/>
          <w:iCs/>
          <w:color w:val="000000"/>
          <w:lang w:val="en-US"/>
        </w:rPr>
        <w:t>meningitidis</w:t>
      </w:r>
      <w:proofErr w:type="spellEnd"/>
    </w:p>
    <w:p w14:paraId="27C7AD40" w14:textId="77777777" w:rsidR="00D22BF9" w:rsidRPr="00D22BF9" w:rsidRDefault="00D22BF9" w:rsidP="00D22BF9">
      <w:pPr>
        <w:spacing w:line="240" w:lineRule="auto"/>
        <w:rPr>
          <w:rFonts w:eastAsia="Times New Roman" w:cs="Arial"/>
          <w:lang w:val="en-US" w:eastAsia="bg-BG"/>
        </w:rPr>
      </w:pPr>
      <w:proofErr w:type="spellStart"/>
      <w:r w:rsidRPr="00D22BF9">
        <w:rPr>
          <w:rFonts w:eastAsia="Times New Roman" w:cs="Arial"/>
          <w:b/>
          <w:bCs/>
          <w:i/>
          <w:iCs/>
          <w:color w:val="000000"/>
          <w:lang w:val="en-US"/>
        </w:rPr>
        <w:t>Bordetella</w:t>
      </w:r>
      <w:proofErr w:type="spellEnd"/>
      <w:r w:rsidRPr="00D22BF9">
        <w:rPr>
          <w:rFonts w:eastAsia="Times New Roman" w:cs="Arial"/>
          <w:b/>
          <w:bCs/>
          <w:i/>
          <w:iCs/>
          <w:color w:val="000000"/>
          <w:lang w:val="en-US"/>
        </w:rPr>
        <w:t xml:space="preserve"> pertussis</w:t>
      </w:r>
    </w:p>
    <w:p w14:paraId="324E2886" w14:textId="77777777" w:rsidR="00D22BF9" w:rsidRPr="00D22BF9" w:rsidRDefault="00D22BF9" w:rsidP="00D22BF9">
      <w:pPr>
        <w:spacing w:line="240" w:lineRule="auto"/>
        <w:rPr>
          <w:rFonts w:eastAsia="Times New Roman" w:cs="Arial"/>
          <w:lang w:val="en-US" w:eastAsia="bg-BG"/>
        </w:rPr>
      </w:pPr>
      <w:r w:rsidRPr="00D22BF9">
        <w:rPr>
          <w:rFonts w:eastAsia="Times New Roman" w:cs="Arial"/>
          <w:b/>
          <w:bCs/>
          <w:i/>
          <w:iCs/>
          <w:color w:val="000000"/>
          <w:lang w:val="en-US"/>
        </w:rPr>
        <w:t xml:space="preserve">Yersinia </w:t>
      </w:r>
      <w:proofErr w:type="spellStart"/>
      <w:r w:rsidRPr="00D22BF9">
        <w:rPr>
          <w:rFonts w:eastAsia="Times New Roman" w:cs="Arial"/>
          <w:b/>
          <w:bCs/>
          <w:i/>
          <w:iCs/>
          <w:color w:val="000000"/>
          <w:lang w:val="en-US"/>
        </w:rPr>
        <w:t>enterocolitica</w:t>
      </w:r>
      <w:proofErr w:type="spellEnd"/>
    </w:p>
    <w:p w14:paraId="08EB941D" w14:textId="77777777" w:rsidR="00D22BF9" w:rsidRPr="005F3611" w:rsidRDefault="00D22BF9" w:rsidP="00D22BF9">
      <w:pPr>
        <w:spacing w:line="240" w:lineRule="auto"/>
        <w:rPr>
          <w:rFonts w:eastAsia="Times New Roman" w:cs="Arial"/>
          <w:b/>
          <w:bCs/>
          <w:color w:val="000000"/>
          <w:u w:val="single"/>
          <w:lang w:eastAsia="bg-BG"/>
        </w:rPr>
      </w:pPr>
    </w:p>
    <w:p w14:paraId="7B755FF6" w14:textId="2299FF80" w:rsidR="00D22BF9" w:rsidRPr="00D22BF9" w:rsidRDefault="00D22BF9" w:rsidP="00D22BF9">
      <w:pPr>
        <w:spacing w:line="240" w:lineRule="auto"/>
        <w:rPr>
          <w:rFonts w:eastAsia="Times New Roman" w:cs="Arial"/>
          <w:lang w:val="en-US" w:eastAsia="bg-BG"/>
        </w:rPr>
      </w:pPr>
      <w:r w:rsidRPr="00D22BF9">
        <w:rPr>
          <w:rFonts w:eastAsia="Times New Roman" w:cs="Arial"/>
          <w:b/>
          <w:bCs/>
          <w:color w:val="000000"/>
          <w:u w:val="single"/>
          <w:lang w:eastAsia="bg-BG"/>
        </w:rPr>
        <w:t>Анаеробни микроорганизми:</w:t>
      </w:r>
    </w:p>
    <w:p w14:paraId="54021513" w14:textId="77777777" w:rsidR="00D22BF9" w:rsidRPr="005F3611" w:rsidRDefault="00D22BF9" w:rsidP="00D22BF9">
      <w:pPr>
        <w:spacing w:line="240" w:lineRule="auto"/>
        <w:rPr>
          <w:rFonts w:eastAsia="Times New Roman" w:cs="Arial"/>
          <w:b/>
          <w:bCs/>
          <w:color w:val="000000"/>
          <w:lang w:eastAsia="bg-BG"/>
        </w:rPr>
      </w:pPr>
    </w:p>
    <w:p w14:paraId="60EF64EA" w14:textId="509DE25E" w:rsidR="00D22BF9" w:rsidRPr="00D22BF9" w:rsidRDefault="00D22BF9" w:rsidP="00D22BF9">
      <w:pPr>
        <w:spacing w:line="240" w:lineRule="auto"/>
        <w:rPr>
          <w:rFonts w:eastAsia="Times New Roman" w:cs="Arial"/>
          <w:lang w:val="en-US" w:eastAsia="bg-BG"/>
        </w:rPr>
      </w:pPr>
      <w:r w:rsidRPr="00D22BF9">
        <w:rPr>
          <w:rFonts w:eastAsia="Times New Roman" w:cs="Arial"/>
          <w:b/>
          <w:bCs/>
          <w:color w:val="000000"/>
          <w:lang w:eastAsia="bg-BG"/>
        </w:rPr>
        <w:t xml:space="preserve">Грам-отрицателни бацили (включващи </w:t>
      </w:r>
      <w:proofErr w:type="spellStart"/>
      <w:r w:rsidRPr="00D22BF9">
        <w:rPr>
          <w:rFonts w:eastAsia="Times New Roman" w:cs="Arial"/>
          <w:b/>
          <w:bCs/>
          <w:i/>
          <w:iCs/>
          <w:color w:val="000000"/>
          <w:lang w:val="en-US"/>
        </w:rPr>
        <w:t>Bacteroides</w:t>
      </w:r>
      <w:proofErr w:type="spellEnd"/>
      <w:r w:rsidRPr="00D22BF9">
        <w:rPr>
          <w:rFonts w:eastAsia="Times New Roman" w:cs="Arial"/>
          <w:b/>
          <w:bCs/>
          <w:i/>
          <w:iCs/>
          <w:color w:val="000000"/>
          <w:lang w:val="en-US"/>
        </w:rPr>
        <w:t xml:space="preserve"> </w:t>
      </w:r>
      <w:proofErr w:type="spellStart"/>
      <w:r w:rsidRPr="00D22BF9">
        <w:rPr>
          <w:rFonts w:eastAsia="Times New Roman" w:cs="Arial"/>
          <w:b/>
          <w:bCs/>
          <w:i/>
          <w:iCs/>
          <w:color w:val="000000"/>
          <w:lang w:val="en-US"/>
        </w:rPr>
        <w:t>fragilis</w:t>
      </w:r>
      <w:proofErr w:type="spellEnd"/>
      <w:r w:rsidRPr="00D22BF9">
        <w:rPr>
          <w:rFonts w:eastAsia="Times New Roman" w:cs="Arial"/>
          <w:b/>
          <w:bCs/>
          <w:i/>
          <w:iCs/>
          <w:color w:val="000000"/>
          <w:lang w:val="en-US"/>
        </w:rPr>
        <w:t>,</w:t>
      </w:r>
      <w:r w:rsidRPr="00D22BF9">
        <w:rPr>
          <w:rFonts w:eastAsia="Times New Roman" w:cs="Arial"/>
          <w:b/>
          <w:bCs/>
          <w:color w:val="000000"/>
          <w:lang w:val="en-US"/>
        </w:rPr>
        <w:t xml:space="preserve"> </w:t>
      </w:r>
      <w:r w:rsidRPr="00D22BF9">
        <w:rPr>
          <w:rFonts w:eastAsia="Times New Roman" w:cs="Arial"/>
          <w:b/>
          <w:bCs/>
          <w:color w:val="000000"/>
          <w:lang w:eastAsia="bg-BG"/>
        </w:rPr>
        <w:t xml:space="preserve">други </w:t>
      </w:r>
      <w:proofErr w:type="spellStart"/>
      <w:r w:rsidRPr="00D22BF9">
        <w:rPr>
          <w:rFonts w:eastAsia="Times New Roman" w:cs="Arial"/>
          <w:b/>
          <w:bCs/>
          <w:i/>
          <w:iCs/>
          <w:color w:val="000000"/>
          <w:lang w:val="en-US"/>
        </w:rPr>
        <w:t>Bacteroides</w:t>
      </w:r>
      <w:proofErr w:type="spellEnd"/>
      <w:r w:rsidRPr="00D22BF9">
        <w:rPr>
          <w:rFonts w:eastAsia="Times New Roman" w:cs="Arial"/>
          <w:b/>
          <w:bCs/>
          <w:color w:val="000000"/>
          <w:lang w:val="en-US"/>
        </w:rPr>
        <w:t xml:space="preserve"> spp. </w:t>
      </w:r>
      <w:r w:rsidRPr="00D22BF9">
        <w:rPr>
          <w:rFonts w:eastAsia="Times New Roman" w:cs="Arial"/>
          <w:b/>
          <w:bCs/>
          <w:color w:val="000000"/>
          <w:lang w:eastAsia="bg-BG"/>
        </w:rPr>
        <w:t xml:space="preserve">и </w:t>
      </w:r>
      <w:proofErr w:type="spellStart"/>
      <w:r w:rsidRPr="00D22BF9">
        <w:rPr>
          <w:rFonts w:eastAsia="Times New Roman" w:cs="Arial"/>
          <w:b/>
          <w:bCs/>
          <w:i/>
          <w:iCs/>
          <w:color w:val="000000"/>
          <w:lang w:val="en-US"/>
        </w:rPr>
        <w:t>Fusobacterium</w:t>
      </w:r>
      <w:proofErr w:type="spellEnd"/>
      <w:r w:rsidRPr="00D22BF9">
        <w:rPr>
          <w:rFonts w:eastAsia="Times New Roman" w:cs="Arial"/>
          <w:b/>
          <w:bCs/>
          <w:i/>
          <w:iCs/>
          <w:color w:val="000000"/>
          <w:lang w:val="en-US"/>
        </w:rPr>
        <w:t xml:space="preserve"> </w:t>
      </w:r>
      <w:r w:rsidRPr="00D22BF9">
        <w:rPr>
          <w:rFonts w:eastAsia="Times New Roman" w:cs="Arial"/>
          <w:b/>
          <w:bCs/>
          <w:color w:val="000000"/>
          <w:lang w:val="en-US"/>
        </w:rPr>
        <w:t>spp.)</w:t>
      </w:r>
    </w:p>
    <w:p w14:paraId="72466555" w14:textId="77777777" w:rsidR="00D22BF9" w:rsidRPr="005F3611" w:rsidRDefault="00D22BF9" w:rsidP="00D22BF9">
      <w:pPr>
        <w:spacing w:line="240" w:lineRule="auto"/>
        <w:rPr>
          <w:rFonts w:eastAsia="Times New Roman" w:cs="Arial"/>
          <w:b/>
          <w:bCs/>
          <w:color w:val="000000"/>
          <w:lang w:eastAsia="bg-BG"/>
        </w:rPr>
      </w:pPr>
    </w:p>
    <w:p w14:paraId="5AFF4B49" w14:textId="6EEF6D70" w:rsidR="00D22BF9" w:rsidRPr="00D22BF9" w:rsidRDefault="00D22BF9" w:rsidP="00D22BF9">
      <w:pPr>
        <w:spacing w:line="240" w:lineRule="auto"/>
        <w:rPr>
          <w:rFonts w:eastAsia="Times New Roman" w:cs="Arial"/>
          <w:lang w:val="en-US" w:eastAsia="bg-BG"/>
        </w:rPr>
      </w:pPr>
      <w:r w:rsidRPr="00D22BF9">
        <w:rPr>
          <w:rFonts w:eastAsia="Times New Roman" w:cs="Arial"/>
          <w:b/>
          <w:bCs/>
          <w:color w:val="000000"/>
          <w:lang w:eastAsia="bg-BG"/>
        </w:rPr>
        <w:t xml:space="preserve">Грам-положителни и грам-отрицателни коки (включващи </w:t>
      </w:r>
      <w:proofErr w:type="spellStart"/>
      <w:r w:rsidRPr="00D22BF9">
        <w:rPr>
          <w:rFonts w:eastAsia="Times New Roman" w:cs="Arial"/>
          <w:b/>
          <w:bCs/>
          <w:i/>
          <w:iCs/>
          <w:color w:val="000000"/>
          <w:lang w:val="en-US"/>
        </w:rPr>
        <w:t>Peptococcus</w:t>
      </w:r>
      <w:proofErr w:type="spellEnd"/>
      <w:r w:rsidRPr="00D22BF9">
        <w:rPr>
          <w:rFonts w:eastAsia="Times New Roman" w:cs="Arial"/>
          <w:b/>
          <w:bCs/>
          <w:i/>
          <w:iCs/>
          <w:color w:val="000000"/>
          <w:lang w:val="en-US"/>
        </w:rPr>
        <w:t xml:space="preserve">, </w:t>
      </w:r>
      <w:proofErr w:type="spellStart"/>
      <w:r w:rsidRPr="00D22BF9">
        <w:rPr>
          <w:rFonts w:eastAsia="Times New Roman" w:cs="Arial"/>
          <w:b/>
          <w:bCs/>
          <w:i/>
          <w:iCs/>
          <w:color w:val="000000"/>
          <w:lang w:val="en-US"/>
        </w:rPr>
        <w:t>Pepiostreptococcus</w:t>
      </w:r>
      <w:proofErr w:type="spellEnd"/>
      <w:r w:rsidRPr="00D22BF9">
        <w:rPr>
          <w:rFonts w:eastAsia="Times New Roman" w:cs="Arial"/>
          <w:b/>
          <w:bCs/>
          <w:color w:val="000000"/>
          <w:lang w:val="en-US"/>
        </w:rPr>
        <w:t xml:space="preserve"> </w:t>
      </w:r>
      <w:r w:rsidRPr="00D22BF9">
        <w:rPr>
          <w:rFonts w:eastAsia="Times New Roman" w:cs="Arial"/>
          <w:b/>
          <w:bCs/>
          <w:color w:val="000000"/>
          <w:lang w:eastAsia="bg-BG"/>
        </w:rPr>
        <w:t xml:space="preserve">и </w:t>
      </w:r>
      <w:proofErr w:type="spellStart"/>
      <w:r w:rsidRPr="00D22BF9">
        <w:rPr>
          <w:rFonts w:eastAsia="Times New Roman" w:cs="Arial"/>
          <w:b/>
          <w:bCs/>
          <w:i/>
          <w:iCs/>
          <w:color w:val="000000"/>
          <w:lang w:val="en-US"/>
        </w:rPr>
        <w:t>Veillonella</w:t>
      </w:r>
      <w:proofErr w:type="spellEnd"/>
      <w:r w:rsidRPr="00D22BF9">
        <w:rPr>
          <w:rFonts w:eastAsia="Times New Roman" w:cs="Arial"/>
          <w:b/>
          <w:bCs/>
          <w:i/>
          <w:iCs/>
          <w:color w:val="000000"/>
          <w:lang w:val="en-US"/>
        </w:rPr>
        <w:t xml:space="preserve"> </w:t>
      </w:r>
      <w:r w:rsidRPr="00D22BF9">
        <w:rPr>
          <w:rFonts w:eastAsia="Times New Roman" w:cs="Arial"/>
          <w:b/>
          <w:bCs/>
          <w:color w:val="000000"/>
          <w:lang w:val="en-US"/>
        </w:rPr>
        <w:t>spp.)</w:t>
      </w:r>
    </w:p>
    <w:p w14:paraId="5322A3CE" w14:textId="77777777" w:rsidR="00D22BF9" w:rsidRPr="005F3611" w:rsidRDefault="00D22BF9" w:rsidP="00D22BF9">
      <w:pPr>
        <w:spacing w:line="240" w:lineRule="auto"/>
        <w:rPr>
          <w:rFonts w:eastAsia="Times New Roman" w:cs="Arial"/>
          <w:b/>
          <w:bCs/>
          <w:color w:val="000000"/>
          <w:lang w:eastAsia="bg-BG"/>
        </w:rPr>
      </w:pPr>
    </w:p>
    <w:p w14:paraId="0EF8070A" w14:textId="11AA73A1" w:rsidR="00D22BF9" w:rsidRPr="00D22BF9" w:rsidRDefault="00D22BF9" w:rsidP="00D22BF9">
      <w:pPr>
        <w:spacing w:line="240" w:lineRule="auto"/>
        <w:rPr>
          <w:rFonts w:eastAsia="Times New Roman" w:cs="Arial"/>
          <w:lang w:val="en-US" w:eastAsia="bg-BG"/>
        </w:rPr>
      </w:pPr>
      <w:r w:rsidRPr="00D22BF9">
        <w:rPr>
          <w:rFonts w:eastAsia="Times New Roman" w:cs="Arial"/>
          <w:b/>
          <w:bCs/>
          <w:color w:val="000000"/>
          <w:lang w:eastAsia="bg-BG"/>
        </w:rPr>
        <w:t xml:space="preserve">Грам-положителни бацили (включващи </w:t>
      </w:r>
      <w:r w:rsidRPr="00D22BF9">
        <w:rPr>
          <w:rFonts w:eastAsia="Times New Roman" w:cs="Arial"/>
          <w:b/>
          <w:bCs/>
          <w:i/>
          <w:iCs/>
          <w:color w:val="000000"/>
          <w:lang w:val="en-US"/>
        </w:rPr>
        <w:t xml:space="preserve">Clostridium, </w:t>
      </w:r>
      <w:proofErr w:type="spellStart"/>
      <w:r w:rsidRPr="00D22BF9">
        <w:rPr>
          <w:rFonts w:eastAsia="Times New Roman" w:cs="Arial"/>
          <w:b/>
          <w:bCs/>
          <w:i/>
          <w:iCs/>
          <w:color w:val="000000"/>
          <w:lang w:val="en-US"/>
        </w:rPr>
        <w:t>Eubacterium</w:t>
      </w:r>
      <w:proofErr w:type="spellEnd"/>
      <w:r w:rsidRPr="00D22BF9">
        <w:rPr>
          <w:rFonts w:eastAsia="Times New Roman" w:cs="Arial"/>
          <w:b/>
          <w:bCs/>
          <w:color w:val="000000"/>
          <w:lang w:val="en-US"/>
        </w:rPr>
        <w:t xml:space="preserve"> </w:t>
      </w:r>
      <w:r w:rsidRPr="00D22BF9">
        <w:rPr>
          <w:rFonts w:eastAsia="Times New Roman" w:cs="Arial"/>
          <w:b/>
          <w:bCs/>
          <w:color w:val="000000"/>
          <w:lang w:eastAsia="bg-BG"/>
        </w:rPr>
        <w:t xml:space="preserve">и </w:t>
      </w:r>
      <w:r w:rsidRPr="00D22BF9">
        <w:rPr>
          <w:rFonts w:eastAsia="Times New Roman" w:cs="Arial"/>
          <w:b/>
          <w:bCs/>
          <w:i/>
          <w:iCs/>
          <w:color w:val="000000"/>
          <w:lang w:val="en-US"/>
        </w:rPr>
        <w:t>Lactobacillus</w:t>
      </w:r>
      <w:r w:rsidRPr="00D22BF9">
        <w:rPr>
          <w:rFonts w:eastAsia="Times New Roman" w:cs="Arial"/>
          <w:b/>
          <w:bCs/>
          <w:color w:val="000000"/>
          <w:lang w:val="en-US"/>
        </w:rPr>
        <w:t xml:space="preserve"> species)</w:t>
      </w:r>
    </w:p>
    <w:p w14:paraId="6E2662E7" w14:textId="77777777" w:rsidR="00D22BF9" w:rsidRPr="005F3611" w:rsidRDefault="00D22BF9" w:rsidP="00D22BF9">
      <w:pPr>
        <w:rPr>
          <w:rFonts w:eastAsia="Times New Roman" w:cs="Arial"/>
          <w:b/>
          <w:bCs/>
          <w:color w:val="000000"/>
          <w:lang w:eastAsia="bg-BG"/>
        </w:rPr>
      </w:pPr>
    </w:p>
    <w:p w14:paraId="559BEBD7" w14:textId="51AD326D" w:rsidR="00D22BF9" w:rsidRPr="005F3611" w:rsidRDefault="00D22BF9" w:rsidP="00D22BF9">
      <w:pPr>
        <w:rPr>
          <w:rFonts w:eastAsia="Times New Roman" w:cs="Arial"/>
          <w:b/>
          <w:bCs/>
          <w:color w:val="000000"/>
          <w:lang w:eastAsia="bg-BG"/>
        </w:rPr>
      </w:pPr>
      <w:r w:rsidRPr="005F3611">
        <w:rPr>
          <w:rFonts w:eastAsia="Times New Roman" w:cs="Arial"/>
          <w:b/>
          <w:bCs/>
          <w:color w:val="000000"/>
          <w:lang w:eastAsia="bg-BG"/>
        </w:rPr>
        <w:t>По-долу са показани границите на чувствителност, установени за Сулперазон:</w:t>
      </w:r>
    </w:p>
    <w:p w14:paraId="7C7458D5" w14:textId="1680F066" w:rsidR="00D22BF9" w:rsidRDefault="00D22BF9" w:rsidP="00D22BF9">
      <w:pPr>
        <w:rPr>
          <w:rFonts w:ascii="Times New Roman" w:eastAsia="Times New Roman" w:hAnsi="Times New Roman" w:cs="Times New Roman"/>
          <w:b/>
          <w:bCs/>
          <w:color w:val="000000"/>
          <w:lang w:eastAsia="bg-BG"/>
        </w:rPr>
      </w:pPr>
    </w:p>
    <w:tbl>
      <w:tblPr>
        <w:tblStyle w:val="TableGrid"/>
        <w:tblW w:w="0" w:type="auto"/>
        <w:tblLook w:val="04A0" w:firstRow="1" w:lastRow="0" w:firstColumn="1" w:lastColumn="0" w:noHBand="0" w:noVBand="1"/>
      </w:tblPr>
      <w:tblGrid>
        <w:gridCol w:w="4675"/>
        <w:gridCol w:w="4675"/>
      </w:tblGrid>
      <w:tr w:rsidR="00D22BF9" w14:paraId="4972733D" w14:textId="77777777" w:rsidTr="006E1871">
        <w:tc>
          <w:tcPr>
            <w:tcW w:w="4675" w:type="dxa"/>
          </w:tcPr>
          <w:p w14:paraId="5AAA59F9" w14:textId="77777777" w:rsidR="00D22BF9" w:rsidRPr="00D22BF9" w:rsidRDefault="00D22BF9" w:rsidP="00D22BF9"/>
        </w:tc>
        <w:tc>
          <w:tcPr>
            <w:tcW w:w="4675" w:type="dxa"/>
            <w:vAlign w:val="bottom"/>
          </w:tcPr>
          <w:p w14:paraId="544A8238" w14:textId="6543D492" w:rsidR="00D22BF9" w:rsidRPr="00D22BF9" w:rsidRDefault="00D22BF9" w:rsidP="00D22BF9">
            <w:r w:rsidRPr="00D22BF9">
              <w:rPr>
                <w:b/>
                <w:bCs/>
              </w:rPr>
              <w:t>Минимална инхибираща концентрация (МИК), (микрограм</w:t>
            </w:r>
            <w:r w:rsidRPr="00D22BF9">
              <w:rPr>
                <w:b/>
                <w:bCs/>
                <w:lang w:val="en-US"/>
              </w:rPr>
              <w:t xml:space="preserve">/ml, </w:t>
            </w:r>
            <w:r w:rsidRPr="00D22BF9">
              <w:rPr>
                <w:b/>
                <w:bCs/>
              </w:rPr>
              <w:t>представена като концентрация на цефоперазон)</w:t>
            </w:r>
          </w:p>
        </w:tc>
      </w:tr>
      <w:tr w:rsidR="00D22BF9" w14:paraId="1C5E9F23" w14:textId="77777777" w:rsidTr="00D22BF9">
        <w:tc>
          <w:tcPr>
            <w:tcW w:w="4675" w:type="dxa"/>
          </w:tcPr>
          <w:p w14:paraId="763EBEF3" w14:textId="77777777" w:rsidR="00D22BF9" w:rsidRPr="00D22BF9" w:rsidRDefault="00D22BF9" w:rsidP="00D22BF9">
            <w:r w:rsidRPr="00D22BF9">
              <w:rPr>
                <w:b/>
                <w:bCs/>
              </w:rPr>
              <w:t>Чувствителни</w:t>
            </w:r>
          </w:p>
          <w:p w14:paraId="46BBBD48" w14:textId="60306F47" w:rsidR="00D22BF9" w:rsidRPr="00D22BF9" w:rsidRDefault="00D22BF9" w:rsidP="00D22BF9">
            <w:r w:rsidRPr="00D22BF9">
              <w:rPr>
                <w:b/>
                <w:bCs/>
              </w:rPr>
              <w:t>Средно чувствителни Резистентни</w:t>
            </w:r>
          </w:p>
        </w:tc>
        <w:tc>
          <w:tcPr>
            <w:tcW w:w="4675" w:type="dxa"/>
          </w:tcPr>
          <w:p w14:paraId="2B594FFE" w14:textId="3D29F280" w:rsidR="00D22BF9" w:rsidRPr="00D22BF9" w:rsidRDefault="00D22BF9" w:rsidP="00D22BF9">
            <w:r w:rsidRPr="00D22BF9">
              <w:rPr>
                <w:b/>
                <w:bCs/>
              </w:rPr>
              <w:t xml:space="preserve">&lt;16 17-63 </w:t>
            </w:r>
            <w:r w:rsidRPr="00D22BF9">
              <w:rPr>
                <w:b/>
                <w:bCs/>
                <w:i/>
                <w:iCs/>
              </w:rPr>
              <w:t>&gt;64</w:t>
            </w:r>
          </w:p>
        </w:tc>
      </w:tr>
      <w:tr w:rsidR="00D22BF9" w14:paraId="02B86AA5" w14:textId="77777777" w:rsidTr="006E1871">
        <w:tc>
          <w:tcPr>
            <w:tcW w:w="4675" w:type="dxa"/>
          </w:tcPr>
          <w:p w14:paraId="750BCFB6" w14:textId="77777777" w:rsidR="00D22BF9" w:rsidRPr="00D22BF9" w:rsidRDefault="00D22BF9" w:rsidP="00D22BF9"/>
        </w:tc>
        <w:tc>
          <w:tcPr>
            <w:tcW w:w="4675" w:type="dxa"/>
            <w:vAlign w:val="bottom"/>
          </w:tcPr>
          <w:p w14:paraId="612C7CB1" w14:textId="0D48EE12" w:rsidR="00D22BF9" w:rsidRPr="00D22BF9" w:rsidRDefault="00D22BF9" w:rsidP="00D22BF9">
            <w:r w:rsidRPr="00D22BF9">
              <w:rPr>
                <w:b/>
                <w:bCs/>
              </w:rPr>
              <w:t xml:space="preserve">Размер на зоната на чувствителност около диска </w:t>
            </w:r>
            <w:r w:rsidRPr="00D22BF9">
              <w:rPr>
                <w:b/>
                <w:bCs/>
                <w:lang w:val="en-US"/>
              </w:rPr>
              <w:t>mm (Kirby-Bauer)</w:t>
            </w:r>
          </w:p>
        </w:tc>
      </w:tr>
      <w:tr w:rsidR="00D22BF9" w14:paraId="07F94B41" w14:textId="77777777" w:rsidTr="00D22BF9">
        <w:tc>
          <w:tcPr>
            <w:tcW w:w="4675" w:type="dxa"/>
          </w:tcPr>
          <w:p w14:paraId="41E1ECA6" w14:textId="77777777" w:rsidR="00D22BF9" w:rsidRPr="00D22BF9" w:rsidRDefault="00D22BF9" w:rsidP="00D22BF9">
            <w:r w:rsidRPr="00D22BF9">
              <w:rPr>
                <w:b/>
                <w:bCs/>
              </w:rPr>
              <w:t>Чувствителни Средно чувствителни</w:t>
            </w:r>
          </w:p>
          <w:p w14:paraId="77DFF555" w14:textId="13407A6B" w:rsidR="00D22BF9" w:rsidRPr="00D22BF9" w:rsidRDefault="00D22BF9" w:rsidP="00D22BF9">
            <w:r w:rsidRPr="00D22BF9">
              <w:rPr>
                <w:b/>
                <w:bCs/>
              </w:rPr>
              <w:t>Резистентни</w:t>
            </w:r>
          </w:p>
        </w:tc>
        <w:tc>
          <w:tcPr>
            <w:tcW w:w="4675" w:type="dxa"/>
          </w:tcPr>
          <w:p w14:paraId="2BA513BE" w14:textId="77777777" w:rsidR="00D22BF9" w:rsidRPr="00D22BF9" w:rsidRDefault="00D22BF9" w:rsidP="00D22BF9">
            <w:r w:rsidRPr="00D22BF9">
              <w:rPr>
                <w:b/>
                <w:bCs/>
              </w:rPr>
              <w:t>&gt;21 16-20</w:t>
            </w:r>
          </w:p>
          <w:p w14:paraId="65D3C354" w14:textId="76F334B0" w:rsidR="00D22BF9" w:rsidRPr="00D22BF9" w:rsidRDefault="00D22BF9" w:rsidP="00D22BF9">
            <w:r w:rsidRPr="00D22BF9">
              <w:rPr>
                <w:b/>
                <w:bCs/>
              </w:rPr>
              <w:t>&lt;=15</w:t>
            </w:r>
          </w:p>
        </w:tc>
      </w:tr>
    </w:tbl>
    <w:p w14:paraId="6B9326D5" w14:textId="7A3F8426" w:rsidR="00D22BF9" w:rsidRDefault="00D22BF9" w:rsidP="00D22BF9"/>
    <w:p w14:paraId="781CBAD3" w14:textId="77777777" w:rsidR="00D22BF9" w:rsidRPr="00D22BF9" w:rsidRDefault="00D22BF9" w:rsidP="00D22BF9">
      <w:pPr>
        <w:spacing w:line="240" w:lineRule="auto"/>
        <w:rPr>
          <w:rFonts w:eastAsia="Times New Roman" w:cs="Arial"/>
          <w:lang w:eastAsia="bg-BG"/>
        </w:rPr>
      </w:pPr>
      <w:r w:rsidRPr="00D22BF9">
        <w:rPr>
          <w:rFonts w:eastAsia="Times New Roman" w:cs="Arial"/>
          <w:b/>
          <w:bCs/>
          <w:color w:val="000000"/>
          <w:lang w:eastAsia="bg-BG"/>
        </w:rPr>
        <w:t>За определяне на МИК могат да бъдат използвани серийни разреждания на сулбактам/цефоперазон в съотношение 1:1 чрез посявка в агар или бульон. Препоръчва се използването на тест с дискове за антибактерилна чувствителност, съдържащ 30 микрограма сулбактам и 75 микрограма цефоперазон в диск. Лабораторен резултат “чувствителен” показва, че причинителят на инфекцията би се повлиял от терапията със сулбактам/цефоперазон, а лабораторен резултат “резистентен” показва, че причинителят не би се повлиял. Лабораторен резултат “средно чувствителен” предполага, че причинителят би бил чувствителен на сулбактам/цефоперазон, ако се използва по-висока доза или ако инфекцията е ограничиха в тъкани или течности, където се достигат високи антибиотични концентрации.</w:t>
      </w:r>
    </w:p>
    <w:p w14:paraId="42F89B64" w14:textId="77777777" w:rsidR="00D22BF9" w:rsidRPr="00D22BF9" w:rsidRDefault="00D22BF9" w:rsidP="00D22BF9">
      <w:pPr>
        <w:rPr>
          <w:rFonts w:eastAsia="Times New Roman" w:cs="Arial"/>
          <w:b/>
          <w:bCs/>
          <w:color w:val="000000"/>
          <w:lang w:eastAsia="bg-BG"/>
        </w:rPr>
      </w:pPr>
    </w:p>
    <w:p w14:paraId="71BD9BBD" w14:textId="566E2517" w:rsidR="00D22BF9" w:rsidRPr="00D22BF9" w:rsidRDefault="00D22BF9" w:rsidP="00D22BF9">
      <w:pPr>
        <w:rPr>
          <w:rFonts w:eastAsia="Times New Roman" w:cs="Arial"/>
          <w:b/>
          <w:bCs/>
          <w:color w:val="000000"/>
          <w:lang w:eastAsia="bg-BG"/>
        </w:rPr>
      </w:pPr>
      <w:r w:rsidRPr="00D22BF9">
        <w:rPr>
          <w:rFonts w:eastAsia="Times New Roman" w:cs="Arial"/>
          <w:b/>
          <w:bCs/>
          <w:color w:val="000000"/>
          <w:lang w:eastAsia="bg-BG"/>
        </w:rPr>
        <w:t>Препоръчват се следните граници за качествен контрол на дисковете за антибактериал на чувствителност с 30 микрограма/75 микрограма сулбактам/цефоперазон:</w:t>
      </w:r>
    </w:p>
    <w:p w14:paraId="5A91D46C" w14:textId="278F10BF" w:rsidR="00D22BF9" w:rsidRDefault="00D22BF9" w:rsidP="00D22BF9">
      <w:pPr>
        <w:rPr>
          <w:rFonts w:ascii="Times New Roman" w:eastAsia="Times New Roman" w:hAnsi="Times New Roman" w:cs="Times New Roman"/>
          <w:b/>
          <w:bCs/>
          <w:color w:val="000000"/>
          <w:lang w:eastAsia="bg-BG"/>
        </w:rPr>
      </w:pPr>
    </w:p>
    <w:tbl>
      <w:tblPr>
        <w:tblStyle w:val="TableGrid"/>
        <w:tblW w:w="0" w:type="auto"/>
        <w:tblLook w:val="04A0" w:firstRow="1" w:lastRow="0" w:firstColumn="1" w:lastColumn="0" w:noHBand="0" w:noVBand="1"/>
      </w:tblPr>
      <w:tblGrid>
        <w:gridCol w:w="4675"/>
        <w:gridCol w:w="4675"/>
      </w:tblGrid>
      <w:tr w:rsidR="00D22BF9" w14:paraId="5CA903B9" w14:textId="77777777" w:rsidTr="00D22BF9">
        <w:tc>
          <w:tcPr>
            <w:tcW w:w="4675" w:type="dxa"/>
          </w:tcPr>
          <w:p w14:paraId="35B06C9E" w14:textId="68D68E29" w:rsidR="00D22BF9" w:rsidRPr="00D22BF9" w:rsidRDefault="00D22BF9" w:rsidP="00D22BF9">
            <w:r w:rsidRPr="00D22BF9">
              <w:rPr>
                <w:b/>
                <w:bCs/>
                <w:lang w:eastAsia="bg-BG"/>
              </w:rPr>
              <w:t>КОНТРОЛЕН ЩАМ</w:t>
            </w:r>
          </w:p>
        </w:tc>
        <w:tc>
          <w:tcPr>
            <w:tcW w:w="4675" w:type="dxa"/>
          </w:tcPr>
          <w:p w14:paraId="4C43B5FA" w14:textId="0A18B209" w:rsidR="00D22BF9" w:rsidRPr="00D22BF9" w:rsidRDefault="00D22BF9" w:rsidP="00D22BF9">
            <w:r w:rsidRPr="00D22BF9">
              <w:rPr>
                <w:b/>
                <w:bCs/>
                <w:lang w:eastAsia="bg-BG"/>
              </w:rPr>
              <w:t xml:space="preserve">РАЗМЕР </w:t>
            </w:r>
            <w:r w:rsidRPr="00D22BF9">
              <w:rPr>
                <w:b/>
                <w:bCs/>
              </w:rPr>
              <w:t xml:space="preserve">HA </w:t>
            </w:r>
            <w:r w:rsidRPr="00D22BF9">
              <w:rPr>
                <w:b/>
                <w:bCs/>
                <w:lang w:eastAsia="bg-BG"/>
              </w:rPr>
              <w:t xml:space="preserve">ЗОНАТА, </w:t>
            </w:r>
            <w:r w:rsidRPr="00D22BF9">
              <w:rPr>
                <w:b/>
                <w:bCs/>
              </w:rPr>
              <w:t>mm</w:t>
            </w:r>
          </w:p>
        </w:tc>
      </w:tr>
      <w:tr w:rsidR="00D22BF9" w14:paraId="501F5630" w14:textId="77777777" w:rsidTr="00D22BF9">
        <w:tc>
          <w:tcPr>
            <w:tcW w:w="4675" w:type="dxa"/>
          </w:tcPr>
          <w:p w14:paraId="62E4EDAA" w14:textId="77777777" w:rsidR="00D22BF9" w:rsidRDefault="00D22BF9" w:rsidP="00D22BF9">
            <w:pPr>
              <w:rPr>
                <w:b/>
                <w:bCs/>
              </w:rPr>
            </w:pPr>
            <w:r w:rsidRPr="00D22BF9">
              <w:rPr>
                <w:b/>
                <w:bCs/>
                <w:i/>
                <w:iCs/>
              </w:rPr>
              <w:t>Acinetobacter</w:t>
            </w:r>
            <w:r w:rsidRPr="00D22BF9">
              <w:rPr>
                <w:b/>
                <w:bCs/>
              </w:rPr>
              <w:t xml:space="preserve"> spp. </w:t>
            </w:r>
          </w:p>
          <w:p w14:paraId="2823CCB3" w14:textId="77777777" w:rsidR="00D22BF9" w:rsidRDefault="00D22BF9" w:rsidP="00D22BF9">
            <w:pPr>
              <w:rPr>
                <w:b/>
                <w:bCs/>
              </w:rPr>
            </w:pPr>
            <w:r w:rsidRPr="00D22BF9">
              <w:rPr>
                <w:b/>
                <w:bCs/>
              </w:rPr>
              <w:t xml:space="preserve">ATCC 43498 </w:t>
            </w:r>
          </w:p>
          <w:p w14:paraId="51739C33" w14:textId="037E8793" w:rsidR="00D22BF9" w:rsidRDefault="00D22BF9" w:rsidP="00D22BF9">
            <w:pPr>
              <w:rPr>
                <w:b/>
                <w:bCs/>
                <w:i/>
                <w:iCs/>
              </w:rPr>
            </w:pPr>
            <w:r w:rsidRPr="00D22BF9">
              <w:rPr>
                <w:b/>
                <w:bCs/>
                <w:i/>
                <w:iCs/>
              </w:rPr>
              <w:t xml:space="preserve">Pseudomonas aeruginosa </w:t>
            </w:r>
          </w:p>
          <w:p w14:paraId="30C18C56" w14:textId="77777777" w:rsidR="00D22BF9" w:rsidRDefault="00D22BF9" w:rsidP="00D22BF9">
            <w:pPr>
              <w:rPr>
                <w:b/>
                <w:bCs/>
              </w:rPr>
            </w:pPr>
            <w:r w:rsidRPr="00D22BF9">
              <w:rPr>
                <w:b/>
                <w:bCs/>
              </w:rPr>
              <w:t xml:space="preserve">ATCC 27853 </w:t>
            </w:r>
          </w:p>
          <w:p w14:paraId="4254827E" w14:textId="5B3C3B73" w:rsidR="00D22BF9" w:rsidRDefault="00D22BF9" w:rsidP="00D22BF9">
            <w:pPr>
              <w:rPr>
                <w:b/>
                <w:bCs/>
                <w:i/>
                <w:iCs/>
              </w:rPr>
            </w:pPr>
            <w:r w:rsidRPr="00D22BF9">
              <w:rPr>
                <w:b/>
                <w:bCs/>
                <w:i/>
                <w:iCs/>
              </w:rPr>
              <w:t xml:space="preserve">Escherichia coli </w:t>
            </w:r>
          </w:p>
          <w:p w14:paraId="20AD6620" w14:textId="77777777" w:rsidR="00D22BF9" w:rsidRDefault="00D22BF9" w:rsidP="00D22BF9">
            <w:pPr>
              <w:rPr>
                <w:b/>
                <w:bCs/>
              </w:rPr>
            </w:pPr>
            <w:r w:rsidRPr="00D22BF9">
              <w:rPr>
                <w:b/>
                <w:bCs/>
              </w:rPr>
              <w:t xml:space="preserve">ATCC 25922 </w:t>
            </w:r>
          </w:p>
          <w:p w14:paraId="0982CC78" w14:textId="3F1EEE6B" w:rsidR="00D22BF9" w:rsidRDefault="00D22BF9" w:rsidP="00D22BF9">
            <w:pPr>
              <w:rPr>
                <w:b/>
                <w:bCs/>
                <w:i/>
                <w:iCs/>
              </w:rPr>
            </w:pPr>
            <w:r w:rsidRPr="00D22BF9">
              <w:rPr>
                <w:b/>
                <w:bCs/>
                <w:i/>
                <w:iCs/>
              </w:rPr>
              <w:t xml:space="preserve">Staphylococcus aureus </w:t>
            </w:r>
          </w:p>
          <w:p w14:paraId="5B00AA1F" w14:textId="6144050E" w:rsidR="00D22BF9" w:rsidRPr="00D22BF9" w:rsidRDefault="00D22BF9" w:rsidP="00D22BF9">
            <w:r w:rsidRPr="00D22BF9">
              <w:rPr>
                <w:b/>
                <w:bCs/>
              </w:rPr>
              <w:t>ATCC 25923</w:t>
            </w:r>
          </w:p>
        </w:tc>
        <w:tc>
          <w:tcPr>
            <w:tcW w:w="4675" w:type="dxa"/>
          </w:tcPr>
          <w:p w14:paraId="7ABFDBBB" w14:textId="77777777" w:rsidR="00D22BF9" w:rsidRPr="00D22BF9" w:rsidRDefault="00D22BF9" w:rsidP="00D22BF9">
            <w:pPr>
              <w:rPr>
                <w:lang w:eastAsia="bg-BG"/>
              </w:rPr>
            </w:pPr>
            <w:r w:rsidRPr="00D22BF9">
              <w:rPr>
                <w:b/>
                <w:bCs/>
              </w:rPr>
              <w:t>26-32</w:t>
            </w:r>
          </w:p>
          <w:p w14:paraId="7DE8AB95" w14:textId="77777777" w:rsidR="00D22BF9" w:rsidRDefault="00D22BF9" w:rsidP="00D22BF9">
            <w:pPr>
              <w:rPr>
                <w:b/>
                <w:bCs/>
              </w:rPr>
            </w:pPr>
          </w:p>
          <w:p w14:paraId="2D5D828E" w14:textId="0070AEA5" w:rsidR="00D22BF9" w:rsidRPr="00D22BF9" w:rsidRDefault="00D22BF9" w:rsidP="00D22BF9">
            <w:pPr>
              <w:rPr>
                <w:lang w:eastAsia="bg-BG"/>
              </w:rPr>
            </w:pPr>
            <w:r w:rsidRPr="00D22BF9">
              <w:rPr>
                <w:b/>
                <w:bCs/>
              </w:rPr>
              <w:t>22-28</w:t>
            </w:r>
          </w:p>
          <w:p w14:paraId="69F2FC94" w14:textId="77777777" w:rsidR="00D22BF9" w:rsidRDefault="00D22BF9" w:rsidP="00D22BF9">
            <w:pPr>
              <w:rPr>
                <w:b/>
                <w:bCs/>
              </w:rPr>
            </w:pPr>
          </w:p>
          <w:p w14:paraId="77665188" w14:textId="620B6372" w:rsidR="00D22BF9" w:rsidRPr="00D22BF9" w:rsidRDefault="00D22BF9" w:rsidP="00D22BF9">
            <w:pPr>
              <w:rPr>
                <w:lang w:eastAsia="bg-BG"/>
              </w:rPr>
            </w:pPr>
            <w:r w:rsidRPr="00D22BF9">
              <w:rPr>
                <w:b/>
                <w:bCs/>
              </w:rPr>
              <w:t>27-33</w:t>
            </w:r>
          </w:p>
          <w:p w14:paraId="118D02A0" w14:textId="77777777" w:rsidR="00D22BF9" w:rsidRDefault="00D22BF9" w:rsidP="00D22BF9">
            <w:pPr>
              <w:rPr>
                <w:b/>
                <w:bCs/>
                <w:u w:val="single"/>
              </w:rPr>
            </w:pPr>
          </w:p>
          <w:p w14:paraId="438B3FE7" w14:textId="1C8ABD4D" w:rsidR="00D22BF9" w:rsidRPr="00D22BF9" w:rsidRDefault="00D22BF9" w:rsidP="00D22BF9">
            <w:pPr>
              <w:rPr>
                <w:b/>
                <w:bCs/>
                <w:u w:val="single"/>
              </w:rPr>
            </w:pPr>
            <w:r w:rsidRPr="00D22BF9">
              <w:rPr>
                <w:b/>
                <w:bCs/>
                <w:u w:val="single"/>
              </w:rPr>
              <w:t xml:space="preserve">23-30 </w:t>
            </w:r>
          </w:p>
        </w:tc>
      </w:tr>
    </w:tbl>
    <w:p w14:paraId="36823D3D" w14:textId="77777777" w:rsidR="00D22BF9" w:rsidRDefault="00D22BF9" w:rsidP="00D22BF9"/>
    <w:p w14:paraId="56792922" w14:textId="77777777" w:rsidR="00D22BF9" w:rsidRPr="0091385D" w:rsidRDefault="00D22BF9" w:rsidP="0091385D"/>
    <w:p w14:paraId="5031193D" w14:textId="408B9A83" w:rsidR="0091385D" w:rsidRDefault="002C50EE" w:rsidP="007A2185">
      <w:pPr>
        <w:pStyle w:val="Heading2"/>
      </w:pPr>
      <w:r>
        <w:t>5.2. Фармакокинетични свойства</w:t>
      </w:r>
    </w:p>
    <w:p w14:paraId="46B35D05" w14:textId="6A0462F4" w:rsidR="007A2185" w:rsidRDefault="007A2185" w:rsidP="007A2185"/>
    <w:p w14:paraId="16AB1008" w14:textId="77777777" w:rsidR="00D22BF9" w:rsidRPr="00D22BF9" w:rsidRDefault="00D22BF9" w:rsidP="00D22BF9">
      <w:pPr>
        <w:spacing w:line="240" w:lineRule="auto"/>
        <w:rPr>
          <w:rFonts w:eastAsia="Times New Roman" w:cs="Arial"/>
          <w:lang w:eastAsia="bg-BG"/>
        </w:rPr>
      </w:pPr>
      <w:r w:rsidRPr="00D22BF9">
        <w:rPr>
          <w:rFonts w:eastAsia="Times New Roman" w:cs="Arial"/>
          <w:b/>
          <w:bCs/>
          <w:color w:val="000000"/>
          <w:u w:val="single"/>
          <w:lang w:eastAsia="bg-BG"/>
        </w:rPr>
        <w:t>Обши Фармакокинетични характеристики</w:t>
      </w:r>
    </w:p>
    <w:p w14:paraId="3B92BF00" w14:textId="77777777" w:rsidR="00D22BF9" w:rsidRPr="00D22BF9" w:rsidRDefault="00D22BF9" w:rsidP="00D22BF9">
      <w:pPr>
        <w:spacing w:line="240" w:lineRule="auto"/>
        <w:rPr>
          <w:rFonts w:eastAsia="Times New Roman" w:cs="Arial"/>
          <w:lang w:eastAsia="bg-BG"/>
        </w:rPr>
      </w:pPr>
      <w:r w:rsidRPr="00D22BF9">
        <w:rPr>
          <w:rFonts w:eastAsia="Times New Roman" w:cs="Arial"/>
          <w:b/>
          <w:bCs/>
          <w:color w:val="000000"/>
          <w:lang w:eastAsia="bg-BG"/>
        </w:rPr>
        <w:t xml:space="preserve">Средният пик на концентрациите на сулбактам и цефоперазон след приложение на 2 </w:t>
      </w:r>
      <w:r w:rsidRPr="00D22BF9">
        <w:rPr>
          <w:rFonts w:eastAsia="Times New Roman" w:cs="Arial"/>
          <w:b/>
          <w:bCs/>
          <w:color w:val="000000"/>
          <w:lang w:val="en-US"/>
        </w:rPr>
        <w:t xml:space="preserve">g </w:t>
      </w:r>
      <w:r w:rsidRPr="00D22BF9">
        <w:rPr>
          <w:rFonts w:eastAsia="Times New Roman" w:cs="Arial"/>
          <w:b/>
          <w:bCs/>
          <w:color w:val="000000"/>
          <w:lang w:eastAsia="bg-BG"/>
        </w:rPr>
        <w:t xml:space="preserve">Сулперазон (1 </w:t>
      </w:r>
      <w:r w:rsidRPr="00D22BF9">
        <w:rPr>
          <w:rFonts w:eastAsia="Times New Roman" w:cs="Arial"/>
          <w:b/>
          <w:bCs/>
          <w:color w:val="000000"/>
          <w:lang w:val="en-US"/>
        </w:rPr>
        <w:t xml:space="preserve">g </w:t>
      </w:r>
      <w:r w:rsidRPr="00D22BF9">
        <w:rPr>
          <w:rFonts w:eastAsia="Times New Roman" w:cs="Arial"/>
          <w:b/>
          <w:bCs/>
          <w:color w:val="000000"/>
          <w:lang w:eastAsia="bg-BG"/>
        </w:rPr>
        <w:t xml:space="preserve">сулбактам, 1 </w:t>
      </w:r>
      <w:r w:rsidRPr="00D22BF9">
        <w:rPr>
          <w:rFonts w:eastAsia="Times New Roman" w:cs="Arial"/>
          <w:b/>
          <w:bCs/>
          <w:color w:val="000000"/>
          <w:lang w:val="en-US"/>
        </w:rPr>
        <w:t xml:space="preserve">g </w:t>
      </w:r>
      <w:r w:rsidRPr="00D22BF9">
        <w:rPr>
          <w:rFonts w:eastAsia="Times New Roman" w:cs="Arial"/>
          <w:b/>
          <w:bCs/>
          <w:color w:val="000000"/>
          <w:lang w:eastAsia="bg-BG"/>
        </w:rPr>
        <w:t>цефоперазон) интравенозно за 5 минути са съответно 130,2 и 236,8 микрограма</w:t>
      </w:r>
      <w:r w:rsidRPr="00D22BF9">
        <w:rPr>
          <w:rFonts w:eastAsia="Times New Roman" w:cs="Arial"/>
          <w:b/>
          <w:bCs/>
          <w:color w:val="000000"/>
          <w:lang w:val="en-US"/>
        </w:rPr>
        <w:t>/ml.</w:t>
      </w:r>
    </w:p>
    <w:p w14:paraId="07B63068" w14:textId="77777777" w:rsidR="00D22BF9" w:rsidRPr="00D22BF9" w:rsidRDefault="00D22BF9" w:rsidP="00D22BF9">
      <w:pPr>
        <w:spacing w:line="240" w:lineRule="auto"/>
        <w:rPr>
          <w:rFonts w:eastAsia="Times New Roman" w:cs="Arial"/>
          <w:lang w:eastAsia="bg-BG"/>
        </w:rPr>
      </w:pPr>
      <w:r w:rsidRPr="00D22BF9">
        <w:rPr>
          <w:rFonts w:eastAsia="Times New Roman" w:cs="Arial"/>
          <w:b/>
          <w:bCs/>
          <w:color w:val="000000"/>
          <w:lang w:eastAsia="bg-BG"/>
        </w:rPr>
        <w:t xml:space="preserve">Това отразява по-големия обем на разпределение на сулбактам </w:t>
      </w:r>
      <w:r w:rsidRPr="00D22BF9">
        <w:rPr>
          <w:rFonts w:eastAsia="Times New Roman" w:cs="Arial"/>
          <w:b/>
          <w:bCs/>
          <w:color w:val="000000"/>
          <w:lang w:val="en-US"/>
        </w:rPr>
        <w:t>(</w:t>
      </w:r>
      <w:proofErr w:type="spellStart"/>
      <w:r w:rsidRPr="00D22BF9">
        <w:rPr>
          <w:rFonts w:eastAsia="Times New Roman" w:cs="Arial"/>
          <w:b/>
          <w:bCs/>
          <w:color w:val="000000"/>
          <w:lang w:val="en-US"/>
        </w:rPr>
        <w:t>Vd</w:t>
      </w:r>
      <w:proofErr w:type="spellEnd"/>
      <w:r w:rsidRPr="00D22BF9">
        <w:rPr>
          <w:rFonts w:eastAsia="Times New Roman" w:cs="Arial"/>
          <w:b/>
          <w:bCs/>
          <w:color w:val="000000"/>
          <w:lang w:val="en-US"/>
        </w:rPr>
        <w:t xml:space="preserve">= </w:t>
      </w:r>
      <w:r w:rsidRPr="00D22BF9">
        <w:rPr>
          <w:rFonts w:eastAsia="Times New Roman" w:cs="Arial"/>
          <w:b/>
          <w:bCs/>
          <w:color w:val="000000"/>
          <w:lang w:eastAsia="bg-BG"/>
        </w:rPr>
        <w:t xml:space="preserve">18,0-27,61) в сравнение с този на цефоперазон </w:t>
      </w:r>
      <w:r w:rsidRPr="00D22BF9">
        <w:rPr>
          <w:rFonts w:eastAsia="Times New Roman" w:cs="Arial"/>
          <w:b/>
          <w:bCs/>
          <w:color w:val="000000"/>
          <w:lang w:val="en-US"/>
        </w:rPr>
        <w:t>(</w:t>
      </w:r>
      <w:proofErr w:type="spellStart"/>
      <w:r w:rsidRPr="00D22BF9">
        <w:rPr>
          <w:rFonts w:eastAsia="Times New Roman" w:cs="Arial"/>
          <w:b/>
          <w:bCs/>
          <w:color w:val="000000"/>
          <w:lang w:val="en-US"/>
        </w:rPr>
        <w:t>Vd</w:t>
      </w:r>
      <w:proofErr w:type="spellEnd"/>
      <w:r w:rsidRPr="00D22BF9">
        <w:rPr>
          <w:rFonts w:eastAsia="Times New Roman" w:cs="Arial"/>
          <w:b/>
          <w:bCs/>
          <w:color w:val="000000"/>
          <w:lang w:val="en-US"/>
        </w:rPr>
        <w:t xml:space="preserve">=10,2-l </w:t>
      </w:r>
      <w:r w:rsidRPr="00D22BF9">
        <w:rPr>
          <w:rFonts w:eastAsia="Times New Roman" w:cs="Arial"/>
          <w:b/>
          <w:bCs/>
          <w:color w:val="000000"/>
          <w:lang w:eastAsia="bg-BG"/>
        </w:rPr>
        <w:t>13 1).</w:t>
      </w:r>
    </w:p>
    <w:p w14:paraId="44FAB6CF" w14:textId="77777777" w:rsidR="00D22BF9" w:rsidRPr="00D22BF9" w:rsidRDefault="00D22BF9" w:rsidP="00D22BF9">
      <w:pPr>
        <w:spacing w:line="240" w:lineRule="auto"/>
        <w:rPr>
          <w:rFonts w:eastAsia="Times New Roman" w:cs="Arial"/>
          <w:b/>
          <w:bCs/>
          <w:color w:val="000000"/>
          <w:lang w:eastAsia="bg-BG"/>
        </w:rPr>
      </w:pPr>
    </w:p>
    <w:p w14:paraId="736BAB3E" w14:textId="41C1DAFB" w:rsidR="00D22BF9" w:rsidRPr="00D22BF9" w:rsidRDefault="00D22BF9" w:rsidP="00D22BF9">
      <w:pPr>
        <w:spacing w:line="240" w:lineRule="auto"/>
        <w:rPr>
          <w:rFonts w:eastAsia="Times New Roman" w:cs="Arial"/>
          <w:lang w:eastAsia="bg-BG"/>
        </w:rPr>
      </w:pPr>
      <w:r w:rsidRPr="00D22BF9">
        <w:rPr>
          <w:rFonts w:eastAsia="Times New Roman" w:cs="Arial"/>
          <w:b/>
          <w:bCs/>
          <w:color w:val="000000"/>
          <w:lang w:eastAsia="bg-BG"/>
        </w:rPr>
        <w:t xml:space="preserve">След интрамускулно приложение на 1,5 </w:t>
      </w:r>
      <w:r w:rsidRPr="00D22BF9">
        <w:rPr>
          <w:rFonts w:eastAsia="Times New Roman" w:cs="Arial"/>
          <w:b/>
          <w:bCs/>
          <w:color w:val="000000"/>
          <w:lang w:val="en-US"/>
        </w:rPr>
        <w:t xml:space="preserve">g </w:t>
      </w:r>
      <w:r w:rsidRPr="00D22BF9">
        <w:rPr>
          <w:rFonts w:eastAsia="Times New Roman" w:cs="Arial"/>
          <w:b/>
          <w:bCs/>
          <w:color w:val="000000"/>
          <w:lang w:eastAsia="bg-BG"/>
        </w:rPr>
        <w:t xml:space="preserve">Сулперазон (0,5 </w:t>
      </w:r>
      <w:r w:rsidRPr="00D22BF9">
        <w:rPr>
          <w:rFonts w:eastAsia="Times New Roman" w:cs="Arial"/>
          <w:b/>
          <w:bCs/>
          <w:color w:val="000000"/>
          <w:lang w:val="en-US"/>
        </w:rPr>
        <w:t xml:space="preserve">g </w:t>
      </w:r>
      <w:r w:rsidRPr="00D22BF9">
        <w:rPr>
          <w:rFonts w:eastAsia="Times New Roman" w:cs="Arial"/>
          <w:b/>
          <w:bCs/>
          <w:color w:val="000000"/>
          <w:lang w:eastAsia="bg-BG"/>
        </w:rPr>
        <w:t xml:space="preserve">сулбактам, 1 </w:t>
      </w:r>
      <w:r w:rsidRPr="00D22BF9">
        <w:rPr>
          <w:rFonts w:eastAsia="Times New Roman" w:cs="Arial"/>
          <w:b/>
          <w:bCs/>
          <w:color w:val="000000"/>
          <w:lang w:val="en-US"/>
        </w:rPr>
        <w:t xml:space="preserve">g </w:t>
      </w:r>
      <w:r w:rsidRPr="00D22BF9">
        <w:rPr>
          <w:rFonts w:eastAsia="Times New Roman" w:cs="Arial"/>
          <w:b/>
          <w:bCs/>
          <w:color w:val="000000"/>
          <w:lang w:eastAsia="bg-BG"/>
        </w:rPr>
        <w:t>цефоперазон) пиковите серумни концентрации на сулбактам и цефоперазон се достигат след 15 минути до 2 часа след приложение. Средните пикови серумни концентрации за сулбактам и цефоперазон са съответно 19,0 и 64,2 микрограма</w:t>
      </w:r>
      <w:r w:rsidRPr="00D22BF9">
        <w:rPr>
          <w:rFonts w:eastAsia="Times New Roman" w:cs="Arial"/>
          <w:b/>
          <w:bCs/>
          <w:color w:val="000000"/>
          <w:lang w:val="en-US"/>
        </w:rPr>
        <w:t>/ml.</w:t>
      </w:r>
    </w:p>
    <w:p w14:paraId="38DAECF9" w14:textId="77777777" w:rsidR="00D22BF9" w:rsidRPr="00D22BF9" w:rsidRDefault="00D22BF9" w:rsidP="00D22BF9">
      <w:pPr>
        <w:spacing w:line="240" w:lineRule="auto"/>
        <w:rPr>
          <w:rFonts w:eastAsia="Times New Roman" w:cs="Arial"/>
          <w:b/>
          <w:bCs/>
          <w:color w:val="000000"/>
          <w:lang w:eastAsia="bg-BG"/>
        </w:rPr>
      </w:pPr>
    </w:p>
    <w:p w14:paraId="049562D6" w14:textId="537133BE" w:rsidR="00D22BF9" w:rsidRPr="00D22BF9" w:rsidRDefault="00D22BF9" w:rsidP="00D22BF9">
      <w:pPr>
        <w:spacing w:line="240" w:lineRule="auto"/>
        <w:rPr>
          <w:rFonts w:eastAsia="Times New Roman" w:cs="Arial"/>
          <w:lang w:eastAsia="bg-BG"/>
        </w:rPr>
      </w:pPr>
      <w:r w:rsidRPr="00D22BF9">
        <w:rPr>
          <w:rFonts w:eastAsia="Times New Roman" w:cs="Arial"/>
          <w:b/>
          <w:bCs/>
          <w:color w:val="000000"/>
          <w:lang w:eastAsia="bg-BG"/>
        </w:rPr>
        <w:t>Установено е, че серумните концентрации на сулбактам и цефоперазон са пропорционални на въведената доза. Тези стойности са съпоставими с публикуваните преди това стойности за всяко едно от веществата, когато са въвеждани самостоятелно Ляма доказателства за фармакокинетично лекарствено взаимодействие между сулбактам и цефоперазон, когато се прилагат заедно под формата на Сулперазон.</w:t>
      </w:r>
    </w:p>
    <w:p w14:paraId="025008E0" w14:textId="77777777" w:rsidR="00D22BF9" w:rsidRPr="00D22BF9" w:rsidRDefault="00D22BF9" w:rsidP="00D22BF9">
      <w:pPr>
        <w:spacing w:line="240" w:lineRule="auto"/>
        <w:rPr>
          <w:rFonts w:eastAsia="Times New Roman" w:cs="Arial"/>
          <w:b/>
          <w:bCs/>
          <w:color w:val="000000"/>
          <w:lang w:eastAsia="bg-BG"/>
        </w:rPr>
      </w:pPr>
    </w:p>
    <w:p w14:paraId="71FD6236" w14:textId="5CDC164A" w:rsidR="00D22BF9" w:rsidRPr="00D22BF9" w:rsidRDefault="00D22BF9" w:rsidP="00D22BF9">
      <w:pPr>
        <w:spacing w:line="240" w:lineRule="auto"/>
        <w:rPr>
          <w:rFonts w:eastAsia="Times New Roman" w:cs="Arial"/>
          <w:lang w:eastAsia="bg-BG"/>
        </w:rPr>
      </w:pPr>
      <w:r w:rsidRPr="00D22BF9">
        <w:rPr>
          <w:rFonts w:eastAsia="Times New Roman" w:cs="Arial"/>
          <w:b/>
          <w:bCs/>
          <w:color w:val="000000"/>
          <w:lang w:eastAsia="bg-BG"/>
        </w:rPr>
        <w:t>След многократно прилагане на Сулперазон не са наблюдавани значими промени във фармакокинетиката на нито една от съставките, нито натрупване при прилагането му на всеки 8 до 12 часа.</w:t>
      </w:r>
    </w:p>
    <w:p w14:paraId="35A02C9B" w14:textId="77777777" w:rsidR="00D22BF9" w:rsidRPr="00D22BF9" w:rsidRDefault="00D22BF9" w:rsidP="00D22BF9">
      <w:pPr>
        <w:spacing w:line="240" w:lineRule="auto"/>
        <w:rPr>
          <w:rFonts w:eastAsia="Times New Roman" w:cs="Arial"/>
          <w:b/>
          <w:bCs/>
          <w:color w:val="000000"/>
          <w:u w:val="single"/>
          <w:lang w:eastAsia="bg-BG"/>
        </w:rPr>
      </w:pPr>
    </w:p>
    <w:p w14:paraId="20ADB3D8" w14:textId="24002BE1" w:rsidR="00D22BF9" w:rsidRPr="005F3611" w:rsidRDefault="00D22BF9" w:rsidP="005F3611">
      <w:pPr>
        <w:pStyle w:val="Heading3"/>
        <w:rPr>
          <w:rFonts w:eastAsia="Times New Roman"/>
          <w:b/>
          <w:u w:val="single"/>
          <w:lang w:eastAsia="bg-BG"/>
        </w:rPr>
      </w:pPr>
      <w:r w:rsidRPr="005F3611">
        <w:rPr>
          <w:rFonts w:eastAsia="Times New Roman"/>
          <w:b/>
          <w:u w:val="single"/>
          <w:lang w:eastAsia="bg-BG"/>
        </w:rPr>
        <w:t>Разпределение</w:t>
      </w:r>
    </w:p>
    <w:p w14:paraId="42D9339E" w14:textId="77777777" w:rsidR="00D22BF9" w:rsidRPr="00D22BF9" w:rsidRDefault="00D22BF9" w:rsidP="00D22BF9">
      <w:pPr>
        <w:spacing w:line="240" w:lineRule="auto"/>
        <w:rPr>
          <w:rFonts w:eastAsia="Times New Roman" w:cs="Arial"/>
          <w:lang w:eastAsia="bg-BG"/>
        </w:rPr>
      </w:pPr>
      <w:r w:rsidRPr="00D22BF9">
        <w:rPr>
          <w:rFonts w:eastAsia="Times New Roman" w:cs="Arial"/>
          <w:b/>
          <w:bCs/>
          <w:color w:val="000000"/>
          <w:lang w:eastAsia="bg-BG"/>
        </w:rPr>
        <w:t>И двете вещества, сулбактам и цефоперазон, се разпределят добре в множество тъкани и течности, включително жлъчка, жлъчен мехур, кожа, апендикс, фалопиеви тръби, яйчници, матка и други.</w:t>
      </w:r>
    </w:p>
    <w:p w14:paraId="28A6D9D9" w14:textId="77777777" w:rsidR="00D22BF9" w:rsidRPr="00D22BF9" w:rsidRDefault="00D22BF9" w:rsidP="00D22BF9">
      <w:pPr>
        <w:spacing w:line="240" w:lineRule="auto"/>
        <w:rPr>
          <w:rFonts w:eastAsia="Times New Roman" w:cs="Arial"/>
          <w:b/>
          <w:bCs/>
          <w:color w:val="000000"/>
          <w:u w:val="single"/>
          <w:lang w:eastAsia="bg-BG"/>
        </w:rPr>
      </w:pPr>
    </w:p>
    <w:p w14:paraId="219E1F8C" w14:textId="4DF77095" w:rsidR="00D22BF9" w:rsidRPr="005F3611" w:rsidRDefault="00D22BF9" w:rsidP="005F3611">
      <w:pPr>
        <w:pStyle w:val="Heading3"/>
        <w:rPr>
          <w:rFonts w:eastAsia="Times New Roman"/>
          <w:b/>
          <w:u w:val="single"/>
          <w:lang w:eastAsia="bg-BG"/>
        </w:rPr>
      </w:pPr>
      <w:r w:rsidRPr="005F3611">
        <w:rPr>
          <w:rFonts w:eastAsia="Times New Roman"/>
          <w:b/>
          <w:u w:val="single"/>
          <w:lang w:eastAsia="bg-BG"/>
        </w:rPr>
        <w:t>Елиминиране</w:t>
      </w:r>
    </w:p>
    <w:p w14:paraId="4A2D0DF5" w14:textId="77777777" w:rsidR="00D22BF9" w:rsidRPr="00D22BF9" w:rsidRDefault="00D22BF9" w:rsidP="00D22BF9">
      <w:pPr>
        <w:spacing w:line="240" w:lineRule="auto"/>
        <w:rPr>
          <w:rFonts w:eastAsia="Times New Roman" w:cs="Arial"/>
          <w:lang w:eastAsia="bg-BG"/>
        </w:rPr>
      </w:pPr>
      <w:r w:rsidRPr="00D22BF9">
        <w:rPr>
          <w:rFonts w:eastAsia="Times New Roman" w:cs="Arial"/>
          <w:b/>
          <w:bCs/>
          <w:color w:val="000000"/>
          <w:lang w:eastAsia="bg-BG"/>
        </w:rPr>
        <w:t>Приблизително 84% от дозата на сулбактам и 25% от дозата на цефоперазон, приложени като Сулперазон, се екскретират през бъбреците. По-голямата част от оставащата доза цефоперазон се екскретира в жлъчката. След приложение на Сулперазон средният полуживот на сулбактам е около 1 час, докато този на цефоперазон е около 1,7 часа. Тези стойности са съпоставими с публикуваните преди това стойности за всяко едно от веществата, когато са въвеждани самостоятелно.</w:t>
      </w:r>
    </w:p>
    <w:p w14:paraId="407B1C3F" w14:textId="77777777" w:rsidR="00D22BF9" w:rsidRPr="00D22BF9" w:rsidRDefault="00D22BF9" w:rsidP="00D22BF9">
      <w:pPr>
        <w:spacing w:line="240" w:lineRule="auto"/>
        <w:rPr>
          <w:rFonts w:eastAsia="Times New Roman" w:cs="Arial"/>
          <w:b/>
          <w:bCs/>
          <w:color w:val="000000"/>
          <w:u w:val="single"/>
          <w:lang w:eastAsia="bg-BG"/>
        </w:rPr>
      </w:pPr>
    </w:p>
    <w:p w14:paraId="3D7D5083" w14:textId="4CADBEBC" w:rsidR="00D22BF9" w:rsidRPr="00D22BF9" w:rsidRDefault="00D22BF9" w:rsidP="00D22BF9">
      <w:pPr>
        <w:spacing w:line="240" w:lineRule="auto"/>
        <w:rPr>
          <w:rFonts w:eastAsia="Times New Roman" w:cs="Arial"/>
          <w:lang w:eastAsia="bg-BG"/>
        </w:rPr>
      </w:pPr>
      <w:r w:rsidRPr="00D22BF9">
        <w:rPr>
          <w:rFonts w:eastAsia="Times New Roman" w:cs="Arial"/>
          <w:b/>
          <w:bCs/>
          <w:color w:val="000000"/>
          <w:u w:val="single"/>
          <w:lang w:eastAsia="bg-BG"/>
        </w:rPr>
        <w:t>Приложение пои чернодробна лисфункпия</w:t>
      </w:r>
    </w:p>
    <w:p w14:paraId="0B8689A2" w14:textId="77777777" w:rsidR="00D22BF9" w:rsidRPr="00D22BF9" w:rsidRDefault="00D22BF9" w:rsidP="00D22BF9">
      <w:pPr>
        <w:spacing w:line="240" w:lineRule="auto"/>
        <w:rPr>
          <w:rFonts w:eastAsia="Times New Roman" w:cs="Arial"/>
          <w:lang w:eastAsia="bg-BG"/>
        </w:rPr>
      </w:pPr>
      <w:r w:rsidRPr="00D22BF9">
        <w:rPr>
          <w:rFonts w:eastAsia="Times New Roman" w:cs="Arial"/>
          <w:b/>
          <w:bCs/>
          <w:color w:val="000000"/>
          <w:lang w:eastAsia="bg-BG"/>
        </w:rPr>
        <w:t>Вижте точка 4.4 Специални предупреждения и предпазни мерки при употреба.</w:t>
      </w:r>
    </w:p>
    <w:p w14:paraId="51EEAE9E" w14:textId="77777777" w:rsidR="00D22BF9" w:rsidRPr="00D22BF9" w:rsidRDefault="00D22BF9" w:rsidP="00D22BF9">
      <w:pPr>
        <w:spacing w:line="240" w:lineRule="auto"/>
        <w:rPr>
          <w:rFonts w:eastAsia="Times New Roman" w:cs="Arial"/>
          <w:b/>
          <w:bCs/>
          <w:color w:val="000000"/>
          <w:u w:val="single"/>
          <w:lang w:eastAsia="bg-BG"/>
        </w:rPr>
      </w:pPr>
    </w:p>
    <w:p w14:paraId="435ACFBD" w14:textId="3AD9D5DF" w:rsidR="00D22BF9" w:rsidRPr="00D22BF9" w:rsidRDefault="00D22BF9" w:rsidP="00D22BF9">
      <w:pPr>
        <w:spacing w:line="240" w:lineRule="auto"/>
        <w:rPr>
          <w:rFonts w:eastAsia="Times New Roman" w:cs="Arial"/>
          <w:lang w:eastAsia="bg-BG"/>
        </w:rPr>
      </w:pPr>
      <w:r w:rsidRPr="00D22BF9">
        <w:rPr>
          <w:rFonts w:eastAsia="Times New Roman" w:cs="Arial"/>
          <w:b/>
          <w:bCs/>
          <w:color w:val="000000"/>
          <w:u w:val="single"/>
          <w:lang w:eastAsia="bg-BG"/>
        </w:rPr>
        <w:t xml:space="preserve">Приложение </w:t>
      </w:r>
      <w:r w:rsidRPr="00D22BF9">
        <w:rPr>
          <w:rFonts w:eastAsia="Times New Roman" w:cs="Arial"/>
          <w:b/>
          <w:bCs/>
          <w:smallCaps/>
          <w:color w:val="000000"/>
          <w:u w:val="single"/>
          <w:lang w:eastAsia="bg-BG"/>
        </w:rPr>
        <w:t>при</w:t>
      </w:r>
      <w:r w:rsidRPr="00D22BF9">
        <w:rPr>
          <w:rFonts w:eastAsia="Times New Roman" w:cs="Arial"/>
          <w:b/>
          <w:bCs/>
          <w:color w:val="000000"/>
          <w:u w:val="single"/>
          <w:lang w:eastAsia="bg-BG"/>
        </w:rPr>
        <w:t xml:space="preserve"> бъбречна лисфункпия</w:t>
      </w:r>
    </w:p>
    <w:p w14:paraId="0DE04EDE" w14:textId="77777777" w:rsidR="00D22BF9" w:rsidRPr="00D22BF9" w:rsidRDefault="00D22BF9" w:rsidP="00D22BF9">
      <w:pPr>
        <w:spacing w:line="240" w:lineRule="auto"/>
        <w:rPr>
          <w:rFonts w:eastAsia="Times New Roman" w:cs="Arial"/>
          <w:lang w:eastAsia="bg-BG"/>
        </w:rPr>
      </w:pPr>
      <w:r w:rsidRPr="00D22BF9">
        <w:rPr>
          <w:rFonts w:eastAsia="Times New Roman" w:cs="Arial"/>
          <w:b/>
          <w:bCs/>
          <w:color w:val="000000"/>
          <w:lang w:eastAsia="bg-BG"/>
        </w:rPr>
        <w:t xml:space="preserve">При пациенти с различна степен на функционалност на бъбреците, на които е приложен Сулперазон, общият телесен клирънс на сулбактам от организма е тясно свързан с измерения креатининов клирънс. Пациенти с нефункциониращи бъбреци показват значимо по-дълъг полуживот на сулбактам (средно 6,9 и 9,7 часа в </w:t>
      </w:r>
      <w:r w:rsidRPr="00D22BF9">
        <w:rPr>
          <w:rFonts w:eastAsia="Times New Roman" w:cs="Arial"/>
          <w:b/>
          <w:bCs/>
          <w:color w:val="000000"/>
          <w:lang w:eastAsia="bg-BG"/>
        </w:rPr>
        <w:lastRenderedPageBreak/>
        <w:t>отделни проучвания). Хемодиализата значимо изменя полуживота, общия телесен клирънс и обема на разпределение на сулбактам. Не са наблюдавани значими разлики във фармакокинетиката на цефоперазон при пациенти с бъбречна недостатъчност.</w:t>
      </w:r>
    </w:p>
    <w:p w14:paraId="0ACECEA2" w14:textId="77777777" w:rsidR="00D22BF9" w:rsidRPr="00D22BF9" w:rsidRDefault="00D22BF9" w:rsidP="00D22BF9">
      <w:pPr>
        <w:spacing w:line="240" w:lineRule="auto"/>
        <w:rPr>
          <w:rFonts w:eastAsia="Times New Roman" w:cs="Arial"/>
          <w:b/>
          <w:bCs/>
          <w:color w:val="000000"/>
          <w:u w:val="single"/>
          <w:lang w:eastAsia="bg-BG"/>
        </w:rPr>
      </w:pPr>
    </w:p>
    <w:p w14:paraId="713E5FE1" w14:textId="2B76E227" w:rsidR="00D22BF9" w:rsidRPr="00D22BF9" w:rsidRDefault="00D22BF9" w:rsidP="00D22BF9">
      <w:pPr>
        <w:spacing w:line="240" w:lineRule="auto"/>
        <w:rPr>
          <w:rFonts w:eastAsia="Times New Roman" w:cs="Arial"/>
          <w:lang w:eastAsia="bg-BG"/>
        </w:rPr>
      </w:pPr>
      <w:r w:rsidRPr="00D22BF9">
        <w:rPr>
          <w:rFonts w:eastAsia="Times New Roman" w:cs="Arial"/>
          <w:b/>
          <w:bCs/>
          <w:color w:val="000000"/>
          <w:u w:val="single"/>
          <w:lang w:eastAsia="bg-BG"/>
        </w:rPr>
        <w:t>Приложение при пяииенти в старческа възраст</w:t>
      </w:r>
    </w:p>
    <w:p w14:paraId="45551830" w14:textId="2F805215" w:rsidR="007A2185" w:rsidRPr="00D22BF9" w:rsidRDefault="00D22BF9" w:rsidP="00D22BF9">
      <w:pPr>
        <w:spacing w:line="240" w:lineRule="auto"/>
        <w:rPr>
          <w:rFonts w:eastAsia="Times New Roman" w:cs="Arial"/>
          <w:lang w:eastAsia="bg-BG"/>
        </w:rPr>
      </w:pPr>
      <w:r w:rsidRPr="00D22BF9">
        <w:rPr>
          <w:rFonts w:eastAsia="Times New Roman" w:cs="Arial"/>
          <w:b/>
          <w:bCs/>
          <w:color w:val="000000"/>
          <w:lang w:eastAsia="bg-BG"/>
        </w:rPr>
        <w:t>Фармакокинетиката на Сулперазон е проучена при индивиди в старческа възраст с бъбречна недостатъчност и компрометирана чернодробна функция. И сулбактам, и цефоперазон показват по- дълъг полуживот, по-нисък клирънс и по-големи обеми на разпределение в сравнение с данните при здрави доброволци. Фармакокинетиката на сулбактам показва добра корелация със степента на бъбречна дисфункция, докато тази на цефоперазон показва добра корелация със</w:t>
      </w:r>
      <w:r w:rsidRPr="00D22BF9">
        <w:rPr>
          <w:rFonts w:eastAsia="Times New Roman" w:cs="Arial"/>
          <w:b/>
          <w:bCs/>
          <w:color w:val="000000"/>
          <w:lang w:val="en-US"/>
        </w:rPr>
        <w:t xml:space="preserve"> </w:t>
      </w:r>
      <w:r w:rsidRPr="00D22BF9">
        <w:rPr>
          <w:rFonts w:eastAsia="Times New Roman" w:cs="Arial"/>
          <w:b/>
          <w:bCs/>
          <w:color w:val="000000"/>
          <w:lang w:eastAsia="bg-BG"/>
        </w:rPr>
        <w:t>степента на чернодробна дисфункция.</w:t>
      </w:r>
    </w:p>
    <w:p w14:paraId="4EE1BB0B" w14:textId="69AA6AD2" w:rsidR="0091385D" w:rsidRPr="00D22BF9" w:rsidRDefault="0091385D" w:rsidP="0091385D">
      <w:pPr>
        <w:rPr>
          <w:rFonts w:cs="Arial"/>
        </w:rPr>
      </w:pPr>
    </w:p>
    <w:p w14:paraId="7CBC7AE6" w14:textId="77777777" w:rsidR="00D22BF9" w:rsidRPr="00D22BF9" w:rsidRDefault="00D22BF9" w:rsidP="00D22BF9">
      <w:pPr>
        <w:spacing w:line="240" w:lineRule="auto"/>
        <w:rPr>
          <w:rFonts w:eastAsia="Times New Roman" w:cs="Arial"/>
          <w:lang w:eastAsia="bg-BG"/>
        </w:rPr>
      </w:pPr>
      <w:r w:rsidRPr="00D22BF9">
        <w:rPr>
          <w:rFonts w:eastAsia="Times New Roman" w:cs="Arial"/>
          <w:b/>
          <w:bCs/>
          <w:color w:val="000000"/>
          <w:u w:val="single"/>
          <w:lang w:eastAsia="bg-BG"/>
        </w:rPr>
        <w:t>Приложение при депа</w:t>
      </w:r>
    </w:p>
    <w:p w14:paraId="49D0EB0E" w14:textId="65C3D359" w:rsidR="00D22BF9" w:rsidRPr="00D22BF9" w:rsidRDefault="00D22BF9" w:rsidP="00D22BF9">
      <w:pPr>
        <w:rPr>
          <w:rFonts w:cs="Arial"/>
        </w:rPr>
      </w:pPr>
      <w:r w:rsidRPr="00D22BF9">
        <w:rPr>
          <w:rFonts w:eastAsia="Times New Roman" w:cs="Arial"/>
          <w:b/>
          <w:bCs/>
          <w:color w:val="000000"/>
          <w:lang w:eastAsia="bg-BG"/>
        </w:rPr>
        <w:t>Проучванията, проведени при деца, не показват значими промени на фармакокинетиката на компонентите сулбактам и цефоперазон в сравнение със стойностите при възрастни. Средният полуживот при децата варира от 0,91 до 1,42 часа за сулбактам и от 1,44 до 1,88 часа за цефоперазон.</w:t>
      </w:r>
    </w:p>
    <w:p w14:paraId="31310A54" w14:textId="77777777" w:rsidR="00D22BF9" w:rsidRPr="0091385D" w:rsidRDefault="00D22BF9" w:rsidP="0091385D"/>
    <w:p w14:paraId="648E39DA" w14:textId="44D16CBD" w:rsidR="00CF77F7" w:rsidRDefault="002C50EE" w:rsidP="004A448E">
      <w:pPr>
        <w:pStyle w:val="Heading2"/>
      </w:pPr>
      <w:r>
        <w:t>5.3. Предклинични данни за безопасност</w:t>
      </w:r>
    </w:p>
    <w:p w14:paraId="20E967BE" w14:textId="751DCF54" w:rsidR="0091385D" w:rsidRDefault="0091385D" w:rsidP="0091385D"/>
    <w:p w14:paraId="782C5A09" w14:textId="77777777" w:rsidR="00D22BF9" w:rsidRPr="00D22BF9" w:rsidRDefault="00D22BF9" w:rsidP="00D22BF9">
      <w:pPr>
        <w:spacing w:line="240" w:lineRule="auto"/>
        <w:rPr>
          <w:rFonts w:eastAsia="Times New Roman" w:cs="Arial"/>
          <w:lang w:eastAsia="bg-BG"/>
        </w:rPr>
      </w:pPr>
      <w:r w:rsidRPr="00D22BF9">
        <w:rPr>
          <w:rFonts w:eastAsia="Times New Roman" w:cs="Arial"/>
          <w:b/>
          <w:bCs/>
          <w:color w:val="000000"/>
          <w:u w:val="single"/>
          <w:lang w:eastAsia="bg-BG"/>
        </w:rPr>
        <w:t>Приложение при деца</w:t>
      </w:r>
    </w:p>
    <w:p w14:paraId="5886F2AB" w14:textId="77777777" w:rsidR="00D22BF9" w:rsidRPr="00D22BF9" w:rsidRDefault="00D22BF9" w:rsidP="00D22BF9">
      <w:pPr>
        <w:spacing w:line="240" w:lineRule="auto"/>
        <w:rPr>
          <w:rFonts w:eastAsia="Times New Roman" w:cs="Arial"/>
          <w:lang w:eastAsia="bg-BG"/>
        </w:rPr>
      </w:pPr>
      <w:r w:rsidRPr="00D22BF9">
        <w:rPr>
          <w:rFonts w:eastAsia="Times New Roman" w:cs="Arial"/>
          <w:b/>
          <w:bCs/>
          <w:color w:val="000000"/>
          <w:lang w:eastAsia="bg-BG"/>
        </w:rPr>
        <w:t xml:space="preserve">Цефоперазон, използван при предпубертетни плъхове, предизвиква нежелани реакции върху тестисите при всички изследвани дози. Подкожното приложение на 1 000 </w:t>
      </w:r>
      <w:r w:rsidRPr="00D22BF9">
        <w:rPr>
          <w:rFonts w:eastAsia="Times New Roman" w:cs="Arial"/>
          <w:b/>
          <w:bCs/>
          <w:color w:val="000000"/>
          <w:lang w:val="en-US"/>
        </w:rPr>
        <w:t>mg/kg</w:t>
      </w:r>
      <w:r w:rsidRPr="00D22BF9">
        <w:rPr>
          <w:rFonts w:eastAsia="Times New Roman" w:cs="Arial"/>
          <w:b/>
          <w:bCs/>
          <w:color w:val="000000"/>
          <w:lang w:eastAsia="bg-BG"/>
        </w:rPr>
        <w:t xml:space="preserve">/ден (приблизително 16 пъти средната доза при възрастни хора) води до намаление на тестикуларната маса, потискане на сперматогенезата, намаляване на популацията на герминативните клетки и вакуолизацията на цитоплазмата на Сертолиевите клетки. Тежестта на лезиите е дозозависима в границите на интервала от 100 до 1 000 </w:t>
      </w:r>
      <w:r w:rsidRPr="00D22BF9">
        <w:rPr>
          <w:rFonts w:eastAsia="Times New Roman" w:cs="Arial"/>
          <w:b/>
          <w:bCs/>
          <w:color w:val="000000"/>
          <w:lang w:val="en-US"/>
        </w:rPr>
        <w:t>mg/kg</w:t>
      </w:r>
      <w:r w:rsidRPr="00D22BF9">
        <w:rPr>
          <w:rFonts w:eastAsia="Times New Roman" w:cs="Arial"/>
          <w:b/>
          <w:bCs/>
          <w:color w:val="000000"/>
          <w:lang w:eastAsia="bg-BG"/>
        </w:rPr>
        <w:t>/ден; ниската доза предизвиква слабо намаление на сперматоцитите. Този ефект не е наблюдаван при възрастни плъхове. Хистологично лезиите са обратими с изключение на тези, наблюдавани при най-високите дози. При тези проучвания обаче не е проследено последващото развитие на репродуктивните функции при плъховете. Не е установена връзката на тези находки по отношение на хората.</w:t>
      </w:r>
    </w:p>
    <w:p w14:paraId="6ED649D8" w14:textId="77777777" w:rsidR="00D22BF9" w:rsidRPr="00D22BF9" w:rsidRDefault="00D22BF9" w:rsidP="00D22BF9">
      <w:pPr>
        <w:rPr>
          <w:rFonts w:eastAsia="Times New Roman" w:cs="Arial"/>
          <w:b/>
          <w:bCs/>
          <w:color w:val="000000"/>
          <w:lang w:eastAsia="bg-BG"/>
        </w:rPr>
      </w:pPr>
    </w:p>
    <w:p w14:paraId="13A7B62A" w14:textId="6290FA11" w:rsidR="007A2185" w:rsidRPr="00D22BF9" w:rsidRDefault="00D22BF9" w:rsidP="00D22BF9">
      <w:pPr>
        <w:rPr>
          <w:rFonts w:cs="Arial"/>
        </w:rPr>
      </w:pPr>
      <w:r w:rsidRPr="00D22BF9">
        <w:rPr>
          <w:rFonts w:eastAsia="Times New Roman" w:cs="Arial"/>
          <w:b/>
          <w:bCs/>
          <w:color w:val="000000"/>
          <w:lang w:eastAsia="bg-BG"/>
        </w:rPr>
        <w:t xml:space="preserve">При прилагането на сулбактам/цефоперазон 1:1 подкожно на новородени плъхове в продължение на 1 месец са установени намаление на тестикуларната маса и недоразвитие на тубулите при групите, на които са прилагани 300 + 300 </w:t>
      </w:r>
      <w:r w:rsidRPr="00D22BF9">
        <w:rPr>
          <w:rFonts w:eastAsia="Times New Roman" w:cs="Arial"/>
          <w:b/>
          <w:bCs/>
          <w:color w:val="000000"/>
          <w:lang w:val="en-US"/>
        </w:rPr>
        <w:t>mg/kg</w:t>
      </w:r>
      <w:r w:rsidRPr="00D22BF9">
        <w:rPr>
          <w:rFonts w:eastAsia="Times New Roman" w:cs="Arial"/>
          <w:b/>
          <w:bCs/>
          <w:color w:val="000000"/>
          <w:lang w:eastAsia="bg-BG"/>
        </w:rPr>
        <w:t>/ден. Тъй като има голяма индивидуална вариабилност в степента на тестикуларната зрелост при малките плъхчета и поради недоразвитостта на тестисите, установена при контролите, всяка връзка с проучваното лекарство е не потвърдена. Не са установени подобни находки при кучета в кърмаческа възраст при дози, надвишаващи 10 пъти средната доза при възрастни.</w:t>
      </w:r>
    </w:p>
    <w:p w14:paraId="12FFA9B2" w14:textId="77777777" w:rsidR="007A2185" w:rsidRPr="0091385D" w:rsidRDefault="007A2185" w:rsidP="0091385D"/>
    <w:p w14:paraId="6A7820AB" w14:textId="353DB6D2" w:rsidR="008A6AF2" w:rsidRDefault="002C50EE" w:rsidP="00395555">
      <w:pPr>
        <w:pStyle w:val="Heading1"/>
      </w:pPr>
      <w:r>
        <w:t>7. ПРИТЕЖАТЕЛ НА РАЗРЕШЕНИЕТО ЗА УПОТРЕБА</w:t>
      </w:r>
    </w:p>
    <w:p w14:paraId="1B9B651E" w14:textId="24042B6C" w:rsidR="0091385D" w:rsidRDefault="0091385D" w:rsidP="0091385D"/>
    <w:p w14:paraId="50FF7D61" w14:textId="77777777" w:rsidR="00D22BF9" w:rsidRPr="00D22BF9" w:rsidRDefault="00D22BF9" w:rsidP="00D22BF9">
      <w:pPr>
        <w:spacing w:line="240" w:lineRule="auto"/>
        <w:rPr>
          <w:rFonts w:eastAsia="Times New Roman" w:cs="Arial"/>
          <w:lang w:val="en-US" w:eastAsia="bg-BG"/>
        </w:rPr>
      </w:pPr>
      <w:r w:rsidRPr="00D22BF9">
        <w:rPr>
          <w:rFonts w:eastAsia="Times New Roman" w:cs="Arial"/>
          <w:b/>
          <w:bCs/>
          <w:color w:val="000000"/>
          <w:lang w:val="en-US"/>
        </w:rPr>
        <w:t xml:space="preserve">Pfizer Europe </w:t>
      </w:r>
      <w:r w:rsidRPr="00D22BF9">
        <w:rPr>
          <w:rFonts w:eastAsia="Times New Roman" w:cs="Arial"/>
          <w:b/>
          <w:bCs/>
          <w:color w:val="000000"/>
          <w:lang w:eastAsia="bg-BG"/>
        </w:rPr>
        <w:t xml:space="preserve">МА </w:t>
      </w:r>
      <w:r w:rsidRPr="00D22BF9">
        <w:rPr>
          <w:rFonts w:eastAsia="Times New Roman" w:cs="Arial"/>
          <w:b/>
          <w:bCs/>
          <w:color w:val="000000"/>
          <w:lang w:val="en-US"/>
        </w:rPr>
        <w:t>EEIG</w:t>
      </w:r>
    </w:p>
    <w:p w14:paraId="3F56778A" w14:textId="77777777" w:rsidR="00D22BF9" w:rsidRDefault="00D22BF9" w:rsidP="00D22BF9">
      <w:pPr>
        <w:spacing w:line="240" w:lineRule="auto"/>
        <w:rPr>
          <w:rFonts w:eastAsia="Times New Roman" w:cs="Arial"/>
          <w:b/>
          <w:bCs/>
          <w:color w:val="000000"/>
          <w:lang w:val="en-US"/>
        </w:rPr>
      </w:pPr>
      <w:r w:rsidRPr="00D22BF9">
        <w:rPr>
          <w:rFonts w:eastAsia="Times New Roman" w:cs="Arial"/>
          <w:b/>
          <w:bCs/>
          <w:color w:val="000000"/>
          <w:lang w:val="en-US"/>
        </w:rPr>
        <w:lastRenderedPageBreak/>
        <w:t xml:space="preserve">Boulevard de la </w:t>
      </w:r>
      <w:proofErr w:type="spellStart"/>
      <w:r w:rsidRPr="00D22BF9">
        <w:rPr>
          <w:rFonts w:eastAsia="Times New Roman" w:cs="Arial"/>
          <w:b/>
          <w:bCs/>
          <w:color w:val="000000"/>
          <w:lang w:val="en-US"/>
        </w:rPr>
        <w:t>Plaine</w:t>
      </w:r>
      <w:proofErr w:type="spellEnd"/>
      <w:r w:rsidRPr="00D22BF9">
        <w:rPr>
          <w:rFonts w:eastAsia="Times New Roman" w:cs="Arial"/>
          <w:b/>
          <w:bCs/>
          <w:color w:val="000000"/>
          <w:lang w:val="en-US"/>
        </w:rPr>
        <w:t xml:space="preserve"> 17 </w:t>
      </w:r>
    </w:p>
    <w:p w14:paraId="7479E540" w14:textId="02F65639" w:rsidR="00D22BF9" w:rsidRPr="00D22BF9" w:rsidRDefault="00D22BF9" w:rsidP="00D22BF9">
      <w:pPr>
        <w:spacing w:line="240" w:lineRule="auto"/>
        <w:rPr>
          <w:rFonts w:eastAsia="Times New Roman" w:cs="Arial"/>
          <w:lang w:val="en-US" w:eastAsia="bg-BG"/>
        </w:rPr>
      </w:pPr>
      <w:r w:rsidRPr="00D22BF9">
        <w:rPr>
          <w:rFonts w:eastAsia="Times New Roman" w:cs="Arial"/>
          <w:b/>
          <w:bCs/>
          <w:color w:val="000000"/>
          <w:lang w:val="en-US"/>
        </w:rPr>
        <w:t xml:space="preserve">1050 </w:t>
      </w:r>
      <w:proofErr w:type="spellStart"/>
      <w:r w:rsidRPr="00D22BF9">
        <w:rPr>
          <w:rFonts w:eastAsia="Times New Roman" w:cs="Arial"/>
          <w:b/>
          <w:bCs/>
          <w:color w:val="000000"/>
          <w:lang w:val="en-US"/>
        </w:rPr>
        <w:t>Bruxelles</w:t>
      </w:r>
      <w:proofErr w:type="spellEnd"/>
    </w:p>
    <w:p w14:paraId="4F02909F" w14:textId="035CC17D" w:rsidR="007A2185" w:rsidRPr="00D22BF9" w:rsidRDefault="00D22BF9" w:rsidP="00D22BF9">
      <w:pPr>
        <w:rPr>
          <w:rFonts w:cs="Arial"/>
        </w:rPr>
      </w:pPr>
      <w:r w:rsidRPr="00D22BF9">
        <w:rPr>
          <w:rFonts w:eastAsia="Times New Roman" w:cs="Arial"/>
          <w:b/>
          <w:bCs/>
          <w:color w:val="000000"/>
          <w:lang w:eastAsia="bg-BG"/>
        </w:rPr>
        <w:t>Белгия</w:t>
      </w:r>
    </w:p>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3072FB0E" w:rsidR="0091385D" w:rsidRDefault="0091385D" w:rsidP="0091385D"/>
    <w:p w14:paraId="46161304" w14:textId="387013B8" w:rsidR="007A2185" w:rsidRPr="00D22BF9" w:rsidRDefault="00D22BF9" w:rsidP="0091385D">
      <w:pPr>
        <w:rPr>
          <w:rFonts w:cs="Arial"/>
        </w:rPr>
      </w:pPr>
      <w:r w:rsidRPr="00D22BF9">
        <w:rPr>
          <w:rFonts w:cs="Arial"/>
          <w:b/>
          <w:bCs/>
        </w:rPr>
        <w:t>20030444</w:t>
      </w:r>
    </w:p>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57E44C81" w:rsidR="0091385D" w:rsidRDefault="0091385D" w:rsidP="0091385D"/>
    <w:p w14:paraId="31A4E9C4" w14:textId="77777777" w:rsidR="00D22BF9" w:rsidRPr="00D22BF9" w:rsidRDefault="00D22BF9" w:rsidP="00D22BF9">
      <w:pPr>
        <w:spacing w:line="240" w:lineRule="auto"/>
        <w:rPr>
          <w:rFonts w:eastAsia="Times New Roman" w:cs="Arial"/>
          <w:lang w:eastAsia="bg-BG"/>
        </w:rPr>
      </w:pPr>
      <w:r w:rsidRPr="00D22BF9">
        <w:rPr>
          <w:rFonts w:eastAsia="Times New Roman" w:cs="Arial"/>
          <w:b/>
          <w:bCs/>
          <w:color w:val="000000"/>
          <w:lang w:eastAsia="bg-BG"/>
        </w:rPr>
        <w:t>Дата на първо разрешаване: 17 юни 2003 г.</w:t>
      </w:r>
    </w:p>
    <w:p w14:paraId="6C57D8B6" w14:textId="1EA8C731" w:rsidR="007A2185" w:rsidRPr="00D22BF9" w:rsidRDefault="00D22BF9" w:rsidP="00D22BF9">
      <w:pPr>
        <w:rPr>
          <w:rFonts w:cs="Arial"/>
        </w:rPr>
      </w:pPr>
      <w:r w:rsidRPr="00D22BF9">
        <w:rPr>
          <w:rFonts w:eastAsia="Times New Roman" w:cs="Arial"/>
          <w:b/>
          <w:bCs/>
          <w:color w:val="000000"/>
          <w:lang w:eastAsia="bg-BG"/>
        </w:rPr>
        <w:t>Дата на последно подновяване: 12 август 2009 г.</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0121B4E2" w:rsidR="0091385D" w:rsidRDefault="0091385D" w:rsidP="0091385D"/>
    <w:p w14:paraId="0524F1D6" w14:textId="77777777" w:rsidR="007A2185" w:rsidRDefault="007A2185" w:rsidP="0091385D"/>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3A6795"/>
    <w:multiLevelType w:val="hybridMultilevel"/>
    <w:tmpl w:val="0540A0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7"/>
  </w:num>
  <w:num w:numId="2">
    <w:abstractNumId w:val="0"/>
  </w:num>
  <w:num w:numId="3">
    <w:abstractNumId w:val="12"/>
  </w:num>
  <w:num w:numId="4">
    <w:abstractNumId w:val="3"/>
  </w:num>
  <w:num w:numId="5">
    <w:abstractNumId w:val="1"/>
  </w:num>
  <w:num w:numId="6">
    <w:abstractNumId w:val="16"/>
  </w:num>
  <w:num w:numId="7">
    <w:abstractNumId w:val="10"/>
  </w:num>
  <w:num w:numId="8">
    <w:abstractNumId w:val="15"/>
  </w:num>
  <w:num w:numId="9">
    <w:abstractNumId w:val="2"/>
  </w:num>
  <w:num w:numId="10">
    <w:abstractNumId w:val="4"/>
  </w:num>
  <w:num w:numId="11">
    <w:abstractNumId w:val="30"/>
  </w:num>
  <w:num w:numId="12">
    <w:abstractNumId w:val="14"/>
  </w:num>
  <w:num w:numId="13">
    <w:abstractNumId w:val="19"/>
  </w:num>
  <w:num w:numId="14">
    <w:abstractNumId w:val="11"/>
  </w:num>
  <w:num w:numId="15">
    <w:abstractNumId w:val="29"/>
  </w:num>
  <w:num w:numId="16">
    <w:abstractNumId w:val="9"/>
  </w:num>
  <w:num w:numId="17">
    <w:abstractNumId w:val="24"/>
  </w:num>
  <w:num w:numId="18">
    <w:abstractNumId w:val="7"/>
  </w:num>
  <w:num w:numId="19">
    <w:abstractNumId w:val="26"/>
  </w:num>
  <w:num w:numId="20">
    <w:abstractNumId w:val="23"/>
  </w:num>
  <w:num w:numId="21">
    <w:abstractNumId w:val="17"/>
  </w:num>
  <w:num w:numId="22">
    <w:abstractNumId w:val="25"/>
  </w:num>
  <w:num w:numId="23">
    <w:abstractNumId w:val="18"/>
  </w:num>
  <w:num w:numId="24">
    <w:abstractNumId w:val="8"/>
  </w:num>
  <w:num w:numId="25">
    <w:abstractNumId w:val="22"/>
  </w:num>
  <w:num w:numId="26">
    <w:abstractNumId w:val="21"/>
  </w:num>
  <w:num w:numId="27">
    <w:abstractNumId w:val="31"/>
  </w:num>
  <w:num w:numId="28">
    <w:abstractNumId w:val="6"/>
  </w:num>
  <w:num w:numId="29">
    <w:abstractNumId w:val="20"/>
  </w:num>
  <w:num w:numId="30">
    <w:abstractNumId w:val="34"/>
  </w:num>
  <w:num w:numId="31">
    <w:abstractNumId w:val="5"/>
  </w:num>
  <w:num w:numId="32">
    <w:abstractNumId w:val="33"/>
  </w:num>
  <w:num w:numId="33">
    <w:abstractNumId w:val="28"/>
  </w:num>
  <w:num w:numId="34">
    <w:abstractNumId w:val="3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9325A"/>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5B0F27"/>
    <w:rsid w:val="005F3611"/>
    <w:rsid w:val="00605BCA"/>
    <w:rsid w:val="006158A1"/>
    <w:rsid w:val="00617B1F"/>
    <w:rsid w:val="00672487"/>
    <w:rsid w:val="00672600"/>
    <w:rsid w:val="00681D4A"/>
    <w:rsid w:val="00682341"/>
    <w:rsid w:val="00685882"/>
    <w:rsid w:val="0075649D"/>
    <w:rsid w:val="007A2185"/>
    <w:rsid w:val="007C605B"/>
    <w:rsid w:val="008134C8"/>
    <w:rsid w:val="00814073"/>
    <w:rsid w:val="00826F0D"/>
    <w:rsid w:val="00893B92"/>
    <w:rsid w:val="008A6AF2"/>
    <w:rsid w:val="008C70A2"/>
    <w:rsid w:val="008E6A73"/>
    <w:rsid w:val="008F1AF3"/>
    <w:rsid w:val="0091385D"/>
    <w:rsid w:val="009773E4"/>
    <w:rsid w:val="009B171C"/>
    <w:rsid w:val="009F1313"/>
    <w:rsid w:val="00A20351"/>
    <w:rsid w:val="00A65A81"/>
    <w:rsid w:val="00A73575"/>
    <w:rsid w:val="00AA23EC"/>
    <w:rsid w:val="00AC63CE"/>
    <w:rsid w:val="00AE2107"/>
    <w:rsid w:val="00B275A8"/>
    <w:rsid w:val="00BB3B9C"/>
    <w:rsid w:val="00BF2600"/>
    <w:rsid w:val="00C0049F"/>
    <w:rsid w:val="00C07B84"/>
    <w:rsid w:val="00C33464"/>
    <w:rsid w:val="00C40420"/>
    <w:rsid w:val="00C809A7"/>
    <w:rsid w:val="00C83063"/>
    <w:rsid w:val="00C87E90"/>
    <w:rsid w:val="00CA1B57"/>
    <w:rsid w:val="00CF77F7"/>
    <w:rsid w:val="00D22BF9"/>
    <w:rsid w:val="00D86297"/>
    <w:rsid w:val="00DD466D"/>
    <w:rsid w:val="00EB6364"/>
    <w:rsid w:val="00EC41ED"/>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4046</Words>
  <Characters>23065</Characters>
  <Application>Microsoft Office Word</Application>
  <DocSecurity>0</DocSecurity>
  <Lines>192</Lines>
  <Paragraphs>54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2023-06-03T00:14:00Z</dcterms:created>
  <dcterms:modified xsi:type="dcterms:W3CDTF">2023-06-03T00:14:00Z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