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18656B30" w14:textId="77777777" w:rsidR="000C6F64" w:rsidRPr="000C6F64" w:rsidRDefault="000C6F64" w:rsidP="000C6F64">
      <w:pPr>
        <w:spacing w:line="240" w:lineRule="auto"/>
        <w:rPr>
          <w:rFonts w:eastAsia="Times New Roman" w:cs="Arial"/>
          <w:lang w:val="en-US" w:eastAsia="bg-BG"/>
        </w:rPr>
      </w:pPr>
      <w:r w:rsidRPr="000C6F64">
        <w:rPr>
          <w:rFonts w:eastAsia="Times New Roman" w:cs="Arial"/>
          <w:color w:val="000000"/>
          <w:lang w:eastAsia="bg-BG"/>
        </w:rPr>
        <w:t xml:space="preserve">Сунитикон 12,5 </w:t>
      </w:r>
      <w:r w:rsidRPr="000C6F64">
        <w:rPr>
          <w:rFonts w:eastAsia="Times New Roman" w:cs="Arial"/>
          <w:color w:val="000000"/>
          <w:lang w:val="en-US"/>
        </w:rPr>
        <w:t xml:space="preserve">mg </w:t>
      </w:r>
      <w:r w:rsidRPr="000C6F64">
        <w:rPr>
          <w:rFonts w:eastAsia="Times New Roman" w:cs="Arial"/>
          <w:color w:val="000000"/>
          <w:lang w:eastAsia="bg-BG"/>
        </w:rPr>
        <w:t>твърди капсули</w:t>
      </w:r>
    </w:p>
    <w:p w14:paraId="05CDCCAF" w14:textId="77777777" w:rsidR="000C6F64" w:rsidRPr="000C6F64" w:rsidRDefault="000C6F64" w:rsidP="000C6F64">
      <w:pPr>
        <w:spacing w:line="240" w:lineRule="auto"/>
        <w:rPr>
          <w:rFonts w:eastAsia="Times New Roman" w:cs="Arial"/>
          <w:lang w:val="en-US" w:eastAsia="bg-BG"/>
        </w:rPr>
      </w:pPr>
      <w:r w:rsidRPr="000C6F64">
        <w:rPr>
          <w:rFonts w:eastAsia="Times New Roman" w:cs="Arial"/>
          <w:color w:val="000000"/>
          <w:lang w:eastAsia="bg-BG"/>
        </w:rPr>
        <w:t xml:space="preserve">Сунитикон 50 </w:t>
      </w:r>
      <w:r w:rsidRPr="000C6F64">
        <w:rPr>
          <w:rFonts w:eastAsia="Times New Roman" w:cs="Arial"/>
          <w:color w:val="000000"/>
          <w:lang w:val="en-US"/>
        </w:rPr>
        <w:t xml:space="preserve">mg </w:t>
      </w:r>
      <w:r w:rsidRPr="000C6F64">
        <w:rPr>
          <w:rFonts w:eastAsia="Times New Roman" w:cs="Arial"/>
          <w:color w:val="000000"/>
          <w:lang w:eastAsia="bg-BG"/>
        </w:rPr>
        <w:t>твърди капсули</w:t>
      </w:r>
    </w:p>
    <w:p w14:paraId="10E6D4FD" w14:textId="77777777" w:rsidR="000C6F64" w:rsidRPr="000C6F64" w:rsidRDefault="000C6F64" w:rsidP="000C6F64">
      <w:pPr>
        <w:spacing w:line="240" w:lineRule="auto"/>
        <w:rPr>
          <w:rFonts w:eastAsia="Times New Roman" w:cs="Arial"/>
          <w:color w:val="000000"/>
          <w:lang w:val="en-US"/>
        </w:rPr>
      </w:pPr>
    </w:p>
    <w:p w14:paraId="43320A8C" w14:textId="27FF86E5" w:rsidR="000C6F64" w:rsidRPr="000C6F64" w:rsidRDefault="000C6F64" w:rsidP="000C6F64">
      <w:pPr>
        <w:spacing w:line="240" w:lineRule="auto"/>
        <w:rPr>
          <w:rFonts w:eastAsia="Times New Roman" w:cs="Arial"/>
          <w:lang w:val="en-US" w:eastAsia="bg-BG"/>
        </w:rPr>
      </w:pPr>
      <w:r w:rsidRPr="000C6F64">
        <w:rPr>
          <w:rFonts w:eastAsia="Times New Roman" w:cs="Arial"/>
          <w:color w:val="000000"/>
          <w:lang w:val="en-US"/>
        </w:rPr>
        <w:t>Suniticon 12</w:t>
      </w:r>
      <w:proofErr w:type="gramStart"/>
      <w:r w:rsidRPr="000C6F64">
        <w:rPr>
          <w:rFonts w:eastAsia="Times New Roman" w:cs="Arial"/>
          <w:color w:val="000000"/>
          <w:lang w:val="en-US"/>
        </w:rPr>
        <w:t>,5</w:t>
      </w:r>
      <w:proofErr w:type="gramEnd"/>
      <w:r w:rsidRPr="000C6F64">
        <w:rPr>
          <w:rFonts w:eastAsia="Times New Roman" w:cs="Arial"/>
          <w:color w:val="000000"/>
          <w:lang w:val="en-US"/>
        </w:rPr>
        <w:t xml:space="preserve"> mg capsules, hard</w:t>
      </w:r>
    </w:p>
    <w:p w14:paraId="69AC8148" w14:textId="71CB86CE" w:rsidR="00EC41ED" w:rsidRPr="000C6F64" w:rsidRDefault="000C6F64" w:rsidP="000C6F64">
      <w:pPr>
        <w:rPr>
          <w:rFonts w:cs="Arial"/>
        </w:rPr>
      </w:pPr>
      <w:r w:rsidRPr="000C6F64">
        <w:rPr>
          <w:rFonts w:eastAsia="Times New Roman" w:cs="Arial"/>
          <w:color w:val="000000"/>
          <w:lang w:val="en-US"/>
        </w:rPr>
        <w:t>Suniticon 50 mg capsules, hard</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3820C5CB"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Всяка твърда капсула съдържа 12,5 </w:t>
      </w:r>
      <w:r w:rsidRPr="000C6F64">
        <w:rPr>
          <w:rFonts w:eastAsia="Times New Roman" w:cs="Arial"/>
          <w:color w:val="000000"/>
          <w:lang w:val="en-US"/>
        </w:rPr>
        <w:t xml:space="preserve">mg </w:t>
      </w:r>
      <w:r w:rsidRPr="000C6F64">
        <w:rPr>
          <w:rFonts w:eastAsia="Times New Roman" w:cs="Arial"/>
          <w:color w:val="000000"/>
          <w:lang w:eastAsia="bg-BG"/>
        </w:rPr>
        <w:t xml:space="preserve">или 50 </w:t>
      </w:r>
      <w:r w:rsidRPr="000C6F64">
        <w:rPr>
          <w:rFonts w:eastAsia="Times New Roman" w:cs="Arial"/>
          <w:color w:val="000000"/>
          <w:lang w:val="en-US"/>
        </w:rPr>
        <w:t xml:space="preserve">mg </w:t>
      </w:r>
      <w:r w:rsidRPr="000C6F64">
        <w:rPr>
          <w:rFonts w:eastAsia="Times New Roman" w:cs="Arial"/>
          <w:color w:val="000000"/>
          <w:lang w:eastAsia="bg-BG"/>
        </w:rPr>
        <w:t xml:space="preserve">сунитиниб </w:t>
      </w:r>
      <w:r w:rsidRPr="000C6F64">
        <w:rPr>
          <w:rFonts w:eastAsia="Times New Roman" w:cs="Arial"/>
          <w:i/>
          <w:iCs/>
          <w:color w:val="000000"/>
          <w:lang w:val="en-US"/>
        </w:rPr>
        <w:t>(sunitinib).</w:t>
      </w:r>
    </w:p>
    <w:p w14:paraId="49FF75AC" w14:textId="77777777" w:rsidR="000C6F64" w:rsidRPr="000C6F64" w:rsidRDefault="000C6F64" w:rsidP="000C6F64">
      <w:pPr>
        <w:spacing w:line="240" w:lineRule="auto"/>
        <w:rPr>
          <w:rFonts w:eastAsia="Times New Roman" w:cs="Arial"/>
          <w:color w:val="000000"/>
          <w:u w:val="single"/>
          <w:lang w:eastAsia="bg-BG"/>
        </w:rPr>
      </w:pPr>
    </w:p>
    <w:p w14:paraId="5C50DFE0" w14:textId="71BF1116"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Помощно вещество с известно действие</w:t>
      </w:r>
      <w:r w:rsidRPr="000C6F64">
        <w:rPr>
          <w:rFonts w:eastAsia="Times New Roman" w:cs="Arial"/>
          <w:color w:val="000000"/>
          <w:lang w:eastAsia="bg-BG"/>
        </w:rPr>
        <w:t>:</w:t>
      </w:r>
    </w:p>
    <w:p w14:paraId="54632B43" w14:textId="25A97A21" w:rsidR="00EC41ED" w:rsidRPr="000C6F64" w:rsidRDefault="000C6F64" w:rsidP="000C6F64">
      <w:pPr>
        <w:rPr>
          <w:rFonts w:cs="Arial"/>
        </w:rPr>
      </w:pPr>
      <w:r w:rsidRPr="000C6F64">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36FDDBB2"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Твърда капсула.</w:t>
      </w:r>
    </w:p>
    <w:p w14:paraId="76EBCEA3" w14:textId="77777777" w:rsidR="000C6F64" w:rsidRPr="000C6F64" w:rsidRDefault="000C6F64" w:rsidP="000C6F64">
      <w:pPr>
        <w:spacing w:line="240" w:lineRule="auto"/>
        <w:rPr>
          <w:rFonts w:eastAsia="Times New Roman" w:cs="Arial"/>
          <w:color w:val="000000"/>
          <w:lang w:eastAsia="bg-BG"/>
        </w:rPr>
      </w:pPr>
    </w:p>
    <w:p w14:paraId="43E1FDAD" w14:textId="20FF22EE"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Сунитикон 12,5 </w:t>
      </w:r>
      <w:r w:rsidRPr="000C6F64">
        <w:rPr>
          <w:rFonts w:eastAsia="Times New Roman" w:cs="Arial"/>
          <w:color w:val="000000"/>
          <w:lang w:val="en-US"/>
        </w:rPr>
        <w:t xml:space="preserve">mg </w:t>
      </w:r>
      <w:r w:rsidRPr="000C6F64">
        <w:rPr>
          <w:rFonts w:eastAsia="Times New Roman" w:cs="Arial"/>
          <w:color w:val="000000"/>
          <w:lang w:eastAsia="bg-BG"/>
        </w:rPr>
        <w:t xml:space="preserve">са твърди желатинови капсули размер „4“ с оранжеви капаче и тяло, принтиран с бяло мастило надпис </w:t>
      </w:r>
      <w:r w:rsidRPr="000C6F64">
        <w:rPr>
          <w:rFonts w:eastAsia="Times New Roman" w:cs="Arial"/>
          <w:color w:val="000000"/>
          <w:lang w:val="en-US"/>
        </w:rPr>
        <w:t xml:space="preserve">„SB </w:t>
      </w:r>
      <w:r w:rsidRPr="000C6F64">
        <w:rPr>
          <w:rFonts w:eastAsia="Times New Roman" w:cs="Arial"/>
          <w:color w:val="000000"/>
          <w:lang w:eastAsia="bg-BG"/>
        </w:rPr>
        <w:t>12,5“ и с бяла линия на капсулното тяло, съдържащи гранули с жълт до оранжев цвят.</w:t>
      </w:r>
    </w:p>
    <w:p w14:paraId="2D1B7D42" w14:textId="77777777" w:rsidR="000C6F64" w:rsidRPr="000C6F64" w:rsidRDefault="000C6F64" w:rsidP="000C6F64">
      <w:pPr>
        <w:rPr>
          <w:rFonts w:eastAsia="Times New Roman" w:cs="Arial"/>
          <w:color w:val="000000"/>
          <w:lang w:eastAsia="bg-BG"/>
        </w:rPr>
      </w:pPr>
    </w:p>
    <w:p w14:paraId="743244F0" w14:textId="4F633CAC" w:rsidR="00EC41ED" w:rsidRPr="000C6F64" w:rsidRDefault="000C6F64" w:rsidP="000C6F64">
      <w:pPr>
        <w:rPr>
          <w:rFonts w:cs="Arial"/>
        </w:rPr>
      </w:pPr>
      <w:r w:rsidRPr="000C6F64">
        <w:rPr>
          <w:rFonts w:eastAsia="Times New Roman" w:cs="Arial"/>
          <w:color w:val="000000"/>
          <w:lang w:eastAsia="bg-BG"/>
        </w:rPr>
        <w:t xml:space="preserve">Сунитикон 50 </w:t>
      </w:r>
      <w:r w:rsidRPr="000C6F64">
        <w:rPr>
          <w:rFonts w:eastAsia="Times New Roman" w:cs="Arial"/>
          <w:color w:val="000000"/>
          <w:lang w:val="en-US"/>
        </w:rPr>
        <w:t xml:space="preserve">mg </w:t>
      </w:r>
      <w:r w:rsidRPr="000C6F64">
        <w:rPr>
          <w:rFonts w:eastAsia="Times New Roman" w:cs="Arial"/>
          <w:color w:val="000000"/>
          <w:lang w:eastAsia="bg-BG"/>
        </w:rPr>
        <w:t xml:space="preserve">са твърди желатинови капсули размер „1“ с капаче и тяло с цвят карамел, принтиран с бяло мастило надпис </w:t>
      </w:r>
      <w:r w:rsidRPr="000C6F64">
        <w:rPr>
          <w:rFonts w:eastAsia="Times New Roman" w:cs="Arial"/>
          <w:color w:val="000000"/>
          <w:lang w:val="en-US"/>
        </w:rPr>
        <w:t xml:space="preserve">„SB </w:t>
      </w:r>
      <w:r w:rsidRPr="000C6F64">
        <w:rPr>
          <w:rFonts w:eastAsia="Times New Roman" w:cs="Arial"/>
          <w:color w:val="000000"/>
          <w:lang w:eastAsia="bg-BG"/>
        </w:rPr>
        <w:t>50“ и с бяла линия на капсулното тяло, съдържащи гранули с жълт до оранжев цвят.</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5D6CB55D"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 xml:space="preserve">Гастроинтестинален стромален тумор </w:t>
      </w:r>
      <w:r w:rsidRPr="000C6F64">
        <w:rPr>
          <w:rFonts w:eastAsia="Times New Roman" w:cs="Arial"/>
          <w:color w:val="000000"/>
          <w:u w:val="single"/>
          <w:lang w:val="en-US"/>
        </w:rPr>
        <w:t>(GIST)</w:t>
      </w:r>
    </w:p>
    <w:p w14:paraId="2E769471"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Сунитикон е показан за лечението на неоперабилен и/или метастатичен злокачествен гастроинтестинален стромален тумор </w:t>
      </w:r>
      <w:r w:rsidRPr="000C6F64">
        <w:rPr>
          <w:rFonts w:eastAsia="Times New Roman" w:cs="Arial"/>
          <w:color w:val="000000"/>
          <w:lang w:val="en-US"/>
        </w:rPr>
        <w:t xml:space="preserve">(GIST) </w:t>
      </w:r>
      <w:r w:rsidRPr="000C6F64">
        <w:rPr>
          <w:rFonts w:eastAsia="Times New Roman" w:cs="Arial"/>
          <w:color w:val="000000"/>
          <w:lang w:eastAsia="bg-BG"/>
        </w:rPr>
        <w:t>при възрастни, след неуспешно лечение с иматиниб, поради резистентност или непоносимост.</w:t>
      </w:r>
    </w:p>
    <w:p w14:paraId="06C6E61C" w14:textId="77777777" w:rsidR="000C6F64" w:rsidRPr="000C6F64" w:rsidRDefault="000C6F64" w:rsidP="000C6F64">
      <w:pPr>
        <w:spacing w:line="240" w:lineRule="auto"/>
        <w:rPr>
          <w:rFonts w:eastAsia="Times New Roman" w:cs="Arial"/>
          <w:color w:val="000000"/>
          <w:u w:val="single"/>
          <w:lang w:eastAsia="bg-BG"/>
        </w:rPr>
      </w:pPr>
    </w:p>
    <w:p w14:paraId="16297CDC" w14:textId="53FC07DF"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 xml:space="preserve">Метастатичен бъбречно-клетъчен карцином </w:t>
      </w:r>
      <w:r w:rsidRPr="000C6F64">
        <w:rPr>
          <w:rFonts w:eastAsia="Times New Roman" w:cs="Arial"/>
          <w:color w:val="000000"/>
          <w:u w:val="single"/>
          <w:lang w:val="en-US"/>
        </w:rPr>
        <w:t>(MRCC)</w:t>
      </w:r>
    </w:p>
    <w:p w14:paraId="50A7B42D"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Сунитикон е показан за лечението на напреднал/метастатичен бъбречно-клетъчен карцином </w:t>
      </w:r>
      <w:r w:rsidRPr="000C6F64">
        <w:rPr>
          <w:rFonts w:eastAsia="Times New Roman" w:cs="Arial"/>
          <w:color w:val="000000"/>
          <w:lang w:val="en-US"/>
        </w:rPr>
        <w:t xml:space="preserve">(MRCC) </w:t>
      </w:r>
      <w:r w:rsidRPr="000C6F64">
        <w:rPr>
          <w:rFonts w:eastAsia="Times New Roman" w:cs="Arial"/>
          <w:color w:val="000000"/>
          <w:lang w:eastAsia="bg-BG"/>
        </w:rPr>
        <w:t>при възрастни.</w:t>
      </w:r>
    </w:p>
    <w:p w14:paraId="34B88A91" w14:textId="77777777" w:rsidR="000C6F64" w:rsidRPr="000C6F64" w:rsidRDefault="000C6F64" w:rsidP="000C6F64">
      <w:pPr>
        <w:spacing w:line="240" w:lineRule="auto"/>
        <w:rPr>
          <w:rFonts w:eastAsia="Times New Roman" w:cs="Arial"/>
          <w:color w:val="000000"/>
          <w:u w:val="single"/>
          <w:lang w:eastAsia="bg-BG"/>
        </w:rPr>
      </w:pPr>
    </w:p>
    <w:p w14:paraId="4CB7FB49" w14:textId="17766976"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lastRenderedPageBreak/>
        <w:t xml:space="preserve">Панкреатични невроендокринни тумори </w:t>
      </w:r>
      <w:r w:rsidRPr="000C6F64">
        <w:rPr>
          <w:rFonts w:eastAsia="Times New Roman" w:cs="Arial"/>
          <w:color w:val="000000"/>
          <w:u w:val="single"/>
          <w:lang w:val="en-US"/>
        </w:rPr>
        <w:t>(pNET)</w:t>
      </w:r>
    </w:p>
    <w:p w14:paraId="6DFA4B9D" w14:textId="493010A9" w:rsidR="0091385D" w:rsidRPr="000C6F64" w:rsidRDefault="000C6F64" w:rsidP="000C6F64">
      <w:pPr>
        <w:rPr>
          <w:rFonts w:cs="Arial"/>
        </w:rPr>
      </w:pPr>
      <w:r w:rsidRPr="000C6F64">
        <w:rPr>
          <w:rFonts w:eastAsia="Times New Roman" w:cs="Arial"/>
          <w:color w:val="000000"/>
          <w:lang w:eastAsia="bg-BG"/>
        </w:rPr>
        <w:t xml:space="preserve">Сунитикон е показан за лечение на неоперабилни или метастатични, добре диференцирани панкреатични невроендокринни тумори </w:t>
      </w:r>
      <w:r w:rsidRPr="000C6F64">
        <w:rPr>
          <w:rFonts w:eastAsia="Times New Roman" w:cs="Arial"/>
          <w:color w:val="000000"/>
          <w:lang w:val="en-US"/>
        </w:rPr>
        <w:t xml:space="preserve">(pNET) </w:t>
      </w:r>
      <w:r w:rsidRPr="000C6F64">
        <w:rPr>
          <w:rFonts w:eastAsia="Times New Roman" w:cs="Arial"/>
          <w:color w:val="000000"/>
          <w:lang w:eastAsia="bg-BG"/>
        </w:rPr>
        <w:t>при прогресиране на болестта при възрастни.</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7FBF1BCE" w14:textId="25EEDE08" w:rsidR="00EC41ED" w:rsidRPr="000C6F64" w:rsidRDefault="000C6F64" w:rsidP="0091385D">
      <w:pPr>
        <w:rPr>
          <w:rFonts w:cs="Arial"/>
        </w:rPr>
      </w:pPr>
      <w:r w:rsidRPr="000C6F64">
        <w:rPr>
          <w:rFonts w:cs="Arial"/>
        </w:rPr>
        <w:t>Терапията със Сунитикон трябва да бъде предприета от лекар, който има опит в</w:t>
      </w:r>
      <w:r w:rsidRPr="000C6F64">
        <w:rPr>
          <w:rFonts w:cs="Arial"/>
          <w:smallCaps/>
        </w:rPr>
        <w:t xml:space="preserve"> </w:t>
      </w:r>
      <w:r w:rsidRPr="000C6F64">
        <w:rPr>
          <w:rFonts w:cs="Arial"/>
        </w:rPr>
        <w:t>приложението на противоракови лекарствени продукти.</w:t>
      </w:r>
    </w:p>
    <w:p w14:paraId="57C8B178" w14:textId="494D3D42" w:rsidR="000C6F64" w:rsidRPr="000C6F64" w:rsidRDefault="000C6F64" w:rsidP="0091385D">
      <w:pPr>
        <w:rPr>
          <w:rFonts w:cs="Arial"/>
        </w:rPr>
      </w:pPr>
    </w:p>
    <w:p w14:paraId="726277C8" w14:textId="77777777" w:rsidR="000C6F64" w:rsidRPr="000C6F64" w:rsidRDefault="000C6F64" w:rsidP="000C6F64">
      <w:pPr>
        <w:pStyle w:val="Heading3"/>
        <w:rPr>
          <w:rFonts w:eastAsia="Times New Roman"/>
          <w:u w:val="single"/>
          <w:lang w:eastAsia="bg-BG"/>
        </w:rPr>
      </w:pPr>
      <w:r w:rsidRPr="000C6F64">
        <w:rPr>
          <w:rFonts w:eastAsia="Times New Roman"/>
          <w:u w:val="single"/>
          <w:lang w:eastAsia="bg-BG"/>
        </w:rPr>
        <w:t>Дозировка</w:t>
      </w:r>
    </w:p>
    <w:p w14:paraId="469A38CE"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При </w:t>
      </w:r>
      <w:r w:rsidRPr="000C6F64">
        <w:rPr>
          <w:rFonts w:eastAsia="Times New Roman" w:cs="Arial"/>
          <w:color w:val="000000"/>
          <w:lang w:val="en-US"/>
        </w:rPr>
        <w:t xml:space="preserve">GIST </w:t>
      </w:r>
      <w:r w:rsidRPr="000C6F64">
        <w:rPr>
          <w:rFonts w:eastAsia="Times New Roman" w:cs="Arial"/>
          <w:color w:val="000000"/>
          <w:lang w:eastAsia="bg-BG"/>
        </w:rPr>
        <w:t xml:space="preserve">и </w:t>
      </w:r>
      <w:r w:rsidRPr="000C6F64">
        <w:rPr>
          <w:rFonts w:eastAsia="Times New Roman" w:cs="Arial"/>
          <w:color w:val="000000"/>
          <w:lang w:val="en-US"/>
        </w:rPr>
        <w:t xml:space="preserve">MRCC </w:t>
      </w:r>
      <w:r w:rsidRPr="000C6F64">
        <w:rPr>
          <w:rFonts w:eastAsia="Times New Roman" w:cs="Arial"/>
          <w:color w:val="000000"/>
          <w:lang w:eastAsia="bg-BG"/>
        </w:rPr>
        <w:t xml:space="preserve">препоръчителната доза Сунитикон е 50 </w:t>
      </w:r>
      <w:r w:rsidRPr="000C6F64">
        <w:rPr>
          <w:rFonts w:eastAsia="Times New Roman" w:cs="Arial"/>
          <w:color w:val="000000"/>
          <w:lang w:val="en-US"/>
        </w:rPr>
        <w:t xml:space="preserve">mg, </w:t>
      </w:r>
      <w:r w:rsidRPr="000C6F64">
        <w:rPr>
          <w:rFonts w:eastAsia="Times New Roman" w:cs="Arial"/>
          <w:color w:val="000000"/>
          <w:lang w:eastAsia="bg-BG"/>
        </w:rPr>
        <w:t>приемана перорално веднъж дневно, в продължение на 4 последователни седмици, последвана от 2-седмична пауза (схема 4/2), за да се обхване пълен цикъл от 6 седмици.</w:t>
      </w:r>
    </w:p>
    <w:p w14:paraId="78996E6A" w14:textId="77777777" w:rsidR="000C6F64" w:rsidRPr="000C6F64" w:rsidRDefault="000C6F64" w:rsidP="000C6F64">
      <w:pPr>
        <w:spacing w:line="240" w:lineRule="auto"/>
        <w:rPr>
          <w:rFonts w:eastAsia="Times New Roman" w:cs="Arial"/>
          <w:color w:val="000000"/>
          <w:lang w:eastAsia="bg-BG"/>
        </w:rPr>
      </w:pPr>
    </w:p>
    <w:p w14:paraId="25820823" w14:textId="312F2489"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При </w:t>
      </w:r>
      <w:r w:rsidRPr="000C6F64">
        <w:rPr>
          <w:rFonts w:eastAsia="Times New Roman" w:cs="Arial"/>
          <w:color w:val="000000"/>
          <w:lang w:val="en-US"/>
        </w:rPr>
        <w:t xml:space="preserve">pNET </w:t>
      </w:r>
      <w:r w:rsidRPr="000C6F64">
        <w:rPr>
          <w:rFonts w:eastAsia="Times New Roman" w:cs="Arial"/>
          <w:color w:val="000000"/>
          <w:lang w:eastAsia="bg-BG"/>
        </w:rPr>
        <w:t xml:space="preserve">препоръчителната доза Сунитикон е 37,5 </w:t>
      </w:r>
      <w:r w:rsidRPr="000C6F64">
        <w:rPr>
          <w:rFonts w:eastAsia="Times New Roman" w:cs="Arial"/>
          <w:color w:val="000000"/>
          <w:lang w:val="en-US"/>
        </w:rPr>
        <w:t xml:space="preserve">mg, </w:t>
      </w:r>
      <w:r w:rsidRPr="000C6F64">
        <w:rPr>
          <w:rFonts w:eastAsia="Times New Roman" w:cs="Arial"/>
          <w:color w:val="000000"/>
          <w:lang w:eastAsia="bg-BG"/>
        </w:rPr>
        <w:t>приемана перорално веднъж дневно без период на почивка в схемата.</w:t>
      </w:r>
    </w:p>
    <w:p w14:paraId="6EE0627C" w14:textId="77777777" w:rsidR="000C6F64" w:rsidRPr="000C6F64" w:rsidRDefault="000C6F64" w:rsidP="000C6F64">
      <w:pPr>
        <w:spacing w:line="240" w:lineRule="auto"/>
        <w:rPr>
          <w:rFonts w:eastAsia="Times New Roman" w:cs="Arial"/>
          <w:i/>
          <w:iCs/>
          <w:color w:val="000000"/>
          <w:u w:val="single"/>
          <w:lang w:eastAsia="bg-BG"/>
        </w:rPr>
      </w:pPr>
    </w:p>
    <w:p w14:paraId="087EDD44" w14:textId="16BD1521" w:rsidR="000C6F64" w:rsidRPr="000C6F64" w:rsidRDefault="000C6F64" w:rsidP="000C6F64">
      <w:pPr>
        <w:spacing w:line="240" w:lineRule="auto"/>
        <w:rPr>
          <w:rFonts w:eastAsia="Times New Roman" w:cs="Arial"/>
          <w:lang w:eastAsia="bg-BG"/>
        </w:rPr>
      </w:pPr>
      <w:r w:rsidRPr="000C6F64">
        <w:rPr>
          <w:rFonts w:eastAsia="Times New Roman" w:cs="Arial"/>
          <w:i/>
          <w:iCs/>
          <w:color w:val="000000"/>
          <w:u w:val="single"/>
          <w:lang w:eastAsia="bg-BG"/>
        </w:rPr>
        <w:t>Корекция на дозата</w:t>
      </w:r>
    </w:p>
    <w:p w14:paraId="05FB362D" w14:textId="77777777" w:rsidR="000C6F64" w:rsidRPr="000C6F64" w:rsidRDefault="000C6F64" w:rsidP="000C6F64">
      <w:pPr>
        <w:spacing w:line="240" w:lineRule="auto"/>
        <w:rPr>
          <w:rFonts w:eastAsia="Times New Roman" w:cs="Arial"/>
          <w:lang w:eastAsia="bg-BG"/>
        </w:rPr>
      </w:pPr>
      <w:r w:rsidRPr="000C6F64">
        <w:rPr>
          <w:rFonts w:eastAsia="Times New Roman" w:cs="Arial"/>
          <w:i/>
          <w:iCs/>
          <w:color w:val="000000"/>
          <w:lang w:eastAsia="bg-BG"/>
        </w:rPr>
        <w:t>Безопасност и поносимост</w:t>
      </w:r>
    </w:p>
    <w:p w14:paraId="1159FFDE" w14:textId="77777777" w:rsidR="000C6F64" w:rsidRPr="000C6F64" w:rsidRDefault="000C6F64" w:rsidP="000C6F64">
      <w:pPr>
        <w:spacing w:line="240" w:lineRule="auto"/>
        <w:rPr>
          <w:rFonts w:eastAsia="Times New Roman" w:cs="Arial"/>
          <w:lang w:eastAsia="bg-BG"/>
        </w:rPr>
      </w:pPr>
      <w:r w:rsidRPr="000C6F64">
        <w:rPr>
          <w:rFonts w:eastAsia="Times New Roman" w:cs="Arial"/>
          <w:i/>
          <w:iCs/>
          <w:color w:val="000000"/>
          <w:lang w:eastAsia="bg-BG"/>
        </w:rPr>
        <w:t>При</w:t>
      </w:r>
      <w:r w:rsidRPr="000C6F64">
        <w:rPr>
          <w:rFonts w:eastAsia="Times New Roman" w:cs="Arial"/>
          <w:color w:val="000000"/>
          <w:lang w:eastAsia="bg-BG"/>
        </w:rPr>
        <w:t xml:space="preserve"> </w:t>
      </w:r>
      <w:r w:rsidRPr="000C6F64">
        <w:rPr>
          <w:rFonts w:eastAsia="Times New Roman" w:cs="Arial"/>
          <w:color w:val="000000"/>
          <w:lang w:val="en-US"/>
        </w:rPr>
        <w:t xml:space="preserve">GIST </w:t>
      </w:r>
      <w:r w:rsidRPr="000C6F64">
        <w:rPr>
          <w:rFonts w:eastAsia="Times New Roman" w:cs="Arial"/>
          <w:color w:val="000000"/>
          <w:lang w:eastAsia="bg-BG"/>
        </w:rPr>
        <w:t xml:space="preserve">и </w:t>
      </w:r>
      <w:r w:rsidRPr="000C6F64">
        <w:rPr>
          <w:rFonts w:eastAsia="Times New Roman" w:cs="Arial"/>
          <w:color w:val="000000"/>
          <w:lang w:val="en-US"/>
        </w:rPr>
        <w:t xml:space="preserve">MRCC </w:t>
      </w:r>
      <w:r w:rsidRPr="000C6F64">
        <w:rPr>
          <w:rFonts w:eastAsia="Times New Roman" w:cs="Arial"/>
          <w:color w:val="000000"/>
          <w:lang w:eastAsia="bg-BG"/>
        </w:rPr>
        <w:t xml:space="preserve">въз основа на индивидуалната безопасност и поносимост, може да бъде приложено модифициране на дозата в стъпки от 12,5 </w:t>
      </w:r>
      <w:r w:rsidRPr="000C6F64">
        <w:rPr>
          <w:rFonts w:eastAsia="Times New Roman" w:cs="Arial"/>
          <w:color w:val="000000"/>
          <w:lang w:val="en-US"/>
        </w:rPr>
        <w:t xml:space="preserve">mg. </w:t>
      </w:r>
      <w:r w:rsidRPr="000C6F64">
        <w:rPr>
          <w:rFonts w:eastAsia="Times New Roman" w:cs="Arial"/>
          <w:color w:val="000000"/>
          <w:lang w:eastAsia="bg-BG"/>
        </w:rPr>
        <w:t xml:space="preserve">Дневната доза не трябва да надвишава 75 </w:t>
      </w:r>
      <w:r w:rsidRPr="000C6F64">
        <w:rPr>
          <w:rFonts w:eastAsia="Times New Roman" w:cs="Arial"/>
          <w:color w:val="000000"/>
          <w:lang w:val="en-US"/>
        </w:rPr>
        <w:t xml:space="preserve">mg, </w:t>
      </w:r>
      <w:r w:rsidRPr="000C6F64">
        <w:rPr>
          <w:rFonts w:eastAsia="Times New Roman" w:cs="Arial"/>
          <w:color w:val="000000"/>
          <w:lang w:eastAsia="bg-BG"/>
        </w:rPr>
        <w:t xml:space="preserve">нито да бъде намалявана под 25 </w:t>
      </w:r>
      <w:r w:rsidRPr="000C6F64">
        <w:rPr>
          <w:rFonts w:eastAsia="Times New Roman" w:cs="Arial"/>
          <w:color w:val="000000"/>
          <w:lang w:val="en-US"/>
        </w:rPr>
        <w:t>mg.</w:t>
      </w:r>
    </w:p>
    <w:p w14:paraId="43225B01" w14:textId="77777777" w:rsidR="000C6F64" w:rsidRPr="000C6F64" w:rsidRDefault="000C6F64" w:rsidP="000C6F64">
      <w:pPr>
        <w:spacing w:line="240" w:lineRule="auto"/>
        <w:rPr>
          <w:rFonts w:eastAsia="Times New Roman" w:cs="Arial"/>
          <w:color w:val="000000"/>
          <w:lang w:eastAsia="bg-BG"/>
        </w:rPr>
      </w:pPr>
    </w:p>
    <w:p w14:paraId="44B99EDF" w14:textId="312DBFC3"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При </w:t>
      </w:r>
      <w:r w:rsidRPr="000C6F64">
        <w:rPr>
          <w:rFonts w:eastAsia="Times New Roman" w:cs="Arial"/>
          <w:color w:val="000000"/>
          <w:lang w:val="en-US"/>
        </w:rPr>
        <w:t xml:space="preserve">pNET </w:t>
      </w:r>
      <w:r w:rsidRPr="000C6F64">
        <w:rPr>
          <w:rFonts w:eastAsia="Times New Roman" w:cs="Arial"/>
          <w:color w:val="000000"/>
          <w:lang w:eastAsia="bg-BG"/>
        </w:rPr>
        <w:t xml:space="preserve">въз основа на индивидуалната безопасност и поносимост може да бъде приложено модифициране на дозата в стъпки от 12,5 </w:t>
      </w:r>
      <w:r w:rsidRPr="000C6F64">
        <w:rPr>
          <w:rFonts w:eastAsia="Times New Roman" w:cs="Arial"/>
          <w:color w:val="000000"/>
          <w:lang w:val="en-US"/>
        </w:rPr>
        <w:t xml:space="preserve">mg. </w:t>
      </w:r>
      <w:r w:rsidRPr="000C6F64">
        <w:rPr>
          <w:rFonts w:eastAsia="Times New Roman" w:cs="Arial"/>
          <w:color w:val="000000"/>
          <w:lang w:eastAsia="bg-BG"/>
        </w:rPr>
        <w:t xml:space="preserve">Максималната доза, прилагана по време на </w:t>
      </w:r>
      <w:r w:rsidRPr="000C6F64">
        <w:rPr>
          <w:rFonts w:eastAsia="Times New Roman" w:cs="Arial"/>
          <w:color w:val="000000"/>
          <w:lang w:val="en-US"/>
        </w:rPr>
        <w:t xml:space="preserve">pNET </w:t>
      </w:r>
      <w:r w:rsidRPr="000C6F64">
        <w:rPr>
          <w:rFonts w:eastAsia="Times New Roman" w:cs="Arial"/>
          <w:color w:val="000000"/>
          <w:lang w:eastAsia="bg-BG"/>
        </w:rPr>
        <w:t xml:space="preserve">проучването фаза 3, е била 50 </w:t>
      </w:r>
      <w:r w:rsidRPr="000C6F64">
        <w:rPr>
          <w:rFonts w:eastAsia="Times New Roman" w:cs="Arial"/>
          <w:color w:val="000000"/>
          <w:lang w:val="en-US"/>
        </w:rPr>
        <w:t xml:space="preserve">mg </w:t>
      </w:r>
      <w:r w:rsidRPr="000C6F64">
        <w:rPr>
          <w:rFonts w:eastAsia="Times New Roman" w:cs="Arial"/>
          <w:color w:val="000000"/>
          <w:lang w:eastAsia="bg-BG"/>
        </w:rPr>
        <w:t>дневно.</w:t>
      </w:r>
    </w:p>
    <w:p w14:paraId="55AB276A" w14:textId="77777777" w:rsidR="000C6F64" w:rsidRPr="000C6F64" w:rsidRDefault="000C6F64" w:rsidP="000C6F64">
      <w:pPr>
        <w:spacing w:line="240" w:lineRule="auto"/>
        <w:rPr>
          <w:rFonts w:eastAsia="Times New Roman" w:cs="Arial"/>
          <w:color w:val="000000"/>
          <w:lang w:eastAsia="bg-BG"/>
        </w:rPr>
      </w:pPr>
    </w:p>
    <w:p w14:paraId="2010A5D5" w14:textId="180A13ED"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Прекъсвания в прилагането могат да се наложат въз основа на индивидуалната безопасност и поносимост,</w:t>
      </w:r>
    </w:p>
    <w:p w14:paraId="71E3E463" w14:textId="77777777" w:rsidR="000C6F64" w:rsidRPr="000C6F64" w:rsidRDefault="000C6F64" w:rsidP="000C6F64">
      <w:pPr>
        <w:spacing w:line="240" w:lineRule="auto"/>
        <w:rPr>
          <w:rFonts w:eastAsia="Times New Roman" w:cs="Arial"/>
          <w:i/>
          <w:iCs/>
          <w:color w:val="000000"/>
          <w:lang w:val="en-US"/>
        </w:rPr>
      </w:pPr>
    </w:p>
    <w:p w14:paraId="39B6A788" w14:textId="2213EFD1" w:rsidR="000C6F64" w:rsidRPr="000C6F64" w:rsidRDefault="000C6F64" w:rsidP="000C6F64">
      <w:pPr>
        <w:spacing w:line="240" w:lineRule="auto"/>
        <w:rPr>
          <w:rFonts w:eastAsia="Times New Roman" w:cs="Arial"/>
          <w:lang w:eastAsia="bg-BG"/>
        </w:rPr>
      </w:pPr>
      <w:r w:rsidRPr="000C6F64">
        <w:rPr>
          <w:rFonts w:eastAsia="Times New Roman" w:cs="Arial"/>
          <w:i/>
          <w:iCs/>
          <w:color w:val="000000"/>
          <w:lang w:val="en-US"/>
        </w:rPr>
        <w:t xml:space="preserve">CYP3A4 </w:t>
      </w:r>
      <w:r w:rsidRPr="000C6F64">
        <w:rPr>
          <w:rFonts w:eastAsia="Times New Roman" w:cs="Arial"/>
          <w:i/>
          <w:iCs/>
          <w:color w:val="000000"/>
          <w:lang w:eastAsia="bg-BG"/>
        </w:rPr>
        <w:t>инхибитори/индуктори</w:t>
      </w:r>
    </w:p>
    <w:p w14:paraId="2F45ED5D"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Едновременно приложение на сунитиниб с мощни индуктори на </w:t>
      </w:r>
      <w:r w:rsidRPr="000C6F64">
        <w:rPr>
          <w:rFonts w:eastAsia="Times New Roman" w:cs="Arial"/>
          <w:color w:val="000000"/>
          <w:lang w:val="en-US"/>
        </w:rPr>
        <w:t xml:space="preserve">CYP3A4 </w:t>
      </w:r>
      <w:r w:rsidRPr="000C6F64">
        <w:rPr>
          <w:rFonts w:eastAsia="Times New Roman" w:cs="Arial"/>
          <w:color w:val="000000"/>
          <w:lang w:eastAsia="bg-BG"/>
        </w:rPr>
        <w:t xml:space="preserve">като рифампицин трябва да се избягва (вж. точки 4.4 и 4.5). Ако това не е възможно, може да  бъде необходимо увеличение на дозата на сунитиниб със стъпки от 12,5 </w:t>
      </w:r>
      <w:r w:rsidRPr="000C6F64">
        <w:rPr>
          <w:rFonts w:eastAsia="Times New Roman" w:cs="Arial"/>
          <w:color w:val="000000"/>
          <w:lang w:val="en-US"/>
        </w:rPr>
        <w:t xml:space="preserve">mg </w:t>
      </w:r>
      <w:r w:rsidRPr="000C6F64">
        <w:rPr>
          <w:rFonts w:eastAsia="Times New Roman" w:cs="Arial"/>
          <w:color w:val="000000"/>
          <w:lang w:eastAsia="bg-BG"/>
        </w:rPr>
        <w:t xml:space="preserve">(до 87,5 </w:t>
      </w:r>
      <w:r w:rsidRPr="000C6F64">
        <w:rPr>
          <w:rFonts w:eastAsia="Times New Roman" w:cs="Arial"/>
          <w:color w:val="000000"/>
          <w:lang w:val="en-US"/>
        </w:rPr>
        <w:t xml:space="preserve">mg </w:t>
      </w:r>
      <w:r w:rsidRPr="000C6F64">
        <w:rPr>
          <w:rFonts w:eastAsia="Times New Roman" w:cs="Arial"/>
          <w:color w:val="000000"/>
          <w:lang w:eastAsia="bg-BG"/>
        </w:rPr>
        <w:t xml:space="preserve">на ден при </w:t>
      </w:r>
      <w:r w:rsidRPr="000C6F64">
        <w:rPr>
          <w:rFonts w:eastAsia="Times New Roman" w:cs="Arial"/>
          <w:color w:val="000000"/>
          <w:lang w:val="en-US"/>
        </w:rPr>
        <w:t xml:space="preserve">GIST </w:t>
      </w:r>
      <w:r w:rsidRPr="000C6F64">
        <w:rPr>
          <w:rFonts w:eastAsia="Times New Roman" w:cs="Arial"/>
          <w:color w:val="000000"/>
          <w:lang w:eastAsia="bg-BG"/>
        </w:rPr>
        <w:t xml:space="preserve">и </w:t>
      </w:r>
      <w:r w:rsidRPr="000C6F64">
        <w:rPr>
          <w:rFonts w:eastAsia="Times New Roman" w:cs="Arial"/>
          <w:color w:val="000000"/>
          <w:lang w:val="en-US"/>
        </w:rPr>
        <w:t xml:space="preserve">MRCC </w:t>
      </w:r>
      <w:r w:rsidRPr="000C6F64">
        <w:rPr>
          <w:rFonts w:eastAsia="Times New Roman" w:cs="Arial"/>
          <w:color w:val="000000"/>
          <w:lang w:eastAsia="bg-BG"/>
        </w:rPr>
        <w:t xml:space="preserve">или 62,5 </w:t>
      </w:r>
      <w:r w:rsidRPr="000C6F64">
        <w:rPr>
          <w:rFonts w:eastAsia="Times New Roman" w:cs="Arial"/>
          <w:color w:val="000000"/>
          <w:lang w:val="en-US"/>
        </w:rPr>
        <w:t xml:space="preserve">mg </w:t>
      </w:r>
      <w:r w:rsidRPr="000C6F64">
        <w:rPr>
          <w:rFonts w:eastAsia="Times New Roman" w:cs="Arial"/>
          <w:color w:val="000000"/>
          <w:lang w:eastAsia="bg-BG"/>
        </w:rPr>
        <w:t xml:space="preserve">на ден при </w:t>
      </w:r>
      <w:r w:rsidRPr="000C6F64">
        <w:rPr>
          <w:rFonts w:eastAsia="Times New Roman" w:cs="Arial"/>
          <w:color w:val="000000"/>
          <w:lang w:val="en-US"/>
        </w:rPr>
        <w:t xml:space="preserve">pNET), </w:t>
      </w:r>
      <w:r w:rsidRPr="000C6F64">
        <w:rPr>
          <w:rFonts w:eastAsia="Times New Roman" w:cs="Arial"/>
          <w:color w:val="000000"/>
          <w:lang w:eastAsia="bg-BG"/>
        </w:rPr>
        <w:t>въз основа на внимателно  наблюдение на поносимостта.</w:t>
      </w:r>
      <w:r w:rsidRPr="000C6F64">
        <w:rPr>
          <w:rFonts w:eastAsia="Times New Roman" w:cs="Arial"/>
          <w:color w:val="000000"/>
          <w:lang w:eastAsia="bg-BG"/>
        </w:rPr>
        <w:tab/>
        <w:t>'</w:t>
      </w:r>
    </w:p>
    <w:p w14:paraId="212154C0" w14:textId="77777777" w:rsidR="000C6F64" w:rsidRPr="000C6F64" w:rsidRDefault="000C6F64" w:rsidP="000C6F64">
      <w:pPr>
        <w:spacing w:line="240" w:lineRule="auto"/>
        <w:rPr>
          <w:rFonts w:eastAsia="Times New Roman" w:cs="Arial"/>
          <w:color w:val="000000"/>
          <w:lang w:eastAsia="bg-BG"/>
        </w:rPr>
      </w:pPr>
    </w:p>
    <w:p w14:paraId="28AFE446" w14:textId="07BAB794"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Едновременно приложение на сунитиниб с мощни инхибитори на </w:t>
      </w:r>
      <w:r w:rsidRPr="000C6F64">
        <w:rPr>
          <w:rFonts w:eastAsia="Times New Roman" w:cs="Arial"/>
          <w:color w:val="000000"/>
          <w:lang w:val="en-US"/>
        </w:rPr>
        <w:t xml:space="preserve">CYP3A4 </w:t>
      </w:r>
      <w:r w:rsidRPr="000C6F64">
        <w:rPr>
          <w:rFonts w:eastAsia="Times New Roman" w:cs="Arial"/>
          <w:color w:val="000000"/>
          <w:lang w:eastAsia="bg-BG"/>
        </w:rPr>
        <w:t xml:space="preserve">като кетоконазол трябва да се избягва (вж. точки 4.4 и 4.5). Ако това не е възможно, може да е необходимо намаляване на дозите на сунитиниб до минимума от 37,5 </w:t>
      </w:r>
      <w:r w:rsidRPr="000C6F64">
        <w:rPr>
          <w:rFonts w:eastAsia="Times New Roman" w:cs="Arial"/>
          <w:color w:val="000000"/>
          <w:lang w:val="en-US"/>
        </w:rPr>
        <w:t xml:space="preserve">mg </w:t>
      </w:r>
      <w:r w:rsidRPr="000C6F64">
        <w:rPr>
          <w:rFonts w:eastAsia="Times New Roman" w:cs="Arial"/>
          <w:color w:val="000000"/>
          <w:lang w:eastAsia="bg-BG"/>
        </w:rPr>
        <w:t xml:space="preserve">дневно при </w:t>
      </w:r>
      <w:r w:rsidRPr="000C6F64">
        <w:rPr>
          <w:rFonts w:eastAsia="Times New Roman" w:cs="Arial"/>
          <w:color w:val="000000"/>
          <w:lang w:val="en-US"/>
        </w:rPr>
        <w:t xml:space="preserve">GIST </w:t>
      </w:r>
      <w:r w:rsidRPr="000C6F64">
        <w:rPr>
          <w:rFonts w:eastAsia="Times New Roman" w:cs="Arial"/>
          <w:color w:val="000000"/>
          <w:lang w:eastAsia="bg-BG"/>
        </w:rPr>
        <w:t xml:space="preserve">и </w:t>
      </w:r>
      <w:r w:rsidRPr="000C6F64">
        <w:rPr>
          <w:rFonts w:eastAsia="Times New Roman" w:cs="Arial"/>
          <w:color w:val="000000"/>
          <w:lang w:val="en-US"/>
        </w:rPr>
        <w:t xml:space="preserve">MRCC </w:t>
      </w:r>
      <w:r w:rsidRPr="000C6F64">
        <w:rPr>
          <w:rFonts w:eastAsia="Times New Roman" w:cs="Arial"/>
          <w:color w:val="000000"/>
          <w:lang w:eastAsia="bg-BG"/>
        </w:rPr>
        <w:t xml:space="preserve">или 25 </w:t>
      </w:r>
      <w:r w:rsidRPr="000C6F64">
        <w:rPr>
          <w:rFonts w:eastAsia="Times New Roman" w:cs="Arial"/>
          <w:color w:val="000000"/>
          <w:lang w:val="en-US"/>
        </w:rPr>
        <w:t xml:space="preserve">mg </w:t>
      </w:r>
      <w:r w:rsidRPr="000C6F64">
        <w:rPr>
          <w:rFonts w:eastAsia="Times New Roman" w:cs="Arial"/>
          <w:color w:val="000000"/>
          <w:lang w:eastAsia="bg-BG"/>
        </w:rPr>
        <w:t xml:space="preserve">на ден при </w:t>
      </w:r>
      <w:r w:rsidRPr="000C6F64">
        <w:rPr>
          <w:rFonts w:eastAsia="Times New Roman" w:cs="Arial"/>
          <w:color w:val="000000"/>
          <w:lang w:val="en-US"/>
        </w:rPr>
        <w:t xml:space="preserve">pNET, </w:t>
      </w:r>
      <w:r w:rsidRPr="000C6F64">
        <w:rPr>
          <w:rFonts w:eastAsia="Times New Roman" w:cs="Arial"/>
          <w:color w:val="000000"/>
          <w:lang w:eastAsia="bg-BG"/>
        </w:rPr>
        <w:t>въз основа на внимателно наблюдение на поносимостта.</w:t>
      </w:r>
    </w:p>
    <w:p w14:paraId="2D85F953" w14:textId="77777777" w:rsidR="000C6F64" w:rsidRPr="000C6F64" w:rsidRDefault="000C6F64" w:rsidP="000C6F64">
      <w:pPr>
        <w:spacing w:line="240" w:lineRule="auto"/>
        <w:rPr>
          <w:rFonts w:eastAsia="Times New Roman" w:cs="Arial"/>
          <w:color w:val="000000"/>
          <w:lang w:eastAsia="bg-BG"/>
        </w:rPr>
      </w:pPr>
    </w:p>
    <w:p w14:paraId="7ED522F3" w14:textId="526CA86B"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Трябва да се има предвид избора на друг съпътстващ лекарствен продукт, който няма или е с минимална способност да индуцйра или инхибира </w:t>
      </w:r>
      <w:r w:rsidRPr="000C6F64">
        <w:rPr>
          <w:rFonts w:eastAsia="Times New Roman" w:cs="Arial"/>
          <w:color w:val="000000"/>
          <w:lang w:val="en-US"/>
        </w:rPr>
        <w:t>CYP3</w:t>
      </w:r>
      <w:r w:rsidRPr="000C6F64">
        <w:rPr>
          <w:rFonts w:eastAsia="Times New Roman" w:cs="Arial"/>
          <w:color w:val="000000"/>
          <w:lang w:eastAsia="bg-BG"/>
        </w:rPr>
        <w:t>А4.</w:t>
      </w:r>
    </w:p>
    <w:p w14:paraId="01E8936F" w14:textId="77777777" w:rsidR="000C6F64" w:rsidRPr="000C6F64" w:rsidRDefault="000C6F64" w:rsidP="000C6F64">
      <w:pPr>
        <w:spacing w:line="240" w:lineRule="auto"/>
        <w:rPr>
          <w:rFonts w:eastAsia="Times New Roman" w:cs="Arial"/>
          <w:color w:val="000000"/>
          <w:u w:val="single"/>
          <w:lang w:eastAsia="bg-BG"/>
        </w:rPr>
      </w:pPr>
    </w:p>
    <w:p w14:paraId="51AAB618" w14:textId="4E829059"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Специални популации:</w:t>
      </w:r>
    </w:p>
    <w:p w14:paraId="326E5A14" w14:textId="77777777" w:rsidR="000C6F64" w:rsidRPr="000C6F64" w:rsidRDefault="000C6F64" w:rsidP="000C6F64">
      <w:pPr>
        <w:spacing w:line="240" w:lineRule="auto"/>
        <w:rPr>
          <w:rFonts w:eastAsia="Times New Roman" w:cs="Arial"/>
          <w:i/>
          <w:iCs/>
          <w:color w:val="000000"/>
          <w:lang w:eastAsia="bg-BG"/>
        </w:rPr>
      </w:pPr>
    </w:p>
    <w:p w14:paraId="1D188D43" w14:textId="1EF4DA7B" w:rsidR="000C6F64" w:rsidRPr="000C6F64" w:rsidRDefault="000C6F64" w:rsidP="000C6F64">
      <w:pPr>
        <w:spacing w:line="240" w:lineRule="auto"/>
        <w:rPr>
          <w:rFonts w:eastAsia="Times New Roman" w:cs="Arial"/>
          <w:lang w:eastAsia="bg-BG"/>
        </w:rPr>
      </w:pPr>
      <w:r w:rsidRPr="000C6F64">
        <w:rPr>
          <w:rFonts w:eastAsia="Times New Roman" w:cs="Arial"/>
          <w:i/>
          <w:iCs/>
          <w:color w:val="000000"/>
          <w:lang w:eastAsia="bg-BG"/>
        </w:rPr>
        <w:lastRenderedPageBreak/>
        <w:t>Педиатрична популация</w:t>
      </w:r>
    </w:p>
    <w:p w14:paraId="51F01550"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Безопасността и ефикасността на Сунитикон при пациенти под 18-годишна възраст не са установени.</w:t>
      </w:r>
    </w:p>
    <w:p w14:paraId="026E6CF7"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Наличните понастоящем данни са описани в точки 4.8, 5.1 и 5.2, но препоръка за дозировката не може да бъде направена.</w:t>
      </w:r>
    </w:p>
    <w:p w14:paraId="40A5427F" w14:textId="77777777" w:rsidR="000C6F64" w:rsidRPr="000C6F64" w:rsidRDefault="000C6F64" w:rsidP="000C6F64">
      <w:pPr>
        <w:spacing w:line="240" w:lineRule="auto"/>
        <w:rPr>
          <w:rFonts w:eastAsia="Times New Roman" w:cs="Arial"/>
          <w:i/>
          <w:iCs/>
          <w:color w:val="000000"/>
          <w:lang w:eastAsia="bg-BG"/>
        </w:rPr>
      </w:pPr>
    </w:p>
    <w:p w14:paraId="6156FD78" w14:textId="3A71F3DD" w:rsidR="000C6F64" w:rsidRPr="000C6F64" w:rsidRDefault="000C6F64" w:rsidP="000C6F64">
      <w:pPr>
        <w:spacing w:line="240" w:lineRule="auto"/>
        <w:rPr>
          <w:rFonts w:eastAsia="Times New Roman" w:cs="Arial"/>
          <w:lang w:eastAsia="bg-BG"/>
        </w:rPr>
      </w:pPr>
      <w:r w:rsidRPr="000C6F64">
        <w:rPr>
          <w:rFonts w:eastAsia="Times New Roman" w:cs="Arial"/>
          <w:i/>
          <w:iCs/>
          <w:color w:val="000000"/>
          <w:lang w:eastAsia="bg-BG"/>
        </w:rPr>
        <w:t>Пациенти в старческа възраст</w:t>
      </w:r>
    </w:p>
    <w:p w14:paraId="6146D835"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Около една трета от пациентите в клиничните проучвания, приемали сунитиниб, са били на 65 или повече години. Не са установени значими различия в безопасността или ефикасността между по-млади и по-възрастни пациенти.</w:t>
      </w:r>
    </w:p>
    <w:p w14:paraId="4BBA0581" w14:textId="77777777" w:rsidR="000C6F64" w:rsidRPr="000C6F64" w:rsidRDefault="000C6F64" w:rsidP="000C6F64">
      <w:pPr>
        <w:spacing w:line="240" w:lineRule="auto"/>
        <w:rPr>
          <w:rFonts w:eastAsia="Times New Roman" w:cs="Arial"/>
          <w:i/>
          <w:iCs/>
          <w:color w:val="000000"/>
          <w:lang w:eastAsia="bg-BG"/>
        </w:rPr>
      </w:pPr>
    </w:p>
    <w:p w14:paraId="75E16482" w14:textId="57CF6DF4" w:rsidR="000C6F64" w:rsidRPr="000C6F64" w:rsidRDefault="000C6F64" w:rsidP="000C6F64">
      <w:pPr>
        <w:spacing w:line="240" w:lineRule="auto"/>
        <w:rPr>
          <w:rFonts w:eastAsia="Times New Roman" w:cs="Arial"/>
          <w:lang w:eastAsia="bg-BG"/>
        </w:rPr>
      </w:pPr>
      <w:r w:rsidRPr="000C6F64">
        <w:rPr>
          <w:rFonts w:eastAsia="Times New Roman" w:cs="Arial"/>
          <w:i/>
          <w:iCs/>
          <w:color w:val="000000"/>
          <w:lang w:eastAsia="bg-BG"/>
        </w:rPr>
        <w:t>Чернодробно увреждане</w:t>
      </w:r>
    </w:p>
    <w:p w14:paraId="756F9F80" w14:textId="77777777" w:rsidR="000C6F64" w:rsidRPr="000C6F64" w:rsidRDefault="000C6F64" w:rsidP="000C6F64">
      <w:pPr>
        <w:rPr>
          <w:rFonts w:eastAsia="Times New Roman" w:cs="Arial"/>
          <w:lang w:eastAsia="bg-BG"/>
        </w:rPr>
      </w:pPr>
      <w:r w:rsidRPr="000C6F64">
        <w:rPr>
          <w:rFonts w:eastAsia="Times New Roman" w:cs="Arial"/>
          <w:color w:val="000000"/>
          <w:lang w:eastAsia="bg-BG"/>
        </w:rPr>
        <w:t xml:space="preserve">Не се препоръчва адаптиране на началната доза, когато сунитиниб се прилага за пациенти с леко до умерено чернодробно увреждане </w:t>
      </w:r>
      <w:r w:rsidRPr="000C6F64">
        <w:rPr>
          <w:rFonts w:eastAsia="Times New Roman" w:cs="Arial"/>
          <w:color w:val="000000"/>
          <w:lang w:val="en-US"/>
        </w:rPr>
        <w:t xml:space="preserve">(Child-Pugh </w:t>
      </w:r>
      <w:r w:rsidRPr="000C6F64">
        <w:rPr>
          <w:rFonts w:eastAsia="Times New Roman" w:cs="Arial"/>
          <w:color w:val="000000"/>
          <w:lang w:eastAsia="bg-BG"/>
        </w:rPr>
        <w:t xml:space="preserve">Клас А и В). Сунитиниб не е  проучван при лица с тежко </w:t>
      </w:r>
      <w:r w:rsidRPr="000C6F64">
        <w:rPr>
          <w:rFonts w:eastAsia="Times New Roman" w:cs="Arial"/>
          <w:color w:val="000000"/>
          <w:lang w:val="en-US"/>
        </w:rPr>
        <w:t xml:space="preserve">(Child-Pugh </w:t>
      </w:r>
      <w:r w:rsidRPr="000C6F64">
        <w:rPr>
          <w:rFonts w:eastAsia="Times New Roman" w:cs="Arial"/>
          <w:color w:val="000000"/>
          <w:lang w:eastAsia="bg-BG"/>
        </w:rPr>
        <w:t>Клас С) чернодробно увреждане и затова приложението му при пациенти с тежко чернодробно увреждане не може да бъде препоръчано (вж. точка 5.2).</w:t>
      </w:r>
    </w:p>
    <w:p w14:paraId="03D7A24E" w14:textId="77777777" w:rsidR="000C6F64" w:rsidRPr="000C6F64" w:rsidRDefault="000C6F64" w:rsidP="000C6F64">
      <w:pPr>
        <w:spacing w:line="240" w:lineRule="auto"/>
        <w:rPr>
          <w:rFonts w:eastAsia="Times New Roman" w:cs="Arial"/>
          <w:i/>
          <w:iCs/>
          <w:color w:val="000000"/>
          <w:lang w:eastAsia="bg-BG"/>
        </w:rPr>
      </w:pPr>
    </w:p>
    <w:p w14:paraId="5646E051" w14:textId="1962F181" w:rsidR="000C6F64" w:rsidRPr="000C6F64" w:rsidRDefault="000C6F64" w:rsidP="000C6F64">
      <w:pPr>
        <w:spacing w:line="240" w:lineRule="auto"/>
        <w:rPr>
          <w:rFonts w:eastAsia="Times New Roman" w:cs="Arial"/>
          <w:lang w:eastAsia="bg-BG"/>
        </w:rPr>
      </w:pPr>
      <w:r w:rsidRPr="000C6F64">
        <w:rPr>
          <w:rFonts w:eastAsia="Times New Roman" w:cs="Arial"/>
          <w:i/>
          <w:iCs/>
          <w:color w:val="000000"/>
          <w:lang w:eastAsia="bg-BG"/>
        </w:rPr>
        <w:t>Бъбречно увреждане</w:t>
      </w:r>
    </w:p>
    <w:p w14:paraId="78187623"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Не е необходимо коригиране на началната доза, когато се приема сунитиниб от пациенти с бъбречно увреждане (от леко до тежко) или с терминална бъбречна недостатъчност </w:t>
      </w:r>
      <w:r w:rsidRPr="000C6F64">
        <w:rPr>
          <w:rFonts w:eastAsia="Times New Roman" w:cs="Arial"/>
          <w:color w:val="000000"/>
          <w:lang w:val="en-US"/>
        </w:rPr>
        <w:t xml:space="preserve">(ESRJD), </w:t>
      </w:r>
      <w:r w:rsidRPr="000C6F64">
        <w:rPr>
          <w:rFonts w:eastAsia="Times New Roman" w:cs="Arial"/>
          <w:color w:val="000000"/>
          <w:lang w:eastAsia="bg-BG"/>
        </w:rPr>
        <w:t>които са на хемодиализа. Последващо коригиране на дозата трябва да се основава на индивидуалната безопасност и поносимост (вж. точка 5.2).</w:t>
      </w:r>
    </w:p>
    <w:p w14:paraId="797CDD90" w14:textId="77777777" w:rsidR="000C6F64" w:rsidRPr="000C6F64" w:rsidRDefault="000C6F64" w:rsidP="000C6F64">
      <w:pPr>
        <w:spacing w:line="240" w:lineRule="auto"/>
        <w:rPr>
          <w:rFonts w:eastAsia="Times New Roman" w:cs="Arial"/>
          <w:color w:val="000000"/>
          <w:u w:val="single"/>
          <w:lang w:eastAsia="bg-BG"/>
        </w:rPr>
      </w:pPr>
    </w:p>
    <w:p w14:paraId="5D792070" w14:textId="3B565162" w:rsidR="000C6F64" w:rsidRPr="000C6F64" w:rsidRDefault="000C6F64" w:rsidP="000C6F64">
      <w:pPr>
        <w:pStyle w:val="Heading3"/>
        <w:rPr>
          <w:rFonts w:eastAsia="Times New Roman"/>
          <w:u w:val="single"/>
          <w:lang w:eastAsia="bg-BG"/>
        </w:rPr>
      </w:pPr>
      <w:r w:rsidRPr="000C6F64">
        <w:rPr>
          <w:rFonts w:eastAsia="Times New Roman"/>
          <w:u w:val="single"/>
          <w:lang w:eastAsia="bg-BG"/>
        </w:rPr>
        <w:t>Начин на приложение</w:t>
      </w:r>
    </w:p>
    <w:p w14:paraId="0ADE4F1E"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Сунитикон е за перорално приложение. Той може да се приема със или без храна.</w:t>
      </w:r>
    </w:p>
    <w:p w14:paraId="27D89845" w14:textId="77777777" w:rsidR="000C6F64" w:rsidRPr="000C6F64" w:rsidRDefault="000C6F64" w:rsidP="000C6F64">
      <w:pPr>
        <w:rPr>
          <w:rFonts w:eastAsia="Times New Roman" w:cs="Arial"/>
          <w:color w:val="000000"/>
          <w:lang w:eastAsia="bg-BG"/>
        </w:rPr>
      </w:pPr>
    </w:p>
    <w:p w14:paraId="3333DFB3" w14:textId="027A45E8" w:rsidR="000C6F64" w:rsidRPr="000C6F64" w:rsidRDefault="000C6F64" w:rsidP="000C6F64">
      <w:pPr>
        <w:rPr>
          <w:rFonts w:cs="Arial"/>
        </w:rPr>
      </w:pPr>
      <w:r w:rsidRPr="000C6F64">
        <w:rPr>
          <w:rFonts w:eastAsia="Times New Roman" w:cs="Arial"/>
          <w:color w:val="000000"/>
          <w:lang w:eastAsia="bg-BG"/>
        </w:rPr>
        <w:t>Ако се пропусне доза, не бива да се дава допълнителна доза на пациента. Пациентът трябва да приеме обичайната предписана доза на следващия ден.</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030B6A4D" w14:textId="454366C5" w:rsidR="00EC41ED" w:rsidRPr="000C6F64" w:rsidRDefault="000C6F64" w:rsidP="0091385D">
      <w:pPr>
        <w:rPr>
          <w:rFonts w:cs="Arial"/>
        </w:rPr>
      </w:pPr>
      <w:r w:rsidRPr="000C6F64">
        <w:rPr>
          <w:rFonts w:cs="Arial"/>
        </w:rPr>
        <w:t>Свръхчувствителност към активното вещество или към някое от помощните вещества, изброени в точка 6.1.</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4235B458"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Едновременно приложение с мощни индуктори на </w:t>
      </w:r>
      <w:r w:rsidRPr="000C6F64">
        <w:rPr>
          <w:rFonts w:eastAsia="Times New Roman" w:cs="Arial"/>
          <w:color w:val="000000"/>
          <w:lang w:val="en-US"/>
        </w:rPr>
        <w:t xml:space="preserve">CYP3A4 </w:t>
      </w:r>
      <w:r w:rsidRPr="000C6F64">
        <w:rPr>
          <w:rFonts w:eastAsia="Times New Roman" w:cs="Arial"/>
          <w:color w:val="000000"/>
          <w:lang w:eastAsia="bg-BG"/>
        </w:rPr>
        <w:t>трябва да се избягва, тъй като може да понижи плазмените концентрации на сунитиниб (вж. точки 4.2 и 4.5).</w:t>
      </w:r>
    </w:p>
    <w:p w14:paraId="3A2751A4" w14:textId="77777777" w:rsidR="000C6F64" w:rsidRPr="000C6F64" w:rsidRDefault="000C6F64" w:rsidP="000C6F64">
      <w:pPr>
        <w:spacing w:line="240" w:lineRule="auto"/>
        <w:rPr>
          <w:rFonts w:eastAsia="Times New Roman" w:cs="Arial"/>
          <w:color w:val="000000"/>
          <w:lang w:eastAsia="bg-BG"/>
        </w:rPr>
      </w:pPr>
    </w:p>
    <w:p w14:paraId="21547D18" w14:textId="6729657D" w:rsidR="000C6F64" w:rsidRPr="000C6F64" w:rsidRDefault="000C6F64" w:rsidP="000C6F64">
      <w:pPr>
        <w:spacing w:line="240" w:lineRule="auto"/>
        <w:rPr>
          <w:rFonts w:eastAsia="Times New Roman" w:cs="Arial"/>
          <w:color w:val="000000"/>
          <w:lang w:eastAsia="bg-BG"/>
        </w:rPr>
      </w:pPr>
      <w:r w:rsidRPr="000C6F64">
        <w:rPr>
          <w:rFonts w:eastAsia="Times New Roman" w:cs="Arial"/>
          <w:color w:val="000000"/>
          <w:lang w:eastAsia="bg-BG"/>
        </w:rPr>
        <w:t xml:space="preserve">Едновременно приложение с мощни инхибитори на </w:t>
      </w:r>
      <w:r w:rsidRPr="000C6F64">
        <w:rPr>
          <w:rFonts w:eastAsia="Times New Roman" w:cs="Arial"/>
          <w:color w:val="000000"/>
          <w:lang w:val="en-US"/>
        </w:rPr>
        <w:t xml:space="preserve">CYP3A4 </w:t>
      </w:r>
      <w:r w:rsidRPr="000C6F64">
        <w:rPr>
          <w:rFonts w:eastAsia="Times New Roman" w:cs="Arial"/>
          <w:color w:val="000000"/>
          <w:lang w:eastAsia="bg-BG"/>
        </w:rPr>
        <w:t>трябва да се избягва, тъй като може да повиши плазмените концентрации на сунитиниб (вж. точки 4.2 и 4.5).</w:t>
      </w:r>
    </w:p>
    <w:p w14:paraId="5D3F4005" w14:textId="77777777" w:rsidR="000C6F64" w:rsidRPr="000C6F64" w:rsidRDefault="000C6F64" w:rsidP="000C6F64">
      <w:pPr>
        <w:spacing w:line="240" w:lineRule="auto"/>
        <w:rPr>
          <w:rFonts w:eastAsia="Times New Roman" w:cs="Arial"/>
          <w:color w:val="000000"/>
          <w:u w:val="single"/>
          <w:lang w:eastAsia="bg-BG"/>
        </w:rPr>
      </w:pPr>
    </w:p>
    <w:p w14:paraId="414FD57D" w14:textId="5981137F" w:rsidR="000C6F64" w:rsidRPr="000C6F64" w:rsidRDefault="000C6F64" w:rsidP="000C6F64">
      <w:pPr>
        <w:spacing w:line="240" w:lineRule="auto"/>
        <w:rPr>
          <w:rFonts w:eastAsia="Times New Roman" w:cs="Arial"/>
          <w:lang w:eastAsia="bg-BG"/>
        </w:rPr>
      </w:pPr>
      <w:r>
        <w:rPr>
          <w:rFonts w:eastAsia="Times New Roman" w:cs="Arial"/>
          <w:color w:val="000000"/>
          <w:u w:val="single"/>
          <w:lang w:eastAsia="bg-BG"/>
        </w:rPr>
        <w:t>Нарушения на кожата и т</w:t>
      </w:r>
      <w:r w:rsidRPr="000C6F64">
        <w:rPr>
          <w:rFonts w:eastAsia="Times New Roman" w:cs="Arial"/>
          <w:color w:val="000000"/>
          <w:u w:val="single"/>
          <w:lang w:eastAsia="bg-BG"/>
        </w:rPr>
        <w:t>ъканите</w:t>
      </w:r>
    </w:p>
    <w:p w14:paraId="2EBDF919"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Пациентите трябва да бъдат уведомени, че може да се появи депигментация на косата и кожата по време на лечение със сунитиниб. Други възможни дерматологични ефекти могат да включват сухота, удебеляване или напукване на кожата, мехурчета или обриви по дланите на ръцете и ходилата на краката.</w:t>
      </w:r>
    </w:p>
    <w:p w14:paraId="7D809B6A" w14:textId="77777777" w:rsidR="000C6F64" w:rsidRPr="000C6F64" w:rsidRDefault="000C6F64" w:rsidP="000C6F64">
      <w:pPr>
        <w:spacing w:line="240" w:lineRule="auto"/>
        <w:rPr>
          <w:rFonts w:eastAsia="Times New Roman" w:cs="Arial"/>
          <w:color w:val="000000"/>
          <w:lang w:eastAsia="bg-BG"/>
        </w:rPr>
      </w:pPr>
    </w:p>
    <w:p w14:paraId="490A0202" w14:textId="666CF85B"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lastRenderedPageBreak/>
        <w:t xml:space="preserve">Горепосочените реакции не са били кумулативни, обикновено са били обратими и общо взето не са довели до прекратяване на лечението. Докладвани са случаи на пиодерма гангренозум, обикновено обратима след прекратяване на приема на сунитиниб. Съобщава се за тежки кожни реакции, включително случаи на еритема мултиформе (ЕМ), случаи, предполагащи синдром на </w:t>
      </w:r>
      <w:r w:rsidRPr="000C6F64">
        <w:rPr>
          <w:rFonts w:eastAsia="Times New Roman" w:cs="Arial"/>
          <w:color w:val="000000"/>
          <w:lang w:val="en-US"/>
        </w:rPr>
        <w:t xml:space="preserve">Stevens-Johnson (SJS) </w:t>
      </w:r>
      <w:r w:rsidRPr="000C6F64">
        <w:rPr>
          <w:rFonts w:eastAsia="Times New Roman" w:cs="Arial"/>
          <w:color w:val="000000"/>
          <w:lang w:eastAsia="bg-BG"/>
        </w:rPr>
        <w:t xml:space="preserve">и токсична епиДермална некролиза </w:t>
      </w:r>
      <w:r w:rsidRPr="000C6F64">
        <w:rPr>
          <w:rFonts w:eastAsia="Times New Roman" w:cs="Arial"/>
          <w:color w:val="000000"/>
          <w:lang w:val="en-US"/>
        </w:rPr>
        <w:t xml:space="preserve">(TEN), </w:t>
      </w:r>
      <w:r w:rsidRPr="000C6F64">
        <w:rPr>
          <w:rFonts w:eastAsia="Times New Roman" w:cs="Arial"/>
          <w:color w:val="000000"/>
          <w:lang w:eastAsia="bg-BG"/>
        </w:rPr>
        <w:t xml:space="preserve">някои от които летални. Ако има признаци или симптоми на синдром на </w:t>
      </w:r>
      <w:r w:rsidRPr="000C6F64">
        <w:rPr>
          <w:rFonts w:eastAsia="Times New Roman" w:cs="Arial"/>
          <w:color w:val="000000"/>
          <w:lang w:val="en-US"/>
        </w:rPr>
        <w:t xml:space="preserve">Stevens-Johnson, TEN </w:t>
      </w:r>
      <w:r w:rsidRPr="000C6F64">
        <w:rPr>
          <w:rFonts w:eastAsia="Times New Roman" w:cs="Arial"/>
          <w:color w:val="000000"/>
          <w:lang w:eastAsia="bg-BG"/>
        </w:rPr>
        <w:t xml:space="preserve">или ЕМ (напр. прогресивен кожен обрив, често съпроводен с мехури или лигавични лезии), лечението със сунитиниб трябва да се прекрати. Ако диагнозата на синдром на </w:t>
      </w:r>
      <w:r w:rsidRPr="000C6F64">
        <w:rPr>
          <w:rFonts w:eastAsia="Times New Roman" w:cs="Arial"/>
          <w:color w:val="000000"/>
          <w:lang w:val="en-US"/>
        </w:rPr>
        <w:t xml:space="preserve">Stevens-John son </w:t>
      </w:r>
      <w:r w:rsidRPr="000C6F64">
        <w:rPr>
          <w:rFonts w:eastAsia="Times New Roman" w:cs="Arial"/>
          <w:color w:val="000000"/>
          <w:lang w:eastAsia="bg-BG"/>
        </w:rPr>
        <w:t xml:space="preserve">или </w:t>
      </w:r>
      <w:r w:rsidRPr="000C6F64">
        <w:rPr>
          <w:rFonts w:eastAsia="Times New Roman" w:cs="Arial"/>
          <w:color w:val="000000"/>
          <w:lang w:val="en-US"/>
        </w:rPr>
        <w:t xml:space="preserve">TEN </w:t>
      </w:r>
      <w:r w:rsidRPr="000C6F64">
        <w:rPr>
          <w:rFonts w:eastAsia="Times New Roman" w:cs="Arial"/>
          <w:color w:val="000000"/>
          <w:lang w:eastAsia="bg-BG"/>
        </w:rPr>
        <w:t xml:space="preserve">бъде потвърдена, лечението не бива да се започва отново. </w:t>
      </w:r>
      <w:r w:rsidRPr="000C6F64">
        <w:rPr>
          <w:rFonts w:eastAsia="Times New Roman" w:cs="Arial"/>
          <w:i/>
          <w:iCs/>
          <w:color w:val="000000"/>
          <w:lang w:eastAsia="bg-BG"/>
        </w:rPr>
        <w:t xml:space="preserve">При </w:t>
      </w:r>
      <w:r w:rsidRPr="000C6F64">
        <w:rPr>
          <w:rFonts w:eastAsia="Times New Roman" w:cs="Arial"/>
          <w:color w:val="000000"/>
          <w:lang w:eastAsia="bg-BG"/>
        </w:rPr>
        <w:t>някои случаи на подозирана ЕМ пациентите са понесли повторно започване на лечението със сунитиниб при по-ниска доза, след отшумяване на реакцията; някои от тези пациенти също така едновременно са получили лечение с кортикостероиди или антихистамини (вж. точка 4.8).</w:t>
      </w:r>
    </w:p>
    <w:p w14:paraId="48C89A5D" w14:textId="77777777" w:rsidR="000C6F64" w:rsidRPr="000C6F64" w:rsidRDefault="000C6F64" w:rsidP="000C6F64">
      <w:pPr>
        <w:spacing w:line="240" w:lineRule="auto"/>
        <w:rPr>
          <w:rFonts w:eastAsia="Times New Roman" w:cs="Arial"/>
          <w:color w:val="000000"/>
          <w:u w:val="single"/>
          <w:lang w:eastAsia="bg-BG"/>
        </w:rPr>
      </w:pPr>
    </w:p>
    <w:p w14:paraId="1FFBDCF9" w14:textId="02BDDCB4"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Кръвоизлив и кървене на тумори</w:t>
      </w:r>
    </w:p>
    <w:p w14:paraId="1C58F28F" w14:textId="5F5C3DC0" w:rsidR="000C6F64" w:rsidRPr="000C6F64" w:rsidRDefault="000C6F64" w:rsidP="000C6F64">
      <w:pPr>
        <w:spacing w:line="240" w:lineRule="auto"/>
        <w:rPr>
          <w:rFonts w:eastAsia="Times New Roman" w:cs="Arial"/>
          <w:color w:val="000000"/>
          <w:lang w:eastAsia="bg-BG"/>
        </w:rPr>
      </w:pPr>
      <w:r w:rsidRPr="000C6F64">
        <w:rPr>
          <w:rFonts w:eastAsia="Times New Roman" w:cs="Arial"/>
          <w:color w:val="000000"/>
          <w:lang w:eastAsia="bg-BG"/>
        </w:rPr>
        <w:t>Хеморагичните събития, някои от които са били летални, съобщени при клинични проучвания със сунитиниб и по време на постмаркетинговото проследяване, са включвали</w:t>
      </w:r>
      <w:r w:rsidRPr="000C6F64">
        <w:rPr>
          <w:rFonts w:eastAsia="Times New Roman" w:cs="Arial"/>
          <w:color w:val="000000"/>
          <w:u w:val="single"/>
          <w:lang w:eastAsia="bg-BG"/>
        </w:rPr>
        <w:t xml:space="preserve"> </w:t>
      </w:r>
      <w:r w:rsidRPr="000C6F64">
        <w:rPr>
          <w:rFonts w:eastAsia="Times New Roman" w:cs="Arial"/>
          <w:color w:val="000000"/>
          <w:lang w:eastAsia="bg-BG"/>
        </w:rPr>
        <w:t>кръвоизливи от стомашно-чревния тракт, респираторния тракт, пикочните пътища и</w:t>
      </w:r>
      <w:r w:rsidRPr="000C6F64">
        <w:rPr>
          <w:rFonts w:eastAsia="Times New Roman" w:cs="Arial"/>
          <w:color w:val="000000"/>
          <w:vertAlign w:val="superscript"/>
          <w:lang w:eastAsia="bg-BG"/>
        </w:rPr>
        <w:t xml:space="preserve"> </w:t>
      </w:r>
      <w:r w:rsidRPr="000C6F64">
        <w:rPr>
          <w:rFonts w:eastAsia="Times New Roman" w:cs="Arial"/>
          <w:color w:val="000000"/>
          <w:lang w:eastAsia="bg-BG"/>
        </w:rPr>
        <w:t>МОЗЪЧНИ кръвоизливи (вж. точка 4,8).</w:t>
      </w:r>
    </w:p>
    <w:p w14:paraId="27759F4C" w14:textId="77777777" w:rsidR="000C6F64" w:rsidRPr="000C6F64" w:rsidRDefault="000C6F64" w:rsidP="000C6F64">
      <w:pPr>
        <w:rPr>
          <w:rFonts w:eastAsia="Times New Roman" w:cs="Arial"/>
          <w:color w:val="000000"/>
          <w:lang w:eastAsia="bg-BG"/>
        </w:rPr>
      </w:pPr>
    </w:p>
    <w:p w14:paraId="0E28BBDE" w14:textId="70B9EAE7" w:rsidR="007A2185" w:rsidRPr="000C6F64" w:rsidRDefault="000C6F64" w:rsidP="000C6F64">
      <w:pPr>
        <w:rPr>
          <w:rFonts w:cs="Arial"/>
        </w:rPr>
      </w:pPr>
      <w:r w:rsidRPr="000C6F64">
        <w:rPr>
          <w:rFonts w:eastAsia="Times New Roman" w:cs="Arial"/>
          <w:color w:val="000000"/>
          <w:lang w:eastAsia="bg-BG"/>
        </w:rPr>
        <w:t>Рутинната оценка на събитията на кървене трябва да включва пълна кръвна картина и физикален преглед.</w:t>
      </w:r>
    </w:p>
    <w:p w14:paraId="24E3E82F" w14:textId="1173C344" w:rsidR="0091385D" w:rsidRPr="000C6F64" w:rsidRDefault="0091385D" w:rsidP="0091385D">
      <w:pPr>
        <w:rPr>
          <w:rFonts w:cs="Arial"/>
        </w:rPr>
      </w:pPr>
    </w:p>
    <w:p w14:paraId="5F62098A"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Епистаксис е била най-честата хеморагична нежелана реакция, която </w:t>
      </w:r>
      <w:r w:rsidRPr="000C6F64">
        <w:rPr>
          <w:rFonts w:eastAsia="Times New Roman" w:cs="Arial"/>
          <w:i/>
          <w:iCs/>
          <w:color w:val="000000"/>
          <w:lang w:eastAsia="bg-BG"/>
        </w:rPr>
        <w:t xml:space="preserve">е съобщена при </w:t>
      </w:r>
      <w:r w:rsidRPr="000C6F64">
        <w:rPr>
          <w:rFonts w:eastAsia="Times New Roman" w:cs="Arial"/>
          <w:color w:val="000000"/>
          <w:lang w:eastAsia="bg-BG"/>
        </w:rPr>
        <w:t>приблизително половината от пациентите със солидни тумори, които са имали хеморагични събития. Някои от случаите на епистаксис са били тежки, но рядко летални.</w:t>
      </w:r>
    </w:p>
    <w:p w14:paraId="2590BB78" w14:textId="77777777" w:rsidR="000C6F64" w:rsidRPr="000C6F64" w:rsidRDefault="000C6F64" w:rsidP="000C6F64">
      <w:pPr>
        <w:spacing w:line="240" w:lineRule="auto"/>
        <w:rPr>
          <w:rFonts w:eastAsia="Times New Roman" w:cs="Arial"/>
          <w:color w:val="000000"/>
          <w:lang w:eastAsia="bg-BG"/>
        </w:rPr>
      </w:pPr>
    </w:p>
    <w:p w14:paraId="4F14CD0C" w14:textId="06592944"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Съобщава се за случаи на туморна хеморагия, понякога свързани с туморна некроза, като някои от тези хеморагични събития са били летални.</w:t>
      </w:r>
    </w:p>
    <w:p w14:paraId="6405C5FF" w14:textId="77777777" w:rsidR="000C6F64" w:rsidRPr="000C6F64" w:rsidRDefault="000C6F64" w:rsidP="000C6F64">
      <w:pPr>
        <w:spacing w:line="240" w:lineRule="auto"/>
        <w:rPr>
          <w:rFonts w:eastAsia="Times New Roman" w:cs="Arial"/>
          <w:color w:val="000000"/>
          <w:lang w:eastAsia="bg-BG"/>
        </w:rPr>
      </w:pPr>
    </w:p>
    <w:p w14:paraId="6C0B2976" w14:textId="2B7CB179" w:rsidR="000C6F64" w:rsidRPr="000C6F64" w:rsidRDefault="000C6F64" w:rsidP="000C6F64">
      <w:pPr>
        <w:spacing w:line="240" w:lineRule="auto"/>
        <w:rPr>
          <w:rFonts w:eastAsia="Times New Roman" w:cs="Arial"/>
          <w:color w:val="000000"/>
          <w:lang w:eastAsia="bg-BG"/>
        </w:rPr>
      </w:pPr>
      <w:r w:rsidRPr="000C6F64">
        <w:rPr>
          <w:rFonts w:eastAsia="Times New Roman" w:cs="Arial"/>
          <w:color w:val="000000"/>
          <w:lang w:eastAsia="bg-BG"/>
        </w:rPr>
        <w:t xml:space="preserve">Кръвоизлив от тумора може да настъпи внезапно и в случай на белодробен тумор могат да се проявят като тежки и животозастрашаващи кръвохрачене или белодробен кръвоизлив. При клиничните проучвания и по време на постмаркетинговия опит при пациенти, лекувани със сунитиниб за </w:t>
      </w:r>
      <w:r w:rsidRPr="000C6F64">
        <w:rPr>
          <w:rFonts w:eastAsia="Times New Roman" w:cs="Arial"/>
          <w:color w:val="000000"/>
          <w:lang w:val="en-US"/>
        </w:rPr>
        <w:t xml:space="preserve">MRCC, GIST </w:t>
      </w:r>
      <w:r w:rsidRPr="000C6F64">
        <w:rPr>
          <w:rFonts w:eastAsia="Times New Roman" w:cs="Arial"/>
          <w:color w:val="000000"/>
          <w:lang w:eastAsia="bg-BG"/>
        </w:rPr>
        <w:t>и белодробен карцином, са наблюдавани случаи на белодробна хеморагия, някои от които с летален изход. Сунитикон не е одобрен за приложение при пациенти с рак на белите дробове.</w:t>
      </w:r>
    </w:p>
    <w:p w14:paraId="506DD55A" w14:textId="77777777" w:rsidR="000C6F64" w:rsidRPr="000C6F64" w:rsidRDefault="000C6F64" w:rsidP="000C6F64">
      <w:pPr>
        <w:spacing w:line="240" w:lineRule="auto"/>
        <w:rPr>
          <w:rFonts w:eastAsia="Times New Roman" w:cs="Arial"/>
          <w:color w:val="000000"/>
          <w:lang w:eastAsia="bg-BG"/>
        </w:rPr>
      </w:pPr>
    </w:p>
    <w:p w14:paraId="0342877C" w14:textId="69B14340"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Пациенти, получаващи едновременно антикоагуланти (напр. варфарин, аценокумарол), може да бъдат проследявани периодично, чрез пълна кръвна картина (тромбоцити), фактори на кръвосъсирването </w:t>
      </w:r>
      <w:r w:rsidRPr="000C6F64">
        <w:rPr>
          <w:rFonts w:eastAsia="Times New Roman" w:cs="Arial"/>
          <w:color w:val="000000"/>
          <w:lang w:val="en-US"/>
        </w:rPr>
        <w:t xml:space="preserve">(PT/INR) </w:t>
      </w:r>
      <w:r w:rsidRPr="000C6F64">
        <w:rPr>
          <w:rFonts w:eastAsia="Times New Roman" w:cs="Arial"/>
          <w:color w:val="000000"/>
          <w:lang w:eastAsia="bg-BG"/>
        </w:rPr>
        <w:t>и физикален преглед.</w:t>
      </w:r>
    </w:p>
    <w:p w14:paraId="38649948" w14:textId="77777777" w:rsidR="000C6F64" w:rsidRPr="000C6F64" w:rsidRDefault="000C6F64" w:rsidP="000C6F64">
      <w:pPr>
        <w:spacing w:line="240" w:lineRule="auto"/>
        <w:rPr>
          <w:rFonts w:eastAsia="Times New Roman" w:cs="Arial"/>
          <w:color w:val="000000"/>
          <w:u w:val="single"/>
          <w:lang w:eastAsia="bg-BG"/>
        </w:rPr>
      </w:pPr>
    </w:p>
    <w:p w14:paraId="2A545E04" w14:textId="5B03B5DC"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Стомашно-чревни нарушения</w:t>
      </w:r>
    </w:p>
    <w:p w14:paraId="01A77B41"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Диария, гадене/повръщане, коремна болка, диспепсия и стоматит/болка </w:t>
      </w:r>
      <w:r w:rsidRPr="000C6F64">
        <w:rPr>
          <w:rFonts w:eastAsia="Times New Roman" w:cs="Arial"/>
          <w:i/>
          <w:iCs/>
          <w:color w:val="000000"/>
          <w:lang w:eastAsia="bg-BG"/>
        </w:rPr>
        <w:t>в</w:t>
      </w:r>
      <w:r w:rsidRPr="000C6F64">
        <w:rPr>
          <w:rFonts w:eastAsia="Times New Roman" w:cs="Arial"/>
          <w:color w:val="000000"/>
          <w:lang w:eastAsia="bg-BG"/>
        </w:rPr>
        <w:t xml:space="preserve"> устата са били най-често съобщаваните стомашно-чревни нежелани реакции; съобщават се също и случаи на езофагит (вж. точка 4.8).</w:t>
      </w:r>
    </w:p>
    <w:p w14:paraId="0397D895" w14:textId="77777777" w:rsidR="000C6F64" w:rsidRPr="000C6F64" w:rsidRDefault="000C6F64" w:rsidP="000C6F64">
      <w:pPr>
        <w:spacing w:line="240" w:lineRule="auto"/>
        <w:rPr>
          <w:rFonts w:eastAsia="Times New Roman" w:cs="Arial"/>
          <w:color w:val="000000"/>
          <w:lang w:eastAsia="bg-BG"/>
        </w:rPr>
      </w:pPr>
    </w:p>
    <w:p w14:paraId="11300EC9" w14:textId="209EB524"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Поддържащата грижа при стомашно-чревните нежелани реакции, изискващи лечение, може да включва лекарствени продукти против повръщане, против диария или антиациди.</w:t>
      </w:r>
    </w:p>
    <w:p w14:paraId="410AD2CA" w14:textId="77777777" w:rsidR="000C6F64" w:rsidRPr="000C6F64" w:rsidRDefault="000C6F64" w:rsidP="000C6F64">
      <w:pPr>
        <w:spacing w:line="240" w:lineRule="auto"/>
        <w:rPr>
          <w:rFonts w:eastAsia="Times New Roman" w:cs="Arial"/>
          <w:color w:val="000000"/>
          <w:lang w:eastAsia="bg-BG"/>
        </w:rPr>
      </w:pPr>
    </w:p>
    <w:p w14:paraId="7BB3E1E6" w14:textId="735C8FF0"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lastRenderedPageBreak/>
        <w:t>При пациенти с интраабдоминални злокачествени образувания, лекувани със сунитиниб, са съобщени сериозни, понякога летални стомашно-чревни усложнения, включително стомашно- чревна перфорация.</w:t>
      </w:r>
    </w:p>
    <w:p w14:paraId="1A6A1DD5" w14:textId="77777777" w:rsidR="000C6F64" w:rsidRPr="000C6F64" w:rsidRDefault="000C6F64" w:rsidP="000C6F64">
      <w:pPr>
        <w:spacing w:line="240" w:lineRule="auto"/>
        <w:rPr>
          <w:rFonts w:eastAsia="Times New Roman" w:cs="Arial"/>
          <w:color w:val="000000"/>
          <w:u w:val="single"/>
          <w:lang w:eastAsia="bg-BG"/>
        </w:rPr>
      </w:pPr>
    </w:p>
    <w:p w14:paraId="3EEE38B1" w14:textId="574558BD"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Хипертония</w:t>
      </w:r>
    </w:p>
    <w:p w14:paraId="5401B165"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Съобщава се за хипертония, свързана със сунитиниб, включително тежка хипертония (&gt;200 </w:t>
      </w:r>
      <w:r w:rsidRPr="000C6F64">
        <w:rPr>
          <w:rFonts w:eastAsia="Times New Roman" w:cs="Arial"/>
          <w:color w:val="000000"/>
          <w:lang w:val="en-US"/>
        </w:rPr>
        <w:t xml:space="preserve">mmHg </w:t>
      </w:r>
      <w:r w:rsidRPr="000C6F64">
        <w:rPr>
          <w:rFonts w:eastAsia="Times New Roman" w:cs="Arial"/>
          <w:color w:val="000000"/>
          <w:lang w:eastAsia="bg-BG"/>
        </w:rPr>
        <w:t xml:space="preserve">систолно или 110 </w:t>
      </w:r>
      <w:r w:rsidRPr="000C6F64">
        <w:rPr>
          <w:rFonts w:eastAsia="Times New Roman" w:cs="Arial"/>
          <w:color w:val="000000"/>
          <w:lang w:val="en-US"/>
        </w:rPr>
        <w:t xml:space="preserve">mmHg </w:t>
      </w:r>
      <w:r w:rsidRPr="000C6F64">
        <w:rPr>
          <w:rFonts w:eastAsia="Times New Roman" w:cs="Arial"/>
          <w:color w:val="000000"/>
          <w:lang w:eastAsia="bg-BG"/>
        </w:rPr>
        <w:t>диастолно кръвно налягане). Пациентите трябва да се изследват за хипертония и да се контролират адекватно. Временно прекратяване се препоръчва при пациенти с тежка хипертония, която не се контролира с приложение на лекарства.</w:t>
      </w:r>
    </w:p>
    <w:p w14:paraId="5FFF5A63"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Лечението може да бъде подновено веднага щом хипертонията се контролира по подходящ начин (вж. точка 4.8).</w:t>
      </w:r>
    </w:p>
    <w:p w14:paraId="67C0BB5B" w14:textId="77777777" w:rsidR="000C6F64" w:rsidRPr="000C6F64" w:rsidRDefault="000C6F64" w:rsidP="000C6F64">
      <w:pPr>
        <w:spacing w:line="240" w:lineRule="auto"/>
        <w:rPr>
          <w:rFonts w:eastAsia="Times New Roman" w:cs="Arial"/>
          <w:color w:val="000000"/>
          <w:u w:val="single"/>
          <w:lang w:eastAsia="bg-BG"/>
        </w:rPr>
      </w:pPr>
    </w:p>
    <w:p w14:paraId="623B7AFA" w14:textId="36BC100E"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Хематологични нарушения</w:t>
      </w:r>
    </w:p>
    <w:p w14:paraId="1EE9C20E"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Намален абсолютен брой неутрофили и намален брой тромбоцити са съобщени като свързани със сунитиниб (вж. точка 4.8). Горните събития не са били кумулативни, обикновено са били обратими и общо взето не са довели до прекратяване на лечението. Нито едно от тези събития в проучвания фаза 3 не е било летално, но редки летални хематологични събития, включително хеморагия, свързана с тромбоцитопения и неутропенични инфекции, са съобщени при постмаркетинговото наблюдение.</w:t>
      </w:r>
    </w:p>
    <w:p w14:paraId="5522E51B" w14:textId="77777777" w:rsidR="000C6F64" w:rsidRPr="000C6F64" w:rsidRDefault="000C6F64" w:rsidP="000C6F64">
      <w:pPr>
        <w:spacing w:line="240" w:lineRule="auto"/>
        <w:rPr>
          <w:rFonts w:eastAsia="Times New Roman" w:cs="Arial"/>
          <w:color w:val="000000"/>
          <w:lang w:eastAsia="bg-BG"/>
        </w:rPr>
      </w:pPr>
    </w:p>
    <w:p w14:paraId="08C668E2" w14:textId="74073FAE"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Както при ранните, така и при по-късните етапи на лечението със сунитиниб е наблюдавана поява на анемия.</w:t>
      </w:r>
    </w:p>
    <w:p w14:paraId="2A21CB00" w14:textId="77777777" w:rsidR="000C6F64" w:rsidRPr="000C6F64" w:rsidRDefault="000C6F64" w:rsidP="000C6F64">
      <w:pPr>
        <w:rPr>
          <w:rFonts w:eastAsia="Times New Roman" w:cs="Arial"/>
          <w:color w:val="000000"/>
          <w:lang w:eastAsia="bg-BG"/>
        </w:rPr>
      </w:pPr>
    </w:p>
    <w:p w14:paraId="2116D482" w14:textId="6D758DBF" w:rsidR="000C6F64" w:rsidRPr="000C6F64" w:rsidRDefault="000C6F64" w:rsidP="000C6F64">
      <w:pPr>
        <w:rPr>
          <w:rFonts w:eastAsia="Times New Roman" w:cs="Arial"/>
          <w:color w:val="000000"/>
          <w:lang w:eastAsia="bg-BG"/>
        </w:rPr>
      </w:pPr>
      <w:r w:rsidRPr="000C6F64">
        <w:rPr>
          <w:rFonts w:eastAsia="Times New Roman" w:cs="Arial"/>
          <w:color w:val="000000"/>
          <w:lang w:eastAsia="bg-BG"/>
        </w:rPr>
        <w:t>Пълна кръвна картина трябва да се направи в началото на всеки терапевтичен цикъл при пациенти, получаващи лечение със сунитиниб (вж. точка 4.8).</w:t>
      </w:r>
    </w:p>
    <w:p w14:paraId="51CBD4EB" w14:textId="03C4E866" w:rsidR="000C6F64" w:rsidRPr="000C6F64" w:rsidRDefault="000C6F64" w:rsidP="000C6F64">
      <w:pPr>
        <w:rPr>
          <w:rFonts w:eastAsia="Times New Roman" w:cs="Arial"/>
          <w:color w:val="000000"/>
          <w:lang w:eastAsia="bg-BG"/>
        </w:rPr>
      </w:pPr>
    </w:p>
    <w:p w14:paraId="2DC39FCF"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Сърдечни нарушения</w:t>
      </w:r>
    </w:p>
    <w:p w14:paraId="44D69B4B"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Сърдечносъдовите събития, включително сърдечна недостатъчност, кардиомиопатия, намаления под нормата в левокамерната фракция на изтласкване, миокардит, миокардиа исхемия и миокарден инфаркт, някои от които летални, са били съобщени при пациенти, лекувани със сунитиниб. Тези данни предполагат, че сунитиниб повишава риска от кардиомиопатия. При пациентите не са идентифицирани специфични допълнителни рискови фактори за сунитиниб-индуцирана кардиомиопатия, освен специфичния за лекарството ефект. Използвайте внимателно сунитиниб при пациенти, при които съществува риск или имат анамнеза за такива събития (вж. точка 4.8).</w:t>
      </w:r>
    </w:p>
    <w:p w14:paraId="781076F1"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От всички клинични проучвания със сунитиниб са били изключвани пациенти, които 12 месеца преди приложението на сунитиниб са показали събития от страна на сърцето като миокарден инфаркт (включително тежка/нестабилна ангина пекторис), коронарен/периферен артериален байпас графт, симптоматична застойна сърдечна недостатъчност (ЗСН), мозъчно-съдов инцидент или преходно нарушение на мозъчното кръвообращение или белодробна емболия. Не е известно дали пациентите с тези съпътстващи състояния могат да са с повишен риск от развитие на зависима от сунитиниб левокамерна дисфункция.</w:t>
      </w:r>
    </w:p>
    <w:p w14:paraId="4BB99637" w14:textId="77777777" w:rsidR="000C6F64" w:rsidRPr="000C6F64" w:rsidRDefault="000C6F64" w:rsidP="000C6F64">
      <w:pPr>
        <w:spacing w:line="240" w:lineRule="auto"/>
        <w:rPr>
          <w:rFonts w:eastAsia="Times New Roman" w:cs="Arial"/>
          <w:color w:val="000000"/>
          <w:lang w:eastAsia="bg-BG"/>
        </w:rPr>
      </w:pPr>
    </w:p>
    <w:p w14:paraId="2AAFEE91" w14:textId="3026633B"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Лекарите се съветват да преценят този риск спрямо възможните ползи от сунитиниб.</w:t>
      </w:r>
    </w:p>
    <w:p w14:paraId="3A60039F"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До като приемат сунитиниб, пациентите трябва внимателно да се проследяват за клинични признаци и симптоми на ЗСН, особено пациентите с кардиологични рискови фактори и/или анамнеза на заболяване на коронарните артерии. При пациенти, приемащи сунитиниб, трябва да се има предвид оценка на ЛКФИ в началото и </w:t>
      </w:r>
      <w:r w:rsidRPr="000C6F64">
        <w:rPr>
          <w:rFonts w:eastAsia="Times New Roman" w:cs="Arial"/>
          <w:color w:val="000000"/>
          <w:lang w:eastAsia="bg-BG"/>
        </w:rPr>
        <w:lastRenderedPageBreak/>
        <w:t>периодично след това. При пациенти без кардиологични рискови фактори в началото трябва да се направи оценка на фракцията на изтласкване.</w:t>
      </w:r>
    </w:p>
    <w:p w14:paraId="75C5AA2F" w14:textId="77777777" w:rsidR="000C6F64" w:rsidRPr="000C6F64" w:rsidRDefault="000C6F64" w:rsidP="000C6F64">
      <w:pPr>
        <w:spacing w:line="240" w:lineRule="auto"/>
        <w:rPr>
          <w:rFonts w:eastAsia="Times New Roman" w:cs="Arial"/>
          <w:color w:val="000000"/>
          <w:lang w:eastAsia="bg-BG"/>
        </w:rPr>
      </w:pPr>
    </w:p>
    <w:p w14:paraId="1077C787" w14:textId="29C49645"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При наличие на клинични прояви на ЗСН се препоръчва да се прекрати сунитиниб.</w:t>
      </w:r>
    </w:p>
    <w:p w14:paraId="5E2E3492"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Приемът на сунитиниб трябва да се прекъсне временно и/или дозата да се намали при $ пациенти без клинично доказателство за ЗСН, но с фракция на изтласкване &lt;50% и &gt;20%</w:t>
      </w:r>
    </w:p>
    <w:p w14:paraId="2DA3BD86"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под изходното ниво.</w:t>
      </w:r>
    </w:p>
    <w:p w14:paraId="484F957B" w14:textId="77777777" w:rsidR="000C6F64" w:rsidRPr="000C6F64" w:rsidRDefault="000C6F64" w:rsidP="000C6F64">
      <w:pPr>
        <w:spacing w:line="240" w:lineRule="auto"/>
        <w:rPr>
          <w:rFonts w:eastAsia="Times New Roman" w:cs="Arial"/>
          <w:color w:val="000000"/>
          <w:u w:val="single"/>
          <w:lang w:eastAsia="bg-BG"/>
        </w:rPr>
      </w:pPr>
    </w:p>
    <w:p w14:paraId="7DAA9A83" w14:textId="7316AF4A"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Удължаване на ОТ-интервала</w:t>
      </w:r>
    </w:p>
    <w:p w14:paraId="14F695D1"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При пациенти с експозиция на сунитиниб са наблюдавани удължаване на </w:t>
      </w:r>
      <w:r w:rsidRPr="000C6F64">
        <w:rPr>
          <w:rFonts w:eastAsia="Times New Roman" w:cs="Arial"/>
          <w:color w:val="000000"/>
          <w:lang w:val="en-US"/>
        </w:rPr>
        <w:t>QT</w:t>
      </w:r>
      <w:r w:rsidRPr="000C6F64">
        <w:rPr>
          <w:rFonts w:eastAsia="Times New Roman" w:cs="Arial"/>
          <w:color w:val="000000"/>
          <w:lang w:eastAsia="bg-BG"/>
        </w:rPr>
        <w:t xml:space="preserve">-интервала и </w:t>
      </w:r>
      <w:r w:rsidRPr="000C6F64">
        <w:rPr>
          <w:rFonts w:eastAsia="Times New Roman" w:cs="Arial"/>
          <w:color w:val="000000"/>
          <w:lang w:val="en-US"/>
        </w:rPr>
        <w:t xml:space="preserve">Torsade de pointes. </w:t>
      </w:r>
      <w:r w:rsidRPr="000C6F64">
        <w:rPr>
          <w:rFonts w:eastAsia="Times New Roman" w:cs="Arial"/>
          <w:color w:val="000000"/>
          <w:lang w:eastAsia="bg-BG"/>
        </w:rPr>
        <w:t xml:space="preserve">Удължаването на </w:t>
      </w:r>
      <w:r w:rsidRPr="000C6F64">
        <w:rPr>
          <w:rFonts w:eastAsia="Times New Roman" w:cs="Arial"/>
          <w:color w:val="000000"/>
          <w:lang w:val="en-US"/>
        </w:rPr>
        <w:t>QT</w:t>
      </w:r>
      <w:r w:rsidRPr="000C6F64">
        <w:rPr>
          <w:rFonts w:eastAsia="Times New Roman" w:cs="Arial"/>
          <w:color w:val="000000"/>
          <w:lang w:eastAsia="bg-BG"/>
        </w:rPr>
        <w:t xml:space="preserve">-интервала може да доведе до увеличен риск от камерни аритмии, включително </w:t>
      </w:r>
      <w:r w:rsidRPr="000C6F64">
        <w:rPr>
          <w:rFonts w:eastAsia="Times New Roman" w:cs="Arial"/>
          <w:color w:val="000000"/>
          <w:lang w:val="en-US"/>
        </w:rPr>
        <w:t>Torsade de pointes.</w:t>
      </w:r>
    </w:p>
    <w:p w14:paraId="23F019FF" w14:textId="77777777" w:rsidR="000C6F64" w:rsidRPr="000C6F64" w:rsidRDefault="000C6F64" w:rsidP="000C6F64">
      <w:pPr>
        <w:spacing w:line="240" w:lineRule="auto"/>
        <w:rPr>
          <w:rFonts w:eastAsia="Times New Roman" w:cs="Arial"/>
          <w:color w:val="000000"/>
          <w:lang w:eastAsia="bg-BG"/>
        </w:rPr>
      </w:pPr>
    </w:p>
    <w:p w14:paraId="52DE4113" w14:textId="3B1EB41A"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Сунитиниб трябва да се използва с повишено внимание при пациенти с известна анамнеза за удължаване на </w:t>
      </w:r>
      <w:r w:rsidRPr="000C6F64">
        <w:rPr>
          <w:rFonts w:eastAsia="Times New Roman" w:cs="Arial"/>
          <w:color w:val="000000"/>
          <w:lang w:val="en-US"/>
        </w:rPr>
        <w:t>QT</w:t>
      </w:r>
      <w:r w:rsidRPr="000C6F64">
        <w:rPr>
          <w:rFonts w:eastAsia="Times New Roman" w:cs="Arial"/>
          <w:color w:val="000000"/>
          <w:lang w:eastAsia="bg-BG"/>
        </w:rPr>
        <w:t xml:space="preserve">-интервала, пациенти, приемащи антиаритмични лекарства или лекарствени продукти, които могат да удължават </w:t>
      </w:r>
      <w:r w:rsidRPr="000C6F64">
        <w:rPr>
          <w:rFonts w:eastAsia="Times New Roman" w:cs="Arial"/>
          <w:color w:val="000000"/>
          <w:lang w:val="en-US"/>
        </w:rPr>
        <w:t>QT</w:t>
      </w:r>
      <w:r w:rsidRPr="000C6F64">
        <w:rPr>
          <w:rFonts w:eastAsia="Times New Roman" w:cs="Arial"/>
          <w:color w:val="000000"/>
          <w:lang w:eastAsia="bg-BG"/>
        </w:rPr>
        <w:t xml:space="preserve">-интервала, или пациенти със съответно предшестващо сърдечно заболяване, брадикардия или електролитни нарушения. Едновременното приложение на сунитиниб с мощни инхибитори на </w:t>
      </w:r>
      <w:r w:rsidRPr="000C6F64">
        <w:rPr>
          <w:rFonts w:eastAsia="Times New Roman" w:cs="Arial"/>
          <w:color w:val="000000"/>
          <w:lang w:val="en-US"/>
        </w:rPr>
        <w:t xml:space="preserve">CYP3A4 </w:t>
      </w:r>
      <w:r w:rsidRPr="000C6F64">
        <w:rPr>
          <w:rFonts w:eastAsia="Times New Roman" w:cs="Arial"/>
          <w:color w:val="000000"/>
          <w:lang w:eastAsia="bg-BG"/>
        </w:rPr>
        <w:t>трябва да се ограничи поради възможното повишение на плазмените концентрации на сунитиниб (вж. точки 4.2, 4.5 и 4.8),</w:t>
      </w:r>
    </w:p>
    <w:p w14:paraId="2DC8DBC0" w14:textId="77777777" w:rsidR="000C6F64" w:rsidRPr="000C6F64" w:rsidRDefault="000C6F64" w:rsidP="000C6F64">
      <w:pPr>
        <w:spacing w:line="240" w:lineRule="auto"/>
        <w:rPr>
          <w:rFonts w:eastAsia="Times New Roman" w:cs="Arial"/>
          <w:color w:val="000000"/>
          <w:u w:val="single"/>
          <w:lang w:eastAsia="bg-BG"/>
        </w:rPr>
      </w:pPr>
    </w:p>
    <w:p w14:paraId="3373610D" w14:textId="4D22093A"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Случаи на венозна тромбоемболия</w:t>
      </w:r>
    </w:p>
    <w:p w14:paraId="6C5EFFD2"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Събития на венозна тромбоемболия, свързани с лечението, са съобщени при пациенти, които са приемали сунитиниб, включително дълбока венозна тромбоза и белодробна емболия (вж. точка 4.8), Случаи на белодробна емболия с летален изход са наблюдавани по време на постмаркетинговия период на наблюдение.</w:t>
      </w:r>
    </w:p>
    <w:p w14:paraId="454B2A8A" w14:textId="77777777" w:rsidR="000C6F64" w:rsidRPr="000C6F64" w:rsidRDefault="000C6F64" w:rsidP="000C6F64">
      <w:pPr>
        <w:spacing w:line="240" w:lineRule="auto"/>
        <w:rPr>
          <w:rFonts w:eastAsia="Times New Roman" w:cs="Arial"/>
          <w:color w:val="000000"/>
          <w:u w:val="single"/>
          <w:lang w:eastAsia="bg-BG"/>
        </w:rPr>
      </w:pPr>
    </w:p>
    <w:p w14:paraId="1388FBCD" w14:textId="0DA31AE3"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Артериални тромбоемболични събития</w:t>
      </w:r>
    </w:p>
    <w:p w14:paraId="2EF9B1B9" w14:textId="77777777" w:rsidR="000C6F64" w:rsidRPr="000C6F64" w:rsidRDefault="000C6F64" w:rsidP="000C6F64">
      <w:pPr>
        <w:rPr>
          <w:rFonts w:eastAsia="Times New Roman" w:cs="Arial"/>
          <w:lang w:eastAsia="bg-BG"/>
        </w:rPr>
      </w:pPr>
      <w:r w:rsidRPr="000C6F64">
        <w:rPr>
          <w:rFonts w:eastAsia="Times New Roman" w:cs="Arial"/>
          <w:color w:val="000000"/>
          <w:lang w:eastAsia="bg-BG"/>
        </w:rPr>
        <w:t>При пациенти, лекувани със сунитиниб, са съобщавани случаи на артериални тромбоемболични събития (АТС), понякога летални. Най-честите събития включват мозъчно-съдови инциденти, преходна исхемична атака и мозъчен инсулт. Рисковите</w:t>
      </w:r>
      <w:r w:rsidRPr="000C6F64">
        <w:rPr>
          <w:rFonts w:eastAsia="Times New Roman" w:cs="Arial"/>
          <w:lang w:eastAsia="bg-BG"/>
        </w:rPr>
        <w:t xml:space="preserve"> </w:t>
      </w:r>
      <w:r w:rsidRPr="000C6F64">
        <w:rPr>
          <w:rFonts w:eastAsia="Times New Roman" w:cs="Arial"/>
          <w:color w:val="000000"/>
          <w:lang w:eastAsia="bg-BG"/>
        </w:rPr>
        <w:t xml:space="preserve">фактори, свързани с АТС, в допълнение към подлежащо злокачествено заболяване и възраст </w:t>
      </w:r>
      <w:r w:rsidRPr="000C6F64">
        <w:rPr>
          <w:rFonts w:eastAsia="Times New Roman" w:cs="Arial"/>
          <w:i/>
          <w:iCs/>
          <w:color w:val="000000"/>
          <w:lang w:eastAsia="bg-BG"/>
        </w:rPr>
        <w:t>≥65</w:t>
      </w:r>
      <w:r w:rsidRPr="000C6F64">
        <w:rPr>
          <w:rFonts w:eastAsia="Times New Roman" w:cs="Arial"/>
          <w:color w:val="000000"/>
          <w:lang w:eastAsia="bg-BG"/>
        </w:rPr>
        <w:t xml:space="preserve"> години, включват хипертония, захарен диабет и предишно тромбоемболично заболяване.</w:t>
      </w:r>
    </w:p>
    <w:p w14:paraId="28F5658C" w14:textId="77777777" w:rsidR="000C6F64" w:rsidRPr="000C6F64" w:rsidRDefault="000C6F64" w:rsidP="000C6F64">
      <w:pPr>
        <w:spacing w:line="240" w:lineRule="auto"/>
        <w:rPr>
          <w:rFonts w:eastAsia="Times New Roman" w:cs="Arial"/>
          <w:color w:val="000000"/>
          <w:u w:val="single"/>
          <w:lang w:eastAsia="bg-BG"/>
        </w:rPr>
      </w:pPr>
    </w:p>
    <w:p w14:paraId="3C23D1BC" w14:textId="5F1E5024"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Аневризми и артериални дисекации</w:t>
      </w:r>
    </w:p>
    <w:p w14:paraId="4531F6BC"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Използването на инхибитори на пътя на </w:t>
      </w:r>
      <w:r w:rsidRPr="000C6F64">
        <w:rPr>
          <w:rFonts w:eastAsia="Times New Roman" w:cs="Arial"/>
          <w:color w:val="000000"/>
          <w:lang w:val="en-US"/>
        </w:rPr>
        <w:t xml:space="preserve">VEGF </w:t>
      </w:r>
      <w:r w:rsidRPr="000C6F64">
        <w:rPr>
          <w:rFonts w:eastAsia="Times New Roman" w:cs="Arial"/>
          <w:color w:val="000000"/>
          <w:lang w:eastAsia="bg-BG"/>
        </w:rPr>
        <w:t>при пациенти със или без хипертония може да подпомогне образуването на аневризми и/или артериални дисекации. Преди започването на лечение със сунитиниб, трябва внимателно да се прецени този риск при пациенти с рискови фактори, като хипертония или анамнеза за аневризма.</w:t>
      </w:r>
    </w:p>
    <w:p w14:paraId="1CD9805E" w14:textId="77777777" w:rsidR="000C6F64" w:rsidRPr="000C6F64" w:rsidRDefault="000C6F64" w:rsidP="000C6F64">
      <w:pPr>
        <w:spacing w:line="240" w:lineRule="auto"/>
        <w:rPr>
          <w:rFonts w:eastAsia="Times New Roman" w:cs="Arial"/>
          <w:color w:val="000000"/>
          <w:u w:val="single"/>
          <w:lang w:eastAsia="bg-BG"/>
        </w:rPr>
      </w:pPr>
    </w:p>
    <w:p w14:paraId="28D3512E" w14:textId="1E7F8336"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Тромботична микроангиопатия (ТМА)</w:t>
      </w:r>
    </w:p>
    <w:p w14:paraId="4DDE251B"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При появата на хемолитична анемия, тромбоцитопения, умора, флуктуираща неврологична симптоматика, бъбречно увреждане и треска, е необходимо да се обмисли ТМА като диагноза, включително тромботична тромбоцитопенична пурпура (ТТП) и хемолитично-уремичен синдром (ХУС), понякога водещи до бъбречна недостатъчност или летален изход. Терапията със сунитиниб трябва да бъде прекратена при пациенти, които развият ТМА, и е необходимо своевременно лечение. Наблюдавано е отшумяване на сймтомите на ТМА след прекратяване на лечението (вж. точка 4.8).</w:t>
      </w:r>
    </w:p>
    <w:p w14:paraId="72721AEA" w14:textId="77777777" w:rsidR="000C6F64" w:rsidRPr="000C6F64" w:rsidRDefault="000C6F64" w:rsidP="000C6F64">
      <w:pPr>
        <w:spacing w:line="240" w:lineRule="auto"/>
        <w:rPr>
          <w:rFonts w:eastAsia="Times New Roman" w:cs="Arial"/>
          <w:color w:val="000000"/>
          <w:u w:val="single"/>
          <w:lang w:eastAsia="bg-BG"/>
        </w:rPr>
      </w:pPr>
    </w:p>
    <w:p w14:paraId="5E425D04" w14:textId="348521E5"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lastRenderedPageBreak/>
        <w:t>Тиреоидна дисфункция</w:t>
      </w:r>
    </w:p>
    <w:p w14:paraId="32F744FC"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Препоръчва се начално лабораторно изследване на функцията на щитовидната жлеза при всички пациенти. Пациентите с анамнеза за хипотиреоидизъм или хипертиреоидизъм трябва да бъдат лекувани според стандартната медицинска практика преди началото на лечението със сунитиниб. По време на лечение със сунитиниб, трябва да се извършва рутинно проследяване на тиреоидната функция на всеки 3 месеца. В допълнение пациентите трябва да бъдат наблюдавани внимателно за признаци и симптоми на тиреоидна дисфункция по време на лечението и на пациентите, проявили признаци и/или</w:t>
      </w:r>
    </w:p>
    <w:p w14:paraId="531E4BEA"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симптоми, насочващи към тиреоидна дисфункция, трябва да се направи лабораторно</w:t>
      </w:r>
    </w:p>
    <w:p w14:paraId="4C533E14"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изследване на функцията на щитовидната жлеза по клинични показания. Пациентите, които развият тиреоидна дисфункция, трябва да бъдат лекувани според стандартната медицинска практика.</w:t>
      </w:r>
    </w:p>
    <w:p w14:paraId="03CEEDCA" w14:textId="77777777" w:rsidR="000C6F64" w:rsidRPr="000C6F64" w:rsidRDefault="000C6F64" w:rsidP="000C6F64">
      <w:pPr>
        <w:spacing w:line="240" w:lineRule="auto"/>
        <w:rPr>
          <w:rFonts w:eastAsia="Times New Roman" w:cs="Arial"/>
          <w:color w:val="000000"/>
          <w:lang w:eastAsia="bg-BG"/>
        </w:rPr>
      </w:pPr>
    </w:p>
    <w:p w14:paraId="30815896" w14:textId="738E2252" w:rsidR="000C6F64" w:rsidRPr="000C6F64" w:rsidRDefault="000C6F64" w:rsidP="000C6F64">
      <w:pPr>
        <w:spacing w:line="240" w:lineRule="auto"/>
        <w:rPr>
          <w:rFonts w:eastAsia="Times New Roman" w:cs="Arial"/>
          <w:color w:val="000000"/>
          <w:lang w:eastAsia="bg-BG"/>
        </w:rPr>
      </w:pPr>
      <w:r w:rsidRPr="000C6F64">
        <w:rPr>
          <w:rFonts w:eastAsia="Times New Roman" w:cs="Arial"/>
          <w:color w:val="000000"/>
          <w:lang w:eastAsia="bg-BG"/>
        </w:rPr>
        <w:t>Хипотиреоидизъм е наблюдаван в началото, както и в по-късните етапи на лечението със сунитиниб (вж. точка 4.8).</w:t>
      </w:r>
    </w:p>
    <w:p w14:paraId="665A7EFB" w14:textId="77777777" w:rsidR="000C6F64" w:rsidRPr="000C6F64" w:rsidRDefault="000C6F64" w:rsidP="000C6F64">
      <w:pPr>
        <w:spacing w:line="240" w:lineRule="auto"/>
        <w:rPr>
          <w:rFonts w:eastAsia="Times New Roman" w:cs="Arial"/>
          <w:color w:val="000000"/>
          <w:u w:val="single"/>
          <w:lang w:eastAsia="bg-BG"/>
        </w:rPr>
      </w:pPr>
    </w:p>
    <w:p w14:paraId="6D304BBB" w14:textId="2004771E"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Панкреатит</w:t>
      </w:r>
    </w:p>
    <w:p w14:paraId="70D62B95"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Повишения в активността на серумната липаза и амилаза са наблюдавани при пациенти с различни солидни тумори, които са получавали сунитиниб. Повишенията в активността на липазата при лица с различни солидни тумори са били преходни и обикновено не са били придружени от признаци или симптоми на панкреатит (вж. точка 4.8).</w:t>
      </w:r>
    </w:p>
    <w:p w14:paraId="30A0B31F" w14:textId="77777777" w:rsidR="000C6F64" w:rsidRPr="000C6F64" w:rsidRDefault="000C6F64" w:rsidP="000C6F64">
      <w:pPr>
        <w:spacing w:line="240" w:lineRule="auto"/>
        <w:rPr>
          <w:rFonts w:eastAsia="Times New Roman" w:cs="Arial"/>
          <w:color w:val="000000"/>
          <w:lang w:eastAsia="bg-BG"/>
        </w:rPr>
      </w:pPr>
    </w:p>
    <w:p w14:paraId="6352EDA3" w14:textId="197174F6"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Съобщени са случаи на сериозни панкреатични събития, някои с летален изход. Ако са налице симптоми на панкреатит, терапията със сунитиниб трябва да се преустанови, а на пациентите да се осигури подходящо поддържащо лечение.</w:t>
      </w:r>
    </w:p>
    <w:p w14:paraId="2FA649FE" w14:textId="77777777" w:rsidR="000C6F64" w:rsidRPr="000C6F64" w:rsidRDefault="000C6F64" w:rsidP="000C6F64">
      <w:pPr>
        <w:spacing w:line="240" w:lineRule="auto"/>
        <w:rPr>
          <w:rFonts w:eastAsia="Times New Roman" w:cs="Arial"/>
          <w:color w:val="000000"/>
          <w:u w:val="single"/>
          <w:lang w:eastAsia="bg-BG"/>
        </w:rPr>
      </w:pPr>
    </w:p>
    <w:p w14:paraId="7F735F73" w14:textId="1393FEE5"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Хепатотоксичност</w:t>
      </w:r>
    </w:p>
    <w:p w14:paraId="34144A60" w14:textId="0821CBCC"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При пациенти, лекувани със сунитиниб, се наблюдава хепатотоксичност. Случаи на чернодробна недостатъчност, понякога с летален изход, са наблюдавани при &lt;1% от пациентите със солидни тумори, лекувани със сунитиниб. Необходимо е мониториране на чернодробните функционални показатели (аланин аминотрансфераза (АЛАТ), аспартат трансаминаза </w:t>
      </w:r>
      <w:r w:rsidRPr="000C6F64">
        <w:rPr>
          <w:rFonts w:eastAsia="Times New Roman" w:cs="Arial"/>
          <w:color w:val="000000"/>
          <w:lang w:val="en-US"/>
        </w:rPr>
        <w:t xml:space="preserve">(ACT), </w:t>
      </w:r>
      <w:r w:rsidRPr="000C6F64">
        <w:rPr>
          <w:rFonts w:eastAsia="Times New Roman" w:cs="Arial"/>
          <w:color w:val="000000"/>
          <w:lang w:eastAsia="bg-BG"/>
        </w:rPr>
        <w:t xml:space="preserve">нива на билирубин) след започване на лечението, по време на всеки цикъл на лечението </w:t>
      </w:r>
      <w:r w:rsidRPr="000C6F64">
        <w:rPr>
          <w:rFonts w:eastAsia="Times New Roman" w:cs="Arial"/>
          <w:i/>
          <w:iCs/>
          <w:color w:val="000000"/>
          <w:lang w:eastAsia="bg-BG"/>
        </w:rPr>
        <w:t>и</w:t>
      </w:r>
      <w:r w:rsidRPr="000C6F64">
        <w:rPr>
          <w:rFonts w:eastAsia="Times New Roman" w:cs="Arial"/>
          <w:color w:val="000000"/>
          <w:lang w:eastAsia="bg-BG"/>
        </w:rPr>
        <w:t xml:space="preserve"> когато е клинично показано. При наличие на признаци или симптоми на чернодробна недостатъчност, сунитиниб трябва да бъде спрян и трябва да се приложат подходящи поддържащи мерки (вж. точка 4.8).</w:t>
      </w:r>
    </w:p>
    <w:p w14:paraId="2918ED5E" w14:textId="7AA6F709" w:rsidR="000C6F64" w:rsidRPr="000C6F64" w:rsidRDefault="000C6F64" w:rsidP="000C6F64">
      <w:pPr>
        <w:rPr>
          <w:rFonts w:cs="Arial"/>
        </w:rPr>
      </w:pPr>
    </w:p>
    <w:p w14:paraId="1B61FDE1"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Бъбречна Функция</w:t>
      </w:r>
    </w:p>
    <w:p w14:paraId="19556B12"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Съобщава се за случаи на бъбречно увреждане, бъбречна недостатъчност и/или остра бъбречна недостатъчност, в някои случаи с летален изход (вж. точка 4.8).</w:t>
      </w:r>
    </w:p>
    <w:p w14:paraId="0EF84202" w14:textId="77777777" w:rsidR="000C6F64" w:rsidRPr="000C6F64" w:rsidRDefault="000C6F64" w:rsidP="000C6F64">
      <w:pPr>
        <w:spacing w:line="240" w:lineRule="auto"/>
        <w:rPr>
          <w:rFonts w:eastAsia="Times New Roman" w:cs="Arial"/>
          <w:color w:val="000000"/>
          <w:lang w:eastAsia="bg-BG"/>
        </w:rPr>
      </w:pPr>
    </w:p>
    <w:p w14:paraId="7CF94C34" w14:textId="0F280FF1"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Рисковите фактори, свързани с бъбречно увреждане/недостатъчност, при пациенти, приемащи сунитиниб, включват в допълнение към подлежащ </w:t>
      </w:r>
      <w:r w:rsidRPr="000C6F64">
        <w:rPr>
          <w:rFonts w:eastAsia="Times New Roman" w:cs="Arial"/>
          <w:color w:val="000000"/>
          <w:lang w:val="en-US"/>
        </w:rPr>
        <w:t xml:space="preserve">RCC, </w:t>
      </w:r>
      <w:r w:rsidRPr="000C6F64">
        <w:rPr>
          <w:rFonts w:eastAsia="Times New Roman" w:cs="Arial"/>
          <w:color w:val="000000"/>
          <w:lang w:eastAsia="bg-BG"/>
        </w:rPr>
        <w:t>напреднала възраст, захарен диабет, подлежащо бъбречно увреждане, сърдечна недостатъчност, хипертония, сепсис, дехидратация/хиповолемия и рабдомиолиза.</w:t>
      </w:r>
    </w:p>
    <w:p w14:paraId="23C6F653" w14:textId="77777777" w:rsidR="000C6F64" w:rsidRPr="000C6F64" w:rsidRDefault="000C6F64" w:rsidP="000C6F64">
      <w:pPr>
        <w:spacing w:line="240" w:lineRule="auto"/>
        <w:rPr>
          <w:rFonts w:eastAsia="Times New Roman" w:cs="Arial"/>
          <w:color w:val="000000"/>
          <w:lang w:eastAsia="bg-BG"/>
        </w:rPr>
      </w:pPr>
    </w:p>
    <w:p w14:paraId="02ED6FB7" w14:textId="6508F5B4"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Безопасността на непрекъснато лечение със сунитиниб при пациенти с умерена до тежка протеинурия не е систематично оценена.</w:t>
      </w:r>
    </w:p>
    <w:p w14:paraId="35CBF273" w14:textId="77777777" w:rsidR="000C6F64" w:rsidRPr="000C6F64" w:rsidRDefault="000C6F64" w:rsidP="000C6F64">
      <w:pPr>
        <w:spacing w:line="240" w:lineRule="auto"/>
        <w:rPr>
          <w:rFonts w:eastAsia="Times New Roman" w:cs="Arial"/>
          <w:color w:val="000000"/>
          <w:lang w:eastAsia="bg-BG"/>
        </w:rPr>
      </w:pPr>
    </w:p>
    <w:p w14:paraId="69E366AA" w14:textId="22E49244"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Съобщени са случаи на протеинурия и редки случаи на нефротичен синдром. Препоръчва се изходно изследване на урината, като пациентите трябва да бъдат наблюдавани за развитие или влошаване на протеинурията.</w:t>
      </w:r>
    </w:p>
    <w:p w14:paraId="53E687E3"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lastRenderedPageBreak/>
        <w:t>Приемът на сунитиниб се преустановява при пациенти с нефротичен синдром.</w:t>
      </w:r>
    </w:p>
    <w:p w14:paraId="49CA18C2" w14:textId="77777777" w:rsidR="000C6F64" w:rsidRPr="000C6F64" w:rsidRDefault="000C6F64" w:rsidP="000C6F64">
      <w:pPr>
        <w:spacing w:line="240" w:lineRule="auto"/>
        <w:rPr>
          <w:rFonts w:eastAsia="Times New Roman" w:cs="Arial"/>
          <w:color w:val="000000"/>
          <w:u w:val="single"/>
          <w:lang w:eastAsia="bg-BG"/>
        </w:rPr>
      </w:pPr>
    </w:p>
    <w:p w14:paraId="4DF7F12C" w14:textId="6C210502"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Фистула</w:t>
      </w:r>
    </w:p>
    <w:p w14:paraId="3BEBF96E"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Ако настъпи образуване на фистула, лечението със сунитиниб трябва да бъде прекъснато. Има ограничена информация относно продължителната употреба на сунитиниб при пациенти с фистули (вж. точка 4.8).</w:t>
      </w:r>
    </w:p>
    <w:p w14:paraId="3F3BF807" w14:textId="77777777" w:rsidR="000C6F64" w:rsidRPr="000C6F64" w:rsidRDefault="000C6F64" w:rsidP="000C6F64">
      <w:pPr>
        <w:spacing w:line="240" w:lineRule="auto"/>
        <w:rPr>
          <w:rFonts w:eastAsia="Times New Roman" w:cs="Arial"/>
          <w:color w:val="000000"/>
          <w:u w:val="single"/>
          <w:lang w:eastAsia="bg-BG"/>
        </w:rPr>
      </w:pPr>
    </w:p>
    <w:p w14:paraId="66CCBFA2" w14:textId="6924AE34"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Нарушено заздравяване на рани</w:t>
      </w:r>
    </w:p>
    <w:p w14:paraId="16B3D87E"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По време на лечението със сунитиниб се съобщават случаи на нарушено заздравяване на рани.</w:t>
      </w:r>
    </w:p>
    <w:p w14:paraId="695CAAC5" w14:textId="77777777" w:rsidR="000C6F64" w:rsidRPr="000C6F64" w:rsidRDefault="000C6F64" w:rsidP="000C6F64">
      <w:pPr>
        <w:spacing w:line="240" w:lineRule="auto"/>
        <w:rPr>
          <w:rFonts w:eastAsia="Times New Roman" w:cs="Arial"/>
          <w:lang w:eastAsia="bg-BG"/>
        </w:rPr>
      </w:pPr>
    </w:p>
    <w:p w14:paraId="5F507F1F" w14:textId="0C851AAA"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Не са провеждани официални клинични изпитвания за ефекта на сунитиниб върху заздравяването на раните.</w:t>
      </w:r>
    </w:p>
    <w:p w14:paraId="2E29AB65"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Временно спиране на лечението със сунитиниб се препоръчва при пациенти, подложени на големи хирургични интервенции, от съображения за безопасност. Има ограничен клиничен опит по отношение на времето за възобновяване на терапията след голяма хирургична интервенция. Решението да се възобнови лечението със сунитиниб след голяма хирургична интервенция трябва да се базира на клиничната оценка на възстановяването от операцията.</w:t>
      </w:r>
    </w:p>
    <w:p w14:paraId="413C9225" w14:textId="77777777" w:rsidR="000C6F64" w:rsidRPr="000C6F64" w:rsidRDefault="000C6F64" w:rsidP="000C6F64">
      <w:pPr>
        <w:spacing w:line="240" w:lineRule="auto"/>
        <w:rPr>
          <w:rFonts w:eastAsia="Times New Roman" w:cs="Arial"/>
          <w:color w:val="000000"/>
          <w:u w:val="single"/>
          <w:lang w:eastAsia="bg-BG"/>
        </w:rPr>
      </w:pPr>
    </w:p>
    <w:p w14:paraId="0FA10116" w14:textId="23103E8E"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Остеонекроза на челюстта</w:t>
      </w:r>
    </w:p>
    <w:p w14:paraId="2EB34FBB"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Съобщава се за случаи на остеонекроза на челюстта при пациенти, лекувани със Сунитикон. Повечето случаи са съобщени при пациенти, които са получили предшестващо или съпътстващо лечение с интравенозно прилагани бифосфонати, при които остеонекрозата на челюстта е идентифициран риск. Трябва да се подхожда с внимание, когато Сунитикон и интравенозно прилагани бифосфонати се прилагат едновременно или последователно.</w:t>
      </w:r>
    </w:p>
    <w:p w14:paraId="0B450183" w14:textId="77777777" w:rsidR="000C6F64" w:rsidRPr="000C6F64" w:rsidRDefault="000C6F64" w:rsidP="000C6F64">
      <w:pPr>
        <w:spacing w:line="240" w:lineRule="auto"/>
        <w:rPr>
          <w:rFonts w:eastAsia="Times New Roman" w:cs="Arial"/>
          <w:color w:val="000000"/>
          <w:lang w:eastAsia="bg-BG"/>
        </w:rPr>
      </w:pPr>
    </w:p>
    <w:p w14:paraId="30068F41" w14:textId="4BBF76FF"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Инвазивните дентални процедури също представляват идентифициран рисков фактор. Преди да се започне лечение със Сунитикон трябва да се има предвид дентален преглед и подходящи превантивни мерки. При пациенти, приемали или все още приемащи бифосфонати за интравенозно приложение, инвазивните дентални процедури трябва при възможност да се избягват (вж, точка 4,8).</w:t>
      </w:r>
    </w:p>
    <w:p w14:paraId="4BE6ECE4" w14:textId="77777777" w:rsidR="000C6F64" w:rsidRPr="000C6F64" w:rsidRDefault="000C6F64" w:rsidP="000C6F64">
      <w:pPr>
        <w:spacing w:line="240" w:lineRule="auto"/>
        <w:rPr>
          <w:rFonts w:eastAsia="Times New Roman" w:cs="Arial"/>
          <w:color w:val="000000"/>
          <w:u w:val="single"/>
          <w:lang w:eastAsia="bg-BG"/>
        </w:rPr>
      </w:pPr>
    </w:p>
    <w:p w14:paraId="06B26DAF" w14:textId="7157AF24"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Свръхчувствителност/ангиоедем</w:t>
      </w:r>
    </w:p>
    <w:p w14:paraId="72785BD7" w14:textId="751AC78F" w:rsidR="000C6F64" w:rsidRPr="000C6F64" w:rsidRDefault="000C6F64" w:rsidP="000C6F64">
      <w:pPr>
        <w:rPr>
          <w:rFonts w:eastAsia="Times New Roman" w:cs="Arial"/>
          <w:color w:val="000000"/>
          <w:lang w:eastAsia="bg-BG"/>
        </w:rPr>
      </w:pPr>
      <w:r w:rsidRPr="000C6F64">
        <w:rPr>
          <w:rFonts w:eastAsia="Times New Roman" w:cs="Arial"/>
          <w:color w:val="000000"/>
          <w:lang w:eastAsia="bg-BG"/>
        </w:rPr>
        <w:t>Ако настъпи ангиоедем вследствие на свръхчувствителност, лечението със сунитиниб трябва да бъде прекъснато и да се окаже стандартна медицинска помощ (вж. точка 4.8).</w:t>
      </w:r>
    </w:p>
    <w:p w14:paraId="1F66A5E6" w14:textId="3FF7203A" w:rsidR="000C6F64" w:rsidRPr="000C6F64" w:rsidRDefault="000C6F64" w:rsidP="000C6F64">
      <w:pPr>
        <w:rPr>
          <w:rFonts w:eastAsia="Times New Roman" w:cs="Arial"/>
          <w:color w:val="000000"/>
          <w:lang w:eastAsia="bg-BG"/>
        </w:rPr>
      </w:pPr>
    </w:p>
    <w:p w14:paraId="5F4694FA"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Гърчове</w:t>
      </w:r>
    </w:p>
    <w:p w14:paraId="31CE2392"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В клинични проучвания на сунитиниб и при постмаркетинговото наблюдение има съобщения за получаване на гърчове. Пациенти с гърчове и признаци/симптоми, отговарящи на синдром на обратима задна левкоенцефалопатия </w:t>
      </w:r>
      <w:r w:rsidRPr="000C6F64">
        <w:rPr>
          <w:rFonts w:eastAsia="Times New Roman" w:cs="Arial"/>
          <w:color w:val="000000"/>
          <w:lang w:val="en-US"/>
        </w:rPr>
        <w:t xml:space="preserve">(RPLS), </w:t>
      </w:r>
      <w:r w:rsidRPr="000C6F64">
        <w:rPr>
          <w:rFonts w:eastAsia="Times New Roman" w:cs="Arial"/>
          <w:color w:val="000000"/>
          <w:lang w:eastAsia="bg-BG"/>
        </w:rPr>
        <w:t>като хипертония, главоболие, намалено внимание, променени умствени функции и загуба на зрението, включително корова слепота, трябва да бъдат контролирани чрез медицински средства, включително контрол на хипертонията. Препоръчва се временно прекъсване на лечението със сунитиниб; след възстановяването лечението може да бъде подновено по решение на лекуващия лекар (вж. точка 4.8).</w:t>
      </w:r>
    </w:p>
    <w:p w14:paraId="195EACAF" w14:textId="77777777" w:rsidR="000C6F64" w:rsidRPr="000C6F64" w:rsidRDefault="000C6F64" w:rsidP="000C6F64">
      <w:pPr>
        <w:spacing w:line="240" w:lineRule="auto"/>
        <w:rPr>
          <w:rFonts w:eastAsia="Times New Roman" w:cs="Arial"/>
          <w:color w:val="000000"/>
          <w:u w:val="single"/>
          <w:lang w:eastAsia="bg-BG"/>
        </w:rPr>
      </w:pPr>
    </w:p>
    <w:p w14:paraId="4C376F55" w14:textId="28D89F29"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Синдром на туморен разпад (СТР)</w:t>
      </w:r>
    </w:p>
    <w:p w14:paraId="05B6DAD0"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Случаи на СТР, някои от които летални, са наблюдавани рядко по време на клиничните изпитвания и при постмаркетинговото наблюдение при пациенти, лекувани със </w:t>
      </w:r>
      <w:r w:rsidRPr="000C6F64">
        <w:rPr>
          <w:rFonts w:eastAsia="Times New Roman" w:cs="Arial"/>
          <w:color w:val="000000"/>
          <w:lang w:eastAsia="bg-BG"/>
        </w:rPr>
        <w:lastRenderedPageBreak/>
        <w:t>сунитиниб. Рисковите фактори за СТР включват голяма маса на тумора, предшестваща хронична бъбречна недостатъчност, олигурия, дехидратация, хипотония и кисела урина. Тези пациенти трябва стриктно да се проследяват и да се лекуват според клиничните показания, като трябва да се обмисли и профилактична хидратация.</w:t>
      </w:r>
    </w:p>
    <w:p w14:paraId="003FC0EB" w14:textId="77777777" w:rsidR="000C6F64" w:rsidRPr="000C6F64" w:rsidRDefault="000C6F64" w:rsidP="000C6F64">
      <w:pPr>
        <w:spacing w:line="240" w:lineRule="auto"/>
        <w:rPr>
          <w:rFonts w:eastAsia="Times New Roman" w:cs="Arial"/>
          <w:color w:val="000000"/>
          <w:u w:val="single"/>
          <w:lang w:eastAsia="bg-BG"/>
        </w:rPr>
      </w:pPr>
    </w:p>
    <w:p w14:paraId="52F50340" w14:textId="74085F5F"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Инфекции</w:t>
      </w:r>
    </w:p>
    <w:p w14:paraId="1C8A961A"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Има съобщения за сериозни инфекции, със или без неутропения, включително и някои с летален край. Съобщава се за нечести случаи на некротизиращ фасциит, включително на перинеума, понякога с летален изход (вж. точка 4.8).</w:t>
      </w:r>
    </w:p>
    <w:p w14:paraId="0BAD33D9"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При пациенти, които развият некротизиращ фасциит, лечението със сунитиниб трябва да се прекрати и своевременно трябва да се започне подходящо лечение.</w:t>
      </w:r>
    </w:p>
    <w:p w14:paraId="3EE1B5CD" w14:textId="77777777" w:rsidR="000C6F64" w:rsidRPr="000C6F64" w:rsidRDefault="000C6F64" w:rsidP="000C6F64">
      <w:pPr>
        <w:spacing w:line="240" w:lineRule="auto"/>
        <w:rPr>
          <w:rFonts w:eastAsia="Times New Roman" w:cs="Arial"/>
          <w:color w:val="000000"/>
          <w:u w:val="single"/>
          <w:lang w:eastAsia="bg-BG"/>
        </w:rPr>
      </w:pPr>
    </w:p>
    <w:p w14:paraId="0EAABB7D" w14:textId="380BFC7A"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Хипогликемия</w:t>
      </w:r>
    </w:p>
    <w:p w14:paraId="069C2957" w14:textId="46E771F7" w:rsidR="000C6F64" w:rsidRPr="000C6F64" w:rsidRDefault="000C6F64" w:rsidP="000C6F64">
      <w:pPr>
        <w:rPr>
          <w:rFonts w:cs="Arial"/>
        </w:rPr>
      </w:pPr>
      <w:r w:rsidRPr="000C6F64">
        <w:rPr>
          <w:rFonts w:eastAsia="Times New Roman" w:cs="Arial"/>
          <w:color w:val="000000"/>
          <w:lang w:eastAsia="bg-BG"/>
        </w:rPr>
        <w:t>По време на лечението със сунитиниб се съобщава за понижаване на глюкозата в кръвта, в някои случаи с клинична симптоматика и налагащи хоспитализация поради загуба на съзнание. В случай на симптоматична хипогликемия, приемът на сунитиниб трябва да бъде временно прекратен. Глюкозните нива в кръвта трябва да бъдат проследявани регулярно при пациенти с диабет, за да се оцени дали дозировката на антидиабетните лекарствени продукти трябва да се коригира, за да се намали рискът от хипогликемия (вж. точка 4.8).</w:t>
      </w:r>
    </w:p>
    <w:p w14:paraId="6FF85AFD" w14:textId="77777777" w:rsidR="000C6F64" w:rsidRPr="0091385D" w:rsidRDefault="000C6F64" w:rsidP="000C6F64"/>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14C3925"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Проучвания на взаимодействията са провеждани само при възрастни.</w:t>
      </w:r>
    </w:p>
    <w:p w14:paraId="1FEECDDD" w14:textId="77777777" w:rsidR="000C6F64" w:rsidRPr="000C6F64" w:rsidRDefault="000C6F64" w:rsidP="000C6F64">
      <w:pPr>
        <w:spacing w:line="240" w:lineRule="auto"/>
        <w:rPr>
          <w:rFonts w:eastAsia="Times New Roman" w:cs="Arial"/>
          <w:color w:val="000000"/>
          <w:u w:val="single"/>
          <w:lang w:eastAsia="bg-BG"/>
        </w:rPr>
      </w:pPr>
    </w:p>
    <w:p w14:paraId="1439431F" w14:textId="28B76D74"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Лекарствени продукти, които могат да повишат плазмените концентрации на сунитиниб</w:t>
      </w:r>
    </w:p>
    <w:p w14:paraId="1DBAC956" w14:textId="77777777" w:rsidR="000C6F64" w:rsidRPr="000C6F64" w:rsidRDefault="000C6F64" w:rsidP="000C6F64">
      <w:pPr>
        <w:spacing w:line="240" w:lineRule="auto"/>
        <w:rPr>
          <w:rFonts w:eastAsia="Times New Roman" w:cs="Arial"/>
          <w:i/>
          <w:iCs/>
          <w:color w:val="000000"/>
          <w:lang w:eastAsia="bg-BG"/>
        </w:rPr>
      </w:pPr>
    </w:p>
    <w:p w14:paraId="73D0A758" w14:textId="275C5F25" w:rsidR="000C6F64" w:rsidRPr="000C6F64" w:rsidRDefault="000C6F64" w:rsidP="000C6F64">
      <w:pPr>
        <w:spacing w:line="240" w:lineRule="auto"/>
        <w:rPr>
          <w:rFonts w:eastAsia="Times New Roman" w:cs="Arial"/>
          <w:lang w:eastAsia="bg-BG"/>
        </w:rPr>
      </w:pPr>
      <w:r w:rsidRPr="000C6F64">
        <w:rPr>
          <w:rFonts w:eastAsia="Times New Roman" w:cs="Arial"/>
          <w:i/>
          <w:iCs/>
          <w:color w:val="000000"/>
          <w:lang w:eastAsia="bg-BG"/>
        </w:rPr>
        <w:t xml:space="preserve">Ефект на инхибитори на </w:t>
      </w:r>
      <w:r w:rsidRPr="000C6F64">
        <w:rPr>
          <w:rFonts w:eastAsia="Times New Roman" w:cs="Arial"/>
          <w:i/>
          <w:iCs/>
          <w:color w:val="000000"/>
          <w:lang w:val="en-US"/>
        </w:rPr>
        <w:t>CYP3A4</w:t>
      </w:r>
    </w:p>
    <w:p w14:paraId="7931408F" w14:textId="77777777" w:rsidR="000C6F64" w:rsidRPr="000C6F64" w:rsidRDefault="000C6F64" w:rsidP="000C6F64">
      <w:pPr>
        <w:spacing w:line="240" w:lineRule="auto"/>
        <w:rPr>
          <w:rFonts w:eastAsia="Times New Roman" w:cs="Arial"/>
          <w:color w:val="000000"/>
          <w:lang w:eastAsia="bg-BG"/>
        </w:rPr>
      </w:pPr>
      <w:r w:rsidRPr="000C6F64">
        <w:rPr>
          <w:rFonts w:eastAsia="Times New Roman" w:cs="Arial"/>
          <w:color w:val="000000"/>
          <w:lang w:eastAsia="bg-BG"/>
        </w:rPr>
        <w:t xml:space="preserve">При здрави доброволци, едновременно приложение на еднократна доза сунитиниб с мощния инхибитор на </w:t>
      </w:r>
      <w:r w:rsidRPr="000C6F64">
        <w:rPr>
          <w:rFonts w:eastAsia="Times New Roman" w:cs="Arial"/>
          <w:color w:val="000000"/>
          <w:lang w:val="en-US"/>
        </w:rPr>
        <w:t xml:space="preserve">CYP3A4 </w:t>
      </w:r>
      <w:r w:rsidRPr="000C6F64">
        <w:rPr>
          <w:rFonts w:eastAsia="Times New Roman" w:cs="Arial"/>
          <w:color w:val="000000"/>
          <w:lang w:eastAsia="bg-BG"/>
        </w:rPr>
        <w:t xml:space="preserve">кетоконазол е довело до повишение в стойностите на общата [сунитиниб + основен метаболит] </w:t>
      </w:r>
    </w:p>
    <w:p w14:paraId="26B0C5D2" w14:textId="21CAB93E"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максимална концентрация (С</w:t>
      </w:r>
      <w:r w:rsidRPr="000C6F64">
        <w:rPr>
          <w:rFonts w:eastAsia="Times New Roman" w:cs="Arial"/>
          <w:color w:val="000000"/>
          <w:vertAlign w:val="subscript"/>
          <w:lang w:val="en-US"/>
        </w:rPr>
        <w:t>max</w:t>
      </w:r>
      <w:r w:rsidRPr="000C6F64">
        <w:rPr>
          <w:rFonts w:eastAsia="Times New Roman" w:cs="Arial"/>
          <w:color w:val="000000"/>
          <w:lang w:eastAsia="bg-BG"/>
        </w:rPr>
        <w:t xml:space="preserve">) и площта под кривата </w:t>
      </w:r>
      <w:r w:rsidRPr="000C6F64">
        <w:rPr>
          <w:rFonts w:eastAsia="Times New Roman" w:cs="Arial"/>
          <w:color w:val="000000"/>
          <w:lang w:val="en-US"/>
        </w:rPr>
        <w:t>(AUC</w:t>
      </w:r>
      <w:r w:rsidRPr="000C6F64">
        <w:rPr>
          <w:rFonts w:eastAsia="Times New Roman" w:cs="Arial"/>
          <w:color w:val="000000"/>
          <w:vertAlign w:val="subscript"/>
          <w:lang w:val="en-US"/>
        </w:rPr>
        <w:t>0-</w:t>
      </w:r>
      <w:r w:rsidRPr="000C6F64">
        <w:rPr>
          <w:rFonts w:eastAsia="Times New Roman" w:cs="Arial"/>
          <w:color w:val="000000"/>
          <w:vertAlign w:val="subscript"/>
          <w:lang w:eastAsia="bg-BG"/>
        </w:rPr>
        <w:t>∞</w:t>
      </w:r>
      <w:r w:rsidRPr="000C6F64">
        <w:rPr>
          <w:rFonts w:eastAsia="Times New Roman" w:cs="Arial"/>
          <w:color w:val="000000"/>
          <w:lang w:eastAsia="bg-BG"/>
        </w:rPr>
        <w:t>) съответно с 49% и 51%.</w:t>
      </w:r>
    </w:p>
    <w:p w14:paraId="54E57628" w14:textId="77777777" w:rsidR="000C6F64" w:rsidRPr="000C6F64" w:rsidRDefault="000C6F64" w:rsidP="000C6F64">
      <w:pPr>
        <w:spacing w:line="240" w:lineRule="auto"/>
        <w:rPr>
          <w:rFonts w:eastAsia="Times New Roman" w:cs="Arial"/>
          <w:color w:val="000000"/>
          <w:lang w:eastAsia="bg-BG"/>
        </w:rPr>
      </w:pPr>
    </w:p>
    <w:p w14:paraId="66A1BDA9" w14:textId="7186A143"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Приложението на сунитиниб с мощни инхибитори на </w:t>
      </w:r>
      <w:r w:rsidRPr="000C6F64">
        <w:rPr>
          <w:rFonts w:eastAsia="Times New Roman" w:cs="Arial"/>
          <w:color w:val="000000"/>
          <w:lang w:val="en-US"/>
        </w:rPr>
        <w:t xml:space="preserve">CYP3A4 </w:t>
      </w:r>
      <w:r w:rsidRPr="000C6F64">
        <w:rPr>
          <w:rFonts w:eastAsia="Times New Roman" w:cs="Arial"/>
          <w:color w:val="000000"/>
          <w:lang w:eastAsia="bg-BG"/>
        </w:rPr>
        <w:t>(напр. ритонавир, итраконазол, еритромицин, кларитромицин, сок от грейпфрут) може да повиши концентрациите на сунитиниб.</w:t>
      </w:r>
      <w:r w:rsidRPr="000C6F64">
        <w:rPr>
          <w:rFonts w:eastAsia="Times New Roman" w:cs="Arial"/>
          <w:color w:val="000000"/>
          <w:lang w:eastAsia="bg-BG"/>
        </w:rPr>
        <w:tab/>
      </w:r>
    </w:p>
    <w:p w14:paraId="5B05813F" w14:textId="77777777" w:rsidR="000C6F64" w:rsidRPr="000C6F64" w:rsidRDefault="000C6F64" w:rsidP="000C6F64">
      <w:pPr>
        <w:rPr>
          <w:rFonts w:eastAsia="Times New Roman" w:cs="Arial"/>
          <w:color w:val="000000"/>
          <w:lang w:eastAsia="bg-BG"/>
        </w:rPr>
      </w:pPr>
    </w:p>
    <w:p w14:paraId="5B2761C5" w14:textId="01F2CF40" w:rsidR="0091385D" w:rsidRPr="000C6F64" w:rsidRDefault="000C6F64" w:rsidP="000C6F64">
      <w:pPr>
        <w:rPr>
          <w:rFonts w:cs="Arial"/>
        </w:rPr>
      </w:pPr>
      <w:r w:rsidRPr="000C6F64">
        <w:rPr>
          <w:rFonts w:eastAsia="Times New Roman" w:cs="Arial"/>
          <w:color w:val="000000"/>
          <w:lang w:eastAsia="bg-BG"/>
        </w:rPr>
        <w:t xml:space="preserve">Следователно, комбинирането с инхибитори на </w:t>
      </w:r>
      <w:r w:rsidRPr="000C6F64">
        <w:rPr>
          <w:rFonts w:eastAsia="Times New Roman" w:cs="Arial"/>
          <w:color w:val="000000"/>
          <w:lang w:val="en-US"/>
        </w:rPr>
        <w:t xml:space="preserve">CYP3A4 </w:t>
      </w:r>
      <w:r w:rsidRPr="000C6F64">
        <w:rPr>
          <w:rFonts w:eastAsia="Times New Roman" w:cs="Arial"/>
          <w:color w:val="000000"/>
          <w:lang w:eastAsia="bg-BG"/>
        </w:rPr>
        <w:t xml:space="preserve">следва да се избягва или да се обсъди избора на друг съпътстващ лекарствен продукт, който няма или е с минимален потенциал за инхибиране на </w:t>
      </w:r>
      <w:r w:rsidRPr="000C6F64">
        <w:rPr>
          <w:rFonts w:eastAsia="Times New Roman" w:cs="Arial"/>
          <w:color w:val="000000"/>
          <w:lang w:val="en-US"/>
        </w:rPr>
        <w:t>CYP3</w:t>
      </w:r>
      <w:r w:rsidRPr="000C6F64">
        <w:rPr>
          <w:rFonts w:eastAsia="Times New Roman" w:cs="Arial"/>
          <w:color w:val="000000"/>
          <w:lang w:eastAsia="bg-BG"/>
        </w:rPr>
        <w:t>А4.</w:t>
      </w:r>
    </w:p>
    <w:p w14:paraId="0395BD2E" w14:textId="7D3C342A" w:rsidR="007A2185" w:rsidRPr="000C6F64" w:rsidRDefault="007A2185" w:rsidP="0091385D">
      <w:pPr>
        <w:rPr>
          <w:rFonts w:cs="Arial"/>
        </w:rPr>
      </w:pPr>
    </w:p>
    <w:p w14:paraId="3B644EAC"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Ако това не е възможно, може да е необходимо намаляване на дозата на Сунитикон до минимум от 37,5 </w:t>
      </w:r>
      <w:r w:rsidRPr="000C6F64">
        <w:rPr>
          <w:rFonts w:eastAsia="Times New Roman" w:cs="Arial"/>
          <w:color w:val="000000"/>
          <w:lang w:val="en-US"/>
        </w:rPr>
        <w:t xml:space="preserve">mg </w:t>
      </w:r>
      <w:r w:rsidRPr="000C6F64">
        <w:rPr>
          <w:rFonts w:eastAsia="Times New Roman" w:cs="Arial"/>
          <w:color w:val="000000"/>
          <w:lang w:eastAsia="bg-BG"/>
        </w:rPr>
        <w:t xml:space="preserve">дневно при </w:t>
      </w:r>
      <w:r w:rsidRPr="000C6F64">
        <w:rPr>
          <w:rFonts w:eastAsia="Times New Roman" w:cs="Arial"/>
          <w:color w:val="000000"/>
          <w:lang w:val="en-US"/>
        </w:rPr>
        <w:t xml:space="preserve">GIST </w:t>
      </w:r>
      <w:r w:rsidRPr="000C6F64">
        <w:rPr>
          <w:rFonts w:eastAsia="Times New Roman" w:cs="Arial"/>
          <w:color w:val="000000"/>
          <w:lang w:eastAsia="bg-BG"/>
        </w:rPr>
        <w:t xml:space="preserve">и </w:t>
      </w:r>
      <w:r w:rsidRPr="000C6F64">
        <w:rPr>
          <w:rFonts w:eastAsia="Times New Roman" w:cs="Arial"/>
          <w:color w:val="000000"/>
          <w:lang w:val="en-US"/>
        </w:rPr>
        <w:t xml:space="preserve">MRCC </w:t>
      </w:r>
      <w:r w:rsidRPr="000C6F64">
        <w:rPr>
          <w:rFonts w:eastAsia="Times New Roman" w:cs="Arial"/>
          <w:color w:val="000000"/>
          <w:lang w:eastAsia="bg-BG"/>
        </w:rPr>
        <w:t xml:space="preserve">или 25 </w:t>
      </w:r>
      <w:r w:rsidRPr="000C6F64">
        <w:rPr>
          <w:rFonts w:eastAsia="Times New Roman" w:cs="Arial"/>
          <w:color w:val="000000"/>
          <w:lang w:val="en-US"/>
        </w:rPr>
        <w:t xml:space="preserve">mg </w:t>
      </w:r>
      <w:r w:rsidRPr="000C6F64">
        <w:rPr>
          <w:rFonts w:eastAsia="Times New Roman" w:cs="Arial"/>
          <w:color w:val="000000"/>
          <w:lang w:eastAsia="bg-BG"/>
        </w:rPr>
        <w:t xml:space="preserve">дневно при </w:t>
      </w:r>
      <w:r w:rsidRPr="000C6F64">
        <w:rPr>
          <w:rFonts w:eastAsia="Times New Roman" w:cs="Arial"/>
          <w:color w:val="000000"/>
          <w:lang w:val="en-US"/>
        </w:rPr>
        <w:t xml:space="preserve">pNET, </w:t>
      </w:r>
      <w:r w:rsidRPr="000C6F64">
        <w:rPr>
          <w:rFonts w:eastAsia="Times New Roman" w:cs="Arial"/>
          <w:color w:val="000000"/>
          <w:lang w:eastAsia="bg-BG"/>
        </w:rPr>
        <w:t>въз основа на внимателно наблюдение на поносимостга (вж. точка 4.2).</w:t>
      </w:r>
    </w:p>
    <w:p w14:paraId="15F99A4A" w14:textId="77777777" w:rsidR="000C6F64" w:rsidRPr="000C6F64" w:rsidRDefault="000C6F64" w:rsidP="000C6F64">
      <w:pPr>
        <w:spacing w:line="240" w:lineRule="auto"/>
        <w:rPr>
          <w:rFonts w:eastAsia="Times New Roman" w:cs="Arial"/>
          <w:i/>
          <w:iCs/>
          <w:color w:val="000000"/>
          <w:lang w:eastAsia="bg-BG"/>
        </w:rPr>
      </w:pPr>
    </w:p>
    <w:p w14:paraId="122AE7A4" w14:textId="3B646814" w:rsidR="000C6F64" w:rsidRPr="000C6F64" w:rsidRDefault="000C6F64" w:rsidP="000C6F64">
      <w:pPr>
        <w:spacing w:line="240" w:lineRule="auto"/>
        <w:rPr>
          <w:rFonts w:eastAsia="Times New Roman" w:cs="Arial"/>
          <w:lang w:eastAsia="bg-BG"/>
        </w:rPr>
      </w:pPr>
      <w:r w:rsidRPr="000C6F64">
        <w:rPr>
          <w:rFonts w:eastAsia="Times New Roman" w:cs="Arial"/>
          <w:i/>
          <w:iCs/>
          <w:color w:val="000000"/>
          <w:lang w:eastAsia="bg-BG"/>
        </w:rPr>
        <w:t xml:space="preserve">Ефект на инхибитори на </w:t>
      </w:r>
      <w:r w:rsidRPr="000C6F64">
        <w:rPr>
          <w:rFonts w:eastAsia="Times New Roman" w:cs="Arial"/>
          <w:i/>
          <w:iCs/>
          <w:color w:val="000000"/>
          <w:lang w:val="en-US"/>
        </w:rPr>
        <w:t xml:space="preserve">BCRP </w:t>
      </w:r>
      <w:r w:rsidRPr="000C6F64">
        <w:rPr>
          <w:rFonts w:eastAsia="Times New Roman" w:cs="Arial"/>
          <w:i/>
          <w:iCs/>
          <w:color w:val="000000"/>
          <w:lang w:eastAsia="bg-BG"/>
        </w:rPr>
        <w:t xml:space="preserve">(протеин на резистентност на рак на гърдата </w:t>
      </w:r>
      <w:r w:rsidRPr="000C6F64">
        <w:rPr>
          <w:rFonts w:eastAsia="Times New Roman" w:cs="Arial"/>
          <w:i/>
          <w:iCs/>
          <w:color w:val="000000"/>
          <w:lang w:val="en-US"/>
        </w:rPr>
        <w:t>(Breast Cancer Resistance Protein)</w:t>
      </w:r>
    </w:p>
    <w:p w14:paraId="1305392D"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lastRenderedPageBreak/>
        <w:t xml:space="preserve">Съществуват ограничени клинични данни за взаимодействието между сунитиниб и инхибитори на </w:t>
      </w:r>
      <w:r w:rsidRPr="000C6F64">
        <w:rPr>
          <w:rFonts w:eastAsia="Times New Roman" w:cs="Arial"/>
          <w:color w:val="000000"/>
          <w:lang w:val="en-US"/>
        </w:rPr>
        <w:t xml:space="preserve">BCRP </w:t>
      </w:r>
      <w:r w:rsidRPr="000C6F64">
        <w:rPr>
          <w:rFonts w:eastAsia="Times New Roman" w:cs="Arial"/>
          <w:color w:val="000000"/>
          <w:lang w:eastAsia="bg-BG"/>
        </w:rPr>
        <w:t xml:space="preserve">и затова не може да бъде изключена възможност за взаимодействие между сунитиниб и други инхибитори на </w:t>
      </w:r>
      <w:r w:rsidRPr="000C6F64">
        <w:rPr>
          <w:rFonts w:eastAsia="Times New Roman" w:cs="Arial"/>
          <w:color w:val="000000"/>
          <w:lang w:val="en-US"/>
        </w:rPr>
        <w:t xml:space="preserve">BCRP </w:t>
      </w:r>
      <w:r w:rsidRPr="000C6F64">
        <w:rPr>
          <w:rFonts w:eastAsia="Times New Roman" w:cs="Arial"/>
          <w:color w:val="000000"/>
          <w:lang w:eastAsia="bg-BG"/>
        </w:rPr>
        <w:t>(вж. точка 5.2).</w:t>
      </w:r>
    </w:p>
    <w:p w14:paraId="69E25605" w14:textId="77777777" w:rsidR="000C6F64" w:rsidRPr="000C6F64" w:rsidRDefault="000C6F64" w:rsidP="000C6F64">
      <w:pPr>
        <w:spacing w:line="240" w:lineRule="auto"/>
        <w:rPr>
          <w:rFonts w:eastAsia="Times New Roman" w:cs="Arial"/>
          <w:color w:val="000000"/>
          <w:u w:val="single"/>
          <w:lang w:eastAsia="bg-BG"/>
        </w:rPr>
      </w:pPr>
    </w:p>
    <w:p w14:paraId="4A6F2879" w14:textId="23A0C640" w:rsidR="000C6F64" w:rsidRPr="000C6F64" w:rsidRDefault="000C6F64" w:rsidP="000C6F64">
      <w:pPr>
        <w:spacing w:line="240" w:lineRule="auto"/>
        <w:rPr>
          <w:rFonts w:eastAsia="Times New Roman" w:cs="Arial"/>
          <w:lang w:eastAsia="bg-BG"/>
        </w:rPr>
      </w:pPr>
      <w:r w:rsidRPr="000C6F64">
        <w:rPr>
          <w:rFonts w:eastAsia="Times New Roman" w:cs="Arial"/>
          <w:color w:val="000000"/>
          <w:u w:val="single"/>
          <w:lang w:eastAsia="bg-BG"/>
        </w:rPr>
        <w:t>Лекарствени продукти, които могат да понижат плазмените концентрации на сунитиниб</w:t>
      </w:r>
    </w:p>
    <w:p w14:paraId="5EA62429" w14:textId="77777777" w:rsidR="000C6F64" w:rsidRPr="000C6F64" w:rsidRDefault="000C6F64" w:rsidP="000C6F64">
      <w:pPr>
        <w:spacing w:line="240" w:lineRule="auto"/>
        <w:rPr>
          <w:rFonts w:eastAsia="Times New Roman" w:cs="Arial"/>
          <w:i/>
          <w:iCs/>
          <w:color w:val="000000"/>
          <w:lang w:eastAsia="bg-BG"/>
        </w:rPr>
      </w:pPr>
    </w:p>
    <w:p w14:paraId="25707B7B" w14:textId="2B0AF6AD" w:rsidR="000C6F64" w:rsidRPr="000C6F64" w:rsidRDefault="000C6F64" w:rsidP="000C6F64">
      <w:pPr>
        <w:spacing w:line="240" w:lineRule="auto"/>
        <w:rPr>
          <w:rFonts w:eastAsia="Times New Roman" w:cs="Arial"/>
          <w:lang w:eastAsia="bg-BG"/>
        </w:rPr>
      </w:pPr>
      <w:r w:rsidRPr="000C6F64">
        <w:rPr>
          <w:rFonts w:eastAsia="Times New Roman" w:cs="Arial"/>
          <w:i/>
          <w:iCs/>
          <w:color w:val="000000"/>
          <w:lang w:eastAsia="bg-BG"/>
        </w:rPr>
        <w:t xml:space="preserve">Ефект на индуктори на </w:t>
      </w:r>
      <w:r w:rsidRPr="000C6F64">
        <w:rPr>
          <w:rFonts w:eastAsia="Times New Roman" w:cs="Arial"/>
          <w:i/>
          <w:iCs/>
          <w:color w:val="000000"/>
          <w:lang w:val="en-US"/>
        </w:rPr>
        <w:t>CYP3A4</w:t>
      </w:r>
    </w:p>
    <w:p w14:paraId="673DE922"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 xml:space="preserve">При здрави доброволци, едновременното приложение на еднократна доза сунитиниб с мощния индуктор на </w:t>
      </w:r>
      <w:r w:rsidRPr="000C6F64">
        <w:rPr>
          <w:rFonts w:eastAsia="Times New Roman" w:cs="Arial"/>
          <w:color w:val="000000"/>
          <w:lang w:val="en-US"/>
        </w:rPr>
        <w:t xml:space="preserve">CYP3A4 </w:t>
      </w:r>
      <w:r w:rsidRPr="000C6F64">
        <w:rPr>
          <w:rFonts w:eastAsia="Times New Roman" w:cs="Arial"/>
          <w:color w:val="000000"/>
          <w:lang w:eastAsia="bg-BG"/>
        </w:rPr>
        <w:t>рифампин е довело до намаление в стойностите на общата [сунитиниб + основен метаболйт] С</w:t>
      </w:r>
      <w:r w:rsidRPr="000C6F64">
        <w:rPr>
          <w:rFonts w:eastAsia="Times New Roman" w:cs="Arial"/>
          <w:color w:val="000000"/>
          <w:vertAlign w:val="subscript"/>
          <w:lang w:val="en-US"/>
        </w:rPr>
        <w:t>max</w:t>
      </w:r>
      <w:r w:rsidRPr="000C6F64">
        <w:rPr>
          <w:rFonts w:eastAsia="Times New Roman" w:cs="Arial"/>
          <w:color w:val="000000"/>
          <w:lang w:eastAsia="bg-BG"/>
        </w:rPr>
        <w:t xml:space="preserve"> и </w:t>
      </w:r>
      <w:r w:rsidRPr="000C6F64">
        <w:rPr>
          <w:rFonts w:eastAsia="Times New Roman" w:cs="Arial"/>
          <w:color w:val="000000"/>
          <w:lang w:val="en-US"/>
        </w:rPr>
        <w:t>AUC</w:t>
      </w:r>
      <w:r w:rsidRPr="000C6F64">
        <w:rPr>
          <w:rFonts w:eastAsia="Times New Roman" w:cs="Arial"/>
          <w:color w:val="000000"/>
          <w:vertAlign w:val="subscript"/>
          <w:lang w:val="en-US"/>
        </w:rPr>
        <w:t>0-</w:t>
      </w:r>
      <w:r w:rsidRPr="000C6F64">
        <w:rPr>
          <w:rFonts w:eastAsia="Times New Roman" w:cs="Arial"/>
          <w:color w:val="000000"/>
          <w:vertAlign w:val="subscript"/>
          <w:lang w:eastAsia="bg-BG"/>
        </w:rPr>
        <w:t>∞</w:t>
      </w:r>
      <w:r w:rsidRPr="000C6F64">
        <w:rPr>
          <w:rFonts w:eastAsia="Times New Roman" w:cs="Arial"/>
          <w:color w:val="000000"/>
          <w:lang w:val="en-US"/>
        </w:rPr>
        <w:t xml:space="preserve">, </w:t>
      </w:r>
      <w:r w:rsidRPr="000C6F64">
        <w:rPr>
          <w:rFonts w:eastAsia="Times New Roman" w:cs="Arial"/>
          <w:color w:val="000000"/>
          <w:lang w:eastAsia="bg-BG"/>
        </w:rPr>
        <w:t>съответно с 23% и 46%.</w:t>
      </w:r>
    </w:p>
    <w:p w14:paraId="1AC065D4" w14:textId="77777777" w:rsidR="000C6F64" w:rsidRPr="000C6F64" w:rsidRDefault="000C6F64" w:rsidP="000C6F64">
      <w:pPr>
        <w:rPr>
          <w:rFonts w:eastAsia="Times New Roman" w:cs="Arial"/>
          <w:color w:val="000000"/>
          <w:lang w:eastAsia="bg-BG"/>
        </w:rPr>
      </w:pPr>
    </w:p>
    <w:p w14:paraId="09AA1DC8" w14:textId="26C62684" w:rsidR="000C6F64" w:rsidRPr="000C6F64" w:rsidRDefault="000C6F64" w:rsidP="000C6F64">
      <w:pPr>
        <w:rPr>
          <w:rFonts w:cs="Arial"/>
        </w:rPr>
      </w:pPr>
      <w:r w:rsidRPr="000C6F64">
        <w:rPr>
          <w:rFonts w:eastAsia="Times New Roman" w:cs="Arial"/>
          <w:color w:val="000000"/>
          <w:lang w:eastAsia="bg-BG"/>
        </w:rPr>
        <w:t xml:space="preserve">Приложението на сунитиниб с мощни индуктори на </w:t>
      </w:r>
      <w:r w:rsidRPr="000C6F64">
        <w:rPr>
          <w:rFonts w:eastAsia="Times New Roman" w:cs="Arial"/>
          <w:color w:val="000000"/>
          <w:lang w:val="en-US"/>
        </w:rPr>
        <w:t xml:space="preserve">CYP3A4 </w:t>
      </w:r>
      <w:r w:rsidRPr="000C6F64">
        <w:rPr>
          <w:rFonts w:eastAsia="Times New Roman" w:cs="Arial"/>
          <w:color w:val="000000"/>
          <w:lang w:eastAsia="bg-BG"/>
        </w:rPr>
        <w:t xml:space="preserve">(напр. дексаметазон, фенитоин, карбамазепин, рифампин, фенобарбитал или растителни продукти, съдържащи жълт кантарион </w:t>
      </w:r>
      <w:r w:rsidRPr="000C6F64">
        <w:rPr>
          <w:rFonts w:eastAsia="Times New Roman" w:cs="Arial"/>
          <w:color w:val="000000"/>
          <w:lang w:val="en-US"/>
        </w:rPr>
        <w:t xml:space="preserve">(Hypericum perforatum)) </w:t>
      </w:r>
      <w:r w:rsidRPr="000C6F64">
        <w:rPr>
          <w:rFonts w:eastAsia="Times New Roman" w:cs="Arial"/>
          <w:color w:val="000000"/>
          <w:lang w:eastAsia="bg-BG"/>
        </w:rPr>
        <w:t xml:space="preserve">може да понижи концентрациите на сунитиниб. Следователно, комбинирането с индуктори на </w:t>
      </w:r>
      <w:r w:rsidRPr="000C6F64">
        <w:rPr>
          <w:rFonts w:eastAsia="Times New Roman" w:cs="Arial"/>
          <w:color w:val="000000"/>
          <w:lang w:val="en-US"/>
        </w:rPr>
        <w:t xml:space="preserve">CYP3A4 </w:t>
      </w:r>
      <w:r w:rsidRPr="000C6F64">
        <w:rPr>
          <w:rFonts w:eastAsia="Times New Roman" w:cs="Arial"/>
          <w:color w:val="000000"/>
          <w:lang w:eastAsia="bg-BG"/>
        </w:rPr>
        <w:t xml:space="preserve">трябва да се избягва или да се обсъди избора на друг съпътстващ лекарствен продукт, който няма или е с минимален потенциал за индуциране на </w:t>
      </w:r>
      <w:r w:rsidRPr="000C6F64">
        <w:rPr>
          <w:rFonts w:eastAsia="Times New Roman" w:cs="Arial"/>
          <w:color w:val="000000"/>
          <w:lang w:val="en-US"/>
        </w:rPr>
        <w:t xml:space="preserve">CYP3A4. </w:t>
      </w:r>
      <w:r w:rsidRPr="000C6F64">
        <w:rPr>
          <w:rFonts w:eastAsia="Times New Roman" w:cs="Arial"/>
          <w:color w:val="000000"/>
          <w:lang w:eastAsia="bg-BG"/>
        </w:rPr>
        <w:t xml:space="preserve">Ако това не е възможно, може да е необходимо увеличаване на дозата на Сунитикон със стъпки от 12,5 </w:t>
      </w:r>
      <w:r w:rsidRPr="000C6F64">
        <w:rPr>
          <w:rFonts w:eastAsia="Times New Roman" w:cs="Arial"/>
          <w:color w:val="000000"/>
          <w:lang w:val="en-US"/>
        </w:rPr>
        <w:t xml:space="preserve">mg </w:t>
      </w:r>
      <w:r w:rsidRPr="000C6F64">
        <w:rPr>
          <w:rFonts w:eastAsia="Times New Roman" w:cs="Arial"/>
          <w:color w:val="000000"/>
          <w:lang w:eastAsia="bg-BG"/>
        </w:rPr>
        <w:t xml:space="preserve">(до 87,5 </w:t>
      </w:r>
      <w:r w:rsidRPr="000C6F64">
        <w:rPr>
          <w:rFonts w:eastAsia="Times New Roman" w:cs="Arial"/>
          <w:color w:val="000000"/>
          <w:lang w:val="en-US"/>
        </w:rPr>
        <w:t xml:space="preserve">mg </w:t>
      </w:r>
      <w:r w:rsidRPr="000C6F64">
        <w:rPr>
          <w:rFonts w:eastAsia="Times New Roman" w:cs="Arial"/>
          <w:color w:val="000000"/>
          <w:lang w:eastAsia="bg-BG"/>
        </w:rPr>
        <w:t xml:space="preserve">на ден за </w:t>
      </w:r>
      <w:r w:rsidRPr="000C6F64">
        <w:rPr>
          <w:rFonts w:eastAsia="Times New Roman" w:cs="Arial"/>
          <w:color w:val="000000"/>
          <w:lang w:val="en-US"/>
        </w:rPr>
        <w:t xml:space="preserve">GIST </w:t>
      </w:r>
      <w:r w:rsidRPr="000C6F64">
        <w:rPr>
          <w:rFonts w:eastAsia="Times New Roman" w:cs="Arial"/>
          <w:color w:val="000000"/>
          <w:lang w:eastAsia="bg-BG"/>
        </w:rPr>
        <w:t xml:space="preserve">и </w:t>
      </w:r>
      <w:r w:rsidRPr="000C6F64">
        <w:rPr>
          <w:rFonts w:eastAsia="Times New Roman" w:cs="Arial"/>
          <w:color w:val="000000"/>
          <w:lang w:val="en-US"/>
        </w:rPr>
        <w:t xml:space="preserve">MRCC </w:t>
      </w:r>
      <w:r w:rsidRPr="000C6F64">
        <w:rPr>
          <w:rFonts w:eastAsia="Times New Roman" w:cs="Arial"/>
          <w:color w:val="000000"/>
          <w:lang w:eastAsia="bg-BG"/>
        </w:rPr>
        <w:t xml:space="preserve">или 62,5 </w:t>
      </w:r>
      <w:r w:rsidRPr="000C6F64">
        <w:rPr>
          <w:rFonts w:eastAsia="Times New Roman" w:cs="Arial"/>
          <w:color w:val="000000"/>
          <w:lang w:val="en-US"/>
        </w:rPr>
        <w:t xml:space="preserve">mg </w:t>
      </w:r>
      <w:r w:rsidRPr="000C6F64">
        <w:rPr>
          <w:rFonts w:eastAsia="Times New Roman" w:cs="Arial"/>
          <w:color w:val="000000"/>
          <w:lang w:eastAsia="bg-BG"/>
        </w:rPr>
        <w:t xml:space="preserve">дневно за </w:t>
      </w:r>
      <w:r w:rsidRPr="000C6F64">
        <w:rPr>
          <w:rFonts w:eastAsia="Times New Roman" w:cs="Arial"/>
          <w:color w:val="000000"/>
          <w:lang w:val="en-US"/>
        </w:rPr>
        <w:t xml:space="preserve">pNET) </w:t>
      </w:r>
      <w:r w:rsidRPr="000C6F64">
        <w:rPr>
          <w:rFonts w:eastAsia="Times New Roman" w:cs="Arial"/>
          <w:color w:val="000000"/>
          <w:lang w:eastAsia="bg-BG"/>
        </w:rPr>
        <w:t>въз основа на внимателно наблюдение на поносимостта (вж. точка 4.2).</w:t>
      </w:r>
    </w:p>
    <w:p w14:paraId="1FA13033" w14:textId="77777777" w:rsidR="000C6F64" w:rsidRPr="0091385D" w:rsidRDefault="000C6F64"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59913CF3" w14:textId="77777777" w:rsidR="000C6F64" w:rsidRPr="000C6F64" w:rsidRDefault="000C6F64" w:rsidP="000C6F64">
      <w:pPr>
        <w:spacing w:line="240" w:lineRule="auto"/>
        <w:rPr>
          <w:rFonts w:eastAsia="Times New Roman" w:cs="Arial"/>
          <w:lang w:eastAsia="bg-BG"/>
        </w:rPr>
      </w:pPr>
      <w:r w:rsidRPr="000C6F64">
        <w:rPr>
          <w:rFonts w:eastAsia="Times New Roman" w:cs="Arial"/>
          <w:i/>
          <w:iCs/>
          <w:color w:val="000000"/>
          <w:u w:val="single"/>
          <w:lang w:eastAsia="bg-BG"/>
        </w:rPr>
        <w:t>Контраиепиия при мъже и жени</w:t>
      </w:r>
    </w:p>
    <w:p w14:paraId="33DC2240"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Жени с детероден потенциал трябва да бъдат посъветвани да използват ефективна контрацепция и да се предпазват от забременяване, докато се лекуват със Сунитикон.</w:t>
      </w:r>
    </w:p>
    <w:p w14:paraId="7D4C523C" w14:textId="77777777" w:rsidR="000C6F64" w:rsidRPr="000C6F64" w:rsidRDefault="000C6F64" w:rsidP="000C6F64">
      <w:pPr>
        <w:spacing w:line="240" w:lineRule="auto"/>
        <w:rPr>
          <w:rFonts w:eastAsia="Times New Roman" w:cs="Arial"/>
          <w:color w:val="000000"/>
          <w:u w:val="single"/>
          <w:lang w:eastAsia="bg-BG"/>
        </w:rPr>
      </w:pPr>
    </w:p>
    <w:p w14:paraId="1F1AC147" w14:textId="55C83955" w:rsidR="000C6F64" w:rsidRPr="004B44F2" w:rsidRDefault="000C6F64" w:rsidP="004B44F2">
      <w:pPr>
        <w:pStyle w:val="Heading3"/>
        <w:rPr>
          <w:rFonts w:eastAsia="Times New Roman"/>
          <w:u w:val="single"/>
          <w:lang w:eastAsia="bg-BG"/>
        </w:rPr>
      </w:pPr>
      <w:r w:rsidRPr="004B44F2">
        <w:rPr>
          <w:rFonts w:eastAsia="Times New Roman"/>
          <w:u w:val="single"/>
          <w:lang w:eastAsia="bg-BG"/>
        </w:rPr>
        <w:t>Бременност</w:t>
      </w:r>
    </w:p>
    <w:p w14:paraId="607573F8"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Няма проучвания при бременни жени, използващи сунитиниб. Проучванията при животни са показали репродуктивна токсичност, включително малформации на плода (вж. точка 5.3).</w:t>
      </w:r>
    </w:p>
    <w:p w14:paraId="14EECD42"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Сунитикон не трябва да се използва по време на бременност или при жени, които не използват ефективна контрацепция, освен ако възможната полза не оправдава потенциалния риск за фетуса. Ако Сунитикон се използва по време на бременност или ако пациентката забременее, докато е на лечение със Сунитикон, то тя трябва да бъде уведомена относно възможния риск за плода.</w:t>
      </w:r>
    </w:p>
    <w:p w14:paraId="1AD8D4E8" w14:textId="77777777" w:rsidR="000C6F64" w:rsidRPr="000C6F64" w:rsidRDefault="000C6F64" w:rsidP="000C6F64">
      <w:pPr>
        <w:spacing w:line="240" w:lineRule="auto"/>
        <w:rPr>
          <w:rFonts w:eastAsia="Times New Roman" w:cs="Arial"/>
          <w:color w:val="000000"/>
          <w:u w:val="single"/>
          <w:lang w:eastAsia="bg-BG"/>
        </w:rPr>
      </w:pPr>
    </w:p>
    <w:p w14:paraId="2845207D" w14:textId="73FBB843" w:rsidR="000C6F64" w:rsidRPr="004B44F2" w:rsidRDefault="000C6F64" w:rsidP="004B44F2">
      <w:pPr>
        <w:pStyle w:val="Heading3"/>
        <w:rPr>
          <w:rFonts w:eastAsia="Times New Roman"/>
          <w:u w:val="single"/>
          <w:lang w:eastAsia="bg-BG"/>
        </w:rPr>
      </w:pPr>
      <w:r w:rsidRPr="004B44F2">
        <w:rPr>
          <w:rFonts w:eastAsia="Times New Roman"/>
          <w:u w:val="single"/>
          <w:lang w:eastAsia="bg-BG"/>
        </w:rPr>
        <w:t>Кърмене</w:t>
      </w:r>
    </w:p>
    <w:p w14:paraId="7EFC2822" w14:textId="77777777" w:rsidR="000C6F64" w:rsidRPr="000C6F64" w:rsidRDefault="000C6F64" w:rsidP="000C6F64">
      <w:pPr>
        <w:spacing w:line="240" w:lineRule="auto"/>
        <w:rPr>
          <w:rFonts w:eastAsia="Times New Roman" w:cs="Arial"/>
          <w:lang w:eastAsia="bg-BG"/>
        </w:rPr>
      </w:pPr>
      <w:r w:rsidRPr="000C6F64">
        <w:rPr>
          <w:rFonts w:eastAsia="Times New Roman" w:cs="Arial"/>
          <w:color w:val="000000"/>
          <w:lang w:eastAsia="bg-BG"/>
        </w:rPr>
        <w:t>Сунитиниб и/или неговите метаболити се екскретират в млякото на плъхове. Не е известно дали сунитиниб или основният му активен метаболит се екскретират в кърмата. Тъй като активните вещества често се излъчват в кърмата и поради възможността за сериозни нежелани реакции у кърмачета, жените не трябва да кърмят, докато приемат Сунитикон.</w:t>
      </w:r>
    </w:p>
    <w:p w14:paraId="6007A2C7" w14:textId="1FFCA54E" w:rsidR="000C6F64" w:rsidRPr="000C6F64" w:rsidRDefault="000C6F64" w:rsidP="000C6F64">
      <w:pPr>
        <w:rPr>
          <w:rFonts w:eastAsia="Times New Roman" w:cs="Arial"/>
          <w:color w:val="000000"/>
          <w:lang w:eastAsia="bg-BG"/>
        </w:rPr>
      </w:pPr>
    </w:p>
    <w:p w14:paraId="3A5E6239" w14:textId="4C428010" w:rsidR="000C6F64" w:rsidRPr="004B44F2" w:rsidRDefault="000C6F64" w:rsidP="004B44F2">
      <w:pPr>
        <w:pStyle w:val="Heading3"/>
        <w:rPr>
          <w:rFonts w:eastAsia="Times New Roman"/>
          <w:u w:val="single"/>
          <w:lang w:eastAsia="bg-BG"/>
        </w:rPr>
      </w:pPr>
      <w:r w:rsidRPr="004B44F2">
        <w:rPr>
          <w:rFonts w:eastAsia="Times New Roman"/>
          <w:u w:val="single"/>
          <w:lang w:eastAsia="bg-BG"/>
        </w:rPr>
        <w:t>Фертилитет</w:t>
      </w:r>
    </w:p>
    <w:p w14:paraId="102F0D07" w14:textId="0B6C97C9" w:rsidR="007A2185" w:rsidRPr="000C6F64" w:rsidRDefault="000C6F64" w:rsidP="000C6F64">
      <w:pPr>
        <w:rPr>
          <w:rFonts w:cs="Arial"/>
        </w:rPr>
      </w:pPr>
      <w:r w:rsidRPr="000C6F64">
        <w:rPr>
          <w:rFonts w:eastAsia="Times New Roman" w:cs="Arial"/>
          <w:color w:val="000000"/>
          <w:lang w:eastAsia="bg-BG"/>
        </w:rPr>
        <w:t>Въз основа на неклинични находки мъжкият и женският фертилитет могат да бъдат изложени на риск при лечение със сунитиниб (вж. точка 5.3).</w:t>
      </w:r>
    </w:p>
    <w:p w14:paraId="3E8789C3" w14:textId="77777777" w:rsidR="0091385D" w:rsidRPr="0091385D" w:rsidRDefault="0091385D" w:rsidP="0091385D"/>
    <w:p w14:paraId="064DF1DE" w14:textId="70BCC16C" w:rsidR="00CF77F7" w:rsidRDefault="002C50EE" w:rsidP="004A448E">
      <w:pPr>
        <w:pStyle w:val="Heading2"/>
      </w:pPr>
      <w:r>
        <w:lastRenderedPageBreak/>
        <w:t>4.7. Ефекти върху способността за шофиране и работа с машини</w:t>
      </w:r>
    </w:p>
    <w:p w14:paraId="1455464C" w14:textId="78136F1E" w:rsidR="0091385D" w:rsidRDefault="0091385D" w:rsidP="0091385D"/>
    <w:p w14:paraId="1C9ABB96" w14:textId="6280992B" w:rsidR="007A2185" w:rsidRPr="00032FA5" w:rsidRDefault="005354F0" w:rsidP="0091385D">
      <w:pPr>
        <w:rPr>
          <w:rFonts w:cs="Arial"/>
        </w:rPr>
      </w:pPr>
      <w:r w:rsidRPr="00032FA5">
        <w:rPr>
          <w:rFonts w:cs="Arial"/>
        </w:rPr>
        <w:t>Сунитикон повлиява в малка степен способността за шофиране и работа с машини. Пациентите следва да бъдат уведомени, че може да почувстват замайване по време на лечение със сунитиниб.</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39E3B267" w14:textId="77777777" w:rsidR="005354F0" w:rsidRPr="005354F0" w:rsidRDefault="005354F0" w:rsidP="005354F0">
      <w:pPr>
        <w:spacing w:line="240" w:lineRule="auto"/>
        <w:rPr>
          <w:rFonts w:eastAsia="Times New Roman" w:cs="Arial"/>
          <w:lang w:eastAsia="bg-BG"/>
        </w:rPr>
      </w:pPr>
      <w:r w:rsidRPr="005354F0">
        <w:rPr>
          <w:rFonts w:eastAsia="Times New Roman" w:cs="Arial"/>
          <w:i/>
          <w:iCs/>
          <w:color w:val="000000"/>
          <w:u w:val="single"/>
          <w:lang w:eastAsia="bg-BG"/>
        </w:rPr>
        <w:t>Резюме на профила на безопасност</w:t>
      </w:r>
    </w:p>
    <w:p w14:paraId="6F3FF115" w14:textId="77777777" w:rsidR="005354F0" w:rsidRPr="005354F0" w:rsidRDefault="005354F0" w:rsidP="005354F0">
      <w:pPr>
        <w:spacing w:line="240" w:lineRule="auto"/>
        <w:rPr>
          <w:rFonts w:eastAsia="Times New Roman" w:cs="Arial"/>
          <w:lang w:eastAsia="bg-BG"/>
        </w:rPr>
      </w:pPr>
      <w:r w:rsidRPr="005354F0">
        <w:rPr>
          <w:rFonts w:eastAsia="Times New Roman" w:cs="Arial"/>
          <w:color w:val="000000"/>
          <w:lang w:eastAsia="bg-BG"/>
        </w:rPr>
        <w:t xml:space="preserve">Най-сериозните нежелани реакции, свързани със сунитиниб, някои от които летални, са бъбречна недостатъчност, сърдечна недостатъчност, белодробен емболизъм, гастроинтестинална перфорация и хеморагии (напр. на дихателните пътища, гастроинтестинални, туморни, на пикочните пътища и мозъчни хеморагии). Най-честите нежелани реакции от която и да е степен (проявени при пациентите в </w:t>
      </w:r>
      <w:r w:rsidRPr="005354F0">
        <w:rPr>
          <w:rFonts w:eastAsia="Times New Roman" w:cs="Arial"/>
          <w:color w:val="000000"/>
          <w:lang w:val="en-US"/>
        </w:rPr>
        <w:t xml:space="preserve">RCC, GIST </w:t>
      </w:r>
      <w:r w:rsidRPr="005354F0">
        <w:rPr>
          <w:rFonts w:eastAsia="Times New Roman" w:cs="Arial"/>
          <w:color w:val="000000"/>
          <w:lang w:eastAsia="bg-BG"/>
        </w:rPr>
        <w:t xml:space="preserve">и </w:t>
      </w:r>
      <w:r w:rsidRPr="005354F0">
        <w:rPr>
          <w:rFonts w:eastAsia="Times New Roman" w:cs="Arial"/>
          <w:color w:val="000000"/>
          <w:lang w:val="en-US"/>
        </w:rPr>
        <w:t xml:space="preserve">pNET </w:t>
      </w:r>
      <w:r w:rsidRPr="005354F0">
        <w:rPr>
          <w:rFonts w:eastAsia="Times New Roman" w:cs="Arial"/>
          <w:color w:val="000000"/>
          <w:lang w:eastAsia="bg-BG"/>
        </w:rPr>
        <w:t>регистрационни изпитвания) включват намален апетит, вкусови нарушения, хипертония, умора, гастроинтестинални нарушения (като диария, гадене, стоматит, диспепсия и повръщане), промяна в цвета на кожата и синдром на палмаро-плантарна еритродизестезия. Тези симптоми могат да отслабнат в хода на лечението. По време на лечението може да се развие хипотиреоидизъм. Хематологичните нарушения (напр. неутропения, тромбоцитопения и анемия) са сред най-честите нежелани лекарствени реакции.</w:t>
      </w:r>
    </w:p>
    <w:p w14:paraId="639564A6" w14:textId="77777777" w:rsidR="005354F0" w:rsidRPr="00032FA5" w:rsidRDefault="005354F0" w:rsidP="005354F0">
      <w:pPr>
        <w:spacing w:line="240" w:lineRule="auto"/>
        <w:rPr>
          <w:rFonts w:eastAsia="Times New Roman" w:cs="Arial"/>
          <w:color w:val="000000"/>
          <w:lang w:eastAsia="bg-BG"/>
        </w:rPr>
      </w:pPr>
    </w:p>
    <w:p w14:paraId="0310AECA" w14:textId="61A72077" w:rsidR="005354F0" w:rsidRPr="005354F0" w:rsidRDefault="005354F0" w:rsidP="005354F0">
      <w:pPr>
        <w:spacing w:line="240" w:lineRule="auto"/>
        <w:rPr>
          <w:rFonts w:eastAsia="Times New Roman" w:cs="Arial"/>
          <w:lang w:eastAsia="bg-BG"/>
        </w:rPr>
      </w:pPr>
      <w:r w:rsidRPr="005354F0">
        <w:rPr>
          <w:rFonts w:eastAsia="Times New Roman" w:cs="Arial"/>
          <w:color w:val="000000"/>
          <w:lang w:eastAsia="bg-BG"/>
        </w:rPr>
        <w:t>Леталните събития, различни от тези, изброени в точка 4.4 по-горе или в точка 4.8 по- долу, за които е било считано, че е възможно да са свързани със сунитиниб, включват полиорганна недостатъчност, дисеминирана вътресъдова коагулация, перитонеален кръвоизлив, надбъбречна недостатъчност, пневмоторакс, шок и внезапна смърт.</w:t>
      </w:r>
    </w:p>
    <w:p w14:paraId="74F477DC" w14:textId="77777777" w:rsidR="005354F0" w:rsidRPr="00032FA5" w:rsidRDefault="005354F0" w:rsidP="005354F0">
      <w:pPr>
        <w:spacing w:line="240" w:lineRule="auto"/>
        <w:rPr>
          <w:rFonts w:eastAsia="Times New Roman" w:cs="Arial"/>
          <w:i/>
          <w:iCs/>
          <w:color w:val="000000"/>
          <w:u w:val="single"/>
          <w:lang w:eastAsia="bg-BG"/>
        </w:rPr>
      </w:pPr>
    </w:p>
    <w:p w14:paraId="320E2E1C" w14:textId="186BA70E" w:rsidR="005354F0" w:rsidRPr="005354F0" w:rsidRDefault="005354F0" w:rsidP="005354F0">
      <w:pPr>
        <w:spacing w:line="240" w:lineRule="auto"/>
        <w:rPr>
          <w:rFonts w:eastAsia="Times New Roman" w:cs="Arial"/>
          <w:lang w:eastAsia="bg-BG"/>
        </w:rPr>
      </w:pPr>
      <w:r w:rsidRPr="005354F0">
        <w:rPr>
          <w:rFonts w:eastAsia="Times New Roman" w:cs="Arial"/>
          <w:i/>
          <w:iCs/>
          <w:color w:val="000000"/>
          <w:u w:val="single"/>
          <w:lang w:eastAsia="bg-BG"/>
        </w:rPr>
        <w:t>Таблично представяне на нежеланите лекарствени реакции</w:t>
      </w:r>
    </w:p>
    <w:p w14:paraId="650BC0E3" w14:textId="77777777" w:rsidR="005354F0" w:rsidRPr="005354F0" w:rsidRDefault="005354F0" w:rsidP="005354F0">
      <w:pPr>
        <w:spacing w:line="240" w:lineRule="auto"/>
        <w:rPr>
          <w:rFonts w:eastAsia="Times New Roman" w:cs="Arial"/>
          <w:lang w:eastAsia="bg-BG"/>
        </w:rPr>
      </w:pPr>
      <w:r w:rsidRPr="005354F0">
        <w:rPr>
          <w:rFonts w:eastAsia="Times New Roman" w:cs="Arial"/>
          <w:color w:val="000000"/>
          <w:lang w:eastAsia="bg-BG"/>
        </w:rPr>
        <w:t xml:space="preserve">Нежелани реакции, които са били съобщени при 7 115 пациенти с </w:t>
      </w:r>
      <w:r w:rsidRPr="005354F0">
        <w:rPr>
          <w:rFonts w:eastAsia="Times New Roman" w:cs="Arial"/>
          <w:color w:val="000000"/>
          <w:lang w:val="en-US"/>
        </w:rPr>
        <w:t xml:space="preserve">GIST, MRCC </w:t>
      </w:r>
      <w:r w:rsidRPr="005354F0">
        <w:rPr>
          <w:rFonts w:eastAsia="Times New Roman" w:cs="Arial"/>
          <w:color w:val="000000"/>
          <w:lang w:eastAsia="bg-BG"/>
        </w:rPr>
        <w:t xml:space="preserve">и </w:t>
      </w:r>
      <w:r w:rsidRPr="005354F0">
        <w:rPr>
          <w:rFonts w:eastAsia="Times New Roman" w:cs="Arial"/>
          <w:color w:val="000000"/>
          <w:lang w:val="en-US"/>
        </w:rPr>
        <w:t xml:space="preserve">pNET, </w:t>
      </w:r>
      <w:r w:rsidRPr="005354F0">
        <w:rPr>
          <w:rFonts w:eastAsia="Times New Roman" w:cs="Arial"/>
          <w:color w:val="000000"/>
          <w:lang w:eastAsia="bg-BG"/>
        </w:rPr>
        <w:t xml:space="preserve">в набор от сборни данни, са описани по-долу по системо-органни класове, честота и степен на тежест </w:t>
      </w:r>
      <w:r w:rsidRPr="005354F0">
        <w:rPr>
          <w:rFonts w:eastAsia="Times New Roman" w:cs="Arial"/>
          <w:color w:val="000000"/>
          <w:lang w:val="en-US"/>
        </w:rPr>
        <w:t xml:space="preserve">(NCI-CTCAE). </w:t>
      </w:r>
      <w:r w:rsidRPr="005354F0">
        <w:rPr>
          <w:rFonts w:eastAsia="Times New Roman" w:cs="Arial"/>
          <w:color w:val="000000"/>
          <w:lang w:eastAsia="bg-BG"/>
        </w:rPr>
        <w:t>Включени са също и нежелани реакции от постмаркетинговия период, идентифицирани по време на клиничните проучвания. При всяко групиране в зависимост от честотата, нежеланите лекарствени реакции се изброяват в низходящ ред по отношение на сериозността.</w:t>
      </w:r>
    </w:p>
    <w:p w14:paraId="29150C85" w14:textId="77777777" w:rsidR="005354F0" w:rsidRPr="00032FA5" w:rsidRDefault="005354F0" w:rsidP="005354F0">
      <w:pPr>
        <w:spacing w:line="240" w:lineRule="auto"/>
        <w:rPr>
          <w:rFonts w:eastAsia="Times New Roman" w:cs="Arial"/>
          <w:color w:val="000000"/>
          <w:lang w:eastAsia="bg-BG"/>
        </w:rPr>
      </w:pPr>
    </w:p>
    <w:p w14:paraId="0EF3B7B5" w14:textId="754311F6" w:rsidR="005354F0" w:rsidRPr="005354F0" w:rsidRDefault="005354F0" w:rsidP="005354F0">
      <w:pPr>
        <w:spacing w:line="240" w:lineRule="auto"/>
        <w:rPr>
          <w:rFonts w:eastAsia="Times New Roman" w:cs="Arial"/>
          <w:lang w:eastAsia="bg-BG"/>
        </w:rPr>
      </w:pPr>
      <w:r w:rsidRPr="005354F0">
        <w:rPr>
          <w:rFonts w:eastAsia="Times New Roman" w:cs="Arial"/>
          <w:color w:val="000000"/>
          <w:lang w:eastAsia="bg-BG"/>
        </w:rPr>
        <w:t>Честотите са определени като: много чести (≥ 1/10), чести (≥ 1/100 до &lt; 1/10), нечести (≥ 1/1 000 до &lt;1/100), редки (≥ 1/10 000 до &lt; 1/1 000), много редки (&lt;1/10 000), с неизвестна честота (от наличните данни не може да бъде направена оценка).</w:t>
      </w:r>
    </w:p>
    <w:p w14:paraId="103F448A" w14:textId="77777777" w:rsidR="005354F0" w:rsidRPr="00032FA5" w:rsidRDefault="005354F0" w:rsidP="005354F0">
      <w:pPr>
        <w:rPr>
          <w:rFonts w:eastAsia="Times New Roman" w:cs="Arial"/>
          <w:b/>
          <w:bCs/>
          <w:color w:val="000000"/>
          <w:lang w:eastAsia="bg-BG"/>
        </w:rPr>
      </w:pPr>
    </w:p>
    <w:p w14:paraId="0254AACC" w14:textId="66350F9D" w:rsidR="007A2185" w:rsidRPr="00032FA5" w:rsidRDefault="005354F0" w:rsidP="005354F0">
      <w:pPr>
        <w:rPr>
          <w:rFonts w:eastAsia="Times New Roman" w:cs="Arial"/>
          <w:b/>
          <w:bCs/>
          <w:color w:val="000000"/>
          <w:lang w:eastAsia="bg-BG"/>
        </w:rPr>
      </w:pPr>
      <w:r w:rsidRPr="00032FA5">
        <w:rPr>
          <w:rFonts w:eastAsia="Times New Roman" w:cs="Arial"/>
          <w:b/>
          <w:bCs/>
          <w:color w:val="000000"/>
          <w:lang w:eastAsia="bg-BG"/>
        </w:rPr>
        <w:t>Таблица 1. Нежелани реакции, докладвани по време на клинични изпитвания.</w:t>
      </w:r>
    </w:p>
    <w:tbl>
      <w:tblPr>
        <w:tblStyle w:val="TableGrid"/>
        <w:tblW w:w="0" w:type="auto"/>
        <w:tblLook w:val="04A0" w:firstRow="1" w:lastRow="0" w:firstColumn="1" w:lastColumn="0" w:noHBand="0" w:noVBand="1"/>
      </w:tblPr>
      <w:tblGrid>
        <w:gridCol w:w="1524"/>
        <w:gridCol w:w="1544"/>
        <w:gridCol w:w="1608"/>
        <w:gridCol w:w="1949"/>
        <w:gridCol w:w="1625"/>
        <w:gridCol w:w="1100"/>
      </w:tblGrid>
      <w:tr w:rsidR="005354F0" w:rsidRPr="00032FA5" w14:paraId="11C50BBF" w14:textId="77777777" w:rsidTr="005354F0">
        <w:tc>
          <w:tcPr>
            <w:tcW w:w="1523" w:type="dxa"/>
          </w:tcPr>
          <w:p w14:paraId="18A5D552" w14:textId="67C1FFD8" w:rsidR="005354F0" w:rsidRPr="00032FA5" w:rsidRDefault="005354F0" w:rsidP="005354F0">
            <w:pPr>
              <w:rPr>
                <w:rFonts w:cs="Arial"/>
              </w:rPr>
            </w:pPr>
            <w:r w:rsidRPr="00032FA5">
              <w:rPr>
                <w:rFonts w:cs="Arial"/>
                <w:b/>
                <w:bCs/>
              </w:rPr>
              <w:t>Системо- оргянен клас</w:t>
            </w:r>
          </w:p>
        </w:tc>
        <w:tc>
          <w:tcPr>
            <w:tcW w:w="1544" w:type="dxa"/>
          </w:tcPr>
          <w:p w14:paraId="2CF57A5D" w14:textId="1880FD7A" w:rsidR="005354F0" w:rsidRPr="00032FA5" w:rsidRDefault="005354F0" w:rsidP="005354F0">
            <w:pPr>
              <w:rPr>
                <w:rFonts w:cs="Arial"/>
              </w:rPr>
            </w:pPr>
            <w:r w:rsidRPr="00032FA5">
              <w:rPr>
                <w:rFonts w:cs="Arial"/>
                <w:b/>
                <w:bCs/>
              </w:rPr>
              <w:t>Много чести</w:t>
            </w:r>
          </w:p>
        </w:tc>
        <w:tc>
          <w:tcPr>
            <w:tcW w:w="1608" w:type="dxa"/>
          </w:tcPr>
          <w:p w14:paraId="606417E0" w14:textId="2788FC66" w:rsidR="005354F0" w:rsidRPr="00032FA5" w:rsidRDefault="005354F0" w:rsidP="005354F0">
            <w:pPr>
              <w:rPr>
                <w:rFonts w:cs="Arial"/>
              </w:rPr>
            </w:pPr>
            <w:r w:rsidRPr="00032FA5">
              <w:rPr>
                <w:rFonts w:cs="Arial"/>
                <w:b/>
                <w:bCs/>
              </w:rPr>
              <w:t>Чести</w:t>
            </w:r>
          </w:p>
        </w:tc>
        <w:tc>
          <w:tcPr>
            <w:tcW w:w="1948" w:type="dxa"/>
          </w:tcPr>
          <w:p w14:paraId="7AF4E143" w14:textId="4D47AF0B" w:rsidR="005354F0" w:rsidRPr="00032FA5" w:rsidRDefault="005354F0" w:rsidP="005354F0">
            <w:pPr>
              <w:rPr>
                <w:rFonts w:cs="Arial"/>
              </w:rPr>
            </w:pPr>
            <w:r w:rsidRPr="00032FA5">
              <w:rPr>
                <w:rFonts w:cs="Arial"/>
                <w:b/>
                <w:bCs/>
              </w:rPr>
              <w:t>Нечести</w:t>
            </w:r>
          </w:p>
        </w:tc>
        <w:tc>
          <w:tcPr>
            <w:tcW w:w="1627" w:type="dxa"/>
          </w:tcPr>
          <w:p w14:paraId="1F72AEF8" w14:textId="5213189B" w:rsidR="005354F0" w:rsidRPr="00032FA5" w:rsidRDefault="005354F0" w:rsidP="005354F0">
            <w:pPr>
              <w:rPr>
                <w:rFonts w:cs="Arial"/>
              </w:rPr>
            </w:pPr>
            <w:r w:rsidRPr="00032FA5">
              <w:rPr>
                <w:rFonts w:cs="Arial"/>
                <w:b/>
                <w:bCs/>
              </w:rPr>
              <w:t>Редки</w:t>
            </w:r>
          </w:p>
        </w:tc>
        <w:tc>
          <w:tcPr>
            <w:tcW w:w="1100" w:type="dxa"/>
          </w:tcPr>
          <w:p w14:paraId="0DAF1BAA" w14:textId="41A3C375" w:rsidR="005354F0" w:rsidRPr="00032FA5" w:rsidRDefault="005354F0" w:rsidP="005354F0">
            <w:pPr>
              <w:rPr>
                <w:rFonts w:cs="Arial"/>
              </w:rPr>
            </w:pPr>
            <w:r w:rsidRPr="00032FA5">
              <w:rPr>
                <w:rFonts w:cs="Arial"/>
                <w:b/>
                <w:bCs/>
              </w:rPr>
              <w:t>С неизвестна честота</w:t>
            </w:r>
          </w:p>
        </w:tc>
      </w:tr>
      <w:tr w:rsidR="005354F0" w:rsidRPr="00032FA5" w14:paraId="61290931" w14:textId="77777777" w:rsidTr="009F5F3B">
        <w:trPr>
          <w:trHeight w:val="2870"/>
        </w:trPr>
        <w:tc>
          <w:tcPr>
            <w:tcW w:w="1523" w:type="dxa"/>
          </w:tcPr>
          <w:p w14:paraId="6E2478FC" w14:textId="77777777" w:rsidR="005354F0" w:rsidRPr="00032FA5" w:rsidRDefault="005354F0" w:rsidP="005354F0">
            <w:pPr>
              <w:rPr>
                <w:rFonts w:cs="Arial"/>
              </w:rPr>
            </w:pPr>
            <w:r w:rsidRPr="00032FA5">
              <w:rPr>
                <w:rFonts w:cs="Arial"/>
                <w:b/>
                <w:bCs/>
              </w:rPr>
              <w:lastRenderedPageBreak/>
              <w:t>Инфекции и инфестации</w:t>
            </w:r>
          </w:p>
          <w:p w14:paraId="4F6060B3" w14:textId="08425289" w:rsidR="005354F0" w:rsidRPr="00032FA5" w:rsidRDefault="005354F0" w:rsidP="005354F0">
            <w:pPr>
              <w:rPr>
                <w:rFonts w:cs="Arial"/>
              </w:rPr>
            </w:pPr>
            <w:r w:rsidRPr="00032FA5">
              <w:rPr>
                <w:rFonts w:cs="Arial"/>
                <w:lang w:val="en-US"/>
              </w:rPr>
              <w:t>- -</w:t>
            </w:r>
          </w:p>
        </w:tc>
        <w:tc>
          <w:tcPr>
            <w:tcW w:w="1544" w:type="dxa"/>
          </w:tcPr>
          <w:p w14:paraId="3F6A835A" w14:textId="77777777" w:rsidR="005354F0" w:rsidRPr="00032FA5" w:rsidRDefault="005354F0" w:rsidP="005354F0">
            <w:pPr>
              <w:rPr>
                <w:rFonts w:cs="Arial"/>
              </w:rPr>
            </w:pPr>
          </w:p>
        </w:tc>
        <w:tc>
          <w:tcPr>
            <w:tcW w:w="1608" w:type="dxa"/>
          </w:tcPr>
          <w:p w14:paraId="6399E964" w14:textId="77777777" w:rsidR="005354F0" w:rsidRPr="00032FA5" w:rsidRDefault="005354F0" w:rsidP="005354F0">
            <w:pPr>
              <w:rPr>
                <w:rFonts w:cs="Arial"/>
              </w:rPr>
            </w:pPr>
            <w:r w:rsidRPr="00032FA5">
              <w:rPr>
                <w:rFonts w:cs="Arial"/>
              </w:rPr>
              <w:t>Вирусни инфекции</w:t>
            </w:r>
            <w:r w:rsidRPr="00032FA5">
              <w:rPr>
                <w:rFonts w:cs="Arial"/>
                <w:vertAlign w:val="superscript"/>
              </w:rPr>
              <w:t>а</w:t>
            </w:r>
          </w:p>
          <w:p w14:paraId="229B90D3" w14:textId="77777777" w:rsidR="005354F0" w:rsidRPr="00032FA5" w:rsidRDefault="005354F0" w:rsidP="005354F0">
            <w:pPr>
              <w:rPr>
                <w:rFonts w:cs="Arial"/>
              </w:rPr>
            </w:pPr>
            <w:r w:rsidRPr="00032FA5">
              <w:rPr>
                <w:rFonts w:cs="Arial"/>
              </w:rPr>
              <w:t>Респираторни инфекции^’*</w:t>
            </w:r>
          </w:p>
          <w:p w14:paraId="450FACEB" w14:textId="77777777" w:rsidR="005354F0" w:rsidRPr="00032FA5" w:rsidRDefault="005354F0" w:rsidP="005354F0">
            <w:pPr>
              <w:rPr>
                <w:rFonts w:cs="Arial"/>
              </w:rPr>
            </w:pPr>
            <w:r w:rsidRPr="00032FA5">
              <w:rPr>
                <w:rFonts w:cs="Arial"/>
              </w:rPr>
              <w:t>Абсцес</w:t>
            </w:r>
            <w:r w:rsidRPr="00032FA5">
              <w:rPr>
                <w:rFonts w:cs="Arial"/>
                <w:vertAlign w:val="superscript"/>
              </w:rPr>
              <w:t>в,</w:t>
            </w:r>
            <w:r w:rsidRPr="00032FA5">
              <w:rPr>
                <w:rFonts w:cs="Arial"/>
              </w:rPr>
              <w:t>*</w:t>
            </w:r>
          </w:p>
          <w:p w14:paraId="05698B0B" w14:textId="77777777" w:rsidR="005354F0" w:rsidRPr="00032FA5" w:rsidRDefault="005354F0" w:rsidP="005354F0">
            <w:pPr>
              <w:rPr>
                <w:rFonts w:cs="Arial"/>
              </w:rPr>
            </w:pPr>
            <w:r w:rsidRPr="00032FA5">
              <w:rPr>
                <w:rFonts w:cs="Arial"/>
              </w:rPr>
              <w:t>Гъбички инфекции</w:t>
            </w:r>
            <w:r w:rsidRPr="00032FA5">
              <w:rPr>
                <w:rFonts w:cs="Arial"/>
                <w:vertAlign w:val="superscript"/>
                <w:lang w:val="en-US"/>
              </w:rPr>
              <w:t>h</w:t>
            </w:r>
          </w:p>
          <w:p w14:paraId="3D07C60A" w14:textId="77777777" w:rsidR="005354F0" w:rsidRPr="00032FA5" w:rsidRDefault="005354F0" w:rsidP="005354F0">
            <w:pPr>
              <w:rPr>
                <w:rFonts w:cs="Arial"/>
              </w:rPr>
            </w:pPr>
            <w:r w:rsidRPr="00032FA5">
              <w:rPr>
                <w:rFonts w:cs="Arial"/>
              </w:rPr>
              <w:t>Инфекции на пикочните пътища</w:t>
            </w:r>
          </w:p>
          <w:p w14:paraId="1D8E5AEE" w14:textId="77777777" w:rsidR="005354F0" w:rsidRPr="00032FA5" w:rsidRDefault="005354F0" w:rsidP="005354F0">
            <w:pPr>
              <w:rPr>
                <w:rFonts w:cs="Arial"/>
              </w:rPr>
            </w:pPr>
            <w:r w:rsidRPr="00032FA5">
              <w:rPr>
                <w:rFonts w:cs="Arial"/>
              </w:rPr>
              <w:t>Кожни инфекции</w:t>
            </w:r>
            <w:r w:rsidRPr="00032FA5">
              <w:rPr>
                <w:rFonts w:cs="Arial"/>
                <w:vertAlign w:val="superscript"/>
              </w:rPr>
              <w:t>д</w:t>
            </w:r>
          </w:p>
          <w:p w14:paraId="743DE2BE" w14:textId="7943200B" w:rsidR="005354F0" w:rsidRPr="00032FA5" w:rsidRDefault="005354F0" w:rsidP="005354F0">
            <w:pPr>
              <w:rPr>
                <w:rFonts w:cs="Arial"/>
              </w:rPr>
            </w:pPr>
            <w:r w:rsidRPr="00032FA5">
              <w:rPr>
                <w:rFonts w:cs="Arial"/>
              </w:rPr>
              <w:t>Сепсис</w:t>
            </w:r>
            <w:r w:rsidRPr="00032FA5">
              <w:rPr>
                <w:rFonts w:cs="Arial"/>
                <w:vertAlign w:val="superscript"/>
              </w:rPr>
              <w:t>е,</w:t>
            </w:r>
            <w:r w:rsidRPr="00032FA5">
              <w:rPr>
                <w:rFonts w:cs="Arial"/>
              </w:rPr>
              <w:t>*</w:t>
            </w:r>
          </w:p>
        </w:tc>
        <w:tc>
          <w:tcPr>
            <w:tcW w:w="1948" w:type="dxa"/>
          </w:tcPr>
          <w:p w14:paraId="05308511" w14:textId="736C17C6" w:rsidR="005354F0" w:rsidRPr="00032FA5" w:rsidRDefault="005354F0" w:rsidP="005354F0">
            <w:pPr>
              <w:rPr>
                <w:rFonts w:cs="Arial"/>
              </w:rPr>
            </w:pPr>
            <w:r w:rsidRPr="00032FA5">
              <w:rPr>
                <w:rFonts w:cs="Arial"/>
              </w:rPr>
              <w:t>Некротизиращ фасциит Бактериални инфекции</w:t>
            </w:r>
            <w:r w:rsidRPr="00032FA5">
              <w:rPr>
                <w:rFonts w:cs="Arial"/>
                <w:vertAlign w:val="superscript"/>
              </w:rPr>
              <w:t>ж</w:t>
            </w:r>
          </w:p>
        </w:tc>
        <w:tc>
          <w:tcPr>
            <w:tcW w:w="1627" w:type="dxa"/>
            <w:textDirection w:val="btLr"/>
          </w:tcPr>
          <w:p w14:paraId="316DA256" w14:textId="14D8EC29" w:rsidR="005354F0" w:rsidRPr="00032FA5" w:rsidRDefault="005354F0" w:rsidP="005354F0">
            <w:pPr>
              <w:rPr>
                <w:rFonts w:cs="Arial"/>
              </w:rPr>
            </w:pPr>
            <w:r w:rsidRPr="00032FA5">
              <w:rPr>
                <w:rFonts w:cs="Arial"/>
              </w:rPr>
              <w:tab/>
            </w:r>
          </w:p>
        </w:tc>
        <w:tc>
          <w:tcPr>
            <w:tcW w:w="1100" w:type="dxa"/>
          </w:tcPr>
          <w:p w14:paraId="55F989D1" w14:textId="77777777" w:rsidR="005354F0" w:rsidRPr="00032FA5" w:rsidRDefault="005354F0" w:rsidP="005354F0">
            <w:pPr>
              <w:rPr>
                <w:rFonts w:cs="Arial"/>
              </w:rPr>
            </w:pPr>
          </w:p>
        </w:tc>
      </w:tr>
      <w:tr w:rsidR="005354F0" w:rsidRPr="00032FA5" w14:paraId="7200A439" w14:textId="77777777" w:rsidTr="005354F0">
        <w:tc>
          <w:tcPr>
            <w:tcW w:w="1523" w:type="dxa"/>
          </w:tcPr>
          <w:p w14:paraId="52C674C3" w14:textId="6C5330A0" w:rsidR="005354F0" w:rsidRPr="00032FA5" w:rsidRDefault="005354F0" w:rsidP="005354F0">
            <w:pPr>
              <w:rPr>
                <w:rFonts w:cs="Arial"/>
              </w:rPr>
            </w:pPr>
            <w:r w:rsidRPr="00032FA5">
              <w:rPr>
                <w:rFonts w:cs="Arial"/>
                <w:b/>
                <w:bCs/>
              </w:rPr>
              <w:t>Нарушения иакръвтя и лимфната система</w:t>
            </w:r>
          </w:p>
        </w:tc>
        <w:tc>
          <w:tcPr>
            <w:tcW w:w="1544" w:type="dxa"/>
            <w:vAlign w:val="bottom"/>
          </w:tcPr>
          <w:p w14:paraId="4E7D508D" w14:textId="77777777" w:rsidR="005354F0" w:rsidRPr="00032FA5" w:rsidRDefault="005354F0" w:rsidP="005354F0">
            <w:pPr>
              <w:rPr>
                <w:rFonts w:cs="Arial"/>
              </w:rPr>
            </w:pPr>
            <w:r w:rsidRPr="00032FA5">
              <w:rPr>
                <w:rFonts w:cs="Arial"/>
              </w:rPr>
              <w:t>Неутропения Тромбоцитопения Анемия</w:t>
            </w:r>
          </w:p>
          <w:p w14:paraId="227A4764" w14:textId="388816C0" w:rsidR="005354F0" w:rsidRPr="00032FA5" w:rsidRDefault="005354F0" w:rsidP="005354F0">
            <w:pPr>
              <w:rPr>
                <w:rFonts w:cs="Arial"/>
              </w:rPr>
            </w:pPr>
            <w:r w:rsidRPr="00032FA5">
              <w:rPr>
                <w:rFonts w:cs="Arial"/>
              </w:rPr>
              <w:t>Левко пения</w:t>
            </w:r>
          </w:p>
        </w:tc>
        <w:tc>
          <w:tcPr>
            <w:tcW w:w="1608" w:type="dxa"/>
          </w:tcPr>
          <w:p w14:paraId="4811860B" w14:textId="57DDA24F" w:rsidR="005354F0" w:rsidRPr="00032FA5" w:rsidRDefault="005354F0" w:rsidP="005354F0">
            <w:pPr>
              <w:rPr>
                <w:rFonts w:cs="Arial"/>
              </w:rPr>
            </w:pPr>
            <w:r w:rsidRPr="00032FA5">
              <w:rPr>
                <w:rFonts w:cs="Arial"/>
              </w:rPr>
              <w:t>Лимфопения</w:t>
            </w:r>
          </w:p>
        </w:tc>
        <w:tc>
          <w:tcPr>
            <w:tcW w:w="1948" w:type="dxa"/>
          </w:tcPr>
          <w:p w14:paraId="63502F1B" w14:textId="6CA89361" w:rsidR="005354F0" w:rsidRPr="00032FA5" w:rsidRDefault="005354F0" w:rsidP="005354F0">
            <w:pPr>
              <w:rPr>
                <w:rFonts w:cs="Arial"/>
              </w:rPr>
            </w:pPr>
            <w:r w:rsidRPr="00032FA5">
              <w:rPr>
                <w:rFonts w:cs="Arial"/>
              </w:rPr>
              <w:t>Панцитопения</w:t>
            </w:r>
          </w:p>
        </w:tc>
        <w:tc>
          <w:tcPr>
            <w:tcW w:w="1627" w:type="dxa"/>
          </w:tcPr>
          <w:p w14:paraId="162C1A38" w14:textId="1A2AD28C" w:rsidR="005354F0" w:rsidRPr="00032FA5" w:rsidRDefault="005354F0" w:rsidP="005354F0">
            <w:pPr>
              <w:rPr>
                <w:rFonts w:cs="Arial"/>
              </w:rPr>
            </w:pPr>
            <w:r w:rsidRPr="00032FA5">
              <w:rPr>
                <w:rFonts w:cs="Arial"/>
              </w:rPr>
              <w:t>Тромботична микроангиопатия</w:t>
            </w:r>
            <w:r w:rsidRPr="00032FA5">
              <w:rPr>
                <w:rFonts w:cs="Arial"/>
                <w:vertAlign w:val="superscript"/>
              </w:rPr>
              <w:t>з</w:t>
            </w:r>
            <w:r w:rsidRPr="00032FA5">
              <w:rPr>
                <w:rFonts w:cs="Arial"/>
              </w:rPr>
              <w:t>,*</w:t>
            </w:r>
          </w:p>
        </w:tc>
        <w:tc>
          <w:tcPr>
            <w:tcW w:w="1100" w:type="dxa"/>
          </w:tcPr>
          <w:p w14:paraId="34F6900A" w14:textId="77777777" w:rsidR="005354F0" w:rsidRPr="00032FA5" w:rsidRDefault="005354F0" w:rsidP="005354F0">
            <w:pPr>
              <w:rPr>
                <w:rFonts w:cs="Arial"/>
              </w:rPr>
            </w:pPr>
          </w:p>
        </w:tc>
      </w:tr>
      <w:tr w:rsidR="005354F0" w:rsidRPr="00032FA5" w14:paraId="0619C320" w14:textId="77777777" w:rsidTr="005354F0">
        <w:tc>
          <w:tcPr>
            <w:tcW w:w="1523" w:type="dxa"/>
          </w:tcPr>
          <w:p w14:paraId="1DA921AF" w14:textId="77DC0452" w:rsidR="005354F0" w:rsidRPr="00032FA5" w:rsidRDefault="005354F0" w:rsidP="005354F0">
            <w:pPr>
              <w:rPr>
                <w:rFonts w:cs="Arial"/>
              </w:rPr>
            </w:pPr>
            <w:r w:rsidRPr="00032FA5">
              <w:rPr>
                <w:rFonts w:cs="Arial"/>
                <w:b/>
                <w:bCs/>
              </w:rPr>
              <w:t>Нарушения на имунната система</w:t>
            </w:r>
          </w:p>
        </w:tc>
        <w:tc>
          <w:tcPr>
            <w:tcW w:w="1544" w:type="dxa"/>
          </w:tcPr>
          <w:p w14:paraId="7C7DFD87" w14:textId="77777777" w:rsidR="005354F0" w:rsidRPr="00032FA5" w:rsidRDefault="005354F0" w:rsidP="005354F0">
            <w:pPr>
              <w:rPr>
                <w:rFonts w:cs="Arial"/>
              </w:rPr>
            </w:pPr>
          </w:p>
        </w:tc>
        <w:tc>
          <w:tcPr>
            <w:tcW w:w="1608" w:type="dxa"/>
          </w:tcPr>
          <w:p w14:paraId="087424C6" w14:textId="77777777" w:rsidR="005354F0" w:rsidRPr="00032FA5" w:rsidRDefault="005354F0" w:rsidP="005354F0">
            <w:pPr>
              <w:rPr>
                <w:rFonts w:cs="Arial"/>
              </w:rPr>
            </w:pPr>
          </w:p>
        </w:tc>
        <w:tc>
          <w:tcPr>
            <w:tcW w:w="1948" w:type="dxa"/>
          </w:tcPr>
          <w:p w14:paraId="6AB375CD" w14:textId="4E9EB839" w:rsidR="005354F0" w:rsidRPr="00032FA5" w:rsidRDefault="005354F0" w:rsidP="005354F0">
            <w:pPr>
              <w:rPr>
                <w:rFonts w:cs="Arial"/>
              </w:rPr>
            </w:pPr>
            <w:r w:rsidRPr="00032FA5">
              <w:rPr>
                <w:rFonts w:cs="Arial"/>
              </w:rPr>
              <w:t>Свръхчувствителност</w:t>
            </w:r>
          </w:p>
        </w:tc>
        <w:tc>
          <w:tcPr>
            <w:tcW w:w="1627" w:type="dxa"/>
          </w:tcPr>
          <w:p w14:paraId="01BB2A52" w14:textId="3A0E350E" w:rsidR="005354F0" w:rsidRPr="00032FA5" w:rsidRDefault="005354F0" w:rsidP="005354F0">
            <w:pPr>
              <w:rPr>
                <w:rFonts w:cs="Arial"/>
              </w:rPr>
            </w:pPr>
            <w:r w:rsidRPr="00032FA5">
              <w:rPr>
                <w:rFonts w:cs="Arial"/>
              </w:rPr>
              <w:t>Ангиоедем</w:t>
            </w:r>
          </w:p>
        </w:tc>
        <w:tc>
          <w:tcPr>
            <w:tcW w:w="1100" w:type="dxa"/>
          </w:tcPr>
          <w:p w14:paraId="04532E09" w14:textId="77777777" w:rsidR="005354F0" w:rsidRPr="00032FA5" w:rsidRDefault="005354F0" w:rsidP="005354F0">
            <w:pPr>
              <w:rPr>
                <w:rFonts w:cs="Arial"/>
              </w:rPr>
            </w:pPr>
          </w:p>
        </w:tc>
      </w:tr>
      <w:tr w:rsidR="005354F0" w:rsidRPr="00032FA5" w14:paraId="66486B02" w14:textId="77777777" w:rsidTr="005354F0">
        <w:tc>
          <w:tcPr>
            <w:tcW w:w="1523" w:type="dxa"/>
          </w:tcPr>
          <w:p w14:paraId="255F6168" w14:textId="4E162577" w:rsidR="005354F0" w:rsidRPr="00032FA5" w:rsidRDefault="005354F0" w:rsidP="005354F0">
            <w:pPr>
              <w:rPr>
                <w:rFonts w:cs="Arial"/>
              </w:rPr>
            </w:pPr>
            <w:r w:rsidRPr="00032FA5">
              <w:rPr>
                <w:rFonts w:cs="Arial"/>
                <w:b/>
                <w:bCs/>
              </w:rPr>
              <w:t>Нарушения на ендокринната система</w:t>
            </w:r>
          </w:p>
        </w:tc>
        <w:tc>
          <w:tcPr>
            <w:tcW w:w="1544" w:type="dxa"/>
          </w:tcPr>
          <w:p w14:paraId="5728A59B" w14:textId="42A815BB" w:rsidR="005354F0" w:rsidRPr="00032FA5" w:rsidRDefault="005354F0" w:rsidP="005354F0">
            <w:pPr>
              <w:rPr>
                <w:rFonts w:cs="Arial"/>
              </w:rPr>
            </w:pPr>
            <w:r w:rsidRPr="00032FA5">
              <w:rPr>
                <w:rFonts w:cs="Arial"/>
              </w:rPr>
              <w:t>Хипотиреоидизъм</w:t>
            </w:r>
          </w:p>
        </w:tc>
        <w:tc>
          <w:tcPr>
            <w:tcW w:w="1608" w:type="dxa"/>
          </w:tcPr>
          <w:p w14:paraId="4D66018D" w14:textId="77777777" w:rsidR="005354F0" w:rsidRPr="00032FA5" w:rsidRDefault="005354F0" w:rsidP="005354F0">
            <w:pPr>
              <w:rPr>
                <w:rFonts w:cs="Arial"/>
              </w:rPr>
            </w:pPr>
          </w:p>
        </w:tc>
        <w:tc>
          <w:tcPr>
            <w:tcW w:w="1948" w:type="dxa"/>
          </w:tcPr>
          <w:p w14:paraId="5D565AAF" w14:textId="4556760F" w:rsidR="005354F0" w:rsidRPr="00032FA5" w:rsidRDefault="005354F0" w:rsidP="005354F0">
            <w:pPr>
              <w:rPr>
                <w:rFonts w:cs="Arial"/>
              </w:rPr>
            </w:pPr>
            <w:r w:rsidRPr="00032FA5">
              <w:rPr>
                <w:rFonts w:cs="Arial"/>
              </w:rPr>
              <w:t>Хипертиреоидизъм</w:t>
            </w:r>
          </w:p>
        </w:tc>
        <w:tc>
          <w:tcPr>
            <w:tcW w:w="1627" w:type="dxa"/>
          </w:tcPr>
          <w:p w14:paraId="54E1CAF5" w14:textId="20FBF019" w:rsidR="005354F0" w:rsidRPr="00032FA5" w:rsidRDefault="005354F0" w:rsidP="005354F0">
            <w:pPr>
              <w:rPr>
                <w:rFonts w:cs="Arial"/>
              </w:rPr>
            </w:pPr>
            <w:r w:rsidRPr="00032FA5">
              <w:rPr>
                <w:rFonts w:cs="Arial"/>
              </w:rPr>
              <w:t>Тиреоидит</w:t>
            </w:r>
          </w:p>
        </w:tc>
        <w:tc>
          <w:tcPr>
            <w:tcW w:w="1100" w:type="dxa"/>
          </w:tcPr>
          <w:p w14:paraId="7533FB9B" w14:textId="77777777" w:rsidR="005354F0" w:rsidRPr="00032FA5" w:rsidRDefault="005354F0" w:rsidP="005354F0">
            <w:pPr>
              <w:rPr>
                <w:rFonts w:cs="Arial"/>
              </w:rPr>
            </w:pPr>
          </w:p>
        </w:tc>
      </w:tr>
      <w:tr w:rsidR="005354F0" w:rsidRPr="00032FA5" w14:paraId="1FC2B305" w14:textId="77777777" w:rsidTr="005354F0">
        <w:tc>
          <w:tcPr>
            <w:tcW w:w="1523" w:type="dxa"/>
          </w:tcPr>
          <w:p w14:paraId="033E15C1" w14:textId="6206CCD2" w:rsidR="005354F0" w:rsidRPr="00032FA5" w:rsidRDefault="005354F0" w:rsidP="005354F0">
            <w:pPr>
              <w:rPr>
                <w:rFonts w:cs="Arial"/>
              </w:rPr>
            </w:pPr>
            <w:r w:rsidRPr="00032FA5">
              <w:rPr>
                <w:rFonts w:cs="Arial"/>
                <w:b/>
                <w:bCs/>
              </w:rPr>
              <w:t>Нарушения на метаболизма и храненето</w:t>
            </w:r>
          </w:p>
        </w:tc>
        <w:tc>
          <w:tcPr>
            <w:tcW w:w="1544" w:type="dxa"/>
          </w:tcPr>
          <w:p w14:paraId="7FD54169" w14:textId="39EC84C2" w:rsidR="005354F0" w:rsidRPr="00032FA5" w:rsidRDefault="005354F0" w:rsidP="005354F0">
            <w:pPr>
              <w:rPr>
                <w:rFonts w:cs="Arial"/>
              </w:rPr>
            </w:pPr>
            <w:r w:rsidRPr="00032FA5">
              <w:rPr>
                <w:rFonts w:cs="Arial"/>
              </w:rPr>
              <w:t>Намален апетит</w:t>
            </w:r>
            <w:r w:rsidRPr="00032FA5">
              <w:rPr>
                <w:rFonts w:cs="Arial"/>
                <w:vertAlign w:val="superscript"/>
              </w:rPr>
              <w:t>и</w:t>
            </w:r>
          </w:p>
        </w:tc>
        <w:tc>
          <w:tcPr>
            <w:tcW w:w="1608" w:type="dxa"/>
          </w:tcPr>
          <w:p w14:paraId="333B511C" w14:textId="41ADD29B" w:rsidR="005354F0" w:rsidRPr="00032FA5" w:rsidRDefault="005354F0" w:rsidP="005354F0">
            <w:pPr>
              <w:rPr>
                <w:rFonts w:cs="Arial"/>
              </w:rPr>
            </w:pPr>
            <w:r w:rsidRPr="00032FA5">
              <w:rPr>
                <w:rFonts w:cs="Arial"/>
              </w:rPr>
              <w:t>Дехидратания Хипогликемия</w:t>
            </w:r>
          </w:p>
        </w:tc>
        <w:tc>
          <w:tcPr>
            <w:tcW w:w="1948" w:type="dxa"/>
          </w:tcPr>
          <w:p w14:paraId="05A3623D" w14:textId="77777777" w:rsidR="005354F0" w:rsidRPr="00032FA5" w:rsidRDefault="005354F0" w:rsidP="005354F0">
            <w:pPr>
              <w:rPr>
                <w:rFonts w:cs="Arial"/>
              </w:rPr>
            </w:pPr>
          </w:p>
        </w:tc>
        <w:tc>
          <w:tcPr>
            <w:tcW w:w="1627" w:type="dxa"/>
          </w:tcPr>
          <w:p w14:paraId="67FC6113" w14:textId="44754CC4" w:rsidR="005354F0" w:rsidRPr="00032FA5" w:rsidRDefault="005354F0" w:rsidP="005354F0">
            <w:pPr>
              <w:rPr>
                <w:rFonts w:cs="Arial"/>
              </w:rPr>
            </w:pPr>
            <w:r w:rsidRPr="00032FA5">
              <w:rPr>
                <w:rFonts w:cs="Arial"/>
              </w:rPr>
              <w:t>Синдром на туморен разпад*</w:t>
            </w:r>
          </w:p>
        </w:tc>
        <w:tc>
          <w:tcPr>
            <w:tcW w:w="1100" w:type="dxa"/>
          </w:tcPr>
          <w:p w14:paraId="58250877" w14:textId="77777777" w:rsidR="005354F0" w:rsidRPr="00032FA5" w:rsidRDefault="005354F0" w:rsidP="005354F0">
            <w:pPr>
              <w:rPr>
                <w:rFonts w:cs="Arial"/>
              </w:rPr>
            </w:pPr>
          </w:p>
        </w:tc>
      </w:tr>
      <w:tr w:rsidR="005354F0" w:rsidRPr="00032FA5" w14:paraId="4A5C1433" w14:textId="77777777" w:rsidTr="005354F0">
        <w:tc>
          <w:tcPr>
            <w:tcW w:w="1523" w:type="dxa"/>
          </w:tcPr>
          <w:p w14:paraId="0B5A8EFA" w14:textId="630EC77A" w:rsidR="005354F0" w:rsidRPr="00032FA5" w:rsidRDefault="005354F0" w:rsidP="005354F0">
            <w:pPr>
              <w:rPr>
                <w:rFonts w:cs="Arial"/>
              </w:rPr>
            </w:pPr>
            <w:r w:rsidRPr="00032FA5">
              <w:rPr>
                <w:rFonts w:cs="Arial"/>
                <w:b/>
                <w:bCs/>
              </w:rPr>
              <w:t>Психични нарушения</w:t>
            </w:r>
          </w:p>
        </w:tc>
        <w:tc>
          <w:tcPr>
            <w:tcW w:w="1544" w:type="dxa"/>
          </w:tcPr>
          <w:p w14:paraId="2C2BBD3A" w14:textId="49079013" w:rsidR="005354F0" w:rsidRPr="00032FA5" w:rsidRDefault="005354F0" w:rsidP="005354F0">
            <w:pPr>
              <w:rPr>
                <w:rFonts w:cs="Arial"/>
              </w:rPr>
            </w:pPr>
            <w:r w:rsidRPr="00032FA5">
              <w:rPr>
                <w:rFonts w:cs="Arial"/>
              </w:rPr>
              <w:t>Безсъние</w:t>
            </w:r>
          </w:p>
        </w:tc>
        <w:tc>
          <w:tcPr>
            <w:tcW w:w="1608" w:type="dxa"/>
          </w:tcPr>
          <w:p w14:paraId="25071A96" w14:textId="422F134D" w:rsidR="005354F0" w:rsidRPr="00032FA5" w:rsidRDefault="005354F0" w:rsidP="005354F0">
            <w:pPr>
              <w:rPr>
                <w:rFonts w:cs="Arial"/>
              </w:rPr>
            </w:pPr>
            <w:r w:rsidRPr="00032FA5">
              <w:rPr>
                <w:rFonts w:cs="Arial"/>
              </w:rPr>
              <w:t>Депресия</w:t>
            </w:r>
          </w:p>
        </w:tc>
        <w:tc>
          <w:tcPr>
            <w:tcW w:w="1948" w:type="dxa"/>
          </w:tcPr>
          <w:p w14:paraId="1C93AF08" w14:textId="77777777" w:rsidR="005354F0" w:rsidRPr="00032FA5" w:rsidRDefault="005354F0" w:rsidP="005354F0">
            <w:pPr>
              <w:rPr>
                <w:rFonts w:cs="Arial"/>
              </w:rPr>
            </w:pPr>
          </w:p>
        </w:tc>
        <w:tc>
          <w:tcPr>
            <w:tcW w:w="1627" w:type="dxa"/>
            <w:vAlign w:val="bottom"/>
          </w:tcPr>
          <w:p w14:paraId="68AE84C5" w14:textId="77777777" w:rsidR="005354F0" w:rsidRPr="00032FA5" w:rsidRDefault="005354F0" w:rsidP="005354F0">
            <w:pPr>
              <w:rPr>
                <w:rFonts w:cs="Arial"/>
              </w:rPr>
            </w:pPr>
          </w:p>
        </w:tc>
        <w:tc>
          <w:tcPr>
            <w:tcW w:w="1100" w:type="dxa"/>
          </w:tcPr>
          <w:p w14:paraId="0A28629F" w14:textId="77777777" w:rsidR="005354F0" w:rsidRPr="00032FA5" w:rsidRDefault="005354F0" w:rsidP="005354F0">
            <w:pPr>
              <w:rPr>
                <w:rFonts w:cs="Arial"/>
              </w:rPr>
            </w:pPr>
          </w:p>
        </w:tc>
      </w:tr>
      <w:tr w:rsidR="005354F0" w:rsidRPr="00032FA5" w14:paraId="409931CA" w14:textId="77777777" w:rsidTr="005354F0">
        <w:tc>
          <w:tcPr>
            <w:tcW w:w="1523" w:type="dxa"/>
          </w:tcPr>
          <w:p w14:paraId="497FC956" w14:textId="2304481E" w:rsidR="005354F0" w:rsidRPr="00032FA5" w:rsidRDefault="005354F0" w:rsidP="005354F0">
            <w:pPr>
              <w:rPr>
                <w:rFonts w:cs="Arial"/>
              </w:rPr>
            </w:pPr>
            <w:r w:rsidRPr="00032FA5">
              <w:rPr>
                <w:rFonts w:cs="Arial"/>
                <w:b/>
                <w:bCs/>
              </w:rPr>
              <w:t>Нарушения на нервната система</w:t>
            </w:r>
          </w:p>
        </w:tc>
        <w:tc>
          <w:tcPr>
            <w:tcW w:w="1544" w:type="dxa"/>
          </w:tcPr>
          <w:p w14:paraId="764F63E3" w14:textId="77777777" w:rsidR="005354F0" w:rsidRPr="00032FA5" w:rsidRDefault="005354F0" w:rsidP="005354F0">
            <w:pPr>
              <w:rPr>
                <w:rFonts w:cs="Arial"/>
              </w:rPr>
            </w:pPr>
            <w:r w:rsidRPr="00032FA5">
              <w:rPr>
                <w:rFonts w:cs="Arial"/>
              </w:rPr>
              <w:t>Замаяност</w:t>
            </w:r>
          </w:p>
          <w:p w14:paraId="5EB7F61F" w14:textId="77777777" w:rsidR="005354F0" w:rsidRPr="00032FA5" w:rsidRDefault="005354F0" w:rsidP="005354F0">
            <w:pPr>
              <w:rPr>
                <w:rFonts w:cs="Arial"/>
              </w:rPr>
            </w:pPr>
            <w:r w:rsidRPr="00032FA5">
              <w:rPr>
                <w:rFonts w:cs="Arial"/>
              </w:rPr>
              <w:t>Главоболие</w:t>
            </w:r>
          </w:p>
          <w:p w14:paraId="465BB5CB" w14:textId="5269EA70" w:rsidR="005354F0" w:rsidRPr="00032FA5" w:rsidRDefault="005354F0" w:rsidP="005354F0">
            <w:pPr>
              <w:rPr>
                <w:rFonts w:cs="Arial"/>
              </w:rPr>
            </w:pPr>
            <w:r w:rsidRPr="00032FA5">
              <w:rPr>
                <w:rFonts w:cs="Arial"/>
              </w:rPr>
              <w:t>Вкусови нарушения</w:t>
            </w:r>
            <w:r w:rsidRPr="00032FA5">
              <w:rPr>
                <w:rFonts w:cs="Arial"/>
                <w:vertAlign w:val="superscript"/>
              </w:rPr>
              <w:t>й</w:t>
            </w:r>
          </w:p>
        </w:tc>
        <w:tc>
          <w:tcPr>
            <w:tcW w:w="1608" w:type="dxa"/>
          </w:tcPr>
          <w:p w14:paraId="4453A919" w14:textId="77777777" w:rsidR="005354F0" w:rsidRPr="00032FA5" w:rsidRDefault="005354F0" w:rsidP="005354F0">
            <w:pPr>
              <w:rPr>
                <w:rFonts w:cs="Arial"/>
              </w:rPr>
            </w:pPr>
            <w:r w:rsidRPr="00032FA5">
              <w:rPr>
                <w:rFonts w:cs="Arial"/>
              </w:rPr>
              <w:t>Периферна невропатия</w:t>
            </w:r>
          </w:p>
          <w:p w14:paraId="588AF8D3" w14:textId="77777777" w:rsidR="005354F0" w:rsidRPr="00032FA5" w:rsidRDefault="005354F0" w:rsidP="005354F0">
            <w:pPr>
              <w:rPr>
                <w:rFonts w:cs="Arial"/>
              </w:rPr>
            </w:pPr>
            <w:r w:rsidRPr="00032FA5">
              <w:rPr>
                <w:rFonts w:cs="Arial"/>
              </w:rPr>
              <w:t>Парестезия</w:t>
            </w:r>
          </w:p>
          <w:p w14:paraId="6678A133" w14:textId="77777777" w:rsidR="005354F0" w:rsidRPr="00032FA5" w:rsidRDefault="005354F0" w:rsidP="005354F0">
            <w:pPr>
              <w:rPr>
                <w:rFonts w:cs="Arial"/>
              </w:rPr>
            </w:pPr>
            <w:r w:rsidRPr="00032FA5">
              <w:rPr>
                <w:rFonts w:cs="Arial"/>
              </w:rPr>
              <w:t>Хипоестезия</w:t>
            </w:r>
          </w:p>
          <w:p w14:paraId="475A0683" w14:textId="3CCD069B" w:rsidR="005354F0" w:rsidRPr="00032FA5" w:rsidRDefault="005354F0" w:rsidP="005354F0">
            <w:pPr>
              <w:rPr>
                <w:rFonts w:cs="Arial"/>
              </w:rPr>
            </w:pPr>
            <w:r w:rsidRPr="00032FA5">
              <w:rPr>
                <w:rFonts w:cs="Arial"/>
              </w:rPr>
              <w:t>Хиперестезия</w:t>
            </w:r>
          </w:p>
        </w:tc>
        <w:tc>
          <w:tcPr>
            <w:tcW w:w="1948" w:type="dxa"/>
          </w:tcPr>
          <w:p w14:paraId="2083436C" w14:textId="77777777" w:rsidR="005354F0" w:rsidRPr="00032FA5" w:rsidRDefault="005354F0" w:rsidP="005354F0">
            <w:pPr>
              <w:rPr>
                <w:rFonts w:cs="Arial"/>
              </w:rPr>
            </w:pPr>
            <w:r w:rsidRPr="00032FA5">
              <w:rPr>
                <w:rFonts w:cs="Arial"/>
              </w:rPr>
              <w:t>Церебрален кръвоизлив*</w:t>
            </w:r>
          </w:p>
          <w:p w14:paraId="66BE5B47" w14:textId="77777777" w:rsidR="005354F0" w:rsidRPr="00032FA5" w:rsidRDefault="005354F0" w:rsidP="005354F0">
            <w:pPr>
              <w:rPr>
                <w:rFonts w:cs="Arial"/>
              </w:rPr>
            </w:pPr>
            <w:r w:rsidRPr="00032FA5">
              <w:rPr>
                <w:rFonts w:cs="Arial"/>
              </w:rPr>
              <w:t>Мозъчносъдов</w:t>
            </w:r>
          </w:p>
          <w:p w14:paraId="63B89A4B" w14:textId="2FC092DA" w:rsidR="005354F0" w:rsidRPr="00032FA5" w:rsidRDefault="005354F0" w:rsidP="005354F0">
            <w:pPr>
              <w:rPr>
                <w:rFonts w:cs="Arial"/>
              </w:rPr>
            </w:pPr>
            <w:r w:rsidRPr="00032FA5">
              <w:rPr>
                <w:rFonts w:cs="Arial"/>
              </w:rPr>
              <w:t>* индицент Преходна исхемична атака</w:t>
            </w:r>
          </w:p>
        </w:tc>
        <w:tc>
          <w:tcPr>
            <w:tcW w:w="1627" w:type="dxa"/>
          </w:tcPr>
          <w:p w14:paraId="3C040CC2" w14:textId="09CE89CB" w:rsidR="005354F0" w:rsidRPr="00032FA5" w:rsidRDefault="005354F0" w:rsidP="005354F0">
            <w:pPr>
              <w:rPr>
                <w:rFonts w:cs="Arial"/>
              </w:rPr>
            </w:pPr>
            <w:r w:rsidRPr="00032FA5">
              <w:rPr>
                <w:rFonts w:cs="Arial"/>
              </w:rPr>
              <w:t>Синдром на задна обратима енцефалопатия*</w:t>
            </w:r>
          </w:p>
        </w:tc>
        <w:tc>
          <w:tcPr>
            <w:tcW w:w="1100" w:type="dxa"/>
          </w:tcPr>
          <w:p w14:paraId="026A3C55" w14:textId="77777777" w:rsidR="005354F0" w:rsidRPr="00032FA5" w:rsidRDefault="005354F0" w:rsidP="005354F0">
            <w:pPr>
              <w:rPr>
                <w:rFonts w:cs="Arial"/>
              </w:rPr>
            </w:pPr>
          </w:p>
        </w:tc>
      </w:tr>
      <w:tr w:rsidR="005354F0" w:rsidRPr="00032FA5" w14:paraId="2BA233FE" w14:textId="77777777" w:rsidTr="005354F0">
        <w:tc>
          <w:tcPr>
            <w:tcW w:w="1523" w:type="dxa"/>
          </w:tcPr>
          <w:p w14:paraId="5017F2F8" w14:textId="5388E6FE" w:rsidR="005354F0" w:rsidRPr="00032FA5" w:rsidRDefault="005354F0" w:rsidP="005354F0">
            <w:pPr>
              <w:rPr>
                <w:rFonts w:cs="Arial"/>
              </w:rPr>
            </w:pPr>
            <w:r w:rsidRPr="00032FA5">
              <w:rPr>
                <w:rFonts w:cs="Arial"/>
                <w:b/>
                <w:bCs/>
              </w:rPr>
              <w:t>Нарушения на очите</w:t>
            </w:r>
          </w:p>
        </w:tc>
        <w:tc>
          <w:tcPr>
            <w:tcW w:w="1544" w:type="dxa"/>
          </w:tcPr>
          <w:p w14:paraId="41D0E3BE" w14:textId="77777777" w:rsidR="005354F0" w:rsidRPr="00032FA5" w:rsidRDefault="005354F0" w:rsidP="005354F0">
            <w:pPr>
              <w:rPr>
                <w:rFonts w:cs="Arial"/>
              </w:rPr>
            </w:pPr>
          </w:p>
        </w:tc>
        <w:tc>
          <w:tcPr>
            <w:tcW w:w="1608" w:type="dxa"/>
          </w:tcPr>
          <w:p w14:paraId="46128B98" w14:textId="77777777" w:rsidR="005354F0" w:rsidRPr="00032FA5" w:rsidRDefault="005354F0" w:rsidP="005354F0">
            <w:pPr>
              <w:rPr>
                <w:rFonts w:cs="Arial"/>
              </w:rPr>
            </w:pPr>
            <w:r w:rsidRPr="00032FA5">
              <w:rPr>
                <w:rFonts w:cs="Arial"/>
              </w:rPr>
              <w:t>Периорбитален оток</w:t>
            </w:r>
          </w:p>
          <w:p w14:paraId="50822095" w14:textId="77777777" w:rsidR="005354F0" w:rsidRPr="00032FA5" w:rsidRDefault="005354F0" w:rsidP="005354F0">
            <w:pPr>
              <w:rPr>
                <w:rFonts w:cs="Arial"/>
              </w:rPr>
            </w:pPr>
            <w:r w:rsidRPr="00032FA5">
              <w:rPr>
                <w:rFonts w:cs="Arial"/>
              </w:rPr>
              <w:t>Едем на клепача</w:t>
            </w:r>
          </w:p>
          <w:p w14:paraId="2B28D038" w14:textId="77777777" w:rsidR="005354F0" w:rsidRPr="00032FA5" w:rsidRDefault="005354F0" w:rsidP="005354F0">
            <w:pPr>
              <w:rPr>
                <w:rFonts w:cs="Arial"/>
              </w:rPr>
            </w:pPr>
            <w:r w:rsidRPr="00032FA5">
              <w:rPr>
                <w:rFonts w:cs="Arial"/>
              </w:rPr>
              <w:t>Повишено</w:t>
            </w:r>
          </w:p>
          <w:p w14:paraId="05BDCD17" w14:textId="57C8B0E2" w:rsidR="005354F0" w:rsidRPr="00032FA5" w:rsidRDefault="005354F0" w:rsidP="005354F0">
            <w:pPr>
              <w:rPr>
                <w:rFonts w:cs="Arial"/>
              </w:rPr>
            </w:pPr>
            <w:r w:rsidRPr="00032FA5">
              <w:rPr>
                <w:rFonts w:cs="Arial"/>
              </w:rPr>
              <w:t>сълзене</w:t>
            </w:r>
          </w:p>
        </w:tc>
        <w:tc>
          <w:tcPr>
            <w:tcW w:w="1948" w:type="dxa"/>
          </w:tcPr>
          <w:p w14:paraId="5D718F65" w14:textId="77777777" w:rsidR="005354F0" w:rsidRPr="00032FA5" w:rsidRDefault="005354F0" w:rsidP="005354F0">
            <w:pPr>
              <w:rPr>
                <w:rFonts w:cs="Arial"/>
              </w:rPr>
            </w:pPr>
          </w:p>
        </w:tc>
        <w:tc>
          <w:tcPr>
            <w:tcW w:w="1627" w:type="dxa"/>
          </w:tcPr>
          <w:p w14:paraId="6896FDB1" w14:textId="77777777" w:rsidR="005354F0" w:rsidRPr="00032FA5" w:rsidRDefault="005354F0" w:rsidP="005354F0">
            <w:pPr>
              <w:rPr>
                <w:rFonts w:cs="Arial"/>
              </w:rPr>
            </w:pPr>
          </w:p>
        </w:tc>
        <w:tc>
          <w:tcPr>
            <w:tcW w:w="1100" w:type="dxa"/>
          </w:tcPr>
          <w:p w14:paraId="038F4DA4" w14:textId="77777777" w:rsidR="005354F0" w:rsidRPr="00032FA5" w:rsidRDefault="005354F0" w:rsidP="005354F0">
            <w:pPr>
              <w:rPr>
                <w:rFonts w:cs="Arial"/>
              </w:rPr>
            </w:pPr>
          </w:p>
        </w:tc>
      </w:tr>
      <w:tr w:rsidR="005354F0" w:rsidRPr="00032FA5" w14:paraId="1027FFF0" w14:textId="77777777" w:rsidTr="005354F0">
        <w:tc>
          <w:tcPr>
            <w:tcW w:w="1523" w:type="dxa"/>
          </w:tcPr>
          <w:p w14:paraId="08B15F95" w14:textId="4936C550" w:rsidR="005354F0" w:rsidRPr="00032FA5" w:rsidRDefault="005354F0" w:rsidP="005354F0">
            <w:pPr>
              <w:rPr>
                <w:rFonts w:cs="Arial"/>
              </w:rPr>
            </w:pPr>
            <w:r w:rsidRPr="00032FA5">
              <w:rPr>
                <w:rFonts w:cs="Arial"/>
                <w:b/>
                <w:bCs/>
              </w:rPr>
              <w:lastRenderedPageBreak/>
              <w:t>Сърдечни нарушения</w:t>
            </w:r>
          </w:p>
        </w:tc>
        <w:tc>
          <w:tcPr>
            <w:tcW w:w="1544" w:type="dxa"/>
            <w:vAlign w:val="bottom"/>
          </w:tcPr>
          <w:p w14:paraId="17AC9579" w14:textId="553C6787" w:rsidR="005354F0" w:rsidRPr="00032FA5" w:rsidRDefault="005354F0" w:rsidP="005354F0">
            <w:pPr>
              <w:rPr>
                <w:rFonts w:cs="Arial"/>
              </w:rPr>
            </w:pPr>
            <w:r w:rsidRPr="00032FA5">
              <w:rPr>
                <w:rFonts w:cs="Arial"/>
              </w:rPr>
              <w:t>..</w:t>
            </w:r>
          </w:p>
        </w:tc>
        <w:tc>
          <w:tcPr>
            <w:tcW w:w="1608" w:type="dxa"/>
          </w:tcPr>
          <w:p w14:paraId="095C7B3D" w14:textId="77777777" w:rsidR="005354F0" w:rsidRPr="00032FA5" w:rsidRDefault="005354F0" w:rsidP="005354F0">
            <w:pPr>
              <w:rPr>
                <w:rFonts w:cs="Arial"/>
              </w:rPr>
            </w:pPr>
            <w:r w:rsidRPr="00032FA5">
              <w:rPr>
                <w:rFonts w:cs="Arial"/>
              </w:rPr>
              <w:t>Миокардна исхемия</w:t>
            </w:r>
            <w:r w:rsidRPr="00032FA5">
              <w:rPr>
                <w:rFonts w:cs="Arial"/>
                <w:vertAlign w:val="superscript"/>
              </w:rPr>
              <w:t>к</w:t>
            </w:r>
            <w:r w:rsidRPr="00032FA5">
              <w:rPr>
                <w:rFonts w:cs="Arial"/>
              </w:rPr>
              <w:t>,*</w:t>
            </w:r>
          </w:p>
          <w:p w14:paraId="3BF09ACB" w14:textId="77777777" w:rsidR="005354F0" w:rsidRPr="00032FA5" w:rsidRDefault="005354F0" w:rsidP="005354F0">
            <w:pPr>
              <w:rPr>
                <w:rFonts w:cs="Arial"/>
              </w:rPr>
            </w:pPr>
            <w:r w:rsidRPr="00032FA5">
              <w:rPr>
                <w:rFonts w:cs="Arial"/>
              </w:rPr>
              <w:t>Понижена фракция</w:t>
            </w:r>
          </w:p>
          <w:p w14:paraId="52EEFB3A" w14:textId="186F2A1A" w:rsidR="005354F0" w:rsidRPr="00032FA5" w:rsidRDefault="005354F0" w:rsidP="005354F0">
            <w:pPr>
              <w:rPr>
                <w:rFonts w:cs="Arial"/>
              </w:rPr>
            </w:pPr>
            <w:r w:rsidRPr="00032FA5">
              <w:rPr>
                <w:rFonts w:cs="Arial"/>
              </w:rPr>
              <w:t>иа изтласкване</w:t>
            </w:r>
            <w:r w:rsidRPr="00032FA5">
              <w:rPr>
                <w:rFonts w:cs="Arial"/>
                <w:vertAlign w:val="superscript"/>
              </w:rPr>
              <w:t>л</w:t>
            </w:r>
          </w:p>
        </w:tc>
        <w:tc>
          <w:tcPr>
            <w:tcW w:w="1948" w:type="dxa"/>
          </w:tcPr>
          <w:p w14:paraId="7BAEDE70" w14:textId="77777777" w:rsidR="005354F0" w:rsidRPr="00032FA5" w:rsidRDefault="005354F0" w:rsidP="005354F0">
            <w:pPr>
              <w:rPr>
                <w:rFonts w:cs="Arial"/>
              </w:rPr>
            </w:pPr>
            <w:r w:rsidRPr="00032FA5">
              <w:rPr>
                <w:rFonts w:cs="Arial"/>
              </w:rPr>
              <w:t>Конгестивна сърдечна недостатъчност</w:t>
            </w:r>
          </w:p>
          <w:p w14:paraId="7E987B53" w14:textId="77777777" w:rsidR="005354F0" w:rsidRPr="00032FA5" w:rsidRDefault="005354F0" w:rsidP="005354F0">
            <w:pPr>
              <w:rPr>
                <w:rFonts w:cs="Arial"/>
              </w:rPr>
            </w:pPr>
            <w:r w:rsidRPr="00032FA5">
              <w:rPr>
                <w:rFonts w:cs="Arial"/>
              </w:rPr>
              <w:t>Миокарден инфаркт</w:t>
            </w:r>
            <w:r w:rsidRPr="00032FA5">
              <w:rPr>
                <w:rFonts w:cs="Arial"/>
                <w:vertAlign w:val="superscript"/>
              </w:rPr>
              <w:t>м</w:t>
            </w:r>
            <w:r w:rsidRPr="00032FA5">
              <w:rPr>
                <w:rFonts w:cs="Arial"/>
              </w:rPr>
              <w:t>’*</w:t>
            </w:r>
          </w:p>
          <w:p w14:paraId="3AC01D1C" w14:textId="77777777" w:rsidR="005354F0" w:rsidRPr="00032FA5" w:rsidRDefault="005354F0" w:rsidP="005354F0">
            <w:pPr>
              <w:rPr>
                <w:rFonts w:cs="Arial"/>
              </w:rPr>
            </w:pPr>
            <w:r w:rsidRPr="00032FA5">
              <w:rPr>
                <w:rFonts w:cs="Arial"/>
              </w:rPr>
              <w:t>Сърдечна недостатъчност*</w:t>
            </w:r>
          </w:p>
          <w:p w14:paraId="77297BAF" w14:textId="77777777" w:rsidR="005354F0" w:rsidRPr="00032FA5" w:rsidRDefault="005354F0" w:rsidP="005354F0">
            <w:pPr>
              <w:rPr>
                <w:rFonts w:cs="Arial"/>
              </w:rPr>
            </w:pPr>
            <w:r w:rsidRPr="00032FA5">
              <w:rPr>
                <w:rFonts w:cs="Arial"/>
              </w:rPr>
              <w:t>Кардиомиопатия *</w:t>
            </w:r>
          </w:p>
          <w:p w14:paraId="0D7AD17A" w14:textId="77777777" w:rsidR="005354F0" w:rsidRPr="00032FA5" w:rsidRDefault="005354F0" w:rsidP="005354F0">
            <w:pPr>
              <w:rPr>
                <w:rFonts w:cs="Arial"/>
              </w:rPr>
            </w:pPr>
            <w:r w:rsidRPr="00032FA5">
              <w:rPr>
                <w:rFonts w:cs="Arial"/>
              </w:rPr>
              <w:t>Перикарден излив</w:t>
            </w:r>
          </w:p>
          <w:p w14:paraId="3528C9B8" w14:textId="3BC2F430" w:rsidR="005354F0" w:rsidRPr="00032FA5" w:rsidRDefault="005354F0" w:rsidP="005354F0">
            <w:pPr>
              <w:rPr>
                <w:rFonts w:cs="Arial"/>
              </w:rPr>
            </w:pPr>
            <w:r w:rsidRPr="00032FA5">
              <w:rPr>
                <w:rFonts w:cs="Arial"/>
              </w:rPr>
              <w:t xml:space="preserve">Удължен </w:t>
            </w:r>
            <w:r w:rsidRPr="00032FA5">
              <w:rPr>
                <w:rFonts w:cs="Arial"/>
                <w:lang w:val="en-US"/>
              </w:rPr>
              <w:t xml:space="preserve">QT </w:t>
            </w:r>
            <w:r w:rsidRPr="00032FA5">
              <w:rPr>
                <w:rFonts w:cs="Arial"/>
              </w:rPr>
              <w:t>интервал</w:t>
            </w:r>
          </w:p>
        </w:tc>
        <w:tc>
          <w:tcPr>
            <w:tcW w:w="1627" w:type="dxa"/>
          </w:tcPr>
          <w:p w14:paraId="411E9820" w14:textId="77777777" w:rsidR="005354F0" w:rsidRPr="00032FA5" w:rsidRDefault="005354F0" w:rsidP="005354F0">
            <w:pPr>
              <w:rPr>
                <w:rFonts w:cs="Arial"/>
              </w:rPr>
            </w:pPr>
            <w:r w:rsidRPr="00032FA5">
              <w:rPr>
                <w:rFonts w:cs="Arial"/>
              </w:rPr>
              <w:t>Левокамерна сърдечна недостатъчност*</w:t>
            </w:r>
          </w:p>
          <w:p w14:paraId="78CF7607" w14:textId="4DBED06D" w:rsidR="005354F0" w:rsidRPr="00032FA5" w:rsidRDefault="005354F0" w:rsidP="005354F0">
            <w:pPr>
              <w:rPr>
                <w:rFonts w:cs="Arial"/>
              </w:rPr>
            </w:pPr>
            <w:r w:rsidRPr="00032FA5">
              <w:rPr>
                <w:rFonts w:cs="Arial"/>
                <w:lang w:val="en-US"/>
              </w:rPr>
              <w:t>Torsade de pointes</w:t>
            </w:r>
          </w:p>
        </w:tc>
        <w:tc>
          <w:tcPr>
            <w:tcW w:w="1100" w:type="dxa"/>
          </w:tcPr>
          <w:p w14:paraId="49EFD0BF" w14:textId="77777777" w:rsidR="005354F0" w:rsidRPr="00032FA5" w:rsidRDefault="005354F0" w:rsidP="005354F0">
            <w:pPr>
              <w:rPr>
                <w:rFonts w:cs="Arial"/>
              </w:rPr>
            </w:pPr>
          </w:p>
        </w:tc>
      </w:tr>
      <w:tr w:rsidR="005354F0" w:rsidRPr="00032FA5" w14:paraId="137FD271" w14:textId="77777777" w:rsidTr="005354F0">
        <w:tc>
          <w:tcPr>
            <w:tcW w:w="1523" w:type="dxa"/>
          </w:tcPr>
          <w:p w14:paraId="699257C7" w14:textId="2C4EC668" w:rsidR="005354F0" w:rsidRPr="00032FA5" w:rsidRDefault="005354F0" w:rsidP="005354F0">
            <w:pPr>
              <w:rPr>
                <w:rFonts w:cs="Arial"/>
              </w:rPr>
            </w:pPr>
            <w:r w:rsidRPr="00032FA5">
              <w:rPr>
                <w:rFonts w:cs="Arial"/>
                <w:b/>
                <w:bCs/>
              </w:rPr>
              <w:t>Съдови нарушения</w:t>
            </w:r>
          </w:p>
        </w:tc>
        <w:tc>
          <w:tcPr>
            <w:tcW w:w="1544" w:type="dxa"/>
          </w:tcPr>
          <w:p w14:paraId="2E3E52F9" w14:textId="651E5155" w:rsidR="005354F0" w:rsidRPr="00032FA5" w:rsidRDefault="005354F0" w:rsidP="005354F0">
            <w:pPr>
              <w:rPr>
                <w:rFonts w:cs="Arial"/>
              </w:rPr>
            </w:pPr>
            <w:r w:rsidRPr="00032FA5">
              <w:rPr>
                <w:rFonts w:cs="Arial"/>
              </w:rPr>
              <w:t>Хипертония</w:t>
            </w:r>
          </w:p>
        </w:tc>
        <w:tc>
          <w:tcPr>
            <w:tcW w:w="1608" w:type="dxa"/>
          </w:tcPr>
          <w:p w14:paraId="2801E097" w14:textId="572303A4" w:rsidR="005354F0" w:rsidRPr="00032FA5" w:rsidRDefault="005354F0" w:rsidP="005354F0">
            <w:pPr>
              <w:rPr>
                <w:rFonts w:cs="Arial"/>
              </w:rPr>
            </w:pPr>
            <w:r w:rsidRPr="00032FA5">
              <w:rPr>
                <w:rFonts w:cs="Arial"/>
              </w:rPr>
              <w:t>Дълбока венозна тромбоза Горещи вълни Зачервяване</w:t>
            </w:r>
          </w:p>
        </w:tc>
        <w:tc>
          <w:tcPr>
            <w:tcW w:w="1948" w:type="dxa"/>
          </w:tcPr>
          <w:p w14:paraId="6B11DB4B" w14:textId="754F9BA4" w:rsidR="005354F0" w:rsidRPr="00032FA5" w:rsidRDefault="005354F0" w:rsidP="005354F0">
            <w:pPr>
              <w:rPr>
                <w:rFonts w:cs="Arial"/>
              </w:rPr>
            </w:pPr>
            <w:r w:rsidRPr="00032FA5">
              <w:rPr>
                <w:rFonts w:cs="Arial"/>
              </w:rPr>
              <w:t>Кръвоизлив на тумора*</w:t>
            </w:r>
          </w:p>
        </w:tc>
        <w:tc>
          <w:tcPr>
            <w:tcW w:w="1627" w:type="dxa"/>
          </w:tcPr>
          <w:p w14:paraId="2716AF4E" w14:textId="77777777" w:rsidR="005354F0" w:rsidRPr="00032FA5" w:rsidRDefault="005354F0" w:rsidP="005354F0">
            <w:pPr>
              <w:rPr>
                <w:rFonts w:cs="Arial"/>
              </w:rPr>
            </w:pPr>
          </w:p>
        </w:tc>
        <w:tc>
          <w:tcPr>
            <w:tcW w:w="1100" w:type="dxa"/>
          </w:tcPr>
          <w:p w14:paraId="2C4FFBE9" w14:textId="0A12E675" w:rsidR="005354F0" w:rsidRPr="00032FA5" w:rsidRDefault="005354F0" w:rsidP="005354F0">
            <w:pPr>
              <w:rPr>
                <w:rFonts w:cs="Arial"/>
              </w:rPr>
            </w:pPr>
            <w:r w:rsidRPr="00032FA5">
              <w:rPr>
                <w:rFonts w:cs="Arial"/>
              </w:rPr>
              <w:t>Аневризми и артериални дисекации*</w:t>
            </w:r>
          </w:p>
        </w:tc>
      </w:tr>
      <w:tr w:rsidR="005354F0" w:rsidRPr="00032FA5" w14:paraId="181E5B46" w14:textId="77777777" w:rsidTr="005354F0">
        <w:tc>
          <w:tcPr>
            <w:tcW w:w="1523" w:type="dxa"/>
          </w:tcPr>
          <w:p w14:paraId="29B906C1" w14:textId="121FBDFF" w:rsidR="005354F0" w:rsidRPr="00032FA5" w:rsidRDefault="005354F0" w:rsidP="005354F0">
            <w:pPr>
              <w:rPr>
                <w:rFonts w:cs="Arial"/>
              </w:rPr>
            </w:pPr>
            <w:r w:rsidRPr="00032FA5">
              <w:rPr>
                <w:rFonts w:cs="Arial"/>
                <w:b/>
                <w:bCs/>
              </w:rPr>
              <w:t>Респираторни, гръдни и мед настинал ни нарушения</w:t>
            </w:r>
          </w:p>
        </w:tc>
        <w:tc>
          <w:tcPr>
            <w:tcW w:w="1544" w:type="dxa"/>
          </w:tcPr>
          <w:p w14:paraId="66C8888C" w14:textId="77777777" w:rsidR="005354F0" w:rsidRPr="00032FA5" w:rsidRDefault="005354F0" w:rsidP="005354F0">
            <w:pPr>
              <w:rPr>
                <w:rFonts w:cs="Arial"/>
              </w:rPr>
            </w:pPr>
            <w:r w:rsidRPr="00032FA5">
              <w:rPr>
                <w:rFonts w:cs="Arial"/>
              </w:rPr>
              <w:t>Диспнея</w:t>
            </w:r>
          </w:p>
          <w:p w14:paraId="362B4371" w14:textId="77777777" w:rsidR="005354F0" w:rsidRPr="00032FA5" w:rsidRDefault="005354F0" w:rsidP="005354F0">
            <w:pPr>
              <w:rPr>
                <w:rFonts w:cs="Arial"/>
              </w:rPr>
            </w:pPr>
            <w:r w:rsidRPr="00032FA5">
              <w:rPr>
                <w:rFonts w:cs="Arial"/>
              </w:rPr>
              <w:t>Епистаксис</w:t>
            </w:r>
          </w:p>
          <w:p w14:paraId="3A44DB74" w14:textId="34C72510" w:rsidR="005354F0" w:rsidRPr="00032FA5" w:rsidRDefault="005354F0" w:rsidP="005354F0">
            <w:pPr>
              <w:rPr>
                <w:rFonts w:cs="Arial"/>
              </w:rPr>
            </w:pPr>
            <w:r w:rsidRPr="00032FA5">
              <w:rPr>
                <w:rFonts w:cs="Arial"/>
              </w:rPr>
              <w:t>Кашлица</w:t>
            </w:r>
          </w:p>
        </w:tc>
        <w:tc>
          <w:tcPr>
            <w:tcW w:w="1608" w:type="dxa"/>
          </w:tcPr>
          <w:p w14:paraId="56E59693" w14:textId="77777777" w:rsidR="005354F0" w:rsidRPr="00032FA5" w:rsidRDefault="005354F0" w:rsidP="005354F0">
            <w:pPr>
              <w:rPr>
                <w:rFonts w:cs="Arial"/>
              </w:rPr>
            </w:pPr>
            <w:r w:rsidRPr="00032FA5">
              <w:rPr>
                <w:rFonts w:cs="Arial"/>
              </w:rPr>
              <w:t>Белодробен емболизъм*</w:t>
            </w:r>
          </w:p>
          <w:p w14:paraId="40CE7558" w14:textId="77777777" w:rsidR="005354F0" w:rsidRPr="00032FA5" w:rsidRDefault="005354F0" w:rsidP="005354F0">
            <w:pPr>
              <w:rPr>
                <w:rFonts w:cs="Arial"/>
              </w:rPr>
            </w:pPr>
            <w:r w:rsidRPr="00032FA5">
              <w:rPr>
                <w:rFonts w:cs="Arial"/>
              </w:rPr>
              <w:t>Плеврален излив*</w:t>
            </w:r>
          </w:p>
          <w:p w14:paraId="4B78990B" w14:textId="77777777" w:rsidR="005354F0" w:rsidRPr="00032FA5" w:rsidRDefault="005354F0" w:rsidP="005354F0">
            <w:pPr>
              <w:rPr>
                <w:rFonts w:cs="Arial"/>
              </w:rPr>
            </w:pPr>
            <w:r w:rsidRPr="00032FA5">
              <w:rPr>
                <w:rFonts w:cs="Arial"/>
              </w:rPr>
              <w:t>Хемоптиза</w:t>
            </w:r>
          </w:p>
          <w:p w14:paraId="6C94204C" w14:textId="77777777" w:rsidR="005354F0" w:rsidRPr="00032FA5" w:rsidRDefault="005354F0" w:rsidP="005354F0">
            <w:pPr>
              <w:rPr>
                <w:rFonts w:cs="Arial"/>
              </w:rPr>
            </w:pPr>
            <w:r w:rsidRPr="00032FA5">
              <w:rPr>
                <w:rFonts w:cs="Arial"/>
              </w:rPr>
              <w:t>Диспнея при усилие</w:t>
            </w:r>
          </w:p>
          <w:p w14:paraId="09A7F3A1" w14:textId="77777777" w:rsidR="005354F0" w:rsidRPr="00032FA5" w:rsidRDefault="005354F0" w:rsidP="005354F0">
            <w:pPr>
              <w:rPr>
                <w:rFonts w:cs="Arial"/>
              </w:rPr>
            </w:pPr>
            <w:r w:rsidRPr="00032FA5">
              <w:rPr>
                <w:rFonts w:cs="Arial"/>
              </w:rPr>
              <w:t>Орофарингеална болка</w:t>
            </w:r>
            <w:r w:rsidRPr="00032FA5">
              <w:rPr>
                <w:rFonts w:cs="Arial"/>
                <w:vertAlign w:val="superscript"/>
              </w:rPr>
              <w:t>н</w:t>
            </w:r>
          </w:p>
          <w:p w14:paraId="0B3A303F" w14:textId="77777777" w:rsidR="005354F0" w:rsidRPr="00032FA5" w:rsidRDefault="005354F0" w:rsidP="005354F0">
            <w:pPr>
              <w:rPr>
                <w:rFonts w:cs="Arial"/>
              </w:rPr>
            </w:pPr>
            <w:r w:rsidRPr="00032FA5">
              <w:rPr>
                <w:rFonts w:cs="Arial"/>
              </w:rPr>
              <w:t>Назална конгестия</w:t>
            </w:r>
          </w:p>
          <w:p w14:paraId="7EA3B399" w14:textId="5259A2AC" w:rsidR="005354F0" w:rsidRPr="00032FA5" w:rsidRDefault="005354F0" w:rsidP="005354F0">
            <w:pPr>
              <w:rPr>
                <w:rFonts w:cs="Arial"/>
              </w:rPr>
            </w:pPr>
            <w:r w:rsidRPr="00032FA5">
              <w:rPr>
                <w:rFonts w:cs="Arial"/>
              </w:rPr>
              <w:t>Сухота в носа</w:t>
            </w:r>
          </w:p>
        </w:tc>
        <w:tc>
          <w:tcPr>
            <w:tcW w:w="1948" w:type="dxa"/>
          </w:tcPr>
          <w:p w14:paraId="53C28CC1" w14:textId="77777777" w:rsidR="005354F0" w:rsidRPr="00032FA5" w:rsidRDefault="005354F0" w:rsidP="005354F0">
            <w:pPr>
              <w:rPr>
                <w:rFonts w:cs="Arial"/>
              </w:rPr>
            </w:pPr>
            <w:r w:rsidRPr="00032FA5">
              <w:rPr>
                <w:rFonts w:cs="Arial"/>
              </w:rPr>
              <w:t>Белодробен кръвоизлив*</w:t>
            </w:r>
          </w:p>
          <w:p w14:paraId="692DF934" w14:textId="699EB402" w:rsidR="005354F0" w:rsidRPr="00032FA5" w:rsidRDefault="005354F0" w:rsidP="005354F0">
            <w:pPr>
              <w:rPr>
                <w:rFonts w:cs="Arial"/>
              </w:rPr>
            </w:pPr>
            <w:r w:rsidRPr="00032FA5">
              <w:rPr>
                <w:rFonts w:cs="Arial"/>
              </w:rPr>
              <w:t>Респираторна недостатъчност*</w:t>
            </w:r>
          </w:p>
        </w:tc>
        <w:tc>
          <w:tcPr>
            <w:tcW w:w="1627" w:type="dxa"/>
            <w:textDirection w:val="tbRl"/>
          </w:tcPr>
          <w:p w14:paraId="23BE2D37" w14:textId="77777777" w:rsidR="005354F0" w:rsidRPr="00032FA5" w:rsidRDefault="005354F0" w:rsidP="005354F0">
            <w:pPr>
              <w:rPr>
                <w:rFonts w:cs="Arial"/>
              </w:rPr>
            </w:pPr>
          </w:p>
        </w:tc>
        <w:tc>
          <w:tcPr>
            <w:tcW w:w="1100" w:type="dxa"/>
            <w:vAlign w:val="bottom"/>
          </w:tcPr>
          <w:p w14:paraId="51D94AFB" w14:textId="77777777" w:rsidR="005354F0" w:rsidRPr="00032FA5" w:rsidRDefault="005354F0" w:rsidP="005354F0">
            <w:pPr>
              <w:rPr>
                <w:rFonts w:cs="Arial"/>
              </w:rPr>
            </w:pPr>
          </w:p>
        </w:tc>
      </w:tr>
      <w:tr w:rsidR="005354F0" w:rsidRPr="00032FA5" w14:paraId="76BCA434" w14:textId="77777777" w:rsidTr="005354F0">
        <w:tc>
          <w:tcPr>
            <w:tcW w:w="1523" w:type="dxa"/>
          </w:tcPr>
          <w:p w14:paraId="5FA048F8" w14:textId="0DC12519" w:rsidR="005354F0" w:rsidRPr="00032FA5" w:rsidRDefault="005354F0" w:rsidP="005354F0">
            <w:pPr>
              <w:rPr>
                <w:rFonts w:cs="Arial"/>
              </w:rPr>
            </w:pPr>
            <w:r w:rsidRPr="00032FA5">
              <w:rPr>
                <w:rFonts w:cs="Arial"/>
                <w:b/>
                <w:bCs/>
              </w:rPr>
              <w:t>Стомашно- чревни нарушения</w:t>
            </w:r>
          </w:p>
        </w:tc>
        <w:tc>
          <w:tcPr>
            <w:tcW w:w="1544" w:type="dxa"/>
          </w:tcPr>
          <w:p w14:paraId="45B8E8E1" w14:textId="77777777" w:rsidR="005354F0" w:rsidRPr="00032FA5" w:rsidRDefault="005354F0" w:rsidP="005354F0">
            <w:pPr>
              <w:rPr>
                <w:rFonts w:cs="Arial"/>
              </w:rPr>
            </w:pPr>
            <w:r w:rsidRPr="00032FA5">
              <w:rPr>
                <w:rFonts w:cs="Arial"/>
              </w:rPr>
              <w:t>Стоматит</w:t>
            </w:r>
            <w:r w:rsidRPr="00032FA5">
              <w:rPr>
                <w:rFonts w:cs="Arial"/>
                <w:vertAlign w:val="superscript"/>
                <w:lang w:val="en-US"/>
              </w:rPr>
              <w:t>o</w:t>
            </w:r>
            <w:r w:rsidRPr="00032FA5">
              <w:rPr>
                <w:rFonts w:cs="Arial"/>
                <w:vertAlign w:val="superscript"/>
              </w:rPr>
              <w:t xml:space="preserve"> </w:t>
            </w:r>
            <w:r w:rsidRPr="00032FA5">
              <w:rPr>
                <w:rFonts w:cs="Arial"/>
              </w:rPr>
              <w:t>Абдоминална болка</w:t>
            </w:r>
            <w:r w:rsidRPr="00032FA5">
              <w:rPr>
                <w:rFonts w:cs="Arial"/>
                <w:vertAlign w:val="superscript"/>
                <w:lang w:val="en-US"/>
              </w:rPr>
              <w:t>n</w:t>
            </w:r>
          </w:p>
          <w:p w14:paraId="61CACD70" w14:textId="77777777" w:rsidR="005354F0" w:rsidRPr="00032FA5" w:rsidRDefault="005354F0" w:rsidP="005354F0">
            <w:pPr>
              <w:rPr>
                <w:rFonts w:cs="Arial"/>
              </w:rPr>
            </w:pPr>
            <w:r w:rsidRPr="00032FA5">
              <w:rPr>
                <w:rFonts w:cs="Arial"/>
              </w:rPr>
              <w:t xml:space="preserve">Повръщане </w:t>
            </w:r>
            <w:r w:rsidRPr="00032FA5">
              <w:rPr>
                <w:rFonts w:cs="Arial"/>
                <w:i/>
                <w:iCs/>
              </w:rPr>
              <w:t xml:space="preserve">Диария </w:t>
            </w:r>
            <w:r w:rsidRPr="00032FA5">
              <w:rPr>
                <w:rFonts w:cs="Arial"/>
              </w:rPr>
              <w:t>Диспепсия</w:t>
            </w:r>
          </w:p>
          <w:p w14:paraId="3C382964" w14:textId="77777777" w:rsidR="005354F0" w:rsidRPr="00032FA5" w:rsidRDefault="005354F0" w:rsidP="005354F0">
            <w:pPr>
              <w:rPr>
                <w:rFonts w:cs="Arial"/>
              </w:rPr>
            </w:pPr>
            <w:r w:rsidRPr="00032FA5">
              <w:rPr>
                <w:rFonts w:cs="Arial"/>
              </w:rPr>
              <w:t>Гадене</w:t>
            </w:r>
          </w:p>
          <w:p w14:paraId="231C494F" w14:textId="5198A3CA" w:rsidR="005354F0" w:rsidRPr="00032FA5" w:rsidRDefault="005354F0" w:rsidP="005354F0">
            <w:pPr>
              <w:rPr>
                <w:rFonts w:cs="Arial"/>
              </w:rPr>
            </w:pPr>
            <w:r w:rsidRPr="00032FA5">
              <w:rPr>
                <w:rFonts w:cs="Arial"/>
              </w:rPr>
              <w:t>Констипапия</w:t>
            </w:r>
          </w:p>
        </w:tc>
        <w:tc>
          <w:tcPr>
            <w:tcW w:w="1608" w:type="dxa"/>
          </w:tcPr>
          <w:p w14:paraId="67D05AA4" w14:textId="77777777" w:rsidR="005354F0" w:rsidRPr="00032FA5" w:rsidRDefault="005354F0" w:rsidP="005354F0">
            <w:pPr>
              <w:rPr>
                <w:rFonts w:cs="Arial"/>
              </w:rPr>
            </w:pPr>
            <w:r w:rsidRPr="00032FA5">
              <w:rPr>
                <w:rFonts w:cs="Arial"/>
              </w:rPr>
              <w:t>Г астро-езофагеална рефлуксна болест</w:t>
            </w:r>
          </w:p>
          <w:p w14:paraId="3F3232C0" w14:textId="77777777" w:rsidR="005354F0" w:rsidRPr="00032FA5" w:rsidRDefault="005354F0" w:rsidP="005354F0">
            <w:pPr>
              <w:rPr>
                <w:rFonts w:cs="Arial"/>
              </w:rPr>
            </w:pPr>
            <w:r w:rsidRPr="00032FA5">
              <w:rPr>
                <w:rFonts w:cs="Arial"/>
              </w:rPr>
              <w:t>Дисфагия</w:t>
            </w:r>
          </w:p>
          <w:p w14:paraId="03D1BC2E" w14:textId="77777777" w:rsidR="005354F0" w:rsidRPr="00032FA5" w:rsidRDefault="005354F0" w:rsidP="005354F0">
            <w:pPr>
              <w:rPr>
                <w:rFonts w:cs="Arial"/>
              </w:rPr>
            </w:pPr>
            <w:r w:rsidRPr="00032FA5">
              <w:rPr>
                <w:rFonts w:cs="Arial"/>
              </w:rPr>
              <w:t>Стомашно-чревен * кръвоизлив</w:t>
            </w:r>
          </w:p>
          <w:p w14:paraId="202CEEAE" w14:textId="77777777" w:rsidR="005354F0" w:rsidRPr="00032FA5" w:rsidRDefault="005354F0" w:rsidP="005354F0">
            <w:pPr>
              <w:rPr>
                <w:rFonts w:cs="Arial"/>
              </w:rPr>
            </w:pPr>
            <w:r w:rsidRPr="00032FA5">
              <w:rPr>
                <w:rFonts w:cs="Arial"/>
              </w:rPr>
              <w:t>Езофагит*</w:t>
            </w:r>
          </w:p>
          <w:p w14:paraId="76CD4500" w14:textId="77777777" w:rsidR="005354F0" w:rsidRPr="00032FA5" w:rsidRDefault="005354F0" w:rsidP="005354F0">
            <w:pPr>
              <w:rPr>
                <w:rFonts w:cs="Arial"/>
              </w:rPr>
            </w:pPr>
            <w:r w:rsidRPr="00032FA5">
              <w:rPr>
                <w:rFonts w:cs="Arial"/>
              </w:rPr>
              <w:t>Раздуване на корема</w:t>
            </w:r>
          </w:p>
          <w:p w14:paraId="3BDD0F41" w14:textId="77777777" w:rsidR="005354F0" w:rsidRPr="00032FA5" w:rsidRDefault="005354F0" w:rsidP="005354F0">
            <w:pPr>
              <w:rPr>
                <w:rFonts w:cs="Arial"/>
              </w:rPr>
            </w:pPr>
            <w:r w:rsidRPr="00032FA5">
              <w:rPr>
                <w:rFonts w:cs="Arial"/>
              </w:rPr>
              <w:t>Абдоминален дискомфорт</w:t>
            </w:r>
          </w:p>
          <w:p w14:paraId="2A9F0D00" w14:textId="77777777" w:rsidR="005354F0" w:rsidRPr="00032FA5" w:rsidRDefault="005354F0" w:rsidP="005354F0">
            <w:pPr>
              <w:rPr>
                <w:rFonts w:cs="Arial"/>
              </w:rPr>
            </w:pPr>
            <w:r w:rsidRPr="00032FA5">
              <w:rPr>
                <w:rFonts w:cs="Arial"/>
              </w:rPr>
              <w:lastRenderedPageBreak/>
              <w:t>Ректален кръвоизлив</w:t>
            </w:r>
          </w:p>
          <w:p w14:paraId="32C2916B" w14:textId="77777777" w:rsidR="005354F0" w:rsidRPr="00032FA5" w:rsidRDefault="005354F0" w:rsidP="005354F0">
            <w:pPr>
              <w:rPr>
                <w:rFonts w:cs="Arial"/>
              </w:rPr>
            </w:pPr>
            <w:r w:rsidRPr="00032FA5">
              <w:rPr>
                <w:rFonts w:cs="Arial"/>
              </w:rPr>
              <w:t>Кървене от венците</w:t>
            </w:r>
          </w:p>
          <w:p w14:paraId="6D51763B" w14:textId="77777777" w:rsidR="005354F0" w:rsidRPr="00032FA5" w:rsidRDefault="005354F0" w:rsidP="005354F0">
            <w:pPr>
              <w:rPr>
                <w:rFonts w:cs="Arial"/>
              </w:rPr>
            </w:pPr>
            <w:r w:rsidRPr="00032FA5">
              <w:rPr>
                <w:rFonts w:cs="Arial"/>
              </w:rPr>
              <w:t>Улцерации в устата</w:t>
            </w:r>
          </w:p>
          <w:p w14:paraId="6931B6C2" w14:textId="77777777" w:rsidR="005354F0" w:rsidRPr="00032FA5" w:rsidRDefault="005354F0" w:rsidP="005354F0">
            <w:pPr>
              <w:rPr>
                <w:rFonts w:cs="Arial"/>
              </w:rPr>
            </w:pPr>
            <w:r w:rsidRPr="00032FA5">
              <w:rPr>
                <w:rFonts w:cs="Arial"/>
              </w:rPr>
              <w:t>Прокталгия</w:t>
            </w:r>
          </w:p>
          <w:p w14:paraId="333D1E19" w14:textId="77777777" w:rsidR="005354F0" w:rsidRPr="00032FA5" w:rsidRDefault="005354F0" w:rsidP="005354F0">
            <w:pPr>
              <w:rPr>
                <w:rFonts w:cs="Arial"/>
              </w:rPr>
            </w:pPr>
            <w:r w:rsidRPr="00032FA5">
              <w:rPr>
                <w:rFonts w:cs="Arial"/>
              </w:rPr>
              <w:t>ХеЙлит</w:t>
            </w:r>
          </w:p>
          <w:p w14:paraId="4AB874F5" w14:textId="77777777" w:rsidR="005354F0" w:rsidRPr="00032FA5" w:rsidRDefault="005354F0" w:rsidP="005354F0">
            <w:pPr>
              <w:rPr>
                <w:rFonts w:cs="Arial"/>
              </w:rPr>
            </w:pPr>
            <w:r w:rsidRPr="00032FA5">
              <w:rPr>
                <w:rFonts w:cs="Arial"/>
              </w:rPr>
              <w:t>Хемороиди</w:t>
            </w:r>
          </w:p>
          <w:p w14:paraId="216BA69C" w14:textId="77777777" w:rsidR="005354F0" w:rsidRPr="00032FA5" w:rsidRDefault="005354F0" w:rsidP="005354F0">
            <w:pPr>
              <w:rPr>
                <w:rFonts w:cs="Arial"/>
              </w:rPr>
            </w:pPr>
            <w:r w:rsidRPr="00032FA5">
              <w:rPr>
                <w:rFonts w:cs="Arial"/>
              </w:rPr>
              <w:t>Глосодиния</w:t>
            </w:r>
          </w:p>
          <w:p w14:paraId="39E36CB7" w14:textId="77777777" w:rsidR="005354F0" w:rsidRPr="00032FA5" w:rsidRDefault="005354F0" w:rsidP="005354F0">
            <w:pPr>
              <w:rPr>
                <w:rFonts w:cs="Arial"/>
              </w:rPr>
            </w:pPr>
            <w:r w:rsidRPr="00032FA5">
              <w:rPr>
                <w:rFonts w:cs="Arial"/>
              </w:rPr>
              <w:t>Болка в устата</w:t>
            </w:r>
          </w:p>
          <w:p w14:paraId="64CE6B3D" w14:textId="77777777" w:rsidR="005354F0" w:rsidRPr="00032FA5" w:rsidRDefault="005354F0" w:rsidP="005354F0">
            <w:pPr>
              <w:rPr>
                <w:rFonts w:cs="Arial"/>
              </w:rPr>
            </w:pPr>
            <w:r w:rsidRPr="00032FA5">
              <w:rPr>
                <w:rFonts w:cs="Arial"/>
              </w:rPr>
              <w:t>Сухота в устата</w:t>
            </w:r>
          </w:p>
          <w:p w14:paraId="5DF4FD4B" w14:textId="77777777" w:rsidR="005354F0" w:rsidRPr="00032FA5" w:rsidRDefault="005354F0" w:rsidP="005354F0">
            <w:pPr>
              <w:rPr>
                <w:rFonts w:cs="Arial"/>
              </w:rPr>
            </w:pPr>
            <w:r w:rsidRPr="00032FA5">
              <w:rPr>
                <w:rFonts w:cs="Arial"/>
              </w:rPr>
              <w:t>Метеоризъм</w:t>
            </w:r>
          </w:p>
          <w:p w14:paraId="1AA602EF" w14:textId="77777777" w:rsidR="005354F0" w:rsidRPr="00032FA5" w:rsidRDefault="005354F0" w:rsidP="005354F0">
            <w:pPr>
              <w:rPr>
                <w:rFonts w:cs="Arial"/>
              </w:rPr>
            </w:pPr>
            <w:r w:rsidRPr="00032FA5">
              <w:rPr>
                <w:rFonts w:cs="Arial"/>
              </w:rPr>
              <w:t>Дискомфорт в устата</w:t>
            </w:r>
          </w:p>
          <w:p w14:paraId="0F350ECE" w14:textId="6DCB58BF" w:rsidR="005354F0" w:rsidRPr="00032FA5" w:rsidRDefault="005354F0" w:rsidP="005354F0">
            <w:pPr>
              <w:rPr>
                <w:rFonts w:cs="Arial"/>
              </w:rPr>
            </w:pPr>
            <w:r w:rsidRPr="00032FA5">
              <w:rPr>
                <w:rFonts w:cs="Arial"/>
              </w:rPr>
              <w:t>Оригване</w:t>
            </w:r>
          </w:p>
        </w:tc>
        <w:tc>
          <w:tcPr>
            <w:tcW w:w="1948" w:type="dxa"/>
          </w:tcPr>
          <w:p w14:paraId="2D1893FE" w14:textId="77777777" w:rsidR="005354F0" w:rsidRPr="00032FA5" w:rsidRDefault="005354F0" w:rsidP="005354F0">
            <w:pPr>
              <w:rPr>
                <w:rFonts w:cs="Arial"/>
              </w:rPr>
            </w:pPr>
            <w:r w:rsidRPr="00032FA5">
              <w:rPr>
                <w:rFonts w:cs="Arial"/>
              </w:rPr>
              <w:lastRenderedPageBreak/>
              <w:t>Стомашно-чревна перфорация</w:t>
            </w:r>
            <w:r w:rsidRPr="00032FA5">
              <w:rPr>
                <w:rFonts w:cs="Arial"/>
                <w:vertAlign w:val="superscript"/>
                <w:lang w:val="en-US"/>
              </w:rPr>
              <w:t>p</w:t>
            </w:r>
            <w:r w:rsidRPr="00032FA5">
              <w:rPr>
                <w:rFonts w:cs="Arial"/>
                <w:lang w:val="en-US"/>
              </w:rPr>
              <w:t>,</w:t>
            </w:r>
            <w:r w:rsidRPr="00032FA5">
              <w:rPr>
                <w:rFonts w:cs="Arial"/>
              </w:rPr>
              <w:t xml:space="preserve"> *</w:t>
            </w:r>
          </w:p>
          <w:p w14:paraId="22F253D0" w14:textId="77777777" w:rsidR="005354F0" w:rsidRPr="00032FA5" w:rsidRDefault="005354F0" w:rsidP="005354F0">
            <w:pPr>
              <w:rPr>
                <w:rFonts w:cs="Arial"/>
              </w:rPr>
            </w:pPr>
            <w:r w:rsidRPr="00032FA5">
              <w:rPr>
                <w:rFonts w:cs="Arial"/>
              </w:rPr>
              <w:t>Панкреатит</w:t>
            </w:r>
          </w:p>
          <w:p w14:paraId="4586128D" w14:textId="77777777" w:rsidR="005354F0" w:rsidRPr="00032FA5" w:rsidRDefault="005354F0" w:rsidP="005354F0">
            <w:pPr>
              <w:rPr>
                <w:rFonts w:cs="Arial"/>
              </w:rPr>
            </w:pPr>
            <w:r w:rsidRPr="00032FA5">
              <w:rPr>
                <w:rFonts w:cs="Arial"/>
              </w:rPr>
              <w:t>Анална фистула,</w:t>
            </w:r>
          </w:p>
          <w:p w14:paraId="0185A3AC" w14:textId="438289B5" w:rsidR="005354F0" w:rsidRPr="00032FA5" w:rsidRDefault="005354F0" w:rsidP="005354F0">
            <w:pPr>
              <w:rPr>
                <w:rFonts w:cs="Arial"/>
              </w:rPr>
            </w:pPr>
            <w:r w:rsidRPr="00032FA5">
              <w:rPr>
                <w:rFonts w:cs="Arial"/>
              </w:rPr>
              <w:t>Колит</w:t>
            </w:r>
            <w:r w:rsidRPr="00032FA5">
              <w:rPr>
                <w:rFonts w:cs="Arial"/>
                <w:vertAlign w:val="superscript"/>
              </w:rPr>
              <w:t>с</w:t>
            </w:r>
          </w:p>
        </w:tc>
        <w:tc>
          <w:tcPr>
            <w:tcW w:w="1627" w:type="dxa"/>
          </w:tcPr>
          <w:p w14:paraId="7EE49EC0" w14:textId="77777777" w:rsidR="005354F0" w:rsidRPr="00032FA5" w:rsidRDefault="005354F0" w:rsidP="005354F0">
            <w:pPr>
              <w:rPr>
                <w:rFonts w:cs="Arial"/>
              </w:rPr>
            </w:pPr>
          </w:p>
        </w:tc>
        <w:tc>
          <w:tcPr>
            <w:tcW w:w="1100" w:type="dxa"/>
          </w:tcPr>
          <w:p w14:paraId="23AB1E78" w14:textId="77777777" w:rsidR="005354F0" w:rsidRPr="00032FA5" w:rsidRDefault="005354F0" w:rsidP="005354F0">
            <w:pPr>
              <w:rPr>
                <w:rFonts w:cs="Arial"/>
              </w:rPr>
            </w:pPr>
          </w:p>
        </w:tc>
      </w:tr>
      <w:tr w:rsidR="005354F0" w:rsidRPr="00032FA5" w14:paraId="6EC76859" w14:textId="77777777" w:rsidTr="005354F0">
        <w:tc>
          <w:tcPr>
            <w:tcW w:w="1523" w:type="dxa"/>
          </w:tcPr>
          <w:p w14:paraId="3DF44B16" w14:textId="01E9C078" w:rsidR="005354F0" w:rsidRPr="00032FA5" w:rsidRDefault="005354F0" w:rsidP="005354F0">
            <w:pPr>
              <w:rPr>
                <w:rFonts w:cs="Arial"/>
              </w:rPr>
            </w:pPr>
            <w:r w:rsidRPr="00032FA5">
              <w:rPr>
                <w:rFonts w:cs="Arial"/>
                <w:b/>
                <w:bCs/>
              </w:rPr>
              <w:t>Хепатобилиарни нарушения</w:t>
            </w:r>
          </w:p>
        </w:tc>
        <w:tc>
          <w:tcPr>
            <w:tcW w:w="1544" w:type="dxa"/>
          </w:tcPr>
          <w:p w14:paraId="5FF16FEB" w14:textId="77777777" w:rsidR="005354F0" w:rsidRPr="00032FA5" w:rsidRDefault="005354F0" w:rsidP="005354F0">
            <w:pPr>
              <w:rPr>
                <w:rFonts w:cs="Arial"/>
              </w:rPr>
            </w:pPr>
          </w:p>
        </w:tc>
        <w:tc>
          <w:tcPr>
            <w:tcW w:w="1608" w:type="dxa"/>
          </w:tcPr>
          <w:p w14:paraId="4C5F7DE9" w14:textId="77777777" w:rsidR="005354F0" w:rsidRPr="00032FA5" w:rsidRDefault="005354F0" w:rsidP="005354F0">
            <w:pPr>
              <w:rPr>
                <w:rFonts w:cs="Arial"/>
              </w:rPr>
            </w:pPr>
          </w:p>
        </w:tc>
        <w:tc>
          <w:tcPr>
            <w:tcW w:w="1948" w:type="dxa"/>
          </w:tcPr>
          <w:p w14:paraId="7F897BA7" w14:textId="77777777" w:rsidR="005354F0" w:rsidRPr="00032FA5" w:rsidRDefault="005354F0" w:rsidP="005354F0">
            <w:pPr>
              <w:rPr>
                <w:rFonts w:cs="Arial"/>
              </w:rPr>
            </w:pPr>
            <w:r w:rsidRPr="00032FA5">
              <w:rPr>
                <w:rFonts w:cs="Arial"/>
              </w:rPr>
              <w:t>Чернодробна недостатъчност*</w:t>
            </w:r>
          </w:p>
          <w:p w14:paraId="5859C17C" w14:textId="77777777" w:rsidR="005354F0" w:rsidRPr="00032FA5" w:rsidRDefault="005354F0" w:rsidP="005354F0">
            <w:pPr>
              <w:rPr>
                <w:rFonts w:cs="Arial"/>
              </w:rPr>
            </w:pPr>
            <w:r w:rsidRPr="00032FA5">
              <w:rPr>
                <w:rFonts w:cs="Arial"/>
              </w:rPr>
              <w:t>Холецистит*</w:t>
            </w:r>
          </w:p>
          <w:p w14:paraId="066E30EF" w14:textId="0660A0B8" w:rsidR="005354F0" w:rsidRPr="00032FA5" w:rsidRDefault="005354F0" w:rsidP="005354F0">
            <w:pPr>
              <w:rPr>
                <w:rFonts w:cs="Arial"/>
              </w:rPr>
            </w:pPr>
            <w:r w:rsidRPr="00032FA5">
              <w:rPr>
                <w:rFonts w:cs="Arial"/>
              </w:rPr>
              <w:t>Нарушена чернодробна функция</w:t>
            </w:r>
          </w:p>
        </w:tc>
        <w:tc>
          <w:tcPr>
            <w:tcW w:w="1627" w:type="dxa"/>
          </w:tcPr>
          <w:p w14:paraId="4C57F9C5" w14:textId="4402712F" w:rsidR="005354F0" w:rsidRPr="00032FA5" w:rsidRDefault="005354F0" w:rsidP="005354F0">
            <w:pPr>
              <w:rPr>
                <w:rFonts w:cs="Arial"/>
              </w:rPr>
            </w:pPr>
            <w:r w:rsidRPr="00032FA5">
              <w:rPr>
                <w:rFonts w:cs="Arial"/>
              </w:rPr>
              <w:t>Хепатит</w:t>
            </w:r>
          </w:p>
        </w:tc>
        <w:tc>
          <w:tcPr>
            <w:tcW w:w="1100" w:type="dxa"/>
          </w:tcPr>
          <w:p w14:paraId="6615D634" w14:textId="77777777" w:rsidR="005354F0" w:rsidRPr="00032FA5" w:rsidRDefault="005354F0" w:rsidP="005354F0">
            <w:pPr>
              <w:rPr>
                <w:rFonts w:cs="Arial"/>
              </w:rPr>
            </w:pPr>
          </w:p>
        </w:tc>
      </w:tr>
      <w:tr w:rsidR="005354F0" w:rsidRPr="00032FA5" w14:paraId="14E1BF42" w14:textId="77777777" w:rsidTr="005354F0">
        <w:tc>
          <w:tcPr>
            <w:tcW w:w="1523" w:type="dxa"/>
          </w:tcPr>
          <w:p w14:paraId="72FB07E7" w14:textId="2CBCF6B6" w:rsidR="005354F0" w:rsidRPr="00032FA5" w:rsidRDefault="005354F0" w:rsidP="005354F0">
            <w:pPr>
              <w:rPr>
                <w:rFonts w:cs="Arial"/>
              </w:rPr>
            </w:pPr>
            <w:r w:rsidRPr="00032FA5">
              <w:rPr>
                <w:rFonts w:cs="Arial"/>
                <w:b/>
                <w:bCs/>
              </w:rPr>
              <w:t>Нарушения на кожата и подкожната тъкан</w:t>
            </w:r>
          </w:p>
        </w:tc>
        <w:tc>
          <w:tcPr>
            <w:tcW w:w="1544" w:type="dxa"/>
          </w:tcPr>
          <w:p w14:paraId="68516767" w14:textId="77777777" w:rsidR="005354F0" w:rsidRPr="00032FA5" w:rsidRDefault="005354F0" w:rsidP="005354F0">
            <w:pPr>
              <w:rPr>
                <w:rFonts w:cs="Arial"/>
              </w:rPr>
            </w:pPr>
            <w:r w:rsidRPr="00032FA5">
              <w:rPr>
                <w:rFonts w:cs="Arial"/>
              </w:rPr>
              <w:t>Обезцветяване на кожата</w:t>
            </w:r>
          </w:p>
          <w:p w14:paraId="15F8B89B" w14:textId="77777777" w:rsidR="005354F0" w:rsidRPr="00032FA5" w:rsidRDefault="005354F0" w:rsidP="005354F0">
            <w:pPr>
              <w:rPr>
                <w:rFonts w:cs="Arial"/>
              </w:rPr>
            </w:pPr>
            <w:r w:rsidRPr="00032FA5">
              <w:rPr>
                <w:rFonts w:cs="Arial"/>
              </w:rPr>
              <w:t>Синдром на палмаро- плантарна еритродизестезия</w:t>
            </w:r>
          </w:p>
          <w:p w14:paraId="01CED227" w14:textId="77777777" w:rsidR="005354F0" w:rsidRPr="00032FA5" w:rsidRDefault="005354F0" w:rsidP="005354F0">
            <w:pPr>
              <w:rPr>
                <w:rFonts w:cs="Arial"/>
              </w:rPr>
            </w:pPr>
            <w:r w:rsidRPr="00032FA5">
              <w:rPr>
                <w:rFonts w:cs="Arial"/>
              </w:rPr>
              <w:t>ОбривФ</w:t>
            </w:r>
          </w:p>
          <w:p w14:paraId="7660CC5A" w14:textId="77777777" w:rsidR="005354F0" w:rsidRPr="00032FA5" w:rsidRDefault="005354F0" w:rsidP="005354F0">
            <w:pPr>
              <w:rPr>
                <w:rFonts w:cs="Arial"/>
              </w:rPr>
            </w:pPr>
            <w:r w:rsidRPr="00032FA5">
              <w:rPr>
                <w:rFonts w:cs="Arial"/>
              </w:rPr>
              <w:t>Промяна в цвета на косата</w:t>
            </w:r>
          </w:p>
          <w:p w14:paraId="236B2693" w14:textId="7A8C7CA6" w:rsidR="005354F0" w:rsidRPr="00032FA5" w:rsidRDefault="005354F0" w:rsidP="005354F0">
            <w:pPr>
              <w:rPr>
                <w:rFonts w:cs="Arial"/>
              </w:rPr>
            </w:pPr>
            <w:r w:rsidRPr="00032FA5">
              <w:rPr>
                <w:rFonts w:cs="Arial"/>
              </w:rPr>
              <w:t>Суха кожа</w:t>
            </w:r>
          </w:p>
        </w:tc>
        <w:tc>
          <w:tcPr>
            <w:tcW w:w="1608" w:type="dxa"/>
          </w:tcPr>
          <w:p w14:paraId="7A96E90F" w14:textId="77777777" w:rsidR="005354F0" w:rsidRPr="00032FA5" w:rsidRDefault="005354F0" w:rsidP="005354F0">
            <w:pPr>
              <w:rPr>
                <w:rFonts w:cs="Arial"/>
              </w:rPr>
            </w:pPr>
            <w:r w:rsidRPr="00032FA5">
              <w:rPr>
                <w:rFonts w:cs="Arial"/>
              </w:rPr>
              <w:t>Лющене на кожата Кожна реакция</w:t>
            </w:r>
            <w:r w:rsidRPr="00032FA5">
              <w:rPr>
                <w:rFonts w:cs="Arial"/>
                <w:vertAlign w:val="superscript"/>
                <w:lang w:val="en-US"/>
              </w:rPr>
              <w:t>x</w:t>
            </w:r>
            <w:r w:rsidRPr="00032FA5">
              <w:rPr>
                <w:rFonts w:cs="Arial"/>
              </w:rPr>
              <w:t xml:space="preserve"> Екзема Мехури</w:t>
            </w:r>
          </w:p>
          <w:p w14:paraId="0A77CEED" w14:textId="77777777" w:rsidR="005354F0" w:rsidRPr="00032FA5" w:rsidRDefault="005354F0" w:rsidP="005354F0">
            <w:pPr>
              <w:rPr>
                <w:rFonts w:cs="Arial"/>
              </w:rPr>
            </w:pPr>
            <w:r w:rsidRPr="00032FA5">
              <w:rPr>
                <w:rFonts w:cs="Arial"/>
              </w:rPr>
              <w:t>Еритем Алопеция</w:t>
            </w:r>
          </w:p>
          <w:p w14:paraId="314A11EC" w14:textId="77777777" w:rsidR="005354F0" w:rsidRPr="00032FA5" w:rsidRDefault="005354F0" w:rsidP="005354F0">
            <w:pPr>
              <w:rPr>
                <w:rFonts w:cs="Arial"/>
              </w:rPr>
            </w:pPr>
            <w:r w:rsidRPr="00032FA5">
              <w:rPr>
                <w:rFonts w:cs="Arial"/>
              </w:rPr>
              <w:t>Акне</w:t>
            </w:r>
          </w:p>
          <w:p w14:paraId="019E4A94" w14:textId="77777777" w:rsidR="005354F0" w:rsidRPr="00032FA5" w:rsidRDefault="005354F0" w:rsidP="005354F0">
            <w:pPr>
              <w:rPr>
                <w:rFonts w:cs="Arial"/>
              </w:rPr>
            </w:pPr>
            <w:r w:rsidRPr="00032FA5">
              <w:rPr>
                <w:rFonts w:cs="Arial"/>
              </w:rPr>
              <w:t>Пруритус Хиперпигментация на кожата</w:t>
            </w:r>
          </w:p>
          <w:p w14:paraId="60B3A067" w14:textId="309FB9F4" w:rsidR="005354F0" w:rsidRPr="00032FA5" w:rsidRDefault="005354F0" w:rsidP="005354F0">
            <w:pPr>
              <w:rPr>
                <w:rFonts w:cs="Arial"/>
              </w:rPr>
            </w:pPr>
            <w:r w:rsidRPr="00032FA5">
              <w:rPr>
                <w:rFonts w:cs="Arial"/>
              </w:rPr>
              <w:t>Кожни лезии Хиперкератаза Дерматит Нарушения на ноктите</w:t>
            </w:r>
            <w:r w:rsidRPr="00032FA5">
              <w:rPr>
                <w:rFonts w:cs="Arial"/>
                <w:vertAlign w:val="superscript"/>
                <w:lang w:val="en-US"/>
              </w:rPr>
              <w:t>u</w:t>
            </w:r>
          </w:p>
        </w:tc>
        <w:tc>
          <w:tcPr>
            <w:tcW w:w="1948" w:type="dxa"/>
          </w:tcPr>
          <w:p w14:paraId="661D88CD" w14:textId="77777777" w:rsidR="005354F0" w:rsidRPr="00032FA5" w:rsidRDefault="005354F0" w:rsidP="005354F0">
            <w:pPr>
              <w:rPr>
                <w:rFonts w:cs="Arial"/>
              </w:rPr>
            </w:pPr>
          </w:p>
        </w:tc>
        <w:tc>
          <w:tcPr>
            <w:tcW w:w="1627" w:type="dxa"/>
            <w:vAlign w:val="bottom"/>
          </w:tcPr>
          <w:p w14:paraId="7AAD833B" w14:textId="77777777" w:rsidR="005354F0" w:rsidRPr="00032FA5" w:rsidRDefault="005354F0" w:rsidP="005354F0">
            <w:pPr>
              <w:rPr>
                <w:rFonts w:cs="Arial"/>
              </w:rPr>
            </w:pPr>
            <w:r w:rsidRPr="00032FA5">
              <w:rPr>
                <w:rFonts w:cs="Arial"/>
              </w:rPr>
              <w:t>Еритема мултиформе*</w:t>
            </w:r>
          </w:p>
          <w:p w14:paraId="6D905F9C" w14:textId="77777777" w:rsidR="005354F0" w:rsidRPr="00032FA5" w:rsidRDefault="005354F0" w:rsidP="005354F0">
            <w:pPr>
              <w:rPr>
                <w:rFonts w:cs="Arial"/>
              </w:rPr>
            </w:pPr>
            <w:r w:rsidRPr="00032FA5">
              <w:rPr>
                <w:rFonts w:cs="Arial"/>
              </w:rPr>
              <w:t xml:space="preserve">Синдром на </w:t>
            </w:r>
            <w:r w:rsidRPr="00032FA5">
              <w:rPr>
                <w:rFonts w:cs="Arial"/>
                <w:lang w:val="en-US"/>
              </w:rPr>
              <w:t>Stevens-Johnson*</w:t>
            </w:r>
          </w:p>
          <w:p w14:paraId="56B0DEEE" w14:textId="77777777" w:rsidR="005354F0" w:rsidRPr="00032FA5" w:rsidRDefault="005354F0" w:rsidP="005354F0">
            <w:pPr>
              <w:rPr>
                <w:rFonts w:cs="Arial"/>
              </w:rPr>
            </w:pPr>
            <w:r w:rsidRPr="00032FA5">
              <w:rPr>
                <w:rFonts w:cs="Arial"/>
              </w:rPr>
              <w:t>Пиодерма гангренозум</w:t>
            </w:r>
          </w:p>
          <w:p w14:paraId="16160435" w14:textId="5A6522A8" w:rsidR="005354F0" w:rsidRPr="00032FA5" w:rsidRDefault="005354F0" w:rsidP="005354F0">
            <w:pPr>
              <w:rPr>
                <w:rFonts w:cs="Arial"/>
              </w:rPr>
            </w:pPr>
            <w:r w:rsidRPr="00032FA5">
              <w:rPr>
                <w:rFonts w:cs="Arial"/>
              </w:rPr>
              <w:t>Токсична епидермална некролиза*</w:t>
            </w:r>
          </w:p>
        </w:tc>
        <w:tc>
          <w:tcPr>
            <w:tcW w:w="1100" w:type="dxa"/>
            <w:vAlign w:val="bottom"/>
          </w:tcPr>
          <w:p w14:paraId="65AC0FA9" w14:textId="77777777" w:rsidR="005354F0" w:rsidRPr="00032FA5" w:rsidRDefault="005354F0" w:rsidP="005354F0">
            <w:pPr>
              <w:rPr>
                <w:rFonts w:cs="Arial"/>
              </w:rPr>
            </w:pPr>
          </w:p>
        </w:tc>
      </w:tr>
      <w:tr w:rsidR="005354F0" w:rsidRPr="00032FA5" w14:paraId="4E3E7C7E" w14:textId="77777777" w:rsidTr="005354F0">
        <w:tc>
          <w:tcPr>
            <w:tcW w:w="1523" w:type="dxa"/>
          </w:tcPr>
          <w:p w14:paraId="3372F9EE" w14:textId="13D4DEB4" w:rsidR="005354F0" w:rsidRPr="00032FA5" w:rsidRDefault="005354F0" w:rsidP="005354F0">
            <w:pPr>
              <w:rPr>
                <w:rFonts w:cs="Arial"/>
              </w:rPr>
            </w:pPr>
            <w:r w:rsidRPr="00032FA5">
              <w:rPr>
                <w:rFonts w:cs="Arial"/>
                <w:b/>
                <w:bCs/>
              </w:rPr>
              <w:t xml:space="preserve">Нарушения на мускулно- скелетната система и </w:t>
            </w:r>
            <w:r w:rsidRPr="00032FA5">
              <w:rPr>
                <w:rFonts w:cs="Arial"/>
                <w:b/>
                <w:bCs/>
              </w:rPr>
              <w:lastRenderedPageBreak/>
              <w:t>съединителната тъкан</w:t>
            </w:r>
          </w:p>
        </w:tc>
        <w:tc>
          <w:tcPr>
            <w:tcW w:w="1544" w:type="dxa"/>
          </w:tcPr>
          <w:p w14:paraId="5CEAE6B7" w14:textId="6870599C" w:rsidR="005354F0" w:rsidRPr="00032FA5" w:rsidRDefault="005354F0" w:rsidP="005354F0">
            <w:pPr>
              <w:rPr>
                <w:rFonts w:cs="Arial"/>
              </w:rPr>
            </w:pPr>
            <w:r w:rsidRPr="00032FA5">
              <w:rPr>
                <w:rFonts w:cs="Arial"/>
              </w:rPr>
              <w:lastRenderedPageBreak/>
              <w:t>Болка в крайниците Артралгия Болки в гърба</w:t>
            </w:r>
          </w:p>
        </w:tc>
        <w:tc>
          <w:tcPr>
            <w:tcW w:w="1608" w:type="dxa"/>
          </w:tcPr>
          <w:p w14:paraId="392A94AF" w14:textId="77777777" w:rsidR="005354F0" w:rsidRPr="00032FA5" w:rsidRDefault="005354F0" w:rsidP="005354F0">
            <w:pPr>
              <w:rPr>
                <w:rFonts w:cs="Arial"/>
              </w:rPr>
            </w:pPr>
            <w:r w:rsidRPr="00032FA5">
              <w:rPr>
                <w:rFonts w:cs="Arial"/>
              </w:rPr>
              <w:t>Мускулно- скелетни болки</w:t>
            </w:r>
          </w:p>
          <w:p w14:paraId="3196BD57" w14:textId="77777777" w:rsidR="005354F0" w:rsidRPr="00032FA5" w:rsidRDefault="005354F0" w:rsidP="005354F0">
            <w:pPr>
              <w:rPr>
                <w:rFonts w:cs="Arial"/>
              </w:rPr>
            </w:pPr>
            <w:r w:rsidRPr="00032FA5">
              <w:rPr>
                <w:rFonts w:cs="Arial"/>
              </w:rPr>
              <w:t>Мускулни спазми</w:t>
            </w:r>
          </w:p>
          <w:p w14:paraId="7EEA7C2E" w14:textId="77777777" w:rsidR="005354F0" w:rsidRPr="00032FA5" w:rsidRDefault="005354F0" w:rsidP="005354F0">
            <w:pPr>
              <w:rPr>
                <w:rFonts w:cs="Arial"/>
              </w:rPr>
            </w:pPr>
            <w:r w:rsidRPr="00032FA5">
              <w:rPr>
                <w:rFonts w:cs="Arial"/>
              </w:rPr>
              <w:lastRenderedPageBreak/>
              <w:t>Миалгия</w:t>
            </w:r>
          </w:p>
          <w:p w14:paraId="3AA1F0B8" w14:textId="04AAFF27" w:rsidR="005354F0" w:rsidRPr="00032FA5" w:rsidRDefault="005354F0" w:rsidP="005354F0">
            <w:pPr>
              <w:rPr>
                <w:rFonts w:cs="Arial"/>
              </w:rPr>
            </w:pPr>
            <w:r w:rsidRPr="00032FA5">
              <w:rPr>
                <w:rFonts w:cs="Arial"/>
              </w:rPr>
              <w:t>Мускулна слабост</w:t>
            </w:r>
          </w:p>
        </w:tc>
        <w:tc>
          <w:tcPr>
            <w:tcW w:w="1948" w:type="dxa"/>
          </w:tcPr>
          <w:p w14:paraId="719C8E72" w14:textId="2F0B3A2F" w:rsidR="005354F0" w:rsidRPr="00032FA5" w:rsidRDefault="005354F0" w:rsidP="005354F0">
            <w:pPr>
              <w:rPr>
                <w:rFonts w:cs="Arial"/>
              </w:rPr>
            </w:pPr>
            <w:r w:rsidRPr="00032FA5">
              <w:rPr>
                <w:rFonts w:cs="Arial"/>
              </w:rPr>
              <w:lastRenderedPageBreak/>
              <w:t>Остеонекроза на челюстта Фистула*</w:t>
            </w:r>
          </w:p>
        </w:tc>
        <w:tc>
          <w:tcPr>
            <w:tcW w:w="1627" w:type="dxa"/>
          </w:tcPr>
          <w:p w14:paraId="5CC3EDB2" w14:textId="77777777" w:rsidR="005354F0" w:rsidRPr="00032FA5" w:rsidRDefault="005354F0" w:rsidP="005354F0">
            <w:pPr>
              <w:rPr>
                <w:rFonts w:cs="Arial"/>
              </w:rPr>
            </w:pPr>
            <w:r w:rsidRPr="00032FA5">
              <w:rPr>
                <w:rFonts w:cs="Arial"/>
              </w:rPr>
              <w:t>Рабдомиолиза*</w:t>
            </w:r>
          </w:p>
          <w:p w14:paraId="1E118FD2" w14:textId="6382B096" w:rsidR="005354F0" w:rsidRPr="00032FA5" w:rsidRDefault="005354F0" w:rsidP="005354F0">
            <w:pPr>
              <w:rPr>
                <w:rFonts w:cs="Arial"/>
              </w:rPr>
            </w:pPr>
            <w:r w:rsidRPr="00032FA5">
              <w:rPr>
                <w:rFonts w:cs="Arial"/>
              </w:rPr>
              <w:t>Миопатия</w:t>
            </w:r>
          </w:p>
        </w:tc>
        <w:tc>
          <w:tcPr>
            <w:tcW w:w="1100" w:type="dxa"/>
          </w:tcPr>
          <w:p w14:paraId="22C72E0D" w14:textId="77777777" w:rsidR="005354F0" w:rsidRPr="00032FA5" w:rsidRDefault="005354F0" w:rsidP="005354F0">
            <w:pPr>
              <w:rPr>
                <w:rFonts w:cs="Arial"/>
              </w:rPr>
            </w:pPr>
          </w:p>
        </w:tc>
      </w:tr>
      <w:tr w:rsidR="005354F0" w:rsidRPr="00032FA5" w14:paraId="27659C73" w14:textId="77777777" w:rsidTr="005354F0">
        <w:tc>
          <w:tcPr>
            <w:tcW w:w="1523" w:type="dxa"/>
          </w:tcPr>
          <w:p w14:paraId="4E3ACA76" w14:textId="27BD4C0D" w:rsidR="005354F0" w:rsidRPr="00032FA5" w:rsidRDefault="005354F0" w:rsidP="005354F0">
            <w:pPr>
              <w:rPr>
                <w:rFonts w:cs="Arial"/>
              </w:rPr>
            </w:pPr>
            <w:r w:rsidRPr="00032FA5">
              <w:rPr>
                <w:rFonts w:cs="Arial"/>
                <w:b/>
                <w:bCs/>
              </w:rPr>
              <w:t>Нарушения на бъбреците и пикочните пътища</w:t>
            </w:r>
          </w:p>
        </w:tc>
        <w:tc>
          <w:tcPr>
            <w:tcW w:w="1544" w:type="dxa"/>
          </w:tcPr>
          <w:p w14:paraId="4075DECB" w14:textId="77777777" w:rsidR="005354F0" w:rsidRPr="00032FA5" w:rsidRDefault="005354F0" w:rsidP="005354F0">
            <w:pPr>
              <w:rPr>
                <w:rFonts w:cs="Arial"/>
              </w:rPr>
            </w:pPr>
          </w:p>
        </w:tc>
        <w:tc>
          <w:tcPr>
            <w:tcW w:w="1608" w:type="dxa"/>
          </w:tcPr>
          <w:p w14:paraId="241B553B" w14:textId="77777777" w:rsidR="005354F0" w:rsidRPr="00032FA5" w:rsidRDefault="005354F0" w:rsidP="005354F0">
            <w:pPr>
              <w:rPr>
                <w:rFonts w:cs="Arial"/>
              </w:rPr>
            </w:pPr>
            <w:r w:rsidRPr="00032FA5">
              <w:rPr>
                <w:rFonts w:cs="Arial"/>
              </w:rPr>
              <w:t>Бъбречна недостатъчност*</w:t>
            </w:r>
          </w:p>
          <w:p w14:paraId="47A18F5A" w14:textId="77777777" w:rsidR="005354F0" w:rsidRPr="00032FA5" w:rsidRDefault="005354F0" w:rsidP="005354F0">
            <w:pPr>
              <w:rPr>
                <w:rFonts w:cs="Arial"/>
              </w:rPr>
            </w:pPr>
            <w:r w:rsidRPr="00032FA5">
              <w:rPr>
                <w:rFonts w:cs="Arial"/>
              </w:rPr>
              <w:t>Остра бъбречна недостатъчност*</w:t>
            </w:r>
          </w:p>
          <w:p w14:paraId="1C053E26" w14:textId="77777777" w:rsidR="005354F0" w:rsidRPr="00032FA5" w:rsidRDefault="005354F0" w:rsidP="005354F0">
            <w:pPr>
              <w:rPr>
                <w:rFonts w:cs="Arial"/>
              </w:rPr>
            </w:pPr>
            <w:r w:rsidRPr="00032FA5">
              <w:rPr>
                <w:rFonts w:cs="Arial"/>
              </w:rPr>
              <w:t>Хроматурия</w:t>
            </w:r>
          </w:p>
          <w:p w14:paraId="04F0E7FE" w14:textId="102DF21A" w:rsidR="005354F0" w:rsidRPr="00032FA5" w:rsidRDefault="005354F0" w:rsidP="005354F0">
            <w:pPr>
              <w:rPr>
                <w:rFonts w:cs="Arial"/>
              </w:rPr>
            </w:pPr>
            <w:r w:rsidRPr="00032FA5">
              <w:rPr>
                <w:rFonts w:cs="Arial"/>
              </w:rPr>
              <w:t>Протеииурия</w:t>
            </w:r>
          </w:p>
        </w:tc>
        <w:tc>
          <w:tcPr>
            <w:tcW w:w="1948" w:type="dxa"/>
          </w:tcPr>
          <w:p w14:paraId="2900B160" w14:textId="4DAD8F0F" w:rsidR="005354F0" w:rsidRPr="00032FA5" w:rsidRDefault="005354F0" w:rsidP="005354F0">
            <w:pPr>
              <w:rPr>
                <w:rFonts w:cs="Arial"/>
              </w:rPr>
            </w:pPr>
            <w:r w:rsidRPr="00032FA5">
              <w:rPr>
                <w:rFonts w:cs="Arial"/>
              </w:rPr>
              <w:t>Кръвоизлив от пикочните пътища</w:t>
            </w:r>
          </w:p>
        </w:tc>
        <w:tc>
          <w:tcPr>
            <w:tcW w:w="1627" w:type="dxa"/>
          </w:tcPr>
          <w:p w14:paraId="1AA168E6" w14:textId="16561475" w:rsidR="005354F0" w:rsidRPr="00032FA5" w:rsidRDefault="005354F0" w:rsidP="005354F0">
            <w:pPr>
              <w:rPr>
                <w:rFonts w:cs="Arial"/>
              </w:rPr>
            </w:pPr>
            <w:r w:rsidRPr="00032FA5">
              <w:rPr>
                <w:rFonts w:cs="Arial"/>
              </w:rPr>
              <w:t>Нефротичен синдром</w:t>
            </w:r>
          </w:p>
        </w:tc>
        <w:tc>
          <w:tcPr>
            <w:tcW w:w="1100" w:type="dxa"/>
          </w:tcPr>
          <w:p w14:paraId="3D41FBCC" w14:textId="77777777" w:rsidR="005354F0" w:rsidRPr="00032FA5" w:rsidRDefault="005354F0" w:rsidP="005354F0">
            <w:pPr>
              <w:rPr>
                <w:rFonts w:cs="Arial"/>
              </w:rPr>
            </w:pPr>
          </w:p>
        </w:tc>
      </w:tr>
      <w:tr w:rsidR="005354F0" w:rsidRPr="00032FA5" w14:paraId="2B0C89BC" w14:textId="77777777" w:rsidTr="005354F0">
        <w:tc>
          <w:tcPr>
            <w:tcW w:w="1523" w:type="dxa"/>
          </w:tcPr>
          <w:p w14:paraId="002FAB5E" w14:textId="7F5B9674" w:rsidR="005354F0" w:rsidRPr="00032FA5" w:rsidRDefault="005354F0" w:rsidP="005354F0">
            <w:pPr>
              <w:rPr>
                <w:rFonts w:cs="Arial"/>
              </w:rPr>
            </w:pPr>
            <w:r w:rsidRPr="00032FA5">
              <w:rPr>
                <w:rFonts w:cs="Arial"/>
                <w:b/>
                <w:bCs/>
              </w:rPr>
              <w:t>Общи нарушения и ефекти на мястото на приложение</w:t>
            </w:r>
          </w:p>
        </w:tc>
        <w:tc>
          <w:tcPr>
            <w:tcW w:w="1544" w:type="dxa"/>
          </w:tcPr>
          <w:p w14:paraId="77A7EB0E" w14:textId="77777777" w:rsidR="005354F0" w:rsidRPr="00032FA5" w:rsidRDefault="005354F0" w:rsidP="005354F0">
            <w:pPr>
              <w:rPr>
                <w:rFonts w:cs="Arial"/>
              </w:rPr>
            </w:pPr>
            <w:r w:rsidRPr="00032FA5">
              <w:rPr>
                <w:rFonts w:cs="Arial"/>
              </w:rPr>
              <w:t>Възпаление на лигавиците Умора</w:t>
            </w:r>
            <w:r w:rsidRPr="00032FA5">
              <w:rPr>
                <w:rFonts w:cs="Arial"/>
                <w:vertAlign w:val="superscript"/>
              </w:rPr>
              <w:t>ч</w:t>
            </w:r>
          </w:p>
          <w:p w14:paraId="7FF16F4B" w14:textId="77777777" w:rsidR="005354F0" w:rsidRPr="00032FA5" w:rsidRDefault="005354F0" w:rsidP="005354F0">
            <w:pPr>
              <w:rPr>
                <w:rFonts w:cs="Arial"/>
              </w:rPr>
            </w:pPr>
            <w:r w:rsidRPr="00032FA5">
              <w:rPr>
                <w:rFonts w:cs="Arial"/>
              </w:rPr>
              <w:t>Едем</w:t>
            </w:r>
            <w:r w:rsidRPr="00032FA5">
              <w:rPr>
                <w:rFonts w:cs="Arial"/>
                <w:vertAlign w:val="superscript"/>
              </w:rPr>
              <w:t>ш</w:t>
            </w:r>
          </w:p>
          <w:p w14:paraId="3FCDE27B" w14:textId="6C479025" w:rsidR="005354F0" w:rsidRPr="00032FA5" w:rsidRDefault="005354F0" w:rsidP="005354F0">
            <w:pPr>
              <w:rPr>
                <w:rFonts w:cs="Arial"/>
              </w:rPr>
            </w:pPr>
            <w:r w:rsidRPr="00032FA5">
              <w:rPr>
                <w:rFonts w:cs="Arial"/>
              </w:rPr>
              <w:t>Фебрилитет</w:t>
            </w:r>
          </w:p>
        </w:tc>
        <w:tc>
          <w:tcPr>
            <w:tcW w:w="1608" w:type="dxa"/>
          </w:tcPr>
          <w:p w14:paraId="1071DE0B" w14:textId="77777777" w:rsidR="005354F0" w:rsidRPr="00032FA5" w:rsidRDefault="005354F0" w:rsidP="005354F0">
            <w:pPr>
              <w:rPr>
                <w:rFonts w:cs="Arial"/>
              </w:rPr>
            </w:pPr>
            <w:r w:rsidRPr="00032FA5">
              <w:rPr>
                <w:rFonts w:cs="Arial"/>
              </w:rPr>
              <w:t>Гръдна болка</w:t>
            </w:r>
          </w:p>
          <w:p w14:paraId="7B60168C" w14:textId="77777777" w:rsidR="005354F0" w:rsidRPr="00032FA5" w:rsidRDefault="005354F0" w:rsidP="005354F0">
            <w:pPr>
              <w:rPr>
                <w:rFonts w:cs="Arial"/>
              </w:rPr>
            </w:pPr>
            <w:r w:rsidRPr="00032FA5">
              <w:rPr>
                <w:rFonts w:cs="Arial"/>
              </w:rPr>
              <w:t>Болка</w:t>
            </w:r>
          </w:p>
          <w:p w14:paraId="58765E67" w14:textId="304DEECC" w:rsidR="005354F0" w:rsidRPr="00032FA5" w:rsidRDefault="005354F0" w:rsidP="005354F0">
            <w:pPr>
              <w:rPr>
                <w:rFonts w:cs="Arial"/>
              </w:rPr>
            </w:pPr>
            <w:r w:rsidRPr="00032FA5">
              <w:rPr>
                <w:rFonts w:cs="Arial"/>
              </w:rPr>
              <w:t>Грипоподобни симптоми Втрисане</w:t>
            </w:r>
          </w:p>
        </w:tc>
        <w:tc>
          <w:tcPr>
            <w:tcW w:w="1948" w:type="dxa"/>
          </w:tcPr>
          <w:p w14:paraId="501075DA" w14:textId="38CEDE5A" w:rsidR="005354F0" w:rsidRPr="00032FA5" w:rsidRDefault="005354F0" w:rsidP="005354F0">
            <w:pPr>
              <w:rPr>
                <w:rFonts w:cs="Arial"/>
              </w:rPr>
            </w:pPr>
            <w:r w:rsidRPr="00032FA5">
              <w:rPr>
                <w:rFonts w:cs="Arial"/>
              </w:rPr>
              <w:t>Нарушено заздравяване</w:t>
            </w:r>
          </w:p>
        </w:tc>
        <w:tc>
          <w:tcPr>
            <w:tcW w:w="1627" w:type="dxa"/>
          </w:tcPr>
          <w:p w14:paraId="2285FD45" w14:textId="77777777" w:rsidR="005354F0" w:rsidRPr="00032FA5" w:rsidRDefault="005354F0" w:rsidP="005354F0">
            <w:pPr>
              <w:rPr>
                <w:rFonts w:cs="Arial"/>
              </w:rPr>
            </w:pPr>
          </w:p>
        </w:tc>
        <w:tc>
          <w:tcPr>
            <w:tcW w:w="1100" w:type="dxa"/>
          </w:tcPr>
          <w:p w14:paraId="09520813" w14:textId="77777777" w:rsidR="005354F0" w:rsidRPr="00032FA5" w:rsidRDefault="005354F0" w:rsidP="005354F0">
            <w:pPr>
              <w:rPr>
                <w:rFonts w:cs="Arial"/>
              </w:rPr>
            </w:pPr>
          </w:p>
        </w:tc>
      </w:tr>
      <w:tr w:rsidR="005354F0" w:rsidRPr="00032FA5" w14:paraId="03D60B52" w14:textId="77777777" w:rsidTr="005354F0">
        <w:tc>
          <w:tcPr>
            <w:tcW w:w="1523" w:type="dxa"/>
          </w:tcPr>
          <w:p w14:paraId="1B0CBA0E" w14:textId="7334FF27" w:rsidR="005354F0" w:rsidRPr="00032FA5" w:rsidRDefault="005354F0" w:rsidP="005354F0">
            <w:pPr>
              <w:rPr>
                <w:rFonts w:cs="Arial"/>
              </w:rPr>
            </w:pPr>
            <w:r w:rsidRPr="00032FA5">
              <w:rPr>
                <w:rFonts w:cs="Arial"/>
                <w:b/>
                <w:bCs/>
              </w:rPr>
              <w:t>Изследвания</w:t>
            </w:r>
          </w:p>
        </w:tc>
        <w:tc>
          <w:tcPr>
            <w:tcW w:w="1544" w:type="dxa"/>
          </w:tcPr>
          <w:p w14:paraId="524A6CDF" w14:textId="77777777" w:rsidR="005354F0" w:rsidRPr="00032FA5" w:rsidRDefault="005354F0" w:rsidP="005354F0">
            <w:pPr>
              <w:rPr>
                <w:rFonts w:cs="Arial"/>
              </w:rPr>
            </w:pPr>
          </w:p>
        </w:tc>
        <w:tc>
          <w:tcPr>
            <w:tcW w:w="1608" w:type="dxa"/>
          </w:tcPr>
          <w:p w14:paraId="532D80EA" w14:textId="77777777" w:rsidR="005354F0" w:rsidRPr="00032FA5" w:rsidRDefault="005354F0" w:rsidP="005354F0">
            <w:pPr>
              <w:rPr>
                <w:rFonts w:cs="Arial"/>
              </w:rPr>
            </w:pPr>
            <w:r w:rsidRPr="00032FA5">
              <w:rPr>
                <w:rFonts w:cs="Arial"/>
              </w:rPr>
              <w:t>Намаляване на телесното тегло</w:t>
            </w:r>
          </w:p>
          <w:p w14:paraId="13B773B1" w14:textId="77777777" w:rsidR="005354F0" w:rsidRPr="00032FA5" w:rsidRDefault="005354F0" w:rsidP="005354F0">
            <w:pPr>
              <w:rPr>
                <w:rFonts w:cs="Arial"/>
              </w:rPr>
            </w:pPr>
            <w:r w:rsidRPr="00032FA5">
              <w:rPr>
                <w:rFonts w:cs="Arial"/>
              </w:rPr>
              <w:t>Понижен брой бели кръвни клетки</w:t>
            </w:r>
          </w:p>
          <w:p w14:paraId="7FDE093D" w14:textId="77777777" w:rsidR="005354F0" w:rsidRPr="00032FA5" w:rsidRDefault="005354F0" w:rsidP="005354F0">
            <w:pPr>
              <w:rPr>
                <w:rFonts w:cs="Arial"/>
              </w:rPr>
            </w:pPr>
            <w:r w:rsidRPr="00032FA5">
              <w:rPr>
                <w:rFonts w:cs="Arial"/>
              </w:rPr>
              <w:t>Повишена липаза</w:t>
            </w:r>
          </w:p>
          <w:p w14:paraId="0415755B" w14:textId="77777777" w:rsidR="005354F0" w:rsidRPr="00032FA5" w:rsidRDefault="005354F0" w:rsidP="005354F0">
            <w:pPr>
              <w:rPr>
                <w:rFonts w:cs="Arial"/>
              </w:rPr>
            </w:pPr>
            <w:r w:rsidRPr="00032FA5">
              <w:rPr>
                <w:rFonts w:cs="Arial"/>
              </w:rPr>
              <w:t>Понижен брой тромбоцити</w:t>
            </w:r>
          </w:p>
          <w:p w14:paraId="4643D1D7" w14:textId="77777777" w:rsidR="005354F0" w:rsidRPr="00032FA5" w:rsidRDefault="005354F0" w:rsidP="005354F0">
            <w:pPr>
              <w:rPr>
                <w:rFonts w:cs="Arial"/>
              </w:rPr>
            </w:pPr>
            <w:r w:rsidRPr="00032FA5">
              <w:rPr>
                <w:rFonts w:cs="Arial"/>
              </w:rPr>
              <w:t>Понижен хемоглобин</w:t>
            </w:r>
          </w:p>
          <w:p w14:paraId="32D5FE45" w14:textId="77777777" w:rsidR="005354F0" w:rsidRPr="00032FA5" w:rsidRDefault="005354F0" w:rsidP="005354F0">
            <w:pPr>
              <w:rPr>
                <w:rFonts w:cs="Arial"/>
              </w:rPr>
            </w:pPr>
            <w:r w:rsidRPr="00032FA5">
              <w:rPr>
                <w:rFonts w:cs="Arial"/>
              </w:rPr>
              <w:t>Повишена амилаза</w:t>
            </w:r>
            <w:r w:rsidRPr="00032FA5">
              <w:rPr>
                <w:rFonts w:cs="Arial"/>
                <w:vertAlign w:val="superscript"/>
              </w:rPr>
              <w:t>щ</w:t>
            </w:r>
          </w:p>
          <w:p w14:paraId="56887CC0" w14:textId="77777777" w:rsidR="005354F0" w:rsidRPr="00032FA5" w:rsidRDefault="005354F0" w:rsidP="005354F0">
            <w:pPr>
              <w:rPr>
                <w:rFonts w:cs="Arial"/>
              </w:rPr>
            </w:pPr>
            <w:r w:rsidRPr="00032FA5">
              <w:rPr>
                <w:rFonts w:cs="Arial"/>
              </w:rPr>
              <w:t>Повишена аспартатаминотра нсфераза</w:t>
            </w:r>
          </w:p>
          <w:p w14:paraId="4D26A9DD" w14:textId="77777777" w:rsidR="005354F0" w:rsidRPr="00032FA5" w:rsidRDefault="005354F0" w:rsidP="005354F0">
            <w:pPr>
              <w:rPr>
                <w:rFonts w:cs="Arial"/>
              </w:rPr>
            </w:pPr>
            <w:r w:rsidRPr="00032FA5">
              <w:rPr>
                <w:rFonts w:cs="Arial"/>
              </w:rPr>
              <w:t>Повишена аланинаминотранс фераза</w:t>
            </w:r>
          </w:p>
          <w:p w14:paraId="5F4F7480" w14:textId="77777777" w:rsidR="005354F0" w:rsidRPr="00032FA5" w:rsidRDefault="005354F0" w:rsidP="005354F0">
            <w:pPr>
              <w:rPr>
                <w:rFonts w:cs="Arial"/>
              </w:rPr>
            </w:pPr>
            <w:r w:rsidRPr="00032FA5">
              <w:rPr>
                <w:rFonts w:cs="Arial"/>
              </w:rPr>
              <w:t>Повишени стойности на креатинина в кръвта</w:t>
            </w:r>
          </w:p>
          <w:p w14:paraId="06353DF3" w14:textId="77777777" w:rsidR="005354F0" w:rsidRPr="00032FA5" w:rsidRDefault="005354F0" w:rsidP="005354F0">
            <w:pPr>
              <w:rPr>
                <w:rFonts w:cs="Arial"/>
              </w:rPr>
            </w:pPr>
            <w:r w:rsidRPr="00032FA5">
              <w:rPr>
                <w:rFonts w:cs="Arial"/>
              </w:rPr>
              <w:lastRenderedPageBreak/>
              <w:t>Повишено кръвно налягане</w:t>
            </w:r>
          </w:p>
          <w:p w14:paraId="0C3F9349" w14:textId="439658E3" w:rsidR="005354F0" w:rsidRPr="00032FA5" w:rsidRDefault="005354F0" w:rsidP="005354F0">
            <w:pPr>
              <w:rPr>
                <w:rFonts w:cs="Arial"/>
              </w:rPr>
            </w:pPr>
            <w:r w:rsidRPr="00032FA5">
              <w:rPr>
                <w:rFonts w:cs="Arial"/>
              </w:rPr>
              <w:t>Повишени стойности на пикочната киселина в кръвта</w:t>
            </w:r>
          </w:p>
        </w:tc>
        <w:tc>
          <w:tcPr>
            <w:tcW w:w="1948" w:type="dxa"/>
          </w:tcPr>
          <w:p w14:paraId="79DCCC7C" w14:textId="77777777" w:rsidR="005354F0" w:rsidRPr="00032FA5" w:rsidRDefault="005354F0" w:rsidP="005354F0">
            <w:pPr>
              <w:rPr>
                <w:rFonts w:cs="Arial"/>
              </w:rPr>
            </w:pPr>
            <w:r w:rsidRPr="00032FA5">
              <w:rPr>
                <w:rFonts w:cs="Arial"/>
              </w:rPr>
              <w:lastRenderedPageBreak/>
              <w:t>Повишени стойности на креатинфосфокиназата в кръвта</w:t>
            </w:r>
          </w:p>
          <w:p w14:paraId="7E021D0D" w14:textId="269DB0F4" w:rsidR="005354F0" w:rsidRPr="00032FA5" w:rsidRDefault="005354F0" w:rsidP="005354F0">
            <w:pPr>
              <w:rPr>
                <w:rFonts w:cs="Arial"/>
              </w:rPr>
            </w:pPr>
            <w:r w:rsidRPr="00032FA5">
              <w:rPr>
                <w:rFonts w:cs="Arial"/>
              </w:rPr>
              <w:t>Повишени стойности на тиреоид стимулиращия хормон в кръвта</w:t>
            </w:r>
          </w:p>
        </w:tc>
        <w:tc>
          <w:tcPr>
            <w:tcW w:w="1627" w:type="dxa"/>
          </w:tcPr>
          <w:p w14:paraId="32216B24" w14:textId="77777777" w:rsidR="005354F0" w:rsidRPr="00032FA5" w:rsidRDefault="005354F0" w:rsidP="005354F0">
            <w:pPr>
              <w:rPr>
                <w:rFonts w:cs="Arial"/>
              </w:rPr>
            </w:pPr>
          </w:p>
        </w:tc>
        <w:tc>
          <w:tcPr>
            <w:tcW w:w="1100" w:type="dxa"/>
          </w:tcPr>
          <w:p w14:paraId="471821D0" w14:textId="77777777" w:rsidR="005354F0" w:rsidRPr="00032FA5" w:rsidRDefault="005354F0" w:rsidP="005354F0">
            <w:pPr>
              <w:rPr>
                <w:rFonts w:cs="Arial"/>
              </w:rPr>
            </w:pPr>
          </w:p>
        </w:tc>
      </w:tr>
    </w:tbl>
    <w:p w14:paraId="1CA4DDB1" w14:textId="457D0BB3" w:rsidR="005354F0" w:rsidRDefault="005354F0" w:rsidP="005354F0"/>
    <w:p w14:paraId="62666829" w14:textId="77777777" w:rsidR="005354F0" w:rsidRPr="005354F0" w:rsidRDefault="005354F0" w:rsidP="005354F0">
      <w:pPr>
        <w:spacing w:line="240" w:lineRule="auto"/>
        <w:rPr>
          <w:rFonts w:ascii="Times New Roman" w:eastAsia="Times New Roman" w:hAnsi="Times New Roman" w:cs="Times New Roman"/>
          <w:sz w:val="20"/>
          <w:szCs w:val="20"/>
          <w:lang w:eastAsia="bg-BG"/>
        </w:rPr>
      </w:pPr>
      <w:r w:rsidRPr="005354F0">
        <w:rPr>
          <w:rFonts w:eastAsia="Times New Roman" w:cs="Arial"/>
          <w:color w:val="000000"/>
          <w:sz w:val="20"/>
          <w:szCs w:val="20"/>
          <w:lang w:eastAsia="bg-BG"/>
        </w:rPr>
        <w:t>* Включително летални събития.</w:t>
      </w:r>
    </w:p>
    <w:p w14:paraId="50006AA0" w14:textId="77777777" w:rsidR="005354F0" w:rsidRPr="005354F0" w:rsidRDefault="005354F0" w:rsidP="005354F0">
      <w:pPr>
        <w:rPr>
          <w:rFonts w:eastAsia="Times New Roman" w:cs="Arial"/>
          <w:color w:val="000000"/>
          <w:sz w:val="20"/>
          <w:szCs w:val="20"/>
          <w:lang w:eastAsia="bg-BG"/>
        </w:rPr>
      </w:pPr>
    </w:p>
    <w:p w14:paraId="5450FA9B" w14:textId="77777777" w:rsidR="005354F0" w:rsidRDefault="005354F0" w:rsidP="005354F0">
      <w:pPr>
        <w:rPr>
          <w:rFonts w:eastAsia="Times New Roman" w:cs="Arial"/>
          <w:color w:val="000000"/>
          <w:sz w:val="20"/>
          <w:szCs w:val="20"/>
          <w:lang w:eastAsia="bg-BG"/>
        </w:rPr>
      </w:pPr>
      <w:r w:rsidRPr="005354F0">
        <w:rPr>
          <w:rFonts w:eastAsia="Times New Roman" w:cs="Arial"/>
          <w:color w:val="000000"/>
          <w:sz w:val="20"/>
          <w:szCs w:val="20"/>
          <w:lang w:eastAsia="bg-BG"/>
        </w:rPr>
        <w:t xml:space="preserve">Комбинирани са следните термини: </w:t>
      </w:r>
    </w:p>
    <w:p w14:paraId="6936B3BB" w14:textId="41AAE360" w:rsidR="005354F0" w:rsidRDefault="005354F0" w:rsidP="005354F0">
      <w:pPr>
        <w:rPr>
          <w:rFonts w:eastAsia="Times New Roman" w:cs="Arial"/>
          <w:color w:val="000000"/>
          <w:sz w:val="20"/>
          <w:szCs w:val="20"/>
          <w:lang w:eastAsia="bg-BG"/>
        </w:rPr>
      </w:pPr>
      <w:r w:rsidRPr="005354F0">
        <w:rPr>
          <w:rFonts w:eastAsia="Times New Roman" w:cs="Arial"/>
          <w:color w:val="000000"/>
          <w:sz w:val="20"/>
          <w:szCs w:val="20"/>
          <w:vertAlign w:val="superscript"/>
          <w:lang w:eastAsia="bg-BG"/>
        </w:rPr>
        <w:t>а</w:t>
      </w:r>
      <w:r w:rsidRPr="005354F0">
        <w:rPr>
          <w:rFonts w:eastAsia="Times New Roman" w:cs="Arial"/>
          <w:color w:val="000000"/>
          <w:sz w:val="20"/>
          <w:szCs w:val="20"/>
          <w:lang w:eastAsia="bg-BG"/>
        </w:rPr>
        <w:t xml:space="preserve"> назофарингит и херпес на устата;</w:t>
      </w:r>
    </w:p>
    <w:p w14:paraId="69B02BB3" w14:textId="6D736BB1" w:rsidR="005354F0" w:rsidRPr="005354F0" w:rsidRDefault="005354F0" w:rsidP="005354F0">
      <w:pPr>
        <w:spacing w:line="240" w:lineRule="auto"/>
        <w:rPr>
          <w:rFonts w:eastAsia="Times New Roman" w:cs="Arial"/>
          <w:sz w:val="20"/>
          <w:szCs w:val="20"/>
          <w:lang w:eastAsia="bg-BG"/>
        </w:rPr>
      </w:pPr>
      <w:r>
        <w:rPr>
          <w:rFonts w:eastAsia="Times New Roman" w:cs="Arial"/>
          <w:color w:val="000000"/>
          <w:sz w:val="20"/>
          <w:szCs w:val="20"/>
          <w:vertAlign w:val="superscript"/>
          <w:lang w:eastAsia="bg-BG"/>
        </w:rPr>
        <w:t>б</w:t>
      </w:r>
      <w:r w:rsidRPr="005354F0">
        <w:rPr>
          <w:rFonts w:eastAsia="Times New Roman" w:cs="Arial"/>
          <w:color w:val="000000"/>
          <w:sz w:val="20"/>
          <w:szCs w:val="20"/>
          <w:lang w:eastAsia="bg-BG"/>
        </w:rPr>
        <w:t xml:space="preserve"> бронхит, инфекции на долните дихателни пътища, пневмония и инфекции на дихателните пътища;</w:t>
      </w:r>
    </w:p>
    <w:p w14:paraId="268955C2"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в</w:t>
      </w:r>
      <w:r w:rsidRPr="005354F0">
        <w:rPr>
          <w:rFonts w:eastAsia="Times New Roman" w:cs="Arial"/>
          <w:color w:val="000000"/>
          <w:sz w:val="20"/>
          <w:szCs w:val="20"/>
          <w:lang w:eastAsia="bg-BG"/>
        </w:rPr>
        <w:t xml:space="preserve"> абсцес, абсцес на крайник, анален абсцес, абсцес на венците, абсцес на черния дроб, абсцес на панкреаса, перинеален абсцес, периректален абсцес, ректален абсцес, субкутанен абсцес и зъбен абсцес;</w:t>
      </w:r>
    </w:p>
    <w:p w14:paraId="7DABC43F"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г</w:t>
      </w:r>
      <w:r w:rsidRPr="005354F0">
        <w:rPr>
          <w:rFonts w:eastAsia="Times New Roman" w:cs="Arial"/>
          <w:color w:val="000000"/>
          <w:sz w:val="20"/>
          <w:szCs w:val="20"/>
          <w:lang w:eastAsia="bg-BG"/>
        </w:rPr>
        <w:t xml:space="preserve"> езофагеална кандидоза и устна кандидоза;</w:t>
      </w:r>
    </w:p>
    <w:p w14:paraId="54E4CD7B" w14:textId="77777777" w:rsidR="005354F0" w:rsidRDefault="005354F0" w:rsidP="005354F0">
      <w:pPr>
        <w:spacing w:line="240" w:lineRule="auto"/>
        <w:rPr>
          <w:rFonts w:eastAsia="Times New Roman" w:cs="Arial"/>
          <w:color w:val="000000"/>
          <w:sz w:val="20"/>
          <w:szCs w:val="20"/>
          <w:lang w:eastAsia="bg-BG"/>
        </w:rPr>
      </w:pPr>
      <w:r w:rsidRPr="005354F0">
        <w:rPr>
          <w:rFonts w:eastAsia="Times New Roman" w:cs="Arial"/>
          <w:color w:val="000000"/>
          <w:sz w:val="20"/>
          <w:szCs w:val="20"/>
          <w:vertAlign w:val="superscript"/>
          <w:lang w:eastAsia="bg-BG"/>
        </w:rPr>
        <w:t>д</w:t>
      </w:r>
      <w:r w:rsidRPr="005354F0">
        <w:rPr>
          <w:rFonts w:eastAsia="Times New Roman" w:cs="Arial"/>
          <w:color w:val="000000"/>
          <w:sz w:val="20"/>
          <w:szCs w:val="20"/>
          <w:lang w:eastAsia="bg-BG"/>
        </w:rPr>
        <w:t xml:space="preserve"> целулит и кожни инфекции; </w:t>
      </w:r>
    </w:p>
    <w:p w14:paraId="7D7481C6" w14:textId="213FF6F0" w:rsidR="005354F0" w:rsidRPr="005354F0" w:rsidRDefault="005354F0" w:rsidP="005354F0">
      <w:pPr>
        <w:spacing w:line="240" w:lineRule="auto"/>
        <w:rPr>
          <w:rFonts w:eastAsia="Times New Roman" w:cs="Arial"/>
          <w:sz w:val="20"/>
          <w:szCs w:val="20"/>
          <w:lang w:eastAsia="bg-BG"/>
        </w:rPr>
      </w:pPr>
      <w:r w:rsidRPr="005354F0">
        <w:rPr>
          <w:rFonts w:eastAsia="Times New Roman" w:cs="Arial"/>
          <w:b/>
          <w:bCs/>
          <w:color w:val="000000"/>
          <w:sz w:val="20"/>
          <w:szCs w:val="20"/>
          <w:vertAlign w:val="superscript"/>
          <w:lang w:eastAsia="bg-BG"/>
        </w:rPr>
        <w:t>е</w:t>
      </w:r>
      <w:r w:rsidRPr="005354F0">
        <w:rPr>
          <w:rFonts w:eastAsia="Times New Roman" w:cs="Arial"/>
          <w:color w:val="000000"/>
          <w:sz w:val="20"/>
          <w:szCs w:val="20"/>
          <w:lang w:eastAsia="bg-BG"/>
        </w:rPr>
        <w:t>сепсис и септичен шок;</w:t>
      </w:r>
    </w:p>
    <w:p w14:paraId="79A37D84" w14:textId="2DF1229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ж</w:t>
      </w:r>
      <w:r w:rsidRPr="005354F0">
        <w:rPr>
          <w:rFonts w:eastAsia="Times New Roman" w:cs="Arial"/>
          <w:color w:val="000000"/>
          <w:sz w:val="20"/>
          <w:szCs w:val="20"/>
          <w:lang w:eastAsia="bg-BG"/>
        </w:rPr>
        <w:t>абдоминален абсцес, абдоминален сепсис, дивертикулит и остеомиелит;</w:t>
      </w:r>
    </w:p>
    <w:p w14:paraId="10132312" w14:textId="16C8C6B0"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з</w:t>
      </w:r>
      <w:r w:rsidRPr="005354F0">
        <w:rPr>
          <w:rFonts w:eastAsia="Times New Roman" w:cs="Arial"/>
          <w:color w:val="000000"/>
          <w:sz w:val="20"/>
          <w:szCs w:val="20"/>
          <w:lang w:eastAsia="bg-BG"/>
        </w:rPr>
        <w:t>тромботична микроангиопатия, тромботична тромбоцитопенична пурпура и хемолитично- уремичен синдром;</w:t>
      </w:r>
    </w:p>
    <w:p w14:paraId="49353597"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и</w:t>
      </w:r>
      <w:r w:rsidRPr="005354F0">
        <w:rPr>
          <w:rFonts w:eastAsia="Times New Roman" w:cs="Arial"/>
          <w:color w:val="000000"/>
          <w:sz w:val="20"/>
          <w:szCs w:val="20"/>
          <w:lang w:eastAsia="bg-BG"/>
        </w:rPr>
        <w:t xml:space="preserve"> намален апетит и анорексия;</w:t>
      </w:r>
    </w:p>
    <w:p w14:paraId="0B27F528" w14:textId="4FD00543" w:rsidR="005354F0" w:rsidRPr="005354F0" w:rsidRDefault="005354F0" w:rsidP="005354F0">
      <w:pPr>
        <w:spacing w:line="240" w:lineRule="auto"/>
        <w:rPr>
          <w:rFonts w:eastAsia="Times New Roman" w:cs="Arial"/>
          <w:sz w:val="20"/>
          <w:szCs w:val="20"/>
          <w:lang w:eastAsia="bg-BG"/>
        </w:rPr>
      </w:pPr>
      <w:r w:rsidRPr="005354F0">
        <w:rPr>
          <w:rFonts w:eastAsia="Times New Roman" w:cs="Arial"/>
          <w:bCs/>
          <w:color w:val="000000"/>
          <w:sz w:val="20"/>
          <w:szCs w:val="20"/>
          <w:vertAlign w:val="superscript"/>
          <w:lang w:eastAsia="bg-BG"/>
        </w:rPr>
        <w:t>й</w:t>
      </w:r>
      <w:r w:rsidRPr="005354F0">
        <w:rPr>
          <w:rFonts w:eastAsia="Times New Roman" w:cs="Arial"/>
          <w:color w:val="000000"/>
          <w:sz w:val="20"/>
          <w:szCs w:val="20"/>
          <w:lang w:eastAsia="bg-BG"/>
        </w:rPr>
        <w:t>дисгеузия, агеузия, нарушен вкус;</w:t>
      </w:r>
    </w:p>
    <w:p w14:paraId="16F4AF30"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к</w:t>
      </w:r>
      <w:r w:rsidRPr="005354F0">
        <w:rPr>
          <w:rFonts w:eastAsia="Times New Roman" w:cs="Arial"/>
          <w:color w:val="000000"/>
          <w:sz w:val="20"/>
          <w:szCs w:val="20"/>
          <w:lang w:eastAsia="bg-BG"/>
        </w:rPr>
        <w:t xml:space="preserve"> остър коронарен синдром, стенокардия, нестабилна стенокардия, запушване на коронарна артерия, мнокардна исхемия;</w:t>
      </w:r>
    </w:p>
    <w:p w14:paraId="43F18BFE"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л</w:t>
      </w:r>
      <w:r w:rsidRPr="005354F0">
        <w:rPr>
          <w:rFonts w:eastAsia="Times New Roman" w:cs="Arial"/>
          <w:color w:val="000000"/>
          <w:sz w:val="20"/>
          <w:szCs w:val="20"/>
          <w:lang w:eastAsia="bg-BG"/>
        </w:rPr>
        <w:t xml:space="preserve"> понижена/абно</w:t>
      </w:r>
      <w:bookmarkStart w:id="1" w:name="_GoBack"/>
      <w:bookmarkEnd w:id="1"/>
      <w:r w:rsidRPr="005354F0">
        <w:rPr>
          <w:rFonts w:eastAsia="Times New Roman" w:cs="Arial"/>
          <w:color w:val="000000"/>
          <w:sz w:val="20"/>
          <w:szCs w:val="20"/>
          <w:lang w:eastAsia="bg-BG"/>
        </w:rPr>
        <w:t>рмна фракция на изтласкване;</w:t>
      </w:r>
    </w:p>
    <w:p w14:paraId="24947B06"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м</w:t>
      </w:r>
      <w:r w:rsidRPr="005354F0">
        <w:rPr>
          <w:rFonts w:eastAsia="Times New Roman" w:cs="Arial"/>
          <w:color w:val="000000"/>
          <w:sz w:val="20"/>
          <w:szCs w:val="20"/>
          <w:lang w:eastAsia="bg-BG"/>
        </w:rPr>
        <w:t xml:space="preserve"> остър миокарден инфаркт, миокарден инфаркт, „тих“ миокарден инфаркт;</w:t>
      </w:r>
    </w:p>
    <w:p w14:paraId="6F40504C"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н</w:t>
      </w:r>
      <w:r w:rsidRPr="005354F0">
        <w:rPr>
          <w:rFonts w:eastAsia="Times New Roman" w:cs="Arial"/>
          <w:color w:val="000000"/>
          <w:sz w:val="20"/>
          <w:szCs w:val="20"/>
          <w:lang w:eastAsia="bg-BG"/>
        </w:rPr>
        <w:t xml:space="preserve"> орофарингеална и фаринголарингеална болка;</w:t>
      </w:r>
    </w:p>
    <w:p w14:paraId="11555984" w14:textId="77777777" w:rsidR="005354F0" w:rsidRPr="005354F0" w:rsidRDefault="005354F0" w:rsidP="005354F0">
      <w:pPr>
        <w:spacing w:line="240" w:lineRule="auto"/>
        <w:rPr>
          <w:rFonts w:eastAsia="Times New Roman" w:cs="Arial"/>
          <w:sz w:val="20"/>
          <w:szCs w:val="20"/>
          <w:lang w:eastAsia="bg-BG"/>
        </w:rPr>
      </w:pPr>
      <w:proofErr w:type="gramStart"/>
      <w:r w:rsidRPr="005354F0">
        <w:rPr>
          <w:rFonts w:eastAsia="Times New Roman" w:cs="Arial"/>
          <w:color w:val="000000"/>
          <w:sz w:val="20"/>
          <w:szCs w:val="20"/>
          <w:vertAlign w:val="superscript"/>
          <w:lang w:val="en-US"/>
        </w:rPr>
        <w:t>o</w:t>
      </w:r>
      <w:proofErr w:type="gramEnd"/>
      <w:r w:rsidRPr="005354F0">
        <w:rPr>
          <w:rFonts w:eastAsia="Times New Roman" w:cs="Arial"/>
          <w:color w:val="000000"/>
          <w:sz w:val="20"/>
          <w:szCs w:val="20"/>
          <w:lang w:eastAsia="bg-BG"/>
        </w:rPr>
        <w:t xml:space="preserve"> стоматит и афтозен стоматит;</w:t>
      </w:r>
    </w:p>
    <w:p w14:paraId="1257D1A1"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п</w:t>
      </w:r>
      <w:r w:rsidRPr="005354F0">
        <w:rPr>
          <w:rFonts w:eastAsia="Times New Roman" w:cs="Arial"/>
          <w:color w:val="000000"/>
          <w:sz w:val="20"/>
          <w:szCs w:val="20"/>
          <w:lang w:eastAsia="bg-BG"/>
        </w:rPr>
        <w:t xml:space="preserve"> коремни болки, болки в горната и долната част на корема;</w:t>
      </w:r>
    </w:p>
    <w:p w14:paraId="4E11DB90"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р</w:t>
      </w:r>
      <w:r w:rsidRPr="005354F0">
        <w:rPr>
          <w:rFonts w:eastAsia="Times New Roman" w:cs="Arial"/>
          <w:color w:val="000000"/>
          <w:sz w:val="20"/>
          <w:szCs w:val="20"/>
          <w:lang w:eastAsia="bg-BG"/>
        </w:rPr>
        <w:t xml:space="preserve"> стомашно-чревна перфорация и чревна перфорация;</w:t>
      </w:r>
    </w:p>
    <w:p w14:paraId="1E21077E" w14:textId="77777777" w:rsidR="005354F0" w:rsidRPr="005354F0" w:rsidRDefault="005354F0" w:rsidP="005354F0">
      <w:pPr>
        <w:spacing w:line="240" w:lineRule="auto"/>
        <w:rPr>
          <w:rFonts w:eastAsia="Times New Roman" w:cs="Arial"/>
          <w:sz w:val="20"/>
          <w:szCs w:val="20"/>
          <w:lang w:eastAsia="bg-BG"/>
        </w:rPr>
      </w:pPr>
      <w:proofErr w:type="gramStart"/>
      <w:r w:rsidRPr="005354F0">
        <w:rPr>
          <w:rFonts w:eastAsia="Times New Roman" w:cs="Arial"/>
          <w:color w:val="000000"/>
          <w:sz w:val="20"/>
          <w:szCs w:val="20"/>
          <w:vertAlign w:val="superscript"/>
          <w:lang w:val="en-US"/>
        </w:rPr>
        <w:t>c</w:t>
      </w:r>
      <w:proofErr w:type="gramEnd"/>
      <w:r w:rsidRPr="005354F0">
        <w:rPr>
          <w:rFonts w:eastAsia="Times New Roman" w:cs="Arial"/>
          <w:color w:val="000000"/>
          <w:sz w:val="20"/>
          <w:szCs w:val="20"/>
          <w:lang w:eastAsia="bg-BG"/>
        </w:rPr>
        <w:t xml:space="preserve"> колит и исхемичен колит; .</w:t>
      </w:r>
    </w:p>
    <w:p w14:paraId="742940FD"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т</w:t>
      </w:r>
      <w:r w:rsidRPr="005354F0">
        <w:rPr>
          <w:rFonts w:eastAsia="Times New Roman" w:cs="Arial"/>
          <w:color w:val="000000"/>
          <w:sz w:val="20"/>
          <w:szCs w:val="20"/>
          <w:lang w:eastAsia="bg-BG"/>
        </w:rPr>
        <w:t xml:space="preserve"> холецистит и акалкулозен холецистит;</w:t>
      </w:r>
    </w:p>
    <w:p w14:paraId="6DAF3067"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у</w:t>
      </w:r>
      <w:r w:rsidRPr="005354F0">
        <w:rPr>
          <w:rFonts w:eastAsia="Times New Roman" w:cs="Arial"/>
          <w:color w:val="000000"/>
          <w:sz w:val="20"/>
          <w:szCs w:val="20"/>
          <w:lang w:eastAsia="bg-BG"/>
        </w:rPr>
        <w:t xml:space="preserve"> жълта кожа, обезцветяване на кожата и нарушена пигментация;</w:t>
      </w:r>
    </w:p>
    <w:p w14:paraId="74E0E16A"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ф</w:t>
      </w:r>
      <w:r w:rsidRPr="005354F0">
        <w:rPr>
          <w:rFonts w:eastAsia="Times New Roman" w:cs="Arial"/>
          <w:color w:val="000000"/>
          <w:sz w:val="20"/>
          <w:szCs w:val="20"/>
          <w:lang w:eastAsia="bg-BG"/>
        </w:rPr>
        <w:t xml:space="preserve"> псориазиформен дерматит, ексфолиативен обрив, обрив, еритематозен обрив, фоликуларен обрив, генерализиран обрив, макулозен обрив, макулопапулозен обрив, папулозен обрив, сърбящ обрив;</w:t>
      </w:r>
    </w:p>
    <w:p w14:paraId="7234A567"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х</w:t>
      </w:r>
      <w:r w:rsidRPr="005354F0">
        <w:rPr>
          <w:rFonts w:eastAsia="Times New Roman" w:cs="Arial"/>
          <w:color w:val="000000"/>
          <w:sz w:val="20"/>
          <w:szCs w:val="20"/>
          <w:lang w:eastAsia="bg-BG"/>
        </w:rPr>
        <w:t xml:space="preserve"> кожни реакции и кожни нарушения;</w:t>
      </w:r>
    </w:p>
    <w:p w14:paraId="68BA5108"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ц</w:t>
      </w:r>
      <w:r w:rsidRPr="005354F0">
        <w:rPr>
          <w:rFonts w:eastAsia="Times New Roman" w:cs="Arial"/>
          <w:color w:val="000000"/>
          <w:sz w:val="20"/>
          <w:szCs w:val="20"/>
          <w:lang w:eastAsia="bg-BG"/>
        </w:rPr>
        <w:t xml:space="preserve"> нарушения на ноктите и обезцветяване на ноктите;</w:t>
      </w:r>
    </w:p>
    <w:p w14:paraId="4EC3A068"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ч</w:t>
      </w:r>
      <w:r w:rsidRPr="005354F0">
        <w:rPr>
          <w:rFonts w:eastAsia="Times New Roman" w:cs="Arial"/>
          <w:color w:val="000000"/>
          <w:sz w:val="20"/>
          <w:szCs w:val="20"/>
          <w:lang w:eastAsia="bg-BG"/>
        </w:rPr>
        <w:t xml:space="preserve"> умора и астения;</w:t>
      </w:r>
    </w:p>
    <w:p w14:paraId="41EDA354"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ш</w:t>
      </w:r>
      <w:r w:rsidRPr="005354F0">
        <w:rPr>
          <w:rFonts w:eastAsia="Times New Roman" w:cs="Arial"/>
          <w:color w:val="000000"/>
          <w:sz w:val="20"/>
          <w:szCs w:val="20"/>
          <w:lang w:eastAsia="bg-BG"/>
        </w:rPr>
        <w:t xml:space="preserve"> оток на лицето, оток и периферен оток;</w:t>
      </w:r>
    </w:p>
    <w:p w14:paraId="549F966C" w14:textId="77777777" w:rsidR="005354F0" w:rsidRPr="005354F0" w:rsidRDefault="005354F0" w:rsidP="005354F0">
      <w:pPr>
        <w:spacing w:line="240" w:lineRule="auto"/>
        <w:rPr>
          <w:rFonts w:eastAsia="Times New Roman" w:cs="Arial"/>
          <w:sz w:val="20"/>
          <w:szCs w:val="20"/>
          <w:lang w:eastAsia="bg-BG"/>
        </w:rPr>
      </w:pPr>
      <w:r w:rsidRPr="005354F0">
        <w:rPr>
          <w:rFonts w:eastAsia="Times New Roman" w:cs="Arial"/>
          <w:color w:val="000000"/>
          <w:sz w:val="20"/>
          <w:szCs w:val="20"/>
          <w:vertAlign w:val="superscript"/>
          <w:lang w:eastAsia="bg-BG"/>
        </w:rPr>
        <w:t>щ</w:t>
      </w:r>
      <w:r w:rsidRPr="005354F0">
        <w:rPr>
          <w:rFonts w:eastAsia="Times New Roman" w:cs="Arial"/>
          <w:color w:val="000000"/>
          <w:sz w:val="20"/>
          <w:szCs w:val="20"/>
          <w:lang w:eastAsia="bg-BG"/>
        </w:rPr>
        <w:t xml:space="preserve"> амилаза и повишена амилаза</w:t>
      </w:r>
    </w:p>
    <w:p w14:paraId="56B9835D" w14:textId="77777777" w:rsidR="005354F0" w:rsidRDefault="005354F0" w:rsidP="005354F0">
      <w:pPr>
        <w:spacing w:line="240" w:lineRule="auto"/>
        <w:rPr>
          <w:rFonts w:ascii="Times New Roman" w:eastAsia="Times New Roman" w:hAnsi="Times New Roman" w:cs="Times New Roman"/>
          <w:i/>
          <w:iCs/>
          <w:color w:val="000000"/>
          <w:sz w:val="20"/>
          <w:szCs w:val="20"/>
          <w:u w:val="single"/>
          <w:lang w:eastAsia="bg-BG"/>
        </w:rPr>
      </w:pPr>
    </w:p>
    <w:p w14:paraId="095A7CF6" w14:textId="20E044BB" w:rsidR="005354F0" w:rsidRPr="005354F0" w:rsidRDefault="005354F0" w:rsidP="005354F0">
      <w:pPr>
        <w:spacing w:line="240" w:lineRule="auto"/>
        <w:rPr>
          <w:rFonts w:eastAsia="Times New Roman" w:cs="Arial"/>
          <w:lang w:eastAsia="bg-BG"/>
        </w:rPr>
      </w:pPr>
      <w:r w:rsidRPr="005354F0">
        <w:rPr>
          <w:rFonts w:eastAsia="Times New Roman" w:cs="Arial"/>
          <w:i/>
          <w:iCs/>
          <w:color w:val="000000"/>
          <w:u w:val="single"/>
          <w:lang w:eastAsia="bg-BG"/>
        </w:rPr>
        <w:t>Описание на избрани нежелани реакции</w:t>
      </w:r>
    </w:p>
    <w:p w14:paraId="6F78A708" w14:textId="77777777" w:rsidR="005354F0" w:rsidRPr="005354F0" w:rsidRDefault="005354F0" w:rsidP="005354F0">
      <w:pPr>
        <w:spacing w:line="240" w:lineRule="auto"/>
        <w:rPr>
          <w:rFonts w:eastAsia="Times New Roman" w:cs="Arial"/>
          <w:lang w:eastAsia="bg-BG"/>
        </w:rPr>
      </w:pPr>
      <w:r w:rsidRPr="005354F0">
        <w:rPr>
          <w:rFonts w:eastAsia="Times New Roman" w:cs="Arial"/>
          <w:i/>
          <w:iCs/>
          <w:color w:val="000000"/>
          <w:lang w:eastAsia="bg-BG"/>
        </w:rPr>
        <w:t>Инфекции и инфестации</w:t>
      </w:r>
    </w:p>
    <w:p w14:paraId="02ACCA8E" w14:textId="77777777" w:rsidR="005354F0" w:rsidRPr="005354F0" w:rsidRDefault="005354F0" w:rsidP="005354F0">
      <w:pPr>
        <w:spacing w:line="240" w:lineRule="auto"/>
        <w:rPr>
          <w:rFonts w:eastAsia="Times New Roman" w:cs="Arial"/>
          <w:lang w:eastAsia="bg-BG"/>
        </w:rPr>
      </w:pPr>
      <w:r w:rsidRPr="005354F0">
        <w:rPr>
          <w:rFonts w:eastAsia="Times New Roman" w:cs="Arial"/>
          <w:color w:val="000000"/>
          <w:lang w:eastAsia="bg-BG"/>
        </w:rPr>
        <w:t>Съобщават се случаи на сериозна инфекция (със или без неутропения), включително случаи с летален изход. Съобщава се за случаи на некротизиращ фасциит, включително и на перинеума, понякога летални (вж. също и т. 4.4).</w:t>
      </w:r>
    </w:p>
    <w:p w14:paraId="38202B48" w14:textId="77777777" w:rsidR="005354F0" w:rsidRPr="005354F0" w:rsidRDefault="005354F0" w:rsidP="005354F0">
      <w:pPr>
        <w:spacing w:line="240" w:lineRule="auto"/>
        <w:rPr>
          <w:rFonts w:eastAsia="Times New Roman" w:cs="Arial"/>
          <w:i/>
          <w:iCs/>
          <w:color w:val="000000"/>
          <w:lang w:eastAsia="bg-BG"/>
        </w:rPr>
      </w:pPr>
    </w:p>
    <w:p w14:paraId="39E36BC0" w14:textId="25F160ED" w:rsidR="005354F0" w:rsidRPr="005354F0" w:rsidRDefault="005354F0" w:rsidP="005354F0">
      <w:pPr>
        <w:spacing w:line="240" w:lineRule="auto"/>
        <w:rPr>
          <w:rFonts w:eastAsia="Times New Roman" w:cs="Arial"/>
          <w:lang w:eastAsia="bg-BG"/>
        </w:rPr>
      </w:pPr>
      <w:r w:rsidRPr="005354F0">
        <w:rPr>
          <w:rFonts w:eastAsia="Times New Roman" w:cs="Arial"/>
          <w:i/>
          <w:iCs/>
          <w:color w:val="000000"/>
          <w:lang w:eastAsia="bg-BG"/>
        </w:rPr>
        <w:t>Нарушения на кръвта и лимфната система</w:t>
      </w:r>
    </w:p>
    <w:p w14:paraId="64A96723" w14:textId="77777777" w:rsidR="005354F0" w:rsidRPr="005354F0" w:rsidRDefault="005354F0" w:rsidP="005354F0">
      <w:pPr>
        <w:spacing w:line="240" w:lineRule="auto"/>
        <w:rPr>
          <w:rFonts w:eastAsia="Times New Roman" w:cs="Arial"/>
          <w:lang w:eastAsia="bg-BG"/>
        </w:rPr>
      </w:pPr>
      <w:r w:rsidRPr="005354F0">
        <w:rPr>
          <w:rFonts w:eastAsia="Times New Roman" w:cs="Arial"/>
          <w:color w:val="000000"/>
          <w:lang w:eastAsia="bg-BG"/>
        </w:rPr>
        <w:lastRenderedPageBreak/>
        <w:t xml:space="preserve">Намален абсолютен брой на неутрофилите с тежест от 3 и 4 степен е съобщен съответно при 10% и 1,7% от пациентите в </w:t>
      </w:r>
      <w:r w:rsidRPr="005354F0">
        <w:rPr>
          <w:rFonts w:eastAsia="Times New Roman" w:cs="Arial"/>
          <w:color w:val="000000"/>
          <w:lang w:val="en-US"/>
        </w:rPr>
        <w:t xml:space="preserve">GIST </w:t>
      </w:r>
      <w:r w:rsidRPr="005354F0">
        <w:rPr>
          <w:rFonts w:eastAsia="Times New Roman" w:cs="Arial"/>
          <w:color w:val="000000"/>
          <w:lang w:eastAsia="bg-BG"/>
        </w:rPr>
        <w:t xml:space="preserve">проучване фаза 3, при 16% и 1,6% от пациентите в </w:t>
      </w:r>
      <w:r w:rsidRPr="005354F0">
        <w:rPr>
          <w:rFonts w:eastAsia="Times New Roman" w:cs="Arial"/>
          <w:color w:val="000000"/>
          <w:lang w:val="en-US"/>
        </w:rPr>
        <w:t xml:space="preserve">MRCC </w:t>
      </w:r>
      <w:r w:rsidRPr="005354F0">
        <w:rPr>
          <w:rFonts w:eastAsia="Times New Roman" w:cs="Arial"/>
          <w:color w:val="000000"/>
          <w:lang w:eastAsia="bg-BG"/>
        </w:rPr>
        <w:t xml:space="preserve">проучване фаза 3 и при 13% и 2,4% от пациентите в </w:t>
      </w:r>
      <w:r w:rsidRPr="005354F0">
        <w:rPr>
          <w:rFonts w:eastAsia="Times New Roman" w:cs="Arial"/>
          <w:color w:val="000000"/>
          <w:lang w:val="en-US"/>
        </w:rPr>
        <w:t xml:space="preserve">pNET </w:t>
      </w:r>
      <w:r w:rsidRPr="005354F0">
        <w:rPr>
          <w:rFonts w:eastAsia="Times New Roman" w:cs="Arial"/>
          <w:color w:val="000000"/>
          <w:lang w:eastAsia="bg-BG"/>
        </w:rPr>
        <w:t>проучване фаза 3.</w:t>
      </w:r>
    </w:p>
    <w:p w14:paraId="51E69802" w14:textId="77777777" w:rsidR="005354F0" w:rsidRPr="005354F0" w:rsidRDefault="005354F0" w:rsidP="005354F0">
      <w:pPr>
        <w:spacing w:line="240" w:lineRule="auto"/>
        <w:rPr>
          <w:rFonts w:eastAsia="Times New Roman" w:cs="Arial"/>
          <w:lang w:eastAsia="bg-BG"/>
        </w:rPr>
      </w:pPr>
      <w:r w:rsidRPr="005354F0">
        <w:rPr>
          <w:rFonts w:eastAsia="Times New Roman" w:cs="Arial"/>
          <w:color w:val="000000"/>
          <w:lang w:eastAsia="bg-BG"/>
        </w:rPr>
        <w:t xml:space="preserve">Намален брой на тромбоцитите с тежест от 3 и 4 степен е съобщен съответно при 3,7% и 0,4% от пациентите в </w:t>
      </w:r>
      <w:r w:rsidRPr="005354F0">
        <w:rPr>
          <w:rFonts w:eastAsia="Times New Roman" w:cs="Arial"/>
          <w:color w:val="000000"/>
          <w:lang w:val="en-US"/>
        </w:rPr>
        <w:t xml:space="preserve">GIST </w:t>
      </w:r>
      <w:r w:rsidRPr="005354F0">
        <w:rPr>
          <w:rFonts w:eastAsia="Times New Roman" w:cs="Arial"/>
          <w:color w:val="000000"/>
          <w:lang w:eastAsia="bg-BG"/>
        </w:rPr>
        <w:t xml:space="preserve">проучване фаза 3, при 8,2% и 1,1% от пациентите в </w:t>
      </w:r>
      <w:r w:rsidRPr="005354F0">
        <w:rPr>
          <w:rFonts w:eastAsia="Times New Roman" w:cs="Arial"/>
          <w:color w:val="000000"/>
          <w:lang w:val="en-US"/>
        </w:rPr>
        <w:t xml:space="preserve">MRCC </w:t>
      </w:r>
      <w:r w:rsidRPr="005354F0">
        <w:rPr>
          <w:rFonts w:eastAsia="Times New Roman" w:cs="Arial"/>
          <w:color w:val="000000"/>
          <w:lang w:eastAsia="bg-BG"/>
        </w:rPr>
        <w:t xml:space="preserve">проучване фаза 3 и при 3,7% и 1,2% от пациентите в </w:t>
      </w:r>
      <w:r w:rsidRPr="005354F0">
        <w:rPr>
          <w:rFonts w:eastAsia="Times New Roman" w:cs="Arial"/>
          <w:color w:val="000000"/>
          <w:lang w:val="en-US"/>
        </w:rPr>
        <w:t xml:space="preserve">pNET </w:t>
      </w:r>
      <w:r w:rsidRPr="005354F0">
        <w:rPr>
          <w:rFonts w:eastAsia="Times New Roman" w:cs="Arial"/>
          <w:color w:val="000000"/>
          <w:lang w:eastAsia="bg-BG"/>
        </w:rPr>
        <w:t xml:space="preserve">проучване фаза </w:t>
      </w:r>
      <w:r w:rsidRPr="005354F0">
        <w:rPr>
          <w:rFonts w:eastAsia="Times New Roman" w:cs="Arial"/>
          <w:i/>
          <w:iCs/>
          <w:color w:val="000000"/>
          <w:lang w:eastAsia="bg-BG"/>
        </w:rPr>
        <w:t>3</w:t>
      </w:r>
      <w:r w:rsidRPr="005354F0">
        <w:rPr>
          <w:rFonts w:eastAsia="Times New Roman" w:cs="Arial"/>
          <w:color w:val="000000"/>
          <w:lang w:eastAsia="bg-BG"/>
        </w:rPr>
        <w:t xml:space="preserve"> (вж. точка 4.4).</w:t>
      </w:r>
    </w:p>
    <w:p w14:paraId="58725F89" w14:textId="77777777" w:rsidR="005354F0" w:rsidRPr="005354F0" w:rsidRDefault="005354F0" w:rsidP="005354F0">
      <w:pPr>
        <w:spacing w:line="240" w:lineRule="auto"/>
        <w:rPr>
          <w:rFonts w:eastAsia="Times New Roman" w:cs="Arial"/>
          <w:color w:val="000000"/>
          <w:lang w:eastAsia="bg-BG"/>
        </w:rPr>
      </w:pPr>
    </w:p>
    <w:p w14:paraId="16626CF4" w14:textId="45293210" w:rsidR="005354F0" w:rsidRPr="005354F0" w:rsidRDefault="005354F0" w:rsidP="005354F0">
      <w:pPr>
        <w:spacing w:line="240" w:lineRule="auto"/>
        <w:rPr>
          <w:rFonts w:eastAsia="Times New Roman" w:cs="Arial"/>
          <w:lang w:eastAsia="bg-BG"/>
        </w:rPr>
      </w:pPr>
      <w:r w:rsidRPr="005354F0">
        <w:rPr>
          <w:rFonts w:eastAsia="Times New Roman" w:cs="Arial"/>
          <w:color w:val="000000"/>
          <w:lang w:eastAsia="bg-BG"/>
        </w:rPr>
        <w:t xml:space="preserve">При 18% от пациентите, приемащи сунитиниб в </w:t>
      </w:r>
      <w:r w:rsidRPr="005354F0">
        <w:rPr>
          <w:rFonts w:eastAsia="Times New Roman" w:cs="Arial"/>
          <w:color w:val="000000"/>
          <w:lang w:val="en-US"/>
        </w:rPr>
        <w:t xml:space="preserve">GIST </w:t>
      </w:r>
      <w:r w:rsidRPr="005354F0">
        <w:rPr>
          <w:rFonts w:eastAsia="Times New Roman" w:cs="Arial"/>
          <w:color w:val="000000"/>
          <w:lang w:eastAsia="bg-BG"/>
        </w:rPr>
        <w:t>проучване фаза 3, се съобщава за</w:t>
      </w:r>
      <w:r w:rsidRPr="005354F0">
        <w:rPr>
          <w:rFonts w:eastAsia="Times New Roman" w:cs="Arial"/>
          <w:color w:val="000000"/>
          <w:u w:val="single"/>
          <w:lang w:eastAsia="bg-BG"/>
        </w:rPr>
        <w:t xml:space="preserve"> </w:t>
      </w:r>
      <w:r w:rsidRPr="005354F0">
        <w:rPr>
          <w:rFonts w:eastAsia="Times New Roman" w:cs="Arial"/>
          <w:color w:val="000000"/>
          <w:lang w:eastAsia="bg-BG"/>
        </w:rPr>
        <w:t xml:space="preserve">събития на кървене, спрямо 17% от пациентите, приемащи плацебо. При 39% от пациентите, приемащи сунитиниб за нелекуван до момента </w:t>
      </w:r>
      <w:r w:rsidRPr="005354F0">
        <w:rPr>
          <w:rFonts w:eastAsia="Times New Roman" w:cs="Arial"/>
          <w:color w:val="000000"/>
          <w:lang w:val="en-US"/>
        </w:rPr>
        <w:t xml:space="preserve">MRCC, </w:t>
      </w:r>
      <w:r w:rsidRPr="005354F0">
        <w:rPr>
          <w:rFonts w:eastAsia="Times New Roman" w:cs="Arial"/>
          <w:color w:val="000000"/>
          <w:lang w:eastAsia="bg-BG"/>
        </w:rPr>
        <w:t xml:space="preserve">е имало случай на кървене, спрямо 11% от пациентите, приемащи интерферон- α </w:t>
      </w:r>
      <w:r w:rsidRPr="005354F0">
        <w:rPr>
          <w:rFonts w:eastAsia="Times New Roman" w:cs="Arial"/>
          <w:color w:val="000000"/>
          <w:lang w:val="en-US"/>
        </w:rPr>
        <w:t>(IFN</w:t>
      </w:r>
      <w:r w:rsidRPr="005354F0">
        <w:rPr>
          <w:rFonts w:eastAsia="Times New Roman" w:cs="Arial"/>
          <w:color w:val="000000"/>
          <w:lang w:eastAsia="bg-BG"/>
        </w:rPr>
        <w:t>-а). Седемнадесет</w:t>
      </w:r>
    </w:p>
    <w:p w14:paraId="53E1B643" w14:textId="58FA9984" w:rsidR="005354F0" w:rsidRPr="005354F0" w:rsidRDefault="005354F0" w:rsidP="005354F0">
      <w:pPr>
        <w:rPr>
          <w:rFonts w:eastAsia="Times New Roman" w:cs="Arial"/>
          <w:color w:val="000000"/>
          <w:lang w:eastAsia="bg-BG"/>
        </w:rPr>
      </w:pPr>
      <w:r w:rsidRPr="005354F0">
        <w:rPr>
          <w:rFonts w:eastAsia="Times New Roman" w:cs="Arial"/>
          <w:color w:val="000000"/>
          <w:lang w:eastAsia="bg-BG"/>
        </w:rPr>
        <w:t xml:space="preserve">(4,5%) пациенти на сунитиниб, спрямо 5 (1,7%) пациенти на </w:t>
      </w:r>
      <w:r w:rsidRPr="005354F0">
        <w:rPr>
          <w:rFonts w:eastAsia="Times New Roman" w:cs="Arial"/>
          <w:color w:val="000000"/>
          <w:lang w:val="en-US"/>
        </w:rPr>
        <w:t xml:space="preserve">IFN- </w:t>
      </w:r>
      <w:r w:rsidRPr="005354F0">
        <w:rPr>
          <w:rFonts w:eastAsia="Times New Roman" w:cs="Arial"/>
          <w:color w:val="000000"/>
          <w:lang w:eastAsia="bg-BG"/>
        </w:rPr>
        <w:t>α, са имали случай на кървене от степен 3 или по-висока.</w:t>
      </w:r>
    </w:p>
    <w:p w14:paraId="443BC107" w14:textId="51C4B64A" w:rsidR="005B0F27" w:rsidRDefault="005B0F27" w:rsidP="0091385D"/>
    <w:p w14:paraId="0FBF4809"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26% от пациентите, получавали сунитиниб за цитокин-рефрактерен </w:t>
      </w:r>
      <w:r w:rsidRPr="003B4F9F">
        <w:rPr>
          <w:rFonts w:eastAsia="Times New Roman" w:cs="Arial"/>
          <w:color w:val="000000"/>
          <w:lang w:val="en-US"/>
        </w:rPr>
        <w:t xml:space="preserve">MRCC, </w:t>
      </w:r>
      <w:r w:rsidRPr="003B4F9F">
        <w:rPr>
          <w:rFonts w:eastAsia="Times New Roman" w:cs="Arial"/>
          <w:color w:val="000000"/>
          <w:lang w:eastAsia="bg-BG"/>
        </w:rPr>
        <w:t xml:space="preserve">са имали кървене. Хеморагични събития, с изключение на епистаксис, са настъпили при 21,7% от пациентите, получавали сунитиниб по време на </w:t>
      </w:r>
      <w:r w:rsidRPr="003B4F9F">
        <w:rPr>
          <w:rFonts w:eastAsia="Times New Roman" w:cs="Arial"/>
          <w:color w:val="000000"/>
          <w:lang w:val="en-US"/>
        </w:rPr>
        <w:t xml:space="preserve">pNET </w:t>
      </w:r>
      <w:r w:rsidRPr="003B4F9F">
        <w:rPr>
          <w:rFonts w:eastAsia="Times New Roman" w:cs="Arial"/>
          <w:color w:val="000000"/>
          <w:lang w:eastAsia="bg-BG"/>
        </w:rPr>
        <w:t>проучване фаза 3, в сравнение с 9,85% от пациентите, получавали плацебо (вж. точка 4.4).</w:t>
      </w:r>
    </w:p>
    <w:p w14:paraId="1F79A6CE" w14:textId="77777777" w:rsidR="003B4F9F" w:rsidRPr="00030D4D" w:rsidRDefault="003B4F9F" w:rsidP="003B4F9F">
      <w:pPr>
        <w:spacing w:line="240" w:lineRule="auto"/>
        <w:rPr>
          <w:rFonts w:eastAsia="Times New Roman" w:cs="Arial"/>
          <w:color w:val="000000"/>
          <w:lang w:eastAsia="bg-BG"/>
        </w:rPr>
      </w:pPr>
    </w:p>
    <w:p w14:paraId="383B32F3" w14:textId="06810A6D"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В клинични проучвания се съобщава за случаи на туморна хеморагия при приблизително 2% от пациентите с </w:t>
      </w:r>
      <w:r w:rsidRPr="003B4F9F">
        <w:rPr>
          <w:rFonts w:eastAsia="Times New Roman" w:cs="Arial"/>
          <w:color w:val="000000"/>
          <w:lang w:val="en-US"/>
        </w:rPr>
        <w:t>GIST.</w:t>
      </w:r>
    </w:p>
    <w:p w14:paraId="4A9D1024" w14:textId="77777777" w:rsidR="003B4F9F" w:rsidRPr="00030D4D" w:rsidRDefault="003B4F9F" w:rsidP="003B4F9F">
      <w:pPr>
        <w:spacing w:line="240" w:lineRule="auto"/>
        <w:rPr>
          <w:rFonts w:eastAsia="Times New Roman" w:cs="Arial"/>
          <w:i/>
          <w:iCs/>
          <w:color w:val="000000"/>
          <w:lang w:eastAsia="bg-BG"/>
        </w:rPr>
      </w:pPr>
    </w:p>
    <w:p w14:paraId="521E5829" w14:textId="6F988E6E" w:rsidR="003B4F9F" w:rsidRPr="003B4F9F" w:rsidRDefault="003B4F9F" w:rsidP="003B4F9F">
      <w:pPr>
        <w:spacing w:line="240" w:lineRule="auto"/>
        <w:rPr>
          <w:rFonts w:eastAsia="Times New Roman" w:cs="Arial"/>
          <w:lang w:eastAsia="bg-BG"/>
        </w:rPr>
      </w:pPr>
      <w:r w:rsidRPr="003B4F9F">
        <w:rPr>
          <w:rFonts w:eastAsia="Times New Roman" w:cs="Arial"/>
          <w:i/>
          <w:iCs/>
          <w:color w:val="000000"/>
          <w:lang w:eastAsia="bg-BG"/>
        </w:rPr>
        <w:t>Нарушения на имунната система</w:t>
      </w:r>
    </w:p>
    <w:p w14:paraId="71290C76"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Съобщават се реакции на свръхчувствителност, включително ангиоедем (вж. точка 4.4).</w:t>
      </w:r>
    </w:p>
    <w:p w14:paraId="49A23A04" w14:textId="77777777" w:rsidR="003B4F9F" w:rsidRPr="00030D4D" w:rsidRDefault="003B4F9F" w:rsidP="003B4F9F">
      <w:pPr>
        <w:spacing w:line="240" w:lineRule="auto"/>
        <w:rPr>
          <w:rFonts w:eastAsia="Times New Roman" w:cs="Arial"/>
          <w:i/>
          <w:iCs/>
          <w:color w:val="000000"/>
          <w:lang w:eastAsia="bg-BG"/>
        </w:rPr>
      </w:pPr>
    </w:p>
    <w:p w14:paraId="4ECFF677" w14:textId="62614BB5" w:rsidR="003B4F9F" w:rsidRPr="003B4F9F" w:rsidRDefault="003B4F9F" w:rsidP="003B4F9F">
      <w:pPr>
        <w:spacing w:line="240" w:lineRule="auto"/>
        <w:rPr>
          <w:rFonts w:eastAsia="Times New Roman" w:cs="Arial"/>
          <w:lang w:eastAsia="bg-BG"/>
        </w:rPr>
      </w:pPr>
      <w:r w:rsidRPr="003B4F9F">
        <w:rPr>
          <w:rFonts w:eastAsia="Times New Roman" w:cs="Arial"/>
          <w:i/>
          <w:iCs/>
          <w:color w:val="000000"/>
          <w:lang w:eastAsia="bg-BG"/>
        </w:rPr>
        <w:t>Нарушения на ендокринната система</w:t>
      </w:r>
    </w:p>
    <w:p w14:paraId="1B2F06C7"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Хипотиреоидизъм е съобщен като нежелана реакция при 7 пациенти (4%), приемащи сунитиниб в двете проучвания за цитокин-рефрактерен </w:t>
      </w:r>
      <w:r w:rsidRPr="003B4F9F">
        <w:rPr>
          <w:rFonts w:eastAsia="Times New Roman" w:cs="Arial"/>
          <w:color w:val="000000"/>
          <w:lang w:val="en-US"/>
        </w:rPr>
        <w:t xml:space="preserve">MRCC; </w:t>
      </w:r>
      <w:r w:rsidRPr="003B4F9F">
        <w:rPr>
          <w:rFonts w:eastAsia="Times New Roman" w:cs="Arial"/>
          <w:color w:val="000000"/>
          <w:lang w:eastAsia="bg-BG"/>
        </w:rPr>
        <w:t xml:space="preserve">при 61 пациенти (16%) на сунитиниб и 3 пациенти (&lt;1%) в рамото на </w:t>
      </w:r>
      <w:r w:rsidRPr="003B4F9F">
        <w:rPr>
          <w:rFonts w:eastAsia="Times New Roman" w:cs="Arial"/>
          <w:color w:val="000000"/>
          <w:lang w:val="en-US"/>
        </w:rPr>
        <w:t xml:space="preserve">IFN- </w:t>
      </w:r>
      <w:r w:rsidRPr="003B4F9F">
        <w:rPr>
          <w:rFonts w:eastAsia="Times New Roman" w:cs="Arial"/>
          <w:color w:val="000000"/>
          <w:lang w:eastAsia="bg-BG"/>
        </w:rPr>
        <w:t xml:space="preserve">α в проучването при нелекуван до момента </w:t>
      </w:r>
      <w:r w:rsidRPr="003B4F9F">
        <w:rPr>
          <w:rFonts w:eastAsia="Times New Roman" w:cs="Arial"/>
          <w:color w:val="000000"/>
          <w:lang w:val="en-US"/>
        </w:rPr>
        <w:t>MRCC.</w:t>
      </w:r>
    </w:p>
    <w:p w14:paraId="4D3416F3" w14:textId="77777777" w:rsidR="003B4F9F" w:rsidRPr="00030D4D" w:rsidRDefault="003B4F9F" w:rsidP="003B4F9F">
      <w:pPr>
        <w:spacing w:line="240" w:lineRule="auto"/>
        <w:rPr>
          <w:rFonts w:eastAsia="Times New Roman" w:cs="Arial"/>
          <w:color w:val="000000"/>
          <w:lang w:eastAsia="bg-BG"/>
        </w:rPr>
      </w:pPr>
    </w:p>
    <w:p w14:paraId="7623C812" w14:textId="36BEB50A"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В допълнение, повишавания на тиреостимулиращия хормон </w:t>
      </w:r>
      <w:r w:rsidRPr="003B4F9F">
        <w:rPr>
          <w:rFonts w:eastAsia="Times New Roman" w:cs="Arial"/>
          <w:color w:val="000000"/>
          <w:lang w:val="en-US"/>
        </w:rPr>
        <w:t xml:space="preserve">(TSH) </w:t>
      </w:r>
      <w:r w:rsidRPr="003B4F9F">
        <w:rPr>
          <w:rFonts w:eastAsia="Times New Roman" w:cs="Arial"/>
          <w:color w:val="000000"/>
          <w:lang w:eastAsia="bg-BG"/>
        </w:rPr>
        <w:t xml:space="preserve">са съобщени при 4 пациенти (2%) с цитокин-рефрактерен </w:t>
      </w:r>
      <w:r w:rsidRPr="003B4F9F">
        <w:rPr>
          <w:rFonts w:eastAsia="Times New Roman" w:cs="Arial"/>
          <w:color w:val="000000"/>
          <w:lang w:val="en-US"/>
        </w:rPr>
        <w:t xml:space="preserve">MRCC. </w:t>
      </w:r>
      <w:r w:rsidRPr="003B4F9F">
        <w:rPr>
          <w:rFonts w:eastAsia="Times New Roman" w:cs="Arial"/>
          <w:color w:val="000000"/>
          <w:lang w:eastAsia="bg-BG"/>
        </w:rPr>
        <w:t xml:space="preserve">Общо 7% от пациентите с </w:t>
      </w:r>
      <w:r w:rsidRPr="003B4F9F">
        <w:rPr>
          <w:rFonts w:eastAsia="Times New Roman" w:cs="Arial"/>
          <w:color w:val="000000"/>
          <w:lang w:val="en-US"/>
        </w:rPr>
        <w:t xml:space="preserve">MRCC </w:t>
      </w:r>
      <w:r w:rsidRPr="003B4F9F">
        <w:rPr>
          <w:rFonts w:eastAsia="Times New Roman" w:cs="Arial"/>
          <w:color w:val="000000"/>
          <w:lang w:eastAsia="bg-BG"/>
        </w:rPr>
        <w:t>са имали или клинично, или лабораторно доказателство за възникнал вследствие от лечението хипотиреоидизъм.</w:t>
      </w:r>
    </w:p>
    <w:p w14:paraId="55BF5B31"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Придобит хипотиреоидизъм е установен при 6,2% от пациентите с </w:t>
      </w:r>
      <w:r w:rsidRPr="003B4F9F">
        <w:rPr>
          <w:rFonts w:eastAsia="Times New Roman" w:cs="Arial"/>
          <w:color w:val="000000"/>
          <w:lang w:val="en-US"/>
        </w:rPr>
        <w:t xml:space="preserve">GIST, </w:t>
      </w:r>
      <w:r w:rsidRPr="003B4F9F">
        <w:rPr>
          <w:rFonts w:eastAsia="Times New Roman" w:cs="Arial"/>
          <w:color w:val="000000"/>
          <w:lang w:eastAsia="bg-BG"/>
        </w:rPr>
        <w:t xml:space="preserve">лекувани със сунитиниб, спрямо 1% на плацебо. По време на </w:t>
      </w:r>
      <w:r w:rsidRPr="003B4F9F">
        <w:rPr>
          <w:rFonts w:eastAsia="Times New Roman" w:cs="Arial"/>
          <w:color w:val="000000"/>
          <w:lang w:val="en-US"/>
        </w:rPr>
        <w:t xml:space="preserve">pNET </w:t>
      </w:r>
      <w:r w:rsidRPr="003B4F9F">
        <w:rPr>
          <w:rFonts w:eastAsia="Times New Roman" w:cs="Arial"/>
          <w:color w:val="000000"/>
          <w:lang w:eastAsia="bg-BG"/>
        </w:rPr>
        <w:t>проучване фаза 3 хипотиреоидизъм се съобщава при 6 пациенти (7,2%), приемащи сунитиниб, и при един пациент (1,2%), приемащ плацебо.</w:t>
      </w:r>
    </w:p>
    <w:p w14:paraId="406D28B0" w14:textId="77777777" w:rsidR="003B4F9F" w:rsidRPr="00030D4D" w:rsidRDefault="003B4F9F" w:rsidP="003B4F9F">
      <w:pPr>
        <w:spacing w:line="240" w:lineRule="auto"/>
        <w:rPr>
          <w:rFonts w:eastAsia="Times New Roman" w:cs="Arial"/>
          <w:color w:val="000000"/>
          <w:lang w:eastAsia="bg-BG"/>
        </w:rPr>
      </w:pPr>
    </w:p>
    <w:p w14:paraId="291A3BFF" w14:textId="2FF761BC"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Тиреоидната функция е проспективно наблюдавана в две проучвания на пациенти с рак на гърдата; Сунитикон не е одобрен за употреба при рак на гърдата. В първото проучване  хипотиреоидизъм се съобщава при 15 (13,6%) пациенти на сунитиниб и при 3 (2,9%)  пациенти на стандартно лечение. Повишено ниво на </w:t>
      </w:r>
      <w:r w:rsidRPr="003B4F9F">
        <w:rPr>
          <w:rFonts w:eastAsia="Times New Roman" w:cs="Arial"/>
          <w:color w:val="000000"/>
          <w:lang w:val="en-US"/>
        </w:rPr>
        <w:t xml:space="preserve">TSH </w:t>
      </w:r>
      <w:r w:rsidRPr="003B4F9F">
        <w:rPr>
          <w:rFonts w:eastAsia="Times New Roman" w:cs="Arial"/>
          <w:color w:val="000000"/>
          <w:lang w:eastAsia="bg-BG"/>
        </w:rPr>
        <w:t>в кръвта е съобщено при 1 (0,9%) пациент на сунитиниб и при нито един от участниците на стандартно лечение.</w:t>
      </w:r>
    </w:p>
    <w:p w14:paraId="6E7C6D44"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Хипертиреоидизъм не е съобщаван при лекувани със сунитиниб пациенти и е съобщен при 1 (1,0%) пациент на стандартно лечение. В другото проучване хипотиреоидизъм е съобщен при общо 31 (13%) пациенти на сунитиниб и при 2 (0,8%) пациенти на капецитабин. Повишени нива на </w:t>
      </w:r>
      <w:r w:rsidRPr="003B4F9F">
        <w:rPr>
          <w:rFonts w:eastAsia="Times New Roman" w:cs="Arial"/>
          <w:color w:val="000000"/>
          <w:lang w:val="en-US"/>
        </w:rPr>
        <w:t xml:space="preserve">TSH </w:t>
      </w:r>
      <w:r w:rsidRPr="003B4F9F">
        <w:rPr>
          <w:rFonts w:eastAsia="Times New Roman" w:cs="Arial"/>
          <w:color w:val="000000"/>
          <w:lang w:eastAsia="bg-BG"/>
        </w:rPr>
        <w:t xml:space="preserve">в кръвта са съобщени при 12 (5,0%) пациенти на сунитиниб и при нито един от пациентите на капецитабин. Хипертиреоидизъм е съобщен </w:t>
      </w:r>
      <w:r w:rsidRPr="003B4F9F">
        <w:rPr>
          <w:rFonts w:eastAsia="Times New Roman" w:cs="Arial"/>
          <w:color w:val="000000"/>
          <w:lang w:eastAsia="bg-BG"/>
        </w:rPr>
        <w:lastRenderedPageBreak/>
        <w:t xml:space="preserve">при 4 (1,7%) пациенти на сунитиниб и при нито един от пациентите на капецитабин. Понижени нива на </w:t>
      </w:r>
      <w:r w:rsidRPr="003B4F9F">
        <w:rPr>
          <w:rFonts w:eastAsia="Times New Roman" w:cs="Arial"/>
          <w:color w:val="000000"/>
          <w:lang w:val="en-US"/>
        </w:rPr>
        <w:t xml:space="preserve">TSH </w:t>
      </w:r>
      <w:r w:rsidRPr="003B4F9F">
        <w:rPr>
          <w:rFonts w:eastAsia="Times New Roman" w:cs="Arial"/>
          <w:color w:val="000000"/>
          <w:lang w:eastAsia="bg-BG"/>
        </w:rPr>
        <w:t>в кръвта са съобщени при 3 (1,3%) пациенти на сунитиниб и при нито един от пациентите на капецитабин. Повишаване на Т4 е съобщено при 2 (0,8%) пациенти на сунитиниб и при 1 (0,4%) пациент на капецитабин.</w:t>
      </w:r>
    </w:p>
    <w:p w14:paraId="3678BC6B"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Повишаване на ТЗ е съобщено при 1 (0,8%) участник на сунитиниб и при нито един от пациентите на капецитабин. Всички съобщени събития, свързани с щитовидната жлеза, са от степен 1-2 (вж. точка 4.4).</w:t>
      </w:r>
    </w:p>
    <w:p w14:paraId="27101B63" w14:textId="77777777" w:rsidR="003B4F9F" w:rsidRPr="00030D4D" w:rsidRDefault="003B4F9F" w:rsidP="003B4F9F">
      <w:pPr>
        <w:spacing w:line="240" w:lineRule="auto"/>
        <w:rPr>
          <w:rFonts w:eastAsia="Times New Roman" w:cs="Arial"/>
          <w:i/>
          <w:iCs/>
          <w:color w:val="000000"/>
          <w:lang w:eastAsia="bg-BG"/>
        </w:rPr>
      </w:pPr>
    </w:p>
    <w:p w14:paraId="50E1324E" w14:textId="7C0A0288" w:rsidR="003B4F9F" w:rsidRPr="003B4F9F" w:rsidRDefault="003B4F9F" w:rsidP="003B4F9F">
      <w:pPr>
        <w:spacing w:line="240" w:lineRule="auto"/>
        <w:rPr>
          <w:rFonts w:eastAsia="Times New Roman" w:cs="Arial"/>
          <w:lang w:eastAsia="bg-BG"/>
        </w:rPr>
      </w:pPr>
      <w:r w:rsidRPr="003B4F9F">
        <w:rPr>
          <w:rFonts w:eastAsia="Times New Roman" w:cs="Arial"/>
          <w:i/>
          <w:iCs/>
          <w:color w:val="000000"/>
          <w:lang w:eastAsia="bg-BG"/>
        </w:rPr>
        <w:t>Нарушения на метаболизма и храненето</w:t>
      </w:r>
    </w:p>
    <w:p w14:paraId="6A53C794"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По-висока честота на хипогликемични събития е съобщена при Пациенти с </w:t>
      </w:r>
      <w:r w:rsidRPr="003B4F9F">
        <w:rPr>
          <w:rFonts w:eastAsia="Times New Roman" w:cs="Arial"/>
          <w:color w:val="000000"/>
          <w:lang w:val="en-US"/>
        </w:rPr>
        <w:t xml:space="preserve">pNET </w:t>
      </w:r>
      <w:r w:rsidRPr="003B4F9F">
        <w:rPr>
          <w:rFonts w:eastAsia="Times New Roman" w:cs="Arial"/>
          <w:color w:val="000000"/>
          <w:lang w:eastAsia="bg-BG"/>
        </w:rPr>
        <w:t xml:space="preserve">в сравнение с </w:t>
      </w:r>
      <w:r w:rsidRPr="003B4F9F">
        <w:rPr>
          <w:rFonts w:eastAsia="Times New Roman" w:cs="Arial"/>
          <w:color w:val="000000"/>
          <w:lang w:val="en-US"/>
        </w:rPr>
        <w:t xml:space="preserve">MRCC </w:t>
      </w:r>
      <w:r w:rsidRPr="003B4F9F">
        <w:rPr>
          <w:rFonts w:eastAsia="Times New Roman" w:cs="Arial"/>
          <w:color w:val="000000"/>
          <w:lang w:eastAsia="bg-BG"/>
        </w:rPr>
        <w:t xml:space="preserve">и </w:t>
      </w:r>
      <w:r w:rsidRPr="003B4F9F">
        <w:rPr>
          <w:rFonts w:eastAsia="Times New Roman" w:cs="Arial"/>
          <w:color w:val="000000"/>
          <w:lang w:val="en-US"/>
        </w:rPr>
        <w:t xml:space="preserve">GIST. </w:t>
      </w:r>
      <w:r w:rsidRPr="003B4F9F">
        <w:rPr>
          <w:rFonts w:eastAsia="Times New Roman" w:cs="Arial"/>
          <w:color w:val="000000"/>
          <w:lang w:eastAsia="bg-BG"/>
        </w:rPr>
        <w:t>Въпреки това, повечето от тези нежелани събития, наблюдавани при клиничните проучвания, не са счетени за свързани с проучваното лечение (вж. точка 4.4).</w:t>
      </w:r>
    </w:p>
    <w:p w14:paraId="68395F4D" w14:textId="77777777" w:rsidR="003B4F9F" w:rsidRPr="00030D4D" w:rsidRDefault="003B4F9F" w:rsidP="003B4F9F">
      <w:pPr>
        <w:spacing w:line="240" w:lineRule="auto"/>
        <w:rPr>
          <w:rFonts w:eastAsia="Times New Roman" w:cs="Arial"/>
          <w:i/>
          <w:iCs/>
          <w:color w:val="000000"/>
          <w:lang w:eastAsia="bg-BG"/>
        </w:rPr>
      </w:pPr>
    </w:p>
    <w:p w14:paraId="2B1C7287" w14:textId="25026715" w:rsidR="003B4F9F" w:rsidRPr="003B4F9F" w:rsidRDefault="003B4F9F" w:rsidP="003B4F9F">
      <w:pPr>
        <w:spacing w:line="240" w:lineRule="auto"/>
        <w:rPr>
          <w:rFonts w:eastAsia="Times New Roman" w:cs="Arial"/>
          <w:lang w:eastAsia="bg-BG"/>
        </w:rPr>
      </w:pPr>
      <w:r w:rsidRPr="003B4F9F">
        <w:rPr>
          <w:rFonts w:eastAsia="Times New Roman" w:cs="Arial"/>
          <w:i/>
          <w:iCs/>
          <w:color w:val="000000"/>
          <w:lang w:eastAsia="bg-BG"/>
        </w:rPr>
        <w:t>Нарушения на нервната система</w:t>
      </w:r>
    </w:p>
    <w:p w14:paraId="7D625EE2"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В клинични проучвания със сунитиниб и от постмаркетинговото проследяване се съобщават случаи (&lt;1%), някои от които летални, на пациенти с припадъци и образни</w:t>
      </w:r>
    </w:p>
    <w:p w14:paraId="029210C0" w14:textId="41DF0CFF" w:rsidR="003B4F9F" w:rsidRPr="00030D4D" w:rsidRDefault="003B4F9F" w:rsidP="003B4F9F">
      <w:pPr>
        <w:rPr>
          <w:rFonts w:cs="Arial"/>
        </w:rPr>
      </w:pPr>
      <w:r w:rsidRPr="00030D4D">
        <w:rPr>
          <w:rFonts w:eastAsia="Times New Roman" w:cs="Arial"/>
          <w:color w:val="000000"/>
          <w:lang w:eastAsia="bg-BG"/>
        </w:rPr>
        <w:t xml:space="preserve">данни за </w:t>
      </w:r>
      <w:r w:rsidRPr="00030D4D">
        <w:rPr>
          <w:rFonts w:eastAsia="Times New Roman" w:cs="Arial"/>
          <w:color w:val="000000"/>
          <w:lang w:val="en-US"/>
        </w:rPr>
        <w:t xml:space="preserve">RPLS. </w:t>
      </w:r>
      <w:r w:rsidRPr="00030D4D">
        <w:rPr>
          <w:rFonts w:eastAsia="Times New Roman" w:cs="Arial"/>
          <w:color w:val="000000"/>
          <w:lang w:eastAsia="bg-BG"/>
        </w:rPr>
        <w:t>Гърчове са наблюдавани при пациенти със или без рентгенологично доказателство за мозъчни метастази (вж. точка 4.4).</w:t>
      </w:r>
    </w:p>
    <w:p w14:paraId="69D4DC2D" w14:textId="1900F0F3" w:rsidR="003B4F9F" w:rsidRPr="00030D4D" w:rsidRDefault="003B4F9F" w:rsidP="0091385D">
      <w:pPr>
        <w:rPr>
          <w:rFonts w:cs="Arial"/>
        </w:rPr>
      </w:pPr>
    </w:p>
    <w:p w14:paraId="21D28AFD" w14:textId="77777777" w:rsidR="003B4F9F" w:rsidRPr="003B4F9F" w:rsidRDefault="003B4F9F" w:rsidP="003B4F9F">
      <w:pPr>
        <w:spacing w:line="240" w:lineRule="auto"/>
        <w:rPr>
          <w:rFonts w:eastAsia="Times New Roman" w:cs="Arial"/>
          <w:lang w:eastAsia="bg-BG"/>
        </w:rPr>
      </w:pPr>
      <w:r w:rsidRPr="003B4F9F">
        <w:rPr>
          <w:rFonts w:eastAsia="Times New Roman" w:cs="Arial"/>
          <w:i/>
          <w:iCs/>
          <w:color w:val="000000"/>
          <w:lang w:eastAsia="bg-BG"/>
        </w:rPr>
        <w:t>Сърдечни нарушения</w:t>
      </w:r>
    </w:p>
    <w:p w14:paraId="252AC994"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В клинични изпитвания, намаления в левокамерната фракция на изтласкване (ЛКФИ) с</w:t>
      </w:r>
    </w:p>
    <w:p w14:paraId="7583F90C"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 20% и под долната граница на нормата, са съобщени при около 2% от пациентите с </w:t>
      </w:r>
      <w:r w:rsidRPr="003B4F9F">
        <w:rPr>
          <w:rFonts w:eastAsia="Times New Roman" w:cs="Arial"/>
          <w:color w:val="000000"/>
          <w:lang w:val="en-US"/>
        </w:rPr>
        <w:t xml:space="preserve">GIST, </w:t>
      </w:r>
      <w:r w:rsidRPr="003B4F9F">
        <w:rPr>
          <w:rFonts w:eastAsia="Times New Roman" w:cs="Arial"/>
          <w:color w:val="000000"/>
          <w:lang w:eastAsia="bg-BG"/>
        </w:rPr>
        <w:t xml:space="preserve">лекувани със сунитиниб, 4% от пациентите с цитокин-рефрактерен </w:t>
      </w:r>
      <w:r w:rsidRPr="003B4F9F">
        <w:rPr>
          <w:rFonts w:eastAsia="Times New Roman" w:cs="Arial"/>
          <w:color w:val="000000"/>
          <w:lang w:val="en-US"/>
        </w:rPr>
        <w:t xml:space="preserve">MRCC </w:t>
      </w:r>
      <w:r w:rsidRPr="003B4F9F">
        <w:rPr>
          <w:rFonts w:eastAsia="Times New Roman" w:cs="Arial"/>
          <w:color w:val="000000"/>
          <w:lang w:eastAsia="bg-BG"/>
        </w:rPr>
        <w:t xml:space="preserve">и 2% от пациентите с </w:t>
      </w:r>
      <w:r w:rsidRPr="003B4F9F">
        <w:rPr>
          <w:rFonts w:eastAsia="Times New Roman" w:cs="Arial"/>
          <w:color w:val="000000"/>
          <w:lang w:val="en-US"/>
        </w:rPr>
        <w:t xml:space="preserve">GIST, </w:t>
      </w:r>
      <w:r w:rsidRPr="003B4F9F">
        <w:rPr>
          <w:rFonts w:eastAsia="Times New Roman" w:cs="Arial"/>
          <w:color w:val="000000"/>
          <w:lang w:eastAsia="bg-BG"/>
        </w:rPr>
        <w:t xml:space="preserve">получаващи плацебо. Тези понижения в ЛКФИ изглежда не се задълбочават и често се подобряват в хода на лечението. В проучване при нелекуван до момента </w:t>
      </w:r>
      <w:r w:rsidRPr="003B4F9F">
        <w:rPr>
          <w:rFonts w:eastAsia="Times New Roman" w:cs="Arial"/>
          <w:color w:val="000000"/>
          <w:lang w:val="en-US"/>
        </w:rPr>
        <w:t xml:space="preserve">MRCC, </w:t>
      </w:r>
      <w:r w:rsidRPr="003B4F9F">
        <w:rPr>
          <w:rFonts w:eastAsia="Times New Roman" w:cs="Arial"/>
          <w:color w:val="000000"/>
          <w:lang w:eastAsia="bg-BG"/>
        </w:rPr>
        <w:t xml:space="preserve">27% от пациентите на сунитиниб и 15% от пациентите на </w:t>
      </w:r>
      <w:r w:rsidRPr="003B4F9F">
        <w:rPr>
          <w:rFonts w:eastAsia="Times New Roman" w:cs="Arial"/>
          <w:color w:val="000000"/>
          <w:lang w:val="en-US"/>
        </w:rPr>
        <w:t xml:space="preserve">IFN- </w:t>
      </w:r>
      <w:r w:rsidRPr="003B4F9F">
        <w:rPr>
          <w:rFonts w:eastAsia="Times New Roman" w:cs="Arial"/>
          <w:color w:val="000000"/>
          <w:lang w:eastAsia="bg-BG"/>
        </w:rPr>
        <w:t>α са имали стойност на ЛКФИ под долната граница на нормата. Двама (&lt;1%) пациенти, получавали сунитиниб, са диагностицирани със ЗСН.</w:t>
      </w:r>
    </w:p>
    <w:p w14:paraId="62F629BC"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При пациенти с </w:t>
      </w:r>
      <w:r w:rsidRPr="003B4F9F">
        <w:rPr>
          <w:rFonts w:eastAsia="Times New Roman" w:cs="Arial"/>
          <w:color w:val="000000"/>
          <w:lang w:val="en-US"/>
        </w:rPr>
        <w:t xml:space="preserve">GIST, </w:t>
      </w:r>
      <w:r w:rsidRPr="003B4F9F">
        <w:rPr>
          <w:rFonts w:eastAsia="Times New Roman" w:cs="Arial"/>
          <w:color w:val="000000"/>
          <w:lang w:eastAsia="bg-BG"/>
        </w:rPr>
        <w:t xml:space="preserve">„сърдечна недостатъчност”, “застойна сърдечна недостатъчност” или „левокамерна сърдечна недостатъчност” са съобщени при 1,2% от пациентите, лекувани със сунитиниб, и при 1% от пациентите, лекувани с плацебо. В основното </w:t>
      </w:r>
      <w:r w:rsidRPr="003B4F9F">
        <w:rPr>
          <w:rFonts w:eastAsia="Times New Roman" w:cs="Arial"/>
          <w:color w:val="000000"/>
          <w:lang w:val="en-US"/>
        </w:rPr>
        <w:t xml:space="preserve">GIST </w:t>
      </w:r>
      <w:r w:rsidRPr="003B4F9F">
        <w:rPr>
          <w:rFonts w:eastAsia="Times New Roman" w:cs="Arial"/>
          <w:color w:val="000000"/>
          <w:lang w:eastAsia="bg-BG"/>
        </w:rPr>
        <w:t>проучване фаза 3 (</w:t>
      </w:r>
      <w:r w:rsidRPr="003B4F9F">
        <w:rPr>
          <w:rFonts w:eastAsia="Times New Roman" w:cs="Arial"/>
          <w:color w:val="000000"/>
          <w:lang w:val="en-US"/>
        </w:rPr>
        <w:t>n</w:t>
      </w:r>
      <w:r w:rsidRPr="003B4F9F">
        <w:rPr>
          <w:rFonts w:eastAsia="Times New Roman" w:cs="Arial"/>
          <w:color w:val="000000"/>
          <w:lang w:eastAsia="bg-BG"/>
        </w:rPr>
        <w:t xml:space="preserve">=312), свързани с лечението летални сърдечни реакции са възникнали при 1% от пациентите от всяко рамо на проучването (т.е. рамената на сунитиниб и плацебо). В проучване фаза 2 при цитокин-рефрактерни </w:t>
      </w:r>
      <w:r w:rsidRPr="003B4F9F">
        <w:rPr>
          <w:rFonts w:eastAsia="Times New Roman" w:cs="Arial"/>
          <w:color w:val="000000"/>
          <w:lang w:val="en-US"/>
        </w:rPr>
        <w:t xml:space="preserve">MRCC </w:t>
      </w:r>
      <w:r w:rsidRPr="003B4F9F">
        <w:rPr>
          <w:rFonts w:eastAsia="Times New Roman" w:cs="Arial"/>
          <w:color w:val="000000"/>
          <w:lang w:eastAsia="bg-BG"/>
        </w:rPr>
        <w:t xml:space="preserve">пациенти, 0,9% са получили свързан с лечението летален инфаркт на миокарда, а в проучване фаза 3 при нелекуваните до момента за </w:t>
      </w:r>
      <w:r w:rsidRPr="003B4F9F">
        <w:rPr>
          <w:rFonts w:eastAsia="Times New Roman" w:cs="Arial"/>
          <w:color w:val="000000"/>
          <w:lang w:val="en-US"/>
        </w:rPr>
        <w:t xml:space="preserve">MRCC </w:t>
      </w:r>
      <w:r w:rsidRPr="003B4F9F">
        <w:rPr>
          <w:rFonts w:eastAsia="Times New Roman" w:cs="Arial"/>
          <w:color w:val="000000"/>
          <w:lang w:eastAsia="bg-BG"/>
        </w:rPr>
        <w:t xml:space="preserve">пациенти, 0,6% от пациентите в рамото на </w:t>
      </w:r>
      <w:r w:rsidRPr="003B4F9F">
        <w:rPr>
          <w:rFonts w:eastAsia="Times New Roman" w:cs="Arial"/>
          <w:color w:val="000000"/>
          <w:lang w:val="en-US"/>
        </w:rPr>
        <w:t xml:space="preserve">IFN- </w:t>
      </w:r>
      <w:r w:rsidRPr="003B4F9F">
        <w:rPr>
          <w:rFonts w:eastAsia="Times New Roman" w:cs="Arial"/>
          <w:color w:val="000000"/>
          <w:lang w:eastAsia="bg-BG"/>
        </w:rPr>
        <w:t xml:space="preserve">α и 0% от пациентите в рамото на сунитиниб са имали сърдечни събития с летален изход. При проучване фаза 3 при </w:t>
      </w:r>
      <w:r w:rsidRPr="003B4F9F">
        <w:rPr>
          <w:rFonts w:eastAsia="Times New Roman" w:cs="Arial"/>
          <w:color w:val="000000"/>
          <w:lang w:val="en-US"/>
        </w:rPr>
        <w:t xml:space="preserve">pNET, </w:t>
      </w:r>
      <w:r w:rsidRPr="003B4F9F">
        <w:rPr>
          <w:rFonts w:eastAsia="Times New Roman" w:cs="Arial"/>
          <w:color w:val="000000"/>
          <w:lang w:eastAsia="bg-BG"/>
        </w:rPr>
        <w:t>1 (1%) пациент, приемал сунитиниб, е получил свързана с лечението летална сърдечна недостатъчност.</w:t>
      </w:r>
    </w:p>
    <w:p w14:paraId="1945FEBD" w14:textId="77777777" w:rsidR="003B4F9F" w:rsidRPr="00030D4D" w:rsidRDefault="003B4F9F" w:rsidP="003B4F9F">
      <w:pPr>
        <w:spacing w:line="240" w:lineRule="auto"/>
        <w:rPr>
          <w:rFonts w:eastAsia="Times New Roman" w:cs="Arial"/>
          <w:i/>
          <w:iCs/>
          <w:color w:val="000000"/>
          <w:lang w:eastAsia="bg-BG"/>
        </w:rPr>
      </w:pPr>
    </w:p>
    <w:p w14:paraId="1806D8FE" w14:textId="77777777" w:rsidR="003B4F9F" w:rsidRPr="00030D4D" w:rsidRDefault="003B4F9F" w:rsidP="003B4F9F">
      <w:pPr>
        <w:spacing w:line="240" w:lineRule="auto"/>
        <w:rPr>
          <w:rFonts w:eastAsia="Times New Roman" w:cs="Arial"/>
          <w:i/>
          <w:iCs/>
          <w:color w:val="000000"/>
          <w:lang w:eastAsia="bg-BG"/>
        </w:rPr>
      </w:pPr>
      <w:r w:rsidRPr="003B4F9F">
        <w:rPr>
          <w:rFonts w:eastAsia="Times New Roman" w:cs="Arial"/>
          <w:i/>
          <w:iCs/>
          <w:color w:val="000000"/>
          <w:lang w:eastAsia="bg-BG"/>
        </w:rPr>
        <w:t xml:space="preserve">Съдови нарушения </w:t>
      </w:r>
    </w:p>
    <w:p w14:paraId="17AC0EB4" w14:textId="77777777" w:rsidR="003B4F9F" w:rsidRPr="00030D4D" w:rsidRDefault="003B4F9F" w:rsidP="003B4F9F">
      <w:pPr>
        <w:spacing w:line="240" w:lineRule="auto"/>
        <w:rPr>
          <w:rFonts w:eastAsia="Times New Roman" w:cs="Arial"/>
          <w:color w:val="000000"/>
          <w:u w:val="single"/>
          <w:lang w:eastAsia="bg-BG"/>
        </w:rPr>
      </w:pPr>
      <w:r w:rsidRPr="003B4F9F">
        <w:rPr>
          <w:rFonts w:eastAsia="Times New Roman" w:cs="Arial"/>
          <w:color w:val="000000"/>
          <w:u w:val="single"/>
          <w:lang w:eastAsia="bg-BG"/>
        </w:rPr>
        <w:t xml:space="preserve">Хипертония </w:t>
      </w:r>
    </w:p>
    <w:p w14:paraId="18ABEC30" w14:textId="59BF36F4"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Хипертонията е много честа нежелана реакция, съобщавана по време на клиничните проучвания. При приблизително 2,7% от пациентите, които са имали хипертония, дозата на сунитиниб е намалена или приемът временно е прекратен. При нито един от тези пациенти приемът на сунитиниб не е бил окончателно прекратен. Тежка хипертония (&gt;200 </w:t>
      </w:r>
      <w:r w:rsidRPr="003B4F9F">
        <w:rPr>
          <w:rFonts w:eastAsia="Times New Roman" w:cs="Arial"/>
          <w:color w:val="000000"/>
          <w:lang w:val="en-US"/>
        </w:rPr>
        <w:t xml:space="preserve">mmHg </w:t>
      </w:r>
      <w:r w:rsidRPr="003B4F9F">
        <w:rPr>
          <w:rFonts w:eastAsia="Times New Roman" w:cs="Arial"/>
          <w:color w:val="000000"/>
          <w:lang w:eastAsia="bg-BG"/>
        </w:rPr>
        <w:t xml:space="preserve">систолно или 110 </w:t>
      </w:r>
      <w:r w:rsidRPr="003B4F9F">
        <w:rPr>
          <w:rFonts w:eastAsia="Times New Roman" w:cs="Arial"/>
          <w:color w:val="000000"/>
          <w:lang w:val="en-US"/>
        </w:rPr>
        <w:t xml:space="preserve">mmHg </w:t>
      </w:r>
      <w:r w:rsidRPr="003B4F9F">
        <w:rPr>
          <w:rFonts w:eastAsia="Times New Roman" w:cs="Arial"/>
          <w:color w:val="000000"/>
          <w:lang w:eastAsia="bg-BG"/>
        </w:rPr>
        <w:t xml:space="preserve">диастолно налягане) е настъпила при 4,7% от пациентите със солидни тумори. Хипертония е съобщена при приблизително 33,9% от пациентите, приемащи сунитиниб за нелекуван до момента </w:t>
      </w:r>
      <w:r w:rsidRPr="003B4F9F">
        <w:rPr>
          <w:rFonts w:eastAsia="Times New Roman" w:cs="Arial"/>
          <w:color w:val="000000"/>
          <w:lang w:val="en-US"/>
        </w:rPr>
        <w:t xml:space="preserve">MRCC, </w:t>
      </w:r>
      <w:r w:rsidRPr="003B4F9F">
        <w:rPr>
          <w:rFonts w:eastAsia="Times New Roman" w:cs="Arial"/>
          <w:color w:val="000000"/>
          <w:lang w:eastAsia="bg-BG"/>
        </w:rPr>
        <w:t xml:space="preserve">в сравнение с 3,6% от пациентите, приемащи </w:t>
      </w:r>
      <w:r w:rsidRPr="003B4F9F">
        <w:rPr>
          <w:rFonts w:eastAsia="Times New Roman" w:cs="Arial"/>
          <w:color w:val="000000"/>
          <w:lang w:val="en-US"/>
        </w:rPr>
        <w:t xml:space="preserve">IFN- </w:t>
      </w:r>
      <w:r w:rsidRPr="003B4F9F">
        <w:rPr>
          <w:rFonts w:eastAsia="Times New Roman" w:cs="Arial"/>
          <w:color w:val="000000"/>
          <w:lang w:eastAsia="bg-BG"/>
        </w:rPr>
        <w:t xml:space="preserve">α. Тежка хипертония е настъпила при 12% от нелекуваните до момента </w:t>
      </w:r>
      <w:r w:rsidRPr="003B4F9F">
        <w:rPr>
          <w:rFonts w:eastAsia="Times New Roman" w:cs="Arial"/>
          <w:color w:val="000000"/>
          <w:lang w:eastAsia="bg-BG"/>
        </w:rPr>
        <w:lastRenderedPageBreak/>
        <w:t xml:space="preserve">пациенти на сунитиниб и &lt;1% от пациентите на </w:t>
      </w:r>
      <w:r w:rsidRPr="003B4F9F">
        <w:rPr>
          <w:rFonts w:eastAsia="Times New Roman" w:cs="Arial"/>
          <w:color w:val="000000"/>
          <w:lang w:val="en-US"/>
        </w:rPr>
        <w:t xml:space="preserve">IFN- </w:t>
      </w:r>
      <w:r w:rsidRPr="003B4F9F">
        <w:rPr>
          <w:rFonts w:eastAsia="Times New Roman" w:cs="Arial"/>
          <w:color w:val="000000"/>
          <w:lang w:eastAsia="bg-BG"/>
        </w:rPr>
        <w:t xml:space="preserve">α. Хипертония се съобщава при 26,5% от пациентите, приемащи сунитиниб в </w:t>
      </w:r>
      <w:r w:rsidRPr="003B4F9F">
        <w:rPr>
          <w:rFonts w:eastAsia="Times New Roman" w:cs="Arial"/>
          <w:color w:val="000000"/>
          <w:lang w:val="en-US"/>
        </w:rPr>
        <w:t xml:space="preserve">pNET </w:t>
      </w:r>
      <w:r w:rsidRPr="003B4F9F">
        <w:rPr>
          <w:rFonts w:eastAsia="Times New Roman" w:cs="Arial"/>
          <w:color w:val="000000"/>
          <w:lang w:eastAsia="bg-BG"/>
        </w:rPr>
        <w:t xml:space="preserve">проучване фаза 3, в сравнение с 4,9% от пациентите, приемащи плацебо.Тежка хипертония е настъпила при 10% от </w:t>
      </w:r>
      <w:r w:rsidRPr="003B4F9F">
        <w:rPr>
          <w:rFonts w:eastAsia="Times New Roman" w:cs="Arial"/>
          <w:color w:val="000000"/>
          <w:lang w:val="en-US"/>
        </w:rPr>
        <w:t xml:space="preserve">pNET </w:t>
      </w:r>
      <w:r w:rsidRPr="003B4F9F">
        <w:rPr>
          <w:rFonts w:eastAsia="Times New Roman" w:cs="Arial"/>
          <w:color w:val="000000"/>
          <w:lang w:eastAsia="bg-BG"/>
        </w:rPr>
        <w:t>пациентите, приемащи сунитиниб, и 3% от пациентите на плацебо.</w:t>
      </w:r>
    </w:p>
    <w:p w14:paraId="18892ADB" w14:textId="77777777" w:rsidR="003B4F9F" w:rsidRPr="00030D4D" w:rsidRDefault="003B4F9F" w:rsidP="003B4F9F">
      <w:pPr>
        <w:spacing w:line="240" w:lineRule="auto"/>
        <w:rPr>
          <w:rFonts w:eastAsia="Times New Roman" w:cs="Arial"/>
          <w:color w:val="000000"/>
          <w:u w:val="single"/>
          <w:lang w:eastAsia="bg-BG"/>
        </w:rPr>
      </w:pPr>
    </w:p>
    <w:p w14:paraId="1690AD94" w14:textId="71EFD346" w:rsidR="003B4F9F" w:rsidRPr="003B4F9F" w:rsidRDefault="003B4F9F" w:rsidP="003B4F9F">
      <w:pPr>
        <w:spacing w:line="240" w:lineRule="auto"/>
        <w:rPr>
          <w:rFonts w:eastAsia="Times New Roman" w:cs="Arial"/>
          <w:lang w:eastAsia="bg-BG"/>
        </w:rPr>
      </w:pPr>
      <w:r w:rsidRPr="003B4F9F">
        <w:rPr>
          <w:rFonts w:eastAsia="Times New Roman" w:cs="Arial"/>
          <w:color w:val="000000"/>
          <w:u w:val="single"/>
          <w:lang w:eastAsia="bg-BG"/>
        </w:rPr>
        <w:t>Събития на венозна тромбоемболия</w:t>
      </w:r>
    </w:p>
    <w:p w14:paraId="475FCCD3"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Събития на венозна тромбоемболия, свързани с лечението, са съобщени при приблизително 1,0% от пациентите със солидни тумори, които са приемали сунитиниб в клинични изпитвания, включително </w:t>
      </w:r>
      <w:r w:rsidRPr="003B4F9F">
        <w:rPr>
          <w:rFonts w:eastAsia="Times New Roman" w:cs="Arial"/>
          <w:color w:val="000000"/>
          <w:lang w:val="en-US"/>
        </w:rPr>
        <w:t xml:space="preserve">GIST </w:t>
      </w:r>
      <w:r w:rsidRPr="003B4F9F">
        <w:rPr>
          <w:rFonts w:eastAsia="Times New Roman" w:cs="Arial"/>
          <w:color w:val="000000"/>
          <w:lang w:eastAsia="bg-BG"/>
        </w:rPr>
        <w:t xml:space="preserve">и </w:t>
      </w:r>
      <w:r w:rsidRPr="003B4F9F">
        <w:rPr>
          <w:rFonts w:eastAsia="Times New Roman" w:cs="Arial"/>
          <w:color w:val="000000"/>
          <w:lang w:val="en-US"/>
        </w:rPr>
        <w:t>RCC.</w:t>
      </w:r>
    </w:p>
    <w:p w14:paraId="03731B6D" w14:textId="77777777" w:rsidR="003B4F9F" w:rsidRPr="00030D4D" w:rsidRDefault="003B4F9F" w:rsidP="003B4F9F">
      <w:pPr>
        <w:spacing w:line="240" w:lineRule="auto"/>
        <w:rPr>
          <w:rFonts w:eastAsia="Times New Roman" w:cs="Arial"/>
          <w:color w:val="000000"/>
          <w:lang w:eastAsia="bg-BG"/>
        </w:rPr>
      </w:pPr>
    </w:p>
    <w:p w14:paraId="41418E1F" w14:textId="51CEBE9B"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В </w:t>
      </w:r>
      <w:r w:rsidRPr="003B4F9F">
        <w:rPr>
          <w:rFonts w:eastAsia="Times New Roman" w:cs="Arial"/>
          <w:color w:val="000000"/>
          <w:lang w:val="en-US"/>
        </w:rPr>
        <w:t xml:space="preserve">GIST </w:t>
      </w:r>
      <w:r w:rsidRPr="003B4F9F">
        <w:rPr>
          <w:rFonts w:eastAsia="Times New Roman" w:cs="Arial"/>
          <w:color w:val="000000"/>
          <w:lang w:eastAsia="bg-BG"/>
        </w:rPr>
        <w:t xml:space="preserve">проучване фаза 3, седем пациенти (3%) на сунитиниб и нито един на плацебо са имали венозни тромбоемболични събития; 5 от 7 са били с дълбока венозна тромбоза (ДВТ) от 3 степен, а 2 са били със степен 1 или 2. Четири от тези 7 </w:t>
      </w:r>
      <w:r w:rsidRPr="003B4F9F">
        <w:rPr>
          <w:rFonts w:eastAsia="Times New Roman" w:cs="Arial"/>
          <w:color w:val="000000"/>
          <w:lang w:val="en-US"/>
        </w:rPr>
        <w:t xml:space="preserve">GIST </w:t>
      </w:r>
      <w:r w:rsidRPr="003B4F9F">
        <w:rPr>
          <w:rFonts w:eastAsia="Times New Roman" w:cs="Arial"/>
          <w:color w:val="000000"/>
          <w:lang w:eastAsia="bg-BG"/>
        </w:rPr>
        <w:t>пациенти са прекратили лечението след първото установяване на ДВТ.</w:t>
      </w:r>
    </w:p>
    <w:p w14:paraId="34F5B934" w14:textId="77777777" w:rsidR="003B4F9F" w:rsidRPr="00030D4D" w:rsidRDefault="003B4F9F" w:rsidP="003B4F9F">
      <w:pPr>
        <w:spacing w:line="240" w:lineRule="auto"/>
        <w:rPr>
          <w:rFonts w:eastAsia="Times New Roman" w:cs="Arial"/>
          <w:color w:val="000000"/>
          <w:lang w:eastAsia="bg-BG"/>
        </w:rPr>
      </w:pPr>
    </w:p>
    <w:p w14:paraId="0AF62271" w14:textId="0BFAF0D4"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Тринадесет пациенти (3%), приемащи сунитиниб в проучване фаза 3 при нелекуван до момента </w:t>
      </w:r>
      <w:r w:rsidRPr="003B4F9F">
        <w:rPr>
          <w:rFonts w:eastAsia="Times New Roman" w:cs="Arial"/>
          <w:color w:val="000000"/>
          <w:lang w:val="en-US"/>
        </w:rPr>
        <w:t xml:space="preserve">MRCC, </w:t>
      </w:r>
      <w:r w:rsidRPr="003B4F9F">
        <w:rPr>
          <w:rFonts w:eastAsia="Times New Roman" w:cs="Arial"/>
          <w:color w:val="000000"/>
          <w:lang w:eastAsia="bg-BG"/>
        </w:rPr>
        <w:t xml:space="preserve">и 4 пациенти (2%) в 2 проучвания при цитокин-рефрактерен </w:t>
      </w:r>
      <w:r w:rsidRPr="003B4F9F">
        <w:rPr>
          <w:rFonts w:eastAsia="Times New Roman" w:cs="Arial"/>
          <w:color w:val="000000"/>
          <w:lang w:val="en-US"/>
        </w:rPr>
        <w:t xml:space="preserve">MRCC </w:t>
      </w:r>
      <w:r w:rsidRPr="003B4F9F">
        <w:rPr>
          <w:rFonts w:eastAsia="Times New Roman" w:cs="Arial"/>
          <w:color w:val="000000"/>
          <w:lang w:eastAsia="bg-BG"/>
        </w:rPr>
        <w:t>са съобщили за венозни тромбоемболични събития. Девет от тези пациенти са имали</w:t>
      </w:r>
      <w:r w:rsidRPr="003B4F9F">
        <w:rPr>
          <w:rFonts w:eastAsia="Times New Roman" w:cs="Arial"/>
          <w:color w:val="000000"/>
          <w:u w:val="single"/>
          <w:lang w:eastAsia="bg-BG"/>
        </w:rPr>
        <w:t xml:space="preserve"> </w:t>
      </w:r>
      <w:r w:rsidRPr="003B4F9F">
        <w:rPr>
          <w:rFonts w:eastAsia="Times New Roman" w:cs="Arial"/>
          <w:color w:val="000000"/>
          <w:lang w:eastAsia="bg-BG"/>
        </w:rPr>
        <w:t>белодробен емболизъм, 1 от степен 2 и 8 от степен 4, Осем от тези пациенти са имали ДВТ, 1 от степен 1; 2 от степен 2; 4 от степен 3 и 1 от степен 4. Един пациент с</w:t>
      </w:r>
    </w:p>
    <w:p w14:paraId="54285206" w14:textId="54D1DB3A" w:rsidR="003B4F9F" w:rsidRPr="00030D4D" w:rsidRDefault="003B4F9F" w:rsidP="003B4F9F">
      <w:pPr>
        <w:rPr>
          <w:rFonts w:eastAsia="Times New Roman" w:cs="Arial"/>
          <w:color w:val="000000"/>
          <w:lang w:eastAsia="bg-BG"/>
        </w:rPr>
      </w:pPr>
      <w:r w:rsidRPr="00030D4D">
        <w:rPr>
          <w:rFonts w:eastAsia="Times New Roman" w:cs="Arial"/>
          <w:color w:val="000000"/>
          <w:lang w:eastAsia="bg-BG"/>
        </w:rPr>
        <w:t xml:space="preserve">белодробен емболизъм в проучването на цитокин-рефрактерен </w:t>
      </w:r>
      <w:r w:rsidRPr="00030D4D">
        <w:rPr>
          <w:rFonts w:eastAsia="Times New Roman" w:cs="Arial"/>
          <w:color w:val="000000"/>
          <w:lang w:val="en-US"/>
        </w:rPr>
        <w:t>MRCC</w:t>
      </w:r>
      <w:r w:rsidRPr="00030D4D">
        <w:rPr>
          <w:rFonts w:eastAsia="Times New Roman" w:cs="Arial"/>
          <w:color w:val="000000"/>
          <w:lang w:eastAsia="bg-BG"/>
        </w:rPr>
        <w:t xml:space="preserve"> е имал прекъсване на приема.</w:t>
      </w:r>
    </w:p>
    <w:p w14:paraId="11D42680" w14:textId="12D5BB98" w:rsidR="003B4F9F" w:rsidRPr="00030D4D" w:rsidRDefault="003B4F9F" w:rsidP="003B4F9F">
      <w:pPr>
        <w:rPr>
          <w:rFonts w:eastAsia="Times New Roman" w:cs="Arial"/>
          <w:color w:val="000000"/>
          <w:lang w:eastAsia="bg-BG"/>
        </w:rPr>
      </w:pPr>
    </w:p>
    <w:p w14:paraId="30275FF4"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При нелекувани до момента пациенти с </w:t>
      </w:r>
      <w:r w:rsidRPr="003B4F9F">
        <w:rPr>
          <w:rFonts w:eastAsia="Times New Roman" w:cs="Arial"/>
          <w:color w:val="000000"/>
          <w:lang w:val="en-US"/>
        </w:rPr>
        <w:t xml:space="preserve">MRCC, </w:t>
      </w:r>
      <w:r w:rsidRPr="003B4F9F">
        <w:rPr>
          <w:rFonts w:eastAsia="Times New Roman" w:cs="Arial"/>
          <w:color w:val="000000"/>
          <w:lang w:eastAsia="bg-BG"/>
        </w:rPr>
        <w:t xml:space="preserve">приемащи </w:t>
      </w:r>
      <w:r w:rsidRPr="003B4F9F">
        <w:rPr>
          <w:rFonts w:eastAsia="Times New Roman" w:cs="Arial"/>
          <w:color w:val="000000"/>
          <w:lang w:val="en-US"/>
        </w:rPr>
        <w:t xml:space="preserve">IFN- </w:t>
      </w:r>
      <w:r w:rsidRPr="003B4F9F">
        <w:rPr>
          <w:rFonts w:eastAsia="Times New Roman" w:cs="Arial"/>
          <w:color w:val="000000"/>
          <w:lang w:eastAsia="bg-BG"/>
        </w:rPr>
        <w:t>α, са съобщени 6 (2%) венозни тромбоемболични събития, 1 пациент (&lt;1%) е имал ДВТ от степен 3 и 5 пациенти (1%) са имали белодробен емболизъм, всички със степен 4.</w:t>
      </w:r>
    </w:p>
    <w:p w14:paraId="7A58CBEA" w14:textId="77777777" w:rsidR="003B4F9F" w:rsidRPr="00030D4D" w:rsidRDefault="003B4F9F" w:rsidP="003B4F9F">
      <w:pPr>
        <w:spacing w:line="240" w:lineRule="auto"/>
        <w:rPr>
          <w:rFonts w:eastAsia="Times New Roman" w:cs="Arial"/>
          <w:color w:val="000000"/>
          <w:lang w:eastAsia="bg-BG"/>
        </w:rPr>
      </w:pPr>
    </w:p>
    <w:p w14:paraId="7198DAD2" w14:textId="6DFF687F"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Събития на венозна тромбоемболия са съобщени при 1 (1,2%) от пациентите в рамото, приемащи сунитиниб, и при 5 (6,1%) от пациентите в рамото на плацебо в проучването фаза 3 </w:t>
      </w:r>
      <w:r w:rsidRPr="003B4F9F">
        <w:rPr>
          <w:rFonts w:eastAsia="Times New Roman" w:cs="Arial"/>
          <w:color w:val="000000"/>
          <w:lang w:val="en-US"/>
        </w:rPr>
        <w:t xml:space="preserve">pNET. </w:t>
      </w:r>
      <w:r w:rsidRPr="003B4F9F">
        <w:rPr>
          <w:rFonts w:eastAsia="Times New Roman" w:cs="Arial"/>
          <w:color w:val="000000"/>
          <w:lang w:eastAsia="bg-BG"/>
        </w:rPr>
        <w:t>Двама от пациентите, приемащи плацебо, са имали ДВТ, 1 със степен 2 и 1 със степен 3.</w:t>
      </w:r>
    </w:p>
    <w:p w14:paraId="310EF4B6" w14:textId="77777777" w:rsidR="003B4F9F" w:rsidRPr="00030D4D" w:rsidRDefault="003B4F9F" w:rsidP="003B4F9F">
      <w:pPr>
        <w:spacing w:line="240" w:lineRule="auto"/>
        <w:rPr>
          <w:rFonts w:eastAsia="Times New Roman" w:cs="Arial"/>
          <w:color w:val="000000"/>
          <w:lang w:eastAsia="bg-BG"/>
        </w:rPr>
      </w:pPr>
    </w:p>
    <w:p w14:paraId="100F9990" w14:textId="3B93D2E8"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Няма съобщени случаи с летален изход при регистрационните проучвания при </w:t>
      </w:r>
      <w:r w:rsidRPr="003B4F9F">
        <w:rPr>
          <w:rFonts w:eastAsia="Times New Roman" w:cs="Arial"/>
          <w:color w:val="000000"/>
          <w:lang w:val="en-US"/>
        </w:rPr>
        <w:t xml:space="preserve">GIST, MRCC </w:t>
      </w:r>
      <w:r w:rsidRPr="003B4F9F">
        <w:rPr>
          <w:rFonts w:eastAsia="Times New Roman" w:cs="Arial"/>
          <w:color w:val="000000"/>
          <w:lang w:eastAsia="bg-BG"/>
        </w:rPr>
        <w:t xml:space="preserve">и </w:t>
      </w:r>
      <w:r w:rsidRPr="003B4F9F">
        <w:rPr>
          <w:rFonts w:eastAsia="Times New Roman" w:cs="Arial"/>
          <w:color w:val="000000"/>
          <w:lang w:val="en-US"/>
        </w:rPr>
        <w:t xml:space="preserve">pNET. </w:t>
      </w:r>
      <w:r w:rsidRPr="003B4F9F">
        <w:rPr>
          <w:rFonts w:eastAsia="Times New Roman" w:cs="Arial"/>
          <w:color w:val="000000"/>
          <w:lang w:eastAsia="bg-BG"/>
        </w:rPr>
        <w:t>Случаи с летален изход са наблюдавани при постмаркетинговото проследяване.</w:t>
      </w:r>
    </w:p>
    <w:p w14:paraId="043E2DD9" w14:textId="77777777" w:rsidR="003B4F9F" w:rsidRPr="00030D4D" w:rsidRDefault="003B4F9F" w:rsidP="003B4F9F">
      <w:pPr>
        <w:spacing w:line="240" w:lineRule="auto"/>
        <w:rPr>
          <w:rFonts w:eastAsia="Times New Roman" w:cs="Arial"/>
          <w:color w:val="000000"/>
          <w:lang w:eastAsia="bg-BG"/>
        </w:rPr>
      </w:pPr>
    </w:p>
    <w:p w14:paraId="4182D2C0" w14:textId="25CEA935"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Случай на белодробен емболизъм са наблюдавани при приблизително 3,1% от пациентите с </w:t>
      </w:r>
      <w:r w:rsidRPr="003B4F9F">
        <w:rPr>
          <w:rFonts w:eastAsia="Times New Roman" w:cs="Arial"/>
          <w:color w:val="000000"/>
          <w:lang w:val="en-US"/>
        </w:rPr>
        <w:t xml:space="preserve">GIST </w:t>
      </w:r>
      <w:r w:rsidRPr="003B4F9F">
        <w:rPr>
          <w:rFonts w:eastAsia="Times New Roman" w:cs="Arial"/>
          <w:color w:val="000000"/>
          <w:lang w:eastAsia="bg-BG"/>
        </w:rPr>
        <w:t xml:space="preserve">и при приблизително 1,2% от пациентите с </w:t>
      </w:r>
      <w:r w:rsidRPr="003B4F9F">
        <w:rPr>
          <w:rFonts w:eastAsia="Times New Roman" w:cs="Arial"/>
          <w:color w:val="000000"/>
          <w:lang w:val="en-US"/>
        </w:rPr>
        <w:t xml:space="preserve">MRCC, </w:t>
      </w:r>
      <w:r w:rsidRPr="003B4F9F">
        <w:rPr>
          <w:rFonts w:eastAsia="Times New Roman" w:cs="Arial"/>
          <w:color w:val="000000"/>
          <w:lang w:eastAsia="bg-BG"/>
        </w:rPr>
        <w:t xml:space="preserve">които са получавали сунитиниб в проучванията фаза 3. Не са получени съобщения за белодробен емболизъм при пациентите с </w:t>
      </w:r>
      <w:r w:rsidRPr="003B4F9F">
        <w:rPr>
          <w:rFonts w:eastAsia="Times New Roman" w:cs="Arial"/>
          <w:color w:val="000000"/>
          <w:lang w:val="en-US"/>
        </w:rPr>
        <w:t xml:space="preserve">pNET, </w:t>
      </w:r>
      <w:r w:rsidRPr="003B4F9F">
        <w:rPr>
          <w:rFonts w:eastAsia="Times New Roman" w:cs="Arial"/>
          <w:color w:val="000000"/>
          <w:lang w:eastAsia="bg-BG"/>
        </w:rPr>
        <w:t>които са получавали сунитиниб в проучването фаза 3. Редки случаи с летален изход са били наблюдавани при постмаркетинговото проследяване.</w:t>
      </w:r>
    </w:p>
    <w:p w14:paraId="01D19F00" w14:textId="77777777" w:rsidR="003B4F9F" w:rsidRPr="00030D4D" w:rsidRDefault="003B4F9F" w:rsidP="003B4F9F">
      <w:pPr>
        <w:spacing w:line="240" w:lineRule="auto"/>
        <w:rPr>
          <w:rFonts w:eastAsia="Times New Roman" w:cs="Arial"/>
          <w:color w:val="000000"/>
          <w:lang w:eastAsia="bg-BG"/>
        </w:rPr>
      </w:pPr>
    </w:p>
    <w:p w14:paraId="52DBD462" w14:textId="60719E45"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Пациентите, които са имали белодробен емболизъм в рамките на предходните 12 месеца, са били изключени от клиничните проучвания на сунитиниб.</w:t>
      </w:r>
    </w:p>
    <w:p w14:paraId="2499FD3A" w14:textId="77777777" w:rsidR="003B4F9F" w:rsidRPr="00030D4D" w:rsidRDefault="003B4F9F" w:rsidP="003B4F9F">
      <w:pPr>
        <w:spacing w:line="240" w:lineRule="auto"/>
        <w:rPr>
          <w:rFonts w:eastAsia="Times New Roman" w:cs="Arial"/>
          <w:color w:val="000000"/>
          <w:lang w:eastAsia="bg-BG"/>
        </w:rPr>
      </w:pPr>
    </w:p>
    <w:p w14:paraId="566F9C20" w14:textId="61CD85FC"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При пациентите, които са получавали сунитиниб в регистрационните проучвания фаза 3, белодробни събития (т.е. диепнея, плеврален излив, белодробен емболизъм или белодробен оток) са били съобщени при приблизително 17,8% от пациентите с </w:t>
      </w:r>
      <w:r w:rsidRPr="003B4F9F">
        <w:rPr>
          <w:rFonts w:eastAsia="Times New Roman" w:cs="Arial"/>
          <w:color w:val="000000"/>
          <w:lang w:val="en-US"/>
        </w:rPr>
        <w:t xml:space="preserve">GIST, </w:t>
      </w:r>
      <w:r w:rsidRPr="003B4F9F">
        <w:rPr>
          <w:rFonts w:eastAsia="Times New Roman" w:cs="Arial"/>
          <w:color w:val="000000"/>
          <w:lang w:eastAsia="bg-BG"/>
        </w:rPr>
        <w:t xml:space="preserve">при приблизително 26,7% от пациентите с </w:t>
      </w:r>
      <w:r w:rsidRPr="003B4F9F">
        <w:rPr>
          <w:rFonts w:eastAsia="Times New Roman" w:cs="Arial"/>
          <w:color w:val="000000"/>
          <w:lang w:val="en-US"/>
        </w:rPr>
        <w:t xml:space="preserve">MRCC </w:t>
      </w:r>
      <w:r w:rsidRPr="003B4F9F">
        <w:rPr>
          <w:rFonts w:eastAsia="Times New Roman" w:cs="Arial"/>
          <w:color w:val="000000"/>
          <w:lang w:eastAsia="bg-BG"/>
        </w:rPr>
        <w:t xml:space="preserve">и при 12% от пациентите с </w:t>
      </w:r>
      <w:r w:rsidRPr="003B4F9F">
        <w:rPr>
          <w:rFonts w:eastAsia="Times New Roman" w:cs="Arial"/>
          <w:color w:val="000000"/>
          <w:lang w:val="en-US"/>
        </w:rPr>
        <w:t>pNET.</w:t>
      </w:r>
    </w:p>
    <w:p w14:paraId="50752E40" w14:textId="77777777" w:rsidR="003B4F9F" w:rsidRPr="00030D4D" w:rsidRDefault="003B4F9F" w:rsidP="003B4F9F">
      <w:pPr>
        <w:spacing w:line="240" w:lineRule="auto"/>
        <w:rPr>
          <w:rFonts w:eastAsia="Times New Roman" w:cs="Arial"/>
          <w:color w:val="000000"/>
          <w:lang w:eastAsia="bg-BG"/>
        </w:rPr>
      </w:pPr>
    </w:p>
    <w:p w14:paraId="12C56061" w14:textId="42945B09"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lastRenderedPageBreak/>
        <w:t xml:space="preserve">При приблизително 22,2% от пациентите със солидни тумори, включително </w:t>
      </w:r>
      <w:r w:rsidRPr="003B4F9F">
        <w:rPr>
          <w:rFonts w:eastAsia="Times New Roman" w:cs="Arial"/>
          <w:color w:val="000000"/>
          <w:lang w:val="en-US"/>
        </w:rPr>
        <w:t xml:space="preserve">GIST </w:t>
      </w:r>
      <w:r w:rsidRPr="003B4F9F">
        <w:rPr>
          <w:rFonts w:eastAsia="Times New Roman" w:cs="Arial"/>
          <w:color w:val="000000"/>
          <w:lang w:eastAsia="bg-BG"/>
        </w:rPr>
        <w:t xml:space="preserve">и </w:t>
      </w:r>
      <w:r w:rsidRPr="003B4F9F">
        <w:rPr>
          <w:rFonts w:eastAsia="Times New Roman" w:cs="Arial"/>
          <w:color w:val="000000"/>
          <w:lang w:val="en-US"/>
        </w:rPr>
        <w:t xml:space="preserve">MRCC, </w:t>
      </w:r>
      <w:r w:rsidRPr="003B4F9F">
        <w:rPr>
          <w:rFonts w:eastAsia="Times New Roman" w:cs="Arial"/>
          <w:color w:val="000000"/>
          <w:lang w:eastAsia="bg-BG"/>
        </w:rPr>
        <w:t>които са получавали сунитиниб в клинични проучвания, са наблюдавани белодробни събития.</w:t>
      </w:r>
    </w:p>
    <w:p w14:paraId="4BB483D5" w14:textId="77777777" w:rsidR="003B4F9F" w:rsidRPr="00030D4D" w:rsidRDefault="003B4F9F" w:rsidP="003B4F9F">
      <w:pPr>
        <w:spacing w:line="240" w:lineRule="auto"/>
        <w:rPr>
          <w:rFonts w:eastAsia="Times New Roman" w:cs="Arial"/>
          <w:i/>
          <w:iCs/>
          <w:color w:val="000000"/>
          <w:lang w:eastAsia="bg-BG"/>
        </w:rPr>
      </w:pPr>
    </w:p>
    <w:p w14:paraId="390F1A2B" w14:textId="3A7C401E" w:rsidR="003B4F9F" w:rsidRPr="003B4F9F" w:rsidRDefault="003B4F9F" w:rsidP="003B4F9F">
      <w:pPr>
        <w:spacing w:line="240" w:lineRule="auto"/>
        <w:rPr>
          <w:rFonts w:eastAsia="Times New Roman" w:cs="Arial"/>
          <w:lang w:eastAsia="bg-BG"/>
        </w:rPr>
      </w:pPr>
      <w:r w:rsidRPr="003B4F9F">
        <w:rPr>
          <w:rFonts w:eastAsia="Times New Roman" w:cs="Arial"/>
          <w:i/>
          <w:iCs/>
          <w:color w:val="000000"/>
          <w:lang w:eastAsia="bg-BG"/>
        </w:rPr>
        <w:t>Стомашно-чревни нарушения</w:t>
      </w:r>
    </w:p>
    <w:p w14:paraId="136BAE8D"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Панкреатит е наблюдаван нечесто (&lt;1%) при пациентите, получавали сунитиниб за </w:t>
      </w:r>
      <w:r w:rsidRPr="003B4F9F">
        <w:rPr>
          <w:rFonts w:eastAsia="Times New Roman" w:cs="Arial"/>
          <w:color w:val="000000"/>
          <w:lang w:val="en-US"/>
        </w:rPr>
        <w:t xml:space="preserve">GIST </w:t>
      </w:r>
      <w:r w:rsidRPr="003B4F9F">
        <w:rPr>
          <w:rFonts w:eastAsia="Times New Roman" w:cs="Arial"/>
          <w:color w:val="000000"/>
          <w:lang w:eastAsia="bg-BG"/>
        </w:rPr>
        <w:t xml:space="preserve">или </w:t>
      </w:r>
      <w:r w:rsidRPr="003B4F9F">
        <w:rPr>
          <w:rFonts w:eastAsia="Times New Roman" w:cs="Arial"/>
          <w:color w:val="000000"/>
          <w:lang w:val="en-US"/>
        </w:rPr>
        <w:t xml:space="preserve">MRCC, </w:t>
      </w:r>
      <w:r w:rsidRPr="003B4F9F">
        <w:rPr>
          <w:rFonts w:eastAsia="Times New Roman" w:cs="Arial"/>
          <w:color w:val="000000"/>
          <w:lang w:eastAsia="bg-BG"/>
        </w:rPr>
        <w:t xml:space="preserve">Не се съобщава за свързан с лечението панкреатит в </w:t>
      </w:r>
      <w:r w:rsidRPr="003B4F9F">
        <w:rPr>
          <w:rFonts w:eastAsia="Times New Roman" w:cs="Arial"/>
          <w:color w:val="000000"/>
          <w:lang w:val="en-US"/>
        </w:rPr>
        <w:t xml:space="preserve">pNET </w:t>
      </w:r>
      <w:r w:rsidRPr="003B4F9F">
        <w:rPr>
          <w:rFonts w:eastAsia="Times New Roman" w:cs="Arial"/>
          <w:color w:val="000000"/>
          <w:lang w:eastAsia="bg-BG"/>
        </w:rPr>
        <w:t>проучването фаза 3 (вж. точка 4.4).</w:t>
      </w:r>
    </w:p>
    <w:p w14:paraId="25142347"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Летални стомашно-чревни кръвоизливи са съобщени при 0,98% от пациентите, получаващи плацебо в </w:t>
      </w:r>
      <w:r w:rsidRPr="003B4F9F">
        <w:rPr>
          <w:rFonts w:eastAsia="Times New Roman" w:cs="Arial"/>
          <w:color w:val="000000"/>
          <w:lang w:val="en-US"/>
        </w:rPr>
        <w:t xml:space="preserve">GIST </w:t>
      </w:r>
      <w:r w:rsidRPr="003B4F9F">
        <w:rPr>
          <w:rFonts w:eastAsia="Times New Roman" w:cs="Arial"/>
          <w:color w:val="000000"/>
          <w:lang w:eastAsia="bg-BG"/>
        </w:rPr>
        <w:t>проучване фаза 3.</w:t>
      </w:r>
    </w:p>
    <w:p w14:paraId="12A99AC7" w14:textId="77777777" w:rsidR="003B4F9F" w:rsidRPr="00030D4D" w:rsidRDefault="003B4F9F" w:rsidP="003B4F9F">
      <w:pPr>
        <w:spacing w:line="240" w:lineRule="auto"/>
        <w:rPr>
          <w:rFonts w:eastAsia="Times New Roman" w:cs="Arial"/>
          <w:i/>
          <w:iCs/>
          <w:color w:val="000000"/>
          <w:lang w:eastAsia="bg-BG"/>
        </w:rPr>
      </w:pPr>
    </w:p>
    <w:p w14:paraId="109A1C49" w14:textId="67326069" w:rsidR="003B4F9F" w:rsidRPr="003B4F9F" w:rsidRDefault="003B4F9F" w:rsidP="003B4F9F">
      <w:pPr>
        <w:spacing w:line="240" w:lineRule="auto"/>
        <w:rPr>
          <w:rFonts w:eastAsia="Times New Roman" w:cs="Arial"/>
          <w:lang w:eastAsia="bg-BG"/>
        </w:rPr>
      </w:pPr>
      <w:r w:rsidRPr="003B4F9F">
        <w:rPr>
          <w:rFonts w:eastAsia="Times New Roman" w:cs="Arial"/>
          <w:i/>
          <w:iCs/>
          <w:color w:val="000000"/>
          <w:lang w:eastAsia="bg-BG"/>
        </w:rPr>
        <w:t>Хепатобилиарни нарушения</w:t>
      </w:r>
    </w:p>
    <w:p w14:paraId="033BC68F"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Съобщава се за чернодробна дисфункция, която може да включва отклонения в чернодробните функционални показатели, хепатит или чернодробна недостатъчност (вж. точка 4.4).</w:t>
      </w:r>
    </w:p>
    <w:p w14:paraId="5AFA996F" w14:textId="77777777" w:rsidR="003B4F9F" w:rsidRPr="00030D4D" w:rsidRDefault="003B4F9F" w:rsidP="003B4F9F">
      <w:pPr>
        <w:spacing w:line="240" w:lineRule="auto"/>
        <w:rPr>
          <w:rFonts w:eastAsia="Times New Roman" w:cs="Arial"/>
          <w:i/>
          <w:iCs/>
          <w:color w:val="000000"/>
          <w:lang w:eastAsia="bg-BG"/>
        </w:rPr>
      </w:pPr>
    </w:p>
    <w:p w14:paraId="273D0B9B" w14:textId="204D9284" w:rsidR="003B4F9F" w:rsidRPr="003B4F9F" w:rsidRDefault="003B4F9F" w:rsidP="003B4F9F">
      <w:pPr>
        <w:spacing w:line="240" w:lineRule="auto"/>
        <w:rPr>
          <w:rFonts w:eastAsia="Times New Roman" w:cs="Arial"/>
          <w:lang w:eastAsia="bg-BG"/>
        </w:rPr>
      </w:pPr>
      <w:r w:rsidRPr="003B4F9F">
        <w:rPr>
          <w:rFonts w:eastAsia="Times New Roman" w:cs="Arial"/>
          <w:i/>
          <w:iCs/>
          <w:color w:val="000000"/>
          <w:lang w:eastAsia="bg-BG"/>
        </w:rPr>
        <w:t>Нарушения на кожата и подкожната тъкан</w:t>
      </w:r>
    </w:p>
    <w:p w14:paraId="6BF300DD"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Съобщават се случаи на пиодерма гангренозум, които като цяло са обратими след прекратяване на приема на сунитиниб (вж. също точка 4.4).</w:t>
      </w:r>
    </w:p>
    <w:p w14:paraId="1F23179D" w14:textId="77777777" w:rsidR="003B4F9F" w:rsidRPr="00030D4D" w:rsidRDefault="003B4F9F" w:rsidP="003B4F9F">
      <w:pPr>
        <w:spacing w:line="240" w:lineRule="auto"/>
        <w:rPr>
          <w:rFonts w:eastAsia="Times New Roman" w:cs="Arial"/>
          <w:i/>
          <w:iCs/>
          <w:color w:val="000000"/>
          <w:lang w:eastAsia="bg-BG"/>
        </w:rPr>
      </w:pPr>
    </w:p>
    <w:p w14:paraId="64752108" w14:textId="79BB3D14" w:rsidR="003B4F9F" w:rsidRPr="003B4F9F" w:rsidRDefault="003B4F9F" w:rsidP="003B4F9F">
      <w:pPr>
        <w:spacing w:line="240" w:lineRule="auto"/>
        <w:rPr>
          <w:rFonts w:eastAsia="Times New Roman" w:cs="Arial"/>
          <w:lang w:eastAsia="bg-BG"/>
        </w:rPr>
      </w:pPr>
      <w:r w:rsidRPr="003B4F9F">
        <w:rPr>
          <w:rFonts w:eastAsia="Times New Roman" w:cs="Arial"/>
          <w:i/>
          <w:iCs/>
          <w:color w:val="000000"/>
          <w:lang w:eastAsia="bg-BG"/>
        </w:rPr>
        <w:t>Нарушения на мускулно-скелетната система и съединителната тъкан</w:t>
      </w:r>
    </w:p>
    <w:p w14:paraId="7C812EC2"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Съобщават се случаи на миопатия и/или рабдомиолиза, някои от които с бъбречна  недостатъчност. Пациенти с признаци или симптоми на мускулна токсичност трябва да</w:t>
      </w:r>
    </w:p>
    <w:p w14:paraId="02EBB62D"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бъдат лекувани според стандартната медицинска практика (вж. точка 4,4). </w:t>
      </w:r>
    </w:p>
    <w:p w14:paraId="0D0E540D" w14:textId="77777777" w:rsidR="003B4F9F" w:rsidRPr="00030D4D" w:rsidRDefault="003B4F9F" w:rsidP="003B4F9F">
      <w:pPr>
        <w:rPr>
          <w:rFonts w:eastAsia="Times New Roman" w:cs="Arial"/>
          <w:color w:val="000000"/>
          <w:lang w:eastAsia="bg-BG"/>
        </w:rPr>
      </w:pPr>
    </w:p>
    <w:p w14:paraId="2C8A6773" w14:textId="0FA376B9" w:rsidR="003B4F9F" w:rsidRPr="00030D4D" w:rsidRDefault="003B4F9F" w:rsidP="003B4F9F">
      <w:pPr>
        <w:rPr>
          <w:rFonts w:cs="Arial"/>
        </w:rPr>
      </w:pPr>
      <w:r w:rsidRPr="00030D4D">
        <w:rPr>
          <w:rFonts w:eastAsia="Times New Roman" w:cs="Arial"/>
          <w:color w:val="000000"/>
          <w:lang w:eastAsia="bg-BG"/>
        </w:rPr>
        <w:t>Съобщават се случаи на образуване на фистули, понякога свързани с туморна некроза и регресия, в някои случаи с летален изход (вж. точка 4.4).</w:t>
      </w:r>
    </w:p>
    <w:p w14:paraId="008DAA2E" w14:textId="5ADD1C1A" w:rsidR="003B4F9F" w:rsidRPr="00030D4D" w:rsidRDefault="003B4F9F" w:rsidP="0091385D">
      <w:pPr>
        <w:rPr>
          <w:rFonts w:cs="Arial"/>
        </w:rPr>
      </w:pPr>
    </w:p>
    <w:p w14:paraId="64D802E7"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Съобщава се за случаи на остеонекроза на челюстта при пациенти, лекувани със сунитиниб, по-голямата част от които - при пациенти с идентифицирани рискови фактори за остеонекроза на челюстта, в частност експозиция на бифосфонати за интравенозно приложение и/или анамнеза за дентално заболяване, изискващо инвазивни дентални процедури (вж. също точка 4.4).</w:t>
      </w:r>
    </w:p>
    <w:p w14:paraId="3255C191" w14:textId="77777777" w:rsidR="003B4F9F" w:rsidRPr="00030D4D" w:rsidRDefault="003B4F9F" w:rsidP="003B4F9F">
      <w:pPr>
        <w:spacing w:line="240" w:lineRule="auto"/>
        <w:rPr>
          <w:rFonts w:eastAsia="Times New Roman" w:cs="Arial"/>
          <w:i/>
          <w:iCs/>
          <w:color w:val="000000"/>
          <w:u w:val="single"/>
          <w:lang w:eastAsia="bg-BG"/>
        </w:rPr>
      </w:pPr>
    </w:p>
    <w:p w14:paraId="4DF451D3" w14:textId="78FA387B" w:rsidR="003B4F9F" w:rsidRPr="003B4F9F" w:rsidRDefault="003B4F9F" w:rsidP="003B4F9F">
      <w:pPr>
        <w:spacing w:line="240" w:lineRule="auto"/>
        <w:rPr>
          <w:rFonts w:eastAsia="Times New Roman" w:cs="Arial"/>
          <w:lang w:eastAsia="bg-BG"/>
        </w:rPr>
      </w:pPr>
      <w:r w:rsidRPr="003B4F9F">
        <w:rPr>
          <w:rFonts w:eastAsia="Times New Roman" w:cs="Arial"/>
          <w:i/>
          <w:iCs/>
          <w:color w:val="000000"/>
          <w:u w:val="single"/>
          <w:lang w:eastAsia="bg-BG"/>
        </w:rPr>
        <w:t>Изследвания</w:t>
      </w:r>
    </w:p>
    <w:p w14:paraId="30F3F9CC"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Данни от неклинични </w:t>
      </w:r>
      <w:r w:rsidRPr="003B4F9F">
        <w:rPr>
          <w:rFonts w:eastAsia="Times New Roman" w:cs="Arial"/>
          <w:i/>
          <w:iCs/>
          <w:color w:val="000000"/>
          <w:lang w:val="en-US"/>
        </w:rPr>
        <w:t xml:space="preserve">(in vitro </w:t>
      </w:r>
      <w:r w:rsidRPr="003B4F9F">
        <w:rPr>
          <w:rFonts w:eastAsia="Times New Roman" w:cs="Arial"/>
          <w:i/>
          <w:iCs/>
          <w:color w:val="000000"/>
          <w:lang w:eastAsia="bg-BG"/>
        </w:rPr>
        <w:t xml:space="preserve">и </w:t>
      </w:r>
      <w:r w:rsidRPr="003B4F9F">
        <w:rPr>
          <w:rFonts w:eastAsia="Times New Roman" w:cs="Arial"/>
          <w:i/>
          <w:iCs/>
          <w:color w:val="000000"/>
          <w:lang w:val="en-US"/>
        </w:rPr>
        <w:t>in vivo)</w:t>
      </w:r>
      <w:r w:rsidRPr="003B4F9F">
        <w:rPr>
          <w:rFonts w:eastAsia="Times New Roman" w:cs="Arial"/>
          <w:color w:val="000000"/>
          <w:lang w:val="en-US"/>
        </w:rPr>
        <w:t xml:space="preserve"> </w:t>
      </w:r>
      <w:r w:rsidRPr="003B4F9F">
        <w:rPr>
          <w:rFonts w:eastAsia="Times New Roman" w:cs="Arial"/>
          <w:color w:val="000000"/>
          <w:lang w:eastAsia="bg-BG"/>
        </w:rPr>
        <w:t xml:space="preserve">проучвания, в дози по-високи от препоръчителната доза при хора, показват, че сунитиниб притежава свойството да инхибира процеса на реполаризация на сърдечния акционен потенциал (напр. удължаване на </w:t>
      </w:r>
      <w:r w:rsidRPr="003B4F9F">
        <w:rPr>
          <w:rFonts w:eastAsia="Times New Roman" w:cs="Arial"/>
          <w:color w:val="000000"/>
          <w:lang w:val="en-US"/>
        </w:rPr>
        <w:t>QT</w:t>
      </w:r>
      <w:r w:rsidRPr="003B4F9F">
        <w:rPr>
          <w:rFonts w:eastAsia="Times New Roman" w:cs="Arial"/>
          <w:color w:val="000000"/>
          <w:lang w:eastAsia="bg-BG"/>
        </w:rPr>
        <w:t>-интервала),</w:t>
      </w:r>
    </w:p>
    <w:p w14:paraId="351EC862" w14:textId="77777777" w:rsidR="003B4F9F" w:rsidRPr="00030D4D" w:rsidRDefault="003B4F9F" w:rsidP="003B4F9F">
      <w:pPr>
        <w:spacing w:line="240" w:lineRule="auto"/>
        <w:rPr>
          <w:rFonts w:eastAsia="Times New Roman" w:cs="Arial"/>
          <w:color w:val="000000"/>
          <w:lang w:eastAsia="bg-BG"/>
        </w:rPr>
      </w:pPr>
    </w:p>
    <w:p w14:paraId="1AC2E167" w14:textId="09845789"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Удължаване на </w:t>
      </w:r>
      <w:r w:rsidRPr="003B4F9F">
        <w:rPr>
          <w:rFonts w:eastAsia="Times New Roman" w:cs="Arial"/>
          <w:color w:val="000000"/>
          <w:lang w:val="en-US"/>
        </w:rPr>
        <w:t xml:space="preserve">QTc </w:t>
      </w:r>
      <w:r w:rsidRPr="003B4F9F">
        <w:rPr>
          <w:rFonts w:eastAsia="Times New Roman" w:cs="Arial"/>
          <w:color w:val="000000"/>
          <w:lang w:eastAsia="bg-BG"/>
        </w:rPr>
        <w:t xml:space="preserve">интервала над 500 </w:t>
      </w:r>
      <w:r w:rsidRPr="003B4F9F">
        <w:rPr>
          <w:rFonts w:eastAsia="Times New Roman" w:cs="Arial"/>
          <w:color w:val="000000"/>
          <w:lang w:val="en-US"/>
        </w:rPr>
        <w:t xml:space="preserve">msec </w:t>
      </w:r>
      <w:r w:rsidRPr="003B4F9F">
        <w:rPr>
          <w:rFonts w:eastAsia="Times New Roman" w:cs="Arial"/>
          <w:color w:val="000000"/>
          <w:lang w:eastAsia="bg-BG"/>
        </w:rPr>
        <w:t xml:space="preserve">е настъпило при 0,5%, а промени с повече от 60 </w:t>
      </w:r>
      <w:r w:rsidRPr="003B4F9F">
        <w:rPr>
          <w:rFonts w:eastAsia="Times New Roman" w:cs="Arial"/>
          <w:color w:val="000000"/>
          <w:lang w:val="en-US"/>
        </w:rPr>
        <w:t xml:space="preserve">msec </w:t>
      </w:r>
      <w:r w:rsidRPr="003B4F9F">
        <w:rPr>
          <w:rFonts w:eastAsia="Times New Roman" w:cs="Arial"/>
          <w:color w:val="000000"/>
          <w:lang w:eastAsia="bg-BG"/>
        </w:rPr>
        <w:t xml:space="preserve">спрямо изходните стойности са настъпили при 1,1% от 450-те пациенти със солиден тумор; двата посочени показателя се приемат за потенциално значими промени. При концентрации, приблизително двойно по-високи от терапевтичната, сунитиниб е показал, че удължава </w:t>
      </w:r>
      <w:r w:rsidRPr="003B4F9F">
        <w:rPr>
          <w:rFonts w:eastAsia="Times New Roman" w:cs="Arial"/>
          <w:color w:val="000000"/>
          <w:lang w:val="en-US"/>
        </w:rPr>
        <w:t xml:space="preserve">QTcF </w:t>
      </w:r>
      <w:r w:rsidRPr="003B4F9F">
        <w:rPr>
          <w:rFonts w:eastAsia="Times New Roman" w:cs="Arial"/>
          <w:color w:val="000000"/>
          <w:lang w:eastAsia="bg-BG"/>
        </w:rPr>
        <w:t xml:space="preserve">интервала (корекция на </w:t>
      </w:r>
      <w:r w:rsidRPr="003B4F9F">
        <w:rPr>
          <w:rFonts w:eastAsia="Times New Roman" w:cs="Arial"/>
          <w:color w:val="000000"/>
          <w:lang w:val="en-US"/>
        </w:rPr>
        <w:t>QT</w:t>
      </w:r>
      <w:r w:rsidRPr="003B4F9F">
        <w:rPr>
          <w:rFonts w:eastAsia="Times New Roman" w:cs="Arial"/>
          <w:color w:val="000000"/>
          <w:lang w:eastAsia="bg-BG"/>
        </w:rPr>
        <w:t xml:space="preserve">-интервала по </w:t>
      </w:r>
      <w:r w:rsidRPr="003B4F9F">
        <w:rPr>
          <w:rFonts w:eastAsia="Times New Roman" w:cs="Arial"/>
          <w:color w:val="000000"/>
          <w:lang w:val="en-US"/>
        </w:rPr>
        <w:t>Fridericia).</w:t>
      </w:r>
    </w:p>
    <w:p w14:paraId="4AFA9073" w14:textId="77777777" w:rsidR="003B4F9F" w:rsidRPr="00030D4D" w:rsidRDefault="003B4F9F" w:rsidP="003B4F9F">
      <w:pPr>
        <w:spacing w:line="240" w:lineRule="auto"/>
        <w:rPr>
          <w:rFonts w:eastAsia="Times New Roman" w:cs="Arial"/>
          <w:color w:val="000000"/>
          <w:lang w:eastAsia="bg-BG"/>
        </w:rPr>
      </w:pPr>
    </w:p>
    <w:p w14:paraId="414DDB2C" w14:textId="4E4F158D"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Удължаването на </w:t>
      </w:r>
      <w:r w:rsidRPr="003B4F9F">
        <w:rPr>
          <w:rFonts w:eastAsia="Times New Roman" w:cs="Arial"/>
          <w:color w:val="000000"/>
          <w:lang w:val="en-US"/>
        </w:rPr>
        <w:t xml:space="preserve">QTc </w:t>
      </w:r>
      <w:r w:rsidRPr="003B4F9F">
        <w:rPr>
          <w:rFonts w:eastAsia="Times New Roman" w:cs="Arial"/>
          <w:color w:val="000000"/>
          <w:lang w:eastAsia="bg-BG"/>
        </w:rPr>
        <w:t xml:space="preserve">интервала е изследвано в едно проучване с 24 пациенти, на възраст 20-87 години с напреднали злокачествени заболявалия. Резултатите от това проучване са показали, че сунитиниб има ефект върху </w:t>
      </w:r>
      <w:r w:rsidRPr="003B4F9F">
        <w:rPr>
          <w:rFonts w:eastAsia="Times New Roman" w:cs="Arial"/>
          <w:color w:val="000000"/>
          <w:lang w:val="en-US"/>
        </w:rPr>
        <w:t xml:space="preserve">QTc </w:t>
      </w:r>
      <w:r w:rsidRPr="003B4F9F">
        <w:rPr>
          <w:rFonts w:eastAsia="Times New Roman" w:cs="Arial"/>
          <w:color w:val="000000"/>
          <w:lang w:eastAsia="bg-BG"/>
        </w:rPr>
        <w:t xml:space="preserve">интервала (дефинирано като средна плацебо-коригирана промяна от&gt;10 </w:t>
      </w:r>
      <w:r w:rsidRPr="003B4F9F">
        <w:rPr>
          <w:rFonts w:eastAsia="Times New Roman" w:cs="Arial"/>
          <w:color w:val="000000"/>
          <w:lang w:val="en-US"/>
        </w:rPr>
        <w:t xml:space="preserve">msec </w:t>
      </w:r>
      <w:r w:rsidRPr="003B4F9F">
        <w:rPr>
          <w:rFonts w:eastAsia="Times New Roman" w:cs="Arial"/>
          <w:color w:val="000000"/>
          <w:lang w:eastAsia="bg-BG"/>
        </w:rPr>
        <w:t xml:space="preserve">с горна граница при 90% доверителен интервал </w:t>
      </w:r>
      <w:r w:rsidRPr="003B4F9F">
        <w:rPr>
          <w:rFonts w:eastAsia="Times New Roman" w:cs="Arial"/>
          <w:color w:val="000000"/>
          <w:lang w:val="en-US"/>
        </w:rPr>
        <w:t xml:space="preserve">[CIJ </w:t>
      </w:r>
      <w:r w:rsidRPr="003B4F9F">
        <w:rPr>
          <w:rFonts w:eastAsia="Times New Roman" w:cs="Arial"/>
          <w:color w:val="000000"/>
          <w:lang w:eastAsia="bg-BG"/>
        </w:rPr>
        <w:t xml:space="preserve">&gt;15 </w:t>
      </w:r>
      <w:r w:rsidRPr="003B4F9F">
        <w:rPr>
          <w:rFonts w:eastAsia="Times New Roman" w:cs="Arial"/>
          <w:color w:val="000000"/>
          <w:lang w:val="en-US"/>
        </w:rPr>
        <w:t xml:space="preserve">msec) </w:t>
      </w:r>
      <w:r w:rsidRPr="003B4F9F">
        <w:rPr>
          <w:rFonts w:eastAsia="Times New Roman" w:cs="Arial"/>
          <w:color w:val="000000"/>
          <w:lang w:eastAsia="bg-BG"/>
        </w:rPr>
        <w:t xml:space="preserve">при терапевтична концентрация (Ден 3), с използване на метода </w:t>
      </w:r>
      <w:r w:rsidRPr="003B4F9F">
        <w:rPr>
          <w:rFonts w:eastAsia="Times New Roman" w:cs="Arial"/>
          <w:color w:val="000000"/>
          <w:lang w:eastAsia="bg-BG"/>
        </w:rPr>
        <w:lastRenderedPageBreak/>
        <w:t xml:space="preserve">на базална корекция в рамките на деня и при по-висока от терапевтичната концентрация (Ден 9), с използване на двата метода на базална корекция. Нито един пациент не е показал стойност на </w:t>
      </w:r>
      <w:r w:rsidRPr="003B4F9F">
        <w:rPr>
          <w:rFonts w:eastAsia="Times New Roman" w:cs="Arial"/>
          <w:color w:val="000000"/>
          <w:lang w:val="en-US"/>
        </w:rPr>
        <w:t xml:space="preserve">QTc </w:t>
      </w:r>
      <w:r w:rsidRPr="003B4F9F">
        <w:rPr>
          <w:rFonts w:eastAsia="Times New Roman" w:cs="Arial"/>
          <w:color w:val="000000"/>
          <w:lang w:eastAsia="bg-BG"/>
        </w:rPr>
        <w:t xml:space="preserve">интервала &gt;500 </w:t>
      </w:r>
      <w:r w:rsidRPr="003B4F9F">
        <w:rPr>
          <w:rFonts w:eastAsia="Times New Roman" w:cs="Arial"/>
          <w:color w:val="000000"/>
          <w:lang w:val="en-US"/>
        </w:rPr>
        <w:t>msec.</w:t>
      </w:r>
    </w:p>
    <w:p w14:paraId="62DE0E02"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Въпреки че ефект върху </w:t>
      </w:r>
      <w:r w:rsidRPr="003B4F9F">
        <w:rPr>
          <w:rFonts w:eastAsia="Times New Roman" w:cs="Arial"/>
          <w:color w:val="000000"/>
          <w:lang w:val="en-US"/>
        </w:rPr>
        <w:t xml:space="preserve">QTcF </w:t>
      </w:r>
      <w:r w:rsidRPr="003B4F9F">
        <w:rPr>
          <w:rFonts w:eastAsia="Times New Roman" w:cs="Arial"/>
          <w:color w:val="000000"/>
          <w:lang w:eastAsia="bg-BG"/>
        </w:rPr>
        <w:t xml:space="preserve">интервала е наблюдаван на 3-тия ден, 24 часа след прилагането (т.е. при терапевтична плазмена концентрация, очаквана след препоръчителната начална доза 50 </w:t>
      </w:r>
      <w:r w:rsidRPr="003B4F9F">
        <w:rPr>
          <w:rFonts w:eastAsia="Times New Roman" w:cs="Arial"/>
          <w:color w:val="000000"/>
          <w:lang w:val="en-US"/>
        </w:rPr>
        <w:t xml:space="preserve">mg) </w:t>
      </w:r>
      <w:r w:rsidRPr="003B4F9F">
        <w:rPr>
          <w:rFonts w:eastAsia="Times New Roman" w:cs="Arial"/>
          <w:color w:val="000000"/>
          <w:lang w:eastAsia="bg-BG"/>
        </w:rPr>
        <w:t>при метода на базална корекция в рамките на деня, клиничната значимост на тази находка е неясна.</w:t>
      </w:r>
    </w:p>
    <w:p w14:paraId="4B42E348" w14:textId="77777777" w:rsidR="003B4F9F" w:rsidRPr="00030D4D" w:rsidRDefault="003B4F9F" w:rsidP="003B4F9F">
      <w:pPr>
        <w:spacing w:line="240" w:lineRule="auto"/>
        <w:rPr>
          <w:rFonts w:eastAsia="Times New Roman" w:cs="Arial"/>
          <w:color w:val="000000"/>
          <w:lang w:eastAsia="bg-BG"/>
        </w:rPr>
      </w:pPr>
    </w:p>
    <w:p w14:paraId="7BCC598F" w14:textId="31C41ABF"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С помощта на подробни серийни ЕКГ записи, направени по време, отговарящо на терапевтичната или пО-голяма от терапевтичната експозиция, при нито един от пациентите от подлежащата на оценка или </w:t>
      </w:r>
      <w:r w:rsidRPr="003B4F9F">
        <w:rPr>
          <w:rFonts w:eastAsia="Times New Roman" w:cs="Arial"/>
          <w:color w:val="000000"/>
          <w:lang w:val="en-US"/>
        </w:rPr>
        <w:t xml:space="preserve">ITT </w:t>
      </w:r>
      <w:r w:rsidRPr="003B4F9F">
        <w:rPr>
          <w:rFonts w:eastAsia="Times New Roman" w:cs="Arial"/>
          <w:color w:val="000000"/>
          <w:lang w:eastAsia="bg-BG"/>
        </w:rPr>
        <w:t xml:space="preserve">популациите не е наблюдавано развитие на удължаване на </w:t>
      </w:r>
      <w:r w:rsidRPr="003B4F9F">
        <w:rPr>
          <w:rFonts w:eastAsia="Times New Roman" w:cs="Arial"/>
          <w:color w:val="000000"/>
          <w:lang w:val="en-US"/>
        </w:rPr>
        <w:t xml:space="preserve">QTc </w:t>
      </w:r>
      <w:r w:rsidRPr="003B4F9F">
        <w:rPr>
          <w:rFonts w:eastAsia="Times New Roman" w:cs="Arial"/>
          <w:color w:val="000000"/>
          <w:lang w:eastAsia="bg-BG"/>
        </w:rPr>
        <w:t xml:space="preserve">интервала, което се счита за „тежко” (т.е. равно на или по-голямо от степен 3 по общите терминологични критерии за нежелани събития </w:t>
      </w:r>
      <w:r w:rsidRPr="003B4F9F">
        <w:rPr>
          <w:rFonts w:eastAsia="Times New Roman" w:cs="Arial"/>
          <w:color w:val="000000"/>
          <w:lang w:val="en-US"/>
        </w:rPr>
        <w:t xml:space="preserve">(Common Terminology Criteria for Adverse Events, CTCAE), </w:t>
      </w:r>
      <w:r w:rsidRPr="003B4F9F">
        <w:rPr>
          <w:rFonts w:eastAsia="Times New Roman" w:cs="Arial"/>
          <w:color w:val="000000"/>
          <w:lang w:eastAsia="bg-BG"/>
        </w:rPr>
        <w:t xml:space="preserve">версия </w:t>
      </w:r>
      <w:r w:rsidRPr="003B4F9F">
        <w:rPr>
          <w:rFonts w:eastAsia="Times New Roman" w:cs="Arial"/>
          <w:color w:val="000000"/>
          <w:lang w:val="en-US"/>
        </w:rPr>
        <w:t>3.0),</w:t>
      </w:r>
    </w:p>
    <w:p w14:paraId="7AA547E5" w14:textId="77777777" w:rsidR="003B4F9F" w:rsidRPr="00030D4D" w:rsidRDefault="003B4F9F" w:rsidP="003B4F9F">
      <w:pPr>
        <w:spacing w:line="240" w:lineRule="auto"/>
        <w:rPr>
          <w:rFonts w:eastAsia="Times New Roman" w:cs="Arial"/>
          <w:color w:val="000000"/>
          <w:lang w:eastAsia="bg-BG"/>
        </w:rPr>
      </w:pPr>
    </w:p>
    <w:p w14:paraId="6994C64C" w14:textId="7C2A37A2"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При терапевтични плазмени концентрации, максималната средна промяна на </w:t>
      </w:r>
      <w:r w:rsidRPr="003B4F9F">
        <w:rPr>
          <w:rFonts w:eastAsia="Times New Roman" w:cs="Arial"/>
          <w:color w:val="000000"/>
          <w:lang w:val="en-US"/>
        </w:rPr>
        <w:t xml:space="preserve">QTcF </w:t>
      </w:r>
      <w:r w:rsidRPr="003B4F9F">
        <w:rPr>
          <w:rFonts w:eastAsia="Times New Roman" w:cs="Arial"/>
          <w:color w:val="000000"/>
          <w:lang w:eastAsia="bg-BG"/>
        </w:rPr>
        <w:t xml:space="preserve">интервала (корекция по </w:t>
      </w:r>
      <w:r w:rsidRPr="003B4F9F">
        <w:rPr>
          <w:rFonts w:eastAsia="Times New Roman" w:cs="Arial"/>
          <w:color w:val="000000"/>
          <w:lang w:val="en-US"/>
        </w:rPr>
        <w:t xml:space="preserve">Fridericia) </w:t>
      </w:r>
      <w:r w:rsidRPr="003B4F9F">
        <w:rPr>
          <w:rFonts w:eastAsia="Times New Roman" w:cs="Arial"/>
          <w:color w:val="000000"/>
          <w:lang w:eastAsia="bg-BG"/>
        </w:rPr>
        <w:t xml:space="preserve">спрямо изходната стойност е била 9 </w:t>
      </w:r>
      <w:r w:rsidRPr="003B4F9F">
        <w:rPr>
          <w:rFonts w:eastAsia="Times New Roman" w:cs="Arial"/>
          <w:color w:val="000000"/>
          <w:lang w:val="en-US"/>
        </w:rPr>
        <w:t xml:space="preserve">msec </w:t>
      </w:r>
      <w:r w:rsidRPr="003B4F9F">
        <w:rPr>
          <w:rFonts w:eastAsia="Times New Roman" w:cs="Arial"/>
          <w:color w:val="000000"/>
          <w:lang w:eastAsia="bg-BG"/>
        </w:rPr>
        <w:t xml:space="preserve">(90% </w:t>
      </w:r>
      <w:r w:rsidRPr="003B4F9F">
        <w:rPr>
          <w:rFonts w:eastAsia="Times New Roman" w:cs="Arial"/>
          <w:color w:val="000000"/>
          <w:lang w:val="en-US"/>
        </w:rPr>
        <w:t xml:space="preserve">CI: </w:t>
      </w:r>
      <w:r w:rsidRPr="003B4F9F">
        <w:rPr>
          <w:rFonts w:eastAsia="Times New Roman" w:cs="Arial"/>
          <w:color w:val="000000"/>
          <w:lang w:eastAsia="bg-BG"/>
        </w:rPr>
        <w:t xml:space="preserve">15,1 </w:t>
      </w:r>
      <w:r w:rsidRPr="003B4F9F">
        <w:rPr>
          <w:rFonts w:eastAsia="Times New Roman" w:cs="Arial"/>
          <w:color w:val="000000"/>
          <w:lang w:val="en-US"/>
        </w:rPr>
        <w:t xml:space="preserve">msec). </w:t>
      </w:r>
      <w:r w:rsidRPr="003B4F9F">
        <w:rPr>
          <w:rFonts w:eastAsia="Times New Roman" w:cs="Arial"/>
          <w:color w:val="000000"/>
          <w:lang w:eastAsia="bg-BG"/>
        </w:rPr>
        <w:t xml:space="preserve">При концентрации приблизително двойно по-големи от терапевтичната, максималната промяна на </w:t>
      </w:r>
      <w:r w:rsidRPr="003B4F9F">
        <w:rPr>
          <w:rFonts w:eastAsia="Times New Roman" w:cs="Arial"/>
          <w:color w:val="000000"/>
          <w:lang w:val="en-US"/>
        </w:rPr>
        <w:t xml:space="preserve">QTcF </w:t>
      </w:r>
      <w:r w:rsidRPr="003B4F9F">
        <w:rPr>
          <w:rFonts w:eastAsia="Times New Roman" w:cs="Arial"/>
          <w:color w:val="000000"/>
          <w:lang w:eastAsia="bg-BG"/>
        </w:rPr>
        <w:t xml:space="preserve">интервала спрямо изходната стойност е била 15,4 </w:t>
      </w:r>
      <w:r w:rsidRPr="003B4F9F">
        <w:rPr>
          <w:rFonts w:eastAsia="Times New Roman" w:cs="Arial"/>
          <w:color w:val="000000"/>
          <w:lang w:val="en-US"/>
        </w:rPr>
        <w:t xml:space="preserve">msec </w:t>
      </w:r>
      <w:r w:rsidRPr="003B4F9F">
        <w:rPr>
          <w:rFonts w:eastAsia="Times New Roman" w:cs="Arial"/>
          <w:color w:val="000000"/>
          <w:lang w:eastAsia="bg-BG"/>
        </w:rPr>
        <w:t xml:space="preserve">(90% </w:t>
      </w:r>
      <w:r w:rsidRPr="003B4F9F">
        <w:rPr>
          <w:rFonts w:eastAsia="Times New Roman" w:cs="Arial"/>
          <w:color w:val="000000"/>
          <w:lang w:val="en-US"/>
        </w:rPr>
        <w:t xml:space="preserve">CI: </w:t>
      </w:r>
      <w:r w:rsidRPr="003B4F9F">
        <w:rPr>
          <w:rFonts w:eastAsia="Times New Roman" w:cs="Arial"/>
          <w:color w:val="000000"/>
          <w:lang w:eastAsia="bg-BG"/>
        </w:rPr>
        <w:t xml:space="preserve">22,4 </w:t>
      </w:r>
      <w:r w:rsidRPr="003B4F9F">
        <w:rPr>
          <w:rFonts w:eastAsia="Times New Roman" w:cs="Arial"/>
          <w:color w:val="000000"/>
          <w:lang w:val="en-US"/>
        </w:rPr>
        <w:t>msec).</w:t>
      </w:r>
    </w:p>
    <w:p w14:paraId="0B883B7D" w14:textId="77777777" w:rsidR="003B4F9F" w:rsidRPr="003B4F9F" w:rsidRDefault="003B4F9F" w:rsidP="003B4F9F">
      <w:pPr>
        <w:spacing w:line="240" w:lineRule="auto"/>
        <w:rPr>
          <w:rFonts w:eastAsia="Times New Roman" w:cs="Arial"/>
          <w:lang w:eastAsia="bg-BG"/>
        </w:rPr>
      </w:pPr>
      <w:r w:rsidRPr="003B4F9F">
        <w:rPr>
          <w:rFonts w:eastAsia="Times New Roman" w:cs="Arial"/>
          <w:color w:val="000000"/>
          <w:lang w:eastAsia="bg-BG"/>
        </w:rPr>
        <w:t xml:space="preserve">Моксифлоксацин (400 </w:t>
      </w:r>
      <w:r w:rsidRPr="003B4F9F">
        <w:rPr>
          <w:rFonts w:eastAsia="Times New Roman" w:cs="Arial"/>
          <w:color w:val="000000"/>
          <w:lang w:val="en-US"/>
        </w:rPr>
        <w:t xml:space="preserve">mg), </w:t>
      </w:r>
      <w:r w:rsidRPr="003B4F9F">
        <w:rPr>
          <w:rFonts w:eastAsia="Times New Roman" w:cs="Arial"/>
          <w:color w:val="000000"/>
          <w:lang w:eastAsia="bg-BG"/>
        </w:rPr>
        <w:t xml:space="preserve">използван като позитивна контрола, е показал максимална средна промяна на </w:t>
      </w:r>
      <w:r w:rsidRPr="003B4F9F">
        <w:rPr>
          <w:rFonts w:eastAsia="Times New Roman" w:cs="Arial"/>
          <w:color w:val="000000"/>
          <w:lang w:val="en-US"/>
        </w:rPr>
        <w:t xml:space="preserve">QTcF </w:t>
      </w:r>
      <w:r w:rsidRPr="003B4F9F">
        <w:rPr>
          <w:rFonts w:eastAsia="Times New Roman" w:cs="Arial"/>
          <w:color w:val="000000"/>
          <w:lang w:eastAsia="bg-BG"/>
        </w:rPr>
        <w:t xml:space="preserve">интервала спрямо изходната стойност 5,6 </w:t>
      </w:r>
      <w:r w:rsidRPr="003B4F9F">
        <w:rPr>
          <w:rFonts w:eastAsia="Times New Roman" w:cs="Arial"/>
          <w:color w:val="000000"/>
          <w:lang w:val="en-US"/>
        </w:rPr>
        <w:t xml:space="preserve">msec. </w:t>
      </w:r>
      <w:r w:rsidRPr="003B4F9F">
        <w:rPr>
          <w:rFonts w:eastAsia="Times New Roman" w:cs="Arial"/>
          <w:color w:val="000000"/>
          <w:lang w:eastAsia="bg-BG"/>
        </w:rPr>
        <w:t xml:space="preserve">При нито един пациент не е наблюдаван ефект върху </w:t>
      </w:r>
      <w:r w:rsidRPr="003B4F9F">
        <w:rPr>
          <w:rFonts w:eastAsia="Times New Roman" w:cs="Arial"/>
          <w:color w:val="000000"/>
          <w:lang w:val="en-US"/>
        </w:rPr>
        <w:t xml:space="preserve">QTc </w:t>
      </w:r>
      <w:r w:rsidRPr="003B4F9F">
        <w:rPr>
          <w:rFonts w:eastAsia="Times New Roman" w:cs="Arial"/>
          <w:color w:val="000000"/>
          <w:lang w:eastAsia="bg-BG"/>
        </w:rPr>
        <w:t>интервала, по-голям от степен 2 (по СТСАЕ, версия 3.0) (вж. точка 4.4).</w:t>
      </w:r>
    </w:p>
    <w:p w14:paraId="6BD8EDDD" w14:textId="77777777" w:rsidR="003B4F9F" w:rsidRPr="00030D4D" w:rsidRDefault="003B4F9F" w:rsidP="003B4F9F">
      <w:pPr>
        <w:spacing w:line="240" w:lineRule="auto"/>
        <w:rPr>
          <w:rFonts w:eastAsia="Times New Roman" w:cs="Arial"/>
          <w:i/>
          <w:iCs/>
          <w:color w:val="000000"/>
          <w:u w:val="single"/>
          <w:lang w:eastAsia="bg-BG"/>
        </w:rPr>
      </w:pPr>
    </w:p>
    <w:p w14:paraId="045ED0C7" w14:textId="1EEFAD52" w:rsidR="003B4F9F" w:rsidRPr="003B4F9F" w:rsidRDefault="003B4F9F" w:rsidP="003B4F9F">
      <w:pPr>
        <w:spacing w:line="240" w:lineRule="auto"/>
        <w:rPr>
          <w:rFonts w:eastAsia="Times New Roman" w:cs="Arial"/>
          <w:lang w:eastAsia="bg-BG"/>
        </w:rPr>
      </w:pPr>
      <w:r w:rsidRPr="003B4F9F">
        <w:rPr>
          <w:rFonts w:eastAsia="Times New Roman" w:cs="Arial"/>
          <w:i/>
          <w:iCs/>
          <w:color w:val="000000"/>
          <w:u w:val="single"/>
          <w:lang w:eastAsia="bg-BG"/>
        </w:rPr>
        <w:t xml:space="preserve">Дългосрочна безопасност при </w:t>
      </w:r>
      <w:r w:rsidRPr="003B4F9F">
        <w:rPr>
          <w:rFonts w:eastAsia="Times New Roman" w:cs="Arial"/>
          <w:i/>
          <w:iCs/>
          <w:color w:val="000000"/>
          <w:u w:val="single"/>
          <w:lang w:val="en-US"/>
        </w:rPr>
        <w:t>MRCC</w:t>
      </w:r>
    </w:p>
    <w:p w14:paraId="091E1E29" w14:textId="6B250013" w:rsidR="00DE5999" w:rsidRPr="00030D4D" w:rsidRDefault="003B4F9F" w:rsidP="00DE5999">
      <w:pPr>
        <w:rPr>
          <w:rFonts w:eastAsia="Times New Roman" w:cs="Arial"/>
          <w:lang w:eastAsia="bg-BG"/>
        </w:rPr>
      </w:pPr>
      <w:r w:rsidRPr="003B4F9F">
        <w:rPr>
          <w:rFonts w:eastAsia="Times New Roman" w:cs="Arial"/>
          <w:color w:val="000000"/>
          <w:lang w:eastAsia="bg-BG"/>
        </w:rPr>
        <w:t xml:space="preserve">Дългосрочната безопасност на сунитиниб при пациенти с </w:t>
      </w:r>
      <w:r w:rsidRPr="003B4F9F">
        <w:rPr>
          <w:rFonts w:eastAsia="Times New Roman" w:cs="Arial"/>
          <w:color w:val="000000"/>
          <w:lang w:val="en-US"/>
        </w:rPr>
        <w:t xml:space="preserve">MRCC </w:t>
      </w:r>
      <w:r w:rsidRPr="003B4F9F">
        <w:rPr>
          <w:rFonts w:eastAsia="Times New Roman" w:cs="Arial"/>
          <w:color w:val="000000"/>
          <w:lang w:eastAsia="bg-BG"/>
        </w:rPr>
        <w:t>е анализирана в 9 завършени клинични проучвания, проведени в условията на лечение от първа линия, бе</w:t>
      </w:r>
      <w:r w:rsidR="00DE5999" w:rsidRPr="00030D4D">
        <w:rPr>
          <w:rFonts w:eastAsia="Times New Roman" w:cs="Arial"/>
          <w:color w:val="000000"/>
          <w:lang w:eastAsia="bg-BG"/>
        </w:rPr>
        <w:t xml:space="preserve">вацизумаб-рефрактерно и цитокин </w:t>
      </w:r>
      <w:r w:rsidRPr="003B4F9F">
        <w:rPr>
          <w:rFonts w:eastAsia="Times New Roman" w:cs="Arial"/>
          <w:color w:val="000000"/>
          <w:lang w:eastAsia="bg-BG"/>
        </w:rPr>
        <w:t>рефрактерно заболяване при 5 739 пациенти, от които 807 (14%</w:t>
      </w:r>
      <w:r w:rsidRPr="00030D4D">
        <w:rPr>
          <w:rFonts w:eastAsia="Times New Roman" w:cs="Arial"/>
          <w:color w:val="000000"/>
          <w:lang w:eastAsia="bg-BG"/>
        </w:rPr>
        <w:t xml:space="preserve">) са лекувани в продължение на </w:t>
      </w:r>
      <w:r w:rsidRPr="00030D4D">
        <w:rPr>
          <w:rFonts w:cs="Arial"/>
          <w:color w:val="222222"/>
        </w:rPr>
        <w:t>≥</w:t>
      </w:r>
      <w:r w:rsidRPr="00030D4D">
        <w:rPr>
          <w:rFonts w:cs="Arial"/>
          <w:color w:val="222222"/>
        </w:rPr>
        <w:t xml:space="preserve"> </w:t>
      </w:r>
      <w:r w:rsidRPr="003B4F9F">
        <w:rPr>
          <w:rFonts w:eastAsia="Times New Roman" w:cs="Arial"/>
          <w:color w:val="000000"/>
          <w:lang w:eastAsia="bg-BG"/>
        </w:rPr>
        <w:t>2 години и до 6 години. От 807-те</w:t>
      </w:r>
      <w:r w:rsidRPr="00030D4D">
        <w:rPr>
          <w:rFonts w:eastAsia="Times New Roman" w:cs="Arial"/>
          <w:lang w:eastAsia="bg-BG"/>
        </w:rPr>
        <w:t xml:space="preserve"> </w:t>
      </w:r>
      <w:r w:rsidRPr="00030D4D">
        <w:rPr>
          <w:rFonts w:eastAsia="Times New Roman" w:cs="Arial"/>
          <w:color w:val="000000"/>
          <w:lang w:eastAsia="bg-BG"/>
        </w:rPr>
        <w:t xml:space="preserve">пациенти, получавали дългосрочно лечение със сунитиниб, повечето свързани с нежелание събития по време на лечението </w:t>
      </w:r>
      <w:r w:rsidRPr="00030D4D">
        <w:rPr>
          <w:rFonts w:eastAsia="Times New Roman" w:cs="Arial"/>
          <w:color w:val="000000"/>
          <w:lang w:val="en-US"/>
        </w:rPr>
        <w:t xml:space="preserve">(treatment-related adverse events, TRAEs) </w:t>
      </w:r>
      <w:r w:rsidRPr="00030D4D">
        <w:rPr>
          <w:rFonts w:eastAsia="Times New Roman" w:cs="Arial"/>
          <w:color w:val="000000"/>
          <w:lang w:eastAsia="bg-BG"/>
        </w:rPr>
        <w:t xml:space="preserve">се появяват </w:t>
      </w:r>
      <w:r w:rsidR="00DE5999" w:rsidRPr="00030D4D">
        <w:rPr>
          <w:rFonts w:eastAsia="Times New Roman" w:cs="Arial"/>
          <w:color w:val="000000"/>
          <w:lang w:eastAsia="bg-BG"/>
        </w:rPr>
        <w:t xml:space="preserve">първоначално през първите 6 месеца - 1 година и след това са непроменени или намаляват по честота с течение на времето, с изключение на хипотиреоидизъм, чиято честота се увеличава постепенно с времето, като през 6-годишния период се появяват нови случаи. Продължителното лечение със сунитиниб изглежда не е свързано с нови видове </w:t>
      </w:r>
      <w:r w:rsidR="00DE5999" w:rsidRPr="00030D4D">
        <w:rPr>
          <w:rFonts w:eastAsia="Times New Roman" w:cs="Arial"/>
          <w:color w:val="000000"/>
          <w:lang w:val="en-US"/>
        </w:rPr>
        <w:t>TRAEs.</w:t>
      </w:r>
    </w:p>
    <w:p w14:paraId="47B6A448" w14:textId="77777777" w:rsidR="00DE5999" w:rsidRPr="00030D4D" w:rsidRDefault="00DE5999" w:rsidP="00DE5999">
      <w:pPr>
        <w:spacing w:line="240" w:lineRule="auto"/>
        <w:rPr>
          <w:rFonts w:eastAsia="Times New Roman" w:cs="Arial"/>
          <w:color w:val="000000"/>
          <w:u w:val="single"/>
          <w:lang w:eastAsia="bg-BG"/>
        </w:rPr>
      </w:pPr>
    </w:p>
    <w:p w14:paraId="6377B574" w14:textId="33EDDFFC" w:rsidR="00DE5999" w:rsidRPr="00DE5999" w:rsidRDefault="00DE5999" w:rsidP="00DE5999">
      <w:pPr>
        <w:spacing w:line="240" w:lineRule="auto"/>
        <w:rPr>
          <w:rFonts w:eastAsia="Times New Roman" w:cs="Arial"/>
          <w:lang w:eastAsia="bg-BG"/>
        </w:rPr>
      </w:pPr>
      <w:r w:rsidRPr="00DE5999">
        <w:rPr>
          <w:rFonts w:eastAsia="Times New Roman" w:cs="Arial"/>
          <w:color w:val="000000"/>
          <w:u w:val="single"/>
          <w:lang w:eastAsia="bg-BG"/>
        </w:rPr>
        <w:t>Педиатрична популация</w:t>
      </w:r>
    </w:p>
    <w:p w14:paraId="02790394" w14:textId="77777777" w:rsidR="00DE5999" w:rsidRPr="00DE5999" w:rsidRDefault="00DE5999" w:rsidP="00DE5999">
      <w:pPr>
        <w:spacing w:line="240" w:lineRule="auto"/>
        <w:rPr>
          <w:rFonts w:eastAsia="Times New Roman" w:cs="Arial"/>
          <w:lang w:eastAsia="bg-BG"/>
        </w:rPr>
      </w:pPr>
      <w:r w:rsidRPr="00DE5999">
        <w:rPr>
          <w:rFonts w:eastAsia="Times New Roman" w:cs="Arial"/>
          <w:color w:val="000000"/>
          <w:lang w:eastAsia="bg-BG"/>
        </w:rPr>
        <w:t>Профилът на безопасност на сунитиниб е получен от проучване фаза 1 с повишаване на дозата, открито проучване фаза 2, проучване фаза 1/2 с едно рамо и от публикации, както е описано по- долу.</w:t>
      </w:r>
    </w:p>
    <w:p w14:paraId="2A4CCD1C" w14:textId="77777777" w:rsidR="00DE5999" w:rsidRPr="00030D4D" w:rsidRDefault="00DE5999" w:rsidP="00DE5999">
      <w:pPr>
        <w:spacing w:line="240" w:lineRule="auto"/>
        <w:rPr>
          <w:rFonts w:eastAsia="Times New Roman" w:cs="Arial"/>
          <w:color w:val="000000"/>
          <w:lang w:eastAsia="bg-BG"/>
        </w:rPr>
      </w:pPr>
    </w:p>
    <w:p w14:paraId="778AEF79" w14:textId="54CF2860" w:rsidR="00DE5999" w:rsidRPr="00DE5999" w:rsidRDefault="00DE5999" w:rsidP="00DE5999">
      <w:pPr>
        <w:spacing w:line="240" w:lineRule="auto"/>
        <w:rPr>
          <w:rFonts w:eastAsia="Times New Roman" w:cs="Arial"/>
          <w:lang w:eastAsia="bg-BG"/>
        </w:rPr>
      </w:pPr>
      <w:r w:rsidRPr="00DE5999">
        <w:rPr>
          <w:rFonts w:eastAsia="Times New Roman" w:cs="Arial"/>
          <w:color w:val="000000"/>
          <w:lang w:eastAsia="bg-BG"/>
        </w:rPr>
        <w:t xml:space="preserve">Проведено е проучване фаза I с увеличаване на дозата перорален сунитиниб при 35 пациенти, включващо 30 педиатрични пациенти (на възраст от 3 години до 17 години) </w:t>
      </w:r>
      <w:r w:rsidRPr="00DE5999">
        <w:rPr>
          <w:rFonts w:eastAsia="Times New Roman" w:cs="Arial"/>
          <w:i/>
          <w:iCs/>
          <w:color w:val="000000"/>
          <w:lang w:eastAsia="bg-BG"/>
        </w:rPr>
        <w:t>и</w:t>
      </w:r>
      <w:r w:rsidRPr="00DE5999">
        <w:rPr>
          <w:rFonts w:eastAsia="Times New Roman" w:cs="Arial"/>
          <w:color w:val="000000"/>
          <w:lang w:eastAsia="bg-BG"/>
        </w:rPr>
        <w:t xml:space="preserve"> 5 млади възрастни пациенти (на възраст от 18 до 21 години) с рефрактерни солидни тумори, като по-голямата част от пациентите са с основна диагноза мозъчен тумор. Всички участници в проучването получават нежелани лекарствени реакции, като повечето от тези реакции са тежки (степен на токсичност ≥ 3) и включват кардиотоксичност. Най-честите нежелани реакции са гастроинтестинална (ГИ) токсичност, неутропения, умора и </w:t>
      </w:r>
      <w:r w:rsidRPr="00DE5999">
        <w:rPr>
          <w:rFonts w:eastAsia="Times New Roman" w:cs="Arial"/>
          <w:color w:val="000000"/>
          <w:lang w:eastAsia="bg-BG"/>
        </w:rPr>
        <w:lastRenderedPageBreak/>
        <w:t xml:space="preserve">повишаване на </w:t>
      </w:r>
      <w:r w:rsidRPr="00DE5999">
        <w:rPr>
          <w:rFonts w:eastAsia="Times New Roman" w:cs="Arial"/>
          <w:color w:val="000000"/>
          <w:lang w:val="en-US"/>
        </w:rPr>
        <w:t xml:space="preserve">ALT. </w:t>
      </w:r>
      <w:r w:rsidRPr="00DE5999">
        <w:rPr>
          <w:rFonts w:eastAsia="Times New Roman" w:cs="Arial"/>
          <w:color w:val="000000"/>
          <w:lang w:eastAsia="bg-BG"/>
        </w:rPr>
        <w:t>Рискът от сърдечни нежелани лекарствени реакции изглежда по- висок при педиатричните пациенти с предходна експозиция на облъчване на сърцето или антрациклини в сравнение с педиатричните пациенти без предходна експозиция. При тези педиатрични пациенти без предходна експозиция на антрациклини или облъчване на сърцето е идентифицирана максималната поносима доза (МПД) (вж. точка 5.1).</w:t>
      </w:r>
    </w:p>
    <w:p w14:paraId="515F6C6B" w14:textId="77777777" w:rsidR="00DE5999" w:rsidRPr="00030D4D" w:rsidRDefault="00DE5999" w:rsidP="00DE5999">
      <w:pPr>
        <w:spacing w:line="240" w:lineRule="auto"/>
        <w:rPr>
          <w:rFonts w:eastAsia="Times New Roman" w:cs="Arial"/>
          <w:color w:val="000000"/>
          <w:lang w:eastAsia="bg-BG"/>
        </w:rPr>
      </w:pPr>
    </w:p>
    <w:p w14:paraId="2811E355" w14:textId="46A209D1" w:rsidR="00DE5999" w:rsidRPr="00DE5999" w:rsidRDefault="00DE5999" w:rsidP="00DE5999">
      <w:pPr>
        <w:spacing w:line="240" w:lineRule="auto"/>
        <w:rPr>
          <w:rFonts w:eastAsia="Times New Roman" w:cs="Arial"/>
          <w:lang w:eastAsia="bg-BG"/>
        </w:rPr>
      </w:pPr>
      <w:r w:rsidRPr="00DE5999">
        <w:rPr>
          <w:rFonts w:eastAsia="Times New Roman" w:cs="Arial"/>
          <w:color w:val="000000"/>
          <w:lang w:eastAsia="bg-BG"/>
        </w:rPr>
        <w:t xml:space="preserve">Проведено е открито проучване фаза 2 при 29 пациенти, включващо 27 педиатрични пациенти (на възраст от 3 до 16 години) и 2 млади възрастни пациенти (на възраст от 18 години до 19 години) с рекурентен/прогресивен/рефрактерен високостепенен глиом </w:t>
      </w:r>
      <w:r w:rsidRPr="00DE5999">
        <w:rPr>
          <w:rFonts w:eastAsia="Times New Roman" w:cs="Arial"/>
          <w:color w:val="000000"/>
          <w:lang w:val="en-US"/>
        </w:rPr>
        <w:t xml:space="preserve">(HGG) </w:t>
      </w:r>
      <w:r w:rsidRPr="00DE5999">
        <w:rPr>
          <w:rFonts w:eastAsia="Times New Roman" w:cs="Arial"/>
          <w:color w:val="000000"/>
          <w:lang w:eastAsia="bg-BG"/>
        </w:rPr>
        <w:t>или епендимом. И в двете групи няма нежелани реакции степен 5. Най-честите ( ≥ 10%) нежелани събития, свързани с лечението, са понижен брой на неутрофилите (6 [20,7%] пациенти) и вътречерепен кръвоизлив (3 [10,3%] пациенти).</w:t>
      </w:r>
    </w:p>
    <w:p w14:paraId="4FAD6F50" w14:textId="77777777" w:rsidR="00DE5999" w:rsidRPr="00030D4D" w:rsidRDefault="00DE5999" w:rsidP="00DE5999">
      <w:pPr>
        <w:spacing w:line="240" w:lineRule="auto"/>
        <w:rPr>
          <w:rFonts w:eastAsia="Times New Roman" w:cs="Arial"/>
          <w:color w:val="000000"/>
          <w:lang w:eastAsia="bg-BG"/>
        </w:rPr>
      </w:pPr>
    </w:p>
    <w:p w14:paraId="514AED59" w14:textId="5F6563AB" w:rsidR="00DE5999" w:rsidRPr="00DE5999" w:rsidRDefault="00DE5999" w:rsidP="00DE5999">
      <w:pPr>
        <w:spacing w:line="240" w:lineRule="auto"/>
        <w:rPr>
          <w:rFonts w:eastAsia="Times New Roman" w:cs="Arial"/>
          <w:lang w:eastAsia="bg-BG"/>
        </w:rPr>
      </w:pPr>
      <w:r w:rsidRPr="00DE5999">
        <w:rPr>
          <w:rFonts w:eastAsia="Times New Roman" w:cs="Arial"/>
          <w:color w:val="000000"/>
          <w:lang w:eastAsia="bg-BG"/>
        </w:rPr>
        <w:t xml:space="preserve">Проведено е проучване фаза 1/2 с едно рамо при 6 педиатрични пациенти (на възраст от 13 години до 16 години) с напреднал неоперабилен </w:t>
      </w:r>
      <w:r w:rsidRPr="00DE5999">
        <w:rPr>
          <w:rFonts w:eastAsia="Times New Roman" w:cs="Arial"/>
          <w:color w:val="000000"/>
          <w:lang w:val="en-US"/>
        </w:rPr>
        <w:t xml:space="preserve">GIST. </w:t>
      </w:r>
      <w:r w:rsidRPr="00DE5999">
        <w:rPr>
          <w:rFonts w:eastAsia="Times New Roman" w:cs="Arial"/>
          <w:color w:val="000000"/>
          <w:lang w:eastAsia="bg-BG"/>
        </w:rPr>
        <w:t>Най-честите нежелани лекарствени реакции са диария, гадене, понижен брой на белите кръвни клетки, неутропения и главоболие при 3 (50,0%) пациенти от всяка реакция, главно степен 1 или 2 по тежест. Четирима от 6 пациенти (66,7%) получават нежелани събития, свързани с лечението, от степен 3-4 (степен 3 хипофосфатемия, неутропения и тромбоцитопения при 1 пациент от всяко събитие и неутропения от степен 4 при 1 пациент). В това проучване не се съобщава за сериозни нежелани събития (СНС) или нежелани лекарствени реакции степен 5. В двете клинични проучвания и публикациите профилът на безопасност съответства на известния профил на безопасност при възрастни.</w:t>
      </w:r>
    </w:p>
    <w:p w14:paraId="4626B09C" w14:textId="77777777" w:rsidR="00DE5999" w:rsidRPr="00030D4D" w:rsidRDefault="00DE5999" w:rsidP="00DE5999">
      <w:pPr>
        <w:spacing w:line="240" w:lineRule="auto"/>
        <w:rPr>
          <w:rFonts w:eastAsia="Times New Roman" w:cs="Arial"/>
          <w:color w:val="000000"/>
          <w:u w:val="single"/>
          <w:lang w:eastAsia="bg-BG"/>
        </w:rPr>
      </w:pPr>
    </w:p>
    <w:p w14:paraId="42805562" w14:textId="24E37C5D" w:rsidR="00DE5999" w:rsidRPr="00DE5999" w:rsidRDefault="00DE5999" w:rsidP="00DE5999">
      <w:pPr>
        <w:spacing w:line="240" w:lineRule="auto"/>
        <w:rPr>
          <w:rFonts w:eastAsia="Times New Roman" w:cs="Arial"/>
          <w:lang w:eastAsia="bg-BG"/>
        </w:rPr>
      </w:pPr>
      <w:r w:rsidRPr="00DE5999">
        <w:rPr>
          <w:rFonts w:eastAsia="Times New Roman" w:cs="Arial"/>
          <w:color w:val="000000"/>
          <w:u w:val="single"/>
          <w:lang w:eastAsia="bg-BG"/>
        </w:rPr>
        <w:t>Съобщаване на подозирани нежелани реакции</w:t>
      </w:r>
    </w:p>
    <w:p w14:paraId="50587993" w14:textId="77777777" w:rsidR="00DE5999" w:rsidRPr="00DE5999" w:rsidRDefault="00DE5999" w:rsidP="00DE5999">
      <w:pPr>
        <w:spacing w:line="240" w:lineRule="auto"/>
        <w:rPr>
          <w:rFonts w:eastAsia="Times New Roman" w:cs="Arial"/>
          <w:lang w:eastAsia="bg-BG"/>
        </w:rPr>
      </w:pPr>
      <w:r w:rsidRPr="00DE599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4C891183" w14:textId="77777777" w:rsidR="00DE5999" w:rsidRPr="00030D4D" w:rsidRDefault="00DE5999" w:rsidP="00DE5999">
      <w:pPr>
        <w:spacing w:line="240" w:lineRule="auto"/>
        <w:rPr>
          <w:rFonts w:eastAsia="Times New Roman" w:cs="Arial"/>
          <w:color w:val="000000"/>
          <w:lang w:eastAsia="bg-BG"/>
        </w:rPr>
      </w:pPr>
    </w:p>
    <w:p w14:paraId="3F9C7E0A" w14:textId="77777777" w:rsidR="00DE5999" w:rsidRPr="00030D4D" w:rsidRDefault="00DE5999" w:rsidP="00DE5999">
      <w:pPr>
        <w:spacing w:line="240" w:lineRule="auto"/>
        <w:rPr>
          <w:rFonts w:eastAsia="Times New Roman" w:cs="Arial"/>
          <w:color w:val="000000"/>
          <w:lang w:eastAsia="bg-BG"/>
        </w:rPr>
      </w:pPr>
      <w:r w:rsidRPr="00DE5999">
        <w:rPr>
          <w:rFonts w:eastAsia="Times New Roman" w:cs="Arial"/>
          <w:color w:val="000000"/>
          <w:lang w:eastAsia="bg-BG"/>
        </w:rPr>
        <w:t xml:space="preserve">Изпълнителна агенция по лекарствата </w:t>
      </w:r>
    </w:p>
    <w:p w14:paraId="148E58B5" w14:textId="77777777" w:rsidR="00DE5999" w:rsidRPr="00030D4D" w:rsidRDefault="00DE5999" w:rsidP="00DE5999">
      <w:pPr>
        <w:spacing w:line="240" w:lineRule="auto"/>
        <w:rPr>
          <w:rFonts w:eastAsia="Times New Roman" w:cs="Arial"/>
          <w:color w:val="000000"/>
          <w:lang w:eastAsia="bg-BG"/>
        </w:rPr>
      </w:pPr>
      <w:r w:rsidRPr="00DE5999">
        <w:rPr>
          <w:rFonts w:eastAsia="Times New Roman" w:cs="Arial"/>
          <w:color w:val="000000"/>
          <w:lang w:eastAsia="bg-BG"/>
        </w:rPr>
        <w:t xml:space="preserve">ул. „Дамян Г руев“ № 8 </w:t>
      </w:r>
    </w:p>
    <w:p w14:paraId="6D3CE899" w14:textId="3FED7AD7" w:rsidR="00DE5999" w:rsidRPr="00DE5999" w:rsidRDefault="00DE5999" w:rsidP="00DE5999">
      <w:pPr>
        <w:spacing w:line="240" w:lineRule="auto"/>
        <w:rPr>
          <w:rFonts w:eastAsia="Times New Roman" w:cs="Arial"/>
          <w:color w:val="000000"/>
          <w:lang w:eastAsia="bg-BG"/>
        </w:rPr>
      </w:pPr>
      <w:r w:rsidRPr="00DE5999">
        <w:rPr>
          <w:rFonts w:eastAsia="Times New Roman" w:cs="Arial"/>
          <w:color w:val="000000"/>
          <w:lang w:eastAsia="bg-BG"/>
        </w:rPr>
        <w:t>1303 София</w:t>
      </w:r>
    </w:p>
    <w:p w14:paraId="54B41A82" w14:textId="77777777" w:rsidR="00DE5999" w:rsidRPr="00DE5999" w:rsidRDefault="00DE5999" w:rsidP="00DE5999">
      <w:pPr>
        <w:spacing w:line="240" w:lineRule="auto"/>
        <w:rPr>
          <w:rFonts w:eastAsia="Times New Roman" w:cs="Arial"/>
          <w:lang w:eastAsia="bg-BG"/>
        </w:rPr>
      </w:pPr>
      <w:r w:rsidRPr="00DE5999">
        <w:rPr>
          <w:rFonts w:eastAsia="Times New Roman" w:cs="Arial"/>
          <w:color w:val="000000"/>
          <w:lang w:eastAsia="bg-BG"/>
        </w:rPr>
        <w:t>Тел.: +359 2 8903417</w:t>
      </w:r>
      <w:r w:rsidRPr="00DE5999">
        <w:rPr>
          <w:rFonts w:eastAsia="Times New Roman" w:cs="Arial"/>
          <w:color w:val="000000"/>
          <w:lang w:eastAsia="bg-BG"/>
        </w:rPr>
        <w:tab/>
      </w:r>
    </w:p>
    <w:p w14:paraId="6F8BF70C" w14:textId="1C69E0D8" w:rsidR="003B4F9F" w:rsidRPr="00030D4D" w:rsidRDefault="00DE5999" w:rsidP="00DE5999">
      <w:pPr>
        <w:spacing w:line="240" w:lineRule="auto"/>
        <w:rPr>
          <w:rFonts w:eastAsia="Times New Roman" w:cs="Arial"/>
          <w:lang w:eastAsia="bg-BG"/>
        </w:rPr>
      </w:pPr>
      <w:r w:rsidRPr="00030D4D">
        <w:rPr>
          <w:rFonts w:eastAsia="Times New Roman" w:cs="Arial"/>
          <w:color w:val="000000"/>
          <w:lang w:eastAsia="bg-BG"/>
        </w:rPr>
        <w:t xml:space="preserve">уебсайт: </w:t>
      </w:r>
      <w:hyperlink r:id="rId5" w:history="1">
        <w:r w:rsidRPr="00030D4D">
          <w:rPr>
            <w:rFonts w:eastAsia="Times New Roman" w:cs="Arial"/>
            <w:color w:val="000000"/>
            <w:u w:val="single"/>
            <w:lang w:val="en-US"/>
          </w:rPr>
          <w:t>www.bda.bg</w:t>
        </w:r>
      </w:hyperlink>
    </w:p>
    <w:p w14:paraId="510B1F19" w14:textId="77777777" w:rsidR="003B4F9F" w:rsidRPr="0091385D" w:rsidRDefault="003B4F9F"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00AF2410" w:rsidR="007A2185" w:rsidRPr="00CA56F5" w:rsidRDefault="008B6B3F" w:rsidP="0091385D">
      <w:pPr>
        <w:rPr>
          <w:rFonts w:cs="Arial"/>
          <w:sz w:val="24"/>
        </w:rPr>
      </w:pPr>
      <w:r w:rsidRPr="00CA56F5">
        <w:rPr>
          <w:rFonts w:cs="Arial"/>
          <w:szCs w:val="20"/>
        </w:rPr>
        <w:t>Няма специфичен антидот срещу предозиране със сунитиниб и лечението на предозирането трябва да се състои от общи поддържащи мерки. Ако е показано, елиминирането на неабсорбираното активно вещество може да се постигне чрез повръщане или промиване на стомаха. Съобщени са случаи на предозиране; някои случаи са свързани с нежелани реакции, съответстващи на известния профил на безопасност на сунитиниб.</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lastRenderedPageBreak/>
        <w:t>5.1. Фармакодинамични свойства</w:t>
      </w:r>
    </w:p>
    <w:p w14:paraId="58DD7DEA" w14:textId="73F11A6B" w:rsidR="0091385D" w:rsidRDefault="0091385D" w:rsidP="0091385D"/>
    <w:p w14:paraId="0CEDD7CB" w14:textId="77777777" w:rsidR="008B6B3F" w:rsidRPr="008B6B3F" w:rsidRDefault="008B6B3F" w:rsidP="008B6B3F">
      <w:pPr>
        <w:spacing w:line="240" w:lineRule="auto"/>
        <w:rPr>
          <w:rFonts w:eastAsia="Times New Roman" w:cs="Arial"/>
          <w:sz w:val="28"/>
          <w:szCs w:val="24"/>
          <w:lang w:eastAsia="bg-BG"/>
        </w:rPr>
      </w:pPr>
      <w:r w:rsidRPr="008B6B3F">
        <w:rPr>
          <w:rFonts w:eastAsia="Times New Roman" w:cs="Arial"/>
          <w:color w:val="000000"/>
          <w:szCs w:val="20"/>
          <w:lang w:eastAsia="bg-BG"/>
        </w:rPr>
        <w:t xml:space="preserve">Фармакотерапевтична група: Антинеопластични средства, други инхибитори на протеинкиназата; АТС код: </w:t>
      </w:r>
      <w:r w:rsidRPr="008B6B3F">
        <w:rPr>
          <w:rFonts w:eastAsia="Times New Roman" w:cs="Arial"/>
          <w:color w:val="000000"/>
          <w:szCs w:val="20"/>
          <w:lang w:val="en-US"/>
        </w:rPr>
        <w:t>L01EX01.</w:t>
      </w:r>
    </w:p>
    <w:p w14:paraId="614D3FAE" w14:textId="77777777" w:rsidR="008B6B3F" w:rsidRPr="00CA56F5" w:rsidRDefault="008B6B3F" w:rsidP="008B6B3F">
      <w:pPr>
        <w:spacing w:line="240" w:lineRule="auto"/>
        <w:rPr>
          <w:rFonts w:eastAsia="Times New Roman" w:cs="Arial"/>
          <w:color w:val="000000"/>
          <w:szCs w:val="20"/>
          <w:u w:val="single"/>
          <w:lang w:eastAsia="bg-BG"/>
        </w:rPr>
      </w:pPr>
    </w:p>
    <w:p w14:paraId="1B7C4683" w14:textId="587A2794" w:rsidR="008B6B3F" w:rsidRPr="008B6B3F" w:rsidRDefault="008B6B3F" w:rsidP="008B6B3F">
      <w:pPr>
        <w:spacing w:line="240" w:lineRule="auto"/>
        <w:rPr>
          <w:rFonts w:eastAsia="Times New Roman" w:cs="Arial"/>
          <w:sz w:val="28"/>
          <w:szCs w:val="24"/>
          <w:lang w:eastAsia="bg-BG"/>
        </w:rPr>
      </w:pPr>
      <w:r w:rsidRPr="008B6B3F">
        <w:rPr>
          <w:rFonts w:eastAsia="Times New Roman" w:cs="Arial"/>
          <w:color w:val="000000"/>
          <w:szCs w:val="20"/>
          <w:u w:val="single"/>
          <w:lang w:eastAsia="bg-BG"/>
        </w:rPr>
        <w:t>Механизъм на действие</w:t>
      </w:r>
    </w:p>
    <w:p w14:paraId="09A9D92C" w14:textId="77777777" w:rsidR="008B6B3F" w:rsidRPr="008B6B3F" w:rsidRDefault="008B6B3F" w:rsidP="008B6B3F">
      <w:pPr>
        <w:spacing w:line="240" w:lineRule="auto"/>
        <w:rPr>
          <w:rFonts w:eastAsia="Times New Roman" w:cs="Arial"/>
          <w:sz w:val="28"/>
          <w:szCs w:val="24"/>
          <w:lang w:eastAsia="bg-BG"/>
        </w:rPr>
      </w:pPr>
      <w:r w:rsidRPr="008B6B3F">
        <w:rPr>
          <w:rFonts w:eastAsia="Times New Roman" w:cs="Arial"/>
          <w:color w:val="000000"/>
          <w:szCs w:val="20"/>
          <w:lang w:eastAsia="bg-BG"/>
        </w:rPr>
        <w:t xml:space="preserve">Сунитиниб инхибира множество </w:t>
      </w:r>
      <w:r w:rsidRPr="008B6B3F">
        <w:rPr>
          <w:rFonts w:eastAsia="Times New Roman" w:cs="Arial"/>
          <w:color w:val="000000"/>
          <w:szCs w:val="20"/>
          <w:lang w:val="en-US"/>
        </w:rPr>
        <w:t xml:space="preserve">RTKs, </w:t>
      </w:r>
      <w:r w:rsidRPr="008B6B3F">
        <w:rPr>
          <w:rFonts w:eastAsia="Times New Roman" w:cs="Arial"/>
          <w:color w:val="000000"/>
          <w:szCs w:val="20"/>
          <w:lang w:eastAsia="bg-BG"/>
        </w:rPr>
        <w:t xml:space="preserve">които участват в туморния растеж, неоангиогенезата и метастатичното развитие на рака. Сунитиниб е бил идентифициран като инхибитор на рецепторите на получения от тромбоцити растежен фактор </w:t>
      </w:r>
      <w:r w:rsidRPr="008B6B3F">
        <w:rPr>
          <w:rFonts w:eastAsia="Times New Roman" w:cs="Arial"/>
          <w:color w:val="000000"/>
          <w:szCs w:val="20"/>
          <w:lang w:val="en-US"/>
        </w:rPr>
        <w:t xml:space="preserve">(PDGFRa </w:t>
      </w:r>
      <w:r w:rsidRPr="008B6B3F">
        <w:rPr>
          <w:rFonts w:eastAsia="Times New Roman" w:cs="Arial"/>
          <w:color w:val="000000"/>
          <w:szCs w:val="20"/>
          <w:lang w:eastAsia="bg-BG"/>
        </w:rPr>
        <w:t xml:space="preserve">и </w:t>
      </w:r>
      <w:r w:rsidRPr="008B6B3F">
        <w:rPr>
          <w:rFonts w:eastAsia="Times New Roman" w:cs="Arial"/>
          <w:color w:val="000000"/>
          <w:szCs w:val="20"/>
          <w:lang w:val="en-US"/>
        </w:rPr>
        <w:t xml:space="preserve">PDGFR0), VEGF </w:t>
      </w:r>
      <w:r w:rsidRPr="008B6B3F">
        <w:rPr>
          <w:rFonts w:eastAsia="Times New Roman" w:cs="Arial"/>
          <w:color w:val="000000"/>
          <w:szCs w:val="20"/>
          <w:lang w:eastAsia="bg-BG"/>
        </w:rPr>
        <w:t xml:space="preserve">рецепторите </w:t>
      </w:r>
      <w:r w:rsidRPr="008B6B3F">
        <w:rPr>
          <w:rFonts w:eastAsia="Times New Roman" w:cs="Arial"/>
          <w:color w:val="000000"/>
          <w:szCs w:val="20"/>
          <w:lang w:val="en-US"/>
        </w:rPr>
        <w:t xml:space="preserve">(VEGFR1, VEGFR2 </w:t>
      </w:r>
      <w:r w:rsidRPr="008B6B3F">
        <w:rPr>
          <w:rFonts w:eastAsia="Times New Roman" w:cs="Arial"/>
          <w:color w:val="000000"/>
          <w:szCs w:val="20"/>
          <w:lang w:eastAsia="bg-BG"/>
        </w:rPr>
        <w:t xml:space="preserve">и </w:t>
      </w:r>
      <w:r w:rsidRPr="008B6B3F">
        <w:rPr>
          <w:rFonts w:eastAsia="Times New Roman" w:cs="Arial"/>
          <w:color w:val="000000"/>
          <w:szCs w:val="20"/>
          <w:lang w:val="en-US"/>
        </w:rPr>
        <w:t xml:space="preserve">VEGFR3), </w:t>
      </w:r>
      <w:r w:rsidRPr="008B6B3F">
        <w:rPr>
          <w:rFonts w:eastAsia="Times New Roman" w:cs="Arial"/>
          <w:color w:val="000000"/>
          <w:szCs w:val="20"/>
          <w:lang w:eastAsia="bg-BG"/>
        </w:rPr>
        <w:t xml:space="preserve">рецептора на фактора на стволовите клетки </w:t>
      </w:r>
      <w:r w:rsidRPr="008B6B3F">
        <w:rPr>
          <w:rFonts w:eastAsia="Times New Roman" w:cs="Arial"/>
          <w:color w:val="000000"/>
          <w:szCs w:val="20"/>
          <w:lang w:val="en-US"/>
        </w:rPr>
        <w:t>(KIT), Fms</w:t>
      </w:r>
      <w:r w:rsidRPr="008B6B3F">
        <w:rPr>
          <w:rFonts w:eastAsia="Times New Roman" w:cs="Arial"/>
          <w:color w:val="000000"/>
          <w:szCs w:val="20"/>
          <w:lang w:eastAsia="bg-BG"/>
        </w:rPr>
        <w:t xml:space="preserve">-подобната тирозин киназа 3 </w:t>
      </w:r>
      <w:r w:rsidRPr="008B6B3F">
        <w:rPr>
          <w:rFonts w:eastAsia="Times New Roman" w:cs="Arial"/>
          <w:color w:val="000000"/>
          <w:szCs w:val="20"/>
          <w:lang w:val="en-US"/>
        </w:rPr>
        <w:t xml:space="preserve">(FLT3), </w:t>
      </w:r>
      <w:r w:rsidRPr="008B6B3F">
        <w:rPr>
          <w:rFonts w:eastAsia="Times New Roman" w:cs="Arial"/>
          <w:color w:val="000000"/>
          <w:szCs w:val="20"/>
          <w:lang w:eastAsia="bg-BG"/>
        </w:rPr>
        <w:t xml:space="preserve">рецептора за колониостимулиращия фактор </w:t>
      </w:r>
      <w:r w:rsidRPr="008B6B3F">
        <w:rPr>
          <w:rFonts w:eastAsia="Times New Roman" w:cs="Arial"/>
          <w:color w:val="000000"/>
          <w:szCs w:val="20"/>
          <w:lang w:val="en-US"/>
        </w:rPr>
        <w:t xml:space="preserve">(CSF-1R) </w:t>
      </w:r>
      <w:r w:rsidRPr="008B6B3F">
        <w:rPr>
          <w:rFonts w:eastAsia="Times New Roman" w:cs="Arial"/>
          <w:i/>
          <w:iCs/>
          <w:color w:val="000000"/>
          <w:szCs w:val="20"/>
          <w:lang w:eastAsia="bg-BG"/>
        </w:rPr>
        <w:t>и</w:t>
      </w:r>
      <w:r w:rsidRPr="008B6B3F">
        <w:rPr>
          <w:rFonts w:eastAsia="Times New Roman" w:cs="Arial"/>
          <w:color w:val="000000"/>
          <w:szCs w:val="20"/>
          <w:lang w:eastAsia="bg-BG"/>
        </w:rPr>
        <w:t xml:space="preserve"> рецептора на получения от глиална клетъчна линия невротрофичен фактор </w:t>
      </w:r>
      <w:r w:rsidRPr="008B6B3F">
        <w:rPr>
          <w:rFonts w:eastAsia="Times New Roman" w:cs="Arial"/>
          <w:color w:val="000000"/>
          <w:szCs w:val="20"/>
          <w:lang w:val="en-US"/>
        </w:rPr>
        <w:t xml:space="preserve">(RET). </w:t>
      </w:r>
      <w:r w:rsidRPr="008B6B3F">
        <w:rPr>
          <w:rFonts w:eastAsia="Times New Roman" w:cs="Arial"/>
          <w:color w:val="000000"/>
          <w:szCs w:val="20"/>
          <w:lang w:eastAsia="bg-BG"/>
        </w:rPr>
        <w:t>В биохимични и клетъчни анализи основният</w:t>
      </w:r>
      <w:r w:rsidRPr="008B6B3F">
        <w:rPr>
          <w:rFonts w:eastAsia="Times New Roman" w:cs="Arial"/>
          <w:color w:val="000000"/>
          <w:szCs w:val="20"/>
          <w:lang w:eastAsia="bg-BG"/>
        </w:rPr>
        <w:tab/>
      </w:r>
      <w:r w:rsidRPr="008B6B3F">
        <w:rPr>
          <w:rFonts w:eastAsia="Times New Roman" w:cs="Arial"/>
          <w:color w:val="000000"/>
          <w:szCs w:val="20"/>
          <w:vertAlign w:val="subscript"/>
          <w:lang w:eastAsia="bg-BG"/>
        </w:rPr>
        <w:t>ч</w:t>
      </w:r>
    </w:p>
    <w:p w14:paraId="53FD2EB2" w14:textId="77777777" w:rsidR="008B6B3F" w:rsidRPr="008B6B3F" w:rsidRDefault="008B6B3F" w:rsidP="008B6B3F">
      <w:pPr>
        <w:spacing w:line="240" w:lineRule="auto"/>
        <w:rPr>
          <w:rFonts w:eastAsia="Times New Roman" w:cs="Arial"/>
          <w:sz w:val="28"/>
          <w:szCs w:val="24"/>
          <w:lang w:eastAsia="bg-BG"/>
        </w:rPr>
      </w:pPr>
      <w:r w:rsidRPr="008B6B3F">
        <w:rPr>
          <w:rFonts w:eastAsia="Times New Roman" w:cs="Arial"/>
          <w:color w:val="000000"/>
          <w:szCs w:val="20"/>
          <w:lang w:eastAsia="bg-BG"/>
        </w:rPr>
        <w:t>метаболит показва действие, подобно на сунитиниб.</w:t>
      </w:r>
    </w:p>
    <w:p w14:paraId="30C6DF88" w14:textId="77777777" w:rsidR="008B6B3F" w:rsidRPr="00CA56F5" w:rsidRDefault="008B6B3F" w:rsidP="008B6B3F">
      <w:pPr>
        <w:spacing w:line="240" w:lineRule="auto"/>
        <w:rPr>
          <w:rFonts w:eastAsia="Times New Roman" w:cs="Arial"/>
          <w:color w:val="000000"/>
          <w:szCs w:val="20"/>
          <w:u w:val="single"/>
          <w:lang w:eastAsia="bg-BG"/>
        </w:rPr>
      </w:pPr>
    </w:p>
    <w:p w14:paraId="32F547F8" w14:textId="314EA2C3" w:rsidR="008B6B3F" w:rsidRPr="008B6B3F" w:rsidRDefault="008B6B3F" w:rsidP="008B6B3F">
      <w:pPr>
        <w:spacing w:line="240" w:lineRule="auto"/>
        <w:rPr>
          <w:rFonts w:eastAsia="Times New Roman" w:cs="Arial"/>
          <w:sz w:val="28"/>
          <w:szCs w:val="24"/>
          <w:lang w:eastAsia="bg-BG"/>
        </w:rPr>
      </w:pPr>
      <w:r w:rsidRPr="008B6B3F">
        <w:rPr>
          <w:rFonts w:eastAsia="Times New Roman" w:cs="Arial"/>
          <w:color w:val="000000"/>
          <w:szCs w:val="20"/>
          <w:u w:val="single"/>
          <w:lang w:eastAsia="bg-BG"/>
        </w:rPr>
        <w:t>Клинична ефикасност и безопасност</w:t>
      </w:r>
    </w:p>
    <w:p w14:paraId="06D6BEC1" w14:textId="77777777" w:rsidR="008B6B3F" w:rsidRPr="008B6B3F" w:rsidRDefault="008B6B3F" w:rsidP="008B6B3F">
      <w:pPr>
        <w:spacing w:line="240" w:lineRule="auto"/>
        <w:rPr>
          <w:rFonts w:eastAsia="Times New Roman" w:cs="Arial"/>
          <w:sz w:val="28"/>
          <w:szCs w:val="24"/>
          <w:lang w:eastAsia="bg-BG"/>
        </w:rPr>
      </w:pPr>
      <w:r w:rsidRPr="008B6B3F">
        <w:rPr>
          <w:rFonts w:eastAsia="Times New Roman" w:cs="Arial"/>
          <w:color w:val="000000"/>
          <w:szCs w:val="20"/>
          <w:lang w:eastAsia="bg-BG"/>
        </w:rPr>
        <w:t xml:space="preserve">Клиничната безопасност и ефикасност на сунитиниб са били проучени при лечение на пациенти с </w:t>
      </w:r>
      <w:r w:rsidRPr="008B6B3F">
        <w:rPr>
          <w:rFonts w:eastAsia="Times New Roman" w:cs="Arial"/>
          <w:color w:val="000000"/>
          <w:szCs w:val="20"/>
          <w:lang w:val="en-US"/>
        </w:rPr>
        <w:t xml:space="preserve">GIST, </w:t>
      </w:r>
      <w:r w:rsidRPr="008B6B3F">
        <w:rPr>
          <w:rFonts w:eastAsia="Times New Roman" w:cs="Arial"/>
          <w:color w:val="000000"/>
          <w:szCs w:val="20"/>
          <w:lang w:eastAsia="bg-BG"/>
        </w:rPr>
        <w:t xml:space="preserve">които се били резистентни на иматиниб (т.е. тези, които са имали прогресия на заболяването по време или след лечение с иматиниб) или с непоносимост към иматиниб (т.е. тези, които Са получили значима токсичност по време на лечение с иматиниб, която е попречила на по-нататъшното лечение), както при лечение на пациенти с </w:t>
      </w:r>
      <w:r w:rsidRPr="008B6B3F">
        <w:rPr>
          <w:rFonts w:eastAsia="Times New Roman" w:cs="Arial"/>
          <w:color w:val="000000"/>
          <w:szCs w:val="20"/>
          <w:lang w:val="en-US"/>
        </w:rPr>
        <w:t xml:space="preserve">MRCC </w:t>
      </w:r>
      <w:r w:rsidRPr="008B6B3F">
        <w:rPr>
          <w:rFonts w:eastAsia="Times New Roman" w:cs="Arial"/>
          <w:color w:val="000000"/>
          <w:szCs w:val="20"/>
          <w:lang w:eastAsia="bg-BG"/>
        </w:rPr>
        <w:t xml:space="preserve">и лечението на пациенти с неоперабилен </w:t>
      </w:r>
      <w:r w:rsidRPr="008B6B3F">
        <w:rPr>
          <w:rFonts w:eastAsia="Times New Roman" w:cs="Arial"/>
          <w:color w:val="000000"/>
          <w:szCs w:val="20"/>
          <w:lang w:val="en-US"/>
        </w:rPr>
        <w:t>pNET.</w:t>
      </w:r>
    </w:p>
    <w:p w14:paraId="106FEFC9" w14:textId="77777777" w:rsidR="008B6B3F" w:rsidRPr="00CA56F5" w:rsidRDefault="008B6B3F" w:rsidP="008B6B3F">
      <w:pPr>
        <w:spacing w:line="240" w:lineRule="auto"/>
        <w:rPr>
          <w:rFonts w:eastAsia="Times New Roman" w:cs="Arial"/>
          <w:color w:val="000000"/>
          <w:szCs w:val="20"/>
          <w:lang w:eastAsia="bg-BG"/>
        </w:rPr>
      </w:pPr>
    </w:p>
    <w:p w14:paraId="7760946D" w14:textId="2D50D108" w:rsidR="008B6B3F" w:rsidRPr="008B6B3F" w:rsidRDefault="008B6B3F" w:rsidP="008B6B3F">
      <w:pPr>
        <w:spacing w:line="240" w:lineRule="auto"/>
        <w:rPr>
          <w:rFonts w:eastAsia="Times New Roman" w:cs="Arial"/>
          <w:sz w:val="28"/>
          <w:szCs w:val="24"/>
          <w:lang w:eastAsia="bg-BG"/>
        </w:rPr>
      </w:pPr>
      <w:r w:rsidRPr="008B6B3F">
        <w:rPr>
          <w:rFonts w:eastAsia="Times New Roman" w:cs="Arial"/>
          <w:color w:val="000000"/>
          <w:szCs w:val="20"/>
          <w:lang w:eastAsia="bg-BG"/>
        </w:rPr>
        <w:t xml:space="preserve">Ефикасността се основава на времето до туморна прогресия (ТТР) </w:t>
      </w:r>
      <w:r w:rsidRPr="008B6B3F">
        <w:rPr>
          <w:rFonts w:eastAsia="Times New Roman" w:cs="Arial"/>
          <w:i/>
          <w:iCs/>
          <w:color w:val="000000"/>
          <w:szCs w:val="20"/>
          <w:lang w:eastAsia="bg-BG"/>
        </w:rPr>
        <w:t>и</w:t>
      </w:r>
      <w:r w:rsidRPr="008B6B3F">
        <w:rPr>
          <w:rFonts w:eastAsia="Times New Roman" w:cs="Arial"/>
          <w:color w:val="000000"/>
          <w:szCs w:val="20"/>
          <w:lang w:eastAsia="bg-BG"/>
        </w:rPr>
        <w:t xml:space="preserve"> увеличаване на преживяемостга при </w:t>
      </w:r>
      <w:r w:rsidRPr="008B6B3F">
        <w:rPr>
          <w:rFonts w:eastAsia="Times New Roman" w:cs="Arial"/>
          <w:color w:val="000000"/>
          <w:szCs w:val="20"/>
          <w:lang w:val="en-US"/>
        </w:rPr>
        <w:t xml:space="preserve">GIST, </w:t>
      </w:r>
      <w:r w:rsidRPr="008B6B3F">
        <w:rPr>
          <w:rFonts w:eastAsia="Times New Roman" w:cs="Arial"/>
          <w:color w:val="000000"/>
          <w:szCs w:val="20"/>
          <w:lang w:eastAsia="bg-BG"/>
        </w:rPr>
        <w:t xml:space="preserve">на преживяемост без прогресия </w:t>
      </w:r>
      <w:r w:rsidRPr="008B6B3F">
        <w:rPr>
          <w:rFonts w:eastAsia="Times New Roman" w:cs="Arial"/>
          <w:color w:val="000000"/>
          <w:szCs w:val="20"/>
          <w:lang w:val="en-US"/>
        </w:rPr>
        <w:t xml:space="preserve">(PFS) </w:t>
      </w:r>
      <w:r w:rsidRPr="008B6B3F">
        <w:rPr>
          <w:rFonts w:eastAsia="Times New Roman" w:cs="Arial"/>
          <w:color w:val="000000"/>
          <w:szCs w:val="20"/>
          <w:lang w:eastAsia="bg-BG"/>
        </w:rPr>
        <w:t xml:space="preserve">и честотата на обективен отговор </w:t>
      </w:r>
      <w:r w:rsidRPr="008B6B3F">
        <w:rPr>
          <w:rFonts w:eastAsia="Times New Roman" w:cs="Arial"/>
          <w:color w:val="000000"/>
          <w:szCs w:val="20"/>
          <w:lang w:val="en-US"/>
        </w:rPr>
        <w:t xml:space="preserve">(ORR) </w:t>
      </w:r>
      <w:r w:rsidRPr="008B6B3F">
        <w:rPr>
          <w:rFonts w:eastAsia="Times New Roman" w:cs="Arial"/>
          <w:color w:val="000000"/>
          <w:szCs w:val="20"/>
          <w:lang w:eastAsia="bg-BG"/>
        </w:rPr>
        <w:t xml:space="preserve">съответно при нелекуван и цитокин-рефрактерен </w:t>
      </w:r>
      <w:r w:rsidRPr="008B6B3F">
        <w:rPr>
          <w:rFonts w:eastAsia="Times New Roman" w:cs="Arial"/>
          <w:color w:val="000000"/>
          <w:szCs w:val="20"/>
          <w:lang w:val="en-US"/>
        </w:rPr>
        <w:t xml:space="preserve">MRCC </w:t>
      </w:r>
      <w:r w:rsidRPr="008B6B3F">
        <w:rPr>
          <w:rFonts w:eastAsia="Times New Roman" w:cs="Arial"/>
          <w:color w:val="000000"/>
          <w:szCs w:val="20"/>
          <w:lang w:eastAsia="bg-BG"/>
        </w:rPr>
        <w:t xml:space="preserve">и на </w:t>
      </w:r>
      <w:r w:rsidRPr="008B6B3F">
        <w:rPr>
          <w:rFonts w:eastAsia="Times New Roman" w:cs="Arial"/>
          <w:color w:val="000000"/>
          <w:szCs w:val="20"/>
          <w:lang w:val="en-US"/>
        </w:rPr>
        <w:t xml:space="preserve">PFS </w:t>
      </w:r>
      <w:r w:rsidRPr="008B6B3F">
        <w:rPr>
          <w:rFonts w:eastAsia="Times New Roman" w:cs="Arial"/>
          <w:color w:val="000000"/>
          <w:szCs w:val="20"/>
          <w:lang w:eastAsia="bg-BG"/>
        </w:rPr>
        <w:t xml:space="preserve">при </w:t>
      </w:r>
      <w:r w:rsidRPr="008B6B3F">
        <w:rPr>
          <w:rFonts w:eastAsia="Times New Roman" w:cs="Arial"/>
          <w:color w:val="000000"/>
          <w:szCs w:val="20"/>
          <w:lang w:val="en-US"/>
        </w:rPr>
        <w:t>pNET.</w:t>
      </w:r>
    </w:p>
    <w:p w14:paraId="0093487F" w14:textId="77777777" w:rsidR="008B6B3F" w:rsidRPr="00CA56F5" w:rsidRDefault="008B6B3F" w:rsidP="008B6B3F">
      <w:pPr>
        <w:spacing w:line="240" w:lineRule="auto"/>
        <w:rPr>
          <w:rFonts w:eastAsia="Times New Roman" w:cs="Arial"/>
          <w:i/>
          <w:iCs/>
          <w:color w:val="000000"/>
          <w:szCs w:val="20"/>
          <w:lang w:eastAsia="bg-BG"/>
        </w:rPr>
      </w:pPr>
    </w:p>
    <w:p w14:paraId="4F2B2124" w14:textId="052F3F12" w:rsidR="008B6B3F" w:rsidRPr="008B6B3F" w:rsidRDefault="008B6B3F" w:rsidP="008B6B3F">
      <w:pPr>
        <w:spacing w:line="240" w:lineRule="auto"/>
        <w:rPr>
          <w:rFonts w:eastAsia="Times New Roman" w:cs="Arial"/>
          <w:sz w:val="28"/>
          <w:szCs w:val="24"/>
          <w:lang w:eastAsia="bg-BG"/>
        </w:rPr>
      </w:pPr>
      <w:r w:rsidRPr="008B6B3F">
        <w:rPr>
          <w:rFonts w:eastAsia="Times New Roman" w:cs="Arial"/>
          <w:i/>
          <w:iCs/>
          <w:color w:val="000000"/>
          <w:szCs w:val="20"/>
          <w:lang w:eastAsia="bg-BG"/>
        </w:rPr>
        <w:t>Гастроинтестинални стромални тумори</w:t>
      </w:r>
    </w:p>
    <w:p w14:paraId="44A3528C" w14:textId="77777777" w:rsidR="008B6B3F" w:rsidRPr="008B6B3F" w:rsidRDefault="008B6B3F" w:rsidP="008B6B3F">
      <w:pPr>
        <w:spacing w:line="240" w:lineRule="auto"/>
        <w:rPr>
          <w:rFonts w:eastAsia="Times New Roman" w:cs="Arial"/>
          <w:sz w:val="28"/>
          <w:szCs w:val="24"/>
          <w:lang w:eastAsia="bg-BG"/>
        </w:rPr>
      </w:pPr>
      <w:r w:rsidRPr="008B6B3F">
        <w:rPr>
          <w:rFonts w:eastAsia="Times New Roman" w:cs="Arial"/>
          <w:color w:val="000000"/>
          <w:szCs w:val="20"/>
          <w:lang w:eastAsia="bg-BG"/>
        </w:rPr>
        <w:t xml:space="preserve">Първоначално открито проучване С повишаване на дозата е било проведено при пациенти с </w:t>
      </w:r>
      <w:r w:rsidRPr="008B6B3F">
        <w:rPr>
          <w:rFonts w:eastAsia="Times New Roman" w:cs="Arial"/>
          <w:color w:val="000000"/>
          <w:szCs w:val="20"/>
          <w:lang w:val="en-US"/>
        </w:rPr>
        <w:t xml:space="preserve">GIST </w:t>
      </w:r>
      <w:r w:rsidRPr="008B6B3F">
        <w:rPr>
          <w:rFonts w:eastAsia="Times New Roman" w:cs="Arial"/>
          <w:color w:val="000000"/>
          <w:szCs w:val="20"/>
          <w:lang w:eastAsia="bg-BG"/>
        </w:rPr>
        <w:t xml:space="preserve">след неуспех с иматиниб (средна максимална дневна доза 800 </w:t>
      </w:r>
      <w:r w:rsidRPr="008B6B3F">
        <w:rPr>
          <w:rFonts w:eastAsia="Times New Roman" w:cs="Arial"/>
          <w:color w:val="000000"/>
          <w:szCs w:val="20"/>
          <w:lang w:val="en-US"/>
        </w:rPr>
        <w:t xml:space="preserve">mg) </w:t>
      </w:r>
      <w:r w:rsidRPr="008B6B3F">
        <w:rPr>
          <w:rFonts w:eastAsia="Times New Roman" w:cs="Arial"/>
          <w:color w:val="000000"/>
          <w:szCs w:val="20"/>
          <w:lang w:eastAsia="bg-BG"/>
        </w:rPr>
        <w:t xml:space="preserve">поради резистентност или непоносимост. Включени са били деветдесет и седем пациенти при различни дози и схеми; 55 пациенти са получавали 50 </w:t>
      </w:r>
      <w:r w:rsidRPr="008B6B3F">
        <w:rPr>
          <w:rFonts w:eastAsia="Times New Roman" w:cs="Arial"/>
          <w:color w:val="000000"/>
          <w:szCs w:val="20"/>
          <w:lang w:val="en-US"/>
        </w:rPr>
        <w:t xml:space="preserve">mg </w:t>
      </w:r>
      <w:r w:rsidRPr="008B6B3F">
        <w:rPr>
          <w:rFonts w:eastAsia="Times New Roman" w:cs="Arial"/>
          <w:color w:val="000000"/>
          <w:szCs w:val="20"/>
          <w:lang w:eastAsia="bg-BG"/>
        </w:rPr>
        <w:t>сунитиниб по препоръчваната схема на лечение 4 седмици на 2 седмици без („схема 4/2”).</w:t>
      </w:r>
    </w:p>
    <w:p w14:paraId="0CFDF1BB" w14:textId="77777777" w:rsidR="008B6B3F" w:rsidRPr="00CA56F5" w:rsidRDefault="008B6B3F" w:rsidP="008B6B3F">
      <w:pPr>
        <w:spacing w:line="240" w:lineRule="auto"/>
        <w:rPr>
          <w:rFonts w:eastAsia="Times New Roman" w:cs="Arial"/>
          <w:color w:val="000000"/>
          <w:szCs w:val="20"/>
          <w:lang w:eastAsia="bg-BG"/>
        </w:rPr>
      </w:pPr>
    </w:p>
    <w:p w14:paraId="48A290FC" w14:textId="47AB2D84" w:rsidR="008B6B3F" w:rsidRPr="008B6B3F" w:rsidRDefault="008B6B3F" w:rsidP="008B6B3F">
      <w:pPr>
        <w:spacing w:line="240" w:lineRule="auto"/>
        <w:rPr>
          <w:rFonts w:eastAsia="Times New Roman" w:cs="Arial"/>
          <w:sz w:val="28"/>
          <w:szCs w:val="24"/>
          <w:lang w:eastAsia="bg-BG"/>
        </w:rPr>
      </w:pPr>
      <w:r w:rsidRPr="008B6B3F">
        <w:rPr>
          <w:rFonts w:eastAsia="Times New Roman" w:cs="Arial"/>
          <w:color w:val="000000"/>
          <w:szCs w:val="20"/>
          <w:lang w:eastAsia="bg-BG"/>
        </w:rPr>
        <w:t xml:space="preserve">В това проучване, медианата на ТТР е била 34,0 седмици (95% </w:t>
      </w:r>
      <w:r w:rsidRPr="008B6B3F">
        <w:rPr>
          <w:rFonts w:eastAsia="Times New Roman" w:cs="Arial"/>
          <w:color w:val="000000"/>
          <w:szCs w:val="20"/>
          <w:lang w:val="en-US"/>
        </w:rPr>
        <w:t xml:space="preserve">CI: </w:t>
      </w:r>
      <w:r w:rsidRPr="008B6B3F">
        <w:rPr>
          <w:rFonts w:eastAsia="Times New Roman" w:cs="Arial"/>
          <w:color w:val="000000"/>
          <w:szCs w:val="20"/>
          <w:lang w:eastAsia="bg-BG"/>
        </w:rPr>
        <w:t>22,0, 46,0).</w:t>
      </w:r>
    </w:p>
    <w:p w14:paraId="1FA1025E" w14:textId="77777777" w:rsidR="008B6B3F" w:rsidRPr="008B6B3F" w:rsidRDefault="008B6B3F" w:rsidP="008B6B3F">
      <w:pPr>
        <w:spacing w:line="240" w:lineRule="auto"/>
        <w:rPr>
          <w:rFonts w:ascii="Times New Roman" w:eastAsia="Times New Roman" w:hAnsi="Times New Roman" w:cs="Times New Roman"/>
          <w:sz w:val="24"/>
          <w:szCs w:val="24"/>
          <w:lang w:eastAsia="bg-BG"/>
        </w:rPr>
      </w:pPr>
    </w:p>
    <w:p w14:paraId="7EE49C6C"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При пациенти с непоносимост към иматиниб, или с прогресия на болестта по време или</w:t>
      </w:r>
    </w:p>
    <w:p w14:paraId="2351D7FE"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 xml:space="preserve">след лечение с иматиниб (средна максимална дневна доза 800 </w:t>
      </w:r>
      <w:r w:rsidRPr="008B6B3F">
        <w:rPr>
          <w:rFonts w:eastAsia="Times New Roman" w:cs="Arial"/>
          <w:color w:val="000000"/>
          <w:lang w:val="en-US"/>
        </w:rPr>
        <w:t xml:space="preserve">mg) </w:t>
      </w:r>
      <w:r w:rsidRPr="008B6B3F">
        <w:rPr>
          <w:rFonts w:eastAsia="Times New Roman" w:cs="Arial"/>
          <w:color w:val="000000"/>
          <w:lang w:eastAsia="bg-BG"/>
        </w:rPr>
        <w:t>е било проведено</w:t>
      </w:r>
    </w:p>
    <w:p w14:paraId="15D7EF63"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рандомизирано, двойносляпо, плацебо-контролирано проучване фаза 3 на сунитиниб. В</w:t>
      </w:r>
    </w:p>
    <w:p w14:paraId="180760B7"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това проучване, 312 пациенти са били рандомизирани (2:1) да получават перорално</w:t>
      </w:r>
    </w:p>
    <w:p w14:paraId="6E160559"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 xml:space="preserve">веднъж дневно по схема 4/2 50 </w:t>
      </w:r>
      <w:r w:rsidRPr="008B6B3F">
        <w:rPr>
          <w:rFonts w:eastAsia="Times New Roman" w:cs="Arial"/>
          <w:color w:val="000000"/>
          <w:lang w:val="en-US"/>
        </w:rPr>
        <w:t xml:space="preserve">mg </w:t>
      </w:r>
      <w:r w:rsidRPr="008B6B3F">
        <w:rPr>
          <w:rFonts w:eastAsia="Times New Roman" w:cs="Arial"/>
          <w:color w:val="000000"/>
          <w:lang w:eastAsia="bg-BG"/>
        </w:rPr>
        <w:t>сунитиниб или плацебо до прогресия на заболяването</w:t>
      </w:r>
    </w:p>
    <w:p w14:paraId="658AA82D" w14:textId="577D2B51" w:rsidR="008B6B3F" w:rsidRPr="008B6B3F" w:rsidRDefault="008B6B3F" w:rsidP="008B6B3F">
      <w:pPr>
        <w:rPr>
          <w:rFonts w:cs="Arial"/>
        </w:rPr>
      </w:pPr>
      <w:r w:rsidRPr="00CA56F5">
        <w:rPr>
          <w:rFonts w:eastAsia="Times New Roman" w:cs="Arial"/>
          <w:color w:val="000000"/>
          <w:lang w:eastAsia="bg-BG"/>
        </w:rPr>
        <w:t xml:space="preserve">или оттегляне от проучването по друга причина (207 пациенти са получавали сунитиниб, </w:t>
      </w:r>
      <w:r w:rsidRPr="008B6B3F">
        <w:rPr>
          <w:rFonts w:eastAsia="Times New Roman" w:cs="Arial"/>
          <w:color w:val="000000"/>
          <w:lang w:val="en-US"/>
        </w:rPr>
        <w:t xml:space="preserve">a 105 </w:t>
      </w:r>
      <w:r w:rsidRPr="008B6B3F">
        <w:rPr>
          <w:rFonts w:eastAsia="Times New Roman" w:cs="Arial"/>
          <w:color w:val="000000"/>
          <w:lang w:eastAsia="bg-BG"/>
        </w:rPr>
        <w:t xml:space="preserve">пациенти са получавали плацебо). Първичната крайна точка за ефикасност при проучването е била ТТР, определена като времето от рандомизиране до първото документиране на обективна прогресия на тумора. По времето на предварително определения междинен анализ» средното ТТР при сунитиниб е било 28,9 седмици (95% </w:t>
      </w:r>
      <w:r w:rsidRPr="008B6B3F">
        <w:rPr>
          <w:rFonts w:eastAsia="Times New Roman" w:cs="Arial"/>
          <w:color w:val="000000"/>
          <w:lang w:val="en-US"/>
        </w:rPr>
        <w:t xml:space="preserve">C.I.: </w:t>
      </w:r>
      <w:r w:rsidRPr="008B6B3F">
        <w:rPr>
          <w:rFonts w:eastAsia="Times New Roman" w:cs="Arial"/>
          <w:color w:val="000000"/>
          <w:lang w:eastAsia="bg-BG"/>
        </w:rPr>
        <w:t xml:space="preserve">21,3, 34,1) според оценката на изследователя и 27,3 седмици (95% </w:t>
      </w:r>
      <w:r w:rsidRPr="008B6B3F">
        <w:rPr>
          <w:rFonts w:eastAsia="Times New Roman" w:cs="Arial"/>
          <w:color w:val="000000"/>
          <w:lang w:val="en-US"/>
        </w:rPr>
        <w:t xml:space="preserve">CI: </w:t>
      </w:r>
      <w:r w:rsidRPr="008B6B3F">
        <w:rPr>
          <w:rFonts w:eastAsia="Times New Roman" w:cs="Arial"/>
          <w:color w:val="000000"/>
          <w:lang w:eastAsia="bg-BG"/>
        </w:rPr>
        <w:t xml:space="preserve">16,0, 32,1) според оценката от независимия преглед и е било статистически значимо по- продължително, отколкото ТТР при плацебо от 5,1 седмици (95% </w:t>
      </w:r>
      <w:r w:rsidRPr="008B6B3F">
        <w:rPr>
          <w:rFonts w:eastAsia="Times New Roman" w:cs="Arial"/>
          <w:color w:val="000000"/>
          <w:lang w:val="en-US"/>
        </w:rPr>
        <w:t xml:space="preserve">C.I.: </w:t>
      </w:r>
      <w:r w:rsidRPr="008B6B3F">
        <w:rPr>
          <w:rFonts w:eastAsia="Times New Roman" w:cs="Arial"/>
          <w:color w:val="000000"/>
          <w:lang w:eastAsia="bg-BG"/>
        </w:rPr>
        <w:t xml:space="preserve">4,4, 10,1) според </w:t>
      </w:r>
      <w:r w:rsidRPr="008B6B3F">
        <w:rPr>
          <w:rFonts w:eastAsia="Times New Roman" w:cs="Arial"/>
          <w:color w:val="000000"/>
          <w:lang w:eastAsia="bg-BG"/>
        </w:rPr>
        <w:lastRenderedPageBreak/>
        <w:t xml:space="preserve">оценката на изследователя и 6,4 седмици (95% </w:t>
      </w:r>
      <w:r w:rsidRPr="008B6B3F">
        <w:rPr>
          <w:rFonts w:eastAsia="Times New Roman" w:cs="Arial"/>
          <w:color w:val="000000"/>
          <w:lang w:val="en-US"/>
        </w:rPr>
        <w:t xml:space="preserve">CI: </w:t>
      </w:r>
      <w:r w:rsidRPr="008B6B3F">
        <w:rPr>
          <w:rFonts w:eastAsia="Times New Roman" w:cs="Arial"/>
          <w:color w:val="000000"/>
          <w:lang w:eastAsia="bg-BG"/>
        </w:rPr>
        <w:t xml:space="preserve">4,4, 10,0) според оценката от независимия преглед. Разликата в общата преживяемост </w:t>
      </w:r>
      <w:r w:rsidRPr="008B6B3F">
        <w:rPr>
          <w:rFonts w:eastAsia="Times New Roman" w:cs="Arial"/>
          <w:color w:val="000000"/>
          <w:lang w:val="en-US"/>
        </w:rPr>
        <w:t xml:space="preserve">(OS) </w:t>
      </w:r>
      <w:r w:rsidRPr="008B6B3F">
        <w:rPr>
          <w:rFonts w:eastAsia="Times New Roman" w:cs="Arial"/>
          <w:color w:val="000000"/>
          <w:lang w:eastAsia="bg-BG"/>
        </w:rPr>
        <w:t xml:space="preserve">е била статистически в полза на сунитиниб [коефициент на риск </w:t>
      </w:r>
      <w:r w:rsidRPr="008B6B3F">
        <w:rPr>
          <w:rFonts w:eastAsia="Times New Roman" w:cs="Arial"/>
          <w:color w:val="000000"/>
          <w:lang w:val="en-US"/>
        </w:rPr>
        <w:t xml:space="preserve">(HR): </w:t>
      </w:r>
      <w:r w:rsidRPr="008B6B3F">
        <w:rPr>
          <w:rFonts w:eastAsia="Times New Roman" w:cs="Arial"/>
          <w:color w:val="000000"/>
          <w:lang w:eastAsia="bg-BG"/>
        </w:rPr>
        <w:t xml:space="preserve">0,491 (95% </w:t>
      </w:r>
      <w:r w:rsidRPr="008B6B3F">
        <w:rPr>
          <w:rFonts w:eastAsia="Times New Roman" w:cs="Arial"/>
          <w:color w:val="000000"/>
          <w:lang w:val="en-US"/>
        </w:rPr>
        <w:t xml:space="preserve">C.I. </w:t>
      </w:r>
      <w:r w:rsidRPr="008B6B3F">
        <w:rPr>
          <w:rFonts w:eastAsia="Times New Roman" w:cs="Arial"/>
          <w:color w:val="000000"/>
          <w:lang w:eastAsia="bg-BG"/>
        </w:rPr>
        <w:t>0,290-0,831)]; рискът от смърт е бил 2 пъти по-висок при пациентите в рамото на плацебо, сравнено с рамото на сунитиниб.</w:t>
      </w:r>
    </w:p>
    <w:p w14:paraId="70544F54" w14:textId="77777777" w:rsidR="008B6B3F" w:rsidRPr="00CA56F5" w:rsidRDefault="008B6B3F" w:rsidP="008B6B3F">
      <w:pPr>
        <w:spacing w:line="240" w:lineRule="auto"/>
        <w:rPr>
          <w:rFonts w:eastAsia="Times New Roman" w:cs="Arial"/>
          <w:color w:val="000000"/>
          <w:lang w:eastAsia="bg-BG"/>
        </w:rPr>
      </w:pPr>
    </w:p>
    <w:p w14:paraId="1362A3C9" w14:textId="4186ED8F"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 xml:space="preserve">След междинния анализ на ефикасността и безопасността, по препоръката на независимия Борд за мониториране на данни и безопасност </w:t>
      </w:r>
      <w:r w:rsidRPr="008B6B3F">
        <w:rPr>
          <w:rFonts w:eastAsia="Times New Roman" w:cs="Arial"/>
          <w:color w:val="000000"/>
          <w:lang w:val="en-US"/>
        </w:rPr>
        <w:t xml:space="preserve">(DSMB), </w:t>
      </w:r>
      <w:r w:rsidRPr="008B6B3F">
        <w:rPr>
          <w:rFonts w:eastAsia="Times New Roman" w:cs="Arial"/>
          <w:color w:val="000000"/>
          <w:lang w:eastAsia="bg-BG"/>
        </w:rPr>
        <w:t>разкриване на заслепяването и на пациентите в рамото на плацебо е предложено открито лечение със сунитиниб.</w:t>
      </w:r>
    </w:p>
    <w:p w14:paraId="2A420357" w14:textId="77777777" w:rsidR="008B6B3F" w:rsidRPr="00CA56F5" w:rsidRDefault="008B6B3F" w:rsidP="008B6B3F">
      <w:pPr>
        <w:spacing w:line="240" w:lineRule="auto"/>
        <w:rPr>
          <w:rFonts w:eastAsia="Times New Roman" w:cs="Arial"/>
          <w:color w:val="000000"/>
          <w:lang w:eastAsia="bg-BG"/>
        </w:rPr>
      </w:pPr>
    </w:p>
    <w:p w14:paraId="4A321CE7" w14:textId="44E1ECB0"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Общо 255 пациенти, приемали сунитиниб в откритата фаза на проучването, включително 99 пациенти, които първоначално са били лекувани с плацебо.</w:t>
      </w:r>
    </w:p>
    <w:p w14:paraId="3B6C4D65" w14:textId="77777777" w:rsidR="008B6B3F" w:rsidRPr="00CA56F5" w:rsidRDefault="008B6B3F" w:rsidP="008B6B3F">
      <w:pPr>
        <w:spacing w:line="240" w:lineRule="auto"/>
        <w:rPr>
          <w:rFonts w:eastAsia="Times New Roman" w:cs="Arial"/>
          <w:color w:val="000000"/>
          <w:lang w:eastAsia="bg-BG"/>
        </w:rPr>
      </w:pPr>
    </w:p>
    <w:p w14:paraId="7F8B9D4F" w14:textId="3F6FB47F"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Анализът на първичните и вторичните крайни точки в откритата фаза на проучването потвърждават резултатите, получени по време на междинния анализ, както е показано в таблица 2:</w:t>
      </w:r>
    </w:p>
    <w:p w14:paraId="611A0CF3" w14:textId="77777777" w:rsidR="008B6B3F" w:rsidRPr="00CA56F5" w:rsidRDefault="008B6B3F" w:rsidP="008B6B3F">
      <w:pPr>
        <w:rPr>
          <w:rFonts w:eastAsia="Times New Roman" w:cs="Arial"/>
          <w:b/>
          <w:bCs/>
          <w:color w:val="000000"/>
          <w:lang w:eastAsia="bg-BG"/>
        </w:rPr>
      </w:pPr>
    </w:p>
    <w:p w14:paraId="2D70758F" w14:textId="7E74C798" w:rsidR="008B6B3F" w:rsidRPr="00CA56F5" w:rsidRDefault="008B6B3F" w:rsidP="008B6B3F">
      <w:pPr>
        <w:rPr>
          <w:rFonts w:cs="Arial"/>
        </w:rPr>
      </w:pPr>
      <w:r w:rsidRPr="00CA56F5">
        <w:rPr>
          <w:rFonts w:eastAsia="Times New Roman" w:cs="Arial"/>
          <w:b/>
          <w:bCs/>
          <w:color w:val="000000"/>
          <w:lang w:eastAsia="bg-BG"/>
        </w:rPr>
        <w:t xml:space="preserve">Таблица 2, </w:t>
      </w:r>
      <w:r w:rsidRPr="00CA56F5">
        <w:rPr>
          <w:rFonts w:eastAsia="Times New Roman" w:cs="Arial"/>
          <w:b/>
          <w:bCs/>
          <w:color w:val="000000"/>
          <w:lang w:val="en-US"/>
        </w:rPr>
        <w:t xml:space="preserve">GIST </w:t>
      </w:r>
      <w:r w:rsidRPr="00CA56F5">
        <w:rPr>
          <w:rFonts w:eastAsia="Times New Roman" w:cs="Arial"/>
          <w:b/>
          <w:bCs/>
          <w:color w:val="000000"/>
          <w:lang w:eastAsia="bg-BG"/>
        </w:rPr>
        <w:t xml:space="preserve">обобщение на крайните точки за ефикасност </w:t>
      </w:r>
      <w:r w:rsidRPr="00CA56F5">
        <w:rPr>
          <w:rFonts w:eastAsia="Times New Roman" w:cs="Arial"/>
          <w:b/>
          <w:bCs/>
          <w:color w:val="000000"/>
          <w:lang w:val="en-US"/>
        </w:rPr>
        <w:t xml:space="preserve">(ITT </w:t>
      </w:r>
      <w:r w:rsidRPr="00CA56F5">
        <w:rPr>
          <w:rFonts w:eastAsia="Times New Roman" w:cs="Arial"/>
          <w:b/>
          <w:bCs/>
          <w:color w:val="000000"/>
          <w:lang w:eastAsia="bg-BG"/>
        </w:rPr>
        <w:t>популация).</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B7AED" w:rsidRPr="00CA56F5" w14:paraId="4DC7FB9E" w14:textId="77777777" w:rsidTr="002A0500">
        <w:tc>
          <w:tcPr>
            <w:tcW w:w="9350" w:type="dxa"/>
            <w:gridSpan w:val="6"/>
          </w:tcPr>
          <w:p w14:paraId="5EC885F5" w14:textId="391F508B" w:rsidR="004B7AED" w:rsidRPr="00CA56F5" w:rsidRDefault="004B7AED" w:rsidP="004B7AED">
            <w:pPr>
              <w:jc w:val="center"/>
              <w:rPr>
                <w:rFonts w:cs="Arial"/>
              </w:rPr>
            </w:pPr>
            <w:r w:rsidRPr="00CA56F5">
              <w:rPr>
                <w:rFonts w:cs="Arial"/>
                <w:b/>
                <w:bCs/>
              </w:rPr>
              <w:t>Двойно-сляпо лечение</w:t>
            </w:r>
            <w:r w:rsidRPr="00CA56F5">
              <w:rPr>
                <w:rFonts w:cs="Arial"/>
                <w:b/>
                <w:bCs/>
                <w:vertAlign w:val="superscript"/>
              </w:rPr>
              <w:t>а</w:t>
            </w:r>
          </w:p>
        </w:tc>
      </w:tr>
      <w:tr w:rsidR="004B7AED" w:rsidRPr="00CA56F5" w14:paraId="4B17B9AC" w14:textId="77777777" w:rsidTr="00BE6C0A">
        <w:tc>
          <w:tcPr>
            <w:tcW w:w="1558" w:type="dxa"/>
          </w:tcPr>
          <w:p w14:paraId="0C0CC0A8" w14:textId="77777777" w:rsidR="004B7AED" w:rsidRPr="00CA56F5" w:rsidRDefault="004B7AED" w:rsidP="004B7AED">
            <w:pPr>
              <w:rPr>
                <w:rFonts w:cs="Arial"/>
              </w:rPr>
            </w:pPr>
          </w:p>
        </w:tc>
        <w:tc>
          <w:tcPr>
            <w:tcW w:w="3116" w:type="dxa"/>
            <w:gridSpan w:val="2"/>
          </w:tcPr>
          <w:p w14:paraId="37192A92" w14:textId="7CA895AF" w:rsidR="004B7AED" w:rsidRPr="00CA56F5" w:rsidRDefault="004B7AED" w:rsidP="004B7AED">
            <w:pPr>
              <w:rPr>
                <w:rFonts w:cs="Arial"/>
              </w:rPr>
            </w:pPr>
            <w:r w:rsidRPr="00CA56F5">
              <w:rPr>
                <w:rFonts w:cs="Arial"/>
                <w:b/>
                <w:bCs/>
              </w:rPr>
              <w:t xml:space="preserve">Медиана (95% </w:t>
            </w:r>
            <w:r w:rsidRPr="00CA56F5">
              <w:rPr>
                <w:rFonts w:cs="Arial"/>
                <w:b/>
                <w:bCs/>
                <w:lang w:val="en-US"/>
              </w:rPr>
              <w:t>CI)</w:t>
            </w:r>
          </w:p>
        </w:tc>
        <w:tc>
          <w:tcPr>
            <w:tcW w:w="3117" w:type="dxa"/>
            <w:gridSpan w:val="2"/>
          </w:tcPr>
          <w:p w14:paraId="4B7C91CA" w14:textId="6A83542E" w:rsidR="004B7AED" w:rsidRPr="00CA56F5" w:rsidRDefault="004B7AED" w:rsidP="004B7AED">
            <w:pPr>
              <w:rPr>
                <w:rFonts w:cs="Arial"/>
              </w:rPr>
            </w:pPr>
            <w:r w:rsidRPr="00CA56F5">
              <w:rPr>
                <w:rFonts w:cs="Arial"/>
                <w:b/>
                <w:bCs/>
              </w:rPr>
              <w:t>Коефициент на риск</w:t>
            </w:r>
          </w:p>
        </w:tc>
        <w:tc>
          <w:tcPr>
            <w:tcW w:w="1559" w:type="dxa"/>
            <w:vAlign w:val="bottom"/>
          </w:tcPr>
          <w:p w14:paraId="04F1CB7A" w14:textId="4B41616C" w:rsidR="004B7AED" w:rsidRPr="00CA56F5" w:rsidRDefault="004B7AED" w:rsidP="004B7AED">
            <w:pPr>
              <w:rPr>
                <w:rFonts w:cs="Arial"/>
              </w:rPr>
            </w:pPr>
            <w:r w:rsidRPr="00CA56F5">
              <w:rPr>
                <w:rFonts w:cs="Arial"/>
                <w:b/>
                <w:bCs/>
              </w:rPr>
              <w:t xml:space="preserve">Плацебо </w:t>
            </w:r>
            <w:r w:rsidRPr="00CA56F5">
              <w:rPr>
                <w:rFonts w:cs="Arial"/>
                <w:b/>
                <w:bCs/>
                <w:lang w:val="en-US"/>
              </w:rPr>
              <w:t xml:space="preserve">cross-over </w:t>
            </w:r>
            <w:r w:rsidRPr="00CA56F5">
              <w:rPr>
                <w:rFonts w:cs="Arial"/>
                <w:b/>
                <w:bCs/>
              </w:rPr>
              <w:t>група</w:t>
            </w:r>
          </w:p>
        </w:tc>
      </w:tr>
      <w:tr w:rsidR="004B7AED" w:rsidRPr="00CA56F5" w14:paraId="019F322B" w14:textId="77777777" w:rsidTr="00BC5992">
        <w:tc>
          <w:tcPr>
            <w:tcW w:w="1558" w:type="dxa"/>
          </w:tcPr>
          <w:p w14:paraId="683AD7B8" w14:textId="02148403" w:rsidR="004B7AED" w:rsidRPr="00CA56F5" w:rsidRDefault="004B7AED" w:rsidP="004B7AED">
            <w:pPr>
              <w:rPr>
                <w:rFonts w:cs="Arial"/>
              </w:rPr>
            </w:pPr>
            <w:r w:rsidRPr="00CA56F5">
              <w:rPr>
                <w:rFonts w:cs="Arial"/>
                <w:b/>
                <w:bCs/>
              </w:rPr>
              <w:t>Крайна точка</w:t>
            </w:r>
          </w:p>
        </w:tc>
        <w:tc>
          <w:tcPr>
            <w:tcW w:w="1558" w:type="dxa"/>
          </w:tcPr>
          <w:p w14:paraId="34729EB0" w14:textId="68190F79" w:rsidR="004B7AED" w:rsidRPr="00CA56F5" w:rsidRDefault="004B7AED" w:rsidP="004B7AED">
            <w:pPr>
              <w:rPr>
                <w:rFonts w:cs="Arial"/>
              </w:rPr>
            </w:pPr>
            <w:r w:rsidRPr="00CA56F5">
              <w:rPr>
                <w:rFonts w:cs="Arial"/>
                <w:b/>
                <w:bCs/>
              </w:rPr>
              <w:t>Сунитиниб</w:t>
            </w:r>
          </w:p>
        </w:tc>
        <w:tc>
          <w:tcPr>
            <w:tcW w:w="1558" w:type="dxa"/>
          </w:tcPr>
          <w:p w14:paraId="2C3E8E8B" w14:textId="2473917E" w:rsidR="004B7AED" w:rsidRPr="00CA56F5" w:rsidRDefault="004B7AED" w:rsidP="004B7AED">
            <w:pPr>
              <w:rPr>
                <w:rFonts w:cs="Arial"/>
              </w:rPr>
            </w:pPr>
            <w:r w:rsidRPr="00CA56F5">
              <w:rPr>
                <w:rFonts w:cs="Arial"/>
                <w:b/>
                <w:bCs/>
              </w:rPr>
              <w:t>Плацебо</w:t>
            </w:r>
          </w:p>
        </w:tc>
        <w:tc>
          <w:tcPr>
            <w:tcW w:w="1558" w:type="dxa"/>
          </w:tcPr>
          <w:p w14:paraId="76EF44B5" w14:textId="00A154E9" w:rsidR="004B7AED" w:rsidRPr="00CA56F5" w:rsidRDefault="004B7AED" w:rsidP="004B7AED">
            <w:pPr>
              <w:rPr>
                <w:rFonts w:cs="Arial"/>
              </w:rPr>
            </w:pPr>
            <w:r w:rsidRPr="00CA56F5">
              <w:rPr>
                <w:rFonts w:cs="Arial"/>
                <w:b/>
                <w:bCs/>
              </w:rPr>
              <w:t xml:space="preserve">(95% </w:t>
            </w:r>
            <w:r w:rsidRPr="00CA56F5">
              <w:rPr>
                <w:rFonts w:cs="Arial"/>
                <w:b/>
                <w:bCs/>
                <w:lang w:val="en-US"/>
              </w:rPr>
              <w:t>CI)</w:t>
            </w:r>
          </w:p>
        </w:tc>
        <w:tc>
          <w:tcPr>
            <w:tcW w:w="1559" w:type="dxa"/>
            <w:vAlign w:val="bottom"/>
          </w:tcPr>
          <w:p w14:paraId="542BC844" w14:textId="484322B8" w:rsidR="004B7AED" w:rsidRPr="00CA56F5" w:rsidRDefault="004B7AED" w:rsidP="004B7AED">
            <w:pPr>
              <w:rPr>
                <w:rFonts w:cs="Arial"/>
              </w:rPr>
            </w:pPr>
            <w:r w:rsidRPr="00CA56F5">
              <w:rPr>
                <w:rFonts w:cs="Arial"/>
                <w:b/>
                <w:bCs/>
              </w:rPr>
              <w:t>р- стойност</w:t>
            </w:r>
          </w:p>
        </w:tc>
        <w:tc>
          <w:tcPr>
            <w:tcW w:w="1559" w:type="dxa"/>
          </w:tcPr>
          <w:p w14:paraId="2EAEC3ED" w14:textId="5297CFE6" w:rsidR="004B7AED" w:rsidRPr="00CA56F5" w:rsidRDefault="004B7AED" w:rsidP="004B7AED">
            <w:pPr>
              <w:rPr>
                <w:rFonts w:cs="Arial"/>
              </w:rPr>
            </w:pPr>
            <w:r w:rsidRPr="00CA56F5">
              <w:rPr>
                <w:rFonts w:cs="Arial"/>
                <w:b/>
                <w:bCs/>
              </w:rPr>
              <w:t xml:space="preserve">Лечение </w:t>
            </w:r>
            <w:r w:rsidRPr="00CA56F5">
              <w:rPr>
                <w:rFonts w:cs="Arial"/>
                <w:b/>
                <w:bCs/>
                <w:vertAlign w:val="superscript"/>
              </w:rPr>
              <w:t>6</w:t>
            </w:r>
          </w:p>
        </w:tc>
      </w:tr>
      <w:tr w:rsidR="004B7AED" w:rsidRPr="00CA56F5" w14:paraId="22324E66" w14:textId="77777777" w:rsidTr="004E04BA">
        <w:tc>
          <w:tcPr>
            <w:tcW w:w="9350" w:type="dxa"/>
            <w:gridSpan w:val="6"/>
          </w:tcPr>
          <w:p w14:paraId="1EAE5CFE" w14:textId="7C9BD597" w:rsidR="004B7AED" w:rsidRPr="00CA56F5" w:rsidRDefault="004B7AED" w:rsidP="0091385D">
            <w:pPr>
              <w:rPr>
                <w:rFonts w:cs="Arial"/>
                <w:b/>
              </w:rPr>
            </w:pPr>
            <w:r w:rsidRPr="00CA56F5">
              <w:rPr>
                <w:rFonts w:cs="Arial"/>
                <w:b/>
              </w:rPr>
              <w:t>Първична</w:t>
            </w:r>
          </w:p>
        </w:tc>
      </w:tr>
      <w:tr w:rsidR="004B7AED" w:rsidRPr="00CA56F5" w14:paraId="3E174C72" w14:textId="77777777" w:rsidTr="00915BBF">
        <w:tc>
          <w:tcPr>
            <w:tcW w:w="1558" w:type="dxa"/>
          </w:tcPr>
          <w:p w14:paraId="6D7775D6" w14:textId="77777777" w:rsidR="004B7AED" w:rsidRPr="00CA56F5" w:rsidRDefault="004B7AED" w:rsidP="004B7AED">
            <w:pPr>
              <w:rPr>
                <w:rFonts w:cs="Arial"/>
              </w:rPr>
            </w:pPr>
            <w:r w:rsidRPr="00CA56F5">
              <w:rPr>
                <w:rFonts w:cs="Arial"/>
                <w:b/>
                <w:bCs/>
              </w:rPr>
              <w:t>ТТР (седмици)</w:t>
            </w:r>
          </w:p>
          <w:p w14:paraId="7EF65586" w14:textId="1AF096B2" w:rsidR="004B7AED" w:rsidRPr="00CA56F5" w:rsidRDefault="004B7AED" w:rsidP="004B7AED">
            <w:pPr>
              <w:rPr>
                <w:rFonts w:cs="Arial"/>
              </w:rPr>
            </w:pPr>
            <w:r w:rsidRPr="00CA56F5">
              <w:rPr>
                <w:rFonts w:cs="Arial"/>
                <w:i/>
                <w:iCs/>
              </w:rPr>
              <w:t>Междинна Крайна</w:t>
            </w:r>
          </w:p>
        </w:tc>
        <w:tc>
          <w:tcPr>
            <w:tcW w:w="1558" w:type="dxa"/>
            <w:vAlign w:val="bottom"/>
          </w:tcPr>
          <w:p w14:paraId="1AD1D932" w14:textId="77777777" w:rsidR="004B7AED" w:rsidRPr="00CA56F5" w:rsidRDefault="004B7AED" w:rsidP="004B7AED">
            <w:pPr>
              <w:rPr>
                <w:rFonts w:cs="Arial"/>
              </w:rPr>
            </w:pPr>
            <w:r w:rsidRPr="00CA56F5">
              <w:rPr>
                <w:rFonts w:cs="Arial"/>
              </w:rPr>
              <w:t>27,3(16,0; 32,1)</w:t>
            </w:r>
          </w:p>
          <w:p w14:paraId="4B3BF7E8" w14:textId="7F862548" w:rsidR="004B7AED" w:rsidRPr="00CA56F5" w:rsidRDefault="004B7AED" w:rsidP="004B7AED">
            <w:pPr>
              <w:rPr>
                <w:rFonts w:cs="Arial"/>
              </w:rPr>
            </w:pPr>
            <w:r w:rsidRPr="00CA56F5">
              <w:rPr>
                <w:rFonts w:cs="Arial"/>
              </w:rPr>
              <w:t>26,6 (16,0; 32,1)</w:t>
            </w:r>
          </w:p>
        </w:tc>
        <w:tc>
          <w:tcPr>
            <w:tcW w:w="1558" w:type="dxa"/>
            <w:vAlign w:val="bottom"/>
          </w:tcPr>
          <w:p w14:paraId="58513E5B" w14:textId="77777777" w:rsidR="004B7AED" w:rsidRPr="00CA56F5" w:rsidRDefault="004B7AED" w:rsidP="004B7AED">
            <w:pPr>
              <w:rPr>
                <w:rFonts w:cs="Arial"/>
              </w:rPr>
            </w:pPr>
            <w:r w:rsidRPr="00CA56F5">
              <w:rPr>
                <w:rFonts w:cs="Arial"/>
              </w:rPr>
              <w:t>6,4 (4,4; 10,0)</w:t>
            </w:r>
          </w:p>
          <w:p w14:paraId="56A24D6E" w14:textId="3FD204FF" w:rsidR="004B7AED" w:rsidRPr="00CA56F5" w:rsidRDefault="004B7AED" w:rsidP="004B7AED">
            <w:pPr>
              <w:rPr>
                <w:rFonts w:cs="Arial"/>
              </w:rPr>
            </w:pPr>
            <w:r w:rsidRPr="00CA56F5">
              <w:rPr>
                <w:rFonts w:cs="Arial"/>
              </w:rPr>
              <w:t>6,4 (4,4; 10,0)</w:t>
            </w:r>
          </w:p>
        </w:tc>
        <w:tc>
          <w:tcPr>
            <w:tcW w:w="1558" w:type="dxa"/>
            <w:vAlign w:val="bottom"/>
          </w:tcPr>
          <w:p w14:paraId="77167F9A" w14:textId="77777777" w:rsidR="004B7AED" w:rsidRPr="00CA56F5" w:rsidRDefault="004B7AED" w:rsidP="004B7AED">
            <w:pPr>
              <w:rPr>
                <w:rFonts w:cs="Arial"/>
              </w:rPr>
            </w:pPr>
            <w:r w:rsidRPr="00CA56F5">
              <w:rPr>
                <w:rFonts w:cs="Arial"/>
              </w:rPr>
              <w:t>0,329 (0,233; 0,466)</w:t>
            </w:r>
          </w:p>
          <w:p w14:paraId="2B81601C" w14:textId="352A3666" w:rsidR="004B7AED" w:rsidRPr="00CA56F5" w:rsidRDefault="004B7AED" w:rsidP="004B7AED">
            <w:pPr>
              <w:rPr>
                <w:rFonts w:cs="Arial"/>
              </w:rPr>
            </w:pPr>
            <w:r w:rsidRPr="00CA56F5">
              <w:rPr>
                <w:rFonts w:cs="Arial"/>
              </w:rPr>
              <w:t>0,330 (0,244; 0,472)</w:t>
            </w:r>
          </w:p>
        </w:tc>
        <w:tc>
          <w:tcPr>
            <w:tcW w:w="1559" w:type="dxa"/>
            <w:vAlign w:val="bottom"/>
          </w:tcPr>
          <w:p w14:paraId="2F75BFD9" w14:textId="77777777" w:rsidR="004B7AED" w:rsidRPr="00CA56F5" w:rsidRDefault="004B7AED" w:rsidP="004B7AED">
            <w:pPr>
              <w:rPr>
                <w:rFonts w:cs="Arial"/>
              </w:rPr>
            </w:pPr>
            <w:r w:rsidRPr="00CA56F5">
              <w:rPr>
                <w:rFonts w:cs="Arial"/>
              </w:rPr>
              <w:t>&lt;0,001</w:t>
            </w:r>
          </w:p>
          <w:p w14:paraId="1D50E246" w14:textId="534DA4AC" w:rsidR="004B7AED" w:rsidRPr="00CA56F5" w:rsidRDefault="004B7AED" w:rsidP="004B7AED">
            <w:pPr>
              <w:rPr>
                <w:rFonts w:cs="Arial"/>
              </w:rPr>
            </w:pPr>
            <w:r w:rsidRPr="00CA56F5">
              <w:rPr>
                <w:rFonts w:cs="Arial"/>
              </w:rPr>
              <w:t>&lt;0,001</w:t>
            </w:r>
          </w:p>
        </w:tc>
        <w:tc>
          <w:tcPr>
            <w:tcW w:w="1559" w:type="dxa"/>
            <w:vAlign w:val="bottom"/>
          </w:tcPr>
          <w:p w14:paraId="64B34734" w14:textId="77777777" w:rsidR="004B7AED" w:rsidRPr="00CA56F5" w:rsidRDefault="004B7AED" w:rsidP="004B7AED">
            <w:pPr>
              <w:rPr>
                <w:rFonts w:cs="Arial"/>
              </w:rPr>
            </w:pPr>
            <w:r w:rsidRPr="00CA56F5">
              <w:rPr>
                <w:rFonts w:cs="Arial"/>
              </w:rPr>
              <w:t>10,4(4,3;</w:t>
            </w:r>
          </w:p>
          <w:p w14:paraId="43055193" w14:textId="4CBF853C" w:rsidR="004B7AED" w:rsidRPr="00CA56F5" w:rsidRDefault="004B7AED" w:rsidP="004B7AED">
            <w:pPr>
              <w:rPr>
                <w:rFonts w:cs="Arial"/>
              </w:rPr>
            </w:pPr>
            <w:r w:rsidRPr="00CA56F5">
              <w:rPr>
                <w:rFonts w:cs="Arial"/>
              </w:rPr>
              <w:t>22,0)</w:t>
            </w:r>
          </w:p>
        </w:tc>
      </w:tr>
      <w:tr w:rsidR="004B7AED" w:rsidRPr="00CA56F5" w14:paraId="26868457" w14:textId="77777777" w:rsidTr="00B047D9">
        <w:tc>
          <w:tcPr>
            <w:tcW w:w="9350" w:type="dxa"/>
            <w:gridSpan w:val="6"/>
          </w:tcPr>
          <w:p w14:paraId="2FF00898" w14:textId="74BE3310" w:rsidR="004B7AED" w:rsidRPr="00CA56F5" w:rsidRDefault="004B7AED" w:rsidP="0091385D">
            <w:pPr>
              <w:rPr>
                <w:rFonts w:cs="Arial"/>
              </w:rPr>
            </w:pPr>
            <w:r w:rsidRPr="00CA56F5">
              <w:rPr>
                <w:rFonts w:cs="Arial"/>
                <w:b/>
                <w:bCs/>
              </w:rPr>
              <w:t>Вторична</w:t>
            </w:r>
          </w:p>
        </w:tc>
      </w:tr>
      <w:tr w:rsidR="004B7AED" w:rsidRPr="00CA56F5" w14:paraId="7CE97EA1" w14:textId="77777777" w:rsidTr="00BA1C6B">
        <w:tc>
          <w:tcPr>
            <w:tcW w:w="1558" w:type="dxa"/>
          </w:tcPr>
          <w:p w14:paraId="5C1C748F" w14:textId="77777777" w:rsidR="004B7AED" w:rsidRPr="00CA56F5" w:rsidRDefault="004B7AED" w:rsidP="004B7AED">
            <w:pPr>
              <w:rPr>
                <w:rFonts w:cs="Arial"/>
              </w:rPr>
            </w:pPr>
            <w:r w:rsidRPr="00CA56F5">
              <w:rPr>
                <w:rFonts w:cs="Arial"/>
                <w:lang w:val="en-US"/>
              </w:rPr>
              <w:t xml:space="preserve">PFS </w:t>
            </w:r>
            <w:r w:rsidRPr="00CA56F5">
              <w:rPr>
                <w:rFonts w:cs="Arial"/>
              </w:rPr>
              <w:t>(седмици)</w:t>
            </w:r>
            <w:r w:rsidRPr="00CA56F5">
              <w:rPr>
                <w:rFonts w:cs="Arial"/>
                <w:vertAlign w:val="superscript"/>
              </w:rPr>
              <w:t>8</w:t>
            </w:r>
          </w:p>
          <w:p w14:paraId="118FBE46" w14:textId="4AB078C0" w:rsidR="004B7AED" w:rsidRPr="00CA56F5" w:rsidRDefault="004B7AED" w:rsidP="004B7AED">
            <w:pPr>
              <w:rPr>
                <w:rFonts w:cs="Arial"/>
              </w:rPr>
            </w:pPr>
            <w:r w:rsidRPr="00CA56F5">
              <w:rPr>
                <w:rFonts w:cs="Arial"/>
                <w:i/>
                <w:iCs/>
              </w:rPr>
              <w:t>-Междинна Крайна</w:t>
            </w:r>
          </w:p>
        </w:tc>
        <w:tc>
          <w:tcPr>
            <w:tcW w:w="1558" w:type="dxa"/>
            <w:vAlign w:val="bottom"/>
          </w:tcPr>
          <w:p w14:paraId="6F153FAE" w14:textId="77777777" w:rsidR="004B7AED" w:rsidRPr="00CA56F5" w:rsidRDefault="004B7AED" w:rsidP="004B7AED">
            <w:pPr>
              <w:rPr>
                <w:rFonts w:cs="Arial"/>
              </w:rPr>
            </w:pPr>
            <w:r w:rsidRPr="00CA56F5">
              <w:rPr>
                <w:rFonts w:cs="Arial"/>
              </w:rPr>
              <w:t>24,1 (11,1; 28,3)</w:t>
            </w:r>
          </w:p>
          <w:p w14:paraId="52832D8A" w14:textId="1D38DF90" w:rsidR="004B7AED" w:rsidRPr="00CA56F5" w:rsidRDefault="004B7AED" w:rsidP="004B7AED">
            <w:pPr>
              <w:rPr>
                <w:rFonts w:cs="Arial"/>
              </w:rPr>
            </w:pPr>
            <w:r w:rsidRPr="00CA56F5">
              <w:rPr>
                <w:rFonts w:cs="Arial"/>
              </w:rPr>
              <w:t>22,9(10,9; 28,0)</w:t>
            </w:r>
          </w:p>
        </w:tc>
        <w:tc>
          <w:tcPr>
            <w:tcW w:w="1558" w:type="dxa"/>
            <w:vAlign w:val="bottom"/>
          </w:tcPr>
          <w:p w14:paraId="29E559C7" w14:textId="77777777" w:rsidR="004B7AED" w:rsidRPr="00CA56F5" w:rsidRDefault="004B7AED" w:rsidP="004B7AED">
            <w:pPr>
              <w:rPr>
                <w:rFonts w:cs="Arial"/>
              </w:rPr>
            </w:pPr>
            <w:r w:rsidRPr="00CA56F5">
              <w:rPr>
                <w:rFonts w:cs="Arial"/>
              </w:rPr>
              <w:t>6,0 (4,4; 9,9)</w:t>
            </w:r>
          </w:p>
          <w:p w14:paraId="0D76E41F" w14:textId="5EB1DF30" w:rsidR="004B7AED" w:rsidRPr="00CA56F5" w:rsidRDefault="004B7AED" w:rsidP="004B7AED">
            <w:pPr>
              <w:rPr>
                <w:rFonts w:cs="Arial"/>
              </w:rPr>
            </w:pPr>
            <w:r w:rsidRPr="00CA56F5">
              <w:rPr>
                <w:rFonts w:cs="Arial"/>
              </w:rPr>
              <w:t>6,0 (4,4; 9,7)</w:t>
            </w:r>
          </w:p>
        </w:tc>
        <w:tc>
          <w:tcPr>
            <w:tcW w:w="1558" w:type="dxa"/>
            <w:vAlign w:val="bottom"/>
          </w:tcPr>
          <w:p w14:paraId="68CC219B" w14:textId="77777777" w:rsidR="004B7AED" w:rsidRPr="00CA56F5" w:rsidRDefault="004B7AED" w:rsidP="004B7AED">
            <w:pPr>
              <w:rPr>
                <w:rFonts w:cs="Arial"/>
              </w:rPr>
            </w:pPr>
            <w:r w:rsidRPr="00CA56F5">
              <w:rPr>
                <w:rFonts w:cs="Arial"/>
              </w:rPr>
              <w:t>0,333 (0,238; 0,467)</w:t>
            </w:r>
          </w:p>
          <w:p w14:paraId="251A3CB3" w14:textId="7A322A18" w:rsidR="004B7AED" w:rsidRPr="00CA56F5" w:rsidRDefault="004B7AED" w:rsidP="004B7AED">
            <w:pPr>
              <w:rPr>
                <w:rFonts w:cs="Arial"/>
              </w:rPr>
            </w:pPr>
            <w:r w:rsidRPr="00CA56F5">
              <w:rPr>
                <w:rFonts w:cs="Arial"/>
              </w:rPr>
              <w:t>0,347 (0,253; 0,475)</w:t>
            </w:r>
          </w:p>
        </w:tc>
        <w:tc>
          <w:tcPr>
            <w:tcW w:w="1559" w:type="dxa"/>
            <w:vAlign w:val="bottom"/>
          </w:tcPr>
          <w:p w14:paraId="7185E569" w14:textId="77777777" w:rsidR="004B7AED" w:rsidRPr="00CA56F5" w:rsidRDefault="004B7AED" w:rsidP="004B7AED">
            <w:pPr>
              <w:rPr>
                <w:rFonts w:cs="Arial"/>
              </w:rPr>
            </w:pPr>
            <w:r w:rsidRPr="00CA56F5">
              <w:rPr>
                <w:rFonts w:cs="Arial"/>
              </w:rPr>
              <w:t>&lt;0,001</w:t>
            </w:r>
          </w:p>
          <w:p w14:paraId="7A9764C8" w14:textId="38BECF60" w:rsidR="004B7AED" w:rsidRPr="00CA56F5" w:rsidRDefault="004B7AED" w:rsidP="004B7AED">
            <w:pPr>
              <w:rPr>
                <w:rFonts w:cs="Arial"/>
              </w:rPr>
            </w:pPr>
            <w:r w:rsidRPr="00CA56F5">
              <w:rPr>
                <w:rFonts w:cs="Arial"/>
              </w:rPr>
              <w:t>&lt;0,001</w:t>
            </w:r>
          </w:p>
        </w:tc>
        <w:tc>
          <w:tcPr>
            <w:tcW w:w="1559" w:type="dxa"/>
          </w:tcPr>
          <w:p w14:paraId="1D0250FB" w14:textId="77777777" w:rsidR="004B7AED" w:rsidRPr="00CA56F5" w:rsidRDefault="004B7AED" w:rsidP="004B7AED">
            <w:pPr>
              <w:rPr>
                <w:rFonts w:cs="Arial"/>
              </w:rPr>
            </w:pPr>
          </w:p>
        </w:tc>
      </w:tr>
      <w:tr w:rsidR="004B7AED" w:rsidRPr="00CA56F5" w14:paraId="63525978" w14:textId="77777777" w:rsidTr="00BA1C6B">
        <w:tc>
          <w:tcPr>
            <w:tcW w:w="1558" w:type="dxa"/>
            <w:vAlign w:val="center"/>
          </w:tcPr>
          <w:p w14:paraId="24ABD157" w14:textId="0B2674D0" w:rsidR="004B7AED" w:rsidRPr="00CA56F5" w:rsidRDefault="004B7AED" w:rsidP="004B7AED">
            <w:pPr>
              <w:rPr>
                <w:rFonts w:cs="Arial"/>
              </w:rPr>
            </w:pPr>
            <w:r w:rsidRPr="00CA56F5">
              <w:rPr>
                <w:rFonts w:cs="Arial"/>
                <w:lang w:val="en-US"/>
              </w:rPr>
              <w:t xml:space="preserve">ORR </w:t>
            </w:r>
            <w:r w:rsidRPr="00CA56F5">
              <w:rPr>
                <w:rFonts w:cs="Arial"/>
              </w:rPr>
              <w:t>(%)</w:t>
            </w:r>
            <w:r w:rsidRPr="00CA56F5">
              <w:rPr>
                <w:rFonts w:cs="Arial"/>
                <w:vertAlign w:val="superscript"/>
              </w:rPr>
              <w:t>г -</w:t>
            </w:r>
            <w:r w:rsidRPr="00CA56F5">
              <w:rPr>
                <w:rFonts w:cs="Arial"/>
                <w:i/>
                <w:iCs/>
              </w:rPr>
              <w:t>Междинна Крайна</w:t>
            </w:r>
          </w:p>
        </w:tc>
        <w:tc>
          <w:tcPr>
            <w:tcW w:w="1558" w:type="dxa"/>
            <w:vAlign w:val="center"/>
          </w:tcPr>
          <w:p w14:paraId="5D5C085B" w14:textId="77777777" w:rsidR="004B7AED" w:rsidRPr="00CA56F5" w:rsidRDefault="004B7AED" w:rsidP="004B7AED">
            <w:pPr>
              <w:rPr>
                <w:rFonts w:cs="Arial"/>
              </w:rPr>
            </w:pPr>
            <w:r w:rsidRPr="00CA56F5">
              <w:rPr>
                <w:rFonts w:cs="Arial"/>
              </w:rPr>
              <w:t>6,8 (3,7; 11,1)</w:t>
            </w:r>
          </w:p>
          <w:p w14:paraId="6E8AAAFA" w14:textId="2EB97F20" w:rsidR="004B7AED" w:rsidRPr="00CA56F5" w:rsidRDefault="004B7AED" w:rsidP="004B7AED">
            <w:pPr>
              <w:rPr>
                <w:rFonts w:cs="Arial"/>
              </w:rPr>
            </w:pPr>
            <w:r w:rsidRPr="00CA56F5">
              <w:rPr>
                <w:rFonts w:cs="Arial"/>
              </w:rPr>
              <w:t>6,6 (3,8; 10,5)</w:t>
            </w:r>
          </w:p>
        </w:tc>
        <w:tc>
          <w:tcPr>
            <w:tcW w:w="1558" w:type="dxa"/>
            <w:vAlign w:val="center"/>
          </w:tcPr>
          <w:p w14:paraId="1D4EAFF7" w14:textId="77777777" w:rsidR="004B7AED" w:rsidRPr="00CA56F5" w:rsidRDefault="004B7AED" w:rsidP="004B7AED">
            <w:pPr>
              <w:rPr>
                <w:rFonts w:cs="Arial"/>
              </w:rPr>
            </w:pPr>
            <w:r w:rsidRPr="00CA56F5">
              <w:rPr>
                <w:rFonts w:cs="Arial"/>
              </w:rPr>
              <w:t>0(-)</w:t>
            </w:r>
          </w:p>
          <w:p w14:paraId="58CE37BF" w14:textId="6EC15930" w:rsidR="004B7AED" w:rsidRPr="00CA56F5" w:rsidRDefault="004B7AED" w:rsidP="004B7AED">
            <w:pPr>
              <w:rPr>
                <w:rFonts w:cs="Arial"/>
              </w:rPr>
            </w:pPr>
            <w:r w:rsidRPr="00CA56F5">
              <w:rPr>
                <w:rFonts w:cs="Arial"/>
              </w:rPr>
              <w:t>0(-)</w:t>
            </w:r>
          </w:p>
        </w:tc>
        <w:tc>
          <w:tcPr>
            <w:tcW w:w="1558" w:type="dxa"/>
            <w:vAlign w:val="center"/>
          </w:tcPr>
          <w:p w14:paraId="7A3D8F32" w14:textId="0A878B10" w:rsidR="004B7AED" w:rsidRPr="00CA56F5" w:rsidRDefault="004B7AED" w:rsidP="004B7AED">
            <w:pPr>
              <w:rPr>
                <w:rFonts w:cs="Arial"/>
              </w:rPr>
            </w:pPr>
            <w:r w:rsidRPr="00CA56F5">
              <w:rPr>
                <w:rFonts w:cs="Arial"/>
                <w:lang w:val="en-US"/>
              </w:rPr>
              <w:t>NA NA</w:t>
            </w:r>
          </w:p>
        </w:tc>
        <w:tc>
          <w:tcPr>
            <w:tcW w:w="1559" w:type="dxa"/>
            <w:vAlign w:val="center"/>
          </w:tcPr>
          <w:p w14:paraId="0CEEABC6" w14:textId="77777777" w:rsidR="004B7AED" w:rsidRPr="00CA56F5" w:rsidRDefault="004B7AED" w:rsidP="004B7AED">
            <w:pPr>
              <w:rPr>
                <w:rFonts w:cs="Arial"/>
              </w:rPr>
            </w:pPr>
            <w:r w:rsidRPr="00CA56F5">
              <w:rPr>
                <w:rFonts w:cs="Arial"/>
              </w:rPr>
              <w:t>0,006</w:t>
            </w:r>
          </w:p>
          <w:p w14:paraId="26AB7830" w14:textId="3B407EEE" w:rsidR="004B7AED" w:rsidRPr="00CA56F5" w:rsidRDefault="004B7AED" w:rsidP="004B7AED">
            <w:pPr>
              <w:rPr>
                <w:rFonts w:cs="Arial"/>
              </w:rPr>
            </w:pPr>
            <w:r w:rsidRPr="00CA56F5">
              <w:rPr>
                <w:rFonts w:cs="Arial"/>
              </w:rPr>
              <w:t>0,004</w:t>
            </w:r>
          </w:p>
        </w:tc>
        <w:tc>
          <w:tcPr>
            <w:tcW w:w="1559" w:type="dxa"/>
            <w:vAlign w:val="bottom"/>
          </w:tcPr>
          <w:p w14:paraId="34524C8D" w14:textId="77777777" w:rsidR="004B7AED" w:rsidRPr="00CA56F5" w:rsidRDefault="004B7AED" w:rsidP="004B7AED">
            <w:pPr>
              <w:rPr>
                <w:rFonts w:cs="Arial"/>
              </w:rPr>
            </w:pPr>
            <w:r w:rsidRPr="00CA56F5">
              <w:rPr>
                <w:rFonts w:cs="Arial"/>
              </w:rPr>
              <w:t>10,1(5,0;</w:t>
            </w:r>
          </w:p>
          <w:p w14:paraId="1B2E8934" w14:textId="544F79C4" w:rsidR="004B7AED" w:rsidRPr="00CA56F5" w:rsidRDefault="004B7AED" w:rsidP="004B7AED">
            <w:pPr>
              <w:rPr>
                <w:rFonts w:cs="Arial"/>
              </w:rPr>
            </w:pPr>
            <w:r w:rsidRPr="00CA56F5">
              <w:rPr>
                <w:rFonts w:cs="Arial"/>
              </w:rPr>
              <w:t>17,8)</w:t>
            </w:r>
          </w:p>
        </w:tc>
      </w:tr>
      <w:tr w:rsidR="004B7AED" w:rsidRPr="00CA56F5" w14:paraId="1E89FA6F" w14:textId="77777777" w:rsidTr="00BA1C6B">
        <w:tc>
          <w:tcPr>
            <w:tcW w:w="1558" w:type="dxa"/>
          </w:tcPr>
          <w:p w14:paraId="07FF250E" w14:textId="77777777" w:rsidR="004B7AED" w:rsidRPr="00CA56F5" w:rsidRDefault="004B7AED" w:rsidP="004B7AED">
            <w:pPr>
              <w:rPr>
                <w:rFonts w:cs="Arial"/>
              </w:rPr>
            </w:pPr>
            <w:r w:rsidRPr="00CA56F5">
              <w:rPr>
                <w:rFonts w:cs="Arial"/>
                <w:lang w:val="en-US"/>
              </w:rPr>
              <w:t xml:space="preserve">OS </w:t>
            </w:r>
            <w:r w:rsidRPr="00CA56F5">
              <w:rPr>
                <w:rFonts w:cs="Arial"/>
              </w:rPr>
              <w:t>(седмици)</w:t>
            </w:r>
            <w:r w:rsidRPr="00CA56F5">
              <w:rPr>
                <w:rFonts w:cs="Arial"/>
                <w:vertAlign w:val="superscript"/>
              </w:rPr>
              <w:t>д</w:t>
            </w:r>
          </w:p>
          <w:p w14:paraId="693F38AB" w14:textId="623D3D2F" w:rsidR="004B7AED" w:rsidRPr="00CA56F5" w:rsidRDefault="004B7AED" w:rsidP="004B7AED">
            <w:pPr>
              <w:rPr>
                <w:rFonts w:cs="Arial"/>
              </w:rPr>
            </w:pPr>
            <w:r w:rsidRPr="00CA56F5">
              <w:rPr>
                <w:rFonts w:cs="Arial"/>
                <w:i/>
                <w:iCs/>
              </w:rPr>
              <w:t>-Междинна Крайна</w:t>
            </w:r>
          </w:p>
        </w:tc>
        <w:tc>
          <w:tcPr>
            <w:tcW w:w="1558" w:type="dxa"/>
            <w:vAlign w:val="center"/>
          </w:tcPr>
          <w:p w14:paraId="396DDD6D" w14:textId="62612FA1" w:rsidR="004B7AED" w:rsidRPr="00CA56F5" w:rsidRDefault="004B7AED" w:rsidP="004B7AED">
            <w:pPr>
              <w:rPr>
                <w:rFonts w:cs="Arial"/>
              </w:rPr>
            </w:pPr>
            <w:r w:rsidRPr="00CA56F5">
              <w:rPr>
                <w:rFonts w:cs="Arial"/>
              </w:rPr>
              <w:t>72,7 (61,3; 83,0)</w:t>
            </w:r>
          </w:p>
        </w:tc>
        <w:tc>
          <w:tcPr>
            <w:tcW w:w="1558" w:type="dxa"/>
            <w:vAlign w:val="bottom"/>
          </w:tcPr>
          <w:p w14:paraId="456D217C" w14:textId="77777777" w:rsidR="004B7AED" w:rsidRPr="00CA56F5" w:rsidRDefault="004B7AED" w:rsidP="004B7AED">
            <w:pPr>
              <w:rPr>
                <w:rFonts w:cs="Arial"/>
              </w:rPr>
            </w:pPr>
            <w:r w:rsidRPr="00CA56F5">
              <w:rPr>
                <w:rFonts w:cs="Arial"/>
              </w:rPr>
              <w:t>64,9 (45,7;</w:t>
            </w:r>
          </w:p>
          <w:p w14:paraId="46D46841" w14:textId="06AA5E67" w:rsidR="004B7AED" w:rsidRPr="00CA56F5" w:rsidRDefault="004B7AED" w:rsidP="004B7AED">
            <w:pPr>
              <w:rPr>
                <w:rFonts w:cs="Arial"/>
              </w:rPr>
            </w:pPr>
            <w:r w:rsidRPr="00CA56F5">
              <w:rPr>
                <w:rFonts w:cs="Arial"/>
              </w:rPr>
              <w:t>96,0)</w:t>
            </w:r>
          </w:p>
        </w:tc>
        <w:tc>
          <w:tcPr>
            <w:tcW w:w="1558" w:type="dxa"/>
            <w:vAlign w:val="center"/>
          </w:tcPr>
          <w:p w14:paraId="5DB04E4B" w14:textId="50F44C6A" w:rsidR="004B7AED" w:rsidRPr="00CA56F5" w:rsidRDefault="004B7AED" w:rsidP="004B7AED">
            <w:pPr>
              <w:rPr>
                <w:rFonts w:cs="Arial"/>
              </w:rPr>
            </w:pPr>
            <w:r w:rsidRPr="00CA56F5">
              <w:rPr>
                <w:rFonts w:cs="Arial"/>
              </w:rPr>
              <w:t>0,491 (0,290; 0,831) 0,876(0,679; 1,129)</w:t>
            </w:r>
          </w:p>
        </w:tc>
        <w:tc>
          <w:tcPr>
            <w:tcW w:w="1559" w:type="dxa"/>
            <w:vAlign w:val="bottom"/>
          </w:tcPr>
          <w:p w14:paraId="472464C9" w14:textId="77777777" w:rsidR="004B7AED" w:rsidRPr="00CA56F5" w:rsidRDefault="004B7AED" w:rsidP="004B7AED">
            <w:pPr>
              <w:rPr>
                <w:rFonts w:cs="Arial"/>
              </w:rPr>
            </w:pPr>
          </w:p>
          <w:p w14:paraId="5A3B4A89" w14:textId="77777777" w:rsidR="004B7AED" w:rsidRPr="00CA56F5" w:rsidRDefault="004B7AED" w:rsidP="004B7AED">
            <w:pPr>
              <w:rPr>
                <w:rFonts w:cs="Arial"/>
              </w:rPr>
            </w:pPr>
            <w:r w:rsidRPr="00CA56F5">
              <w:rPr>
                <w:rFonts w:cs="Arial"/>
              </w:rPr>
              <w:t>0,007</w:t>
            </w:r>
          </w:p>
          <w:p w14:paraId="4FB8746D" w14:textId="2FA7499B" w:rsidR="004B7AED" w:rsidRPr="00CA56F5" w:rsidRDefault="004B7AED" w:rsidP="004B7AED">
            <w:pPr>
              <w:rPr>
                <w:rFonts w:cs="Arial"/>
              </w:rPr>
            </w:pPr>
            <w:r w:rsidRPr="00CA56F5">
              <w:rPr>
                <w:rFonts w:cs="Arial"/>
              </w:rPr>
              <w:t>0,306</w:t>
            </w:r>
          </w:p>
        </w:tc>
        <w:tc>
          <w:tcPr>
            <w:tcW w:w="1559" w:type="dxa"/>
            <w:vAlign w:val="bottom"/>
          </w:tcPr>
          <w:p w14:paraId="725769FD" w14:textId="77777777" w:rsidR="004B7AED" w:rsidRPr="00CA56F5" w:rsidRDefault="004B7AED" w:rsidP="004B7AED">
            <w:pPr>
              <w:rPr>
                <w:rFonts w:cs="Arial"/>
              </w:rPr>
            </w:pPr>
          </w:p>
        </w:tc>
      </w:tr>
    </w:tbl>
    <w:p w14:paraId="0B9681E7" w14:textId="2E5940FA" w:rsidR="008B6B3F" w:rsidRPr="00CA56F5" w:rsidRDefault="008B6B3F" w:rsidP="0091385D">
      <w:pPr>
        <w:rPr>
          <w:rFonts w:cs="Arial"/>
        </w:rPr>
      </w:pPr>
    </w:p>
    <w:p w14:paraId="2DA6ECBD"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Съкращения: С</w:t>
      </w:r>
      <w:r w:rsidRPr="008B6B3F">
        <w:rPr>
          <w:rFonts w:eastAsia="Times New Roman" w:cs="Arial"/>
          <w:color w:val="000000"/>
          <w:lang w:val="en-US"/>
        </w:rPr>
        <w:t>I</w:t>
      </w:r>
      <w:r w:rsidRPr="008B6B3F">
        <w:rPr>
          <w:rFonts w:eastAsia="Times New Roman" w:cs="Arial"/>
          <w:color w:val="000000"/>
          <w:lang w:eastAsia="bg-BG"/>
        </w:rPr>
        <w:t xml:space="preserve">=доверителен интервал; 1ТТ=подлежаща на лечение; </w:t>
      </w:r>
      <w:r w:rsidRPr="008B6B3F">
        <w:rPr>
          <w:rFonts w:eastAsia="Times New Roman" w:cs="Arial"/>
          <w:color w:val="000000"/>
          <w:lang w:val="en-US"/>
        </w:rPr>
        <w:t>NA=</w:t>
      </w:r>
      <w:r w:rsidRPr="008B6B3F">
        <w:rPr>
          <w:rFonts w:eastAsia="Times New Roman" w:cs="Arial"/>
          <w:color w:val="000000"/>
          <w:lang w:eastAsia="bg-BG"/>
        </w:rPr>
        <w:t>н</w:t>
      </w:r>
      <w:r w:rsidRPr="008B6B3F">
        <w:rPr>
          <w:rFonts w:eastAsia="Times New Roman" w:cs="Arial"/>
          <w:color w:val="000000"/>
          <w:lang w:val="en-US"/>
        </w:rPr>
        <w:t>e</w:t>
      </w:r>
      <w:r w:rsidRPr="008B6B3F">
        <w:rPr>
          <w:rFonts w:eastAsia="Times New Roman" w:cs="Arial"/>
          <w:color w:val="000000"/>
          <w:lang w:eastAsia="bg-BG"/>
        </w:rPr>
        <w:t xml:space="preserve">приложимо; </w:t>
      </w:r>
      <w:r w:rsidRPr="008B6B3F">
        <w:rPr>
          <w:rFonts w:eastAsia="Times New Roman" w:cs="Arial"/>
          <w:color w:val="000000"/>
          <w:lang w:val="en-US"/>
        </w:rPr>
        <w:t>ORR=c</w:t>
      </w:r>
      <w:r w:rsidRPr="008B6B3F">
        <w:rPr>
          <w:rFonts w:eastAsia="Times New Roman" w:cs="Arial"/>
          <w:color w:val="000000"/>
          <w:lang w:eastAsia="bg-BG"/>
        </w:rPr>
        <w:t>т</w:t>
      </w:r>
      <w:r w:rsidRPr="008B6B3F">
        <w:rPr>
          <w:rFonts w:eastAsia="Times New Roman" w:cs="Arial"/>
          <w:color w:val="000000"/>
          <w:lang w:val="en-US"/>
        </w:rPr>
        <w:t>e</w:t>
      </w:r>
      <w:r w:rsidRPr="008B6B3F">
        <w:rPr>
          <w:rFonts w:eastAsia="Times New Roman" w:cs="Arial"/>
          <w:color w:val="000000"/>
          <w:lang w:eastAsia="bg-BG"/>
        </w:rPr>
        <w:t>п</w:t>
      </w:r>
      <w:r w:rsidRPr="008B6B3F">
        <w:rPr>
          <w:rFonts w:eastAsia="Times New Roman" w:cs="Arial"/>
          <w:color w:val="000000"/>
          <w:lang w:val="en-US"/>
        </w:rPr>
        <w:t>e</w:t>
      </w:r>
      <w:r w:rsidRPr="008B6B3F">
        <w:rPr>
          <w:rFonts w:eastAsia="Times New Roman" w:cs="Arial"/>
          <w:color w:val="000000"/>
          <w:lang w:eastAsia="bg-BG"/>
        </w:rPr>
        <w:t>н</w:t>
      </w:r>
      <w:r w:rsidRPr="008B6B3F">
        <w:rPr>
          <w:rFonts w:eastAsia="Times New Roman" w:cs="Arial"/>
          <w:color w:val="000000"/>
          <w:lang w:val="en-US"/>
        </w:rPr>
        <w:t xml:space="preserve"> </w:t>
      </w:r>
      <w:r w:rsidRPr="008B6B3F">
        <w:rPr>
          <w:rFonts w:eastAsia="Times New Roman" w:cs="Arial"/>
          <w:color w:val="000000"/>
          <w:lang w:eastAsia="bg-BG"/>
        </w:rPr>
        <w:t>на обективен отговор; О</w:t>
      </w:r>
      <w:r w:rsidRPr="008B6B3F">
        <w:rPr>
          <w:rFonts w:eastAsia="Times New Roman" w:cs="Arial"/>
          <w:color w:val="000000"/>
          <w:lang w:val="en-US"/>
        </w:rPr>
        <w:t>S</w:t>
      </w:r>
      <w:r w:rsidRPr="008B6B3F">
        <w:rPr>
          <w:rFonts w:eastAsia="Times New Roman" w:cs="Arial"/>
          <w:color w:val="000000"/>
          <w:lang w:eastAsia="bg-BG"/>
        </w:rPr>
        <w:t xml:space="preserve">=обща преживяемост; </w:t>
      </w:r>
      <w:r w:rsidRPr="008B6B3F">
        <w:rPr>
          <w:rFonts w:eastAsia="Times New Roman" w:cs="Arial"/>
          <w:color w:val="000000"/>
          <w:lang w:val="en-US"/>
        </w:rPr>
        <w:t>PFS=</w:t>
      </w:r>
      <w:r w:rsidRPr="008B6B3F">
        <w:rPr>
          <w:rFonts w:eastAsia="Times New Roman" w:cs="Arial"/>
          <w:color w:val="000000"/>
          <w:lang w:eastAsia="bg-BG"/>
        </w:rPr>
        <w:t>преживяемост без прогресия; ТТР=време до туморна прогресия.</w:t>
      </w:r>
    </w:p>
    <w:p w14:paraId="1629790F" w14:textId="77777777" w:rsidR="008B6B3F" w:rsidRPr="00CA56F5" w:rsidRDefault="008B6B3F" w:rsidP="008B6B3F">
      <w:pPr>
        <w:spacing w:line="240" w:lineRule="auto"/>
        <w:rPr>
          <w:rFonts w:eastAsia="Times New Roman" w:cs="Arial"/>
          <w:color w:val="000000"/>
          <w:vertAlign w:val="superscript"/>
          <w:lang w:eastAsia="bg-BG"/>
        </w:rPr>
      </w:pPr>
    </w:p>
    <w:p w14:paraId="77D4CE59" w14:textId="02C68D5A" w:rsidR="008B6B3F" w:rsidRPr="008B6B3F" w:rsidRDefault="008B6B3F" w:rsidP="008B6B3F">
      <w:pPr>
        <w:spacing w:line="240" w:lineRule="auto"/>
        <w:rPr>
          <w:rFonts w:eastAsia="Times New Roman" w:cs="Arial"/>
          <w:lang w:eastAsia="bg-BG"/>
        </w:rPr>
      </w:pPr>
      <w:r w:rsidRPr="008B6B3F">
        <w:rPr>
          <w:rFonts w:eastAsia="Times New Roman" w:cs="Arial"/>
          <w:color w:val="000000"/>
          <w:vertAlign w:val="superscript"/>
          <w:lang w:eastAsia="bg-BG"/>
        </w:rPr>
        <w:lastRenderedPageBreak/>
        <w:t>а</w:t>
      </w:r>
      <w:r w:rsidRPr="008B6B3F">
        <w:rPr>
          <w:rFonts w:eastAsia="Times New Roman" w:cs="Arial"/>
          <w:color w:val="000000"/>
          <w:lang w:eastAsia="bg-BG"/>
        </w:rPr>
        <w:t xml:space="preserve"> Резултатите от двойно-сляпата фаза на лечение са от </w:t>
      </w:r>
      <w:r w:rsidRPr="008B6B3F">
        <w:rPr>
          <w:rFonts w:eastAsia="Times New Roman" w:cs="Arial"/>
          <w:color w:val="000000"/>
          <w:lang w:val="en-US"/>
        </w:rPr>
        <w:t xml:space="preserve">ITT </w:t>
      </w:r>
      <w:r w:rsidRPr="008B6B3F">
        <w:rPr>
          <w:rFonts w:eastAsia="Times New Roman" w:cs="Arial"/>
          <w:color w:val="000000"/>
          <w:lang w:eastAsia="bg-BG"/>
        </w:rPr>
        <w:t>популацията и, където е било уместно, е била направена централизирана рентгенологична оценка.</w:t>
      </w:r>
    </w:p>
    <w:p w14:paraId="39FD154F"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vertAlign w:val="superscript"/>
          <w:lang w:eastAsia="bg-BG"/>
        </w:rPr>
        <w:t>б</w:t>
      </w:r>
      <w:r w:rsidRPr="008B6B3F">
        <w:rPr>
          <w:rFonts w:eastAsia="Times New Roman" w:cs="Arial"/>
          <w:color w:val="000000"/>
          <w:lang w:eastAsia="bg-BG"/>
        </w:rPr>
        <w:t>Резултатите за ефикасност от 99 пациенти, които са преминали от плацебо на Сунитикон след разкриване на кодовете на рандомизация. Била е направена повторно изходна оценка при преминаването и анализът за ефикасност е въз основа на оценката на изследователите.</w:t>
      </w:r>
    </w:p>
    <w:p w14:paraId="3D273D9C"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vertAlign w:val="superscript"/>
          <w:lang w:eastAsia="bg-BG"/>
        </w:rPr>
        <w:t>в</w:t>
      </w:r>
      <w:r w:rsidRPr="008B6B3F">
        <w:rPr>
          <w:rFonts w:eastAsia="Times New Roman" w:cs="Arial"/>
          <w:color w:val="000000"/>
          <w:lang w:eastAsia="bg-BG"/>
        </w:rPr>
        <w:t xml:space="preserve"> Броят на </w:t>
      </w:r>
      <w:r w:rsidRPr="008B6B3F">
        <w:rPr>
          <w:rFonts w:eastAsia="Times New Roman" w:cs="Arial"/>
          <w:color w:val="000000"/>
          <w:lang w:val="en-US"/>
        </w:rPr>
        <w:t xml:space="preserve">PFS </w:t>
      </w:r>
      <w:r w:rsidRPr="008B6B3F">
        <w:rPr>
          <w:rFonts w:eastAsia="Times New Roman" w:cs="Arial"/>
          <w:color w:val="000000"/>
          <w:lang w:eastAsia="bg-BG"/>
        </w:rPr>
        <w:t>при междинния анализ е актуализиран въз основа на преизчисляване на първоначалните данни.</w:t>
      </w:r>
    </w:p>
    <w:p w14:paraId="25734F35"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vertAlign w:val="superscript"/>
          <w:lang w:eastAsia="bg-BG"/>
        </w:rPr>
        <w:t>г</w:t>
      </w:r>
      <w:r w:rsidRPr="008B6B3F">
        <w:rPr>
          <w:rFonts w:eastAsia="Times New Roman" w:cs="Arial"/>
          <w:color w:val="000000"/>
          <w:lang w:eastAsia="bg-BG"/>
        </w:rPr>
        <w:t xml:space="preserve"> Резултатите от </w:t>
      </w:r>
      <w:r w:rsidRPr="008B6B3F">
        <w:rPr>
          <w:rFonts w:eastAsia="Times New Roman" w:cs="Arial"/>
          <w:color w:val="000000"/>
          <w:lang w:val="en-US"/>
        </w:rPr>
        <w:t xml:space="preserve">ORR </w:t>
      </w:r>
      <w:r w:rsidRPr="008B6B3F">
        <w:rPr>
          <w:rFonts w:eastAsia="Times New Roman" w:cs="Arial"/>
          <w:color w:val="000000"/>
          <w:lang w:eastAsia="bg-BG"/>
        </w:rPr>
        <w:t xml:space="preserve">се представят като процент на пациентите, които са били с потвърден отговор с 95% </w:t>
      </w:r>
      <w:r w:rsidRPr="008B6B3F">
        <w:rPr>
          <w:rFonts w:eastAsia="Times New Roman" w:cs="Arial"/>
          <w:color w:val="000000"/>
          <w:lang w:val="en-US"/>
        </w:rPr>
        <w:t>CI.</w:t>
      </w:r>
    </w:p>
    <w:p w14:paraId="53B26D4F"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vertAlign w:val="superscript"/>
          <w:lang w:eastAsia="bg-BG"/>
        </w:rPr>
        <w:t>д</w:t>
      </w:r>
      <w:r w:rsidRPr="008B6B3F">
        <w:rPr>
          <w:rFonts w:eastAsia="Times New Roman" w:cs="Arial"/>
          <w:color w:val="000000"/>
          <w:lang w:eastAsia="bg-BG"/>
        </w:rPr>
        <w:t xml:space="preserve"> Медианата не е достигната, тъй като данните все още не са събрани.</w:t>
      </w:r>
    </w:p>
    <w:p w14:paraId="7521643E" w14:textId="77777777" w:rsidR="008B6B3F" w:rsidRPr="00CA56F5" w:rsidRDefault="008B6B3F" w:rsidP="008B6B3F">
      <w:pPr>
        <w:spacing w:line="240" w:lineRule="auto"/>
        <w:rPr>
          <w:rFonts w:eastAsia="Times New Roman" w:cs="Arial"/>
          <w:color w:val="000000"/>
          <w:lang w:eastAsia="bg-BG"/>
        </w:rPr>
      </w:pPr>
    </w:p>
    <w:p w14:paraId="7F184D5B" w14:textId="5015F33E"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 xml:space="preserve">Медианата на </w:t>
      </w:r>
      <w:r w:rsidRPr="008B6B3F">
        <w:rPr>
          <w:rFonts w:eastAsia="Times New Roman" w:cs="Arial"/>
          <w:color w:val="000000"/>
          <w:lang w:val="en-US"/>
        </w:rPr>
        <w:t xml:space="preserve">OS </w:t>
      </w:r>
      <w:r w:rsidRPr="008B6B3F">
        <w:rPr>
          <w:rFonts w:eastAsia="Times New Roman" w:cs="Arial"/>
          <w:color w:val="000000"/>
          <w:lang w:eastAsia="bg-BG"/>
        </w:rPr>
        <w:t xml:space="preserve">при </w:t>
      </w:r>
      <w:r w:rsidRPr="008B6B3F">
        <w:rPr>
          <w:rFonts w:eastAsia="Times New Roman" w:cs="Arial"/>
          <w:color w:val="000000"/>
          <w:lang w:val="en-US"/>
        </w:rPr>
        <w:t xml:space="preserve">ITT </w:t>
      </w:r>
      <w:r w:rsidRPr="008B6B3F">
        <w:rPr>
          <w:rFonts w:eastAsia="Times New Roman" w:cs="Arial"/>
          <w:color w:val="000000"/>
          <w:lang w:eastAsia="bg-BG"/>
        </w:rPr>
        <w:t xml:space="preserve">популацията е била съответно 72,7 седмици и 64,9 седмици </w:t>
      </w:r>
      <w:r w:rsidRPr="008B6B3F">
        <w:rPr>
          <w:rFonts w:eastAsia="Times New Roman" w:cs="Arial"/>
          <w:color w:val="000000"/>
          <w:lang w:val="en-US"/>
        </w:rPr>
        <w:t xml:space="preserve">(HR: </w:t>
      </w:r>
      <w:r w:rsidRPr="008B6B3F">
        <w:rPr>
          <w:rFonts w:eastAsia="Times New Roman" w:cs="Arial"/>
          <w:color w:val="000000"/>
          <w:lang w:eastAsia="bg-BG"/>
        </w:rPr>
        <w:t xml:space="preserve">0,876; 95% </w:t>
      </w:r>
      <w:r w:rsidRPr="008B6B3F">
        <w:rPr>
          <w:rFonts w:eastAsia="Times New Roman" w:cs="Arial"/>
          <w:color w:val="000000"/>
          <w:lang w:val="en-US"/>
        </w:rPr>
        <w:t xml:space="preserve">CI: </w:t>
      </w:r>
      <w:r w:rsidRPr="008B6B3F">
        <w:rPr>
          <w:rFonts w:eastAsia="Times New Roman" w:cs="Arial"/>
          <w:color w:val="000000"/>
          <w:lang w:eastAsia="bg-BG"/>
        </w:rPr>
        <w:t>0,679, 1,129; р=0,306) при сунитиниб и при плацебо. В този анализ рамото на плацебо включва онези пациенти, рандомизирани на плацебо, които в последствие са получили лечение със сунитиниб в откритата фаза на проучването.</w:t>
      </w:r>
    </w:p>
    <w:p w14:paraId="7D85DE9B" w14:textId="77777777" w:rsidR="008B6B3F" w:rsidRPr="00CA56F5" w:rsidRDefault="008B6B3F" w:rsidP="008B6B3F">
      <w:pPr>
        <w:spacing w:line="240" w:lineRule="auto"/>
        <w:rPr>
          <w:rFonts w:eastAsia="Times New Roman" w:cs="Arial"/>
          <w:i/>
          <w:iCs/>
          <w:color w:val="000000"/>
          <w:lang w:eastAsia="bg-BG"/>
        </w:rPr>
      </w:pPr>
    </w:p>
    <w:p w14:paraId="625C9E35" w14:textId="22D1EB11" w:rsidR="008B6B3F" w:rsidRPr="008B6B3F" w:rsidRDefault="008B6B3F" w:rsidP="008B6B3F">
      <w:pPr>
        <w:spacing w:line="240" w:lineRule="auto"/>
        <w:rPr>
          <w:rFonts w:eastAsia="Times New Roman" w:cs="Arial"/>
          <w:lang w:eastAsia="bg-BG"/>
        </w:rPr>
      </w:pPr>
      <w:r w:rsidRPr="00CA56F5">
        <w:rPr>
          <w:rFonts w:eastAsia="Times New Roman" w:cs="Arial"/>
          <w:i/>
          <w:iCs/>
          <w:color w:val="000000"/>
          <w:lang w:eastAsia="bg-BG"/>
        </w:rPr>
        <w:t>Не</w:t>
      </w:r>
      <w:r w:rsidRPr="008B6B3F">
        <w:rPr>
          <w:rFonts w:eastAsia="Times New Roman" w:cs="Arial"/>
          <w:i/>
          <w:iCs/>
          <w:color w:val="000000"/>
          <w:lang w:eastAsia="bg-BG"/>
        </w:rPr>
        <w:t>лекуван метастатичеи бъбречно-клетъчен карцинам</w:t>
      </w:r>
    </w:p>
    <w:p w14:paraId="162E44BA"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 xml:space="preserve">Проведено е рандомизирано, многоцентрово, международно проучване фаза 3, оценяващо ефикасността и безопасността на сунитиниб сравнено с интерферон </w:t>
      </w:r>
      <w:r w:rsidRPr="008B6B3F">
        <w:rPr>
          <w:rFonts w:eastAsia="Times New Roman" w:cs="Arial"/>
          <w:color w:val="000000"/>
          <w:lang w:val="en-US"/>
        </w:rPr>
        <w:t xml:space="preserve">IFN-a </w:t>
      </w:r>
      <w:r w:rsidRPr="008B6B3F">
        <w:rPr>
          <w:rFonts w:eastAsia="Times New Roman" w:cs="Arial"/>
          <w:color w:val="000000"/>
          <w:lang w:eastAsia="bg-BG"/>
        </w:rPr>
        <w:t xml:space="preserve">при пациенти с неЛекуван </w:t>
      </w:r>
      <w:r w:rsidRPr="008B6B3F">
        <w:rPr>
          <w:rFonts w:eastAsia="Times New Roman" w:cs="Arial"/>
          <w:color w:val="000000"/>
          <w:lang w:val="en-US"/>
        </w:rPr>
        <w:t xml:space="preserve">MRCC. </w:t>
      </w:r>
      <w:r w:rsidRPr="008B6B3F">
        <w:rPr>
          <w:rFonts w:eastAsia="Times New Roman" w:cs="Arial"/>
          <w:color w:val="000000"/>
          <w:lang w:eastAsia="bg-BG"/>
        </w:rPr>
        <w:t xml:space="preserve">Седемстотин и петдесет пациенти са били рандомизирани 1:1 в терапевтичните рамена; те са получавали лечение или със сунитиниб в повтарящи се 6- седмични цикли, състоящи се от 4 седмици по 50 </w:t>
      </w:r>
      <w:r w:rsidRPr="008B6B3F">
        <w:rPr>
          <w:rFonts w:eastAsia="Times New Roman" w:cs="Arial"/>
          <w:color w:val="000000"/>
          <w:lang w:val="en-US"/>
        </w:rPr>
        <w:t xml:space="preserve">mg </w:t>
      </w:r>
      <w:r w:rsidRPr="008B6B3F">
        <w:rPr>
          <w:rFonts w:eastAsia="Times New Roman" w:cs="Arial"/>
          <w:color w:val="000000"/>
          <w:lang w:eastAsia="bg-BG"/>
        </w:rPr>
        <w:t xml:space="preserve">дневно перорално приложение, последвано от 2 седмици почивка (Схема 4/2), или </w:t>
      </w:r>
      <w:r w:rsidRPr="008B6B3F">
        <w:rPr>
          <w:rFonts w:eastAsia="Times New Roman" w:cs="Arial"/>
          <w:color w:val="000000"/>
          <w:lang w:val="en-US"/>
        </w:rPr>
        <w:t xml:space="preserve">IFN-a, </w:t>
      </w:r>
      <w:r w:rsidRPr="008B6B3F">
        <w:rPr>
          <w:rFonts w:eastAsia="Times New Roman" w:cs="Arial"/>
          <w:color w:val="000000"/>
          <w:lang w:eastAsia="bg-BG"/>
        </w:rPr>
        <w:t xml:space="preserve">приложен като подкожна инжекция от 3 милиона единици </w:t>
      </w:r>
      <w:r w:rsidRPr="008B6B3F">
        <w:rPr>
          <w:rFonts w:eastAsia="Times New Roman" w:cs="Arial"/>
          <w:color w:val="000000"/>
          <w:lang w:val="en-US"/>
        </w:rPr>
        <w:t xml:space="preserve">(MU) </w:t>
      </w:r>
      <w:r w:rsidRPr="008B6B3F">
        <w:rPr>
          <w:rFonts w:eastAsia="Times New Roman" w:cs="Arial"/>
          <w:color w:val="000000"/>
          <w:lang w:eastAsia="bg-BG"/>
        </w:rPr>
        <w:t xml:space="preserve">първата седмица, 6 </w:t>
      </w:r>
      <w:r w:rsidRPr="008B6B3F">
        <w:rPr>
          <w:rFonts w:eastAsia="Times New Roman" w:cs="Arial"/>
          <w:color w:val="000000"/>
          <w:lang w:val="en-US"/>
        </w:rPr>
        <w:t xml:space="preserve">MU </w:t>
      </w:r>
      <w:r w:rsidRPr="008B6B3F">
        <w:rPr>
          <w:rFonts w:eastAsia="Times New Roman" w:cs="Arial"/>
          <w:color w:val="000000"/>
          <w:lang w:eastAsia="bg-BG"/>
        </w:rPr>
        <w:t xml:space="preserve">втората седмица и 9 </w:t>
      </w:r>
      <w:r w:rsidRPr="008B6B3F">
        <w:rPr>
          <w:rFonts w:eastAsia="Times New Roman" w:cs="Arial"/>
          <w:color w:val="000000"/>
          <w:lang w:val="en-US"/>
        </w:rPr>
        <w:t xml:space="preserve">MU </w:t>
      </w:r>
      <w:r w:rsidRPr="008B6B3F">
        <w:rPr>
          <w:rFonts w:eastAsia="Times New Roman" w:cs="Arial"/>
          <w:color w:val="000000"/>
          <w:lang w:eastAsia="bg-BG"/>
        </w:rPr>
        <w:t>третата седмица и след това на 3 непоследователни дни всяка седмица.</w:t>
      </w:r>
    </w:p>
    <w:p w14:paraId="17892113" w14:textId="77777777" w:rsidR="008B6B3F" w:rsidRPr="00CA56F5" w:rsidRDefault="008B6B3F" w:rsidP="008B6B3F">
      <w:pPr>
        <w:spacing w:line="240" w:lineRule="auto"/>
        <w:rPr>
          <w:rFonts w:eastAsia="Times New Roman" w:cs="Arial"/>
          <w:color w:val="000000"/>
          <w:lang w:eastAsia="bg-BG"/>
        </w:rPr>
      </w:pPr>
    </w:p>
    <w:p w14:paraId="080F5583" w14:textId="68D391B1"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 xml:space="preserve">Медианата на продължителност на лечението е била 11,1 месеца (диапазон: 0,4-46,1) за лечението със сунитиниб и 4,1 месеца (диапазон: 0,1-45,6) за лечението с </w:t>
      </w:r>
      <w:r w:rsidRPr="008B6B3F">
        <w:rPr>
          <w:rFonts w:eastAsia="Times New Roman" w:cs="Arial"/>
          <w:color w:val="000000"/>
          <w:lang w:val="en-US"/>
        </w:rPr>
        <w:t xml:space="preserve">IFN-a. </w:t>
      </w:r>
      <w:r w:rsidRPr="008B6B3F">
        <w:rPr>
          <w:rFonts w:eastAsia="Times New Roman" w:cs="Arial"/>
          <w:color w:val="000000"/>
          <w:lang w:eastAsia="bg-BG"/>
        </w:rPr>
        <w:t xml:space="preserve">Сериозни нежелани събития, свързани с лечението </w:t>
      </w:r>
      <w:r w:rsidRPr="008B6B3F">
        <w:rPr>
          <w:rFonts w:eastAsia="Times New Roman" w:cs="Arial"/>
          <w:color w:val="000000"/>
          <w:lang w:val="en-US"/>
        </w:rPr>
        <w:t xml:space="preserve">(TRSAEs), </w:t>
      </w:r>
      <w:r w:rsidRPr="008B6B3F">
        <w:rPr>
          <w:rFonts w:eastAsia="Times New Roman" w:cs="Arial"/>
          <w:color w:val="000000"/>
          <w:lang w:eastAsia="bg-BG"/>
        </w:rPr>
        <w:t xml:space="preserve">са съобщени при 23,7% от пациентите, приемащи сунитиниб, и 6,9% от пациентите, приемащи </w:t>
      </w:r>
      <w:r w:rsidRPr="008B6B3F">
        <w:rPr>
          <w:rFonts w:eastAsia="Times New Roman" w:cs="Arial"/>
          <w:color w:val="000000"/>
          <w:lang w:val="en-US"/>
        </w:rPr>
        <w:t xml:space="preserve">IFN-a. </w:t>
      </w:r>
      <w:r w:rsidRPr="008B6B3F">
        <w:rPr>
          <w:rFonts w:eastAsia="Times New Roman" w:cs="Arial"/>
          <w:color w:val="000000"/>
          <w:lang w:eastAsia="bg-BG"/>
        </w:rPr>
        <w:t xml:space="preserve">Процентите на прекратяване на лечението поради нежелани събития обаче са били 20% за сунитиниб и 23% за </w:t>
      </w:r>
      <w:r w:rsidRPr="008B6B3F">
        <w:rPr>
          <w:rFonts w:eastAsia="Times New Roman" w:cs="Arial"/>
          <w:color w:val="000000"/>
          <w:lang w:val="en-US"/>
        </w:rPr>
        <w:t>IFN-a.</w:t>
      </w:r>
    </w:p>
    <w:p w14:paraId="4F503012"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 xml:space="preserve">Прекратяване на приема на дозата е настъпило при 202 пациенти (54%) на сунитиниб и 141 пациенти (39%) на </w:t>
      </w:r>
      <w:r w:rsidRPr="008B6B3F">
        <w:rPr>
          <w:rFonts w:eastAsia="Times New Roman" w:cs="Arial"/>
          <w:color w:val="000000"/>
          <w:lang w:val="en-US"/>
        </w:rPr>
        <w:t xml:space="preserve">IFN-a. </w:t>
      </w:r>
      <w:r w:rsidRPr="008B6B3F">
        <w:rPr>
          <w:rFonts w:eastAsia="Times New Roman" w:cs="Arial"/>
          <w:color w:val="000000"/>
          <w:lang w:eastAsia="bg-BG"/>
        </w:rPr>
        <w:t xml:space="preserve">Намаляване на дозата е настъпило при 194 пациенти (52%) на сунитиниб и 98 пациенти (27%) на </w:t>
      </w:r>
      <w:r w:rsidRPr="008B6B3F">
        <w:rPr>
          <w:rFonts w:eastAsia="Times New Roman" w:cs="Arial"/>
          <w:color w:val="000000"/>
          <w:lang w:val="en-US"/>
        </w:rPr>
        <w:t xml:space="preserve">IFN-a. </w:t>
      </w:r>
      <w:r w:rsidRPr="008B6B3F">
        <w:rPr>
          <w:rFonts w:eastAsia="Times New Roman" w:cs="Arial"/>
          <w:color w:val="000000"/>
          <w:lang w:eastAsia="bg-BG"/>
        </w:rPr>
        <w:t xml:space="preserve">Пациентите са лекувани до прогресия на заболяването или оттегляне от проучването. Първичната крайна точка за ефикасност е била </w:t>
      </w:r>
      <w:r w:rsidRPr="008B6B3F">
        <w:rPr>
          <w:rFonts w:eastAsia="Times New Roman" w:cs="Arial"/>
          <w:color w:val="000000"/>
          <w:lang w:val="en-US"/>
        </w:rPr>
        <w:t xml:space="preserve">PFS. </w:t>
      </w:r>
      <w:r w:rsidRPr="008B6B3F">
        <w:rPr>
          <w:rFonts w:eastAsia="Times New Roman" w:cs="Arial"/>
          <w:color w:val="000000"/>
          <w:lang w:eastAsia="bg-BG"/>
        </w:rPr>
        <w:t xml:space="preserve">Планиран междинен анализ показва статистически значимо предимство за сунитиниб спрямо </w:t>
      </w:r>
      <w:r w:rsidRPr="008B6B3F">
        <w:rPr>
          <w:rFonts w:eastAsia="Times New Roman" w:cs="Arial"/>
          <w:color w:val="000000"/>
          <w:lang w:val="en-US"/>
        </w:rPr>
        <w:t xml:space="preserve">IFN-a, </w:t>
      </w:r>
      <w:r w:rsidRPr="008B6B3F">
        <w:rPr>
          <w:rFonts w:eastAsia="Times New Roman" w:cs="Arial"/>
          <w:color w:val="000000"/>
          <w:lang w:eastAsia="bg-BG"/>
        </w:rPr>
        <w:t xml:space="preserve">в това проучване, където медианата на </w:t>
      </w:r>
      <w:r w:rsidRPr="008B6B3F">
        <w:rPr>
          <w:rFonts w:eastAsia="Times New Roman" w:cs="Arial"/>
          <w:color w:val="000000"/>
          <w:lang w:val="en-US"/>
        </w:rPr>
        <w:t xml:space="preserve">PFS </w:t>
      </w:r>
      <w:r w:rsidRPr="008B6B3F">
        <w:rPr>
          <w:rFonts w:eastAsia="Times New Roman" w:cs="Arial"/>
          <w:color w:val="000000"/>
          <w:lang w:eastAsia="bg-BG"/>
        </w:rPr>
        <w:t xml:space="preserve">за групата, лекувана със сунитиниб, е била 47,3 седмици в сравнение с 22,0 седмици за групата, лекувана с </w:t>
      </w:r>
      <w:r w:rsidRPr="008B6B3F">
        <w:rPr>
          <w:rFonts w:eastAsia="Times New Roman" w:cs="Arial"/>
          <w:color w:val="000000"/>
          <w:lang w:val="en-US"/>
        </w:rPr>
        <w:t xml:space="preserve">IFN-a; HR </w:t>
      </w:r>
      <w:r w:rsidRPr="008B6B3F">
        <w:rPr>
          <w:rFonts w:eastAsia="Times New Roman" w:cs="Arial"/>
          <w:color w:val="000000"/>
          <w:lang w:eastAsia="bg-BG"/>
        </w:rPr>
        <w:t xml:space="preserve">е бил 0,415 (95% </w:t>
      </w:r>
      <w:r w:rsidRPr="008B6B3F">
        <w:rPr>
          <w:rFonts w:eastAsia="Times New Roman" w:cs="Arial"/>
          <w:color w:val="000000"/>
          <w:lang w:val="en-US"/>
        </w:rPr>
        <w:t xml:space="preserve">CI: </w:t>
      </w:r>
      <w:r w:rsidRPr="008B6B3F">
        <w:rPr>
          <w:rFonts w:eastAsia="Times New Roman" w:cs="Arial"/>
          <w:color w:val="000000"/>
          <w:lang w:eastAsia="bg-BG"/>
        </w:rPr>
        <w:t xml:space="preserve">0,320; 0,539, р-стойност &lt;0,001). Други крайни точки са включвали </w:t>
      </w:r>
      <w:r w:rsidRPr="008B6B3F">
        <w:rPr>
          <w:rFonts w:eastAsia="Times New Roman" w:cs="Arial"/>
          <w:color w:val="000000"/>
          <w:lang w:val="en-US"/>
        </w:rPr>
        <w:t xml:space="preserve">ORR, OS </w:t>
      </w:r>
      <w:r w:rsidRPr="008B6B3F">
        <w:rPr>
          <w:rFonts w:eastAsia="Times New Roman" w:cs="Arial"/>
          <w:color w:val="000000"/>
          <w:lang w:eastAsia="bg-BG"/>
        </w:rPr>
        <w:t xml:space="preserve">и безопасност. Основното образно изследване е прекратено след достигане на първичната крайна точка, В окончателния анализ </w:t>
      </w:r>
      <w:r w:rsidRPr="008B6B3F">
        <w:rPr>
          <w:rFonts w:eastAsia="Times New Roman" w:cs="Arial"/>
          <w:color w:val="000000"/>
          <w:lang w:val="en-US"/>
        </w:rPr>
        <w:t xml:space="preserve">ORR </w:t>
      </w:r>
      <w:r w:rsidRPr="008B6B3F">
        <w:rPr>
          <w:rFonts w:eastAsia="Times New Roman" w:cs="Arial"/>
          <w:color w:val="000000"/>
          <w:lang w:eastAsia="bg-BG"/>
        </w:rPr>
        <w:t xml:space="preserve">според оценката на изследователите е била 46% (95% С1: 41%, 51%) за рамото на сунитиниб и 12,0% (95% </w:t>
      </w:r>
      <w:r w:rsidRPr="008B6B3F">
        <w:rPr>
          <w:rFonts w:eastAsia="Times New Roman" w:cs="Arial"/>
          <w:color w:val="000000"/>
          <w:lang w:val="en-US"/>
        </w:rPr>
        <w:t xml:space="preserve">CI: </w:t>
      </w:r>
      <w:r w:rsidRPr="008B6B3F">
        <w:rPr>
          <w:rFonts w:eastAsia="Times New Roman" w:cs="Arial"/>
          <w:color w:val="000000"/>
          <w:lang w:eastAsia="bg-BG"/>
        </w:rPr>
        <w:t xml:space="preserve">9%, 16%) за рамото на </w:t>
      </w:r>
      <w:r w:rsidRPr="008B6B3F">
        <w:rPr>
          <w:rFonts w:eastAsia="Times New Roman" w:cs="Arial"/>
          <w:color w:val="000000"/>
          <w:lang w:val="en-US"/>
        </w:rPr>
        <w:t xml:space="preserve">IFN-a </w:t>
      </w:r>
      <w:r w:rsidRPr="008B6B3F">
        <w:rPr>
          <w:rFonts w:eastAsia="Times New Roman" w:cs="Arial"/>
          <w:color w:val="000000"/>
          <w:lang w:eastAsia="bg-BG"/>
        </w:rPr>
        <w:t>(р&lt;0,001).</w:t>
      </w:r>
    </w:p>
    <w:p w14:paraId="42EF13B3" w14:textId="77777777" w:rsidR="008B6B3F" w:rsidRPr="00CA56F5" w:rsidRDefault="008B6B3F" w:rsidP="008B6B3F">
      <w:pPr>
        <w:spacing w:line="240" w:lineRule="auto"/>
        <w:rPr>
          <w:rFonts w:eastAsia="Times New Roman" w:cs="Arial"/>
          <w:color w:val="000000"/>
          <w:lang w:eastAsia="bg-BG"/>
        </w:rPr>
      </w:pPr>
    </w:p>
    <w:p w14:paraId="52510631" w14:textId="22EB963B"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Лечението със сунитиниб се свързва с по-продължителна преживяемост</w:t>
      </w:r>
      <w:r w:rsidRPr="008B6B3F">
        <w:rPr>
          <w:rFonts w:eastAsia="Times New Roman" w:cs="Arial"/>
          <w:color w:val="000000"/>
          <w:lang w:val="en-US"/>
        </w:rPr>
        <w:t xml:space="preserve"> </w:t>
      </w:r>
      <w:r w:rsidRPr="008B6B3F">
        <w:rPr>
          <w:rFonts w:eastAsia="Times New Roman" w:cs="Arial"/>
          <w:color w:val="000000"/>
          <w:lang w:eastAsia="bg-BG"/>
        </w:rPr>
        <w:t xml:space="preserve">спрямо </w:t>
      </w:r>
      <w:r w:rsidRPr="008B6B3F">
        <w:rPr>
          <w:rFonts w:eastAsia="Times New Roman" w:cs="Arial"/>
          <w:color w:val="000000"/>
          <w:lang w:val="en-US"/>
        </w:rPr>
        <w:t>IFN-</w:t>
      </w:r>
      <w:r w:rsidRPr="008B6B3F">
        <w:rPr>
          <w:rFonts w:eastAsia="Times New Roman" w:cs="Arial"/>
          <w:color w:val="000000"/>
          <w:lang w:eastAsia="bg-BG"/>
        </w:rPr>
        <w:t>α</w:t>
      </w:r>
    </w:p>
    <w:p w14:paraId="096775F9"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 xml:space="preserve">Средната </w:t>
      </w:r>
      <w:r w:rsidRPr="008B6B3F">
        <w:rPr>
          <w:rFonts w:eastAsia="Times New Roman" w:cs="Arial"/>
          <w:color w:val="000000"/>
          <w:lang w:val="en-US"/>
        </w:rPr>
        <w:t xml:space="preserve">OS </w:t>
      </w:r>
      <w:r w:rsidRPr="008B6B3F">
        <w:rPr>
          <w:rFonts w:eastAsia="Times New Roman" w:cs="Arial"/>
          <w:color w:val="000000"/>
          <w:lang w:eastAsia="bg-BG"/>
        </w:rPr>
        <w:t xml:space="preserve">е била 114,6 седмици за рамото на сунитиниб (95% </w:t>
      </w:r>
      <w:r w:rsidRPr="008B6B3F">
        <w:rPr>
          <w:rFonts w:eastAsia="Times New Roman" w:cs="Arial"/>
          <w:color w:val="000000"/>
          <w:lang w:val="en-US"/>
        </w:rPr>
        <w:t>CI:</w:t>
      </w:r>
      <w:r w:rsidRPr="008B6B3F">
        <w:rPr>
          <w:rFonts w:eastAsia="Times New Roman" w:cs="Arial"/>
          <w:color w:val="000000"/>
          <w:lang w:eastAsia="bg-BG"/>
        </w:rPr>
        <w:t xml:space="preserve"> 100,1, 142,9)</w:t>
      </w:r>
      <w:r w:rsidRPr="008B6B3F">
        <w:rPr>
          <w:rFonts w:eastAsia="Times New Roman" w:cs="Arial"/>
          <w:color w:val="000000"/>
          <w:lang w:val="en-US"/>
        </w:rPr>
        <w:t xml:space="preserve"> </w:t>
      </w:r>
      <w:r w:rsidRPr="008B6B3F">
        <w:rPr>
          <w:rFonts w:eastAsia="Times New Roman" w:cs="Arial"/>
          <w:color w:val="000000"/>
          <w:lang w:eastAsia="bg-BG"/>
        </w:rPr>
        <w:t>и 94,9</w:t>
      </w:r>
    </w:p>
    <w:p w14:paraId="612581B6" w14:textId="77777777" w:rsidR="008B6B3F" w:rsidRPr="008B6B3F" w:rsidRDefault="008B6B3F" w:rsidP="008B6B3F">
      <w:pPr>
        <w:spacing w:line="240" w:lineRule="auto"/>
        <w:rPr>
          <w:rFonts w:eastAsia="Times New Roman" w:cs="Arial"/>
          <w:lang w:eastAsia="bg-BG"/>
        </w:rPr>
      </w:pPr>
      <w:r w:rsidRPr="008B6B3F">
        <w:rPr>
          <w:rFonts w:eastAsia="Times New Roman" w:cs="Arial"/>
          <w:color w:val="000000"/>
          <w:lang w:eastAsia="bg-BG"/>
        </w:rPr>
        <w:t xml:space="preserve">седмици за рамото на </w:t>
      </w:r>
      <w:r w:rsidRPr="008B6B3F">
        <w:rPr>
          <w:rFonts w:eastAsia="Times New Roman" w:cs="Arial"/>
          <w:color w:val="000000"/>
          <w:lang w:val="en-US"/>
        </w:rPr>
        <w:t xml:space="preserve">IFN-a </w:t>
      </w:r>
      <w:r w:rsidRPr="008B6B3F">
        <w:rPr>
          <w:rFonts w:eastAsia="Times New Roman" w:cs="Arial"/>
          <w:color w:val="000000"/>
          <w:lang w:eastAsia="bg-BG"/>
        </w:rPr>
        <w:t xml:space="preserve">(95% </w:t>
      </w:r>
      <w:r w:rsidRPr="008B6B3F">
        <w:rPr>
          <w:rFonts w:eastAsia="Times New Roman" w:cs="Arial"/>
          <w:color w:val="000000"/>
          <w:lang w:val="en-US"/>
        </w:rPr>
        <w:t xml:space="preserve">CI: </w:t>
      </w:r>
      <w:r w:rsidRPr="008B6B3F">
        <w:rPr>
          <w:rFonts w:eastAsia="Times New Roman" w:cs="Arial"/>
          <w:color w:val="000000"/>
          <w:lang w:eastAsia="bg-BG"/>
        </w:rPr>
        <w:t>77,7; 117,0), с коефициент на риска 0,821 (95% CI: 0,673,</w:t>
      </w:r>
      <w:r w:rsidRPr="008B6B3F">
        <w:rPr>
          <w:rFonts w:eastAsia="Times New Roman" w:cs="Arial"/>
          <w:color w:val="000000"/>
          <w:lang w:val="en-US"/>
        </w:rPr>
        <w:t xml:space="preserve"> </w:t>
      </w:r>
    </w:p>
    <w:p w14:paraId="311E89B1" w14:textId="76EDFC0E" w:rsidR="008B6B3F" w:rsidRPr="00CA56F5" w:rsidRDefault="008B6B3F" w:rsidP="008B6B3F">
      <w:pPr>
        <w:rPr>
          <w:rFonts w:cs="Arial"/>
        </w:rPr>
      </w:pPr>
      <w:r w:rsidRPr="00CA56F5">
        <w:rPr>
          <w:rFonts w:eastAsia="Times New Roman" w:cs="Arial"/>
          <w:color w:val="000000"/>
          <w:lang w:eastAsia="bg-BG"/>
        </w:rPr>
        <w:lastRenderedPageBreak/>
        <w:t xml:space="preserve">1,001; р=0,0510 спрямо нестратифициран </w:t>
      </w:r>
      <w:r w:rsidRPr="00CA56F5">
        <w:rPr>
          <w:rFonts w:eastAsia="Times New Roman" w:cs="Arial"/>
          <w:color w:val="000000"/>
          <w:lang w:val="en-US"/>
        </w:rPr>
        <w:t>log-rank).</w:t>
      </w:r>
    </w:p>
    <w:p w14:paraId="5A9E8D44" w14:textId="3A19B545" w:rsidR="008B6B3F" w:rsidRPr="00CA56F5" w:rsidRDefault="008B6B3F" w:rsidP="0091385D">
      <w:pPr>
        <w:rPr>
          <w:rFonts w:cs="Arial"/>
        </w:rPr>
      </w:pPr>
    </w:p>
    <w:p w14:paraId="159AA591" w14:textId="77777777" w:rsidR="004B7AED" w:rsidRPr="004B7AED" w:rsidRDefault="004B7AED" w:rsidP="004B7AED">
      <w:pPr>
        <w:spacing w:line="240" w:lineRule="auto"/>
        <w:rPr>
          <w:rFonts w:eastAsia="Times New Roman" w:cs="Arial"/>
          <w:lang w:eastAsia="bg-BG"/>
        </w:rPr>
      </w:pPr>
      <w:r w:rsidRPr="004B7AED">
        <w:rPr>
          <w:rFonts w:eastAsia="Times New Roman" w:cs="Arial"/>
          <w:color w:val="000000"/>
          <w:lang w:eastAsia="bg-BG"/>
        </w:rPr>
        <w:t xml:space="preserve">Цялостните </w:t>
      </w:r>
      <w:r w:rsidRPr="004B7AED">
        <w:rPr>
          <w:rFonts w:eastAsia="Times New Roman" w:cs="Arial"/>
          <w:color w:val="000000"/>
          <w:lang w:val="en-US"/>
        </w:rPr>
        <w:t xml:space="preserve">PFS </w:t>
      </w:r>
      <w:r w:rsidRPr="004B7AED">
        <w:rPr>
          <w:rFonts w:eastAsia="Times New Roman" w:cs="Arial"/>
          <w:color w:val="000000"/>
          <w:lang w:eastAsia="bg-BG"/>
        </w:rPr>
        <w:t xml:space="preserve">и </w:t>
      </w:r>
      <w:r w:rsidRPr="004B7AED">
        <w:rPr>
          <w:rFonts w:eastAsia="Times New Roman" w:cs="Arial"/>
          <w:color w:val="000000"/>
          <w:lang w:val="en-US"/>
        </w:rPr>
        <w:t xml:space="preserve">OS, </w:t>
      </w:r>
      <w:r w:rsidRPr="004B7AED">
        <w:rPr>
          <w:rFonts w:eastAsia="Times New Roman" w:cs="Arial"/>
          <w:color w:val="000000"/>
          <w:lang w:eastAsia="bg-BG"/>
        </w:rPr>
        <w:t xml:space="preserve">наблюдавани в </w:t>
      </w:r>
      <w:r w:rsidRPr="004B7AED">
        <w:rPr>
          <w:rFonts w:eastAsia="Times New Roman" w:cs="Arial"/>
          <w:color w:val="000000"/>
          <w:lang w:val="en-US"/>
        </w:rPr>
        <w:t xml:space="preserve">ITT </w:t>
      </w:r>
      <w:r w:rsidRPr="004B7AED">
        <w:rPr>
          <w:rFonts w:eastAsia="Times New Roman" w:cs="Arial"/>
          <w:color w:val="000000"/>
          <w:lang w:eastAsia="bg-BG"/>
        </w:rPr>
        <w:t>популацията, определени от основното образно лабораторно изследване, са обобщени в таблица 3.</w:t>
      </w:r>
    </w:p>
    <w:p w14:paraId="13EF17FB" w14:textId="77777777" w:rsidR="004B7AED" w:rsidRPr="00CA56F5" w:rsidRDefault="004B7AED" w:rsidP="004B7AED">
      <w:pPr>
        <w:rPr>
          <w:rFonts w:eastAsia="Times New Roman" w:cs="Arial"/>
          <w:b/>
          <w:bCs/>
          <w:color w:val="000000"/>
          <w:lang w:eastAsia="bg-BG"/>
        </w:rPr>
      </w:pPr>
    </w:p>
    <w:p w14:paraId="074BEDB7" w14:textId="5677B70C" w:rsidR="004B7AED" w:rsidRPr="00CA56F5" w:rsidRDefault="004B7AED" w:rsidP="004B7AED">
      <w:pPr>
        <w:rPr>
          <w:rFonts w:eastAsia="Times New Roman" w:cs="Arial"/>
          <w:b/>
          <w:bCs/>
          <w:color w:val="000000"/>
          <w:lang w:eastAsia="bg-BG"/>
        </w:rPr>
      </w:pPr>
      <w:r w:rsidRPr="00CA56F5">
        <w:rPr>
          <w:rFonts w:eastAsia="Times New Roman" w:cs="Arial"/>
          <w:b/>
          <w:bCs/>
          <w:color w:val="000000"/>
          <w:lang w:eastAsia="bg-BG"/>
        </w:rPr>
        <w:t xml:space="preserve">Таблица 3. Нелекуван към момента </w:t>
      </w:r>
      <w:r w:rsidRPr="00CA56F5">
        <w:rPr>
          <w:rFonts w:eastAsia="Times New Roman" w:cs="Arial"/>
          <w:b/>
          <w:bCs/>
          <w:color w:val="000000"/>
          <w:lang w:val="en-US"/>
        </w:rPr>
        <w:t xml:space="preserve">mRCC </w:t>
      </w:r>
      <w:r w:rsidRPr="00CA56F5">
        <w:rPr>
          <w:rFonts w:eastAsia="Times New Roman" w:cs="Arial"/>
          <w:b/>
          <w:bCs/>
          <w:color w:val="000000"/>
          <w:lang w:eastAsia="bg-BG"/>
        </w:rPr>
        <w:t xml:space="preserve">- обобщение на крайните точки за ефикасност </w:t>
      </w:r>
      <w:r w:rsidRPr="00CA56F5">
        <w:rPr>
          <w:rFonts w:eastAsia="Times New Roman" w:cs="Arial"/>
          <w:b/>
          <w:bCs/>
          <w:color w:val="000000"/>
          <w:lang w:val="en-US"/>
        </w:rPr>
        <w:t xml:space="preserve">(ITT </w:t>
      </w:r>
      <w:r w:rsidRPr="00CA56F5">
        <w:rPr>
          <w:rFonts w:eastAsia="Times New Roman" w:cs="Arial"/>
          <w:b/>
          <w:bCs/>
          <w:color w:val="000000"/>
          <w:lang w:eastAsia="bg-BG"/>
        </w:rPr>
        <w:t>популация).</w:t>
      </w:r>
    </w:p>
    <w:tbl>
      <w:tblPr>
        <w:tblStyle w:val="TableGrid"/>
        <w:tblW w:w="0" w:type="auto"/>
        <w:tblLook w:val="04A0" w:firstRow="1" w:lastRow="0" w:firstColumn="1" w:lastColumn="0" w:noHBand="0" w:noVBand="1"/>
      </w:tblPr>
      <w:tblGrid>
        <w:gridCol w:w="3116"/>
        <w:gridCol w:w="3117"/>
        <w:gridCol w:w="3117"/>
      </w:tblGrid>
      <w:tr w:rsidR="004B7AED" w:rsidRPr="00CA56F5" w14:paraId="08447F24" w14:textId="77777777" w:rsidTr="004B7AED">
        <w:tc>
          <w:tcPr>
            <w:tcW w:w="3116" w:type="dxa"/>
          </w:tcPr>
          <w:p w14:paraId="2A471568" w14:textId="376CE9B2" w:rsidR="004B7AED" w:rsidRPr="00CA56F5" w:rsidRDefault="004B7AED" w:rsidP="004B7AED">
            <w:pPr>
              <w:rPr>
                <w:rFonts w:cs="Arial"/>
              </w:rPr>
            </w:pPr>
            <w:r w:rsidRPr="00CA56F5">
              <w:rPr>
                <w:rFonts w:cs="Arial"/>
                <w:b/>
                <w:bCs/>
              </w:rPr>
              <w:t>Обобщение на преживяемост без прогресия</w:t>
            </w:r>
          </w:p>
        </w:tc>
        <w:tc>
          <w:tcPr>
            <w:tcW w:w="3117" w:type="dxa"/>
          </w:tcPr>
          <w:p w14:paraId="040CF38D" w14:textId="684E1B17" w:rsidR="004B7AED" w:rsidRPr="00CA56F5" w:rsidRDefault="004B7AED" w:rsidP="004B7AED">
            <w:pPr>
              <w:rPr>
                <w:rFonts w:cs="Arial"/>
              </w:rPr>
            </w:pPr>
            <w:r w:rsidRPr="00CA56F5">
              <w:rPr>
                <w:rFonts w:cs="Arial"/>
                <w:b/>
                <w:bCs/>
              </w:rPr>
              <w:t xml:space="preserve">Сунитиниб </w:t>
            </w:r>
            <w:r w:rsidRPr="00CA56F5">
              <w:rPr>
                <w:rFonts w:cs="Arial"/>
                <w:b/>
                <w:bCs/>
                <w:lang w:val="en-US"/>
              </w:rPr>
              <w:t>(N=375)</w:t>
            </w:r>
          </w:p>
        </w:tc>
        <w:tc>
          <w:tcPr>
            <w:tcW w:w="3117" w:type="dxa"/>
          </w:tcPr>
          <w:p w14:paraId="7FE8279C" w14:textId="177241DC" w:rsidR="004B7AED" w:rsidRPr="00CA56F5" w:rsidRDefault="004B7AED" w:rsidP="004B7AED">
            <w:pPr>
              <w:rPr>
                <w:rFonts w:cs="Arial"/>
              </w:rPr>
            </w:pPr>
            <w:r w:rsidRPr="00CA56F5">
              <w:rPr>
                <w:rFonts w:cs="Arial"/>
                <w:b/>
                <w:bCs/>
                <w:lang w:val="en-US"/>
              </w:rPr>
              <w:t>IFN-a (N=375)</w:t>
            </w:r>
          </w:p>
        </w:tc>
      </w:tr>
      <w:tr w:rsidR="004B7AED" w:rsidRPr="00CA56F5" w14:paraId="7D0EEC1E" w14:textId="77777777" w:rsidTr="004B7AED">
        <w:tc>
          <w:tcPr>
            <w:tcW w:w="3116" w:type="dxa"/>
          </w:tcPr>
          <w:p w14:paraId="46CE381B" w14:textId="15555C1B" w:rsidR="004B7AED" w:rsidRPr="00CA56F5" w:rsidRDefault="004B7AED" w:rsidP="004B7AED">
            <w:pPr>
              <w:rPr>
                <w:rFonts w:cs="Arial"/>
              </w:rPr>
            </w:pPr>
            <w:r w:rsidRPr="00CA56F5">
              <w:rPr>
                <w:rFonts w:cs="Arial"/>
              </w:rPr>
              <w:t>Пациент без прогресия или смърт [</w:t>
            </w:r>
            <w:r w:rsidRPr="00CA56F5">
              <w:rPr>
                <w:rFonts w:cs="Arial"/>
                <w:lang w:val="en-US"/>
              </w:rPr>
              <w:t>n</w:t>
            </w:r>
            <w:r w:rsidRPr="00CA56F5">
              <w:rPr>
                <w:rFonts w:cs="Arial"/>
              </w:rPr>
              <w:t xml:space="preserve"> (%)]</w:t>
            </w:r>
          </w:p>
        </w:tc>
        <w:tc>
          <w:tcPr>
            <w:tcW w:w="3117" w:type="dxa"/>
          </w:tcPr>
          <w:p w14:paraId="704B4E34" w14:textId="06BB40B8" w:rsidR="004B7AED" w:rsidRPr="00CA56F5" w:rsidRDefault="004B7AED" w:rsidP="004B7AED">
            <w:pPr>
              <w:rPr>
                <w:rFonts w:cs="Arial"/>
              </w:rPr>
            </w:pPr>
            <w:r w:rsidRPr="00CA56F5">
              <w:rPr>
                <w:rFonts w:cs="Arial"/>
              </w:rPr>
              <w:t>161 (42,9)</w:t>
            </w:r>
          </w:p>
        </w:tc>
        <w:tc>
          <w:tcPr>
            <w:tcW w:w="3117" w:type="dxa"/>
          </w:tcPr>
          <w:p w14:paraId="14041E66" w14:textId="58AE7C34" w:rsidR="004B7AED" w:rsidRPr="00CA56F5" w:rsidRDefault="004B7AED" w:rsidP="004B7AED">
            <w:pPr>
              <w:rPr>
                <w:rFonts w:cs="Arial"/>
              </w:rPr>
            </w:pPr>
            <w:r w:rsidRPr="00CA56F5">
              <w:rPr>
                <w:rFonts w:cs="Arial"/>
              </w:rPr>
              <w:t>176 (46,9)</w:t>
            </w:r>
          </w:p>
        </w:tc>
      </w:tr>
      <w:tr w:rsidR="004B7AED" w:rsidRPr="00CA56F5" w14:paraId="38987ABE" w14:textId="77777777" w:rsidTr="004B7AED">
        <w:tc>
          <w:tcPr>
            <w:tcW w:w="3116" w:type="dxa"/>
          </w:tcPr>
          <w:p w14:paraId="40853C86" w14:textId="38DFBAEC" w:rsidR="004B7AED" w:rsidRPr="00CA56F5" w:rsidRDefault="004B7AED" w:rsidP="004B7AED">
            <w:pPr>
              <w:rPr>
                <w:rFonts w:cs="Arial"/>
              </w:rPr>
            </w:pPr>
            <w:r w:rsidRPr="00CA56F5">
              <w:rPr>
                <w:rFonts w:cs="Arial"/>
              </w:rPr>
              <w:t>Пациент с наблюдавана прогресия или смърт [и (%)]</w:t>
            </w:r>
          </w:p>
        </w:tc>
        <w:tc>
          <w:tcPr>
            <w:tcW w:w="3117" w:type="dxa"/>
          </w:tcPr>
          <w:p w14:paraId="526FC3CF" w14:textId="7A12B604" w:rsidR="004B7AED" w:rsidRPr="00CA56F5" w:rsidRDefault="004B7AED" w:rsidP="004B7AED">
            <w:pPr>
              <w:rPr>
                <w:rFonts w:cs="Arial"/>
              </w:rPr>
            </w:pPr>
            <w:r w:rsidRPr="00CA56F5">
              <w:rPr>
                <w:rFonts w:cs="Arial"/>
              </w:rPr>
              <w:t>214(57,1)</w:t>
            </w:r>
          </w:p>
        </w:tc>
        <w:tc>
          <w:tcPr>
            <w:tcW w:w="3117" w:type="dxa"/>
          </w:tcPr>
          <w:p w14:paraId="24B7C1F4" w14:textId="3ADD9FD4" w:rsidR="004B7AED" w:rsidRPr="00CA56F5" w:rsidRDefault="004B7AED" w:rsidP="004B7AED">
            <w:pPr>
              <w:rPr>
                <w:rFonts w:cs="Arial"/>
              </w:rPr>
            </w:pPr>
            <w:r w:rsidRPr="00CA56F5">
              <w:rPr>
                <w:rFonts w:cs="Arial"/>
              </w:rPr>
              <w:t>199 (53,1)</w:t>
            </w:r>
          </w:p>
        </w:tc>
      </w:tr>
      <w:tr w:rsidR="004B7AED" w:rsidRPr="00CA56F5" w14:paraId="016E6264" w14:textId="77777777" w:rsidTr="004B7AED">
        <w:tc>
          <w:tcPr>
            <w:tcW w:w="3116" w:type="dxa"/>
          </w:tcPr>
          <w:p w14:paraId="4CA9A157" w14:textId="634962E7" w:rsidR="004B7AED" w:rsidRPr="00CA56F5" w:rsidRDefault="004B7AED" w:rsidP="004B7AED">
            <w:pPr>
              <w:rPr>
                <w:rFonts w:cs="Arial"/>
              </w:rPr>
            </w:pPr>
            <w:r w:rsidRPr="00CA56F5">
              <w:rPr>
                <w:rFonts w:cs="Arial"/>
                <w:lang w:val="en-US"/>
              </w:rPr>
              <w:t xml:space="preserve">PFS </w:t>
            </w:r>
            <w:r w:rsidRPr="00CA56F5">
              <w:rPr>
                <w:rFonts w:cs="Arial"/>
              </w:rPr>
              <w:t>(седмици)</w:t>
            </w:r>
          </w:p>
        </w:tc>
        <w:tc>
          <w:tcPr>
            <w:tcW w:w="3117" w:type="dxa"/>
          </w:tcPr>
          <w:p w14:paraId="229F6A0A" w14:textId="77777777" w:rsidR="004B7AED" w:rsidRPr="00CA56F5" w:rsidRDefault="004B7AED" w:rsidP="004B7AED">
            <w:pPr>
              <w:rPr>
                <w:rFonts w:cs="Arial"/>
              </w:rPr>
            </w:pPr>
          </w:p>
        </w:tc>
        <w:tc>
          <w:tcPr>
            <w:tcW w:w="3117" w:type="dxa"/>
          </w:tcPr>
          <w:p w14:paraId="58B3B688" w14:textId="77777777" w:rsidR="004B7AED" w:rsidRPr="00CA56F5" w:rsidRDefault="004B7AED" w:rsidP="004B7AED">
            <w:pPr>
              <w:rPr>
                <w:rFonts w:cs="Arial"/>
              </w:rPr>
            </w:pPr>
          </w:p>
        </w:tc>
      </w:tr>
      <w:tr w:rsidR="004B7AED" w:rsidRPr="00CA56F5" w14:paraId="0B134C56" w14:textId="77777777" w:rsidTr="004B7AED">
        <w:tc>
          <w:tcPr>
            <w:tcW w:w="3116" w:type="dxa"/>
          </w:tcPr>
          <w:p w14:paraId="02C147C9" w14:textId="11641E6C" w:rsidR="004B7AED" w:rsidRPr="00CA56F5" w:rsidRDefault="004B7AED" w:rsidP="004B7AED">
            <w:pPr>
              <w:rPr>
                <w:rFonts w:cs="Arial"/>
              </w:rPr>
            </w:pPr>
            <w:r w:rsidRPr="00CA56F5">
              <w:rPr>
                <w:rFonts w:cs="Arial"/>
              </w:rPr>
              <w:t xml:space="preserve">Квартил (95% </w:t>
            </w:r>
            <w:r w:rsidRPr="00CA56F5">
              <w:rPr>
                <w:rFonts w:cs="Arial"/>
                <w:lang w:val="en-US"/>
              </w:rPr>
              <w:t>CI)</w:t>
            </w:r>
          </w:p>
        </w:tc>
        <w:tc>
          <w:tcPr>
            <w:tcW w:w="3117" w:type="dxa"/>
          </w:tcPr>
          <w:p w14:paraId="4BEB9900" w14:textId="77777777" w:rsidR="004B7AED" w:rsidRPr="00CA56F5" w:rsidRDefault="004B7AED" w:rsidP="004B7AED">
            <w:pPr>
              <w:rPr>
                <w:rFonts w:cs="Arial"/>
              </w:rPr>
            </w:pPr>
          </w:p>
        </w:tc>
        <w:tc>
          <w:tcPr>
            <w:tcW w:w="3117" w:type="dxa"/>
          </w:tcPr>
          <w:p w14:paraId="28597612" w14:textId="77777777" w:rsidR="004B7AED" w:rsidRPr="00CA56F5" w:rsidRDefault="004B7AED" w:rsidP="004B7AED">
            <w:pPr>
              <w:rPr>
                <w:rFonts w:cs="Arial"/>
              </w:rPr>
            </w:pPr>
          </w:p>
        </w:tc>
      </w:tr>
      <w:tr w:rsidR="004B7AED" w:rsidRPr="00CA56F5" w14:paraId="2DA9D3EC" w14:textId="77777777" w:rsidTr="004B7AED">
        <w:tc>
          <w:tcPr>
            <w:tcW w:w="3116" w:type="dxa"/>
          </w:tcPr>
          <w:p w14:paraId="7E6430C4" w14:textId="48EFDB4B" w:rsidR="004B7AED" w:rsidRPr="00CA56F5" w:rsidRDefault="004B7AED" w:rsidP="004B7AED">
            <w:pPr>
              <w:rPr>
                <w:rFonts w:cs="Arial"/>
              </w:rPr>
            </w:pPr>
            <w:r w:rsidRPr="00CA56F5">
              <w:rPr>
                <w:rFonts w:cs="Arial"/>
              </w:rPr>
              <w:t>25%</w:t>
            </w:r>
          </w:p>
        </w:tc>
        <w:tc>
          <w:tcPr>
            <w:tcW w:w="3117" w:type="dxa"/>
          </w:tcPr>
          <w:p w14:paraId="64AFD1E0" w14:textId="34BC9FB8" w:rsidR="004B7AED" w:rsidRPr="00CA56F5" w:rsidRDefault="004B7AED" w:rsidP="004B7AED">
            <w:pPr>
              <w:rPr>
                <w:rFonts w:cs="Arial"/>
              </w:rPr>
            </w:pPr>
            <w:r w:rsidRPr="00CA56F5">
              <w:rPr>
                <w:rFonts w:cs="Arial"/>
              </w:rPr>
              <w:t>22,7(18,0, 34,0)</w:t>
            </w:r>
          </w:p>
        </w:tc>
        <w:tc>
          <w:tcPr>
            <w:tcW w:w="3117" w:type="dxa"/>
          </w:tcPr>
          <w:p w14:paraId="4813762F" w14:textId="434816A8" w:rsidR="004B7AED" w:rsidRPr="00CA56F5" w:rsidRDefault="004B7AED" w:rsidP="004B7AED">
            <w:pPr>
              <w:rPr>
                <w:rFonts w:cs="Arial"/>
              </w:rPr>
            </w:pPr>
            <w:r w:rsidRPr="00CA56F5">
              <w:rPr>
                <w:rFonts w:cs="Arial"/>
              </w:rPr>
              <w:t>10,0(7,3, 10,3)</w:t>
            </w:r>
          </w:p>
        </w:tc>
      </w:tr>
      <w:tr w:rsidR="004B7AED" w:rsidRPr="00CA56F5" w14:paraId="58378E7F" w14:textId="77777777" w:rsidTr="004B7AED">
        <w:tc>
          <w:tcPr>
            <w:tcW w:w="3116" w:type="dxa"/>
          </w:tcPr>
          <w:p w14:paraId="6733DF52" w14:textId="3F9A0971" w:rsidR="004B7AED" w:rsidRPr="00CA56F5" w:rsidRDefault="004B7AED" w:rsidP="004B7AED">
            <w:pPr>
              <w:rPr>
                <w:rFonts w:cs="Arial"/>
              </w:rPr>
            </w:pPr>
            <w:r w:rsidRPr="00CA56F5">
              <w:rPr>
                <w:rFonts w:cs="Arial"/>
              </w:rPr>
              <w:t>50%</w:t>
            </w:r>
          </w:p>
        </w:tc>
        <w:tc>
          <w:tcPr>
            <w:tcW w:w="3117" w:type="dxa"/>
          </w:tcPr>
          <w:p w14:paraId="4C0B3DC8" w14:textId="136908CC" w:rsidR="004B7AED" w:rsidRPr="00CA56F5" w:rsidRDefault="004B7AED" w:rsidP="004B7AED">
            <w:pPr>
              <w:rPr>
                <w:rFonts w:cs="Arial"/>
              </w:rPr>
            </w:pPr>
            <w:r w:rsidRPr="00CA56F5">
              <w:rPr>
                <w:rFonts w:cs="Arial"/>
              </w:rPr>
              <w:t>48,3 (46,4, 58,3)</w:t>
            </w:r>
          </w:p>
        </w:tc>
        <w:tc>
          <w:tcPr>
            <w:tcW w:w="3117" w:type="dxa"/>
          </w:tcPr>
          <w:p w14:paraId="664DF832" w14:textId="3F833E4B" w:rsidR="004B7AED" w:rsidRPr="00CA56F5" w:rsidRDefault="004B7AED" w:rsidP="004B7AED">
            <w:pPr>
              <w:rPr>
                <w:rFonts w:cs="Arial"/>
              </w:rPr>
            </w:pPr>
            <w:r w:rsidRPr="00CA56F5">
              <w:rPr>
                <w:rFonts w:cs="Arial"/>
              </w:rPr>
              <w:t>22,1 (17,1,24,0)</w:t>
            </w:r>
          </w:p>
        </w:tc>
      </w:tr>
      <w:tr w:rsidR="004B7AED" w:rsidRPr="00CA56F5" w14:paraId="15FD8DC6" w14:textId="77777777" w:rsidTr="004B7AED">
        <w:tc>
          <w:tcPr>
            <w:tcW w:w="3116" w:type="dxa"/>
          </w:tcPr>
          <w:p w14:paraId="66629366" w14:textId="28F9A853" w:rsidR="004B7AED" w:rsidRPr="00CA56F5" w:rsidRDefault="004B7AED" w:rsidP="004B7AED">
            <w:pPr>
              <w:rPr>
                <w:rFonts w:cs="Arial"/>
              </w:rPr>
            </w:pPr>
            <w:r w:rsidRPr="00CA56F5">
              <w:rPr>
                <w:rFonts w:cs="Arial"/>
              </w:rPr>
              <w:t>75%</w:t>
            </w:r>
          </w:p>
        </w:tc>
        <w:tc>
          <w:tcPr>
            <w:tcW w:w="3117" w:type="dxa"/>
          </w:tcPr>
          <w:p w14:paraId="6EBD9428" w14:textId="0CBB5345" w:rsidR="004B7AED" w:rsidRPr="00CA56F5" w:rsidRDefault="004B7AED" w:rsidP="004B7AED">
            <w:pPr>
              <w:rPr>
                <w:rFonts w:cs="Arial"/>
              </w:rPr>
            </w:pPr>
            <w:r w:rsidRPr="00CA56F5">
              <w:rPr>
                <w:rFonts w:cs="Arial"/>
              </w:rPr>
              <w:t>84,3 (72,9, 95,1)</w:t>
            </w:r>
          </w:p>
        </w:tc>
        <w:tc>
          <w:tcPr>
            <w:tcW w:w="3117" w:type="dxa"/>
          </w:tcPr>
          <w:p w14:paraId="79E9B624" w14:textId="09762CC0" w:rsidR="004B7AED" w:rsidRPr="00CA56F5" w:rsidRDefault="004B7AED" w:rsidP="004B7AED">
            <w:pPr>
              <w:rPr>
                <w:rFonts w:cs="Arial"/>
              </w:rPr>
            </w:pPr>
            <w:r w:rsidRPr="00CA56F5">
              <w:rPr>
                <w:rFonts w:cs="Arial"/>
              </w:rPr>
              <w:t>58,1 (45,6, 82,1)</w:t>
            </w:r>
          </w:p>
        </w:tc>
      </w:tr>
    </w:tbl>
    <w:p w14:paraId="49B63069" w14:textId="3B34A0CC" w:rsidR="004B7AED" w:rsidRPr="00CA56F5" w:rsidRDefault="004B7AED" w:rsidP="004B7AED">
      <w:pPr>
        <w:rPr>
          <w:rFonts w:cs="Arial"/>
        </w:rPr>
      </w:pPr>
    </w:p>
    <w:p w14:paraId="1C36D57C" w14:textId="77777777" w:rsidR="004B7AED" w:rsidRPr="004B7AED" w:rsidRDefault="004B7AED" w:rsidP="004B7AED">
      <w:pPr>
        <w:spacing w:line="240" w:lineRule="auto"/>
        <w:rPr>
          <w:rFonts w:eastAsia="Times New Roman" w:cs="Arial"/>
          <w:lang w:eastAsia="bg-BG"/>
        </w:rPr>
      </w:pPr>
      <w:r w:rsidRPr="004B7AED">
        <w:rPr>
          <w:rFonts w:eastAsia="Times New Roman" w:cs="Arial"/>
          <w:b/>
          <w:bCs/>
          <w:color w:val="000000"/>
          <w:lang w:eastAsia="bg-BG"/>
        </w:rPr>
        <w:t>Нестратифициран анализ</w:t>
      </w:r>
    </w:p>
    <w:p w14:paraId="7EA8AE04" w14:textId="77777777" w:rsidR="004B7AED" w:rsidRPr="004B7AED" w:rsidRDefault="004B7AED" w:rsidP="004B7AED">
      <w:pPr>
        <w:spacing w:line="240" w:lineRule="auto"/>
        <w:rPr>
          <w:rFonts w:eastAsia="Times New Roman" w:cs="Arial"/>
          <w:lang w:eastAsia="bg-BG"/>
        </w:rPr>
      </w:pPr>
      <w:r w:rsidRPr="004B7AED">
        <w:rPr>
          <w:rFonts w:eastAsia="Times New Roman" w:cs="Arial"/>
          <w:color w:val="000000"/>
          <w:lang w:eastAsia="bg-BG"/>
        </w:rPr>
        <w:t xml:space="preserve">Коефициент на риска (сунитиниб спрямо </w:t>
      </w:r>
      <w:r w:rsidRPr="004B7AED">
        <w:rPr>
          <w:rFonts w:eastAsia="Times New Roman" w:cs="Arial"/>
          <w:color w:val="000000"/>
          <w:lang w:val="en-US"/>
        </w:rPr>
        <w:t>IFN-a)</w:t>
      </w:r>
      <w:r w:rsidRPr="004B7AED">
        <w:rPr>
          <w:rFonts w:eastAsia="Times New Roman" w:cs="Arial"/>
          <w:color w:val="000000"/>
          <w:lang w:val="en-US"/>
        </w:rPr>
        <w:tab/>
      </w:r>
      <w:r w:rsidRPr="004B7AED">
        <w:rPr>
          <w:rFonts w:eastAsia="Times New Roman" w:cs="Arial"/>
          <w:color w:val="000000"/>
          <w:lang w:eastAsia="bg-BG"/>
        </w:rPr>
        <w:t>0,5268</w:t>
      </w:r>
    </w:p>
    <w:p w14:paraId="2828C398" w14:textId="43BEBE1D" w:rsidR="004B7AED" w:rsidRPr="004B7AED" w:rsidRDefault="004B7AED" w:rsidP="004B7AED">
      <w:pPr>
        <w:spacing w:line="240" w:lineRule="auto"/>
        <w:rPr>
          <w:rFonts w:eastAsia="Times New Roman" w:cs="Arial"/>
          <w:lang w:eastAsia="bg-BG"/>
        </w:rPr>
      </w:pPr>
      <w:r w:rsidRPr="004B7AED">
        <w:rPr>
          <w:rFonts w:eastAsia="Times New Roman" w:cs="Arial"/>
          <w:color w:val="000000"/>
          <w:lang w:eastAsia="bg-BG"/>
        </w:rPr>
        <w:t xml:space="preserve">95% </w:t>
      </w:r>
      <w:r w:rsidRPr="004B7AED">
        <w:rPr>
          <w:rFonts w:eastAsia="Times New Roman" w:cs="Arial"/>
          <w:color w:val="000000"/>
          <w:lang w:val="en-US"/>
        </w:rPr>
        <w:t xml:space="preserve">CI </w:t>
      </w:r>
      <w:r w:rsidRPr="004B7AED">
        <w:rPr>
          <w:rFonts w:eastAsia="Times New Roman" w:cs="Arial"/>
          <w:color w:val="000000"/>
          <w:lang w:eastAsia="bg-BG"/>
        </w:rPr>
        <w:t>за Коефициент на риска</w:t>
      </w:r>
      <w:r w:rsidRPr="004B7AED">
        <w:rPr>
          <w:rFonts w:eastAsia="Times New Roman" w:cs="Arial"/>
          <w:color w:val="000000"/>
          <w:lang w:eastAsia="bg-BG"/>
        </w:rPr>
        <w:tab/>
      </w:r>
      <w:r w:rsidRPr="00CA56F5">
        <w:rPr>
          <w:rFonts w:eastAsia="Times New Roman" w:cs="Arial"/>
          <w:color w:val="000000"/>
          <w:lang w:eastAsia="bg-BG"/>
        </w:rPr>
        <w:t xml:space="preserve">                            </w:t>
      </w:r>
      <w:r w:rsidRPr="004B7AED">
        <w:rPr>
          <w:rFonts w:eastAsia="Times New Roman" w:cs="Arial"/>
          <w:color w:val="000000"/>
          <w:lang w:eastAsia="bg-BG"/>
        </w:rPr>
        <w:t>(0,4316,0,6430)</w:t>
      </w:r>
    </w:p>
    <w:p w14:paraId="6D0990F7" w14:textId="0126A93F" w:rsidR="004B7AED" w:rsidRPr="00CA56F5" w:rsidRDefault="004B7AED" w:rsidP="004B7AED">
      <w:pPr>
        <w:rPr>
          <w:rFonts w:cs="Arial"/>
        </w:rPr>
      </w:pPr>
      <w:r w:rsidRPr="00CA56F5">
        <w:rPr>
          <w:rFonts w:eastAsia="Times New Roman" w:cs="Arial"/>
          <w:color w:val="000000"/>
          <w:u w:val="single"/>
          <w:lang w:eastAsia="bg-BG"/>
        </w:rPr>
        <w:t>р-стойност</w:t>
      </w:r>
      <w:r w:rsidRPr="00CA56F5">
        <w:rPr>
          <w:rFonts w:eastAsia="Times New Roman" w:cs="Arial"/>
          <w:color w:val="000000"/>
          <w:u w:val="single"/>
          <w:vertAlign w:val="superscript"/>
          <w:lang w:val="en-US"/>
        </w:rPr>
        <w:t>a</w:t>
      </w:r>
      <w:r w:rsidRPr="00CA56F5">
        <w:rPr>
          <w:rFonts w:eastAsia="Times New Roman" w:cs="Arial"/>
          <w:color w:val="000000"/>
          <w:lang w:eastAsia="bg-BG"/>
        </w:rPr>
        <w:tab/>
      </w:r>
      <w:r w:rsidRPr="00CA56F5">
        <w:rPr>
          <w:rFonts w:eastAsia="Times New Roman" w:cs="Arial"/>
          <w:color w:val="000000"/>
          <w:lang w:eastAsia="bg-BG"/>
        </w:rPr>
        <w:tab/>
      </w:r>
      <w:r w:rsidRPr="00CA56F5">
        <w:rPr>
          <w:rFonts w:eastAsia="Times New Roman" w:cs="Arial"/>
          <w:color w:val="000000"/>
          <w:lang w:eastAsia="bg-BG"/>
        </w:rPr>
        <w:tab/>
      </w:r>
      <w:r w:rsidRPr="00CA56F5">
        <w:rPr>
          <w:rFonts w:eastAsia="Times New Roman" w:cs="Arial"/>
          <w:color w:val="000000"/>
          <w:lang w:eastAsia="bg-BG"/>
        </w:rPr>
        <w:tab/>
        <w:t xml:space="preserve">              </w:t>
      </w:r>
      <w:r w:rsidRPr="00CA56F5">
        <w:rPr>
          <w:rFonts w:eastAsia="Times New Roman" w:cs="Arial"/>
          <w:color w:val="000000"/>
          <w:u w:val="single"/>
          <w:lang w:eastAsia="bg-BG"/>
        </w:rPr>
        <w:t>&lt;0,0001</w:t>
      </w:r>
    </w:p>
    <w:p w14:paraId="06BE9A28" w14:textId="3EAD10D8" w:rsidR="004B7AED" w:rsidRPr="00CA56F5" w:rsidRDefault="004B7AED" w:rsidP="0091385D">
      <w:pPr>
        <w:rPr>
          <w:rFonts w:cs="Arial"/>
        </w:rPr>
      </w:pPr>
    </w:p>
    <w:tbl>
      <w:tblPr>
        <w:tblStyle w:val="TableGrid"/>
        <w:tblW w:w="0" w:type="auto"/>
        <w:tblLook w:val="04A0" w:firstRow="1" w:lastRow="0" w:firstColumn="1" w:lastColumn="0" w:noHBand="0" w:noVBand="1"/>
      </w:tblPr>
      <w:tblGrid>
        <w:gridCol w:w="3116"/>
        <w:gridCol w:w="3117"/>
        <w:gridCol w:w="3117"/>
      </w:tblGrid>
      <w:tr w:rsidR="004B7AED" w:rsidRPr="00CA56F5" w14:paraId="2F5D33DC" w14:textId="77777777" w:rsidTr="004B7AED">
        <w:tc>
          <w:tcPr>
            <w:tcW w:w="3116" w:type="dxa"/>
          </w:tcPr>
          <w:p w14:paraId="77C96947" w14:textId="5E18E3FD" w:rsidR="004B7AED" w:rsidRPr="00CA56F5" w:rsidRDefault="004B7AED" w:rsidP="004B7AED">
            <w:pPr>
              <w:rPr>
                <w:rFonts w:cs="Arial"/>
              </w:rPr>
            </w:pPr>
            <w:r w:rsidRPr="00CA56F5">
              <w:rPr>
                <w:rFonts w:cs="Arial"/>
                <w:b/>
                <w:bCs/>
              </w:rPr>
              <w:t>Обобщение на преживяемост без прогресия</w:t>
            </w:r>
          </w:p>
        </w:tc>
        <w:tc>
          <w:tcPr>
            <w:tcW w:w="3117" w:type="dxa"/>
          </w:tcPr>
          <w:p w14:paraId="04D8CD45" w14:textId="7BEF3A72" w:rsidR="004B7AED" w:rsidRPr="00CA56F5" w:rsidRDefault="004B7AED" w:rsidP="004B7AED">
            <w:pPr>
              <w:rPr>
                <w:rFonts w:cs="Arial"/>
              </w:rPr>
            </w:pPr>
            <w:r w:rsidRPr="00CA56F5">
              <w:rPr>
                <w:rFonts w:cs="Arial"/>
                <w:b/>
                <w:bCs/>
              </w:rPr>
              <w:t xml:space="preserve">Сунитиниб </w:t>
            </w:r>
            <w:r w:rsidRPr="00CA56F5">
              <w:rPr>
                <w:rFonts w:cs="Arial"/>
                <w:b/>
                <w:bCs/>
                <w:lang w:val="en-US"/>
              </w:rPr>
              <w:t>(N=375)</w:t>
            </w:r>
          </w:p>
        </w:tc>
        <w:tc>
          <w:tcPr>
            <w:tcW w:w="3117" w:type="dxa"/>
          </w:tcPr>
          <w:p w14:paraId="0C4788F1" w14:textId="23A229F1" w:rsidR="004B7AED" w:rsidRPr="00CA56F5" w:rsidRDefault="004B7AED" w:rsidP="004B7AED">
            <w:pPr>
              <w:rPr>
                <w:rFonts w:cs="Arial"/>
              </w:rPr>
            </w:pPr>
            <w:r w:rsidRPr="00CA56F5">
              <w:rPr>
                <w:rFonts w:cs="Arial"/>
                <w:b/>
                <w:bCs/>
                <w:lang w:val="en-US"/>
              </w:rPr>
              <w:t>IFN-a (N=375)</w:t>
            </w:r>
          </w:p>
        </w:tc>
      </w:tr>
      <w:tr w:rsidR="004B7AED" w:rsidRPr="00CA56F5" w14:paraId="5067A1F4" w14:textId="77777777" w:rsidTr="004B7AED">
        <w:tc>
          <w:tcPr>
            <w:tcW w:w="3116" w:type="dxa"/>
          </w:tcPr>
          <w:p w14:paraId="259B3C24" w14:textId="1F2FC637" w:rsidR="004B7AED" w:rsidRPr="00CA56F5" w:rsidRDefault="004B7AED" w:rsidP="004B7AED">
            <w:pPr>
              <w:rPr>
                <w:rFonts w:cs="Arial"/>
              </w:rPr>
            </w:pPr>
            <w:r w:rsidRPr="00CA56F5">
              <w:rPr>
                <w:rFonts w:cs="Arial"/>
              </w:rPr>
              <w:t>Пациент без прогресия илй смърт [</w:t>
            </w:r>
            <w:r w:rsidRPr="00CA56F5">
              <w:rPr>
                <w:rFonts w:cs="Arial"/>
                <w:lang w:val="en-US"/>
              </w:rPr>
              <w:t xml:space="preserve">n </w:t>
            </w:r>
            <w:r w:rsidRPr="00CA56F5">
              <w:rPr>
                <w:rFonts w:cs="Arial"/>
              </w:rPr>
              <w:t>(%)]</w:t>
            </w:r>
          </w:p>
        </w:tc>
        <w:tc>
          <w:tcPr>
            <w:tcW w:w="3117" w:type="dxa"/>
          </w:tcPr>
          <w:p w14:paraId="4F5EF3EA" w14:textId="06D3E049" w:rsidR="004B7AED" w:rsidRPr="00CA56F5" w:rsidRDefault="004B7AED" w:rsidP="004B7AED">
            <w:pPr>
              <w:rPr>
                <w:rFonts w:cs="Arial"/>
              </w:rPr>
            </w:pPr>
            <w:r w:rsidRPr="00CA56F5">
              <w:rPr>
                <w:rFonts w:cs="Arial"/>
              </w:rPr>
              <w:t>161 (42,9)</w:t>
            </w:r>
          </w:p>
        </w:tc>
        <w:tc>
          <w:tcPr>
            <w:tcW w:w="3117" w:type="dxa"/>
          </w:tcPr>
          <w:p w14:paraId="08C032C0" w14:textId="094FFBC2" w:rsidR="004B7AED" w:rsidRPr="00CA56F5" w:rsidRDefault="004B7AED" w:rsidP="004B7AED">
            <w:pPr>
              <w:rPr>
                <w:rFonts w:cs="Arial"/>
              </w:rPr>
            </w:pPr>
            <w:r w:rsidRPr="00CA56F5">
              <w:rPr>
                <w:rFonts w:cs="Arial"/>
              </w:rPr>
              <w:t>176(46,9)</w:t>
            </w:r>
          </w:p>
        </w:tc>
      </w:tr>
      <w:tr w:rsidR="004B7AED" w:rsidRPr="00CA56F5" w14:paraId="7B2E99C6" w14:textId="77777777" w:rsidTr="004B7AED">
        <w:tc>
          <w:tcPr>
            <w:tcW w:w="3116" w:type="dxa"/>
          </w:tcPr>
          <w:p w14:paraId="32BCDBF1" w14:textId="5C79ED88" w:rsidR="004B7AED" w:rsidRPr="00CA56F5" w:rsidRDefault="004B7AED" w:rsidP="004B7AED">
            <w:pPr>
              <w:rPr>
                <w:rFonts w:cs="Arial"/>
              </w:rPr>
            </w:pPr>
            <w:r w:rsidRPr="00CA56F5">
              <w:rPr>
                <w:rFonts w:cs="Arial"/>
              </w:rPr>
              <w:t>Пациент с наблюдавана прогресия или смърт [</w:t>
            </w:r>
            <w:r w:rsidRPr="00CA56F5">
              <w:rPr>
                <w:rFonts w:cs="Arial"/>
                <w:lang w:val="en-US"/>
              </w:rPr>
              <w:t>n</w:t>
            </w:r>
            <w:r w:rsidRPr="00CA56F5">
              <w:rPr>
                <w:rFonts w:cs="Arial"/>
              </w:rPr>
              <w:t xml:space="preserve"> (%)]</w:t>
            </w:r>
          </w:p>
        </w:tc>
        <w:tc>
          <w:tcPr>
            <w:tcW w:w="3117" w:type="dxa"/>
          </w:tcPr>
          <w:p w14:paraId="124E7F46" w14:textId="4C9A731E" w:rsidR="004B7AED" w:rsidRPr="00CA56F5" w:rsidRDefault="004B7AED" w:rsidP="004B7AED">
            <w:pPr>
              <w:rPr>
                <w:rFonts w:cs="Arial"/>
              </w:rPr>
            </w:pPr>
            <w:r w:rsidRPr="00CA56F5">
              <w:rPr>
                <w:rFonts w:cs="Arial"/>
              </w:rPr>
              <w:t>214(57,1)</w:t>
            </w:r>
          </w:p>
        </w:tc>
        <w:tc>
          <w:tcPr>
            <w:tcW w:w="3117" w:type="dxa"/>
          </w:tcPr>
          <w:p w14:paraId="68756849" w14:textId="5C3F1146" w:rsidR="004B7AED" w:rsidRPr="00CA56F5" w:rsidRDefault="004B7AED" w:rsidP="004B7AED">
            <w:pPr>
              <w:rPr>
                <w:rFonts w:cs="Arial"/>
              </w:rPr>
            </w:pPr>
            <w:r w:rsidRPr="00CA56F5">
              <w:rPr>
                <w:rFonts w:cs="Arial"/>
              </w:rPr>
              <w:t>199 (53,1)</w:t>
            </w:r>
          </w:p>
        </w:tc>
      </w:tr>
      <w:tr w:rsidR="004B7AED" w:rsidRPr="00CA56F5" w14:paraId="0636833B" w14:textId="77777777" w:rsidTr="004B7AED">
        <w:tc>
          <w:tcPr>
            <w:tcW w:w="3116" w:type="dxa"/>
          </w:tcPr>
          <w:p w14:paraId="7A86A04A" w14:textId="77777777" w:rsidR="004B7AED" w:rsidRPr="00CA56F5" w:rsidRDefault="004B7AED" w:rsidP="004B7AED">
            <w:pPr>
              <w:rPr>
                <w:rFonts w:cs="Arial"/>
              </w:rPr>
            </w:pPr>
            <w:r w:rsidRPr="00CA56F5">
              <w:rPr>
                <w:rFonts w:cs="Arial"/>
              </w:rPr>
              <w:t xml:space="preserve">Квартил (95% </w:t>
            </w:r>
            <w:r w:rsidRPr="00CA56F5">
              <w:rPr>
                <w:rFonts w:cs="Arial"/>
                <w:lang w:val="en-US"/>
              </w:rPr>
              <w:t>CI)</w:t>
            </w:r>
          </w:p>
          <w:p w14:paraId="19C02C5F" w14:textId="77777777" w:rsidR="004B7AED" w:rsidRPr="00CA56F5" w:rsidRDefault="004B7AED" w:rsidP="004B7AED">
            <w:pPr>
              <w:rPr>
                <w:rFonts w:cs="Arial"/>
              </w:rPr>
            </w:pPr>
            <w:r w:rsidRPr="00CA56F5">
              <w:rPr>
                <w:rFonts w:cs="Arial"/>
              </w:rPr>
              <w:t>25%</w:t>
            </w:r>
          </w:p>
          <w:p w14:paraId="7C730B27" w14:textId="77777777" w:rsidR="004B7AED" w:rsidRPr="00CA56F5" w:rsidRDefault="004B7AED" w:rsidP="004B7AED">
            <w:pPr>
              <w:rPr>
                <w:rFonts w:cs="Arial"/>
              </w:rPr>
            </w:pPr>
            <w:r w:rsidRPr="00CA56F5">
              <w:rPr>
                <w:rFonts w:cs="Arial"/>
              </w:rPr>
              <w:t>50%</w:t>
            </w:r>
          </w:p>
          <w:p w14:paraId="45CE384A" w14:textId="647FE4C8" w:rsidR="004B7AED" w:rsidRPr="00CA56F5" w:rsidRDefault="004B7AED" w:rsidP="004B7AED">
            <w:pPr>
              <w:rPr>
                <w:rFonts w:cs="Arial"/>
              </w:rPr>
            </w:pPr>
            <w:r w:rsidRPr="00CA56F5">
              <w:rPr>
                <w:rFonts w:cs="Arial"/>
              </w:rPr>
              <w:t>75%</w:t>
            </w:r>
          </w:p>
        </w:tc>
        <w:tc>
          <w:tcPr>
            <w:tcW w:w="3117" w:type="dxa"/>
          </w:tcPr>
          <w:p w14:paraId="1978B230" w14:textId="77777777" w:rsidR="004B7AED" w:rsidRPr="00CA56F5" w:rsidRDefault="004B7AED" w:rsidP="004B7AED">
            <w:pPr>
              <w:rPr>
                <w:rFonts w:cs="Arial"/>
              </w:rPr>
            </w:pPr>
            <w:r w:rsidRPr="00CA56F5">
              <w:rPr>
                <w:rFonts w:cs="Arial"/>
              </w:rPr>
              <w:t>22,7(18,0; 34,0)</w:t>
            </w:r>
          </w:p>
          <w:p w14:paraId="465893A2" w14:textId="77777777" w:rsidR="004B7AED" w:rsidRPr="00CA56F5" w:rsidRDefault="004B7AED" w:rsidP="004B7AED">
            <w:pPr>
              <w:rPr>
                <w:rFonts w:cs="Arial"/>
              </w:rPr>
            </w:pPr>
            <w:r w:rsidRPr="00CA56F5">
              <w:rPr>
                <w:rFonts w:cs="Arial"/>
              </w:rPr>
              <w:t>48,3 (46,4; 58,3)</w:t>
            </w:r>
          </w:p>
          <w:p w14:paraId="1352565D" w14:textId="4F249088" w:rsidR="004B7AED" w:rsidRPr="00CA56F5" w:rsidRDefault="004B7AED" w:rsidP="004B7AED">
            <w:pPr>
              <w:rPr>
                <w:rFonts w:cs="Arial"/>
              </w:rPr>
            </w:pPr>
            <w:r w:rsidRPr="00CA56F5">
              <w:rPr>
                <w:rFonts w:cs="Arial"/>
              </w:rPr>
              <w:t>84,3 (72,9; 95,1)</w:t>
            </w:r>
          </w:p>
        </w:tc>
        <w:tc>
          <w:tcPr>
            <w:tcW w:w="3117" w:type="dxa"/>
          </w:tcPr>
          <w:p w14:paraId="48C993B6" w14:textId="77777777" w:rsidR="004B7AED" w:rsidRPr="00CA56F5" w:rsidRDefault="004B7AED" w:rsidP="004B7AED">
            <w:pPr>
              <w:rPr>
                <w:rFonts w:cs="Arial"/>
              </w:rPr>
            </w:pPr>
            <w:r w:rsidRPr="00CA56F5">
              <w:rPr>
                <w:rFonts w:cs="Arial"/>
              </w:rPr>
              <w:t>10,0(7,3; 10,3)</w:t>
            </w:r>
          </w:p>
          <w:p w14:paraId="783492F1" w14:textId="77777777" w:rsidR="004B7AED" w:rsidRPr="00CA56F5" w:rsidRDefault="004B7AED" w:rsidP="004B7AED">
            <w:pPr>
              <w:rPr>
                <w:rFonts w:cs="Arial"/>
              </w:rPr>
            </w:pPr>
            <w:r w:rsidRPr="00CA56F5">
              <w:rPr>
                <w:rFonts w:cs="Arial"/>
              </w:rPr>
              <w:t>22,1 (17,1; 24,0)</w:t>
            </w:r>
          </w:p>
          <w:p w14:paraId="58C7DB57" w14:textId="13F621FD" w:rsidR="004B7AED" w:rsidRPr="00CA56F5" w:rsidRDefault="004B7AED" w:rsidP="004B7AED">
            <w:pPr>
              <w:rPr>
                <w:rFonts w:cs="Arial"/>
              </w:rPr>
            </w:pPr>
            <w:r w:rsidRPr="00CA56F5">
              <w:rPr>
                <w:rFonts w:cs="Arial"/>
              </w:rPr>
              <w:t>58,1 (45,6; 82,1)</w:t>
            </w:r>
          </w:p>
        </w:tc>
      </w:tr>
      <w:tr w:rsidR="004B7AED" w:rsidRPr="00CA56F5" w14:paraId="1ED2EE4C" w14:textId="77777777" w:rsidTr="004B7AED">
        <w:tc>
          <w:tcPr>
            <w:tcW w:w="3116" w:type="dxa"/>
          </w:tcPr>
          <w:p w14:paraId="7455341D" w14:textId="648292E4" w:rsidR="004B7AED" w:rsidRPr="00CA56F5" w:rsidRDefault="004B7AED" w:rsidP="004B7AED">
            <w:pPr>
              <w:rPr>
                <w:rFonts w:cs="Arial"/>
              </w:rPr>
            </w:pPr>
            <w:r w:rsidRPr="00CA56F5">
              <w:rPr>
                <w:rFonts w:cs="Arial"/>
              </w:rPr>
              <w:t>Нестратифициран анализ</w:t>
            </w:r>
          </w:p>
        </w:tc>
        <w:tc>
          <w:tcPr>
            <w:tcW w:w="3117" w:type="dxa"/>
          </w:tcPr>
          <w:p w14:paraId="03BD39E5" w14:textId="77777777" w:rsidR="004B7AED" w:rsidRPr="00CA56F5" w:rsidRDefault="004B7AED" w:rsidP="004B7AED">
            <w:pPr>
              <w:rPr>
                <w:rFonts w:cs="Arial"/>
              </w:rPr>
            </w:pPr>
          </w:p>
        </w:tc>
        <w:tc>
          <w:tcPr>
            <w:tcW w:w="3117" w:type="dxa"/>
          </w:tcPr>
          <w:p w14:paraId="0D62B553" w14:textId="77777777" w:rsidR="004B7AED" w:rsidRPr="00CA56F5" w:rsidRDefault="004B7AED" w:rsidP="004B7AED">
            <w:pPr>
              <w:rPr>
                <w:rFonts w:cs="Arial"/>
              </w:rPr>
            </w:pPr>
          </w:p>
        </w:tc>
      </w:tr>
      <w:tr w:rsidR="004B7AED" w:rsidRPr="00CA56F5" w14:paraId="782A43BD" w14:textId="77777777" w:rsidTr="004D6527">
        <w:tc>
          <w:tcPr>
            <w:tcW w:w="3116" w:type="dxa"/>
          </w:tcPr>
          <w:p w14:paraId="1D0C957B" w14:textId="3DF92BED" w:rsidR="004B7AED" w:rsidRPr="00CA56F5" w:rsidRDefault="004B7AED" w:rsidP="004B7AED">
            <w:pPr>
              <w:rPr>
                <w:rFonts w:cs="Arial"/>
              </w:rPr>
            </w:pPr>
            <w:r w:rsidRPr="00CA56F5">
              <w:rPr>
                <w:rFonts w:cs="Arial"/>
              </w:rPr>
              <w:t xml:space="preserve">Коефициент на риска (сунитиниб спрямо </w:t>
            </w:r>
            <w:r w:rsidRPr="00CA56F5">
              <w:rPr>
                <w:rFonts w:cs="Arial"/>
                <w:lang w:val="en-US"/>
              </w:rPr>
              <w:t>IFN-</w:t>
            </w:r>
            <w:r w:rsidRPr="00CA56F5">
              <w:rPr>
                <w:rFonts w:cs="Arial"/>
              </w:rPr>
              <w:t>α</w:t>
            </w:r>
            <w:r w:rsidRPr="00CA56F5">
              <w:rPr>
                <w:rFonts w:cs="Arial"/>
                <w:lang w:val="en-US"/>
              </w:rPr>
              <w:t>)</w:t>
            </w:r>
          </w:p>
        </w:tc>
        <w:tc>
          <w:tcPr>
            <w:tcW w:w="6234" w:type="dxa"/>
            <w:gridSpan w:val="2"/>
          </w:tcPr>
          <w:p w14:paraId="5910E4E6" w14:textId="1B170AA7" w:rsidR="004B7AED" w:rsidRPr="00CA56F5" w:rsidRDefault="004B7AED" w:rsidP="004B7AED">
            <w:pPr>
              <w:rPr>
                <w:rFonts w:cs="Arial"/>
              </w:rPr>
            </w:pPr>
            <w:r w:rsidRPr="00CA56F5">
              <w:rPr>
                <w:rFonts w:cs="Arial"/>
              </w:rPr>
              <w:t>0,8209</w:t>
            </w:r>
          </w:p>
        </w:tc>
      </w:tr>
      <w:tr w:rsidR="004B7AED" w:rsidRPr="00CA56F5" w14:paraId="71A39B7C" w14:textId="77777777" w:rsidTr="006508D9">
        <w:tc>
          <w:tcPr>
            <w:tcW w:w="3116" w:type="dxa"/>
          </w:tcPr>
          <w:p w14:paraId="087590FD" w14:textId="5E005D31" w:rsidR="004B7AED" w:rsidRPr="00CA56F5" w:rsidRDefault="004B7AED" w:rsidP="004B7AED">
            <w:pPr>
              <w:rPr>
                <w:rFonts w:cs="Arial"/>
              </w:rPr>
            </w:pPr>
            <w:r w:rsidRPr="00CA56F5">
              <w:rPr>
                <w:rFonts w:cs="Arial"/>
              </w:rPr>
              <w:t xml:space="preserve">95% </w:t>
            </w:r>
            <w:r w:rsidRPr="00CA56F5">
              <w:rPr>
                <w:rFonts w:cs="Arial"/>
                <w:lang w:val="en-US"/>
              </w:rPr>
              <w:t xml:space="preserve">CI </w:t>
            </w:r>
            <w:r w:rsidRPr="00CA56F5">
              <w:rPr>
                <w:rFonts w:cs="Arial"/>
              </w:rPr>
              <w:t>за Коефициент на риска</w:t>
            </w:r>
          </w:p>
        </w:tc>
        <w:tc>
          <w:tcPr>
            <w:tcW w:w="6234" w:type="dxa"/>
            <w:gridSpan w:val="2"/>
          </w:tcPr>
          <w:p w14:paraId="6233A090" w14:textId="4F04074D" w:rsidR="004B7AED" w:rsidRPr="00CA56F5" w:rsidRDefault="004B7AED" w:rsidP="004B7AED">
            <w:pPr>
              <w:rPr>
                <w:rFonts w:cs="Arial"/>
              </w:rPr>
            </w:pPr>
            <w:r w:rsidRPr="00CA56F5">
              <w:rPr>
                <w:rFonts w:cs="Arial"/>
              </w:rPr>
              <w:t>(0,6730 до 1,0013)</w:t>
            </w:r>
          </w:p>
        </w:tc>
      </w:tr>
      <w:tr w:rsidR="004B7AED" w:rsidRPr="00CA56F5" w14:paraId="5142CD38" w14:textId="77777777" w:rsidTr="00E93D8D">
        <w:tc>
          <w:tcPr>
            <w:tcW w:w="3116" w:type="dxa"/>
          </w:tcPr>
          <w:p w14:paraId="2C90E8D2" w14:textId="68990164" w:rsidR="004B7AED" w:rsidRPr="00CA56F5" w:rsidRDefault="004B7AED" w:rsidP="004B7AED">
            <w:pPr>
              <w:rPr>
                <w:rFonts w:cs="Arial"/>
              </w:rPr>
            </w:pPr>
            <w:r w:rsidRPr="00CA56F5">
              <w:rPr>
                <w:rFonts w:cs="Arial"/>
              </w:rPr>
              <w:t>р-стойноста</w:t>
            </w:r>
            <w:r w:rsidRPr="00CA56F5">
              <w:rPr>
                <w:rFonts w:cs="Arial"/>
                <w:vertAlign w:val="superscript"/>
                <w:lang w:val="en-US"/>
              </w:rPr>
              <w:t>a</w:t>
            </w:r>
          </w:p>
        </w:tc>
        <w:tc>
          <w:tcPr>
            <w:tcW w:w="6234" w:type="dxa"/>
            <w:gridSpan w:val="2"/>
          </w:tcPr>
          <w:p w14:paraId="1EA23E75" w14:textId="50D75329" w:rsidR="004B7AED" w:rsidRPr="00CA56F5" w:rsidRDefault="004B7AED" w:rsidP="004B7AED">
            <w:pPr>
              <w:rPr>
                <w:rFonts w:cs="Arial"/>
              </w:rPr>
            </w:pPr>
            <w:r w:rsidRPr="00CA56F5">
              <w:rPr>
                <w:rFonts w:cs="Arial"/>
              </w:rPr>
              <w:t>0,0510</w:t>
            </w:r>
          </w:p>
        </w:tc>
      </w:tr>
    </w:tbl>
    <w:p w14:paraId="2AC8AC4E" w14:textId="77777777" w:rsidR="004B7AED" w:rsidRPr="004B7AED" w:rsidRDefault="004B7AED" w:rsidP="004B7AED">
      <w:pPr>
        <w:spacing w:line="240" w:lineRule="auto"/>
        <w:rPr>
          <w:rFonts w:eastAsia="Times New Roman" w:cs="Arial"/>
          <w:lang w:eastAsia="bg-BG"/>
        </w:rPr>
      </w:pPr>
      <w:r w:rsidRPr="004B7AED">
        <w:rPr>
          <w:rFonts w:eastAsia="Times New Roman" w:cs="Arial"/>
          <w:color w:val="000000"/>
          <w:lang w:eastAsia="bg-BG"/>
        </w:rPr>
        <w:t xml:space="preserve">Съкращения: </w:t>
      </w:r>
      <w:r w:rsidRPr="004B7AED">
        <w:rPr>
          <w:rFonts w:eastAsia="Times New Roman" w:cs="Arial"/>
          <w:color w:val="000000"/>
          <w:lang w:val="en-US"/>
        </w:rPr>
        <w:t xml:space="preserve">CI </w:t>
      </w:r>
      <w:r w:rsidRPr="004B7AED">
        <w:rPr>
          <w:rFonts w:eastAsia="Times New Roman" w:cs="Arial"/>
          <w:color w:val="000000"/>
          <w:lang w:eastAsia="bg-BG"/>
        </w:rPr>
        <w:t xml:space="preserve">= доверителен интервал; </w:t>
      </w:r>
      <w:r w:rsidRPr="004B7AED">
        <w:rPr>
          <w:rFonts w:eastAsia="Times New Roman" w:cs="Arial"/>
          <w:color w:val="000000"/>
          <w:lang w:val="en-US"/>
        </w:rPr>
        <w:t>INF-</w:t>
      </w:r>
      <w:r w:rsidRPr="004B7AED">
        <w:rPr>
          <w:rFonts w:eastAsia="Times New Roman" w:cs="Arial"/>
          <w:color w:val="000000"/>
          <w:lang w:eastAsia="bg-BG"/>
        </w:rPr>
        <w:t>α</w:t>
      </w:r>
      <w:r w:rsidRPr="004B7AED">
        <w:rPr>
          <w:rFonts w:eastAsia="Times New Roman" w:cs="Arial"/>
          <w:color w:val="000000"/>
          <w:lang w:val="en-US"/>
        </w:rPr>
        <w:t xml:space="preserve"> </w:t>
      </w:r>
      <w:r w:rsidRPr="004B7AED">
        <w:rPr>
          <w:rFonts w:eastAsia="Times New Roman" w:cs="Arial"/>
          <w:color w:val="000000"/>
          <w:lang w:eastAsia="bg-BG"/>
        </w:rPr>
        <w:t xml:space="preserve">= интерферон-алфа; </w:t>
      </w:r>
      <w:r w:rsidRPr="004B7AED">
        <w:rPr>
          <w:rFonts w:eastAsia="Times New Roman" w:cs="Arial"/>
          <w:color w:val="000000"/>
          <w:lang w:val="en-US"/>
        </w:rPr>
        <w:t>I</w:t>
      </w:r>
      <w:r w:rsidRPr="004B7AED">
        <w:rPr>
          <w:rFonts w:eastAsia="Times New Roman" w:cs="Arial"/>
          <w:color w:val="000000"/>
          <w:lang w:eastAsia="bg-BG"/>
        </w:rPr>
        <w:t xml:space="preserve">ТТ-подлежаща на лечение; </w:t>
      </w:r>
      <w:r w:rsidRPr="004B7AED">
        <w:rPr>
          <w:rFonts w:eastAsia="Times New Roman" w:cs="Arial"/>
          <w:color w:val="000000"/>
          <w:lang w:val="en-US"/>
        </w:rPr>
        <w:t>N=6po</w:t>
      </w:r>
      <w:r w:rsidRPr="004B7AED">
        <w:rPr>
          <w:rFonts w:eastAsia="Times New Roman" w:cs="Arial"/>
          <w:color w:val="000000"/>
          <w:lang w:eastAsia="bg-BG"/>
        </w:rPr>
        <w:t>й</w:t>
      </w:r>
      <w:r w:rsidRPr="004B7AED">
        <w:rPr>
          <w:rFonts w:eastAsia="Times New Roman" w:cs="Arial"/>
          <w:color w:val="000000"/>
          <w:lang w:val="en-US"/>
        </w:rPr>
        <w:t xml:space="preserve"> </w:t>
      </w:r>
      <w:r w:rsidRPr="004B7AED">
        <w:rPr>
          <w:rFonts w:eastAsia="Times New Roman" w:cs="Arial"/>
          <w:color w:val="000000"/>
          <w:lang w:eastAsia="bg-BG"/>
        </w:rPr>
        <w:t xml:space="preserve">пациенти; </w:t>
      </w:r>
      <w:r w:rsidRPr="004B7AED">
        <w:rPr>
          <w:rFonts w:eastAsia="Times New Roman" w:cs="Arial"/>
          <w:color w:val="000000"/>
          <w:lang w:val="en-US"/>
        </w:rPr>
        <w:t xml:space="preserve">NA </w:t>
      </w:r>
      <w:r w:rsidRPr="004B7AED">
        <w:rPr>
          <w:rFonts w:eastAsia="Times New Roman" w:cs="Arial"/>
          <w:color w:val="000000"/>
          <w:lang w:eastAsia="bg-BG"/>
        </w:rPr>
        <w:t xml:space="preserve">= неприложимо; </w:t>
      </w:r>
      <w:r w:rsidRPr="004B7AED">
        <w:rPr>
          <w:rFonts w:eastAsia="Times New Roman" w:cs="Arial"/>
          <w:color w:val="000000"/>
          <w:lang w:val="en-US"/>
        </w:rPr>
        <w:t xml:space="preserve">OS </w:t>
      </w:r>
      <w:r w:rsidRPr="004B7AED">
        <w:rPr>
          <w:rFonts w:eastAsia="Times New Roman" w:cs="Arial"/>
          <w:color w:val="000000"/>
          <w:lang w:eastAsia="bg-BG"/>
        </w:rPr>
        <w:t xml:space="preserve">= обща преживяемост; </w:t>
      </w:r>
      <w:r w:rsidRPr="004B7AED">
        <w:rPr>
          <w:rFonts w:eastAsia="Times New Roman" w:cs="Arial"/>
          <w:color w:val="000000"/>
          <w:lang w:val="en-US"/>
        </w:rPr>
        <w:t xml:space="preserve">PFS </w:t>
      </w:r>
      <w:r w:rsidRPr="004B7AED">
        <w:rPr>
          <w:rFonts w:eastAsia="Times New Roman" w:cs="Arial"/>
          <w:color w:val="000000"/>
          <w:lang w:eastAsia="bg-BG"/>
        </w:rPr>
        <w:t>= преживяемост без прогресия,</w:t>
      </w:r>
    </w:p>
    <w:p w14:paraId="6F870366" w14:textId="77777777" w:rsidR="004B7AED" w:rsidRPr="004B7AED" w:rsidRDefault="004B7AED" w:rsidP="004B7AED">
      <w:pPr>
        <w:spacing w:line="240" w:lineRule="auto"/>
        <w:rPr>
          <w:rFonts w:eastAsia="Times New Roman" w:cs="Arial"/>
          <w:lang w:eastAsia="bg-BG"/>
        </w:rPr>
      </w:pPr>
    </w:p>
    <w:p w14:paraId="299A62CE" w14:textId="77777777" w:rsidR="004B7AED" w:rsidRPr="004B7AED" w:rsidRDefault="004B7AED" w:rsidP="004B7AED">
      <w:pPr>
        <w:spacing w:line="240" w:lineRule="auto"/>
        <w:rPr>
          <w:rFonts w:eastAsia="Times New Roman" w:cs="Arial"/>
          <w:lang w:eastAsia="bg-BG"/>
        </w:rPr>
      </w:pPr>
      <w:proofErr w:type="gramStart"/>
      <w:r w:rsidRPr="004B7AED">
        <w:rPr>
          <w:rFonts w:eastAsia="Times New Roman" w:cs="Arial"/>
          <w:color w:val="000000"/>
          <w:vertAlign w:val="superscript"/>
          <w:lang w:val="en-US"/>
        </w:rPr>
        <w:t>a</w:t>
      </w:r>
      <w:r w:rsidRPr="004B7AED">
        <w:rPr>
          <w:rFonts w:eastAsia="Times New Roman" w:cs="Arial"/>
          <w:color w:val="000000"/>
          <w:lang w:eastAsia="bg-BG"/>
        </w:rPr>
        <w:t>От</w:t>
      </w:r>
      <w:proofErr w:type="gramEnd"/>
      <w:r w:rsidRPr="004B7AED">
        <w:rPr>
          <w:rFonts w:eastAsia="Times New Roman" w:cs="Arial"/>
          <w:color w:val="000000"/>
          <w:lang w:eastAsia="bg-BG"/>
        </w:rPr>
        <w:t xml:space="preserve"> двустранен логаритмично преобразуван рангов </w:t>
      </w:r>
      <w:r w:rsidRPr="004B7AED">
        <w:rPr>
          <w:rFonts w:eastAsia="Times New Roman" w:cs="Arial"/>
          <w:color w:val="000000"/>
          <w:lang w:val="en-US"/>
        </w:rPr>
        <w:t xml:space="preserve">(log-rank) </w:t>
      </w:r>
      <w:r w:rsidRPr="004B7AED">
        <w:rPr>
          <w:rFonts w:eastAsia="Times New Roman" w:cs="Arial"/>
          <w:color w:val="000000"/>
          <w:lang w:eastAsia="bg-BG"/>
        </w:rPr>
        <w:t>тест.</w:t>
      </w:r>
    </w:p>
    <w:p w14:paraId="658DD6EC" w14:textId="77777777" w:rsidR="004B7AED" w:rsidRPr="00CA56F5" w:rsidRDefault="004B7AED" w:rsidP="004B7AED">
      <w:pPr>
        <w:spacing w:line="240" w:lineRule="auto"/>
        <w:rPr>
          <w:rFonts w:eastAsia="Times New Roman" w:cs="Arial"/>
          <w:i/>
          <w:iCs/>
          <w:color w:val="000000"/>
          <w:lang w:eastAsia="bg-BG"/>
        </w:rPr>
      </w:pPr>
    </w:p>
    <w:p w14:paraId="22CD5154" w14:textId="1309444C" w:rsidR="004B7AED" w:rsidRPr="004B7AED" w:rsidRDefault="004B7AED" w:rsidP="004B7AED">
      <w:pPr>
        <w:spacing w:line="240" w:lineRule="auto"/>
        <w:rPr>
          <w:rFonts w:eastAsia="Times New Roman" w:cs="Arial"/>
          <w:lang w:eastAsia="bg-BG"/>
        </w:rPr>
      </w:pPr>
      <w:r w:rsidRPr="004B7AED">
        <w:rPr>
          <w:rFonts w:eastAsia="Times New Roman" w:cs="Arial"/>
          <w:i/>
          <w:iCs/>
          <w:color w:val="000000"/>
          <w:lang w:eastAsia="bg-BG"/>
        </w:rPr>
        <w:lastRenderedPageBreak/>
        <w:t>Цитокин-рефрактерен метастатичен бъбречно-клетъчен карцином</w:t>
      </w:r>
    </w:p>
    <w:p w14:paraId="39B5CAD9" w14:textId="77777777" w:rsidR="004B7AED" w:rsidRPr="004B7AED" w:rsidRDefault="004B7AED" w:rsidP="004B7AED">
      <w:pPr>
        <w:spacing w:line="240" w:lineRule="auto"/>
        <w:rPr>
          <w:rFonts w:eastAsia="Times New Roman" w:cs="Arial"/>
          <w:lang w:eastAsia="bg-BG"/>
        </w:rPr>
      </w:pPr>
      <w:r w:rsidRPr="004B7AED">
        <w:rPr>
          <w:rFonts w:eastAsia="Times New Roman" w:cs="Arial"/>
          <w:color w:val="000000"/>
          <w:lang w:eastAsia="bg-BG"/>
        </w:rPr>
        <w:t xml:space="preserve">Проучване фаза 2 на сунитиниб е било проведено на пациенти, които са били рефрактерни на предшестваща цитокинова терапия с интерлевкин-2 или </w:t>
      </w:r>
      <w:r w:rsidRPr="004B7AED">
        <w:rPr>
          <w:rFonts w:eastAsia="Times New Roman" w:cs="Arial"/>
          <w:color w:val="000000"/>
          <w:lang w:val="en-US"/>
        </w:rPr>
        <w:t>IFN-</w:t>
      </w:r>
      <w:r w:rsidRPr="004B7AED">
        <w:rPr>
          <w:rFonts w:eastAsia="Times New Roman" w:cs="Arial"/>
          <w:color w:val="000000"/>
          <w:lang w:eastAsia="bg-BG"/>
        </w:rPr>
        <w:t>α</w:t>
      </w:r>
      <w:r w:rsidRPr="004B7AED">
        <w:rPr>
          <w:rFonts w:eastAsia="Times New Roman" w:cs="Arial"/>
          <w:color w:val="000000"/>
          <w:lang w:val="en-US"/>
        </w:rPr>
        <w:t xml:space="preserve">. </w:t>
      </w:r>
      <w:r w:rsidRPr="004B7AED">
        <w:rPr>
          <w:rFonts w:eastAsia="Times New Roman" w:cs="Arial"/>
          <w:color w:val="000000"/>
          <w:lang w:eastAsia="bg-BG"/>
        </w:rPr>
        <w:t xml:space="preserve">Шестдесет и три пациенти са получили начална доза 50 </w:t>
      </w:r>
      <w:r w:rsidRPr="004B7AED">
        <w:rPr>
          <w:rFonts w:eastAsia="Times New Roman" w:cs="Arial"/>
          <w:color w:val="000000"/>
          <w:lang w:val="en-US"/>
        </w:rPr>
        <w:t xml:space="preserve">mg </w:t>
      </w:r>
      <w:r w:rsidRPr="004B7AED">
        <w:rPr>
          <w:rFonts w:eastAsia="Times New Roman" w:cs="Arial"/>
          <w:color w:val="000000"/>
          <w:lang w:eastAsia="bg-BG"/>
        </w:rPr>
        <w:t xml:space="preserve">сунитиниб перорално веднъж дневно в продължение на 4 последователни седмици, последвани от 2-седмична пауза, за да се обхване пълен цикъл от </w:t>
      </w:r>
      <w:r w:rsidRPr="004B7AED">
        <w:rPr>
          <w:rFonts w:eastAsia="Times New Roman" w:cs="Arial"/>
          <w:i/>
          <w:iCs/>
          <w:color w:val="000000"/>
          <w:lang w:eastAsia="bg-BG"/>
        </w:rPr>
        <w:t>6</w:t>
      </w:r>
      <w:r w:rsidRPr="004B7AED">
        <w:rPr>
          <w:rFonts w:eastAsia="Times New Roman" w:cs="Arial"/>
          <w:color w:val="000000"/>
          <w:lang w:eastAsia="bg-BG"/>
        </w:rPr>
        <w:t xml:space="preserve"> седмици (схема 4/2). Първичната крайна точка за ефикасност е била </w:t>
      </w:r>
      <w:r w:rsidRPr="004B7AED">
        <w:rPr>
          <w:rFonts w:eastAsia="Times New Roman" w:cs="Arial"/>
          <w:color w:val="000000"/>
          <w:lang w:val="en-US"/>
        </w:rPr>
        <w:t xml:space="preserve">ORR, </w:t>
      </w:r>
      <w:r w:rsidRPr="004B7AED">
        <w:rPr>
          <w:rFonts w:eastAsia="Times New Roman" w:cs="Arial"/>
          <w:color w:val="000000"/>
          <w:lang w:eastAsia="bg-BG"/>
        </w:rPr>
        <w:t xml:space="preserve">основаваща се на Критерии за оценка на отговора при солидни тумори </w:t>
      </w:r>
      <w:r w:rsidRPr="004B7AED">
        <w:rPr>
          <w:rFonts w:eastAsia="Times New Roman" w:cs="Arial"/>
          <w:color w:val="000000"/>
          <w:lang w:val="en-US"/>
        </w:rPr>
        <w:t>(RECIST).</w:t>
      </w:r>
    </w:p>
    <w:p w14:paraId="43F799DF" w14:textId="77777777" w:rsidR="004B7AED" w:rsidRPr="00CA56F5" w:rsidRDefault="004B7AED" w:rsidP="004B7AED">
      <w:pPr>
        <w:spacing w:line="240" w:lineRule="auto"/>
        <w:rPr>
          <w:rFonts w:eastAsia="Times New Roman" w:cs="Arial"/>
          <w:color w:val="000000"/>
          <w:lang w:eastAsia="bg-BG"/>
        </w:rPr>
      </w:pPr>
    </w:p>
    <w:p w14:paraId="0E33BDAD" w14:textId="0D7B083C" w:rsidR="004B7AED" w:rsidRPr="004B7AED" w:rsidRDefault="004B7AED" w:rsidP="004B7AED">
      <w:pPr>
        <w:spacing w:line="240" w:lineRule="auto"/>
        <w:rPr>
          <w:rFonts w:eastAsia="Times New Roman" w:cs="Arial"/>
          <w:lang w:eastAsia="bg-BG"/>
        </w:rPr>
      </w:pPr>
      <w:r w:rsidRPr="004B7AED">
        <w:rPr>
          <w:rFonts w:eastAsia="Times New Roman" w:cs="Arial"/>
          <w:color w:val="000000"/>
          <w:lang w:eastAsia="bg-BG"/>
        </w:rPr>
        <w:t xml:space="preserve">В това проучване честотата на обективния отговор е била 36,5% (95% </w:t>
      </w:r>
      <w:r w:rsidRPr="004B7AED">
        <w:rPr>
          <w:rFonts w:eastAsia="Times New Roman" w:cs="Arial"/>
          <w:color w:val="000000"/>
          <w:lang w:val="en-US"/>
        </w:rPr>
        <w:t xml:space="preserve">C.I.: 24,7%jjA9^6S^. </w:t>
      </w:r>
      <w:r w:rsidRPr="004B7AED">
        <w:rPr>
          <w:rFonts w:eastAsia="Times New Roman" w:cs="Arial"/>
          <w:color w:val="000000"/>
          <w:lang w:eastAsia="bg-BG"/>
        </w:rPr>
        <w:t xml:space="preserve">а медианата ТТР е била 37,7 седмици (95% </w:t>
      </w:r>
      <w:r w:rsidRPr="004B7AED">
        <w:rPr>
          <w:rFonts w:eastAsia="Times New Roman" w:cs="Arial"/>
          <w:color w:val="000000"/>
          <w:lang w:val="en-US"/>
        </w:rPr>
        <w:t xml:space="preserve">C.I.: </w:t>
      </w:r>
      <w:r w:rsidRPr="004B7AED">
        <w:rPr>
          <w:rFonts w:eastAsia="Times New Roman" w:cs="Arial"/>
          <w:color w:val="000000"/>
          <w:lang w:eastAsia="bg-BG"/>
        </w:rPr>
        <w:t>24,0, 46,4).</w:t>
      </w:r>
    </w:p>
    <w:p w14:paraId="2AD1E1F6" w14:textId="77777777" w:rsidR="004B7AED" w:rsidRPr="00CA56F5" w:rsidRDefault="004B7AED" w:rsidP="004B7AED">
      <w:pPr>
        <w:rPr>
          <w:rFonts w:eastAsia="Times New Roman" w:cs="Arial"/>
          <w:color w:val="000000"/>
          <w:lang w:eastAsia="bg-BG"/>
        </w:rPr>
      </w:pPr>
    </w:p>
    <w:p w14:paraId="106BF2CE" w14:textId="0CD6E312" w:rsidR="004B7AED" w:rsidRPr="00CA56F5" w:rsidRDefault="004B7AED" w:rsidP="004B7AED">
      <w:pPr>
        <w:rPr>
          <w:rFonts w:cs="Arial"/>
        </w:rPr>
      </w:pPr>
      <w:r w:rsidRPr="00CA56F5">
        <w:rPr>
          <w:rFonts w:eastAsia="Times New Roman" w:cs="Arial"/>
          <w:color w:val="000000"/>
          <w:lang w:eastAsia="bg-BG"/>
        </w:rPr>
        <w:t xml:space="preserve">В потвърждение на това, открито, с единично рамо, многоцентрово проучване за оценка на ефикасността и безопасността на сунитиниб е било проведено при пациенти с </w:t>
      </w:r>
      <w:r w:rsidRPr="00CA56F5">
        <w:rPr>
          <w:rFonts w:eastAsia="Times New Roman" w:cs="Arial"/>
          <w:color w:val="000000"/>
          <w:lang w:val="en-US"/>
        </w:rPr>
        <w:t>MRCC,</w:t>
      </w:r>
      <w:r w:rsidRPr="00CA56F5">
        <w:rPr>
          <w:rFonts w:eastAsia="Times New Roman" w:cs="Arial"/>
          <w:color w:val="000000"/>
          <w:vertAlign w:val="superscript"/>
          <w:lang w:eastAsia="bg-BG"/>
        </w:rPr>
        <w:t xml:space="preserve"> </w:t>
      </w:r>
      <w:r w:rsidRPr="00CA56F5">
        <w:rPr>
          <w:rFonts w:eastAsia="Times New Roman" w:cs="Arial"/>
          <w:color w:val="000000"/>
          <w:lang w:eastAsia="bg-BG"/>
        </w:rPr>
        <w:t xml:space="preserve">които са били рефрактерни на предшестваща цитокинова терапия. 106 пациенти са получавали най-малко по една доза от 50 </w:t>
      </w:r>
      <w:r w:rsidRPr="00CA56F5">
        <w:rPr>
          <w:rFonts w:eastAsia="Times New Roman" w:cs="Arial"/>
          <w:color w:val="000000"/>
          <w:lang w:val="en-US"/>
        </w:rPr>
        <w:t xml:space="preserve">mg </w:t>
      </w:r>
      <w:r w:rsidRPr="00CA56F5">
        <w:rPr>
          <w:rFonts w:eastAsia="Times New Roman" w:cs="Arial"/>
          <w:color w:val="000000"/>
          <w:lang w:eastAsia="bg-BG"/>
        </w:rPr>
        <w:t>сунитиниб по схема 4/2.</w:t>
      </w:r>
    </w:p>
    <w:p w14:paraId="19C9AF49" w14:textId="4FE857A9" w:rsidR="004B7AED" w:rsidRPr="00CA56F5" w:rsidRDefault="004B7AED" w:rsidP="0091385D">
      <w:pPr>
        <w:rPr>
          <w:rFonts w:cs="Arial"/>
        </w:rPr>
      </w:pPr>
    </w:p>
    <w:p w14:paraId="4185C445"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Първичната крайна точка за ефикасност при това проучване е била </w:t>
      </w:r>
      <w:r w:rsidRPr="00CA56F5">
        <w:rPr>
          <w:rFonts w:eastAsia="Times New Roman" w:cs="Arial"/>
          <w:color w:val="000000"/>
          <w:lang w:val="en-US"/>
        </w:rPr>
        <w:t xml:space="preserve">ORR. </w:t>
      </w:r>
      <w:r w:rsidRPr="00CA56F5">
        <w:rPr>
          <w:rFonts w:eastAsia="Times New Roman" w:cs="Arial"/>
          <w:color w:val="000000"/>
          <w:lang w:eastAsia="bg-BG"/>
        </w:rPr>
        <w:t xml:space="preserve">Вторичните крайни точки са включвали ТТР, продължителност на отговора </w:t>
      </w:r>
      <w:r w:rsidRPr="00CA56F5">
        <w:rPr>
          <w:rFonts w:eastAsia="Times New Roman" w:cs="Arial"/>
          <w:color w:val="000000"/>
          <w:lang w:val="en-US"/>
        </w:rPr>
        <w:t xml:space="preserve">(DR) </w:t>
      </w:r>
      <w:r w:rsidRPr="00CA56F5">
        <w:rPr>
          <w:rFonts w:eastAsia="Times New Roman" w:cs="Arial"/>
          <w:color w:val="000000"/>
          <w:lang w:eastAsia="bg-BG"/>
        </w:rPr>
        <w:t xml:space="preserve">и </w:t>
      </w:r>
      <w:r w:rsidRPr="00CA56F5">
        <w:rPr>
          <w:rFonts w:eastAsia="Times New Roman" w:cs="Arial"/>
          <w:color w:val="000000"/>
          <w:lang w:val="en-US"/>
        </w:rPr>
        <w:t>OS.</w:t>
      </w:r>
    </w:p>
    <w:p w14:paraId="43C7649B"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В това проучване </w:t>
      </w:r>
      <w:r w:rsidRPr="00CA56F5">
        <w:rPr>
          <w:rFonts w:eastAsia="Times New Roman" w:cs="Arial"/>
          <w:color w:val="000000"/>
          <w:lang w:val="en-US"/>
        </w:rPr>
        <w:t xml:space="preserve">ORR </w:t>
      </w:r>
      <w:r w:rsidRPr="00CA56F5">
        <w:rPr>
          <w:rFonts w:eastAsia="Times New Roman" w:cs="Arial"/>
          <w:color w:val="000000"/>
          <w:lang w:eastAsia="bg-BG"/>
        </w:rPr>
        <w:t xml:space="preserve">е била 35,8% (95% </w:t>
      </w:r>
      <w:r w:rsidRPr="00CA56F5">
        <w:rPr>
          <w:rFonts w:eastAsia="Times New Roman" w:cs="Arial"/>
          <w:color w:val="000000"/>
          <w:lang w:val="en-US"/>
        </w:rPr>
        <w:t xml:space="preserve">C.I.: </w:t>
      </w:r>
      <w:r w:rsidRPr="00CA56F5">
        <w:rPr>
          <w:rFonts w:eastAsia="Times New Roman" w:cs="Arial"/>
          <w:color w:val="000000"/>
          <w:lang w:eastAsia="bg-BG"/>
        </w:rPr>
        <w:t xml:space="preserve">26,8%, 47,5%). Медианите на </w:t>
      </w:r>
      <w:r w:rsidRPr="00CA56F5">
        <w:rPr>
          <w:rFonts w:eastAsia="Times New Roman" w:cs="Arial"/>
          <w:color w:val="000000"/>
          <w:lang w:val="en-US"/>
        </w:rPr>
        <w:t xml:space="preserve">DR </w:t>
      </w:r>
      <w:r w:rsidRPr="00CA56F5">
        <w:rPr>
          <w:rFonts w:eastAsia="Times New Roman" w:cs="Arial"/>
          <w:color w:val="000000"/>
          <w:lang w:eastAsia="bg-BG"/>
        </w:rPr>
        <w:t xml:space="preserve">и </w:t>
      </w:r>
      <w:r w:rsidRPr="00CA56F5">
        <w:rPr>
          <w:rFonts w:eastAsia="Times New Roman" w:cs="Arial"/>
          <w:color w:val="000000"/>
          <w:lang w:val="en-US"/>
        </w:rPr>
        <w:t xml:space="preserve">OS </w:t>
      </w:r>
      <w:r w:rsidRPr="00CA56F5">
        <w:rPr>
          <w:rFonts w:eastAsia="Times New Roman" w:cs="Arial"/>
          <w:color w:val="000000"/>
          <w:lang w:eastAsia="bg-BG"/>
        </w:rPr>
        <w:t>все още не са били достигнати.</w:t>
      </w:r>
    </w:p>
    <w:p w14:paraId="42699BC4" w14:textId="77777777" w:rsidR="00CA56F5" w:rsidRPr="00CA56F5" w:rsidRDefault="00CA56F5" w:rsidP="00CA56F5">
      <w:pPr>
        <w:spacing w:line="240" w:lineRule="auto"/>
        <w:rPr>
          <w:rFonts w:eastAsia="Times New Roman" w:cs="Arial"/>
          <w:i/>
          <w:iCs/>
          <w:color w:val="000000"/>
          <w:lang w:eastAsia="bg-BG"/>
        </w:rPr>
      </w:pPr>
    </w:p>
    <w:p w14:paraId="536B6A78" w14:textId="5B8CC4E0" w:rsidR="00CA56F5" w:rsidRPr="00CA56F5" w:rsidRDefault="00CA56F5" w:rsidP="00CA56F5">
      <w:pPr>
        <w:spacing w:line="240" w:lineRule="auto"/>
        <w:rPr>
          <w:rFonts w:eastAsia="Times New Roman" w:cs="Arial"/>
          <w:lang w:eastAsia="bg-BG"/>
        </w:rPr>
      </w:pPr>
      <w:r w:rsidRPr="00CA56F5">
        <w:rPr>
          <w:rFonts w:eastAsia="Times New Roman" w:cs="Arial"/>
          <w:i/>
          <w:iCs/>
          <w:color w:val="000000"/>
          <w:lang w:eastAsia="bg-BG"/>
        </w:rPr>
        <w:t>Панкреатични невроендокринни тумори</w:t>
      </w:r>
    </w:p>
    <w:p w14:paraId="01B02317" w14:textId="77777777" w:rsidR="00CA56F5" w:rsidRPr="00CA56F5" w:rsidRDefault="00CA56F5" w:rsidP="00CA56F5">
      <w:pPr>
        <w:spacing w:line="240" w:lineRule="auto"/>
        <w:rPr>
          <w:rFonts w:eastAsia="Times New Roman" w:cs="Arial"/>
          <w:color w:val="000000"/>
          <w:lang w:val="en-US"/>
        </w:rPr>
      </w:pPr>
      <w:r w:rsidRPr="00CA56F5">
        <w:rPr>
          <w:rFonts w:eastAsia="Times New Roman" w:cs="Arial"/>
          <w:color w:val="000000"/>
          <w:lang w:eastAsia="bg-BG"/>
        </w:rPr>
        <w:t xml:space="preserve">Поддържащо, отворено, многоцентрово проучване фаза 2 е оценило ефикасността и безопасността при самостоятелно приложение на сунитиниб 50 </w:t>
      </w:r>
      <w:r w:rsidRPr="00CA56F5">
        <w:rPr>
          <w:rFonts w:eastAsia="Times New Roman" w:cs="Arial"/>
          <w:color w:val="000000"/>
          <w:lang w:val="en-US"/>
        </w:rPr>
        <w:t xml:space="preserve">mg </w:t>
      </w:r>
      <w:r w:rsidRPr="00CA56F5">
        <w:rPr>
          <w:rFonts w:eastAsia="Times New Roman" w:cs="Arial"/>
          <w:color w:val="000000"/>
          <w:lang w:eastAsia="bg-BG"/>
        </w:rPr>
        <w:t xml:space="preserve">дневно по схема 4/2 при пациенти с неоперабилен </w:t>
      </w:r>
      <w:r w:rsidRPr="00CA56F5">
        <w:rPr>
          <w:rFonts w:eastAsia="Times New Roman" w:cs="Arial"/>
          <w:color w:val="000000"/>
          <w:lang w:val="en-US"/>
        </w:rPr>
        <w:t xml:space="preserve">pNET. </w:t>
      </w:r>
    </w:p>
    <w:p w14:paraId="5AE06777" w14:textId="68899899"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При кохорта от </w:t>
      </w:r>
      <w:r w:rsidRPr="00CA56F5">
        <w:rPr>
          <w:rFonts w:eastAsia="Times New Roman" w:cs="Arial"/>
          <w:i/>
          <w:iCs/>
          <w:color w:val="000000"/>
          <w:lang w:eastAsia="bg-BG"/>
        </w:rPr>
        <w:t>66</w:t>
      </w:r>
      <w:r w:rsidRPr="00CA56F5">
        <w:rPr>
          <w:rFonts w:eastAsia="Times New Roman" w:cs="Arial"/>
          <w:color w:val="000000"/>
          <w:lang w:eastAsia="bg-BG"/>
        </w:rPr>
        <w:t xml:space="preserve"> пациенти с тумори на Лангерхансовите клетки, първичната крайна точка за степен на отговор е била 17%.</w:t>
      </w:r>
    </w:p>
    <w:p w14:paraId="5117B8A1" w14:textId="77777777" w:rsidR="00CA56F5" w:rsidRPr="00CA56F5" w:rsidRDefault="00CA56F5" w:rsidP="00CA56F5">
      <w:pPr>
        <w:spacing w:line="240" w:lineRule="auto"/>
        <w:rPr>
          <w:rFonts w:eastAsia="Times New Roman" w:cs="Arial"/>
          <w:color w:val="000000"/>
          <w:lang w:eastAsia="bg-BG"/>
        </w:rPr>
      </w:pPr>
    </w:p>
    <w:p w14:paraId="6DEE3351" w14:textId="5D3EE658"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При пациенти с неоперабилен </w:t>
      </w:r>
      <w:r w:rsidRPr="00CA56F5">
        <w:rPr>
          <w:rFonts w:eastAsia="Times New Roman" w:cs="Arial"/>
          <w:color w:val="000000"/>
          <w:lang w:val="en-US"/>
        </w:rPr>
        <w:t xml:space="preserve">pNET </w:t>
      </w:r>
      <w:r w:rsidRPr="00CA56F5">
        <w:rPr>
          <w:rFonts w:eastAsia="Times New Roman" w:cs="Arial"/>
          <w:color w:val="000000"/>
          <w:lang w:eastAsia="bg-BG"/>
        </w:rPr>
        <w:t>е проведено основно, многоцентрово, международно, рандомизирано, двойносляпо, плацебо-контролирано проучване фаза 3 при самостоятелно приложение на сунитиниб.</w:t>
      </w:r>
    </w:p>
    <w:p w14:paraId="6ACB35CE" w14:textId="77777777" w:rsidR="00CA56F5" w:rsidRPr="00CA56F5" w:rsidRDefault="00CA56F5" w:rsidP="00CA56F5">
      <w:pPr>
        <w:spacing w:line="240" w:lineRule="auto"/>
        <w:rPr>
          <w:rFonts w:eastAsia="Times New Roman" w:cs="Arial"/>
          <w:color w:val="000000"/>
          <w:lang w:eastAsia="bg-BG"/>
        </w:rPr>
      </w:pPr>
    </w:p>
    <w:p w14:paraId="6633AAA0" w14:textId="1612D03B"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Необходимо е било пациентите да имат доказана туморна прогресия в рамките на изминалите 12 месеца, въз основа на Критериите за оценка на отговора при солидни тумори </w:t>
      </w:r>
      <w:r w:rsidRPr="00CA56F5">
        <w:rPr>
          <w:rFonts w:eastAsia="Times New Roman" w:cs="Arial"/>
          <w:color w:val="000000"/>
          <w:lang w:val="en-US"/>
        </w:rPr>
        <w:t xml:space="preserve">(RECIST) </w:t>
      </w:r>
      <w:r w:rsidRPr="00CA56F5">
        <w:rPr>
          <w:rFonts w:eastAsia="Times New Roman" w:cs="Arial"/>
          <w:color w:val="000000"/>
          <w:lang w:eastAsia="bg-BG"/>
        </w:rPr>
        <w:t xml:space="preserve">и са били рандомизирани (1:1) да приемат или 37,5 </w:t>
      </w:r>
      <w:r w:rsidRPr="00CA56F5">
        <w:rPr>
          <w:rFonts w:eastAsia="Times New Roman" w:cs="Arial"/>
          <w:color w:val="000000"/>
          <w:lang w:val="en-US"/>
        </w:rPr>
        <w:t xml:space="preserve">mg </w:t>
      </w:r>
      <w:r w:rsidRPr="00CA56F5">
        <w:rPr>
          <w:rFonts w:eastAsia="Times New Roman" w:cs="Arial"/>
          <w:color w:val="000000"/>
          <w:lang w:eastAsia="bg-BG"/>
        </w:rPr>
        <w:t xml:space="preserve">сунитиниб веднъж дневно без почивка </w:t>
      </w:r>
      <w:r w:rsidRPr="00CA56F5">
        <w:rPr>
          <w:rFonts w:eastAsia="Times New Roman" w:cs="Arial"/>
          <w:color w:val="000000"/>
          <w:lang w:val="en-US"/>
        </w:rPr>
        <w:t xml:space="preserve">(N=86), </w:t>
      </w:r>
      <w:r w:rsidRPr="00CA56F5">
        <w:rPr>
          <w:rFonts w:eastAsia="Times New Roman" w:cs="Arial"/>
          <w:color w:val="000000"/>
          <w:lang w:eastAsia="bg-BG"/>
        </w:rPr>
        <w:t xml:space="preserve">или плацебо </w:t>
      </w:r>
      <w:r w:rsidRPr="00CA56F5">
        <w:rPr>
          <w:rFonts w:eastAsia="Times New Roman" w:cs="Arial"/>
          <w:color w:val="000000"/>
          <w:lang w:val="en-US"/>
        </w:rPr>
        <w:t>(N=85).</w:t>
      </w:r>
    </w:p>
    <w:p w14:paraId="67C031A3" w14:textId="77777777" w:rsidR="00CA56F5" w:rsidRPr="00CA56F5" w:rsidRDefault="00CA56F5" w:rsidP="00CA56F5">
      <w:pPr>
        <w:spacing w:line="240" w:lineRule="auto"/>
        <w:rPr>
          <w:rFonts w:eastAsia="Times New Roman" w:cs="Arial"/>
          <w:color w:val="000000"/>
          <w:lang w:eastAsia="bg-BG"/>
        </w:rPr>
      </w:pPr>
    </w:p>
    <w:p w14:paraId="6725B43C" w14:textId="10DC1FE4"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Основната цел е била да се сравни </w:t>
      </w:r>
      <w:r w:rsidRPr="00CA56F5">
        <w:rPr>
          <w:rFonts w:eastAsia="Times New Roman" w:cs="Arial"/>
          <w:color w:val="000000"/>
          <w:lang w:val="en-US"/>
        </w:rPr>
        <w:t xml:space="preserve">PFS </w:t>
      </w:r>
      <w:r w:rsidRPr="00CA56F5">
        <w:rPr>
          <w:rFonts w:eastAsia="Times New Roman" w:cs="Arial"/>
          <w:color w:val="000000"/>
          <w:lang w:eastAsia="bg-BG"/>
        </w:rPr>
        <w:t xml:space="preserve">при пациенти, приемащи сунитиниб, спрямо пациенти, приемащи плацебо. Другите крайни точки са включвали </w:t>
      </w:r>
      <w:r w:rsidRPr="00CA56F5">
        <w:rPr>
          <w:rFonts w:eastAsia="Times New Roman" w:cs="Arial"/>
          <w:color w:val="000000"/>
          <w:lang w:val="en-US"/>
        </w:rPr>
        <w:t xml:space="preserve">OS, ORR, PROs </w:t>
      </w:r>
      <w:r w:rsidRPr="00CA56F5">
        <w:rPr>
          <w:rFonts w:eastAsia="Times New Roman" w:cs="Arial"/>
          <w:color w:val="000000"/>
          <w:lang w:eastAsia="bg-BG"/>
        </w:rPr>
        <w:t>и безопасност.</w:t>
      </w:r>
    </w:p>
    <w:p w14:paraId="6B6D7547" w14:textId="77777777" w:rsidR="00CA56F5" w:rsidRPr="00CA56F5" w:rsidRDefault="00CA56F5" w:rsidP="00CA56F5">
      <w:pPr>
        <w:spacing w:line="240" w:lineRule="auto"/>
        <w:rPr>
          <w:rFonts w:eastAsia="Times New Roman" w:cs="Arial"/>
          <w:color w:val="000000"/>
          <w:lang w:eastAsia="bg-BG"/>
        </w:rPr>
      </w:pPr>
    </w:p>
    <w:p w14:paraId="2C804228" w14:textId="533D22D0"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Демографските показатели са били сравними между групите на сунитиниб и плацебо. В допълнение 49% от пациентите на сунитиниб са имали нефункционални тумори в сравнение с 52% от пациентите, приемащи плацебо, а 92% от пациентите и в двете рамена са имали чернодробни метастази.</w:t>
      </w:r>
    </w:p>
    <w:p w14:paraId="1C74E525" w14:textId="77777777" w:rsidR="00CA56F5" w:rsidRPr="00CA56F5" w:rsidRDefault="00CA56F5" w:rsidP="00CA56F5">
      <w:pPr>
        <w:spacing w:line="240" w:lineRule="auto"/>
        <w:rPr>
          <w:rFonts w:eastAsia="Times New Roman" w:cs="Arial"/>
          <w:color w:val="000000"/>
          <w:lang w:eastAsia="bg-BG"/>
        </w:rPr>
      </w:pPr>
    </w:p>
    <w:p w14:paraId="4F76C2A2" w14:textId="3DEBDC72"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Приложението на соматостатинови аналози е било разрешено по време на проучването.</w:t>
      </w:r>
    </w:p>
    <w:p w14:paraId="674D47F7" w14:textId="77777777" w:rsidR="00CA56F5" w:rsidRPr="00CA56F5" w:rsidRDefault="00CA56F5" w:rsidP="00CA56F5">
      <w:pPr>
        <w:spacing w:line="240" w:lineRule="auto"/>
        <w:rPr>
          <w:rFonts w:eastAsia="Times New Roman" w:cs="Arial"/>
          <w:color w:val="000000"/>
          <w:lang w:eastAsia="bg-BG"/>
        </w:rPr>
      </w:pPr>
    </w:p>
    <w:p w14:paraId="1A15B358" w14:textId="61391E53"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lastRenderedPageBreak/>
        <w:t>Общо 66% от пациентите на сунитиниб са приемали предшестваща системна терапия в сравнение със 72% от пациентите на плацебо. В допълнение 24% от пациентите на сунитиниб са приемали соматостатинови аналози в сравнение с 22% от пациентите на плацебо.</w:t>
      </w:r>
    </w:p>
    <w:p w14:paraId="0A641E52" w14:textId="77777777" w:rsidR="00CA56F5" w:rsidRPr="00CA56F5" w:rsidRDefault="00CA56F5" w:rsidP="00CA56F5">
      <w:pPr>
        <w:rPr>
          <w:rFonts w:eastAsia="Times New Roman" w:cs="Arial"/>
          <w:color w:val="000000"/>
          <w:lang w:eastAsia="bg-BG"/>
        </w:rPr>
      </w:pPr>
    </w:p>
    <w:p w14:paraId="1F77D6FF" w14:textId="1ACECB90" w:rsidR="00CA56F5" w:rsidRPr="00CA56F5" w:rsidRDefault="00CA56F5" w:rsidP="00CA56F5">
      <w:pPr>
        <w:rPr>
          <w:rFonts w:cs="Arial"/>
        </w:rPr>
      </w:pPr>
      <w:r w:rsidRPr="00CA56F5">
        <w:rPr>
          <w:rFonts w:eastAsia="Times New Roman" w:cs="Arial"/>
          <w:color w:val="000000"/>
          <w:lang w:eastAsia="bg-BG"/>
        </w:rPr>
        <w:t xml:space="preserve">Наблюдавано е клинично-значимо предимство при оценяването от изследователя на </w:t>
      </w:r>
      <w:r w:rsidRPr="00CA56F5">
        <w:rPr>
          <w:rFonts w:eastAsia="Times New Roman" w:cs="Arial"/>
          <w:color w:val="000000"/>
          <w:lang w:val="en-US"/>
        </w:rPr>
        <w:t xml:space="preserve">PFS </w:t>
      </w:r>
      <w:r w:rsidRPr="00CA56F5">
        <w:rPr>
          <w:rFonts w:eastAsia="Times New Roman" w:cs="Arial"/>
          <w:color w:val="000000"/>
          <w:lang w:eastAsia="bg-BG"/>
        </w:rPr>
        <w:t xml:space="preserve">за сунитиниб в сравнение с плацебо. Медианата на преживяемостга в рамото на сунитиниб е била 11,4 месеца в сравнение с 5,5 месеца за рамото на плацебо </w:t>
      </w:r>
      <w:r w:rsidRPr="00CA56F5">
        <w:rPr>
          <w:rFonts w:eastAsia="Times New Roman" w:cs="Arial"/>
          <w:color w:val="000000"/>
          <w:lang w:val="en-US"/>
        </w:rPr>
        <w:t xml:space="preserve">[HR; </w:t>
      </w:r>
      <w:r w:rsidRPr="00CA56F5">
        <w:rPr>
          <w:rFonts w:eastAsia="Times New Roman" w:cs="Arial"/>
          <w:color w:val="000000"/>
          <w:lang w:eastAsia="bg-BG"/>
        </w:rPr>
        <w:t xml:space="preserve">0,418 (95% </w:t>
      </w:r>
      <w:r w:rsidRPr="00CA56F5">
        <w:rPr>
          <w:rFonts w:eastAsia="Times New Roman" w:cs="Arial"/>
          <w:color w:val="000000"/>
          <w:lang w:val="en-US"/>
        </w:rPr>
        <w:t xml:space="preserve">CI </w:t>
      </w:r>
      <w:r w:rsidRPr="00CA56F5">
        <w:rPr>
          <w:rFonts w:eastAsia="Times New Roman" w:cs="Arial"/>
          <w:color w:val="000000"/>
          <w:lang w:eastAsia="bg-BG"/>
        </w:rPr>
        <w:t xml:space="preserve">0,263; 0,662), р-стойност=0,0001]; подобни резултати са били наблюдавани, когато оценките на туморния отговор, получени въз основа на прилагането на </w:t>
      </w:r>
      <w:r w:rsidRPr="00CA56F5">
        <w:rPr>
          <w:rFonts w:eastAsia="Times New Roman" w:cs="Arial"/>
          <w:color w:val="000000"/>
          <w:lang w:val="en-US"/>
        </w:rPr>
        <w:t xml:space="preserve">RECIST </w:t>
      </w:r>
      <w:r w:rsidRPr="00CA56F5">
        <w:rPr>
          <w:rFonts w:eastAsia="Times New Roman" w:cs="Arial"/>
          <w:color w:val="000000"/>
          <w:lang w:eastAsia="bg-BG"/>
        </w:rPr>
        <w:t xml:space="preserve">към измерванията на тумора от изследователите, са били използвани за определяне на прогресията на заболяването, както е показано в таблица 4. Оценка на </w:t>
      </w:r>
      <w:r w:rsidRPr="00CA56F5">
        <w:rPr>
          <w:rFonts w:eastAsia="Times New Roman" w:cs="Arial"/>
          <w:color w:val="000000"/>
          <w:lang w:val="en-US"/>
        </w:rPr>
        <w:t xml:space="preserve">HR </w:t>
      </w:r>
      <w:r w:rsidRPr="00CA56F5">
        <w:rPr>
          <w:rFonts w:eastAsia="Times New Roman" w:cs="Arial"/>
          <w:color w:val="000000"/>
          <w:lang w:eastAsia="bg-BG"/>
        </w:rPr>
        <w:t xml:space="preserve">в полза на сунитиниб е наблюдавана при всички подгрупи с оценявани характеристики на изходно ниво, включително и анализ на броя на курсовете предшестващо системно лечение. Общо 29 пациенти от рамото на сунитиниб и 24 от рамото на плацебо не са били подложени на предшестваща системна терапия; при тези пациенти </w:t>
      </w:r>
      <w:r w:rsidRPr="00CA56F5">
        <w:rPr>
          <w:rFonts w:eastAsia="Times New Roman" w:cs="Arial"/>
          <w:color w:val="000000"/>
          <w:lang w:val="en-US"/>
        </w:rPr>
        <w:t xml:space="preserve">HR </w:t>
      </w:r>
      <w:r w:rsidRPr="00CA56F5">
        <w:rPr>
          <w:rFonts w:eastAsia="Times New Roman" w:cs="Arial"/>
          <w:color w:val="000000"/>
          <w:lang w:eastAsia="bg-BG"/>
        </w:rPr>
        <w:t xml:space="preserve">за </w:t>
      </w:r>
      <w:r w:rsidRPr="00CA56F5">
        <w:rPr>
          <w:rFonts w:eastAsia="Times New Roman" w:cs="Arial"/>
          <w:color w:val="000000"/>
          <w:lang w:val="en-US"/>
        </w:rPr>
        <w:t xml:space="preserve">PFS </w:t>
      </w:r>
      <w:r w:rsidRPr="00CA56F5">
        <w:rPr>
          <w:rFonts w:eastAsia="Times New Roman" w:cs="Arial"/>
          <w:color w:val="000000"/>
          <w:lang w:eastAsia="bg-BG"/>
        </w:rPr>
        <w:t xml:space="preserve">е бил 0,365 (95% </w:t>
      </w:r>
      <w:r w:rsidRPr="00CA56F5">
        <w:rPr>
          <w:rFonts w:eastAsia="Times New Roman" w:cs="Arial"/>
          <w:color w:val="000000"/>
          <w:lang w:val="en-US"/>
        </w:rPr>
        <w:t xml:space="preserve">CI </w:t>
      </w:r>
      <w:r w:rsidRPr="00CA56F5">
        <w:rPr>
          <w:rFonts w:eastAsia="Times New Roman" w:cs="Arial"/>
          <w:color w:val="000000"/>
          <w:lang w:eastAsia="bg-BG"/>
        </w:rPr>
        <w:t xml:space="preserve">0,156; 0,857), р=0,0156. Подобно на това, при 57 пациенти в рамото на сунитиниб (включително 28 с 1 цикъл на предшестваща системна терапия и 29 с 2 или повече цикъла на системна терапия) и 61 пациенти в рамото на плацебо (включително 25 с 1 цикъл на предшестваща системна терапия и 36 с 2 или повече цикъла на системна терапия), </w:t>
      </w:r>
      <w:r w:rsidRPr="00CA56F5">
        <w:rPr>
          <w:rFonts w:eastAsia="Times New Roman" w:cs="Arial"/>
          <w:color w:val="000000"/>
          <w:lang w:val="en-US"/>
        </w:rPr>
        <w:t>HR</w:t>
      </w:r>
      <w:r w:rsidRPr="00CA56F5">
        <w:rPr>
          <w:rFonts w:eastAsia="Times New Roman" w:cs="Arial"/>
          <w:color w:val="000000"/>
          <w:lang w:eastAsia="bg-BG"/>
        </w:rPr>
        <w:t xml:space="preserve"> за </w:t>
      </w:r>
      <w:r w:rsidRPr="00CA56F5">
        <w:rPr>
          <w:rFonts w:eastAsia="Times New Roman" w:cs="Arial"/>
          <w:color w:val="000000"/>
          <w:lang w:val="en-US"/>
        </w:rPr>
        <w:t xml:space="preserve">PFB </w:t>
      </w:r>
      <w:r w:rsidRPr="00CA56F5">
        <w:rPr>
          <w:rFonts w:eastAsia="Times New Roman" w:cs="Arial"/>
          <w:color w:val="000000"/>
          <w:lang w:eastAsia="bg-BG"/>
        </w:rPr>
        <w:t>е бил 0,456 (95% С1 0,264; 0,787), р=0,0036.</w:t>
      </w:r>
    </w:p>
    <w:p w14:paraId="66A88C71" w14:textId="4B878D37" w:rsidR="00CA56F5" w:rsidRPr="00CA56F5" w:rsidRDefault="00CA56F5" w:rsidP="0091385D">
      <w:pPr>
        <w:rPr>
          <w:rFonts w:cs="Arial"/>
        </w:rPr>
      </w:pPr>
    </w:p>
    <w:p w14:paraId="48EDC935"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Проведен е анализ на чувствителността на </w:t>
      </w:r>
      <w:r w:rsidRPr="00CA56F5">
        <w:rPr>
          <w:rFonts w:eastAsia="Times New Roman" w:cs="Arial"/>
          <w:color w:val="000000"/>
          <w:lang w:val="en-US"/>
        </w:rPr>
        <w:t xml:space="preserve">PFS, </w:t>
      </w:r>
      <w:r w:rsidRPr="00CA56F5">
        <w:rPr>
          <w:rFonts w:eastAsia="Times New Roman" w:cs="Arial"/>
          <w:color w:val="000000"/>
          <w:lang w:eastAsia="bg-BG"/>
        </w:rPr>
        <w:t xml:space="preserve">като данните за прогресията се базират на измерванията на тумора, докладвани от изследователите и където всички пациенти, отпаднали по причини, различни от прекратяване на проучването, са разглеждани като </w:t>
      </w:r>
      <w:r w:rsidRPr="00CA56F5">
        <w:rPr>
          <w:rFonts w:eastAsia="Times New Roman" w:cs="Arial"/>
          <w:color w:val="000000"/>
          <w:lang w:val="en-US"/>
        </w:rPr>
        <w:t xml:space="preserve">PFS </w:t>
      </w:r>
      <w:r w:rsidRPr="00CA56F5">
        <w:rPr>
          <w:rFonts w:eastAsia="Times New Roman" w:cs="Arial"/>
          <w:color w:val="000000"/>
          <w:lang w:eastAsia="bg-BG"/>
        </w:rPr>
        <w:t xml:space="preserve">събития. Този анализ представя консервативна оценка на терапевтичния ефект на сунитиниб и подкрепя първичния анализ, показващ </w:t>
      </w:r>
      <w:r w:rsidRPr="00CA56F5">
        <w:rPr>
          <w:rFonts w:eastAsia="Times New Roman" w:cs="Arial"/>
          <w:color w:val="000000"/>
          <w:lang w:val="en-US"/>
        </w:rPr>
        <w:t xml:space="preserve">HR </w:t>
      </w:r>
      <w:r w:rsidRPr="00CA56F5">
        <w:rPr>
          <w:rFonts w:eastAsia="Times New Roman" w:cs="Arial"/>
          <w:color w:val="000000"/>
          <w:lang w:eastAsia="bg-BG"/>
        </w:rPr>
        <w:t xml:space="preserve">0,507 (95% </w:t>
      </w:r>
      <w:r w:rsidRPr="00CA56F5">
        <w:rPr>
          <w:rFonts w:eastAsia="Times New Roman" w:cs="Arial"/>
          <w:color w:val="000000"/>
          <w:lang w:val="en-US"/>
        </w:rPr>
        <w:t xml:space="preserve">CI: </w:t>
      </w:r>
      <w:r w:rsidRPr="00CA56F5">
        <w:rPr>
          <w:rFonts w:eastAsia="Times New Roman" w:cs="Arial"/>
          <w:color w:val="000000"/>
          <w:lang w:eastAsia="bg-BG"/>
        </w:rPr>
        <w:t>0,350; 0,733) р=0,000193. Главното проучване при панкреатични невроендокринни тумори е било прекратено предварително по препоръка на независим Комитет по лекарствен мониторинг, а първичната крайна точка е била базирана на оценката на изследователя, като и двата факта може да са оказали влияние на оценката на терапевтичния ефект.</w:t>
      </w:r>
    </w:p>
    <w:p w14:paraId="40AFB8BA" w14:textId="77777777" w:rsidR="00CA56F5" w:rsidRPr="00CA56F5" w:rsidRDefault="00CA56F5" w:rsidP="00CA56F5">
      <w:pPr>
        <w:spacing w:line="240" w:lineRule="auto"/>
        <w:rPr>
          <w:rFonts w:eastAsia="Times New Roman" w:cs="Arial"/>
          <w:color w:val="000000"/>
          <w:lang w:eastAsia="bg-BG"/>
        </w:rPr>
      </w:pPr>
    </w:p>
    <w:p w14:paraId="654CC47A" w14:textId="0761741A"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За да се изключи пристрастност при оценката на изследователя за </w:t>
      </w:r>
      <w:r w:rsidRPr="00CA56F5">
        <w:rPr>
          <w:rFonts w:eastAsia="Times New Roman" w:cs="Arial"/>
          <w:color w:val="000000"/>
          <w:lang w:val="en-US"/>
        </w:rPr>
        <w:t xml:space="preserve">PFS, </w:t>
      </w:r>
      <w:r w:rsidRPr="00CA56F5">
        <w:rPr>
          <w:rFonts w:eastAsia="Times New Roman" w:cs="Arial"/>
          <w:color w:val="000000"/>
          <w:lang w:eastAsia="bg-BG"/>
        </w:rPr>
        <w:t xml:space="preserve">е проведен </w:t>
      </w:r>
      <w:r w:rsidRPr="00CA56F5">
        <w:rPr>
          <w:rFonts w:eastAsia="Times New Roman" w:cs="Arial"/>
          <w:color w:val="000000"/>
          <w:lang w:val="en-US"/>
        </w:rPr>
        <w:t xml:space="preserve">BICR </w:t>
      </w:r>
      <w:r w:rsidRPr="00CA56F5">
        <w:rPr>
          <w:rFonts w:eastAsia="Times New Roman" w:cs="Arial"/>
          <w:color w:val="000000"/>
          <w:lang w:eastAsia="bg-BG"/>
        </w:rPr>
        <w:t>на резултатите, който е подкрепил оценката на изследователя, какго е показано в таблица 4.</w:t>
      </w:r>
    </w:p>
    <w:p w14:paraId="77D37CA3" w14:textId="77777777" w:rsidR="00CA56F5" w:rsidRPr="00CA56F5" w:rsidRDefault="00CA56F5" w:rsidP="00CA56F5">
      <w:pPr>
        <w:rPr>
          <w:rFonts w:eastAsia="Times New Roman" w:cs="Arial"/>
          <w:b/>
          <w:bCs/>
          <w:color w:val="000000"/>
          <w:lang w:eastAsia="bg-BG"/>
        </w:rPr>
      </w:pPr>
    </w:p>
    <w:p w14:paraId="2A41497A" w14:textId="304E82A6" w:rsidR="00CA56F5" w:rsidRPr="00CA56F5" w:rsidRDefault="00CA56F5" w:rsidP="00CA56F5">
      <w:pPr>
        <w:rPr>
          <w:rFonts w:eastAsia="Times New Roman" w:cs="Arial"/>
          <w:b/>
          <w:bCs/>
          <w:color w:val="000000"/>
          <w:lang w:eastAsia="bg-BG"/>
        </w:rPr>
      </w:pPr>
      <w:r w:rsidRPr="00CA56F5">
        <w:rPr>
          <w:rFonts w:eastAsia="Times New Roman" w:cs="Arial"/>
          <w:b/>
          <w:bCs/>
          <w:color w:val="000000"/>
          <w:lang w:eastAsia="bg-BG"/>
        </w:rPr>
        <w:t xml:space="preserve">Таблица 4. </w:t>
      </w:r>
      <w:proofErr w:type="gramStart"/>
      <w:r w:rsidRPr="00CA56F5">
        <w:rPr>
          <w:rFonts w:eastAsia="Times New Roman" w:cs="Arial"/>
          <w:b/>
          <w:bCs/>
          <w:color w:val="000000"/>
          <w:lang w:val="en-US"/>
        </w:rPr>
        <w:t>pNET</w:t>
      </w:r>
      <w:proofErr w:type="gramEnd"/>
      <w:r w:rsidRPr="00CA56F5">
        <w:rPr>
          <w:rFonts w:eastAsia="Times New Roman" w:cs="Arial"/>
          <w:b/>
          <w:bCs/>
          <w:color w:val="000000"/>
          <w:lang w:val="en-US"/>
        </w:rPr>
        <w:t xml:space="preserve"> </w:t>
      </w:r>
      <w:r w:rsidRPr="00CA56F5">
        <w:rPr>
          <w:rFonts w:eastAsia="Times New Roman" w:cs="Arial"/>
          <w:b/>
          <w:bCs/>
          <w:color w:val="000000"/>
          <w:lang w:eastAsia="bg-BG"/>
        </w:rPr>
        <w:t>резултати за ефикасност от фаза 3 проучване.</w:t>
      </w:r>
    </w:p>
    <w:p w14:paraId="4EF6F44B" w14:textId="7306C0DA" w:rsidR="00CA56F5" w:rsidRDefault="00CA56F5" w:rsidP="00CA56F5">
      <w:pPr>
        <w:rPr>
          <w:rFonts w:ascii="Times New Roman" w:eastAsia="Times New Roman" w:hAnsi="Times New Roman" w:cs="Times New Roman"/>
          <w:b/>
          <w:bCs/>
          <w:color w:val="000000"/>
          <w:sz w:val="20"/>
          <w:szCs w:val="20"/>
          <w:lang w:eastAsia="bg-BG"/>
        </w:rPr>
      </w:pPr>
    </w:p>
    <w:tbl>
      <w:tblPr>
        <w:tblStyle w:val="TableGrid"/>
        <w:tblW w:w="0" w:type="auto"/>
        <w:tblLook w:val="04A0" w:firstRow="1" w:lastRow="0" w:firstColumn="1" w:lastColumn="0" w:noHBand="0" w:noVBand="1"/>
      </w:tblPr>
      <w:tblGrid>
        <w:gridCol w:w="1870"/>
        <w:gridCol w:w="1870"/>
        <w:gridCol w:w="1870"/>
        <w:gridCol w:w="1870"/>
        <w:gridCol w:w="1870"/>
      </w:tblGrid>
      <w:tr w:rsidR="00CA56F5" w14:paraId="71A992AA" w14:textId="77777777" w:rsidTr="00CA56F5">
        <w:tc>
          <w:tcPr>
            <w:tcW w:w="1870" w:type="dxa"/>
          </w:tcPr>
          <w:p w14:paraId="453EC7E7" w14:textId="0E0FAA73" w:rsidR="00CA56F5" w:rsidRPr="00CA56F5" w:rsidRDefault="00CA56F5" w:rsidP="00CA56F5">
            <w:r w:rsidRPr="00CA56F5">
              <w:rPr>
                <w:b/>
                <w:bCs/>
                <w:szCs w:val="20"/>
              </w:rPr>
              <w:t>Параметър за ефикасност</w:t>
            </w:r>
          </w:p>
        </w:tc>
        <w:tc>
          <w:tcPr>
            <w:tcW w:w="1870" w:type="dxa"/>
          </w:tcPr>
          <w:p w14:paraId="1487D14C" w14:textId="0A0AB826" w:rsidR="00CA56F5" w:rsidRPr="00CA56F5" w:rsidRDefault="00CA56F5" w:rsidP="00CA56F5">
            <w:r w:rsidRPr="00CA56F5">
              <w:rPr>
                <w:b/>
                <w:bCs/>
                <w:szCs w:val="20"/>
              </w:rPr>
              <w:t xml:space="preserve">Сунитиниб </w:t>
            </w:r>
            <w:r w:rsidRPr="00CA56F5">
              <w:rPr>
                <w:b/>
                <w:bCs/>
                <w:szCs w:val="20"/>
                <w:lang w:val="en-US"/>
              </w:rPr>
              <w:t xml:space="preserve">(N </w:t>
            </w:r>
            <w:r w:rsidRPr="00CA56F5">
              <w:rPr>
                <w:b/>
                <w:bCs/>
                <w:szCs w:val="20"/>
              </w:rPr>
              <w:t>= 86)</w:t>
            </w:r>
          </w:p>
        </w:tc>
        <w:tc>
          <w:tcPr>
            <w:tcW w:w="1870" w:type="dxa"/>
          </w:tcPr>
          <w:p w14:paraId="3975050F" w14:textId="58475063" w:rsidR="00CA56F5" w:rsidRPr="00CA56F5" w:rsidRDefault="00CA56F5" w:rsidP="00CA56F5">
            <w:r w:rsidRPr="00CA56F5">
              <w:rPr>
                <w:b/>
                <w:bCs/>
                <w:szCs w:val="20"/>
              </w:rPr>
              <w:t xml:space="preserve">Плацебо </w:t>
            </w:r>
            <w:r w:rsidRPr="00CA56F5">
              <w:rPr>
                <w:b/>
                <w:bCs/>
                <w:szCs w:val="20"/>
                <w:lang w:val="en-US"/>
              </w:rPr>
              <w:t>(N = 85)</w:t>
            </w:r>
          </w:p>
        </w:tc>
        <w:tc>
          <w:tcPr>
            <w:tcW w:w="1870" w:type="dxa"/>
          </w:tcPr>
          <w:p w14:paraId="594FEFFB" w14:textId="42E3C3DA" w:rsidR="00CA56F5" w:rsidRPr="00CA56F5" w:rsidRDefault="00CA56F5" w:rsidP="00CA56F5">
            <w:r w:rsidRPr="00CA56F5">
              <w:rPr>
                <w:b/>
                <w:bCs/>
                <w:szCs w:val="20"/>
              </w:rPr>
              <w:t xml:space="preserve">Коефициент на риск (95% </w:t>
            </w:r>
            <w:r w:rsidRPr="00CA56F5">
              <w:rPr>
                <w:b/>
                <w:bCs/>
                <w:szCs w:val="20"/>
                <w:lang w:val="en-US"/>
              </w:rPr>
              <w:t>CI)</w:t>
            </w:r>
          </w:p>
        </w:tc>
        <w:tc>
          <w:tcPr>
            <w:tcW w:w="1870" w:type="dxa"/>
          </w:tcPr>
          <w:p w14:paraId="6AB660B9" w14:textId="36DD4C86" w:rsidR="00CA56F5" w:rsidRPr="00CA56F5" w:rsidRDefault="00CA56F5" w:rsidP="00CA56F5">
            <w:r w:rsidRPr="00CA56F5">
              <w:rPr>
                <w:b/>
                <w:bCs/>
                <w:szCs w:val="20"/>
              </w:rPr>
              <w:t>р-стойност</w:t>
            </w:r>
          </w:p>
        </w:tc>
      </w:tr>
      <w:tr w:rsidR="00CA56F5" w14:paraId="2C49C59A" w14:textId="77777777" w:rsidTr="00CA56F5">
        <w:tc>
          <w:tcPr>
            <w:tcW w:w="1870" w:type="dxa"/>
          </w:tcPr>
          <w:p w14:paraId="116C6E75" w14:textId="62CD91B6" w:rsidR="00CA56F5" w:rsidRPr="00CA56F5" w:rsidRDefault="00CA56F5" w:rsidP="00CA56F5">
            <w:r w:rsidRPr="00CA56F5">
              <w:rPr>
                <w:szCs w:val="20"/>
              </w:rPr>
              <w:t xml:space="preserve">Преживяемост без прогресия [медиана, месеци (95% </w:t>
            </w:r>
            <w:r w:rsidRPr="00CA56F5">
              <w:rPr>
                <w:szCs w:val="20"/>
                <w:lang w:val="en-US"/>
              </w:rPr>
              <w:t xml:space="preserve">CI)] </w:t>
            </w:r>
            <w:r w:rsidRPr="00CA56F5">
              <w:rPr>
                <w:szCs w:val="20"/>
              </w:rPr>
              <w:t>по оценка на изследователя</w:t>
            </w:r>
          </w:p>
        </w:tc>
        <w:tc>
          <w:tcPr>
            <w:tcW w:w="1870" w:type="dxa"/>
          </w:tcPr>
          <w:p w14:paraId="07D64B29" w14:textId="035BD594" w:rsidR="00CA56F5" w:rsidRPr="00CA56F5" w:rsidRDefault="00CA56F5" w:rsidP="00CA56F5">
            <w:r w:rsidRPr="00CA56F5">
              <w:rPr>
                <w:szCs w:val="20"/>
              </w:rPr>
              <w:t>11,4 (7,4, 19,8)</w:t>
            </w:r>
          </w:p>
        </w:tc>
        <w:tc>
          <w:tcPr>
            <w:tcW w:w="1870" w:type="dxa"/>
          </w:tcPr>
          <w:p w14:paraId="430E1067" w14:textId="751D35CD" w:rsidR="00CA56F5" w:rsidRPr="00CA56F5" w:rsidRDefault="00CA56F5" w:rsidP="00CA56F5">
            <w:r w:rsidRPr="00CA56F5">
              <w:rPr>
                <w:szCs w:val="20"/>
              </w:rPr>
              <w:t>5,5 (3,6, 7,4)</w:t>
            </w:r>
          </w:p>
        </w:tc>
        <w:tc>
          <w:tcPr>
            <w:tcW w:w="1870" w:type="dxa"/>
          </w:tcPr>
          <w:p w14:paraId="0D981537" w14:textId="7CA5EBA9" w:rsidR="00CA56F5" w:rsidRPr="00CA56F5" w:rsidRDefault="00CA56F5" w:rsidP="00CA56F5">
            <w:r w:rsidRPr="00CA56F5">
              <w:rPr>
                <w:szCs w:val="20"/>
              </w:rPr>
              <w:t>0,418 (0,263, 0,662)</w:t>
            </w:r>
          </w:p>
        </w:tc>
        <w:tc>
          <w:tcPr>
            <w:tcW w:w="1870" w:type="dxa"/>
          </w:tcPr>
          <w:p w14:paraId="1E7291A2" w14:textId="044EABB5" w:rsidR="00CA56F5" w:rsidRPr="00CA56F5" w:rsidRDefault="00CA56F5" w:rsidP="00CA56F5">
            <w:r w:rsidRPr="00CA56F5">
              <w:rPr>
                <w:szCs w:val="20"/>
              </w:rPr>
              <w:t>0,0001</w:t>
            </w:r>
            <w:r w:rsidRPr="00CA56F5">
              <w:rPr>
                <w:szCs w:val="20"/>
                <w:vertAlign w:val="superscript"/>
              </w:rPr>
              <w:t>а</w:t>
            </w:r>
          </w:p>
        </w:tc>
      </w:tr>
      <w:tr w:rsidR="00CA56F5" w14:paraId="725BDDD9" w14:textId="77777777" w:rsidTr="00CA56F5">
        <w:tc>
          <w:tcPr>
            <w:tcW w:w="1870" w:type="dxa"/>
          </w:tcPr>
          <w:p w14:paraId="252E5EF1" w14:textId="591DF53A" w:rsidR="00CA56F5" w:rsidRPr="00CA56F5" w:rsidRDefault="00CA56F5" w:rsidP="00CA56F5">
            <w:r w:rsidRPr="00CA56F5">
              <w:rPr>
                <w:szCs w:val="20"/>
              </w:rPr>
              <w:lastRenderedPageBreak/>
              <w:t xml:space="preserve">Преживяемост без прогресия [медиана, месеци (95% </w:t>
            </w:r>
            <w:r w:rsidRPr="00CA56F5">
              <w:rPr>
                <w:szCs w:val="20"/>
                <w:lang w:val="en-US"/>
              </w:rPr>
              <w:t xml:space="preserve">CI)] </w:t>
            </w:r>
            <w:r w:rsidRPr="00CA56F5">
              <w:rPr>
                <w:szCs w:val="20"/>
              </w:rPr>
              <w:t xml:space="preserve">чрез оценка на туморния отговор, въз основа на прилагането на </w:t>
            </w:r>
            <w:r w:rsidRPr="00CA56F5">
              <w:rPr>
                <w:szCs w:val="20"/>
                <w:lang w:val="en-US"/>
              </w:rPr>
              <w:t xml:space="preserve">RECIST </w:t>
            </w:r>
            <w:r w:rsidRPr="00CA56F5">
              <w:rPr>
                <w:szCs w:val="20"/>
              </w:rPr>
              <w:t>към туморните оценки на изследователя</w:t>
            </w:r>
          </w:p>
        </w:tc>
        <w:tc>
          <w:tcPr>
            <w:tcW w:w="1870" w:type="dxa"/>
          </w:tcPr>
          <w:p w14:paraId="7EFD0DA7" w14:textId="6D558DEE" w:rsidR="00CA56F5" w:rsidRPr="00CA56F5" w:rsidRDefault="00CA56F5" w:rsidP="00CA56F5">
            <w:r w:rsidRPr="00CA56F5">
              <w:rPr>
                <w:szCs w:val="20"/>
              </w:rPr>
              <w:t>12,6 (7,4, 16,9)</w:t>
            </w:r>
          </w:p>
        </w:tc>
        <w:tc>
          <w:tcPr>
            <w:tcW w:w="1870" w:type="dxa"/>
          </w:tcPr>
          <w:p w14:paraId="4D01B228" w14:textId="0632D7D4" w:rsidR="00CA56F5" w:rsidRPr="00CA56F5" w:rsidRDefault="00CA56F5" w:rsidP="00CA56F5">
            <w:r w:rsidRPr="00CA56F5">
              <w:rPr>
                <w:szCs w:val="20"/>
              </w:rPr>
              <w:t>5,4 (3,5, 6,0)</w:t>
            </w:r>
          </w:p>
        </w:tc>
        <w:tc>
          <w:tcPr>
            <w:tcW w:w="1870" w:type="dxa"/>
          </w:tcPr>
          <w:p w14:paraId="551C9759" w14:textId="678E96F0" w:rsidR="00CA56F5" w:rsidRPr="00CA56F5" w:rsidRDefault="00CA56F5" w:rsidP="00CA56F5">
            <w:r w:rsidRPr="00CA56F5">
              <w:rPr>
                <w:szCs w:val="20"/>
              </w:rPr>
              <w:t>0,401 (0,252, 0,640)</w:t>
            </w:r>
          </w:p>
        </w:tc>
        <w:tc>
          <w:tcPr>
            <w:tcW w:w="1870" w:type="dxa"/>
          </w:tcPr>
          <w:p w14:paraId="44E723F9" w14:textId="6441547F" w:rsidR="00CA56F5" w:rsidRPr="00CA56F5" w:rsidRDefault="00CA56F5" w:rsidP="00CA56F5">
            <w:r w:rsidRPr="00CA56F5">
              <w:rPr>
                <w:szCs w:val="20"/>
              </w:rPr>
              <w:t>0,000066*</w:t>
            </w:r>
          </w:p>
        </w:tc>
      </w:tr>
      <w:tr w:rsidR="00CA56F5" w14:paraId="7C9B418F" w14:textId="77777777" w:rsidTr="00CA56F5">
        <w:tc>
          <w:tcPr>
            <w:tcW w:w="1870" w:type="dxa"/>
          </w:tcPr>
          <w:p w14:paraId="495AB83B" w14:textId="395367C6" w:rsidR="00CA56F5" w:rsidRPr="00CA56F5" w:rsidRDefault="00CA56F5" w:rsidP="00CA56F5">
            <w:r w:rsidRPr="00CA56F5">
              <w:rPr>
                <w:szCs w:val="20"/>
              </w:rPr>
              <w:t xml:space="preserve">Преживяемост без прогресия [медиана, месеци (95% </w:t>
            </w:r>
            <w:r w:rsidRPr="00CA56F5">
              <w:rPr>
                <w:szCs w:val="20"/>
                <w:lang w:val="en-US"/>
              </w:rPr>
              <w:t xml:space="preserve">CI)] </w:t>
            </w:r>
            <w:r w:rsidRPr="00CA56F5">
              <w:rPr>
                <w:szCs w:val="20"/>
              </w:rPr>
              <w:t>чрез сляп независим централизиран преглед на туморните оценки</w:t>
            </w:r>
          </w:p>
        </w:tc>
        <w:tc>
          <w:tcPr>
            <w:tcW w:w="1870" w:type="dxa"/>
          </w:tcPr>
          <w:p w14:paraId="385A8693" w14:textId="4FC0F663" w:rsidR="00CA56F5" w:rsidRPr="00CA56F5" w:rsidRDefault="00CA56F5" w:rsidP="00CA56F5">
            <w:r w:rsidRPr="00CA56F5">
              <w:rPr>
                <w:szCs w:val="20"/>
              </w:rPr>
              <w:t>12,6 (11,1,20,6)</w:t>
            </w:r>
          </w:p>
        </w:tc>
        <w:tc>
          <w:tcPr>
            <w:tcW w:w="1870" w:type="dxa"/>
          </w:tcPr>
          <w:p w14:paraId="03E998C3" w14:textId="38B91D8A" w:rsidR="00CA56F5" w:rsidRPr="00CA56F5" w:rsidRDefault="00CA56F5" w:rsidP="00CA56F5">
            <w:r w:rsidRPr="00CA56F5">
              <w:rPr>
                <w:szCs w:val="20"/>
              </w:rPr>
              <w:t>5,8 (3,8, 7,2)</w:t>
            </w:r>
          </w:p>
        </w:tc>
        <w:tc>
          <w:tcPr>
            <w:tcW w:w="1870" w:type="dxa"/>
          </w:tcPr>
          <w:p w14:paraId="33961EC6" w14:textId="30AF0E5A" w:rsidR="00CA56F5" w:rsidRPr="00CA56F5" w:rsidRDefault="00CA56F5" w:rsidP="00CA56F5">
            <w:r w:rsidRPr="00CA56F5">
              <w:rPr>
                <w:szCs w:val="20"/>
              </w:rPr>
              <w:t>0,315 (0,181,0,546)</w:t>
            </w:r>
          </w:p>
        </w:tc>
        <w:tc>
          <w:tcPr>
            <w:tcW w:w="1870" w:type="dxa"/>
          </w:tcPr>
          <w:p w14:paraId="212752AC" w14:textId="46C656A8" w:rsidR="00CA56F5" w:rsidRPr="00CA56F5" w:rsidRDefault="00CA56F5" w:rsidP="00CA56F5">
            <w:r w:rsidRPr="00CA56F5">
              <w:rPr>
                <w:szCs w:val="20"/>
              </w:rPr>
              <w:t>0,000015</w:t>
            </w:r>
            <w:r w:rsidRPr="00CA56F5">
              <w:rPr>
                <w:szCs w:val="20"/>
                <w:vertAlign w:val="superscript"/>
              </w:rPr>
              <w:t>а</w:t>
            </w:r>
            <w:r w:rsidRPr="00CA56F5">
              <w:rPr>
                <w:szCs w:val="20"/>
              </w:rPr>
              <w:t xml:space="preserve"> </w:t>
            </w:r>
          </w:p>
        </w:tc>
      </w:tr>
      <w:tr w:rsidR="00CA56F5" w14:paraId="02F88545" w14:textId="77777777" w:rsidTr="00CA56F5">
        <w:tc>
          <w:tcPr>
            <w:tcW w:w="1870" w:type="dxa"/>
          </w:tcPr>
          <w:p w14:paraId="41F73B34" w14:textId="77777777" w:rsidR="00CA56F5" w:rsidRPr="00CA56F5" w:rsidRDefault="00CA56F5" w:rsidP="00CA56F5">
            <w:r w:rsidRPr="00CA56F5">
              <w:rPr>
                <w:szCs w:val="20"/>
              </w:rPr>
              <w:t xml:space="preserve">Обща преживяемост </w:t>
            </w:r>
            <w:r w:rsidRPr="00CA56F5">
              <w:rPr>
                <w:szCs w:val="20"/>
                <w:lang w:val="en-US"/>
              </w:rPr>
              <w:t xml:space="preserve">(OS) </w:t>
            </w:r>
            <w:r w:rsidRPr="00CA56F5">
              <w:rPr>
                <w:szCs w:val="20"/>
              </w:rPr>
              <w:t>[период на проследяване 5 години]</w:t>
            </w:r>
          </w:p>
          <w:p w14:paraId="6B2F0A2D" w14:textId="44A7215E" w:rsidR="00CA56F5" w:rsidRPr="00CA56F5" w:rsidRDefault="00CA56F5" w:rsidP="00CA56F5">
            <w:r w:rsidRPr="00CA56F5">
              <w:rPr>
                <w:szCs w:val="20"/>
              </w:rPr>
              <w:t>[медиана, месеци (95% С</w:t>
            </w:r>
            <w:r w:rsidRPr="00CA56F5">
              <w:rPr>
                <w:szCs w:val="20"/>
                <w:lang w:val="en-US"/>
              </w:rPr>
              <w:t>I</w:t>
            </w:r>
            <w:r w:rsidRPr="00CA56F5">
              <w:rPr>
                <w:szCs w:val="20"/>
              </w:rPr>
              <w:t>)]</w:t>
            </w:r>
          </w:p>
        </w:tc>
        <w:tc>
          <w:tcPr>
            <w:tcW w:w="1870" w:type="dxa"/>
          </w:tcPr>
          <w:p w14:paraId="06A64AAD" w14:textId="5AB7E711" w:rsidR="00CA56F5" w:rsidRPr="00CA56F5" w:rsidRDefault="00CA56F5" w:rsidP="00CA56F5">
            <w:r w:rsidRPr="00CA56F5">
              <w:rPr>
                <w:szCs w:val="20"/>
              </w:rPr>
              <w:t>38,6 (25,6, 56,4)</w:t>
            </w:r>
          </w:p>
        </w:tc>
        <w:tc>
          <w:tcPr>
            <w:tcW w:w="1870" w:type="dxa"/>
          </w:tcPr>
          <w:p w14:paraId="348B78BC" w14:textId="5C2861CC" w:rsidR="00CA56F5" w:rsidRPr="00CA56F5" w:rsidRDefault="00CA56F5" w:rsidP="00CA56F5">
            <w:r w:rsidRPr="00CA56F5">
              <w:rPr>
                <w:szCs w:val="20"/>
              </w:rPr>
              <w:t>29,1 (16,4, 36,8)</w:t>
            </w:r>
          </w:p>
        </w:tc>
        <w:tc>
          <w:tcPr>
            <w:tcW w:w="1870" w:type="dxa"/>
          </w:tcPr>
          <w:p w14:paraId="65A38C60" w14:textId="143CBB29" w:rsidR="00CA56F5" w:rsidRPr="00CA56F5" w:rsidRDefault="00CA56F5" w:rsidP="00CA56F5">
            <w:r w:rsidRPr="00CA56F5">
              <w:rPr>
                <w:szCs w:val="20"/>
              </w:rPr>
              <w:t>0,730 (0,504, 1,057)</w:t>
            </w:r>
          </w:p>
        </w:tc>
        <w:tc>
          <w:tcPr>
            <w:tcW w:w="1870" w:type="dxa"/>
          </w:tcPr>
          <w:p w14:paraId="78E4C485" w14:textId="77777777" w:rsidR="00CA56F5" w:rsidRPr="00CA56F5" w:rsidRDefault="00CA56F5" w:rsidP="00CA56F5"/>
          <w:p w14:paraId="4E4D3509" w14:textId="7B541E18" w:rsidR="00CA56F5" w:rsidRPr="00CA56F5" w:rsidRDefault="00CA56F5" w:rsidP="00CA56F5">
            <w:r w:rsidRPr="00CA56F5">
              <w:rPr>
                <w:szCs w:val="20"/>
              </w:rPr>
              <w:t>0,0940</w:t>
            </w:r>
            <w:r w:rsidRPr="00CA56F5">
              <w:rPr>
                <w:szCs w:val="20"/>
                <w:vertAlign w:val="superscript"/>
              </w:rPr>
              <w:t>а</w:t>
            </w:r>
          </w:p>
        </w:tc>
      </w:tr>
      <w:tr w:rsidR="00CA56F5" w14:paraId="05101079" w14:textId="77777777" w:rsidTr="00CA56F5">
        <w:tc>
          <w:tcPr>
            <w:tcW w:w="1870" w:type="dxa"/>
          </w:tcPr>
          <w:p w14:paraId="6513819E" w14:textId="77777777" w:rsidR="00CA56F5" w:rsidRPr="00CA56F5" w:rsidRDefault="00CA56F5" w:rsidP="00CA56F5">
            <w:r w:rsidRPr="00CA56F5">
              <w:rPr>
                <w:szCs w:val="20"/>
              </w:rPr>
              <w:t>Честота на обективен отговор</w:t>
            </w:r>
          </w:p>
          <w:p w14:paraId="386070D4" w14:textId="77777777" w:rsidR="00CA56F5" w:rsidRPr="00CA56F5" w:rsidRDefault="00CA56F5" w:rsidP="00CA56F5">
            <w:r w:rsidRPr="00CA56F5">
              <w:rPr>
                <w:szCs w:val="20"/>
                <w:lang w:val="en-US"/>
              </w:rPr>
              <w:t>(ORR)</w:t>
            </w:r>
          </w:p>
          <w:p w14:paraId="131D6A3B" w14:textId="66D5341A" w:rsidR="00CA56F5" w:rsidRPr="00CA56F5" w:rsidRDefault="00CA56F5" w:rsidP="00CA56F5">
            <w:r w:rsidRPr="00CA56F5">
              <w:rPr>
                <w:szCs w:val="20"/>
                <w:lang w:val="en-US"/>
              </w:rPr>
              <w:t>%,</w:t>
            </w:r>
            <w:r w:rsidRPr="00CA56F5">
              <w:rPr>
                <w:szCs w:val="20"/>
              </w:rPr>
              <w:t xml:space="preserve"> </w:t>
            </w:r>
            <w:r w:rsidRPr="00CA56F5">
              <w:rPr>
                <w:szCs w:val="20"/>
                <w:lang w:val="en-US"/>
              </w:rPr>
              <w:t>95%CI</w:t>
            </w:r>
            <w:r w:rsidRPr="00CA56F5">
              <w:rPr>
                <w:szCs w:val="20"/>
                <w:u w:val="single"/>
                <w:lang w:val="en-US"/>
              </w:rPr>
              <w:t>)</w:t>
            </w:r>
            <w:r w:rsidRPr="00CA56F5">
              <w:rPr>
                <w:szCs w:val="20"/>
                <w:lang w:val="en-US"/>
              </w:rPr>
              <w:t>]</w:t>
            </w:r>
          </w:p>
        </w:tc>
        <w:tc>
          <w:tcPr>
            <w:tcW w:w="1870" w:type="dxa"/>
          </w:tcPr>
          <w:p w14:paraId="6A811BD2" w14:textId="1C3CC767" w:rsidR="00CA56F5" w:rsidRPr="00CA56F5" w:rsidRDefault="00CA56F5" w:rsidP="00CA56F5">
            <w:r w:rsidRPr="00CA56F5">
              <w:rPr>
                <w:szCs w:val="20"/>
              </w:rPr>
              <w:t>9,3 (3,2, 15,4)</w:t>
            </w:r>
          </w:p>
        </w:tc>
        <w:tc>
          <w:tcPr>
            <w:tcW w:w="1870" w:type="dxa"/>
          </w:tcPr>
          <w:p w14:paraId="76153595" w14:textId="62BA7ADB" w:rsidR="00CA56F5" w:rsidRPr="00CA56F5" w:rsidRDefault="00CA56F5" w:rsidP="00CA56F5">
            <w:r w:rsidRPr="00CA56F5">
              <w:rPr>
                <w:szCs w:val="20"/>
              </w:rPr>
              <w:t>0</w:t>
            </w:r>
          </w:p>
        </w:tc>
        <w:tc>
          <w:tcPr>
            <w:tcW w:w="1870" w:type="dxa"/>
          </w:tcPr>
          <w:p w14:paraId="26B57D5B" w14:textId="2708057E" w:rsidR="00CA56F5" w:rsidRPr="00CA56F5" w:rsidRDefault="00CA56F5" w:rsidP="00CA56F5">
            <w:r w:rsidRPr="00CA56F5">
              <w:rPr>
                <w:szCs w:val="20"/>
                <w:lang w:val="en-US"/>
              </w:rPr>
              <w:t>NA</w:t>
            </w:r>
          </w:p>
        </w:tc>
        <w:tc>
          <w:tcPr>
            <w:tcW w:w="1870" w:type="dxa"/>
          </w:tcPr>
          <w:p w14:paraId="1B96D903" w14:textId="79C775C2" w:rsidR="00CA56F5" w:rsidRPr="00CA56F5" w:rsidRDefault="00CA56F5" w:rsidP="00CA56F5">
            <w:r w:rsidRPr="00CA56F5">
              <w:rPr>
                <w:szCs w:val="20"/>
              </w:rPr>
              <w:t>0,0066</w:t>
            </w:r>
            <w:r w:rsidRPr="00CA56F5">
              <w:rPr>
                <w:szCs w:val="20"/>
                <w:vertAlign w:val="superscript"/>
              </w:rPr>
              <w:t>б</w:t>
            </w:r>
          </w:p>
        </w:tc>
      </w:tr>
    </w:tbl>
    <w:p w14:paraId="08CD9A66" w14:textId="77777777" w:rsidR="00CA56F5" w:rsidRPr="00CA56F5" w:rsidRDefault="00CA56F5" w:rsidP="00CA56F5">
      <w:pPr>
        <w:spacing w:line="240" w:lineRule="auto"/>
        <w:rPr>
          <w:rFonts w:eastAsia="Times New Roman" w:cs="Arial"/>
          <w:sz w:val="24"/>
          <w:szCs w:val="24"/>
          <w:lang w:eastAsia="bg-BG"/>
        </w:rPr>
      </w:pPr>
      <w:r w:rsidRPr="00CA56F5">
        <w:rPr>
          <w:rFonts w:eastAsia="Times New Roman" w:cs="Arial"/>
          <w:color w:val="000000"/>
          <w:sz w:val="20"/>
          <w:szCs w:val="20"/>
          <w:lang w:eastAsia="bg-BG"/>
        </w:rPr>
        <w:t xml:space="preserve">Съкращения: </w:t>
      </w:r>
      <w:r w:rsidRPr="00CA56F5">
        <w:rPr>
          <w:rFonts w:eastAsia="Times New Roman" w:cs="Arial"/>
          <w:color w:val="000000"/>
          <w:sz w:val="20"/>
          <w:szCs w:val="20"/>
          <w:lang w:val="en-US"/>
        </w:rPr>
        <w:t xml:space="preserve">CI </w:t>
      </w:r>
      <w:r w:rsidRPr="00CA56F5">
        <w:rPr>
          <w:rFonts w:eastAsia="Times New Roman" w:cs="Arial"/>
          <w:color w:val="000000"/>
          <w:sz w:val="20"/>
          <w:szCs w:val="20"/>
          <w:lang w:eastAsia="bg-BG"/>
        </w:rPr>
        <w:t xml:space="preserve">= доверителен интервал, </w:t>
      </w:r>
      <w:r w:rsidRPr="00CA56F5">
        <w:rPr>
          <w:rFonts w:eastAsia="Times New Roman" w:cs="Arial"/>
          <w:color w:val="000000"/>
          <w:sz w:val="20"/>
          <w:szCs w:val="20"/>
          <w:lang w:val="en-US"/>
        </w:rPr>
        <w:t xml:space="preserve">N </w:t>
      </w:r>
      <w:r w:rsidRPr="00CA56F5">
        <w:rPr>
          <w:rFonts w:eastAsia="Times New Roman" w:cs="Arial"/>
          <w:color w:val="000000"/>
          <w:sz w:val="20"/>
          <w:szCs w:val="20"/>
          <w:lang w:eastAsia="bg-BG"/>
        </w:rPr>
        <w:t xml:space="preserve">= брой пациенти; </w:t>
      </w:r>
      <w:r w:rsidRPr="00CA56F5">
        <w:rPr>
          <w:rFonts w:eastAsia="Times New Roman" w:cs="Arial"/>
          <w:color w:val="000000"/>
          <w:sz w:val="20"/>
          <w:szCs w:val="20"/>
          <w:lang w:val="en-US"/>
        </w:rPr>
        <w:t xml:space="preserve">NA </w:t>
      </w:r>
      <w:r w:rsidRPr="00CA56F5">
        <w:rPr>
          <w:rFonts w:eastAsia="Times New Roman" w:cs="Arial"/>
          <w:color w:val="000000"/>
          <w:sz w:val="20"/>
          <w:szCs w:val="20"/>
          <w:lang w:eastAsia="bg-BG"/>
        </w:rPr>
        <w:t xml:space="preserve">= не е приложимо; </w:t>
      </w:r>
      <w:r w:rsidRPr="00CA56F5">
        <w:rPr>
          <w:rFonts w:eastAsia="Times New Roman" w:cs="Arial"/>
          <w:color w:val="000000"/>
          <w:sz w:val="20"/>
          <w:szCs w:val="20"/>
          <w:lang w:val="en-US"/>
        </w:rPr>
        <w:t xml:space="preserve">pNET </w:t>
      </w:r>
      <w:r w:rsidRPr="00CA56F5">
        <w:rPr>
          <w:rFonts w:eastAsia="Times New Roman" w:cs="Arial"/>
          <w:color w:val="000000"/>
          <w:sz w:val="20"/>
          <w:szCs w:val="20"/>
          <w:lang w:eastAsia="bg-BG"/>
        </w:rPr>
        <w:t xml:space="preserve">= панкреатични невроендокринни тумори; </w:t>
      </w:r>
      <w:r w:rsidRPr="00CA56F5">
        <w:rPr>
          <w:rFonts w:eastAsia="Times New Roman" w:cs="Arial"/>
          <w:color w:val="000000"/>
          <w:sz w:val="20"/>
          <w:szCs w:val="20"/>
          <w:lang w:val="en-US"/>
        </w:rPr>
        <w:t xml:space="preserve">RECIST </w:t>
      </w:r>
      <w:r w:rsidRPr="00CA56F5">
        <w:rPr>
          <w:rFonts w:eastAsia="Times New Roman" w:cs="Arial"/>
          <w:color w:val="000000"/>
          <w:sz w:val="20"/>
          <w:szCs w:val="20"/>
          <w:lang w:eastAsia="bg-BG"/>
        </w:rPr>
        <w:t xml:space="preserve">= Критерии за оценка на отговора при солидни тумори, </w:t>
      </w:r>
      <w:r w:rsidRPr="00CA56F5">
        <w:rPr>
          <w:rFonts w:eastAsia="Times New Roman" w:cs="Arial"/>
          <w:color w:val="000000"/>
          <w:sz w:val="20"/>
          <w:szCs w:val="20"/>
          <w:vertAlign w:val="superscript"/>
          <w:lang w:eastAsia="bg-BG"/>
        </w:rPr>
        <w:t>а</w:t>
      </w:r>
      <w:r w:rsidRPr="00CA56F5">
        <w:rPr>
          <w:rFonts w:eastAsia="Times New Roman" w:cs="Arial"/>
          <w:color w:val="000000"/>
          <w:sz w:val="20"/>
          <w:szCs w:val="20"/>
          <w:lang w:eastAsia="bg-BG"/>
        </w:rPr>
        <w:t xml:space="preserve"> 2-странен нестратифициран логаритмично преобразуван рангов тест.</w:t>
      </w:r>
    </w:p>
    <w:p w14:paraId="5E90B491" w14:textId="52A8E2D7" w:rsidR="00CA56F5" w:rsidRPr="00CA56F5" w:rsidRDefault="00CA56F5" w:rsidP="00CA56F5">
      <w:pPr>
        <w:rPr>
          <w:rFonts w:cs="Arial"/>
        </w:rPr>
      </w:pPr>
      <w:r w:rsidRPr="00CA56F5">
        <w:rPr>
          <w:rFonts w:eastAsia="Times New Roman" w:cs="Arial"/>
          <w:color w:val="000000"/>
          <w:sz w:val="20"/>
          <w:szCs w:val="20"/>
          <w:vertAlign w:val="superscript"/>
          <w:lang w:eastAsia="bg-BG"/>
        </w:rPr>
        <w:t>6</w:t>
      </w:r>
      <w:r w:rsidRPr="00CA56F5">
        <w:rPr>
          <w:rFonts w:eastAsia="Times New Roman" w:cs="Arial"/>
          <w:color w:val="000000"/>
          <w:sz w:val="20"/>
          <w:szCs w:val="20"/>
          <w:lang w:eastAsia="bg-BG"/>
        </w:rPr>
        <w:t xml:space="preserve"> Точен тест на </w:t>
      </w:r>
      <w:r w:rsidRPr="00CA56F5">
        <w:rPr>
          <w:rFonts w:eastAsia="Times New Roman" w:cs="Arial"/>
          <w:color w:val="000000"/>
          <w:sz w:val="20"/>
          <w:szCs w:val="20"/>
          <w:lang w:val="en-US"/>
        </w:rPr>
        <w:t>Fisher.</w:t>
      </w:r>
    </w:p>
    <w:p w14:paraId="6B818278" w14:textId="656B449F" w:rsidR="00CA56F5" w:rsidRDefault="00CA56F5" w:rsidP="0091385D"/>
    <w:p w14:paraId="5F34862A" w14:textId="068CF03E" w:rsidR="00CA56F5" w:rsidRDefault="00CA56F5" w:rsidP="0091385D">
      <w:pPr>
        <w:rPr>
          <w:b/>
          <w:bCs/>
          <w:sz w:val="20"/>
          <w:szCs w:val="20"/>
        </w:rPr>
      </w:pPr>
      <w:bookmarkStart w:id="2" w:name="bookmark0"/>
      <w:r>
        <w:rPr>
          <w:b/>
          <w:bCs/>
          <w:sz w:val="20"/>
          <w:szCs w:val="20"/>
        </w:rPr>
        <w:t xml:space="preserve">Фигура 1, Графика на </w:t>
      </w:r>
      <w:r>
        <w:rPr>
          <w:b/>
          <w:bCs/>
          <w:sz w:val="20"/>
          <w:szCs w:val="20"/>
          <w:lang w:val="en-US"/>
        </w:rPr>
        <w:t xml:space="preserve">Kaplan-Meier </w:t>
      </w:r>
      <w:r>
        <w:rPr>
          <w:b/>
          <w:bCs/>
          <w:sz w:val="20"/>
          <w:szCs w:val="20"/>
        </w:rPr>
        <w:t xml:space="preserve">за </w:t>
      </w:r>
      <w:r>
        <w:rPr>
          <w:b/>
          <w:bCs/>
          <w:sz w:val="20"/>
          <w:szCs w:val="20"/>
          <w:lang w:val="en-US"/>
        </w:rPr>
        <w:t xml:space="preserve">PFS </w:t>
      </w:r>
      <w:r>
        <w:rPr>
          <w:b/>
          <w:bCs/>
          <w:sz w:val="20"/>
          <w:szCs w:val="20"/>
        </w:rPr>
        <w:t xml:space="preserve">при </w:t>
      </w:r>
      <w:r>
        <w:rPr>
          <w:b/>
          <w:bCs/>
          <w:sz w:val="20"/>
          <w:szCs w:val="20"/>
          <w:lang w:val="en-US"/>
        </w:rPr>
        <w:t xml:space="preserve">pNET </w:t>
      </w:r>
      <w:r>
        <w:rPr>
          <w:b/>
          <w:bCs/>
          <w:sz w:val="20"/>
          <w:szCs w:val="20"/>
        </w:rPr>
        <w:t>проучване фаза 3.</w:t>
      </w:r>
      <w:bookmarkEnd w:id="2"/>
    </w:p>
    <w:p w14:paraId="67E93DCF" w14:textId="368EA962" w:rsidR="00CA56F5" w:rsidRDefault="00CA56F5" w:rsidP="0091385D">
      <w:r>
        <w:rPr>
          <w:noProof/>
          <w:lang w:eastAsia="bg-BG"/>
        </w:rPr>
        <w:lastRenderedPageBreak/>
        <w:drawing>
          <wp:inline distT="0" distB="0" distL="0" distR="0" wp14:anchorId="203BC730" wp14:editId="2DA88F50">
            <wp:extent cx="3496163" cy="215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2222.png"/>
                    <pic:cNvPicPr/>
                  </pic:nvPicPr>
                  <pic:blipFill>
                    <a:blip r:embed="rId6">
                      <a:extLst>
                        <a:ext uri="{28A0092B-C50C-407E-A947-70E740481C1C}">
                          <a14:useLocalDpi xmlns:a14="http://schemas.microsoft.com/office/drawing/2010/main" val="0"/>
                        </a:ext>
                      </a:extLst>
                    </a:blip>
                    <a:stretch>
                      <a:fillRect/>
                    </a:stretch>
                  </pic:blipFill>
                  <pic:spPr>
                    <a:xfrm>
                      <a:off x="0" y="0"/>
                      <a:ext cx="3496163" cy="2152950"/>
                    </a:xfrm>
                    <a:prstGeom prst="rect">
                      <a:avLst/>
                    </a:prstGeom>
                  </pic:spPr>
                </pic:pic>
              </a:graphicData>
            </a:graphic>
          </wp:inline>
        </w:drawing>
      </w:r>
    </w:p>
    <w:p w14:paraId="1A04ECB8" w14:textId="60771677" w:rsidR="00CA56F5" w:rsidRDefault="00CA56F5" w:rsidP="0091385D"/>
    <w:p w14:paraId="13672869"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Съкращения: </w:t>
      </w:r>
      <w:r w:rsidRPr="00CA56F5">
        <w:rPr>
          <w:rFonts w:eastAsia="Times New Roman" w:cs="Arial"/>
          <w:color w:val="000000"/>
          <w:lang w:val="en-US"/>
        </w:rPr>
        <w:t xml:space="preserve">CI </w:t>
      </w:r>
      <w:r w:rsidRPr="00CA56F5">
        <w:rPr>
          <w:rFonts w:eastAsia="Times New Roman" w:cs="Arial"/>
          <w:color w:val="000000"/>
          <w:lang w:eastAsia="bg-BG"/>
        </w:rPr>
        <w:t xml:space="preserve">= доверителен интервал, </w:t>
      </w:r>
      <w:r w:rsidRPr="00CA56F5">
        <w:rPr>
          <w:rFonts w:eastAsia="Times New Roman" w:cs="Arial"/>
          <w:color w:val="000000"/>
          <w:lang w:val="en-US"/>
        </w:rPr>
        <w:t xml:space="preserve">N </w:t>
      </w:r>
      <w:r w:rsidRPr="00CA56F5">
        <w:rPr>
          <w:rFonts w:eastAsia="Times New Roman" w:cs="Arial"/>
          <w:color w:val="000000"/>
          <w:lang w:eastAsia="bg-BG"/>
        </w:rPr>
        <w:t xml:space="preserve">= брой пациенти; </w:t>
      </w:r>
      <w:r w:rsidRPr="00CA56F5">
        <w:rPr>
          <w:rFonts w:eastAsia="Times New Roman" w:cs="Arial"/>
          <w:color w:val="000000"/>
          <w:lang w:val="en-US"/>
        </w:rPr>
        <w:t xml:space="preserve">PFS </w:t>
      </w:r>
      <w:r w:rsidRPr="00CA56F5">
        <w:rPr>
          <w:rFonts w:eastAsia="Times New Roman" w:cs="Arial"/>
          <w:color w:val="000000"/>
          <w:lang w:eastAsia="bg-BG"/>
        </w:rPr>
        <w:t xml:space="preserve">= преживяемост без прогресия; </w:t>
      </w:r>
      <w:r w:rsidRPr="00CA56F5">
        <w:rPr>
          <w:rFonts w:eastAsia="Times New Roman" w:cs="Arial"/>
          <w:color w:val="000000"/>
          <w:lang w:val="en-US"/>
        </w:rPr>
        <w:t xml:space="preserve">pNET </w:t>
      </w:r>
      <w:r w:rsidRPr="00CA56F5">
        <w:rPr>
          <w:rFonts w:eastAsia="Times New Roman" w:cs="Arial"/>
          <w:color w:val="000000"/>
          <w:lang w:eastAsia="bg-BG"/>
        </w:rPr>
        <w:t>~ панкреатични невроендокринни тумори.</w:t>
      </w:r>
    </w:p>
    <w:p w14:paraId="5733BBD2" w14:textId="77777777" w:rsidR="00CA56F5" w:rsidRPr="00CA56F5" w:rsidRDefault="00CA56F5" w:rsidP="00CA56F5">
      <w:pPr>
        <w:spacing w:line="240" w:lineRule="auto"/>
        <w:rPr>
          <w:rFonts w:eastAsia="Times New Roman" w:cs="Arial"/>
          <w:color w:val="000000"/>
          <w:lang w:eastAsia="bg-BG"/>
        </w:rPr>
      </w:pPr>
    </w:p>
    <w:p w14:paraId="778603D5" w14:textId="27969736"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Данните за обща преживяемост </w:t>
      </w:r>
      <w:r w:rsidRPr="00CA56F5">
        <w:rPr>
          <w:rFonts w:eastAsia="Times New Roman" w:cs="Arial"/>
          <w:color w:val="000000"/>
          <w:lang w:val="en-US"/>
        </w:rPr>
        <w:t xml:space="preserve">(OS) </w:t>
      </w:r>
      <w:r w:rsidRPr="00CA56F5">
        <w:rPr>
          <w:rFonts w:eastAsia="Times New Roman" w:cs="Arial"/>
          <w:color w:val="000000"/>
          <w:lang w:eastAsia="bg-BG"/>
        </w:rPr>
        <w:t xml:space="preserve">не са били пълни към времето на приключване на проучването [20,6 месеца </w:t>
      </w:r>
      <w:r w:rsidRPr="00CA56F5">
        <w:rPr>
          <w:rFonts w:eastAsia="Times New Roman" w:cs="Arial"/>
          <w:i/>
          <w:iCs/>
          <w:color w:val="000000"/>
          <w:lang w:eastAsia="bg-BG"/>
        </w:rPr>
        <w:t>(95%</w:t>
      </w:r>
      <w:r w:rsidRPr="00CA56F5">
        <w:rPr>
          <w:rFonts w:eastAsia="Times New Roman" w:cs="Arial"/>
          <w:color w:val="000000"/>
          <w:lang w:eastAsia="bg-BG"/>
        </w:rPr>
        <w:t xml:space="preserve"> </w:t>
      </w:r>
      <w:r w:rsidRPr="00CA56F5">
        <w:rPr>
          <w:rFonts w:eastAsia="Times New Roman" w:cs="Arial"/>
          <w:color w:val="000000"/>
          <w:lang w:val="en-US"/>
        </w:rPr>
        <w:t xml:space="preserve">CI: </w:t>
      </w:r>
      <w:r w:rsidRPr="00CA56F5">
        <w:rPr>
          <w:rFonts w:eastAsia="Times New Roman" w:cs="Arial"/>
          <w:color w:val="000000"/>
          <w:lang w:eastAsia="bg-BG"/>
        </w:rPr>
        <w:t xml:space="preserve">20,6, </w:t>
      </w:r>
      <w:r w:rsidRPr="00CA56F5">
        <w:rPr>
          <w:rFonts w:eastAsia="Times New Roman" w:cs="Arial"/>
          <w:color w:val="000000"/>
          <w:lang w:val="en-US"/>
        </w:rPr>
        <w:t xml:space="preserve">NR) </w:t>
      </w:r>
      <w:r w:rsidRPr="00CA56F5">
        <w:rPr>
          <w:rFonts w:eastAsia="Times New Roman" w:cs="Arial"/>
          <w:color w:val="000000"/>
          <w:lang w:eastAsia="bg-BG"/>
        </w:rPr>
        <w:t xml:space="preserve">за рамото на сунитиниб, в сравнение с </w:t>
      </w:r>
      <w:r w:rsidRPr="00CA56F5">
        <w:rPr>
          <w:rFonts w:eastAsia="Times New Roman" w:cs="Arial"/>
          <w:color w:val="000000"/>
          <w:lang w:val="en-US"/>
        </w:rPr>
        <w:t xml:space="preserve">NR </w:t>
      </w:r>
      <w:r w:rsidRPr="00CA56F5">
        <w:rPr>
          <w:rFonts w:eastAsia="Times New Roman" w:cs="Arial"/>
          <w:color w:val="000000"/>
          <w:lang w:eastAsia="bg-BG"/>
        </w:rPr>
        <w:t xml:space="preserve">(95% </w:t>
      </w:r>
      <w:r w:rsidRPr="00CA56F5">
        <w:rPr>
          <w:rFonts w:eastAsia="Times New Roman" w:cs="Arial"/>
          <w:color w:val="000000"/>
          <w:lang w:val="en-US"/>
        </w:rPr>
        <w:t xml:space="preserve">CI: </w:t>
      </w:r>
      <w:r w:rsidRPr="00CA56F5">
        <w:rPr>
          <w:rFonts w:eastAsia="Times New Roman" w:cs="Arial"/>
          <w:color w:val="000000"/>
          <w:lang w:eastAsia="bg-BG"/>
        </w:rPr>
        <w:t xml:space="preserve">15,5; </w:t>
      </w:r>
      <w:r w:rsidRPr="00CA56F5">
        <w:rPr>
          <w:rFonts w:eastAsia="Times New Roman" w:cs="Arial"/>
          <w:color w:val="000000"/>
          <w:lang w:val="en-US"/>
        </w:rPr>
        <w:t xml:space="preserve">NR) </w:t>
      </w:r>
      <w:r w:rsidRPr="00CA56F5">
        <w:rPr>
          <w:rFonts w:eastAsia="Times New Roman" w:cs="Arial"/>
          <w:color w:val="000000"/>
          <w:lang w:eastAsia="bg-BG"/>
        </w:rPr>
        <w:t xml:space="preserve">за рамото на плацебо, </w:t>
      </w:r>
      <w:r w:rsidRPr="00CA56F5">
        <w:rPr>
          <w:rFonts w:eastAsia="Times New Roman" w:cs="Arial"/>
          <w:color w:val="000000"/>
          <w:lang w:val="en-US"/>
        </w:rPr>
        <w:t xml:space="preserve">HR: </w:t>
      </w:r>
      <w:r w:rsidRPr="00CA56F5">
        <w:rPr>
          <w:rFonts w:eastAsia="Times New Roman" w:cs="Arial"/>
          <w:color w:val="000000"/>
          <w:lang w:eastAsia="bg-BG"/>
        </w:rPr>
        <w:t xml:space="preserve">0,409 (95% </w:t>
      </w:r>
      <w:r w:rsidRPr="00CA56F5">
        <w:rPr>
          <w:rFonts w:eastAsia="Times New Roman" w:cs="Arial"/>
          <w:color w:val="000000"/>
          <w:lang w:val="en-US"/>
        </w:rPr>
        <w:t xml:space="preserve">CI: </w:t>
      </w:r>
      <w:r w:rsidRPr="00CA56F5">
        <w:rPr>
          <w:rFonts w:eastAsia="Times New Roman" w:cs="Arial"/>
          <w:color w:val="000000"/>
          <w:lang w:eastAsia="bg-BG"/>
        </w:rPr>
        <w:t>0,187; 0,894), р-стойност=0,0204]. Имало е 9 случая на смърт при рамото на сунитиниб и 21 $лучая при рамото на плацебо.</w:t>
      </w:r>
    </w:p>
    <w:p w14:paraId="2048E56F" w14:textId="77777777" w:rsidR="00CA56F5" w:rsidRPr="00CA56F5" w:rsidRDefault="00CA56F5" w:rsidP="00CA56F5">
      <w:pPr>
        <w:spacing w:line="240" w:lineRule="auto"/>
        <w:rPr>
          <w:rFonts w:eastAsia="Times New Roman" w:cs="Arial"/>
          <w:color w:val="000000"/>
          <w:lang w:eastAsia="bg-BG"/>
        </w:rPr>
      </w:pPr>
    </w:p>
    <w:p w14:paraId="6B4DEB5A" w14:textId="0AEC24B5"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При прогресия на заболяването пациентите са били разслепени и на пациентите от плацебо групата е предоставен достъп до открит сунитиниб в отделно разширено проучване. Поради ранното приключване на проучването, останалите пациенти са били разслепени и им е бил предложен достъп до сунитиниб в открито разширено проучване. Общо 59 от 85 пациенти (69,4%) от рамото на плацебо са преминали на открит сунитиниб след прогресия на заболяването, или разслепяване при приключване на проучването. </w:t>
      </w:r>
      <w:r w:rsidRPr="00CA56F5">
        <w:rPr>
          <w:rFonts w:eastAsia="Times New Roman" w:cs="Arial"/>
          <w:color w:val="000000"/>
          <w:lang w:val="en-US"/>
        </w:rPr>
        <w:t xml:space="preserve">OS, </w:t>
      </w:r>
      <w:r w:rsidRPr="00CA56F5">
        <w:rPr>
          <w:rFonts w:eastAsia="Times New Roman" w:cs="Arial"/>
          <w:color w:val="000000"/>
          <w:lang w:eastAsia="bg-BG"/>
        </w:rPr>
        <w:t xml:space="preserve">наблюдавана след 5-годишно проследяване в рамките на разширеното проучване, е показала </w:t>
      </w:r>
      <w:r w:rsidRPr="00CA56F5">
        <w:rPr>
          <w:rFonts w:eastAsia="Times New Roman" w:cs="Arial"/>
          <w:color w:val="000000"/>
          <w:lang w:val="en-US"/>
        </w:rPr>
        <w:t xml:space="preserve">HR </w:t>
      </w:r>
      <w:r w:rsidRPr="00CA56F5">
        <w:rPr>
          <w:rFonts w:eastAsia="Times New Roman" w:cs="Arial"/>
          <w:color w:val="000000"/>
          <w:lang w:eastAsia="bg-BG"/>
        </w:rPr>
        <w:t xml:space="preserve">0,730 (95% </w:t>
      </w:r>
      <w:r w:rsidRPr="00CA56F5">
        <w:rPr>
          <w:rFonts w:eastAsia="Times New Roman" w:cs="Arial"/>
          <w:color w:val="000000"/>
          <w:lang w:val="en-US"/>
        </w:rPr>
        <w:t xml:space="preserve">CI: </w:t>
      </w:r>
      <w:r w:rsidRPr="00CA56F5">
        <w:rPr>
          <w:rFonts w:eastAsia="Times New Roman" w:cs="Arial"/>
          <w:color w:val="000000"/>
          <w:lang w:eastAsia="bg-BG"/>
        </w:rPr>
        <w:t>0,504; 1,057).</w:t>
      </w:r>
    </w:p>
    <w:p w14:paraId="747D6DD9" w14:textId="77777777" w:rsidR="00CA56F5" w:rsidRPr="00CA56F5" w:rsidRDefault="00CA56F5" w:rsidP="00CA56F5">
      <w:pPr>
        <w:spacing w:line="240" w:lineRule="auto"/>
        <w:rPr>
          <w:rFonts w:eastAsia="Times New Roman" w:cs="Arial"/>
          <w:color w:val="000000"/>
          <w:lang w:eastAsia="bg-BG"/>
        </w:rPr>
      </w:pPr>
    </w:p>
    <w:p w14:paraId="274AC7F8" w14:textId="0A9796B6"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Резултатите от въпросника за качеството на живот на Европейската организация за изследване и лечение на рака </w:t>
      </w:r>
      <w:r w:rsidRPr="00CA56F5">
        <w:rPr>
          <w:rFonts w:eastAsia="Times New Roman" w:cs="Arial"/>
          <w:color w:val="000000"/>
          <w:lang w:val="en-US"/>
        </w:rPr>
        <w:t xml:space="preserve">(European Organization for Research and Treatment of Cancer Quality of Life Questionnaire (EORTC QLQC-30)) </w:t>
      </w:r>
      <w:r w:rsidRPr="00CA56F5">
        <w:rPr>
          <w:rFonts w:eastAsia="Times New Roman" w:cs="Arial"/>
          <w:color w:val="000000"/>
          <w:lang w:eastAsia="bg-BG"/>
        </w:rPr>
        <w:t>са показали, че общото глобално, свързано със здравето качество на живот и 5 функционални области (физическа, ролева, когнитивна, емоционална и социална), са поддържани при пациентите на лечение със сунитиниб в сравнение е плацебо, с ограничени симптоматични нежелани ефекти.</w:t>
      </w:r>
    </w:p>
    <w:p w14:paraId="2E686592" w14:textId="77777777" w:rsidR="00CA56F5" w:rsidRPr="00CA56F5" w:rsidRDefault="00CA56F5" w:rsidP="00CA56F5">
      <w:pPr>
        <w:spacing w:line="240" w:lineRule="auto"/>
        <w:rPr>
          <w:rFonts w:eastAsia="Times New Roman" w:cs="Arial"/>
          <w:color w:val="000000"/>
          <w:lang w:eastAsia="bg-BG"/>
        </w:rPr>
      </w:pPr>
    </w:p>
    <w:p w14:paraId="7AE63AB3" w14:textId="5FDCA30F"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Проведено е многонационално, многоцентрово, открито проучване с едно рамо, фаза 4 за оценка на ефикасността и безопасността на сунитиниб при пациенти с прогресиращи, напреднали/метастатични, добре диференцирани, неоперабилни </w:t>
      </w:r>
      <w:r w:rsidRPr="00CA56F5">
        <w:rPr>
          <w:rFonts w:eastAsia="Times New Roman" w:cs="Arial"/>
          <w:color w:val="000000"/>
          <w:lang w:val="en-US"/>
        </w:rPr>
        <w:t>pNET.</w:t>
      </w:r>
    </w:p>
    <w:p w14:paraId="7855B1EC" w14:textId="77777777" w:rsidR="00CA56F5" w:rsidRPr="00CA56F5" w:rsidRDefault="00CA56F5" w:rsidP="00CA56F5">
      <w:pPr>
        <w:spacing w:line="240" w:lineRule="auto"/>
        <w:rPr>
          <w:rFonts w:eastAsia="Times New Roman" w:cs="Arial"/>
          <w:color w:val="000000"/>
          <w:lang w:eastAsia="bg-BG"/>
        </w:rPr>
      </w:pPr>
    </w:p>
    <w:p w14:paraId="6D66DB69" w14:textId="760D53D3"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106 пациенти (61 пациенти в кохортата с нелекувани до момента пациенти и 45 пациенти в кохортата с последваща линия на лечение) получават лечение със сунитиниб перорално 37,5 </w:t>
      </w:r>
      <w:r w:rsidRPr="00CA56F5">
        <w:rPr>
          <w:rFonts w:eastAsia="Times New Roman" w:cs="Arial"/>
          <w:color w:val="000000"/>
          <w:lang w:val="en-US"/>
        </w:rPr>
        <w:t xml:space="preserve">mg </w:t>
      </w:r>
      <w:r w:rsidRPr="00CA56F5">
        <w:rPr>
          <w:rFonts w:eastAsia="Times New Roman" w:cs="Arial"/>
          <w:color w:val="000000"/>
          <w:lang w:eastAsia="bg-BG"/>
        </w:rPr>
        <w:t xml:space="preserve">веднъж дневно съгласно продължителна схема с ежедневно прилагане ( </w:t>
      </w:r>
      <w:r w:rsidRPr="00CA56F5">
        <w:rPr>
          <w:rFonts w:eastAsia="Times New Roman" w:cs="Arial"/>
          <w:color w:val="000000"/>
          <w:lang w:val="en-US"/>
        </w:rPr>
        <w:t>continious daily dosing, CDD).</w:t>
      </w:r>
      <w:r w:rsidRPr="00CA56F5">
        <w:rPr>
          <w:rFonts w:eastAsia="Times New Roman" w:cs="Arial"/>
          <w:color w:val="000000"/>
          <w:lang w:val="en-US"/>
        </w:rPr>
        <w:tab/>
      </w:r>
    </w:p>
    <w:p w14:paraId="3EADA203" w14:textId="77777777" w:rsidR="00CA56F5" w:rsidRPr="00CA56F5" w:rsidRDefault="00CA56F5" w:rsidP="00CA56F5">
      <w:pPr>
        <w:spacing w:line="240" w:lineRule="auto"/>
        <w:rPr>
          <w:rFonts w:eastAsia="Times New Roman" w:cs="Arial"/>
          <w:color w:val="000000"/>
          <w:lang w:eastAsia="bg-BG"/>
        </w:rPr>
      </w:pPr>
    </w:p>
    <w:p w14:paraId="1DFC4B0D" w14:textId="76B952E2"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Оценената от изследователя медиана на </w:t>
      </w:r>
      <w:r w:rsidRPr="00CA56F5">
        <w:rPr>
          <w:rFonts w:eastAsia="Times New Roman" w:cs="Arial"/>
          <w:color w:val="000000"/>
          <w:lang w:val="en-US"/>
        </w:rPr>
        <w:t xml:space="preserve">PFS </w:t>
      </w:r>
      <w:r w:rsidRPr="00CA56F5">
        <w:rPr>
          <w:rFonts w:eastAsia="Times New Roman" w:cs="Arial"/>
          <w:color w:val="000000"/>
          <w:lang w:eastAsia="bg-BG"/>
        </w:rPr>
        <w:t>е 13,2 месеца, както в</w:t>
      </w:r>
      <w:r w:rsidRPr="00CA56F5">
        <w:rPr>
          <w:rFonts w:eastAsia="Times New Roman" w:cs="Arial"/>
          <w:color w:val="000000"/>
          <w:lang w:val="en-US"/>
        </w:rPr>
        <w:t xml:space="preserve"> </w:t>
      </w:r>
      <w:r w:rsidRPr="00CA56F5">
        <w:rPr>
          <w:rFonts w:eastAsia="Times New Roman" w:cs="Arial"/>
          <w:color w:val="000000"/>
          <w:lang w:eastAsia="bg-BG"/>
        </w:rPr>
        <w:t>общата популация (95%</w:t>
      </w:r>
    </w:p>
    <w:p w14:paraId="53A5ACC5" w14:textId="262D14F3" w:rsidR="00CA56F5" w:rsidRPr="00CA56F5" w:rsidRDefault="00CA56F5" w:rsidP="00CA56F5">
      <w:pPr>
        <w:rPr>
          <w:rFonts w:eastAsia="Times New Roman" w:cs="Arial"/>
          <w:color w:val="000000"/>
          <w:lang w:val="en-US"/>
        </w:rPr>
      </w:pPr>
      <w:r w:rsidRPr="00CA56F5">
        <w:rPr>
          <w:rFonts w:eastAsia="Times New Roman" w:cs="Arial"/>
          <w:color w:val="000000"/>
          <w:lang w:val="en-US"/>
        </w:rPr>
        <w:lastRenderedPageBreak/>
        <w:t xml:space="preserve">CI: </w:t>
      </w:r>
      <w:r w:rsidRPr="00CA56F5">
        <w:rPr>
          <w:rFonts w:eastAsia="Times New Roman" w:cs="Arial"/>
          <w:color w:val="000000"/>
          <w:lang w:eastAsia="bg-BG"/>
        </w:rPr>
        <w:t>10</w:t>
      </w:r>
      <w:proofErr w:type="gramStart"/>
      <w:r w:rsidRPr="00CA56F5">
        <w:rPr>
          <w:rFonts w:eastAsia="Times New Roman" w:cs="Arial"/>
          <w:color w:val="000000"/>
          <w:lang w:eastAsia="bg-BG"/>
        </w:rPr>
        <w:t>,9</w:t>
      </w:r>
      <w:proofErr w:type="gramEnd"/>
      <w:r w:rsidRPr="00CA56F5">
        <w:rPr>
          <w:rFonts w:eastAsia="Times New Roman" w:cs="Arial"/>
          <w:color w:val="000000"/>
          <w:lang w:eastAsia="bg-BG"/>
        </w:rPr>
        <w:t>; 16,7), така и в кохортата с нелекувани до момента пациенти (95%</w:t>
      </w:r>
      <w:r w:rsidRPr="00CA56F5">
        <w:rPr>
          <w:rFonts w:eastAsia="Times New Roman" w:cs="Arial"/>
          <w:color w:val="000000"/>
          <w:lang w:val="en-US"/>
        </w:rPr>
        <w:t xml:space="preserve"> CI: 7,4:16,8).</w:t>
      </w:r>
    </w:p>
    <w:p w14:paraId="2A89692C" w14:textId="74948DFB" w:rsidR="00CA56F5" w:rsidRPr="00CA56F5" w:rsidRDefault="00CA56F5" w:rsidP="00CA56F5">
      <w:pPr>
        <w:rPr>
          <w:rFonts w:eastAsia="Times New Roman" w:cs="Arial"/>
          <w:color w:val="000000"/>
          <w:lang w:val="en-US"/>
        </w:rPr>
      </w:pPr>
    </w:p>
    <w:p w14:paraId="5B84F493"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u w:val="single"/>
          <w:lang w:eastAsia="bg-BG"/>
        </w:rPr>
        <w:t>Педиатрична популация</w:t>
      </w:r>
    </w:p>
    <w:p w14:paraId="16A7883E"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Опитът от употребата на сунитиниб при педиатрични пациенти е ограничен (вж. точка 4.2).</w:t>
      </w:r>
    </w:p>
    <w:p w14:paraId="7039819F" w14:textId="77777777" w:rsidR="00CA56F5" w:rsidRPr="00CA56F5" w:rsidRDefault="00CA56F5" w:rsidP="00CA56F5">
      <w:pPr>
        <w:spacing w:line="240" w:lineRule="auto"/>
        <w:rPr>
          <w:rFonts w:eastAsia="Times New Roman" w:cs="Arial"/>
          <w:color w:val="000000"/>
          <w:lang w:eastAsia="bg-BG"/>
        </w:rPr>
      </w:pPr>
    </w:p>
    <w:p w14:paraId="34226806" w14:textId="116F270B"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Проведено е проучване фаза 1 с увеличаване на дозата перорален сунитиниб при 35 пациенти, включващо 30 педиатрични пациенти (на възраст от 3 години до 17 години) и 5 млади възрастни пациенти (на възраст от 18 години до 21 години) с рефрактерни солидни тумори, като по-голямата част от пациентите са с основна диагноза мозъчен тумор. Наблюдавана е дозолимитираща кардиотоксичност в първата част на проучването, което след това е променено, за да се изключат пациентите с предходна експозиция на потенциално кардиотоксични лечения (включително антрациклини) или облъчване на сърцето. Във втората част на проучването, включваща пациенти с предходно противораково лечение, но без рискови фактори за кардиотоксичност, сунитиниб като цяло се понася добре и е клинично контролируем при доза 15 </w:t>
      </w:r>
      <w:r w:rsidRPr="00CA56F5">
        <w:rPr>
          <w:rFonts w:eastAsia="Times New Roman" w:cs="Arial"/>
          <w:color w:val="000000"/>
          <w:lang w:val="en-US"/>
        </w:rPr>
        <w:t>mg/m</w:t>
      </w:r>
      <w:r w:rsidRPr="00CA56F5">
        <w:rPr>
          <w:rFonts w:eastAsia="Times New Roman" w:cs="Arial"/>
          <w:color w:val="000000"/>
          <w:vertAlign w:val="superscript"/>
          <w:lang w:val="en-US"/>
        </w:rPr>
        <w:t>2</w:t>
      </w:r>
      <w:r w:rsidRPr="00CA56F5">
        <w:rPr>
          <w:rFonts w:eastAsia="Times New Roman" w:cs="Arial"/>
          <w:color w:val="000000"/>
          <w:lang w:val="en-US"/>
        </w:rPr>
        <w:t xml:space="preserve"> </w:t>
      </w:r>
      <w:r w:rsidRPr="00CA56F5">
        <w:rPr>
          <w:rFonts w:eastAsia="Times New Roman" w:cs="Arial"/>
          <w:color w:val="000000"/>
          <w:lang w:eastAsia="bg-BG"/>
        </w:rPr>
        <w:t xml:space="preserve">на ден (МПД) по схема 4/2. При никой от участниците не се постига пълен или частичен отговор. Стабилно заболяване се наблюдава при 6 пациенти (17%). Един пациент с </w:t>
      </w:r>
      <w:r w:rsidRPr="00CA56F5">
        <w:rPr>
          <w:rFonts w:eastAsia="Times New Roman" w:cs="Arial"/>
          <w:color w:val="000000"/>
          <w:lang w:val="en-US"/>
        </w:rPr>
        <w:t xml:space="preserve">GIST </w:t>
      </w:r>
      <w:r w:rsidRPr="00CA56F5">
        <w:rPr>
          <w:rFonts w:eastAsia="Times New Roman" w:cs="Arial"/>
          <w:color w:val="000000"/>
          <w:lang w:eastAsia="bg-BG"/>
        </w:rPr>
        <w:t xml:space="preserve">е включен при ниво на дозата 15 </w:t>
      </w:r>
      <w:r w:rsidRPr="00CA56F5">
        <w:rPr>
          <w:rFonts w:eastAsia="Times New Roman" w:cs="Arial"/>
          <w:color w:val="000000"/>
          <w:lang w:val="en-US"/>
        </w:rPr>
        <w:t>mg/m</w:t>
      </w:r>
      <w:r w:rsidRPr="00CA56F5">
        <w:rPr>
          <w:rFonts w:eastAsia="Times New Roman" w:cs="Arial"/>
          <w:color w:val="000000"/>
          <w:vertAlign w:val="superscript"/>
          <w:lang w:val="en-US"/>
        </w:rPr>
        <w:t>2</w:t>
      </w:r>
      <w:r w:rsidRPr="00CA56F5">
        <w:rPr>
          <w:rFonts w:eastAsia="Times New Roman" w:cs="Arial"/>
          <w:color w:val="000000"/>
          <w:lang w:val="en-US"/>
        </w:rPr>
        <w:t xml:space="preserve"> </w:t>
      </w:r>
      <w:r w:rsidRPr="00CA56F5">
        <w:rPr>
          <w:rFonts w:eastAsia="Times New Roman" w:cs="Arial"/>
          <w:color w:val="000000"/>
          <w:lang w:eastAsia="bg-BG"/>
        </w:rPr>
        <w:t>без доказателства за полза.</w:t>
      </w:r>
    </w:p>
    <w:p w14:paraId="26FD7C2F"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Наблюдаваните нежелани лекарствени реакции като цяло са сходни с реакциите, наблюдавани при възрастни пациенти (вж. точка 4.8).</w:t>
      </w:r>
    </w:p>
    <w:p w14:paraId="3E9E2D08" w14:textId="77777777" w:rsidR="00CA56F5" w:rsidRPr="00CA56F5" w:rsidRDefault="00CA56F5" w:rsidP="00CA56F5">
      <w:pPr>
        <w:spacing w:line="240" w:lineRule="auto"/>
        <w:rPr>
          <w:rFonts w:eastAsia="Times New Roman" w:cs="Arial"/>
          <w:color w:val="000000"/>
          <w:lang w:eastAsia="bg-BG"/>
        </w:rPr>
      </w:pPr>
    </w:p>
    <w:p w14:paraId="6591CDEB" w14:textId="692EAC8B"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Проведено е фаза 2 открито проучване при 29 пациенти, включващо 27 педиатрични пациенти (на възраст от 3 години до 16 години) и 2 млади възрастни пациенти (на възраст от 18 години до 19 години) с </w:t>
      </w:r>
      <w:r w:rsidRPr="00CA56F5">
        <w:rPr>
          <w:rFonts w:eastAsia="Times New Roman" w:cs="Arial"/>
          <w:color w:val="000000"/>
          <w:lang w:val="en-US"/>
        </w:rPr>
        <w:t xml:space="preserve">HGG </w:t>
      </w:r>
      <w:r w:rsidRPr="00CA56F5">
        <w:rPr>
          <w:rFonts w:eastAsia="Times New Roman" w:cs="Arial"/>
          <w:color w:val="000000"/>
          <w:lang w:eastAsia="bg-BG"/>
        </w:rPr>
        <w:t xml:space="preserve">или епендимом. Проучването е спряно към момента на планирания междинен анализ поради липса на контрол на заболяването. Медианата на </w:t>
      </w:r>
      <w:r w:rsidRPr="00CA56F5">
        <w:rPr>
          <w:rFonts w:eastAsia="Times New Roman" w:cs="Arial"/>
          <w:color w:val="000000"/>
          <w:lang w:val="en-US"/>
        </w:rPr>
        <w:t xml:space="preserve">PFS </w:t>
      </w:r>
      <w:r w:rsidRPr="00CA56F5">
        <w:rPr>
          <w:rFonts w:eastAsia="Times New Roman" w:cs="Arial"/>
          <w:color w:val="000000"/>
          <w:lang w:eastAsia="bg-BG"/>
        </w:rPr>
        <w:t xml:space="preserve">е 2,3 месеца в групата с </w:t>
      </w:r>
      <w:r w:rsidRPr="00CA56F5">
        <w:rPr>
          <w:rFonts w:eastAsia="Times New Roman" w:cs="Arial"/>
          <w:color w:val="000000"/>
          <w:lang w:val="en-US"/>
        </w:rPr>
        <w:t xml:space="preserve">HGG </w:t>
      </w:r>
      <w:r w:rsidRPr="00CA56F5">
        <w:rPr>
          <w:rFonts w:eastAsia="Times New Roman" w:cs="Arial"/>
          <w:color w:val="000000"/>
          <w:lang w:eastAsia="bg-BG"/>
        </w:rPr>
        <w:t xml:space="preserve">и 2,7 месеца в групата с епендимом. Медианата на цялостната прежйвяемост </w:t>
      </w:r>
      <w:r w:rsidRPr="00CA56F5">
        <w:rPr>
          <w:rFonts w:eastAsia="Times New Roman" w:cs="Arial"/>
          <w:color w:val="000000"/>
          <w:lang w:val="en-US"/>
        </w:rPr>
        <w:t xml:space="preserve">(OS) </w:t>
      </w:r>
      <w:r w:rsidRPr="00CA56F5">
        <w:rPr>
          <w:rFonts w:eastAsia="Times New Roman" w:cs="Arial"/>
          <w:color w:val="000000"/>
          <w:lang w:eastAsia="bg-BG"/>
        </w:rPr>
        <w:t xml:space="preserve">е 5,1 месеца в групата с </w:t>
      </w:r>
      <w:r w:rsidRPr="00CA56F5">
        <w:rPr>
          <w:rFonts w:eastAsia="Times New Roman" w:cs="Arial"/>
          <w:color w:val="000000"/>
          <w:lang w:val="en-US"/>
        </w:rPr>
        <w:t xml:space="preserve">HGG </w:t>
      </w:r>
      <w:r w:rsidRPr="00CA56F5">
        <w:rPr>
          <w:rFonts w:eastAsia="Times New Roman" w:cs="Arial"/>
          <w:color w:val="000000"/>
          <w:lang w:eastAsia="bg-BG"/>
        </w:rPr>
        <w:t>и 12,3 месеца в групата с епендимом. Най-честите (≥ 10%) съобщени нежелани събития, свързани с лечението, комбинирано при пациентите в двете групи са намален брой на неутрофилите (6 пациенти [20,7%] и вътречерепен кръвоизлив (3 пациенти [10,3%]) (вж. точка 4,8).</w:t>
      </w:r>
    </w:p>
    <w:p w14:paraId="0B562C77" w14:textId="77777777" w:rsidR="00CA56F5" w:rsidRPr="00CA56F5" w:rsidRDefault="00CA56F5" w:rsidP="00CA56F5">
      <w:pPr>
        <w:spacing w:line="240" w:lineRule="auto"/>
        <w:rPr>
          <w:rFonts w:eastAsia="Times New Roman" w:cs="Arial"/>
          <w:color w:val="000000"/>
          <w:lang w:eastAsia="bg-BG"/>
        </w:rPr>
      </w:pPr>
    </w:p>
    <w:p w14:paraId="2595AF14" w14:textId="55327242"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Доказателства от проучване фаза 1/2 на перорален сунитиниб, проведено при 6 педиатрични пациенти с </w:t>
      </w:r>
      <w:r w:rsidRPr="00CA56F5">
        <w:rPr>
          <w:rFonts w:eastAsia="Times New Roman" w:cs="Arial"/>
          <w:color w:val="000000"/>
          <w:lang w:val="en-US"/>
        </w:rPr>
        <w:t xml:space="preserve">GIST </w:t>
      </w:r>
      <w:r w:rsidRPr="00CA56F5">
        <w:rPr>
          <w:rFonts w:eastAsia="Times New Roman" w:cs="Arial"/>
          <w:color w:val="000000"/>
          <w:lang w:eastAsia="bg-BG"/>
        </w:rPr>
        <w:t xml:space="preserve">на възраст от 13 години до 16 години, които получават сунитиниб по схема 4/2 в дози, вариращи между 15 </w:t>
      </w:r>
      <w:r w:rsidRPr="00CA56F5">
        <w:rPr>
          <w:rFonts w:eastAsia="Times New Roman" w:cs="Arial"/>
          <w:color w:val="000000"/>
          <w:lang w:val="en-US"/>
        </w:rPr>
        <w:t>mg/m</w:t>
      </w:r>
      <w:r w:rsidRPr="00CA56F5">
        <w:rPr>
          <w:rFonts w:eastAsia="Times New Roman" w:cs="Arial"/>
          <w:color w:val="000000"/>
          <w:vertAlign w:val="superscript"/>
          <w:lang w:val="en-US"/>
        </w:rPr>
        <w:t>2</w:t>
      </w:r>
      <w:r w:rsidRPr="00CA56F5">
        <w:rPr>
          <w:rFonts w:eastAsia="Times New Roman" w:cs="Arial"/>
          <w:color w:val="000000"/>
          <w:lang w:val="en-US"/>
        </w:rPr>
        <w:t xml:space="preserve"> </w:t>
      </w:r>
      <w:r w:rsidRPr="00CA56F5">
        <w:rPr>
          <w:rFonts w:eastAsia="Times New Roman" w:cs="Arial"/>
          <w:color w:val="000000"/>
          <w:lang w:eastAsia="bg-BG"/>
        </w:rPr>
        <w:t xml:space="preserve">дневно и 30 </w:t>
      </w:r>
      <w:r w:rsidRPr="00CA56F5">
        <w:rPr>
          <w:rFonts w:eastAsia="Times New Roman" w:cs="Arial"/>
          <w:color w:val="000000"/>
          <w:lang w:val="en-US"/>
        </w:rPr>
        <w:t>mg/m</w:t>
      </w:r>
      <w:r w:rsidRPr="00CA56F5">
        <w:rPr>
          <w:rFonts w:eastAsia="Times New Roman" w:cs="Arial"/>
          <w:color w:val="000000"/>
          <w:vertAlign w:val="superscript"/>
          <w:lang w:val="en-US"/>
        </w:rPr>
        <w:t>2</w:t>
      </w:r>
      <w:r w:rsidRPr="00CA56F5">
        <w:rPr>
          <w:rFonts w:eastAsia="Times New Roman" w:cs="Arial"/>
          <w:color w:val="000000"/>
          <w:lang w:val="en-US"/>
        </w:rPr>
        <w:t xml:space="preserve"> </w:t>
      </w:r>
      <w:r w:rsidRPr="00CA56F5">
        <w:rPr>
          <w:rFonts w:eastAsia="Times New Roman" w:cs="Arial"/>
          <w:color w:val="000000"/>
          <w:lang w:eastAsia="bg-BG"/>
        </w:rPr>
        <w:t xml:space="preserve">дневно, както и наличните публикувани данни (20 педиатрични или млади възрастни пациенти с </w:t>
      </w:r>
      <w:r w:rsidRPr="00CA56F5">
        <w:rPr>
          <w:rFonts w:eastAsia="Times New Roman" w:cs="Arial"/>
          <w:color w:val="000000"/>
          <w:lang w:val="en-US"/>
        </w:rPr>
        <w:t xml:space="preserve">GIST), </w:t>
      </w:r>
      <w:r w:rsidRPr="00CA56F5">
        <w:rPr>
          <w:rFonts w:eastAsia="Times New Roman" w:cs="Arial"/>
          <w:color w:val="000000"/>
          <w:lang w:eastAsia="bg-BG"/>
        </w:rPr>
        <w:t xml:space="preserve">показват, че лечението със сунитиниб води до стабилизиране на заболяването при 18 от 26 (69,2%) пациенти след неуспешно лечение или непоносимост към иматиниб (16 пациенти със стабилно заболяване от 21) или </w:t>
      </w:r>
      <w:r w:rsidRPr="00CA56F5">
        <w:rPr>
          <w:rFonts w:eastAsia="Times New Roman" w:cs="Arial"/>
          <w:i/>
          <w:iCs/>
          <w:color w:val="000000"/>
          <w:lang w:val="en-US"/>
        </w:rPr>
        <w:t>de novo</w:t>
      </w:r>
      <w:r w:rsidRPr="00CA56F5">
        <w:rPr>
          <w:rFonts w:eastAsia="Times New Roman" w:cs="Arial"/>
          <w:i/>
          <w:iCs/>
          <w:color w:val="000000"/>
          <w:lang w:eastAsia="bg-BG"/>
        </w:rPr>
        <w:t>/след,</w:t>
      </w:r>
      <w:r w:rsidRPr="00CA56F5">
        <w:rPr>
          <w:rFonts w:eastAsia="Times New Roman" w:cs="Arial"/>
          <w:color w:val="000000"/>
          <w:lang w:eastAsia="bg-BG"/>
        </w:rPr>
        <w:t xml:space="preserve"> операция (2 пациенти със стабилно заболяване от 5). При проучването фаза 1/2, стабилно заболяване и прогресия на заболяването са наблюдавани при 3 от 6 пациенти за всяко от двете (съответно I пациент е получил неоадювантно и 1 пациент е получил адювантно лечение с иматиниб). В същото проучване, 4 от 6 пациенти (66,7%) получават нежелани събития, свързани с лечението степен 3-4 (степен 3 хипофосфатемия, неутропения и тромбоцитопения при 1 пациент от всяко събитие и неутропения от степен 4 при 1 пациент). В допълнение, в публикациите се съобщава за следните нежелани лекарствени реакции от степен 3, проявени при 5 пациенти: умора (2), гастроинтестинални нежелани лекарствени реакции (включително диария) (2), хематологични нежелани лекарствени реакции (включително анемия) (2), холецистит (1), хипертиреоидизъм (1) и мукозит (1).</w:t>
      </w:r>
    </w:p>
    <w:p w14:paraId="1E9C5B60" w14:textId="77777777" w:rsidR="00CA56F5" w:rsidRPr="00CA56F5" w:rsidRDefault="00CA56F5" w:rsidP="00CA56F5">
      <w:pPr>
        <w:spacing w:line="240" w:lineRule="auto"/>
        <w:rPr>
          <w:rFonts w:eastAsia="Times New Roman" w:cs="Arial"/>
          <w:color w:val="000000"/>
          <w:lang w:eastAsia="bg-BG"/>
        </w:rPr>
      </w:pPr>
    </w:p>
    <w:p w14:paraId="407803D8" w14:textId="28368618" w:rsidR="00CA56F5" w:rsidRPr="00F518E7" w:rsidRDefault="00CA56F5" w:rsidP="00F518E7">
      <w:pPr>
        <w:spacing w:line="240" w:lineRule="auto"/>
        <w:rPr>
          <w:rFonts w:eastAsia="Times New Roman" w:cs="Arial"/>
          <w:lang w:eastAsia="bg-BG"/>
        </w:rPr>
      </w:pPr>
      <w:r w:rsidRPr="00CA56F5">
        <w:rPr>
          <w:rFonts w:eastAsia="Times New Roman" w:cs="Arial"/>
          <w:color w:val="000000"/>
          <w:lang w:eastAsia="bg-BG"/>
        </w:rPr>
        <w:lastRenderedPageBreak/>
        <w:t>Извършен е популационен фармакокинетичен (ФК) и фармакокинетичен/фармакодинамичен (ФК/ФД) анализ за екстраполираме на ФК и основните крайни точки за безопасност и</w:t>
      </w:r>
      <w:r w:rsidR="00F518E7">
        <w:rPr>
          <w:rFonts w:eastAsia="Times New Roman" w:cs="Arial"/>
          <w:lang w:eastAsia="bg-BG"/>
        </w:rPr>
        <w:t xml:space="preserve"> </w:t>
      </w:r>
      <w:r w:rsidRPr="00CA56F5">
        <w:rPr>
          <w:rFonts w:eastAsia="Times New Roman" w:cs="Arial"/>
          <w:color w:val="000000"/>
          <w:lang w:eastAsia="bg-BG"/>
        </w:rPr>
        <w:t xml:space="preserve">ефикасност на сунитиниб при педиатрични пациенти с </w:t>
      </w:r>
      <w:r w:rsidRPr="00CA56F5">
        <w:rPr>
          <w:rFonts w:eastAsia="Times New Roman" w:cs="Arial"/>
          <w:color w:val="000000"/>
          <w:lang w:val="en-US"/>
        </w:rPr>
        <w:t xml:space="preserve">GIST </w:t>
      </w:r>
      <w:r w:rsidRPr="00CA56F5">
        <w:rPr>
          <w:rFonts w:eastAsia="Times New Roman" w:cs="Arial"/>
          <w:color w:val="000000"/>
          <w:lang w:eastAsia="bg-BG"/>
        </w:rPr>
        <w:t xml:space="preserve">(на възраст от 6 години до 17 години). Този анализ е базиран на данните, събрани при възрастни пациенти с </w:t>
      </w:r>
      <w:r w:rsidRPr="00CA56F5">
        <w:rPr>
          <w:rFonts w:eastAsia="Times New Roman" w:cs="Arial"/>
          <w:color w:val="000000"/>
          <w:lang w:val="en-US"/>
        </w:rPr>
        <w:t xml:space="preserve">GIS </w:t>
      </w:r>
      <w:r w:rsidRPr="00CA56F5">
        <w:rPr>
          <w:rFonts w:eastAsia="Times New Roman" w:cs="Arial"/>
          <w:color w:val="000000"/>
          <w:lang w:eastAsia="bg-BG"/>
        </w:rPr>
        <w:t>или солидни тумори, както и при педиатрични пациенти със солидни тумори.Въз основа на</w:t>
      </w:r>
      <w:r w:rsidRPr="00CA56F5">
        <w:rPr>
          <w:rFonts w:eastAsia="Times New Roman" w:cs="Arial"/>
          <w:lang w:eastAsia="bg-BG"/>
        </w:rPr>
        <w:t xml:space="preserve"> </w:t>
      </w:r>
      <w:r w:rsidRPr="00CA56F5">
        <w:rPr>
          <w:rFonts w:eastAsia="Times New Roman" w:cs="Arial"/>
          <w:color w:val="000000"/>
          <w:lang w:eastAsia="bg-BG"/>
        </w:rPr>
        <w:t>анализите на моделите, по-младата възраст и по-малкият р</w:t>
      </w:r>
      <w:r w:rsidR="00F518E7">
        <w:rPr>
          <w:rFonts w:eastAsia="Times New Roman" w:cs="Arial"/>
          <w:color w:val="000000"/>
          <w:lang w:eastAsia="bg-BG"/>
        </w:rPr>
        <w:t xml:space="preserve">азмер на тялото не изглежда да </w:t>
      </w:r>
      <w:r w:rsidRPr="00CA56F5">
        <w:rPr>
          <w:rFonts w:eastAsia="Times New Roman" w:cs="Arial"/>
          <w:color w:val="000000"/>
          <w:lang w:eastAsia="bg-BG"/>
        </w:rPr>
        <w:t xml:space="preserve">повлияват отрицателно отговорите към плазмената експозиция на сунитиниб по отношение на безопасността и ефикасността. Съотношението полза/риск на сунитиниб не изглежда да се повлиява отрицателно от по-младата възраст или по-малкия размер на тялото и се определя </w:t>
      </w:r>
    </w:p>
    <w:p w14:paraId="5DEC21C3" w14:textId="4E8787F8" w:rsidR="00CA56F5" w:rsidRPr="00CA56F5" w:rsidRDefault="00CA56F5" w:rsidP="00CA56F5">
      <w:pPr>
        <w:rPr>
          <w:rFonts w:eastAsia="Times New Roman" w:cs="Arial"/>
          <w:lang w:eastAsia="bg-BG"/>
        </w:rPr>
      </w:pPr>
      <w:r w:rsidRPr="00CA56F5">
        <w:rPr>
          <w:rFonts w:eastAsia="Times New Roman" w:cs="Arial"/>
          <w:color w:val="000000"/>
          <w:lang w:eastAsia="bg-BG"/>
        </w:rPr>
        <w:t>главно от плазмената му експозиция.</w:t>
      </w:r>
    </w:p>
    <w:p w14:paraId="25BA81B6" w14:textId="77777777" w:rsidR="00CA56F5" w:rsidRPr="00CA56F5" w:rsidRDefault="00CA56F5" w:rsidP="00CA56F5">
      <w:pPr>
        <w:spacing w:line="240" w:lineRule="auto"/>
        <w:rPr>
          <w:rFonts w:eastAsia="Times New Roman" w:cs="Arial"/>
          <w:color w:val="000000"/>
          <w:lang w:eastAsia="bg-BG"/>
        </w:rPr>
      </w:pPr>
    </w:p>
    <w:p w14:paraId="46D81F1D" w14:textId="57384BA3"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ЕМА освобождава от задължението за предоставяне на резултатите от проучвания със сунитиб във всички подгрупи на педиатричната популация при бъбречен карцином или карцином на бъбречното легенче (с изключение на нефробластом, нефробластоматоза, светлоклетъчен сарком, мезобластен нефром, медуларен бъбречен карцином и рабдоиден тумор на бъбреците) (вж. точка 4.2).</w:t>
      </w:r>
    </w:p>
    <w:p w14:paraId="78BE2634" w14:textId="77777777" w:rsidR="00CA56F5" w:rsidRPr="00CA56F5" w:rsidRDefault="00CA56F5" w:rsidP="00CA56F5">
      <w:pPr>
        <w:spacing w:line="240" w:lineRule="auto"/>
        <w:rPr>
          <w:rFonts w:eastAsia="Times New Roman" w:cs="Arial"/>
          <w:color w:val="000000"/>
          <w:lang w:eastAsia="bg-BG"/>
        </w:rPr>
      </w:pPr>
    </w:p>
    <w:p w14:paraId="0217BD97" w14:textId="7F0EE041"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ЕМА освобождава от задължението за предоставяне на резултатите от проучвания със сунитикон във всички подгрупи на педиатричната популация при гастроентеропанкреа- тични невроендокринни тумори (с изключение на невробластом, невроганглиобластом и феохромоцитом) (вж. точка 4.2).</w:t>
      </w:r>
    </w:p>
    <w:p w14:paraId="4C23BB6E" w14:textId="77777777" w:rsidR="00CA56F5" w:rsidRPr="0091385D" w:rsidRDefault="00CA56F5"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6FE462C0"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ФК на сунитиниб е оценена при 135 здрави доброволци и 266 пациенти със солидни тумори. ФК е била сходна при всички изследвани популации пациенти със солидни тумори и при здрави доброволци.</w:t>
      </w:r>
    </w:p>
    <w:p w14:paraId="62FEF9EC" w14:textId="77777777" w:rsidR="00CA56F5" w:rsidRPr="00CA56F5" w:rsidRDefault="00CA56F5" w:rsidP="00CA56F5">
      <w:pPr>
        <w:spacing w:line="240" w:lineRule="auto"/>
        <w:rPr>
          <w:rFonts w:eastAsia="Times New Roman" w:cs="Arial"/>
          <w:color w:val="000000"/>
          <w:lang w:eastAsia="bg-BG"/>
        </w:rPr>
      </w:pPr>
    </w:p>
    <w:p w14:paraId="27AD51A5" w14:textId="183276A9"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В диапазона на дози от 25 до 100 </w:t>
      </w:r>
      <w:r w:rsidRPr="00CA56F5">
        <w:rPr>
          <w:rFonts w:eastAsia="Times New Roman" w:cs="Arial"/>
          <w:color w:val="000000"/>
          <w:lang w:val="en-US"/>
        </w:rPr>
        <w:t xml:space="preserve">mg, </w:t>
      </w:r>
      <w:r w:rsidRPr="00CA56F5">
        <w:rPr>
          <w:rFonts w:eastAsia="Times New Roman" w:cs="Arial"/>
          <w:color w:val="000000"/>
          <w:lang w:eastAsia="bg-BG"/>
        </w:rPr>
        <w:t xml:space="preserve">площта под кривата „плазмена концентрация - време“ </w:t>
      </w:r>
      <w:r w:rsidRPr="00CA56F5">
        <w:rPr>
          <w:rFonts w:eastAsia="Times New Roman" w:cs="Arial"/>
          <w:color w:val="000000"/>
          <w:lang w:val="en-US"/>
        </w:rPr>
        <w:t xml:space="preserve">(AUC) </w:t>
      </w:r>
      <w:r w:rsidRPr="00CA56F5">
        <w:rPr>
          <w:rFonts w:eastAsia="Times New Roman" w:cs="Arial"/>
          <w:color w:val="000000"/>
          <w:lang w:eastAsia="bg-BG"/>
        </w:rPr>
        <w:t>и С</w:t>
      </w:r>
      <w:r w:rsidRPr="00CA56F5">
        <w:rPr>
          <w:rFonts w:eastAsia="Times New Roman" w:cs="Arial"/>
          <w:color w:val="000000"/>
          <w:vertAlign w:val="subscript"/>
          <w:lang w:val="en-US"/>
        </w:rPr>
        <w:t>max</w:t>
      </w:r>
      <w:r w:rsidRPr="00CA56F5">
        <w:rPr>
          <w:rFonts w:eastAsia="Times New Roman" w:cs="Arial"/>
          <w:color w:val="000000"/>
          <w:lang w:eastAsia="bg-BG"/>
        </w:rPr>
        <w:t xml:space="preserve"> се повишават пропорционално на дозата. При многократно дневно приложение, сунитиниб кумулира 3 до 4 пъти, а основният му активен метаболит кумулира 7 до 10 пъти.</w:t>
      </w:r>
    </w:p>
    <w:p w14:paraId="3F21DE04"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Стационарните концентрации на сунитиниб и неговия първичен активен метаболит се достигат в рамките на 10 до 14 дни. До Ден 14 общите плазмени концентрации</w:t>
      </w:r>
      <w:r w:rsidRPr="00CA56F5">
        <w:rPr>
          <w:rFonts w:eastAsia="Times New Roman" w:cs="Arial"/>
          <w:color w:val="000000"/>
          <w:lang w:val="en-US"/>
        </w:rPr>
        <w:t xml:space="preserve"> </w:t>
      </w:r>
      <w:r w:rsidRPr="00CA56F5">
        <w:rPr>
          <w:rFonts w:eastAsia="Times New Roman" w:cs="Arial"/>
          <w:color w:val="000000"/>
          <w:lang w:eastAsia="bg-BG"/>
        </w:rPr>
        <w:t xml:space="preserve">на сунитиниб и активния му метаболит са 62,9-101 </w:t>
      </w:r>
      <w:r w:rsidRPr="00CA56F5">
        <w:rPr>
          <w:rFonts w:eastAsia="Times New Roman" w:cs="Arial"/>
          <w:color w:val="000000"/>
          <w:lang w:val="en-US"/>
        </w:rPr>
        <w:t xml:space="preserve">ng/ml, </w:t>
      </w:r>
      <w:r w:rsidRPr="00CA56F5">
        <w:rPr>
          <w:rFonts w:eastAsia="Times New Roman" w:cs="Arial"/>
          <w:color w:val="000000"/>
          <w:lang w:eastAsia="bg-BG"/>
        </w:rPr>
        <w:t>те са</w:t>
      </w:r>
      <w:r w:rsidRPr="00CA56F5">
        <w:rPr>
          <w:rFonts w:eastAsia="Times New Roman" w:cs="Arial"/>
          <w:color w:val="000000"/>
          <w:lang w:val="en-US"/>
        </w:rPr>
        <w:t xml:space="preserve"> </w:t>
      </w:r>
      <w:r w:rsidRPr="00CA56F5">
        <w:rPr>
          <w:rFonts w:eastAsia="Times New Roman" w:cs="Arial"/>
          <w:color w:val="000000"/>
          <w:lang w:eastAsia="bg-BG"/>
        </w:rPr>
        <w:t xml:space="preserve">таргетни концентрации, за които предклиничните данни предполагат, че инхибират фосфорилирането на рецептора </w:t>
      </w:r>
      <w:r w:rsidRPr="00CA56F5">
        <w:rPr>
          <w:rFonts w:eastAsia="Times New Roman" w:cs="Arial"/>
          <w:i/>
          <w:iCs/>
          <w:color w:val="000000"/>
          <w:lang w:val="en-US"/>
        </w:rPr>
        <w:t>in vitro</w:t>
      </w:r>
      <w:r w:rsidRPr="00CA56F5">
        <w:rPr>
          <w:rFonts w:eastAsia="Times New Roman" w:cs="Arial"/>
          <w:color w:val="000000"/>
          <w:lang w:val="en-US"/>
        </w:rPr>
        <w:t xml:space="preserve"> </w:t>
      </w:r>
      <w:r w:rsidRPr="00CA56F5">
        <w:rPr>
          <w:rFonts w:eastAsia="Times New Roman" w:cs="Arial"/>
          <w:color w:val="000000"/>
          <w:lang w:eastAsia="bg-BG"/>
        </w:rPr>
        <w:t xml:space="preserve">и водят до туморна стаза/намаляване на растежа </w:t>
      </w:r>
      <w:r w:rsidRPr="00CA56F5">
        <w:rPr>
          <w:rFonts w:eastAsia="Times New Roman" w:cs="Arial"/>
          <w:i/>
          <w:iCs/>
          <w:color w:val="000000"/>
          <w:lang w:val="en-US"/>
        </w:rPr>
        <w:t>in vivo.</w:t>
      </w:r>
      <w:r w:rsidRPr="00CA56F5">
        <w:rPr>
          <w:rFonts w:eastAsia="Times New Roman" w:cs="Arial"/>
          <w:color w:val="000000"/>
          <w:lang w:val="en-US"/>
        </w:rPr>
        <w:t xml:space="preserve"> </w:t>
      </w:r>
      <w:r w:rsidRPr="00CA56F5">
        <w:rPr>
          <w:rFonts w:eastAsia="Times New Roman" w:cs="Arial"/>
          <w:color w:val="000000"/>
          <w:lang w:eastAsia="bg-BG"/>
        </w:rPr>
        <w:t>Основният активен метаболит обхваща 23% до 37% от общата експозиция. При многократно дневно приложение или многократни цикли при проучваните схеми на приложение не са били наблюдавани значими промени във ФК на сунитиниб или на неговия основен активен метаболит.</w:t>
      </w:r>
    </w:p>
    <w:p w14:paraId="65F58D16" w14:textId="77777777" w:rsidR="00CA56F5" w:rsidRPr="00CA56F5" w:rsidRDefault="00CA56F5" w:rsidP="00CA56F5">
      <w:pPr>
        <w:spacing w:line="240" w:lineRule="auto"/>
        <w:rPr>
          <w:rFonts w:eastAsia="Times New Roman" w:cs="Arial"/>
          <w:color w:val="000000"/>
          <w:u w:val="single"/>
          <w:lang w:eastAsia="bg-BG"/>
        </w:rPr>
      </w:pPr>
    </w:p>
    <w:p w14:paraId="114F0657" w14:textId="31C4CCE7" w:rsidR="00CA56F5" w:rsidRPr="00F518E7" w:rsidRDefault="00CA56F5" w:rsidP="00F518E7">
      <w:pPr>
        <w:pStyle w:val="Heading3"/>
        <w:rPr>
          <w:rFonts w:eastAsia="Times New Roman"/>
          <w:u w:val="single"/>
          <w:lang w:eastAsia="bg-BG"/>
        </w:rPr>
      </w:pPr>
      <w:r w:rsidRPr="00F518E7">
        <w:rPr>
          <w:rFonts w:eastAsia="Times New Roman"/>
          <w:u w:val="single"/>
          <w:lang w:eastAsia="bg-BG"/>
        </w:rPr>
        <w:t>Абсорбция</w:t>
      </w:r>
    </w:p>
    <w:p w14:paraId="1FB2E4A4"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След перорално приложение на сунитиниб, С</w:t>
      </w:r>
      <w:r w:rsidRPr="00CA56F5">
        <w:rPr>
          <w:rFonts w:eastAsia="Times New Roman" w:cs="Arial"/>
          <w:color w:val="000000"/>
          <w:vertAlign w:val="subscript"/>
          <w:lang w:val="en-US"/>
        </w:rPr>
        <w:t>max</w:t>
      </w:r>
      <w:r w:rsidRPr="00CA56F5">
        <w:rPr>
          <w:rFonts w:eastAsia="Times New Roman" w:cs="Arial"/>
          <w:color w:val="000000"/>
          <w:lang w:eastAsia="bg-BG"/>
        </w:rPr>
        <w:t xml:space="preserve"> обикновено са наблюдавани от 6 до 12 часа време до максимална концентрация Т</w:t>
      </w:r>
      <w:r w:rsidRPr="00CA56F5">
        <w:rPr>
          <w:rFonts w:eastAsia="Times New Roman" w:cs="Arial"/>
          <w:color w:val="000000"/>
          <w:vertAlign w:val="subscript"/>
          <w:lang w:val="en-US"/>
        </w:rPr>
        <w:t>max</w:t>
      </w:r>
      <w:r w:rsidRPr="00CA56F5">
        <w:rPr>
          <w:rFonts w:eastAsia="Times New Roman" w:cs="Arial"/>
          <w:color w:val="000000"/>
          <w:lang w:eastAsia="bg-BG"/>
        </w:rPr>
        <w:t xml:space="preserve"> след приложение.</w:t>
      </w:r>
    </w:p>
    <w:p w14:paraId="2CFA216D"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Храната няма ефект върху бионаличността на сунитиниб.</w:t>
      </w:r>
    </w:p>
    <w:p w14:paraId="1B3740FC" w14:textId="77777777" w:rsidR="00CA56F5" w:rsidRPr="00CA56F5" w:rsidRDefault="00CA56F5" w:rsidP="00CA56F5">
      <w:pPr>
        <w:spacing w:line="240" w:lineRule="auto"/>
        <w:rPr>
          <w:rFonts w:eastAsia="Times New Roman" w:cs="Arial"/>
          <w:color w:val="000000"/>
          <w:u w:val="single"/>
          <w:lang w:eastAsia="bg-BG"/>
        </w:rPr>
      </w:pPr>
    </w:p>
    <w:p w14:paraId="12E10EC5" w14:textId="2AF52FCB" w:rsidR="00CA56F5" w:rsidRPr="00F518E7" w:rsidRDefault="00CA56F5" w:rsidP="00F518E7">
      <w:pPr>
        <w:pStyle w:val="Heading3"/>
        <w:rPr>
          <w:rFonts w:eastAsia="Times New Roman"/>
          <w:u w:val="single"/>
          <w:lang w:eastAsia="bg-BG"/>
        </w:rPr>
      </w:pPr>
      <w:r w:rsidRPr="00F518E7">
        <w:rPr>
          <w:rFonts w:eastAsia="Times New Roman"/>
          <w:u w:val="single"/>
          <w:lang w:eastAsia="bg-BG"/>
        </w:rPr>
        <w:lastRenderedPageBreak/>
        <w:t>Разпределение</w:t>
      </w:r>
    </w:p>
    <w:p w14:paraId="5F004992" w14:textId="77777777" w:rsidR="00CA56F5" w:rsidRPr="00CA56F5" w:rsidRDefault="00CA56F5" w:rsidP="00CA56F5">
      <w:pPr>
        <w:spacing w:line="240" w:lineRule="auto"/>
        <w:rPr>
          <w:rFonts w:eastAsia="Times New Roman" w:cs="Arial"/>
          <w:lang w:eastAsia="bg-BG"/>
        </w:rPr>
      </w:pPr>
      <w:r w:rsidRPr="00CA56F5">
        <w:rPr>
          <w:rFonts w:eastAsia="Times New Roman" w:cs="Arial"/>
          <w:i/>
          <w:iCs/>
          <w:color w:val="000000"/>
          <w:lang w:val="en-US"/>
        </w:rPr>
        <w:t>In vitro,</w:t>
      </w:r>
      <w:r w:rsidRPr="00CA56F5">
        <w:rPr>
          <w:rFonts w:eastAsia="Times New Roman" w:cs="Arial"/>
          <w:color w:val="000000"/>
          <w:lang w:val="en-US"/>
        </w:rPr>
        <w:t xml:space="preserve"> </w:t>
      </w:r>
      <w:r w:rsidRPr="00CA56F5">
        <w:rPr>
          <w:rFonts w:eastAsia="Times New Roman" w:cs="Arial"/>
          <w:color w:val="000000"/>
          <w:lang w:eastAsia="bg-BG"/>
        </w:rPr>
        <w:t xml:space="preserve">свързването на сунитиниб и неговия основен активен метаболит с човешкия плазмен протеин в изследвания </w:t>
      </w:r>
      <w:r w:rsidRPr="00CA56F5">
        <w:rPr>
          <w:rFonts w:eastAsia="Times New Roman" w:cs="Arial"/>
          <w:i/>
          <w:iCs/>
          <w:color w:val="000000"/>
          <w:lang w:val="en-US"/>
        </w:rPr>
        <w:t xml:space="preserve">in vitro </w:t>
      </w:r>
      <w:r w:rsidRPr="00CA56F5">
        <w:rPr>
          <w:rFonts w:eastAsia="Times New Roman" w:cs="Arial"/>
          <w:i/>
          <w:iCs/>
          <w:color w:val="000000"/>
          <w:lang w:eastAsia="bg-BG"/>
        </w:rPr>
        <w:t>е било</w:t>
      </w:r>
      <w:r w:rsidRPr="00CA56F5">
        <w:rPr>
          <w:rFonts w:eastAsia="Times New Roman" w:cs="Arial"/>
          <w:color w:val="000000"/>
          <w:lang w:eastAsia="bg-BG"/>
        </w:rPr>
        <w:t xml:space="preserve"> съответно 95% и 90%, без забележима зависимост от концентрацията. Привидният обем на разпределение </w:t>
      </w:r>
      <w:r w:rsidRPr="00CA56F5">
        <w:rPr>
          <w:rFonts w:eastAsia="Times New Roman" w:cs="Arial"/>
          <w:color w:val="000000"/>
          <w:lang w:val="en-US"/>
        </w:rPr>
        <w:t xml:space="preserve">(Vd) </w:t>
      </w:r>
      <w:r w:rsidRPr="00CA56F5">
        <w:rPr>
          <w:rFonts w:eastAsia="Times New Roman" w:cs="Arial"/>
          <w:color w:val="000000"/>
          <w:lang w:eastAsia="bg-BG"/>
        </w:rPr>
        <w:t>за сунитиниб е бил голям - 2230 I, показвайки разпределение в тъканите.</w:t>
      </w:r>
    </w:p>
    <w:p w14:paraId="27420637" w14:textId="77777777" w:rsidR="00CA56F5" w:rsidRPr="00CA56F5" w:rsidRDefault="00CA56F5" w:rsidP="00CA56F5">
      <w:pPr>
        <w:spacing w:line="240" w:lineRule="auto"/>
        <w:rPr>
          <w:rFonts w:eastAsia="Times New Roman" w:cs="Arial"/>
          <w:color w:val="000000"/>
          <w:u w:val="single"/>
          <w:lang w:eastAsia="bg-BG"/>
        </w:rPr>
      </w:pPr>
    </w:p>
    <w:p w14:paraId="2913541C" w14:textId="4D433B2D" w:rsidR="00CA56F5" w:rsidRPr="00CA56F5" w:rsidRDefault="00CA56F5" w:rsidP="00CA56F5">
      <w:pPr>
        <w:spacing w:line="240" w:lineRule="auto"/>
        <w:rPr>
          <w:rFonts w:eastAsia="Times New Roman" w:cs="Arial"/>
          <w:lang w:eastAsia="bg-BG"/>
        </w:rPr>
      </w:pPr>
      <w:r w:rsidRPr="00CA56F5">
        <w:rPr>
          <w:rFonts w:eastAsia="Times New Roman" w:cs="Arial"/>
          <w:color w:val="000000"/>
          <w:u w:val="single"/>
          <w:lang w:eastAsia="bg-BG"/>
        </w:rPr>
        <w:t>Метаболитни взаимодействия</w:t>
      </w:r>
    </w:p>
    <w:p w14:paraId="658E897D"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Изчислените </w:t>
      </w:r>
      <w:r w:rsidRPr="00CA56F5">
        <w:rPr>
          <w:rFonts w:eastAsia="Times New Roman" w:cs="Arial"/>
          <w:i/>
          <w:iCs/>
          <w:color w:val="000000"/>
          <w:lang w:val="en-US"/>
        </w:rPr>
        <w:t>in vitro</w:t>
      </w:r>
      <w:r w:rsidRPr="00CA56F5">
        <w:rPr>
          <w:rFonts w:eastAsia="Times New Roman" w:cs="Arial"/>
          <w:color w:val="000000"/>
          <w:lang w:val="en-US"/>
        </w:rPr>
        <w:t xml:space="preserve"> </w:t>
      </w:r>
      <w:r w:rsidRPr="00CA56F5">
        <w:rPr>
          <w:rFonts w:eastAsia="Times New Roman" w:cs="Arial"/>
          <w:color w:val="000000"/>
          <w:lang w:eastAsia="bg-BG"/>
        </w:rPr>
        <w:t xml:space="preserve">стойности на </w:t>
      </w:r>
      <w:r w:rsidRPr="00CA56F5">
        <w:rPr>
          <w:rFonts w:eastAsia="Times New Roman" w:cs="Arial"/>
          <w:color w:val="000000"/>
          <w:lang w:val="en-US"/>
        </w:rPr>
        <w:t xml:space="preserve">Ki </w:t>
      </w:r>
      <w:r w:rsidRPr="00CA56F5">
        <w:rPr>
          <w:rFonts w:eastAsia="Times New Roman" w:cs="Arial"/>
          <w:color w:val="000000"/>
          <w:lang w:eastAsia="bg-BG"/>
        </w:rPr>
        <w:t xml:space="preserve">за всички изпитани изоформи на цитохорм Р450 </w:t>
      </w:r>
      <w:r w:rsidRPr="00CA56F5">
        <w:rPr>
          <w:rFonts w:eastAsia="Times New Roman" w:cs="Arial"/>
          <w:color w:val="000000"/>
          <w:lang w:val="en-US"/>
        </w:rPr>
        <w:t xml:space="preserve">(CYP) (CYP1A2, CYP2A6, CYP2B6, CYP2C8, CYP2C9, CYP2C19, CYP2D6, CYP2E1, CYP3A4/5 </w:t>
      </w:r>
      <w:r w:rsidRPr="00CA56F5">
        <w:rPr>
          <w:rFonts w:eastAsia="Times New Roman" w:cs="Arial"/>
          <w:color w:val="000000"/>
          <w:lang w:eastAsia="bg-BG"/>
        </w:rPr>
        <w:t xml:space="preserve">и </w:t>
      </w:r>
      <w:r w:rsidRPr="00CA56F5">
        <w:rPr>
          <w:rFonts w:eastAsia="Times New Roman" w:cs="Arial"/>
          <w:color w:val="000000"/>
          <w:lang w:val="en-US"/>
        </w:rPr>
        <w:t>CYP4A9/1</w:t>
      </w:r>
      <w:r w:rsidRPr="00CA56F5">
        <w:rPr>
          <w:rFonts w:eastAsia="Times New Roman" w:cs="Arial"/>
          <w:color w:val="000000"/>
          <w:lang w:eastAsia="bg-BG"/>
        </w:rPr>
        <w:t>1) показват, че е малко вероятно сунитиниб и основният му</w:t>
      </w:r>
    </w:p>
    <w:p w14:paraId="283D8004"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активен метаболит да индуцират метаболизма на други активни вещества, които се метаболизират от тези ензими, до някаква клинично-значима степен. </w:t>
      </w:r>
    </w:p>
    <w:p w14:paraId="1E62BEED" w14:textId="77777777" w:rsidR="00CA56F5" w:rsidRPr="00CA56F5" w:rsidRDefault="00CA56F5" w:rsidP="00CA56F5">
      <w:pPr>
        <w:spacing w:line="240" w:lineRule="auto"/>
        <w:rPr>
          <w:rFonts w:eastAsia="Times New Roman" w:cs="Arial"/>
          <w:color w:val="000000"/>
          <w:u w:val="single"/>
          <w:lang w:eastAsia="bg-BG"/>
        </w:rPr>
      </w:pPr>
    </w:p>
    <w:p w14:paraId="5A64D9BE" w14:textId="6EDFE50B" w:rsidR="00CA56F5" w:rsidRPr="00F518E7" w:rsidRDefault="00CA56F5" w:rsidP="00F518E7">
      <w:pPr>
        <w:pStyle w:val="Heading3"/>
        <w:rPr>
          <w:rFonts w:eastAsia="Times New Roman"/>
          <w:u w:val="single"/>
          <w:lang w:eastAsia="bg-BG"/>
        </w:rPr>
      </w:pPr>
      <w:r w:rsidRPr="00F518E7">
        <w:rPr>
          <w:rFonts w:eastAsia="Times New Roman"/>
          <w:u w:val="single"/>
          <w:lang w:eastAsia="bg-BG"/>
        </w:rPr>
        <w:t>Биотрансформация</w:t>
      </w:r>
    </w:p>
    <w:p w14:paraId="2E0D26A6" w14:textId="77777777" w:rsidR="00CA56F5" w:rsidRPr="00CA56F5" w:rsidRDefault="00CA56F5" w:rsidP="00CA56F5">
      <w:pPr>
        <w:rPr>
          <w:rFonts w:eastAsia="Times New Roman" w:cs="Arial"/>
          <w:lang w:eastAsia="bg-BG"/>
        </w:rPr>
      </w:pPr>
      <w:r w:rsidRPr="00CA56F5">
        <w:rPr>
          <w:rFonts w:eastAsia="Times New Roman" w:cs="Arial"/>
          <w:color w:val="000000"/>
          <w:lang w:eastAsia="bg-BG"/>
        </w:rPr>
        <w:t xml:space="preserve">Сунитиниб се метаболизира главно от </w:t>
      </w:r>
      <w:r w:rsidRPr="00CA56F5">
        <w:rPr>
          <w:rFonts w:eastAsia="Times New Roman" w:cs="Arial"/>
          <w:color w:val="000000"/>
          <w:lang w:val="en-US"/>
        </w:rPr>
        <w:t xml:space="preserve">CYP3A4, </w:t>
      </w:r>
      <w:r w:rsidRPr="00CA56F5">
        <w:rPr>
          <w:rFonts w:eastAsia="Times New Roman" w:cs="Arial"/>
          <w:color w:val="000000"/>
          <w:lang w:eastAsia="bg-BG"/>
        </w:rPr>
        <w:t xml:space="preserve">изоформа от групата на </w:t>
      </w:r>
      <w:r w:rsidRPr="00CA56F5">
        <w:rPr>
          <w:rFonts w:eastAsia="Times New Roman" w:cs="Arial"/>
          <w:color w:val="000000"/>
          <w:lang w:val="en-US"/>
        </w:rPr>
        <w:t>CYP,</w:t>
      </w:r>
      <w:r w:rsidRPr="00CA56F5">
        <w:rPr>
          <w:rFonts w:eastAsia="Times New Roman" w:cs="Arial"/>
          <w:color w:val="000000"/>
          <w:lang w:eastAsia="bg-BG"/>
        </w:rPr>
        <w:t xml:space="preserve"> който  продуцира неговия основен активен метаболит, дезетил сунитиниб, който след това се метаболизира от същия изоензим.</w:t>
      </w:r>
    </w:p>
    <w:p w14:paraId="4C5E3351" w14:textId="77777777" w:rsidR="00CA56F5" w:rsidRPr="00CA56F5" w:rsidRDefault="00CA56F5" w:rsidP="00CA56F5">
      <w:pPr>
        <w:spacing w:line="240" w:lineRule="auto"/>
        <w:rPr>
          <w:rFonts w:eastAsia="Times New Roman" w:cs="Arial"/>
          <w:color w:val="000000"/>
          <w:lang w:eastAsia="bg-BG"/>
        </w:rPr>
      </w:pPr>
    </w:p>
    <w:p w14:paraId="499072DD" w14:textId="7A709702"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Едновременно приложение на сунитиниб с мощни индуктори на </w:t>
      </w:r>
      <w:r w:rsidRPr="00CA56F5">
        <w:rPr>
          <w:rFonts w:eastAsia="Times New Roman" w:cs="Arial"/>
          <w:color w:val="000000"/>
          <w:lang w:val="en-US"/>
        </w:rPr>
        <w:t xml:space="preserve">CYP3A4 </w:t>
      </w:r>
      <w:r w:rsidRPr="00CA56F5">
        <w:rPr>
          <w:rFonts w:eastAsia="Times New Roman" w:cs="Arial"/>
          <w:color w:val="000000"/>
          <w:lang w:eastAsia="bg-BG"/>
        </w:rPr>
        <w:t>или инхибитори трябва да се избягва, тъй като плазмените концентрации на сунитиниб могат да се променят (вж. точки 4.4 и 4.5).</w:t>
      </w:r>
    </w:p>
    <w:p w14:paraId="056C8CE5" w14:textId="77777777" w:rsidR="00CA56F5" w:rsidRPr="00CA56F5" w:rsidRDefault="00CA56F5" w:rsidP="00CA56F5">
      <w:pPr>
        <w:spacing w:line="240" w:lineRule="auto"/>
        <w:rPr>
          <w:rFonts w:eastAsia="Times New Roman" w:cs="Arial"/>
          <w:color w:val="000000"/>
          <w:u w:val="single"/>
          <w:lang w:eastAsia="bg-BG"/>
        </w:rPr>
      </w:pPr>
    </w:p>
    <w:p w14:paraId="459369D7" w14:textId="365F69D9" w:rsidR="00CA56F5" w:rsidRPr="00F518E7" w:rsidRDefault="00CA56F5" w:rsidP="00F518E7">
      <w:pPr>
        <w:pStyle w:val="Heading3"/>
        <w:rPr>
          <w:rFonts w:eastAsia="Times New Roman"/>
          <w:u w:val="single"/>
          <w:lang w:eastAsia="bg-BG"/>
        </w:rPr>
      </w:pPr>
      <w:r w:rsidRPr="00F518E7">
        <w:rPr>
          <w:rFonts w:eastAsia="Times New Roman"/>
          <w:u w:val="single"/>
          <w:lang w:eastAsia="bg-BG"/>
        </w:rPr>
        <w:t>Елиминиране</w:t>
      </w:r>
    </w:p>
    <w:p w14:paraId="435049FA" w14:textId="4631AAC1" w:rsidR="00CA56F5" w:rsidRPr="00CA56F5" w:rsidRDefault="00CA56F5" w:rsidP="00CA56F5">
      <w:pPr>
        <w:spacing w:line="240" w:lineRule="auto"/>
        <w:rPr>
          <w:rFonts w:eastAsia="Times New Roman" w:cs="Arial"/>
          <w:color w:val="000000"/>
          <w:lang w:eastAsia="bg-BG"/>
        </w:rPr>
      </w:pPr>
      <w:r w:rsidRPr="00CA56F5">
        <w:rPr>
          <w:rFonts w:eastAsia="Times New Roman" w:cs="Arial"/>
          <w:color w:val="000000"/>
          <w:lang w:eastAsia="bg-BG"/>
        </w:rPr>
        <w:t xml:space="preserve">Екскрецията е основно чрез изпражненията (61%), а елиминирането на непроменено активно вещество и метаболитите му чрез бъбреците съставлява 16% от приложената доза. Сунитиниб и неговият основен активен метаболйт са били основните съединения, идентифицирани в плазма, урина и изпражнения, представляващи съответно 91,5%, 86,4% и 73,8% от радиоактивното вещество в събраните проби. Второстепенни метаболити са били идентифицирани в урина </w:t>
      </w:r>
      <w:r w:rsidRPr="00CA56F5">
        <w:rPr>
          <w:rFonts w:eastAsia="Times New Roman" w:cs="Arial"/>
          <w:i/>
          <w:iCs/>
          <w:color w:val="000000"/>
          <w:lang w:eastAsia="bg-BG"/>
        </w:rPr>
        <w:t>и</w:t>
      </w:r>
      <w:r w:rsidRPr="00CA56F5">
        <w:rPr>
          <w:rFonts w:eastAsia="Times New Roman" w:cs="Arial"/>
          <w:color w:val="000000"/>
          <w:lang w:eastAsia="bg-BG"/>
        </w:rPr>
        <w:t xml:space="preserve"> изпражнения, но обикновено не са били откривани в плазма. Тоталният перорален клирънс </w:t>
      </w:r>
      <w:r w:rsidRPr="00CA56F5">
        <w:rPr>
          <w:rFonts w:eastAsia="Times New Roman" w:cs="Arial"/>
          <w:color w:val="000000"/>
          <w:lang w:val="en-US"/>
        </w:rPr>
        <w:t xml:space="preserve">(CL/F) </w:t>
      </w:r>
      <w:r w:rsidRPr="00CA56F5">
        <w:rPr>
          <w:rFonts w:eastAsia="Times New Roman" w:cs="Arial"/>
          <w:color w:val="000000"/>
          <w:lang w:eastAsia="bg-BG"/>
        </w:rPr>
        <w:t xml:space="preserve">е бил 34-62 </w:t>
      </w:r>
      <w:r w:rsidRPr="00CA56F5">
        <w:rPr>
          <w:rFonts w:eastAsia="Times New Roman" w:cs="Arial"/>
          <w:color w:val="000000"/>
          <w:lang w:val="en-US"/>
        </w:rPr>
        <w:t>l</w:t>
      </w:r>
      <w:r w:rsidRPr="00CA56F5">
        <w:rPr>
          <w:rFonts w:eastAsia="Times New Roman" w:cs="Arial"/>
          <w:color w:val="000000"/>
          <w:lang w:eastAsia="bg-BG"/>
        </w:rPr>
        <w:t>/час. След перорално приложение при здрави доброволци, елиминационните полуживоти на сунитиниб и неговия основен активен дезетил-метаболит са съответно около 40-60 часа и 80-100 часа.</w:t>
      </w:r>
    </w:p>
    <w:p w14:paraId="0219E47E" w14:textId="77777777" w:rsidR="00CA56F5" w:rsidRPr="00CA56F5" w:rsidRDefault="00CA56F5" w:rsidP="00CA56F5">
      <w:pPr>
        <w:spacing w:line="240" w:lineRule="auto"/>
        <w:rPr>
          <w:rFonts w:eastAsia="Times New Roman" w:cs="Arial"/>
          <w:color w:val="000000"/>
          <w:u w:val="single"/>
          <w:lang w:eastAsia="bg-BG"/>
        </w:rPr>
      </w:pPr>
    </w:p>
    <w:p w14:paraId="7A32D2BC" w14:textId="395B7C67" w:rsidR="00CA56F5" w:rsidRPr="00CA56F5" w:rsidRDefault="00CA56F5" w:rsidP="00CA56F5">
      <w:pPr>
        <w:spacing w:line="240" w:lineRule="auto"/>
        <w:rPr>
          <w:rFonts w:eastAsia="Times New Roman" w:cs="Arial"/>
          <w:lang w:eastAsia="bg-BG"/>
        </w:rPr>
      </w:pPr>
      <w:r w:rsidRPr="00CA56F5">
        <w:rPr>
          <w:rFonts w:eastAsia="Times New Roman" w:cs="Arial"/>
          <w:color w:val="000000"/>
          <w:u w:val="single"/>
          <w:lang w:eastAsia="bg-BG"/>
        </w:rPr>
        <w:t xml:space="preserve">Едновременно приложение с лекарствени продукти, които са инхибитори на </w:t>
      </w:r>
      <w:r w:rsidRPr="00CA56F5">
        <w:rPr>
          <w:rFonts w:eastAsia="Times New Roman" w:cs="Arial"/>
          <w:color w:val="000000"/>
          <w:u w:val="single"/>
          <w:lang w:val="en-US"/>
        </w:rPr>
        <w:t xml:space="preserve">BCRP </w:t>
      </w:r>
      <w:r w:rsidRPr="00CA56F5">
        <w:rPr>
          <w:rFonts w:eastAsia="Times New Roman" w:cs="Arial"/>
          <w:i/>
          <w:iCs/>
          <w:color w:val="000000"/>
          <w:lang w:val="en-US"/>
        </w:rPr>
        <w:t>In vitro,</w:t>
      </w:r>
      <w:r w:rsidRPr="00CA56F5">
        <w:rPr>
          <w:rFonts w:eastAsia="Times New Roman" w:cs="Arial"/>
          <w:color w:val="000000"/>
          <w:lang w:val="en-US"/>
        </w:rPr>
        <w:t xml:space="preserve"> </w:t>
      </w:r>
      <w:r w:rsidRPr="00CA56F5">
        <w:rPr>
          <w:rFonts w:eastAsia="Times New Roman" w:cs="Arial"/>
          <w:color w:val="000000"/>
          <w:lang w:eastAsia="bg-BG"/>
        </w:rPr>
        <w:t xml:space="preserve">сунитиниб представлява субстрат на ефлуксния транспортер на </w:t>
      </w:r>
      <w:r w:rsidRPr="00CA56F5">
        <w:rPr>
          <w:rFonts w:eastAsia="Times New Roman" w:cs="Arial"/>
          <w:color w:val="000000"/>
          <w:lang w:val="en-US"/>
        </w:rPr>
        <w:t xml:space="preserve">BCRP. </w:t>
      </w:r>
      <w:r w:rsidRPr="00CA56F5">
        <w:rPr>
          <w:rFonts w:eastAsia="Times New Roman" w:cs="Arial"/>
          <w:color w:val="000000"/>
          <w:lang w:eastAsia="bg-BG"/>
        </w:rPr>
        <w:t xml:space="preserve">В проучване А6181038, едновременното му приложение с гефитиниб, инхибигор на </w:t>
      </w:r>
      <w:r w:rsidRPr="00CA56F5">
        <w:rPr>
          <w:rFonts w:eastAsia="Times New Roman" w:cs="Arial"/>
          <w:color w:val="000000"/>
          <w:lang w:val="en-US"/>
        </w:rPr>
        <w:t xml:space="preserve">BCRP, </w:t>
      </w:r>
      <w:r w:rsidRPr="00CA56F5">
        <w:rPr>
          <w:rFonts w:eastAsia="Times New Roman" w:cs="Arial"/>
          <w:color w:val="000000"/>
          <w:lang w:eastAsia="bg-BG"/>
        </w:rPr>
        <w:t>не оказва клинично значим ефект върху С</w:t>
      </w:r>
      <w:r w:rsidRPr="00CA56F5">
        <w:rPr>
          <w:rFonts w:eastAsia="Times New Roman" w:cs="Arial"/>
          <w:color w:val="000000"/>
          <w:vertAlign w:val="subscript"/>
          <w:lang w:val="en-US"/>
        </w:rPr>
        <w:t>max</w:t>
      </w:r>
      <w:r w:rsidRPr="00CA56F5">
        <w:rPr>
          <w:rFonts w:eastAsia="Times New Roman" w:cs="Arial"/>
          <w:color w:val="000000"/>
          <w:lang w:eastAsia="bg-BG"/>
        </w:rPr>
        <w:t xml:space="preserve"> и </w:t>
      </w:r>
      <w:r w:rsidRPr="00CA56F5">
        <w:rPr>
          <w:rFonts w:eastAsia="Times New Roman" w:cs="Arial"/>
          <w:color w:val="000000"/>
          <w:lang w:val="en-US"/>
        </w:rPr>
        <w:t xml:space="preserve">AUC </w:t>
      </w:r>
      <w:r w:rsidRPr="00CA56F5">
        <w:rPr>
          <w:rFonts w:eastAsia="Times New Roman" w:cs="Arial"/>
          <w:color w:val="000000"/>
          <w:lang w:eastAsia="bg-BG"/>
        </w:rPr>
        <w:t xml:space="preserve">на сунитиниб или общите лекарствени концентрации (сунитиниб + метаболит) (вж. точка 4.5). Това проучване е многоцентрово отворено проучване фаза 1/2, изследващо безопасностга/поносимостта, максималната поносима доза и антитуморната активност на сунитиниб в комбинация с гефитиниб при пациенти с метастатичен бъбречно-клетъчен карцином </w:t>
      </w:r>
      <w:r w:rsidRPr="00CA56F5">
        <w:rPr>
          <w:rFonts w:eastAsia="Times New Roman" w:cs="Arial"/>
          <w:color w:val="000000"/>
          <w:lang w:val="en-US"/>
        </w:rPr>
        <w:t xml:space="preserve">(MRCC). </w:t>
      </w:r>
      <w:r w:rsidRPr="00CA56F5">
        <w:rPr>
          <w:rFonts w:eastAsia="Times New Roman" w:cs="Arial"/>
          <w:color w:val="000000"/>
          <w:lang w:eastAsia="bg-BG"/>
        </w:rPr>
        <w:t xml:space="preserve">Като вторична цел е оценявана фармакокинетиката на гефитиниб (250 </w:t>
      </w:r>
      <w:r w:rsidRPr="00CA56F5">
        <w:rPr>
          <w:rFonts w:eastAsia="Times New Roman" w:cs="Arial"/>
          <w:color w:val="000000"/>
          <w:lang w:val="en-US"/>
        </w:rPr>
        <w:t xml:space="preserve">mg </w:t>
      </w:r>
      <w:r w:rsidRPr="00CA56F5">
        <w:rPr>
          <w:rFonts w:eastAsia="Times New Roman" w:cs="Arial"/>
          <w:color w:val="000000"/>
          <w:lang w:eastAsia="bg-BG"/>
        </w:rPr>
        <w:t xml:space="preserve">дневно) и сунитиниб (37,5 </w:t>
      </w:r>
      <w:r w:rsidRPr="00CA56F5">
        <w:rPr>
          <w:rFonts w:eastAsia="Times New Roman" w:cs="Arial"/>
          <w:color w:val="000000"/>
          <w:lang w:val="en-US"/>
        </w:rPr>
        <w:t xml:space="preserve">mg </w:t>
      </w:r>
      <w:r w:rsidRPr="00CA56F5">
        <w:rPr>
          <w:rFonts w:eastAsia="Times New Roman" w:cs="Arial"/>
          <w:color w:val="000000"/>
          <w:lang w:eastAsia="bg-BG"/>
        </w:rPr>
        <w:t xml:space="preserve">[Кохорта 1, </w:t>
      </w:r>
      <w:r w:rsidRPr="00CA56F5">
        <w:rPr>
          <w:rFonts w:eastAsia="Times New Roman" w:cs="Arial"/>
          <w:color w:val="000000"/>
          <w:lang w:val="en-US"/>
        </w:rPr>
        <w:t>n</w:t>
      </w:r>
      <w:r w:rsidRPr="00CA56F5">
        <w:rPr>
          <w:rFonts w:eastAsia="Times New Roman" w:cs="Arial"/>
          <w:color w:val="000000"/>
          <w:lang w:eastAsia="bg-BG"/>
        </w:rPr>
        <w:t xml:space="preserve">=4] или 50 </w:t>
      </w:r>
      <w:r w:rsidRPr="00CA56F5">
        <w:rPr>
          <w:rFonts w:eastAsia="Times New Roman" w:cs="Arial"/>
          <w:color w:val="000000"/>
          <w:lang w:val="en-US"/>
        </w:rPr>
        <w:t xml:space="preserve">mg </w:t>
      </w:r>
      <w:r w:rsidR="00F518E7">
        <w:rPr>
          <w:rFonts w:eastAsia="Times New Roman" w:cs="Arial"/>
          <w:color w:val="000000"/>
          <w:lang w:eastAsia="bg-BG"/>
        </w:rPr>
        <w:t xml:space="preserve">[Кохорта 2, </w:t>
      </w:r>
      <w:r w:rsidR="00F518E7">
        <w:rPr>
          <w:rFonts w:eastAsia="Times New Roman" w:cs="Arial"/>
          <w:color w:val="000000"/>
          <w:lang w:val="en-US" w:eastAsia="bg-BG"/>
        </w:rPr>
        <w:t>n</w:t>
      </w:r>
      <w:r w:rsidRPr="00CA56F5">
        <w:rPr>
          <w:rFonts w:eastAsia="Times New Roman" w:cs="Arial"/>
          <w:color w:val="000000"/>
          <w:lang w:eastAsia="bg-BG"/>
        </w:rPr>
        <w:t xml:space="preserve">=7] дневно при схема с 4-седмичен прием и 2-седмична пауза) при едновременно приложение. Промените във ФК параметри. на сунитиниб не са клинично значими и не са показали взаимодействия с други лекарства. Като се вземе предвид относително малкият брой пациенти (т.е. </w:t>
      </w:r>
      <w:r w:rsidRPr="00CA56F5">
        <w:rPr>
          <w:rFonts w:eastAsia="Times New Roman" w:cs="Arial"/>
          <w:color w:val="000000"/>
          <w:lang w:val="en-US"/>
        </w:rPr>
        <w:t>N=</w:t>
      </w:r>
      <w:r w:rsidRPr="00CA56F5">
        <w:rPr>
          <w:rFonts w:eastAsia="Times New Roman" w:cs="Arial"/>
          <w:color w:val="000000"/>
          <w:vertAlign w:val="superscript"/>
          <w:lang w:val="en-US"/>
        </w:rPr>
        <w:t>:</w:t>
      </w:r>
      <w:r w:rsidRPr="00CA56F5">
        <w:rPr>
          <w:rFonts w:eastAsia="Times New Roman" w:cs="Arial"/>
          <w:color w:val="000000"/>
          <w:lang w:val="en-US"/>
        </w:rPr>
        <w:t xml:space="preserve">7+4) </w:t>
      </w:r>
      <w:r w:rsidRPr="00CA56F5">
        <w:rPr>
          <w:rFonts w:eastAsia="Times New Roman" w:cs="Arial"/>
          <w:color w:val="000000"/>
          <w:lang w:eastAsia="bg-BG"/>
        </w:rPr>
        <w:t>и умерената до висока интериндивидуална вариабилност на фармакокйнетичните параметри между пациентите, находките за ФК лекарствено взаимодействие в това проучване трябва да се тълкуват особено предпазливо.</w:t>
      </w:r>
    </w:p>
    <w:p w14:paraId="51E0377D" w14:textId="77777777" w:rsidR="00CA56F5" w:rsidRPr="00CA56F5" w:rsidRDefault="00CA56F5" w:rsidP="00CA56F5">
      <w:pPr>
        <w:spacing w:line="240" w:lineRule="auto"/>
        <w:rPr>
          <w:rFonts w:eastAsia="Times New Roman" w:cs="Arial"/>
          <w:color w:val="000000"/>
          <w:u w:val="single"/>
          <w:lang w:eastAsia="bg-BG"/>
        </w:rPr>
      </w:pPr>
    </w:p>
    <w:p w14:paraId="0ACB6B1D" w14:textId="3DC5371D" w:rsidR="00CA56F5" w:rsidRPr="00CA56F5" w:rsidRDefault="00CA56F5" w:rsidP="00CA56F5">
      <w:pPr>
        <w:spacing w:line="240" w:lineRule="auto"/>
        <w:rPr>
          <w:rFonts w:eastAsia="Times New Roman" w:cs="Arial"/>
          <w:lang w:eastAsia="bg-BG"/>
        </w:rPr>
      </w:pPr>
      <w:r w:rsidRPr="00CA56F5">
        <w:rPr>
          <w:rFonts w:eastAsia="Times New Roman" w:cs="Arial"/>
          <w:color w:val="000000"/>
          <w:u w:val="single"/>
          <w:lang w:eastAsia="bg-BG"/>
        </w:rPr>
        <w:t>Специални популации</w:t>
      </w:r>
    </w:p>
    <w:p w14:paraId="137655C6" w14:textId="77777777" w:rsidR="00CA56F5" w:rsidRPr="00CA56F5" w:rsidRDefault="00CA56F5" w:rsidP="00CA56F5">
      <w:pPr>
        <w:spacing w:line="240" w:lineRule="auto"/>
        <w:rPr>
          <w:rFonts w:eastAsia="Times New Roman" w:cs="Arial"/>
          <w:i/>
          <w:iCs/>
          <w:color w:val="000000"/>
          <w:lang w:eastAsia="bg-BG"/>
        </w:rPr>
      </w:pPr>
    </w:p>
    <w:p w14:paraId="38D8F1E8" w14:textId="53A8F2C5" w:rsidR="00CA56F5" w:rsidRPr="00CA56F5" w:rsidRDefault="00CA56F5" w:rsidP="00CA56F5">
      <w:pPr>
        <w:spacing w:line="240" w:lineRule="auto"/>
        <w:rPr>
          <w:rFonts w:eastAsia="Times New Roman" w:cs="Arial"/>
          <w:lang w:eastAsia="bg-BG"/>
        </w:rPr>
      </w:pPr>
      <w:r w:rsidRPr="00CA56F5">
        <w:rPr>
          <w:rFonts w:eastAsia="Times New Roman" w:cs="Arial"/>
          <w:i/>
          <w:iCs/>
          <w:color w:val="000000"/>
          <w:lang w:eastAsia="bg-BG"/>
        </w:rPr>
        <w:t>Чернодробно увреждане</w:t>
      </w:r>
    </w:p>
    <w:p w14:paraId="75C517DC"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Сунитиниб и основният му метаболйт се метаболизират главно от черния дроб. Системните експозиции след единична доза сунитиниб са били сходни при лица с леко или умерено чернодробно увреждане </w:t>
      </w:r>
      <w:r w:rsidRPr="00CA56F5">
        <w:rPr>
          <w:rFonts w:eastAsia="Times New Roman" w:cs="Arial"/>
          <w:color w:val="000000"/>
          <w:lang w:val="en-US"/>
        </w:rPr>
        <w:t xml:space="preserve">(Child-Pugh </w:t>
      </w:r>
      <w:r w:rsidRPr="00CA56F5">
        <w:rPr>
          <w:rFonts w:eastAsia="Times New Roman" w:cs="Arial"/>
          <w:color w:val="000000"/>
          <w:lang w:eastAsia="bg-BG"/>
        </w:rPr>
        <w:t xml:space="preserve">клас А и В) в сравнение с лица с нормална чернодробна функция. Сунитиниб не е бил проучван при лица с тежко чернодробно увреждане </w:t>
      </w:r>
      <w:r w:rsidRPr="00CA56F5">
        <w:rPr>
          <w:rFonts w:eastAsia="Times New Roman" w:cs="Arial"/>
          <w:color w:val="000000"/>
          <w:lang w:val="en-US"/>
        </w:rPr>
        <w:t xml:space="preserve">(Child-Pugh </w:t>
      </w:r>
      <w:r w:rsidRPr="00CA56F5">
        <w:rPr>
          <w:rFonts w:eastAsia="Times New Roman" w:cs="Arial"/>
          <w:color w:val="000000"/>
          <w:lang w:eastAsia="bg-BG"/>
        </w:rPr>
        <w:t>клас С).</w:t>
      </w:r>
    </w:p>
    <w:p w14:paraId="24FB318F" w14:textId="77777777" w:rsidR="00CA56F5" w:rsidRPr="00CA56F5" w:rsidRDefault="00CA56F5" w:rsidP="00CA56F5">
      <w:pPr>
        <w:spacing w:line="240" w:lineRule="auto"/>
        <w:rPr>
          <w:rFonts w:eastAsia="Times New Roman" w:cs="Arial"/>
          <w:color w:val="000000"/>
          <w:lang w:eastAsia="bg-BG"/>
        </w:rPr>
      </w:pPr>
    </w:p>
    <w:p w14:paraId="2531572C" w14:textId="20061909"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Проучванията при пациенти с рак са изключвали пациенти с </w:t>
      </w:r>
      <w:r w:rsidRPr="00CA56F5">
        <w:rPr>
          <w:rFonts w:eastAsia="Times New Roman" w:cs="Arial"/>
          <w:color w:val="000000"/>
          <w:lang w:val="en-US"/>
        </w:rPr>
        <w:t xml:space="preserve">ALT </w:t>
      </w:r>
      <w:r w:rsidRPr="00CA56F5">
        <w:rPr>
          <w:rFonts w:eastAsia="Times New Roman" w:cs="Arial"/>
          <w:color w:val="000000"/>
          <w:lang w:eastAsia="bg-BG"/>
        </w:rPr>
        <w:t xml:space="preserve">или </w:t>
      </w:r>
      <w:r w:rsidRPr="00CA56F5">
        <w:rPr>
          <w:rFonts w:eastAsia="Times New Roman" w:cs="Arial"/>
          <w:color w:val="000000"/>
          <w:lang w:val="en-US"/>
        </w:rPr>
        <w:t xml:space="preserve">AST </w:t>
      </w:r>
      <w:r w:rsidRPr="00CA56F5">
        <w:rPr>
          <w:rFonts w:eastAsia="Times New Roman" w:cs="Arial"/>
          <w:color w:val="000000"/>
          <w:lang w:eastAsia="bg-BG"/>
        </w:rPr>
        <w:t xml:space="preserve">&gt;2,5 х </w:t>
      </w:r>
      <w:r w:rsidRPr="00CA56F5">
        <w:rPr>
          <w:rFonts w:eastAsia="Times New Roman" w:cs="Arial"/>
          <w:color w:val="000000"/>
          <w:lang w:val="en-US"/>
        </w:rPr>
        <w:t xml:space="preserve">ULN </w:t>
      </w:r>
      <w:r w:rsidRPr="00CA56F5">
        <w:rPr>
          <w:rFonts w:eastAsia="Times New Roman" w:cs="Arial"/>
          <w:color w:val="000000"/>
          <w:lang w:eastAsia="bg-BG"/>
        </w:rPr>
        <w:t xml:space="preserve">(Горна Граница на Нормата) или &gt;5,0 х </w:t>
      </w:r>
      <w:r w:rsidRPr="00CA56F5">
        <w:rPr>
          <w:rFonts w:eastAsia="Times New Roman" w:cs="Arial"/>
          <w:color w:val="000000"/>
          <w:lang w:val="en-US"/>
        </w:rPr>
        <w:t xml:space="preserve">ULN, </w:t>
      </w:r>
      <w:r w:rsidRPr="00CA56F5">
        <w:rPr>
          <w:rFonts w:eastAsia="Times New Roman" w:cs="Arial"/>
          <w:color w:val="000000"/>
          <w:lang w:eastAsia="bg-BG"/>
        </w:rPr>
        <w:t>ако се дължи на чернодробни метастази.</w:t>
      </w:r>
    </w:p>
    <w:p w14:paraId="4F94F19E" w14:textId="77777777" w:rsidR="00CA56F5" w:rsidRPr="00CA56F5" w:rsidRDefault="00CA56F5" w:rsidP="00CA56F5">
      <w:pPr>
        <w:spacing w:line="240" w:lineRule="auto"/>
        <w:rPr>
          <w:rFonts w:eastAsia="Times New Roman" w:cs="Arial"/>
          <w:i/>
          <w:iCs/>
          <w:color w:val="000000"/>
          <w:lang w:eastAsia="bg-BG"/>
        </w:rPr>
      </w:pPr>
    </w:p>
    <w:p w14:paraId="70E9FD63" w14:textId="71045DF2" w:rsidR="00CA56F5" w:rsidRPr="00CA56F5" w:rsidRDefault="00CA56F5" w:rsidP="00CA56F5">
      <w:pPr>
        <w:spacing w:line="240" w:lineRule="auto"/>
        <w:rPr>
          <w:rFonts w:eastAsia="Times New Roman" w:cs="Arial"/>
          <w:lang w:eastAsia="bg-BG"/>
        </w:rPr>
      </w:pPr>
      <w:r w:rsidRPr="00CA56F5">
        <w:rPr>
          <w:rFonts w:eastAsia="Times New Roman" w:cs="Arial"/>
          <w:i/>
          <w:iCs/>
          <w:color w:val="000000"/>
          <w:lang w:eastAsia="bg-BG"/>
        </w:rPr>
        <w:t>Бъбречно увреждане</w:t>
      </w:r>
    </w:p>
    <w:p w14:paraId="5BAAA6F7"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Популационен ФК анализ е показал, че привидният клирънс на сунитиниб </w:t>
      </w:r>
      <w:r w:rsidRPr="00CA56F5">
        <w:rPr>
          <w:rFonts w:eastAsia="Times New Roman" w:cs="Arial"/>
          <w:color w:val="000000"/>
          <w:lang w:val="en-US"/>
        </w:rPr>
        <w:t xml:space="preserve">(CL/F) </w:t>
      </w:r>
      <w:r w:rsidRPr="00CA56F5">
        <w:rPr>
          <w:rFonts w:eastAsia="Times New Roman" w:cs="Arial"/>
          <w:color w:val="000000"/>
          <w:lang w:eastAsia="bg-BG"/>
        </w:rPr>
        <w:t xml:space="preserve">не е бил повлиян от креатининовия клирънс </w:t>
      </w:r>
      <w:r w:rsidRPr="00CA56F5">
        <w:rPr>
          <w:rFonts w:eastAsia="Times New Roman" w:cs="Arial"/>
          <w:color w:val="000000"/>
          <w:lang w:val="en-US"/>
        </w:rPr>
        <w:t xml:space="preserve">(CLcr) </w:t>
      </w:r>
      <w:r w:rsidRPr="00CA56F5">
        <w:rPr>
          <w:rFonts w:eastAsia="Times New Roman" w:cs="Arial"/>
          <w:color w:val="000000"/>
          <w:lang w:eastAsia="bg-BG"/>
        </w:rPr>
        <w:t xml:space="preserve">в оценявания диапазон (42-347 </w:t>
      </w:r>
      <w:r w:rsidRPr="00CA56F5">
        <w:rPr>
          <w:rFonts w:eastAsia="Times New Roman" w:cs="Arial"/>
          <w:color w:val="000000"/>
          <w:lang w:val="en-US"/>
        </w:rPr>
        <w:t xml:space="preserve">ml/min). </w:t>
      </w:r>
    </w:p>
    <w:p w14:paraId="3CD43011"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Системната екс позиция’след еднократна доза сунитиниб е била сходна при</w:t>
      </w:r>
      <w:r w:rsidRPr="00CA56F5">
        <w:rPr>
          <w:rFonts w:eastAsia="Times New Roman" w:cs="Arial"/>
          <w:color w:val="000000"/>
          <w:lang w:val="en-US"/>
        </w:rPr>
        <w:t xml:space="preserve"> </w:t>
      </w:r>
      <w:r w:rsidRPr="00CA56F5">
        <w:rPr>
          <w:rFonts w:eastAsia="Times New Roman" w:cs="Arial"/>
          <w:color w:val="000000"/>
          <w:lang w:eastAsia="bg-BG"/>
        </w:rPr>
        <w:t xml:space="preserve">индивиди с  тежко бъбречно увреждане </w:t>
      </w:r>
      <w:r w:rsidRPr="00CA56F5">
        <w:rPr>
          <w:rFonts w:eastAsia="Times New Roman" w:cs="Arial"/>
          <w:color w:val="000000"/>
          <w:lang w:val="en-US"/>
        </w:rPr>
        <w:t xml:space="preserve">((CLcr) </w:t>
      </w:r>
      <w:r w:rsidRPr="00CA56F5">
        <w:rPr>
          <w:rFonts w:eastAsia="Times New Roman" w:cs="Arial"/>
          <w:color w:val="000000"/>
          <w:lang w:eastAsia="bg-BG"/>
        </w:rPr>
        <w:t xml:space="preserve">&lt;30 </w:t>
      </w:r>
      <w:r w:rsidRPr="00CA56F5">
        <w:rPr>
          <w:rFonts w:eastAsia="Times New Roman" w:cs="Arial"/>
          <w:color w:val="000000"/>
          <w:lang w:val="en-US"/>
        </w:rPr>
        <w:t xml:space="preserve">ml/min) </w:t>
      </w:r>
      <w:r w:rsidRPr="00CA56F5">
        <w:rPr>
          <w:rFonts w:eastAsia="Times New Roman" w:cs="Arial"/>
          <w:color w:val="000000"/>
          <w:lang w:eastAsia="bg-BG"/>
        </w:rPr>
        <w:t xml:space="preserve">и такива с нормална бъбречна функция  </w:t>
      </w:r>
      <w:r w:rsidRPr="00CA56F5">
        <w:rPr>
          <w:rFonts w:eastAsia="Times New Roman" w:cs="Arial"/>
          <w:color w:val="000000"/>
          <w:lang w:val="en-US"/>
        </w:rPr>
        <w:t xml:space="preserve">((CLcr) </w:t>
      </w:r>
      <w:r w:rsidRPr="00CA56F5">
        <w:rPr>
          <w:rFonts w:eastAsia="Times New Roman" w:cs="Arial"/>
          <w:color w:val="000000"/>
          <w:lang w:eastAsia="bg-BG"/>
        </w:rPr>
        <w:t xml:space="preserve">&gt;80 </w:t>
      </w:r>
      <w:r w:rsidRPr="00CA56F5">
        <w:rPr>
          <w:rFonts w:eastAsia="Times New Roman" w:cs="Arial"/>
          <w:color w:val="000000"/>
          <w:lang w:val="en-US"/>
        </w:rPr>
        <w:t>ml/min).</w:t>
      </w:r>
    </w:p>
    <w:p w14:paraId="275C7C72" w14:textId="77777777" w:rsidR="00CA56F5" w:rsidRPr="00CA56F5" w:rsidRDefault="00CA56F5" w:rsidP="00CA56F5">
      <w:pPr>
        <w:rPr>
          <w:rFonts w:eastAsia="Times New Roman" w:cs="Arial"/>
          <w:lang w:eastAsia="bg-BG"/>
        </w:rPr>
      </w:pPr>
      <w:r w:rsidRPr="00CA56F5">
        <w:rPr>
          <w:rFonts w:eastAsia="Times New Roman" w:cs="Arial"/>
          <w:color w:val="000000"/>
          <w:lang w:eastAsia="bg-BG"/>
        </w:rPr>
        <w:t xml:space="preserve">Въпреки че сунитиниб и неговия първичен метаболйт не са елиминирани чрез хемодиализа, при индивиди с </w:t>
      </w:r>
      <w:r w:rsidRPr="00CA56F5">
        <w:rPr>
          <w:rFonts w:eastAsia="Times New Roman" w:cs="Arial"/>
          <w:color w:val="000000"/>
          <w:lang w:val="en-US"/>
        </w:rPr>
        <w:t xml:space="preserve">ESRD, </w:t>
      </w:r>
      <w:r w:rsidRPr="00CA56F5">
        <w:rPr>
          <w:rFonts w:eastAsia="Times New Roman" w:cs="Arial"/>
          <w:color w:val="000000"/>
          <w:lang w:eastAsia="bg-BG"/>
        </w:rPr>
        <w:t>общата системна експозиция е била понижена с 47% при сунитиниб и 31% при неговия първичен метаболит, в сравнение с индивиди с нормална бъбречна функция.</w:t>
      </w:r>
    </w:p>
    <w:p w14:paraId="7FA3CBA4" w14:textId="77777777" w:rsidR="00CA56F5" w:rsidRPr="00CA56F5" w:rsidRDefault="00CA56F5" w:rsidP="00CA56F5">
      <w:pPr>
        <w:spacing w:line="240" w:lineRule="auto"/>
        <w:rPr>
          <w:rFonts w:eastAsia="Times New Roman" w:cs="Arial"/>
          <w:i/>
          <w:iCs/>
          <w:color w:val="000000"/>
          <w:lang w:eastAsia="bg-BG"/>
        </w:rPr>
      </w:pPr>
    </w:p>
    <w:p w14:paraId="221EE9DF" w14:textId="2C923263" w:rsidR="00CA56F5" w:rsidRPr="00CA56F5" w:rsidRDefault="00CA56F5" w:rsidP="00CA56F5">
      <w:pPr>
        <w:spacing w:line="240" w:lineRule="auto"/>
        <w:rPr>
          <w:rFonts w:eastAsia="Times New Roman" w:cs="Arial"/>
          <w:lang w:eastAsia="bg-BG"/>
        </w:rPr>
      </w:pPr>
      <w:r w:rsidRPr="00CA56F5">
        <w:rPr>
          <w:rFonts w:eastAsia="Times New Roman" w:cs="Arial"/>
          <w:i/>
          <w:iCs/>
          <w:color w:val="000000"/>
          <w:lang w:eastAsia="bg-BG"/>
        </w:rPr>
        <w:t>Тегло, функционално състояние</w:t>
      </w:r>
    </w:p>
    <w:p w14:paraId="16FEDC4B"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Популационни ФК анализи на демографски данни показват, че не са необходими първоначални корекции на дозата според телесното тегло и функционалното състояние по </w:t>
      </w:r>
      <w:r w:rsidRPr="00CA56F5">
        <w:rPr>
          <w:rFonts w:eastAsia="Times New Roman" w:cs="Arial"/>
          <w:color w:val="000000"/>
          <w:lang w:val="en-US"/>
        </w:rPr>
        <w:t>ECOG.</w:t>
      </w:r>
    </w:p>
    <w:p w14:paraId="1BFF4F4E" w14:textId="77777777" w:rsidR="00CA56F5" w:rsidRPr="00CA56F5" w:rsidRDefault="00CA56F5" w:rsidP="00CA56F5">
      <w:pPr>
        <w:spacing w:line="240" w:lineRule="auto"/>
        <w:rPr>
          <w:rFonts w:eastAsia="Times New Roman" w:cs="Arial"/>
          <w:i/>
          <w:iCs/>
          <w:color w:val="000000"/>
          <w:lang w:eastAsia="bg-BG"/>
        </w:rPr>
      </w:pPr>
    </w:p>
    <w:p w14:paraId="4A55D946" w14:textId="3B4D3537" w:rsidR="00CA56F5" w:rsidRPr="00CA56F5" w:rsidRDefault="00CA56F5" w:rsidP="00CA56F5">
      <w:pPr>
        <w:spacing w:line="240" w:lineRule="auto"/>
        <w:rPr>
          <w:rFonts w:eastAsia="Times New Roman" w:cs="Arial"/>
          <w:lang w:eastAsia="bg-BG"/>
        </w:rPr>
      </w:pPr>
      <w:r w:rsidRPr="00CA56F5">
        <w:rPr>
          <w:rFonts w:eastAsia="Times New Roman" w:cs="Arial"/>
          <w:i/>
          <w:iCs/>
          <w:color w:val="000000"/>
          <w:lang w:eastAsia="bg-BG"/>
        </w:rPr>
        <w:t>Пол</w:t>
      </w:r>
    </w:p>
    <w:p w14:paraId="5A7D3CD4"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Наличните данни показват, че жените могат да имат около 30% по-нисък привиден клирънс </w:t>
      </w:r>
      <w:r w:rsidRPr="00CA56F5">
        <w:rPr>
          <w:rFonts w:eastAsia="Times New Roman" w:cs="Arial"/>
          <w:color w:val="000000"/>
          <w:lang w:val="en-US"/>
        </w:rPr>
        <w:t xml:space="preserve">(CL/F) </w:t>
      </w:r>
      <w:r w:rsidRPr="00CA56F5">
        <w:rPr>
          <w:rFonts w:eastAsia="Times New Roman" w:cs="Arial"/>
          <w:color w:val="000000"/>
          <w:lang w:eastAsia="bg-BG"/>
        </w:rPr>
        <w:t>на сунитиниб, в сравнение с мъжете: тази разлика, обаче, не налага първоначални корекции на дозата.</w:t>
      </w:r>
    </w:p>
    <w:p w14:paraId="62E66212" w14:textId="77777777" w:rsidR="00CA56F5" w:rsidRPr="00CA56F5" w:rsidRDefault="00CA56F5" w:rsidP="00CA56F5">
      <w:pPr>
        <w:spacing w:line="240" w:lineRule="auto"/>
        <w:rPr>
          <w:rFonts w:eastAsia="Times New Roman" w:cs="Arial"/>
          <w:i/>
          <w:iCs/>
          <w:color w:val="000000"/>
          <w:lang w:eastAsia="bg-BG"/>
        </w:rPr>
      </w:pPr>
    </w:p>
    <w:p w14:paraId="11936829" w14:textId="72C74D1E" w:rsidR="00CA56F5" w:rsidRPr="00CA56F5" w:rsidRDefault="00CA56F5" w:rsidP="00CA56F5">
      <w:pPr>
        <w:spacing w:line="240" w:lineRule="auto"/>
        <w:rPr>
          <w:rFonts w:eastAsia="Times New Roman" w:cs="Arial"/>
          <w:lang w:eastAsia="bg-BG"/>
        </w:rPr>
      </w:pPr>
      <w:r w:rsidRPr="00CA56F5">
        <w:rPr>
          <w:rFonts w:eastAsia="Times New Roman" w:cs="Arial"/>
          <w:i/>
          <w:iCs/>
          <w:color w:val="000000"/>
          <w:lang w:eastAsia="bg-BG"/>
        </w:rPr>
        <w:t>Педиатрична популация</w:t>
      </w:r>
    </w:p>
    <w:p w14:paraId="5F0FA9E2"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Опитът от употребата на сунитиниб при педиатрични пациенти е ограничен (вж. точка 4.2). Популационните ФК анализи на сборен набор от данни при възрастни пациенти с </w:t>
      </w:r>
      <w:r w:rsidRPr="00CA56F5">
        <w:rPr>
          <w:rFonts w:eastAsia="Times New Roman" w:cs="Arial"/>
          <w:color w:val="000000"/>
          <w:lang w:val="en-US"/>
        </w:rPr>
        <w:t xml:space="preserve">GIST </w:t>
      </w:r>
      <w:r w:rsidRPr="00CA56F5">
        <w:rPr>
          <w:rFonts w:eastAsia="Times New Roman" w:cs="Arial"/>
          <w:color w:val="000000"/>
          <w:lang w:eastAsia="bg-BG"/>
        </w:rPr>
        <w:t>и солидни тумори, както и при педиатрични пациенти със солидни тумори са завършени.</w:t>
      </w:r>
    </w:p>
    <w:p w14:paraId="76F53DC2"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Извършени са анализи на стъпково ковариатно моделиране за оценка на ефекта на възрастта и размера на тялото (общо телесно тегло или телесна повърхност), както и на други ковариати на важни ФК параметри за сунитиниб и неговия активен метаболит. От изследваните ковариати, свързани с възрастта и размера на тялото, възрастта е значима коварната на привидния клирънс на сунитиниб (колкото по-малка е възрастта на педиатричния пациент, толкова по-нисък е привидният клирънс). Подобно на това, телесната повърхност е значима коварната на привидния клирънс на активния метаболит (колкото по-малка е телесната повърхност, толкова по-нисък е привидният клирънс).</w:t>
      </w:r>
    </w:p>
    <w:p w14:paraId="394F2294" w14:textId="77777777" w:rsidR="00CA56F5" w:rsidRPr="00CA56F5" w:rsidRDefault="00CA56F5" w:rsidP="00CA56F5">
      <w:pPr>
        <w:spacing w:line="240" w:lineRule="auto"/>
        <w:rPr>
          <w:rFonts w:eastAsia="Times New Roman" w:cs="Arial"/>
          <w:lang w:eastAsia="bg-BG"/>
        </w:rPr>
      </w:pPr>
    </w:p>
    <w:p w14:paraId="45551830" w14:textId="2BEE5F35" w:rsidR="007A2185" w:rsidRPr="00CA56F5" w:rsidRDefault="00CA56F5" w:rsidP="00CA56F5">
      <w:pPr>
        <w:rPr>
          <w:rFonts w:cs="Arial"/>
        </w:rPr>
      </w:pPr>
      <w:r w:rsidRPr="00CA56F5">
        <w:rPr>
          <w:rFonts w:eastAsia="Times New Roman" w:cs="Arial"/>
          <w:color w:val="000000"/>
          <w:lang w:eastAsia="bg-BG"/>
        </w:rPr>
        <w:t xml:space="preserve">Освен това въз основа на интегриран ФК анализ на сборни данни от 3 педиатрични проучвания (2 педиатрични проучвания при солидни тумори и 1 педиатрично проучване </w:t>
      </w:r>
      <w:r w:rsidRPr="00CA56F5">
        <w:rPr>
          <w:rFonts w:eastAsia="Times New Roman" w:cs="Arial"/>
          <w:color w:val="000000"/>
          <w:lang w:eastAsia="bg-BG"/>
        </w:rPr>
        <w:lastRenderedPageBreak/>
        <w:t xml:space="preserve">при </w:t>
      </w:r>
      <w:r w:rsidRPr="00CA56F5">
        <w:rPr>
          <w:rFonts w:eastAsia="Times New Roman" w:cs="Arial"/>
          <w:color w:val="000000"/>
          <w:lang w:val="en-US"/>
        </w:rPr>
        <w:t xml:space="preserve">GIST; </w:t>
      </w:r>
      <w:r w:rsidRPr="00CA56F5">
        <w:rPr>
          <w:rFonts w:eastAsia="Times New Roman" w:cs="Arial"/>
          <w:color w:val="000000"/>
          <w:lang w:eastAsia="bg-BG"/>
        </w:rPr>
        <w:t xml:space="preserve">възрасти: от 6 години до 11 години и от 12 години до 17 години), Изходната телесна повърхност </w:t>
      </w:r>
      <w:r w:rsidRPr="00CA56F5">
        <w:rPr>
          <w:rFonts w:eastAsia="Times New Roman" w:cs="Arial"/>
          <w:color w:val="000000"/>
          <w:lang w:val="en-US"/>
        </w:rPr>
        <w:t xml:space="preserve">(BSA) </w:t>
      </w:r>
      <w:r w:rsidRPr="00CA56F5">
        <w:rPr>
          <w:rFonts w:eastAsia="Times New Roman" w:cs="Arial"/>
          <w:color w:val="000000"/>
          <w:lang w:eastAsia="bg-BG"/>
        </w:rPr>
        <w:t xml:space="preserve">е значима коварната на привидния клирънс на сунитиниб и неговия активен метаболит. Въз основа на този анализ доза приблизително 20 </w:t>
      </w:r>
      <w:r w:rsidRPr="00CA56F5">
        <w:rPr>
          <w:rFonts w:eastAsia="Times New Roman" w:cs="Arial"/>
          <w:color w:val="000000"/>
          <w:lang w:val="en-US"/>
        </w:rPr>
        <w:t>mg/m</w:t>
      </w:r>
      <w:r w:rsidRPr="00CA56F5">
        <w:rPr>
          <w:rFonts w:eastAsia="Times New Roman" w:cs="Arial"/>
          <w:color w:val="000000"/>
          <w:vertAlign w:val="superscript"/>
          <w:lang w:val="en-US"/>
        </w:rPr>
        <w:t xml:space="preserve">2 </w:t>
      </w:r>
      <w:r w:rsidRPr="00CA56F5">
        <w:rPr>
          <w:rFonts w:eastAsia="Times New Roman" w:cs="Arial"/>
          <w:color w:val="000000"/>
          <w:lang w:eastAsia="bg-BG"/>
        </w:rPr>
        <w:t xml:space="preserve">дневно при педиатрични пациенти с диапазон на </w:t>
      </w:r>
      <w:r w:rsidRPr="00CA56F5">
        <w:rPr>
          <w:rFonts w:eastAsia="Times New Roman" w:cs="Arial"/>
          <w:color w:val="000000"/>
          <w:lang w:val="en-US"/>
        </w:rPr>
        <w:t xml:space="preserve">BSA </w:t>
      </w:r>
      <w:r w:rsidRPr="00CA56F5">
        <w:rPr>
          <w:rFonts w:eastAsia="Times New Roman" w:cs="Arial"/>
          <w:color w:val="000000"/>
          <w:lang w:eastAsia="bg-BG"/>
        </w:rPr>
        <w:t xml:space="preserve">между 1,10 и 1,87 </w:t>
      </w:r>
      <w:r w:rsidRPr="00CA56F5">
        <w:rPr>
          <w:rFonts w:eastAsia="Times New Roman" w:cs="Arial"/>
          <w:color w:val="000000"/>
          <w:lang w:val="en-US"/>
        </w:rPr>
        <w:t>m</w:t>
      </w:r>
      <w:r w:rsidRPr="00CA56F5">
        <w:rPr>
          <w:rFonts w:eastAsia="Times New Roman" w:cs="Arial"/>
          <w:color w:val="000000"/>
          <w:vertAlign w:val="superscript"/>
          <w:lang w:eastAsia="bg-BG"/>
        </w:rPr>
        <w:t>2</w:t>
      </w:r>
      <w:r w:rsidRPr="00CA56F5">
        <w:rPr>
          <w:rFonts w:eastAsia="Times New Roman" w:cs="Arial"/>
          <w:color w:val="000000"/>
          <w:lang w:eastAsia="bg-BG"/>
        </w:rPr>
        <w:t xml:space="preserve"> се очаква да достави експозиции на сунитиниб и неговия активен метаболит (между 75 и 125% от </w:t>
      </w:r>
      <w:r w:rsidRPr="00CA56F5">
        <w:rPr>
          <w:rFonts w:eastAsia="Times New Roman" w:cs="Arial"/>
          <w:color w:val="000000"/>
          <w:lang w:val="en-US"/>
        </w:rPr>
        <w:t xml:space="preserve">AUC), </w:t>
      </w:r>
      <w:r w:rsidRPr="00CA56F5">
        <w:rPr>
          <w:rFonts w:eastAsia="Times New Roman" w:cs="Arial"/>
          <w:color w:val="000000"/>
          <w:lang w:eastAsia="bg-BG"/>
        </w:rPr>
        <w:t xml:space="preserve">сравними с тези при възрастни с </w:t>
      </w:r>
      <w:r w:rsidRPr="00CA56F5">
        <w:rPr>
          <w:rFonts w:eastAsia="Times New Roman" w:cs="Arial"/>
          <w:color w:val="000000"/>
          <w:lang w:val="en-US"/>
        </w:rPr>
        <w:t xml:space="preserve">GIST, </w:t>
      </w:r>
      <w:r w:rsidRPr="00CA56F5">
        <w:rPr>
          <w:rFonts w:eastAsia="Times New Roman" w:cs="Arial"/>
          <w:color w:val="000000"/>
          <w:lang w:eastAsia="bg-BG"/>
        </w:rPr>
        <w:t xml:space="preserve">на които е прилаган сунитиниб 50 </w:t>
      </w:r>
      <w:r w:rsidRPr="00CA56F5">
        <w:rPr>
          <w:rFonts w:eastAsia="Times New Roman" w:cs="Arial"/>
          <w:color w:val="000000"/>
          <w:lang w:val="en-US"/>
        </w:rPr>
        <w:t xml:space="preserve">mg </w:t>
      </w:r>
      <w:r w:rsidRPr="00CA56F5">
        <w:rPr>
          <w:rFonts w:eastAsia="Times New Roman" w:cs="Arial"/>
          <w:color w:val="000000"/>
          <w:lang w:eastAsia="bg-BG"/>
        </w:rPr>
        <w:t xml:space="preserve">дневно по схема 4/2 </w:t>
      </w:r>
      <w:r w:rsidRPr="00CA56F5">
        <w:rPr>
          <w:rFonts w:eastAsia="Times New Roman" w:cs="Arial"/>
          <w:color w:val="000000"/>
          <w:lang w:val="en-US"/>
        </w:rPr>
        <w:t xml:space="preserve">(AUC </w:t>
      </w:r>
      <w:r w:rsidRPr="00CA56F5">
        <w:rPr>
          <w:rFonts w:eastAsia="Times New Roman" w:cs="Arial"/>
          <w:color w:val="000000"/>
          <w:lang w:eastAsia="bg-BG"/>
        </w:rPr>
        <w:t xml:space="preserve">1233 </w:t>
      </w:r>
      <w:r w:rsidRPr="00CA56F5">
        <w:rPr>
          <w:rFonts w:eastAsia="Times New Roman" w:cs="Arial"/>
          <w:color w:val="000000"/>
          <w:lang w:val="en-US"/>
        </w:rPr>
        <w:t xml:space="preserve">ng.hr/ml). </w:t>
      </w:r>
      <w:r w:rsidRPr="00CA56F5">
        <w:rPr>
          <w:rFonts w:eastAsia="Times New Roman" w:cs="Arial"/>
          <w:color w:val="000000"/>
          <w:lang w:eastAsia="bg-BG"/>
        </w:rPr>
        <w:t xml:space="preserve">При педиатрични проучвания, началната доза сунитиниб е 15 </w:t>
      </w:r>
      <w:r w:rsidRPr="00CA56F5">
        <w:rPr>
          <w:rFonts w:eastAsia="Times New Roman" w:cs="Arial"/>
          <w:color w:val="000000"/>
          <w:lang w:val="en-US"/>
        </w:rPr>
        <w:t>mg/m</w:t>
      </w:r>
      <w:r w:rsidRPr="00CA56F5">
        <w:rPr>
          <w:rFonts w:eastAsia="Times New Roman" w:cs="Arial"/>
          <w:color w:val="000000"/>
          <w:vertAlign w:val="superscript"/>
          <w:lang w:val="en-US"/>
        </w:rPr>
        <w:t>2</w:t>
      </w:r>
      <w:r w:rsidRPr="00CA56F5">
        <w:rPr>
          <w:rFonts w:eastAsia="Times New Roman" w:cs="Arial"/>
          <w:color w:val="000000"/>
          <w:lang w:val="en-US"/>
        </w:rPr>
        <w:t xml:space="preserve"> </w:t>
      </w:r>
      <w:r w:rsidRPr="00CA56F5">
        <w:rPr>
          <w:rFonts w:eastAsia="Times New Roman" w:cs="Arial"/>
          <w:color w:val="000000"/>
          <w:lang w:eastAsia="bg-BG"/>
        </w:rPr>
        <w:t xml:space="preserve">(въз основа на МПД, идентифицирана при проучване фаза I с увеличаване на дозата, вж. т. 5.1), която при педиатрични пациенти с </w:t>
      </w:r>
      <w:r w:rsidRPr="00CA56F5">
        <w:rPr>
          <w:rFonts w:eastAsia="Times New Roman" w:cs="Arial"/>
          <w:color w:val="000000"/>
          <w:lang w:val="en-US"/>
        </w:rPr>
        <w:t xml:space="preserve">GIST </w:t>
      </w:r>
      <w:r w:rsidRPr="00CA56F5">
        <w:rPr>
          <w:rFonts w:eastAsia="Times New Roman" w:cs="Arial"/>
          <w:color w:val="000000"/>
          <w:lang w:eastAsia="bg-BG"/>
        </w:rPr>
        <w:t xml:space="preserve">е повишена до 22,5 </w:t>
      </w:r>
      <w:r w:rsidRPr="00CA56F5">
        <w:rPr>
          <w:rFonts w:eastAsia="Times New Roman" w:cs="Arial"/>
          <w:color w:val="000000"/>
          <w:lang w:val="en-US"/>
        </w:rPr>
        <w:t>mg/m</w:t>
      </w:r>
      <w:r w:rsidRPr="00CA56F5">
        <w:rPr>
          <w:rFonts w:eastAsia="Times New Roman" w:cs="Arial"/>
          <w:color w:val="000000"/>
          <w:vertAlign w:val="superscript"/>
          <w:lang w:val="en-US"/>
        </w:rPr>
        <w:t>2</w:t>
      </w:r>
      <w:r w:rsidRPr="00CA56F5">
        <w:rPr>
          <w:rFonts w:eastAsia="Times New Roman" w:cs="Arial"/>
          <w:color w:val="000000"/>
          <w:lang w:val="en-US"/>
        </w:rPr>
        <w:t xml:space="preserve"> </w:t>
      </w:r>
      <w:r w:rsidRPr="00CA56F5">
        <w:rPr>
          <w:rFonts w:eastAsia="Times New Roman" w:cs="Arial"/>
          <w:color w:val="000000"/>
          <w:lang w:eastAsia="bg-BG"/>
        </w:rPr>
        <w:t xml:space="preserve">и впоследствие до 30 </w:t>
      </w:r>
      <w:r w:rsidRPr="00CA56F5">
        <w:rPr>
          <w:rFonts w:eastAsia="Times New Roman" w:cs="Arial"/>
          <w:color w:val="000000"/>
          <w:lang w:val="en-US"/>
        </w:rPr>
        <w:t>mg/m</w:t>
      </w:r>
      <w:r w:rsidRPr="00CA56F5">
        <w:rPr>
          <w:rFonts w:eastAsia="Times New Roman" w:cs="Arial"/>
          <w:color w:val="000000"/>
          <w:vertAlign w:val="superscript"/>
          <w:lang w:val="en-US"/>
        </w:rPr>
        <w:t>2</w:t>
      </w:r>
      <w:r w:rsidRPr="00CA56F5">
        <w:rPr>
          <w:rFonts w:eastAsia="Times New Roman" w:cs="Arial"/>
          <w:color w:val="000000"/>
          <w:lang w:val="en-US"/>
        </w:rPr>
        <w:t xml:space="preserve"> </w:t>
      </w:r>
      <w:r w:rsidRPr="00CA56F5">
        <w:rPr>
          <w:rFonts w:eastAsia="Times New Roman" w:cs="Arial"/>
          <w:color w:val="000000"/>
          <w:lang w:eastAsia="bg-BG"/>
        </w:rPr>
        <w:t xml:space="preserve">(не се превишава общата доза 50 </w:t>
      </w:r>
      <w:r w:rsidRPr="00CA56F5">
        <w:rPr>
          <w:rFonts w:eastAsia="Times New Roman" w:cs="Arial"/>
          <w:color w:val="000000"/>
          <w:lang w:val="en-US"/>
        </w:rPr>
        <w:t>mg</w:t>
      </w:r>
      <w:r w:rsidRPr="00CA56F5">
        <w:rPr>
          <w:rFonts w:eastAsia="Times New Roman" w:cs="Arial"/>
          <w:color w:val="000000"/>
          <w:lang w:eastAsia="bg-BG"/>
        </w:rPr>
        <w:t xml:space="preserve">/ден) въз основа на индивидуалната поносимост/безопасност при пациентите. Освен това, според публикувани литературни данни при педиатрични пациенти с </w:t>
      </w:r>
      <w:r w:rsidRPr="00CA56F5">
        <w:rPr>
          <w:rFonts w:eastAsia="Times New Roman" w:cs="Arial"/>
          <w:color w:val="000000"/>
          <w:lang w:val="en-US"/>
        </w:rPr>
        <w:t xml:space="preserve">GIST, </w:t>
      </w:r>
      <w:r w:rsidRPr="00CA56F5">
        <w:rPr>
          <w:rFonts w:eastAsia="Times New Roman" w:cs="Arial"/>
          <w:color w:val="000000"/>
          <w:lang w:eastAsia="bg-BG"/>
        </w:rPr>
        <w:t xml:space="preserve">изчислената начална доза е в границите между 16,6 </w:t>
      </w:r>
      <w:r w:rsidRPr="00CA56F5">
        <w:rPr>
          <w:rFonts w:eastAsia="Times New Roman" w:cs="Arial"/>
          <w:color w:val="000000"/>
          <w:lang w:val="en-US"/>
        </w:rPr>
        <w:t>mg/m</w:t>
      </w:r>
      <w:r w:rsidRPr="00CA56F5">
        <w:rPr>
          <w:rFonts w:eastAsia="Times New Roman" w:cs="Arial"/>
          <w:color w:val="000000"/>
          <w:vertAlign w:val="superscript"/>
          <w:lang w:val="en-US"/>
        </w:rPr>
        <w:t>2</w:t>
      </w:r>
      <w:r w:rsidRPr="00CA56F5">
        <w:rPr>
          <w:rFonts w:eastAsia="Times New Roman" w:cs="Arial"/>
          <w:color w:val="000000"/>
          <w:lang w:val="en-US"/>
        </w:rPr>
        <w:t xml:space="preserve"> </w:t>
      </w:r>
      <w:r w:rsidRPr="00CA56F5">
        <w:rPr>
          <w:rFonts w:eastAsia="Times New Roman" w:cs="Arial"/>
          <w:color w:val="000000"/>
          <w:lang w:eastAsia="bg-BG"/>
        </w:rPr>
        <w:t xml:space="preserve">до 36 </w:t>
      </w:r>
      <w:r w:rsidRPr="00CA56F5">
        <w:rPr>
          <w:rFonts w:eastAsia="Times New Roman" w:cs="Arial"/>
          <w:color w:val="000000"/>
          <w:lang w:val="en-US"/>
        </w:rPr>
        <w:t>mg/m</w:t>
      </w:r>
      <w:r w:rsidRPr="00CA56F5">
        <w:rPr>
          <w:rFonts w:eastAsia="Times New Roman" w:cs="Arial"/>
          <w:color w:val="000000"/>
          <w:vertAlign w:val="superscript"/>
          <w:lang w:val="en-US"/>
        </w:rPr>
        <w:t>2</w:t>
      </w:r>
      <w:r w:rsidRPr="00CA56F5">
        <w:rPr>
          <w:rFonts w:eastAsia="Times New Roman" w:cs="Arial"/>
          <w:color w:val="000000"/>
          <w:lang w:val="en-US"/>
        </w:rPr>
        <w:t xml:space="preserve">, </w:t>
      </w:r>
      <w:r w:rsidRPr="00CA56F5">
        <w:rPr>
          <w:rFonts w:eastAsia="Times New Roman" w:cs="Arial"/>
          <w:color w:val="000000"/>
          <w:lang w:eastAsia="bg-BG"/>
        </w:rPr>
        <w:t xml:space="preserve">повишена до дози дори до 40,4 </w:t>
      </w:r>
      <w:r w:rsidRPr="00CA56F5">
        <w:rPr>
          <w:rFonts w:eastAsia="Times New Roman" w:cs="Arial"/>
          <w:color w:val="000000"/>
          <w:lang w:val="en-US"/>
        </w:rPr>
        <w:t>mg/m</w:t>
      </w:r>
      <w:r w:rsidRPr="00CA56F5">
        <w:rPr>
          <w:rFonts w:eastAsia="Times New Roman" w:cs="Arial"/>
          <w:color w:val="000000"/>
          <w:vertAlign w:val="superscript"/>
          <w:lang w:val="en-US"/>
        </w:rPr>
        <w:t xml:space="preserve">2 </w:t>
      </w:r>
      <w:r w:rsidRPr="00CA56F5">
        <w:rPr>
          <w:rFonts w:eastAsia="Times New Roman" w:cs="Arial"/>
          <w:color w:val="000000"/>
          <w:lang w:eastAsia="bg-BG"/>
        </w:rPr>
        <w:t xml:space="preserve">(без да се превишава общата доза 50 </w:t>
      </w:r>
      <w:r w:rsidRPr="00CA56F5">
        <w:rPr>
          <w:rFonts w:eastAsia="Times New Roman" w:cs="Arial"/>
          <w:color w:val="000000"/>
          <w:lang w:val="en-US"/>
        </w:rPr>
        <w:t>mg</w:t>
      </w:r>
      <w:r w:rsidRPr="00CA56F5">
        <w:rPr>
          <w:rFonts w:eastAsia="Times New Roman" w:cs="Arial"/>
          <w:color w:val="000000"/>
          <w:lang w:eastAsia="bg-BG"/>
        </w:rPr>
        <w:t>/ден).</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7CC8C47" w14:textId="1FB9FDD2" w:rsidR="00CA56F5" w:rsidRPr="00CA56F5" w:rsidRDefault="00CA56F5" w:rsidP="00CA56F5">
      <w:pPr>
        <w:rPr>
          <w:rFonts w:eastAsia="Times New Roman" w:cs="Arial"/>
          <w:lang w:eastAsia="bg-BG"/>
        </w:rPr>
      </w:pPr>
      <w:r w:rsidRPr="00CA56F5">
        <w:rPr>
          <w:rFonts w:cs="Arial"/>
        </w:rPr>
        <w:t>В проучвания върху плъхове и маймуни на токсичността при многократно прилагане с продължителност до 9 месеца, основните ефекти върху прицелните органи са били установени в стомашно-чревния тракт (повръщане и диария при маймуни), надбъб</w:t>
      </w:r>
      <w:r w:rsidRPr="00CA56F5">
        <w:rPr>
          <w:rFonts w:cs="Arial"/>
          <w:u w:val="single"/>
        </w:rPr>
        <w:t xml:space="preserve">речца </w:t>
      </w:r>
      <w:r w:rsidRPr="00CA56F5">
        <w:rPr>
          <w:rFonts w:cs="Arial"/>
        </w:rPr>
        <w:t xml:space="preserve">жлеза (кОртикална конгестия и/или кръвоизлив при плъхове и маймуни с некроза. последвана от фиброза при плъхове), кръвотворна и лимфо-образуваща система (костно- </w:t>
      </w:r>
      <w:r w:rsidRPr="00CA56F5">
        <w:rPr>
          <w:rFonts w:cs="Arial"/>
        </w:rPr>
        <w:t>мозъчна хипоцелуларност; деплеци</w:t>
      </w:r>
      <w:r w:rsidRPr="00CA56F5">
        <w:rPr>
          <w:rFonts w:cs="Arial"/>
        </w:rPr>
        <w:t>я на лимфоиди от тимус, слезка и лимфни възли)</w:t>
      </w:r>
      <w:r w:rsidRPr="00CA56F5">
        <w:rPr>
          <w:rFonts w:cs="Arial"/>
          <w:smallCaps/>
        </w:rPr>
        <w:t xml:space="preserve"> </w:t>
      </w:r>
      <w:r w:rsidRPr="00CA56F5">
        <w:rPr>
          <w:rFonts w:cs="Arial"/>
        </w:rPr>
        <w:t>екзокринен панкреас (дегранулация на ацинарните клетки с некроза на единични клетки), слюнчена жлеза (ацинарна хипертрофия), костно-ставни (удебеляване</w:t>
      </w:r>
      <w:r w:rsidRPr="00CA56F5">
        <w:rPr>
          <w:rFonts w:cs="Arial"/>
          <w:lang w:val="en-US"/>
        </w:rPr>
        <w:t xml:space="preserve"> </w:t>
      </w:r>
      <w:r w:rsidRPr="00CA56F5">
        <w:rPr>
          <w:rFonts w:cs="Arial"/>
        </w:rPr>
        <w:t>на растежните плочки), матка (атрофия) и яйчници (намалено развитие на фоликулите). Всички прояви</w:t>
      </w:r>
      <w:r w:rsidRPr="00CA56F5">
        <w:rPr>
          <w:rFonts w:cs="Arial"/>
        </w:rPr>
        <w:t xml:space="preserve"> </w:t>
      </w:r>
      <w:r w:rsidRPr="00CA56F5">
        <w:rPr>
          <w:rFonts w:eastAsia="Times New Roman" w:cs="Arial"/>
          <w:color w:val="000000"/>
          <w:lang w:eastAsia="bg-BG"/>
        </w:rPr>
        <w:t xml:space="preserve">са настъпили при клинично значими плазмени нива на експозиция на сунитиниб. Допълнителни ефекти, наблюдавани в други проучвания, са включвали удължаване на </w:t>
      </w:r>
      <w:r w:rsidRPr="00CA56F5">
        <w:rPr>
          <w:rFonts w:eastAsia="Times New Roman" w:cs="Arial"/>
          <w:color w:val="000000"/>
          <w:lang w:val="en-US"/>
        </w:rPr>
        <w:t xml:space="preserve">QTc </w:t>
      </w:r>
      <w:r w:rsidRPr="00CA56F5">
        <w:rPr>
          <w:rFonts w:eastAsia="Times New Roman" w:cs="Arial"/>
          <w:color w:val="000000"/>
          <w:lang w:eastAsia="bg-BG"/>
        </w:rPr>
        <w:t>интервала, намаляване на лявокамерната фракция на изтласкване, атрофия на тубулите на тестисите, увеличаване на мезангиалните клетки в бъбреците, кръвоизлив в стомашно-чревния тракт и мукозата на устата и хипертрофия на клетките на предния дял на хипофизата. Смята се, че промените в матката (ендометриална атрофия) и растежните плочки на костите (удебеляване на физата или хрущялна дисплазия) са свързани с фармакологичното действие на сунитиниб. Повечето от тези явления са били обратими след 2 до 6 седмици без лечение.</w:t>
      </w:r>
    </w:p>
    <w:p w14:paraId="7148B898" w14:textId="77777777" w:rsidR="00CA56F5" w:rsidRPr="00CA56F5" w:rsidRDefault="00CA56F5" w:rsidP="00CA56F5">
      <w:pPr>
        <w:spacing w:line="240" w:lineRule="auto"/>
        <w:rPr>
          <w:rFonts w:eastAsia="Times New Roman" w:cs="Arial"/>
          <w:color w:val="000000"/>
          <w:u w:val="single"/>
          <w:lang w:eastAsia="bg-BG"/>
        </w:rPr>
      </w:pPr>
    </w:p>
    <w:p w14:paraId="1D2E3585" w14:textId="55EC9CD0" w:rsidR="00CA56F5" w:rsidRPr="00CA56F5" w:rsidRDefault="00CA56F5" w:rsidP="00CA56F5">
      <w:pPr>
        <w:spacing w:line="240" w:lineRule="auto"/>
        <w:rPr>
          <w:rFonts w:eastAsia="Times New Roman" w:cs="Arial"/>
          <w:lang w:eastAsia="bg-BG"/>
        </w:rPr>
      </w:pPr>
      <w:r w:rsidRPr="00CA56F5">
        <w:rPr>
          <w:rFonts w:eastAsia="Times New Roman" w:cs="Arial"/>
          <w:color w:val="000000"/>
          <w:u w:val="single"/>
          <w:lang w:eastAsia="bg-BG"/>
        </w:rPr>
        <w:t>Генотоксичност</w:t>
      </w:r>
    </w:p>
    <w:p w14:paraId="10C7EBDD"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Генотоксичният потенциал на сунитиниб е бил изследван </w:t>
      </w:r>
      <w:r w:rsidRPr="00CA56F5">
        <w:rPr>
          <w:rFonts w:eastAsia="Times New Roman" w:cs="Arial"/>
          <w:i/>
          <w:iCs/>
          <w:color w:val="000000"/>
          <w:lang w:val="en-US"/>
        </w:rPr>
        <w:t>in vitro</w:t>
      </w:r>
      <w:r w:rsidRPr="00CA56F5">
        <w:rPr>
          <w:rFonts w:eastAsia="Times New Roman" w:cs="Arial"/>
          <w:color w:val="000000"/>
          <w:lang w:val="en-US"/>
        </w:rPr>
        <w:t xml:space="preserve"> </w:t>
      </w:r>
      <w:r w:rsidRPr="00CA56F5">
        <w:rPr>
          <w:rFonts w:eastAsia="Times New Roman" w:cs="Arial"/>
          <w:color w:val="000000"/>
          <w:lang w:eastAsia="bg-BG"/>
        </w:rPr>
        <w:t xml:space="preserve">и </w:t>
      </w:r>
      <w:r w:rsidRPr="00CA56F5">
        <w:rPr>
          <w:rFonts w:eastAsia="Times New Roman" w:cs="Arial"/>
          <w:i/>
          <w:iCs/>
          <w:color w:val="000000"/>
          <w:lang w:val="en-US"/>
        </w:rPr>
        <w:t>in vivo.</w:t>
      </w:r>
      <w:r w:rsidRPr="00CA56F5">
        <w:rPr>
          <w:rFonts w:eastAsia="Times New Roman" w:cs="Arial"/>
          <w:color w:val="000000"/>
          <w:lang w:val="en-US"/>
        </w:rPr>
        <w:t xml:space="preserve"> </w:t>
      </w:r>
      <w:r w:rsidRPr="00CA56F5">
        <w:rPr>
          <w:rFonts w:eastAsia="Times New Roman" w:cs="Arial"/>
          <w:color w:val="000000"/>
          <w:lang w:eastAsia="bg-BG"/>
        </w:rPr>
        <w:t xml:space="preserve">Сунитиниб не е бил мутагенен при бактерии, при използването на метаболитно активиране от черен дроб на плъх. Сунитиниб не е предизвикал структурни хромозомни нарушения </w:t>
      </w:r>
      <w:r w:rsidRPr="00CA56F5">
        <w:rPr>
          <w:rFonts w:eastAsia="Times New Roman" w:cs="Arial"/>
          <w:i/>
          <w:iCs/>
          <w:color w:val="000000"/>
          <w:lang w:val="en-US"/>
        </w:rPr>
        <w:t>in vitro</w:t>
      </w:r>
      <w:r w:rsidRPr="00CA56F5">
        <w:rPr>
          <w:rFonts w:eastAsia="Times New Roman" w:cs="Arial"/>
          <w:color w:val="000000"/>
          <w:lang w:val="en-US"/>
        </w:rPr>
        <w:t xml:space="preserve"> </w:t>
      </w:r>
      <w:r w:rsidRPr="00CA56F5">
        <w:rPr>
          <w:rFonts w:eastAsia="Times New Roman" w:cs="Arial"/>
          <w:color w:val="000000"/>
          <w:lang w:eastAsia="bg-BG"/>
        </w:rPr>
        <w:t xml:space="preserve">в лимфоцитни клетки от човешка периферна кръв. В лимфоцити от човешка периферна кръв </w:t>
      </w:r>
      <w:r w:rsidRPr="00CA56F5">
        <w:rPr>
          <w:rFonts w:eastAsia="Times New Roman" w:cs="Arial"/>
          <w:i/>
          <w:iCs/>
          <w:color w:val="000000"/>
          <w:lang w:val="en-US"/>
        </w:rPr>
        <w:t>in vitro</w:t>
      </w:r>
      <w:r w:rsidRPr="00CA56F5">
        <w:rPr>
          <w:rFonts w:eastAsia="Times New Roman" w:cs="Arial"/>
          <w:color w:val="000000"/>
          <w:lang w:val="en-US"/>
        </w:rPr>
        <w:t xml:space="preserve"> </w:t>
      </w:r>
      <w:r w:rsidRPr="00CA56F5">
        <w:rPr>
          <w:rFonts w:eastAsia="Times New Roman" w:cs="Arial"/>
          <w:color w:val="000000"/>
          <w:lang w:eastAsia="bg-BG"/>
        </w:rPr>
        <w:t xml:space="preserve">са наблюдавани полиплоиди (бройни хромозомни аберации) както в присъствието, така и в отсъствието на метаболитно активиране. Сунитиниб не е бил кластогенен в костен мозък от плъх </w:t>
      </w:r>
      <w:r w:rsidRPr="00CA56F5">
        <w:rPr>
          <w:rFonts w:eastAsia="Times New Roman" w:cs="Arial"/>
          <w:i/>
          <w:iCs/>
          <w:color w:val="000000"/>
          <w:lang w:val="en-US"/>
        </w:rPr>
        <w:t>in vivo.</w:t>
      </w:r>
    </w:p>
    <w:p w14:paraId="60B027C5"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Генотоксичният потенциал на основния активен метаболит не е бил изпитван.</w:t>
      </w:r>
    </w:p>
    <w:p w14:paraId="7D919ACD" w14:textId="77777777" w:rsidR="00CA56F5" w:rsidRPr="00CA56F5" w:rsidRDefault="00CA56F5" w:rsidP="00CA56F5">
      <w:pPr>
        <w:spacing w:line="240" w:lineRule="auto"/>
        <w:rPr>
          <w:rFonts w:eastAsia="Times New Roman" w:cs="Arial"/>
          <w:color w:val="000000"/>
          <w:u w:val="single"/>
          <w:lang w:eastAsia="bg-BG"/>
        </w:rPr>
      </w:pPr>
    </w:p>
    <w:p w14:paraId="60F28A07" w14:textId="21456071" w:rsidR="00CA56F5" w:rsidRPr="00CA56F5" w:rsidRDefault="00CA56F5" w:rsidP="00CA56F5">
      <w:pPr>
        <w:spacing w:line="240" w:lineRule="auto"/>
        <w:rPr>
          <w:rFonts w:eastAsia="Times New Roman" w:cs="Arial"/>
          <w:lang w:eastAsia="bg-BG"/>
        </w:rPr>
      </w:pPr>
      <w:r w:rsidRPr="00CA56F5">
        <w:rPr>
          <w:rFonts w:eastAsia="Times New Roman" w:cs="Arial"/>
          <w:color w:val="000000"/>
          <w:u w:val="single"/>
          <w:lang w:eastAsia="bg-BG"/>
        </w:rPr>
        <w:t>Канцерогенност</w:t>
      </w:r>
    </w:p>
    <w:p w14:paraId="53A62A19"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lastRenderedPageBreak/>
        <w:t xml:space="preserve">При едномесечно проучване с гастрална сонда, за установяване на дозов диапазон (0, 10, 25, 75 или 200 </w:t>
      </w:r>
      <w:r w:rsidRPr="00CA56F5">
        <w:rPr>
          <w:rFonts w:eastAsia="Times New Roman" w:cs="Arial"/>
          <w:color w:val="000000"/>
          <w:lang w:val="en-US"/>
        </w:rPr>
        <w:t>mg/kg</w:t>
      </w:r>
      <w:r w:rsidRPr="00CA56F5">
        <w:rPr>
          <w:rFonts w:eastAsia="Times New Roman" w:cs="Arial"/>
          <w:color w:val="000000"/>
          <w:lang w:eastAsia="bg-BG"/>
        </w:rPr>
        <w:t xml:space="preserve">/дневно), с </w:t>
      </w:r>
      <w:r w:rsidRPr="00CA56F5">
        <w:rPr>
          <w:rFonts w:eastAsia="Times New Roman" w:cs="Arial"/>
          <w:color w:val="000000"/>
          <w:lang w:val="en-US"/>
        </w:rPr>
        <w:t xml:space="preserve">CDD, </w:t>
      </w:r>
      <w:r w:rsidRPr="00CA56F5">
        <w:rPr>
          <w:rFonts w:eastAsia="Times New Roman" w:cs="Arial"/>
          <w:color w:val="000000"/>
          <w:lang w:eastAsia="bg-BG"/>
        </w:rPr>
        <w:t xml:space="preserve">при </w:t>
      </w:r>
      <w:r w:rsidRPr="00CA56F5">
        <w:rPr>
          <w:rFonts w:eastAsia="Times New Roman" w:cs="Arial"/>
          <w:color w:val="000000"/>
          <w:lang w:val="en-US"/>
        </w:rPr>
        <w:t xml:space="preserve">rasH2 </w:t>
      </w:r>
      <w:r w:rsidRPr="00CA56F5">
        <w:rPr>
          <w:rFonts w:eastAsia="Times New Roman" w:cs="Arial"/>
          <w:color w:val="000000"/>
          <w:lang w:eastAsia="bg-BG"/>
        </w:rPr>
        <w:t xml:space="preserve">трансгенни мишки, са наблюдавани карцином и хиперплазия на Брунеровите жлези на дванадесетопръстника, при най- високата изпитвана доза (200 </w:t>
      </w:r>
      <w:r w:rsidRPr="00CA56F5">
        <w:rPr>
          <w:rFonts w:eastAsia="Times New Roman" w:cs="Arial"/>
          <w:color w:val="000000"/>
          <w:lang w:val="en-US"/>
        </w:rPr>
        <w:t>mg/kg</w:t>
      </w:r>
      <w:r w:rsidRPr="00CA56F5">
        <w:rPr>
          <w:rFonts w:eastAsia="Times New Roman" w:cs="Arial"/>
          <w:color w:val="000000"/>
          <w:lang w:eastAsia="bg-BG"/>
        </w:rPr>
        <w:t>/ден).</w:t>
      </w:r>
    </w:p>
    <w:p w14:paraId="7E8A78B3" w14:textId="77777777" w:rsidR="00CA56F5" w:rsidRPr="00CA56F5" w:rsidRDefault="00CA56F5" w:rsidP="00CA56F5">
      <w:pPr>
        <w:spacing w:line="240" w:lineRule="auto"/>
        <w:rPr>
          <w:rFonts w:eastAsia="Times New Roman" w:cs="Arial"/>
          <w:color w:val="000000"/>
          <w:lang w:eastAsia="bg-BG"/>
        </w:rPr>
      </w:pPr>
    </w:p>
    <w:p w14:paraId="28A9EF14" w14:textId="21DEE1D5"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При 6-месечно проучване с гастрална сонда за карциногенност (0, 8, 25, 75 [понижени до 50] </w:t>
      </w:r>
      <w:r w:rsidRPr="00CA56F5">
        <w:rPr>
          <w:rFonts w:eastAsia="Times New Roman" w:cs="Arial"/>
          <w:color w:val="000000"/>
          <w:lang w:val="en-US"/>
        </w:rPr>
        <w:t>mg/kg</w:t>
      </w:r>
      <w:r w:rsidRPr="00CA56F5">
        <w:rPr>
          <w:rFonts w:eastAsia="Times New Roman" w:cs="Arial"/>
          <w:color w:val="000000"/>
          <w:lang w:eastAsia="bg-BG"/>
        </w:rPr>
        <w:t xml:space="preserve">/дневно) с дневно дозиране, проведено при </w:t>
      </w:r>
      <w:r w:rsidRPr="00CA56F5">
        <w:rPr>
          <w:rFonts w:eastAsia="Times New Roman" w:cs="Arial"/>
          <w:color w:val="000000"/>
          <w:lang w:val="en-US"/>
        </w:rPr>
        <w:t xml:space="preserve">rasH2 </w:t>
      </w:r>
      <w:r w:rsidRPr="00CA56F5">
        <w:rPr>
          <w:rFonts w:eastAsia="Times New Roman" w:cs="Arial"/>
          <w:color w:val="000000"/>
          <w:lang w:eastAsia="bg-BG"/>
        </w:rPr>
        <w:t xml:space="preserve">трансгенни мишки, Гастродуоденални карциноми, повишена честота на съпътстващи хемангиосаркоми и/или хиперплазия на стомашната лигавица, са наблюдавани при дози ≥ 25 </w:t>
      </w:r>
      <w:r w:rsidRPr="00CA56F5">
        <w:rPr>
          <w:rFonts w:eastAsia="Times New Roman" w:cs="Arial"/>
          <w:color w:val="000000"/>
          <w:lang w:val="en-US"/>
        </w:rPr>
        <w:t xml:space="preserve">mg/kg </w:t>
      </w:r>
      <w:r w:rsidRPr="00CA56F5">
        <w:rPr>
          <w:rFonts w:eastAsia="Times New Roman" w:cs="Arial"/>
          <w:color w:val="000000"/>
          <w:lang w:eastAsia="bg-BG"/>
        </w:rPr>
        <w:t xml:space="preserve">дневно, с продължителност 1 или 6 месеца (≥ 7,3 пъти </w:t>
      </w:r>
      <w:r w:rsidRPr="00CA56F5">
        <w:rPr>
          <w:rFonts w:eastAsia="Times New Roman" w:cs="Arial"/>
          <w:color w:val="000000"/>
          <w:lang w:val="en-US"/>
        </w:rPr>
        <w:t xml:space="preserve">AUC </w:t>
      </w:r>
      <w:r w:rsidRPr="00CA56F5">
        <w:rPr>
          <w:rFonts w:eastAsia="Times New Roman" w:cs="Arial"/>
          <w:color w:val="000000"/>
          <w:lang w:eastAsia="bg-BG"/>
        </w:rPr>
        <w:t>при пациенти, приемали препоръчителната дневна доза [ПДД]).</w:t>
      </w:r>
    </w:p>
    <w:p w14:paraId="3F32FB48" w14:textId="77777777" w:rsidR="00CA56F5" w:rsidRPr="00CA56F5" w:rsidRDefault="00CA56F5" w:rsidP="00CA56F5">
      <w:pPr>
        <w:spacing w:line="240" w:lineRule="auto"/>
        <w:rPr>
          <w:rFonts w:eastAsia="Times New Roman" w:cs="Arial"/>
          <w:color w:val="000000"/>
          <w:lang w:eastAsia="bg-BG"/>
        </w:rPr>
      </w:pPr>
    </w:p>
    <w:p w14:paraId="1A459E9F" w14:textId="35F97CBC"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При 2-годишно проучване за карциногенност при плъхове (0; 0,33; 1 или 3 </w:t>
      </w:r>
      <w:r w:rsidRPr="00CA56F5">
        <w:rPr>
          <w:rFonts w:eastAsia="Times New Roman" w:cs="Arial"/>
          <w:color w:val="000000"/>
          <w:lang w:val="en-US"/>
        </w:rPr>
        <w:t>mg/kg</w:t>
      </w:r>
      <w:r w:rsidRPr="00CA56F5">
        <w:rPr>
          <w:rFonts w:eastAsia="Times New Roman" w:cs="Arial"/>
          <w:color w:val="000000"/>
          <w:lang w:eastAsia="bg-BG"/>
        </w:rPr>
        <w:t xml:space="preserve">/дневно), приложението на сунитиниб в цикли от по 28 дни, последвани от 7-дневни периоди без лечение, е довело до повишена честотата на феохромоцитоми и хиперплазия на надбъбречната медула при мъжки плъхове, получавали по 3 </w:t>
      </w:r>
      <w:r w:rsidRPr="00CA56F5">
        <w:rPr>
          <w:rFonts w:eastAsia="Times New Roman" w:cs="Arial"/>
          <w:color w:val="000000"/>
          <w:lang w:val="en-US"/>
        </w:rPr>
        <w:t>mg/kg</w:t>
      </w:r>
      <w:r w:rsidRPr="00CA56F5">
        <w:rPr>
          <w:rFonts w:eastAsia="Times New Roman" w:cs="Arial"/>
          <w:color w:val="000000"/>
          <w:lang w:eastAsia="bg-BG"/>
        </w:rPr>
        <w:t xml:space="preserve">/дневно, след &gt;1 година приложение (≥7,8 пъти </w:t>
      </w:r>
      <w:r w:rsidRPr="00CA56F5">
        <w:rPr>
          <w:rFonts w:eastAsia="Times New Roman" w:cs="Arial"/>
          <w:color w:val="000000"/>
          <w:lang w:val="en-US"/>
        </w:rPr>
        <w:t xml:space="preserve">AUC </w:t>
      </w:r>
      <w:r w:rsidRPr="00CA56F5">
        <w:rPr>
          <w:rFonts w:eastAsia="Times New Roman" w:cs="Arial"/>
          <w:color w:val="000000"/>
          <w:lang w:eastAsia="bg-BG"/>
        </w:rPr>
        <w:t xml:space="preserve">при пациенти, на които е прилагана </w:t>
      </w:r>
      <w:r w:rsidRPr="00CA56F5">
        <w:rPr>
          <w:rFonts w:eastAsia="Times New Roman" w:cs="Arial"/>
          <w:color w:val="000000"/>
          <w:u w:val="single"/>
          <w:lang w:eastAsia="bg-BG"/>
        </w:rPr>
        <w:t>ПДД</w:t>
      </w:r>
      <w:r w:rsidRPr="00CA56F5">
        <w:rPr>
          <w:rFonts w:eastAsia="Times New Roman" w:cs="Arial"/>
          <w:color w:val="000000"/>
          <w:lang w:eastAsia="bg-BG"/>
        </w:rPr>
        <w:t xml:space="preserve">). Карцином на Брунеровите жлези се появява в дванадесетопръстника при ≥1 </w:t>
      </w:r>
      <w:r w:rsidRPr="00CA56F5">
        <w:rPr>
          <w:rFonts w:eastAsia="Times New Roman" w:cs="Arial"/>
          <w:color w:val="000000"/>
          <w:lang w:val="en-US"/>
        </w:rPr>
        <w:t>mg/kg</w:t>
      </w:r>
      <w:r w:rsidRPr="00CA56F5">
        <w:rPr>
          <w:rFonts w:eastAsia="Times New Roman" w:cs="Arial"/>
          <w:color w:val="000000"/>
          <w:lang w:eastAsia="bg-BG"/>
        </w:rPr>
        <w:t xml:space="preserve">/дневно при женски и при 3 </w:t>
      </w:r>
      <w:r w:rsidRPr="00CA56F5">
        <w:rPr>
          <w:rFonts w:eastAsia="Times New Roman" w:cs="Arial"/>
          <w:color w:val="000000"/>
          <w:lang w:val="en-US"/>
        </w:rPr>
        <w:t>mg/kg</w:t>
      </w:r>
      <w:r w:rsidRPr="00CA56F5">
        <w:rPr>
          <w:rFonts w:eastAsia="Times New Roman" w:cs="Arial"/>
          <w:color w:val="000000"/>
          <w:lang w:eastAsia="bg-BG"/>
        </w:rPr>
        <w:t xml:space="preserve">/дневно при мъжки животни, а хиперплазия на мукозни клетки е доказана в жлезистия стомах при 3 </w:t>
      </w:r>
      <w:r w:rsidRPr="00CA56F5">
        <w:rPr>
          <w:rFonts w:eastAsia="Times New Roman" w:cs="Arial"/>
          <w:color w:val="000000"/>
          <w:lang w:val="en-US"/>
        </w:rPr>
        <w:t>mg/kg</w:t>
      </w:r>
      <w:r w:rsidRPr="00CA56F5">
        <w:rPr>
          <w:rFonts w:eastAsia="Times New Roman" w:cs="Arial"/>
          <w:color w:val="000000"/>
          <w:lang w:eastAsia="bg-BG"/>
        </w:rPr>
        <w:t xml:space="preserve">/дневно при мъжки животни, като се появяват при ≥0,9; 7,8 и съответно 7,8 пъти </w:t>
      </w:r>
      <w:r w:rsidRPr="00CA56F5">
        <w:rPr>
          <w:rFonts w:eastAsia="Times New Roman" w:cs="Arial"/>
          <w:color w:val="000000"/>
          <w:lang w:val="en-US"/>
        </w:rPr>
        <w:t xml:space="preserve">AUC </w:t>
      </w:r>
      <w:r w:rsidRPr="00CA56F5">
        <w:rPr>
          <w:rFonts w:eastAsia="Times New Roman" w:cs="Arial"/>
          <w:color w:val="000000"/>
          <w:lang w:eastAsia="bg-BG"/>
        </w:rPr>
        <w:t xml:space="preserve">при пациенти, при които е прилагана ПДД. Практическото значение за хората, на нео пластичните находки, наблюдавани при проучвания за карциногенност при мишки (трансгенни </w:t>
      </w:r>
      <w:r w:rsidRPr="00CA56F5">
        <w:rPr>
          <w:rFonts w:eastAsia="Times New Roman" w:cs="Arial"/>
          <w:color w:val="000000"/>
          <w:lang w:val="en-US"/>
        </w:rPr>
        <w:t xml:space="preserve">rasH2) </w:t>
      </w:r>
      <w:r w:rsidRPr="00CA56F5">
        <w:rPr>
          <w:rFonts w:eastAsia="Times New Roman" w:cs="Arial"/>
          <w:color w:val="000000"/>
          <w:lang w:eastAsia="bg-BG"/>
        </w:rPr>
        <w:t>и плъхове, е неясна.</w:t>
      </w:r>
    </w:p>
    <w:p w14:paraId="0B401F32" w14:textId="77777777" w:rsidR="00CA56F5" w:rsidRPr="00CA56F5" w:rsidRDefault="00CA56F5" w:rsidP="00CA56F5">
      <w:pPr>
        <w:spacing w:line="240" w:lineRule="auto"/>
        <w:rPr>
          <w:rFonts w:eastAsia="Times New Roman" w:cs="Arial"/>
          <w:color w:val="000000"/>
          <w:u w:val="single"/>
          <w:lang w:eastAsia="bg-BG"/>
        </w:rPr>
      </w:pPr>
    </w:p>
    <w:p w14:paraId="7BE2F0C1" w14:textId="14974BB5" w:rsidR="00CA56F5" w:rsidRPr="00CA56F5" w:rsidRDefault="00CA56F5" w:rsidP="00CA56F5">
      <w:pPr>
        <w:spacing w:line="240" w:lineRule="auto"/>
        <w:rPr>
          <w:rFonts w:eastAsia="Times New Roman" w:cs="Arial"/>
          <w:lang w:eastAsia="bg-BG"/>
        </w:rPr>
      </w:pPr>
      <w:r w:rsidRPr="00CA56F5">
        <w:rPr>
          <w:rFonts w:eastAsia="Times New Roman" w:cs="Arial"/>
          <w:color w:val="000000"/>
          <w:u w:val="single"/>
          <w:lang w:eastAsia="bg-BG"/>
        </w:rPr>
        <w:t>Репродуктивна токсичност и токсичност за развитието</w:t>
      </w:r>
    </w:p>
    <w:p w14:paraId="7B80D8CF" w14:textId="77777777" w:rsidR="00CA56F5" w:rsidRPr="00CA56F5" w:rsidRDefault="00CA56F5" w:rsidP="00CA56F5">
      <w:pPr>
        <w:rPr>
          <w:rFonts w:eastAsia="Times New Roman" w:cs="Arial"/>
          <w:lang w:eastAsia="bg-BG"/>
        </w:rPr>
      </w:pPr>
      <w:r w:rsidRPr="00CA56F5">
        <w:rPr>
          <w:rFonts w:eastAsia="Times New Roman" w:cs="Arial"/>
          <w:color w:val="000000"/>
          <w:lang w:eastAsia="bg-BG"/>
        </w:rPr>
        <w:t>В изследвания на репродуктивната токсичност не са наблюдавани ефекти върху мъжкия или женския фертилитет. При проведени върху плъхове и маймуни проучвания на токсичността при многократно приложение, са наблюдавани ефекти върху женския</w:t>
      </w:r>
      <w:r w:rsidRPr="00CA56F5">
        <w:rPr>
          <w:rFonts w:eastAsia="Times New Roman" w:cs="Arial"/>
          <w:color w:val="000000"/>
          <w:u w:val="single"/>
          <w:lang w:eastAsia="bg-BG"/>
        </w:rPr>
        <w:t xml:space="preserve"> </w:t>
      </w:r>
      <w:r w:rsidRPr="00CA56F5">
        <w:rPr>
          <w:rFonts w:eastAsia="Times New Roman" w:cs="Arial"/>
          <w:color w:val="000000"/>
          <w:lang w:eastAsia="bg-BG"/>
        </w:rPr>
        <w:t>фертилитет под формата на фоликуларна атрезия, дегенерация на жълтото тяло, ендометриални промени в матката и намалено тегло на матката и яйчниците при клинично значими нива на системна експозиция. Ефекти върху мъжкия фертилитет са</w:t>
      </w:r>
      <w:r w:rsidRPr="00CA56F5">
        <w:rPr>
          <w:rFonts w:eastAsia="Times New Roman" w:cs="Arial"/>
          <w:color w:val="000000"/>
          <w:vertAlign w:val="superscript"/>
          <w:lang w:eastAsia="bg-BG"/>
        </w:rPr>
        <w:t xml:space="preserve"> </w:t>
      </w:r>
      <w:r w:rsidRPr="00CA56F5">
        <w:rPr>
          <w:rFonts w:eastAsia="Times New Roman" w:cs="Arial"/>
          <w:color w:val="000000"/>
          <w:lang w:eastAsia="bg-BG"/>
        </w:rPr>
        <w:t>наблюдавани под формата на тубуЛарна атрофия в тестисите, намаление на сперматозоидите в епидидимиса и колоидна деплеция в простатата и семеннните мехурчета при плазмени нива на експозиция 25 пъти по-високи от системната експозиция при хора.</w:t>
      </w:r>
    </w:p>
    <w:p w14:paraId="785B939F" w14:textId="77777777" w:rsidR="00CA56F5" w:rsidRPr="00CA56F5" w:rsidRDefault="00CA56F5" w:rsidP="00CA56F5">
      <w:pPr>
        <w:rPr>
          <w:rFonts w:eastAsia="Times New Roman" w:cs="Arial"/>
          <w:color w:val="000000"/>
          <w:lang w:eastAsia="bg-BG"/>
        </w:rPr>
      </w:pPr>
    </w:p>
    <w:p w14:paraId="13A7B62A" w14:textId="3F9CAB11" w:rsidR="007A2185" w:rsidRPr="00CA56F5" w:rsidRDefault="00CA56F5" w:rsidP="00CA56F5">
      <w:pPr>
        <w:rPr>
          <w:rFonts w:cs="Arial"/>
        </w:rPr>
      </w:pPr>
      <w:r w:rsidRPr="00CA56F5">
        <w:rPr>
          <w:rFonts w:eastAsia="Times New Roman" w:cs="Arial"/>
          <w:color w:val="000000"/>
          <w:lang w:eastAsia="bg-BG"/>
        </w:rPr>
        <w:t xml:space="preserve">При плъхове ембрио-феталната смъртност е била проявена като сигнификантно намаление в броя на живите фетуси, увеличен брой на резорбции, увеличена постимплантационна загуба и пълна загуба на потомството при 8 от 28 бременни женски животни при плазмени нива на експозиция 5,5 пъти по-високи от системната експозиция при хора. При зайци намалението в теглата на бременните матки и в броя на живите фетуси се е дължал на увеличения брой на резорбции, увеличената постимплантационна загуба и пълната загуба на потомството в 4 от 6 бременни женски животни при плазмени нива на експозиция 3 пъти по-големи от системната експозиция при хора. Третиране на плъхове със сунитиниб по време на органогенезата доведе до тератогенни ефекти при ≥ 5 </w:t>
      </w:r>
      <w:r w:rsidRPr="00CA56F5">
        <w:rPr>
          <w:rFonts w:eastAsia="Times New Roman" w:cs="Arial"/>
          <w:color w:val="000000"/>
          <w:lang w:val="en-US"/>
        </w:rPr>
        <w:t>mg/kg</w:t>
      </w:r>
      <w:r w:rsidRPr="00CA56F5">
        <w:rPr>
          <w:rFonts w:eastAsia="Times New Roman" w:cs="Arial"/>
          <w:color w:val="000000"/>
          <w:lang w:eastAsia="bg-BG"/>
        </w:rPr>
        <w:t xml:space="preserve">/ден, състоящи се от увеличена поява на скелетни малформации на плода, характеризирани главно като забавено вкостеняване на гръдните/лумбалните прешлени и проявили се при плазмени нива на експозиция 5,5 пъти по- високи от системната експозиция при хора. При зайци тератогенните ефекти са се състояли от увеличена поява </w:t>
      </w:r>
      <w:r w:rsidRPr="00CA56F5">
        <w:rPr>
          <w:rFonts w:eastAsia="Times New Roman" w:cs="Arial"/>
          <w:color w:val="000000"/>
          <w:lang w:eastAsia="bg-BG"/>
        </w:rPr>
        <w:lastRenderedPageBreak/>
        <w:t xml:space="preserve">на цепка на устната при плазмени нива на експозиция приблизително равни на тези, наблюдавани в клиниката, а така също на цепка на устната и цепка на небцето при плазмени нива на експозиция 2,7 пъти по-високи от системната експозиция при хора. Сунитиниб (0,3; 1,0; 3,0 </w:t>
      </w:r>
      <w:r w:rsidRPr="00CA56F5">
        <w:rPr>
          <w:rFonts w:eastAsia="Times New Roman" w:cs="Arial"/>
          <w:color w:val="000000"/>
          <w:lang w:val="en-US"/>
        </w:rPr>
        <w:t>mg/kg</w:t>
      </w:r>
      <w:r w:rsidRPr="00CA56F5">
        <w:rPr>
          <w:rFonts w:eastAsia="Times New Roman" w:cs="Arial"/>
          <w:color w:val="000000"/>
          <w:lang w:eastAsia="bg-BG"/>
        </w:rPr>
        <w:t xml:space="preserve">/дневно) е оценен при проучване върху пре- и постнаталното развитие при бременни плъхове. Наддаването на тегло при майката е било намалено по време на бременността и лактацията при ≥ 1 </w:t>
      </w:r>
      <w:r w:rsidRPr="00CA56F5">
        <w:rPr>
          <w:rFonts w:eastAsia="Times New Roman" w:cs="Arial"/>
          <w:color w:val="000000"/>
          <w:lang w:val="en-US"/>
        </w:rPr>
        <w:t>mg/kg</w:t>
      </w:r>
      <w:r w:rsidRPr="00CA56F5">
        <w:rPr>
          <w:rFonts w:eastAsia="Times New Roman" w:cs="Arial"/>
          <w:color w:val="000000"/>
          <w:lang w:eastAsia="bg-BG"/>
        </w:rPr>
        <w:t xml:space="preserve">/дневно, но не е наблюдавана репродуктивна токсичност до 3 </w:t>
      </w:r>
      <w:r w:rsidRPr="00CA56F5">
        <w:rPr>
          <w:rFonts w:eastAsia="Times New Roman" w:cs="Arial"/>
          <w:color w:val="000000"/>
          <w:lang w:val="en-US"/>
        </w:rPr>
        <w:t>mg/kg</w:t>
      </w:r>
      <w:r w:rsidRPr="00CA56F5">
        <w:rPr>
          <w:rFonts w:eastAsia="Times New Roman" w:cs="Arial"/>
          <w:color w:val="000000"/>
          <w:lang w:eastAsia="bg-BG"/>
        </w:rPr>
        <w:t xml:space="preserve">/дневно (очаквана експозиция ≥ 2,3 пъти </w:t>
      </w:r>
      <w:r w:rsidRPr="00CA56F5">
        <w:rPr>
          <w:rFonts w:eastAsia="Times New Roman" w:cs="Arial"/>
          <w:color w:val="000000"/>
          <w:lang w:val="en-US"/>
        </w:rPr>
        <w:t xml:space="preserve">AUC </w:t>
      </w:r>
      <w:r w:rsidRPr="00CA56F5">
        <w:rPr>
          <w:rFonts w:eastAsia="Times New Roman" w:cs="Arial"/>
          <w:color w:val="000000"/>
          <w:lang w:eastAsia="bg-BG"/>
        </w:rPr>
        <w:t xml:space="preserve">при пациенти, на които е прилагана ППД). Намалено тегло при поколението е наблюдавано преди и след отбиването при 3 </w:t>
      </w:r>
      <w:r w:rsidRPr="00CA56F5">
        <w:rPr>
          <w:rFonts w:eastAsia="Times New Roman" w:cs="Arial"/>
          <w:color w:val="000000"/>
          <w:lang w:val="en-US"/>
        </w:rPr>
        <w:t>mg/kg</w:t>
      </w:r>
      <w:r w:rsidRPr="00CA56F5">
        <w:rPr>
          <w:rFonts w:eastAsia="Times New Roman" w:cs="Arial"/>
          <w:color w:val="000000"/>
          <w:lang w:eastAsia="bg-BG"/>
        </w:rPr>
        <w:t xml:space="preserve">/дневно. Не е наблюдавана токсичност върху развитието при 1 </w:t>
      </w:r>
      <w:r w:rsidRPr="00CA56F5">
        <w:rPr>
          <w:rFonts w:eastAsia="Times New Roman" w:cs="Arial"/>
          <w:color w:val="000000"/>
          <w:lang w:val="en-US"/>
        </w:rPr>
        <w:t>mg/kg</w:t>
      </w:r>
      <w:r w:rsidRPr="00CA56F5">
        <w:rPr>
          <w:rFonts w:eastAsia="Times New Roman" w:cs="Arial"/>
          <w:color w:val="000000"/>
          <w:lang w:eastAsia="bg-BG"/>
        </w:rPr>
        <w:t xml:space="preserve">/дневно (приблизителна експозиция ≥ 0,9 Пъти </w:t>
      </w:r>
      <w:r w:rsidRPr="00CA56F5">
        <w:rPr>
          <w:rFonts w:eastAsia="Times New Roman" w:cs="Arial"/>
          <w:color w:val="000000"/>
          <w:lang w:val="en-US"/>
        </w:rPr>
        <w:t xml:space="preserve">AUC </w:t>
      </w:r>
      <w:r w:rsidRPr="00CA56F5">
        <w:rPr>
          <w:rFonts w:eastAsia="Times New Roman" w:cs="Arial"/>
          <w:color w:val="000000"/>
          <w:lang w:eastAsia="bg-BG"/>
        </w:rPr>
        <w:t>при пациенти, на които е прилагана ПДД).</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5BB893CC"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ФАРМАКОНС АД</w:t>
      </w:r>
    </w:p>
    <w:p w14:paraId="530ADB31"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бул. „Пейо К. Яворов“ №44, ет.1</w:t>
      </w:r>
    </w:p>
    <w:p w14:paraId="6287B7B9"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София 1164</w:t>
      </w:r>
    </w:p>
    <w:p w14:paraId="4F02909F" w14:textId="0BA014A5" w:rsidR="007A2185" w:rsidRPr="00CA56F5" w:rsidRDefault="00CA56F5" w:rsidP="00CA56F5">
      <w:pPr>
        <w:rPr>
          <w:rFonts w:cs="Arial"/>
        </w:rPr>
      </w:pPr>
      <w:r w:rsidRPr="00CA56F5">
        <w:rPr>
          <w:rFonts w:eastAsia="Times New Roman" w:cs="Arial"/>
          <w:color w:val="000000"/>
          <w:lang w:eastAsia="bg-BG"/>
        </w:rPr>
        <w:t>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223E2A15"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Сунитикон 12,5 </w:t>
      </w:r>
      <w:r w:rsidRPr="00CA56F5">
        <w:rPr>
          <w:rFonts w:eastAsia="Times New Roman" w:cs="Arial"/>
          <w:color w:val="000000"/>
          <w:lang w:val="en-US"/>
        </w:rPr>
        <w:t>mg</w:t>
      </w:r>
    </w:p>
    <w:p w14:paraId="45E13BD9" w14:textId="77777777" w:rsidR="00CA56F5" w:rsidRPr="00CA56F5" w:rsidRDefault="00CA56F5" w:rsidP="00CA56F5">
      <w:pPr>
        <w:spacing w:line="240" w:lineRule="auto"/>
        <w:rPr>
          <w:rFonts w:eastAsia="Times New Roman" w:cs="Arial"/>
          <w:lang w:eastAsia="bg-BG"/>
        </w:rPr>
      </w:pPr>
      <w:r w:rsidRPr="00CA56F5">
        <w:rPr>
          <w:rFonts w:eastAsia="Times New Roman" w:cs="Arial"/>
          <w:color w:val="000000"/>
          <w:lang w:val="en-US"/>
        </w:rPr>
        <w:t xml:space="preserve">Per. </w:t>
      </w:r>
      <w:r w:rsidRPr="00CA56F5">
        <w:rPr>
          <w:rFonts w:eastAsia="Times New Roman" w:cs="Arial"/>
          <w:color w:val="000000"/>
          <w:lang w:eastAsia="bg-BG"/>
        </w:rPr>
        <w:t>№20210111</w:t>
      </w:r>
    </w:p>
    <w:p w14:paraId="0878B0BD" w14:textId="77777777" w:rsidR="00CA56F5" w:rsidRPr="00CA56F5" w:rsidRDefault="00CA56F5" w:rsidP="00CA56F5">
      <w:pPr>
        <w:spacing w:line="240" w:lineRule="auto"/>
        <w:rPr>
          <w:rFonts w:eastAsia="Times New Roman" w:cs="Arial"/>
          <w:color w:val="000000"/>
          <w:lang w:eastAsia="bg-BG"/>
        </w:rPr>
      </w:pPr>
    </w:p>
    <w:p w14:paraId="6CC1D3F6" w14:textId="4D45C3E3" w:rsidR="00CA56F5" w:rsidRPr="00CA56F5" w:rsidRDefault="00CA56F5" w:rsidP="00CA56F5">
      <w:pPr>
        <w:spacing w:line="240" w:lineRule="auto"/>
        <w:rPr>
          <w:rFonts w:eastAsia="Times New Roman" w:cs="Arial"/>
          <w:lang w:eastAsia="bg-BG"/>
        </w:rPr>
      </w:pPr>
      <w:r w:rsidRPr="00CA56F5">
        <w:rPr>
          <w:rFonts w:eastAsia="Times New Roman" w:cs="Arial"/>
          <w:color w:val="000000"/>
          <w:lang w:eastAsia="bg-BG"/>
        </w:rPr>
        <w:t xml:space="preserve">Сунитикон 50 </w:t>
      </w:r>
      <w:r w:rsidRPr="00CA56F5">
        <w:rPr>
          <w:rFonts w:eastAsia="Times New Roman" w:cs="Arial"/>
          <w:color w:val="000000"/>
          <w:lang w:val="en-US"/>
        </w:rPr>
        <w:t>mg</w:t>
      </w:r>
    </w:p>
    <w:p w14:paraId="46161304" w14:textId="62ED864B" w:rsidR="007A2185" w:rsidRPr="00CA56F5" w:rsidRDefault="00CA56F5" w:rsidP="00CA56F5">
      <w:pPr>
        <w:rPr>
          <w:rFonts w:cs="Arial"/>
        </w:rPr>
      </w:pPr>
      <w:r w:rsidRPr="00CA56F5">
        <w:rPr>
          <w:rFonts w:eastAsia="Times New Roman" w:cs="Arial"/>
          <w:color w:val="000000"/>
          <w:lang w:val="en-US"/>
        </w:rPr>
        <w:t xml:space="preserve">Per. </w:t>
      </w:r>
      <w:r w:rsidRPr="00CA56F5">
        <w:rPr>
          <w:rFonts w:eastAsia="Times New Roman" w:cs="Arial"/>
          <w:color w:val="000000"/>
          <w:lang w:eastAsia="bg-BG"/>
        </w:rPr>
        <w:t>№20210112</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C57D8B6" w14:textId="37C530A5" w:rsidR="007A2185" w:rsidRPr="00CA56F5" w:rsidRDefault="00CA56F5" w:rsidP="0091385D">
      <w:pPr>
        <w:rPr>
          <w:rFonts w:cs="Arial"/>
        </w:rPr>
      </w:pPr>
      <w:r w:rsidRPr="00CA56F5">
        <w:rPr>
          <w:rFonts w:cs="Arial"/>
        </w:rPr>
        <w:t>Дата на първо разрешаване: 11 май 2021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119CDFF6" w:rsidR="007A2185" w:rsidRPr="00CA56F5" w:rsidRDefault="00CA56F5" w:rsidP="0091385D">
      <w:pPr>
        <w:rPr>
          <w:rFonts w:cs="Arial"/>
        </w:rPr>
      </w:pPr>
      <w:r w:rsidRPr="00CA56F5">
        <w:rPr>
          <w:rFonts w:cs="Arial"/>
        </w:rPr>
        <w:t>05/2022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30D4D"/>
    <w:rsid w:val="00032FA5"/>
    <w:rsid w:val="000371FE"/>
    <w:rsid w:val="000C6F64"/>
    <w:rsid w:val="00185A46"/>
    <w:rsid w:val="001915B6"/>
    <w:rsid w:val="001D1B23"/>
    <w:rsid w:val="002B3C38"/>
    <w:rsid w:val="002B4DBB"/>
    <w:rsid w:val="002C50EE"/>
    <w:rsid w:val="00340A0A"/>
    <w:rsid w:val="003765DC"/>
    <w:rsid w:val="00395555"/>
    <w:rsid w:val="003B4F9F"/>
    <w:rsid w:val="003E3126"/>
    <w:rsid w:val="00426E5F"/>
    <w:rsid w:val="004A448E"/>
    <w:rsid w:val="004B44F2"/>
    <w:rsid w:val="004B7AED"/>
    <w:rsid w:val="004D4D6B"/>
    <w:rsid w:val="004F1CE7"/>
    <w:rsid w:val="004F498A"/>
    <w:rsid w:val="00517A5B"/>
    <w:rsid w:val="005354F0"/>
    <w:rsid w:val="00593A00"/>
    <w:rsid w:val="005A66D9"/>
    <w:rsid w:val="005B0F27"/>
    <w:rsid w:val="00605BCA"/>
    <w:rsid w:val="006158A1"/>
    <w:rsid w:val="00617B1F"/>
    <w:rsid w:val="00672487"/>
    <w:rsid w:val="00672600"/>
    <w:rsid w:val="00681D4A"/>
    <w:rsid w:val="00682341"/>
    <w:rsid w:val="00685882"/>
    <w:rsid w:val="007152F2"/>
    <w:rsid w:val="0075649D"/>
    <w:rsid w:val="007A2185"/>
    <w:rsid w:val="007C605B"/>
    <w:rsid w:val="008134C8"/>
    <w:rsid w:val="00814073"/>
    <w:rsid w:val="00826F0D"/>
    <w:rsid w:val="00893B92"/>
    <w:rsid w:val="008A6AF2"/>
    <w:rsid w:val="008B6B3F"/>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A56F5"/>
    <w:rsid w:val="00CF77F7"/>
    <w:rsid w:val="00D5015D"/>
    <w:rsid w:val="00D86297"/>
    <w:rsid w:val="00DD466D"/>
    <w:rsid w:val="00DE4D3F"/>
    <w:rsid w:val="00DE5999"/>
    <w:rsid w:val="00EB6364"/>
    <w:rsid w:val="00EC41ED"/>
    <w:rsid w:val="00F37B64"/>
    <w:rsid w:val="00F518E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13341</Words>
  <Characters>76048</Characters>
  <Application>Microsoft Office Word</Application>
  <DocSecurity>0</DocSecurity>
  <Lines>633</Lines>
  <Paragraphs>178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2023-06-05T12:46:00Z</dcterms:created>
  <dcterms:modified xsi:type="dcterms:W3CDTF">2023-06-05T12:46:00Z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