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7B7F9CBA" w:rsidR="0091385D" w:rsidRDefault="0091385D" w:rsidP="0091385D"/>
    <w:p w14:paraId="1A22D891" w14:textId="77777777" w:rsidR="003F729A" w:rsidRPr="003F729A" w:rsidRDefault="003F729A" w:rsidP="003F729A">
      <w:pPr>
        <w:spacing w:line="240" w:lineRule="auto"/>
        <w:rPr>
          <w:rFonts w:eastAsia="Times New Roman" w:cs="Arial"/>
          <w:sz w:val="24"/>
          <w:szCs w:val="24"/>
          <w:lang w:val="en-US" w:eastAsia="bg-BG"/>
        </w:rPr>
      </w:pPr>
      <w:r w:rsidRPr="003F729A">
        <w:rPr>
          <w:rFonts w:eastAsia="Times New Roman" w:cs="Arial"/>
          <w:color w:val="000000"/>
          <w:lang w:eastAsia="bg-BG"/>
        </w:rPr>
        <w:t xml:space="preserve">Сунитиниб Тева 12,5 </w:t>
      </w:r>
      <w:r w:rsidRPr="003F729A">
        <w:rPr>
          <w:rFonts w:eastAsia="Times New Roman" w:cs="Arial"/>
          <w:color w:val="000000"/>
          <w:lang w:val="en-US"/>
        </w:rPr>
        <w:t xml:space="preserve">mg </w:t>
      </w:r>
      <w:r w:rsidRPr="003F729A">
        <w:rPr>
          <w:rFonts w:eastAsia="Times New Roman" w:cs="Arial"/>
          <w:color w:val="000000"/>
          <w:lang w:eastAsia="bg-BG"/>
        </w:rPr>
        <w:t>твърди капсули</w:t>
      </w:r>
    </w:p>
    <w:p w14:paraId="45DAE2B4" w14:textId="77777777" w:rsidR="003F729A" w:rsidRPr="003F729A" w:rsidRDefault="003F729A" w:rsidP="003F729A">
      <w:pPr>
        <w:spacing w:line="240" w:lineRule="auto"/>
        <w:rPr>
          <w:rFonts w:eastAsia="Times New Roman" w:cs="Arial"/>
          <w:sz w:val="24"/>
          <w:szCs w:val="24"/>
          <w:lang w:val="en-US" w:eastAsia="bg-BG"/>
        </w:rPr>
      </w:pPr>
      <w:proofErr w:type="spellStart"/>
      <w:r w:rsidRPr="003F729A">
        <w:rPr>
          <w:rFonts w:eastAsia="Times New Roman" w:cs="Arial"/>
          <w:color w:val="000000"/>
          <w:lang w:val="en-US"/>
        </w:rPr>
        <w:t>Sunitinib</w:t>
      </w:r>
      <w:proofErr w:type="spellEnd"/>
      <w:r w:rsidRPr="003F729A">
        <w:rPr>
          <w:rFonts w:eastAsia="Times New Roman" w:cs="Arial"/>
          <w:color w:val="000000"/>
          <w:lang w:val="en-US"/>
        </w:rPr>
        <w:t xml:space="preserve"> </w:t>
      </w:r>
      <w:proofErr w:type="spellStart"/>
      <w:r w:rsidRPr="003F729A">
        <w:rPr>
          <w:rFonts w:eastAsia="Times New Roman" w:cs="Arial"/>
          <w:color w:val="000000"/>
          <w:lang w:val="en-US"/>
        </w:rPr>
        <w:t>Teva</w:t>
      </w:r>
      <w:proofErr w:type="spellEnd"/>
      <w:r w:rsidRPr="003F729A">
        <w:rPr>
          <w:rFonts w:eastAsia="Times New Roman" w:cs="Arial"/>
          <w:color w:val="000000"/>
          <w:lang w:val="en-US"/>
        </w:rPr>
        <w:t xml:space="preserve"> </w:t>
      </w:r>
      <w:r w:rsidRPr="003F729A">
        <w:rPr>
          <w:rFonts w:eastAsia="Times New Roman" w:cs="Arial"/>
          <w:color w:val="000000"/>
          <w:lang w:eastAsia="bg-BG"/>
        </w:rPr>
        <w:t xml:space="preserve">12.5 </w:t>
      </w:r>
      <w:r w:rsidRPr="003F729A">
        <w:rPr>
          <w:rFonts w:eastAsia="Times New Roman" w:cs="Arial"/>
          <w:color w:val="000000"/>
          <w:lang w:val="en-US"/>
        </w:rPr>
        <w:t>mg hard capsules</w:t>
      </w:r>
    </w:p>
    <w:p w14:paraId="534E650B" w14:textId="77777777" w:rsidR="003F729A" w:rsidRPr="009226FA" w:rsidRDefault="003F729A" w:rsidP="003F729A">
      <w:pPr>
        <w:spacing w:line="240" w:lineRule="auto"/>
        <w:rPr>
          <w:rFonts w:eastAsia="Times New Roman" w:cs="Arial"/>
          <w:color w:val="000000"/>
          <w:lang w:eastAsia="bg-BG"/>
        </w:rPr>
      </w:pPr>
    </w:p>
    <w:p w14:paraId="7937FDC9" w14:textId="0B72EF2E" w:rsidR="003F729A" w:rsidRPr="003F729A" w:rsidRDefault="003F729A" w:rsidP="003F729A">
      <w:pPr>
        <w:spacing w:line="240" w:lineRule="auto"/>
        <w:rPr>
          <w:rFonts w:eastAsia="Times New Roman" w:cs="Arial"/>
          <w:sz w:val="24"/>
          <w:szCs w:val="24"/>
          <w:lang w:val="en-US" w:eastAsia="bg-BG"/>
        </w:rPr>
      </w:pPr>
      <w:r w:rsidRPr="003F729A">
        <w:rPr>
          <w:rFonts w:eastAsia="Times New Roman" w:cs="Arial"/>
          <w:color w:val="000000"/>
          <w:lang w:eastAsia="bg-BG"/>
        </w:rPr>
        <w:t xml:space="preserve">Сунитиниб Тева </w:t>
      </w:r>
      <w:r w:rsidRPr="003F729A">
        <w:rPr>
          <w:rFonts w:eastAsia="Times New Roman" w:cs="Arial"/>
          <w:color w:val="000000"/>
          <w:lang w:val="en-US"/>
        </w:rPr>
        <w:t xml:space="preserve">25 mg </w:t>
      </w:r>
      <w:r w:rsidRPr="003F729A">
        <w:rPr>
          <w:rFonts w:eastAsia="Times New Roman" w:cs="Arial"/>
          <w:color w:val="000000"/>
          <w:lang w:eastAsia="bg-BG"/>
        </w:rPr>
        <w:t>твърди капсули</w:t>
      </w:r>
    </w:p>
    <w:p w14:paraId="74100586" w14:textId="77777777" w:rsidR="003F729A" w:rsidRPr="003F729A" w:rsidRDefault="003F729A" w:rsidP="003F729A">
      <w:pPr>
        <w:spacing w:line="240" w:lineRule="auto"/>
        <w:rPr>
          <w:rFonts w:eastAsia="Times New Roman" w:cs="Arial"/>
          <w:sz w:val="24"/>
          <w:szCs w:val="24"/>
          <w:lang w:val="en-US" w:eastAsia="bg-BG"/>
        </w:rPr>
      </w:pPr>
      <w:proofErr w:type="spellStart"/>
      <w:r w:rsidRPr="003F729A">
        <w:rPr>
          <w:rFonts w:eastAsia="Times New Roman" w:cs="Arial"/>
          <w:color w:val="000000"/>
          <w:lang w:val="en-US"/>
        </w:rPr>
        <w:t>Sunitinib</w:t>
      </w:r>
      <w:proofErr w:type="spellEnd"/>
      <w:r w:rsidRPr="003F729A">
        <w:rPr>
          <w:rFonts w:eastAsia="Times New Roman" w:cs="Arial"/>
          <w:color w:val="000000"/>
          <w:lang w:val="en-US"/>
        </w:rPr>
        <w:t xml:space="preserve"> </w:t>
      </w:r>
      <w:proofErr w:type="spellStart"/>
      <w:r w:rsidRPr="003F729A">
        <w:rPr>
          <w:rFonts w:eastAsia="Times New Roman" w:cs="Arial"/>
          <w:color w:val="000000"/>
          <w:lang w:val="en-US"/>
        </w:rPr>
        <w:t>Teva</w:t>
      </w:r>
      <w:proofErr w:type="spellEnd"/>
      <w:r w:rsidRPr="003F729A">
        <w:rPr>
          <w:rFonts w:eastAsia="Times New Roman" w:cs="Arial"/>
          <w:color w:val="000000"/>
          <w:lang w:val="en-US"/>
        </w:rPr>
        <w:t xml:space="preserve"> 25 mg hard capsules</w:t>
      </w:r>
    </w:p>
    <w:p w14:paraId="39CB3A87" w14:textId="77777777" w:rsidR="003F729A" w:rsidRPr="009226FA" w:rsidRDefault="003F729A" w:rsidP="003F729A">
      <w:pPr>
        <w:spacing w:line="240" w:lineRule="auto"/>
        <w:rPr>
          <w:rFonts w:eastAsia="Times New Roman" w:cs="Arial"/>
          <w:color w:val="000000"/>
          <w:lang w:eastAsia="bg-BG"/>
        </w:rPr>
      </w:pPr>
    </w:p>
    <w:p w14:paraId="25B0C91D" w14:textId="01872CB8" w:rsidR="003F729A" w:rsidRPr="003F729A" w:rsidRDefault="003F729A" w:rsidP="003F729A">
      <w:pPr>
        <w:spacing w:line="240" w:lineRule="auto"/>
        <w:rPr>
          <w:rFonts w:eastAsia="Times New Roman" w:cs="Arial"/>
          <w:sz w:val="24"/>
          <w:szCs w:val="24"/>
          <w:lang w:val="en-US" w:eastAsia="bg-BG"/>
        </w:rPr>
      </w:pPr>
      <w:r w:rsidRPr="003F729A">
        <w:rPr>
          <w:rFonts w:eastAsia="Times New Roman" w:cs="Arial"/>
          <w:color w:val="000000"/>
          <w:lang w:eastAsia="bg-BG"/>
        </w:rPr>
        <w:t xml:space="preserve">Сунитиниб Тева </w:t>
      </w:r>
      <w:r w:rsidRPr="003F729A">
        <w:rPr>
          <w:rFonts w:eastAsia="Times New Roman" w:cs="Arial"/>
          <w:color w:val="000000"/>
          <w:lang w:val="en-US"/>
        </w:rPr>
        <w:t xml:space="preserve">50 mg </w:t>
      </w:r>
      <w:r w:rsidRPr="003F729A">
        <w:rPr>
          <w:rFonts w:eastAsia="Times New Roman" w:cs="Arial"/>
          <w:color w:val="000000"/>
          <w:lang w:eastAsia="bg-BG"/>
        </w:rPr>
        <w:t>твърди капсули</w:t>
      </w:r>
    </w:p>
    <w:p w14:paraId="69AC8148" w14:textId="0A201283" w:rsidR="00EC41ED" w:rsidRPr="009226FA" w:rsidRDefault="003F729A" w:rsidP="003F729A">
      <w:pPr>
        <w:rPr>
          <w:rFonts w:cs="Arial"/>
        </w:rPr>
      </w:pPr>
      <w:proofErr w:type="spellStart"/>
      <w:r w:rsidRPr="009226FA">
        <w:rPr>
          <w:rFonts w:eastAsia="Times New Roman" w:cs="Arial"/>
          <w:color w:val="000000"/>
          <w:lang w:val="en-US"/>
        </w:rPr>
        <w:t>Sunitinib</w:t>
      </w:r>
      <w:proofErr w:type="spellEnd"/>
      <w:r w:rsidRPr="009226FA">
        <w:rPr>
          <w:rFonts w:eastAsia="Times New Roman" w:cs="Arial"/>
          <w:color w:val="000000"/>
          <w:lang w:val="en-US"/>
        </w:rPr>
        <w:t xml:space="preserve"> </w:t>
      </w:r>
      <w:proofErr w:type="spellStart"/>
      <w:r w:rsidRPr="009226FA">
        <w:rPr>
          <w:rFonts w:eastAsia="Times New Roman" w:cs="Arial"/>
          <w:color w:val="000000"/>
          <w:lang w:val="en-US"/>
        </w:rPr>
        <w:t>Teva</w:t>
      </w:r>
      <w:proofErr w:type="spellEnd"/>
      <w:r w:rsidRPr="009226FA">
        <w:rPr>
          <w:rFonts w:eastAsia="Times New Roman" w:cs="Arial"/>
          <w:color w:val="000000"/>
          <w:lang w:val="en-US"/>
        </w:rPr>
        <w:t xml:space="preserve"> 50 mg hard capsules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478BAC70" w:rsidR="0091385D" w:rsidRDefault="0091385D" w:rsidP="0091385D"/>
    <w:p w14:paraId="5AE909F8" w14:textId="77777777" w:rsidR="003F729A" w:rsidRPr="003F729A" w:rsidRDefault="003F729A" w:rsidP="003F729A">
      <w:pPr>
        <w:spacing w:line="240" w:lineRule="auto"/>
        <w:rPr>
          <w:rFonts w:eastAsia="Times New Roman" w:cs="Arial"/>
          <w:sz w:val="24"/>
          <w:szCs w:val="24"/>
          <w:lang w:eastAsia="bg-BG"/>
        </w:rPr>
      </w:pPr>
      <w:r w:rsidRPr="003F729A">
        <w:rPr>
          <w:rFonts w:eastAsia="Times New Roman" w:cs="Arial"/>
          <w:color w:val="000000"/>
          <w:u w:val="single"/>
          <w:lang w:eastAsia="bg-BG"/>
        </w:rPr>
        <w:t xml:space="preserve">12,5 </w:t>
      </w:r>
      <w:r w:rsidRPr="003F729A">
        <w:rPr>
          <w:rFonts w:eastAsia="Times New Roman" w:cs="Arial"/>
          <w:color w:val="000000"/>
          <w:u w:val="single"/>
          <w:lang w:val="en-US"/>
        </w:rPr>
        <w:t xml:space="preserve">mg </w:t>
      </w:r>
      <w:r w:rsidRPr="003F729A">
        <w:rPr>
          <w:rFonts w:eastAsia="Times New Roman" w:cs="Arial"/>
          <w:color w:val="000000"/>
          <w:u w:val="single"/>
          <w:lang w:eastAsia="bg-BG"/>
        </w:rPr>
        <w:t>твърди капсули</w:t>
      </w:r>
    </w:p>
    <w:p w14:paraId="393045C9" w14:textId="77777777" w:rsidR="003F729A" w:rsidRPr="003F729A" w:rsidRDefault="003F729A" w:rsidP="003F729A">
      <w:pPr>
        <w:spacing w:line="240" w:lineRule="auto"/>
        <w:rPr>
          <w:rFonts w:eastAsia="Times New Roman" w:cs="Arial"/>
          <w:sz w:val="24"/>
          <w:szCs w:val="24"/>
          <w:lang w:eastAsia="bg-BG"/>
        </w:rPr>
      </w:pPr>
      <w:r w:rsidRPr="003F729A">
        <w:rPr>
          <w:rFonts w:eastAsia="Times New Roman" w:cs="Arial"/>
          <w:color w:val="000000"/>
          <w:lang w:eastAsia="bg-BG"/>
        </w:rPr>
        <w:t xml:space="preserve">Всяка капсула съдържа 12,5 </w:t>
      </w:r>
      <w:r w:rsidRPr="003F729A">
        <w:rPr>
          <w:rFonts w:eastAsia="Times New Roman" w:cs="Arial"/>
          <w:color w:val="000000"/>
          <w:lang w:val="en-US"/>
        </w:rPr>
        <w:t xml:space="preserve">mg </w:t>
      </w:r>
      <w:r w:rsidRPr="003F729A">
        <w:rPr>
          <w:rFonts w:eastAsia="Times New Roman" w:cs="Arial"/>
          <w:color w:val="000000"/>
          <w:lang w:eastAsia="bg-BG"/>
        </w:rPr>
        <w:t xml:space="preserve">сунитиниб </w:t>
      </w:r>
      <w:r w:rsidRPr="003F729A">
        <w:rPr>
          <w:rFonts w:eastAsia="Times New Roman" w:cs="Arial"/>
          <w:i/>
          <w:iCs/>
          <w:color w:val="000000"/>
          <w:lang w:val="en-US"/>
        </w:rPr>
        <w:t>(</w:t>
      </w:r>
      <w:proofErr w:type="spellStart"/>
      <w:r w:rsidRPr="003F729A">
        <w:rPr>
          <w:rFonts w:eastAsia="Times New Roman" w:cs="Arial"/>
          <w:i/>
          <w:iCs/>
          <w:color w:val="000000"/>
          <w:lang w:val="en-US"/>
        </w:rPr>
        <w:t>sunitinib</w:t>
      </w:r>
      <w:proofErr w:type="spellEnd"/>
      <w:r w:rsidRPr="003F729A">
        <w:rPr>
          <w:rFonts w:eastAsia="Times New Roman" w:cs="Arial"/>
          <w:i/>
          <w:iCs/>
          <w:color w:val="000000"/>
          <w:lang w:val="en-US"/>
        </w:rPr>
        <w:t>).</w:t>
      </w:r>
    </w:p>
    <w:p w14:paraId="033BF3AC" w14:textId="77777777" w:rsidR="003F729A" w:rsidRPr="009226FA" w:rsidRDefault="003F729A" w:rsidP="003F729A">
      <w:pPr>
        <w:spacing w:line="240" w:lineRule="auto"/>
        <w:rPr>
          <w:rFonts w:eastAsia="Times New Roman" w:cs="Arial"/>
          <w:color w:val="000000"/>
          <w:u w:val="single"/>
          <w:lang w:eastAsia="bg-BG"/>
        </w:rPr>
      </w:pPr>
    </w:p>
    <w:p w14:paraId="0BF20FEE" w14:textId="278DBA97" w:rsidR="003F729A" w:rsidRPr="003F729A" w:rsidRDefault="003F729A" w:rsidP="003F729A">
      <w:pPr>
        <w:spacing w:line="240" w:lineRule="auto"/>
        <w:rPr>
          <w:rFonts w:eastAsia="Times New Roman" w:cs="Arial"/>
          <w:sz w:val="24"/>
          <w:szCs w:val="24"/>
          <w:lang w:eastAsia="bg-BG"/>
        </w:rPr>
      </w:pPr>
      <w:r w:rsidRPr="003F729A">
        <w:rPr>
          <w:rFonts w:eastAsia="Times New Roman" w:cs="Arial"/>
          <w:color w:val="000000"/>
          <w:u w:val="single"/>
          <w:lang w:eastAsia="bg-BG"/>
        </w:rPr>
        <w:t xml:space="preserve">25 </w:t>
      </w:r>
      <w:r w:rsidRPr="003F729A">
        <w:rPr>
          <w:rFonts w:eastAsia="Times New Roman" w:cs="Arial"/>
          <w:color w:val="000000"/>
          <w:u w:val="single"/>
          <w:lang w:val="en-US"/>
        </w:rPr>
        <w:t xml:space="preserve">mg </w:t>
      </w:r>
      <w:r w:rsidRPr="003F729A">
        <w:rPr>
          <w:rFonts w:eastAsia="Times New Roman" w:cs="Arial"/>
          <w:color w:val="000000"/>
          <w:u w:val="single"/>
          <w:lang w:eastAsia="bg-BG"/>
        </w:rPr>
        <w:t>твърди капсули</w:t>
      </w:r>
    </w:p>
    <w:p w14:paraId="6059E41E" w14:textId="77777777" w:rsidR="003F729A" w:rsidRPr="003F729A" w:rsidRDefault="003F729A" w:rsidP="003F729A">
      <w:pPr>
        <w:spacing w:line="240" w:lineRule="auto"/>
        <w:rPr>
          <w:rFonts w:eastAsia="Times New Roman" w:cs="Arial"/>
          <w:sz w:val="24"/>
          <w:szCs w:val="24"/>
          <w:lang w:eastAsia="bg-BG"/>
        </w:rPr>
      </w:pPr>
      <w:r w:rsidRPr="003F729A">
        <w:rPr>
          <w:rFonts w:eastAsia="Times New Roman" w:cs="Arial"/>
          <w:color w:val="000000"/>
          <w:lang w:eastAsia="bg-BG"/>
        </w:rPr>
        <w:t xml:space="preserve">Всяка капсула съдържа 25 </w:t>
      </w:r>
      <w:r w:rsidRPr="003F729A">
        <w:rPr>
          <w:rFonts w:eastAsia="Times New Roman" w:cs="Arial"/>
          <w:color w:val="000000"/>
          <w:lang w:val="en-US"/>
        </w:rPr>
        <w:t xml:space="preserve">mg </w:t>
      </w:r>
      <w:r w:rsidRPr="003F729A">
        <w:rPr>
          <w:rFonts w:eastAsia="Times New Roman" w:cs="Arial"/>
          <w:color w:val="000000"/>
          <w:lang w:eastAsia="bg-BG"/>
        </w:rPr>
        <w:t xml:space="preserve">сунитиниб </w:t>
      </w:r>
      <w:r w:rsidRPr="003F729A">
        <w:rPr>
          <w:rFonts w:eastAsia="Times New Roman" w:cs="Arial"/>
          <w:i/>
          <w:iCs/>
          <w:color w:val="000000"/>
          <w:lang w:val="en-US"/>
        </w:rPr>
        <w:t>(</w:t>
      </w:r>
      <w:proofErr w:type="spellStart"/>
      <w:r w:rsidRPr="003F729A">
        <w:rPr>
          <w:rFonts w:eastAsia="Times New Roman" w:cs="Arial"/>
          <w:i/>
          <w:iCs/>
          <w:color w:val="000000"/>
          <w:lang w:val="en-US"/>
        </w:rPr>
        <w:t>sunitinib</w:t>
      </w:r>
      <w:proofErr w:type="spellEnd"/>
      <w:r w:rsidRPr="003F729A">
        <w:rPr>
          <w:rFonts w:eastAsia="Times New Roman" w:cs="Arial"/>
          <w:i/>
          <w:iCs/>
          <w:color w:val="000000"/>
          <w:lang w:val="en-US"/>
        </w:rPr>
        <w:t>).</w:t>
      </w:r>
    </w:p>
    <w:p w14:paraId="771624C6" w14:textId="77777777" w:rsidR="003F729A" w:rsidRPr="009226FA" w:rsidRDefault="003F729A" w:rsidP="003F729A">
      <w:pPr>
        <w:spacing w:line="240" w:lineRule="auto"/>
        <w:rPr>
          <w:rFonts w:eastAsia="Times New Roman" w:cs="Arial"/>
          <w:color w:val="000000"/>
          <w:u w:val="single"/>
          <w:lang w:eastAsia="bg-BG"/>
        </w:rPr>
      </w:pPr>
    </w:p>
    <w:p w14:paraId="739137C0" w14:textId="7317E76D" w:rsidR="003F729A" w:rsidRPr="003F729A" w:rsidRDefault="003F729A" w:rsidP="003F729A">
      <w:pPr>
        <w:spacing w:line="240" w:lineRule="auto"/>
        <w:rPr>
          <w:rFonts w:eastAsia="Times New Roman" w:cs="Arial"/>
          <w:sz w:val="24"/>
          <w:szCs w:val="24"/>
          <w:lang w:eastAsia="bg-BG"/>
        </w:rPr>
      </w:pPr>
      <w:r w:rsidRPr="003F729A">
        <w:rPr>
          <w:rFonts w:eastAsia="Times New Roman" w:cs="Arial"/>
          <w:color w:val="000000"/>
          <w:u w:val="single"/>
          <w:lang w:eastAsia="bg-BG"/>
        </w:rPr>
        <w:t xml:space="preserve">50 </w:t>
      </w:r>
      <w:r w:rsidRPr="003F729A">
        <w:rPr>
          <w:rFonts w:eastAsia="Times New Roman" w:cs="Arial"/>
          <w:color w:val="000000"/>
          <w:u w:val="single"/>
          <w:lang w:val="en-US"/>
        </w:rPr>
        <w:t xml:space="preserve">mg </w:t>
      </w:r>
      <w:r w:rsidRPr="003F729A">
        <w:rPr>
          <w:rFonts w:eastAsia="Times New Roman" w:cs="Arial"/>
          <w:color w:val="000000"/>
          <w:u w:val="single"/>
          <w:lang w:eastAsia="bg-BG"/>
        </w:rPr>
        <w:t>твърди капсули</w:t>
      </w:r>
    </w:p>
    <w:p w14:paraId="2514AD53" w14:textId="77777777" w:rsidR="003F729A" w:rsidRPr="003F729A" w:rsidRDefault="003F729A" w:rsidP="003F729A">
      <w:pPr>
        <w:spacing w:line="240" w:lineRule="auto"/>
        <w:rPr>
          <w:rFonts w:eastAsia="Times New Roman" w:cs="Arial"/>
          <w:sz w:val="24"/>
          <w:szCs w:val="24"/>
          <w:lang w:eastAsia="bg-BG"/>
        </w:rPr>
      </w:pPr>
      <w:r w:rsidRPr="003F729A">
        <w:rPr>
          <w:rFonts w:eastAsia="Times New Roman" w:cs="Arial"/>
          <w:color w:val="000000"/>
          <w:lang w:eastAsia="bg-BG"/>
        </w:rPr>
        <w:t xml:space="preserve">Всяка капсула съдържа 50 </w:t>
      </w:r>
      <w:r w:rsidRPr="003F729A">
        <w:rPr>
          <w:rFonts w:eastAsia="Times New Roman" w:cs="Arial"/>
          <w:color w:val="000000"/>
          <w:lang w:val="en-US"/>
        </w:rPr>
        <w:t xml:space="preserve">mg </w:t>
      </w:r>
      <w:r w:rsidRPr="003F729A">
        <w:rPr>
          <w:rFonts w:eastAsia="Times New Roman" w:cs="Arial"/>
          <w:color w:val="000000"/>
          <w:lang w:eastAsia="bg-BG"/>
        </w:rPr>
        <w:t xml:space="preserve">сунитиниб </w:t>
      </w:r>
      <w:r w:rsidRPr="003F729A">
        <w:rPr>
          <w:rFonts w:eastAsia="Times New Roman" w:cs="Arial"/>
          <w:i/>
          <w:iCs/>
          <w:color w:val="000000"/>
          <w:lang w:val="en-US"/>
        </w:rPr>
        <w:t>(</w:t>
      </w:r>
      <w:proofErr w:type="spellStart"/>
      <w:r w:rsidRPr="003F729A">
        <w:rPr>
          <w:rFonts w:eastAsia="Times New Roman" w:cs="Arial"/>
          <w:i/>
          <w:iCs/>
          <w:color w:val="000000"/>
          <w:lang w:val="en-US"/>
        </w:rPr>
        <w:t>sunitinib</w:t>
      </w:r>
      <w:proofErr w:type="spellEnd"/>
      <w:r w:rsidRPr="003F729A">
        <w:rPr>
          <w:rFonts w:eastAsia="Times New Roman" w:cs="Arial"/>
          <w:i/>
          <w:iCs/>
          <w:color w:val="000000"/>
          <w:lang w:val="en-US"/>
        </w:rPr>
        <w:t>).</w:t>
      </w:r>
    </w:p>
    <w:p w14:paraId="4D9BF522" w14:textId="77777777" w:rsidR="003F729A" w:rsidRPr="009226FA" w:rsidRDefault="003F729A" w:rsidP="003F729A">
      <w:pPr>
        <w:rPr>
          <w:rFonts w:eastAsia="Times New Roman" w:cs="Arial"/>
          <w:color w:val="000000"/>
          <w:lang w:eastAsia="bg-BG"/>
        </w:rPr>
      </w:pPr>
    </w:p>
    <w:p w14:paraId="54632B43" w14:textId="2392B0F9" w:rsidR="00EC41ED" w:rsidRPr="009226FA" w:rsidRDefault="003F729A" w:rsidP="003F729A">
      <w:pPr>
        <w:rPr>
          <w:rFonts w:cs="Arial"/>
        </w:rPr>
      </w:pPr>
      <w:r w:rsidRPr="009226FA">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67F9C61D" w:rsidR="0091385D" w:rsidRDefault="0091385D" w:rsidP="0091385D"/>
    <w:p w14:paraId="7E7ECE65" w14:textId="77777777" w:rsidR="003F729A" w:rsidRPr="003F729A" w:rsidRDefault="003F729A" w:rsidP="003F729A">
      <w:pPr>
        <w:spacing w:line="240" w:lineRule="auto"/>
        <w:rPr>
          <w:rFonts w:eastAsia="Times New Roman" w:cs="Arial"/>
          <w:sz w:val="24"/>
          <w:szCs w:val="24"/>
          <w:lang w:eastAsia="bg-BG"/>
        </w:rPr>
      </w:pPr>
      <w:r w:rsidRPr="003F729A">
        <w:rPr>
          <w:rFonts w:eastAsia="Times New Roman" w:cs="Arial"/>
          <w:color w:val="000000"/>
          <w:lang w:eastAsia="bg-BG"/>
        </w:rPr>
        <w:t>Твърда капсула</w:t>
      </w:r>
    </w:p>
    <w:p w14:paraId="2775E5CD" w14:textId="77777777" w:rsidR="003F729A" w:rsidRPr="009226FA" w:rsidRDefault="003F729A" w:rsidP="003F729A">
      <w:pPr>
        <w:spacing w:line="240" w:lineRule="auto"/>
        <w:rPr>
          <w:rFonts w:eastAsia="Times New Roman" w:cs="Arial"/>
          <w:color w:val="000000"/>
          <w:u w:val="single"/>
          <w:lang w:eastAsia="bg-BG"/>
        </w:rPr>
      </w:pPr>
    </w:p>
    <w:p w14:paraId="61C0E6E9" w14:textId="31D08472" w:rsidR="003F729A" w:rsidRPr="003F729A" w:rsidRDefault="003F729A" w:rsidP="003F729A">
      <w:pPr>
        <w:spacing w:line="240" w:lineRule="auto"/>
        <w:rPr>
          <w:rFonts w:eastAsia="Times New Roman" w:cs="Arial"/>
          <w:sz w:val="24"/>
          <w:szCs w:val="24"/>
          <w:lang w:eastAsia="bg-BG"/>
        </w:rPr>
      </w:pPr>
      <w:r w:rsidRPr="003F729A">
        <w:rPr>
          <w:rFonts w:eastAsia="Times New Roman" w:cs="Arial"/>
          <w:color w:val="000000"/>
          <w:u w:val="single"/>
          <w:lang w:eastAsia="bg-BG"/>
        </w:rPr>
        <w:t xml:space="preserve">Сунитиниб Тева 12.5 </w:t>
      </w:r>
      <w:r w:rsidRPr="003F729A">
        <w:rPr>
          <w:rFonts w:eastAsia="Times New Roman" w:cs="Arial"/>
          <w:color w:val="000000"/>
          <w:u w:val="single"/>
          <w:lang w:val="en-US"/>
        </w:rPr>
        <w:t xml:space="preserve">mg </w:t>
      </w:r>
      <w:r w:rsidRPr="003F729A">
        <w:rPr>
          <w:rFonts w:eastAsia="Times New Roman" w:cs="Arial"/>
          <w:color w:val="000000"/>
          <w:u w:val="single"/>
          <w:lang w:eastAsia="bg-BG"/>
        </w:rPr>
        <w:t>твърди капсули</w:t>
      </w:r>
    </w:p>
    <w:p w14:paraId="406759FA" w14:textId="77777777" w:rsidR="003F729A" w:rsidRPr="003F729A" w:rsidRDefault="003F729A" w:rsidP="003F729A">
      <w:pPr>
        <w:spacing w:line="240" w:lineRule="auto"/>
        <w:rPr>
          <w:rFonts w:eastAsia="Times New Roman" w:cs="Arial"/>
          <w:sz w:val="24"/>
          <w:szCs w:val="24"/>
          <w:lang w:eastAsia="bg-BG"/>
        </w:rPr>
      </w:pPr>
      <w:r w:rsidRPr="003F729A">
        <w:rPr>
          <w:rFonts w:eastAsia="Times New Roman" w:cs="Arial"/>
          <w:color w:val="000000"/>
          <w:lang w:eastAsia="bg-BG"/>
        </w:rPr>
        <w:t xml:space="preserve">Твърди желатинови капсули с оранжевочервено непрозрачно капаче и оранжевочервено непрозрачно тяло, с надпис "12,5" отпечатан с черно мастило върху капачето. Всяка капсула е с размер 4 (с обща дължина приблизително 14,2 </w:t>
      </w:r>
      <w:r w:rsidRPr="003F729A">
        <w:rPr>
          <w:rFonts w:eastAsia="Times New Roman" w:cs="Arial"/>
          <w:color w:val="000000"/>
          <w:lang w:val="en-US"/>
        </w:rPr>
        <w:t xml:space="preserve">mm) </w:t>
      </w:r>
      <w:r w:rsidRPr="003F729A">
        <w:rPr>
          <w:rFonts w:eastAsia="Times New Roman" w:cs="Arial"/>
          <w:color w:val="000000"/>
          <w:lang w:eastAsia="bg-BG"/>
        </w:rPr>
        <w:t>и съдържа оранжев гранулиран прах.</w:t>
      </w:r>
    </w:p>
    <w:p w14:paraId="52040831" w14:textId="77777777" w:rsidR="003F729A" w:rsidRPr="009226FA" w:rsidRDefault="003F729A" w:rsidP="003F729A">
      <w:pPr>
        <w:spacing w:line="240" w:lineRule="auto"/>
        <w:rPr>
          <w:rFonts w:eastAsia="Times New Roman" w:cs="Arial"/>
          <w:color w:val="000000"/>
          <w:u w:val="single"/>
          <w:lang w:eastAsia="bg-BG"/>
        </w:rPr>
      </w:pPr>
    </w:p>
    <w:p w14:paraId="57F3A3C9" w14:textId="70FDC1E3" w:rsidR="003F729A" w:rsidRPr="003F729A" w:rsidRDefault="003F729A" w:rsidP="003F729A">
      <w:pPr>
        <w:spacing w:line="240" w:lineRule="auto"/>
        <w:rPr>
          <w:rFonts w:eastAsia="Times New Roman" w:cs="Arial"/>
          <w:sz w:val="24"/>
          <w:szCs w:val="24"/>
          <w:lang w:eastAsia="bg-BG"/>
        </w:rPr>
      </w:pPr>
      <w:r w:rsidRPr="003F729A">
        <w:rPr>
          <w:rFonts w:eastAsia="Times New Roman" w:cs="Arial"/>
          <w:color w:val="000000"/>
          <w:u w:val="single"/>
          <w:lang w:eastAsia="bg-BG"/>
        </w:rPr>
        <w:t xml:space="preserve">Сунитиниб Тева 25 </w:t>
      </w:r>
      <w:r w:rsidRPr="003F729A">
        <w:rPr>
          <w:rFonts w:eastAsia="Times New Roman" w:cs="Arial"/>
          <w:color w:val="000000"/>
          <w:u w:val="single"/>
          <w:lang w:val="en-US"/>
        </w:rPr>
        <w:t xml:space="preserve">mg </w:t>
      </w:r>
      <w:r w:rsidRPr="003F729A">
        <w:rPr>
          <w:rFonts w:eastAsia="Times New Roman" w:cs="Arial"/>
          <w:color w:val="000000"/>
          <w:u w:val="single"/>
          <w:lang w:eastAsia="bg-BG"/>
        </w:rPr>
        <w:t>твърди капсули</w:t>
      </w:r>
    </w:p>
    <w:p w14:paraId="38DF394D" w14:textId="77777777" w:rsidR="003F729A" w:rsidRPr="003F729A" w:rsidRDefault="003F729A" w:rsidP="003F729A">
      <w:pPr>
        <w:spacing w:line="240" w:lineRule="auto"/>
        <w:rPr>
          <w:rFonts w:eastAsia="Times New Roman" w:cs="Arial"/>
          <w:sz w:val="24"/>
          <w:szCs w:val="24"/>
          <w:lang w:eastAsia="bg-BG"/>
        </w:rPr>
      </w:pPr>
      <w:r w:rsidRPr="003F729A">
        <w:rPr>
          <w:rFonts w:eastAsia="Times New Roman" w:cs="Arial"/>
          <w:color w:val="000000"/>
          <w:lang w:eastAsia="bg-BG"/>
        </w:rPr>
        <w:t xml:space="preserve">Твърди желатинови капсули със светлооранжево непрозрачно капаче и оранжевочервено непрозрачно тяло, с надпис "25" отпечатан с черно мастило върху капачето. Всяка капсула е с размер 3 (с обща дължина приблизително 15,8 </w:t>
      </w:r>
      <w:r w:rsidRPr="003F729A">
        <w:rPr>
          <w:rFonts w:eastAsia="Times New Roman" w:cs="Arial"/>
          <w:color w:val="000000"/>
          <w:lang w:val="en-US"/>
        </w:rPr>
        <w:t xml:space="preserve">mm) </w:t>
      </w:r>
      <w:r w:rsidRPr="003F729A">
        <w:rPr>
          <w:rFonts w:eastAsia="Times New Roman" w:cs="Arial"/>
          <w:color w:val="000000"/>
          <w:lang w:eastAsia="bg-BG"/>
        </w:rPr>
        <w:t>и съдържа оранжев гранулиран прах.</w:t>
      </w:r>
    </w:p>
    <w:p w14:paraId="4801782E" w14:textId="77777777" w:rsidR="003F729A" w:rsidRPr="009226FA" w:rsidRDefault="003F729A" w:rsidP="003F729A">
      <w:pPr>
        <w:spacing w:line="240" w:lineRule="auto"/>
        <w:rPr>
          <w:rFonts w:eastAsia="Times New Roman" w:cs="Arial"/>
          <w:color w:val="000000"/>
          <w:u w:val="single"/>
          <w:lang w:eastAsia="bg-BG"/>
        </w:rPr>
      </w:pPr>
    </w:p>
    <w:p w14:paraId="66A60C4C" w14:textId="7FBB1AD6" w:rsidR="003F729A" w:rsidRPr="003F729A" w:rsidRDefault="003F729A" w:rsidP="003F729A">
      <w:pPr>
        <w:spacing w:line="240" w:lineRule="auto"/>
        <w:rPr>
          <w:rFonts w:eastAsia="Times New Roman" w:cs="Arial"/>
          <w:sz w:val="24"/>
          <w:szCs w:val="24"/>
          <w:lang w:eastAsia="bg-BG"/>
        </w:rPr>
      </w:pPr>
      <w:r w:rsidRPr="003F729A">
        <w:rPr>
          <w:rFonts w:eastAsia="Times New Roman" w:cs="Arial"/>
          <w:color w:val="000000"/>
          <w:u w:val="single"/>
          <w:lang w:eastAsia="bg-BG"/>
        </w:rPr>
        <w:t xml:space="preserve">Сунитиниб Тева 50 </w:t>
      </w:r>
      <w:r w:rsidRPr="003F729A">
        <w:rPr>
          <w:rFonts w:eastAsia="Times New Roman" w:cs="Arial"/>
          <w:color w:val="000000"/>
          <w:u w:val="single"/>
          <w:lang w:val="en-US"/>
        </w:rPr>
        <w:t xml:space="preserve">mg </w:t>
      </w:r>
      <w:r w:rsidRPr="003F729A">
        <w:rPr>
          <w:rFonts w:eastAsia="Times New Roman" w:cs="Arial"/>
          <w:color w:val="000000"/>
          <w:u w:val="single"/>
          <w:lang w:eastAsia="bg-BG"/>
        </w:rPr>
        <w:t>твърди капсули</w:t>
      </w:r>
    </w:p>
    <w:p w14:paraId="743244F0" w14:textId="0B32AAD6" w:rsidR="00EC41ED" w:rsidRPr="009226FA" w:rsidRDefault="003F729A" w:rsidP="003F729A">
      <w:pPr>
        <w:rPr>
          <w:rFonts w:cs="Arial"/>
        </w:rPr>
      </w:pPr>
      <w:r w:rsidRPr="009226FA">
        <w:rPr>
          <w:rFonts w:eastAsia="Times New Roman" w:cs="Arial"/>
          <w:color w:val="000000"/>
          <w:lang w:eastAsia="bg-BG"/>
        </w:rPr>
        <w:lastRenderedPageBreak/>
        <w:t xml:space="preserve">Твърди желатинови капсули с непрозрачно светлооранжево капаче и непрозрачно светлооранжево тяло с надпис "50" с черно мастило върху капачето. Всяка капсула е с размер 2 (с обща дължина приблизително 17,6 </w:t>
      </w:r>
      <w:r w:rsidRPr="009226FA">
        <w:rPr>
          <w:rFonts w:eastAsia="Times New Roman" w:cs="Arial"/>
          <w:color w:val="000000"/>
          <w:lang w:val="en-US"/>
        </w:rPr>
        <w:t xml:space="preserve">mm) </w:t>
      </w:r>
      <w:r w:rsidRPr="009226FA">
        <w:rPr>
          <w:rFonts w:eastAsia="Times New Roman" w:cs="Arial"/>
          <w:color w:val="000000"/>
          <w:lang w:eastAsia="bg-BG"/>
        </w:rPr>
        <w:t>и съдържа оранжев гранулиран прах.</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08795FAF" w14:textId="77777777" w:rsidR="003F729A" w:rsidRPr="003F729A" w:rsidRDefault="003F729A" w:rsidP="003F729A">
      <w:pPr>
        <w:spacing w:line="240" w:lineRule="auto"/>
        <w:rPr>
          <w:rFonts w:eastAsia="Times New Roman" w:cs="Arial"/>
          <w:lang w:eastAsia="bg-BG"/>
        </w:rPr>
      </w:pPr>
      <w:r w:rsidRPr="003F729A">
        <w:rPr>
          <w:rFonts w:eastAsia="Times New Roman" w:cs="Arial"/>
          <w:color w:val="000000"/>
          <w:u w:val="single"/>
          <w:lang w:eastAsia="bg-BG"/>
        </w:rPr>
        <w:t>Гастроинтестинален стромален тумор (ГИСТ)</w:t>
      </w:r>
    </w:p>
    <w:p w14:paraId="6DFA4B9D" w14:textId="33587093" w:rsidR="0091385D" w:rsidRPr="009226FA" w:rsidRDefault="003F729A" w:rsidP="003F729A">
      <w:pPr>
        <w:rPr>
          <w:rFonts w:cs="Arial"/>
        </w:rPr>
      </w:pPr>
      <w:r w:rsidRPr="009226FA">
        <w:rPr>
          <w:rFonts w:eastAsia="Times New Roman" w:cs="Arial"/>
          <w:color w:val="000000"/>
          <w:lang w:eastAsia="bg-BG"/>
        </w:rPr>
        <w:t>Сунитиниб Тева е показан за лечението на неоперабилен и/или метастатичен злокачествен гастроинтестинален стромален тумор (ГИСТ) при възрастни, след неуспешно лечение с</w:t>
      </w:r>
      <w:r w:rsidRPr="009226FA">
        <w:rPr>
          <w:rFonts w:eastAsia="Times New Roman" w:cs="Arial"/>
          <w:i/>
          <w:iCs/>
          <w:color w:val="000000"/>
          <w:lang w:eastAsia="bg-BG"/>
        </w:rPr>
        <w:t xml:space="preserve"> </w:t>
      </w:r>
      <w:r w:rsidRPr="009226FA">
        <w:rPr>
          <w:rFonts w:eastAsia="Times New Roman" w:cs="Arial"/>
          <w:color w:val="000000"/>
          <w:lang w:eastAsia="bg-BG"/>
        </w:rPr>
        <w:t>иматиниб, поради резистентност или непоносимост.</w:t>
      </w:r>
    </w:p>
    <w:p w14:paraId="642F56D9" w14:textId="62E3937D" w:rsidR="00EC41ED" w:rsidRPr="009226FA" w:rsidRDefault="00EC41ED" w:rsidP="0091385D">
      <w:pPr>
        <w:rPr>
          <w:rFonts w:cs="Arial"/>
        </w:rPr>
      </w:pPr>
    </w:p>
    <w:p w14:paraId="06B6F1D4" w14:textId="77777777" w:rsidR="003F729A" w:rsidRPr="003F729A" w:rsidRDefault="003F729A" w:rsidP="003F729A">
      <w:pPr>
        <w:spacing w:line="240" w:lineRule="auto"/>
        <w:rPr>
          <w:rFonts w:eastAsia="Times New Roman" w:cs="Arial"/>
          <w:lang w:eastAsia="bg-BG"/>
        </w:rPr>
      </w:pPr>
      <w:r w:rsidRPr="003F729A">
        <w:rPr>
          <w:rFonts w:eastAsia="Times New Roman" w:cs="Arial"/>
          <w:color w:val="000000"/>
          <w:u w:val="single"/>
          <w:lang w:eastAsia="bg-BG"/>
        </w:rPr>
        <w:t>Метастатичен бъбречноклетьчен карцином (МБКК)</w:t>
      </w:r>
    </w:p>
    <w:p w14:paraId="3367F66F" w14:textId="77777777"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Сунитиниб Тева е показан за лечението на напреднал/метастатичен бъбречноклетьчен карцином (МБКК) при възрастни.</w:t>
      </w:r>
    </w:p>
    <w:p w14:paraId="7CED6378" w14:textId="77777777" w:rsidR="003F729A" w:rsidRPr="009226FA" w:rsidRDefault="003F729A" w:rsidP="003F729A">
      <w:pPr>
        <w:spacing w:line="240" w:lineRule="auto"/>
        <w:rPr>
          <w:rFonts w:eastAsia="Times New Roman" w:cs="Arial"/>
          <w:color w:val="000000"/>
          <w:u w:val="single"/>
          <w:lang w:eastAsia="bg-BG"/>
        </w:rPr>
      </w:pPr>
    </w:p>
    <w:p w14:paraId="3665BE71" w14:textId="736ECE4D" w:rsidR="003F729A" w:rsidRPr="003F729A" w:rsidRDefault="003F729A" w:rsidP="003F729A">
      <w:pPr>
        <w:spacing w:line="240" w:lineRule="auto"/>
        <w:rPr>
          <w:rFonts w:eastAsia="Times New Roman" w:cs="Arial"/>
          <w:lang w:eastAsia="bg-BG"/>
        </w:rPr>
      </w:pPr>
      <w:r w:rsidRPr="003F729A">
        <w:rPr>
          <w:rFonts w:eastAsia="Times New Roman" w:cs="Arial"/>
          <w:color w:val="000000"/>
          <w:u w:val="single"/>
          <w:lang w:eastAsia="bg-BG"/>
        </w:rPr>
        <w:t>Панкреатични невроендокринни тумори (ПНЕТ)</w:t>
      </w:r>
    </w:p>
    <w:p w14:paraId="4F9E0551" w14:textId="7847BEC7" w:rsidR="003F729A" w:rsidRPr="009226FA" w:rsidRDefault="003F729A" w:rsidP="003F729A">
      <w:pPr>
        <w:rPr>
          <w:rFonts w:cs="Arial"/>
        </w:rPr>
      </w:pPr>
      <w:r w:rsidRPr="009226FA">
        <w:rPr>
          <w:rFonts w:eastAsia="Times New Roman" w:cs="Arial"/>
          <w:color w:val="000000"/>
          <w:lang w:eastAsia="bg-BG"/>
        </w:rPr>
        <w:t>Сунитиниб Тева е показан за лечението на неоперабилни или метастатични, добре диференцирани панкреатични невроендокринни тумори (ПНЕТ) с прогресия на заболяването при възрастни.</w:t>
      </w:r>
    </w:p>
    <w:p w14:paraId="0F22E7E6" w14:textId="77777777" w:rsidR="003F729A" w:rsidRPr="0091385D" w:rsidRDefault="003F729A" w:rsidP="0091385D"/>
    <w:p w14:paraId="30BE2C7B" w14:textId="3633C1E4" w:rsidR="008134C8" w:rsidRDefault="002C50EE" w:rsidP="004A448E">
      <w:pPr>
        <w:pStyle w:val="Heading2"/>
      </w:pPr>
      <w:r>
        <w:t>4.2. Дозировка и начин на приложение</w:t>
      </w:r>
    </w:p>
    <w:p w14:paraId="7AA22B68" w14:textId="0723B40D" w:rsidR="0091385D" w:rsidRDefault="0091385D" w:rsidP="0091385D"/>
    <w:p w14:paraId="201EFF24" w14:textId="77777777"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Терапията със сунитиниб трябва да бъде предприета от лекар, който има опит в приложението на противоракови лекарствени продукти.</w:t>
      </w:r>
    </w:p>
    <w:p w14:paraId="1EB9CA63" w14:textId="77777777" w:rsidR="003F729A" w:rsidRPr="009226FA" w:rsidRDefault="003F729A" w:rsidP="003F729A">
      <w:pPr>
        <w:spacing w:line="240" w:lineRule="auto"/>
        <w:rPr>
          <w:rFonts w:eastAsia="Times New Roman" w:cs="Arial"/>
          <w:color w:val="000000"/>
          <w:u w:val="single"/>
          <w:lang w:eastAsia="bg-BG"/>
        </w:rPr>
      </w:pPr>
    </w:p>
    <w:p w14:paraId="602EBD6D" w14:textId="76726C83" w:rsidR="003F729A" w:rsidRPr="009226FA" w:rsidRDefault="003F729A" w:rsidP="009226FA">
      <w:pPr>
        <w:pStyle w:val="Heading3"/>
        <w:rPr>
          <w:rFonts w:eastAsia="Times New Roman"/>
          <w:u w:val="single"/>
          <w:lang w:eastAsia="bg-BG"/>
        </w:rPr>
      </w:pPr>
      <w:r w:rsidRPr="009226FA">
        <w:rPr>
          <w:rFonts w:eastAsia="Times New Roman"/>
          <w:u w:val="single"/>
          <w:lang w:eastAsia="bg-BG"/>
        </w:rPr>
        <w:t>Дозировка</w:t>
      </w:r>
    </w:p>
    <w:p w14:paraId="3247F0D9" w14:textId="77777777" w:rsidR="003F729A" w:rsidRPr="009226FA" w:rsidRDefault="003F729A" w:rsidP="003F729A">
      <w:pPr>
        <w:spacing w:line="240" w:lineRule="auto"/>
        <w:rPr>
          <w:rFonts w:eastAsia="Times New Roman" w:cs="Arial"/>
          <w:color w:val="000000"/>
          <w:lang w:eastAsia="bg-BG"/>
        </w:rPr>
      </w:pPr>
    </w:p>
    <w:p w14:paraId="7C25E505" w14:textId="28A73924"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 xml:space="preserve">При ГИСТ и МБКК препоръчителната доза Сунитиниб Тева е 50 </w:t>
      </w:r>
      <w:r w:rsidRPr="003F729A">
        <w:rPr>
          <w:rFonts w:eastAsia="Times New Roman" w:cs="Arial"/>
          <w:color w:val="000000"/>
          <w:lang w:val="en-US"/>
        </w:rPr>
        <w:t xml:space="preserve">mg, </w:t>
      </w:r>
      <w:r w:rsidRPr="003F729A">
        <w:rPr>
          <w:rFonts w:eastAsia="Times New Roman" w:cs="Arial"/>
          <w:color w:val="000000"/>
          <w:lang w:eastAsia="bg-BG"/>
        </w:rPr>
        <w:t>приемана перорално веднъж дневно, в продължение на 4 последователни седмици, последвана от 2-седмична пауза (Схема 4/2), за да се обхване пълен цикъл от 6 седмици.</w:t>
      </w:r>
    </w:p>
    <w:p w14:paraId="707529DB" w14:textId="77777777" w:rsidR="003F729A" w:rsidRPr="009226FA" w:rsidRDefault="003F729A" w:rsidP="003F729A">
      <w:pPr>
        <w:spacing w:line="240" w:lineRule="auto"/>
        <w:rPr>
          <w:rFonts w:eastAsia="Times New Roman" w:cs="Arial"/>
          <w:color w:val="000000"/>
          <w:lang w:eastAsia="bg-BG"/>
        </w:rPr>
      </w:pPr>
    </w:p>
    <w:p w14:paraId="54CFFCA2" w14:textId="2131040D"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 xml:space="preserve">При ПНЕТ препоръчителната доза Сунитиниб Тева е 37,5 </w:t>
      </w:r>
      <w:r w:rsidRPr="003F729A">
        <w:rPr>
          <w:rFonts w:eastAsia="Times New Roman" w:cs="Arial"/>
          <w:color w:val="000000"/>
          <w:lang w:val="en-US"/>
        </w:rPr>
        <w:t xml:space="preserve">mg, </w:t>
      </w:r>
      <w:r w:rsidRPr="003F729A">
        <w:rPr>
          <w:rFonts w:eastAsia="Times New Roman" w:cs="Arial"/>
          <w:color w:val="000000"/>
          <w:lang w:eastAsia="bg-BG"/>
        </w:rPr>
        <w:t>приемана перорално веднъж дневно без период на почивка в схемата.</w:t>
      </w:r>
    </w:p>
    <w:p w14:paraId="673A3497" w14:textId="77777777" w:rsidR="003F729A" w:rsidRPr="009226FA" w:rsidRDefault="003F729A" w:rsidP="003F729A">
      <w:pPr>
        <w:spacing w:line="240" w:lineRule="auto"/>
        <w:rPr>
          <w:rFonts w:eastAsia="Times New Roman" w:cs="Arial"/>
          <w:i/>
          <w:iCs/>
          <w:color w:val="000000"/>
          <w:u w:val="single"/>
          <w:lang w:eastAsia="bg-BG"/>
        </w:rPr>
      </w:pPr>
    </w:p>
    <w:p w14:paraId="4A1BAA98" w14:textId="50805B45" w:rsidR="003F729A" w:rsidRPr="003F729A" w:rsidRDefault="003F729A" w:rsidP="003F729A">
      <w:pPr>
        <w:spacing w:line="240" w:lineRule="auto"/>
        <w:rPr>
          <w:rFonts w:eastAsia="Times New Roman" w:cs="Arial"/>
          <w:lang w:eastAsia="bg-BG"/>
        </w:rPr>
      </w:pPr>
      <w:r w:rsidRPr="003F729A">
        <w:rPr>
          <w:rFonts w:eastAsia="Times New Roman" w:cs="Arial"/>
          <w:i/>
          <w:iCs/>
          <w:color w:val="000000"/>
          <w:u w:val="single"/>
          <w:lang w:eastAsia="bg-BG"/>
        </w:rPr>
        <w:t>Адаптиране на дозата</w:t>
      </w:r>
    </w:p>
    <w:p w14:paraId="0E4E8C8B" w14:textId="77777777" w:rsidR="003F729A" w:rsidRPr="009226FA" w:rsidRDefault="003F729A" w:rsidP="003F729A">
      <w:pPr>
        <w:spacing w:line="240" w:lineRule="auto"/>
        <w:rPr>
          <w:rFonts w:eastAsia="Times New Roman" w:cs="Arial"/>
          <w:i/>
          <w:iCs/>
          <w:color w:val="000000"/>
          <w:lang w:eastAsia="bg-BG"/>
        </w:rPr>
      </w:pPr>
    </w:p>
    <w:p w14:paraId="226C5799" w14:textId="3F006C7B" w:rsidR="003F729A" w:rsidRPr="003F729A" w:rsidRDefault="003F729A" w:rsidP="003F729A">
      <w:pPr>
        <w:spacing w:line="240" w:lineRule="auto"/>
        <w:rPr>
          <w:rFonts w:eastAsia="Times New Roman" w:cs="Arial"/>
          <w:lang w:eastAsia="bg-BG"/>
        </w:rPr>
      </w:pPr>
      <w:r w:rsidRPr="003F729A">
        <w:rPr>
          <w:rFonts w:eastAsia="Times New Roman" w:cs="Arial"/>
          <w:i/>
          <w:iCs/>
          <w:color w:val="000000"/>
          <w:lang w:eastAsia="bg-BG"/>
        </w:rPr>
        <w:t>Безопасност и поносимост</w:t>
      </w:r>
    </w:p>
    <w:p w14:paraId="31693BE9" w14:textId="0CEF7559"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 xml:space="preserve">При ГИСТ и МБКК въз основа на индивидуалната безопасност и поносимост, може да бъде приложено модифициране на дозата на стъпки от 12,5 </w:t>
      </w:r>
      <w:r w:rsidRPr="003F729A">
        <w:rPr>
          <w:rFonts w:eastAsia="Times New Roman" w:cs="Arial"/>
          <w:color w:val="000000"/>
          <w:lang w:val="en-US"/>
        </w:rPr>
        <w:t xml:space="preserve">mg. </w:t>
      </w:r>
      <w:r w:rsidRPr="003F729A">
        <w:rPr>
          <w:rFonts w:eastAsia="Times New Roman" w:cs="Arial"/>
          <w:color w:val="000000"/>
          <w:lang w:eastAsia="bg-BG"/>
        </w:rPr>
        <w:t xml:space="preserve">Дневната доза не трябва да надвишава 75 </w:t>
      </w:r>
      <w:r w:rsidRPr="003F729A">
        <w:rPr>
          <w:rFonts w:eastAsia="Times New Roman" w:cs="Arial"/>
          <w:color w:val="000000"/>
          <w:lang w:val="en-US"/>
        </w:rPr>
        <w:t xml:space="preserve">mg, </w:t>
      </w:r>
      <w:r w:rsidRPr="003F729A">
        <w:rPr>
          <w:rFonts w:eastAsia="Times New Roman" w:cs="Arial"/>
          <w:color w:val="000000"/>
          <w:lang w:eastAsia="bg-BG"/>
        </w:rPr>
        <w:t xml:space="preserve">нито да бъде понижавана под 25 </w:t>
      </w:r>
      <w:r w:rsidRPr="003F729A">
        <w:rPr>
          <w:rFonts w:eastAsia="Times New Roman" w:cs="Arial"/>
          <w:color w:val="000000"/>
          <w:lang w:val="en-US"/>
        </w:rPr>
        <w:t>mg.</w:t>
      </w:r>
    </w:p>
    <w:p w14:paraId="4AA508A8" w14:textId="77777777" w:rsidR="003F729A" w:rsidRPr="009226FA" w:rsidRDefault="003F729A" w:rsidP="003F729A">
      <w:pPr>
        <w:spacing w:line="240" w:lineRule="auto"/>
        <w:rPr>
          <w:rFonts w:eastAsia="Times New Roman" w:cs="Arial"/>
          <w:color w:val="000000"/>
          <w:lang w:eastAsia="bg-BG"/>
        </w:rPr>
      </w:pPr>
    </w:p>
    <w:p w14:paraId="2D2C1D62" w14:textId="7C9DBE93"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 xml:space="preserve">При ПНЕТ въз основа на индивидуалната безопасност и поносимост може да бъде приложено модифициране на дозата на стъпки от 12,5 </w:t>
      </w:r>
      <w:r w:rsidRPr="003F729A">
        <w:rPr>
          <w:rFonts w:eastAsia="Times New Roman" w:cs="Arial"/>
          <w:color w:val="000000"/>
          <w:lang w:val="en-US"/>
        </w:rPr>
        <w:t xml:space="preserve">mg. </w:t>
      </w:r>
      <w:r w:rsidRPr="003F729A">
        <w:rPr>
          <w:rFonts w:eastAsia="Times New Roman" w:cs="Arial"/>
          <w:color w:val="000000"/>
          <w:lang w:eastAsia="bg-BG"/>
        </w:rPr>
        <w:t xml:space="preserve">Максималната доза, прилагана по време на ПНЕТ проучването фаза 3 е била 50 </w:t>
      </w:r>
      <w:r w:rsidRPr="003F729A">
        <w:rPr>
          <w:rFonts w:eastAsia="Times New Roman" w:cs="Arial"/>
          <w:color w:val="000000"/>
          <w:lang w:val="en-US"/>
        </w:rPr>
        <w:t xml:space="preserve">mg </w:t>
      </w:r>
      <w:r w:rsidRPr="003F729A">
        <w:rPr>
          <w:rFonts w:eastAsia="Times New Roman" w:cs="Arial"/>
          <w:color w:val="000000"/>
          <w:lang w:eastAsia="bg-BG"/>
        </w:rPr>
        <w:t>дневно.</w:t>
      </w:r>
    </w:p>
    <w:p w14:paraId="02FE9B70" w14:textId="77777777" w:rsidR="003F729A" w:rsidRPr="009226FA" w:rsidRDefault="003F729A" w:rsidP="003F729A">
      <w:pPr>
        <w:spacing w:line="240" w:lineRule="auto"/>
        <w:rPr>
          <w:rFonts w:eastAsia="Times New Roman" w:cs="Arial"/>
          <w:color w:val="000000"/>
          <w:lang w:eastAsia="bg-BG"/>
        </w:rPr>
      </w:pPr>
    </w:p>
    <w:p w14:paraId="106FF3E0" w14:textId="026BF765"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lastRenderedPageBreak/>
        <w:t>Прекъсвания в прилагането могат да се наложат въз основа на индивидуалната безопасност и поносимост.</w:t>
      </w:r>
    </w:p>
    <w:p w14:paraId="04C48697" w14:textId="77777777" w:rsidR="003F729A" w:rsidRPr="009226FA" w:rsidRDefault="003F729A" w:rsidP="003F729A">
      <w:pPr>
        <w:spacing w:line="240" w:lineRule="auto"/>
        <w:rPr>
          <w:rFonts w:eastAsia="Times New Roman" w:cs="Arial"/>
          <w:i/>
          <w:iCs/>
          <w:color w:val="000000"/>
          <w:lang w:val="en-US"/>
        </w:rPr>
      </w:pPr>
    </w:p>
    <w:p w14:paraId="31EB7F7D" w14:textId="68B86340" w:rsidR="003F729A" w:rsidRPr="003F729A" w:rsidRDefault="003F729A" w:rsidP="003F729A">
      <w:pPr>
        <w:spacing w:line="240" w:lineRule="auto"/>
        <w:rPr>
          <w:rFonts w:eastAsia="Times New Roman" w:cs="Arial"/>
          <w:lang w:eastAsia="bg-BG"/>
        </w:rPr>
      </w:pPr>
      <w:r w:rsidRPr="003F729A">
        <w:rPr>
          <w:rFonts w:eastAsia="Times New Roman" w:cs="Arial"/>
          <w:i/>
          <w:iCs/>
          <w:color w:val="000000"/>
          <w:lang w:val="en-US"/>
        </w:rPr>
        <w:t xml:space="preserve">CYP3A4 </w:t>
      </w:r>
      <w:r w:rsidRPr="003F729A">
        <w:rPr>
          <w:rFonts w:eastAsia="Times New Roman" w:cs="Arial"/>
          <w:i/>
          <w:iCs/>
          <w:color w:val="000000"/>
          <w:lang w:eastAsia="bg-BG"/>
        </w:rPr>
        <w:t>инхибитори/индуктори</w:t>
      </w:r>
    </w:p>
    <w:p w14:paraId="3286B135" w14:textId="77777777"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 xml:space="preserve">Едновременно приложение на сунитиниб с мощни индуктори на </w:t>
      </w:r>
      <w:r w:rsidRPr="003F729A">
        <w:rPr>
          <w:rFonts w:eastAsia="Times New Roman" w:cs="Arial"/>
          <w:color w:val="000000"/>
          <w:lang w:val="en-US"/>
        </w:rPr>
        <w:t xml:space="preserve">CYP3A4 </w:t>
      </w:r>
      <w:r w:rsidRPr="003F729A">
        <w:rPr>
          <w:rFonts w:eastAsia="Times New Roman" w:cs="Arial"/>
          <w:color w:val="000000"/>
          <w:lang w:eastAsia="bg-BG"/>
        </w:rPr>
        <w:t xml:space="preserve">като рифампицин трябва да се избягва (вж. точки 4.4 и 4.5). Ако това не е възможно, може да бъде необходимо дозата на сунитиниб да се повиши със стъпки от 12,5 </w:t>
      </w:r>
      <w:r w:rsidRPr="003F729A">
        <w:rPr>
          <w:rFonts w:eastAsia="Times New Roman" w:cs="Arial"/>
          <w:color w:val="000000"/>
          <w:lang w:val="en-US"/>
        </w:rPr>
        <w:t xml:space="preserve">mg </w:t>
      </w:r>
      <w:r w:rsidRPr="003F729A">
        <w:rPr>
          <w:rFonts w:eastAsia="Times New Roman" w:cs="Arial"/>
          <w:color w:val="000000"/>
          <w:lang w:eastAsia="bg-BG"/>
        </w:rPr>
        <w:t xml:space="preserve">(до 87,5 </w:t>
      </w:r>
      <w:r w:rsidRPr="003F729A">
        <w:rPr>
          <w:rFonts w:eastAsia="Times New Roman" w:cs="Arial"/>
          <w:color w:val="000000"/>
          <w:lang w:val="en-US"/>
        </w:rPr>
        <w:t xml:space="preserve">mg </w:t>
      </w:r>
      <w:r w:rsidRPr="003F729A">
        <w:rPr>
          <w:rFonts w:eastAsia="Times New Roman" w:cs="Arial"/>
          <w:color w:val="000000"/>
          <w:lang w:eastAsia="bg-BG"/>
        </w:rPr>
        <w:t xml:space="preserve">на ден при ГИСТ и МБКК или 62,5 </w:t>
      </w:r>
      <w:r w:rsidRPr="003F729A">
        <w:rPr>
          <w:rFonts w:eastAsia="Times New Roman" w:cs="Arial"/>
          <w:color w:val="000000"/>
          <w:lang w:val="en-US"/>
        </w:rPr>
        <w:t xml:space="preserve">mg </w:t>
      </w:r>
      <w:r w:rsidRPr="003F729A">
        <w:rPr>
          <w:rFonts w:eastAsia="Times New Roman" w:cs="Arial"/>
          <w:color w:val="000000"/>
          <w:lang w:eastAsia="bg-BG"/>
        </w:rPr>
        <w:t>на ден при ПНЕТ) при внимателно наблюдение на поносимостга.</w:t>
      </w:r>
    </w:p>
    <w:p w14:paraId="1B9CC82F" w14:textId="77777777" w:rsidR="003F729A" w:rsidRPr="009226FA" w:rsidRDefault="003F729A" w:rsidP="003F729A">
      <w:pPr>
        <w:spacing w:line="240" w:lineRule="auto"/>
        <w:rPr>
          <w:rFonts w:eastAsia="Times New Roman" w:cs="Arial"/>
          <w:color w:val="000000"/>
          <w:lang w:eastAsia="bg-BG"/>
        </w:rPr>
      </w:pPr>
    </w:p>
    <w:p w14:paraId="74490D13" w14:textId="679D60F0"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 xml:space="preserve">Едновременно приложение на сунитиниб с мощни инхибитори на </w:t>
      </w:r>
      <w:r w:rsidRPr="003F729A">
        <w:rPr>
          <w:rFonts w:eastAsia="Times New Roman" w:cs="Arial"/>
          <w:color w:val="000000"/>
          <w:lang w:val="en-US"/>
        </w:rPr>
        <w:t xml:space="preserve">CYP3A4 </w:t>
      </w:r>
      <w:r w:rsidRPr="003F729A">
        <w:rPr>
          <w:rFonts w:eastAsia="Times New Roman" w:cs="Arial"/>
          <w:color w:val="000000"/>
          <w:lang w:eastAsia="bg-BG"/>
        </w:rPr>
        <w:t xml:space="preserve">като кетоконазол трябва да се избягва (вж. точки 4.4 и 4.5). Ако това не е възможно, може да е необходимо дозата на сунитиниб да се понижи до минимума от 37,5 </w:t>
      </w:r>
      <w:r w:rsidRPr="003F729A">
        <w:rPr>
          <w:rFonts w:eastAsia="Times New Roman" w:cs="Arial"/>
          <w:color w:val="000000"/>
          <w:lang w:val="en-US"/>
        </w:rPr>
        <w:t xml:space="preserve">mg </w:t>
      </w:r>
      <w:r w:rsidRPr="003F729A">
        <w:rPr>
          <w:rFonts w:eastAsia="Times New Roman" w:cs="Arial"/>
          <w:color w:val="000000"/>
          <w:lang w:eastAsia="bg-BG"/>
        </w:rPr>
        <w:t xml:space="preserve">дневно при ГИСТ и МБКК или 25 </w:t>
      </w:r>
      <w:r w:rsidRPr="003F729A">
        <w:rPr>
          <w:rFonts w:eastAsia="Times New Roman" w:cs="Arial"/>
          <w:color w:val="000000"/>
          <w:lang w:val="en-US"/>
        </w:rPr>
        <w:t xml:space="preserve">mg </w:t>
      </w:r>
      <w:r w:rsidRPr="003F729A">
        <w:rPr>
          <w:rFonts w:eastAsia="Times New Roman" w:cs="Arial"/>
          <w:color w:val="000000"/>
          <w:lang w:eastAsia="bg-BG"/>
        </w:rPr>
        <w:t>дневно при ПНЕТ при внимателно наблюдение на поносимостга.</w:t>
      </w:r>
    </w:p>
    <w:p w14:paraId="4D664622" w14:textId="77777777" w:rsidR="003F729A" w:rsidRPr="009226FA" w:rsidRDefault="003F729A" w:rsidP="003F729A">
      <w:pPr>
        <w:rPr>
          <w:rFonts w:eastAsia="Times New Roman" w:cs="Arial"/>
          <w:color w:val="000000"/>
          <w:lang w:eastAsia="bg-BG"/>
        </w:rPr>
      </w:pPr>
    </w:p>
    <w:p w14:paraId="7FBF1BCE" w14:textId="397B61DE" w:rsidR="00EC41ED" w:rsidRPr="009226FA" w:rsidRDefault="003F729A" w:rsidP="003F729A">
      <w:pPr>
        <w:rPr>
          <w:rFonts w:cs="Arial"/>
        </w:rPr>
      </w:pPr>
      <w:r w:rsidRPr="009226FA">
        <w:rPr>
          <w:rFonts w:eastAsia="Times New Roman" w:cs="Arial"/>
          <w:color w:val="000000"/>
          <w:lang w:eastAsia="bg-BG"/>
        </w:rPr>
        <w:t xml:space="preserve">Трябва да се има предвид изборът на алтернативен съпътстващ лекарствен продукт, който няма или е с минимална способност да индуцира или инхибира </w:t>
      </w:r>
      <w:r w:rsidRPr="009226FA">
        <w:rPr>
          <w:rFonts w:eastAsia="Times New Roman" w:cs="Arial"/>
          <w:color w:val="000000"/>
          <w:lang w:val="en-US"/>
        </w:rPr>
        <w:t>CYP3A4.</w:t>
      </w:r>
    </w:p>
    <w:p w14:paraId="132F3111" w14:textId="597599DE" w:rsidR="005B0F27" w:rsidRPr="009226FA" w:rsidRDefault="005B0F27" w:rsidP="0091385D">
      <w:pPr>
        <w:rPr>
          <w:rFonts w:cs="Arial"/>
        </w:rPr>
      </w:pPr>
    </w:p>
    <w:p w14:paraId="5F558E76" w14:textId="77777777" w:rsidR="003F729A" w:rsidRPr="003F729A" w:rsidRDefault="003F729A" w:rsidP="003F729A">
      <w:pPr>
        <w:spacing w:line="240" w:lineRule="auto"/>
        <w:rPr>
          <w:rFonts w:eastAsia="Times New Roman" w:cs="Arial"/>
          <w:lang w:eastAsia="bg-BG"/>
        </w:rPr>
      </w:pPr>
      <w:r w:rsidRPr="003F729A">
        <w:rPr>
          <w:rFonts w:eastAsia="Times New Roman" w:cs="Arial"/>
          <w:color w:val="000000"/>
          <w:u w:val="single"/>
          <w:lang w:eastAsia="bg-BG"/>
        </w:rPr>
        <w:t>Специални популации</w:t>
      </w:r>
    </w:p>
    <w:p w14:paraId="372C564D" w14:textId="77777777" w:rsidR="003F729A" w:rsidRPr="009226FA" w:rsidRDefault="003F729A" w:rsidP="003F729A">
      <w:pPr>
        <w:spacing w:line="240" w:lineRule="auto"/>
        <w:rPr>
          <w:rFonts w:eastAsia="Times New Roman" w:cs="Arial"/>
          <w:i/>
          <w:iCs/>
          <w:color w:val="000000"/>
          <w:u w:val="single"/>
          <w:lang w:eastAsia="bg-BG"/>
        </w:rPr>
      </w:pPr>
    </w:p>
    <w:p w14:paraId="70473B2D" w14:textId="7272BF93" w:rsidR="003F729A" w:rsidRPr="003F729A" w:rsidRDefault="003F729A" w:rsidP="003F729A">
      <w:pPr>
        <w:spacing w:line="240" w:lineRule="auto"/>
        <w:rPr>
          <w:rFonts w:eastAsia="Times New Roman" w:cs="Arial"/>
          <w:lang w:eastAsia="bg-BG"/>
        </w:rPr>
      </w:pPr>
      <w:r w:rsidRPr="003F729A">
        <w:rPr>
          <w:rFonts w:eastAsia="Times New Roman" w:cs="Arial"/>
          <w:i/>
          <w:iCs/>
          <w:color w:val="000000"/>
          <w:u w:val="single"/>
          <w:lang w:eastAsia="bg-BG"/>
        </w:rPr>
        <w:t>Педиатрична популация</w:t>
      </w:r>
    </w:p>
    <w:p w14:paraId="77B62647" w14:textId="77777777"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Безопасността и ефикасността на сунитиниб при пациенти под 18-годишна възраст не са установени. Наличните понастоящем данни са описани в точки 4.8, 5.1 и 5.2, но препоръка за дозировката не може да бъде направена.</w:t>
      </w:r>
    </w:p>
    <w:p w14:paraId="0D6B8FA7" w14:textId="77777777" w:rsidR="003F729A" w:rsidRPr="009226FA" w:rsidRDefault="003F729A" w:rsidP="003F729A">
      <w:pPr>
        <w:spacing w:line="240" w:lineRule="auto"/>
        <w:rPr>
          <w:rFonts w:eastAsia="Times New Roman" w:cs="Arial"/>
          <w:i/>
          <w:iCs/>
          <w:color w:val="000000"/>
          <w:u w:val="single"/>
          <w:lang w:eastAsia="bg-BG"/>
        </w:rPr>
      </w:pPr>
    </w:p>
    <w:p w14:paraId="21E77897" w14:textId="62AFCD80" w:rsidR="003F729A" w:rsidRPr="003F729A" w:rsidRDefault="003F729A" w:rsidP="003F729A">
      <w:pPr>
        <w:spacing w:line="240" w:lineRule="auto"/>
        <w:rPr>
          <w:rFonts w:eastAsia="Times New Roman" w:cs="Arial"/>
          <w:lang w:eastAsia="bg-BG"/>
        </w:rPr>
      </w:pPr>
      <w:r w:rsidRPr="003F729A">
        <w:rPr>
          <w:rFonts w:eastAsia="Times New Roman" w:cs="Arial"/>
          <w:i/>
          <w:iCs/>
          <w:color w:val="000000"/>
          <w:u w:val="single"/>
          <w:lang w:eastAsia="bg-BG"/>
        </w:rPr>
        <w:t>Старческа възраст</w:t>
      </w:r>
    </w:p>
    <w:p w14:paraId="480A0A01" w14:textId="77777777"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Около една трета от пациентите в клиничните проучвания, които са приемали сунитиниб са били на 65 или повече години. Не са установени значими различия в безопасността или ефикасността между по-млади и по-възрастни пациенти.</w:t>
      </w:r>
    </w:p>
    <w:p w14:paraId="62FB6DCA" w14:textId="77777777" w:rsidR="003F729A" w:rsidRPr="009226FA" w:rsidRDefault="003F729A" w:rsidP="003F729A">
      <w:pPr>
        <w:spacing w:line="240" w:lineRule="auto"/>
        <w:rPr>
          <w:rFonts w:eastAsia="Times New Roman" w:cs="Arial"/>
          <w:i/>
          <w:iCs/>
          <w:color w:val="000000"/>
          <w:u w:val="single"/>
          <w:lang w:eastAsia="bg-BG"/>
        </w:rPr>
      </w:pPr>
    </w:p>
    <w:p w14:paraId="442E9756" w14:textId="1A023D6E" w:rsidR="003F729A" w:rsidRPr="003F729A" w:rsidRDefault="003F729A" w:rsidP="003F729A">
      <w:pPr>
        <w:spacing w:line="240" w:lineRule="auto"/>
        <w:rPr>
          <w:rFonts w:eastAsia="Times New Roman" w:cs="Arial"/>
          <w:lang w:eastAsia="bg-BG"/>
        </w:rPr>
      </w:pPr>
      <w:r w:rsidRPr="003F729A">
        <w:rPr>
          <w:rFonts w:eastAsia="Times New Roman" w:cs="Arial"/>
          <w:i/>
          <w:iCs/>
          <w:color w:val="000000"/>
          <w:u w:val="single"/>
          <w:lang w:eastAsia="bg-BG"/>
        </w:rPr>
        <w:t>Чернодробно увреждане</w:t>
      </w:r>
    </w:p>
    <w:p w14:paraId="4A70A950" w14:textId="77777777"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 xml:space="preserve">Не се препоръчва адаптиране на началната доза, когато сунитиниб се прилага на пациенти с леко до умерено чернодробно увреждане </w:t>
      </w:r>
      <w:r w:rsidRPr="003F729A">
        <w:rPr>
          <w:rFonts w:eastAsia="Times New Roman" w:cs="Arial"/>
          <w:color w:val="000000"/>
          <w:lang w:val="en-US"/>
        </w:rPr>
        <w:t xml:space="preserve">(Child-Pugh </w:t>
      </w:r>
      <w:r w:rsidRPr="003F729A">
        <w:rPr>
          <w:rFonts w:eastAsia="Times New Roman" w:cs="Arial"/>
          <w:color w:val="000000"/>
          <w:lang w:eastAsia="bg-BG"/>
        </w:rPr>
        <w:t xml:space="preserve">Клас А и В). Сунитиниб не е проучван при лица с тежко </w:t>
      </w:r>
      <w:r w:rsidRPr="003F729A">
        <w:rPr>
          <w:rFonts w:eastAsia="Times New Roman" w:cs="Arial"/>
          <w:color w:val="000000"/>
          <w:lang w:val="en-US"/>
        </w:rPr>
        <w:t xml:space="preserve">(Child-Pugh </w:t>
      </w:r>
      <w:r w:rsidRPr="003F729A">
        <w:rPr>
          <w:rFonts w:eastAsia="Times New Roman" w:cs="Arial"/>
          <w:color w:val="000000"/>
          <w:lang w:eastAsia="bg-BG"/>
        </w:rPr>
        <w:t>Клас С) чернодробно увреждане, поради което приложението му при пациенти с тежко чернодробно увреждане не може да бъде препоръчано (вж. точка 5.2).</w:t>
      </w:r>
    </w:p>
    <w:p w14:paraId="1F339C5C" w14:textId="77777777" w:rsidR="003F729A" w:rsidRPr="009226FA" w:rsidRDefault="003F729A" w:rsidP="003F729A">
      <w:pPr>
        <w:spacing w:line="240" w:lineRule="auto"/>
        <w:rPr>
          <w:rFonts w:eastAsia="Times New Roman" w:cs="Arial"/>
          <w:i/>
          <w:iCs/>
          <w:color w:val="000000"/>
          <w:u w:val="single"/>
          <w:lang w:eastAsia="bg-BG"/>
        </w:rPr>
      </w:pPr>
    </w:p>
    <w:p w14:paraId="5F1C518E" w14:textId="4CC791DD" w:rsidR="003F729A" w:rsidRPr="003F729A" w:rsidRDefault="003F729A" w:rsidP="003F729A">
      <w:pPr>
        <w:spacing w:line="240" w:lineRule="auto"/>
        <w:rPr>
          <w:rFonts w:eastAsia="Times New Roman" w:cs="Arial"/>
          <w:lang w:eastAsia="bg-BG"/>
        </w:rPr>
      </w:pPr>
      <w:r w:rsidRPr="003F729A">
        <w:rPr>
          <w:rFonts w:eastAsia="Times New Roman" w:cs="Arial"/>
          <w:i/>
          <w:iCs/>
          <w:color w:val="000000"/>
          <w:u w:val="single"/>
          <w:lang w:eastAsia="bg-BG"/>
        </w:rPr>
        <w:t>Бъбречно увреждане</w:t>
      </w:r>
    </w:p>
    <w:p w14:paraId="5C719937" w14:textId="77777777"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Не се налага адаптиране на началната доза, когато сунитиниб се прилага на пациенти с бъбречно увреждане (от леко до тежко) или с терминална бъбречна недостатъчност (ТБН), които са на хемодиализа. Последващо адаптиране на дозата трябва да се основава на индивидуалната безопасност и поносимост (вж. точка 5.2).</w:t>
      </w:r>
    </w:p>
    <w:p w14:paraId="5E85C446" w14:textId="77777777" w:rsidR="003F729A" w:rsidRPr="009226FA" w:rsidRDefault="003F729A" w:rsidP="003F729A">
      <w:pPr>
        <w:spacing w:line="240" w:lineRule="auto"/>
        <w:rPr>
          <w:rFonts w:eastAsia="Times New Roman" w:cs="Arial"/>
          <w:color w:val="000000"/>
          <w:u w:val="single"/>
          <w:lang w:eastAsia="bg-BG"/>
        </w:rPr>
      </w:pPr>
    </w:p>
    <w:p w14:paraId="0D0FAAA6" w14:textId="0CEF9723" w:rsidR="003F729A" w:rsidRPr="009226FA" w:rsidRDefault="003F729A" w:rsidP="009226FA">
      <w:pPr>
        <w:pStyle w:val="Heading3"/>
        <w:rPr>
          <w:rFonts w:eastAsia="Times New Roman"/>
          <w:u w:val="single"/>
          <w:lang w:eastAsia="bg-BG"/>
        </w:rPr>
      </w:pPr>
      <w:r w:rsidRPr="009226FA">
        <w:rPr>
          <w:rFonts w:eastAsia="Times New Roman"/>
          <w:u w:val="single"/>
          <w:lang w:eastAsia="bg-BG"/>
        </w:rPr>
        <w:t>Начин на приложение</w:t>
      </w:r>
    </w:p>
    <w:p w14:paraId="2D1269B6" w14:textId="77777777"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Сунитиниб Тева е предназначен за перорално приложение. Той може да се приема със или без храна.</w:t>
      </w:r>
    </w:p>
    <w:p w14:paraId="0BB07E72" w14:textId="77777777" w:rsidR="003F729A" w:rsidRPr="009226FA" w:rsidRDefault="003F729A" w:rsidP="003F729A">
      <w:pPr>
        <w:rPr>
          <w:rFonts w:eastAsia="Times New Roman" w:cs="Arial"/>
          <w:color w:val="000000"/>
          <w:lang w:eastAsia="bg-BG"/>
        </w:rPr>
      </w:pPr>
    </w:p>
    <w:p w14:paraId="0F9CBEE1" w14:textId="3FF095D2" w:rsidR="003F729A" w:rsidRPr="009226FA" w:rsidRDefault="003F729A" w:rsidP="003F729A">
      <w:pPr>
        <w:rPr>
          <w:rFonts w:cs="Arial"/>
        </w:rPr>
      </w:pPr>
      <w:r w:rsidRPr="009226FA">
        <w:rPr>
          <w:rFonts w:eastAsia="Times New Roman" w:cs="Arial"/>
          <w:color w:val="000000"/>
          <w:lang w:eastAsia="bg-BG"/>
        </w:rPr>
        <w:t>Ако се пропусне доза, на пациента не трябва да се дава допълнителна доза. Пациентът трябва да приеме обичайната предписана доза на следващия ден.</w:t>
      </w:r>
    </w:p>
    <w:p w14:paraId="1D72A267" w14:textId="77777777" w:rsidR="003F729A" w:rsidRPr="0091385D" w:rsidRDefault="003F729A" w:rsidP="0091385D"/>
    <w:p w14:paraId="28C984E8" w14:textId="0756AE28" w:rsidR="008134C8" w:rsidRDefault="002C50EE" w:rsidP="004A448E">
      <w:pPr>
        <w:pStyle w:val="Heading2"/>
      </w:pPr>
      <w:r>
        <w:lastRenderedPageBreak/>
        <w:t>4.3. Противопоказания</w:t>
      </w:r>
    </w:p>
    <w:p w14:paraId="2363D607" w14:textId="619A99CE" w:rsidR="0091385D" w:rsidRDefault="0091385D" w:rsidP="0091385D"/>
    <w:p w14:paraId="030B6A4D" w14:textId="2C5D7877" w:rsidR="00EC41ED" w:rsidRDefault="003F729A" w:rsidP="0091385D">
      <w:r>
        <w:t>Свръхчувствителност към активното вещество или към някое от помощните вещества, изброени в точка 6.1.</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1E0703C7" w:rsidR="0091385D" w:rsidRDefault="0091385D" w:rsidP="0091385D"/>
    <w:p w14:paraId="4D5543DD" w14:textId="77777777"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 xml:space="preserve">Едновременно приложение с мощни индуктори на </w:t>
      </w:r>
      <w:r w:rsidRPr="003F729A">
        <w:rPr>
          <w:rFonts w:eastAsia="Times New Roman" w:cs="Arial"/>
          <w:color w:val="000000"/>
          <w:lang w:val="en-US"/>
        </w:rPr>
        <w:t xml:space="preserve">CYP3A4 </w:t>
      </w:r>
      <w:r w:rsidRPr="003F729A">
        <w:rPr>
          <w:rFonts w:eastAsia="Times New Roman" w:cs="Arial"/>
          <w:color w:val="000000"/>
          <w:lang w:eastAsia="bg-BG"/>
        </w:rPr>
        <w:t>трябва да се избягва, тъй като може да понижи плазмените концентрации на сунитиниб (вж. точки 4.2 и 4.5).</w:t>
      </w:r>
    </w:p>
    <w:p w14:paraId="62D4FDA8" w14:textId="77777777" w:rsidR="003F729A" w:rsidRPr="009226FA" w:rsidRDefault="003F729A" w:rsidP="003F729A">
      <w:pPr>
        <w:spacing w:line="240" w:lineRule="auto"/>
        <w:rPr>
          <w:rFonts w:eastAsia="Times New Roman" w:cs="Arial"/>
          <w:color w:val="000000"/>
          <w:lang w:eastAsia="bg-BG"/>
        </w:rPr>
      </w:pPr>
    </w:p>
    <w:p w14:paraId="5B194A7A" w14:textId="231474E3"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 xml:space="preserve">Едновременно приложение с мощни инхибитори на </w:t>
      </w:r>
      <w:r w:rsidRPr="003F729A">
        <w:rPr>
          <w:rFonts w:eastAsia="Times New Roman" w:cs="Arial"/>
          <w:color w:val="000000"/>
          <w:lang w:val="en-US"/>
        </w:rPr>
        <w:t xml:space="preserve">CYP3A4 </w:t>
      </w:r>
      <w:r w:rsidRPr="003F729A">
        <w:rPr>
          <w:rFonts w:eastAsia="Times New Roman" w:cs="Arial"/>
          <w:color w:val="000000"/>
          <w:lang w:eastAsia="bg-BG"/>
        </w:rPr>
        <w:t>трябва да се избягва, тъй като може да повиши плазмените концентрации на сунитиниб (вж. точки 4.2 и 4.5).</w:t>
      </w:r>
    </w:p>
    <w:p w14:paraId="5E5FFA5C" w14:textId="77777777" w:rsidR="003F729A" w:rsidRPr="009226FA" w:rsidRDefault="003F729A" w:rsidP="003F729A">
      <w:pPr>
        <w:spacing w:line="240" w:lineRule="auto"/>
        <w:rPr>
          <w:rFonts w:eastAsia="Times New Roman" w:cs="Arial"/>
          <w:color w:val="000000"/>
          <w:u w:val="single"/>
          <w:lang w:eastAsia="bg-BG"/>
        </w:rPr>
      </w:pPr>
    </w:p>
    <w:p w14:paraId="744B1850" w14:textId="2E8FD15F" w:rsidR="003F729A" w:rsidRPr="003F729A" w:rsidRDefault="003F729A" w:rsidP="003F729A">
      <w:pPr>
        <w:spacing w:line="240" w:lineRule="auto"/>
        <w:rPr>
          <w:rFonts w:eastAsia="Times New Roman" w:cs="Arial"/>
          <w:lang w:eastAsia="bg-BG"/>
        </w:rPr>
      </w:pPr>
      <w:r w:rsidRPr="003F729A">
        <w:rPr>
          <w:rFonts w:eastAsia="Times New Roman" w:cs="Arial"/>
          <w:color w:val="000000"/>
          <w:u w:val="single"/>
          <w:lang w:eastAsia="bg-BG"/>
        </w:rPr>
        <w:t>Нарушения на кожата и тъканите</w:t>
      </w:r>
    </w:p>
    <w:p w14:paraId="7FF0A7C6" w14:textId="77777777"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Пациентите трябва да бъдат уведомени, че по време на лечение със сунитиниб може да се наблюдава депигментация на косата или кожата. Другите възможни дерматологични ефекти могат да бъдат: сухота, задебеляване или напукване на кожата, мехури или обрив по дланите на ръцете и ходилата на краката.</w:t>
      </w:r>
    </w:p>
    <w:p w14:paraId="5FC1F2E3" w14:textId="77777777" w:rsidR="003F729A" w:rsidRPr="009226FA" w:rsidRDefault="003F729A" w:rsidP="003F729A">
      <w:pPr>
        <w:spacing w:line="240" w:lineRule="auto"/>
        <w:rPr>
          <w:rFonts w:eastAsia="Times New Roman" w:cs="Arial"/>
          <w:color w:val="000000"/>
          <w:lang w:eastAsia="bg-BG"/>
        </w:rPr>
      </w:pPr>
    </w:p>
    <w:p w14:paraId="1CDAF4C3" w14:textId="2DCBE1F8" w:rsidR="003F729A" w:rsidRPr="003F729A" w:rsidRDefault="003F729A" w:rsidP="00B159F3">
      <w:pPr>
        <w:spacing w:line="240" w:lineRule="auto"/>
        <w:rPr>
          <w:rFonts w:eastAsia="Times New Roman" w:cs="Arial"/>
          <w:lang w:eastAsia="bg-BG"/>
        </w:rPr>
      </w:pPr>
      <w:r w:rsidRPr="003F729A">
        <w:rPr>
          <w:rFonts w:eastAsia="Times New Roman" w:cs="Arial"/>
          <w:color w:val="000000"/>
          <w:lang w:eastAsia="bg-BG"/>
        </w:rPr>
        <w:t xml:space="preserve">Горепосочените реакции не са били кумулативни, обикновено са били обратими и общо взето не са довели до прекратяване на лечението. Докладвани са случаи на пиодерма гангренозум, </w:t>
      </w:r>
      <w:r w:rsidRPr="003F729A">
        <w:rPr>
          <w:rFonts w:eastAsia="Times New Roman" w:cs="Arial"/>
          <w:color w:val="000000"/>
          <w:u w:val="single"/>
          <w:lang w:eastAsia="bg-BG"/>
        </w:rPr>
        <w:t xml:space="preserve"> </w:t>
      </w:r>
      <w:r w:rsidRPr="003F729A">
        <w:rPr>
          <w:rFonts w:eastAsia="Times New Roman" w:cs="Arial"/>
          <w:color w:val="000000"/>
          <w:lang w:eastAsia="bg-BG"/>
        </w:rPr>
        <w:t>обикновено обратима след прекратяване на приема на сунитиниб. Съобщава се за тежки кожни реакции, включително случаи на еритема мултиформе (ЕМ), случаи, предполагащи синдром на</w:t>
      </w:r>
      <w:r w:rsidR="00B159F3">
        <w:rPr>
          <w:rFonts w:eastAsia="Times New Roman" w:cs="Arial"/>
          <w:lang w:eastAsia="bg-BG"/>
        </w:rPr>
        <w:t xml:space="preserve"> </w:t>
      </w:r>
      <w:r w:rsidRPr="009226FA">
        <w:rPr>
          <w:rFonts w:eastAsia="Times New Roman" w:cs="Arial"/>
          <w:color w:val="000000"/>
          <w:lang w:val="en-US"/>
        </w:rPr>
        <w:t xml:space="preserve">Stevens-Johnson (SJS) </w:t>
      </w:r>
      <w:r w:rsidRPr="009226FA">
        <w:rPr>
          <w:rFonts w:eastAsia="Times New Roman" w:cs="Arial"/>
          <w:color w:val="000000"/>
          <w:lang w:eastAsia="bg-BG"/>
        </w:rPr>
        <w:t xml:space="preserve">и токсична епидермална некролиза (ТЕН), някои от които фатални. При наличие на признаци или симптоми на синдром на </w:t>
      </w:r>
      <w:r w:rsidRPr="009226FA">
        <w:rPr>
          <w:rFonts w:eastAsia="Times New Roman" w:cs="Arial"/>
          <w:color w:val="000000"/>
          <w:lang w:val="en-US"/>
        </w:rPr>
        <w:t xml:space="preserve">Stevens-Johnson, </w:t>
      </w:r>
      <w:r w:rsidRPr="009226FA">
        <w:rPr>
          <w:rFonts w:eastAsia="Times New Roman" w:cs="Arial"/>
          <w:color w:val="000000"/>
          <w:lang w:eastAsia="bg-BG"/>
        </w:rPr>
        <w:t>ТЕН или ЕМ (напр.</w:t>
      </w:r>
      <w:r w:rsidRPr="009226FA">
        <w:rPr>
          <w:rFonts w:eastAsia="Times New Roman" w:cs="Arial"/>
          <w:i/>
          <w:iCs/>
          <w:color w:val="000000"/>
          <w:lang w:eastAsia="bg-BG"/>
        </w:rPr>
        <w:t xml:space="preserve"> </w:t>
      </w:r>
      <w:r w:rsidRPr="009226FA">
        <w:rPr>
          <w:rFonts w:eastAsia="Times New Roman" w:cs="Arial"/>
          <w:color w:val="000000"/>
          <w:lang w:eastAsia="bg-BG"/>
        </w:rPr>
        <w:t>прогресивен кожен обрив, често съпроводен с мехури или лигавични лезии), лечението със</w:t>
      </w:r>
      <w:r w:rsidRPr="009226FA">
        <w:rPr>
          <w:rFonts w:eastAsia="Times New Roman" w:cs="Arial"/>
          <w:color w:val="000000"/>
          <w:lang w:val="en-US" w:eastAsia="bg-BG"/>
        </w:rPr>
        <w:t xml:space="preserve"> </w:t>
      </w:r>
      <w:r w:rsidRPr="009226FA">
        <w:rPr>
          <w:rFonts w:eastAsia="Times New Roman" w:cs="Arial"/>
          <w:color w:val="000000"/>
          <w:lang w:eastAsia="bg-BG"/>
        </w:rPr>
        <w:t xml:space="preserve">сунитиниб трябва да се прекрати. Ако диагнозата на синдром на </w:t>
      </w:r>
      <w:r w:rsidRPr="009226FA">
        <w:rPr>
          <w:rFonts w:eastAsia="Times New Roman" w:cs="Arial"/>
          <w:color w:val="000000"/>
          <w:lang w:val="en-US"/>
        </w:rPr>
        <w:t xml:space="preserve">Stevens-Johnson </w:t>
      </w:r>
      <w:r w:rsidRPr="009226FA">
        <w:rPr>
          <w:rFonts w:eastAsia="Times New Roman" w:cs="Arial"/>
          <w:color w:val="000000"/>
          <w:lang w:eastAsia="bg-BG"/>
        </w:rPr>
        <w:t>или ТЕН се потвърди, лечението не трябва да се възобновява. При някои случаи, в които се е подозирала</w:t>
      </w:r>
      <w:r w:rsidR="00B159F3">
        <w:rPr>
          <w:rFonts w:eastAsia="Times New Roman" w:cs="Arial"/>
          <w:lang w:val="en-US" w:eastAsia="bg-BG"/>
        </w:rPr>
        <w:t xml:space="preserve"> </w:t>
      </w:r>
      <w:r w:rsidRPr="003F729A">
        <w:rPr>
          <w:rFonts w:eastAsia="Times New Roman" w:cs="Arial"/>
          <w:color w:val="000000"/>
          <w:lang w:eastAsia="bg-BG"/>
        </w:rPr>
        <w:t>ЕМ</w:t>
      </w:r>
      <w:r w:rsidR="00B159F3">
        <w:rPr>
          <w:rFonts w:eastAsia="Times New Roman" w:cs="Arial"/>
          <w:color w:val="000000"/>
          <w:lang w:eastAsia="bg-BG"/>
        </w:rPr>
        <w:t>,</w:t>
      </w:r>
      <w:r w:rsidRPr="003F729A">
        <w:rPr>
          <w:rFonts w:eastAsia="Times New Roman" w:cs="Arial"/>
          <w:color w:val="000000"/>
          <w:lang w:eastAsia="bg-BG"/>
        </w:rPr>
        <w:t xml:space="preserve"> пациентите са понесли добре възобновяването на терапията със сунитиниб с по-ниска доза след отзвучаване на реакцията; някои от тези пациенти също са приемали съпътстващо лечение с коргикостероиди или антихистамини (вж. точка 4.8).</w:t>
      </w:r>
    </w:p>
    <w:p w14:paraId="131FEC8A" w14:textId="77777777" w:rsidR="003F729A" w:rsidRPr="009226FA" w:rsidRDefault="003F729A" w:rsidP="003F729A">
      <w:pPr>
        <w:spacing w:line="240" w:lineRule="auto"/>
        <w:rPr>
          <w:rFonts w:eastAsia="Times New Roman" w:cs="Arial"/>
          <w:color w:val="000000"/>
          <w:u w:val="single"/>
          <w:lang w:eastAsia="bg-BG"/>
        </w:rPr>
      </w:pPr>
    </w:p>
    <w:p w14:paraId="16ECA4EC" w14:textId="01396D3A" w:rsidR="003F729A" w:rsidRPr="003F729A" w:rsidRDefault="003F729A" w:rsidP="003F729A">
      <w:pPr>
        <w:spacing w:line="240" w:lineRule="auto"/>
        <w:rPr>
          <w:rFonts w:eastAsia="Times New Roman" w:cs="Arial"/>
          <w:lang w:eastAsia="bg-BG"/>
        </w:rPr>
      </w:pPr>
      <w:r w:rsidRPr="003F729A">
        <w:rPr>
          <w:rFonts w:eastAsia="Times New Roman" w:cs="Arial"/>
          <w:color w:val="000000"/>
          <w:u w:val="single"/>
          <w:lang w:eastAsia="bg-BG"/>
        </w:rPr>
        <w:t>Кръвоизлив и кървене на тумори</w:t>
      </w:r>
    </w:p>
    <w:p w14:paraId="0F7FC189" w14:textId="77777777"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Хеморагичните събития, някои от които с летален изход, докладвани при клинични проучвания със сунитиниб и по време на постмаркетинговото проследяване, включват кървене от стомашно-чревния, респираторния тракт, пикочните пътища и мозъчни кръвоизливи (вж. точка 4.8).</w:t>
      </w:r>
    </w:p>
    <w:p w14:paraId="5DB198A2" w14:textId="77777777" w:rsidR="003F729A" w:rsidRPr="009226FA" w:rsidRDefault="003F729A" w:rsidP="003F729A">
      <w:pPr>
        <w:spacing w:line="240" w:lineRule="auto"/>
        <w:rPr>
          <w:rFonts w:eastAsia="Times New Roman" w:cs="Arial"/>
          <w:color w:val="000000"/>
          <w:lang w:eastAsia="bg-BG"/>
        </w:rPr>
      </w:pPr>
    </w:p>
    <w:p w14:paraId="33306968" w14:textId="1D8A4CD0"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Рутинната оценка на събитията на кървене трябва да включва пълна кръвна картина и физикален преглед.</w:t>
      </w:r>
    </w:p>
    <w:p w14:paraId="5CD975D5" w14:textId="77777777" w:rsidR="003F729A" w:rsidRPr="009226FA" w:rsidRDefault="003F729A" w:rsidP="003F729A">
      <w:pPr>
        <w:spacing w:line="240" w:lineRule="auto"/>
        <w:rPr>
          <w:rFonts w:eastAsia="Times New Roman" w:cs="Arial"/>
          <w:color w:val="000000"/>
          <w:lang w:eastAsia="bg-BG"/>
        </w:rPr>
      </w:pPr>
    </w:p>
    <w:p w14:paraId="63487CF1" w14:textId="79A8D3FC"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Епистаксис е била най-честата хеморагична нежелана реакция, която е съобщена при приблизително половината от пациентите със солидни тумори, които са имали хеморагични събития. Някои от случаите на епистаксис са били тежки, но много рядко фатални.</w:t>
      </w:r>
    </w:p>
    <w:p w14:paraId="016E25B2" w14:textId="77777777" w:rsidR="003F729A" w:rsidRPr="009226FA" w:rsidRDefault="003F729A" w:rsidP="003F729A">
      <w:pPr>
        <w:spacing w:line="240" w:lineRule="auto"/>
        <w:rPr>
          <w:rFonts w:eastAsia="Times New Roman" w:cs="Arial"/>
          <w:color w:val="000000"/>
          <w:lang w:eastAsia="bg-BG"/>
        </w:rPr>
      </w:pPr>
    </w:p>
    <w:p w14:paraId="6EEE124C" w14:textId="034822DD"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Съобщава се за случаи на туморна хеморагия, понякога свързани с туморна некроза; като някои от тези хеморагични събития са били фатални.</w:t>
      </w:r>
    </w:p>
    <w:p w14:paraId="13C18CED" w14:textId="77777777" w:rsidR="003F729A" w:rsidRPr="009226FA" w:rsidRDefault="003F729A" w:rsidP="003F729A">
      <w:pPr>
        <w:spacing w:line="240" w:lineRule="auto"/>
        <w:rPr>
          <w:rFonts w:eastAsia="Times New Roman" w:cs="Arial"/>
          <w:color w:val="000000"/>
          <w:lang w:eastAsia="bg-BG"/>
        </w:rPr>
      </w:pPr>
    </w:p>
    <w:p w14:paraId="3E40EB44" w14:textId="6FF1366B"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lastRenderedPageBreak/>
        <w:t>Кръвоизлив от тумора може да настъпи внезапно и в случай на белодробен тумор могат да се проявят като тежка и животозастрашаваща хемоптиза или белодробен кръвоизлив. При пациенти, лекувани със сунитиниб за МБКК, ГИСТ и белодробен карцином, са наблюдавани случаи на белодробно кървене, някои от които с фатален изход по време на клиничните проучвания и през постмаркетинговия опит. Сунитиниб Тева не е одобрен за приложение при пациенти с рак на белите дробове.</w:t>
      </w:r>
    </w:p>
    <w:p w14:paraId="191C5B8F" w14:textId="77777777" w:rsidR="003F729A" w:rsidRPr="009226FA" w:rsidRDefault="003F729A" w:rsidP="003F729A">
      <w:pPr>
        <w:spacing w:line="240" w:lineRule="auto"/>
        <w:rPr>
          <w:rFonts w:eastAsia="Times New Roman" w:cs="Arial"/>
          <w:color w:val="000000"/>
          <w:lang w:eastAsia="bg-BG"/>
        </w:rPr>
      </w:pPr>
    </w:p>
    <w:p w14:paraId="5B8E5AB4" w14:textId="549FFF92"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 xml:space="preserve">Пациенти, получаващи съпътстващо лечение с антикоагуланти (напр. варфарин, аценокумарол), могат да се проследяват периодично чрез пълна кръвна картина (тромбоцити), фактори на кръвосъсирването </w:t>
      </w:r>
      <w:r w:rsidRPr="003F729A">
        <w:rPr>
          <w:rFonts w:eastAsia="Times New Roman" w:cs="Arial"/>
          <w:color w:val="000000"/>
          <w:lang w:val="en-US"/>
        </w:rPr>
        <w:t xml:space="preserve">(PT/INR) </w:t>
      </w:r>
      <w:r w:rsidRPr="003F729A">
        <w:rPr>
          <w:rFonts w:eastAsia="Times New Roman" w:cs="Arial"/>
          <w:color w:val="000000"/>
          <w:lang w:eastAsia="bg-BG"/>
        </w:rPr>
        <w:t>и физикален преглед,</w:t>
      </w:r>
    </w:p>
    <w:p w14:paraId="1727221F" w14:textId="77777777" w:rsidR="003F729A" w:rsidRPr="009226FA" w:rsidRDefault="003F729A" w:rsidP="003F729A">
      <w:pPr>
        <w:spacing w:line="240" w:lineRule="auto"/>
        <w:rPr>
          <w:rFonts w:eastAsia="Times New Roman" w:cs="Arial"/>
          <w:color w:val="000000"/>
          <w:u w:val="single"/>
          <w:lang w:eastAsia="bg-BG"/>
        </w:rPr>
      </w:pPr>
    </w:p>
    <w:p w14:paraId="7F3AA4C5" w14:textId="4AC232E4" w:rsidR="003F729A" w:rsidRPr="003F729A" w:rsidRDefault="003F729A" w:rsidP="003F729A">
      <w:pPr>
        <w:spacing w:line="240" w:lineRule="auto"/>
        <w:rPr>
          <w:rFonts w:eastAsia="Times New Roman" w:cs="Arial"/>
          <w:lang w:eastAsia="bg-BG"/>
        </w:rPr>
      </w:pPr>
      <w:r w:rsidRPr="003F729A">
        <w:rPr>
          <w:rFonts w:eastAsia="Times New Roman" w:cs="Arial"/>
          <w:color w:val="000000"/>
          <w:u w:val="single"/>
          <w:lang w:eastAsia="bg-BG"/>
        </w:rPr>
        <w:t>Стомашно-чревни нарушения</w:t>
      </w:r>
    </w:p>
    <w:p w14:paraId="07D023AA" w14:textId="77777777"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Диария, гадене/повръщане, болка в областта на корема, диспепсия и стоматиг/болка в устата са най-често съобщаваните стомашно-чревни нежелани реакции; съобщава се също и за случаи на езофагит (вж. точка 4.8).</w:t>
      </w:r>
    </w:p>
    <w:p w14:paraId="6615230B" w14:textId="77777777" w:rsidR="003F729A" w:rsidRPr="009226FA" w:rsidRDefault="003F729A" w:rsidP="003F729A">
      <w:pPr>
        <w:spacing w:line="240" w:lineRule="auto"/>
        <w:rPr>
          <w:rFonts w:eastAsia="Times New Roman" w:cs="Arial"/>
          <w:color w:val="000000"/>
          <w:lang w:eastAsia="bg-BG"/>
        </w:rPr>
      </w:pPr>
    </w:p>
    <w:p w14:paraId="56F4DB3E" w14:textId="41C60E08"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Поддържащата грижа при стомашно-чревните нежелани реакции, при които се налага лечение, може да включва лекарствени продукти против повръщане, против диария или антиациди.</w:t>
      </w:r>
    </w:p>
    <w:p w14:paraId="77AE7F66" w14:textId="77777777" w:rsidR="003F729A" w:rsidRPr="009226FA" w:rsidRDefault="003F729A" w:rsidP="003F729A">
      <w:pPr>
        <w:spacing w:line="240" w:lineRule="auto"/>
        <w:rPr>
          <w:rFonts w:eastAsia="Times New Roman" w:cs="Arial"/>
          <w:color w:val="000000"/>
          <w:lang w:eastAsia="bg-BG"/>
        </w:rPr>
      </w:pPr>
    </w:p>
    <w:p w14:paraId="0A8BB2FE" w14:textId="53EE4A8A"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При пациенти с интраабдоминални злокачествени образувания, лекувани със сунитиниб, са съобщени сериозни, понякога фатални стомашно-чревни усложнения, включително стомашно- чревна перфорация.</w:t>
      </w:r>
    </w:p>
    <w:p w14:paraId="728DB783" w14:textId="77777777" w:rsidR="003F729A" w:rsidRPr="009226FA" w:rsidRDefault="003F729A" w:rsidP="003F729A">
      <w:pPr>
        <w:spacing w:line="240" w:lineRule="auto"/>
        <w:rPr>
          <w:rFonts w:eastAsia="Times New Roman" w:cs="Arial"/>
          <w:color w:val="000000"/>
          <w:u w:val="single"/>
          <w:lang w:eastAsia="bg-BG"/>
        </w:rPr>
      </w:pPr>
    </w:p>
    <w:p w14:paraId="2C5E691B" w14:textId="5354AD6B" w:rsidR="003F729A" w:rsidRPr="003F729A" w:rsidRDefault="003F729A" w:rsidP="003F729A">
      <w:pPr>
        <w:spacing w:line="240" w:lineRule="auto"/>
        <w:rPr>
          <w:rFonts w:eastAsia="Times New Roman" w:cs="Arial"/>
          <w:lang w:eastAsia="bg-BG"/>
        </w:rPr>
      </w:pPr>
      <w:r w:rsidRPr="003F729A">
        <w:rPr>
          <w:rFonts w:eastAsia="Times New Roman" w:cs="Arial"/>
          <w:color w:val="000000"/>
          <w:u w:val="single"/>
          <w:lang w:eastAsia="bg-BG"/>
        </w:rPr>
        <w:t>Хипертония</w:t>
      </w:r>
    </w:p>
    <w:p w14:paraId="3CF2F871" w14:textId="77777777"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 xml:space="preserve">Съобщава се за хипертония, свързана със сунитиниб, включително тежка хипертония (&gt; 200 </w:t>
      </w:r>
      <w:r w:rsidRPr="003F729A">
        <w:rPr>
          <w:rFonts w:eastAsia="Times New Roman" w:cs="Arial"/>
          <w:color w:val="000000"/>
          <w:lang w:val="en-US"/>
        </w:rPr>
        <w:t xml:space="preserve">mmHg </w:t>
      </w:r>
      <w:r w:rsidRPr="003F729A">
        <w:rPr>
          <w:rFonts w:eastAsia="Times New Roman" w:cs="Arial"/>
          <w:color w:val="000000"/>
          <w:lang w:eastAsia="bg-BG"/>
        </w:rPr>
        <w:t xml:space="preserve">систолно или 110 </w:t>
      </w:r>
      <w:r w:rsidRPr="003F729A">
        <w:rPr>
          <w:rFonts w:eastAsia="Times New Roman" w:cs="Arial"/>
          <w:color w:val="000000"/>
          <w:lang w:val="en-US"/>
        </w:rPr>
        <w:t xml:space="preserve">mmHg </w:t>
      </w:r>
      <w:r w:rsidRPr="003F729A">
        <w:rPr>
          <w:rFonts w:eastAsia="Times New Roman" w:cs="Arial"/>
          <w:color w:val="000000"/>
          <w:lang w:eastAsia="bg-BG"/>
        </w:rPr>
        <w:t>диастолно кръвно налягане). Пациентите трябва да бъдат скрин и рани за хипертония и да се контролират адекватно. Временно прекратяване се препоръчва при пациенти с тежка хипертония, която не се контролира с приложение на лекарства. Лечението може да се възобнови веднага щом хипертонията се овладее по подходящ начин (вж. точка 4.8).</w:t>
      </w:r>
    </w:p>
    <w:p w14:paraId="3273E31C" w14:textId="77777777" w:rsidR="003F729A" w:rsidRPr="009226FA" w:rsidRDefault="003F729A" w:rsidP="003F729A">
      <w:pPr>
        <w:spacing w:line="240" w:lineRule="auto"/>
        <w:rPr>
          <w:rFonts w:eastAsia="Times New Roman" w:cs="Arial"/>
          <w:color w:val="000000"/>
          <w:u w:val="single"/>
          <w:lang w:eastAsia="bg-BG"/>
        </w:rPr>
      </w:pPr>
    </w:p>
    <w:p w14:paraId="5031D367" w14:textId="7C5A6223" w:rsidR="003F729A" w:rsidRPr="003F729A" w:rsidRDefault="003F729A" w:rsidP="003F729A">
      <w:pPr>
        <w:spacing w:line="240" w:lineRule="auto"/>
        <w:rPr>
          <w:rFonts w:eastAsia="Times New Roman" w:cs="Arial"/>
          <w:lang w:eastAsia="bg-BG"/>
        </w:rPr>
      </w:pPr>
      <w:r w:rsidRPr="003F729A">
        <w:rPr>
          <w:rFonts w:eastAsia="Times New Roman" w:cs="Arial"/>
          <w:color w:val="000000"/>
          <w:u w:val="single"/>
          <w:lang w:eastAsia="bg-BG"/>
        </w:rPr>
        <w:t>Хематологични нарушения</w:t>
      </w:r>
    </w:p>
    <w:p w14:paraId="010CC275" w14:textId="77777777" w:rsidR="003F729A" w:rsidRPr="009226FA" w:rsidRDefault="003F729A" w:rsidP="003F729A">
      <w:pPr>
        <w:rPr>
          <w:rFonts w:eastAsia="Times New Roman" w:cs="Arial"/>
          <w:lang w:eastAsia="bg-BG"/>
        </w:rPr>
      </w:pPr>
      <w:r w:rsidRPr="009226FA">
        <w:rPr>
          <w:rFonts w:eastAsia="Times New Roman" w:cs="Arial"/>
          <w:color w:val="000000"/>
          <w:lang w:eastAsia="bg-BG"/>
        </w:rPr>
        <w:t>Намален абсолютен брой на неутрофилите и намален брой натромбоцитите са съобщени като свързани с употребата на сунитиниб (вж. точка 4.8). Горните събития не са били кумулативни, обикновено са били обратими и по принцип не са довели до прекратяване на лечението. Нито</w:t>
      </w:r>
      <w:r w:rsidRPr="009226FA">
        <w:rPr>
          <w:rFonts w:eastAsia="Times New Roman" w:cs="Arial"/>
          <w:color w:val="000000"/>
          <w:lang w:val="en-US" w:eastAsia="bg-BG"/>
        </w:rPr>
        <w:t xml:space="preserve"> </w:t>
      </w:r>
      <w:r w:rsidRPr="009226FA">
        <w:rPr>
          <w:rFonts w:eastAsia="Times New Roman" w:cs="Arial"/>
          <w:color w:val="000000"/>
          <w:lang w:eastAsia="bg-BG"/>
        </w:rPr>
        <w:t>едно от тези събития в проучванията фаза 3 не е било фатално, но редки фатални хематологични събития, включително хеморатия, свързана с тромбоцитопения и неутропенични инфекции, са били докладвани при постмаркетингово наблюдение.</w:t>
      </w:r>
    </w:p>
    <w:p w14:paraId="5413860E" w14:textId="77777777" w:rsidR="003F729A" w:rsidRPr="009226FA" w:rsidRDefault="003F729A" w:rsidP="003F729A">
      <w:pPr>
        <w:spacing w:line="240" w:lineRule="auto"/>
        <w:rPr>
          <w:rFonts w:eastAsia="Times New Roman" w:cs="Arial"/>
          <w:color w:val="000000"/>
          <w:lang w:eastAsia="bg-BG"/>
        </w:rPr>
      </w:pPr>
    </w:p>
    <w:p w14:paraId="618CC63D" w14:textId="0B303951"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Както при ранните, така и при по-късните етапи на лечението със сунитиниб е наблюдавана поява на анемия.</w:t>
      </w:r>
    </w:p>
    <w:p w14:paraId="41B300BD" w14:textId="77777777" w:rsidR="003F729A" w:rsidRPr="009226FA" w:rsidRDefault="003F729A" w:rsidP="003F729A">
      <w:pPr>
        <w:spacing w:line="240" w:lineRule="auto"/>
        <w:rPr>
          <w:rFonts w:eastAsia="Times New Roman" w:cs="Arial"/>
          <w:color w:val="000000"/>
          <w:lang w:eastAsia="bg-BG"/>
        </w:rPr>
      </w:pPr>
    </w:p>
    <w:p w14:paraId="709DF3CA" w14:textId="249D4D80"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Пълна кръвна картина трябва да се направи в началото на всеки терапевтичен цикъл при пациенти, получаващи лечение със сунитиниб (вж. точка 4.8).</w:t>
      </w:r>
    </w:p>
    <w:p w14:paraId="2D2CA406" w14:textId="77777777" w:rsidR="003F729A" w:rsidRPr="009226FA" w:rsidRDefault="003F729A" w:rsidP="003F729A">
      <w:pPr>
        <w:spacing w:line="240" w:lineRule="auto"/>
        <w:rPr>
          <w:rFonts w:eastAsia="Times New Roman" w:cs="Arial"/>
          <w:color w:val="000000"/>
          <w:u w:val="single"/>
          <w:lang w:eastAsia="bg-BG"/>
        </w:rPr>
      </w:pPr>
    </w:p>
    <w:p w14:paraId="769E8BAF" w14:textId="3FE0C685" w:rsidR="003F729A" w:rsidRPr="003F729A" w:rsidRDefault="003F729A" w:rsidP="003F729A">
      <w:pPr>
        <w:spacing w:line="240" w:lineRule="auto"/>
        <w:rPr>
          <w:rFonts w:eastAsia="Times New Roman" w:cs="Arial"/>
          <w:lang w:eastAsia="bg-BG"/>
        </w:rPr>
      </w:pPr>
      <w:r w:rsidRPr="003F729A">
        <w:rPr>
          <w:rFonts w:eastAsia="Times New Roman" w:cs="Arial"/>
          <w:color w:val="000000"/>
          <w:u w:val="single"/>
          <w:lang w:eastAsia="bg-BG"/>
        </w:rPr>
        <w:t>Сърдечни нарушения</w:t>
      </w:r>
    </w:p>
    <w:p w14:paraId="3B61A9CB" w14:textId="77777777"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 xml:space="preserve">Сърдечносъдовите събития, включително сърдечна недостатъчност, кардиомиопатия, намалена левокамерна фракция на изтласкване под долната граница на нормата, </w:t>
      </w:r>
      <w:r w:rsidRPr="003F729A">
        <w:rPr>
          <w:rFonts w:eastAsia="Times New Roman" w:cs="Arial"/>
          <w:color w:val="000000"/>
          <w:lang w:eastAsia="bg-BG"/>
        </w:rPr>
        <w:lastRenderedPageBreak/>
        <w:t>миокардит, миокардна исхемия и миокарден инфаркт, някои от които фатални са съобщавани при пациенти, лекувани със сунитиниб. Тези данни показват, че сунитиниб повишава риска от кардиомиопатия. При лекуваните пациенти не са установени специфични допълнителни рискови фактори за индуцирана от сунитиниб кардиомиопатия, отделно от лекарствения специфичен ефект. Сунитиниб трябва да се използва с повишено внимание при пациенти, при които съществува риск или имат анамнеза за такива събития (вж. точка 4.8).</w:t>
      </w:r>
    </w:p>
    <w:p w14:paraId="5C478C5E" w14:textId="77777777" w:rsidR="003F729A" w:rsidRPr="009226FA" w:rsidRDefault="003F729A" w:rsidP="003F729A">
      <w:pPr>
        <w:spacing w:line="240" w:lineRule="auto"/>
        <w:rPr>
          <w:rFonts w:eastAsia="Times New Roman" w:cs="Arial"/>
          <w:color w:val="000000"/>
          <w:lang w:eastAsia="bg-BG"/>
        </w:rPr>
      </w:pPr>
    </w:p>
    <w:p w14:paraId="2CBB95E8" w14:textId="38D847CE"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Пациенти, които 12 месеца преди приложението на сунитиниб са получили събития от страна на сърцето като миокарден инфаркт (включително тежка/нестабилна ангина пекторис), коронарен/периферен артериален байпас графт, симптоматична застойна сърдечна недостатъчност (ЗСН), мозъчно-съдов инцидент или преходен исхемичен пристъп или белодробна емболия са изключени от всички клинични проучвания със сунитиниб. Не е известно дали при пациентите с тези съпътстващи заболявалия може да съществува повишен риск от развитие на зависима от сунитиниб левокамерна дисфункция.</w:t>
      </w:r>
    </w:p>
    <w:p w14:paraId="7E3E588E" w14:textId="77777777" w:rsidR="003F729A" w:rsidRPr="009226FA" w:rsidRDefault="003F729A" w:rsidP="003F729A">
      <w:pPr>
        <w:spacing w:line="240" w:lineRule="auto"/>
        <w:rPr>
          <w:rFonts w:eastAsia="Times New Roman" w:cs="Arial"/>
          <w:color w:val="000000"/>
          <w:lang w:eastAsia="bg-BG"/>
        </w:rPr>
      </w:pPr>
    </w:p>
    <w:p w14:paraId="3372B1DC" w14:textId="5BDE67BB"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На лекарите се препоръчва да преценят този риск спрямо възможните ползи от сунитиниб. Докато приемат сунитиниб, пациентите трябва внимателно да се проследяват за клинични признаци и симптоми на ЗСН,'особено пациентите с кардиологични рискови фактори и/или анамнеза за исхемична болест на сърцето. Оценка на ЛКФИ в началото на лечението и периодично след това трябва да се имат предвид, докато пациентът провежда лечение със сунитиниб. При пациенти без кардиологични рискови фактори в началото трябва да се направи оценка на фракцията на изтласкване.</w:t>
      </w:r>
    </w:p>
    <w:p w14:paraId="506F60B9" w14:textId="77777777" w:rsidR="003F729A" w:rsidRPr="009226FA" w:rsidRDefault="003F729A" w:rsidP="003F729A">
      <w:pPr>
        <w:spacing w:line="240" w:lineRule="auto"/>
        <w:rPr>
          <w:rFonts w:eastAsia="Times New Roman" w:cs="Arial"/>
          <w:color w:val="000000"/>
          <w:lang w:eastAsia="bg-BG"/>
        </w:rPr>
      </w:pPr>
    </w:p>
    <w:p w14:paraId="521E10D3" w14:textId="337CA915"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При наличие на клинични прояви на ЗСН се препоръчва прекратяване на лечението със сунитиниб. Приемът на сунитиниб трябва да се прекъсне временно и/или дозата да се понижи при пациенти без клинични данни за ЗСН, но с фракция на изтласкване &lt;50% и &gt;20% под изходното ниво.</w:t>
      </w:r>
    </w:p>
    <w:p w14:paraId="4312636A" w14:textId="77777777" w:rsidR="003F729A" w:rsidRPr="009226FA" w:rsidRDefault="003F729A" w:rsidP="003F729A">
      <w:pPr>
        <w:spacing w:line="240" w:lineRule="auto"/>
        <w:rPr>
          <w:rFonts w:eastAsia="Times New Roman" w:cs="Arial"/>
          <w:color w:val="000000"/>
          <w:u w:val="single"/>
          <w:lang w:eastAsia="bg-BG"/>
        </w:rPr>
      </w:pPr>
    </w:p>
    <w:p w14:paraId="66784890" w14:textId="4FAD368B" w:rsidR="003F729A" w:rsidRPr="003F729A" w:rsidRDefault="003F729A" w:rsidP="003F729A">
      <w:pPr>
        <w:spacing w:line="240" w:lineRule="auto"/>
        <w:rPr>
          <w:rFonts w:eastAsia="Times New Roman" w:cs="Arial"/>
          <w:lang w:eastAsia="bg-BG"/>
        </w:rPr>
      </w:pPr>
      <w:r w:rsidRPr="003F729A">
        <w:rPr>
          <w:rFonts w:eastAsia="Times New Roman" w:cs="Arial"/>
          <w:color w:val="000000"/>
          <w:u w:val="single"/>
          <w:lang w:eastAsia="bg-BG"/>
        </w:rPr>
        <w:t>Удължаване на ОТ интервала</w:t>
      </w:r>
    </w:p>
    <w:p w14:paraId="2F84BB51" w14:textId="77777777"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 xml:space="preserve">При пациенти с експозиция на сунитиниб са наблюдавани удължаване на </w:t>
      </w:r>
      <w:r w:rsidRPr="003F729A">
        <w:rPr>
          <w:rFonts w:eastAsia="Times New Roman" w:cs="Arial"/>
          <w:color w:val="000000"/>
          <w:lang w:val="en-US"/>
        </w:rPr>
        <w:t xml:space="preserve">QT </w:t>
      </w:r>
      <w:r w:rsidRPr="003F729A">
        <w:rPr>
          <w:rFonts w:eastAsia="Times New Roman" w:cs="Arial"/>
          <w:color w:val="000000"/>
          <w:lang w:eastAsia="bg-BG"/>
        </w:rPr>
        <w:t xml:space="preserve">интервала и </w:t>
      </w:r>
      <w:r w:rsidRPr="003F729A">
        <w:rPr>
          <w:rFonts w:eastAsia="Times New Roman" w:cs="Arial"/>
          <w:i/>
          <w:iCs/>
          <w:color w:val="000000"/>
          <w:lang w:val="en-US"/>
        </w:rPr>
        <w:t>Torsade de pointes.</w:t>
      </w:r>
      <w:r w:rsidRPr="003F729A">
        <w:rPr>
          <w:rFonts w:eastAsia="Times New Roman" w:cs="Arial"/>
          <w:color w:val="000000"/>
          <w:lang w:val="en-US"/>
        </w:rPr>
        <w:t xml:space="preserve"> </w:t>
      </w:r>
      <w:r w:rsidRPr="003F729A">
        <w:rPr>
          <w:rFonts w:eastAsia="Times New Roman" w:cs="Arial"/>
          <w:color w:val="000000"/>
          <w:lang w:eastAsia="bg-BG"/>
        </w:rPr>
        <w:t xml:space="preserve">Удължаването на </w:t>
      </w:r>
      <w:r w:rsidRPr="003F729A">
        <w:rPr>
          <w:rFonts w:eastAsia="Times New Roman" w:cs="Arial"/>
          <w:color w:val="000000"/>
          <w:lang w:val="en-US"/>
        </w:rPr>
        <w:t>QT</w:t>
      </w:r>
      <w:r w:rsidRPr="003F729A">
        <w:rPr>
          <w:rFonts w:eastAsia="Times New Roman" w:cs="Arial"/>
          <w:color w:val="000000"/>
          <w:lang w:eastAsia="bg-BG"/>
        </w:rPr>
        <w:t xml:space="preserve">-интервала може да доведе до увеличен риск от камерни аритмии, включително </w:t>
      </w:r>
      <w:r w:rsidRPr="003F729A">
        <w:rPr>
          <w:rFonts w:eastAsia="Times New Roman" w:cs="Arial"/>
          <w:i/>
          <w:iCs/>
          <w:color w:val="000000"/>
          <w:lang w:val="en-US"/>
        </w:rPr>
        <w:t>Torsade de pointes.</w:t>
      </w:r>
    </w:p>
    <w:p w14:paraId="6B059189" w14:textId="77777777" w:rsidR="003F729A" w:rsidRPr="009226FA" w:rsidRDefault="003F729A" w:rsidP="003F729A">
      <w:pPr>
        <w:spacing w:line="240" w:lineRule="auto"/>
        <w:rPr>
          <w:rFonts w:eastAsia="Times New Roman" w:cs="Arial"/>
          <w:color w:val="000000"/>
          <w:lang w:eastAsia="bg-BG"/>
        </w:rPr>
      </w:pPr>
    </w:p>
    <w:p w14:paraId="1212E7B3" w14:textId="183CAEAB"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 xml:space="preserve">Сунитиниб трябва да се използва с повишено внимание при пациенти с известна анамнеза за удължаване на </w:t>
      </w:r>
      <w:r w:rsidRPr="003F729A">
        <w:rPr>
          <w:rFonts w:eastAsia="Times New Roman" w:cs="Arial"/>
          <w:color w:val="000000"/>
          <w:lang w:val="en-US"/>
        </w:rPr>
        <w:t>QT</w:t>
      </w:r>
      <w:r w:rsidRPr="003F729A">
        <w:rPr>
          <w:rFonts w:eastAsia="Times New Roman" w:cs="Arial"/>
          <w:color w:val="000000"/>
          <w:lang w:eastAsia="bg-BG"/>
        </w:rPr>
        <w:t xml:space="preserve">-интервала, пациенти, приемащи антиаритмици или лекарствени продукти, които могат да удължават </w:t>
      </w:r>
      <w:r w:rsidRPr="003F729A">
        <w:rPr>
          <w:rFonts w:eastAsia="Times New Roman" w:cs="Arial"/>
          <w:color w:val="000000"/>
          <w:lang w:val="en-US"/>
        </w:rPr>
        <w:t xml:space="preserve">QT </w:t>
      </w:r>
      <w:r w:rsidRPr="003F729A">
        <w:rPr>
          <w:rFonts w:eastAsia="Times New Roman" w:cs="Arial"/>
          <w:color w:val="000000"/>
          <w:lang w:eastAsia="bg-BG"/>
        </w:rPr>
        <w:t xml:space="preserve">интервала, или пациенти със съответно предшестващо сърдечно заболяване, брадикардия или електролитни нарушения. Едновременното приложение на сунитиниб с мощни инхибитори на </w:t>
      </w:r>
      <w:r w:rsidRPr="003F729A">
        <w:rPr>
          <w:rFonts w:eastAsia="Times New Roman" w:cs="Arial"/>
          <w:color w:val="000000"/>
          <w:lang w:val="en-US"/>
        </w:rPr>
        <w:t xml:space="preserve">CYP3A4 </w:t>
      </w:r>
      <w:r w:rsidRPr="003F729A">
        <w:rPr>
          <w:rFonts w:eastAsia="Times New Roman" w:cs="Arial"/>
          <w:color w:val="000000"/>
          <w:lang w:eastAsia="bg-BG"/>
        </w:rPr>
        <w:t>трябва да се ограничи поради възможното повишение на плазмените концентрации на сунитиниб (вж. точки 4.2, 4.5 и 4.8).</w:t>
      </w:r>
    </w:p>
    <w:p w14:paraId="75033CB4" w14:textId="77777777" w:rsidR="003F729A" w:rsidRPr="009226FA" w:rsidRDefault="003F729A" w:rsidP="003F729A">
      <w:pPr>
        <w:spacing w:line="240" w:lineRule="auto"/>
        <w:rPr>
          <w:rFonts w:eastAsia="Times New Roman" w:cs="Arial"/>
          <w:color w:val="000000"/>
          <w:u w:val="single"/>
          <w:lang w:eastAsia="bg-BG"/>
        </w:rPr>
      </w:pPr>
    </w:p>
    <w:p w14:paraId="7A4F6643" w14:textId="1BFDDC90" w:rsidR="003F729A" w:rsidRPr="003F729A" w:rsidRDefault="003F729A" w:rsidP="003F729A">
      <w:pPr>
        <w:spacing w:line="240" w:lineRule="auto"/>
        <w:rPr>
          <w:rFonts w:eastAsia="Times New Roman" w:cs="Arial"/>
          <w:lang w:eastAsia="bg-BG"/>
        </w:rPr>
      </w:pPr>
      <w:r w:rsidRPr="003F729A">
        <w:rPr>
          <w:rFonts w:eastAsia="Times New Roman" w:cs="Arial"/>
          <w:color w:val="000000"/>
          <w:u w:val="single"/>
          <w:lang w:eastAsia="bg-BG"/>
        </w:rPr>
        <w:t>Случаи на венозна тромбоемболия</w:t>
      </w:r>
      <w:r w:rsidRPr="003F729A">
        <w:rPr>
          <w:rFonts w:eastAsia="Times New Roman" w:cs="Arial"/>
          <w:color w:val="000000"/>
          <w:lang w:eastAsia="bg-BG"/>
        </w:rPr>
        <w:tab/>
        <w:t>*</w:t>
      </w:r>
    </w:p>
    <w:p w14:paraId="32C6E5C5" w14:textId="77777777" w:rsidR="003F729A" w:rsidRPr="009226FA" w:rsidRDefault="003F729A" w:rsidP="003F729A">
      <w:pPr>
        <w:rPr>
          <w:rFonts w:cs="Arial"/>
        </w:rPr>
      </w:pPr>
      <w:r w:rsidRPr="009226FA">
        <w:rPr>
          <w:rFonts w:eastAsia="Times New Roman" w:cs="Arial"/>
          <w:color w:val="000000"/>
          <w:lang w:eastAsia="bg-BG"/>
        </w:rPr>
        <w:t>Събития на венозна тромбоемболия, свързани с лечението, са съобщени при пациенти, които са приемали сунитиниб, включително дълбока венозна тромбоза и белодробна емболия (вж.</w:t>
      </w:r>
      <w:r w:rsidRPr="009226FA">
        <w:rPr>
          <w:rFonts w:eastAsia="Times New Roman" w:cs="Arial"/>
          <w:color w:val="000000"/>
          <w:lang w:val="en-US" w:eastAsia="bg-BG"/>
        </w:rPr>
        <w:t xml:space="preserve"> </w:t>
      </w:r>
      <w:r w:rsidRPr="009226FA">
        <w:rPr>
          <w:rFonts w:cs="Arial"/>
        </w:rPr>
        <w:t>точка 4.8). Случаи на белодробна емболия с летален изход са наблюдавани по време на постмаркетинговия период на наблюдение.</w:t>
      </w:r>
    </w:p>
    <w:p w14:paraId="33752509" w14:textId="77777777" w:rsidR="003F729A" w:rsidRDefault="003F729A" w:rsidP="003F729A">
      <w:pPr>
        <w:rPr>
          <w:u w:val="single"/>
        </w:rPr>
      </w:pPr>
    </w:p>
    <w:p w14:paraId="13698F22" w14:textId="3A5A40CF" w:rsidR="003F729A" w:rsidRDefault="003F729A" w:rsidP="003F729A">
      <w:r>
        <w:rPr>
          <w:u w:val="single"/>
        </w:rPr>
        <w:t>Артериални тромбоемболични събития</w:t>
      </w:r>
    </w:p>
    <w:p w14:paraId="53A4D9A7" w14:textId="77777777" w:rsidR="003F729A" w:rsidRDefault="003F729A" w:rsidP="003F729A">
      <w:r>
        <w:lastRenderedPageBreak/>
        <w:t>При пациенти, лекувани със сунитиниб, са съобщавани случаи на артериални тромбоемболични събития (АТС), понякога фатални. Най-честите събития включват мозъчносъдов инцидент, преходна исхемична атака и мозъчен инсулт. Рисковите фактори, свързани с АТС, в допълнение към подлежащо злокачествено заболяване и възраст &gt;65 години са хипертония, захарен диабет и предишно тромбоемболично заболяване.</w:t>
      </w:r>
    </w:p>
    <w:p w14:paraId="24E683C7" w14:textId="77777777" w:rsidR="003F729A" w:rsidRDefault="003F729A" w:rsidP="003F729A">
      <w:pPr>
        <w:rPr>
          <w:u w:val="single"/>
        </w:rPr>
      </w:pPr>
    </w:p>
    <w:p w14:paraId="763EAE63" w14:textId="37BB3B81" w:rsidR="003F729A" w:rsidRDefault="003F729A" w:rsidP="003F729A">
      <w:r>
        <w:rPr>
          <w:u w:val="single"/>
        </w:rPr>
        <w:t>Аневризми и артериални дисекации</w:t>
      </w:r>
    </w:p>
    <w:p w14:paraId="5DB4FA2F" w14:textId="77777777" w:rsidR="003F729A" w:rsidRDefault="003F729A" w:rsidP="003F729A">
      <w:r>
        <w:t xml:space="preserve">Използването на инхибитори на пътя на </w:t>
      </w:r>
      <w:r>
        <w:rPr>
          <w:lang w:val="en-US"/>
        </w:rPr>
        <w:t xml:space="preserve">VEGF </w:t>
      </w:r>
      <w:r>
        <w:t>при пациенти със или без хипертония може да подпомогне образуването на аневризми и/или артериални дисекации. Преди започването на лечение с Сунитиниб Тева, трябва внимателно да се прецени този риск при пациенти с рискови фактори като хипертония или анамнеза за аневризма.</w:t>
      </w:r>
    </w:p>
    <w:p w14:paraId="63C92C74" w14:textId="77777777" w:rsidR="003F729A" w:rsidRDefault="003F729A" w:rsidP="003F729A">
      <w:pPr>
        <w:rPr>
          <w:u w:val="single"/>
        </w:rPr>
      </w:pPr>
    </w:p>
    <w:p w14:paraId="02EEBE69" w14:textId="20186AE2" w:rsidR="003F729A" w:rsidRDefault="003F729A" w:rsidP="003F729A">
      <w:r>
        <w:rPr>
          <w:u w:val="single"/>
        </w:rPr>
        <w:t>Тромботична микроангиопатия (ТМА)</w:t>
      </w:r>
    </w:p>
    <w:p w14:paraId="1C0B73C0" w14:textId="77777777" w:rsidR="003F729A" w:rsidRDefault="003F729A" w:rsidP="003F729A">
      <w:r>
        <w:t>При появата на хемолитична анемия, тромбоцитопения, умора, флуктуираща неврологична симптоматика, бъбречно увреждане и треска е необходимо да се обмисли ТМ А като диагноза, включително тромботична тромбоцитопенична пурпура (ТТП) и хемолитично-уремичен синдром (ХУС), понякога водещи до бъбречна недостатъчност или летален изход. Терапията със сунитиниб трябва да бъде прекратена при пациенти, които развият ТМА, и е необходимо своевременно лечение. Наблюдавано е отшумяване на симптомите на ТМА след прекратяване на лечението (вж. точка 4.8).</w:t>
      </w:r>
    </w:p>
    <w:p w14:paraId="1B517C40" w14:textId="77777777" w:rsidR="003F729A" w:rsidRDefault="003F729A" w:rsidP="003F729A">
      <w:pPr>
        <w:rPr>
          <w:u w:val="single"/>
        </w:rPr>
      </w:pPr>
    </w:p>
    <w:p w14:paraId="7E6449AA" w14:textId="6338F665" w:rsidR="003F729A" w:rsidRDefault="003F729A" w:rsidP="003F729A">
      <w:r>
        <w:rPr>
          <w:u w:val="single"/>
        </w:rPr>
        <w:t>Тиреоидна дисфункпия</w:t>
      </w:r>
    </w:p>
    <w:p w14:paraId="686B0973" w14:textId="77777777" w:rsidR="003F729A" w:rsidRDefault="003F729A" w:rsidP="003F729A">
      <w:r>
        <w:t>Препоръчва се начално лабораторно изследване на функцията на щитовидната жлеза при всички пациенти. Пациентите с анамнеза за хипотиреоидизъм или хипертиреоидизъм трябва да бъдат лекувани според стандартната медицинска практика преди началото на лечението със сунитиниб. По време на лечение със сунитиниб, трябва да се извършва рутинно проследяване на тиреоидната функция на всеки 3 месеца. В допълнение пациентите трябва да бъдат наблюдавани внимателно за признаци и симптоми на тиреоидна дисфункция по време на лечението и на пациентите, проявили признаци и/или симптоми, насочващи към тиреоидна дисфункция, трябва да се направи лабораторно изследване на функцията на щитовидната жлеза според клиничните изисквания. Пациентите, които развият тиреоидна дисфункция, трябва да бъдат лекувани според стандартната медицинска практика.</w:t>
      </w:r>
    </w:p>
    <w:p w14:paraId="6F1712CB" w14:textId="77777777" w:rsidR="003F729A" w:rsidRDefault="003F729A" w:rsidP="003F729A"/>
    <w:p w14:paraId="6D566302" w14:textId="0B203ED4" w:rsidR="003F729A" w:rsidRDefault="003F729A" w:rsidP="003F729A">
      <w:r>
        <w:t>Хипотиреоидизъм е наблюдаван в началото, както и в по-късните етапи на лечението със сунитиниб (вж. точка 4.8).</w:t>
      </w:r>
    </w:p>
    <w:p w14:paraId="287AD3E8" w14:textId="77777777" w:rsidR="003F729A" w:rsidRDefault="003F729A" w:rsidP="003F729A">
      <w:pPr>
        <w:rPr>
          <w:u w:val="single"/>
        </w:rPr>
      </w:pPr>
    </w:p>
    <w:p w14:paraId="26212296" w14:textId="062A869C" w:rsidR="003F729A" w:rsidRDefault="003F729A" w:rsidP="003F729A">
      <w:r>
        <w:rPr>
          <w:u w:val="single"/>
        </w:rPr>
        <w:t>Панкреатит</w:t>
      </w:r>
    </w:p>
    <w:p w14:paraId="6038ACD5" w14:textId="77777777" w:rsidR="003F729A" w:rsidRDefault="003F729A" w:rsidP="003F729A">
      <w:r>
        <w:t>Повишения в активността на серумната липаза и на амилазата са наблюдавани при пациенти с различни солидни тумори, които са приемали сунитиниб. Повишенията в активността на липазата при лица с различни солидни тумори са били преходни и обикновено не са били придружени от признаци или симптоми на панкреатит (вж. точка 4.8).</w:t>
      </w:r>
    </w:p>
    <w:p w14:paraId="0C7F2E93" w14:textId="77777777" w:rsidR="003F729A" w:rsidRDefault="003F729A" w:rsidP="003F729A"/>
    <w:p w14:paraId="794B4722" w14:textId="2D4A0A70" w:rsidR="003F729A" w:rsidRDefault="003F729A" w:rsidP="003F729A">
      <w:r>
        <w:t>Съобщени са случаи на сериозни панкреатични събития, някои с фатален изход. Ако са налице симптоми на панкреатит, терапията със сунитиниб трябва да се преустанови, а на пациентите да се осигури подходящо поддържащо лечение.</w:t>
      </w:r>
    </w:p>
    <w:p w14:paraId="52D76BA9" w14:textId="77777777" w:rsidR="003F729A" w:rsidRDefault="003F729A" w:rsidP="003F729A">
      <w:pPr>
        <w:rPr>
          <w:u w:val="single"/>
        </w:rPr>
      </w:pPr>
    </w:p>
    <w:p w14:paraId="57F4E8CC" w14:textId="6AEAF575" w:rsidR="003F729A" w:rsidRDefault="003F729A" w:rsidP="003F729A">
      <w:r>
        <w:rPr>
          <w:u w:val="single"/>
        </w:rPr>
        <w:t>Хепатотоксичност</w:t>
      </w:r>
    </w:p>
    <w:p w14:paraId="6993C747" w14:textId="77777777" w:rsidR="003F729A" w:rsidRDefault="003F729A" w:rsidP="003F729A">
      <w:r>
        <w:t xml:space="preserve">При пациенти, лекувани със сунитиниб е наблюдавана хепатотоксичност. Случаи на </w:t>
      </w:r>
    </w:p>
    <w:p w14:paraId="4200DB31" w14:textId="77777777" w:rsidR="003F729A" w:rsidRPr="009226FA" w:rsidRDefault="003F729A" w:rsidP="003F729A">
      <w:pPr>
        <w:rPr>
          <w:rFonts w:eastAsia="Times New Roman" w:cs="Arial"/>
          <w:lang w:eastAsia="bg-BG"/>
        </w:rPr>
      </w:pPr>
      <w:r>
        <w:t xml:space="preserve">чернодробна недостатъчност, понякога с фатален изход са наблюдавани при &lt;1% от пациентите  със солидни тумори, лекувани със сунитиниб. Необходимо е мониториране на чернодробните функционални изследвания (аланин аминотрансфераза (АЛАТ), </w:t>
      </w:r>
      <w:r w:rsidRPr="009226FA">
        <w:rPr>
          <w:rFonts w:cs="Arial"/>
        </w:rPr>
        <w:t>аспартат трансаминазата (</w:t>
      </w:r>
      <w:r w:rsidRPr="009226FA">
        <w:rPr>
          <w:rFonts w:cs="Arial"/>
          <w:lang w:val="en-US"/>
        </w:rPr>
        <w:t>ACT</w:t>
      </w:r>
      <w:r w:rsidRPr="009226FA">
        <w:rPr>
          <w:rFonts w:cs="Arial"/>
        </w:rPr>
        <w:t>) нива на билирубин) преди започване на лечението, по време на всеки цикъл от лечението и когато е клинично показано. При наличие на признаци или симптоми на чернодробна</w:t>
      </w:r>
      <w:r w:rsidRPr="009226FA">
        <w:rPr>
          <w:rFonts w:cs="Arial"/>
          <w:lang w:val="en-US"/>
        </w:rPr>
        <w:t xml:space="preserve"> </w:t>
      </w:r>
      <w:r w:rsidRPr="009226FA">
        <w:rPr>
          <w:rFonts w:eastAsia="Times New Roman" w:cs="Arial"/>
          <w:color w:val="000000"/>
          <w:lang w:eastAsia="bg-BG"/>
        </w:rPr>
        <w:t>недостатъчност, сунитиниб трябва да бъде спрян и трябва да се приложат подходящи поддържащи мерки (вж. точка 4.8).</w:t>
      </w:r>
    </w:p>
    <w:p w14:paraId="14EB92EF" w14:textId="77777777" w:rsidR="003F729A" w:rsidRPr="009226FA" w:rsidRDefault="003F729A" w:rsidP="003F729A">
      <w:pPr>
        <w:spacing w:line="240" w:lineRule="auto"/>
        <w:rPr>
          <w:rFonts w:eastAsia="Times New Roman" w:cs="Arial"/>
          <w:color w:val="000000"/>
          <w:u w:val="single"/>
          <w:lang w:eastAsia="bg-BG"/>
        </w:rPr>
      </w:pPr>
    </w:p>
    <w:p w14:paraId="35E5C00B" w14:textId="73761AB5" w:rsidR="003F729A" w:rsidRPr="003F729A" w:rsidRDefault="003F729A" w:rsidP="003F729A">
      <w:pPr>
        <w:spacing w:line="240" w:lineRule="auto"/>
        <w:rPr>
          <w:rFonts w:eastAsia="Times New Roman" w:cs="Arial"/>
          <w:lang w:eastAsia="bg-BG"/>
        </w:rPr>
      </w:pPr>
      <w:r w:rsidRPr="003F729A">
        <w:rPr>
          <w:rFonts w:eastAsia="Times New Roman" w:cs="Arial"/>
          <w:color w:val="000000"/>
          <w:u w:val="single"/>
          <w:lang w:eastAsia="bg-BG"/>
        </w:rPr>
        <w:t>Бъбречна функция</w:t>
      </w:r>
    </w:p>
    <w:p w14:paraId="4A052649" w14:textId="77777777"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Съобщава се за случаи на бъбречно увреждане, бъбречна недостатъчност и/или остра бъбречна недостатъчност, в някои случаи с фатален изход (вж. точка 4.8).</w:t>
      </w:r>
    </w:p>
    <w:p w14:paraId="0CB76A4F" w14:textId="77777777" w:rsidR="003F729A" w:rsidRPr="009226FA" w:rsidRDefault="003F729A" w:rsidP="003F729A">
      <w:pPr>
        <w:spacing w:line="240" w:lineRule="auto"/>
        <w:rPr>
          <w:rFonts w:eastAsia="Times New Roman" w:cs="Arial"/>
          <w:color w:val="000000"/>
          <w:lang w:eastAsia="bg-BG"/>
        </w:rPr>
      </w:pPr>
    </w:p>
    <w:p w14:paraId="429A9284" w14:textId="332E27BE"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Рискови фактори, свързани с бъбречно увреждане/недостатъчност, при пациенти, приемащи сунитиниб, в допълнение към подлежащ бъбречноклетьчен карцином (БКК) са старческа възраст, захарен диабет, подлежащо бъбречно увреждане, сърдечна недостатъчност, хипертония, сепсис, дехидратация/хиповолемия и рабдомиолиза.</w:t>
      </w:r>
    </w:p>
    <w:p w14:paraId="543FEB2E" w14:textId="77777777" w:rsidR="003F729A" w:rsidRPr="009226FA" w:rsidRDefault="003F729A" w:rsidP="003F729A">
      <w:pPr>
        <w:spacing w:line="240" w:lineRule="auto"/>
        <w:rPr>
          <w:rFonts w:eastAsia="Times New Roman" w:cs="Arial"/>
          <w:color w:val="000000"/>
          <w:lang w:eastAsia="bg-BG"/>
        </w:rPr>
      </w:pPr>
    </w:p>
    <w:p w14:paraId="3EF39D2E" w14:textId="6D7247F8"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Безопасността от непрекъснато лечение със сунитиниб при пациенти с умерена до тежка протеинурия не е систематично оценена.</w:t>
      </w:r>
    </w:p>
    <w:p w14:paraId="2AC54845" w14:textId="77777777" w:rsidR="003F729A" w:rsidRPr="009226FA" w:rsidRDefault="003F729A" w:rsidP="003F729A">
      <w:pPr>
        <w:spacing w:line="240" w:lineRule="auto"/>
        <w:rPr>
          <w:rFonts w:eastAsia="Times New Roman" w:cs="Arial"/>
          <w:color w:val="000000"/>
          <w:lang w:eastAsia="bg-BG"/>
        </w:rPr>
      </w:pPr>
    </w:p>
    <w:p w14:paraId="22E1D5A3" w14:textId="6959880D"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Съобщени са случаи на протеинурия и редки случаи на нефротичен синдром. Препоръчва се изходно изследване на урината, като пациентите трябва да бъдат наблюдавани за развитие или влошаване на протеинурията. Приемът на сунитиниб се преустановява при пациенти с нефротичен синдром.</w:t>
      </w:r>
    </w:p>
    <w:p w14:paraId="5A2F72F2" w14:textId="77777777" w:rsidR="003F729A" w:rsidRPr="009226FA" w:rsidRDefault="003F729A" w:rsidP="003F729A">
      <w:pPr>
        <w:spacing w:line="240" w:lineRule="auto"/>
        <w:rPr>
          <w:rFonts w:eastAsia="Times New Roman" w:cs="Arial"/>
          <w:color w:val="000000"/>
          <w:u w:val="single"/>
          <w:lang w:eastAsia="bg-BG"/>
        </w:rPr>
      </w:pPr>
    </w:p>
    <w:p w14:paraId="4CCDA595" w14:textId="21872F54" w:rsidR="003F729A" w:rsidRPr="003F729A" w:rsidRDefault="003F729A" w:rsidP="003F729A">
      <w:pPr>
        <w:spacing w:line="240" w:lineRule="auto"/>
        <w:rPr>
          <w:rFonts w:eastAsia="Times New Roman" w:cs="Arial"/>
          <w:lang w:eastAsia="bg-BG"/>
        </w:rPr>
      </w:pPr>
      <w:r w:rsidRPr="003F729A">
        <w:rPr>
          <w:rFonts w:eastAsia="Times New Roman" w:cs="Arial"/>
          <w:color w:val="000000"/>
          <w:u w:val="single"/>
          <w:lang w:eastAsia="bg-BG"/>
        </w:rPr>
        <w:t>Фистула</w:t>
      </w:r>
    </w:p>
    <w:p w14:paraId="08561707" w14:textId="77777777"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Ако се образува фистула, лечението със сунитиниб трябва да се прекрати. Има ограничена информация относно продължаване на лечението със сунитиниб при пациенти с фистули (вж. точка 4.8).</w:t>
      </w:r>
    </w:p>
    <w:p w14:paraId="30069888" w14:textId="77777777" w:rsidR="003F729A" w:rsidRPr="009226FA" w:rsidRDefault="003F729A" w:rsidP="003F729A">
      <w:pPr>
        <w:spacing w:line="240" w:lineRule="auto"/>
        <w:rPr>
          <w:rFonts w:eastAsia="Times New Roman" w:cs="Arial"/>
          <w:color w:val="000000"/>
          <w:u w:val="single"/>
          <w:lang w:eastAsia="bg-BG"/>
        </w:rPr>
      </w:pPr>
    </w:p>
    <w:p w14:paraId="69BE2F79" w14:textId="2DA1B76D" w:rsidR="003F729A" w:rsidRPr="003F729A" w:rsidRDefault="003F729A" w:rsidP="003F729A">
      <w:pPr>
        <w:spacing w:line="240" w:lineRule="auto"/>
        <w:rPr>
          <w:rFonts w:eastAsia="Times New Roman" w:cs="Arial"/>
          <w:lang w:eastAsia="bg-BG"/>
        </w:rPr>
      </w:pPr>
      <w:r w:rsidRPr="003F729A">
        <w:rPr>
          <w:rFonts w:eastAsia="Times New Roman" w:cs="Arial"/>
          <w:color w:val="000000"/>
          <w:u w:val="single"/>
          <w:lang w:eastAsia="bg-BG"/>
        </w:rPr>
        <w:t>Нарушено заздравяване на рани</w:t>
      </w:r>
    </w:p>
    <w:p w14:paraId="40301D2F" w14:textId="77777777"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По време на лечението със сунитиниб се съобщават случаи на нарушено заздравяване на рани.</w:t>
      </w:r>
    </w:p>
    <w:p w14:paraId="534C3533" w14:textId="77777777" w:rsidR="003F729A" w:rsidRPr="009226FA" w:rsidRDefault="003F729A" w:rsidP="003F729A">
      <w:pPr>
        <w:spacing w:line="240" w:lineRule="auto"/>
        <w:rPr>
          <w:rFonts w:eastAsia="Times New Roman" w:cs="Arial"/>
          <w:color w:val="000000"/>
          <w:lang w:eastAsia="bg-BG"/>
        </w:rPr>
      </w:pPr>
    </w:p>
    <w:p w14:paraId="10DC60F4" w14:textId="0FDAADDA"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Не са провеждани официални клинични изпитвания за ефекта на сунитиниб върху заздравяването на раните. При пациенти, подложени на големи хирургични интервенции, от съображения за безопасност се препоръчва временно спиране на лечението със сунитиниб. Има ограничен клиничен опит по отношение на времето за възобновяване на терапията след голяма хирургична интервенция. Следователно решението за възобновяване на лечението със сунитиниб след голяма хирургична интервенция трябва да се основава на клиничната преценка за възстановяването след операцията.</w:t>
      </w:r>
    </w:p>
    <w:p w14:paraId="5CB832F1" w14:textId="77777777" w:rsidR="003F729A" w:rsidRPr="009226FA" w:rsidRDefault="003F729A" w:rsidP="003F729A">
      <w:pPr>
        <w:spacing w:line="240" w:lineRule="auto"/>
        <w:rPr>
          <w:rFonts w:eastAsia="Times New Roman" w:cs="Arial"/>
          <w:color w:val="000000"/>
          <w:u w:val="single"/>
          <w:lang w:eastAsia="bg-BG"/>
        </w:rPr>
      </w:pPr>
    </w:p>
    <w:p w14:paraId="7180320D" w14:textId="08165B46" w:rsidR="003F729A" w:rsidRPr="003F729A" w:rsidRDefault="003F729A" w:rsidP="003F729A">
      <w:pPr>
        <w:spacing w:line="240" w:lineRule="auto"/>
        <w:rPr>
          <w:rFonts w:eastAsia="Times New Roman" w:cs="Arial"/>
          <w:lang w:eastAsia="bg-BG"/>
        </w:rPr>
      </w:pPr>
      <w:r w:rsidRPr="003F729A">
        <w:rPr>
          <w:rFonts w:eastAsia="Times New Roman" w:cs="Arial"/>
          <w:color w:val="000000"/>
          <w:u w:val="single"/>
          <w:lang w:eastAsia="bg-BG"/>
        </w:rPr>
        <w:t>Остеонекроза на челюстта ЮНЧ)</w:t>
      </w:r>
    </w:p>
    <w:p w14:paraId="5E0D0C84" w14:textId="77777777"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 xml:space="preserve">При пациенти, лекувани със сунитиниб се съобщава за случаи на остеонекроза на челюстта. Повечето случаи са съобщени при пациенти, които са получили предшестващо или съпътстващо лечение с интравенозно прилагани бифосфонати, при които остеонекрозата на челюстта е идентифициран риск. Поради това се изисква повишено </w:t>
      </w:r>
      <w:r w:rsidRPr="003F729A">
        <w:rPr>
          <w:rFonts w:eastAsia="Times New Roman" w:cs="Arial"/>
          <w:color w:val="000000"/>
          <w:lang w:eastAsia="bg-BG"/>
        </w:rPr>
        <w:lastRenderedPageBreak/>
        <w:t>внимание, когато сунитиниб и интравенозно прилагани бифосфонати се прилагат или едновременно или последователно.</w:t>
      </w:r>
    </w:p>
    <w:p w14:paraId="653726DC" w14:textId="77777777" w:rsidR="003F729A" w:rsidRPr="009226FA" w:rsidRDefault="003F729A" w:rsidP="003F729A">
      <w:pPr>
        <w:spacing w:line="240" w:lineRule="auto"/>
        <w:rPr>
          <w:rFonts w:eastAsia="Times New Roman" w:cs="Arial"/>
          <w:color w:val="000000"/>
          <w:lang w:eastAsia="bg-BG"/>
        </w:rPr>
      </w:pPr>
    </w:p>
    <w:p w14:paraId="35A5FE18" w14:textId="77DC9B1A"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Инвазивните дентални процедури също са идентифициран рисков фактор. Преди да се започне лечение със сунитиниб трябва да се има предвид дентален преглед и подходящи превантивни стоматологични мерки. При пациенти, които са приемали или все още приемат интравенозно бифосфонати, инвазивните дентални процедури трябва да се избягват, ако е възможно (вж. точка 4.8).</w:t>
      </w:r>
    </w:p>
    <w:p w14:paraId="48261411" w14:textId="77777777" w:rsidR="003F729A" w:rsidRPr="009226FA" w:rsidRDefault="003F729A" w:rsidP="003F729A">
      <w:pPr>
        <w:spacing w:line="240" w:lineRule="auto"/>
        <w:rPr>
          <w:rFonts w:eastAsia="Times New Roman" w:cs="Arial"/>
          <w:color w:val="000000"/>
          <w:u w:val="single"/>
          <w:lang w:eastAsia="bg-BG"/>
        </w:rPr>
      </w:pPr>
    </w:p>
    <w:p w14:paraId="3C11A5E7" w14:textId="0EA4177F" w:rsidR="003F729A" w:rsidRPr="003F729A" w:rsidRDefault="003F729A" w:rsidP="003F729A">
      <w:pPr>
        <w:spacing w:line="240" w:lineRule="auto"/>
        <w:rPr>
          <w:rFonts w:eastAsia="Times New Roman" w:cs="Arial"/>
          <w:lang w:eastAsia="bg-BG"/>
        </w:rPr>
      </w:pPr>
      <w:r w:rsidRPr="003F729A">
        <w:rPr>
          <w:rFonts w:eastAsia="Times New Roman" w:cs="Arial"/>
          <w:color w:val="000000"/>
          <w:u w:val="single"/>
          <w:lang w:eastAsia="bg-BG"/>
        </w:rPr>
        <w:t>Свръхчувствителност/ангиоедем</w:t>
      </w:r>
    </w:p>
    <w:p w14:paraId="0C1657D4" w14:textId="77777777"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Ако настъпи ангиодем вследствие на свръхчувствителност, лечението със сунитиниб трябва да се прекрати и да се окаже стандартна медицинска помощ (вж. точка 4.8).</w:t>
      </w:r>
    </w:p>
    <w:p w14:paraId="5207C1D6" w14:textId="77777777" w:rsidR="003F729A" w:rsidRPr="009226FA" w:rsidRDefault="003F729A" w:rsidP="003F729A">
      <w:pPr>
        <w:spacing w:line="240" w:lineRule="auto"/>
        <w:rPr>
          <w:rFonts w:eastAsia="Times New Roman" w:cs="Arial"/>
          <w:color w:val="000000"/>
          <w:u w:val="single"/>
          <w:lang w:eastAsia="bg-BG"/>
        </w:rPr>
      </w:pPr>
    </w:p>
    <w:p w14:paraId="50340960" w14:textId="1AFC0991" w:rsidR="003F729A" w:rsidRPr="003F729A" w:rsidRDefault="003F729A" w:rsidP="003F729A">
      <w:pPr>
        <w:spacing w:line="240" w:lineRule="auto"/>
        <w:rPr>
          <w:rFonts w:eastAsia="Times New Roman" w:cs="Arial"/>
          <w:lang w:eastAsia="bg-BG"/>
        </w:rPr>
      </w:pPr>
      <w:r w:rsidRPr="003F729A">
        <w:rPr>
          <w:rFonts w:eastAsia="Times New Roman" w:cs="Arial"/>
          <w:color w:val="000000"/>
          <w:u w:val="single"/>
          <w:lang w:eastAsia="bg-BG"/>
        </w:rPr>
        <w:t>Гърчове</w:t>
      </w:r>
    </w:p>
    <w:p w14:paraId="04CE84E5" w14:textId="77777777" w:rsidR="003F729A" w:rsidRPr="009226FA" w:rsidRDefault="003F729A" w:rsidP="003F729A">
      <w:pPr>
        <w:rPr>
          <w:rFonts w:eastAsia="Times New Roman" w:cs="Arial"/>
          <w:lang w:eastAsia="bg-BG"/>
        </w:rPr>
      </w:pPr>
      <w:r w:rsidRPr="009226FA">
        <w:rPr>
          <w:rFonts w:eastAsia="Times New Roman" w:cs="Arial"/>
          <w:color w:val="000000"/>
          <w:lang w:eastAsia="bg-BG"/>
        </w:rPr>
        <w:t>В клинични проучвания на сунитиниб и от постмаркетингово наблюдение са съобщени гърчове. Пациенти с гърчове и признаци/симптоми, съответстващи на синдром на обратима</w:t>
      </w:r>
      <w:r w:rsidRPr="009226FA">
        <w:rPr>
          <w:rFonts w:eastAsia="Times New Roman" w:cs="Arial"/>
          <w:color w:val="000000"/>
          <w:lang w:val="en-US" w:eastAsia="bg-BG"/>
        </w:rPr>
        <w:t xml:space="preserve"> </w:t>
      </w:r>
      <w:r w:rsidRPr="009226FA">
        <w:rPr>
          <w:rFonts w:eastAsia="Times New Roman" w:cs="Arial"/>
          <w:color w:val="000000"/>
          <w:lang w:eastAsia="bg-BG"/>
        </w:rPr>
        <w:t>задна левкоенцефалопатия (СОЗЛ) като хипертония, главоболие, намалено внимание, променени умствени функции и загуба на зрението, включително кортикална слепота, трябва да бъдат контролирани чрез медицински средства, включително контрол на хипертонията. Препоръчва се временно прекъсване на лечението със сунитиниб; след възстановяването лечението може да бъде възобновено по решение на лекуващия лекар (вж. точка 4.8).</w:t>
      </w:r>
    </w:p>
    <w:p w14:paraId="07607BA2" w14:textId="77777777" w:rsidR="003F729A" w:rsidRPr="009226FA" w:rsidRDefault="003F729A" w:rsidP="003F729A">
      <w:pPr>
        <w:spacing w:line="240" w:lineRule="auto"/>
        <w:rPr>
          <w:rFonts w:eastAsia="Times New Roman" w:cs="Arial"/>
          <w:color w:val="000000"/>
          <w:u w:val="single"/>
          <w:lang w:eastAsia="bg-BG"/>
        </w:rPr>
      </w:pPr>
    </w:p>
    <w:p w14:paraId="01CD0928" w14:textId="190246BD" w:rsidR="003F729A" w:rsidRPr="003F729A" w:rsidRDefault="003F729A" w:rsidP="003F729A">
      <w:pPr>
        <w:spacing w:line="240" w:lineRule="auto"/>
        <w:rPr>
          <w:rFonts w:eastAsia="Times New Roman" w:cs="Arial"/>
          <w:lang w:eastAsia="bg-BG"/>
        </w:rPr>
      </w:pPr>
      <w:r w:rsidRPr="003F729A">
        <w:rPr>
          <w:rFonts w:eastAsia="Times New Roman" w:cs="Arial"/>
          <w:color w:val="000000"/>
          <w:u w:val="single"/>
          <w:lang w:eastAsia="bg-BG"/>
        </w:rPr>
        <w:t>Синдром на туморен разпад (СТР)</w:t>
      </w:r>
    </w:p>
    <w:p w14:paraId="31E4ED58" w14:textId="77777777"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Случаи на СТР, някои от които фатални, са наблюдавани рядко по време на клиничните изпитвания и при постмаркетинговото наблюдение при пациенти, лекувани със сунитиниб. Рисковите фактори за СТР включват голяма маса на тумора, предшестваща хронична бъбречна недостатъчност, олигурия, дехидратация, хипотония и кисела урина. Тези пациенти трябва стриктно да се проследяват и да се лекуват според клиничните изисквания, като трябва да се обмисли и профилактична хидратация.</w:t>
      </w:r>
    </w:p>
    <w:p w14:paraId="14659B44" w14:textId="77777777" w:rsidR="003F729A" w:rsidRPr="009226FA" w:rsidRDefault="003F729A" w:rsidP="003F729A">
      <w:pPr>
        <w:spacing w:line="240" w:lineRule="auto"/>
        <w:rPr>
          <w:rFonts w:eastAsia="Times New Roman" w:cs="Arial"/>
          <w:color w:val="000000"/>
          <w:u w:val="single"/>
          <w:lang w:eastAsia="bg-BG"/>
        </w:rPr>
      </w:pPr>
    </w:p>
    <w:p w14:paraId="36720A16" w14:textId="177591C3" w:rsidR="003F729A" w:rsidRPr="003F729A" w:rsidRDefault="003F729A" w:rsidP="003F729A">
      <w:pPr>
        <w:spacing w:line="240" w:lineRule="auto"/>
        <w:rPr>
          <w:rFonts w:eastAsia="Times New Roman" w:cs="Arial"/>
          <w:lang w:eastAsia="bg-BG"/>
        </w:rPr>
      </w:pPr>
      <w:r w:rsidRPr="003F729A">
        <w:rPr>
          <w:rFonts w:eastAsia="Times New Roman" w:cs="Arial"/>
          <w:color w:val="000000"/>
          <w:u w:val="single"/>
          <w:lang w:eastAsia="bg-BG"/>
        </w:rPr>
        <w:t>Инфекции</w:t>
      </w:r>
    </w:p>
    <w:p w14:paraId="4FF9B28D" w14:textId="77777777"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Има съобщения за сериозни инфекции, със или без неутропения, включително и някои с фатален край. Съобщава се за нечести случаи на некротизиращ фасциит, включително на перинеума, понякога с летален изход (вж. точка 4.8).</w:t>
      </w:r>
    </w:p>
    <w:p w14:paraId="3EEBF06C" w14:textId="77777777" w:rsidR="003F729A" w:rsidRPr="009226FA" w:rsidRDefault="003F729A" w:rsidP="003F729A">
      <w:pPr>
        <w:spacing w:line="240" w:lineRule="auto"/>
        <w:rPr>
          <w:rFonts w:eastAsia="Times New Roman" w:cs="Arial"/>
          <w:color w:val="000000"/>
          <w:lang w:eastAsia="bg-BG"/>
        </w:rPr>
      </w:pPr>
    </w:p>
    <w:p w14:paraId="3943ACC8" w14:textId="1B73A775"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При пациенти, които развият некротизиращ фасциит, лечението със сунитиниб трябва да се прекрати и своевременно трябва да се започне подходящо лечение.</w:t>
      </w:r>
    </w:p>
    <w:p w14:paraId="58A6F0ED" w14:textId="77777777" w:rsidR="003F729A" w:rsidRPr="009226FA" w:rsidRDefault="003F729A" w:rsidP="003F729A">
      <w:pPr>
        <w:spacing w:line="240" w:lineRule="auto"/>
        <w:rPr>
          <w:rFonts w:eastAsia="Times New Roman" w:cs="Arial"/>
          <w:color w:val="000000"/>
          <w:u w:val="single"/>
          <w:lang w:eastAsia="bg-BG"/>
        </w:rPr>
      </w:pPr>
    </w:p>
    <w:p w14:paraId="74483B29" w14:textId="60F2AB6A" w:rsidR="003F729A" w:rsidRPr="003F729A" w:rsidRDefault="003F729A" w:rsidP="003F729A">
      <w:pPr>
        <w:spacing w:line="240" w:lineRule="auto"/>
        <w:rPr>
          <w:rFonts w:eastAsia="Times New Roman" w:cs="Arial"/>
          <w:lang w:eastAsia="bg-BG"/>
        </w:rPr>
      </w:pPr>
      <w:r w:rsidRPr="003F729A">
        <w:rPr>
          <w:rFonts w:eastAsia="Times New Roman" w:cs="Arial"/>
          <w:color w:val="000000"/>
          <w:u w:val="single"/>
          <w:lang w:eastAsia="bg-BG"/>
        </w:rPr>
        <w:t>Хипогликемия</w:t>
      </w:r>
    </w:p>
    <w:p w14:paraId="1212912E" w14:textId="77777777"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По време на лечението със сунитиниб се съобщава за понижаване на глюкозата в кръвта, в някои случаи с клинична симптоматика и налагащи хоспитализация поради загуба на съзнание. В случай на симптоматична хипогликемия, приемът на сунитиниб трябва да бъде временно прекратен. Глюкозните нива в кръвта трябва да бъдат проследявани регулярно при пациенти с диабет, за да се оцени дали дозировката на антидиабетните лекарствени продукти трябва да се адаптира, за да се намали рискът от хипогликемия (вж. точка 4.8).</w:t>
      </w:r>
    </w:p>
    <w:p w14:paraId="2E1B1B4A" w14:textId="77777777" w:rsidR="003F729A" w:rsidRPr="009226FA" w:rsidRDefault="003F729A" w:rsidP="003F729A">
      <w:pPr>
        <w:spacing w:line="240" w:lineRule="auto"/>
        <w:rPr>
          <w:rFonts w:eastAsia="Times New Roman" w:cs="Arial"/>
          <w:color w:val="000000"/>
          <w:u w:val="single"/>
          <w:lang w:eastAsia="bg-BG"/>
        </w:rPr>
      </w:pPr>
    </w:p>
    <w:p w14:paraId="6D5839CC" w14:textId="19AD72D5" w:rsidR="003F729A" w:rsidRPr="003F729A" w:rsidRDefault="003F729A" w:rsidP="003F729A">
      <w:pPr>
        <w:spacing w:line="240" w:lineRule="auto"/>
        <w:rPr>
          <w:rFonts w:eastAsia="Times New Roman" w:cs="Arial"/>
          <w:lang w:eastAsia="bg-BG"/>
        </w:rPr>
      </w:pPr>
      <w:r w:rsidRPr="003F729A">
        <w:rPr>
          <w:rFonts w:eastAsia="Times New Roman" w:cs="Arial"/>
          <w:color w:val="000000"/>
          <w:u w:val="single"/>
          <w:lang w:eastAsia="bg-BG"/>
        </w:rPr>
        <w:t>Помощни вещества</w:t>
      </w:r>
    </w:p>
    <w:p w14:paraId="144AEE87" w14:textId="77777777" w:rsidR="003F729A" w:rsidRPr="009226FA" w:rsidRDefault="003F729A" w:rsidP="003F729A">
      <w:pPr>
        <w:spacing w:line="240" w:lineRule="auto"/>
        <w:rPr>
          <w:rFonts w:eastAsia="Times New Roman" w:cs="Arial"/>
          <w:i/>
          <w:iCs/>
          <w:color w:val="000000"/>
          <w:lang w:eastAsia="bg-BG"/>
        </w:rPr>
      </w:pPr>
    </w:p>
    <w:p w14:paraId="6CAE27C4" w14:textId="403A3689" w:rsidR="003F729A" w:rsidRPr="003F729A" w:rsidRDefault="003F729A" w:rsidP="003F729A">
      <w:pPr>
        <w:spacing w:line="240" w:lineRule="auto"/>
        <w:rPr>
          <w:rFonts w:eastAsia="Times New Roman" w:cs="Arial"/>
          <w:lang w:eastAsia="bg-BG"/>
        </w:rPr>
      </w:pPr>
      <w:r w:rsidRPr="003F729A">
        <w:rPr>
          <w:rFonts w:eastAsia="Times New Roman" w:cs="Arial"/>
          <w:i/>
          <w:iCs/>
          <w:color w:val="000000"/>
          <w:lang w:eastAsia="bg-BG"/>
        </w:rPr>
        <w:lastRenderedPageBreak/>
        <w:t>Натрий</w:t>
      </w:r>
    </w:p>
    <w:p w14:paraId="0E28BBDE" w14:textId="70387054" w:rsidR="007A2185" w:rsidRPr="009226FA" w:rsidRDefault="003F729A" w:rsidP="003F729A">
      <w:pPr>
        <w:rPr>
          <w:rFonts w:cs="Arial"/>
          <w:lang w:val="en-US"/>
        </w:rPr>
      </w:pPr>
      <w:r w:rsidRPr="009226FA">
        <w:rPr>
          <w:rFonts w:eastAsia="Times New Roman" w:cs="Arial"/>
          <w:color w:val="000000"/>
          <w:lang w:eastAsia="bg-BG"/>
        </w:rPr>
        <w:t xml:space="preserve">Това лекарство съдържа по-малко от 1 </w:t>
      </w:r>
      <w:proofErr w:type="spellStart"/>
      <w:r w:rsidRPr="009226FA">
        <w:rPr>
          <w:rFonts w:eastAsia="Times New Roman" w:cs="Arial"/>
          <w:color w:val="000000"/>
          <w:lang w:val="en-US"/>
        </w:rPr>
        <w:t>mmol</w:t>
      </w:r>
      <w:proofErr w:type="spellEnd"/>
      <w:r w:rsidRPr="009226FA">
        <w:rPr>
          <w:rFonts w:eastAsia="Times New Roman" w:cs="Arial"/>
          <w:color w:val="000000"/>
          <w:lang w:val="en-US"/>
        </w:rPr>
        <w:t xml:space="preserve"> </w:t>
      </w:r>
      <w:r w:rsidRPr="009226FA">
        <w:rPr>
          <w:rFonts w:eastAsia="Times New Roman" w:cs="Arial"/>
          <w:color w:val="000000"/>
          <w:lang w:eastAsia="bg-BG"/>
        </w:rPr>
        <w:t xml:space="preserve">натрий (23 </w:t>
      </w:r>
      <w:r w:rsidRPr="009226FA">
        <w:rPr>
          <w:rFonts w:eastAsia="Times New Roman" w:cs="Arial"/>
          <w:color w:val="000000"/>
          <w:lang w:val="en-US"/>
        </w:rPr>
        <w:t xml:space="preserve">mg) </w:t>
      </w:r>
      <w:r w:rsidRPr="009226FA">
        <w:rPr>
          <w:rFonts w:eastAsia="Times New Roman" w:cs="Arial"/>
          <w:color w:val="000000"/>
          <w:lang w:eastAsia="bg-BG"/>
        </w:rPr>
        <w:t>на твърда капсула, т.е. може да се каже, че практически не съдържа натрий.</w:t>
      </w:r>
    </w:p>
    <w:p w14:paraId="24E3E82F" w14:textId="77777777" w:rsidR="0091385D" w:rsidRPr="0091385D" w:rsidRDefault="0091385D"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29AB8013" w14:textId="77777777"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Проучвания на взаимодействията са провеждани само при възрастни.</w:t>
      </w:r>
    </w:p>
    <w:p w14:paraId="7A171248" w14:textId="77777777" w:rsidR="003F729A" w:rsidRPr="009226FA" w:rsidRDefault="003F729A" w:rsidP="003F729A">
      <w:pPr>
        <w:spacing w:line="240" w:lineRule="auto"/>
        <w:rPr>
          <w:rFonts w:eastAsia="Times New Roman" w:cs="Arial"/>
          <w:color w:val="000000"/>
          <w:u w:val="single"/>
          <w:lang w:eastAsia="bg-BG"/>
        </w:rPr>
      </w:pPr>
    </w:p>
    <w:p w14:paraId="335D10CD" w14:textId="5AF813A9" w:rsidR="003F729A" w:rsidRPr="003F729A" w:rsidRDefault="003F729A" w:rsidP="003F729A">
      <w:pPr>
        <w:spacing w:line="240" w:lineRule="auto"/>
        <w:rPr>
          <w:rFonts w:eastAsia="Times New Roman" w:cs="Arial"/>
          <w:lang w:eastAsia="bg-BG"/>
        </w:rPr>
      </w:pPr>
      <w:r w:rsidRPr="003F729A">
        <w:rPr>
          <w:rFonts w:eastAsia="Times New Roman" w:cs="Arial"/>
          <w:color w:val="000000"/>
          <w:u w:val="single"/>
          <w:lang w:eastAsia="bg-BG"/>
        </w:rPr>
        <w:t xml:space="preserve">Лекарствени продукти, които могат да </w:t>
      </w:r>
      <w:r w:rsidRPr="003F729A">
        <w:rPr>
          <w:rFonts w:eastAsia="Times New Roman" w:cs="Arial"/>
          <w:b/>
          <w:bCs/>
          <w:color w:val="000000"/>
          <w:u w:val="single"/>
          <w:lang w:eastAsia="bg-BG"/>
        </w:rPr>
        <w:t xml:space="preserve">повишат </w:t>
      </w:r>
      <w:r w:rsidRPr="003F729A">
        <w:rPr>
          <w:rFonts w:eastAsia="Times New Roman" w:cs="Arial"/>
          <w:color w:val="000000"/>
          <w:u w:val="single"/>
          <w:lang w:eastAsia="bg-BG"/>
        </w:rPr>
        <w:t xml:space="preserve">плазмените концентрации на сунитиниб </w:t>
      </w:r>
      <w:r w:rsidRPr="003F729A">
        <w:rPr>
          <w:rFonts w:eastAsia="Times New Roman" w:cs="Arial"/>
          <w:i/>
          <w:iCs/>
          <w:color w:val="000000"/>
          <w:lang w:eastAsia="bg-BG"/>
        </w:rPr>
        <w:t xml:space="preserve">Ефект на инхибитори на </w:t>
      </w:r>
      <w:r w:rsidRPr="003F729A">
        <w:rPr>
          <w:rFonts w:eastAsia="Times New Roman" w:cs="Arial"/>
          <w:i/>
          <w:iCs/>
          <w:color w:val="000000"/>
          <w:lang w:val="en-US"/>
        </w:rPr>
        <w:t>CYP3A4</w:t>
      </w:r>
    </w:p>
    <w:p w14:paraId="145A4F48" w14:textId="77777777"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 xml:space="preserve">При здрави доброволци, едновременно приложение на еднократна доза сунитиниб с мощния инхибитор на </w:t>
      </w:r>
      <w:r w:rsidRPr="003F729A">
        <w:rPr>
          <w:rFonts w:eastAsia="Times New Roman" w:cs="Arial"/>
          <w:color w:val="000000"/>
          <w:lang w:val="en-US"/>
        </w:rPr>
        <w:t xml:space="preserve">CYP3A4 </w:t>
      </w:r>
      <w:r w:rsidRPr="003F729A">
        <w:rPr>
          <w:rFonts w:eastAsia="Times New Roman" w:cs="Arial"/>
          <w:color w:val="000000"/>
          <w:lang w:eastAsia="bg-BG"/>
        </w:rPr>
        <w:t>кетоконазол е довело до увеличаване на стойността на общата [сунитиниб + основен метаболит] максимална концентрация (С</w:t>
      </w:r>
      <w:r w:rsidRPr="003F729A">
        <w:rPr>
          <w:rFonts w:eastAsia="Times New Roman" w:cs="Arial"/>
          <w:color w:val="000000"/>
          <w:vertAlign w:val="subscript"/>
          <w:lang w:val="en-US"/>
        </w:rPr>
        <w:t>max</w:t>
      </w:r>
      <w:r w:rsidRPr="003F729A">
        <w:rPr>
          <w:rFonts w:eastAsia="Times New Roman" w:cs="Arial"/>
          <w:color w:val="000000"/>
          <w:lang w:eastAsia="bg-BG"/>
        </w:rPr>
        <w:t xml:space="preserve">) и площта под кривата </w:t>
      </w:r>
      <w:r w:rsidRPr="003F729A">
        <w:rPr>
          <w:rFonts w:eastAsia="Times New Roman" w:cs="Arial"/>
          <w:color w:val="000000"/>
          <w:lang w:val="en-US"/>
        </w:rPr>
        <w:t>(AUC(</w:t>
      </w:r>
      <w:r w:rsidRPr="003F729A">
        <w:rPr>
          <w:rFonts w:eastAsia="Times New Roman" w:cs="Arial"/>
          <w:color w:val="000000"/>
          <w:vertAlign w:val="subscript"/>
          <w:lang w:val="en-US"/>
        </w:rPr>
        <w:t>0-</w:t>
      </w:r>
      <w:r w:rsidRPr="003F729A">
        <w:rPr>
          <w:rFonts w:eastAsia="Times New Roman" w:cs="Arial"/>
          <w:color w:val="000000"/>
          <w:vertAlign w:val="subscript"/>
          <w:lang w:eastAsia="bg-BG"/>
        </w:rPr>
        <w:t>∞</w:t>
      </w:r>
      <w:r w:rsidRPr="003F729A">
        <w:rPr>
          <w:rFonts w:eastAsia="Times New Roman" w:cs="Arial"/>
          <w:color w:val="000000"/>
          <w:lang w:val="en-US"/>
        </w:rPr>
        <w:t xml:space="preserve">), </w:t>
      </w:r>
      <w:r w:rsidRPr="003F729A">
        <w:rPr>
          <w:rFonts w:eastAsia="Times New Roman" w:cs="Arial"/>
          <w:color w:val="000000"/>
          <w:lang w:eastAsia="bg-BG"/>
        </w:rPr>
        <w:t>съответно с 49% и 51%.</w:t>
      </w:r>
    </w:p>
    <w:p w14:paraId="4D80FAD3" w14:textId="77777777" w:rsidR="003F729A" w:rsidRPr="009226FA" w:rsidRDefault="003F729A" w:rsidP="003F729A">
      <w:pPr>
        <w:spacing w:line="240" w:lineRule="auto"/>
        <w:rPr>
          <w:rFonts w:eastAsia="Times New Roman" w:cs="Arial"/>
          <w:color w:val="000000"/>
          <w:lang w:eastAsia="bg-BG"/>
        </w:rPr>
      </w:pPr>
    </w:p>
    <w:p w14:paraId="67A04995" w14:textId="622556D4"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 xml:space="preserve">Приложението на сунитиниб с мощни инхибитори на </w:t>
      </w:r>
      <w:r w:rsidRPr="003F729A">
        <w:rPr>
          <w:rFonts w:eastAsia="Times New Roman" w:cs="Arial"/>
          <w:color w:val="000000"/>
          <w:lang w:val="en-US"/>
        </w:rPr>
        <w:t xml:space="preserve">CYP3A4 </w:t>
      </w:r>
      <w:r w:rsidRPr="003F729A">
        <w:rPr>
          <w:rFonts w:eastAsia="Times New Roman" w:cs="Arial"/>
          <w:color w:val="000000"/>
          <w:lang w:eastAsia="bg-BG"/>
        </w:rPr>
        <w:t>(напр. ритонавир, итраконазол, еритромицин, кларитромицин, сок от грейпфрут) може да повиши концентрациите на сунитиниб.</w:t>
      </w:r>
    </w:p>
    <w:p w14:paraId="2F7A1817" w14:textId="77777777" w:rsidR="003F729A" w:rsidRPr="009226FA" w:rsidRDefault="003F729A" w:rsidP="003F729A">
      <w:pPr>
        <w:rPr>
          <w:rFonts w:eastAsia="Times New Roman" w:cs="Arial"/>
          <w:color w:val="000000"/>
          <w:lang w:eastAsia="bg-BG"/>
        </w:rPr>
      </w:pPr>
    </w:p>
    <w:p w14:paraId="5B2761C5" w14:textId="79FAF4FB" w:rsidR="0091385D" w:rsidRPr="009226FA" w:rsidRDefault="003F729A" w:rsidP="003F729A">
      <w:pPr>
        <w:rPr>
          <w:rFonts w:eastAsia="Times New Roman" w:cs="Arial"/>
          <w:color w:val="000000"/>
          <w:lang w:val="en-US"/>
        </w:rPr>
      </w:pPr>
      <w:r w:rsidRPr="009226FA">
        <w:rPr>
          <w:rFonts w:eastAsia="Times New Roman" w:cs="Arial"/>
          <w:color w:val="000000"/>
          <w:lang w:eastAsia="bg-BG"/>
        </w:rPr>
        <w:t xml:space="preserve">Следователно, комбинирането с инхибитори на </w:t>
      </w:r>
      <w:r w:rsidRPr="009226FA">
        <w:rPr>
          <w:rFonts w:eastAsia="Times New Roman" w:cs="Arial"/>
          <w:color w:val="000000"/>
          <w:lang w:val="en-US"/>
        </w:rPr>
        <w:t xml:space="preserve">CYP3A4 </w:t>
      </w:r>
      <w:r w:rsidRPr="009226FA">
        <w:rPr>
          <w:rFonts w:eastAsia="Times New Roman" w:cs="Arial"/>
          <w:color w:val="000000"/>
          <w:lang w:eastAsia="bg-BG"/>
        </w:rPr>
        <w:t xml:space="preserve">трябва да се избягва или да се обсъди избора на друг съпътстващ лекарствен продукт, който няма или притежава минимален потенциал за инхибиране на </w:t>
      </w:r>
      <w:r w:rsidRPr="009226FA">
        <w:rPr>
          <w:rFonts w:eastAsia="Times New Roman" w:cs="Arial"/>
          <w:color w:val="000000"/>
          <w:lang w:val="en-US"/>
        </w:rPr>
        <w:t>CYP3A4.</w:t>
      </w:r>
    </w:p>
    <w:p w14:paraId="2B953E17" w14:textId="177BCA68" w:rsidR="003F729A" w:rsidRPr="009226FA" w:rsidRDefault="003F729A" w:rsidP="003F729A">
      <w:pPr>
        <w:rPr>
          <w:rFonts w:eastAsia="Times New Roman" w:cs="Arial"/>
          <w:color w:val="000000"/>
          <w:lang w:val="en-US"/>
        </w:rPr>
      </w:pPr>
    </w:p>
    <w:p w14:paraId="4EE80357" w14:textId="77777777"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 xml:space="preserve">Ако това не е възможно, може да е необходимо дозата на Сунитиниб Тева да се понижи до минимум от 37,5 </w:t>
      </w:r>
      <w:r w:rsidRPr="003F729A">
        <w:rPr>
          <w:rFonts w:eastAsia="Times New Roman" w:cs="Arial"/>
          <w:color w:val="000000"/>
          <w:lang w:val="en-US"/>
        </w:rPr>
        <w:t xml:space="preserve">mg </w:t>
      </w:r>
      <w:r w:rsidRPr="003F729A">
        <w:rPr>
          <w:rFonts w:eastAsia="Times New Roman" w:cs="Arial"/>
          <w:color w:val="000000"/>
          <w:lang w:eastAsia="bg-BG"/>
        </w:rPr>
        <w:t xml:space="preserve">дневно при ГИСТ и МБКК или 25 </w:t>
      </w:r>
      <w:r w:rsidRPr="003F729A">
        <w:rPr>
          <w:rFonts w:eastAsia="Times New Roman" w:cs="Arial"/>
          <w:color w:val="000000"/>
          <w:lang w:val="en-US"/>
        </w:rPr>
        <w:t xml:space="preserve">mg </w:t>
      </w:r>
      <w:r w:rsidRPr="003F729A">
        <w:rPr>
          <w:rFonts w:eastAsia="Times New Roman" w:cs="Arial"/>
          <w:color w:val="000000"/>
          <w:lang w:eastAsia="bg-BG"/>
        </w:rPr>
        <w:t>дневно при ПНЕТ, като внимателно се проследява поносимостга (вж. точка 4.2).</w:t>
      </w:r>
    </w:p>
    <w:p w14:paraId="0338D2AE" w14:textId="77777777" w:rsidR="003F729A" w:rsidRPr="009226FA" w:rsidRDefault="003F729A" w:rsidP="003F729A">
      <w:pPr>
        <w:spacing w:line="240" w:lineRule="auto"/>
        <w:rPr>
          <w:rFonts w:eastAsia="Times New Roman" w:cs="Arial"/>
          <w:i/>
          <w:iCs/>
          <w:color w:val="000000"/>
          <w:lang w:eastAsia="bg-BG"/>
        </w:rPr>
      </w:pPr>
    </w:p>
    <w:p w14:paraId="35D4F38D" w14:textId="1A8BE0B9" w:rsidR="003F729A" w:rsidRPr="003F729A" w:rsidRDefault="003F729A" w:rsidP="003F729A">
      <w:pPr>
        <w:spacing w:line="240" w:lineRule="auto"/>
        <w:rPr>
          <w:rFonts w:eastAsia="Times New Roman" w:cs="Arial"/>
          <w:lang w:eastAsia="bg-BG"/>
        </w:rPr>
      </w:pPr>
      <w:r w:rsidRPr="003F729A">
        <w:rPr>
          <w:rFonts w:eastAsia="Times New Roman" w:cs="Arial"/>
          <w:i/>
          <w:iCs/>
          <w:color w:val="000000"/>
          <w:lang w:eastAsia="bg-BG"/>
        </w:rPr>
        <w:t xml:space="preserve">Ефект на инхибитори на </w:t>
      </w:r>
      <w:r w:rsidRPr="003F729A">
        <w:rPr>
          <w:rFonts w:eastAsia="Times New Roman" w:cs="Arial"/>
          <w:i/>
          <w:iCs/>
          <w:color w:val="000000"/>
          <w:lang w:val="en-US"/>
        </w:rPr>
        <w:t xml:space="preserve">BCRP </w:t>
      </w:r>
      <w:r w:rsidRPr="003F729A">
        <w:rPr>
          <w:rFonts w:eastAsia="Times New Roman" w:cs="Arial"/>
          <w:i/>
          <w:iCs/>
          <w:color w:val="000000"/>
          <w:lang w:eastAsia="bg-BG"/>
        </w:rPr>
        <w:t xml:space="preserve">(протеин на резистентност на рак на гърдата, </w:t>
      </w:r>
      <w:r w:rsidRPr="003F729A">
        <w:rPr>
          <w:rFonts w:eastAsia="Times New Roman" w:cs="Arial"/>
          <w:i/>
          <w:iCs/>
          <w:color w:val="000000"/>
          <w:lang w:val="en-US"/>
        </w:rPr>
        <w:t>Breast Cancer Resistance Protein)</w:t>
      </w:r>
    </w:p>
    <w:p w14:paraId="459044FC" w14:textId="77777777"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 xml:space="preserve">Съществуват ограничени клинични данни за взаимодействието между сунитиниб и инхибитори на </w:t>
      </w:r>
      <w:r w:rsidRPr="003F729A">
        <w:rPr>
          <w:rFonts w:eastAsia="Times New Roman" w:cs="Arial"/>
          <w:color w:val="000000"/>
          <w:lang w:val="en-US"/>
        </w:rPr>
        <w:t xml:space="preserve">BCRP </w:t>
      </w:r>
      <w:r w:rsidRPr="003F729A">
        <w:rPr>
          <w:rFonts w:eastAsia="Times New Roman" w:cs="Arial"/>
          <w:color w:val="000000"/>
          <w:lang w:eastAsia="bg-BG"/>
        </w:rPr>
        <w:t xml:space="preserve">и затова не може да бъде изключена възможност за взаимодействие между сунитиниб и други инхибитори на </w:t>
      </w:r>
      <w:r w:rsidRPr="003F729A">
        <w:rPr>
          <w:rFonts w:eastAsia="Times New Roman" w:cs="Arial"/>
          <w:color w:val="000000"/>
          <w:lang w:val="en-US"/>
        </w:rPr>
        <w:t xml:space="preserve">BCRP </w:t>
      </w:r>
      <w:r w:rsidRPr="003F729A">
        <w:rPr>
          <w:rFonts w:eastAsia="Times New Roman" w:cs="Arial"/>
          <w:color w:val="000000"/>
          <w:lang w:eastAsia="bg-BG"/>
        </w:rPr>
        <w:t>(вж. точка 5.2).</w:t>
      </w:r>
    </w:p>
    <w:p w14:paraId="7F0FC1D4" w14:textId="77777777" w:rsidR="003F729A" w:rsidRPr="009226FA" w:rsidRDefault="003F729A" w:rsidP="003F729A">
      <w:pPr>
        <w:spacing w:line="240" w:lineRule="auto"/>
        <w:rPr>
          <w:rFonts w:eastAsia="Times New Roman" w:cs="Arial"/>
          <w:color w:val="000000"/>
          <w:u w:val="single"/>
          <w:lang w:eastAsia="bg-BG"/>
        </w:rPr>
      </w:pPr>
    </w:p>
    <w:p w14:paraId="4AB34C71" w14:textId="32E10F2B" w:rsidR="003F729A" w:rsidRPr="003F729A" w:rsidRDefault="003F729A" w:rsidP="003F729A">
      <w:pPr>
        <w:spacing w:line="240" w:lineRule="auto"/>
        <w:rPr>
          <w:rFonts w:eastAsia="Times New Roman" w:cs="Arial"/>
          <w:lang w:eastAsia="bg-BG"/>
        </w:rPr>
      </w:pPr>
      <w:r w:rsidRPr="003F729A">
        <w:rPr>
          <w:rFonts w:eastAsia="Times New Roman" w:cs="Arial"/>
          <w:color w:val="000000"/>
          <w:u w:val="single"/>
          <w:lang w:eastAsia="bg-BG"/>
        </w:rPr>
        <w:t xml:space="preserve">Лекарствени продукти, които могат да понижат плазмените концентрации на сунитиниб </w:t>
      </w:r>
      <w:r w:rsidRPr="003F729A">
        <w:rPr>
          <w:rFonts w:eastAsia="Times New Roman" w:cs="Arial"/>
          <w:i/>
          <w:iCs/>
          <w:color w:val="000000"/>
          <w:lang w:eastAsia="bg-BG"/>
        </w:rPr>
        <w:t xml:space="preserve">Ефект на индуктори на </w:t>
      </w:r>
      <w:r w:rsidRPr="003F729A">
        <w:rPr>
          <w:rFonts w:eastAsia="Times New Roman" w:cs="Arial"/>
          <w:i/>
          <w:iCs/>
          <w:color w:val="000000"/>
          <w:lang w:val="en-US"/>
        </w:rPr>
        <w:t>CYP3A4</w:t>
      </w:r>
    </w:p>
    <w:p w14:paraId="5B885D2C" w14:textId="77777777"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 xml:space="preserve">При здрави доброволци, едновременното приложение на еднократна доза сунитиниб с мощния индуктор на </w:t>
      </w:r>
      <w:r w:rsidRPr="003F729A">
        <w:rPr>
          <w:rFonts w:eastAsia="Times New Roman" w:cs="Arial"/>
          <w:color w:val="000000"/>
          <w:lang w:val="en-US"/>
        </w:rPr>
        <w:t xml:space="preserve">CYP3A4 </w:t>
      </w:r>
      <w:r w:rsidRPr="003F729A">
        <w:rPr>
          <w:rFonts w:eastAsia="Times New Roman" w:cs="Arial"/>
          <w:color w:val="000000"/>
          <w:lang w:eastAsia="bg-BG"/>
        </w:rPr>
        <w:t>рифампин е довело до намаление в стойностите на общата [сунитиниб + основен метаболит] С</w:t>
      </w:r>
      <w:r w:rsidRPr="003F729A">
        <w:rPr>
          <w:rFonts w:eastAsia="Times New Roman" w:cs="Arial"/>
          <w:color w:val="000000"/>
          <w:vertAlign w:val="subscript"/>
          <w:lang w:val="en-US"/>
        </w:rPr>
        <w:t>max</w:t>
      </w:r>
      <w:r w:rsidRPr="003F729A">
        <w:rPr>
          <w:rFonts w:eastAsia="Times New Roman" w:cs="Arial"/>
          <w:color w:val="000000"/>
          <w:lang w:eastAsia="bg-BG"/>
        </w:rPr>
        <w:t xml:space="preserve"> и </w:t>
      </w:r>
      <w:r w:rsidRPr="003F729A">
        <w:rPr>
          <w:rFonts w:eastAsia="Times New Roman" w:cs="Arial"/>
          <w:color w:val="000000"/>
          <w:lang w:val="en-US"/>
        </w:rPr>
        <w:t>AUC</w:t>
      </w:r>
      <w:r w:rsidRPr="003F729A">
        <w:rPr>
          <w:rFonts w:eastAsia="Times New Roman" w:cs="Arial"/>
          <w:color w:val="000000"/>
          <w:vertAlign w:val="subscript"/>
          <w:lang w:val="en-US"/>
        </w:rPr>
        <w:t>0-</w:t>
      </w:r>
      <w:r w:rsidRPr="003F729A">
        <w:rPr>
          <w:rFonts w:eastAsia="Times New Roman" w:cs="Arial"/>
          <w:color w:val="000000"/>
          <w:vertAlign w:val="subscript"/>
          <w:lang w:eastAsia="bg-BG"/>
        </w:rPr>
        <w:t>∞</w:t>
      </w:r>
      <w:r w:rsidRPr="003F729A">
        <w:rPr>
          <w:rFonts w:eastAsia="Times New Roman" w:cs="Arial"/>
          <w:color w:val="000000"/>
          <w:lang w:val="en-US"/>
        </w:rPr>
        <w:t xml:space="preserve">, </w:t>
      </w:r>
      <w:r w:rsidRPr="003F729A">
        <w:rPr>
          <w:rFonts w:eastAsia="Times New Roman" w:cs="Arial"/>
          <w:color w:val="000000"/>
          <w:lang w:eastAsia="bg-BG"/>
        </w:rPr>
        <w:t>съответно с 23% и 46%.</w:t>
      </w:r>
    </w:p>
    <w:p w14:paraId="641C8C88" w14:textId="77777777" w:rsidR="003F729A" w:rsidRPr="009226FA" w:rsidRDefault="003F729A" w:rsidP="003F729A">
      <w:pPr>
        <w:spacing w:line="240" w:lineRule="auto"/>
        <w:rPr>
          <w:rFonts w:eastAsia="Times New Roman" w:cs="Arial"/>
          <w:color w:val="000000"/>
          <w:lang w:eastAsia="bg-BG"/>
        </w:rPr>
      </w:pPr>
    </w:p>
    <w:p w14:paraId="196B3DD3" w14:textId="35F71CE7"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 xml:space="preserve">Приложението на сунитиниб с мощни индуктори на </w:t>
      </w:r>
      <w:r w:rsidRPr="003F729A">
        <w:rPr>
          <w:rFonts w:eastAsia="Times New Roman" w:cs="Arial"/>
          <w:color w:val="000000"/>
          <w:lang w:val="en-US"/>
        </w:rPr>
        <w:t xml:space="preserve">CYP3A4 </w:t>
      </w:r>
      <w:r w:rsidRPr="003F729A">
        <w:rPr>
          <w:rFonts w:eastAsia="Times New Roman" w:cs="Arial"/>
          <w:color w:val="000000"/>
          <w:lang w:eastAsia="bg-BG"/>
        </w:rPr>
        <w:t xml:space="preserve">(напр. дексаметазон, фенитоин, карбамазепин, рифампицин, фенобарбитал или растителни продукти, съдържащи жълт кантарион </w:t>
      </w:r>
      <w:r w:rsidRPr="003F729A">
        <w:rPr>
          <w:rFonts w:eastAsia="Times New Roman" w:cs="Arial"/>
          <w:i/>
          <w:iCs/>
          <w:color w:val="000000"/>
          <w:lang w:val="en-US"/>
        </w:rPr>
        <w:t>(</w:t>
      </w:r>
      <w:proofErr w:type="spellStart"/>
      <w:r w:rsidRPr="003F729A">
        <w:rPr>
          <w:rFonts w:eastAsia="Times New Roman" w:cs="Arial"/>
          <w:i/>
          <w:iCs/>
          <w:color w:val="000000"/>
          <w:lang w:val="en-US"/>
        </w:rPr>
        <w:t>Hypericumperforatum</w:t>
      </w:r>
      <w:proofErr w:type="spellEnd"/>
      <w:r w:rsidRPr="003F729A">
        <w:rPr>
          <w:rFonts w:eastAsia="Times New Roman" w:cs="Arial"/>
          <w:i/>
          <w:iCs/>
          <w:color w:val="000000"/>
          <w:lang w:val="en-US"/>
        </w:rPr>
        <w:t>))</w:t>
      </w:r>
      <w:r w:rsidRPr="003F729A">
        <w:rPr>
          <w:rFonts w:eastAsia="Times New Roman" w:cs="Arial"/>
          <w:color w:val="000000"/>
          <w:lang w:val="en-US"/>
        </w:rPr>
        <w:t xml:space="preserve"> </w:t>
      </w:r>
      <w:r w:rsidRPr="003F729A">
        <w:rPr>
          <w:rFonts w:eastAsia="Times New Roman" w:cs="Arial"/>
          <w:color w:val="000000"/>
          <w:lang w:eastAsia="bg-BG"/>
        </w:rPr>
        <w:t>може да понижи концентрациите на сунитиниб.</w:t>
      </w:r>
    </w:p>
    <w:p w14:paraId="0310A74A" w14:textId="422F7D27" w:rsidR="003F729A" w:rsidRPr="009226FA" w:rsidRDefault="003F729A" w:rsidP="003F729A">
      <w:pPr>
        <w:rPr>
          <w:rFonts w:cs="Arial"/>
        </w:rPr>
      </w:pPr>
      <w:r w:rsidRPr="009226FA">
        <w:rPr>
          <w:rFonts w:eastAsia="Times New Roman" w:cs="Arial"/>
          <w:color w:val="000000"/>
          <w:lang w:eastAsia="bg-BG"/>
        </w:rPr>
        <w:t xml:space="preserve">Следователно, комбинирането с индуктори на </w:t>
      </w:r>
      <w:r w:rsidRPr="009226FA">
        <w:rPr>
          <w:rFonts w:eastAsia="Times New Roman" w:cs="Arial"/>
          <w:color w:val="000000"/>
          <w:lang w:val="en-US"/>
        </w:rPr>
        <w:t xml:space="preserve">CYP3A4 </w:t>
      </w:r>
      <w:r w:rsidRPr="009226FA">
        <w:rPr>
          <w:rFonts w:eastAsia="Times New Roman" w:cs="Arial"/>
          <w:color w:val="000000"/>
          <w:lang w:eastAsia="bg-BG"/>
        </w:rPr>
        <w:t xml:space="preserve">трябва да се избягва или да се обсъди избора на друг съпътстващ лекарствен продукт, който няма или притежава минимален потенциал за индуциране на </w:t>
      </w:r>
      <w:r w:rsidRPr="009226FA">
        <w:rPr>
          <w:rFonts w:eastAsia="Times New Roman" w:cs="Arial"/>
          <w:color w:val="000000"/>
          <w:lang w:val="en-US"/>
        </w:rPr>
        <w:t xml:space="preserve">CYP3A4. </w:t>
      </w:r>
      <w:r w:rsidRPr="009226FA">
        <w:rPr>
          <w:rFonts w:eastAsia="Times New Roman" w:cs="Arial"/>
          <w:color w:val="000000"/>
          <w:lang w:eastAsia="bg-BG"/>
        </w:rPr>
        <w:t xml:space="preserve">Ако това не е възможно, може да е необходимо повишаване на дозата на сунитиниб със стъпки от 12,5 </w:t>
      </w:r>
      <w:r w:rsidRPr="009226FA">
        <w:rPr>
          <w:rFonts w:eastAsia="Times New Roman" w:cs="Arial"/>
          <w:color w:val="000000"/>
          <w:lang w:val="en-US"/>
        </w:rPr>
        <w:t xml:space="preserve">mg </w:t>
      </w:r>
      <w:r w:rsidRPr="009226FA">
        <w:rPr>
          <w:rFonts w:eastAsia="Times New Roman" w:cs="Arial"/>
          <w:color w:val="000000"/>
          <w:lang w:eastAsia="bg-BG"/>
        </w:rPr>
        <w:t xml:space="preserve">(до 87,5 </w:t>
      </w:r>
      <w:r w:rsidRPr="009226FA">
        <w:rPr>
          <w:rFonts w:eastAsia="Times New Roman" w:cs="Arial"/>
          <w:color w:val="000000"/>
          <w:lang w:val="en-US"/>
        </w:rPr>
        <w:t xml:space="preserve">mg </w:t>
      </w:r>
      <w:r w:rsidRPr="009226FA">
        <w:rPr>
          <w:rFonts w:eastAsia="Times New Roman" w:cs="Arial"/>
          <w:color w:val="000000"/>
          <w:lang w:eastAsia="bg-BG"/>
        </w:rPr>
        <w:t xml:space="preserve">на ден </w:t>
      </w:r>
      <w:r w:rsidRPr="009226FA">
        <w:rPr>
          <w:rFonts w:eastAsia="Times New Roman" w:cs="Arial"/>
          <w:color w:val="000000"/>
          <w:lang w:eastAsia="bg-BG"/>
        </w:rPr>
        <w:lastRenderedPageBreak/>
        <w:t xml:space="preserve">за ГИСТ и МБКК или 62,5 </w:t>
      </w:r>
      <w:r w:rsidRPr="009226FA">
        <w:rPr>
          <w:rFonts w:eastAsia="Times New Roman" w:cs="Arial"/>
          <w:color w:val="000000"/>
          <w:lang w:val="en-US"/>
        </w:rPr>
        <w:t xml:space="preserve">mg </w:t>
      </w:r>
      <w:r w:rsidRPr="009226FA">
        <w:rPr>
          <w:rFonts w:eastAsia="Times New Roman" w:cs="Arial"/>
          <w:color w:val="000000"/>
          <w:lang w:eastAsia="bg-BG"/>
        </w:rPr>
        <w:t>дневно за ПНЕТ), като внимателно се проследява поносимостта (вж. точка 4.2).</w:t>
      </w:r>
    </w:p>
    <w:p w14:paraId="0395BD2E" w14:textId="77777777" w:rsidR="007A2185" w:rsidRPr="0091385D" w:rsidRDefault="007A2185" w:rsidP="0091385D"/>
    <w:p w14:paraId="394A7584" w14:textId="10DEA5B3" w:rsidR="004F498A" w:rsidRDefault="002C50EE" w:rsidP="004A448E">
      <w:pPr>
        <w:pStyle w:val="Heading2"/>
      </w:pPr>
      <w:r>
        <w:t>4.6. Фертилитет, бременност и кърмене</w:t>
      </w:r>
    </w:p>
    <w:p w14:paraId="4887836B" w14:textId="0528FAED" w:rsidR="0091385D" w:rsidRDefault="0091385D" w:rsidP="0091385D"/>
    <w:p w14:paraId="5CE7362A" w14:textId="77777777" w:rsidR="003F729A" w:rsidRPr="003F729A" w:rsidRDefault="003F729A" w:rsidP="003F729A">
      <w:pPr>
        <w:spacing w:line="240" w:lineRule="auto"/>
        <w:rPr>
          <w:rFonts w:eastAsia="Times New Roman" w:cs="Arial"/>
          <w:lang w:eastAsia="bg-BG"/>
        </w:rPr>
      </w:pPr>
      <w:r w:rsidRPr="003F729A">
        <w:rPr>
          <w:rFonts w:eastAsia="Times New Roman" w:cs="Arial"/>
          <w:color w:val="000000"/>
          <w:u w:val="single"/>
          <w:lang w:eastAsia="bg-BG"/>
        </w:rPr>
        <w:t>Контрацепция при мъже и жени</w:t>
      </w:r>
    </w:p>
    <w:p w14:paraId="2D15DE39" w14:textId="77777777"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Жени с детероден потенциал трябва да бъдат посъветвани да използват ефективна контрацепция и да се предпазват от забременяване, докато провеждат лечение със Сунитиниб Тева.</w:t>
      </w:r>
    </w:p>
    <w:p w14:paraId="3F715405" w14:textId="77777777" w:rsidR="003F729A" w:rsidRPr="009226FA" w:rsidRDefault="003F729A" w:rsidP="003F729A">
      <w:pPr>
        <w:spacing w:line="240" w:lineRule="auto"/>
        <w:rPr>
          <w:rFonts w:eastAsia="Times New Roman" w:cs="Arial"/>
          <w:color w:val="000000"/>
          <w:u w:val="single"/>
          <w:lang w:eastAsia="bg-BG"/>
        </w:rPr>
      </w:pPr>
    </w:p>
    <w:p w14:paraId="3AFAF8F0" w14:textId="408167A1" w:rsidR="003F729A" w:rsidRPr="00B159F3" w:rsidRDefault="003F729A" w:rsidP="00B159F3">
      <w:pPr>
        <w:pStyle w:val="Heading3"/>
        <w:rPr>
          <w:rFonts w:eastAsia="Times New Roman"/>
          <w:u w:val="single"/>
          <w:lang w:eastAsia="bg-BG"/>
        </w:rPr>
      </w:pPr>
      <w:r w:rsidRPr="00B159F3">
        <w:rPr>
          <w:rFonts w:eastAsia="Times New Roman"/>
          <w:u w:val="single"/>
          <w:lang w:eastAsia="bg-BG"/>
        </w:rPr>
        <w:t>Бременност</w:t>
      </w:r>
    </w:p>
    <w:p w14:paraId="492CECEC" w14:textId="77777777"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Няма проучвания при бременни жени, използващи сунитиниб. Проучванията при животни са показали репродуктивна токсичност, включително малформации на плода (вж. точка 5.3). Сунитиниб Тева не трябва да се използва по време на бременност или при жени, които не използват ефективна контрацепция, освен ако възможната полза не оправдава потенциалния риск за плода. Ако Сунитиниб Тева се използва по време на бременност или ако пациентката забременее, докато е на лечение със Сунитиниб Тева, то тя трябва да бъде уведомена относно възможния риск за плода.</w:t>
      </w:r>
    </w:p>
    <w:p w14:paraId="5180426E" w14:textId="77777777" w:rsidR="003F729A" w:rsidRPr="009226FA" w:rsidRDefault="003F729A" w:rsidP="003F729A">
      <w:pPr>
        <w:spacing w:line="240" w:lineRule="auto"/>
        <w:rPr>
          <w:rFonts w:eastAsia="Times New Roman" w:cs="Arial"/>
          <w:color w:val="000000"/>
          <w:u w:val="single"/>
          <w:lang w:eastAsia="bg-BG"/>
        </w:rPr>
      </w:pPr>
    </w:p>
    <w:p w14:paraId="5B89FC7D" w14:textId="4669521F" w:rsidR="003F729A" w:rsidRPr="00B159F3" w:rsidRDefault="003F729A" w:rsidP="00B159F3">
      <w:pPr>
        <w:pStyle w:val="Heading3"/>
        <w:rPr>
          <w:rFonts w:eastAsia="Times New Roman"/>
          <w:u w:val="single"/>
          <w:lang w:eastAsia="bg-BG"/>
        </w:rPr>
      </w:pPr>
      <w:r w:rsidRPr="00B159F3">
        <w:rPr>
          <w:rFonts w:eastAsia="Times New Roman"/>
          <w:u w:val="single"/>
          <w:lang w:eastAsia="bg-BG"/>
        </w:rPr>
        <w:t>Кърмене</w:t>
      </w:r>
    </w:p>
    <w:p w14:paraId="57A830AF" w14:textId="21E41794"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Сунитиниб и/или неговите метаболити се екскретират в млякото на плъхове. Не е известно дали сунитиниб или основният му активен метаболит се екскретират в кърмата. Тъй като активните вещества често се излъчват в кърмата и поради възможността за поява на сериозни нежелани реакции при кърмачетата, жените не трябва да кърмят, докато приемат Сунитиниб Тева.</w:t>
      </w:r>
    </w:p>
    <w:p w14:paraId="736581F5" w14:textId="77777777" w:rsidR="003F729A" w:rsidRPr="009226FA" w:rsidRDefault="003F729A" w:rsidP="003F729A">
      <w:pPr>
        <w:spacing w:line="240" w:lineRule="auto"/>
        <w:rPr>
          <w:rFonts w:eastAsia="Times New Roman" w:cs="Arial"/>
          <w:color w:val="000000"/>
          <w:u w:val="single"/>
          <w:lang w:eastAsia="bg-BG"/>
        </w:rPr>
      </w:pPr>
    </w:p>
    <w:p w14:paraId="6A608B47" w14:textId="6B8FC172" w:rsidR="003F729A" w:rsidRPr="00B159F3" w:rsidRDefault="00B159F3" w:rsidP="00B159F3">
      <w:pPr>
        <w:pStyle w:val="Heading3"/>
        <w:rPr>
          <w:rFonts w:eastAsia="Times New Roman"/>
          <w:u w:val="single"/>
          <w:lang w:eastAsia="bg-BG"/>
        </w:rPr>
      </w:pPr>
      <w:r w:rsidRPr="00B159F3">
        <w:rPr>
          <w:rFonts w:eastAsia="Times New Roman"/>
          <w:u w:val="single"/>
          <w:lang w:eastAsia="bg-BG"/>
        </w:rPr>
        <w:t>Ферти</w:t>
      </w:r>
      <w:r w:rsidR="003F729A" w:rsidRPr="00B159F3">
        <w:rPr>
          <w:rFonts w:eastAsia="Times New Roman"/>
          <w:u w:val="single"/>
          <w:lang w:eastAsia="bg-BG"/>
        </w:rPr>
        <w:t>литет</w:t>
      </w:r>
    </w:p>
    <w:p w14:paraId="102F0D07" w14:textId="14CC1D9A" w:rsidR="007A2185" w:rsidRPr="009226FA" w:rsidRDefault="003F729A" w:rsidP="003F729A">
      <w:pPr>
        <w:rPr>
          <w:rFonts w:cs="Arial"/>
        </w:rPr>
      </w:pPr>
      <w:r w:rsidRPr="009226FA">
        <w:rPr>
          <w:rFonts w:eastAsia="Times New Roman" w:cs="Arial"/>
          <w:color w:val="000000"/>
          <w:lang w:eastAsia="bg-BG"/>
        </w:rPr>
        <w:t>Въз основа на неклинични находки мъжкият и женският фертнлитет могат да бъдат изложени на риск при лечение със сунитиниб (вж. точка 5.3).</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78136F1E" w:rsidR="0091385D" w:rsidRDefault="0091385D" w:rsidP="0091385D"/>
    <w:p w14:paraId="1C9ABB96" w14:textId="7C761312" w:rsidR="007A2185" w:rsidRPr="003F729A" w:rsidRDefault="003F729A" w:rsidP="0091385D">
      <w:pPr>
        <w:rPr>
          <w:lang w:val="en-US"/>
        </w:rPr>
      </w:pPr>
      <w:r>
        <w:t>Сунитиниб повлиява в малка степен способността за шофиране и работа с машини. Пациентите следва да бъдат уведомени, че могат да получат замаяност по време на лечение със сунитиниб</w:t>
      </w:r>
      <w:r>
        <w:rPr>
          <w:lang w:val="en-US"/>
        </w:rPr>
        <w:t xml:space="preserve">. </w:t>
      </w:r>
    </w:p>
    <w:p w14:paraId="35801A15" w14:textId="77777777" w:rsidR="0091385D" w:rsidRPr="0091385D" w:rsidRDefault="0091385D" w:rsidP="0091385D"/>
    <w:p w14:paraId="4838F52A" w14:textId="058F0B9C" w:rsidR="0091385D" w:rsidRDefault="002C50EE" w:rsidP="007A2185">
      <w:pPr>
        <w:pStyle w:val="Heading2"/>
      </w:pPr>
      <w:r>
        <w:t>4.8. Нежелани лекарствени реакции</w:t>
      </w:r>
    </w:p>
    <w:p w14:paraId="76E0B7A2" w14:textId="5BBD2581" w:rsidR="005B0F27" w:rsidRDefault="005B0F27" w:rsidP="0091385D"/>
    <w:p w14:paraId="3DA5C616" w14:textId="77777777" w:rsidR="003F729A" w:rsidRPr="003F729A" w:rsidRDefault="003F729A" w:rsidP="003F729A">
      <w:pPr>
        <w:spacing w:line="240" w:lineRule="auto"/>
        <w:rPr>
          <w:rFonts w:eastAsia="Times New Roman" w:cs="Arial"/>
          <w:sz w:val="24"/>
          <w:szCs w:val="24"/>
          <w:lang w:eastAsia="bg-BG"/>
        </w:rPr>
      </w:pPr>
      <w:r w:rsidRPr="003F729A">
        <w:rPr>
          <w:rFonts w:eastAsia="Times New Roman" w:cs="Arial"/>
          <w:color w:val="000000"/>
          <w:u w:val="single"/>
          <w:lang w:eastAsia="bg-BG"/>
        </w:rPr>
        <w:t>Резюме на профила на безопасност</w:t>
      </w:r>
    </w:p>
    <w:p w14:paraId="1BAD0F6A" w14:textId="77777777" w:rsidR="003F729A" w:rsidRPr="003F729A" w:rsidRDefault="003F729A" w:rsidP="003F729A">
      <w:pPr>
        <w:spacing w:line="240" w:lineRule="auto"/>
        <w:rPr>
          <w:rFonts w:eastAsia="Times New Roman" w:cs="Arial"/>
          <w:sz w:val="24"/>
          <w:szCs w:val="24"/>
          <w:lang w:eastAsia="bg-BG"/>
        </w:rPr>
      </w:pPr>
      <w:r w:rsidRPr="003F729A">
        <w:rPr>
          <w:rFonts w:eastAsia="Times New Roman" w:cs="Arial"/>
          <w:color w:val="000000"/>
          <w:lang w:eastAsia="bg-BG"/>
        </w:rPr>
        <w:t xml:space="preserve">Най-сериозните нежелани реакции, свързани със сунитиниб, някои от които фатални, са бъбречна недостатъчност, сърдечна недостатъчност, белодробен емболизъм, гастроинтестинална перфорация и кървене (напр. кървене от дихателните пътища, гастроинтестиналния тракт, туморите, пикочните пътища и мозъчно кървене). Най-честите нежелани реакции от която и да е степен (наблюдавани при пациентите по време на регистрационните изпитвания БКК, ГИСТ и ПНЕТ) включват намален апетит, вкусови нарушения, хипертония, умора, гастроинтестинални нарушения (като диария, гадене, стоматит, диспепсия и повръщане), промяна в цвета на кожата и синдром на палмарно-плантарна еритродизестезия. Тези симптоми могат да отслабнат в хода на лечението. По </w:t>
      </w:r>
      <w:r w:rsidRPr="003F729A">
        <w:rPr>
          <w:rFonts w:eastAsia="Times New Roman" w:cs="Arial"/>
          <w:color w:val="000000"/>
          <w:lang w:eastAsia="bg-BG"/>
        </w:rPr>
        <w:lastRenderedPageBreak/>
        <w:t>време на лечението може да се развие хипотиреоидизъм. Хематологичните нарушения (напр. неутропения, тромбоцитопения и анемия) са сред най-честите нежелани лекарствени реакции.</w:t>
      </w:r>
    </w:p>
    <w:p w14:paraId="55084106" w14:textId="77777777" w:rsidR="003F729A" w:rsidRPr="003F729A" w:rsidRDefault="003F729A" w:rsidP="003F729A">
      <w:pPr>
        <w:spacing w:line="240" w:lineRule="auto"/>
        <w:rPr>
          <w:rFonts w:eastAsia="Times New Roman" w:cs="Arial"/>
          <w:color w:val="000000"/>
          <w:lang w:eastAsia="bg-BG"/>
        </w:rPr>
      </w:pPr>
    </w:p>
    <w:p w14:paraId="59350BAE" w14:textId="07AEB952" w:rsidR="003F729A" w:rsidRPr="003F729A" w:rsidRDefault="003F729A" w:rsidP="003F729A">
      <w:pPr>
        <w:spacing w:line="240" w:lineRule="auto"/>
        <w:rPr>
          <w:rFonts w:eastAsia="Times New Roman" w:cs="Arial"/>
          <w:sz w:val="24"/>
          <w:szCs w:val="24"/>
          <w:lang w:eastAsia="bg-BG"/>
        </w:rPr>
      </w:pPr>
      <w:r w:rsidRPr="003F729A">
        <w:rPr>
          <w:rFonts w:eastAsia="Times New Roman" w:cs="Arial"/>
          <w:color w:val="000000"/>
          <w:lang w:eastAsia="bg-BG"/>
        </w:rPr>
        <w:t>Фаталните събития, различни от тези, изброени в точка 4.4 по-горе или в точка 4.8 по-долу, за които е било считано, че е възможно да са свързани със сунитиниб, включват полиорганна недостатъчност, дисеминирана вътресъдова коагулация, перитонеален кръвоизлив, надбъбречна недостатъчност, пневмоторакс, шок и внезапна смърт.</w:t>
      </w:r>
    </w:p>
    <w:p w14:paraId="35332F6A" w14:textId="77777777" w:rsidR="003F729A" w:rsidRPr="003F729A" w:rsidRDefault="003F729A" w:rsidP="003F729A">
      <w:pPr>
        <w:spacing w:line="240" w:lineRule="auto"/>
        <w:rPr>
          <w:rFonts w:eastAsia="Times New Roman" w:cs="Arial"/>
          <w:color w:val="000000"/>
          <w:u w:val="single"/>
          <w:lang w:eastAsia="bg-BG"/>
        </w:rPr>
      </w:pPr>
    </w:p>
    <w:p w14:paraId="630DF890" w14:textId="7149BF0C" w:rsidR="003F729A" w:rsidRPr="003F729A" w:rsidRDefault="003F729A" w:rsidP="003F729A">
      <w:pPr>
        <w:spacing w:line="240" w:lineRule="auto"/>
        <w:rPr>
          <w:rFonts w:eastAsia="Times New Roman" w:cs="Arial"/>
          <w:sz w:val="24"/>
          <w:szCs w:val="24"/>
          <w:lang w:eastAsia="bg-BG"/>
        </w:rPr>
      </w:pPr>
      <w:r w:rsidRPr="003F729A">
        <w:rPr>
          <w:rFonts w:eastAsia="Times New Roman" w:cs="Arial"/>
          <w:color w:val="000000"/>
          <w:u w:val="single"/>
          <w:lang w:eastAsia="bg-BG"/>
        </w:rPr>
        <w:t>Табличен списък на нежеланите лекарствени реакции</w:t>
      </w:r>
    </w:p>
    <w:p w14:paraId="2A058ACC" w14:textId="77777777" w:rsidR="003F729A" w:rsidRPr="003F729A" w:rsidRDefault="003F729A" w:rsidP="003F729A">
      <w:pPr>
        <w:spacing w:line="240" w:lineRule="auto"/>
        <w:rPr>
          <w:rFonts w:eastAsia="Times New Roman" w:cs="Arial"/>
          <w:sz w:val="24"/>
          <w:szCs w:val="24"/>
          <w:lang w:eastAsia="bg-BG"/>
        </w:rPr>
      </w:pPr>
      <w:r w:rsidRPr="003F729A">
        <w:rPr>
          <w:rFonts w:eastAsia="Times New Roman" w:cs="Arial"/>
          <w:color w:val="000000"/>
          <w:lang w:eastAsia="bg-BG"/>
        </w:rPr>
        <w:t xml:space="preserve">Нежелани реакции, които са били съобщени при 7115 пациенти с ГИСТ, МБКК и ПНЕТ, в обединен сбор от данни са изброени по-долу по системо-органни класове, по честота и степен на тежест </w:t>
      </w:r>
      <w:r w:rsidRPr="003F729A">
        <w:rPr>
          <w:rFonts w:eastAsia="Times New Roman" w:cs="Arial"/>
          <w:color w:val="000000"/>
          <w:lang w:val="en-US"/>
        </w:rPr>
        <w:t xml:space="preserve">(NCI-CTCAE). </w:t>
      </w:r>
      <w:r w:rsidRPr="003F729A">
        <w:rPr>
          <w:rFonts w:eastAsia="Times New Roman" w:cs="Arial"/>
          <w:color w:val="000000"/>
          <w:lang w:eastAsia="bg-BG"/>
        </w:rPr>
        <w:t>Включени са също и нежеланите реакции от постмаркетинговия период, идентифициран и по време на клиничните проучвания. При всяко групиране по честотата, нежеланите лекарствени реакции са представени в низходящ ред по отношение на сериозността.</w:t>
      </w:r>
    </w:p>
    <w:p w14:paraId="574BB4B9" w14:textId="77777777" w:rsidR="003F729A" w:rsidRPr="003F729A" w:rsidRDefault="003F729A" w:rsidP="003F729A">
      <w:pPr>
        <w:spacing w:line="240" w:lineRule="auto"/>
        <w:rPr>
          <w:rFonts w:eastAsia="Times New Roman" w:cs="Arial"/>
          <w:color w:val="000000"/>
          <w:lang w:eastAsia="bg-BG"/>
        </w:rPr>
      </w:pPr>
    </w:p>
    <w:p w14:paraId="31AA8FD3" w14:textId="2B880F60" w:rsidR="003F729A" w:rsidRPr="003F729A" w:rsidRDefault="003F729A" w:rsidP="003F729A">
      <w:pPr>
        <w:spacing w:line="240" w:lineRule="auto"/>
        <w:rPr>
          <w:rFonts w:eastAsia="Times New Roman" w:cs="Arial"/>
          <w:sz w:val="24"/>
          <w:szCs w:val="24"/>
          <w:lang w:eastAsia="bg-BG"/>
        </w:rPr>
      </w:pPr>
      <w:r w:rsidRPr="003F729A">
        <w:rPr>
          <w:rFonts w:eastAsia="Times New Roman" w:cs="Arial"/>
          <w:color w:val="000000"/>
          <w:lang w:eastAsia="bg-BG"/>
        </w:rPr>
        <w:t>Честотите са определени като: много чести (</w:t>
      </w:r>
      <w:r w:rsidR="009226FA" w:rsidRPr="009226FA">
        <w:rPr>
          <w:color w:val="222222"/>
        </w:rPr>
        <w:t>≥</w:t>
      </w:r>
      <w:r w:rsidRPr="003F729A">
        <w:rPr>
          <w:rFonts w:eastAsia="Times New Roman" w:cs="Arial"/>
          <w:color w:val="000000"/>
          <w:lang w:eastAsia="bg-BG"/>
        </w:rPr>
        <w:t>1/10), чести (</w:t>
      </w:r>
      <w:r w:rsidR="009226FA" w:rsidRPr="009226FA">
        <w:rPr>
          <w:color w:val="222222"/>
        </w:rPr>
        <w:t>≥</w:t>
      </w:r>
      <w:r w:rsidRPr="003F729A">
        <w:rPr>
          <w:rFonts w:eastAsia="Times New Roman" w:cs="Arial"/>
          <w:color w:val="000000"/>
          <w:lang w:eastAsia="bg-BG"/>
        </w:rPr>
        <w:t>1/100 до &lt;1/10), нечести (</w:t>
      </w:r>
      <w:r w:rsidR="009226FA" w:rsidRPr="009226FA">
        <w:rPr>
          <w:color w:val="222222"/>
        </w:rPr>
        <w:t>≥</w:t>
      </w:r>
      <w:r w:rsidRPr="003F729A">
        <w:rPr>
          <w:rFonts w:eastAsia="Times New Roman" w:cs="Arial"/>
          <w:color w:val="000000"/>
          <w:lang w:eastAsia="bg-BG"/>
        </w:rPr>
        <w:t xml:space="preserve">1/1 000 до &lt;1/100), редки </w:t>
      </w:r>
      <w:r w:rsidR="009226FA">
        <w:rPr>
          <w:rFonts w:eastAsia="Times New Roman" w:cs="Arial"/>
          <w:color w:val="000000"/>
          <w:lang w:val="en-US" w:eastAsia="bg-BG"/>
        </w:rPr>
        <w:t>(</w:t>
      </w:r>
      <w:r w:rsidR="009226FA" w:rsidRPr="009226FA">
        <w:rPr>
          <w:color w:val="222222"/>
        </w:rPr>
        <w:t>≥</w:t>
      </w:r>
      <w:r w:rsidRPr="003F729A">
        <w:rPr>
          <w:rFonts w:eastAsia="Times New Roman" w:cs="Arial"/>
          <w:color w:val="000000"/>
          <w:lang w:eastAsia="bg-BG"/>
        </w:rPr>
        <w:t>1/10 000 до 1/1 000), много редки (&lt; 1/10 000), с неизвестна честота (от наличните данни не може да бъде направена оценка).</w:t>
      </w:r>
    </w:p>
    <w:p w14:paraId="4324AE91" w14:textId="77777777" w:rsidR="003F729A" w:rsidRPr="003F729A" w:rsidRDefault="003F729A" w:rsidP="003F729A">
      <w:pPr>
        <w:rPr>
          <w:rFonts w:eastAsia="Times New Roman" w:cs="Arial"/>
          <w:b/>
          <w:bCs/>
          <w:color w:val="000000"/>
          <w:u w:val="single"/>
          <w:lang w:eastAsia="bg-BG"/>
        </w:rPr>
      </w:pPr>
    </w:p>
    <w:p w14:paraId="0254AACC" w14:textId="3FC5EA87" w:rsidR="007A2185" w:rsidRPr="009226FA" w:rsidRDefault="003F729A" w:rsidP="003F729A">
      <w:pPr>
        <w:rPr>
          <w:rFonts w:eastAsia="Times New Roman" w:cs="Arial"/>
          <w:b/>
          <w:bCs/>
          <w:color w:val="000000"/>
          <w:u w:val="single"/>
          <w:lang w:eastAsia="bg-BG"/>
        </w:rPr>
      </w:pPr>
      <w:r w:rsidRPr="009226FA">
        <w:rPr>
          <w:rFonts w:eastAsia="Times New Roman" w:cs="Arial"/>
          <w:b/>
          <w:bCs/>
          <w:color w:val="000000"/>
          <w:u w:val="single"/>
          <w:lang w:eastAsia="bg-BG"/>
        </w:rPr>
        <w:t>Таблица 1 -Нежелани реакции, докладвани по време на клинични изпитвания</w:t>
      </w:r>
    </w:p>
    <w:tbl>
      <w:tblPr>
        <w:tblStyle w:val="TableGrid"/>
        <w:tblW w:w="0" w:type="auto"/>
        <w:tblLook w:val="04A0" w:firstRow="1" w:lastRow="0" w:firstColumn="1" w:lastColumn="0" w:noHBand="0" w:noVBand="1"/>
      </w:tblPr>
      <w:tblGrid>
        <w:gridCol w:w="1469"/>
        <w:gridCol w:w="1657"/>
        <w:gridCol w:w="1752"/>
        <w:gridCol w:w="1751"/>
        <w:gridCol w:w="1545"/>
        <w:gridCol w:w="1176"/>
      </w:tblGrid>
      <w:tr w:rsidR="009226FA" w:rsidRPr="009226FA" w14:paraId="429EADA0" w14:textId="77777777" w:rsidTr="009226FA">
        <w:tc>
          <w:tcPr>
            <w:tcW w:w="1501" w:type="dxa"/>
            <w:vAlign w:val="bottom"/>
          </w:tcPr>
          <w:p w14:paraId="263CB3D6" w14:textId="5A1485EA" w:rsidR="009226FA" w:rsidRPr="009226FA" w:rsidRDefault="009226FA" w:rsidP="009226FA">
            <w:pPr>
              <w:rPr>
                <w:rFonts w:cs="Arial"/>
              </w:rPr>
            </w:pPr>
            <w:r w:rsidRPr="009226FA">
              <w:rPr>
                <w:rFonts w:cs="Arial"/>
                <w:b/>
                <w:bCs/>
              </w:rPr>
              <w:t>Системо- органни класове</w:t>
            </w:r>
          </w:p>
        </w:tc>
        <w:tc>
          <w:tcPr>
            <w:tcW w:w="1692" w:type="dxa"/>
          </w:tcPr>
          <w:p w14:paraId="01CBCCF9" w14:textId="606250E6" w:rsidR="009226FA" w:rsidRPr="009226FA" w:rsidRDefault="009226FA" w:rsidP="009226FA">
            <w:pPr>
              <w:rPr>
                <w:rFonts w:cs="Arial"/>
              </w:rPr>
            </w:pPr>
            <w:r w:rsidRPr="009226FA">
              <w:rPr>
                <w:rFonts w:cs="Arial"/>
                <w:b/>
                <w:bCs/>
              </w:rPr>
              <w:t>Много чести</w:t>
            </w:r>
          </w:p>
        </w:tc>
        <w:tc>
          <w:tcPr>
            <w:tcW w:w="1791" w:type="dxa"/>
          </w:tcPr>
          <w:p w14:paraId="028310BA" w14:textId="36C6812A" w:rsidR="009226FA" w:rsidRPr="009226FA" w:rsidRDefault="009226FA" w:rsidP="009226FA">
            <w:pPr>
              <w:rPr>
                <w:rFonts w:cs="Arial"/>
              </w:rPr>
            </w:pPr>
            <w:r w:rsidRPr="009226FA">
              <w:rPr>
                <w:rFonts w:cs="Arial"/>
                <w:b/>
                <w:bCs/>
              </w:rPr>
              <w:t>Чести</w:t>
            </w:r>
          </w:p>
        </w:tc>
        <w:tc>
          <w:tcPr>
            <w:tcW w:w="1587" w:type="dxa"/>
          </w:tcPr>
          <w:p w14:paraId="79255FC0" w14:textId="7855FA87" w:rsidR="009226FA" w:rsidRPr="009226FA" w:rsidRDefault="009226FA" w:rsidP="009226FA">
            <w:pPr>
              <w:rPr>
                <w:rFonts w:cs="Arial"/>
              </w:rPr>
            </w:pPr>
            <w:r w:rsidRPr="009226FA">
              <w:rPr>
                <w:rFonts w:cs="Arial"/>
                <w:b/>
                <w:bCs/>
              </w:rPr>
              <w:t>Нечести</w:t>
            </w:r>
          </w:p>
        </w:tc>
        <w:tc>
          <w:tcPr>
            <w:tcW w:w="1579" w:type="dxa"/>
          </w:tcPr>
          <w:p w14:paraId="29D731B9" w14:textId="1578F7D2" w:rsidR="009226FA" w:rsidRPr="009226FA" w:rsidRDefault="009226FA" w:rsidP="009226FA">
            <w:pPr>
              <w:rPr>
                <w:rFonts w:cs="Arial"/>
              </w:rPr>
            </w:pPr>
            <w:r w:rsidRPr="009226FA">
              <w:rPr>
                <w:rFonts w:cs="Arial"/>
                <w:b/>
                <w:bCs/>
              </w:rPr>
              <w:t>Редки</w:t>
            </w:r>
          </w:p>
        </w:tc>
        <w:tc>
          <w:tcPr>
            <w:tcW w:w="1200" w:type="dxa"/>
          </w:tcPr>
          <w:p w14:paraId="3F9B4479" w14:textId="5CC7E09F" w:rsidR="009226FA" w:rsidRPr="009226FA" w:rsidRDefault="009226FA" w:rsidP="009226FA">
            <w:pPr>
              <w:rPr>
                <w:rFonts w:cs="Arial"/>
              </w:rPr>
            </w:pPr>
            <w:r w:rsidRPr="009226FA">
              <w:rPr>
                <w:rFonts w:cs="Arial"/>
                <w:b/>
                <w:bCs/>
              </w:rPr>
              <w:t>С неизвестна четота</w:t>
            </w:r>
          </w:p>
        </w:tc>
      </w:tr>
      <w:tr w:rsidR="009226FA" w:rsidRPr="009226FA" w14:paraId="5DBA4692" w14:textId="77777777" w:rsidTr="009226FA">
        <w:tc>
          <w:tcPr>
            <w:tcW w:w="1501" w:type="dxa"/>
          </w:tcPr>
          <w:p w14:paraId="5C779A88" w14:textId="7B01097A" w:rsidR="009226FA" w:rsidRPr="009226FA" w:rsidRDefault="009226FA" w:rsidP="009226FA">
            <w:pPr>
              <w:rPr>
                <w:rFonts w:cs="Arial"/>
              </w:rPr>
            </w:pPr>
            <w:r w:rsidRPr="009226FA">
              <w:rPr>
                <w:rFonts w:cs="Arial"/>
                <w:b/>
                <w:bCs/>
              </w:rPr>
              <w:t>Инфекции и инфестации</w:t>
            </w:r>
          </w:p>
        </w:tc>
        <w:tc>
          <w:tcPr>
            <w:tcW w:w="1692" w:type="dxa"/>
          </w:tcPr>
          <w:p w14:paraId="73703137" w14:textId="77777777" w:rsidR="009226FA" w:rsidRPr="009226FA" w:rsidRDefault="009226FA" w:rsidP="009226FA">
            <w:pPr>
              <w:rPr>
                <w:rFonts w:cs="Arial"/>
              </w:rPr>
            </w:pPr>
          </w:p>
        </w:tc>
        <w:tc>
          <w:tcPr>
            <w:tcW w:w="1791" w:type="dxa"/>
            <w:vAlign w:val="bottom"/>
          </w:tcPr>
          <w:p w14:paraId="71D585BA" w14:textId="77777777" w:rsidR="009226FA" w:rsidRPr="009226FA" w:rsidRDefault="009226FA" w:rsidP="009226FA">
            <w:pPr>
              <w:rPr>
                <w:rFonts w:cs="Arial"/>
              </w:rPr>
            </w:pPr>
            <w:r w:rsidRPr="009226FA">
              <w:rPr>
                <w:rFonts w:cs="Arial"/>
              </w:rPr>
              <w:t>Вирусни инфекции</w:t>
            </w:r>
            <w:r w:rsidRPr="009226FA">
              <w:rPr>
                <w:rFonts w:cs="Arial"/>
                <w:vertAlign w:val="superscript"/>
              </w:rPr>
              <w:t>а</w:t>
            </w:r>
          </w:p>
          <w:p w14:paraId="27782CE1" w14:textId="77777777" w:rsidR="009226FA" w:rsidRPr="009226FA" w:rsidRDefault="009226FA" w:rsidP="009226FA">
            <w:pPr>
              <w:rPr>
                <w:rFonts w:cs="Arial"/>
              </w:rPr>
            </w:pPr>
            <w:r w:rsidRPr="009226FA">
              <w:rPr>
                <w:rFonts w:cs="Arial"/>
              </w:rPr>
              <w:t>Респираторни инфекции</w:t>
            </w:r>
            <w:r w:rsidRPr="009226FA">
              <w:rPr>
                <w:rFonts w:cs="Arial"/>
                <w:vertAlign w:val="superscript"/>
                <w:lang w:val="en-US"/>
              </w:rPr>
              <w:t>b,</w:t>
            </w:r>
            <w:r w:rsidRPr="009226FA">
              <w:rPr>
                <w:rFonts w:cs="Arial"/>
              </w:rPr>
              <w:t>*</w:t>
            </w:r>
          </w:p>
          <w:p w14:paraId="485E7467" w14:textId="77777777" w:rsidR="009226FA" w:rsidRPr="009226FA" w:rsidRDefault="009226FA" w:rsidP="009226FA">
            <w:pPr>
              <w:rPr>
                <w:rFonts w:cs="Arial"/>
              </w:rPr>
            </w:pPr>
            <w:r w:rsidRPr="009226FA">
              <w:rPr>
                <w:rFonts w:cs="Arial"/>
              </w:rPr>
              <w:t>Абсцес</w:t>
            </w:r>
            <w:r w:rsidRPr="009226FA">
              <w:rPr>
                <w:rFonts w:cs="Arial"/>
                <w:vertAlign w:val="superscript"/>
                <w:lang w:val="en-US"/>
              </w:rPr>
              <w:t>c,</w:t>
            </w:r>
            <w:r w:rsidRPr="009226FA">
              <w:rPr>
                <w:rFonts w:cs="Arial"/>
              </w:rPr>
              <w:t>*</w:t>
            </w:r>
          </w:p>
          <w:p w14:paraId="6AA463E4" w14:textId="77777777" w:rsidR="009226FA" w:rsidRPr="009226FA" w:rsidRDefault="009226FA" w:rsidP="009226FA">
            <w:pPr>
              <w:rPr>
                <w:rFonts w:cs="Arial"/>
              </w:rPr>
            </w:pPr>
            <w:r w:rsidRPr="009226FA">
              <w:rPr>
                <w:rFonts w:cs="Arial"/>
              </w:rPr>
              <w:t>Гъбични инфекции</w:t>
            </w:r>
            <w:r w:rsidRPr="009226FA">
              <w:rPr>
                <w:rFonts w:cs="Arial"/>
                <w:vertAlign w:val="superscript"/>
                <w:lang w:val="en-US"/>
              </w:rPr>
              <w:t>d</w:t>
            </w:r>
          </w:p>
          <w:p w14:paraId="3F98FED1" w14:textId="77777777" w:rsidR="009226FA" w:rsidRPr="009226FA" w:rsidRDefault="009226FA" w:rsidP="009226FA">
            <w:pPr>
              <w:rPr>
                <w:rFonts w:cs="Arial"/>
              </w:rPr>
            </w:pPr>
            <w:r w:rsidRPr="009226FA">
              <w:rPr>
                <w:rFonts w:cs="Arial"/>
              </w:rPr>
              <w:t>Инфекции на пикочните пътища</w:t>
            </w:r>
          </w:p>
          <w:p w14:paraId="6B745B5C" w14:textId="77777777" w:rsidR="009226FA" w:rsidRPr="009226FA" w:rsidRDefault="009226FA" w:rsidP="009226FA">
            <w:pPr>
              <w:rPr>
                <w:rFonts w:cs="Arial"/>
              </w:rPr>
            </w:pPr>
            <w:r w:rsidRPr="009226FA">
              <w:rPr>
                <w:rFonts w:cs="Arial"/>
              </w:rPr>
              <w:t>Кожни инфекции</w:t>
            </w:r>
            <w:r w:rsidRPr="009226FA">
              <w:rPr>
                <w:rFonts w:cs="Arial"/>
                <w:vertAlign w:val="superscript"/>
                <w:lang w:val="en-US"/>
              </w:rPr>
              <w:t>e</w:t>
            </w:r>
          </w:p>
          <w:p w14:paraId="321CF4B5" w14:textId="69E1C48B" w:rsidR="009226FA" w:rsidRPr="009226FA" w:rsidRDefault="009226FA" w:rsidP="009226FA">
            <w:pPr>
              <w:rPr>
                <w:rFonts w:cs="Arial"/>
              </w:rPr>
            </w:pPr>
            <w:r w:rsidRPr="009226FA">
              <w:rPr>
                <w:rFonts w:cs="Arial"/>
              </w:rPr>
              <w:t>Сепсис</w:t>
            </w:r>
            <w:r w:rsidRPr="009226FA">
              <w:rPr>
                <w:rFonts w:cs="Arial"/>
                <w:vertAlign w:val="superscript"/>
                <w:lang w:val="en-US"/>
              </w:rPr>
              <w:t>f,</w:t>
            </w:r>
            <w:r w:rsidRPr="009226FA">
              <w:rPr>
                <w:rFonts w:cs="Arial"/>
              </w:rPr>
              <w:t>*</w:t>
            </w:r>
          </w:p>
        </w:tc>
        <w:tc>
          <w:tcPr>
            <w:tcW w:w="1587" w:type="dxa"/>
          </w:tcPr>
          <w:p w14:paraId="153DE689" w14:textId="77777777" w:rsidR="009226FA" w:rsidRPr="009226FA" w:rsidRDefault="009226FA" w:rsidP="009226FA">
            <w:pPr>
              <w:rPr>
                <w:rFonts w:cs="Arial"/>
              </w:rPr>
            </w:pPr>
            <w:r w:rsidRPr="009226FA">
              <w:rPr>
                <w:rFonts w:cs="Arial"/>
              </w:rPr>
              <w:t>Некротизиращ фасциит*</w:t>
            </w:r>
          </w:p>
          <w:p w14:paraId="1BE4829F" w14:textId="02C1C7AD" w:rsidR="009226FA" w:rsidRPr="009226FA" w:rsidRDefault="009226FA" w:rsidP="009226FA">
            <w:pPr>
              <w:rPr>
                <w:rFonts w:cs="Arial"/>
              </w:rPr>
            </w:pPr>
            <w:r w:rsidRPr="009226FA">
              <w:rPr>
                <w:rFonts w:cs="Arial"/>
              </w:rPr>
              <w:t>Бактериални инфекции</w:t>
            </w:r>
            <w:r w:rsidRPr="009226FA">
              <w:rPr>
                <w:rFonts w:cs="Arial"/>
                <w:vertAlign w:val="superscript"/>
                <w:lang w:val="en-US"/>
              </w:rPr>
              <w:t>g</w:t>
            </w:r>
          </w:p>
        </w:tc>
        <w:tc>
          <w:tcPr>
            <w:tcW w:w="1579" w:type="dxa"/>
            <w:vAlign w:val="bottom"/>
          </w:tcPr>
          <w:p w14:paraId="2873D073" w14:textId="77777777" w:rsidR="009226FA" w:rsidRPr="009226FA" w:rsidRDefault="009226FA" w:rsidP="009226FA">
            <w:pPr>
              <w:rPr>
                <w:rFonts w:cs="Arial"/>
              </w:rPr>
            </w:pPr>
          </w:p>
        </w:tc>
        <w:tc>
          <w:tcPr>
            <w:tcW w:w="1200" w:type="dxa"/>
            <w:vAlign w:val="bottom"/>
          </w:tcPr>
          <w:p w14:paraId="7E109893" w14:textId="77777777" w:rsidR="009226FA" w:rsidRPr="009226FA" w:rsidRDefault="009226FA" w:rsidP="009226FA">
            <w:pPr>
              <w:rPr>
                <w:rFonts w:cs="Arial"/>
              </w:rPr>
            </w:pPr>
          </w:p>
        </w:tc>
      </w:tr>
      <w:tr w:rsidR="009226FA" w:rsidRPr="009226FA" w14:paraId="6C565C2B" w14:textId="77777777" w:rsidTr="009226FA">
        <w:trPr>
          <w:trHeight w:val="1227"/>
        </w:trPr>
        <w:tc>
          <w:tcPr>
            <w:tcW w:w="1501" w:type="dxa"/>
            <w:vAlign w:val="bottom"/>
          </w:tcPr>
          <w:p w14:paraId="761E1086" w14:textId="77777777" w:rsidR="009226FA" w:rsidRPr="009226FA" w:rsidRDefault="009226FA" w:rsidP="009226FA">
            <w:pPr>
              <w:rPr>
                <w:rFonts w:cs="Arial"/>
              </w:rPr>
            </w:pPr>
            <w:r w:rsidRPr="009226FA">
              <w:rPr>
                <w:rFonts w:cs="Arial"/>
                <w:b/>
                <w:bCs/>
              </w:rPr>
              <w:t>Нарушения на кръвта и лимфната</w:t>
            </w:r>
          </w:p>
          <w:p w14:paraId="4E3242F4" w14:textId="7A6CE75A" w:rsidR="009226FA" w:rsidRPr="009226FA" w:rsidRDefault="009226FA" w:rsidP="009226FA">
            <w:pPr>
              <w:rPr>
                <w:rFonts w:cs="Arial"/>
              </w:rPr>
            </w:pPr>
            <w:r w:rsidRPr="009226FA">
              <w:rPr>
                <w:rFonts w:cs="Arial"/>
              </w:rPr>
              <w:t>система</w:t>
            </w:r>
          </w:p>
        </w:tc>
        <w:tc>
          <w:tcPr>
            <w:tcW w:w="1692" w:type="dxa"/>
            <w:vAlign w:val="bottom"/>
          </w:tcPr>
          <w:p w14:paraId="66C962A3" w14:textId="77777777" w:rsidR="009226FA" w:rsidRPr="009226FA" w:rsidRDefault="009226FA" w:rsidP="009226FA">
            <w:pPr>
              <w:rPr>
                <w:rFonts w:cs="Arial"/>
              </w:rPr>
            </w:pPr>
            <w:r w:rsidRPr="009226FA">
              <w:rPr>
                <w:rFonts w:cs="Arial"/>
              </w:rPr>
              <w:t>Неутропения</w:t>
            </w:r>
          </w:p>
          <w:p w14:paraId="5F6C3561" w14:textId="77777777" w:rsidR="009226FA" w:rsidRPr="009226FA" w:rsidRDefault="009226FA" w:rsidP="009226FA">
            <w:pPr>
              <w:rPr>
                <w:rFonts w:cs="Arial"/>
              </w:rPr>
            </w:pPr>
            <w:r w:rsidRPr="009226FA">
              <w:rPr>
                <w:rFonts w:cs="Arial"/>
              </w:rPr>
              <w:t>Тромбоцитопения</w:t>
            </w:r>
          </w:p>
          <w:p w14:paraId="5548B0AA" w14:textId="77777777" w:rsidR="009226FA" w:rsidRPr="009226FA" w:rsidRDefault="009226FA" w:rsidP="009226FA">
            <w:pPr>
              <w:rPr>
                <w:rFonts w:cs="Arial"/>
              </w:rPr>
            </w:pPr>
            <w:r w:rsidRPr="009226FA">
              <w:rPr>
                <w:rFonts w:cs="Arial"/>
              </w:rPr>
              <w:t>Анемия</w:t>
            </w:r>
          </w:p>
          <w:p w14:paraId="793F6467" w14:textId="60AE4F36" w:rsidR="009226FA" w:rsidRPr="009226FA" w:rsidRDefault="009226FA" w:rsidP="009226FA">
            <w:pPr>
              <w:rPr>
                <w:rFonts w:cs="Arial"/>
              </w:rPr>
            </w:pPr>
            <w:r w:rsidRPr="009226FA">
              <w:rPr>
                <w:rFonts w:cs="Arial"/>
              </w:rPr>
              <w:t>Левкопения</w:t>
            </w:r>
          </w:p>
        </w:tc>
        <w:tc>
          <w:tcPr>
            <w:tcW w:w="1791" w:type="dxa"/>
          </w:tcPr>
          <w:p w14:paraId="0FFBB47D" w14:textId="0022C1AF" w:rsidR="009226FA" w:rsidRPr="009226FA" w:rsidRDefault="009226FA" w:rsidP="009226FA">
            <w:pPr>
              <w:rPr>
                <w:rFonts w:cs="Arial"/>
              </w:rPr>
            </w:pPr>
            <w:r w:rsidRPr="009226FA">
              <w:rPr>
                <w:rFonts w:cs="Arial"/>
              </w:rPr>
              <w:t>Лимфопения</w:t>
            </w:r>
          </w:p>
        </w:tc>
        <w:tc>
          <w:tcPr>
            <w:tcW w:w="1587" w:type="dxa"/>
          </w:tcPr>
          <w:p w14:paraId="4647D6A2" w14:textId="506D07BA" w:rsidR="009226FA" w:rsidRPr="009226FA" w:rsidRDefault="009226FA" w:rsidP="009226FA">
            <w:pPr>
              <w:rPr>
                <w:rFonts w:cs="Arial"/>
              </w:rPr>
            </w:pPr>
            <w:r w:rsidRPr="009226FA">
              <w:rPr>
                <w:rFonts w:cs="Arial"/>
              </w:rPr>
              <w:t>Панцитопения</w:t>
            </w:r>
          </w:p>
        </w:tc>
        <w:tc>
          <w:tcPr>
            <w:tcW w:w="1579" w:type="dxa"/>
            <w:vAlign w:val="bottom"/>
          </w:tcPr>
          <w:p w14:paraId="01CE4A69" w14:textId="77777777" w:rsidR="009226FA" w:rsidRPr="009226FA" w:rsidRDefault="009226FA" w:rsidP="009226FA">
            <w:pPr>
              <w:rPr>
                <w:rFonts w:cs="Arial"/>
              </w:rPr>
            </w:pPr>
            <w:r w:rsidRPr="009226FA">
              <w:rPr>
                <w:rFonts w:cs="Arial"/>
              </w:rPr>
              <w:t>Тромботична</w:t>
            </w:r>
          </w:p>
          <w:p w14:paraId="0A6310BC" w14:textId="77777777" w:rsidR="009226FA" w:rsidRPr="009226FA" w:rsidRDefault="009226FA" w:rsidP="009226FA">
            <w:pPr>
              <w:rPr>
                <w:rFonts w:cs="Arial"/>
              </w:rPr>
            </w:pPr>
            <w:r w:rsidRPr="009226FA">
              <w:rPr>
                <w:rFonts w:cs="Arial"/>
              </w:rPr>
              <w:t>микроангио-</w:t>
            </w:r>
          </w:p>
          <w:p w14:paraId="4D01D9AB" w14:textId="1585C1E8" w:rsidR="009226FA" w:rsidRPr="009226FA" w:rsidRDefault="009226FA" w:rsidP="009226FA">
            <w:pPr>
              <w:rPr>
                <w:rFonts w:cs="Arial"/>
              </w:rPr>
            </w:pPr>
            <w:r w:rsidRPr="009226FA">
              <w:rPr>
                <w:rFonts w:cs="Arial"/>
              </w:rPr>
              <w:t>патия</w:t>
            </w:r>
            <w:r w:rsidRPr="009226FA">
              <w:rPr>
                <w:rFonts w:cs="Arial"/>
                <w:vertAlign w:val="superscript"/>
                <w:lang w:val="en-US"/>
              </w:rPr>
              <w:t>b,</w:t>
            </w:r>
            <w:r w:rsidRPr="009226FA">
              <w:rPr>
                <w:rFonts w:cs="Arial"/>
              </w:rPr>
              <w:t>*</w:t>
            </w:r>
          </w:p>
        </w:tc>
        <w:tc>
          <w:tcPr>
            <w:tcW w:w="1200" w:type="dxa"/>
          </w:tcPr>
          <w:p w14:paraId="5B0866A3" w14:textId="77777777" w:rsidR="009226FA" w:rsidRPr="009226FA" w:rsidRDefault="009226FA" w:rsidP="009226FA">
            <w:pPr>
              <w:rPr>
                <w:rFonts w:cs="Arial"/>
              </w:rPr>
            </w:pPr>
          </w:p>
        </w:tc>
      </w:tr>
      <w:tr w:rsidR="009226FA" w:rsidRPr="009226FA" w14:paraId="41E19BF7" w14:textId="77777777" w:rsidTr="009226FA">
        <w:tc>
          <w:tcPr>
            <w:tcW w:w="1501" w:type="dxa"/>
            <w:vAlign w:val="bottom"/>
          </w:tcPr>
          <w:p w14:paraId="3186192E" w14:textId="0446ADC8" w:rsidR="009226FA" w:rsidRPr="009226FA" w:rsidRDefault="009226FA" w:rsidP="009226FA">
            <w:pPr>
              <w:rPr>
                <w:rFonts w:cs="Arial"/>
              </w:rPr>
            </w:pPr>
            <w:r w:rsidRPr="009226FA">
              <w:rPr>
                <w:rFonts w:cs="Arial"/>
                <w:b/>
                <w:bCs/>
              </w:rPr>
              <w:t>Нарушения на имунната система</w:t>
            </w:r>
          </w:p>
        </w:tc>
        <w:tc>
          <w:tcPr>
            <w:tcW w:w="1692" w:type="dxa"/>
          </w:tcPr>
          <w:p w14:paraId="0080BA9A" w14:textId="77777777" w:rsidR="009226FA" w:rsidRPr="009226FA" w:rsidRDefault="009226FA" w:rsidP="009226FA">
            <w:pPr>
              <w:rPr>
                <w:rFonts w:cs="Arial"/>
              </w:rPr>
            </w:pPr>
          </w:p>
        </w:tc>
        <w:tc>
          <w:tcPr>
            <w:tcW w:w="1791" w:type="dxa"/>
          </w:tcPr>
          <w:p w14:paraId="658364F5" w14:textId="77777777" w:rsidR="009226FA" w:rsidRPr="009226FA" w:rsidRDefault="009226FA" w:rsidP="009226FA">
            <w:pPr>
              <w:rPr>
                <w:rFonts w:cs="Arial"/>
              </w:rPr>
            </w:pPr>
          </w:p>
        </w:tc>
        <w:tc>
          <w:tcPr>
            <w:tcW w:w="1587" w:type="dxa"/>
          </w:tcPr>
          <w:p w14:paraId="7CC501FD" w14:textId="26858BBA" w:rsidR="009226FA" w:rsidRPr="009226FA" w:rsidRDefault="009226FA" w:rsidP="009226FA">
            <w:pPr>
              <w:rPr>
                <w:rFonts w:cs="Arial"/>
              </w:rPr>
            </w:pPr>
            <w:r w:rsidRPr="009226FA">
              <w:rPr>
                <w:rFonts w:cs="Arial"/>
              </w:rPr>
              <w:t>Свръхчувствите лност</w:t>
            </w:r>
          </w:p>
        </w:tc>
        <w:tc>
          <w:tcPr>
            <w:tcW w:w="1579" w:type="dxa"/>
          </w:tcPr>
          <w:p w14:paraId="2CEA3D4C" w14:textId="6C4E2FA4" w:rsidR="009226FA" w:rsidRPr="009226FA" w:rsidRDefault="009226FA" w:rsidP="009226FA">
            <w:pPr>
              <w:rPr>
                <w:rFonts w:cs="Arial"/>
              </w:rPr>
            </w:pPr>
            <w:r w:rsidRPr="009226FA">
              <w:rPr>
                <w:rFonts w:cs="Arial"/>
              </w:rPr>
              <w:t>Ангиоедем</w:t>
            </w:r>
          </w:p>
        </w:tc>
        <w:tc>
          <w:tcPr>
            <w:tcW w:w="1200" w:type="dxa"/>
          </w:tcPr>
          <w:p w14:paraId="313E6626" w14:textId="77777777" w:rsidR="009226FA" w:rsidRPr="009226FA" w:rsidRDefault="009226FA" w:rsidP="009226FA">
            <w:pPr>
              <w:rPr>
                <w:rFonts w:cs="Arial"/>
              </w:rPr>
            </w:pPr>
          </w:p>
        </w:tc>
      </w:tr>
      <w:tr w:rsidR="009226FA" w:rsidRPr="009226FA" w14:paraId="3644836E" w14:textId="77777777" w:rsidTr="009226FA">
        <w:tc>
          <w:tcPr>
            <w:tcW w:w="1501" w:type="dxa"/>
            <w:vAlign w:val="bottom"/>
          </w:tcPr>
          <w:p w14:paraId="07293C9C" w14:textId="0E8694F3" w:rsidR="009226FA" w:rsidRPr="009226FA" w:rsidRDefault="009226FA" w:rsidP="009226FA">
            <w:pPr>
              <w:rPr>
                <w:rFonts w:cs="Arial"/>
              </w:rPr>
            </w:pPr>
            <w:r w:rsidRPr="009226FA">
              <w:rPr>
                <w:rFonts w:cs="Arial"/>
                <w:b/>
                <w:bCs/>
              </w:rPr>
              <w:lastRenderedPageBreak/>
              <w:t>Ендокринни нарушения</w:t>
            </w:r>
          </w:p>
        </w:tc>
        <w:tc>
          <w:tcPr>
            <w:tcW w:w="1692" w:type="dxa"/>
            <w:vAlign w:val="bottom"/>
          </w:tcPr>
          <w:p w14:paraId="5406D309" w14:textId="20421008" w:rsidR="009226FA" w:rsidRPr="009226FA" w:rsidRDefault="009226FA" w:rsidP="009226FA">
            <w:pPr>
              <w:rPr>
                <w:rFonts w:cs="Arial"/>
              </w:rPr>
            </w:pPr>
            <w:r w:rsidRPr="009226FA">
              <w:rPr>
                <w:rFonts w:cs="Arial"/>
              </w:rPr>
              <w:t>Хипотирео</w:t>
            </w:r>
            <w:r w:rsidR="00B159F3">
              <w:rPr>
                <w:rFonts w:cs="Arial"/>
              </w:rPr>
              <w:t>иди</w:t>
            </w:r>
            <w:r w:rsidRPr="009226FA">
              <w:rPr>
                <w:rFonts w:cs="Arial"/>
              </w:rPr>
              <w:t>зъм</w:t>
            </w:r>
          </w:p>
        </w:tc>
        <w:tc>
          <w:tcPr>
            <w:tcW w:w="1791" w:type="dxa"/>
          </w:tcPr>
          <w:p w14:paraId="24DADA1C" w14:textId="77777777" w:rsidR="009226FA" w:rsidRPr="009226FA" w:rsidRDefault="009226FA" w:rsidP="009226FA">
            <w:pPr>
              <w:rPr>
                <w:rFonts w:cs="Arial"/>
              </w:rPr>
            </w:pPr>
          </w:p>
        </w:tc>
        <w:tc>
          <w:tcPr>
            <w:tcW w:w="1587" w:type="dxa"/>
            <w:vAlign w:val="bottom"/>
          </w:tcPr>
          <w:p w14:paraId="7AEE35D7" w14:textId="6F762305" w:rsidR="009226FA" w:rsidRPr="009226FA" w:rsidRDefault="00B159F3" w:rsidP="009226FA">
            <w:pPr>
              <w:rPr>
                <w:rFonts w:cs="Arial"/>
              </w:rPr>
            </w:pPr>
            <w:r>
              <w:rPr>
                <w:rFonts w:cs="Arial"/>
              </w:rPr>
              <w:t>Хипертиреоиди</w:t>
            </w:r>
            <w:r w:rsidR="009226FA" w:rsidRPr="009226FA">
              <w:rPr>
                <w:rFonts w:cs="Arial"/>
              </w:rPr>
              <w:t>зъм</w:t>
            </w:r>
          </w:p>
        </w:tc>
        <w:tc>
          <w:tcPr>
            <w:tcW w:w="1579" w:type="dxa"/>
          </w:tcPr>
          <w:p w14:paraId="1F9478DC" w14:textId="05469724" w:rsidR="009226FA" w:rsidRPr="009226FA" w:rsidRDefault="009226FA" w:rsidP="009226FA">
            <w:pPr>
              <w:rPr>
                <w:rFonts w:cs="Arial"/>
              </w:rPr>
            </w:pPr>
            <w:r w:rsidRPr="009226FA">
              <w:rPr>
                <w:rFonts w:cs="Arial"/>
              </w:rPr>
              <w:t>Тиреоидит</w:t>
            </w:r>
          </w:p>
        </w:tc>
        <w:tc>
          <w:tcPr>
            <w:tcW w:w="1200" w:type="dxa"/>
          </w:tcPr>
          <w:p w14:paraId="1DED5E39" w14:textId="77777777" w:rsidR="009226FA" w:rsidRPr="009226FA" w:rsidRDefault="009226FA" w:rsidP="009226FA">
            <w:pPr>
              <w:rPr>
                <w:rFonts w:cs="Arial"/>
              </w:rPr>
            </w:pPr>
          </w:p>
        </w:tc>
      </w:tr>
      <w:tr w:rsidR="009226FA" w:rsidRPr="009226FA" w14:paraId="354E15B7" w14:textId="77777777" w:rsidTr="009226FA">
        <w:tc>
          <w:tcPr>
            <w:tcW w:w="1501" w:type="dxa"/>
            <w:vAlign w:val="bottom"/>
          </w:tcPr>
          <w:p w14:paraId="7D72DAD0" w14:textId="00210671" w:rsidR="009226FA" w:rsidRPr="009226FA" w:rsidRDefault="009226FA" w:rsidP="009226FA">
            <w:pPr>
              <w:rPr>
                <w:rFonts w:cs="Arial"/>
              </w:rPr>
            </w:pPr>
            <w:r w:rsidRPr="009226FA">
              <w:rPr>
                <w:rFonts w:cs="Arial"/>
                <w:b/>
                <w:bCs/>
              </w:rPr>
              <w:t>Нарушения на метаболизма и храненето</w:t>
            </w:r>
          </w:p>
        </w:tc>
        <w:tc>
          <w:tcPr>
            <w:tcW w:w="1692" w:type="dxa"/>
          </w:tcPr>
          <w:p w14:paraId="3A41652F" w14:textId="0E00BFAC" w:rsidR="009226FA" w:rsidRPr="009226FA" w:rsidRDefault="009226FA" w:rsidP="009226FA">
            <w:pPr>
              <w:rPr>
                <w:rFonts w:cs="Arial"/>
              </w:rPr>
            </w:pPr>
            <w:r w:rsidRPr="009226FA">
              <w:rPr>
                <w:rFonts w:cs="Arial"/>
              </w:rPr>
              <w:t>Намален апетит</w:t>
            </w:r>
            <w:r w:rsidRPr="009226FA">
              <w:rPr>
                <w:rFonts w:cs="Arial"/>
                <w:vertAlign w:val="superscript"/>
              </w:rPr>
              <w:t>1</w:t>
            </w:r>
          </w:p>
        </w:tc>
        <w:tc>
          <w:tcPr>
            <w:tcW w:w="1791" w:type="dxa"/>
            <w:vAlign w:val="bottom"/>
          </w:tcPr>
          <w:p w14:paraId="4DC5D9D0" w14:textId="77777777" w:rsidR="009226FA" w:rsidRPr="009226FA" w:rsidRDefault="009226FA" w:rsidP="009226FA">
            <w:pPr>
              <w:rPr>
                <w:rFonts w:cs="Arial"/>
              </w:rPr>
            </w:pPr>
            <w:r w:rsidRPr="009226FA">
              <w:rPr>
                <w:rFonts w:cs="Arial"/>
              </w:rPr>
              <w:t>Дехидратация</w:t>
            </w:r>
          </w:p>
          <w:p w14:paraId="79D38D38" w14:textId="3A41EED7" w:rsidR="009226FA" w:rsidRPr="009226FA" w:rsidRDefault="009226FA" w:rsidP="009226FA">
            <w:pPr>
              <w:rPr>
                <w:rFonts w:cs="Arial"/>
              </w:rPr>
            </w:pPr>
            <w:r w:rsidRPr="009226FA">
              <w:rPr>
                <w:rFonts w:cs="Arial"/>
              </w:rPr>
              <w:t>Хипогликемия</w:t>
            </w:r>
          </w:p>
        </w:tc>
        <w:tc>
          <w:tcPr>
            <w:tcW w:w="1587" w:type="dxa"/>
          </w:tcPr>
          <w:p w14:paraId="43DD92AE" w14:textId="77777777" w:rsidR="009226FA" w:rsidRPr="009226FA" w:rsidRDefault="009226FA" w:rsidP="009226FA">
            <w:pPr>
              <w:rPr>
                <w:rFonts w:cs="Arial"/>
              </w:rPr>
            </w:pPr>
          </w:p>
        </w:tc>
        <w:tc>
          <w:tcPr>
            <w:tcW w:w="1579" w:type="dxa"/>
          </w:tcPr>
          <w:p w14:paraId="2651086F" w14:textId="0E7477D7" w:rsidR="009226FA" w:rsidRPr="009226FA" w:rsidRDefault="009226FA" w:rsidP="009226FA">
            <w:pPr>
              <w:rPr>
                <w:rFonts w:cs="Arial"/>
              </w:rPr>
            </w:pPr>
            <w:r w:rsidRPr="009226FA">
              <w:rPr>
                <w:rFonts w:cs="Arial"/>
              </w:rPr>
              <w:t>Тумор лизис синдром*</w:t>
            </w:r>
          </w:p>
        </w:tc>
        <w:tc>
          <w:tcPr>
            <w:tcW w:w="1200" w:type="dxa"/>
          </w:tcPr>
          <w:p w14:paraId="0DBD6165" w14:textId="77777777" w:rsidR="009226FA" w:rsidRPr="009226FA" w:rsidRDefault="009226FA" w:rsidP="009226FA">
            <w:pPr>
              <w:rPr>
                <w:rFonts w:cs="Arial"/>
              </w:rPr>
            </w:pPr>
          </w:p>
        </w:tc>
      </w:tr>
      <w:tr w:rsidR="009226FA" w:rsidRPr="009226FA" w14:paraId="41D6FC52" w14:textId="77777777" w:rsidTr="009226FA">
        <w:tc>
          <w:tcPr>
            <w:tcW w:w="1501" w:type="dxa"/>
            <w:vAlign w:val="bottom"/>
          </w:tcPr>
          <w:p w14:paraId="0FA3E5E6" w14:textId="25261C65" w:rsidR="009226FA" w:rsidRPr="009226FA" w:rsidRDefault="009226FA" w:rsidP="009226FA">
            <w:pPr>
              <w:rPr>
                <w:rFonts w:cs="Arial"/>
              </w:rPr>
            </w:pPr>
            <w:r w:rsidRPr="009226FA">
              <w:rPr>
                <w:rFonts w:cs="Arial"/>
                <w:b/>
                <w:bCs/>
              </w:rPr>
              <w:t>Психични нарушения</w:t>
            </w:r>
          </w:p>
        </w:tc>
        <w:tc>
          <w:tcPr>
            <w:tcW w:w="1692" w:type="dxa"/>
          </w:tcPr>
          <w:p w14:paraId="1DB768EC" w14:textId="421C0564" w:rsidR="009226FA" w:rsidRPr="009226FA" w:rsidRDefault="009226FA" w:rsidP="009226FA">
            <w:pPr>
              <w:rPr>
                <w:rFonts w:cs="Arial"/>
              </w:rPr>
            </w:pPr>
            <w:r w:rsidRPr="009226FA">
              <w:rPr>
                <w:rFonts w:cs="Arial"/>
              </w:rPr>
              <w:t>Инсомния</w:t>
            </w:r>
          </w:p>
        </w:tc>
        <w:tc>
          <w:tcPr>
            <w:tcW w:w="1791" w:type="dxa"/>
          </w:tcPr>
          <w:p w14:paraId="2040DA56" w14:textId="480797BB" w:rsidR="009226FA" w:rsidRPr="009226FA" w:rsidRDefault="009226FA" w:rsidP="009226FA">
            <w:pPr>
              <w:rPr>
                <w:rFonts w:cs="Arial"/>
              </w:rPr>
            </w:pPr>
            <w:r w:rsidRPr="009226FA">
              <w:rPr>
                <w:rFonts w:cs="Arial"/>
              </w:rPr>
              <w:t>Депресия</w:t>
            </w:r>
          </w:p>
        </w:tc>
        <w:tc>
          <w:tcPr>
            <w:tcW w:w="1587" w:type="dxa"/>
          </w:tcPr>
          <w:p w14:paraId="7304DC59" w14:textId="77777777" w:rsidR="009226FA" w:rsidRPr="009226FA" w:rsidRDefault="009226FA" w:rsidP="009226FA">
            <w:pPr>
              <w:rPr>
                <w:rFonts w:cs="Arial"/>
              </w:rPr>
            </w:pPr>
          </w:p>
        </w:tc>
        <w:tc>
          <w:tcPr>
            <w:tcW w:w="1579" w:type="dxa"/>
          </w:tcPr>
          <w:p w14:paraId="1C862AA2" w14:textId="77777777" w:rsidR="009226FA" w:rsidRPr="009226FA" w:rsidRDefault="009226FA" w:rsidP="009226FA">
            <w:pPr>
              <w:rPr>
                <w:rFonts w:cs="Arial"/>
              </w:rPr>
            </w:pPr>
          </w:p>
        </w:tc>
        <w:tc>
          <w:tcPr>
            <w:tcW w:w="1200" w:type="dxa"/>
          </w:tcPr>
          <w:p w14:paraId="621E5CB2" w14:textId="77777777" w:rsidR="009226FA" w:rsidRPr="009226FA" w:rsidRDefault="009226FA" w:rsidP="009226FA">
            <w:pPr>
              <w:rPr>
                <w:rFonts w:cs="Arial"/>
              </w:rPr>
            </w:pPr>
          </w:p>
        </w:tc>
      </w:tr>
      <w:tr w:rsidR="009226FA" w:rsidRPr="009226FA" w14:paraId="67ED5DEA" w14:textId="77777777" w:rsidTr="009226FA">
        <w:tc>
          <w:tcPr>
            <w:tcW w:w="1501" w:type="dxa"/>
          </w:tcPr>
          <w:p w14:paraId="6F9A9F97" w14:textId="6654C8EF" w:rsidR="009226FA" w:rsidRPr="009226FA" w:rsidRDefault="009226FA" w:rsidP="009226FA">
            <w:pPr>
              <w:rPr>
                <w:rFonts w:cs="Arial"/>
              </w:rPr>
            </w:pPr>
            <w:r w:rsidRPr="009226FA">
              <w:rPr>
                <w:rFonts w:cs="Arial"/>
                <w:b/>
                <w:bCs/>
              </w:rPr>
              <w:t>Нарушения на нервната система</w:t>
            </w:r>
          </w:p>
        </w:tc>
        <w:tc>
          <w:tcPr>
            <w:tcW w:w="1692" w:type="dxa"/>
          </w:tcPr>
          <w:p w14:paraId="5DAD5728" w14:textId="77777777" w:rsidR="009226FA" w:rsidRPr="009226FA" w:rsidRDefault="009226FA" w:rsidP="009226FA">
            <w:pPr>
              <w:rPr>
                <w:rFonts w:cs="Arial"/>
              </w:rPr>
            </w:pPr>
            <w:r w:rsidRPr="009226FA">
              <w:rPr>
                <w:rFonts w:cs="Arial"/>
              </w:rPr>
              <w:t>Замаяност</w:t>
            </w:r>
          </w:p>
          <w:p w14:paraId="5DF58DAB" w14:textId="77777777" w:rsidR="009226FA" w:rsidRPr="009226FA" w:rsidRDefault="009226FA" w:rsidP="009226FA">
            <w:pPr>
              <w:rPr>
                <w:rFonts w:cs="Arial"/>
              </w:rPr>
            </w:pPr>
            <w:r w:rsidRPr="009226FA">
              <w:rPr>
                <w:rFonts w:cs="Arial"/>
              </w:rPr>
              <w:t>Главоболие</w:t>
            </w:r>
          </w:p>
          <w:p w14:paraId="19E960D7" w14:textId="3048C7CB" w:rsidR="009226FA" w:rsidRPr="009226FA" w:rsidRDefault="009226FA" w:rsidP="009226FA">
            <w:pPr>
              <w:rPr>
                <w:rFonts w:cs="Arial"/>
              </w:rPr>
            </w:pPr>
            <w:r w:rsidRPr="009226FA">
              <w:rPr>
                <w:rFonts w:cs="Arial"/>
              </w:rPr>
              <w:t>Нарушения на вкуса*</w:t>
            </w:r>
          </w:p>
        </w:tc>
        <w:tc>
          <w:tcPr>
            <w:tcW w:w="1791" w:type="dxa"/>
          </w:tcPr>
          <w:p w14:paraId="73257515" w14:textId="77777777" w:rsidR="009226FA" w:rsidRPr="009226FA" w:rsidRDefault="009226FA" w:rsidP="009226FA">
            <w:pPr>
              <w:rPr>
                <w:rFonts w:cs="Arial"/>
              </w:rPr>
            </w:pPr>
            <w:r w:rsidRPr="009226FA">
              <w:rPr>
                <w:rFonts w:cs="Arial"/>
              </w:rPr>
              <w:t>Периферна невропатия</w:t>
            </w:r>
          </w:p>
          <w:p w14:paraId="7F09ABA0" w14:textId="77777777" w:rsidR="009226FA" w:rsidRPr="009226FA" w:rsidRDefault="009226FA" w:rsidP="009226FA">
            <w:pPr>
              <w:rPr>
                <w:rFonts w:cs="Arial"/>
              </w:rPr>
            </w:pPr>
            <w:r w:rsidRPr="009226FA">
              <w:rPr>
                <w:rFonts w:cs="Arial"/>
              </w:rPr>
              <w:t>Парестезия</w:t>
            </w:r>
          </w:p>
          <w:p w14:paraId="310A02DA" w14:textId="77777777" w:rsidR="009226FA" w:rsidRPr="009226FA" w:rsidRDefault="009226FA" w:rsidP="009226FA">
            <w:pPr>
              <w:rPr>
                <w:rFonts w:cs="Arial"/>
              </w:rPr>
            </w:pPr>
            <w:r w:rsidRPr="009226FA">
              <w:rPr>
                <w:rFonts w:cs="Arial"/>
              </w:rPr>
              <w:t>Хипоестезия</w:t>
            </w:r>
          </w:p>
          <w:p w14:paraId="2934CAAF" w14:textId="681C240F" w:rsidR="009226FA" w:rsidRPr="009226FA" w:rsidRDefault="009226FA" w:rsidP="009226FA">
            <w:pPr>
              <w:rPr>
                <w:rFonts w:cs="Arial"/>
              </w:rPr>
            </w:pPr>
            <w:r w:rsidRPr="009226FA">
              <w:rPr>
                <w:rFonts w:cs="Arial"/>
              </w:rPr>
              <w:t>Хиперестезия</w:t>
            </w:r>
          </w:p>
        </w:tc>
        <w:tc>
          <w:tcPr>
            <w:tcW w:w="1587" w:type="dxa"/>
            <w:vAlign w:val="bottom"/>
          </w:tcPr>
          <w:p w14:paraId="1AA03C80" w14:textId="77777777" w:rsidR="009226FA" w:rsidRPr="009226FA" w:rsidRDefault="009226FA" w:rsidP="009226FA">
            <w:pPr>
              <w:rPr>
                <w:rFonts w:cs="Arial"/>
              </w:rPr>
            </w:pPr>
            <w:r w:rsidRPr="009226FA">
              <w:rPr>
                <w:rFonts w:cs="Arial"/>
              </w:rPr>
              <w:t>Мозъчен кръвоизлив*</w:t>
            </w:r>
          </w:p>
          <w:p w14:paraId="103DC74E" w14:textId="77777777" w:rsidR="009226FA" w:rsidRPr="009226FA" w:rsidRDefault="009226FA" w:rsidP="009226FA">
            <w:pPr>
              <w:rPr>
                <w:rFonts w:cs="Arial"/>
              </w:rPr>
            </w:pPr>
            <w:r w:rsidRPr="009226FA">
              <w:rPr>
                <w:rFonts w:cs="Arial"/>
              </w:rPr>
              <w:t>Мозъчно-съдов инцидент*</w:t>
            </w:r>
          </w:p>
          <w:p w14:paraId="6950665A" w14:textId="2D13B5C8" w:rsidR="009226FA" w:rsidRPr="009226FA" w:rsidRDefault="009226FA" w:rsidP="009226FA">
            <w:pPr>
              <w:rPr>
                <w:rFonts w:cs="Arial"/>
              </w:rPr>
            </w:pPr>
            <w:r w:rsidRPr="009226FA">
              <w:rPr>
                <w:rFonts w:cs="Arial"/>
              </w:rPr>
              <w:t>Преходен исхемичен пристъп</w:t>
            </w:r>
          </w:p>
        </w:tc>
        <w:tc>
          <w:tcPr>
            <w:tcW w:w="1579" w:type="dxa"/>
          </w:tcPr>
          <w:p w14:paraId="4C736F2C" w14:textId="68318734" w:rsidR="009226FA" w:rsidRPr="009226FA" w:rsidRDefault="009226FA" w:rsidP="009226FA">
            <w:pPr>
              <w:rPr>
                <w:rFonts w:cs="Arial"/>
              </w:rPr>
            </w:pPr>
            <w:r w:rsidRPr="009226FA">
              <w:rPr>
                <w:rFonts w:cs="Arial"/>
              </w:rPr>
              <w:t>Синдром на обратима постериорна енцефалопатия*</w:t>
            </w:r>
          </w:p>
        </w:tc>
        <w:tc>
          <w:tcPr>
            <w:tcW w:w="1200" w:type="dxa"/>
          </w:tcPr>
          <w:p w14:paraId="037CDB15" w14:textId="77777777" w:rsidR="009226FA" w:rsidRPr="009226FA" w:rsidRDefault="009226FA" w:rsidP="009226FA">
            <w:pPr>
              <w:rPr>
                <w:rFonts w:cs="Arial"/>
              </w:rPr>
            </w:pPr>
          </w:p>
        </w:tc>
      </w:tr>
      <w:tr w:rsidR="009226FA" w:rsidRPr="009226FA" w14:paraId="23B62F15" w14:textId="77777777" w:rsidTr="009226FA">
        <w:tc>
          <w:tcPr>
            <w:tcW w:w="1501" w:type="dxa"/>
          </w:tcPr>
          <w:p w14:paraId="1838B712" w14:textId="4F1CD604" w:rsidR="009226FA" w:rsidRPr="009226FA" w:rsidRDefault="009226FA" w:rsidP="009226FA">
            <w:pPr>
              <w:rPr>
                <w:rFonts w:cs="Arial"/>
              </w:rPr>
            </w:pPr>
            <w:r w:rsidRPr="009226FA">
              <w:rPr>
                <w:rFonts w:cs="Arial"/>
                <w:b/>
                <w:bCs/>
              </w:rPr>
              <w:t>Нарушения на очите</w:t>
            </w:r>
          </w:p>
        </w:tc>
        <w:tc>
          <w:tcPr>
            <w:tcW w:w="1692" w:type="dxa"/>
          </w:tcPr>
          <w:p w14:paraId="52D3F7F1" w14:textId="77777777" w:rsidR="009226FA" w:rsidRPr="009226FA" w:rsidRDefault="009226FA" w:rsidP="009226FA">
            <w:pPr>
              <w:rPr>
                <w:rFonts w:cs="Arial"/>
              </w:rPr>
            </w:pPr>
          </w:p>
        </w:tc>
        <w:tc>
          <w:tcPr>
            <w:tcW w:w="1791" w:type="dxa"/>
            <w:vAlign w:val="bottom"/>
          </w:tcPr>
          <w:p w14:paraId="204B4886" w14:textId="77777777" w:rsidR="009226FA" w:rsidRPr="009226FA" w:rsidRDefault="009226FA" w:rsidP="009226FA">
            <w:pPr>
              <w:rPr>
                <w:rFonts w:cs="Arial"/>
              </w:rPr>
            </w:pPr>
            <w:r w:rsidRPr="009226FA">
              <w:rPr>
                <w:rFonts w:cs="Arial"/>
              </w:rPr>
              <w:t>Периорбитален оток</w:t>
            </w:r>
          </w:p>
          <w:p w14:paraId="0329F3D5" w14:textId="77777777" w:rsidR="009226FA" w:rsidRPr="009226FA" w:rsidRDefault="009226FA" w:rsidP="009226FA">
            <w:pPr>
              <w:rPr>
                <w:rFonts w:cs="Arial"/>
              </w:rPr>
            </w:pPr>
            <w:r w:rsidRPr="009226FA">
              <w:rPr>
                <w:rFonts w:cs="Arial"/>
              </w:rPr>
              <w:t>Оток на клепача</w:t>
            </w:r>
          </w:p>
          <w:p w14:paraId="28DBC08E" w14:textId="7B7BD9DD" w:rsidR="009226FA" w:rsidRPr="009226FA" w:rsidRDefault="009226FA" w:rsidP="009226FA">
            <w:pPr>
              <w:rPr>
                <w:rFonts w:cs="Arial"/>
              </w:rPr>
            </w:pPr>
            <w:r w:rsidRPr="009226FA">
              <w:rPr>
                <w:rFonts w:cs="Arial"/>
              </w:rPr>
              <w:t>Увеличена лакримация</w:t>
            </w:r>
          </w:p>
        </w:tc>
        <w:tc>
          <w:tcPr>
            <w:tcW w:w="1587" w:type="dxa"/>
          </w:tcPr>
          <w:p w14:paraId="1176BF8F" w14:textId="77777777" w:rsidR="009226FA" w:rsidRPr="009226FA" w:rsidRDefault="009226FA" w:rsidP="009226FA">
            <w:pPr>
              <w:rPr>
                <w:rFonts w:cs="Arial"/>
              </w:rPr>
            </w:pPr>
          </w:p>
        </w:tc>
        <w:tc>
          <w:tcPr>
            <w:tcW w:w="1579" w:type="dxa"/>
          </w:tcPr>
          <w:p w14:paraId="139F9EBA" w14:textId="77777777" w:rsidR="009226FA" w:rsidRPr="009226FA" w:rsidRDefault="009226FA" w:rsidP="009226FA">
            <w:pPr>
              <w:rPr>
                <w:rFonts w:cs="Arial"/>
              </w:rPr>
            </w:pPr>
          </w:p>
        </w:tc>
        <w:tc>
          <w:tcPr>
            <w:tcW w:w="1200" w:type="dxa"/>
          </w:tcPr>
          <w:p w14:paraId="6D990DE0" w14:textId="77777777" w:rsidR="009226FA" w:rsidRPr="009226FA" w:rsidRDefault="009226FA" w:rsidP="009226FA">
            <w:pPr>
              <w:rPr>
                <w:rFonts w:cs="Arial"/>
              </w:rPr>
            </w:pPr>
          </w:p>
        </w:tc>
      </w:tr>
      <w:tr w:rsidR="009226FA" w:rsidRPr="009226FA" w14:paraId="6B6F10C4" w14:textId="77777777" w:rsidTr="009226FA">
        <w:tc>
          <w:tcPr>
            <w:tcW w:w="1501" w:type="dxa"/>
          </w:tcPr>
          <w:p w14:paraId="1F38F0E7" w14:textId="5961E8EC" w:rsidR="009226FA" w:rsidRPr="009226FA" w:rsidRDefault="009226FA" w:rsidP="009226FA">
            <w:pPr>
              <w:rPr>
                <w:rFonts w:cs="Arial"/>
              </w:rPr>
            </w:pPr>
            <w:r w:rsidRPr="009226FA">
              <w:rPr>
                <w:rFonts w:cs="Arial"/>
                <w:b/>
                <w:bCs/>
              </w:rPr>
              <w:t>Сърдечни нарушения</w:t>
            </w:r>
          </w:p>
        </w:tc>
        <w:tc>
          <w:tcPr>
            <w:tcW w:w="1692" w:type="dxa"/>
            <w:vAlign w:val="center"/>
          </w:tcPr>
          <w:p w14:paraId="667E9134" w14:textId="1C319D66" w:rsidR="009226FA" w:rsidRPr="009226FA" w:rsidRDefault="009226FA" w:rsidP="009226FA">
            <w:pPr>
              <w:rPr>
                <w:rFonts w:cs="Arial"/>
              </w:rPr>
            </w:pPr>
            <w:r w:rsidRPr="009226FA">
              <w:rPr>
                <w:rFonts w:cs="Arial"/>
              </w:rPr>
              <w:t>-</w:t>
            </w:r>
          </w:p>
        </w:tc>
        <w:tc>
          <w:tcPr>
            <w:tcW w:w="1791" w:type="dxa"/>
          </w:tcPr>
          <w:p w14:paraId="3670089A" w14:textId="77777777" w:rsidR="009226FA" w:rsidRPr="009226FA" w:rsidRDefault="009226FA" w:rsidP="009226FA">
            <w:pPr>
              <w:rPr>
                <w:rFonts w:cs="Arial"/>
              </w:rPr>
            </w:pPr>
            <w:r w:rsidRPr="009226FA">
              <w:rPr>
                <w:rFonts w:cs="Arial"/>
              </w:rPr>
              <w:t>Миокардна исхемия</w:t>
            </w:r>
            <w:r w:rsidRPr="009226FA">
              <w:rPr>
                <w:rFonts w:cs="Arial"/>
                <w:vertAlign w:val="superscript"/>
              </w:rPr>
              <w:t>н</w:t>
            </w:r>
            <w:r w:rsidRPr="009226FA">
              <w:rPr>
                <w:rFonts w:cs="Arial"/>
                <w:vertAlign w:val="superscript"/>
                <w:lang w:val="en-US"/>
              </w:rPr>
              <w:t>,</w:t>
            </w:r>
            <w:r w:rsidRPr="009226FA">
              <w:rPr>
                <w:rFonts w:cs="Arial"/>
              </w:rPr>
              <w:t>*</w:t>
            </w:r>
          </w:p>
          <w:p w14:paraId="20955614" w14:textId="0306DEC8" w:rsidR="009226FA" w:rsidRPr="009226FA" w:rsidRDefault="009226FA" w:rsidP="009226FA">
            <w:pPr>
              <w:rPr>
                <w:rFonts w:cs="Arial"/>
              </w:rPr>
            </w:pPr>
            <w:r w:rsidRPr="009226FA">
              <w:rPr>
                <w:rFonts w:cs="Arial"/>
              </w:rPr>
              <w:t>Намалена фракция на изтласкване</w:t>
            </w:r>
            <w:r w:rsidRPr="009226FA">
              <w:rPr>
                <w:rFonts w:cs="Arial"/>
                <w:vertAlign w:val="superscript"/>
              </w:rPr>
              <w:t>1</w:t>
            </w:r>
          </w:p>
        </w:tc>
        <w:tc>
          <w:tcPr>
            <w:tcW w:w="1587" w:type="dxa"/>
            <w:vAlign w:val="bottom"/>
          </w:tcPr>
          <w:p w14:paraId="399D422C" w14:textId="77777777" w:rsidR="009226FA" w:rsidRPr="009226FA" w:rsidRDefault="009226FA" w:rsidP="009226FA">
            <w:pPr>
              <w:rPr>
                <w:rFonts w:cs="Arial"/>
              </w:rPr>
            </w:pPr>
            <w:r w:rsidRPr="009226FA">
              <w:rPr>
                <w:rFonts w:cs="Arial"/>
              </w:rPr>
              <w:t>Застойна сърдечна недостатъчност</w:t>
            </w:r>
          </w:p>
          <w:p w14:paraId="61006F92" w14:textId="77777777" w:rsidR="009226FA" w:rsidRPr="009226FA" w:rsidRDefault="009226FA" w:rsidP="009226FA">
            <w:pPr>
              <w:rPr>
                <w:rFonts w:cs="Arial"/>
              </w:rPr>
            </w:pPr>
            <w:r w:rsidRPr="009226FA">
              <w:rPr>
                <w:rFonts w:cs="Arial"/>
              </w:rPr>
              <w:t>Миокарден инфаркт</w:t>
            </w:r>
            <w:r w:rsidRPr="009226FA">
              <w:rPr>
                <w:rFonts w:cs="Arial"/>
                <w:vertAlign w:val="superscript"/>
              </w:rPr>
              <w:t>п</w:t>
            </w:r>
            <w:r w:rsidRPr="009226FA">
              <w:rPr>
                <w:rFonts w:cs="Arial"/>
                <w:vertAlign w:val="superscript"/>
                <w:lang w:val="en-US"/>
              </w:rPr>
              <w:t>,</w:t>
            </w:r>
            <w:r w:rsidRPr="009226FA">
              <w:rPr>
                <w:rFonts w:cs="Arial"/>
              </w:rPr>
              <w:t>*</w:t>
            </w:r>
          </w:p>
          <w:p w14:paraId="68C51FDC" w14:textId="77777777" w:rsidR="009226FA" w:rsidRPr="009226FA" w:rsidRDefault="009226FA" w:rsidP="009226FA">
            <w:pPr>
              <w:rPr>
                <w:rFonts w:cs="Arial"/>
              </w:rPr>
            </w:pPr>
            <w:r w:rsidRPr="009226FA">
              <w:rPr>
                <w:rFonts w:cs="Arial"/>
              </w:rPr>
              <w:t>Сърдечна недостатъчност*</w:t>
            </w:r>
          </w:p>
          <w:p w14:paraId="6D64235F" w14:textId="77777777" w:rsidR="009226FA" w:rsidRPr="009226FA" w:rsidRDefault="009226FA" w:rsidP="009226FA">
            <w:pPr>
              <w:rPr>
                <w:rFonts w:cs="Arial"/>
              </w:rPr>
            </w:pPr>
            <w:r w:rsidRPr="009226FA">
              <w:rPr>
                <w:rFonts w:cs="Arial"/>
              </w:rPr>
              <w:t>Кардиомио</w:t>
            </w:r>
            <w:r w:rsidRPr="009226FA">
              <w:rPr>
                <w:rFonts w:cs="Arial"/>
              </w:rPr>
              <w:softHyphen/>
              <w:t>патия*</w:t>
            </w:r>
          </w:p>
          <w:p w14:paraId="35ADD54B" w14:textId="77777777" w:rsidR="009226FA" w:rsidRPr="009226FA" w:rsidRDefault="009226FA" w:rsidP="009226FA">
            <w:pPr>
              <w:rPr>
                <w:rFonts w:cs="Arial"/>
              </w:rPr>
            </w:pPr>
            <w:r w:rsidRPr="009226FA">
              <w:rPr>
                <w:rFonts w:cs="Arial"/>
              </w:rPr>
              <w:t>Перикарден излив</w:t>
            </w:r>
          </w:p>
          <w:p w14:paraId="1C13FD1B" w14:textId="68DC79BB" w:rsidR="009226FA" w:rsidRPr="009226FA" w:rsidRDefault="009226FA" w:rsidP="009226FA">
            <w:pPr>
              <w:rPr>
                <w:rFonts w:cs="Arial"/>
              </w:rPr>
            </w:pPr>
            <w:r w:rsidRPr="009226FA">
              <w:rPr>
                <w:rFonts w:cs="Arial"/>
              </w:rPr>
              <w:t xml:space="preserve">Удължен </w:t>
            </w:r>
            <w:r w:rsidRPr="009226FA">
              <w:rPr>
                <w:rFonts w:cs="Arial"/>
                <w:lang w:val="en-US"/>
              </w:rPr>
              <w:t xml:space="preserve">QT </w:t>
            </w:r>
            <w:r w:rsidRPr="009226FA">
              <w:rPr>
                <w:rFonts w:cs="Arial"/>
              </w:rPr>
              <w:t>интервал на електрокардиогр амата</w:t>
            </w:r>
          </w:p>
        </w:tc>
        <w:tc>
          <w:tcPr>
            <w:tcW w:w="1579" w:type="dxa"/>
          </w:tcPr>
          <w:p w14:paraId="6D36F2D1" w14:textId="77777777" w:rsidR="009226FA" w:rsidRPr="009226FA" w:rsidRDefault="009226FA" w:rsidP="009226FA">
            <w:pPr>
              <w:rPr>
                <w:rFonts w:cs="Arial"/>
              </w:rPr>
            </w:pPr>
            <w:r w:rsidRPr="009226FA">
              <w:rPr>
                <w:rFonts w:cs="Arial"/>
              </w:rPr>
              <w:t>Левокамерна недостатъчност*</w:t>
            </w:r>
          </w:p>
          <w:p w14:paraId="45E1C55B" w14:textId="700E2DBD" w:rsidR="009226FA" w:rsidRPr="009226FA" w:rsidRDefault="009226FA" w:rsidP="009226FA">
            <w:pPr>
              <w:rPr>
                <w:rFonts w:cs="Arial"/>
              </w:rPr>
            </w:pPr>
            <w:r w:rsidRPr="009226FA">
              <w:rPr>
                <w:rFonts w:cs="Arial"/>
                <w:i/>
                <w:iCs/>
                <w:lang w:val="en-US"/>
              </w:rPr>
              <w:t>Torsade de pointes</w:t>
            </w:r>
          </w:p>
        </w:tc>
        <w:tc>
          <w:tcPr>
            <w:tcW w:w="1200" w:type="dxa"/>
          </w:tcPr>
          <w:p w14:paraId="015D1804" w14:textId="77777777" w:rsidR="009226FA" w:rsidRPr="009226FA" w:rsidRDefault="009226FA" w:rsidP="009226FA">
            <w:pPr>
              <w:rPr>
                <w:rFonts w:cs="Arial"/>
              </w:rPr>
            </w:pPr>
          </w:p>
        </w:tc>
      </w:tr>
      <w:tr w:rsidR="009226FA" w:rsidRPr="009226FA" w14:paraId="51086A43" w14:textId="77777777" w:rsidTr="009226FA">
        <w:tc>
          <w:tcPr>
            <w:tcW w:w="1501" w:type="dxa"/>
          </w:tcPr>
          <w:p w14:paraId="1EE31BB4" w14:textId="6AFDA890" w:rsidR="009226FA" w:rsidRPr="009226FA" w:rsidRDefault="009226FA" w:rsidP="009226FA">
            <w:pPr>
              <w:rPr>
                <w:rFonts w:cs="Arial"/>
              </w:rPr>
            </w:pPr>
            <w:r w:rsidRPr="009226FA">
              <w:rPr>
                <w:rFonts w:cs="Arial"/>
                <w:b/>
                <w:bCs/>
              </w:rPr>
              <w:t>Съдови нарушения</w:t>
            </w:r>
          </w:p>
        </w:tc>
        <w:tc>
          <w:tcPr>
            <w:tcW w:w="1692" w:type="dxa"/>
          </w:tcPr>
          <w:p w14:paraId="09AA8802" w14:textId="203894B9" w:rsidR="009226FA" w:rsidRPr="009226FA" w:rsidRDefault="009226FA" w:rsidP="009226FA">
            <w:pPr>
              <w:rPr>
                <w:rFonts w:cs="Arial"/>
              </w:rPr>
            </w:pPr>
            <w:r w:rsidRPr="009226FA">
              <w:rPr>
                <w:rFonts w:cs="Arial"/>
              </w:rPr>
              <w:t>Хипертония</w:t>
            </w:r>
          </w:p>
        </w:tc>
        <w:tc>
          <w:tcPr>
            <w:tcW w:w="1791" w:type="dxa"/>
            <w:vAlign w:val="bottom"/>
          </w:tcPr>
          <w:p w14:paraId="35AE5327" w14:textId="77777777" w:rsidR="009226FA" w:rsidRPr="009226FA" w:rsidRDefault="009226FA" w:rsidP="009226FA">
            <w:pPr>
              <w:rPr>
                <w:rFonts w:cs="Arial"/>
              </w:rPr>
            </w:pPr>
            <w:r w:rsidRPr="009226FA">
              <w:rPr>
                <w:rFonts w:cs="Arial"/>
              </w:rPr>
              <w:t>Тромбоза на дълбоките вени</w:t>
            </w:r>
          </w:p>
          <w:p w14:paraId="7BB8BFC1" w14:textId="77777777" w:rsidR="009226FA" w:rsidRPr="009226FA" w:rsidRDefault="009226FA" w:rsidP="009226FA">
            <w:pPr>
              <w:rPr>
                <w:rFonts w:cs="Arial"/>
              </w:rPr>
            </w:pPr>
            <w:r w:rsidRPr="009226FA">
              <w:rPr>
                <w:rFonts w:cs="Arial"/>
              </w:rPr>
              <w:t>Горещи вълни</w:t>
            </w:r>
          </w:p>
          <w:p w14:paraId="6E30705E" w14:textId="79A13EFA" w:rsidR="009226FA" w:rsidRPr="009226FA" w:rsidRDefault="009226FA" w:rsidP="009226FA">
            <w:pPr>
              <w:rPr>
                <w:rFonts w:cs="Arial"/>
              </w:rPr>
            </w:pPr>
            <w:r w:rsidRPr="009226FA">
              <w:rPr>
                <w:rFonts w:cs="Arial"/>
              </w:rPr>
              <w:t>Зачервяване</w:t>
            </w:r>
          </w:p>
        </w:tc>
        <w:tc>
          <w:tcPr>
            <w:tcW w:w="1587" w:type="dxa"/>
          </w:tcPr>
          <w:p w14:paraId="5353B677" w14:textId="39FA045E" w:rsidR="009226FA" w:rsidRPr="009226FA" w:rsidRDefault="009226FA" w:rsidP="009226FA">
            <w:pPr>
              <w:rPr>
                <w:rFonts w:cs="Arial"/>
              </w:rPr>
            </w:pPr>
            <w:r w:rsidRPr="009226FA">
              <w:rPr>
                <w:rFonts w:cs="Arial"/>
              </w:rPr>
              <w:t>Туморен кръвоизлив*</w:t>
            </w:r>
          </w:p>
        </w:tc>
        <w:tc>
          <w:tcPr>
            <w:tcW w:w="1579" w:type="dxa"/>
          </w:tcPr>
          <w:p w14:paraId="4D8BD7DC" w14:textId="77777777" w:rsidR="009226FA" w:rsidRPr="009226FA" w:rsidRDefault="009226FA" w:rsidP="009226FA">
            <w:pPr>
              <w:rPr>
                <w:rFonts w:cs="Arial"/>
              </w:rPr>
            </w:pPr>
          </w:p>
        </w:tc>
        <w:tc>
          <w:tcPr>
            <w:tcW w:w="1200" w:type="dxa"/>
          </w:tcPr>
          <w:p w14:paraId="08E4EA97" w14:textId="47865441" w:rsidR="009226FA" w:rsidRPr="009226FA" w:rsidRDefault="009226FA" w:rsidP="009226FA">
            <w:pPr>
              <w:rPr>
                <w:rFonts w:cs="Arial"/>
              </w:rPr>
            </w:pPr>
            <w:r w:rsidRPr="009226FA">
              <w:rPr>
                <w:rFonts w:cs="Arial"/>
              </w:rPr>
              <w:t>Аневризми и артериални дисекации*</w:t>
            </w:r>
          </w:p>
        </w:tc>
      </w:tr>
      <w:tr w:rsidR="009226FA" w:rsidRPr="009226FA" w14:paraId="5A35122B" w14:textId="77777777" w:rsidTr="009226FA">
        <w:trPr>
          <w:trHeight w:val="3238"/>
        </w:trPr>
        <w:tc>
          <w:tcPr>
            <w:tcW w:w="1501" w:type="dxa"/>
          </w:tcPr>
          <w:p w14:paraId="4AE16A26" w14:textId="075B0DBF" w:rsidR="009226FA" w:rsidRPr="009226FA" w:rsidRDefault="009226FA" w:rsidP="009226FA">
            <w:pPr>
              <w:rPr>
                <w:rFonts w:cs="Arial"/>
              </w:rPr>
            </w:pPr>
            <w:r w:rsidRPr="009226FA">
              <w:rPr>
                <w:rFonts w:cs="Arial"/>
                <w:b/>
                <w:bCs/>
              </w:rPr>
              <w:lastRenderedPageBreak/>
              <w:t>Респираторни, гръдни и медиастинал- ни нарушения</w:t>
            </w:r>
          </w:p>
        </w:tc>
        <w:tc>
          <w:tcPr>
            <w:tcW w:w="1692" w:type="dxa"/>
          </w:tcPr>
          <w:p w14:paraId="4B2AFA7B" w14:textId="77777777" w:rsidR="009226FA" w:rsidRPr="009226FA" w:rsidRDefault="009226FA" w:rsidP="009226FA">
            <w:pPr>
              <w:rPr>
                <w:rFonts w:cs="Arial"/>
              </w:rPr>
            </w:pPr>
            <w:r w:rsidRPr="009226FA">
              <w:rPr>
                <w:rFonts w:cs="Arial"/>
              </w:rPr>
              <w:t>Диспнея</w:t>
            </w:r>
          </w:p>
          <w:p w14:paraId="4AD80CF6" w14:textId="77777777" w:rsidR="009226FA" w:rsidRPr="009226FA" w:rsidRDefault="009226FA" w:rsidP="009226FA">
            <w:pPr>
              <w:rPr>
                <w:rFonts w:cs="Arial"/>
              </w:rPr>
            </w:pPr>
            <w:r w:rsidRPr="009226FA">
              <w:rPr>
                <w:rFonts w:cs="Arial"/>
              </w:rPr>
              <w:t>Епистаксис</w:t>
            </w:r>
          </w:p>
          <w:p w14:paraId="44B21D87" w14:textId="5D760FC2" w:rsidR="009226FA" w:rsidRPr="009226FA" w:rsidRDefault="009226FA" w:rsidP="009226FA">
            <w:pPr>
              <w:rPr>
                <w:rFonts w:cs="Arial"/>
              </w:rPr>
            </w:pPr>
            <w:r w:rsidRPr="009226FA">
              <w:rPr>
                <w:rFonts w:cs="Arial"/>
              </w:rPr>
              <w:t>Кашлица</w:t>
            </w:r>
          </w:p>
        </w:tc>
        <w:tc>
          <w:tcPr>
            <w:tcW w:w="1791" w:type="dxa"/>
            <w:vAlign w:val="bottom"/>
          </w:tcPr>
          <w:p w14:paraId="15476FE1" w14:textId="77777777" w:rsidR="009226FA" w:rsidRPr="009226FA" w:rsidRDefault="009226FA" w:rsidP="009226FA">
            <w:pPr>
              <w:rPr>
                <w:rFonts w:cs="Arial"/>
              </w:rPr>
            </w:pPr>
            <w:r w:rsidRPr="009226FA">
              <w:rPr>
                <w:rFonts w:cs="Arial"/>
              </w:rPr>
              <w:t>Белодробна емболия*</w:t>
            </w:r>
          </w:p>
          <w:p w14:paraId="709BBB84" w14:textId="77777777" w:rsidR="009226FA" w:rsidRPr="009226FA" w:rsidRDefault="009226FA" w:rsidP="009226FA">
            <w:pPr>
              <w:rPr>
                <w:rFonts w:cs="Arial"/>
              </w:rPr>
            </w:pPr>
            <w:r w:rsidRPr="009226FA">
              <w:rPr>
                <w:rFonts w:cs="Arial"/>
              </w:rPr>
              <w:t>Плеврален излив*</w:t>
            </w:r>
          </w:p>
          <w:p w14:paraId="7FA3F478" w14:textId="77777777" w:rsidR="009226FA" w:rsidRPr="009226FA" w:rsidRDefault="009226FA" w:rsidP="009226FA">
            <w:pPr>
              <w:rPr>
                <w:rFonts w:cs="Arial"/>
              </w:rPr>
            </w:pPr>
            <w:r w:rsidRPr="009226FA">
              <w:rPr>
                <w:rFonts w:cs="Arial"/>
              </w:rPr>
              <w:t>Хемоптиза</w:t>
            </w:r>
          </w:p>
          <w:p w14:paraId="4FE6A39E" w14:textId="77777777" w:rsidR="009226FA" w:rsidRPr="009226FA" w:rsidRDefault="009226FA" w:rsidP="009226FA">
            <w:pPr>
              <w:rPr>
                <w:rFonts w:cs="Arial"/>
              </w:rPr>
            </w:pPr>
            <w:r w:rsidRPr="009226FA">
              <w:rPr>
                <w:rFonts w:cs="Arial"/>
              </w:rPr>
              <w:t>Диспнея при натоварване</w:t>
            </w:r>
          </w:p>
          <w:p w14:paraId="5E1FC055" w14:textId="77777777" w:rsidR="009226FA" w:rsidRPr="009226FA" w:rsidRDefault="009226FA" w:rsidP="009226FA">
            <w:pPr>
              <w:rPr>
                <w:rFonts w:cs="Arial"/>
              </w:rPr>
            </w:pPr>
            <w:r w:rsidRPr="009226FA">
              <w:rPr>
                <w:rFonts w:cs="Arial"/>
              </w:rPr>
              <w:t>Орофарингеална болка</w:t>
            </w:r>
            <w:r w:rsidRPr="009226FA">
              <w:rPr>
                <w:rFonts w:cs="Arial"/>
                <w:vertAlign w:val="superscript"/>
                <w:lang w:val="en-US"/>
              </w:rPr>
              <w:t>n</w:t>
            </w:r>
          </w:p>
          <w:p w14:paraId="03227837" w14:textId="77777777" w:rsidR="009226FA" w:rsidRPr="009226FA" w:rsidRDefault="009226FA" w:rsidP="009226FA">
            <w:pPr>
              <w:rPr>
                <w:rFonts w:cs="Arial"/>
              </w:rPr>
            </w:pPr>
            <w:r w:rsidRPr="009226FA">
              <w:rPr>
                <w:rFonts w:cs="Arial"/>
              </w:rPr>
              <w:t>Назална конгестия</w:t>
            </w:r>
          </w:p>
          <w:p w14:paraId="0023A933" w14:textId="5C6A88B5" w:rsidR="009226FA" w:rsidRPr="009226FA" w:rsidRDefault="009226FA" w:rsidP="009226FA">
            <w:pPr>
              <w:rPr>
                <w:rFonts w:cs="Arial"/>
              </w:rPr>
            </w:pPr>
            <w:r w:rsidRPr="009226FA">
              <w:rPr>
                <w:rFonts w:cs="Arial"/>
              </w:rPr>
              <w:t>Сухота в носа</w:t>
            </w:r>
          </w:p>
        </w:tc>
        <w:tc>
          <w:tcPr>
            <w:tcW w:w="1587" w:type="dxa"/>
          </w:tcPr>
          <w:p w14:paraId="37AD9D25" w14:textId="77777777" w:rsidR="009226FA" w:rsidRPr="009226FA" w:rsidRDefault="009226FA" w:rsidP="009226FA">
            <w:pPr>
              <w:rPr>
                <w:rFonts w:cs="Arial"/>
              </w:rPr>
            </w:pPr>
            <w:r w:rsidRPr="009226FA">
              <w:rPr>
                <w:rFonts w:cs="Arial"/>
              </w:rPr>
              <w:t>Белодробен кръвоизлив*</w:t>
            </w:r>
          </w:p>
          <w:p w14:paraId="1A72631E" w14:textId="77777777" w:rsidR="009226FA" w:rsidRPr="009226FA" w:rsidRDefault="009226FA" w:rsidP="009226FA">
            <w:pPr>
              <w:rPr>
                <w:rFonts w:cs="Arial"/>
              </w:rPr>
            </w:pPr>
            <w:r w:rsidRPr="009226FA">
              <w:rPr>
                <w:rFonts w:cs="Arial"/>
              </w:rPr>
              <w:t>Дихателна</w:t>
            </w:r>
          </w:p>
          <w:p w14:paraId="731EC53E" w14:textId="31514519" w:rsidR="009226FA" w:rsidRPr="009226FA" w:rsidRDefault="009226FA" w:rsidP="009226FA">
            <w:pPr>
              <w:rPr>
                <w:rFonts w:cs="Arial"/>
              </w:rPr>
            </w:pPr>
            <w:r w:rsidRPr="009226FA">
              <w:rPr>
                <w:rFonts w:cs="Arial"/>
              </w:rPr>
              <w:t>* недостатъчност</w:t>
            </w:r>
          </w:p>
        </w:tc>
        <w:tc>
          <w:tcPr>
            <w:tcW w:w="1579" w:type="dxa"/>
          </w:tcPr>
          <w:p w14:paraId="7E81D2CF" w14:textId="77777777" w:rsidR="009226FA" w:rsidRPr="009226FA" w:rsidRDefault="009226FA" w:rsidP="009226FA">
            <w:pPr>
              <w:rPr>
                <w:rFonts w:cs="Arial"/>
              </w:rPr>
            </w:pPr>
          </w:p>
        </w:tc>
        <w:tc>
          <w:tcPr>
            <w:tcW w:w="1200" w:type="dxa"/>
            <w:textDirection w:val="tbRl"/>
          </w:tcPr>
          <w:p w14:paraId="55813E04" w14:textId="77777777" w:rsidR="009226FA" w:rsidRPr="009226FA" w:rsidRDefault="009226FA" w:rsidP="009226FA">
            <w:pPr>
              <w:rPr>
                <w:rFonts w:cs="Arial"/>
              </w:rPr>
            </w:pPr>
          </w:p>
        </w:tc>
      </w:tr>
      <w:tr w:rsidR="009226FA" w:rsidRPr="009226FA" w14:paraId="16A6E6D4" w14:textId="77777777" w:rsidTr="009226FA">
        <w:tc>
          <w:tcPr>
            <w:tcW w:w="1501" w:type="dxa"/>
          </w:tcPr>
          <w:p w14:paraId="343FD979" w14:textId="44EE96FF" w:rsidR="009226FA" w:rsidRPr="009226FA" w:rsidRDefault="009226FA" w:rsidP="009226FA">
            <w:pPr>
              <w:rPr>
                <w:rFonts w:cs="Arial"/>
              </w:rPr>
            </w:pPr>
            <w:r w:rsidRPr="009226FA">
              <w:rPr>
                <w:rFonts w:cs="Arial"/>
                <w:b/>
                <w:bCs/>
              </w:rPr>
              <w:t>Стомашно- чревни нарушения</w:t>
            </w:r>
          </w:p>
        </w:tc>
        <w:tc>
          <w:tcPr>
            <w:tcW w:w="1692" w:type="dxa"/>
          </w:tcPr>
          <w:p w14:paraId="10238EB4" w14:textId="77777777" w:rsidR="009226FA" w:rsidRPr="009226FA" w:rsidRDefault="009226FA" w:rsidP="009226FA">
            <w:pPr>
              <w:rPr>
                <w:rFonts w:cs="Arial"/>
              </w:rPr>
            </w:pPr>
            <w:r w:rsidRPr="009226FA">
              <w:rPr>
                <w:rFonts w:cs="Arial"/>
              </w:rPr>
              <w:t>Стоматит</w:t>
            </w:r>
            <w:r w:rsidRPr="009226FA">
              <w:rPr>
                <w:rFonts w:cs="Arial"/>
                <w:vertAlign w:val="superscript"/>
              </w:rPr>
              <w:t>0</w:t>
            </w:r>
          </w:p>
          <w:p w14:paraId="3F264F9B" w14:textId="77777777" w:rsidR="009226FA" w:rsidRPr="009226FA" w:rsidRDefault="009226FA" w:rsidP="009226FA">
            <w:pPr>
              <w:rPr>
                <w:rFonts w:cs="Arial"/>
              </w:rPr>
            </w:pPr>
            <w:r w:rsidRPr="009226FA">
              <w:rPr>
                <w:rFonts w:cs="Arial"/>
              </w:rPr>
              <w:t>Абдоминална болка</w:t>
            </w:r>
            <w:r w:rsidRPr="009226FA">
              <w:rPr>
                <w:rFonts w:cs="Arial"/>
                <w:vertAlign w:val="superscript"/>
                <w:lang w:val="en-US"/>
              </w:rPr>
              <w:t>p</w:t>
            </w:r>
          </w:p>
          <w:p w14:paraId="3BC8BA56" w14:textId="77777777" w:rsidR="009226FA" w:rsidRPr="009226FA" w:rsidRDefault="009226FA" w:rsidP="009226FA">
            <w:pPr>
              <w:rPr>
                <w:rFonts w:cs="Arial"/>
              </w:rPr>
            </w:pPr>
            <w:r w:rsidRPr="009226FA">
              <w:rPr>
                <w:rFonts w:cs="Arial"/>
              </w:rPr>
              <w:t>Повръщане</w:t>
            </w:r>
          </w:p>
          <w:p w14:paraId="1EA14498" w14:textId="77777777" w:rsidR="009226FA" w:rsidRPr="009226FA" w:rsidRDefault="009226FA" w:rsidP="009226FA">
            <w:pPr>
              <w:rPr>
                <w:rFonts w:cs="Arial"/>
              </w:rPr>
            </w:pPr>
            <w:r w:rsidRPr="009226FA">
              <w:rPr>
                <w:rFonts w:cs="Arial"/>
              </w:rPr>
              <w:t>Диария</w:t>
            </w:r>
          </w:p>
          <w:p w14:paraId="2BD13C68" w14:textId="77777777" w:rsidR="009226FA" w:rsidRPr="009226FA" w:rsidRDefault="009226FA" w:rsidP="009226FA">
            <w:pPr>
              <w:rPr>
                <w:rFonts w:cs="Arial"/>
              </w:rPr>
            </w:pPr>
            <w:r w:rsidRPr="009226FA">
              <w:rPr>
                <w:rFonts w:cs="Arial"/>
              </w:rPr>
              <w:t>Диспепсия</w:t>
            </w:r>
          </w:p>
          <w:p w14:paraId="15073CAC" w14:textId="77777777" w:rsidR="009226FA" w:rsidRPr="009226FA" w:rsidRDefault="009226FA" w:rsidP="009226FA">
            <w:pPr>
              <w:rPr>
                <w:rFonts w:cs="Arial"/>
              </w:rPr>
            </w:pPr>
            <w:r w:rsidRPr="009226FA">
              <w:rPr>
                <w:rFonts w:cs="Arial"/>
              </w:rPr>
              <w:t>Гадене</w:t>
            </w:r>
          </w:p>
          <w:p w14:paraId="1086C423" w14:textId="51AF529F" w:rsidR="009226FA" w:rsidRPr="009226FA" w:rsidRDefault="009226FA" w:rsidP="009226FA">
            <w:pPr>
              <w:rPr>
                <w:rFonts w:cs="Arial"/>
              </w:rPr>
            </w:pPr>
            <w:r w:rsidRPr="009226FA">
              <w:rPr>
                <w:rFonts w:cs="Arial"/>
              </w:rPr>
              <w:t>Констипация</w:t>
            </w:r>
          </w:p>
        </w:tc>
        <w:tc>
          <w:tcPr>
            <w:tcW w:w="1791" w:type="dxa"/>
            <w:vAlign w:val="bottom"/>
          </w:tcPr>
          <w:p w14:paraId="4E018A2F" w14:textId="77777777" w:rsidR="009226FA" w:rsidRPr="009226FA" w:rsidRDefault="009226FA" w:rsidP="009226FA">
            <w:pPr>
              <w:rPr>
                <w:rFonts w:cs="Arial"/>
              </w:rPr>
            </w:pPr>
            <w:r w:rsidRPr="009226FA">
              <w:rPr>
                <w:rFonts w:cs="Arial"/>
              </w:rPr>
              <w:t>Гастроезофа- геална рефлуксна болест</w:t>
            </w:r>
          </w:p>
          <w:p w14:paraId="2C1F008C" w14:textId="77777777" w:rsidR="009226FA" w:rsidRPr="009226FA" w:rsidRDefault="009226FA" w:rsidP="009226FA">
            <w:pPr>
              <w:rPr>
                <w:rFonts w:cs="Arial"/>
              </w:rPr>
            </w:pPr>
            <w:r w:rsidRPr="009226FA">
              <w:rPr>
                <w:rFonts w:cs="Arial"/>
              </w:rPr>
              <w:t>Дисфагия</w:t>
            </w:r>
          </w:p>
          <w:p w14:paraId="3C64BBAC" w14:textId="77777777" w:rsidR="009226FA" w:rsidRPr="009226FA" w:rsidRDefault="009226FA" w:rsidP="009226FA">
            <w:pPr>
              <w:rPr>
                <w:rFonts w:cs="Arial"/>
              </w:rPr>
            </w:pPr>
            <w:r w:rsidRPr="009226FA">
              <w:rPr>
                <w:rFonts w:cs="Arial"/>
              </w:rPr>
              <w:t>Гастоинтести- нален кръвоизлив*</w:t>
            </w:r>
          </w:p>
          <w:p w14:paraId="7F8093E4" w14:textId="77777777" w:rsidR="009226FA" w:rsidRPr="009226FA" w:rsidRDefault="009226FA" w:rsidP="009226FA">
            <w:pPr>
              <w:rPr>
                <w:rFonts w:cs="Arial"/>
              </w:rPr>
            </w:pPr>
            <w:r w:rsidRPr="009226FA">
              <w:rPr>
                <w:rFonts w:cs="Arial"/>
              </w:rPr>
              <w:t>Езофагит*</w:t>
            </w:r>
          </w:p>
          <w:p w14:paraId="02B68CF0" w14:textId="77777777" w:rsidR="009226FA" w:rsidRPr="009226FA" w:rsidRDefault="009226FA" w:rsidP="009226FA">
            <w:pPr>
              <w:rPr>
                <w:rFonts w:cs="Arial"/>
              </w:rPr>
            </w:pPr>
            <w:r w:rsidRPr="009226FA">
              <w:rPr>
                <w:rFonts w:cs="Arial"/>
              </w:rPr>
              <w:t>Абдоминална дистензия</w:t>
            </w:r>
          </w:p>
          <w:p w14:paraId="30499773" w14:textId="77777777" w:rsidR="009226FA" w:rsidRPr="009226FA" w:rsidRDefault="009226FA" w:rsidP="009226FA">
            <w:pPr>
              <w:rPr>
                <w:rFonts w:cs="Arial"/>
              </w:rPr>
            </w:pPr>
            <w:r w:rsidRPr="009226FA">
              <w:rPr>
                <w:rFonts w:cs="Arial"/>
              </w:rPr>
              <w:t>Абдоминален дискомфорт</w:t>
            </w:r>
          </w:p>
          <w:p w14:paraId="1243DC77" w14:textId="77777777" w:rsidR="009226FA" w:rsidRPr="009226FA" w:rsidRDefault="009226FA" w:rsidP="009226FA">
            <w:pPr>
              <w:rPr>
                <w:rFonts w:cs="Arial"/>
              </w:rPr>
            </w:pPr>
            <w:r w:rsidRPr="009226FA">
              <w:rPr>
                <w:rFonts w:cs="Arial"/>
              </w:rPr>
              <w:t>Ректален кръвоизлив</w:t>
            </w:r>
          </w:p>
          <w:p w14:paraId="506D88DC" w14:textId="77777777" w:rsidR="009226FA" w:rsidRPr="009226FA" w:rsidRDefault="009226FA" w:rsidP="009226FA">
            <w:pPr>
              <w:rPr>
                <w:rFonts w:cs="Arial"/>
              </w:rPr>
            </w:pPr>
            <w:r w:rsidRPr="009226FA">
              <w:rPr>
                <w:rFonts w:cs="Arial"/>
              </w:rPr>
              <w:t>Кървене от венците</w:t>
            </w:r>
          </w:p>
          <w:p w14:paraId="152852A4" w14:textId="77777777" w:rsidR="009226FA" w:rsidRPr="009226FA" w:rsidRDefault="009226FA" w:rsidP="009226FA">
            <w:pPr>
              <w:rPr>
                <w:rFonts w:cs="Arial"/>
              </w:rPr>
            </w:pPr>
            <w:r w:rsidRPr="009226FA">
              <w:rPr>
                <w:rFonts w:cs="Arial"/>
              </w:rPr>
              <w:t>Язви в устата</w:t>
            </w:r>
          </w:p>
          <w:p w14:paraId="46F71493" w14:textId="77777777" w:rsidR="009226FA" w:rsidRPr="009226FA" w:rsidRDefault="009226FA" w:rsidP="009226FA">
            <w:pPr>
              <w:rPr>
                <w:rFonts w:cs="Arial"/>
              </w:rPr>
            </w:pPr>
            <w:r w:rsidRPr="009226FA">
              <w:rPr>
                <w:rFonts w:cs="Arial"/>
              </w:rPr>
              <w:t>Прокталгия</w:t>
            </w:r>
          </w:p>
          <w:p w14:paraId="0FDD31AF" w14:textId="77777777" w:rsidR="009226FA" w:rsidRPr="009226FA" w:rsidRDefault="009226FA" w:rsidP="009226FA">
            <w:pPr>
              <w:rPr>
                <w:rFonts w:cs="Arial"/>
              </w:rPr>
            </w:pPr>
            <w:r w:rsidRPr="009226FA">
              <w:rPr>
                <w:rFonts w:cs="Arial"/>
              </w:rPr>
              <w:t>Хейлит</w:t>
            </w:r>
          </w:p>
          <w:p w14:paraId="33C7B7BA" w14:textId="77777777" w:rsidR="009226FA" w:rsidRPr="009226FA" w:rsidRDefault="009226FA" w:rsidP="009226FA">
            <w:pPr>
              <w:rPr>
                <w:rFonts w:cs="Arial"/>
              </w:rPr>
            </w:pPr>
            <w:r w:rsidRPr="009226FA">
              <w:rPr>
                <w:rFonts w:cs="Arial"/>
              </w:rPr>
              <w:t>Хемороиди</w:t>
            </w:r>
          </w:p>
          <w:p w14:paraId="0FE03A68" w14:textId="77777777" w:rsidR="009226FA" w:rsidRPr="009226FA" w:rsidRDefault="009226FA" w:rsidP="009226FA">
            <w:pPr>
              <w:rPr>
                <w:rFonts w:cs="Arial"/>
              </w:rPr>
            </w:pPr>
            <w:r w:rsidRPr="009226FA">
              <w:rPr>
                <w:rFonts w:cs="Arial"/>
              </w:rPr>
              <w:t>Глосодиния</w:t>
            </w:r>
          </w:p>
          <w:p w14:paraId="282D6779" w14:textId="77777777" w:rsidR="009226FA" w:rsidRPr="009226FA" w:rsidRDefault="009226FA" w:rsidP="009226FA">
            <w:pPr>
              <w:rPr>
                <w:rFonts w:cs="Arial"/>
              </w:rPr>
            </w:pPr>
            <w:r w:rsidRPr="009226FA">
              <w:rPr>
                <w:rFonts w:cs="Arial"/>
              </w:rPr>
              <w:t>Орална болка</w:t>
            </w:r>
          </w:p>
          <w:p w14:paraId="70E74F91" w14:textId="77777777" w:rsidR="009226FA" w:rsidRPr="009226FA" w:rsidRDefault="009226FA" w:rsidP="009226FA">
            <w:pPr>
              <w:rPr>
                <w:rFonts w:cs="Arial"/>
              </w:rPr>
            </w:pPr>
            <w:r w:rsidRPr="009226FA">
              <w:rPr>
                <w:rFonts w:cs="Arial"/>
              </w:rPr>
              <w:t>Сухота в устата</w:t>
            </w:r>
          </w:p>
          <w:p w14:paraId="74E459DF" w14:textId="77777777" w:rsidR="009226FA" w:rsidRPr="009226FA" w:rsidRDefault="009226FA" w:rsidP="009226FA">
            <w:pPr>
              <w:rPr>
                <w:rFonts w:cs="Arial"/>
              </w:rPr>
            </w:pPr>
            <w:r w:rsidRPr="009226FA">
              <w:rPr>
                <w:rFonts w:cs="Arial"/>
              </w:rPr>
              <w:t>Флатуленция</w:t>
            </w:r>
          </w:p>
          <w:p w14:paraId="7758A4F0" w14:textId="77777777" w:rsidR="009226FA" w:rsidRPr="009226FA" w:rsidRDefault="009226FA" w:rsidP="009226FA">
            <w:pPr>
              <w:rPr>
                <w:rFonts w:cs="Arial"/>
              </w:rPr>
            </w:pPr>
            <w:r w:rsidRPr="009226FA">
              <w:rPr>
                <w:rFonts w:cs="Arial"/>
              </w:rPr>
              <w:t>Орален дискомфорт</w:t>
            </w:r>
          </w:p>
          <w:p w14:paraId="1D1F29A4" w14:textId="1EBC7ECE" w:rsidR="009226FA" w:rsidRPr="009226FA" w:rsidRDefault="009226FA" w:rsidP="009226FA">
            <w:pPr>
              <w:rPr>
                <w:rFonts w:cs="Arial"/>
              </w:rPr>
            </w:pPr>
            <w:r w:rsidRPr="009226FA">
              <w:rPr>
                <w:rFonts w:cs="Arial"/>
              </w:rPr>
              <w:t>Еруктация</w:t>
            </w:r>
          </w:p>
        </w:tc>
        <w:tc>
          <w:tcPr>
            <w:tcW w:w="1587" w:type="dxa"/>
          </w:tcPr>
          <w:p w14:paraId="405962CD" w14:textId="77777777" w:rsidR="009226FA" w:rsidRPr="009226FA" w:rsidRDefault="009226FA" w:rsidP="009226FA">
            <w:pPr>
              <w:rPr>
                <w:rFonts w:cs="Arial"/>
              </w:rPr>
            </w:pPr>
            <w:r w:rsidRPr="009226FA">
              <w:rPr>
                <w:rFonts w:cs="Arial"/>
              </w:rPr>
              <w:t>Гастроинтести- нална перфорация</w:t>
            </w:r>
            <w:r w:rsidRPr="009226FA">
              <w:rPr>
                <w:rFonts w:cs="Arial"/>
                <w:vertAlign w:val="superscript"/>
                <w:lang w:val="en-US"/>
              </w:rPr>
              <w:t>q,</w:t>
            </w:r>
            <w:r w:rsidRPr="009226FA">
              <w:rPr>
                <w:rFonts w:cs="Arial"/>
              </w:rPr>
              <w:t>*</w:t>
            </w:r>
          </w:p>
          <w:p w14:paraId="403034A1" w14:textId="77777777" w:rsidR="009226FA" w:rsidRPr="009226FA" w:rsidRDefault="009226FA" w:rsidP="009226FA">
            <w:pPr>
              <w:rPr>
                <w:rFonts w:cs="Arial"/>
              </w:rPr>
            </w:pPr>
            <w:r w:rsidRPr="009226FA">
              <w:rPr>
                <w:rFonts w:cs="Arial"/>
              </w:rPr>
              <w:t>Панкреатит</w:t>
            </w:r>
          </w:p>
          <w:p w14:paraId="145FDC62" w14:textId="77777777" w:rsidR="009226FA" w:rsidRPr="009226FA" w:rsidRDefault="009226FA" w:rsidP="009226FA">
            <w:pPr>
              <w:rPr>
                <w:rFonts w:cs="Arial"/>
              </w:rPr>
            </w:pPr>
            <w:r w:rsidRPr="009226FA">
              <w:rPr>
                <w:rFonts w:cs="Arial"/>
              </w:rPr>
              <w:t>Анална фистула</w:t>
            </w:r>
          </w:p>
          <w:p w14:paraId="3C96518D" w14:textId="77777777" w:rsidR="009226FA" w:rsidRPr="009226FA" w:rsidRDefault="009226FA" w:rsidP="009226FA">
            <w:pPr>
              <w:rPr>
                <w:rFonts w:cs="Arial"/>
              </w:rPr>
            </w:pPr>
            <w:r w:rsidRPr="009226FA">
              <w:rPr>
                <w:rFonts w:cs="Arial"/>
              </w:rPr>
              <w:t>Колит</w:t>
            </w:r>
          </w:p>
          <w:p w14:paraId="4F8D3186" w14:textId="6DC35FAB" w:rsidR="009226FA" w:rsidRPr="009226FA" w:rsidRDefault="009226FA" w:rsidP="009226FA">
            <w:pPr>
              <w:rPr>
                <w:rFonts w:cs="Arial"/>
              </w:rPr>
            </w:pPr>
            <w:r w:rsidRPr="009226FA">
              <w:rPr>
                <w:rFonts w:cs="Arial"/>
              </w:rPr>
              <w:t>Исхемичен колит</w:t>
            </w:r>
            <w:r w:rsidRPr="009226FA">
              <w:rPr>
                <w:rFonts w:cs="Arial"/>
                <w:vertAlign w:val="superscript"/>
              </w:rPr>
              <w:t>1</w:t>
            </w:r>
          </w:p>
        </w:tc>
        <w:tc>
          <w:tcPr>
            <w:tcW w:w="1579" w:type="dxa"/>
          </w:tcPr>
          <w:p w14:paraId="76B1BD50" w14:textId="77777777" w:rsidR="009226FA" w:rsidRPr="009226FA" w:rsidRDefault="009226FA" w:rsidP="009226FA">
            <w:pPr>
              <w:rPr>
                <w:rFonts w:cs="Arial"/>
              </w:rPr>
            </w:pPr>
          </w:p>
        </w:tc>
        <w:tc>
          <w:tcPr>
            <w:tcW w:w="1200" w:type="dxa"/>
          </w:tcPr>
          <w:p w14:paraId="1BB8ABE3" w14:textId="77777777" w:rsidR="009226FA" w:rsidRPr="009226FA" w:rsidRDefault="009226FA" w:rsidP="009226FA">
            <w:pPr>
              <w:rPr>
                <w:rFonts w:cs="Arial"/>
              </w:rPr>
            </w:pPr>
          </w:p>
        </w:tc>
      </w:tr>
      <w:tr w:rsidR="009226FA" w:rsidRPr="009226FA" w14:paraId="6C6F61DF" w14:textId="77777777" w:rsidTr="009226FA">
        <w:trPr>
          <w:trHeight w:val="2429"/>
        </w:trPr>
        <w:tc>
          <w:tcPr>
            <w:tcW w:w="1501" w:type="dxa"/>
          </w:tcPr>
          <w:p w14:paraId="1BF211CF" w14:textId="7B3A0DF7" w:rsidR="009226FA" w:rsidRPr="009226FA" w:rsidRDefault="009226FA" w:rsidP="009226FA">
            <w:pPr>
              <w:rPr>
                <w:rFonts w:cs="Arial"/>
              </w:rPr>
            </w:pPr>
            <w:r w:rsidRPr="009226FA">
              <w:rPr>
                <w:rFonts w:cs="Arial"/>
                <w:b/>
                <w:bCs/>
              </w:rPr>
              <w:lastRenderedPageBreak/>
              <w:t>Хепато- билиарни нарушения</w:t>
            </w:r>
          </w:p>
        </w:tc>
        <w:tc>
          <w:tcPr>
            <w:tcW w:w="1692" w:type="dxa"/>
          </w:tcPr>
          <w:p w14:paraId="30A1EDEB" w14:textId="77777777" w:rsidR="009226FA" w:rsidRPr="009226FA" w:rsidRDefault="009226FA" w:rsidP="009226FA">
            <w:pPr>
              <w:rPr>
                <w:rFonts w:cs="Arial"/>
              </w:rPr>
            </w:pPr>
          </w:p>
        </w:tc>
        <w:tc>
          <w:tcPr>
            <w:tcW w:w="1791" w:type="dxa"/>
          </w:tcPr>
          <w:p w14:paraId="4F31214B" w14:textId="77777777" w:rsidR="009226FA" w:rsidRPr="009226FA" w:rsidRDefault="009226FA" w:rsidP="009226FA">
            <w:pPr>
              <w:rPr>
                <w:rFonts w:cs="Arial"/>
              </w:rPr>
            </w:pPr>
          </w:p>
        </w:tc>
        <w:tc>
          <w:tcPr>
            <w:tcW w:w="1587" w:type="dxa"/>
            <w:vAlign w:val="bottom"/>
          </w:tcPr>
          <w:p w14:paraId="7D36BDD4" w14:textId="77777777" w:rsidR="009226FA" w:rsidRPr="009226FA" w:rsidRDefault="009226FA" w:rsidP="009226FA">
            <w:pPr>
              <w:rPr>
                <w:rFonts w:cs="Arial"/>
              </w:rPr>
            </w:pPr>
            <w:r w:rsidRPr="009226FA">
              <w:rPr>
                <w:rFonts w:cs="Arial"/>
              </w:rPr>
              <w:t>Чернодробна * недостатъчност</w:t>
            </w:r>
          </w:p>
          <w:p w14:paraId="381D6D05" w14:textId="77777777" w:rsidR="009226FA" w:rsidRPr="009226FA" w:rsidRDefault="009226FA" w:rsidP="009226FA">
            <w:pPr>
              <w:rPr>
                <w:rFonts w:cs="Arial"/>
              </w:rPr>
            </w:pPr>
            <w:r w:rsidRPr="009226FA">
              <w:rPr>
                <w:rFonts w:cs="Arial"/>
              </w:rPr>
              <w:t>Холецистит</w:t>
            </w:r>
            <w:r w:rsidRPr="009226FA">
              <w:rPr>
                <w:rFonts w:cs="Arial"/>
                <w:vertAlign w:val="superscript"/>
                <w:lang w:val="en-US"/>
              </w:rPr>
              <w:t>s,</w:t>
            </w:r>
            <w:r w:rsidRPr="009226FA">
              <w:rPr>
                <w:rFonts w:cs="Arial"/>
              </w:rPr>
              <w:t>*</w:t>
            </w:r>
          </w:p>
          <w:p w14:paraId="5D991B42" w14:textId="77777777" w:rsidR="009226FA" w:rsidRPr="009226FA" w:rsidRDefault="009226FA" w:rsidP="009226FA">
            <w:pPr>
              <w:rPr>
                <w:rFonts w:cs="Arial"/>
              </w:rPr>
            </w:pPr>
            <w:r w:rsidRPr="009226FA">
              <w:rPr>
                <w:rFonts w:cs="Arial"/>
              </w:rPr>
              <w:t>Патологична чернодробна</w:t>
            </w:r>
          </w:p>
          <w:p w14:paraId="2AD71AAE" w14:textId="55B7A71D" w:rsidR="009226FA" w:rsidRPr="009226FA" w:rsidRDefault="009226FA" w:rsidP="009226FA">
            <w:pPr>
              <w:rPr>
                <w:rFonts w:cs="Arial"/>
              </w:rPr>
            </w:pPr>
            <w:r w:rsidRPr="009226FA">
              <w:rPr>
                <w:rFonts w:cs="Arial"/>
              </w:rPr>
              <w:t>функция</w:t>
            </w:r>
          </w:p>
        </w:tc>
        <w:tc>
          <w:tcPr>
            <w:tcW w:w="1579" w:type="dxa"/>
            <w:vAlign w:val="bottom"/>
          </w:tcPr>
          <w:p w14:paraId="19275649" w14:textId="0EB3B077" w:rsidR="009226FA" w:rsidRPr="009226FA" w:rsidRDefault="009226FA" w:rsidP="009226FA">
            <w:pPr>
              <w:rPr>
                <w:rFonts w:cs="Arial"/>
              </w:rPr>
            </w:pPr>
            <w:r w:rsidRPr="009226FA">
              <w:rPr>
                <w:rFonts w:cs="Arial"/>
              </w:rPr>
              <w:t>Хепатит</w:t>
            </w:r>
            <w:r w:rsidRPr="009226FA">
              <w:rPr>
                <w:rFonts w:cs="Arial"/>
                <w:vertAlign w:val="superscript"/>
              </w:rPr>
              <w:t>:</w:t>
            </w:r>
          </w:p>
        </w:tc>
        <w:tc>
          <w:tcPr>
            <w:tcW w:w="1200" w:type="dxa"/>
          </w:tcPr>
          <w:p w14:paraId="1525F687" w14:textId="77777777" w:rsidR="009226FA" w:rsidRPr="009226FA" w:rsidRDefault="009226FA" w:rsidP="009226FA">
            <w:pPr>
              <w:rPr>
                <w:rFonts w:cs="Arial"/>
              </w:rPr>
            </w:pPr>
          </w:p>
        </w:tc>
      </w:tr>
      <w:tr w:rsidR="009226FA" w:rsidRPr="009226FA" w14:paraId="22880948" w14:textId="77777777" w:rsidTr="009226FA">
        <w:tc>
          <w:tcPr>
            <w:tcW w:w="1501" w:type="dxa"/>
          </w:tcPr>
          <w:p w14:paraId="5857B0C1" w14:textId="2618CA4C" w:rsidR="009226FA" w:rsidRPr="009226FA" w:rsidRDefault="009226FA" w:rsidP="009226FA">
            <w:pPr>
              <w:rPr>
                <w:rFonts w:cs="Arial"/>
              </w:rPr>
            </w:pPr>
            <w:r w:rsidRPr="009226FA">
              <w:rPr>
                <w:rFonts w:cs="Arial"/>
                <w:b/>
                <w:bCs/>
              </w:rPr>
              <w:t>Нарушения на кожата и подкожната тъкан</w:t>
            </w:r>
          </w:p>
        </w:tc>
        <w:tc>
          <w:tcPr>
            <w:tcW w:w="1692" w:type="dxa"/>
          </w:tcPr>
          <w:p w14:paraId="20158BD2" w14:textId="77777777" w:rsidR="009226FA" w:rsidRPr="009226FA" w:rsidRDefault="009226FA" w:rsidP="009226FA">
            <w:pPr>
              <w:rPr>
                <w:rFonts w:cs="Arial"/>
              </w:rPr>
            </w:pPr>
            <w:r w:rsidRPr="009226FA">
              <w:rPr>
                <w:rFonts w:cs="Arial"/>
              </w:rPr>
              <w:t>Промяна в цвета на кожата</w:t>
            </w:r>
            <w:r w:rsidRPr="009226FA">
              <w:rPr>
                <w:rFonts w:cs="Arial"/>
                <w:vertAlign w:val="superscript"/>
                <w:lang w:val="en-US"/>
              </w:rPr>
              <w:t>t</w:t>
            </w:r>
          </w:p>
          <w:p w14:paraId="75A1B254" w14:textId="77777777" w:rsidR="009226FA" w:rsidRPr="009226FA" w:rsidRDefault="009226FA" w:rsidP="009226FA">
            <w:pPr>
              <w:rPr>
                <w:rFonts w:cs="Arial"/>
              </w:rPr>
            </w:pPr>
            <w:r w:rsidRPr="009226FA">
              <w:rPr>
                <w:rFonts w:cs="Arial"/>
              </w:rPr>
              <w:t>Синдром на палмарно- плантарна еритродизестезия</w:t>
            </w:r>
          </w:p>
          <w:p w14:paraId="574345D0" w14:textId="77777777" w:rsidR="009226FA" w:rsidRPr="009226FA" w:rsidRDefault="009226FA" w:rsidP="009226FA">
            <w:pPr>
              <w:rPr>
                <w:rFonts w:cs="Arial"/>
              </w:rPr>
            </w:pPr>
            <w:r w:rsidRPr="009226FA">
              <w:rPr>
                <w:rFonts w:cs="Arial"/>
              </w:rPr>
              <w:t>Обрив</w:t>
            </w:r>
            <w:r w:rsidRPr="009226FA">
              <w:rPr>
                <w:rFonts w:cs="Arial"/>
                <w:vertAlign w:val="superscript"/>
                <w:lang w:val="en-US"/>
              </w:rPr>
              <w:t>u</w:t>
            </w:r>
          </w:p>
          <w:p w14:paraId="4ADA1BCC" w14:textId="77777777" w:rsidR="009226FA" w:rsidRPr="009226FA" w:rsidRDefault="009226FA" w:rsidP="009226FA">
            <w:pPr>
              <w:rPr>
                <w:rFonts w:cs="Arial"/>
              </w:rPr>
            </w:pPr>
            <w:r w:rsidRPr="009226FA">
              <w:rPr>
                <w:rFonts w:cs="Arial"/>
              </w:rPr>
              <w:t>Промени в цвета на косата</w:t>
            </w:r>
          </w:p>
          <w:p w14:paraId="3724B9C7" w14:textId="2C6935C8" w:rsidR="009226FA" w:rsidRPr="009226FA" w:rsidRDefault="009226FA" w:rsidP="009226FA">
            <w:pPr>
              <w:rPr>
                <w:rFonts w:cs="Arial"/>
              </w:rPr>
            </w:pPr>
            <w:r w:rsidRPr="009226FA">
              <w:rPr>
                <w:rFonts w:cs="Arial"/>
              </w:rPr>
              <w:t>Суха кожа</w:t>
            </w:r>
          </w:p>
        </w:tc>
        <w:tc>
          <w:tcPr>
            <w:tcW w:w="1791" w:type="dxa"/>
            <w:vAlign w:val="bottom"/>
          </w:tcPr>
          <w:p w14:paraId="5B40F6DF" w14:textId="77777777" w:rsidR="009226FA" w:rsidRPr="009226FA" w:rsidRDefault="009226FA" w:rsidP="009226FA">
            <w:pPr>
              <w:rPr>
                <w:rFonts w:cs="Arial"/>
              </w:rPr>
            </w:pPr>
            <w:r w:rsidRPr="009226FA">
              <w:rPr>
                <w:rFonts w:cs="Arial"/>
              </w:rPr>
              <w:t>Кожна ексфолиация</w:t>
            </w:r>
          </w:p>
          <w:p w14:paraId="664BB236" w14:textId="77777777" w:rsidR="009226FA" w:rsidRPr="009226FA" w:rsidRDefault="009226FA" w:rsidP="009226FA">
            <w:pPr>
              <w:rPr>
                <w:rFonts w:cs="Arial"/>
              </w:rPr>
            </w:pPr>
            <w:r w:rsidRPr="009226FA">
              <w:rPr>
                <w:rFonts w:cs="Arial"/>
              </w:rPr>
              <w:t>Кожна реакция</w:t>
            </w:r>
            <w:r w:rsidRPr="009226FA">
              <w:rPr>
                <w:rFonts w:cs="Arial"/>
                <w:vertAlign w:val="superscript"/>
                <w:lang w:val="en-US"/>
              </w:rPr>
              <w:t>v</w:t>
            </w:r>
          </w:p>
          <w:p w14:paraId="01009C5C" w14:textId="77777777" w:rsidR="009226FA" w:rsidRPr="009226FA" w:rsidRDefault="009226FA" w:rsidP="009226FA">
            <w:pPr>
              <w:rPr>
                <w:rFonts w:cs="Arial"/>
              </w:rPr>
            </w:pPr>
            <w:r w:rsidRPr="009226FA">
              <w:rPr>
                <w:rFonts w:cs="Arial"/>
              </w:rPr>
              <w:t>Екзема</w:t>
            </w:r>
          </w:p>
          <w:p w14:paraId="0F7B27A1" w14:textId="77777777" w:rsidR="009226FA" w:rsidRPr="009226FA" w:rsidRDefault="009226FA" w:rsidP="009226FA">
            <w:pPr>
              <w:rPr>
                <w:rFonts w:cs="Arial"/>
              </w:rPr>
            </w:pPr>
            <w:r w:rsidRPr="009226FA">
              <w:rPr>
                <w:rFonts w:cs="Arial"/>
              </w:rPr>
              <w:t>Мехури</w:t>
            </w:r>
          </w:p>
          <w:p w14:paraId="02ABF36E" w14:textId="77777777" w:rsidR="009226FA" w:rsidRPr="009226FA" w:rsidRDefault="009226FA" w:rsidP="009226FA">
            <w:pPr>
              <w:rPr>
                <w:rFonts w:cs="Arial"/>
              </w:rPr>
            </w:pPr>
            <w:r w:rsidRPr="009226FA">
              <w:rPr>
                <w:rFonts w:cs="Arial"/>
              </w:rPr>
              <w:t>Еритема</w:t>
            </w:r>
          </w:p>
          <w:p w14:paraId="19A67AD3" w14:textId="77777777" w:rsidR="009226FA" w:rsidRPr="009226FA" w:rsidRDefault="009226FA" w:rsidP="009226FA">
            <w:pPr>
              <w:rPr>
                <w:rFonts w:cs="Arial"/>
              </w:rPr>
            </w:pPr>
            <w:r w:rsidRPr="009226FA">
              <w:rPr>
                <w:rFonts w:cs="Arial"/>
              </w:rPr>
              <w:t>Алопеция</w:t>
            </w:r>
          </w:p>
          <w:p w14:paraId="22C2A0CC" w14:textId="77777777" w:rsidR="009226FA" w:rsidRPr="009226FA" w:rsidRDefault="009226FA" w:rsidP="009226FA">
            <w:pPr>
              <w:rPr>
                <w:rFonts w:cs="Arial"/>
              </w:rPr>
            </w:pPr>
            <w:r w:rsidRPr="009226FA">
              <w:rPr>
                <w:rFonts w:cs="Arial"/>
              </w:rPr>
              <w:t>Акне</w:t>
            </w:r>
          </w:p>
          <w:p w14:paraId="1F9F846C" w14:textId="77777777" w:rsidR="009226FA" w:rsidRPr="009226FA" w:rsidRDefault="009226FA" w:rsidP="009226FA">
            <w:pPr>
              <w:rPr>
                <w:rFonts w:cs="Arial"/>
              </w:rPr>
            </w:pPr>
            <w:r w:rsidRPr="009226FA">
              <w:rPr>
                <w:rFonts w:cs="Arial"/>
              </w:rPr>
              <w:t>Пруритус</w:t>
            </w:r>
          </w:p>
          <w:p w14:paraId="45A7D7F2" w14:textId="77777777" w:rsidR="009226FA" w:rsidRPr="009226FA" w:rsidRDefault="009226FA" w:rsidP="009226FA">
            <w:pPr>
              <w:rPr>
                <w:rFonts w:cs="Arial"/>
              </w:rPr>
            </w:pPr>
            <w:r w:rsidRPr="009226FA">
              <w:rPr>
                <w:rFonts w:cs="Arial"/>
              </w:rPr>
              <w:t>Хиперпигмента- ция на кожата,</w:t>
            </w:r>
          </w:p>
          <w:p w14:paraId="531443A8" w14:textId="77777777" w:rsidR="009226FA" w:rsidRPr="009226FA" w:rsidRDefault="009226FA" w:rsidP="009226FA">
            <w:pPr>
              <w:rPr>
                <w:rFonts w:cs="Arial"/>
              </w:rPr>
            </w:pPr>
            <w:r w:rsidRPr="009226FA">
              <w:rPr>
                <w:rFonts w:cs="Arial"/>
              </w:rPr>
              <w:t>Кожни лезии</w:t>
            </w:r>
          </w:p>
          <w:p w14:paraId="4B745301" w14:textId="77777777" w:rsidR="009226FA" w:rsidRPr="009226FA" w:rsidRDefault="009226FA" w:rsidP="009226FA">
            <w:pPr>
              <w:rPr>
                <w:rFonts w:cs="Arial"/>
              </w:rPr>
            </w:pPr>
            <w:r w:rsidRPr="009226FA">
              <w:rPr>
                <w:rFonts w:cs="Arial"/>
              </w:rPr>
              <w:t>Хиперкератоза</w:t>
            </w:r>
          </w:p>
          <w:p w14:paraId="48A13870" w14:textId="77777777" w:rsidR="009226FA" w:rsidRPr="009226FA" w:rsidRDefault="009226FA" w:rsidP="009226FA">
            <w:pPr>
              <w:rPr>
                <w:rFonts w:cs="Arial"/>
              </w:rPr>
            </w:pPr>
            <w:r w:rsidRPr="009226FA">
              <w:rPr>
                <w:rFonts w:cs="Arial"/>
              </w:rPr>
              <w:t>Дерматит</w:t>
            </w:r>
          </w:p>
          <w:p w14:paraId="16F7CA5B" w14:textId="6BFEE9D1" w:rsidR="009226FA" w:rsidRPr="009226FA" w:rsidRDefault="009226FA" w:rsidP="009226FA">
            <w:pPr>
              <w:rPr>
                <w:rFonts w:cs="Arial"/>
              </w:rPr>
            </w:pPr>
            <w:r w:rsidRPr="009226FA">
              <w:rPr>
                <w:rFonts w:cs="Arial"/>
              </w:rPr>
              <w:t>Увреждане на  ноктите</w:t>
            </w:r>
            <w:r w:rsidRPr="009226FA">
              <w:rPr>
                <w:rFonts w:cs="Arial"/>
                <w:vertAlign w:val="superscript"/>
                <w:lang w:val="en-US"/>
              </w:rPr>
              <w:t>w</w:t>
            </w:r>
          </w:p>
        </w:tc>
        <w:tc>
          <w:tcPr>
            <w:tcW w:w="1587" w:type="dxa"/>
          </w:tcPr>
          <w:p w14:paraId="3B1ACE57" w14:textId="77777777" w:rsidR="009226FA" w:rsidRPr="009226FA" w:rsidRDefault="009226FA" w:rsidP="009226FA">
            <w:pPr>
              <w:rPr>
                <w:rFonts w:cs="Arial"/>
              </w:rPr>
            </w:pPr>
          </w:p>
        </w:tc>
        <w:tc>
          <w:tcPr>
            <w:tcW w:w="1579" w:type="dxa"/>
          </w:tcPr>
          <w:p w14:paraId="2D5CDB8E" w14:textId="77777777" w:rsidR="009226FA" w:rsidRPr="009226FA" w:rsidRDefault="009226FA" w:rsidP="009226FA">
            <w:pPr>
              <w:rPr>
                <w:rFonts w:cs="Arial"/>
              </w:rPr>
            </w:pPr>
            <w:r w:rsidRPr="009226FA">
              <w:rPr>
                <w:rFonts w:cs="Arial"/>
              </w:rPr>
              <w:t>Еритема</w:t>
            </w:r>
          </w:p>
          <w:p w14:paraId="5E5FAE53" w14:textId="77777777" w:rsidR="009226FA" w:rsidRPr="009226FA" w:rsidRDefault="009226FA" w:rsidP="009226FA">
            <w:pPr>
              <w:rPr>
                <w:rFonts w:cs="Arial"/>
              </w:rPr>
            </w:pPr>
            <w:r w:rsidRPr="009226FA">
              <w:rPr>
                <w:rFonts w:cs="Arial"/>
              </w:rPr>
              <w:t>мултиформе*</w:t>
            </w:r>
          </w:p>
          <w:p w14:paraId="17AF9AE5" w14:textId="77777777" w:rsidR="009226FA" w:rsidRPr="009226FA" w:rsidRDefault="009226FA" w:rsidP="009226FA">
            <w:pPr>
              <w:rPr>
                <w:rFonts w:cs="Arial"/>
              </w:rPr>
            </w:pPr>
            <w:r w:rsidRPr="009226FA">
              <w:rPr>
                <w:rFonts w:cs="Arial"/>
              </w:rPr>
              <w:t>Синдром на</w:t>
            </w:r>
          </w:p>
          <w:p w14:paraId="46D5F684" w14:textId="77777777" w:rsidR="009226FA" w:rsidRPr="009226FA" w:rsidRDefault="009226FA" w:rsidP="009226FA">
            <w:pPr>
              <w:rPr>
                <w:rFonts w:cs="Arial"/>
              </w:rPr>
            </w:pPr>
            <w:r w:rsidRPr="009226FA">
              <w:rPr>
                <w:rFonts w:cs="Arial"/>
              </w:rPr>
              <w:t xml:space="preserve">* </w:t>
            </w:r>
            <w:r w:rsidRPr="009226FA">
              <w:rPr>
                <w:rFonts w:cs="Arial"/>
                <w:lang w:val="en-US"/>
              </w:rPr>
              <w:t>Stevens-Johnson</w:t>
            </w:r>
          </w:p>
          <w:p w14:paraId="195F100E" w14:textId="77777777" w:rsidR="009226FA" w:rsidRPr="009226FA" w:rsidRDefault="009226FA" w:rsidP="009226FA">
            <w:pPr>
              <w:rPr>
                <w:rFonts w:cs="Arial"/>
              </w:rPr>
            </w:pPr>
            <w:r w:rsidRPr="009226FA">
              <w:rPr>
                <w:rFonts w:cs="Arial"/>
              </w:rPr>
              <w:t>Пиодерма гангренозум</w:t>
            </w:r>
          </w:p>
          <w:p w14:paraId="0E6AABD0" w14:textId="6EF7A45A" w:rsidR="009226FA" w:rsidRPr="009226FA" w:rsidRDefault="009226FA" w:rsidP="009226FA">
            <w:pPr>
              <w:rPr>
                <w:rFonts w:cs="Arial"/>
              </w:rPr>
            </w:pPr>
            <w:r w:rsidRPr="009226FA">
              <w:rPr>
                <w:rFonts w:cs="Arial"/>
              </w:rPr>
              <w:t>Токсична епидермална  некролиза*</w:t>
            </w:r>
          </w:p>
        </w:tc>
        <w:tc>
          <w:tcPr>
            <w:tcW w:w="1200" w:type="dxa"/>
          </w:tcPr>
          <w:p w14:paraId="2D4DF3A0" w14:textId="77777777" w:rsidR="009226FA" w:rsidRPr="009226FA" w:rsidRDefault="009226FA" w:rsidP="009226FA">
            <w:pPr>
              <w:rPr>
                <w:rFonts w:cs="Arial"/>
              </w:rPr>
            </w:pPr>
          </w:p>
        </w:tc>
      </w:tr>
      <w:tr w:rsidR="009226FA" w:rsidRPr="009226FA" w14:paraId="077EF28F" w14:textId="77777777" w:rsidTr="009226FA">
        <w:tc>
          <w:tcPr>
            <w:tcW w:w="1501" w:type="dxa"/>
          </w:tcPr>
          <w:p w14:paraId="57D8E5EC" w14:textId="2D690489" w:rsidR="009226FA" w:rsidRPr="009226FA" w:rsidRDefault="009226FA" w:rsidP="009226FA">
            <w:pPr>
              <w:rPr>
                <w:rFonts w:cs="Arial"/>
              </w:rPr>
            </w:pPr>
            <w:r w:rsidRPr="009226FA">
              <w:rPr>
                <w:rFonts w:cs="Arial"/>
                <w:b/>
                <w:bCs/>
              </w:rPr>
              <w:t>Нарушения на мускулно- скелетната система и съединител</w:t>
            </w:r>
            <w:r w:rsidRPr="009226FA">
              <w:rPr>
                <w:rFonts w:cs="Arial"/>
                <w:b/>
                <w:bCs/>
              </w:rPr>
              <w:softHyphen/>
              <w:t>ната тъкан</w:t>
            </w:r>
          </w:p>
        </w:tc>
        <w:tc>
          <w:tcPr>
            <w:tcW w:w="1692" w:type="dxa"/>
          </w:tcPr>
          <w:p w14:paraId="30DFCEB7" w14:textId="77777777" w:rsidR="009226FA" w:rsidRPr="009226FA" w:rsidRDefault="009226FA" w:rsidP="009226FA">
            <w:pPr>
              <w:rPr>
                <w:rFonts w:cs="Arial"/>
              </w:rPr>
            </w:pPr>
            <w:r w:rsidRPr="009226FA">
              <w:rPr>
                <w:rFonts w:cs="Arial"/>
              </w:rPr>
              <w:t>Болка в крайниците</w:t>
            </w:r>
          </w:p>
          <w:p w14:paraId="150A1F3F" w14:textId="77777777" w:rsidR="009226FA" w:rsidRPr="009226FA" w:rsidRDefault="009226FA" w:rsidP="009226FA">
            <w:pPr>
              <w:rPr>
                <w:rFonts w:cs="Arial"/>
              </w:rPr>
            </w:pPr>
            <w:r w:rsidRPr="009226FA">
              <w:rPr>
                <w:rFonts w:cs="Arial"/>
              </w:rPr>
              <w:t>Артралгия</w:t>
            </w:r>
          </w:p>
          <w:p w14:paraId="36F9759D" w14:textId="405D626B" w:rsidR="009226FA" w:rsidRPr="009226FA" w:rsidRDefault="009226FA" w:rsidP="009226FA">
            <w:pPr>
              <w:rPr>
                <w:rFonts w:cs="Arial"/>
              </w:rPr>
            </w:pPr>
            <w:r w:rsidRPr="009226FA">
              <w:rPr>
                <w:rFonts w:cs="Arial"/>
              </w:rPr>
              <w:t>Болка в гърба</w:t>
            </w:r>
          </w:p>
        </w:tc>
        <w:tc>
          <w:tcPr>
            <w:tcW w:w="1791" w:type="dxa"/>
            <w:vAlign w:val="bottom"/>
          </w:tcPr>
          <w:p w14:paraId="599574FE" w14:textId="77777777" w:rsidR="009226FA" w:rsidRPr="009226FA" w:rsidRDefault="009226FA" w:rsidP="009226FA">
            <w:pPr>
              <w:rPr>
                <w:rFonts w:cs="Arial"/>
              </w:rPr>
            </w:pPr>
            <w:r w:rsidRPr="009226FA">
              <w:rPr>
                <w:rFonts w:cs="Arial"/>
              </w:rPr>
              <w:t>Мускулно- скелетна болка</w:t>
            </w:r>
          </w:p>
          <w:p w14:paraId="55B6111C" w14:textId="77777777" w:rsidR="009226FA" w:rsidRPr="009226FA" w:rsidRDefault="009226FA" w:rsidP="009226FA">
            <w:pPr>
              <w:rPr>
                <w:rFonts w:cs="Arial"/>
              </w:rPr>
            </w:pPr>
            <w:r w:rsidRPr="009226FA">
              <w:rPr>
                <w:rFonts w:cs="Arial"/>
              </w:rPr>
              <w:t>Мускулни спазми</w:t>
            </w:r>
          </w:p>
          <w:p w14:paraId="44BB3B09" w14:textId="77777777" w:rsidR="009226FA" w:rsidRPr="009226FA" w:rsidRDefault="009226FA" w:rsidP="009226FA">
            <w:pPr>
              <w:rPr>
                <w:rFonts w:cs="Arial"/>
              </w:rPr>
            </w:pPr>
            <w:r w:rsidRPr="009226FA">
              <w:rPr>
                <w:rFonts w:cs="Arial"/>
              </w:rPr>
              <w:t>Миалгия</w:t>
            </w:r>
          </w:p>
          <w:p w14:paraId="1B21CA93" w14:textId="5DD49645" w:rsidR="009226FA" w:rsidRPr="009226FA" w:rsidRDefault="009226FA" w:rsidP="009226FA">
            <w:pPr>
              <w:rPr>
                <w:rFonts w:cs="Arial"/>
              </w:rPr>
            </w:pPr>
            <w:r w:rsidRPr="009226FA">
              <w:rPr>
                <w:rFonts w:cs="Arial"/>
              </w:rPr>
              <w:t>Мускулна слабост</w:t>
            </w:r>
          </w:p>
        </w:tc>
        <w:tc>
          <w:tcPr>
            <w:tcW w:w="1587" w:type="dxa"/>
          </w:tcPr>
          <w:p w14:paraId="3F95B247" w14:textId="77777777" w:rsidR="009226FA" w:rsidRPr="009226FA" w:rsidRDefault="009226FA" w:rsidP="009226FA">
            <w:pPr>
              <w:rPr>
                <w:rFonts w:cs="Arial"/>
              </w:rPr>
            </w:pPr>
            <w:r w:rsidRPr="009226FA">
              <w:rPr>
                <w:rFonts w:cs="Arial"/>
              </w:rPr>
              <w:t>Остеонекроза на челюстта</w:t>
            </w:r>
          </w:p>
          <w:p w14:paraId="7A652844" w14:textId="6CE52622" w:rsidR="009226FA" w:rsidRPr="009226FA" w:rsidRDefault="009226FA" w:rsidP="009226FA">
            <w:pPr>
              <w:rPr>
                <w:rFonts w:cs="Arial"/>
              </w:rPr>
            </w:pPr>
            <w:r w:rsidRPr="009226FA">
              <w:rPr>
                <w:rFonts w:cs="Arial"/>
              </w:rPr>
              <w:t>Фистула*</w:t>
            </w:r>
          </w:p>
        </w:tc>
        <w:tc>
          <w:tcPr>
            <w:tcW w:w="1579" w:type="dxa"/>
          </w:tcPr>
          <w:p w14:paraId="2DF4C61D" w14:textId="77777777" w:rsidR="009226FA" w:rsidRPr="009226FA" w:rsidRDefault="009226FA" w:rsidP="009226FA">
            <w:pPr>
              <w:rPr>
                <w:rFonts w:cs="Arial"/>
              </w:rPr>
            </w:pPr>
            <w:r w:rsidRPr="009226FA">
              <w:rPr>
                <w:rFonts w:cs="Arial"/>
              </w:rPr>
              <w:t>*</w:t>
            </w:r>
          </w:p>
          <w:p w14:paraId="2260FF68" w14:textId="77777777" w:rsidR="009226FA" w:rsidRPr="009226FA" w:rsidRDefault="009226FA" w:rsidP="009226FA">
            <w:pPr>
              <w:rPr>
                <w:rFonts w:cs="Arial"/>
              </w:rPr>
            </w:pPr>
            <w:r w:rsidRPr="009226FA">
              <w:rPr>
                <w:rFonts w:cs="Arial"/>
              </w:rPr>
              <w:t>Рабдомиолиза</w:t>
            </w:r>
          </w:p>
          <w:p w14:paraId="15C6A1C1" w14:textId="7E330D72" w:rsidR="009226FA" w:rsidRPr="009226FA" w:rsidRDefault="009226FA" w:rsidP="009226FA">
            <w:pPr>
              <w:rPr>
                <w:rFonts w:cs="Arial"/>
              </w:rPr>
            </w:pPr>
            <w:r w:rsidRPr="009226FA">
              <w:rPr>
                <w:rFonts w:cs="Arial"/>
              </w:rPr>
              <w:t>Миопатия</w:t>
            </w:r>
          </w:p>
        </w:tc>
        <w:tc>
          <w:tcPr>
            <w:tcW w:w="1200" w:type="dxa"/>
          </w:tcPr>
          <w:p w14:paraId="00383612" w14:textId="77777777" w:rsidR="009226FA" w:rsidRPr="009226FA" w:rsidRDefault="009226FA" w:rsidP="009226FA">
            <w:pPr>
              <w:rPr>
                <w:rFonts w:cs="Arial"/>
              </w:rPr>
            </w:pPr>
          </w:p>
        </w:tc>
      </w:tr>
      <w:tr w:rsidR="009226FA" w:rsidRPr="009226FA" w14:paraId="39F11031" w14:textId="77777777" w:rsidTr="009226FA">
        <w:tc>
          <w:tcPr>
            <w:tcW w:w="1501" w:type="dxa"/>
          </w:tcPr>
          <w:p w14:paraId="2C2C1D43" w14:textId="0797D85C" w:rsidR="009226FA" w:rsidRPr="009226FA" w:rsidRDefault="009226FA" w:rsidP="009226FA">
            <w:pPr>
              <w:rPr>
                <w:rFonts w:cs="Arial"/>
              </w:rPr>
            </w:pPr>
            <w:r w:rsidRPr="009226FA">
              <w:rPr>
                <w:rFonts w:cs="Arial"/>
                <w:b/>
                <w:bCs/>
              </w:rPr>
              <w:t>Нарушения на бъбреците н пикочните пътища</w:t>
            </w:r>
          </w:p>
        </w:tc>
        <w:tc>
          <w:tcPr>
            <w:tcW w:w="1692" w:type="dxa"/>
          </w:tcPr>
          <w:p w14:paraId="336B55DE" w14:textId="77777777" w:rsidR="009226FA" w:rsidRPr="009226FA" w:rsidRDefault="009226FA" w:rsidP="009226FA">
            <w:pPr>
              <w:rPr>
                <w:rFonts w:cs="Arial"/>
              </w:rPr>
            </w:pPr>
          </w:p>
        </w:tc>
        <w:tc>
          <w:tcPr>
            <w:tcW w:w="1791" w:type="dxa"/>
            <w:vAlign w:val="bottom"/>
          </w:tcPr>
          <w:p w14:paraId="67540455" w14:textId="77777777" w:rsidR="009226FA" w:rsidRPr="009226FA" w:rsidRDefault="009226FA" w:rsidP="009226FA">
            <w:pPr>
              <w:rPr>
                <w:rFonts w:cs="Arial"/>
              </w:rPr>
            </w:pPr>
            <w:r w:rsidRPr="009226FA">
              <w:rPr>
                <w:rFonts w:cs="Arial"/>
              </w:rPr>
              <w:t>Бъбречна</w:t>
            </w:r>
          </w:p>
          <w:p w14:paraId="1D371296" w14:textId="77777777" w:rsidR="009226FA" w:rsidRPr="009226FA" w:rsidRDefault="009226FA" w:rsidP="009226FA">
            <w:pPr>
              <w:rPr>
                <w:rFonts w:cs="Arial"/>
              </w:rPr>
            </w:pPr>
            <w:r w:rsidRPr="009226FA">
              <w:rPr>
                <w:rFonts w:cs="Arial"/>
              </w:rPr>
              <w:t>* недостатъчност</w:t>
            </w:r>
          </w:p>
          <w:p w14:paraId="64D0D8EF" w14:textId="77777777" w:rsidR="009226FA" w:rsidRPr="009226FA" w:rsidRDefault="009226FA" w:rsidP="009226FA">
            <w:pPr>
              <w:rPr>
                <w:rFonts w:cs="Arial"/>
              </w:rPr>
            </w:pPr>
            <w:r w:rsidRPr="009226FA">
              <w:rPr>
                <w:rFonts w:cs="Arial"/>
              </w:rPr>
              <w:t>Остра бъбречна</w:t>
            </w:r>
          </w:p>
          <w:p w14:paraId="3B1F3DDD" w14:textId="77777777" w:rsidR="009226FA" w:rsidRPr="009226FA" w:rsidRDefault="009226FA" w:rsidP="009226FA">
            <w:pPr>
              <w:rPr>
                <w:rFonts w:cs="Arial"/>
              </w:rPr>
            </w:pPr>
            <w:r w:rsidRPr="009226FA">
              <w:rPr>
                <w:rFonts w:cs="Arial"/>
              </w:rPr>
              <w:t>* недостатъчност</w:t>
            </w:r>
          </w:p>
          <w:p w14:paraId="3895167C" w14:textId="77777777" w:rsidR="009226FA" w:rsidRPr="009226FA" w:rsidRDefault="009226FA" w:rsidP="009226FA">
            <w:pPr>
              <w:rPr>
                <w:rFonts w:cs="Arial"/>
              </w:rPr>
            </w:pPr>
            <w:r w:rsidRPr="009226FA">
              <w:rPr>
                <w:rFonts w:cs="Arial"/>
              </w:rPr>
              <w:t>Хроматурия</w:t>
            </w:r>
          </w:p>
          <w:p w14:paraId="37C9FBA1" w14:textId="4A8C6CA9" w:rsidR="009226FA" w:rsidRPr="009226FA" w:rsidRDefault="009226FA" w:rsidP="009226FA">
            <w:pPr>
              <w:rPr>
                <w:rFonts w:cs="Arial"/>
              </w:rPr>
            </w:pPr>
            <w:r w:rsidRPr="009226FA">
              <w:rPr>
                <w:rFonts w:cs="Arial"/>
              </w:rPr>
              <w:t>Протеинурия</w:t>
            </w:r>
          </w:p>
        </w:tc>
        <w:tc>
          <w:tcPr>
            <w:tcW w:w="1587" w:type="dxa"/>
          </w:tcPr>
          <w:p w14:paraId="5AC726BE" w14:textId="08317287" w:rsidR="009226FA" w:rsidRPr="009226FA" w:rsidRDefault="009226FA" w:rsidP="009226FA">
            <w:pPr>
              <w:rPr>
                <w:rFonts w:cs="Arial"/>
              </w:rPr>
            </w:pPr>
            <w:r w:rsidRPr="009226FA">
              <w:rPr>
                <w:rFonts w:cs="Arial"/>
              </w:rPr>
              <w:t>Кръвоизлив от пикочните пътища</w:t>
            </w:r>
          </w:p>
        </w:tc>
        <w:tc>
          <w:tcPr>
            <w:tcW w:w="1579" w:type="dxa"/>
          </w:tcPr>
          <w:p w14:paraId="252621B0" w14:textId="6C03646E" w:rsidR="009226FA" w:rsidRPr="009226FA" w:rsidRDefault="009226FA" w:rsidP="009226FA">
            <w:pPr>
              <w:rPr>
                <w:rFonts w:cs="Arial"/>
              </w:rPr>
            </w:pPr>
            <w:r w:rsidRPr="009226FA">
              <w:rPr>
                <w:rFonts w:cs="Arial"/>
              </w:rPr>
              <w:t>Нефротичен синдром</w:t>
            </w:r>
          </w:p>
        </w:tc>
        <w:tc>
          <w:tcPr>
            <w:tcW w:w="1200" w:type="dxa"/>
          </w:tcPr>
          <w:p w14:paraId="42E72E89" w14:textId="77777777" w:rsidR="009226FA" w:rsidRPr="009226FA" w:rsidRDefault="009226FA" w:rsidP="009226FA">
            <w:pPr>
              <w:rPr>
                <w:rFonts w:cs="Arial"/>
              </w:rPr>
            </w:pPr>
          </w:p>
        </w:tc>
      </w:tr>
      <w:tr w:rsidR="009226FA" w:rsidRPr="009226FA" w14:paraId="5132108E" w14:textId="77777777" w:rsidTr="009226FA">
        <w:tc>
          <w:tcPr>
            <w:tcW w:w="1501" w:type="dxa"/>
          </w:tcPr>
          <w:p w14:paraId="7006FA25" w14:textId="5930C36D" w:rsidR="009226FA" w:rsidRPr="009226FA" w:rsidRDefault="009226FA" w:rsidP="009226FA">
            <w:pPr>
              <w:rPr>
                <w:rFonts w:cs="Arial"/>
              </w:rPr>
            </w:pPr>
            <w:r w:rsidRPr="009226FA">
              <w:rPr>
                <w:rFonts w:cs="Arial"/>
                <w:b/>
                <w:bCs/>
              </w:rPr>
              <w:lastRenderedPageBreak/>
              <w:t>Общи нарушения и ефекти на мястото на приложение</w:t>
            </w:r>
          </w:p>
        </w:tc>
        <w:tc>
          <w:tcPr>
            <w:tcW w:w="1692" w:type="dxa"/>
            <w:vAlign w:val="bottom"/>
          </w:tcPr>
          <w:p w14:paraId="3EC602FE" w14:textId="77777777" w:rsidR="009226FA" w:rsidRPr="009226FA" w:rsidRDefault="009226FA" w:rsidP="009226FA">
            <w:pPr>
              <w:rPr>
                <w:rFonts w:cs="Arial"/>
              </w:rPr>
            </w:pPr>
            <w:r w:rsidRPr="009226FA">
              <w:rPr>
                <w:rFonts w:cs="Arial"/>
              </w:rPr>
              <w:t>Възпаление на лигавицата</w:t>
            </w:r>
          </w:p>
          <w:p w14:paraId="4D6D8E4F" w14:textId="77777777" w:rsidR="009226FA" w:rsidRPr="009226FA" w:rsidRDefault="009226FA" w:rsidP="009226FA">
            <w:pPr>
              <w:rPr>
                <w:rFonts w:cs="Arial"/>
              </w:rPr>
            </w:pPr>
            <w:r w:rsidRPr="009226FA">
              <w:rPr>
                <w:rFonts w:cs="Arial"/>
              </w:rPr>
              <w:t>Умора</w:t>
            </w:r>
            <w:r w:rsidRPr="009226FA">
              <w:rPr>
                <w:rFonts w:cs="Arial"/>
                <w:vertAlign w:val="superscript"/>
                <w:lang w:val="en-US"/>
              </w:rPr>
              <w:t>x</w:t>
            </w:r>
          </w:p>
          <w:p w14:paraId="7EF943D6" w14:textId="77777777" w:rsidR="009226FA" w:rsidRPr="009226FA" w:rsidRDefault="009226FA" w:rsidP="009226FA">
            <w:pPr>
              <w:rPr>
                <w:rFonts w:cs="Arial"/>
              </w:rPr>
            </w:pPr>
            <w:r w:rsidRPr="009226FA">
              <w:rPr>
                <w:rFonts w:cs="Arial"/>
              </w:rPr>
              <w:t>Оток</w:t>
            </w:r>
            <w:r w:rsidRPr="009226FA">
              <w:rPr>
                <w:rFonts w:cs="Arial"/>
                <w:vertAlign w:val="superscript"/>
                <w:lang w:val="en-US"/>
              </w:rPr>
              <w:t>y</w:t>
            </w:r>
          </w:p>
          <w:p w14:paraId="56B74F2E" w14:textId="3BAC7276" w:rsidR="009226FA" w:rsidRPr="009226FA" w:rsidRDefault="009226FA" w:rsidP="009226FA">
            <w:pPr>
              <w:rPr>
                <w:rFonts w:cs="Arial"/>
              </w:rPr>
            </w:pPr>
            <w:r w:rsidRPr="009226FA">
              <w:rPr>
                <w:rFonts w:cs="Arial"/>
              </w:rPr>
              <w:t>Пирексия</w:t>
            </w:r>
          </w:p>
        </w:tc>
        <w:tc>
          <w:tcPr>
            <w:tcW w:w="1791" w:type="dxa"/>
          </w:tcPr>
          <w:p w14:paraId="61AFED4F" w14:textId="77777777" w:rsidR="009226FA" w:rsidRPr="009226FA" w:rsidRDefault="009226FA" w:rsidP="009226FA">
            <w:pPr>
              <w:rPr>
                <w:rFonts w:cs="Arial"/>
              </w:rPr>
            </w:pPr>
            <w:r w:rsidRPr="009226FA">
              <w:rPr>
                <w:rFonts w:cs="Arial"/>
              </w:rPr>
              <w:t>Болка в гърдите</w:t>
            </w:r>
          </w:p>
          <w:p w14:paraId="352FE4BD" w14:textId="77777777" w:rsidR="009226FA" w:rsidRPr="009226FA" w:rsidRDefault="009226FA" w:rsidP="009226FA">
            <w:pPr>
              <w:rPr>
                <w:rFonts w:cs="Arial"/>
              </w:rPr>
            </w:pPr>
            <w:r w:rsidRPr="009226FA">
              <w:rPr>
                <w:rFonts w:cs="Arial"/>
              </w:rPr>
              <w:t>Болка</w:t>
            </w:r>
          </w:p>
          <w:p w14:paraId="0966F5DD" w14:textId="77777777" w:rsidR="009226FA" w:rsidRPr="009226FA" w:rsidRDefault="009226FA" w:rsidP="009226FA">
            <w:pPr>
              <w:rPr>
                <w:rFonts w:cs="Arial"/>
              </w:rPr>
            </w:pPr>
            <w:r w:rsidRPr="009226FA">
              <w:rPr>
                <w:rFonts w:cs="Arial"/>
              </w:rPr>
              <w:t>Грипоподобно заболяване</w:t>
            </w:r>
          </w:p>
          <w:p w14:paraId="51658DB9" w14:textId="4DF2D289" w:rsidR="009226FA" w:rsidRPr="009226FA" w:rsidRDefault="009226FA" w:rsidP="009226FA">
            <w:pPr>
              <w:rPr>
                <w:rFonts w:cs="Arial"/>
              </w:rPr>
            </w:pPr>
            <w:r w:rsidRPr="009226FA">
              <w:rPr>
                <w:rFonts w:cs="Arial"/>
              </w:rPr>
              <w:t>Втрисане</w:t>
            </w:r>
          </w:p>
        </w:tc>
        <w:tc>
          <w:tcPr>
            <w:tcW w:w="1587" w:type="dxa"/>
          </w:tcPr>
          <w:p w14:paraId="3FFACF45" w14:textId="7783B4E6" w:rsidR="009226FA" w:rsidRPr="009226FA" w:rsidRDefault="009226FA" w:rsidP="009226FA">
            <w:pPr>
              <w:rPr>
                <w:rFonts w:cs="Arial"/>
              </w:rPr>
            </w:pPr>
            <w:r w:rsidRPr="009226FA">
              <w:rPr>
                <w:rFonts w:cs="Arial"/>
              </w:rPr>
              <w:t>Забавено оздравяване</w:t>
            </w:r>
          </w:p>
        </w:tc>
        <w:tc>
          <w:tcPr>
            <w:tcW w:w="1579" w:type="dxa"/>
          </w:tcPr>
          <w:p w14:paraId="13EE5479" w14:textId="77777777" w:rsidR="009226FA" w:rsidRPr="009226FA" w:rsidRDefault="009226FA" w:rsidP="009226FA">
            <w:pPr>
              <w:rPr>
                <w:rFonts w:cs="Arial"/>
              </w:rPr>
            </w:pPr>
          </w:p>
        </w:tc>
        <w:tc>
          <w:tcPr>
            <w:tcW w:w="1200" w:type="dxa"/>
          </w:tcPr>
          <w:p w14:paraId="392B6798" w14:textId="77777777" w:rsidR="009226FA" w:rsidRPr="009226FA" w:rsidRDefault="009226FA" w:rsidP="009226FA">
            <w:pPr>
              <w:rPr>
                <w:rFonts w:cs="Arial"/>
              </w:rPr>
            </w:pPr>
          </w:p>
        </w:tc>
      </w:tr>
      <w:tr w:rsidR="009226FA" w:rsidRPr="009226FA" w14:paraId="6936BCE9" w14:textId="77777777" w:rsidTr="009226FA">
        <w:trPr>
          <w:trHeight w:val="7016"/>
        </w:trPr>
        <w:tc>
          <w:tcPr>
            <w:tcW w:w="1501" w:type="dxa"/>
          </w:tcPr>
          <w:p w14:paraId="08B1E55D" w14:textId="12BFC14F" w:rsidR="009226FA" w:rsidRPr="009226FA" w:rsidRDefault="009226FA" w:rsidP="009226FA">
            <w:pPr>
              <w:rPr>
                <w:rFonts w:cs="Arial"/>
              </w:rPr>
            </w:pPr>
            <w:r w:rsidRPr="009226FA">
              <w:rPr>
                <w:rFonts w:cs="Arial"/>
                <w:b/>
                <w:bCs/>
              </w:rPr>
              <w:t>Изследвания</w:t>
            </w:r>
          </w:p>
        </w:tc>
        <w:tc>
          <w:tcPr>
            <w:tcW w:w="1692" w:type="dxa"/>
          </w:tcPr>
          <w:p w14:paraId="2BB8E918" w14:textId="77777777" w:rsidR="009226FA" w:rsidRPr="009226FA" w:rsidRDefault="009226FA" w:rsidP="009226FA">
            <w:pPr>
              <w:rPr>
                <w:rFonts w:cs="Arial"/>
              </w:rPr>
            </w:pPr>
          </w:p>
        </w:tc>
        <w:tc>
          <w:tcPr>
            <w:tcW w:w="1791" w:type="dxa"/>
          </w:tcPr>
          <w:p w14:paraId="6167C0F3" w14:textId="77777777" w:rsidR="009226FA" w:rsidRPr="009226FA" w:rsidRDefault="009226FA" w:rsidP="009226FA">
            <w:pPr>
              <w:rPr>
                <w:rFonts w:cs="Arial"/>
              </w:rPr>
            </w:pPr>
            <w:r w:rsidRPr="009226FA">
              <w:rPr>
                <w:rFonts w:cs="Arial"/>
              </w:rPr>
              <w:t>Намалено тегло</w:t>
            </w:r>
          </w:p>
          <w:p w14:paraId="64620E88" w14:textId="77777777" w:rsidR="009226FA" w:rsidRPr="009226FA" w:rsidRDefault="009226FA" w:rsidP="009226FA">
            <w:pPr>
              <w:rPr>
                <w:rFonts w:cs="Arial"/>
              </w:rPr>
            </w:pPr>
            <w:r w:rsidRPr="009226FA">
              <w:rPr>
                <w:rFonts w:cs="Arial"/>
              </w:rPr>
              <w:t>Намален брой левкоцити</w:t>
            </w:r>
          </w:p>
          <w:p w14:paraId="7E170D81" w14:textId="77777777" w:rsidR="009226FA" w:rsidRPr="009226FA" w:rsidRDefault="009226FA" w:rsidP="009226FA">
            <w:pPr>
              <w:rPr>
                <w:rFonts w:cs="Arial"/>
              </w:rPr>
            </w:pPr>
            <w:r w:rsidRPr="009226FA">
              <w:rPr>
                <w:rFonts w:cs="Arial"/>
              </w:rPr>
              <w:t>Повишена липаза</w:t>
            </w:r>
          </w:p>
          <w:p w14:paraId="556E19FA" w14:textId="77777777" w:rsidR="009226FA" w:rsidRPr="009226FA" w:rsidRDefault="009226FA" w:rsidP="009226FA">
            <w:pPr>
              <w:rPr>
                <w:rFonts w:cs="Arial"/>
              </w:rPr>
            </w:pPr>
            <w:r w:rsidRPr="009226FA">
              <w:rPr>
                <w:rFonts w:cs="Arial"/>
              </w:rPr>
              <w:t>Намален брой тромбоцити</w:t>
            </w:r>
          </w:p>
          <w:p w14:paraId="7BE77F6E" w14:textId="77777777" w:rsidR="009226FA" w:rsidRPr="009226FA" w:rsidRDefault="009226FA" w:rsidP="009226FA">
            <w:pPr>
              <w:rPr>
                <w:rFonts w:cs="Arial"/>
              </w:rPr>
            </w:pPr>
            <w:r w:rsidRPr="009226FA">
              <w:rPr>
                <w:rFonts w:cs="Arial"/>
              </w:rPr>
              <w:t>Намален хемоглобин</w:t>
            </w:r>
          </w:p>
          <w:p w14:paraId="7B10A993" w14:textId="77777777" w:rsidR="009226FA" w:rsidRPr="009226FA" w:rsidRDefault="009226FA" w:rsidP="009226FA">
            <w:pPr>
              <w:rPr>
                <w:rFonts w:cs="Arial"/>
              </w:rPr>
            </w:pPr>
            <w:r w:rsidRPr="009226FA">
              <w:rPr>
                <w:rFonts w:cs="Arial"/>
              </w:rPr>
              <w:t>Повишена амилаза</w:t>
            </w:r>
          </w:p>
          <w:p w14:paraId="49466E1A" w14:textId="77777777" w:rsidR="009226FA" w:rsidRPr="009226FA" w:rsidRDefault="009226FA" w:rsidP="009226FA">
            <w:pPr>
              <w:rPr>
                <w:rFonts w:cs="Arial"/>
              </w:rPr>
            </w:pPr>
            <w:r w:rsidRPr="009226FA">
              <w:rPr>
                <w:rFonts w:cs="Arial"/>
              </w:rPr>
              <w:t>Повишена аланин аминотрансфераза</w:t>
            </w:r>
          </w:p>
          <w:p w14:paraId="2DFAC578" w14:textId="77777777" w:rsidR="009226FA" w:rsidRPr="009226FA" w:rsidRDefault="009226FA" w:rsidP="009226FA">
            <w:pPr>
              <w:rPr>
                <w:rFonts w:cs="Arial"/>
              </w:rPr>
            </w:pPr>
            <w:r w:rsidRPr="009226FA">
              <w:rPr>
                <w:rFonts w:cs="Arial"/>
              </w:rPr>
              <w:t>Повишен креатинин в кръвта</w:t>
            </w:r>
          </w:p>
          <w:p w14:paraId="08766743" w14:textId="77777777" w:rsidR="009226FA" w:rsidRPr="009226FA" w:rsidRDefault="009226FA" w:rsidP="009226FA">
            <w:pPr>
              <w:rPr>
                <w:rFonts w:cs="Arial"/>
              </w:rPr>
            </w:pPr>
            <w:r w:rsidRPr="009226FA">
              <w:rPr>
                <w:rFonts w:cs="Arial"/>
              </w:rPr>
              <w:t>Повишено кръвно налягане</w:t>
            </w:r>
          </w:p>
          <w:p w14:paraId="6FD2FC0E" w14:textId="41642093" w:rsidR="009226FA" w:rsidRPr="009226FA" w:rsidRDefault="009226FA" w:rsidP="009226FA">
            <w:pPr>
              <w:rPr>
                <w:rFonts w:cs="Arial"/>
              </w:rPr>
            </w:pPr>
            <w:r w:rsidRPr="009226FA">
              <w:rPr>
                <w:rFonts w:cs="Arial"/>
              </w:rPr>
              <w:t>Повишена пикочна киселина в кръвта</w:t>
            </w:r>
          </w:p>
        </w:tc>
        <w:tc>
          <w:tcPr>
            <w:tcW w:w="1587" w:type="dxa"/>
            <w:vAlign w:val="bottom"/>
          </w:tcPr>
          <w:p w14:paraId="0C716D3C" w14:textId="77777777" w:rsidR="009226FA" w:rsidRPr="009226FA" w:rsidRDefault="009226FA" w:rsidP="009226FA">
            <w:pPr>
              <w:rPr>
                <w:rFonts w:cs="Arial"/>
              </w:rPr>
            </w:pPr>
            <w:r w:rsidRPr="009226FA">
              <w:rPr>
                <w:rFonts w:cs="Arial"/>
              </w:rPr>
              <w:t>Повишена креатин фосфокиназа в кръвта</w:t>
            </w:r>
          </w:p>
          <w:p w14:paraId="1EF01906" w14:textId="77777777" w:rsidR="009226FA" w:rsidRPr="009226FA" w:rsidRDefault="009226FA" w:rsidP="009226FA">
            <w:pPr>
              <w:rPr>
                <w:rFonts w:cs="Arial"/>
              </w:rPr>
            </w:pPr>
            <w:r w:rsidRPr="009226FA">
              <w:rPr>
                <w:rFonts w:cs="Arial"/>
              </w:rPr>
              <w:t>Повишени стойности на</w:t>
            </w:r>
          </w:p>
          <w:p w14:paraId="0C1CAA16" w14:textId="7BFCCDAC" w:rsidR="009226FA" w:rsidRPr="009226FA" w:rsidRDefault="009226FA" w:rsidP="009226FA">
            <w:pPr>
              <w:rPr>
                <w:rFonts w:cs="Arial"/>
              </w:rPr>
            </w:pPr>
            <w:r w:rsidRPr="009226FA">
              <w:rPr>
                <w:rFonts w:cs="Arial"/>
              </w:rPr>
              <w:t>тиреоидстимули ращия хормон в кръвта</w:t>
            </w:r>
          </w:p>
        </w:tc>
        <w:tc>
          <w:tcPr>
            <w:tcW w:w="1579" w:type="dxa"/>
            <w:vAlign w:val="bottom"/>
          </w:tcPr>
          <w:p w14:paraId="42B5D15A" w14:textId="77777777" w:rsidR="009226FA" w:rsidRPr="009226FA" w:rsidRDefault="009226FA" w:rsidP="009226FA">
            <w:pPr>
              <w:rPr>
                <w:rFonts w:cs="Arial"/>
              </w:rPr>
            </w:pPr>
          </w:p>
        </w:tc>
        <w:tc>
          <w:tcPr>
            <w:tcW w:w="1200" w:type="dxa"/>
          </w:tcPr>
          <w:p w14:paraId="542D4ED9" w14:textId="77777777" w:rsidR="009226FA" w:rsidRPr="009226FA" w:rsidRDefault="009226FA" w:rsidP="009226FA">
            <w:pPr>
              <w:rPr>
                <w:rFonts w:cs="Arial"/>
              </w:rPr>
            </w:pPr>
          </w:p>
        </w:tc>
      </w:tr>
    </w:tbl>
    <w:p w14:paraId="26C30F51" w14:textId="1449CF07" w:rsidR="003F729A" w:rsidRPr="009226FA" w:rsidRDefault="003F729A" w:rsidP="003F729A">
      <w:pPr>
        <w:rPr>
          <w:rFonts w:cs="Arial"/>
        </w:rPr>
      </w:pPr>
    </w:p>
    <w:p w14:paraId="25FCB214" w14:textId="77777777"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Включително събития с летален изход</w:t>
      </w:r>
    </w:p>
    <w:p w14:paraId="6A487085" w14:textId="77777777"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Комбинирани са следните термини:</w:t>
      </w:r>
    </w:p>
    <w:p w14:paraId="7811948D" w14:textId="77777777" w:rsidR="003F729A" w:rsidRPr="003F729A" w:rsidRDefault="003F729A" w:rsidP="003F729A">
      <w:pPr>
        <w:spacing w:line="240" w:lineRule="auto"/>
        <w:rPr>
          <w:rFonts w:eastAsia="Times New Roman" w:cs="Arial"/>
          <w:lang w:eastAsia="bg-BG"/>
        </w:rPr>
      </w:pPr>
      <w:r w:rsidRPr="003F729A">
        <w:rPr>
          <w:rFonts w:eastAsia="Times New Roman" w:cs="Arial"/>
          <w:color w:val="000000"/>
          <w:vertAlign w:val="superscript"/>
          <w:lang w:eastAsia="bg-BG"/>
        </w:rPr>
        <w:t>а</w:t>
      </w:r>
      <w:r w:rsidRPr="003F729A">
        <w:rPr>
          <w:rFonts w:eastAsia="Times New Roman" w:cs="Arial"/>
          <w:color w:val="000000"/>
          <w:lang w:eastAsia="bg-BG"/>
        </w:rPr>
        <w:t>Назофарингит и херпес на устата</w:t>
      </w:r>
    </w:p>
    <w:p w14:paraId="557CD730" w14:textId="0C46681D" w:rsidR="003F729A" w:rsidRPr="003F729A" w:rsidRDefault="009226FA" w:rsidP="003F729A">
      <w:pPr>
        <w:spacing w:line="240" w:lineRule="auto"/>
        <w:rPr>
          <w:rFonts w:eastAsia="Times New Roman" w:cs="Arial"/>
          <w:lang w:eastAsia="bg-BG"/>
        </w:rPr>
      </w:pPr>
      <w:proofErr w:type="gramStart"/>
      <w:r w:rsidRPr="009226FA">
        <w:rPr>
          <w:rFonts w:eastAsia="Times New Roman" w:cs="Arial"/>
          <w:color w:val="000000"/>
          <w:vertAlign w:val="superscript"/>
          <w:lang w:val="en-US" w:eastAsia="bg-BG"/>
        </w:rPr>
        <w:t>b</w:t>
      </w:r>
      <w:r w:rsidR="003F729A" w:rsidRPr="003F729A">
        <w:rPr>
          <w:rFonts w:eastAsia="Times New Roman" w:cs="Arial"/>
          <w:color w:val="000000"/>
          <w:lang w:eastAsia="bg-BG"/>
        </w:rPr>
        <w:t>Бронхит</w:t>
      </w:r>
      <w:proofErr w:type="gramEnd"/>
      <w:r w:rsidR="003F729A" w:rsidRPr="003F729A">
        <w:rPr>
          <w:rFonts w:eastAsia="Times New Roman" w:cs="Arial"/>
          <w:color w:val="000000"/>
          <w:lang w:eastAsia="bg-BG"/>
        </w:rPr>
        <w:t>, инфекции на долните дихателни пътища, пневмония и инфекции на дихателните</w:t>
      </w:r>
    </w:p>
    <w:p w14:paraId="315830EB" w14:textId="77777777"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пътища</w:t>
      </w:r>
    </w:p>
    <w:p w14:paraId="1F59711A" w14:textId="77777777" w:rsidR="003F729A" w:rsidRPr="003F729A" w:rsidRDefault="003F729A" w:rsidP="003F729A">
      <w:pPr>
        <w:spacing w:line="240" w:lineRule="auto"/>
        <w:rPr>
          <w:rFonts w:eastAsia="Times New Roman" w:cs="Arial"/>
          <w:lang w:eastAsia="bg-BG"/>
        </w:rPr>
      </w:pPr>
      <w:r w:rsidRPr="003F729A">
        <w:rPr>
          <w:rFonts w:eastAsia="Times New Roman" w:cs="Arial"/>
          <w:color w:val="000000"/>
          <w:vertAlign w:val="superscript"/>
          <w:lang w:eastAsia="bg-BG"/>
        </w:rPr>
        <w:t>с</w:t>
      </w:r>
      <w:r w:rsidRPr="003F729A">
        <w:rPr>
          <w:rFonts w:eastAsia="Times New Roman" w:cs="Arial"/>
          <w:color w:val="000000"/>
          <w:lang w:eastAsia="bg-BG"/>
        </w:rPr>
        <w:t>Абсцес, абсцес на крайник, анален абсцес, абсцес на венците, абсцес на черния дроб, абсцес на панкреаса, перинеален абсцес, периректален абсцес, ректален абсцес, субкутанен абсцес и зъбен абсцес</w:t>
      </w:r>
    </w:p>
    <w:p w14:paraId="4554C218" w14:textId="77777777" w:rsidR="003F729A" w:rsidRPr="003F729A" w:rsidRDefault="003F729A" w:rsidP="003F729A">
      <w:pPr>
        <w:spacing w:line="240" w:lineRule="auto"/>
        <w:rPr>
          <w:rFonts w:eastAsia="Times New Roman" w:cs="Arial"/>
          <w:lang w:eastAsia="bg-BG"/>
        </w:rPr>
      </w:pPr>
      <w:proofErr w:type="gramStart"/>
      <w:r w:rsidRPr="003F729A">
        <w:rPr>
          <w:rFonts w:eastAsia="Times New Roman" w:cs="Arial"/>
          <w:color w:val="000000"/>
          <w:vertAlign w:val="superscript"/>
          <w:lang w:val="en-US"/>
        </w:rPr>
        <w:t>d</w:t>
      </w:r>
      <w:r w:rsidRPr="003F729A">
        <w:rPr>
          <w:rFonts w:eastAsia="Times New Roman" w:cs="Arial"/>
          <w:color w:val="000000"/>
          <w:lang w:eastAsia="bg-BG"/>
        </w:rPr>
        <w:t>Езофагеална</w:t>
      </w:r>
      <w:proofErr w:type="gramEnd"/>
      <w:r w:rsidRPr="003F729A">
        <w:rPr>
          <w:rFonts w:eastAsia="Times New Roman" w:cs="Arial"/>
          <w:color w:val="000000"/>
          <w:lang w:eastAsia="bg-BG"/>
        </w:rPr>
        <w:t xml:space="preserve"> кандидоза и орална кандидоза</w:t>
      </w:r>
    </w:p>
    <w:p w14:paraId="5FA6EFC7" w14:textId="77777777" w:rsidR="003F729A" w:rsidRPr="003F729A" w:rsidRDefault="003F729A" w:rsidP="003F729A">
      <w:pPr>
        <w:spacing w:line="240" w:lineRule="auto"/>
        <w:rPr>
          <w:rFonts w:eastAsia="Times New Roman" w:cs="Arial"/>
          <w:lang w:eastAsia="bg-BG"/>
        </w:rPr>
      </w:pPr>
      <w:proofErr w:type="gramStart"/>
      <w:r w:rsidRPr="003F729A">
        <w:rPr>
          <w:rFonts w:eastAsia="Times New Roman" w:cs="Arial"/>
          <w:color w:val="000000"/>
          <w:vertAlign w:val="superscript"/>
          <w:lang w:val="en-US"/>
        </w:rPr>
        <w:t>e</w:t>
      </w:r>
      <w:r w:rsidRPr="003F729A">
        <w:rPr>
          <w:rFonts w:eastAsia="Times New Roman" w:cs="Arial"/>
          <w:color w:val="000000"/>
          <w:lang w:eastAsia="bg-BG"/>
        </w:rPr>
        <w:t>Целулит</w:t>
      </w:r>
      <w:proofErr w:type="gramEnd"/>
      <w:r w:rsidRPr="003F729A">
        <w:rPr>
          <w:rFonts w:eastAsia="Times New Roman" w:cs="Arial"/>
          <w:color w:val="000000"/>
          <w:lang w:eastAsia="bg-BG"/>
        </w:rPr>
        <w:t xml:space="preserve"> и кожни инфекции</w:t>
      </w:r>
    </w:p>
    <w:p w14:paraId="22499610" w14:textId="77777777" w:rsidR="003F729A" w:rsidRPr="003F729A" w:rsidRDefault="003F729A" w:rsidP="003F729A">
      <w:pPr>
        <w:spacing w:line="240" w:lineRule="auto"/>
        <w:rPr>
          <w:rFonts w:eastAsia="Times New Roman" w:cs="Arial"/>
          <w:lang w:eastAsia="bg-BG"/>
        </w:rPr>
      </w:pPr>
      <w:proofErr w:type="gramStart"/>
      <w:r w:rsidRPr="003F729A">
        <w:rPr>
          <w:rFonts w:eastAsia="Times New Roman" w:cs="Arial"/>
          <w:color w:val="000000"/>
          <w:vertAlign w:val="superscript"/>
          <w:lang w:val="en-US"/>
        </w:rPr>
        <w:t>f</w:t>
      </w:r>
      <w:r w:rsidRPr="003F729A">
        <w:rPr>
          <w:rFonts w:eastAsia="Times New Roman" w:cs="Arial"/>
          <w:color w:val="000000"/>
          <w:lang w:eastAsia="bg-BG"/>
        </w:rPr>
        <w:t>Сепсис</w:t>
      </w:r>
      <w:proofErr w:type="gramEnd"/>
      <w:r w:rsidRPr="003F729A">
        <w:rPr>
          <w:rFonts w:eastAsia="Times New Roman" w:cs="Arial"/>
          <w:color w:val="000000"/>
          <w:lang w:eastAsia="bg-BG"/>
        </w:rPr>
        <w:t xml:space="preserve"> и септичен шок</w:t>
      </w:r>
    </w:p>
    <w:p w14:paraId="7C0EA572" w14:textId="77777777" w:rsidR="003F729A" w:rsidRPr="003F729A" w:rsidRDefault="003F729A" w:rsidP="003F729A">
      <w:pPr>
        <w:spacing w:line="240" w:lineRule="auto"/>
        <w:rPr>
          <w:rFonts w:eastAsia="Times New Roman" w:cs="Arial"/>
          <w:lang w:eastAsia="bg-BG"/>
        </w:rPr>
      </w:pPr>
      <w:proofErr w:type="gramStart"/>
      <w:r w:rsidRPr="003F729A">
        <w:rPr>
          <w:rFonts w:eastAsia="Times New Roman" w:cs="Arial"/>
          <w:color w:val="000000"/>
          <w:vertAlign w:val="superscript"/>
          <w:lang w:val="en-US"/>
        </w:rPr>
        <w:t>g</w:t>
      </w:r>
      <w:r w:rsidRPr="003F729A">
        <w:rPr>
          <w:rFonts w:eastAsia="Times New Roman" w:cs="Arial"/>
          <w:color w:val="000000"/>
          <w:lang w:eastAsia="bg-BG"/>
        </w:rPr>
        <w:t>Абдоминален</w:t>
      </w:r>
      <w:proofErr w:type="gramEnd"/>
      <w:r w:rsidRPr="003F729A">
        <w:rPr>
          <w:rFonts w:eastAsia="Times New Roman" w:cs="Arial"/>
          <w:color w:val="000000"/>
          <w:lang w:eastAsia="bg-BG"/>
        </w:rPr>
        <w:t xml:space="preserve"> абсцес, абдоминален сепсис, дивертикулит и остеомиелит</w:t>
      </w:r>
    </w:p>
    <w:p w14:paraId="58EE0B1C" w14:textId="77777777" w:rsidR="003F729A" w:rsidRPr="003F729A" w:rsidRDefault="003F729A" w:rsidP="003F729A">
      <w:pPr>
        <w:spacing w:line="240" w:lineRule="auto"/>
        <w:rPr>
          <w:rFonts w:eastAsia="Times New Roman" w:cs="Arial"/>
          <w:lang w:eastAsia="bg-BG"/>
        </w:rPr>
      </w:pPr>
      <w:proofErr w:type="gramStart"/>
      <w:r w:rsidRPr="003F729A">
        <w:rPr>
          <w:rFonts w:eastAsia="Times New Roman" w:cs="Arial"/>
          <w:color w:val="000000"/>
          <w:vertAlign w:val="superscript"/>
          <w:lang w:val="en-US"/>
        </w:rPr>
        <w:lastRenderedPageBreak/>
        <w:t>h</w:t>
      </w:r>
      <w:r w:rsidRPr="003F729A">
        <w:rPr>
          <w:rFonts w:eastAsia="Times New Roman" w:cs="Arial"/>
          <w:color w:val="000000"/>
          <w:lang w:eastAsia="bg-BG"/>
        </w:rPr>
        <w:t>Тромботична</w:t>
      </w:r>
      <w:proofErr w:type="gramEnd"/>
      <w:r w:rsidRPr="003F729A">
        <w:rPr>
          <w:rFonts w:eastAsia="Times New Roman" w:cs="Arial"/>
          <w:color w:val="000000"/>
          <w:lang w:eastAsia="bg-BG"/>
        </w:rPr>
        <w:t xml:space="preserve"> микроангиопатия, тромботична тромбоцитопенична пурпура и хемолитично-</w:t>
      </w:r>
    </w:p>
    <w:p w14:paraId="3F2D2563" w14:textId="77777777"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уремичен синдром</w:t>
      </w:r>
    </w:p>
    <w:p w14:paraId="4200163D" w14:textId="77777777" w:rsidR="003F729A" w:rsidRPr="003F729A" w:rsidRDefault="003F729A" w:rsidP="003F729A">
      <w:pPr>
        <w:spacing w:line="240" w:lineRule="auto"/>
        <w:rPr>
          <w:rFonts w:eastAsia="Times New Roman" w:cs="Arial"/>
          <w:lang w:eastAsia="bg-BG"/>
        </w:rPr>
      </w:pPr>
      <w:proofErr w:type="spellStart"/>
      <w:proofErr w:type="gramStart"/>
      <w:r w:rsidRPr="003F729A">
        <w:rPr>
          <w:rFonts w:eastAsia="Times New Roman" w:cs="Arial"/>
          <w:color w:val="000000"/>
          <w:vertAlign w:val="superscript"/>
          <w:lang w:val="en-US"/>
        </w:rPr>
        <w:t>i</w:t>
      </w:r>
      <w:proofErr w:type="spellEnd"/>
      <w:r w:rsidRPr="003F729A">
        <w:rPr>
          <w:rFonts w:eastAsia="Times New Roman" w:cs="Arial"/>
          <w:color w:val="000000"/>
          <w:lang w:eastAsia="bg-BG"/>
        </w:rPr>
        <w:t>Намален</w:t>
      </w:r>
      <w:proofErr w:type="gramEnd"/>
      <w:r w:rsidRPr="003F729A">
        <w:rPr>
          <w:rFonts w:eastAsia="Times New Roman" w:cs="Arial"/>
          <w:color w:val="000000"/>
          <w:lang w:eastAsia="bg-BG"/>
        </w:rPr>
        <w:t xml:space="preserve"> апетит и анорексия</w:t>
      </w:r>
    </w:p>
    <w:p w14:paraId="186202BF" w14:textId="77777777" w:rsidR="003F729A" w:rsidRPr="003F729A" w:rsidRDefault="003F729A" w:rsidP="003F729A">
      <w:pPr>
        <w:spacing w:line="240" w:lineRule="auto"/>
        <w:rPr>
          <w:rFonts w:eastAsia="Times New Roman" w:cs="Arial"/>
          <w:lang w:eastAsia="bg-BG"/>
        </w:rPr>
      </w:pPr>
      <w:proofErr w:type="gramStart"/>
      <w:r w:rsidRPr="003F729A">
        <w:rPr>
          <w:rFonts w:eastAsia="Times New Roman" w:cs="Arial"/>
          <w:color w:val="000000"/>
          <w:vertAlign w:val="superscript"/>
          <w:lang w:val="en-US"/>
        </w:rPr>
        <w:t>j</w:t>
      </w:r>
      <w:r w:rsidRPr="003F729A">
        <w:rPr>
          <w:rFonts w:eastAsia="Times New Roman" w:cs="Arial"/>
          <w:color w:val="000000"/>
          <w:lang w:eastAsia="bg-BG"/>
        </w:rPr>
        <w:t>Дисгеузия</w:t>
      </w:r>
      <w:proofErr w:type="gramEnd"/>
      <w:r w:rsidRPr="003F729A">
        <w:rPr>
          <w:rFonts w:eastAsia="Times New Roman" w:cs="Arial"/>
          <w:color w:val="000000"/>
          <w:lang w:eastAsia="bg-BG"/>
        </w:rPr>
        <w:t>, агеузия, нарушен вкус</w:t>
      </w:r>
    </w:p>
    <w:p w14:paraId="03101209" w14:textId="77777777" w:rsidR="003F729A" w:rsidRPr="003F729A" w:rsidRDefault="003F729A" w:rsidP="003F729A">
      <w:pPr>
        <w:spacing w:line="240" w:lineRule="auto"/>
        <w:rPr>
          <w:rFonts w:eastAsia="Times New Roman" w:cs="Arial"/>
          <w:lang w:eastAsia="bg-BG"/>
        </w:rPr>
      </w:pPr>
      <w:proofErr w:type="gramStart"/>
      <w:r w:rsidRPr="003F729A">
        <w:rPr>
          <w:rFonts w:eastAsia="Times New Roman" w:cs="Arial"/>
          <w:color w:val="000000"/>
          <w:vertAlign w:val="superscript"/>
          <w:lang w:val="en-US"/>
        </w:rPr>
        <w:t>k</w:t>
      </w:r>
      <w:r w:rsidRPr="003F729A">
        <w:rPr>
          <w:rFonts w:eastAsia="Times New Roman" w:cs="Arial"/>
          <w:color w:val="000000"/>
          <w:lang w:eastAsia="bg-BG"/>
        </w:rPr>
        <w:t>Остър</w:t>
      </w:r>
      <w:proofErr w:type="gramEnd"/>
      <w:r w:rsidRPr="003F729A">
        <w:rPr>
          <w:rFonts w:eastAsia="Times New Roman" w:cs="Arial"/>
          <w:color w:val="000000"/>
          <w:lang w:eastAsia="bg-BG"/>
        </w:rPr>
        <w:t xml:space="preserve"> коронарен синдром, стенокардия, нестабилна стенокардия, запушване на коронарна</w:t>
      </w:r>
    </w:p>
    <w:p w14:paraId="1A90A309" w14:textId="77777777" w:rsidR="003F729A" w:rsidRPr="003F729A" w:rsidRDefault="003F729A" w:rsidP="003F729A">
      <w:pPr>
        <w:spacing w:line="240" w:lineRule="auto"/>
        <w:rPr>
          <w:rFonts w:eastAsia="Times New Roman" w:cs="Arial"/>
          <w:lang w:eastAsia="bg-BG"/>
        </w:rPr>
      </w:pPr>
      <w:r w:rsidRPr="003F729A">
        <w:rPr>
          <w:rFonts w:eastAsia="Times New Roman" w:cs="Arial"/>
          <w:color w:val="000000"/>
          <w:lang w:eastAsia="bg-BG"/>
        </w:rPr>
        <w:t>артерия и миокард на исхемия</w:t>
      </w:r>
    </w:p>
    <w:p w14:paraId="39CB59DA" w14:textId="77777777" w:rsidR="003F729A" w:rsidRPr="003F729A" w:rsidRDefault="003F729A" w:rsidP="003F729A">
      <w:pPr>
        <w:spacing w:line="240" w:lineRule="auto"/>
        <w:rPr>
          <w:rFonts w:eastAsia="Times New Roman" w:cs="Arial"/>
          <w:lang w:eastAsia="bg-BG"/>
        </w:rPr>
      </w:pPr>
      <w:proofErr w:type="gramStart"/>
      <w:r w:rsidRPr="003F729A">
        <w:rPr>
          <w:rFonts w:eastAsia="Times New Roman" w:cs="Arial"/>
          <w:color w:val="000000"/>
          <w:vertAlign w:val="superscript"/>
          <w:lang w:val="en-US"/>
        </w:rPr>
        <w:t>l</w:t>
      </w:r>
      <w:r w:rsidRPr="003F729A">
        <w:rPr>
          <w:rFonts w:eastAsia="Times New Roman" w:cs="Arial"/>
          <w:color w:val="000000"/>
          <w:lang w:eastAsia="bg-BG"/>
        </w:rPr>
        <w:t>Понижена/абнормна</w:t>
      </w:r>
      <w:proofErr w:type="gramEnd"/>
      <w:r w:rsidRPr="003F729A">
        <w:rPr>
          <w:rFonts w:eastAsia="Times New Roman" w:cs="Arial"/>
          <w:color w:val="000000"/>
          <w:lang w:eastAsia="bg-BG"/>
        </w:rPr>
        <w:t xml:space="preserve"> фракция на изтласкване</w:t>
      </w:r>
    </w:p>
    <w:p w14:paraId="4942D8E9" w14:textId="77777777" w:rsidR="003F729A" w:rsidRPr="003F729A" w:rsidRDefault="003F729A" w:rsidP="003F729A">
      <w:pPr>
        <w:spacing w:line="240" w:lineRule="auto"/>
        <w:rPr>
          <w:rFonts w:eastAsia="Times New Roman" w:cs="Arial"/>
          <w:lang w:eastAsia="bg-BG"/>
        </w:rPr>
      </w:pPr>
      <w:proofErr w:type="gramStart"/>
      <w:r w:rsidRPr="003F729A">
        <w:rPr>
          <w:rFonts w:eastAsia="Times New Roman" w:cs="Arial"/>
          <w:color w:val="000000"/>
          <w:vertAlign w:val="superscript"/>
          <w:lang w:val="en-US"/>
        </w:rPr>
        <w:t>m</w:t>
      </w:r>
      <w:r w:rsidRPr="003F729A">
        <w:rPr>
          <w:rFonts w:eastAsia="Times New Roman" w:cs="Arial"/>
          <w:color w:val="000000"/>
          <w:lang w:eastAsia="bg-BG"/>
        </w:rPr>
        <w:t>Остър</w:t>
      </w:r>
      <w:proofErr w:type="gramEnd"/>
      <w:r w:rsidRPr="003F729A">
        <w:rPr>
          <w:rFonts w:eastAsia="Times New Roman" w:cs="Arial"/>
          <w:color w:val="000000"/>
          <w:lang w:eastAsia="bg-BG"/>
        </w:rPr>
        <w:t xml:space="preserve"> миокарден инфаркт, миокарден инфаркт и „тих“ миокарден инфаркт</w:t>
      </w:r>
    </w:p>
    <w:p w14:paraId="24883EE2" w14:textId="64EB9ABC" w:rsidR="003F729A" w:rsidRPr="003F729A" w:rsidRDefault="009226FA" w:rsidP="003F729A">
      <w:pPr>
        <w:spacing w:line="240" w:lineRule="auto"/>
        <w:rPr>
          <w:rFonts w:eastAsia="Times New Roman" w:cs="Arial"/>
          <w:lang w:eastAsia="bg-BG"/>
        </w:rPr>
      </w:pPr>
      <w:proofErr w:type="gramStart"/>
      <w:r w:rsidRPr="009226FA">
        <w:rPr>
          <w:rFonts w:eastAsia="Times New Roman" w:cs="Arial"/>
          <w:color w:val="000000"/>
          <w:vertAlign w:val="superscript"/>
          <w:lang w:val="en-US"/>
        </w:rPr>
        <w:t>n</w:t>
      </w:r>
      <w:r w:rsidR="003F729A" w:rsidRPr="003F729A">
        <w:rPr>
          <w:rFonts w:eastAsia="Times New Roman" w:cs="Arial"/>
          <w:color w:val="000000"/>
          <w:lang w:eastAsia="bg-BG"/>
        </w:rPr>
        <w:t>Орофарингеална</w:t>
      </w:r>
      <w:proofErr w:type="gramEnd"/>
      <w:r w:rsidR="003F729A" w:rsidRPr="003F729A">
        <w:rPr>
          <w:rFonts w:eastAsia="Times New Roman" w:cs="Arial"/>
          <w:color w:val="000000"/>
          <w:lang w:eastAsia="bg-BG"/>
        </w:rPr>
        <w:t xml:space="preserve"> и фаринголарингеална болка</w:t>
      </w:r>
    </w:p>
    <w:p w14:paraId="19E12E95" w14:textId="77777777" w:rsidR="003F729A" w:rsidRPr="003F729A" w:rsidRDefault="003F729A" w:rsidP="003F729A">
      <w:pPr>
        <w:spacing w:line="240" w:lineRule="auto"/>
        <w:rPr>
          <w:rFonts w:eastAsia="Times New Roman" w:cs="Arial"/>
          <w:lang w:eastAsia="bg-BG"/>
        </w:rPr>
      </w:pPr>
      <w:proofErr w:type="gramStart"/>
      <w:r w:rsidRPr="003F729A">
        <w:rPr>
          <w:rFonts w:eastAsia="Times New Roman" w:cs="Arial"/>
          <w:color w:val="000000"/>
          <w:vertAlign w:val="superscript"/>
          <w:lang w:val="en-US"/>
        </w:rPr>
        <w:t>o</w:t>
      </w:r>
      <w:r w:rsidRPr="003F729A">
        <w:rPr>
          <w:rFonts w:eastAsia="Times New Roman" w:cs="Arial"/>
          <w:color w:val="000000"/>
          <w:lang w:eastAsia="bg-BG"/>
        </w:rPr>
        <w:t>Стоматит</w:t>
      </w:r>
      <w:proofErr w:type="gramEnd"/>
      <w:r w:rsidRPr="003F729A">
        <w:rPr>
          <w:rFonts w:eastAsia="Times New Roman" w:cs="Arial"/>
          <w:color w:val="000000"/>
          <w:lang w:eastAsia="bg-BG"/>
        </w:rPr>
        <w:t xml:space="preserve"> и афтозен стоматит.</w:t>
      </w:r>
    </w:p>
    <w:p w14:paraId="6EC4D2BB" w14:textId="77777777" w:rsidR="003F729A" w:rsidRPr="003F729A" w:rsidRDefault="003F729A" w:rsidP="003F729A">
      <w:pPr>
        <w:spacing w:line="240" w:lineRule="auto"/>
        <w:rPr>
          <w:rFonts w:eastAsia="Times New Roman" w:cs="Arial"/>
          <w:lang w:eastAsia="bg-BG"/>
        </w:rPr>
      </w:pPr>
      <w:proofErr w:type="gramStart"/>
      <w:r w:rsidRPr="003F729A">
        <w:rPr>
          <w:rFonts w:eastAsia="Times New Roman" w:cs="Arial"/>
          <w:color w:val="000000"/>
          <w:vertAlign w:val="superscript"/>
          <w:lang w:val="en-US"/>
        </w:rPr>
        <w:t>p</w:t>
      </w:r>
      <w:r w:rsidRPr="003F729A">
        <w:rPr>
          <w:rFonts w:eastAsia="Times New Roman" w:cs="Arial"/>
          <w:color w:val="000000"/>
          <w:lang w:eastAsia="bg-BG"/>
        </w:rPr>
        <w:t>Коремна</w:t>
      </w:r>
      <w:proofErr w:type="gramEnd"/>
      <w:r w:rsidRPr="003F729A">
        <w:rPr>
          <w:rFonts w:eastAsia="Times New Roman" w:cs="Arial"/>
          <w:color w:val="000000"/>
          <w:lang w:eastAsia="bg-BG"/>
        </w:rPr>
        <w:t xml:space="preserve"> болка, болка в горната и долната част на корема</w:t>
      </w:r>
    </w:p>
    <w:p w14:paraId="0FD55084" w14:textId="77777777" w:rsidR="003F729A" w:rsidRPr="003F729A" w:rsidRDefault="003F729A" w:rsidP="003F729A">
      <w:pPr>
        <w:spacing w:line="240" w:lineRule="auto"/>
        <w:rPr>
          <w:rFonts w:eastAsia="Times New Roman" w:cs="Arial"/>
          <w:lang w:eastAsia="bg-BG"/>
        </w:rPr>
      </w:pPr>
      <w:proofErr w:type="gramStart"/>
      <w:r w:rsidRPr="003F729A">
        <w:rPr>
          <w:rFonts w:eastAsia="Times New Roman" w:cs="Arial"/>
          <w:color w:val="000000"/>
          <w:vertAlign w:val="superscript"/>
          <w:lang w:val="en-US"/>
        </w:rPr>
        <w:t>q</w:t>
      </w:r>
      <w:r w:rsidRPr="003F729A">
        <w:rPr>
          <w:rFonts w:eastAsia="Times New Roman" w:cs="Arial"/>
          <w:color w:val="000000"/>
          <w:lang w:eastAsia="bg-BG"/>
        </w:rPr>
        <w:t>Стомашно-чревна</w:t>
      </w:r>
      <w:proofErr w:type="gramEnd"/>
      <w:r w:rsidRPr="003F729A">
        <w:rPr>
          <w:rFonts w:eastAsia="Times New Roman" w:cs="Arial"/>
          <w:color w:val="000000"/>
          <w:lang w:eastAsia="bg-BG"/>
        </w:rPr>
        <w:t xml:space="preserve"> перфорация и чревна перфорация</w:t>
      </w:r>
    </w:p>
    <w:p w14:paraId="057E7FBE" w14:textId="77777777" w:rsidR="003F729A" w:rsidRPr="003F729A" w:rsidRDefault="003F729A" w:rsidP="003F729A">
      <w:pPr>
        <w:spacing w:line="240" w:lineRule="auto"/>
        <w:rPr>
          <w:rFonts w:eastAsia="Times New Roman" w:cs="Arial"/>
          <w:lang w:eastAsia="bg-BG"/>
        </w:rPr>
      </w:pPr>
      <w:proofErr w:type="gramStart"/>
      <w:r w:rsidRPr="003F729A">
        <w:rPr>
          <w:rFonts w:eastAsia="Times New Roman" w:cs="Arial"/>
          <w:color w:val="000000"/>
          <w:vertAlign w:val="superscript"/>
          <w:lang w:val="en-US"/>
        </w:rPr>
        <w:t>r</w:t>
      </w:r>
      <w:r w:rsidRPr="003F729A">
        <w:rPr>
          <w:rFonts w:eastAsia="Times New Roman" w:cs="Arial"/>
          <w:color w:val="000000"/>
          <w:lang w:eastAsia="bg-BG"/>
        </w:rPr>
        <w:t>Солит</w:t>
      </w:r>
      <w:proofErr w:type="gramEnd"/>
      <w:r w:rsidRPr="003F729A">
        <w:rPr>
          <w:rFonts w:eastAsia="Times New Roman" w:cs="Arial"/>
          <w:color w:val="000000"/>
          <w:lang w:eastAsia="bg-BG"/>
        </w:rPr>
        <w:t xml:space="preserve"> и исхемичен колит</w:t>
      </w:r>
    </w:p>
    <w:p w14:paraId="60F760CE" w14:textId="77777777" w:rsidR="003F729A" w:rsidRPr="003F729A" w:rsidRDefault="003F729A" w:rsidP="003F729A">
      <w:pPr>
        <w:spacing w:line="240" w:lineRule="auto"/>
        <w:rPr>
          <w:rFonts w:eastAsia="Times New Roman" w:cs="Arial"/>
          <w:lang w:eastAsia="bg-BG"/>
        </w:rPr>
      </w:pPr>
      <w:proofErr w:type="gramStart"/>
      <w:r w:rsidRPr="003F729A">
        <w:rPr>
          <w:rFonts w:eastAsia="Times New Roman" w:cs="Arial"/>
          <w:color w:val="000000"/>
          <w:vertAlign w:val="superscript"/>
          <w:lang w:val="en-US"/>
        </w:rPr>
        <w:t>s</w:t>
      </w:r>
      <w:r w:rsidRPr="003F729A">
        <w:rPr>
          <w:rFonts w:eastAsia="Times New Roman" w:cs="Arial"/>
          <w:color w:val="000000"/>
          <w:lang w:eastAsia="bg-BG"/>
        </w:rPr>
        <w:t>Холецистит</w:t>
      </w:r>
      <w:proofErr w:type="gramEnd"/>
      <w:r w:rsidRPr="003F729A">
        <w:rPr>
          <w:rFonts w:eastAsia="Times New Roman" w:cs="Arial"/>
          <w:color w:val="000000"/>
          <w:lang w:eastAsia="bg-BG"/>
        </w:rPr>
        <w:t xml:space="preserve"> и акалкулозен холецистит</w:t>
      </w:r>
    </w:p>
    <w:p w14:paraId="0D49B54D" w14:textId="77777777" w:rsidR="003F729A" w:rsidRPr="003F729A" w:rsidRDefault="003F729A" w:rsidP="003F729A">
      <w:pPr>
        <w:spacing w:line="240" w:lineRule="auto"/>
        <w:rPr>
          <w:rFonts w:eastAsia="Times New Roman" w:cs="Arial"/>
          <w:lang w:eastAsia="bg-BG"/>
        </w:rPr>
      </w:pPr>
      <w:proofErr w:type="gramStart"/>
      <w:r w:rsidRPr="003F729A">
        <w:rPr>
          <w:rFonts w:eastAsia="Times New Roman" w:cs="Arial"/>
          <w:color w:val="000000"/>
          <w:vertAlign w:val="superscript"/>
          <w:lang w:val="en-US"/>
        </w:rPr>
        <w:t>t</w:t>
      </w:r>
      <w:r w:rsidRPr="003F729A">
        <w:rPr>
          <w:rFonts w:eastAsia="Times New Roman" w:cs="Arial"/>
          <w:color w:val="000000"/>
          <w:lang w:eastAsia="bg-BG"/>
        </w:rPr>
        <w:t>Жълта</w:t>
      </w:r>
      <w:proofErr w:type="gramEnd"/>
      <w:r w:rsidRPr="003F729A">
        <w:rPr>
          <w:rFonts w:eastAsia="Times New Roman" w:cs="Arial"/>
          <w:color w:val="000000"/>
          <w:lang w:eastAsia="bg-BG"/>
        </w:rPr>
        <w:t xml:space="preserve"> кожа, обезцветяване на кожата и нарушена пигментация</w:t>
      </w:r>
    </w:p>
    <w:p w14:paraId="765B0C6F" w14:textId="0B4FCCA6" w:rsidR="003F729A" w:rsidRPr="003F729A" w:rsidRDefault="009226FA" w:rsidP="003F729A">
      <w:pPr>
        <w:spacing w:line="240" w:lineRule="auto"/>
        <w:rPr>
          <w:rFonts w:eastAsia="Times New Roman" w:cs="Arial"/>
          <w:lang w:eastAsia="bg-BG"/>
        </w:rPr>
      </w:pPr>
      <w:r w:rsidRPr="009226FA">
        <w:rPr>
          <w:rFonts w:eastAsia="Times New Roman" w:cs="Arial"/>
          <w:color w:val="000000"/>
          <w:vertAlign w:val="superscript"/>
          <w:lang w:eastAsia="bg-BG"/>
        </w:rPr>
        <w:t>u</w:t>
      </w:r>
      <w:r w:rsidR="003F729A" w:rsidRPr="003F729A">
        <w:rPr>
          <w:rFonts w:eastAsia="Times New Roman" w:cs="Arial"/>
          <w:color w:val="000000"/>
          <w:lang w:eastAsia="bg-BG"/>
        </w:rPr>
        <w:t>Псориазиформен дерматит, ексфолиативен обрив, обрив, еритематозен обрив, фоликуларен</w:t>
      </w:r>
      <w:r w:rsidR="00E86AE3">
        <w:rPr>
          <w:rFonts w:eastAsia="Times New Roman" w:cs="Arial"/>
          <w:lang w:val="en-US" w:eastAsia="bg-BG"/>
        </w:rPr>
        <w:t xml:space="preserve"> </w:t>
      </w:r>
      <w:r w:rsidR="003F729A" w:rsidRPr="003F729A">
        <w:rPr>
          <w:rFonts w:eastAsia="Times New Roman" w:cs="Arial"/>
          <w:color w:val="000000"/>
          <w:lang w:eastAsia="bg-BG"/>
        </w:rPr>
        <w:t>обрив, генерализиран обрив, макулозен обрив, макулопапулозен обрив, папулозен обрив и</w:t>
      </w:r>
      <w:r w:rsidR="00E86AE3">
        <w:rPr>
          <w:rFonts w:eastAsia="Times New Roman" w:cs="Arial"/>
          <w:lang w:val="en-US" w:eastAsia="bg-BG"/>
        </w:rPr>
        <w:t xml:space="preserve"> </w:t>
      </w:r>
      <w:r w:rsidR="003F729A" w:rsidRPr="003F729A">
        <w:rPr>
          <w:rFonts w:eastAsia="Times New Roman" w:cs="Arial"/>
          <w:color w:val="000000"/>
          <w:lang w:eastAsia="bg-BG"/>
        </w:rPr>
        <w:t>сърбящ обрив</w:t>
      </w:r>
    </w:p>
    <w:p w14:paraId="1DF8EE0B" w14:textId="77777777" w:rsidR="003F729A" w:rsidRPr="003F729A" w:rsidRDefault="003F729A" w:rsidP="003F729A">
      <w:pPr>
        <w:spacing w:line="240" w:lineRule="auto"/>
        <w:rPr>
          <w:rFonts w:eastAsia="Times New Roman" w:cs="Arial"/>
          <w:lang w:eastAsia="bg-BG"/>
        </w:rPr>
      </w:pPr>
      <w:proofErr w:type="gramStart"/>
      <w:r w:rsidRPr="003F729A">
        <w:rPr>
          <w:rFonts w:eastAsia="Times New Roman" w:cs="Arial"/>
          <w:color w:val="000000"/>
          <w:vertAlign w:val="superscript"/>
          <w:lang w:val="en-US"/>
        </w:rPr>
        <w:t>v</w:t>
      </w:r>
      <w:r w:rsidRPr="003F729A">
        <w:rPr>
          <w:rFonts w:eastAsia="Times New Roman" w:cs="Arial"/>
          <w:color w:val="000000"/>
          <w:lang w:eastAsia="bg-BG"/>
        </w:rPr>
        <w:t>Кожни</w:t>
      </w:r>
      <w:proofErr w:type="gramEnd"/>
      <w:r w:rsidRPr="003F729A">
        <w:rPr>
          <w:rFonts w:eastAsia="Times New Roman" w:cs="Arial"/>
          <w:color w:val="000000"/>
          <w:lang w:eastAsia="bg-BG"/>
        </w:rPr>
        <w:t xml:space="preserve"> реакции и кожни нарушения</w:t>
      </w:r>
    </w:p>
    <w:p w14:paraId="71D0EF3D" w14:textId="77777777" w:rsidR="003F729A" w:rsidRPr="003F729A" w:rsidRDefault="003F729A" w:rsidP="003F729A">
      <w:pPr>
        <w:spacing w:line="240" w:lineRule="auto"/>
        <w:rPr>
          <w:rFonts w:eastAsia="Times New Roman" w:cs="Arial"/>
          <w:lang w:eastAsia="bg-BG"/>
        </w:rPr>
      </w:pPr>
      <w:proofErr w:type="gramStart"/>
      <w:r w:rsidRPr="003F729A">
        <w:rPr>
          <w:rFonts w:eastAsia="Times New Roman" w:cs="Arial"/>
          <w:color w:val="000000"/>
          <w:vertAlign w:val="superscript"/>
          <w:lang w:val="en-US"/>
        </w:rPr>
        <w:t>w</w:t>
      </w:r>
      <w:r w:rsidRPr="003F729A">
        <w:rPr>
          <w:rFonts w:eastAsia="Times New Roman" w:cs="Arial"/>
          <w:color w:val="000000"/>
          <w:lang w:eastAsia="bg-BG"/>
        </w:rPr>
        <w:t>Нарушения</w:t>
      </w:r>
      <w:proofErr w:type="gramEnd"/>
      <w:r w:rsidRPr="003F729A">
        <w:rPr>
          <w:rFonts w:eastAsia="Times New Roman" w:cs="Arial"/>
          <w:color w:val="000000"/>
          <w:lang w:eastAsia="bg-BG"/>
        </w:rPr>
        <w:t xml:space="preserve"> на ноктите и обезцветяване на ноктите</w:t>
      </w:r>
    </w:p>
    <w:p w14:paraId="7776EFCB" w14:textId="77777777" w:rsidR="003F729A" w:rsidRPr="003F729A" w:rsidRDefault="003F729A" w:rsidP="003F729A">
      <w:pPr>
        <w:spacing w:line="240" w:lineRule="auto"/>
        <w:rPr>
          <w:rFonts w:eastAsia="Times New Roman" w:cs="Arial"/>
          <w:lang w:eastAsia="bg-BG"/>
        </w:rPr>
      </w:pPr>
      <w:proofErr w:type="gramStart"/>
      <w:r w:rsidRPr="003F729A">
        <w:rPr>
          <w:rFonts w:eastAsia="Times New Roman" w:cs="Arial"/>
          <w:color w:val="000000"/>
          <w:vertAlign w:val="superscript"/>
          <w:lang w:val="en-US"/>
        </w:rPr>
        <w:t>x</w:t>
      </w:r>
      <w:r w:rsidRPr="003F729A">
        <w:rPr>
          <w:rFonts w:eastAsia="Times New Roman" w:cs="Arial"/>
          <w:color w:val="000000"/>
          <w:lang w:eastAsia="bg-BG"/>
        </w:rPr>
        <w:t>Умора</w:t>
      </w:r>
      <w:proofErr w:type="gramEnd"/>
      <w:r w:rsidRPr="003F729A">
        <w:rPr>
          <w:rFonts w:eastAsia="Times New Roman" w:cs="Arial"/>
          <w:color w:val="000000"/>
          <w:lang w:eastAsia="bg-BG"/>
        </w:rPr>
        <w:t xml:space="preserve"> и астения</w:t>
      </w:r>
    </w:p>
    <w:p w14:paraId="28DA29AC" w14:textId="77777777" w:rsidR="003F729A" w:rsidRPr="003F729A" w:rsidRDefault="003F729A" w:rsidP="003F729A">
      <w:pPr>
        <w:spacing w:line="240" w:lineRule="auto"/>
        <w:rPr>
          <w:rFonts w:eastAsia="Times New Roman" w:cs="Arial"/>
          <w:lang w:eastAsia="bg-BG"/>
        </w:rPr>
      </w:pPr>
      <w:proofErr w:type="gramStart"/>
      <w:r w:rsidRPr="003F729A">
        <w:rPr>
          <w:rFonts w:eastAsia="Times New Roman" w:cs="Arial"/>
          <w:color w:val="000000"/>
          <w:vertAlign w:val="superscript"/>
          <w:lang w:val="en-US"/>
        </w:rPr>
        <w:t>y</w:t>
      </w:r>
      <w:r w:rsidRPr="003F729A">
        <w:rPr>
          <w:rFonts w:eastAsia="Times New Roman" w:cs="Arial"/>
          <w:color w:val="000000"/>
          <w:lang w:eastAsia="bg-BG"/>
        </w:rPr>
        <w:t>Оток</w:t>
      </w:r>
      <w:proofErr w:type="gramEnd"/>
      <w:r w:rsidRPr="003F729A">
        <w:rPr>
          <w:rFonts w:eastAsia="Times New Roman" w:cs="Arial"/>
          <w:color w:val="000000"/>
          <w:lang w:eastAsia="bg-BG"/>
        </w:rPr>
        <w:t xml:space="preserve"> на лицето, оток и периферен оток</w:t>
      </w:r>
      <w:r w:rsidRPr="003F729A">
        <w:rPr>
          <w:rFonts w:eastAsia="Times New Roman" w:cs="Arial"/>
          <w:color w:val="000000"/>
          <w:lang w:eastAsia="bg-BG"/>
        </w:rPr>
        <w:tab/>
      </w:r>
    </w:p>
    <w:p w14:paraId="6E980333" w14:textId="547D66C0" w:rsidR="003F729A" w:rsidRPr="009226FA" w:rsidRDefault="003F729A" w:rsidP="003F729A">
      <w:pPr>
        <w:rPr>
          <w:rFonts w:cs="Arial"/>
        </w:rPr>
      </w:pPr>
      <w:proofErr w:type="gramStart"/>
      <w:r w:rsidRPr="009226FA">
        <w:rPr>
          <w:rFonts w:eastAsia="Times New Roman" w:cs="Arial"/>
          <w:color w:val="000000"/>
          <w:vertAlign w:val="superscript"/>
          <w:lang w:val="en-US"/>
        </w:rPr>
        <w:t>z</w:t>
      </w:r>
      <w:r w:rsidRPr="009226FA">
        <w:rPr>
          <w:rFonts w:eastAsia="Times New Roman" w:cs="Arial"/>
          <w:color w:val="000000"/>
          <w:lang w:eastAsia="bg-BG"/>
        </w:rPr>
        <w:t>Амилаза</w:t>
      </w:r>
      <w:proofErr w:type="gramEnd"/>
      <w:r w:rsidRPr="009226FA">
        <w:rPr>
          <w:rFonts w:eastAsia="Times New Roman" w:cs="Arial"/>
          <w:color w:val="000000"/>
          <w:lang w:eastAsia="bg-BG"/>
        </w:rPr>
        <w:t xml:space="preserve"> и повишена амилаза</w:t>
      </w:r>
    </w:p>
    <w:p w14:paraId="443BC107" w14:textId="60D7469B" w:rsidR="005B0F27" w:rsidRPr="009226FA" w:rsidRDefault="005B0F27" w:rsidP="0091385D">
      <w:pPr>
        <w:rPr>
          <w:rFonts w:cs="Arial"/>
        </w:rPr>
      </w:pPr>
    </w:p>
    <w:p w14:paraId="28680C3B" w14:textId="77777777" w:rsidR="009226FA" w:rsidRPr="009226FA" w:rsidRDefault="009226FA" w:rsidP="009226FA">
      <w:pPr>
        <w:spacing w:line="240" w:lineRule="auto"/>
        <w:rPr>
          <w:rFonts w:eastAsia="Times New Roman" w:cs="Arial"/>
          <w:lang w:eastAsia="bg-BG"/>
        </w:rPr>
      </w:pPr>
      <w:r w:rsidRPr="009226FA">
        <w:rPr>
          <w:rFonts w:eastAsia="Times New Roman" w:cs="Arial"/>
          <w:color w:val="000000"/>
          <w:u w:val="single"/>
          <w:lang w:eastAsia="bg-BG"/>
        </w:rPr>
        <w:t>Описание на избрани нежелани реакции</w:t>
      </w:r>
    </w:p>
    <w:p w14:paraId="3A239E8D" w14:textId="77777777" w:rsidR="009226FA" w:rsidRPr="009226FA" w:rsidRDefault="009226FA" w:rsidP="009226FA">
      <w:pPr>
        <w:spacing w:line="240" w:lineRule="auto"/>
        <w:rPr>
          <w:rFonts w:eastAsia="Times New Roman" w:cs="Arial"/>
          <w:i/>
          <w:iCs/>
          <w:color w:val="000000"/>
          <w:lang w:eastAsia="bg-BG"/>
        </w:rPr>
      </w:pPr>
    </w:p>
    <w:p w14:paraId="3AA9EDF4" w14:textId="1BF2513F" w:rsidR="009226FA" w:rsidRPr="009226FA" w:rsidRDefault="009226FA" w:rsidP="009226FA">
      <w:pPr>
        <w:spacing w:line="240" w:lineRule="auto"/>
        <w:rPr>
          <w:rFonts w:eastAsia="Times New Roman" w:cs="Arial"/>
          <w:lang w:eastAsia="bg-BG"/>
        </w:rPr>
      </w:pPr>
      <w:r w:rsidRPr="009226FA">
        <w:rPr>
          <w:rFonts w:eastAsia="Times New Roman" w:cs="Arial"/>
          <w:i/>
          <w:iCs/>
          <w:color w:val="000000"/>
          <w:lang w:eastAsia="bg-BG"/>
        </w:rPr>
        <w:t>Инфекции и инфестации</w:t>
      </w:r>
    </w:p>
    <w:p w14:paraId="241A7E29" w14:textId="77777777" w:rsidR="009226FA" w:rsidRPr="009226FA" w:rsidRDefault="009226FA" w:rsidP="009226FA">
      <w:pPr>
        <w:spacing w:line="240" w:lineRule="auto"/>
        <w:rPr>
          <w:rFonts w:eastAsia="Times New Roman" w:cs="Arial"/>
          <w:lang w:eastAsia="bg-BG"/>
        </w:rPr>
      </w:pPr>
      <w:r w:rsidRPr="009226FA">
        <w:rPr>
          <w:rFonts w:eastAsia="Times New Roman" w:cs="Arial"/>
          <w:color w:val="000000"/>
          <w:lang w:eastAsia="bg-BG"/>
        </w:rPr>
        <w:t>Съобщавани са случаи на тежка инфекция (със или без неутропения), включително случай с фатален изход. Съобщавани са случаи на некротизиращ фасциит, включително и на перинеума понякога фатални (вж. също точка 4.4).</w:t>
      </w:r>
    </w:p>
    <w:p w14:paraId="6FE76A9F" w14:textId="77777777" w:rsidR="009226FA" w:rsidRPr="009226FA" w:rsidRDefault="009226FA" w:rsidP="009226FA">
      <w:pPr>
        <w:spacing w:line="240" w:lineRule="auto"/>
        <w:rPr>
          <w:rFonts w:eastAsia="Times New Roman" w:cs="Arial"/>
          <w:i/>
          <w:iCs/>
          <w:color w:val="000000"/>
          <w:lang w:eastAsia="bg-BG"/>
        </w:rPr>
      </w:pPr>
    </w:p>
    <w:p w14:paraId="2766C08A" w14:textId="215C604F" w:rsidR="009226FA" w:rsidRPr="009226FA" w:rsidRDefault="009226FA" w:rsidP="009226FA">
      <w:pPr>
        <w:spacing w:line="240" w:lineRule="auto"/>
        <w:rPr>
          <w:rFonts w:eastAsia="Times New Roman" w:cs="Arial"/>
          <w:lang w:eastAsia="bg-BG"/>
        </w:rPr>
      </w:pPr>
      <w:r w:rsidRPr="009226FA">
        <w:rPr>
          <w:rFonts w:eastAsia="Times New Roman" w:cs="Arial"/>
          <w:i/>
          <w:iCs/>
          <w:color w:val="000000"/>
          <w:lang w:eastAsia="bg-BG"/>
        </w:rPr>
        <w:t>Нарушения на кръвта и лимфната система</w:t>
      </w:r>
    </w:p>
    <w:p w14:paraId="2BF53936" w14:textId="77777777" w:rsidR="009226FA" w:rsidRPr="009226FA" w:rsidRDefault="009226FA" w:rsidP="009226FA">
      <w:pPr>
        <w:spacing w:line="240" w:lineRule="auto"/>
        <w:rPr>
          <w:rFonts w:eastAsia="Times New Roman" w:cs="Arial"/>
          <w:lang w:eastAsia="bg-BG"/>
        </w:rPr>
      </w:pPr>
      <w:r w:rsidRPr="009226FA">
        <w:rPr>
          <w:rFonts w:eastAsia="Times New Roman" w:cs="Arial"/>
          <w:color w:val="000000"/>
          <w:lang w:eastAsia="bg-BG"/>
        </w:rPr>
        <w:t>Намален абсолютен брой на неутрофилите с тежест от степен 3 и 4 е съобщен съответно при 10% и 1,7% от пациентите в ГИСТ проучване фаза 3, при 16% и 1,6% от пациентите в МБКК проучване фаза 3 и при 13% и 2,4% от пациентите в ПНЕТ проучване фаза 3. Намален брой на тромбоцитите с тежест от степен 3 и 4 е съобщен съответно при 3,7% и 0,4% от пациентите в ГИСТ проучване фаза 3, при 8,2% и 1,1% от пациентите в МБКК проучване фаза 3 и при 3,7% и 1,2% от пациентите в ПНЕТ проучване фаза 3 (вж. точка 4.4).</w:t>
      </w:r>
    </w:p>
    <w:p w14:paraId="3D031FB6" w14:textId="77777777" w:rsidR="009226FA" w:rsidRPr="009226FA" w:rsidRDefault="009226FA" w:rsidP="009226FA">
      <w:pPr>
        <w:spacing w:line="240" w:lineRule="auto"/>
        <w:rPr>
          <w:rFonts w:eastAsia="Times New Roman" w:cs="Arial"/>
          <w:color w:val="000000"/>
          <w:lang w:eastAsia="bg-BG"/>
        </w:rPr>
      </w:pPr>
    </w:p>
    <w:p w14:paraId="79A0A69A" w14:textId="03CF2676" w:rsidR="009226FA" w:rsidRPr="009226FA" w:rsidRDefault="009226FA" w:rsidP="009226FA">
      <w:pPr>
        <w:spacing w:line="240" w:lineRule="auto"/>
        <w:rPr>
          <w:rFonts w:eastAsia="Times New Roman" w:cs="Arial"/>
          <w:lang w:eastAsia="bg-BG"/>
        </w:rPr>
      </w:pPr>
      <w:r w:rsidRPr="009226FA">
        <w:rPr>
          <w:rFonts w:eastAsia="Times New Roman" w:cs="Arial"/>
          <w:color w:val="000000"/>
          <w:lang w:eastAsia="bg-BG"/>
        </w:rPr>
        <w:t xml:space="preserve">При 18% от пациентите, приемащи сунитиниб в ГИСТ проучване фаза 3, се съобщава за събития на кървене, спрямо 17% от пациентите, приемащи плацебо. При 39% от пациентите, приемащи сунитиниб за нелекуван до момента МБКК, е имало случаи на кървене, спрямо 11% от пациентите, приемащи интерферон-а </w:t>
      </w:r>
      <w:r w:rsidRPr="009226FA">
        <w:rPr>
          <w:rFonts w:eastAsia="Times New Roman" w:cs="Arial"/>
          <w:color w:val="000000"/>
          <w:lang w:val="en-US"/>
        </w:rPr>
        <w:t>(IFN</w:t>
      </w:r>
      <w:r w:rsidRPr="009226FA">
        <w:rPr>
          <w:rFonts w:eastAsia="Times New Roman" w:cs="Arial"/>
          <w:color w:val="000000"/>
          <w:lang w:eastAsia="bg-BG"/>
        </w:rPr>
        <w:t xml:space="preserve">-а). Седемнадесет (4,5%) пациенти на сунитиниб, спрямо 5 (1,7%) пациенти на </w:t>
      </w:r>
      <w:r w:rsidRPr="009226FA">
        <w:rPr>
          <w:rFonts w:eastAsia="Times New Roman" w:cs="Arial"/>
          <w:color w:val="000000"/>
          <w:lang w:val="en-US"/>
        </w:rPr>
        <w:t xml:space="preserve">IFN-a, </w:t>
      </w:r>
      <w:r w:rsidRPr="009226FA">
        <w:rPr>
          <w:rFonts w:eastAsia="Times New Roman" w:cs="Arial"/>
          <w:color w:val="000000"/>
          <w:lang w:eastAsia="bg-BG"/>
        </w:rPr>
        <w:t xml:space="preserve">са имали случаи на кървене от степен 3 или по-висока. 26% от пациентите, получавали сунитиниб за цитокин-рефрактерен МБКК, са имали кървене. Хеморагични събития, с изключение на епистаксис, са настъпили при 21,7% от пациентите, получавали сунитиниб по време на </w:t>
      </w:r>
      <w:r w:rsidRPr="009226FA">
        <w:rPr>
          <w:rFonts w:eastAsia="Times New Roman" w:cs="Arial"/>
          <w:color w:val="000000"/>
          <w:lang w:eastAsia="bg-BG"/>
        </w:rPr>
        <w:lastRenderedPageBreak/>
        <w:t>ПНЕТ проучване фаза 3, в сравнение с 9,85% от пациентите, получавали плацебо (вж. точка 4.4).</w:t>
      </w:r>
    </w:p>
    <w:p w14:paraId="409EA63E" w14:textId="77777777" w:rsidR="009226FA" w:rsidRPr="009226FA" w:rsidRDefault="009226FA" w:rsidP="009226FA">
      <w:pPr>
        <w:spacing w:line="240" w:lineRule="auto"/>
        <w:rPr>
          <w:rFonts w:eastAsia="Times New Roman" w:cs="Arial"/>
          <w:color w:val="000000"/>
          <w:lang w:eastAsia="bg-BG"/>
        </w:rPr>
      </w:pPr>
    </w:p>
    <w:p w14:paraId="232467EB" w14:textId="3BE44E5A" w:rsidR="009226FA" w:rsidRPr="009226FA" w:rsidRDefault="009226FA" w:rsidP="009226FA">
      <w:pPr>
        <w:spacing w:line="240" w:lineRule="auto"/>
        <w:rPr>
          <w:rFonts w:eastAsia="Times New Roman" w:cs="Arial"/>
          <w:lang w:eastAsia="bg-BG"/>
        </w:rPr>
      </w:pPr>
      <w:r w:rsidRPr="009226FA">
        <w:rPr>
          <w:rFonts w:eastAsia="Times New Roman" w:cs="Arial"/>
          <w:color w:val="000000"/>
          <w:lang w:eastAsia="bg-BG"/>
        </w:rPr>
        <w:t>В клинични проучвания се съобщава за случаи на туморна хеморагия при приблизително 2% от пациентите с ГИСТ.</w:t>
      </w:r>
    </w:p>
    <w:p w14:paraId="1E735F4E" w14:textId="77777777" w:rsidR="009226FA" w:rsidRPr="009226FA" w:rsidRDefault="009226FA" w:rsidP="009226FA">
      <w:pPr>
        <w:spacing w:line="240" w:lineRule="auto"/>
        <w:rPr>
          <w:rFonts w:eastAsia="Times New Roman" w:cs="Arial"/>
          <w:i/>
          <w:iCs/>
          <w:color w:val="000000"/>
          <w:lang w:eastAsia="bg-BG"/>
        </w:rPr>
      </w:pPr>
    </w:p>
    <w:p w14:paraId="46B37385" w14:textId="037AF0C5" w:rsidR="009226FA" w:rsidRPr="009226FA" w:rsidRDefault="009226FA" w:rsidP="009226FA">
      <w:pPr>
        <w:spacing w:line="240" w:lineRule="auto"/>
        <w:rPr>
          <w:rFonts w:eastAsia="Times New Roman" w:cs="Arial"/>
          <w:lang w:eastAsia="bg-BG"/>
        </w:rPr>
      </w:pPr>
      <w:r w:rsidRPr="009226FA">
        <w:rPr>
          <w:rFonts w:eastAsia="Times New Roman" w:cs="Arial"/>
          <w:i/>
          <w:iCs/>
          <w:color w:val="000000"/>
          <w:lang w:eastAsia="bg-BG"/>
        </w:rPr>
        <w:t>Нарушения на имунната система</w:t>
      </w:r>
    </w:p>
    <w:p w14:paraId="6D63844A" w14:textId="77777777" w:rsidR="009226FA" w:rsidRPr="009226FA" w:rsidRDefault="009226FA" w:rsidP="009226FA">
      <w:pPr>
        <w:spacing w:line="240" w:lineRule="auto"/>
        <w:rPr>
          <w:rFonts w:eastAsia="Times New Roman" w:cs="Arial"/>
          <w:lang w:eastAsia="bg-BG"/>
        </w:rPr>
      </w:pPr>
      <w:r w:rsidRPr="009226FA">
        <w:rPr>
          <w:rFonts w:eastAsia="Times New Roman" w:cs="Arial"/>
          <w:color w:val="000000"/>
          <w:lang w:eastAsia="bg-BG"/>
        </w:rPr>
        <w:t>Съобщавани са реакции на свръхчувствителност, включително ангиодем (вж. точка 4.4).</w:t>
      </w:r>
    </w:p>
    <w:p w14:paraId="09725FBA" w14:textId="77777777" w:rsidR="009226FA" w:rsidRPr="009226FA" w:rsidRDefault="009226FA" w:rsidP="009226FA">
      <w:pPr>
        <w:spacing w:line="240" w:lineRule="auto"/>
        <w:rPr>
          <w:rFonts w:eastAsia="Times New Roman" w:cs="Arial"/>
          <w:i/>
          <w:iCs/>
          <w:color w:val="000000"/>
          <w:lang w:eastAsia="bg-BG"/>
        </w:rPr>
      </w:pPr>
    </w:p>
    <w:p w14:paraId="1DD6F5F5" w14:textId="4B1BED7B" w:rsidR="009226FA" w:rsidRPr="009226FA" w:rsidRDefault="009226FA" w:rsidP="009226FA">
      <w:pPr>
        <w:spacing w:line="240" w:lineRule="auto"/>
        <w:rPr>
          <w:rFonts w:eastAsia="Times New Roman" w:cs="Arial"/>
          <w:lang w:eastAsia="bg-BG"/>
        </w:rPr>
      </w:pPr>
      <w:r w:rsidRPr="009226FA">
        <w:rPr>
          <w:rFonts w:eastAsia="Times New Roman" w:cs="Arial"/>
          <w:i/>
          <w:iCs/>
          <w:color w:val="000000"/>
          <w:lang w:eastAsia="bg-BG"/>
        </w:rPr>
        <w:t>Нарушения на ендокринната система</w:t>
      </w:r>
    </w:p>
    <w:p w14:paraId="5AA68135" w14:textId="77777777" w:rsidR="009226FA" w:rsidRPr="009226FA" w:rsidRDefault="009226FA" w:rsidP="009226FA">
      <w:pPr>
        <w:spacing w:line="240" w:lineRule="auto"/>
        <w:rPr>
          <w:rFonts w:eastAsia="Times New Roman" w:cs="Arial"/>
          <w:lang w:eastAsia="bg-BG"/>
        </w:rPr>
      </w:pPr>
      <w:r w:rsidRPr="009226FA">
        <w:rPr>
          <w:rFonts w:eastAsia="Times New Roman" w:cs="Arial"/>
          <w:color w:val="000000"/>
          <w:lang w:eastAsia="bg-BG"/>
        </w:rPr>
        <w:t xml:space="preserve">Хипотиреоидизъм е съобщен като нежелана реакция при 7 пациенти (4%), приемащи сунитиниб в двете проучвания за цитокин-рефрактерен МБКК; при 61 пациенти (16%) на сунитиниб и 3 пациенти (&lt;1%) в рамото на </w:t>
      </w:r>
      <w:r w:rsidRPr="009226FA">
        <w:rPr>
          <w:rFonts w:eastAsia="Times New Roman" w:cs="Arial"/>
          <w:color w:val="000000"/>
          <w:lang w:val="en-US"/>
        </w:rPr>
        <w:t xml:space="preserve">IFN-a </w:t>
      </w:r>
      <w:r w:rsidRPr="009226FA">
        <w:rPr>
          <w:rFonts w:eastAsia="Times New Roman" w:cs="Arial"/>
          <w:color w:val="000000"/>
          <w:lang w:eastAsia="bg-BG"/>
        </w:rPr>
        <w:t>в проучването при нелекуван до момента МБКК.</w:t>
      </w:r>
    </w:p>
    <w:p w14:paraId="72D8D547" w14:textId="77777777" w:rsidR="009226FA" w:rsidRPr="009226FA" w:rsidRDefault="009226FA" w:rsidP="009226FA">
      <w:pPr>
        <w:spacing w:line="240" w:lineRule="auto"/>
        <w:rPr>
          <w:rFonts w:eastAsia="Times New Roman" w:cs="Arial"/>
          <w:color w:val="000000"/>
          <w:lang w:eastAsia="bg-BG"/>
        </w:rPr>
      </w:pPr>
    </w:p>
    <w:p w14:paraId="40B7B9DA" w14:textId="2238A9DA" w:rsidR="009226FA" w:rsidRPr="009226FA" w:rsidRDefault="009226FA" w:rsidP="009226FA">
      <w:pPr>
        <w:spacing w:line="240" w:lineRule="auto"/>
        <w:rPr>
          <w:rFonts w:eastAsia="Times New Roman" w:cs="Arial"/>
          <w:lang w:eastAsia="bg-BG"/>
        </w:rPr>
      </w:pPr>
      <w:r w:rsidRPr="009226FA">
        <w:rPr>
          <w:rFonts w:eastAsia="Times New Roman" w:cs="Arial"/>
          <w:color w:val="000000"/>
          <w:lang w:eastAsia="bg-BG"/>
        </w:rPr>
        <w:t xml:space="preserve">В допълнение, повишавания на тиреостимулиращия хормон </w:t>
      </w:r>
      <w:r w:rsidRPr="009226FA">
        <w:rPr>
          <w:rFonts w:eastAsia="Times New Roman" w:cs="Arial"/>
          <w:color w:val="000000"/>
          <w:lang w:val="en-US"/>
        </w:rPr>
        <w:t xml:space="preserve">(TSH) </w:t>
      </w:r>
      <w:r w:rsidRPr="009226FA">
        <w:rPr>
          <w:rFonts w:eastAsia="Times New Roman" w:cs="Arial"/>
          <w:color w:val="000000"/>
          <w:lang w:eastAsia="bg-BG"/>
        </w:rPr>
        <w:t>са съобщени при 4 пациенти (2%) с цитокин-рефрактерен МБКК. Общо 7% от пациентите с МБКК са имали или клинично, или лабораторно доказателство за възникнал вследствие от лечението хипотиреоидизъм.</w:t>
      </w:r>
    </w:p>
    <w:p w14:paraId="6361B3BD" w14:textId="77777777" w:rsidR="009226FA" w:rsidRPr="009226FA" w:rsidRDefault="009226FA" w:rsidP="009226FA">
      <w:pPr>
        <w:spacing w:line="240" w:lineRule="auto"/>
        <w:rPr>
          <w:rFonts w:eastAsia="Times New Roman" w:cs="Arial"/>
          <w:lang w:eastAsia="bg-BG"/>
        </w:rPr>
      </w:pPr>
      <w:r w:rsidRPr="009226FA">
        <w:rPr>
          <w:rFonts w:eastAsia="Times New Roman" w:cs="Arial"/>
          <w:color w:val="000000"/>
          <w:lang w:eastAsia="bg-BG"/>
        </w:rPr>
        <w:t>Придобит хипотиреоидизъм е установен при 6,2% от пациентите с ГИСТ, лекувани със сунитиниб, спрямо 1% на плацебо. По време на ПНЕТ проучване фаза 3 хипотиреоидизъм се съобщава при 6 пациенти (7,2%), приемащи сунитиниб, и при един пациент (1,2%), приемащ плацебо.</w:t>
      </w:r>
    </w:p>
    <w:p w14:paraId="679D8D0A" w14:textId="77777777" w:rsidR="009226FA" w:rsidRPr="009226FA" w:rsidRDefault="009226FA" w:rsidP="009226FA">
      <w:pPr>
        <w:spacing w:line="240" w:lineRule="auto"/>
        <w:rPr>
          <w:rFonts w:eastAsia="Times New Roman" w:cs="Arial"/>
          <w:color w:val="000000"/>
          <w:lang w:eastAsia="bg-BG"/>
        </w:rPr>
      </w:pPr>
    </w:p>
    <w:p w14:paraId="09EB5D7D" w14:textId="77777777" w:rsidR="001A0823" w:rsidRPr="00E86AE3" w:rsidRDefault="009226FA" w:rsidP="001A0823">
      <w:pPr>
        <w:rPr>
          <w:rFonts w:eastAsia="Times New Roman" w:cs="Arial"/>
          <w:lang w:eastAsia="bg-BG"/>
        </w:rPr>
      </w:pPr>
      <w:r w:rsidRPr="009226FA">
        <w:rPr>
          <w:rFonts w:eastAsia="Times New Roman" w:cs="Arial"/>
          <w:color w:val="000000"/>
          <w:lang w:eastAsia="bg-BG"/>
        </w:rPr>
        <w:t xml:space="preserve">Тиреоидната функция е проспективно наблюдавана в две проучвания на пациенти с рак на гърдата; сунитиниб не е одобрен за употреба при рак на гърдата. В първото проучване хипотиреоидизъм се съобщава при 15 (13,6%) пациенти на сунитиниб и при 3 (2,9%) пациенти на стандартно лечение. Повишено ниво на </w:t>
      </w:r>
      <w:r w:rsidRPr="009226FA">
        <w:rPr>
          <w:rFonts w:eastAsia="Times New Roman" w:cs="Arial"/>
          <w:color w:val="000000"/>
          <w:lang w:val="en-US"/>
        </w:rPr>
        <w:t xml:space="preserve">TSH </w:t>
      </w:r>
      <w:r w:rsidRPr="009226FA">
        <w:rPr>
          <w:rFonts w:eastAsia="Times New Roman" w:cs="Arial"/>
          <w:color w:val="000000"/>
          <w:lang w:eastAsia="bg-BG"/>
        </w:rPr>
        <w:t xml:space="preserve">в кръвта е съобщено при 1 (0,9%) пациент на сунитиниб и при нито един от участниците на стандартно лечение. Хипертиреоидизъм не е съобщаван при лекувани със сунитиниб пациенти и е съобщен при 1 (1,0%) пациент на стандартно лечение. В другото проучване хипотиреоидизъм е съобщен при общо 31 (13%) пациенти на сунитиниб и при 2 (0,8%) пациенти на капецитабин. Повишени нива на </w:t>
      </w:r>
      <w:r w:rsidRPr="009226FA">
        <w:rPr>
          <w:rFonts w:eastAsia="Times New Roman" w:cs="Arial"/>
          <w:color w:val="000000"/>
          <w:lang w:val="en-US"/>
        </w:rPr>
        <w:t xml:space="preserve">TSH </w:t>
      </w:r>
      <w:r w:rsidRPr="009226FA">
        <w:rPr>
          <w:rFonts w:eastAsia="Times New Roman" w:cs="Arial"/>
          <w:color w:val="000000"/>
          <w:lang w:eastAsia="bg-BG"/>
        </w:rPr>
        <w:t>в кръвта са съобщени при 12 (5,0%) пациенти на сунитиниб и при нито един от пациентите на капецитабин. Хипертиреоидизъм е съобщен при 4 (1,7%) пациенти на сунитиниб и при нито</w:t>
      </w:r>
      <w:r w:rsidR="001A0823">
        <w:rPr>
          <w:rFonts w:eastAsia="Times New Roman" w:cs="Arial"/>
          <w:lang w:eastAsia="bg-BG"/>
        </w:rPr>
        <w:t xml:space="preserve"> </w:t>
      </w:r>
      <w:r w:rsidRPr="009226FA">
        <w:rPr>
          <w:rFonts w:eastAsia="Times New Roman" w:cs="Arial"/>
          <w:color w:val="000000"/>
          <w:lang w:eastAsia="bg-BG"/>
        </w:rPr>
        <w:t xml:space="preserve">един от пациентите на капецитабин. Понижени нива на </w:t>
      </w:r>
      <w:r w:rsidRPr="009226FA">
        <w:rPr>
          <w:rFonts w:eastAsia="Times New Roman" w:cs="Arial"/>
          <w:color w:val="000000"/>
          <w:lang w:val="en-US"/>
        </w:rPr>
        <w:t xml:space="preserve">TSH </w:t>
      </w:r>
      <w:r w:rsidRPr="009226FA">
        <w:rPr>
          <w:rFonts w:eastAsia="Times New Roman" w:cs="Arial"/>
          <w:color w:val="000000"/>
          <w:lang w:eastAsia="bg-BG"/>
        </w:rPr>
        <w:t xml:space="preserve">в кръвта са съобщени при 3 (1,3%) пациенти на сунитиниб и при </w:t>
      </w:r>
      <w:r w:rsidRPr="00E86AE3">
        <w:rPr>
          <w:rFonts w:eastAsia="Times New Roman" w:cs="Arial"/>
          <w:color w:val="000000"/>
          <w:lang w:eastAsia="bg-BG"/>
        </w:rPr>
        <w:t>нито един от пациентите на капецитабин. Повишаване</w:t>
      </w:r>
      <w:r w:rsidRPr="00E86AE3">
        <w:rPr>
          <w:rFonts w:eastAsia="Times New Roman" w:cs="Arial"/>
          <w:color w:val="000000"/>
          <w:lang w:val="en-US"/>
        </w:rPr>
        <w:t xml:space="preserve"> </w:t>
      </w:r>
      <w:r w:rsidRPr="00E86AE3">
        <w:rPr>
          <w:rFonts w:eastAsia="Times New Roman" w:cs="Arial"/>
          <w:color w:val="000000"/>
          <w:lang w:eastAsia="bg-BG"/>
        </w:rPr>
        <w:t xml:space="preserve">на </w:t>
      </w:r>
      <w:r w:rsidRPr="00E86AE3">
        <w:rPr>
          <w:rFonts w:eastAsia="Times New Roman" w:cs="Arial"/>
          <w:color w:val="000000"/>
          <w:lang w:val="en-US"/>
        </w:rPr>
        <w:t>T4 e</w:t>
      </w:r>
      <w:r w:rsidR="001A0823" w:rsidRPr="00E86AE3">
        <w:rPr>
          <w:rFonts w:eastAsia="Times New Roman" w:cs="Arial"/>
          <w:color w:val="000000"/>
        </w:rPr>
        <w:t xml:space="preserve"> </w:t>
      </w:r>
      <w:r w:rsidR="001A0823" w:rsidRPr="00E86AE3">
        <w:rPr>
          <w:rFonts w:eastAsia="Times New Roman" w:cs="Arial"/>
          <w:color w:val="000000"/>
          <w:lang w:eastAsia="bg-BG"/>
        </w:rPr>
        <w:t>съобщено при 2 (0,8%) пациенти на сунитиниб и при 1 (0,4%) пациент на капецитабин. Повишаване на ТЗ е съобщено при 1 (0,8%) участник на сунитиниб и при нито един от пациентите на капецитабин. Всички съобщени събития, свързани с щитовидната жлеза, са от степен 1-2 (вж. точка 4.4).</w:t>
      </w:r>
    </w:p>
    <w:p w14:paraId="34BD4E3E" w14:textId="77777777" w:rsidR="001A0823" w:rsidRPr="00E86AE3" w:rsidRDefault="001A0823" w:rsidP="001A0823">
      <w:pPr>
        <w:spacing w:line="240" w:lineRule="auto"/>
        <w:rPr>
          <w:rFonts w:eastAsia="Times New Roman" w:cs="Arial"/>
          <w:i/>
          <w:iCs/>
          <w:color w:val="000000"/>
          <w:lang w:eastAsia="bg-BG"/>
        </w:rPr>
      </w:pPr>
    </w:p>
    <w:p w14:paraId="256E2A40" w14:textId="3B43D7DF" w:rsidR="001A0823" w:rsidRPr="00E86AE3" w:rsidRDefault="001A0823" w:rsidP="001A0823">
      <w:pPr>
        <w:spacing w:line="240" w:lineRule="auto"/>
        <w:rPr>
          <w:rFonts w:eastAsia="Times New Roman" w:cs="Arial"/>
          <w:lang w:eastAsia="bg-BG"/>
        </w:rPr>
      </w:pPr>
      <w:r w:rsidRPr="00E86AE3">
        <w:rPr>
          <w:rFonts w:eastAsia="Times New Roman" w:cs="Arial"/>
          <w:i/>
          <w:iCs/>
          <w:color w:val="000000"/>
          <w:lang w:eastAsia="bg-BG"/>
        </w:rPr>
        <w:t>Нарушения на метаболизма и храненето</w:t>
      </w:r>
    </w:p>
    <w:p w14:paraId="0E57A8AD" w14:textId="77777777" w:rsidR="001A0823" w:rsidRPr="00E86AE3" w:rsidRDefault="001A0823" w:rsidP="001A0823">
      <w:pPr>
        <w:spacing w:line="240" w:lineRule="auto"/>
        <w:rPr>
          <w:rFonts w:eastAsia="Times New Roman" w:cs="Arial"/>
          <w:lang w:eastAsia="bg-BG"/>
        </w:rPr>
      </w:pPr>
      <w:r w:rsidRPr="00E86AE3">
        <w:rPr>
          <w:rFonts w:eastAsia="Times New Roman" w:cs="Arial"/>
          <w:color w:val="000000"/>
          <w:lang w:eastAsia="bg-BG"/>
        </w:rPr>
        <w:t>По-висока честота на хипогликемични събития е съобщавана при пациенти с ПНЕТ в сравнение с МБКК и ГИСТ. Въпреки това, повечето от тези нежелани събития, наблюдавани при клиничните проучвания, не се считат за свързани с лечението при проучването (вж. точка 4.4).</w:t>
      </w:r>
    </w:p>
    <w:p w14:paraId="5C517008" w14:textId="77777777" w:rsidR="001A0823" w:rsidRPr="00E86AE3" w:rsidRDefault="001A0823" w:rsidP="001A0823">
      <w:pPr>
        <w:spacing w:line="240" w:lineRule="auto"/>
        <w:rPr>
          <w:rFonts w:eastAsia="Times New Roman" w:cs="Arial"/>
          <w:i/>
          <w:iCs/>
          <w:color w:val="000000"/>
          <w:lang w:eastAsia="bg-BG"/>
        </w:rPr>
      </w:pPr>
    </w:p>
    <w:p w14:paraId="53EEBD01" w14:textId="42875194" w:rsidR="001A0823" w:rsidRPr="00E86AE3" w:rsidRDefault="001A0823" w:rsidP="001A0823">
      <w:pPr>
        <w:spacing w:line="240" w:lineRule="auto"/>
        <w:rPr>
          <w:rFonts w:eastAsia="Times New Roman" w:cs="Arial"/>
          <w:lang w:eastAsia="bg-BG"/>
        </w:rPr>
      </w:pPr>
      <w:r w:rsidRPr="00E86AE3">
        <w:rPr>
          <w:rFonts w:eastAsia="Times New Roman" w:cs="Arial"/>
          <w:i/>
          <w:iCs/>
          <w:color w:val="000000"/>
          <w:lang w:eastAsia="bg-BG"/>
        </w:rPr>
        <w:t>Нарушения на нервната система</w:t>
      </w:r>
    </w:p>
    <w:p w14:paraId="08D5A622" w14:textId="77777777" w:rsidR="001A0823" w:rsidRPr="00E86AE3" w:rsidRDefault="001A0823" w:rsidP="001A0823">
      <w:pPr>
        <w:spacing w:line="240" w:lineRule="auto"/>
        <w:rPr>
          <w:rFonts w:eastAsia="Times New Roman" w:cs="Arial"/>
          <w:lang w:eastAsia="bg-BG"/>
        </w:rPr>
      </w:pPr>
      <w:r w:rsidRPr="00E86AE3">
        <w:rPr>
          <w:rFonts w:eastAsia="Times New Roman" w:cs="Arial"/>
          <w:color w:val="000000"/>
          <w:lang w:eastAsia="bg-BG"/>
        </w:rPr>
        <w:lastRenderedPageBreak/>
        <w:t>В клинични проучвания със сунитиниб и от постмаркетинговото проследяване се съобщават случаи (&lt;1%), някои от които летални, на пациенти с припадъци и образни данни за СОЗЛ. , Гърчове са наблюдавани при пациенти със или без рентгенологично доказателство за мозъчни метастази (вж. точка 4.4).</w:t>
      </w:r>
    </w:p>
    <w:p w14:paraId="1D8CEDB1" w14:textId="77777777" w:rsidR="001A0823" w:rsidRPr="00E86AE3" w:rsidRDefault="001A0823" w:rsidP="001A0823">
      <w:pPr>
        <w:spacing w:line="240" w:lineRule="auto"/>
        <w:rPr>
          <w:rFonts w:eastAsia="Times New Roman" w:cs="Arial"/>
          <w:i/>
          <w:iCs/>
          <w:color w:val="000000"/>
          <w:lang w:eastAsia="bg-BG"/>
        </w:rPr>
      </w:pPr>
    </w:p>
    <w:p w14:paraId="075326DE" w14:textId="08AADA7F" w:rsidR="001A0823" w:rsidRPr="00E86AE3" w:rsidRDefault="001A0823" w:rsidP="001A0823">
      <w:pPr>
        <w:spacing w:line="240" w:lineRule="auto"/>
        <w:rPr>
          <w:rFonts w:eastAsia="Times New Roman" w:cs="Arial"/>
          <w:lang w:eastAsia="bg-BG"/>
        </w:rPr>
      </w:pPr>
      <w:r w:rsidRPr="00E86AE3">
        <w:rPr>
          <w:rFonts w:eastAsia="Times New Roman" w:cs="Arial"/>
          <w:i/>
          <w:iCs/>
          <w:color w:val="000000"/>
          <w:lang w:eastAsia="bg-BG"/>
        </w:rPr>
        <w:t>Сърдечни нарушения</w:t>
      </w:r>
    </w:p>
    <w:p w14:paraId="1C06D530" w14:textId="77777777" w:rsidR="001A0823" w:rsidRPr="00E86AE3" w:rsidRDefault="001A0823" w:rsidP="001A0823">
      <w:pPr>
        <w:spacing w:line="240" w:lineRule="auto"/>
        <w:rPr>
          <w:rFonts w:eastAsia="Times New Roman" w:cs="Arial"/>
          <w:lang w:eastAsia="bg-BG"/>
        </w:rPr>
      </w:pPr>
      <w:r w:rsidRPr="00E86AE3">
        <w:rPr>
          <w:rFonts w:eastAsia="Times New Roman" w:cs="Arial"/>
          <w:color w:val="000000"/>
          <w:lang w:eastAsia="bg-BG"/>
        </w:rPr>
        <w:t xml:space="preserve">В клинични изпитвания, намаления в левокамерната фракция на изтласкване (ЛКФИ) с ≥20% и под долната граница на нормата, са съобщени при около 2% от пациентите с ГИСТ, лекувани със сунитиниб, 4% от пациентите с цитокин-рефрактерен МБКК и 2% от пациентите с ГИСТ, получаващи плацебо. Тези понижения в ЛКФИ изглежда не се задълбочават и често се подобряват в хода на лечението. В проучване при нелекуван до момента МБКК, 27% от пациентите на сунитиниб и 15% от пациентите на </w:t>
      </w:r>
      <w:r w:rsidRPr="00E86AE3">
        <w:rPr>
          <w:rFonts w:eastAsia="Times New Roman" w:cs="Arial"/>
          <w:color w:val="000000"/>
          <w:lang w:val="en-US"/>
        </w:rPr>
        <w:t xml:space="preserve">IFN-a </w:t>
      </w:r>
      <w:r w:rsidRPr="00E86AE3">
        <w:rPr>
          <w:rFonts w:eastAsia="Times New Roman" w:cs="Arial"/>
          <w:color w:val="000000"/>
          <w:lang w:eastAsia="bg-BG"/>
        </w:rPr>
        <w:t>са имали стойност на ЛКФИ под долната граница на нормата. Двама (&lt;1%) пациенти, получавали сунитиниб, са диагностицирани със ЗСН. При пациенти с ГИСТ, “сърдечна недостатъчност”, “застойна сърдечна недостатъчност” или “левокамерна сърдечна недостатъчност” са съобщени при 1,2% от пациентите, лекувани със сунитиниб, и при 1% от пациентите, лекувани с плацебо. В основното ГИСТ проучване фаза 3 (</w:t>
      </w:r>
      <w:r w:rsidRPr="00E86AE3">
        <w:rPr>
          <w:rFonts w:eastAsia="Times New Roman" w:cs="Arial"/>
          <w:color w:val="000000"/>
          <w:lang w:val="en-US"/>
        </w:rPr>
        <w:t>n</w:t>
      </w:r>
      <w:r w:rsidRPr="00E86AE3">
        <w:rPr>
          <w:rFonts w:eastAsia="Times New Roman" w:cs="Arial"/>
          <w:color w:val="000000"/>
          <w:lang w:eastAsia="bg-BG"/>
        </w:rPr>
        <w:t xml:space="preserve">=312), свързани с лечението летални-сърдечни реакции са възникнали при 1% от пациентите от всяко рамо на проучването (т.е. рамената на сунитиниб и плацебо). В проучване фаза 2 при цитокин-рефрактерни МБКК пациенти, 0,9% са получили свързан с лечението летален инфаркт на миокарда, а в проучване фаза 3 при нелекуваните до момента за МБКК пациенти, 0,6% от пациентите в рамото на </w:t>
      </w:r>
      <w:r w:rsidRPr="00E86AE3">
        <w:rPr>
          <w:rFonts w:eastAsia="Times New Roman" w:cs="Arial"/>
          <w:color w:val="000000"/>
          <w:lang w:val="en-US"/>
        </w:rPr>
        <w:t xml:space="preserve">IFN-a </w:t>
      </w:r>
      <w:r w:rsidRPr="00E86AE3">
        <w:rPr>
          <w:rFonts w:eastAsia="Times New Roman" w:cs="Arial"/>
          <w:color w:val="000000"/>
          <w:lang w:eastAsia="bg-BG"/>
        </w:rPr>
        <w:t>и 0% от пациентите в рамото на сунитиниб са имали сърдечни събития с летален изход. При проучване фаза 3 при ПНЕТ, 1 (1%) пациент, приемал сунитиниб, е получил свързана с лечението летална сърдечна недостатъчност.</w:t>
      </w:r>
    </w:p>
    <w:p w14:paraId="22935183" w14:textId="77777777" w:rsidR="001A0823" w:rsidRPr="00E86AE3" w:rsidRDefault="001A0823" w:rsidP="001A0823">
      <w:pPr>
        <w:spacing w:line="240" w:lineRule="auto"/>
        <w:rPr>
          <w:rFonts w:eastAsia="Times New Roman" w:cs="Arial"/>
          <w:i/>
          <w:iCs/>
          <w:color w:val="000000"/>
          <w:lang w:eastAsia="bg-BG"/>
        </w:rPr>
      </w:pPr>
    </w:p>
    <w:p w14:paraId="4D2D514D" w14:textId="278E8BBB" w:rsidR="001A0823" w:rsidRPr="00E86AE3" w:rsidRDefault="001A0823" w:rsidP="001A0823">
      <w:pPr>
        <w:spacing w:line="240" w:lineRule="auto"/>
        <w:rPr>
          <w:rFonts w:eastAsia="Times New Roman" w:cs="Arial"/>
          <w:lang w:eastAsia="bg-BG"/>
        </w:rPr>
      </w:pPr>
      <w:r w:rsidRPr="00E86AE3">
        <w:rPr>
          <w:rFonts w:eastAsia="Times New Roman" w:cs="Arial"/>
          <w:i/>
          <w:iCs/>
          <w:color w:val="000000"/>
          <w:lang w:eastAsia="bg-BG"/>
        </w:rPr>
        <w:t>Съдови нарушения</w:t>
      </w:r>
    </w:p>
    <w:p w14:paraId="5E94E005" w14:textId="77777777" w:rsidR="001A0823" w:rsidRPr="00E86AE3" w:rsidRDefault="001A0823" w:rsidP="001A0823">
      <w:pPr>
        <w:spacing w:line="240" w:lineRule="auto"/>
        <w:rPr>
          <w:rFonts w:eastAsia="Times New Roman" w:cs="Arial"/>
          <w:lang w:eastAsia="bg-BG"/>
        </w:rPr>
      </w:pPr>
      <w:r w:rsidRPr="00E86AE3">
        <w:rPr>
          <w:rFonts w:eastAsia="Times New Roman" w:cs="Arial"/>
          <w:color w:val="000000"/>
          <w:u w:val="single"/>
          <w:lang w:eastAsia="bg-BG"/>
        </w:rPr>
        <w:t>Хипертония</w:t>
      </w:r>
    </w:p>
    <w:p w14:paraId="106312FC" w14:textId="77777777" w:rsidR="001A0823" w:rsidRPr="00E86AE3" w:rsidRDefault="001A0823" w:rsidP="001A0823">
      <w:pPr>
        <w:spacing w:line="240" w:lineRule="auto"/>
        <w:rPr>
          <w:rFonts w:eastAsia="Times New Roman" w:cs="Arial"/>
          <w:lang w:eastAsia="bg-BG"/>
        </w:rPr>
      </w:pPr>
      <w:r w:rsidRPr="00E86AE3">
        <w:rPr>
          <w:rFonts w:eastAsia="Times New Roman" w:cs="Arial"/>
          <w:color w:val="000000"/>
          <w:lang w:eastAsia="bg-BG"/>
        </w:rPr>
        <w:t xml:space="preserve">Хипертонията е много честа нежелана реакция, съобщавана по време на клиничните проучвания. При приблизително 2,7% от пациентите, които са имали хипертония, дозата на сунитиниб е намалена или приемът временно е прекратен. При нито един от тези пациенти приемът на сунитиниб не е бил окончателно прекратен. Тежка хипертония (&gt;200 </w:t>
      </w:r>
      <w:r w:rsidRPr="00E86AE3">
        <w:rPr>
          <w:rFonts w:eastAsia="Times New Roman" w:cs="Arial"/>
          <w:color w:val="000000"/>
          <w:lang w:val="en-US"/>
        </w:rPr>
        <w:t xml:space="preserve">mmHg </w:t>
      </w:r>
      <w:r w:rsidRPr="00E86AE3">
        <w:rPr>
          <w:rFonts w:eastAsia="Times New Roman" w:cs="Arial"/>
          <w:color w:val="000000"/>
          <w:lang w:eastAsia="bg-BG"/>
        </w:rPr>
        <w:t xml:space="preserve">систолно или 110 </w:t>
      </w:r>
      <w:r w:rsidRPr="00E86AE3">
        <w:rPr>
          <w:rFonts w:eastAsia="Times New Roman" w:cs="Arial"/>
          <w:color w:val="000000"/>
          <w:lang w:val="en-US"/>
        </w:rPr>
        <w:t xml:space="preserve">mmHg </w:t>
      </w:r>
      <w:r w:rsidRPr="00E86AE3">
        <w:rPr>
          <w:rFonts w:eastAsia="Times New Roman" w:cs="Arial"/>
          <w:color w:val="000000"/>
          <w:lang w:eastAsia="bg-BG"/>
        </w:rPr>
        <w:t xml:space="preserve">диастолно налягане) е настъпила при 4,7% от пациентите със солидни тумори. Хипертония е съобщена при приблизително 33,9% от пациентите, приемащи сунитиниб за нелекуван до момента МБКК, в сравнение с 3,6% от пациентите, приемащи </w:t>
      </w:r>
      <w:r w:rsidRPr="00E86AE3">
        <w:rPr>
          <w:rFonts w:eastAsia="Times New Roman" w:cs="Arial"/>
          <w:color w:val="000000"/>
          <w:lang w:val="en-US"/>
        </w:rPr>
        <w:t>IFN-</w:t>
      </w:r>
      <w:r w:rsidRPr="00E86AE3">
        <w:rPr>
          <w:rFonts w:eastAsia="Times New Roman" w:cs="Arial"/>
          <w:color w:val="000000"/>
          <w:lang w:eastAsia="bg-BG"/>
        </w:rPr>
        <w:t>α</w:t>
      </w:r>
      <w:r w:rsidRPr="00E86AE3">
        <w:rPr>
          <w:rFonts w:eastAsia="Times New Roman" w:cs="Arial"/>
          <w:color w:val="000000"/>
          <w:lang w:val="en-US"/>
        </w:rPr>
        <w:t xml:space="preserve">. </w:t>
      </w:r>
      <w:r w:rsidRPr="00E86AE3">
        <w:rPr>
          <w:rFonts w:eastAsia="Times New Roman" w:cs="Arial"/>
          <w:color w:val="000000"/>
          <w:lang w:eastAsia="bg-BG"/>
        </w:rPr>
        <w:t xml:space="preserve">Тежка хипертония е настъпила при 12% от нелекуваните до момента пациенти на сунитиниб и &lt;1% от пациентите на </w:t>
      </w:r>
      <w:r w:rsidRPr="00E86AE3">
        <w:rPr>
          <w:rFonts w:eastAsia="Times New Roman" w:cs="Arial"/>
          <w:color w:val="000000"/>
          <w:lang w:val="en-US"/>
        </w:rPr>
        <w:t xml:space="preserve">IFN-a. </w:t>
      </w:r>
      <w:r w:rsidRPr="00E86AE3">
        <w:rPr>
          <w:rFonts w:eastAsia="Times New Roman" w:cs="Arial"/>
          <w:color w:val="000000"/>
          <w:lang w:eastAsia="bg-BG"/>
        </w:rPr>
        <w:t>Хипертония се съобщава при 26,5% от пациентите, приемащи сунитиниб в ПНЕТ проучване фаза 3, в сравнение с 4,9% от пациентите, приемащи плацебо. Тежка хипертония е настъпила при 10% от ПНЕТ пациентите, приемащи сунитиниб, и 3% от пациентите на плацебо.</w:t>
      </w:r>
    </w:p>
    <w:p w14:paraId="5CF113B9" w14:textId="77777777" w:rsidR="001A0823" w:rsidRPr="00E86AE3" w:rsidRDefault="001A0823" w:rsidP="001A0823">
      <w:pPr>
        <w:spacing w:line="240" w:lineRule="auto"/>
        <w:rPr>
          <w:rFonts w:eastAsia="Times New Roman" w:cs="Arial"/>
          <w:color w:val="000000"/>
          <w:u w:val="single"/>
          <w:lang w:eastAsia="bg-BG"/>
        </w:rPr>
      </w:pPr>
    </w:p>
    <w:p w14:paraId="43DC07FE" w14:textId="7B61406A" w:rsidR="001A0823" w:rsidRPr="00E86AE3" w:rsidRDefault="001A0823" w:rsidP="001A0823">
      <w:pPr>
        <w:spacing w:line="240" w:lineRule="auto"/>
        <w:rPr>
          <w:rFonts w:eastAsia="Times New Roman" w:cs="Arial"/>
          <w:lang w:eastAsia="bg-BG"/>
        </w:rPr>
      </w:pPr>
      <w:r w:rsidRPr="00E86AE3">
        <w:rPr>
          <w:rFonts w:eastAsia="Times New Roman" w:cs="Arial"/>
          <w:color w:val="000000"/>
          <w:u w:val="single"/>
          <w:lang w:eastAsia="bg-BG"/>
        </w:rPr>
        <w:t>Събития на венозна тромбоемболия</w:t>
      </w:r>
    </w:p>
    <w:p w14:paraId="3DBC97A7" w14:textId="6B2B68D2" w:rsidR="009226FA" w:rsidRPr="00E86AE3" w:rsidRDefault="001A0823" w:rsidP="001A0823">
      <w:pPr>
        <w:spacing w:line="240" w:lineRule="auto"/>
        <w:rPr>
          <w:rFonts w:eastAsia="Times New Roman" w:cs="Arial"/>
          <w:lang w:eastAsia="bg-BG"/>
        </w:rPr>
      </w:pPr>
      <w:r w:rsidRPr="00E86AE3">
        <w:rPr>
          <w:rFonts w:eastAsia="Times New Roman" w:cs="Arial"/>
          <w:color w:val="000000"/>
          <w:lang w:eastAsia="bg-BG"/>
        </w:rPr>
        <w:t>Събития на венозна тромбоемболия, свързани с лечението, са съобщени при приблизително 1,0% от пациентите със солидни тумори, които са приемали сунитиниб в клинични изпитвания, включително ГИСТ и БКК.</w:t>
      </w:r>
    </w:p>
    <w:p w14:paraId="74378154" w14:textId="5D6F7E42" w:rsidR="009226FA" w:rsidRPr="00E86AE3" w:rsidRDefault="009226FA" w:rsidP="0091385D">
      <w:pPr>
        <w:rPr>
          <w:rFonts w:cs="Arial"/>
        </w:rPr>
      </w:pPr>
    </w:p>
    <w:p w14:paraId="0D496364" w14:textId="77777777" w:rsidR="001A0823" w:rsidRPr="00E86AE3" w:rsidRDefault="001A0823" w:rsidP="001A0823">
      <w:pPr>
        <w:spacing w:line="240" w:lineRule="auto"/>
        <w:rPr>
          <w:rFonts w:eastAsia="Times New Roman" w:cs="Arial"/>
          <w:lang w:eastAsia="bg-BG"/>
        </w:rPr>
      </w:pPr>
      <w:r w:rsidRPr="00E86AE3">
        <w:rPr>
          <w:rFonts w:eastAsia="Times New Roman" w:cs="Arial"/>
          <w:color w:val="000000"/>
          <w:lang w:eastAsia="bg-BG"/>
        </w:rPr>
        <w:t>В ГИСТ проучване фаза 3, седем пациенти (3%) на сунитиниб (и нито един на плацебо) са имали венозни тромбоемболични събития; 5 от 7-те са били с дълбока венозна тромбоза (ДВТ) от степен 3, а 2 са били със степен 1 или 2. Четири от тези 7 ГИСТ пациенти са прекратили лечението след първото установяване на ДВТ.</w:t>
      </w:r>
    </w:p>
    <w:p w14:paraId="07A3FD1D" w14:textId="77777777" w:rsidR="001A0823" w:rsidRPr="00E86AE3" w:rsidRDefault="001A0823" w:rsidP="001A0823">
      <w:pPr>
        <w:spacing w:line="240" w:lineRule="auto"/>
        <w:rPr>
          <w:rFonts w:eastAsia="Times New Roman" w:cs="Arial"/>
          <w:color w:val="000000"/>
          <w:lang w:eastAsia="bg-BG"/>
        </w:rPr>
      </w:pPr>
    </w:p>
    <w:p w14:paraId="53769AAA" w14:textId="0F09D7AF" w:rsidR="001A0823" w:rsidRPr="00E86AE3" w:rsidRDefault="001A0823" w:rsidP="001A0823">
      <w:pPr>
        <w:spacing w:line="240" w:lineRule="auto"/>
        <w:rPr>
          <w:rFonts w:eastAsia="Times New Roman" w:cs="Arial"/>
          <w:lang w:eastAsia="bg-BG"/>
        </w:rPr>
      </w:pPr>
      <w:r w:rsidRPr="00E86AE3">
        <w:rPr>
          <w:rFonts w:eastAsia="Times New Roman" w:cs="Arial"/>
          <w:color w:val="000000"/>
          <w:lang w:eastAsia="bg-BG"/>
        </w:rPr>
        <w:lastRenderedPageBreak/>
        <w:t>Тринадесет пациенти (3%), приемащи сунитиниб в проучване фаза 3 при нелекуван до момента МБКК, и 4 пациенти (2%) в 2 проучвания при цитокин-рефрактерен МБКК са съобщили за венозни тромбоемболични събития. Девет от тези пациенти са имали белодробен емболизъм, 1 от степен 2 и 8 от степен 4. Осем от тези пациенти са имали ДВТ, 1 от степен 1; 2 от степен 2; 4 от степен 3 и 1 от степен 4. Един пациент с белодробен емболизъм в проучването на цитокин- рефрактерен МБКК е прекратил приема.</w:t>
      </w:r>
    </w:p>
    <w:p w14:paraId="4E1B140B" w14:textId="77777777" w:rsidR="001A0823" w:rsidRPr="00E86AE3" w:rsidRDefault="001A0823" w:rsidP="001A0823">
      <w:pPr>
        <w:spacing w:line="240" w:lineRule="auto"/>
        <w:rPr>
          <w:rFonts w:eastAsia="Times New Roman" w:cs="Arial"/>
          <w:color w:val="000000"/>
          <w:lang w:eastAsia="bg-BG"/>
        </w:rPr>
      </w:pPr>
    </w:p>
    <w:p w14:paraId="08185376" w14:textId="3931FF47" w:rsidR="001A0823" w:rsidRPr="00E86AE3" w:rsidRDefault="001A0823" w:rsidP="001A0823">
      <w:pPr>
        <w:spacing w:line="240" w:lineRule="auto"/>
        <w:rPr>
          <w:rFonts w:eastAsia="Times New Roman" w:cs="Arial"/>
          <w:lang w:eastAsia="bg-BG"/>
        </w:rPr>
      </w:pPr>
      <w:r w:rsidRPr="00E86AE3">
        <w:rPr>
          <w:rFonts w:eastAsia="Times New Roman" w:cs="Arial"/>
          <w:color w:val="000000"/>
          <w:lang w:eastAsia="bg-BG"/>
        </w:rPr>
        <w:t xml:space="preserve">При нелекувани до момента пациенти с МБКК, приемащи </w:t>
      </w:r>
      <w:r w:rsidRPr="00E86AE3">
        <w:rPr>
          <w:rFonts w:eastAsia="Times New Roman" w:cs="Arial"/>
          <w:color w:val="000000"/>
          <w:lang w:val="en-US"/>
        </w:rPr>
        <w:t>IFN-</w:t>
      </w:r>
      <w:r w:rsidRPr="00E86AE3">
        <w:rPr>
          <w:rFonts w:eastAsia="Times New Roman" w:cs="Arial"/>
          <w:color w:val="000000"/>
          <w:lang w:eastAsia="bg-BG"/>
        </w:rPr>
        <w:t>α</w:t>
      </w:r>
      <w:r w:rsidRPr="00E86AE3">
        <w:rPr>
          <w:rFonts w:eastAsia="Times New Roman" w:cs="Arial"/>
          <w:color w:val="000000"/>
          <w:lang w:val="en-US"/>
        </w:rPr>
        <w:t xml:space="preserve">, </w:t>
      </w:r>
      <w:r w:rsidRPr="00E86AE3">
        <w:rPr>
          <w:rFonts w:eastAsia="Times New Roman" w:cs="Arial"/>
          <w:color w:val="000000"/>
          <w:lang w:eastAsia="bg-BG"/>
        </w:rPr>
        <w:t>са съобщени 6 (2%) венозни тромбоемболични събития, 1 пациент (&lt;1%) е получил ДВТ от степен 3 и 5 пациенти (1%) са получили белодробен емболизъм, всички със степен 4.</w:t>
      </w:r>
    </w:p>
    <w:p w14:paraId="54E14870" w14:textId="77777777" w:rsidR="001A0823" w:rsidRPr="00E86AE3" w:rsidRDefault="001A0823" w:rsidP="001A0823">
      <w:pPr>
        <w:spacing w:line="240" w:lineRule="auto"/>
        <w:rPr>
          <w:rFonts w:eastAsia="Times New Roman" w:cs="Arial"/>
          <w:color w:val="000000"/>
          <w:lang w:eastAsia="bg-BG"/>
        </w:rPr>
      </w:pPr>
    </w:p>
    <w:p w14:paraId="28469855" w14:textId="7FDCCE3F" w:rsidR="001A0823" w:rsidRPr="00E86AE3" w:rsidRDefault="001A0823" w:rsidP="001A0823">
      <w:pPr>
        <w:spacing w:line="240" w:lineRule="auto"/>
        <w:rPr>
          <w:rFonts w:eastAsia="Times New Roman" w:cs="Arial"/>
          <w:lang w:eastAsia="bg-BG"/>
        </w:rPr>
      </w:pPr>
      <w:r w:rsidRPr="00E86AE3">
        <w:rPr>
          <w:rFonts w:eastAsia="Times New Roman" w:cs="Arial"/>
          <w:color w:val="000000"/>
          <w:lang w:eastAsia="bg-BG"/>
        </w:rPr>
        <w:t>Събития на венозна тромбоемболия са съобщени при 1 (1,2%) от пациентите в рамото, приемащо сунитиниб, и при 5 (6,1%) от пациентите в рамото на плацебо в проучването фаза 3 ПНЕТ. Двама от пациентите, приемащи плацебо, са получили ДВТ, 1 със степен 2 и 1 със степен 3.</w:t>
      </w:r>
    </w:p>
    <w:p w14:paraId="0A50AAD7" w14:textId="77777777" w:rsidR="001A0823" w:rsidRPr="00E86AE3" w:rsidRDefault="001A0823" w:rsidP="001A0823">
      <w:pPr>
        <w:spacing w:line="240" w:lineRule="auto"/>
        <w:rPr>
          <w:rFonts w:eastAsia="Times New Roman" w:cs="Arial"/>
          <w:color w:val="000000"/>
          <w:lang w:eastAsia="bg-BG"/>
        </w:rPr>
      </w:pPr>
    </w:p>
    <w:p w14:paraId="374EACC7" w14:textId="61A4CCC6" w:rsidR="001A0823" w:rsidRPr="00E86AE3" w:rsidRDefault="001A0823" w:rsidP="001A0823">
      <w:pPr>
        <w:spacing w:line="240" w:lineRule="auto"/>
        <w:rPr>
          <w:rFonts w:eastAsia="Times New Roman" w:cs="Arial"/>
          <w:lang w:eastAsia="bg-BG"/>
        </w:rPr>
      </w:pPr>
      <w:r w:rsidRPr="00E86AE3">
        <w:rPr>
          <w:rFonts w:eastAsia="Times New Roman" w:cs="Arial"/>
          <w:color w:val="000000"/>
          <w:lang w:eastAsia="bg-BG"/>
        </w:rPr>
        <w:t>Няма съобщени случаи с летален изход при регистрационните проучвания при ГИСТ, МБКК и ПНЕТ. Случаи с летален изход са наблюдавани при постмаркетинговото проследяване.</w:t>
      </w:r>
    </w:p>
    <w:p w14:paraId="32646F2E" w14:textId="77777777" w:rsidR="001A0823" w:rsidRPr="00E86AE3" w:rsidRDefault="001A0823" w:rsidP="001A0823">
      <w:pPr>
        <w:spacing w:line="240" w:lineRule="auto"/>
        <w:rPr>
          <w:rFonts w:eastAsia="Times New Roman" w:cs="Arial"/>
          <w:color w:val="000000"/>
          <w:lang w:eastAsia="bg-BG"/>
        </w:rPr>
      </w:pPr>
    </w:p>
    <w:p w14:paraId="60471519" w14:textId="289334FC" w:rsidR="001A0823" w:rsidRPr="00E86AE3" w:rsidRDefault="001A0823" w:rsidP="001A0823">
      <w:pPr>
        <w:spacing w:line="240" w:lineRule="auto"/>
        <w:rPr>
          <w:rFonts w:eastAsia="Times New Roman" w:cs="Arial"/>
          <w:lang w:eastAsia="bg-BG"/>
        </w:rPr>
      </w:pPr>
      <w:r w:rsidRPr="00E86AE3">
        <w:rPr>
          <w:rFonts w:eastAsia="Times New Roman" w:cs="Arial"/>
          <w:color w:val="000000"/>
          <w:lang w:eastAsia="bg-BG"/>
        </w:rPr>
        <w:t>Случаи на белодробен емболизъм са наблюдавани при приблизително 3,1% от пациентите с ГИСТ и при приблизително 1,2% от пациентите с МБКК, които са получавали сунитиниб в проучванията фаза 3. Не са получени съобщения за белодробен емболизъм при пациентите с ПНЕТ, които са получавали сунитиниб в проучването фаза 3. Редки случаи с летален изход са били наблюдавани при постмаркетинговото проследяване.</w:t>
      </w:r>
    </w:p>
    <w:p w14:paraId="20D50E52" w14:textId="77777777" w:rsidR="001A0823" w:rsidRPr="00E86AE3" w:rsidRDefault="001A0823" w:rsidP="001A0823">
      <w:pPr>
        <w:spacing w:line="240" w:lineRule="auto"/>
        <w:rPr>
          <w:rFonts w:eastAsia="Times New Roman" w:cs="Arial"/>
          <w:color w:val="000000"/>
          <w:lang w:eastAsia="bg-BG"/>
        </w:rPr>
      </w:pPr>
    </w:p>
    <w:p w14:paraId="220152E0" w14:textId="53B6A497" w:rsidR="001A0823" w:rsidRPr="00E86AE3" w:rsidRDefault="001A0823" w:rsidP="001A0823">
      <w:pPr>
        <w:spacing w:line="240" w:lineRule="auto"/>
        <w:rPr>
          <w:rFonts w:eastAsia="Times New Roman" w:cs="Arial"/>
          <w:lang w:eastAsia="bg-BG"/>
        </w:rPr>
      </w:pPr>
      <w:r w:rsidRPr="00E86AE3">
        <w:rPr>
          <w:rFonts w:eastAsia="Times New Roman" w:cs="Arial"/>
          <w:color w:val="000000"/>
          <w:lang w:eastAsia="bg-BG"/>
        </w:rPr>
        <w:t>Пациентите, които са имали белодробен емболизъм в рамките на предходните 12 месеца, са били изключени от клиничните проучвания на сунитиниб.</w:t>
      </w:r>
    </w:p>
    <w:p w14:paraId="654AB72C" w14:textId="77777777" w:rsidR="001A0823" w:rsidRPr="00E86AE3" w:rsidRDefault="001A0823" w:rsidP="001A0823">
      <w:pPr>
        <w:spacing w:line="240" w:lineRule="auto"/>
        <w:rPr>
          <w:rFonts w:eastAsia="Times New Roman" w:cs="Arial"/>
          <w:color w:val="000000"/>
          <w:lang w:eastAsia="bg-BG"/>
        </w:rPr>
      </w:pPr>
    </w:p>
    <w:p w14:paraId="27D51958" w14:textId="520A0410" w:rsidR="001A0823" w:rsidRPr="00E86AE3" w:rsidRDefault="001A0823" w:rsidP="001A0823">
      <w:pPr>
        <w:spacing w:line="240" w:lineRule="auto"/>
        <w:rPr>
          <w:rFonts w:eastAsia="Times New Roman" w:cs="Arial"/>
          <w:lang w:eastAsia="bg-BG"/>
        </w:rPr>
      </w:pPr>
      <w:r w:rsidRPr="00E86AE3">
        <w:rPr>
          <w:rFonts w:eastAsia="Times New Roman" w:cs="Arial"/>
          <w:color w:val="000000"/>
          <w:lang w:eastAsia="bg-BG"/>
        </w:rPr>
        <w:t>При пациентите, които са получавали сунитиниб в регистрационните проучвания фаза 3, белодробни събития (т.е. диспнея, плеврален излив, белодробен емболизъм или белодробен оток) са били съобщени при приблизително 17,8% от пациентите с ГИСТ, при приблизително 26,7% от пациентите с МБКК и при 12% от пациентите с ПНЕТ.</w:t>
      </w:r>
    </w:p>
    <w:p w14:paraId="0880B562" w14:textId="77777777" w:rsidR="001A0823" w:rsidRPr="00E86AE3" w:rsidRDefault="001A0823" w:rsidP="001A0823">
      <w:pPr>
        <w:spacing w:line="240" w:lineRule="auto"/>
        <w:rPr>
          <w:rFonts w:eastAsia="Times New Roman" w:cs="Arial"/>
          <w:color w:val="000000"/>
          <w:lang w:eastAsia="bg-BG"/>
        </w:rPr>
      </w:pPr>
    </w:p>
    <w:p w14:paraId="353A00C3" w14:textId="2EA4EF65" w:rsidR="001A0823" w:rsidRPr="00E86AE3" w:rsidRDefault="001A0823" w:rsidP="001A0823">
      <w:pPr>
        <w:spacing w:line="240" w:lineRule="auto"/>
        <w:rPr>
          <w:rFonts w:eastAsia="Times New Roman" w:cs="Arial"/>
          <w:lang w:eastAsia="bg-BG"/>
        </w:rPr>
      </w:pPr>
      <w:r w:rsidRPr="00E86AE3">
        <w:rPr>
          <w:rFonts w:eastAsia="Times New Roman" w:cs="Arial"/>
          <w:color w:val="000000"/>
          <w:lang w:eastAsia="bg-BG"/>
        </w:rPr>
        <w:t>При приблизително 22,2% от пациентите със солидни тумори, включително ГИСТ и МБКК, които са получавали сунитиниб в клинични проучвания, са наблюдавани белодробни събития.</w:t>
      </w:r>
    </w:p>
    <w:p w14:paraId="0FA456DC" w14:textId="77777777" w:rsidR="001A0823" w:rsidRPr="00E86AE3" w:rsidRDefault="001A0823" w:rsidP="001A0823">
      <w:pPr>
        <w:spacing w:line="240" w:lineRule="auto"/>
        <w:rPr>
          <w:rFonts w:eastAsia="Times New Roman" w:cs="Arial"/>
          <w:i/>
          <w:iCs/>
          <w:color w:val="000000"/>
          <w:lang w:eastAsia="bg-BG"/>
        </w:rPr>
      </w:pPr>
    </w:p>
    <w:p w14:paraId="0D3C10BC" w14:textId="7E61F942" w:rsidR="001A0823" w:rsidRPr="00E86AE3" w:rsidRDefault="001A0823" w:rsidP="001A0823">
      <w:pPr>
        <w:spacing w:line="240" w:lineRule="auto"/>
        <w:rPr>
          <w:rFonts w:eastAsia="Times New Roman" w:cs="Arial"/>
          <w:lang w:eastAsia="bg-BG"/>
        </w:rPr>
      </w:pPr>
      <w:r w:rsidRPr="00E86AE3">
        <w:rPr>
          <w:rFonts w:eastAsia="Times New Roman" w:cs="Arial"/>
          <w:i/>
          <w:iCs/>
          <w:color w:val="000000"/>
          <w:lang w:eastAsia="bg-BG"/>
        </w:rPr>
        <w:t>Стомашно-чревни нарушения</w:t>
      </w:r>
    </w:p>
    <w:p w14:paraId="545AB23F" w14:textId="77777777" w:rsidR="001A0823" w:rsidRPr="00E86AE3" w:rsidRDefault="001A0823" w:rsidP="001A0823">
      <w:pPr>
        <w:spacing w:line="240" w:lineRule="auto"/>
        <w:rPr>
          <w:rFonts w:eastAsia="Times New Roman" w:cs="Arial"/>
          <w:lang w:eastAsia="bg-BG"/>
        </w:rPr>
      </w:pPr>
      <w:r w:rsidRPr="00E86AE3">
        <w:rPr>
          <w:rFonts w:eastAsia="Times New Roman" w:cs="Arial"/>
          <w:color w:val="000000"/>
          <w:lang w:eastAsia="bg-BG"/>
        </w:rPr>
        <w:t>Панкреатит е наблюдаван нечесто (&lt;1%) при пациентите, получавали сунитиниб за ГИСТ или МБКК. Не се съобщава за свързан с лечението панкреатит в ПНЕТ проучването фаза 3 (вж. точка 4.4).</w:t>
      </w:r>
    </w:p>
    <w:p w14:paraId="44A88AD0" w14:textId="77777777" w:rsidR="001A0823" w:rsidRPr="00E86AE3" w:rsidRDefault="001A0823" w:rsidP="001A0823">
      <w:pPr>
        <w:spacing w:line="240" w:lineRule="auto"/>
        <w:rPr>
          <w:rFonts w:eastAsia="Times New Roman" w:cs="Arial"/>
          <w:color w:val="000000"/>
          <w:lang w:eastAsia="bg-BG"/>
        </w:rPr>
      </w:pPr>
    </w:p>
    <w:p w14:paraId="3674EC56" w14:textId="4CBB3336" w:rsidR="001A0823" w:rsidRPr="00E86AE3" w:rsidRDefault="001A0823" w:rsidP="001A0823">
      <w:pPr>
        <w:spacing w:line="240" w:lineRule="auto"/>
        <w:rPr>
          <w:rFonts w:eastAsia="Times New Roman" w:cs="Arial"/>
          <w:lang w:eastAsia="bg-BG"/>
        </w:rPr>
      </w:pPr>
      <w:r w:rsidRPr="00E86AE3">
        <w:rPr>
          <w:rFonts w:eastAsia="Times New Roman" w:cs="Arial"/>
          <w:color w:val="000000"/>
          <w:lang w:eastAsia="bg-BG"/>
        </w:rPr>
        <w:t>Летални стомашно-чревни кръвоизливи са съобщени при 0,98% от пациентите, получаващи плацебо в ГИСТ проучване фаза 3.</w:t>
      </w:r>
    </w:p>
    <w:p w14:paraId="50B7D8F3" w14:textId="77777777" w:rsidR="001A0823" w:rsidRPr="00E86AE3" w:rsidRDefault="001A0823" w:rsidP="001A0823">
      <w:pPr>
        <w:spacing w:line="240" w:lineRule="auto"/>
        <w:rPr>
          <w:rFonts w:eastAsia="Times New Roman" w:cs="Arial"/>
          <w:i/>
          <w:iCs/>
          <w:color w:val="000000"/>
          <w:lang w:eastAsia="bg-BG"/>
        </w:rPr>
      </w:pPr>
    </w:p>
    <w:p w14:paraId="3E9B63BA" w14:textId="10E2327E" w:rsidR="001A0823" w:rsidRPr="00E86AE3" w:rsidRDefault="001A0823" w:rsidP="001A0823">
      <w:pPr>
        <w:spacing w:line="240" w:lineRule="auto"/>
        <w:rPr>
          <w:rFonts w:eastAsia="Times New Roman" w:cs="Arial"/>
          <w:lang w:eastAsia="bg-BG"/>
        </w:rPr>
      </w:pPr>
      <w:r w:rsidRPr="00E86AE3">
        <w:rPr>
          <w:rFonts w:eastAsia="Times New Roman" w:cs="Arial"/>
          <w:i/>
          <w:iCs/>
          <w:color w:val="000000"/>
          <w:lang w:eastAsia="bg-BG"/>
        </w:rPr>
        <w:t>Хепатобшшарни нарушения</w:t>
      </w:r>
    </w:p>
    <w:p w14:paraId="6A4DB128" w14:textId="77777777" w:rsidR="001A0823" w:rsidRPr="00E86AE3" w:rsidRDefault="001A0823" w:rsidP="001A0823">
      <w:pPr>
        <w:spacing w:line="240" w:lineRule="auto"/>
        <w:rPr>
          <w:rFonts w:eastAsia="Times New Roman" w:cs="Arial"/>
          <w:lang w:eastAsia="bg-BG"/>
        </w:rPr>
      </w:pPr>
      <w:r w:rsidRPr="00E86AE3">
        <w:rPr>
          <w:rFonts w:eastAsia="Times New Roman" w:cs="Arial"/>
          <w:color w:val="000000"/>
          <w:lang w:eastAsia="bg-BG"/>
        </w:rPr>
        <w:lastRenderedPageBreak/>
        <w:t>Съобщавани са случаи на чернодробна дисфункция, която може да включва отклонения в чернодробните функционални изследвания, хепатит или чернодробна недостатъчност (вж. точка 4.4).</w:t>
      </w:r>
    </w:p>
    <w:p w14:paraId="0F63D6A0" w14:textId="77777777" w:rsidR="001A0823" w:rsidRPr="00E86AE3" w:rsidRDefault="001A0823" w:rsidP="001A0823">
      <w:pPr>
        <w:spacing w:line="240" w:lineRule="auto"/>
        <w:rPr>
          <w:rFonts w:eastAsia="Times New Roman" w:cs="Arial"/>
          <w:i/>
          <w:iCs/>
          <w:color w:val="000000"/>
          <w:lang w:eastAsia="bg-BG"/>
        </w:rPr>
      </w:pPr>
    </w:p>
    <w:p w14:paraId="41923C86" w14:textId="380ABF90" w:rsidR="001A0823" w:rsidRPr="00E86AE3" w:rsidRDefault="001A0823" w:rsidP="001A0823">
      <w:pPr>
        <w:spacing w:line="240" w:lineRule="auto"/>
        <w:rPr>
          <w:rFonts w:eastAsia="Times New Roman" w:cs="Arial"/>
          <w:lang w:eastAsia="bg-BG"/>
        </w:rPr>
      </w:pPr>
      <w:r w:rsidRPr="00E86AE3">
        <w:rPr>
          <w:rFonts w:eastAsia="Times New Roman" w:cs="Arial"/>
          <w:i/>
          <w:iCs/>
          <w:color w:val="000000"/>
          <w:lang w:eastAsia="bg-BG"/>
        </w:rPr>
        <w:t>Нарушения на кожата и подкожната тъкан</w:t>
      </w:r>
    </w:p>
    <w:p w14:paraId="194B8CBC" w14:textId="2228B739" w:rsidR="001A0823" w:rsidRPr="00E86AE3" w:rsidRDefault="001A0823" w:rsidP="001A0823">
      <w:pPr>
        <w:rPr>
          <w:rFonts w:cs="Arial"/>
        </w:rPr>
      </w:pPr>
      <w:r w:rsidRPr="00E86AE3">
        <w:rPr>
          <w:rFonts w:eastAsia="Times New Roman" w:cs="Arial"/>
          <w:color w:val="000000"/>
          <w:lang w:eastAsia="bg-BG"/>
        </w:rPr>
        <w:t>Съобщавани са случаи на пиодерма гангренозум, които като цяло са обратими след</w:t>
      </w:r>
      <w:r w:rsidRPr="00E86AE3">
        <w:rPr>
          <w:rFonts w:eastAsia="Times New Roman" w:cs="Arial"/>
          <w:i/>
          <w:iCs/>
          <w:color w:val="000000"/>
          <w:lang w:eastAsia="bg-BG"/>
        </w:rPr>
        <w:t xml:space="preserve"> </w:t>
      </w:r>
      <w:r w:rsidRPr="00E86AE3">
        <w:rPr>
          <w:rFonts w:eastAsia="Times New Roman" w:cs="Arial"/>
          <w:color w:val="000000"/>
          <w:lang w:eastAsia="bg-BG"/>
        </w:rPr>
        <w:t>прекратяване на приема на сунитиниб (вж. също точка 4.4).</w:t>
      </w:r>
    </w:p>
    <w:p w14:paraId="231A91F6" w14:textId="042D6D67" w:rsidR="001A0823" w:rsidRPr="00E86AE3" w:rsidRDefault="001A0823" w:rsidP="0091385D">
      <w:pPr>
        <w:rPr>
          <w:rFonts w:cs="Arial"/>
        </w:rPr>
      </w:pPr>
    </w:p>
    <w:p w14:paraId="2BF2D04E" w14:textId="77777777" w:rsidR="001A0823" w:rsidRPr="00E86AE3" w:rsidRDefault="001A0823" w:rsidP="001A0823">
      <w:pPr>
        <w:spacing w:line="240" w:lineRule="auto"/>
        <w:rPr>
          <w:rFonts w:eastAsia="Times New Roman" w:cs="Arial"/>
          <w:lang w:eastAsia="bg-BG"/>
        </w:rPr>
      </w:pPr>
      <w:r w:rsidRPr="00E86AE3">
        <w:rPr>
          <w:rFonts w:eastAsia="Times New Roman" w:cs="Arial"/>
          <w:i/>
          <w:iCs/>
          <w:color w:val="000000"/>
          <w:lang w:eastAsia="bg-BG"/>
        </w:rPr>
        <w:t>Нарушения на мускулно-скелетната система и съединителната тъкан</w:t>
      </w:r>
    </w:p>
    <w:p w14:paraId="1D2E0D37" w14:textId="77777777" w:rsidR="001A0823" w:rsidRPr="00E86AE3" w:rsidRDefault="001A0823" w:rsidP="001A0823">
      <w:pPr>
        <w:spacing w:line="240" w:lineRule="auto"/>
        <w:rPr>
          <w:rFonts w:eastAsia="Times New Roman" w:cs="Arial"/>
          <w:lang w:eastAsia="bg-BG"/>
        </w:rPr>
      </w:pPr>
      <w:r w:rsidRPr="00E86AE3">
        <w:rPr>
          <w:rFonts w:eastAsia="Times New Roman" w:cs="Arial"/>
          <w:color w:val="000000"/>
          <w:lang w:eastAsia="bg-BG"/>
        </w:rPr>
        <w:t>Съобщавани са случаи на миопатия и/или рабдомиолиза, някои от които с остра бъбречна недостатъчност. Пациенти с признаци или симптоми на мускулна токсичност трябва да бъдат лекувани според стандартната медицинска практика (вж. точка 4.4).</w:t>
      </w:r>
    </w:p>
    <w:p w14:paraId="4FAED286" w14:textId="77777777" w:rsidR="001A0823" w:rsidRPr="00E86AE3" w:rsidRDefault="001A0823" w:rsidP="001A0823">
      <w:pPr>
        <w:spacing w:line="240" w:lineRule="auto"/>
        <w:rPr>
          <w:rFonts w:eastAsia="Times New Roman" w:cs="Arial"/>
          <w:color w:val="000000"/>
          <w:lang w:eastAsia="bg-BG"/>
        </w:rPr>
      </w:pPr>
    </w:p>
    <w:p w14:paraId="0ABDB865" w14:textId="62396A45" w:rsidR="001A0823" w:rsidRPr="00E86AE3" w:rsidRDefault="001A0823" w:rsidP="001A0823">
      <w:pPr>
        <w:spacing w:line="240" w:lineRule="auto"/>
        <w:rPr>
          <w:rFonts w:eastAsia="Times New Roman" w:cs="Arial"/>
          <w:lang w:eastAsia="bg-BG"/>
        </w:rPr>
      </w:pPr>
      <w:r w:rsidRPr="00E86AE3">
        <w:rPr>
          <w:rFonts w:eastAsia="Times New Roman" w:cs="Arial"/>
          <w:color w:val="000000"/>
          <w:lang w:eastAsia="bg-BG"/>
        </w:rPr>
        <w:t>Съобщавани са случаи с образуване на фистули, понякога свързани с туморна некроза и регресия, в някои случаи с фатален изход (вж. точка 4.4).</w:t>
      </w:r>
    </w:p>
    <w:p w14:paraId="2B3EDAE4" w14:textId="77777777" w:rsidR="001A0823" w:rsidRPr="00E86AE3" w:rsidRDefault="001A0823" w:rsidP="001A0823">
      <w:pPr>
        <w:spacing w:line="240" w:lineRule="auto"/>
        <w:rPr>
          <w:rFonts w:eastAsia="Times New Roman" w:cs="Arial"/>
          <w:color w:val="000000"/>
          <w:lang w:eastAsia="bg-BG"/>
        </w:rPr>
      </w:pPr>
    </w:p>
    <w:p w14:paraId="2B57C41F" w14:textId="00CF4962" w:rsidR="001A0823" w:rsidRPr="00E86AE3" w:rsidRDefault="001A0823" w:rsidP="001A0823">
      <w:pPr>
        <w:spacing w:line="240" w:lineRule="auto"/>
        <w:rPr>
          <w:rFonts w:eastAsia="Times New Roman" w:cs="Arial"/>
          <w:lang w:eastAsia="bg-BG"/>
        </w:rPr>
      </w:pPr>
      <w:r w:rsidRPr="00E86AE3">
        <w:rPr>
          <w:rFonts w:eastAsia="Times New Roman" w:cs="Arial"/>
          <w:color w:val="000000"/>
          <w:lang w:eastAsia="bg-BG"/>
        </w:rPr>
        <w:t>При пациенти, лекувани със сунитиниб се съобщава за случаи на остеонекроза на челюстта, по- голямата част от които са наблюдавани при пациенти с идентифицирани рискови фактори за остеонекроза на челюстта, в частност експозиция на бифосфонати за интравенозно приложение и/или анамнеза за дентално заболяване, изискващо инвазивни стоматологични процедури (вж. също точка 4.4).</w:t>
      </w:r>
    </w:p>
    <w:p w14:paraId="7612C752" w14:textId="77777777" w:rsidR="001A0823" w:rsidRPr="00E86AE3" w:rsidRDefault="001A0823" w:rsidP="001A0823">
      <w:pPr>
        <w:spacing w:line="240" w:lineRule="auto"/>
        <w:rPr>
          <w:rFonts w:eastAsia="Times New Roman" w:cs="Arial"/>
          <w:i/>
          <w:iCs/>
          <w:color w:val="000000"/>
          <w:lang w:eastAsia="bg-BG"/>
        </w:rPr>
      </w:pPr>
    </w:p>
    <w:p w14:paraId="610BB366" w14:textId="25602FB4" w:rsidR="001A0823" w:rsidRPr="00E86AE3" w:rsidRDefault="001A0823" w:rsidP="001A0823">
      <w:pPr>
        <w:spacing w:line="240" w:lineRule="auto"/>
        <w:rPr>
          <w:rFonts w:eastAsia="Times New Roman" w:cs="Arial"/>
          <w:lang w:eastAsia="bg-BG"/>
        </w:rPr>
      </w:pPr>
      <w:r w:rsidRPr="00E86AE3">
        <w:rPr>
          <w:rFonts w:eastAsia="Times New Roman" w:cs="Arial"/>
          <w:i/>
          <w:iCs/>
          <w:color w:val="000000"/>
          <w:lang w:eastAsia="bg-BG"/>
        </w:rPr>
        <w:t>Изследвания</w:t>
      </w:r>
    </w:p>
    <w:p w14:paraId="18EE3D9A" w14:textId="77777777" w:rsidR="001A0823" w:rsidRPr="00E86AE3" w:rsidRDefault="001A0823" w:rsidP="001A0823">
      <w:pPr>
        <w:spacing w:line="240" w:lineRule="auto"/>
        <w:rPr>
          <w:rFonts w:eastAsia="Times New Roman" w:cs="Arial"/>
          <w:lang w:eastAsia="bg-BG"/>
        </w:rPr>
      </w:pPr>
      <w:r w:rsidRPr="00E86AE3">
        <w:rPr>
          <w:rFonts w:eastAsia="Times New Roman" w:cs="Arial"/>
          <w:color w:val="000000"/>
          <w:lang w:eastAsia="bg-BG"/>
        </w:rPr>
        <w:t>Данни от неклинични(</w:t>
      </w:r>
      <w:r w:rsidRPr="00E86AE3">
        <w:rPr>
          <w:rFonts w:eastAsia="Times New Roman" w:cs="Arial"/>
          <w:i/>
          <w:iCs/>
          <w:color w:val="000000"/>
          <w:lang w:val="en-US"/>
        </w:rPr>
        <w:t>in vitro</w:t>
      </w:r>
      <w:r w:rsidRPr="00E86AE3">
        <w:rPr>
          <w:rFonts w:eastAsia="Times New Roman" w:cs="Arial"/>
          <w:color w:val="000000"/>
          <w:lang w:val="en-US"/>
        </w:rPr>
        <w:t xml:space="preserve"> </w:t>
      </w:r>
      <w:r w:rsidRPr="00E86AE3">
        <w:rPr>
          <w:rFonts w:eastAsia="Times New Roman" w:cs="Arial"/>
          <w:color w:val="000000"/>
          <w:lang w:eastAsia="bg-BG"/>
        </w:rPr>
        <w:t xml:space="preserve">и </w:t>
      </w:r>
      <w:r w:rsidRPr="00E86AE3">
        <w:rPr>
          <w:rFonts w:eastAsia="Times New Roman" w:cs="Arial"/>
          <w:i/>
          <w:iCs/>
          <w:color w:val="000000"/>
          <w:lang w:val="en-US"/>
        </w:rPr>
        <w:t>in vivo)</w:t>
      </w:r>
      <w:r w:rsidRPr="00E86AE3">
        <w:rPr>
          <w:rFonts w:eastAsia="Times New Roman" w:cs="Arial"/>
          <w:color w:val="000000"/>
          <w:lang w:val="en-US"/>
        </w:rPr>
        <w:t xml:space="preserve"> </w:t>
      </w:r>
      <w:r w:rsidRPr="00E86AE3">
        <w:rPr>
          <w:rFonts w:eastAsia="Times New Roman" w:cs="Arial"/>
          <w:color w:val="000000"/>
          <w:lang w:eastAsia="bg-BG"/>
        </w:rPr>
        <w:t xml:space="preserve">проучвания, в дози по-високи от препоръчителната доза при хора, показват, че сунитиниб притежава свойството да инхибира процеса на реполаризация на сърдечния акционен потенциал (напр. удължаване на </w:t>
      </w:r>
      <w:r w:rsidRPr="00E86AE3">
        <w:rPr>
          <w:rFonts w:eastAsia="Times New Roman" w:cs="Arial"/>
          <w:color w:val="000000"/>
          <w:lang w:val="en-US"/>
        </w:rPr>
        <w:t xml:space="preserve">QT </w:t>
      </w:r>
      <w:r w:rsidRPr="00E86AE3">
        <w:rPr>
          <w:rFonts w:eastAsia="Times New Roman" w:cs="Arial"/>
          <w:color w:val="000000"/>
          <w:lang w:eastAsia="bg-BG"/>
        </w:rPr>
        <w:t>интервала).</w:t>
      </w:r>
    </w:p>
    <w:p w14:paraId="3B344056" w14:textId="77777777" w:rsidR="001A0823" w:rsidRPr="00E86AE3" w:rsidRDefault="001A0823" w:rsidP="001A0823">
      <w:pPr>
        <w:spacing w:line="240" w:lineRule="auto"/>
        <w:rPr>
          <w:rFonts w:eastAsia="Times New Roman" w:cs="Arial"/>
          <w:color w:val="000000"/>
          <w:lang w:eastAsia="bg-BG"/>
        </w:rPr>
      </w:pPr>
    </w:p>
    <w:p w14:paraId="06BE05DB" w14:textId="49757C74" w:rsidR="001A0823" w:rsidRPr="00E86AE3" w:rsidRDefault="001A0823" w:rsidP="001A0823">
      <w:pPr>
        <w:spacing w:line="240" w:lineRule="auto"/>
        <w:rPr>
          <w:rFonts w:eastAsia="Times New Roman" w:cs="Arial"/>
          <w:lang w:eastAsia="bg-BG"/>
        </w:rPr>
      </w:pPr>
      <w:r w:rsidRPr="00E86AE3">
        <w:rPr>
          <w:rFonts w:eastAsia="Times New Roman" w:cs="Arial"/>
          <w:color w:val="000000"/>
          <w:lang w:eastAsia="bg-BG"/>
        </w:rPr>
        <w:t xml:space="preserve">Удължаване на </w:t>
      </w:r>
      <w:proofErr w:type="spellStart"/>
      <w:r w:rsidRPr="00E86AE3">
        <w:rPr>
          <w:rFonts w:eastAsia="Times New Roman" w:cs="Arial"/>
          <w:color w:val="000000"/>
          <w:lang w:val="en-US"/>
        </w:rPr>
        <w:t>QTc</w:t>
      </w:r>
      <w:proofErr w:type="spellEnd"/>
      <w:r w:rsidRPr="00E86AE3">
        <w:rPr>
          <w:rFonts w:eastAsia="Times New Roman" w:cs="Arial"/>
          <w:color w:val="000000"/>
          <w:lang w:val="en-US"/>
        </w:rPr>
        <w:t xml:space="preserve"> </w:t>
      </w:r>
      <w:r w:rsidRPr="00E86AE3">
        <w:rPr>
          <w:rFonts w:eastAsia="Times New Roman" w:cs="Arial"/>
          <w:color w:val="000000"/>
          <w:lang w:eastAsia="bg-BG"/>
        </w:rPr>
        <w:t xml:space="preserve">интервала над 500 </w:t>
      </w:r>
      <w:proofErr w:type="spellStart"/>
      <w:r w:rsidRPr="00E86AE3">
        <w:rPr>
          <w:rFonts w:eastAsia="Times New Roman" w:cs="Arial"/>
          <w:color w:val="000000"/>
          <w:lang w:val="en-US"/>
        </w:rPr>
        <w:t>msec</w:t>
      </w:r>
      <w:proofErr w:type="spellEnd"/>
      <w:r w:rsidRPr="00E86AE3">
        <w:rPr>
          <w:rFonts w:eastAsia="Times New Roman" w:cs="Arial"/>
          <w:color w:val="000000"/>
          <w:lang w:val="en-US"/>
        </w:rPr>
        <w:t xml:space="preserve"> </w:t>
      </w:r>
      <w:r w:rsidRPr="00E86AE3">
        <w:rPr>
          <w:rFonts w:eastAsia="Times New Roman" w:cs="Arial"/>
          <w:color w:val="000000"/>
          <w:lang w:eastAsia="bg-BG"/>
        </w:rPr>
        <w:t xml:space="preserve">е настъпило при 0,5%, а промени с повече от 60 </w:t>
      </w:r>
      <w:proofErr w:type="spellStart"/>
      <w:r w:rsidRPr="00E86AE3">
        <w:rPr>
          <w:rFonts w:eastAsia="Times New Roman" w:cs="Arial"/>
          <w:color w:val="000000"/>
          <w:lang w:val="en-US"/>
        </w:rPr>
        <w:t>msec</w:t>
      </w:r>
      <w:proofErr w:type="spellEnd"/>
      <w:r w:rsidRPr="00E86AE3">
        <w:rPr>
          <w:rFonts w:eastAsia="Times New Roman" w:cs="Arial"/>
          <w:color w:val="000000"/>
          <w:lang w:val="en-US"/>
        </w:rPr>
        <w:t xml:space="preserve"> </w:t>
      </w:r>
      <w:r w:rsidRPr="00E86AE3">
        <w:rPr>
          <w:rFonts w:eastAsia="Times New Roman" w:cs="Arial"/>
          <w:color w:val="000000"/>
          <w:lang w:eastAsia="bg-BG"/>
        </w:rPr>
        <w:t xml:space="preserve">спрямо изходните стойности са настъпили при 1,1% от 450-те пациенти със солиден тумор; двата посочени показателя се приемат за потенциално значими промени. При концентрации, приблизително двойно по-високи от терапевтичната, сунитиниб е показал, че удължава </w:t>
      </w:r>
      <w:proofErr w:type="spellStart"/>
      <w:r w:rsidRPr="00E86AE3">
        <w:rPr>
          <w:rFonts w:eastAsia="Times New Roman" w:cs="Arial"/>
          <w:color w:val="000000"/>
          <w:lang w:val="en-US"/>
        </w:rPr>
        <w:t>QTcF</w:t>
      </w:r>
      <w:proofErr w:type="spellEnd"/>
      <w:r w:rsidRPr="00E86AE3">
        <w:rPr>
          <w:rFonts w:eastAsia="Times New Roman" w:cs="Arial"/>
          <w:color w:val="000000"/>
          <w:lang w:val="en-US"/>
        </w:rPr>
        <w:t xml:space="preserve"> </w:t>
      </w:r>
      <w:r w:rsidRPr="00E86AE3">
        <w:rPr>
          <w:rFonts w:eastAsia="Times New Roman" w:cs="Arial"/>
          <w:color w:val="000000"/>
          <w:lang w:eastAsia="bg-BG"/>
        </w:rPr>
        <w:t xml:space="preserve">интервала (корекция на </w:t>
      </w:r>
      <w:r w:rsidRPr="00E86AE3">
        <w:rPr>
          <w:rFonts w:eastAsia="Times New Roman" w:cs="Arial"/>
          <w:color w:val="000000"/>
          <w:lang w:val="en-US"/>
        </w:rPr>
        <w:t xml:space="preserve">QT </w:t>
      </w:r>
      <w:r w:rsidRPr="00E86AE3">
        <w:rPr>
          <w:rFonts w:eastAsia="Times New Roman" w:cs="Arial"/>
          <w:color w:val="000000"/>
          <w:lang w:eastAsia="bg-BG"/>
        </w:rPr>
        <w:t xml:space="preserve">интервала по </w:t>
      </w:r>
      <w:proofErr w:type="spellStart"/>
      <w:r w:rsidRPr="00E86AE3">
        <w:rPr>
          <w:rFonts w:eastAsia="Times New Roman" w:cs="Arial"/>
          <w:color w:val="000000"/>
          <w:lang w:val="en-US"/>
        </w:rPr>
        <w:t>Fridericia</w:t>
      </w:r>
      <w:proofErr w:type="spellEnd"/>
      <w:r w:rsidRPr="00E86AE3">
        <w:rPr>
          <w:rFonts w:eastAsia="Times New Roman" w:cs="Arial"/>
          <w:color w:val="000000"/>
          <w:lang w:val="en-US"/>
        </w:rPr>
        <w:t>).</w:t>
      </w:r>
    </w:p>
    <w:p w14:paraId="163C2F1A" w14:textId="77777777" w:rsidR="001A0823" w:rsidRPr="00E86AE3" w:rsidRDefault="001A0823" w:rsidP="001A0823">
      <w:pPr>
        <w:spacing w:line="240" w:lineRule="auto"/>
        <w:rPr>
          <w:rFonts w:eastAsia="Times New Roman" w:cs="Arial"/>
          <w:color w:val="000000"/>
          <w:lang w:eastAsia="bg-BG"/>
        </w:rPr>
      </w:pPr>
    </w:p>
    <w:p w14:paraId="42F34BEB" w14:textId="5E95070C" w:rsidR="001A0823" w:rsidRPr="00E86AE3" w:rsidRDefault="001A0823" w:rsidP="001A0823">
      <w:pPr>
        <w:spacing w:line="240" w:lineRule="auto"/>
        <w:rPr>
          <w:rFonts w:eastAsia="Times New Roman" w:cs="Arial"/>
          <w:lang w:eastAsia="bg-BG"/>
        </w:rPr>
      </w:pPr>
      <w:r w:rsidRPr="00E86AE3">
        <w:rPr>
          <w:rFonts w:eastAsia="Times New Roman" w:cs="Arial"/>
          <w:color w:val="000000"/>
          <w:lang w:eastAsia="bg-BG"/>
        </w:rPr>
        <w:t xml:space="preserve">Удължаването на </w:t>
      </w:r>
      <w:proofErr w:type="spellStart"/>
      <w:r w:rsidRPr="00E86AE3">
        <w:rPr>
          <w:rFonts w:eastAsia="Times New Roman" w:cs="Arial"/>
          <w:color w:val="000000"/>
          <w:lang w:val="en-US"/>
        </w:rPr>
        <w:t>QTc</w:t>
      </w:r>
      <w:proofErr w:type="spellEnd"/>
      <w:r w:rsidRPr="00E86AE3">
        <w:rPr>
          <w:rFonts w:eastAsia="Times New Roman" w:cs="Arial"/>
          <w:color w:val="000000"/>
          <w:lang w:val="en-US"/>
        </w:rPr>
        <w:t xml:space="preserve"> </w:t>
      </w:r>
      <w:r w:rsidRPr="00E86AE3">
        <w:rPr>
          <w:rFonts w:eastAsia="Times New Roman" w:cs="Arial"/>
          <w:color w:val="000000"/>
          <w:lang w:eastAsia="bg-BG"/>
        </w:rPr>
        <w:t xml:space="preserve">интервала е изследвано в едно проучване с 24 пациенти, на възраст 20-87 години с напреднали злокачествени заболявания. Резултатите от това проучване са показали, че сунитиниб има ефект върху </w:t>
      </w:r>
      <w:proofErr w:type="spellStart"/>
      <w:r w:rsidRPr="00E86AE3">
        <w:rPr>
          <w:rFonts w:eastAsia="Times New Roman" w:cs="Arial"/>
          <w:color w:val="000000"/>
          <w:lang w:val="en-US"/>
        </w:rPr>
        <w:t>QTc</w:t>
      </w:r>
      <w:proofErr w:type="spellEnd"/>
      <w:r w:rsidRPr="00E86AE3">
        <w:rPr>
          <w:rFonts w:eastAsia="Times New Roman" w:cs="Arial"/>
          <w:color w:val="000000"/>
          <w:lang w:val="en-US"/>
        </w:rPr>
        <w:t xml:space="preserve"> </w:t>
      </w:r>
      <w:r w:rsidRPr="00E86AE3">
        <w:rPr>
          <w:rFonts w:eastAsia="Times New Roman" w:cs="Arial"/>
          <w:color w:val="000000"/>
          <w:lang w:eastAsia="bg-BG"/>
        </w:rPr>
        <w:t xml:space="preserve">интервала (дефинирано като средна плацебо-коригирана промяна от &gt; 10 </w:t>
      </w:r>
      <w:proofErr w:type="spellStart"/>
      <w:r w:rsidRPr="00E86AE3">
        <w:rPr>
          <w:rFonts w:eastAsia="Times New Roman" w:cs="Arial"/>
          <w:color w:val="000000"/>
          <w:lang w:val="en-US"/>
        </w:rPr>
        <w:t>msec</w:t>
      </w:r>
      <w:proofErr w:type="spellEnd"/>
      <w:r w:rsidRPr="00E86AE3">
        <w:rPr>
          <w:rFonts w:eastAsia="Times New Roman" w:cs="Arial"/>
          <w:color w:val="000000"/>
          <w:lang w:val="en-US"/>
        </w:rPr>
        <w:t xml:space="preserve"> </w:t>
      </w:r>
      <w:r w:rsidRPr="00E86AE3">
        <w:rPr>
          <w:rFonts w:eastAsia="Times New Roman" w:cs="Arial"/>
          <w:color w:val="000000"/>
          <w:lang w:eastAsia="bg-BG"/>
        </w:rPr>
        <w:t xml:space="preserve">с горна граница при 90% доверителен интервал </w:t>
      </w:r>
      <w:r w:rsidRPr="00E86AE3">
        <w:rPr>
          <w:rFonts w:eastAsia="Times New Roman" w:cs="Arial"/>
          <w:color w:val="000000"/>
          <w:lang w:val="en-US"/>
        </w:rPr>
        <w:t xml:space="preserve">[CI] </w:t>
      </w:r>
      <w:r w:rsidRPr="00E86AE3">
        <w:rPr>
          <w:rFonts w:eastAsia="Times New Roman" w:cs="Arial"/>
          <w:color w:val="000000"/>
          <w:lang w:eastAsia="bg-BG"/>
        </w:rPr>
        <w:t xml:space="preserve">&gt; 15 </w:t>
      </w:r>
      <w:proofErr w:type="spellStart"/>
      <w:r w:rsidRPr="00E86AE3">
        <w:rPr>
          <w:rFonts w:eastAsia="Times New Roman" w:cs="Arial"/>
          <w:color w:val="000000"/>
          <w:lang w:val="en-US"/>
        </w:rPr>
        <w:t>msec</w:t>
      </w:r>
      <w:proofErr w:type="spellEnd"/>
      <w:r w:rsidRPr="00E86AE3">
        <w:rPr>
          <w:rFonts w:eastAsia="Times New Roman" w:cs="Arial"/>
          <w:color w:val="000000"/>
          <w:lang w:val="en-US"/>
        </w:rPr>
        <w:t xml:space="preserve">) </w:t>
      </w:r>
      <w:r w:rsidRPr="00E86AE3">
        <w:rPr>
          <w:rFonts w:eastAsia="Times New Roman" w:cs="Arial"/>
          <w:color w:val="000000"/>
          <w:lang w:eastAsia="bg-BG"/>
        </w:rPr>
        <w:t xml:space="preserve">при терапевтична концентрация (Ден 3), с използване на метода на базална корекция в рамките на деня и при по-висока от терапевтичната концентрация (Ден 9), с използване на двата метода на базална корекция. Нито един пациент не е показал стойност на </w:t>
      </w:r>
      <w:proofErr w:type="spellStart"/>
      <w:r w:rsidRPr="00E86AE3">
        <w:rPr>
          <w:rFonts w:eastAsia="Times New Roman" w:cs="Arial"/>
          <w:color w:val="000000"/>
          <w:lang w:val="en-US"/>
        </w:rPr>
        <w:t>QTc</w:t>
      </w:r>
      <w:proofErr w:type="spellEnd"/>
      <w:r w:rsidRPr="00E86AE3">
        <w:rPr>
          <w:rFonts w:eastAsia="Times New Roman" w:cs="Arial"/>
          <w:color w:val="000000"/>
          <w:lang w:val="en-US"/>
        </w:rPr>
        <w:t xml:space="preserve"> </w:t>
      </w:r>
      <w:r w:rsidRPr="00E86AE3">
        <w:rPr>
          <w:rFonts w:eastAsia="Times New Roman" w:cs="Arial"/>
          <w:color w:val="000000"/>
          <w:lang w:eastAsia="bg-BG"/>
        </w:rPr>
        <w:t xml:space="preserve">интервала &gt; 500 </w:t>
      </w:r>
      <w:r w:rsidRPr="00E86AE3">
        <w:rPr>
          <w:rFonts w:eastAsia="Times New Roman" w:cs="Arial"/>
          <w:color w:val="000000"/>
          <w:lang w:val="en-US"/>
        </w:rPr>
        <w:t xml:space="preserve">msec. </w:t>
      </w:r>
      <w:r w:rsidRPr="00E86AE3">
        <w:rPr>
          <w:rFonts w:eastAsia="Times New Roman" w:cs="Arial"/>
          <w:color w:val="000000"/>
          <w:lang w:eastAsia="bg-BG"/>
        </w:rPr>
        <w:t xml:space="preserve">Въпреки че ефект върху </w:t>
      </w:r>
      <w:proofErr w:type="spellStart"/>
      <w:r w:rsidRPr="00E86AE3">
        <w:rPr>
          <w:rFonts w:eastAsia="Times New Roman" w:cs="Arial"/>
          <w:color w:val="000000"/>
          <w:lang w:val="en-US"/>
        </w:rPr>
        <w:t>QTcF</w:t>
      </w:r>
      <w:proofErr w:type="spellEnd"/>
      <w:r w:rsidRPr="00E86AE3">
        <w:rPr>
          <w:rFonts w:eastAsia="Times New Roman" w:cs="Arial"/>
          <w:color w:val="000000"/>
          <w:lang w:val="en-US"/>
        </w:rPr>
        <w:t xml:space="preserve"> </w:t>
      </w:r>
      <w:r w:rsidRPr="00E86AE3">
        <w:rPr>
          <w:rFonts w:eastAsia="Times New Roman" w:cs="Arial"/>
          <w:color w:val="000000"/>
          <w:lang w:eastAsia="bg-BG"/>
        </w:rPr>
        <w:t xml:space="preserve">интервала е наблюдаван на 3-тия ден, 24 часа след прилагането (т.е. при терапевтична плазмена концентрация, очаквана след препоръчителната начална доза от 50 </w:t>
      </w:r>
      <w:r w:rsidRPr="00E86AE3">
        <w:rPr>
          <w:rFonts w:eastAsia="Times New Roman" w:cs="Arial"/>
          <w:color w:val="000000"/>
          <w:lang w:val="en-US"/>
        </w:rPr>
        <w:t xml:space="preserve">mg) </w:t>
      </w:r>
      <w:r w:rsidRPr="00E86AE3">
        <w:rPr>
          <w:rFonts w:eastAsia="Times New Roman" w:cs="Arial"/>
          <w:color w:val="000000"/>
          <w:lang w:eastAsia="bg-BG"/>
        </w:rPr>
        <w:t>при метода на базална корекция в рамките на деня, клиничната значимост на тази находка е неясна.</w:t>
      </w:r>
    </w:p>
    <w:p w14:paraId="5FC33FFA" w14:textId="77777777" w:rsidR="001A0823" w:rsidRPr="00E86AE3" w:rsidRDefault="001A0823" w:rsidP="001A0823">
      <w:pPr>
        <w:spacing w:line="240" w:lineRule="auto"/>
        <w:rPr>
          <w:rFonts w:eastAsia="Times New Roman" w:cs="Arial"/>
          <w:color w:val="000000"/>
          <w:lang w:eastAsia="bg-BG"/>
        </w:rPr>
      </w:pPr>
    </w:p>
    <w:p w14:paraId="0AB45A67" w14:textId="1DE7C6D3" w:rsidR="001A0823" w:rsidRPr="00E86AE3" w:rsidRDefault="001A0823" w:rsidP="001A0823">
      <w:pPr>
        <w:spacing w:line="240" w:lineRule="auto"/>
        <w:rPr>
          <w:rFonts w:eastAsia="Times New Roman" w:cs="Arial"/>
          <w:lang w:eastAsia="bg-BG"/>
        </w:rPr>
      </w:pPr>
      <w:r w:rsidRPr="00E86AE3">
        <w:rPr>
          <w:rFonts w:eastAsia="Times New Roman" w:cs="Arial"/>
          <w:color w:val="000000"/>
          <w:lang w:eastAsia="bg-BG"/>
        </w:rPr>
        <w:t xml:space="preserve">При цялостна оценка на серийни ЕКГ записи, съответстващи по времена терапевтичната или по-висока от терапевтичната експозиция, при нито един от пациентите от </w:t>
      </w:r>
      <w:r w:rsidRPr="00E86AE3">
        <w:rPr>
          <w:rFonts w:eastAsia="Times New Roman" w:cs="Arial"/>
          <w:color w:val="000000"/>
          <w:lang w:val="en-US"/>
        </w:rPr>
        <w:t xml:space="preserve">intent-to-treat (ITT) </w:t>
      </w:r>
      <w:r w:rsidRPr="00E86AE3">
        <w:rPr>
          <w:rFonts w:eastAsia="Times New Roman" w:cs="Arial"/>
          <w:color w:val="000000"/>
          <w:lang w:eastAsia="bg-BG"/>
        </w:rPr>
        <w:t xml:space="preserve">популациите не е наблюдавано удължаване на </w:t>
      </w:r>
      <w:proofErr w:type="spellStart"/>
      <w:r w:rsidRPr="00E86AE3">
        <w:rPr>
          <w:rFonts w:eastAsia="Times New Roman" w:cs="Arial"/>
          <w:color w:val="000000"/>
          <w:lang w:val="en-US"/>
        </w:rPr>
        <w:t>QTc</w:t>
      </w:r>
      <w:proofErr w:type="spellEnd"/>
      <w:r w:rsidRPr="00E86AE3">
        <w:rPr>
          <w:rFonts w:eastAsia="Times New Roman" w:cs="Arial"/>
          <w:color w:val="000000"/>
          <w:lang w:val="en-US"/>
        </w:rPr>
        <w:t xml:space="preserve"> </w:t>
      </w:r>
      <w:r w:rsidRPr="00E86AE3">
        <w:rPr>
          <w:rFonts w:eastAsia="Times New Roman" w:cs="Arial"/>
          <w:color w:val="000000"/>
          <w:lang w:eastAsia="bg-BG"/>
        </w:rPr>
        <w:t xml:space="preserve">интервала, което се счита за “тежко” (т.е. равно на или по-голямо от степен 3 по общите терминологични критерии за нежелани събития </w:t>
      </w:r>
      <w:r w:rsidRPr="00E86AE3">
        <w:rPr>
          <w:rFonts w:eastAsia="Times New Roman" w:cs="Arial"/>
          <w:color w:val="000000"/>
          <w:lang w:val="en-US"/>
        </w:rPr>
        <w:t xml:space="preserve">(Common Terminology Criteria for Adverse Events, CTCAE), </w:t>
      </w:r>
      <w:r w:rsidRPr="00E86AE3">
        <w:rPr>
          <w:rFonts w:eastAsia="Times New Roman" w:cs="Arial"/>
          <w:color w:val="000000"/>
          <w:lang w:eastAsia="bg-BG"/>
        </w:rPr>
        <w:t xml:space="preserve">версия </w:t>
      </w:r>
      <w:r w:rsidRPr="00E86AE3">
        <w:rPr>
          <w:rFonts w:eastAsia="Times New Roman" w:cs="Arial"/>
          <w:color w:val="000000"/>
          <w:lang w:val="en-US"/>
        </w:rPr>
        <w:t>3.0).</w:t>
      </w:r>
    </w:p>
    <w:p w14:paraId="43FCE7B3" w14:textId="77777777" w:rsidR="001A0823" w:rsidRPr="00E86AE3" w:rsidRDefault="001A0823" w:rsidP="001A0823">
      <w:pPr>
        <w:spacing w:line="240" w:lineRule="auto"/>
        <w:rPr>
          <w:rFonts w:eastAsia="Times New Roman" w:cs="Arial"/>
          <w:lang w:eastAsia="bg-BG"/>
        </w:rPr>
      </w:pPr>
      <w:r w:rsidRPr="00E86AE3">
        <w:rPr>
          <w:rFonts w:eastAsia="Times New Roman" w:cs="Arial"/>
          <w:color w:val="000000"/>
          <w:lang w:eastAsia="bg-BG"/>
        </w:rPr>
        <w:lastRenderedPageBreak/>
        <w:t xml:space="preserve">При терапевтични плазмени концентрации, максималната средна промяна на </w:t>
      </w:r>
      <w:proofErr w:type="spellStart"/>
      <w:r w:rsidRPr="00E86AE3">
        <w:rPr>
          <w:rFonts w:eastAsia="Times New Roman" w:cs="Arial"/>
          <w:color w:val="000000"/>
          <w:lang w:val="en-US"/>
        </w:rPr>
        <w:t>QTcF</w:t>
      </w:r>
      <w:proofErr w:type="spellEnd"/>
      <w:r w:rsidRPr="00E86AE3">
        <w:rPr>
          <w:rFonts w:eastAsia="Times New Roman" w:cs="Arial"/>
          <w:color w:val="000000"/>
          <w:lang w:val="en-US"/>
        </w:rPr>
        <w:t xml:space="preserve"> </w:t>
      </w:r>
      <w:r w:rsidRPr="00E86AE3">
        <w:rPr>
          <w:rFonts w:eastAsia="Times New Roman" w:cs="Arial"/>
          <w:color w:val="000000"/>
          <w:lang w:eastAsia="bg-BG"/>
        </w:rPr>
        <w:t xml:space="preserve">интервала (корекция по </w:t>
      </w:r>
      <w:proofErr w:type="spellStart"/>
      <w:r w:rsidRPr="00E86AE3">
        <w:rPr>
          <w:rFonts w:eastAsia="Times New Roman" w:cs="Arial"/>
          <w:color w:val="000000"/>
          <w:lang w:val="en-US"/>
        </w:rPr>
        <w:t>Fridericia</w:t>
      </w:r>
      <w:proofErr w:type="spellEnd"/>
      <w:r w:rsidRPr="00E86AE3">
        <w:rPr>
          <w:rFonts w:eastAsia="Times New Roman" w:cs="Arial"/>
          <w:color w:val="000000"/>
          <w:lang w:val="en-US"/>
        </w:rPr>
        <w:t xml:space="preserve">) </w:t>
      </w:r>
      <w:r w:rsidRPr="00E86AE3">
        <w:rPr>
          <w:rFonts w:eastAsia="Times New Roman" w:cs="Arial"/>
          <w:color w:val="000000"/>
          <w:lang w:eastAsia="bg-BG"/>
        </w:rPr>
        <w:t xml:space="preserve">спрямо изходната стойност е била 9 </w:t>
      </w:r>
      <w:proofErr w:type="spellStart"/>
      <w:r w:rsidRPr="00E86AE3">
        <w:rPr>
          <w:rFonts w:eastAsia="Times New Roman" w:cs="Arial"/>
          <w:color w:val="000000"/>
          <w:lang w:val="en-US"/>
        </w:rPr>
        <w:t>msec</w:t>
      </w:r>
      <w:proofErr w:type="spellEnd"/>
      <w:r w:rsidRPr="00E86AE3">
        <w:rPr>
          <w:rFonts w:eastAsia="Times New Roman" w:cs="Arial"/>
          <w:color w:val="000000"/>
          <w:lang w:val="en-US"/>
        </w:rPr>
        <w:t xml:space="preserve"> </w:t>
      </w:r>
      <w:r w:rsidRPr="00E86AE3">
        <w:rPr>
          <w:rFonts w:eastAsia="Times New Roman" w:cs="Arial"/>
          <w:color w:val="000000"/>
          <w:lang w:eastAsia="bg-BG"/>
        </w:rPr>
        <w:t xml:space="preserve">(90% </w:t>
      </w:r>
      <w:r w:rsidRPr="00E86AE3">
        <w:rPr>
          <w:rFonts w:eastAsia="Times New Roman" w:cs="Arial"/>
          <w:color w:val="000000"/>
          <w:lang w:val="en-US"/>
        </w:rPr>
        <w:t xml:space="preserve">CI: </w:t>
      </w:r>
      <w:r w:rsidRPr="00E86AE3">
        <w:rPr>
          <w:rFonts w:eastAsia="Times New Roman" w:cs="Arial"/>
          <w:color w:val="000000"/>
          <w:lang w:eastAsia="bg-BG"/>
        </w:rPr>
        <w:t xml:space="preserve">15,1 </w:t>
      </w:r>
      <w:proofErr w:type="spellStart"/>
      <w:r w:rsidRPr="00E86AE3">
        <w:rPr>
          <w:rFonts w:eastAsia="Times New Roman" w:cs="Arial"/>
          <w:color w:val="000000"/>
          <w:lang w:val="en-US"/>
        </w:rPr>
        <w:t>msec</w:t>
      </w:r>
      <w:proofErr w:type="spellEnd"/>
      <w:r w:rsidRPr="00E86AE3">
        <w:rPr>
          <w:rFonts w:eastAsia="Times New Roman" w:cs="Arial"/>
          <w:color w:val="000000"/>
          <w:lang w:val="en-US"/>
        </w:rPr>
        <w:t xml:space="preserve">). </w:t>
      </w:r>
      <w:r w:rsidRPr="00E86AE3">
        <w:rPr>
          <w:rFonts w:eastAsia="Times New Roman" w:cs="Arial"/>
          <w:color w:val="000000"/>
          <w:lang w:eastAsia="bg-BG"/>
        </w:rPr>
        <w:t xml:space="preserve">При концентрации приблизително двойно по-високи от терапевтичната, максималната промяна на </w:t>
      </w:r>
      <w:proofErr w:type="spellStart"/>
      <w:r w:rsidRPr="00E86AE3">
        <w:rPr>
          <w:rFonts w:eastAsia="Times New Roman" w:cs="Arial"/>
          <w:color w:val="000000"/>
          <w:lang w:val="en-US"/>
        </w:rPr>
        <w:t>QTcF</w:t>
      </w:r>
      <w:proofErr w:type="spellEnd"/>
      <w:r w:rsidRPr="00E86AE3">
        <w:rPr>
          <w:rFonts w:eastAsia="Times New Roman" w:cs="Arial"/>
          <w:color w:val="000000"/>
          <w:lang w:val="en-US"/>
        </w:rPr>
        <w:t xml:space="preserve"> </w:t>
      </w:r>
      <w:r w:rsidRPr="00E86AE3">
        <w:rPr>
          <w:rFonts w:eastAsia="Times New Roman" w:cs="Arial"/>
          <w:color w:val="000000"/>
          <w:lang w:eastAsia="bg-BG"/>
        </w:rPr>
        <w:t xml:space="preserve">интервала спрямо изходната стойност е била 15,4 </w:t>
      </w:r>
      <w:proofErr w:type="spellStart"/>
      <w:r w:rsidRPr="00E86AE3">
        <w:rPr>
          <w:rFonts w:eastAsia="Times New Roman" w:cs="Arial"/>
          <w:color w:val="000000"/>
          <w:lang w:val="en-US"/>
        </w:rPr>
        <w:t>msec</w:t>
      </w:r>
      <w:proofErr w:type="spellEnd"/>
      <w:r w:rsidRPr="00E86AE3">
        <w:rPr>
          <w:rFonts w:eastAsia="Times New Roman" w:cs="Arial"/>
          <w:color w:val="000000"/>
          <w:lang w:val="en-US"/>
        </w:rPr>
        <w:t xml:space="preserve"> </w:t>
      </w:r>
      <w:r w:rsidRPr="00E86AE3">
        <w:rPr>
          <w:rFonts w:eastAsia="Times New Roman" w:cs="Arial"/>
          <w:color w:val="000000"/>
          <w:lang w:eastAsia="bg-BG"/>
        </w:rPr>
        <w:t xml:space="preserve">(90% </w:t>
      </w:r>
      <w:r w:rsidRPr="00E86AE3">
        <w:rPr>
          <w:rFonts w:eastAsia="Times New Roman" w:cs="Arial"/>
          <w:color w:val="000000"/>
          <w:lang w:val="en-US"/>
        </w:rPr>
        <w:t xml:space="preserve">CI: </w:t>
      </w:r>
      <w:r w:rsidRPr="00E86AE3">
        <w:rPr>
          <w:rFonts w:eastAsia="Times New Roman" w:cs="Arial"/>
          <w:color w:val="000000"/>
          <w:lang w:eastAsia="bg-BG"/>
        </w:rPr>
        <w:t xml:space="preserve">22,4 </w:t>
      </w:r>
      <w:proofErr w:type="spellStart"/>
      <w:r w:rsidRPr="00E86AE3">
        <w:rPr>
          <w:rFonts w:eastAsia="Times New Roman" w:cs="Arial"/>
          <w:color w:val="000000"/>
          <w:lang w:val="en-US"/>
        </w:rPr>
        <w:t>msec</w:t>
      </w:r>
      <w:proofErr w:type="spellEnd"/>
      <w:r w:rsidRPr="00E86AE3">
        <w:rPr>
          <w:rFonts w:eastAsia="Times New Roman" w:cs="Arial"/>
          <w:color w:val="000000"/>
          <w:lang w:val="en-US"/>
        </w:rPr>
        <w:t>).</w:t>
      </w:r>
    </w:p>
    <w:p w14:paraId="5851A667" w14:textId="77777777" w:rsidR="001A0823" w:rsidRPr="00E86AE3" w:rsidRDefault="001A0823" w:rsidP="001A0823">
      <w:pPr>
        <w:spacing w:line="240" w:lineRule="auto"/>
        <w:rPr>
          <w:rFonts w:eastAsia="Times New Roman" w:cs="Arial"/>
          <w:lang w:eastAsia="bg-BG"/>
        </w:rPr>
      </w:pPr>
      <w:r w:rsidRPr="00E86AE3">
        <w:rPr>
          <w:rFonts w:eastAsia="Times New Roman" w:cs="Arial"/>
          <w:color w:val="000000"/>
          <w:lang w:eastAsia="bg-BG"/>
        </w:rPr>
        <w:t xml:space="preserve">Моксифлоксацин (400 </w:t>
      </w:r>
      <w:r w:rsidRPr="00E86AE3">
        <w:rPr>
          <w:rFonts w:eastAsia="Times New Roman" w:cs="Arial"/>
          <w:color w:val="000000"/>
          <w:lang w:val="en-US"/>
        </w:rPr>
        <w:t xml:space="preserve">mg), </w:t>
      </w:r>
      <w:r w:rsidRPr="00E86AE3">
        <w:rPr>
          <w:rFonts w:eastAsia="Times New Roman" w:cs="Arial"/>
          <w:color w:val="000000"/>
          <w:lang w:eastAsia="bg-BG"/>
        </w:rPr>
        <w:t xml:space="preserve">използван като позитивна контрола, е показал максимална средна промяна на </w:t>
      </w:r>
      <w:proofErr w:type="spellStart"/>
      <w:r w:rsidRPr="00E86AE3">
        <w:rPr>
          <w:rFonts w:eastAsia="Times New Roman" w:cs="Arial"/>
          <w:color w:val="000000"/>
          <w:lang w:val="en-US"/>
        </w:rPr>
        <w:t>QTcF</w:t>
      </w:r>
      <w:proofErr w:type="spellEnd"/>
      <w:r w:rsidRPr="00E86AE3">
        <w:rPr>
          <w:rFonts w:eastAsia="Times New Roman" w:cs="Arial"/>
          <w:color w:val="000000"/>
          <w:lang w:val="en-US"/>
        </w:rPr>
        <w:t xml:space="preserve"> </w:t>
      </w:r>
      <w:r w:rsidRPr="00E86AE3">
        <w:rPr>
          <w:rFonts w:eastAsia="Times New Roman" w:cs="Arial"/>
          <w:color w:val="000000"/>
          <w:lang w:eastAsia="bg-BG"/>
        </w:rPr>
        <w:t xml:space="preserve">интервала спрямо изходната стойност 5,6 </w:t>
      </w:r>
      <w:r w:rsidRPr="00E86AE3">
        <w:rPr>
          <w:rFonts w:eastAsia="Times New Roman" w:cs="Arial"/>
          <w:color w:val="000000"/>
          <w:lang w:val="en-US"/>
        </w:rPr>
        <w:t xml:space="preserve">msec. </w:t>
      </w:r>
      <w:r w:rsidRPr="00E86AE3">
        <w:rPr>
          <w:rFonts w:eastAsia="Times New Roman" w:cs="Arial"/>
          <w:color w:val="000000"/>
          <w:lang w:eastAsia="bg-BG"/>
        </w:rPr>
        <w:t xml:space="preserve">При нито един пациент не е наблюдаван ефект върху </w:t>
      </w:r>
      <w:proofErr w:type="spellStart"/>
      <w:r w:rsidRPr="00E86AE3">
        <w:rPr>
          <w:rFonts w:eastAsia="Times New Roman" w:cs="Arial"/>
          <w:color w:val="000000"/>
          <w:lang w:val="en-US"/>
        </w:rPr>
        <w:t>QTc</w:t>
      </w:r>
      <w:proofErr w:type="spellEnd"/>
      <w:r w:rsidRPr="00E86AE3">
        <w:rPr>
          <w:rFonts w:eastAsia="Times New Roman" w:cs="Arial"/>
          <w:color w:val="000000"/>
          <w:lang w:val="en-US"/>
        </w:rPr>
        <w:t xml:space="preserve"> </w:t>
      </w:r>
      <w:r w:rsidRPr="00E86AE3">
        <w:rPr>
          <w:rFonts w:eastAsia="Times New Roman" w:cs="Arial"/>
          <w:color w:val="000000"/>
          <w:lang w:eastAsia="bg-BG"/>
        </w:rPr>
        <w:t>интервала, по-голям от степен 2 (по СТСАЕ, версия 3.0) (вж. точка 4.4).</w:t>
      </w:r>
    </w:p>
    <w:p w14:paraId="4D8C7001" w14:textId="77777777" w:rsidR="001A0823" w:rsidRPr="00E86AE3" w:rsidRDefault="001A0823" w:rsidP="001A0823">
      <w:pPr>
        <w:spacing w:line="240" w:lineRule="auto"/>
        <w:rPr>
          <w:rFonts w:eastAsia="Times New Roman" w:cs="Arial"/>
          <w:color w:val="000000"/>
          <w:u w:val="single"/>
          <w:lang w:eastAsia="bg-BG"/>
        </w:rPr>
      </w:pPr>
    </w:p>
    <w:p w14:paraId="4F69983B" w14:textId="607A43EB" w:rsidR="001A0823" w:rsidRPr="00E86AE3" w:rsidRDefault="001A0823" w:rsidP="001A0823">
      <w:pPr>
        <w:spacing w:line="240" w:lineRule="auto"/>
        <w:rPr>
          <w:rFonts w:eastAsia="Times New Roman" w:cs="Arial"/>
          <w:lang w:eastAsia="bg-BG"/>
        </w:rPr>
      </w:pPr>
      <w:r w:rsidRPr="00E86AE3">
        <w:rPr>
          <w:rFonts w:eastAsia="Times New Roman" w:cs="Arial"/>
          <w:color w:val="000000"/>
          <w:u w:val="single"/>
          <w:lang w:eastAsia="bg-BG"/>
        </w:rPr>
        <w:t>Дългосрочна безопасност при МБКК</w:t>
      </w:r>
    </w:p>
    <w:p w14:paraId="11E1BB27" w14:textId="77777777" w:rsidR="001A0823" w:rsidRPr="00E86AE3" w:rsidRDefault="001A0823" w:rsidP="001A0823">
      <w:pPr>
        <w:rPr>
          <w:rFonts w:eastAsia="Times New Roman" w:cs="Arial"/>
          <w:lang w:eastAsia="bg-BG"/>
        </w:rPr>
      </w:pPr>
      <w:r w:rsidRPr="00E86AE3">
        <w:rPr>
          <w:rFonts w:eastAsia="Times New Roman" w:cs="Arial"/>
          <w:color w:val="000000"/>
          <w:lang w:eastAsia="bg-BG"/>
        </w:rPr>
        <w:t xml:space="preserve">Дългосрочната безопасност на сунитиниб при пациенти с МБКК е анализирана в 9 завършени клинични проучвания, проведени като терапия от първа линия при 5 739 пациенти с </w:t>
      </w:r>
      <w:r w:rsidRPr="00E86AE3">
        <w:rPr>
          <w:rFonts w:eastAsia="Times New Roman" w:cs="Arial"/>
          <w:i/>
          <w:iCs/>
          <w:color w:val="000000"/>
          <w:lang w:eastAsia="bg-BG"/>
        </w:rPr>
        <w:t xml:space="preserve"> </w:t>
      </w:r>
      <w:r w:rsidRPr="00E86AE3">
        <w:rPr>
          <w:rFonts w:eastAsia="Times New Roman" w:cs="Arial"/>
          <w:color w:val="000000"/>
          <w:lang w:eastAsia="bg-BG"/>
        </w:rPr>
        <w:t>бевацизумаб-рефрактерно и цитокин-рефрактерно заболяване, от които 807 (14%) са лекувани в продължение на ≥ 2 години и до 6 години. От 807-те пациенти, получавали дългосрочно лечение със сунитиниб, повечето свързани с лечението нежелани събития (СЛКС) се появяват първоначално през първите 6 месеца - 1 година и след това са непроменени или намаляват по честота с течение на времето, с изключение на хипотиреоидизъм, чиято честота се увеличава постепенно с времето, като през 6-годишния период се появяват нови случаи.</w:t>
      </w:r>
    </w:p>
    <w:p w14:paraId="1BD583CA" w14:textId="77777777" w:rsidR="001A0823" w:rsidRPr="00E86AE3" w:rsidRDefault="001A0823" w:rsidP="001A0823">
      <w:pPr>
        <w:spacing w:line="240" w:lineRule="auto"/>
        <w:rPr>
          <w:rFonts w:eastAsia="Times New Roman" w:cs="Arial"/>
          <w:lang w:eastAsia="bg-BG"/>
        </w:rPr>
      </w:pPr>
      <w:r w:rsidRPr="00E86AE3">
        <w:rPr>
          <w:rFonts w:eastAsia="Times New Roman" w:cs="Arial"/>
          <w:color w:val="000000"/>
          <w:lang w:eastAsia="bg-BG"/>
        </w:rPr>
        <w:t>Продължителното лечение със сунитиниб изглежда не е свързано с нови видове СЛКС.</w:t>
      </w:r>
    </w:p>
    <w:p w14:paraId="5E16381C" w14:textId="77777777" w:rsidR="001A0823" w:rsidRPr="00E86AE3" w:rsidRDefault="001A0823" w:rsidP="001A0823">
      <w:pPr>
        <w:spacing w:line="240" w:lineRule="auto"/>
        <w:rPr>
          <w:rFonts w:eastAsia="Times New Roman" w:cs="Arial"/>
          <w:color w:val="000000"/>
          <w:u w:val="single"/>
          <w:lang w:eastAsia="bg-BG"/>
        </w:rPr>
      </w:pPr>
    </w:p>
    <w:p w14:paraId="692D8DD5" w14:textId="248D5C2F" w:rsidR="001A0823" w:rsidRPr="00E86AE3" w:rsidRDefault="001A0823" w:rsidP="001A0823">
      <w:pPr>
        <w:spacing w:line="240" w:lineRule="auto"/>
        <w:rPr>
          <w:rFonts w:eastAsia="Times New Roman" w:cs="Arial"/>
          <w:lang w:eastAsia="bg-BG"/>
        </w:rPr>
      </w:pPr>
      <w:r w:rsidRPr="00E86AE3">
        <w:rPr>
          <w:rFonts w:eastAsia="Times New Roman" w:cs="Arial"/>
          <w:color w:val="000000"/>
          <w:u w:val="single"/>
          <w:lang w:eastAsia="bg-BG"/>
        </w:rPr>
        <w:t>Педиатрична популация</w:t>
      </w:r>
    </w:p>
    <w:p w14:paraId="13A72017" w14:textId="77777777" w:rsidR="001A0823" w:rsidRPr="00E86AE3" w:rsidRDefault="001A0823" w:rsidP="001A0823">
      <w:pPr>
        <w:spacing w:line="240" w:lineRule="auto"/>
        <w:rPr>
          <w:rFonts w:eastAsia="Times New Roman" w:cs="Arial"/>
          <w:lang w:eastAsia="bg-BG"/>
        </w:rPr>
      </w:pPr>
      <w:r w:rsidRPr="00E86AE3">
        <w:rPr>
          <w:rFonts w:eastAsia="Times New Roman" w:cs="Arial"/>
          <w:color w:val="000000"/>
          <w:lang w:eastAsia="bg-BG"/>
        </w:rPr>
        <w:t>Профилът на безопасност на сунитиниб е получен от проучване фаза 1 за повишаване на дозата, открито проучване фаза 2, проучване фаза 1/2 с едно рамо и от публикации, както е описано по- долу.</w:t>
      </w:r>
    </w:p>
    <w:p w14:paraId="217BC6FB" w14:textId="77777777" w:rsidR="001A0823" w:rsidRPr="00E86AE3" w:rsidRDefault="001A0823" w:rsidP="001A0823">
      <w:pPr>
        <w:spacing w:line="240" w:lineRule="auto"/>
        <w:rPr>
          <w:rFonts w:eastAsia="Times New Roman" w:cs="Arial"/>
          <w:color w:val="000000"/>
          <w:lang w:eastAsia="bg-BG"/>
        </w:rPr>
      </w:pPr>
    </w:p>
    <w:p w14:paraId="0D86C190" w14:textId="470B8F0D" w:rsidR="001A0823" w:rsidRPr="00E86AE3" w:rsidRDefault="001A0823" w:rsidP="001A0823">
      <w:pPr>
        <w:spacing w:line="240" w:lineRule="auto"/>
        <w:rPr>
          <w:rFonts w:eastAsia="Times New Roman" w:cs="Arial"/>
          <w:lang w:eastAsia="bg-BG"/>
        </w:rPr>
      </w:pPr>
      <w:r w:rsidRPr="00E86AE3">
        <w:rPr>
          <w:rFonts w:eastAsia="Times New Roman" w:cs="Arial"/>
          <w:color w:val="000000"/>
          <w:lang w:eastAsia="bg-BG"/>
        </w:rPr>
        <w:t>Проведено е проучване фаза 1 за повишаване на дозата перорален сунитиниб при 35 пациенти, включващо 30 педиатрични пациенти (на възраст от 3 години до 17 години) и 5 млади възрастни пациенти (на възраст от 18 до 21 години) с рефрактерни солидни тумори, като по- голямата част от пациентите са с основна диагноза мозъчен тумор. Всички участници в проучването са получили нежелани лекарствени реакции, като повечето от тези реакции са тежки (степен на токсичност ≥ 3) и включват кардиотоксичност. Най-честите нежелани реакции са гастроинтестинална (ГИ) токсичност, неутропения, умора и повишаване на АЛАТ. Рискът от сърдечни нежелани лекарствени реакции изглежда по-висок при педиатричните пациенти с предходна експозиция на облъчване на сърцето или антрациклини в сравнение с педиатричните пациенти без предходна експозиция. При тези педиатрични пациенти без предходна експозиция на антрациклини или облъчване на сърцето е идентифицирана максималната поносима доза (МПД) (вж. точка 5.1).</w:t>
      </w:r>
    </w:p>
    <w:p w14:paraId="55BCCCD9" w14:textId="77777777" w:rsidR="001A0823" w:rsidRPr="00E86AE3" w:rsidRDefault="001A0823" w:rsidP="001A0823">
      <w:pPr>
        <w:spacing w:line="240" w:lineRule="auto"/>
        <w:rPr>
          <w:rFonts w:eastAsia="Times New Roman" w:cs="Arial"/>
          <w:color w:val="000000"/>
          <w:lang w:eastAsia="bg-BG"/>
        </w:rPr>
      </w:pPr>
    </w:p>
    <w:p w14:paraId="05BC756D" w14:textId="1F59DE95" w:rsidR="001A0823" w:rsidRPr="00E86AE3" w:rsidRDefault="001A0823" w:rsidP="001A0823">
      <w:pPr>
        <w:spacing w:line="240" w:lineRule="auto"/>
        <w:rPr>
          <w:rFonts w:eastAsia="Times New Roman" w:cs="Arial"/>
          <w:lang w:eastAsia="bg-BG"/>
        </w:rPr>
      </w:pPr>
      <w:r w:rsidRPr="00E86AE3">
        <w:rPr>
          <w:rFonts w:eastAsia="Times New Roman" w:cs="Arial"/>
          <w:color w:val="000000"/>
          <w:lang w:eastAsia="bg-BG"/>
        </w:rPr>
        <w:t>Проведено е открито проучване фаза 2 при 29 пациенти, включващо 27 педиатрични пациенти (на възраст от 3 до 16 години) и 2 млади възрастни пациенти (на възраст от 18 години до 19 години) с рекурентен/прогресивен/рефрактерен високостепенен глиом (ВСГ) или епендимом. И в двете групи няма нежелани реакции степен 5. Най-честите (≥10%) нежелани събития, свързани с лечението, са понижен брой на неутрофилите (6 [20,7%] пациенти) и вътречерепен кръвоизлив (3 [10,3%] пациенти).</w:t>
      </w:r>
    </w:p>
    <w:p w14:paraId="4C16BCE8" w14:textId="77777777" w:rsidR="001A0823" w:rsidRPr="00E86AE3" w:rsidRDefault="001A0823" w:rsidP="001A0823">
      <w:pPr>
        <w:spacing w:line="240" w:lineRule="auto"/>
        <w:rPr>
          <w:rFonts w:eastAsia="Times New Roman" w:cs="Arial"/>
          <w:color w:val="000000"/>
          <w:lang w:eastAsia="bg-BG"/>
        </w:rPr>
      </w:pPr>
    </w:p>
    <w:p w14:paraId="29F18E59" w14:textId="5E0DA243" w:rsidR="001A0823" w:rsidRPr="00E86AE3" w:rsidRDefault="001A0823" w:rsidP="001A0823">
      <w:pPr>
        <w:spacing w:line="240" w:lineRule="auto"/>
        <w:rPr>
          <w:rFonts w:eastAsia="Times New Roman" w:cs="Arial"/>
          <w:lang w:eastAsia="bg-BG"/>
        </w:rPr>
      </w:pPr>
      <w:r w:rsidRPr="00E86AE3">
        <w:rPr>
          <w:rFonts w:eastAsia="Times New Roman" w:cs="Arial"/>
          <w:color w:val="000000"/>
          <w:lang w:eastAsia="bg-BG"/>
        </w:rPr>
        <w:t xml:space="preserve">Проведено е проучване фаза 1/2 с едно рамо при 6 педиатрични пациенти (на възраст от 13 години до 16 години) с напреднал неоперабилен ГИСТ. Най-честите нежелани </w:t>
      </w:r>
      <w:r w:rsidRPr="00E86AE3">
        <w:rPr>
          <w:rFonts w:eastAsia="Times New Roman" w:cs="Arial"/>
          <w:color w:val="000000"/>
          <w:lang w:eastAsia="bg-BG"/>
        </w:rPr>
        <w:lastRenderedPageBreak/>
        <w:t>лекарствени реакции са диария, гадене, понижен брой на белите кръвни клетки, неутропения и главоболие при 3 (50,0%) пациенти от всяка реакция, главно степен 1 или 2 по тежест. Четирима от 6 пациенти (66,7%) получават нежелани събития, свързани с лечението, от степен 3-4 (степен 3 хипофоефатемия, неутропения и тромбоцитопения при 1 пациент от всяко събитие и неутропения от степен 4 при 1 пациент). В това проучване не се съобщава за сериозни нежелани събития (СНС) или нежелани лекарствени реакции степен 5. В двете клинични проучвания и публикациите профилът на безопасност съответства на известния профил на безопасност при възрастни.</w:t>
      </w:r>
    </w:p>
    <w:p w14:paraId="1AC3A13F" w14:textId="77777777" w:rsidR="001A0823" w:rsidRPr="00E86AE3" w:rsidRDefault="001A0823" w:rsidP="001A0823">
      <w:pPr>
        <w:spacing w:line="240" w:lineRule="auto"/>
        <w:rPr>
          <w:rFonts w:eastAsia="Times New Roman" w:cs="Arial"/>
          <w:color w:val="000000"/>
          <w:u w:val="single"/>
          <w:lang w:eastAsia="bg-BG"/>
        </w:rPr>
      </w:pPr>
    </w:p>
    <w:p w14:paraId="32EEA534" w14:textId="496AA187" w:rsidR="001A0823" w:rsidRPr="00E86AE3" w:rsidRDefault="001A0823" w:rsidP="001A0823">
      <w:pPr>
        <w:spacing w:line="240" w:lineRule="auto"/>
        <w:rPr>
          <w:rFonts w:eastAsia="Times New Roman" w:cs="Arial"/>
          <w:lang w:eastAsia="bg-BG"/>
        </w:rPr>
      </w:pPr>
      <w:r w:rsidRPr="00E86AE3">
        <w:rPr>
          <w:rFonts w:eastAsia="Times New Roman" w:cs="Arial"/>
          <w:color w:val="000000"/>
          <w:u w:val="single"/>
          <w:lang w:eastAsia="bg-BG"/>
        </w:rPr>
        <w:t>Съобщаване на подозирани нежелани реакции</w:t>
      </w:r>
    </w:p>
    <w:p w14:paraId="5DCAC183" w14:textId="08449090" w:rsidR="001A0823" w:rsidRPr="00E86AE3" w:rsidRDefault="001A0823" w:rsidP="001A0823">
      <w:pPr>
        <w:rPr>
          <w:rFonts w:cs="Arial"/>
        </w:rPr>
      </w:pPr>
      <w:r w:rsidRPr="00E86AE3">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+359 2 8903417, уебсайт: </w:t>
      </w:r>
      <w:r w:rsidRPr="00E86AE3">
        <w:rPr>
          <w:rFonts w:eastAsia="Times New Roman" w:cs="Arial"/>
          <w:lang w:eastAsia="bg-BG"/>
        </w:rPr>
        <w:fldChar w:fldCharType="begin"/>
      </w:r>
      <w:r w:rsidRPr="00E86AE3">
        <w:rPr>
          <w:rFonts w:eastAsia="Times New Roman" w:cs="Arial"/>
          <w:lang w:eastAsia="bg-BG"/>
        </w:rPr>
        <w:instrText xml:space="preserve"> HYPERLINK "http://www.bda.bg" </w:instrText>
      </w:r>
      <w:r w:rsidRPr="00E86AE3">
        <w:rPr>
          <w:rFonts w:eastAsia="Times New Roman" w:cs="Arial"/>
          <w:lang w:eastAsia="bg-BG"/>
        </w:rPr>
      </w:r>
      <w:r w:rsidRPr="00E86AE3">
        <w:rPr>
          <w:rFonts w:eastAsia="Times New Roman" w:cs="Arial"/>
          <w:lang w:eastAsia="bg-BG"/>
        </w:rPr>
        <w:fldChar w:fldCharType="separate"/>
      </w:r>
      <w:r w:rsidRPr="00E86AE3">
        <w:rPr>
          <w:rFonts w:eastAsia="Times New Roman" w:cs="Arial"/>
          <w:color w:val="000000"/>
          <w:lang w:val="en-US"/>
        </w:rPr>
        <w:t>www.bda.bg</w:t>
      </w:r>
      <w:r w:rsidRPr="00E86AE3">
        <w:rPr>
          <w:rFonts w:eastAsia="Times New Roman" w:cs="Arial"/>
          <w:lang w:eastAsia="bg-BG"/>
        </w:rPr>
        <w:fldChar w:fldCharType="end"/>
      </w:r>
      <w:r w:rsidRPr="00E86AE3">
        <w:rPr>
          <w:rFonts w:eastAsia="Times New Roman" w:cs="Arial"/>
          <w:color w:val="000000"/>
          <w:lang w:val="en-US"/>
        </w:rPr>
        <w:t>.</w:t>
      </w:r>
    </w:p>
    <w:p w14:paraId="1E362A7A" w14:textId="77777777" w:rsidR="001A0823" w:rsidRPr="0091385D" w:rsidRDefault="001A0823" w:rsidP="0091385D"/>
    <w:p w14:paraId="0A023CE0" w14:textId="13F87CFD" w:rsidR="00CF77F7" w:rsidRDefault="002C50EE" w:rsidP="004A448E">
      <w:pPr>
        <w:pStyle w:val="Heading2"/>
      </w:pPr>
      <w:r>
        <w:t>4.9. Предозиране</w:t>
      </w:r>
    </w:p>
    <w:p w14:paraId="3EDFC3FC" w14:textId="771B3817" w:rsidR="0091385D" w:rsidRDefault="0091385D" w:rsidP="0091385D"/>
    <w:p w14:paraId="6A43B8F3" w14:textId="02D51935" w:rsidR="007A2185" w:rsidRDefault="001A0823" w:rsidP="0091385D">
      <w:r>
        <w:t>Няма специфичен антидот срещу предозиране със сунитиниб и лечението на предозирането трябва да се състои от общи поддържащи мерки. Ако е показано, елиминирането на  неабсорбираното активно вещество може да се постигне чрез повръщане или промиване на стомаха. Съобщени са случаи на предозиране; някои случаи са свързани с нежелани реакции, съответстващи на установения профил на безопасност на сунитиниб.</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73F11A6B" w:rsidR="0091385D" w:rsidRDefault="0091385D" w:rsidP="0091385D"/>
    <w:p w14:paraId="72EB6E1E" w14:textId="77777777" w:rsidR="001A0823" w:rsidRPr="00E86AE3" w:rsidRDefault="001A0823" w:rsidP="001A0823">
      <w:pPr>
        <w:spacing w:line="240" w:lineRule="auto"/>
        <w:rPr>
          <w:rFonts w:eastAsia="Times New Roman" w:cs="Arial"/>
          <w:lang w:eastAsia="bg-BG"/>
        </w:rPr>
      </w:pPr>
      <w:r w:rsidRPr="00E86AE3">
        <w:rPr>
          <w:rFonts w:eastAsia="Times New Roman" w:cs="Arial"/>
          <w:color w:val="000000"/>
          <w:lang w:eastAsia="bg-BG"/>
        </w:rPr>
        <w:t xml:space="preserve">Фармакотерапевтична група: Антинеопластични средства, инхибитори на протеинкиназата; АТС код: </w:t>
      </w:r>
      <w:r w:rsidRPr="00E86AE3">
        <w:rPr>
          <w:rFonts w:eastAsia="Times New Roman" w:cs="Arial"/>
          <w:color w:val="000000"/>
          <w:lang w:val="en-US"/>
        </w:rPr>
        <w:t>L01EX01</w:t>
      </w:r>
    </w:p>
    <w:p w14:paraId="43DCC765" w14:textId="77777777" w:rsidR="001A0823" w:rsidRPr="00E86AE3" w:rsidRDefault="001A0823" w:rsidP="001A0823">
      <w:pPr>
        <w:spacing w:line="240" w:lineRule="auto"/>
        <w:rPr>
          <w:rFonts w:eastAsia="Times New Roman" w:cs="Arial"/>
          <w:color w:val="000000"/>
          <w:u w:val="single"/>
          <w:lang w:eastAsia="bg-BG"/>
        </w:rPr>
      </w:pPr>
    </w:p>
    <w:p w14:paraId="4CEC6704" w14:textId="494A5647" w:rsidR="001A0823" w:rsidRPr="00E86AE3" w:rsidRDefault="001A0823" w:rsidP="001A0823">
      <w:pPr>
        <w:spacing w:line="240" w:lineRule="auto"/>
        <w:rPr>
          <w:rFonts w:eastAsia="Times New Roman" w:cs="Arial"/>
          <w:lang w:eastAsia="bg-BG"/>
        </w:rPr>
      </w:pPr>
      <w:r w:rsidRPr="00E86AE3">
        <w:rPr>
          <w:rFonts w:eastAsia="Times New Roman" w:cs="Arial"/>
          <w:color w:val="000000"/>
          <w:u w:val="single"/>
          <w:lang w:eastAsia="bg-BG"/>
        </w:rPr>
        <w:t>Механизъм на действие</w:t>
      </w:r>
    </w:p>
    <w:p w14:paraId="2438D082" w14:textId="77777777" w:rsidR="001A0823" w:rsidRPr="00E86AE3" w:rsidRDefault="001A0823" w:rsidP="001A0823">
      <w:pPr>
        <w:spacing w:line="240" w:lineRule="auto"/>
        <w:rPr>
          <w:rFonts w:eastAsia="Times New Roman" w:cs="Arial"/>
          <w:lang w:eastAsia="bg-BG"/>
        </w:rPr>
      </w:pPr>
      <w:r w:rsidRPr="00E86AE3">
        <w:rPr>
          <w:rFonts w:eastAsia="Times New Roman" w:cs="Arial"/>
          <w:color w:val="000000"/>
          <w:lang w:eastAsia="bg-BG"/>
        </w:rPr>
        <w:t xml:space="preserve">Сунитиниб инхибира множество рецептори на тирозин киназата (РТК), които участват в туморния растеж, неоангиогенезата и метастатичното развитие на рака. Сунитиниб е бил идентифициран като инхибитор на рецепторите на получения от тромбоцити растежен фактор </w:t>
      </w:r>
      <w:r w:rsidRPr="00E86AE3">
        <w:rPr>
          <w:rFonts w:eastAsia="Times New Roman" w:cs="Arial"/>
          <w:color w:val="000000"/>
          <w:lang w:val="en-US"/>
        </w:rPr>
        <w:t>(</w:t>
      </w:r>
      <w:proofErr w:type="spellStart"/>
      <w:r w:rsidRPr="00E86AE3">
        <w:rPr>
          <w:rFonts w:eastAsia="Times New Roman" w:cs="Arial"/>
          <w:color w:val="000000"/>
          <w:lang w:val="en-US"/>
        </w:rPr>
        <w:t>PDGFRa</w:t>
      </w:r>
      <w:proofErr w:type="spellEnd"/>
      <w:r w:rsidRPr="00E86AE3">
        <w:rPr>
          <w:rFonts w:eastAsia="Times New Roman" w:cs="Arial"/>
          <w:color w:val="000000"/>
          <w:lang w:val="en-US"/>
        </w:rPr>
        <w:t xml:space="preserve"> </w:t>
      </w:r>
      <w:r w:rsidRPr="00E86AE3">
        <w:rPr>
          <w:rFonts w:eastAsia="Times New Roman" w:cs="Arial"/>
          <w:color w:val="000000"/>
          <w:lang w:eastAsia="bg-BG"/>
        </w:rPr>
        <w:t xml:space="preserve">и </w:t>
      </w:r>
      <w:proofErr w:type="spellStart"/>
      <w:r w:rsidRPr="00E86AE3">
        <w:rPr>
          <w:rFonts w:eastAsia="Times New Roman" w:cs="Arial"/>
          <w:color w:val="000000"/>
          <w:lang w:val="en-US"/>
        </w:rPr>
        <w:t>PDGFRp</w:t>
      </w:r>
      <w:proofErr w:type="spellEnd"/>
      <w:r w:rsidRPr="00E86AE3">
        <w:rPr>
          <w:rFonts w:eastAsia="Times New Roman" w:cs="Arial"/>
          <w:color w:val="000000"/>
          <w:lang w:val="en-US"/>
        </w:rPr>
        <w:t xml:space="preserve">), </w:t>
      </w:r>
      <w:r w:rsidRPr="00E86AE3">
        <w:rPr>
          <w:rFonts w:eastAsia="Times New Roman" w:cs="Arial"/>
          <w:color w:val="000000"/>
          <w:lang w:eastAsia="bg-BG"/>
        </w:rPr>
        <w:t xml:space="preserve">рецепторите на съдовия ендотелен растежен фактор </w:t>
      </w:r>
      <w:r w:rsidRPr="00E86AE3">
        <w:rPr>
          <w:rFonts w:eastAsia="Times New Roman" w:cs="Arial"/>
          <w:color w:val="000000"/>
          <w:lang w:val="en-US"/>
        </w:rPr>
        <w:t xml:space="preserve">(VEGFR1, VEGFR2 </w:t>
      </w:r>
      <w:r w:rsidRPr="00E86AE3">
        <w:rPr>
          <w:rFonts w:eastAsia="Times New Roman" w:cs="Arial"/>
          <w:color w:val="000000"/>
          <w:lang w:eastAsia="bg-BG"/>
        </w:rPr>
        <w:t xml:space="preserve">и </w:t>
      </w:r>
      <w:r w:rsidRPr="00E86AE3">
        <w:rPr>
          <w:rFonts w:eastAsia="Times New Roman" w:cs="Arial"/>
          <w:color w:val="000000"/>
          <w:lang w:val="en-US"/>
        </w:rPr>
        <w:t xml:space="preserve">VEGFR3), </w:t>
      </w:r>
      <w:r w:rsidRPr="00E86AE3">
        <w:rPr>
          <w:rFonts w:eastAsia="Times New Roman" w:cs="Arial"/>
          <w:color w:val="000000"/>
          <w:lang w:eastAsia="bg-BG"/>
        </w:rPr>
        <w:t xml:space="preserve">рецептора на фактора на стволовите клетки </w:t>
      </w:r>
      <w:r w:rsidRPr="00E86AE3">
        <w:rPr>
          <w:rFonts w:eastAsia="Times New Roman" w:cs="Arial"/>
          <w:color w:val="000000"/>
          <w:lang w:val="en-US"/>
        </w:rPr>
        <w:t xml:space="preserve">(KIT), </w:t>
      </w:r>
      <w:proofErr w:type="spellStart"/>
      <w:r w:rsidRPr="00E86AE3">
        <w:rPr>
          <w:rFonts w:eastAsia="Times New Roman" w:cs="Arial"/>
          <w:color w:val="000000"/>
          <w:lang w:val="en-US"/>
        </w:rPr>
        <w:t>Fms</w:t>
      </w:r>
      <w:proofErr w:type="spellEnd"/>
      <w:r w:rsidRPr="00E86AE3">
        <w:rPr>
          <w:rFonts w:eastAsia="Times New Roman" w:cs="Arial"/>
          <w:color w:val="000000"/>
          <w:lang w:eastAsia="bg-BG"/>
        </w:rPr>
        <w:t xml:space="preserve">-подобната тирозин киназа-3 </w:t>
      </w:r>
      <w:r w:rsidRPr="00E86AE3">
        <w:rPr>
          <w:rFonts w:eastAsia="Times New Roman" w:cs="Arial"/>
          <w:color w:val="000000"/>
          <w:lang w:val="en-US"/>
        </w:rPr>
        <w:t xml:space="preserve">(FLT3), </w:t>
      </w:r>
      <w:r w:rsidRPr="00E86AE3">
        <w:rPr>
          <w:rFonts w:eastAsia="Times New Roman" w:cs="Arial"/>
          <w:color w:val="000000"/>
          <w:lang w:eastAsia="bg-BG"/>
        </w:rPr>
        <w:t xml:space="preserve">рецептора за колониостимулиращия фактор </w:t>
      </w:r>
      <w:r w:rsidRPr="00E86AE3">
        <w:rPr>
          <w:rFonts w:eastAsia="Times New Roman" w:cs="Arial"/>
          <w:color w:val="000000"/>
          <w:lang w:val="en-US"/>
        </w:rPr>
        <w:t xml:space="preserve">(CSF-1R) </w:t>
      </w:r>
      <w:r w:rsidRPr="00E86AE3">
        <w:rPr>
          <w:rFonts w:eastAsia="Times New Roman" w:cs="Arial"/>
          <w:color w:val="000000"/>
          <w:lang w:eastAsia="bg-BG"/>
        </w:rPr>
        <w:t xml:space="preserve">и рецептора на получения от глиална клетъчна линия невротрофичен фактор </w:t>
      </w:r>
      <w:r w:rsidRPr="00E86AE3">
        <w:rPr>
          <w:rFonts w:eastAsia="Times New Roman" w:cs="Arial"/>
          <w:color w:val="000000"/>
          <w:lang w:val="en-US"/>
        </w:rPr>
        <w:t xml:space="preserve">(RET). </w:t>
      </w:r>
      <w:r w:rsidRPr="00E86AE3">
        <w:rPr>
          <w:rFonts w:eastAsia="Times New Roman" w:cs="Arial"/>
          <w:color w:val="000000"/>
          <w:lang w:eastAsia="bg-BG"/>
        </w:rPr>
        <w:t>В биохимични и клетъчни анализи основният метаболит показва действие, подобно на сунитиниб.</w:t>
      </w:r>
    </w:p>
    <w:p w14:paraId="0D491F81" w14:textId="77777777" w:rsidR="001A0823" w:rsidRPr="00E86AE3" w:rsidRDefault="001A0823" w:rsidP="001A0823">
      <w:pPr>
        <w:spacing w:line="240" w:lineRule="auto"/>
        <w:rPr>
          <w:rFonts w:eastAsia="Times New Roman" w:cs="Arial"/>
          <w:color w:val="000000"/>
          <w:u w:val="single"/>
          <w:lang w:eastAsia="bg-BG"/>
        </w:rPr>
      </w:pPr>
    </w:p>
    <w:p w14:paraId="32A3CCB7" w14:textId="67218DC8" w:rsidR="001A0823" w:rsidRPr="00E86AE3" w:rsidRDefault="001A0823" w:rsidP="001A0823">
      <w:pPr>
        <w:spacing w:line="240" w:lineRule="auto"/>
        <w:rPr>
          <w:rFonts w:eastAsia="Times New Roman" w:cs="Arial"/>
          <w:lang w:eastAsia="bg-BG"/>
        </w:rPr>
      </w:pPr>
      <w:r w:rsidRPr="00E86AE3">
        <w:rPr>
          <w:rFonts w:eastAsia="Times New Roman" w:cs="Arial"/>
          <w:color w:val="000000"/>
          <w:u w:val="single"/>
          <w:lang w:eastAsia="bg-BG"/>
        </w:rPr>
        <w:t>Клинична ефикасност и безопасност</w:t>
      </w:r>
    </w:p>
    <w:p w14:paraId="50F158E1" w14:textId="77777777" w:rsidR="001A0823" w:rsidRPr="00E86AE3" w:rsidRDefault="001A0823" w:rsidP="001A0823">
      <w:pPr>
        <w:spacing w:line="240" w:lineRule="auto"/>
        <w:rPr>
          <w:rFonts w:eastAsia="Times New Roman" w:cs="Arial"/>
          <w:lang w:eastAsia="bg-BG"/>
        </w:rPr>
      </w:pPr>
      <w:r w:rsidRPr="00E86AE3">
        <w:rPr>
          <w:rFonts w:eastAsia="Times New Roman" w:cs="Arial"/>
          <w:color w:val="000000"/>
          <w:lang w:eastAsia="bg-BG"/>
        </w:rPr>
        <w:t xml:space="preserve">Клиничната безопасност и ефикасност на сунитиниб са били проучени при лечение на пациенти с ГИСТ, които са били резистентни на иматиниб (т.е. тези, които са имали </w:t>
      </w:r>
      <w:r w:rsidRPr="00E86AE3">
        <w:rPr>
          <w:rFonts w:eastAsia="Times New Roman" w:cs="Arial"/>
          <w:color w:val="000000"/>
          <w:lang w:eastAsia="bg-BG"/>
        </w:rPr>
        <w:lastRenderedPageBreak/>
        <w:t>прогресия на заболяването по време или след лечение с иматиниб) или с непоносимост към иматиниб (т.е. тези, които са получили значима токсичност по време на лечение с иматиниб, която е попречила на по-нататъшното лечение), както при лечение на пациенти с МБКК и лечението на пациенти с неоперабилен ПНЕТ.</w:t>
      </w:r>
    </w:p>
    <w:p w14:paraId="1E9221A6" w14:textId="77777777" w:rsidR="001A0823" w:rsidRPr="00E86AE3" w:rsidRDefault="001A0823" w:rsidP="001A0823">
      <w:pPr>
        <w:spacing w:line="240" w:lineRule="auto"/>
        <w:rPr>
          <w:rFonts w:eastAsia="Times New Roman" w:cs="Arial"/>
          <w:color w:val="000000"/>
          <w:lang w:eastAsia="bg-BG"/>
        </w:rPr>
      </w:pPr>
    </w:p>
    <w:p w14:paraId="55EB85C1" w14:textId="4DE67E8F" w:rsidR="001A0823" w:rsidRPr="00E86AE3" w:rsidRDefault="001A0823" w:rsidP="001A0823">
      <w:pPr>
        <w:spacing w:line="240" w:lineRule="auto"/>
        <w:rPr>
          <w:rFonts w:eastAsia="Times New Roman" w:cs="Arial"/>
          <w:lang w:eastAsia="bg-BG"/>
        </w:rPr>
      </w:pPr>
      <w:r w:rsidRPr="00E86AE3">
        <w:rPr>
          <w:rFonts w:eastAsia="Times New Roman" w:cs="Arial"/>
          <w:color w:val="000000"/>
          <w:lang w:eastAsia="bg-BG"/>
        </w:rPr>
        <w:t>Ефикасността се основава на времето до туморна прогресия (ВТП) и увеличаване на преживяемостга при ГИСТ, на преживяемост без прогресия (ПБП) и честотата на обективен отговор (ЧОО) съответно при нелекуван и цитокин-рефрактерен МБКК и на ПБП при ПНЕТ.</w:t>
      </w:r>
    </w:p>
    <w:p w14:paraId="5A7B793A" w14:textId="77777777" w:rsidR="001A0823" w:rsidRPr="00E86AE3" w:rsidRDefault="001A0823" w:rsidP="001A0823">
      <w:pPr>
        <w:spacing w:line="240" w:lineRule="auto"/>
        <w:rPr>
          <w:rFonts w:eastAsia="Times New Roman" w:cs="Arial"/>
          <w:i/>
          <w:iCs/>
          <w:color w:val="000000"/>
          <w:lang w:eastAsia="bg-BG"/>
        </w:rPr>
      </w:pPr>
    </w:p>
    <w:p w14:paraId="47772B08" w14:textId="6362A5B2" w:rsidR="001A0823" w:rsidRPr="00E86AE3" w:rsidRDefault="001A0823" w:rsidP="001A0823">
      <w:pPr>
        <w:spacing w:line="240" w:lineRule="auto"/>
        <w:rPr>
          <w:rFonts w:eastAsia="Times New Roman" w:cs="Arial"/>
          <w:lang w:eastAsia="bg-BG"/>
        </w:rPr>
      </w:pPr>
      <w:r w:rsidRPr="00E86AE3">
        <w:rPr>
          <w:rFonts w:eastAsia="Times New Roman" w:cs="Arial"/>
          <w:i/>
          <w:iCs/>
          <w:color w:val="000000"/>
          <w:lang w:eastAsia="bg-BG"/>
        </w:rPr>
        <w:t>Гастроинтестинални стромални тумори</w:t>
      </w:r>
    </w:p>
    <w:p w14:paraId="41BABDA7" w14:textId="77777777" w:rsidR="001A0823" w:rsidRPr="00E86AE3" w:rsidRDefault="001A0823" w:rsidP="001A0823">
      <w:pPr>
        <w:spacing w:line="240" w:lineRule="auto"/>
        <w:rPr>
          <w:rFonts w:eastAsia="Times New Roman" w:cs="Arial"/>
          <w:lang w:eastAsia="bg-BG"/>
        </w:rPr>
      </w:pPr>
      <w:r w:rsidRPr="00E86AE3">
        <w:rPr>
          <w:rFonts w:eastAsia="Times New Roman" w:cs="Arial"/>
          <w:color w:val="000000"/>
          <w:lang w:eastAsia="bg-BG"/>
        </w:rPr>
        <w:t xml:space="preserve">Първоначално открито проучване с повишаване на дозата е било проведено при пациенти с ГИСТ след неуспех с иматиниб (средна максимална дневна доза 800 </w:t>
      </w:r>
      <w:r w:rsidRPr="00E86AE3">
        <w:rPr>
          <w:rFonts w:eastAsia="Times New Roman" w:cs="Arial"/>
          <w:color w:val="000000"/>
          <w:lang w:val="en-US"/>
        </w:rPr>
        <w:t xml:space="preserve">mg) </w:t>
      </w:r>
      <w:r w:rsidRPr="00E86AE3">
        <w:rPr>
          <w:rFonts w:eastAsia="Times New Roman" w:cs="Arial"/>
          <w:color w:val="000000"/>
          <w:lang w:eastAsia="bg-BG"/>
        </w:rPr>
        <w:t xml:space="preserve">поради резистентност или непоносимост. Включени са били деветдесет и седем пациенти при различни дози и схеми; 55 пациенти са получавали 50 </w:t>
      </w:r>
      <w:r w:rsidRPr="00E86AE3">
        <w:rPr>
          <w:rFonts w:eastAsia="Times New Roman" w:cs="Arial"/>
          <w:color w:val="000000"/>
          <w:lang w:val="en-US"/>
        </w:rPr>
        <w:t xml:space="preserve">mg </w:t>
      </w:r>
      <w:r w:rsidRPr="00E86AE3">
        <w:rPr>
          <w:rFonts w:eastAsia="Times New Roman" w:cs="Arial"/>
          <w:color w:val="000000"/>
          <w:lang w:eastAsia="bg-BG"/>
        </w:rPr>
        <w:t>сунитиниб по препоръчваната схема на лечение 4 седмици на/2 седмици без (’’Схема 4/2”).</w:t>
      </w:r>
    </w:p>
    <w:p w14:paraId="193362D1" w14:textId="77777777" w:rsidR="001A0823" w:rsidRPr="00E86AE3" w:rsidRDefault="001A0823" w:rsidP="001A0823">
      <w:pPr>
        <w:spacing w:line="240" w:lineRule="auto"/>
        <w:rPr>
          <w:rFonts w:eastAsia="Times New Roman" w:cs="Arial"/>
          <w:color w:val="000000"/>
          <w:lang w:eastAsia="bg-BG"/>
        </w:rPr>
      </w:pPr>
    </w:p>
    <w:p w14:paraId="340A9127" w14:textId="1F97AF78" w:rsidR="001A0823" w:rsidRPr="00E86AE3" w:rsidRDefault="001A0823" w:rsidP="001A0823">
      <w:pPr>
        <w:spacing w:line="240" w:lineRule="auto"/>
        <w:rPr>
          <w:rFonts w:eastAsia="Times New Roman" w:cs="Arial"/>
          <w:lang w:eastAsia="bg-BG"/>
        </w:rPr>
      </w:pPr>
      <w:r w:rsidRPr="00E86AE3">
        <w:rPr>
          <w:rFonts w:eastAsia="Times New Roman" w:cs="Arial"/>
          <w:color w:val="000000"/>
          <w:lang w:eastAsia="bg-BG"/>
        </w:rPr>
        <w:t xml:space="preserve">В това проучване, медианата на ВТП е била 34,0 седмици (95% </w:t>
      </w:r>
      <w:r w:rsidRPr="00E86AE3">
        <w:rPr>
          <w:rFonts w:eastAsia="Times New Roman" w:cs="Arial"/>
          <w:color w:val="000000"/>
          <w:lang w:val="en-US"/>
        </w:rPr>
        <w:t xml:space="preserve">CI: </w:t>
      </w:r>
      <w:r w:rsidRPr="00E86AE3">
        <w:rPr>
          <w:rFonts w:eastAsia="Times New Roman" w:cs="Arial"/>
          <w:color w:val="000000"/>
          <w:lang w:eastAsia="bg-BG"/>
        </w:rPr>
        <w:t>22,0, 46,0).</w:t>
      </w:r>
    </w:p>
    <w:p w14:paraId="545D6FD2" w14:textId="77777777" w:rsidR="001A0823" w:rsidRPr="00E86AE3" w:rsidRDefault="001A0823" w:rsidP="001A0823">
      <w:pPr>
        <w:rPr>
          <w:rFonts w:eastAsia="Times New Roman" w:cs="Arial"/>
          <w:color w:val="000000"/>
          <w:lang w:eastAsia="bg-BG"/>
        </w:rPr>
      </w:pPr>
    </w:p>
    <w:p w14:paraId="24123127" w14:textId="77777777" w:rsidR="001A0823" w:rsidRPr="00E86AE3" w:rsidRDefault="001A0823" w:rsidP="001A0823">
      <w:pPr>
        <w:rPr>
          <w:rFonts w:eastAsia="Times New Roman" w:cs="Arial"/>
          <w:lang w:eastAsia="bg-BG"/>
        </w:rPr>
      </w:pPr>
      <w:r w:rsidRPr="00E86AE3">
        <w:rPr>
          <w:rFonts w:eastAsia="Times New Roman" w:cs="Arial"/>
          <w:color w:val="000000"/>
          <w:lang w:eastAsia="bg-BG"/>
        </w:rPr>
        <w:t xml:space="preserve">При пациенти с непоносимост към иматиниб, или с прогресия на заболяването по време или след лечение с иматиниб (средна максимална дневна доза 800 </w:t>
      </w:r>
      <w:r w:rsidRPr="00E86AE3">
        <w:rPr>
          <w:rFonts w:eastAsia="Times New Roman" w:cs="Arial"/>
          <w:color w:val="000000"/>
          <w:lang w:val="en-US"/>
        </w:rPr>
        <w:t xml:space="preserve">mg) </w:t>
      </w:r>
      <w:r w:rsidRPr="00E86AE3">
        <w:rPr>
          <w:rFonts w:eastAsia="Times New Roman" w:cs="Arial"/>
          <w:color w:val="000000"/>
          <w:lang w:eastAsia="bg-BG"/>
        </w:rPr>
        <w:t xml:space="preserve">е било проведено рандомизирано, двойно-сляпо, плацебо-контролирано проучване фаза 3 на сунитиниб. В това проучване 312 пациенти са били рандомизирани (2:1) да получават перорално веднъж дневно по Схема 4/2 50 </w:t>
      </w:r>
      <w:r w:rsidRPr="00E86AE3">
        <w:rPr>
          <w:rFonts w:eastAsia="Times New Roman" w:cs="Arial"/>
          <w:color w:val="000000"/>
          <w:lang w:val="en-US"/>
        </w:rPr>
        <w:t xml:space="preserve">mg </w:t>
      </w:r>
      <w:r w:rsidRPr="00E86AE3">
        <w:rPr>
          <w:rFonts w:eastAsia="Times New Roman" w:cs="Arial"/>
          <w:color w:val="000000"/>
          <w:lang w:eastAsia="bg-BG"/>
        </w:rPr>
        <w:t xml:space="preserve">сунитиниб или плацебо до прогресия на заболяването или оттегляне от проучването по друга причина (207 пациенти са получавали сунитиниб, а 105 пациенти са получавали плацебо). Първичната крайна точка за ефикасност при проучването е била ТТР, определена като времето от рандомизиране до първото документиране на обективна прогресия на тумора. По времето на предварително определения междинен анализ, средното ТТР при сунитиниб е било 28,9 седмици (95% </w:t>
      </w:r>
      <w:r w:rsidRPr="00E86AE3">
        <w:rPr>
          <w:rFonts w:eastAsia="Times New Roman" w:cs="Arial"/>
          <w:color w:val="000000"/>
          <w:lang w:val="en-US"/>
        </w:rPr>
        <w:t xml:space="preserve">CI: </w:t>
      </w:r>
      <w:r w:rsidRPr="00E86AE3">
        <w:rPr>
          <w:rFonts w:eastAsia="Times New Roman" w:cs="Arial"/>
          <w:color w:val="000000"/>
          <w:lang w:eastAsia="bg-BG"/>
        </w:rPr>
        <w:t xml:space="preserve">21,3,34,1) според оценката на изследователя и 27,3 седмици (95% </w:t>
      </w:r>
      <w:r w:rsidRPr="00E86AE3">
        <w:rPr>
          <w:rFonts w:eastAsia="Times New Roman" w:cs="Arial"/>
          <w:color w:val="000000"/>
          <w:lang w:val="en-US"/>
        </w:rPr>
        <w:t xml:space="preserve">CI: </w:t>
      </w:r>
      <w:r w:rsidRPr="00E86AE3">
        <w:rPr>
          <w:rFonts w:eastAsia="Times New Roman" w:cs="Arial"/>
          <w:color w:val="000000"/>
          <w:lang w:eastAsia="bg-BG"/>
        </w:rPr>
        <w:t xml:space="preserve">16,0,32,1) според оценката от независимия преглед и е било статистически значимо по-продължително, отколкото ТТР при плацебо от 5,1 седмици (95% </w:t>
      </w:r>
      <w:r w:rsidRPr="00E86AE3">
        <w:rPr>
          <w:rFonts w:eastAsia="Times New Roman" w:cs="Arial"/>
          <w:color w:val="000000"/>
          <w:lang w:val="en-US"/>
        </w:rPr>
        <w:t xml:space="preserve">CI: </w:t>
      </w:r>
      <w:r w:rsidRPr="00E86AE3">
        <w:rPr>
          <w:rFonts w:eastAsia="Times New Roman" w:cs="Arial"/>
          <w:color w:val="000000"/>
          <w:lang w:eastAsia="bg-BG"/>
        </w:rPr>
        <w:t xml:space="preserve">4,4, 10,1) според оценката на изследователя и 6,4 седмици (95% </w:t>
      </w:r>
      <w:r w:rsidRPr="00E86AE3">
        <w:rPr>
          <w:rFonts w:eastAsia="Times New Roman" w:cs="Arial"/>
          <w:color w:val="000000"/>
          <w:lang w:val="en-US"/>
        </w:rPr>
        <w:t xml:space="preserve">CI: </w:t>
      </w:r>
      <w:r w:rsidRPr="00E86AE3">
        <w:rPr>
          <w:rFonts w:eastAsia="Times New Roman" w:cs="Arial"/>
          <w:color w:val="000000"/>
          <w:lang w:eastAsia="bg-BG"/>
        </w:rPr>
        <w:t xml:space="preserve">4,4,10,0) според оценката от независимия преглед. Разликата в общата преживяемост </w:t>
      </w:r>
      <w:r w:rsidRPr="00E86AE3">
        <w:rPr>
          <w:rFonts w:eastAsia="Times New Roman" w:cs="Arial"/>
          <w:color w:val="000000"/>
          <w:lang w:val="en-US"/>
        </w:rPr>
        <w:t>(</w:t>
      </w:r>
      <w:proofErr w:type="spellStart"/>
      <w:r w:rsidRPr="00E86AE3">
        <w:rPr>
          <w:rFonts w:eastAsia="Times New Roman" w:cs="Arial"/>
          <w:color w:val="000000"/>
          <w:lang w:val="en-US"/>
        </w:rPr>
        <w:t>Overal</w:t>
      </w:r>
      <w:proofErr w:type="spellEnd"/>
      <w:r w:rsidRPr="00E86AE3">
        <w:rPr>
          <w:rFonts w:eastAsia="Times New Roman" w:cs="Arial"/>
          <w:color w:val="000000"/>
          <w:lang w:val="en-US"/>
        </w:rPr>
        <w:t xml:space="preserve"> Survival, OS) </w:t>
      </w:r>
      <w:r w:rsidRPr="00E86AE3">
        <w:rPr>
          <w:rFonts w:eastAsia="Times New Roman" w:cs="Arial"/>
          <w:color w:val="000000"/>
          <w:lang w:eastAsia="bg-BG"/>
        </w:rPr>
        <w:t xml:space="preserve">е била статистически в полза на сунитиниб [коефициент на риск </w:t>
      </w:r>
      <w:r w:rsidRPr="00E86AE3">
        <w:rPr>
          <w:rFonts w:eastAsia="Times New Roman" w:cs="Arial"/>
          <w:color w:val="000000"/>
          <w:lang w:val="en-US"/>
        </w:rPr>
        <w:t xml:space="preserve">(Hazard Ratio, HR): </w:t>
      </w:r>
      <w:r w:rsidRPr="00E86AE3">
        <w:rPr>
          <w:rFonts w:eastAsia="Times New Roman" w:cs="Arial"/>
          <w:color w:val="000000"/>
          <w:lang w:eastAsia="bg-BG"/>
        </w:rPr>
        <w:t>0,491, (95%</w:t>
      </w:r>
      <w:r w:rsidRPr="00E86AE3">
        <w:rPr>
          <w:rFonts w:eastAsia="Times New Roman" w:cs="Arial"/>
          <w:color w:val="000000"/>
          <w:lang w:val="en-US"/>
        </w:rPr>
        <w:t xml:space="preserve"> CI</w:t>
      </w:r>
      <w:r w:rsidRPr="00E86AE3">
        <w:rPr>
          <w:rFonts w:eastAsia="Times New Roman" w:cs="Arial"/>
          <w:color w:val="000000"/>
        </w:rPr>
        <w:t xml:space="preserve"> </w:t>
      </w:r>
      <w:r w:rsidRPr="00E86AE3">
        <w:rPr>
          <w:rFonts w:eastAsia="Times New Roman" w:cs="Arial"/>
          <w:color w:val="000000"/>
          <w:lang w:eastAsia="bg-BG"/>
        </w:rPr>
        <w:t>0,290, 0,831)]; рискът от смърт е бил 2 пъти по-висок при пациентите в рамото на.плацебо, сравнено с рамото на сунитиниб.</w:t>
      </w:r>
    </w:p>
    <w:p w14:paraId="6B5E7D36" w14:textId="77777777" w:rsidR="001A0823" w:rsidRPr="00E86AE3" w:rsidRDefault="001A0823" w:rsidP="001A0823">
      <w:pPr>
        <w:spacing w:line="240" w:lineRule="auto"/>
        <w:rPr>
          <w:rFonts w:eastAsia="Times New Roman" w:cs="Arial"/>
          <w:color w:val="000000"/>
          <w:lang w:eastAsia="bg-BG"/>
        </w:rPr>
      </w:pPr>
    </w:p>
    <w:p w14:paraId="68F4762A" w14:textId="0B342AE6" w:rsidR="001A0823" w:rsidRPr="00E86AE3" w:rsidRDefault="001A0823" w:rsidP="001A0823">
      <w:pPr>
        <w:spacing w:line="240" w:lineRule="auto"/>
        <w:rPr>
          <w:rFonts w:eastAsia="Times New Roman" w:cs="Arial"/>
          <w:lang w:eastAsia="bg-BG"/>
        </w:rPr>
      </w:pPr>
      <w:r w:rsidRPr="00E86AE3">
        <w:rPr>
          <w:rFonts w:eastAsia="Times New Roman" w:cs="Arial"/>
          <w:color w:val="000000"/>
          <w:lang w:eastAsia="bg-BG"/>
        </w:rPr>
        <w:t>След междинния анализ на ефикасността и безопасността, по препоръката на независимия Борд за мониториране на данни и безопасност (БМДБ), проучването става незаслепено и на пациентите в рамото на плацебо е предложено открито лечение със сунитиниб:</w:t>
      </w:r>
    </w:p>
    <w:p w14:paraId="65D868B0" w14:textId="77777777" w:rsidR="001A0823" w:rsidRPr="00E86AE3" w:rsidRDefault="001A0823" w:rsidP="001A0823">
      <w:pPr>
        <w:spacing w:line="240" w:lineRule="auto"/>
        <w:rPr>
          <w:rFonts w:eastAsia="Times New Roman" w:cs="Arial"/>
          <w:color w:val="000000"/>
          <w:lang w:eastAsia="bg-BG"/>
        </w:rPr>
      </w:pPr>
    </w:p>
    <w:p w14:paraId="056610AA" w14:textId="22F681A5" w:rsidR="001A0823" w:rsidRPr="00E86AE3" w:rsidRDefault="001A0823" w:rsidP="001A0823">
      <w:pPr>
        <w:spacing w:line="240" w:lineRule="auto"/>
        <w:rPr>
          <w:rFonts w:eastAsia="Times New Roman" w:cs="Arial"/>
          <w:lang w:eastAsia="bg-BG"/>
        </w:rPr>
      </w:pPr>
      <w:r w:rsidRPr="00E86AE3">
        <w:rPr>
          <w:rFonts w:eastAsia="Times New Roman" w:cs="Arial"/>
          <w:color w:val="000000"/>
          <w:lang w:eastAsia="bg-BG"/>
        </w:rPr>
        <w:t>Общо 255 пациенти са приемали сунитиниб в откритата фаза на проучването, включително</w:t>
      </w:r>
    </w:p>
    <w:p w14:paraId="3799F059" w14:textId="77777777" w:rsidR="001A0823" w:rsidRPr="00E86AE3" w:rsidRDefault="001A0823" w:rsidP="001A0823">
      <w:pPr>
        <w:spacing w:line="240" w:lineRule="auto"/>
        <w:rPr>
          <w:rFonts w:eastAsia="Times New Roman" w:cs="Arial"/>
          <w:lang w:eastAsia="bg-BG"/>
        </w:rPr>
      </w:pPr>
      <w:r w:rsidRPr="00E86AE3">
        <w:rPr>
          <w:rFonts w:eastAsia="Times New Roman" w:cs="Arial"/>
          <w:color w:val="000000"/>
          <w:lang w:eastAsia="bg-BG"/>
        </w:rPr>
        <w:t>99 пациенти, които първоначално са лекувани с плацебо.</w:t>
      </w:r>
    </w:p>
    <w:p w14:paraId="1F8C15B7" w14:textId="77777777" w:rsidR="001A0823" w:rsidRPr="00E86AE3" w:rsidRDefault="001A0823" w:rsidP="001A0823">
      <w:pPr>
        <w:spacing w:line="240" w:lineRule="auto"/>
        <w:rPr>
          <w:rFonts w:eastAsia="Times New Roman" w:cs="Arial"/>
          <w:color w:val="000000"/>
          <w:lang w:eastAsia="bg-BG"/>
        </w:rPr>
      </w:pPr>
    </w:p>
    <w:p w14:paraId="27A64EB7" w14:textId="3A35084C" w:rsidR="001A0823" w:rsidRPr="00E86AE3" w:rsidRDefault="001A0823" w:rsidP="001A0823">
      <w:pPr>
        <w:spacing w:line="240" w:lineRule="auto"/>
        <w:rPr>
          <w:rFonts w:eastAsia="Times New Roman" w:cs="Arial"/>
          <w:lang w:eastAsia="bg-BG"/>
        </w:rPr>
      </w:pPr>
      <w:r w:rsidRPr="00E86AE3">
        <w:rPr>
          <w:rFonts w:eastAsia="Times New Roman" w:cs="Arial"/>
          <w:color w:val="000000"/>
          <w:lang w:eastAsia="bg-BG"/>
        </w:rPr>
        <w:lastRenderedPageBreak/>
        <w:t>Анализът на първичните и вторичните крайни точки в откритата фаза на проучването потвърждават резултатите, получени по време на междинния анализ, както е показано в таблица 2:</w:t>
      </w:r>
    </w:p>
    <w:p w14:paraId="4C8DFE21" w14:textId="77777777" w:rsidR="001A0823" w:rsidRPr="00E86AE3" w:rsidRDefault="001A0823" w:rsidP="001A0823">
      <w:pPr>
        <w:rPr>
          <w:rFonts w:eastAsia="Times New Roman" w:cs="Arial"/>
          <w:b/>
          <w:bCs/>
          <w:color w:val="000000"/>
          <w:u w:val="single"/>
          <w:lang w:eastAsia="bg-BG"/>
        </w:rPr>
      </w:pPr>
    </w:p>
    <w:p w14:paraId="038F692B" w14:textId="7E5B0443" w:rsidR="007A2185" w:rsidRPr="00E86AE3" w:rsidRDefault="001A0823" w:rsidP="001A0823">
      <w:pPr>
        <w:rPr>
          <w:rFonts w:eastAsia="Times New Roman" w:cs="Arial"/>
          <w:b/>
          <w:bCs/>
          <w:color w:val="000000"/>
          <w:u w:val="single"/>
          <w:lang w:eastAsia="bg-BG"/>
        </w:rPr>
      </w:pPr>
      <w:r w:rsidRPr="00E86AE3">
        <w:rPr>
          <w:rFonts w:eastAsia="Times New Roman" w:cs="Arial"/>
          <w:b/>
          <w:bCs/>
          <w:color w:val="000000"/>
          <w:u w:val="single"/>
          <w:lang w:eastAsia="bg-BG"/>
        </w:rPr>
        <w:t xml:space="preserve">Таблица 2 - ГИСТ обобщение на крайните точки за ефикасност </w:t>
      </w:r>
      <w:r w:rsidRPr="00E86AE3">
        <w:rPr>
          <w:rFonts w:eastAsia="Times New Roman" w:cs="Arial"/>
          <w:b/>
          <w:bCs/>
          <w:color w:val="000000"/>
          <w:u w:val="single"/>
          <w:lang w:val="en-US"/>
        </w:rPr>
        <w:t xml:space="preserve">(ITT </w:t>
      </w:r>
      <w:r w:rsidRPr="00E86AE3">
        <w:rPr>
          <w:rFonts w:eastAsia="Times New Roman" w:cs="Arial"/>
          <w:b/>
          <w:bCs/>
          <w:color w:val="000000"/>
          <w:u w:val="single"/>
          <w:lang w:eastAsia="bg-BG"/>
        </w:rPr>
        <w:t>популация)</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C35E5D" w14:paraId="29A23808" w14:textId="77777777" w:rsidTr="001D4CCA">
        <w:tc>
          <w:tcPr>
            <w:tcW w:w="1558" w:type="dxa"/>
            <w:vMerge w:val="restart"/>
          </w:tcPr>
          <w:p w14:paraId="16FC8096" w14:textId="77777777" w:rsidR="00C35E5D" w:rsidRDefault="00C35E5D" w:rsidP="001A0823"/>
        </w:tc>
        <w:tc>
          <w:tcPr>
            <w:tcW w:w="7792" w:type="dxa"/>
            <w:gridSpan w:val="5"/>
          </w:tcPr>
          <w:p w14:paraId="4D46A12E" w14:textId="13CDB9A0" w:rsidR="00C35E5D" w:rsidRDefault="00C35E5D" w:rsidP="00C35E5D">
            <w:pPr>
              <w:jc w:val="center"/>
            </w:pPr>
            <w:r>
              <w:rPr>
                <w:b/>
                <w:bCs/>
              </w:rPr>
              <w:t xml:space="preserve">Двойно-сляпо лечение </w:t>
            </w:r>
            <w:r>
              <w:rPr>
                <w:b/>
                <w:bCs/>
                <w:vertAlign w:val="superscript"/>
              </w:rPr>
              <w:t>а</w:t>
            </w:r>
          </w:p>
        </w:tc>
      </w:tr>
      <w:tr w:rsidR="00C35E5D" w14:paraId="683ED396" w14:textId="77777777" w:rsidTr="006D53D2">
        <w:tc>
          <w:tcPr>
            <w:tcW w:w="1558" w:type="dxa"/>
            <w:vMerge/>
          </w:tcPr>
          <w:p w14:paraId="4F4C47F9" w14:textId="77777777" w:rsidR="00C35E5D" w:rsidRDefault="00C35E5D" w:rsidP="00C35E5D"/>
        </w:tc>
        <w:tc>
          <w:tcPr>
            <w:tcW w:w="3116" w:type="dxa"/>
            <w:gridSpan w:val="2"/>
          </w:tcPr>
          <w:p w14:paraId="7B12D3D2" w14:textId="7D4208F5" w:rsidR="00C35E5D" w:rsidRDefault="00C35E5D" w:rsidP="00C35E5D">
            <w:r>
              <w:rPr>
                <w:b/>
                <w:bCs/>
              </w:rPr>
              <w:t xml:space="preserve">Медиана (95% </w:t>
            </w:r>
            <w:r>
              <w:rPr>
                <w:b/>
                <w:bCs/>
                <w:lang w:val="en-US"/>
              </w:rPr>
              <w:t>CI)</w:t>
            </w:r>
          </w:p>
        </w:tc>
        <w:tc>
          <w:tcPr>
            <w:tcW w:w="3117" w:type="dxa"/>
            <w:gridSpan w:val="2"/>
          </w:tcPr>
          <w:p w14:paraId="085859F1" w14:textId="695EA533" w:rsidR="00C35E5D" w:rsidRDefault="00C35E5D" w:rsidP="00C35E5D">
            <w:r>
              <w:rPr>
                <w:b/>
                <w:bCs/>
              </w:rPr>
              <w:t>Коефициент на риска</w:t>
            </w:r>
          </w:p>
        </w:tc>
        <w:tc>
          <w:tcPr>
            <w:tcW w:w="1559" w:type="dxa"/>
            <w:vMerge w:val="restart"/>
          </w:tcPr>
          <w:p w14:paraId="407F21C2" w14:textId="18D321CB" w:rsidR="00C35E5D" w:rsidRDefault="00C35E5D" w:rsidP="00C35E5D">
            <w:r>
              <w:rPr>
                <w:b/>
                <w:bCs/>
              </w:rPr>
              <w:t xml:space="preserve">Плацебо </w:t>
            </w:r>
            <w:r>
              <w:rPr>
                <w:b/>
                <w:bCs/>
                <w:lang w:val="en-US"/>
              </w:rPr>
              <w:t xml:space="preserve">cross-over </w:t>
            </w:r>
            <w:r>
              <w:rPr>
                <w:b/>
                <w:bCs/>
              </w:rPr>
              <w:t>група лечение</w:t>
            </w:r>
            <w:r>
              <w:rPr>
                <w:b/>
                <w:bCs/>
                <w:vertAlign w:val="superscript"/>
                <w:lang w:val="en-US"/>
              </w:rPr>
              <w:t>b</w:t>
            </w:r>
          </w:p>
        </w:tc>
      </w:tr>
      <w:tr w:rsidR="001A0823" w14:paraId="6AD76C59" w14:textId="77777777" w:rsidTr="001A0823">
        <w:tc>
          <w:tcPr>
            <w:tcW w:w="1558" w:type="dxa"/>
          </w:tcPr>
          <w:p w14:paraId="4D47FF9A" w14:textId="3F22A3A6" w:rsidR="001A0823" w:rsidRDefault="001A0823" w:rsidP="001A0823">
            <w:r>
              <w:rPr>
                <w:b/>
                <w:bCs/>
              </w:rPr>
              <w:t>Крайна точка</w:t>
            </w:r>
          </w:p>
        </w:tc>
        <w:tc>
          <w:tcPr>
            <w:tcW w:w="1558" w:type="dxa"/>
          </w:tcPr>
          <w:p w14:paraId="5E25962D" w14:textId="2EECFAE3" w:rsidR="001A0823" w:rsidRDefault="001A0823" w:rsidP="001A0823">
            <w:r>
              <w:rPr>
                <w:b/>
                <w:bCs/>
              </w:rPr>
              <w:t>Сунитиниб</w:t>
            </w:r>
          </w:p>
        </w:tc>
        <w:tc>
          <w:tcPr>
            <w:tcW w:w="1558" w:type="dxa"/>
          </w:tcPr>
          <w:p w14:paraId="62FF3761" w14:textId="5461994D" w:rsidR="001A0823" w:rsidRDefault="001A0823" w:rsidP="001A0823">
            <w:r>
              <w:rPr>
                <w:b/>
                <w:bCs/>
              </w:rPr>
              <w:t>Плацебо</w:t>
            </w:r>
          </w:p>
        </w:tc>
        <w:tc>
          <w:tcPr>
            <w:tcW w:w="1558" w:type="dxa"/>
          </w:tcPr>
          <w:p w14:paraId="73FC67D1" w14:textId="3F42F9B6" w:rsidR="001A0823" w:rsidRDefault="001A0823" w:rsidP="001A0823">
            <w:r>
              <w:rPr>
                <w:b/>
                <w:bCs/>
              </w:rPr>
              <w:t xml:space="preserve">(95% </w:t>
            </w:r>
            <w:r>
              <w:rPr>
                <w:b/>
                <w:bCs/>
                <w:lang w:val="en-US"/>
              </w:rPr>
              <w:t>CI)</w:t>
            </w:r>
          </w:p>
        </w:tc>
        <w:tc>
          <w:tcPr>
            <w:tcW w:w="1559" w:type="dxa"/>
          </w:tcPr>
          <w:p w14:paraId="3527A620" w14:textId="077293B0" w:rsidR="001A0823" w:rsidRDefault="001A0823" w:rsidP="001A0823">
            <w:r>
              <w:rPr>
                <w:b/>
                <w:bCs/>
              </w:rPr>
              <w:t>р-стой</w:t>
            </w:r>
            <w:r>
              <w:rPr>
                <w:b/>
                <w:bCs/>
              </w:rPr>
              <w:softHyphen/>
              <w:t>ност</w:t>
            </w:r>
          </w:p>
        </w:tc>
        <w:tc>
          <w:tcPr>
            <w:tcW w:w="1559" w:type="dxa"/>
            <w:vMerge/>
          </w:tcPr>
          <w:p w14:paraId="4D1CF45D" w14:textId="77777777" w:rsidR="001A0823" w:rsidRDefault="001A0823" w:rsidP="001A0823"/>
        </w:tc>
      </w:tr>
      <w:tr w:rsidR="001A0823" w14:paraId="54CC52BE" w14:textId="77777777" w:rsidTr="001A0823">
        <w:tc>
          <w:tcPr>
            <w:tcW w:w="1558" w:type="dxa"/>
          </w:tcPr>
          <w:p w14:paraId="51986EE0" w14:textId="77777777" w:rsidR="001A0823" w:rsidRDefault="001A0823" w:rsidP="001A0823">
            <w:r>
              <w:rPr>
                <w:b/>
                <w:bCs/>
              </w:rPr>
              <w:t>Първична:</w:t>
            </w:r>
          </w:p>
          <w:p w14:paraId="656486FE" w14:textId="5FE25A18" w:rsidR="001A0823" w:rsidRDefault="001A0823" w:rsidP="001A0823">
            <w:r>
              <w:t>ВТП (седмици)</w:t>
            </w:r>
          </w:p>
        </w:tc>
        <w:tc>
          <w:tcPr>
            <w:tcW w:w="1558" w:type="dxa"/>
          </w:tcPr>
          <w:p w14:paraId="5C9BB76E" w14:textId="77777777" w:rsidR="001A0823" w:rsidRDefault="001A0823" w:rsidP="001A0823"/>
        </w:tc>
        <w:tc>
          <w:tcPr>
            <w:tcW w:w="1558" w:type="dxa"/>
          </w:tcPr>
          <w:p w14:paraId="5CD8EC26" w14:textId="77777777" w:rsidR="001A0823" w:rsidRDefault="001A0823" w:rsidP="001A0823"/>
        </w:tc>
        <w:tc>
          <w:tcPr>
            <w:tcW w:w="1558" w:type="dxa"/>
          </w:tcPr>
          <w:p w14:paraId="08E84AF2" w14:textId="77777777" w:rsidR="001A0823" w:rsidRDefault="001A0823" w:rsidP="001A0823"/>
        </w:tc>
        <w:tc>
          <w:tcPr>
            <w:tcW w:w="1559" w:type="dxa"/>
          </w:tcPr>
          <w:p w14:paraId="528FD0EC" w14:textId="77777777" w:rsidR="001A0823" w:rsidRDefault="001A0823" w:rsidP="001A0823"/>
        </w:tc>
        <w:tc>
          <w:tcPr>
            <w:tcW w:w="1559" w:type="dxa"/>
          </w:tcPr>
          <w:p w14:paraId="724ED19C" w14:textId="77777777" w:rsidR="001A0823" w:rsidRDefault="001A0823" w:rsidP="001A0823"/>
        </w:tc>
      </w:tr>
      <w:tr w:rsidR="001A0823" w14:paraId="39B598C9" w14:textId="77777777" w:rsidTr="001A0823">
        <w:tc>
          <w:tcPr>
            <w:tcW w:w="1558" w:type="dxa"/>
          </w:tcPr>
          <w:p w14:paraId="3D8F33A4" w14:textId="09A738F1" w:rsidR="001A0823" w:rsidRDefault="001A0823" w:rsidP="001A0823">
            <w:r>
              <w:rPr>
                <w:i/>
                <w:iCs/>
              </w:rPr>
              <w:t>Междинна</w:t>
            </w:r>
          </w:p>
        </w:tc>
        <w:tc>
          <w:tcPr>
            <w:tcW w:w="1558" w:type="dxa"/>
          </w:tcPr>
          <w:p w14:paraId="6F403071" w14:textId="77777777" w:rsidR="001A0823" w:rsidRDefault="001A0823" w:rsidP="001A0823">
            <w:r>
              <w:t>27,3</w:t>
            </w:r>
          </w:p>
          <w:p w14:paraId="39BCF4A5" w14:textId="0C8F566A" w:rsidR="001A0823" w:rsidRDefault="001A0823" w:rsidP="001A0823">
            <w:r>
              <w:t>(16,0, 32,1)</w:t>
            </w:r>
          </w:p>
        </w:tc>
        <w:tc>
          <w:tcPr>
            <w:tcW w:w="1558" w:type="dxa"/>
          </w:tcPr>
          <w:p w14:paraId="21021E28" w14:textId="71F2E19E" w:rsidR="001A0823" w:rsidRDefault="001A0823" w:rsidP="001A0823">
            <w:r>
              <w:t>6,4 (4,4, 10,0)</w:t>
            </w:r>
          </w:p>
        </w:tc>
        <w:tc>
          <w:tcPr>
            <w:tcW w:w="1558" w:type="dxa"/>
          </w:tcPr>
          <w:p w14:paraId="0DC664AF" w14:textId="77777777" w:rsidR="001A0823" w:rsidRDefault="001A0823" w:rsidP="001A0823">
            <w:r>
              <w:t>0,329</w:t>
            </w:r>
          </w:p>
          <w:p w14:paraId="694BB18E" w14:textId="0F1151D6" w:rsidR="001A0823" w:rsidRDefault="001A0823" w:rsidP="001A0823">
            <w:r>
              <w:t>(0,233, 0,466)</w:t>
            </w:r>
          </w:p>
        </w:tc>
        <w:tc>
          <w:tcPr>
            <w:tcW w:w="1559" w:type="dxa"/>
          </w:tcPr>
          <w:p w14:paraId="17E78A4D" w14:textId="267D446D" w:rsidR="001A0823" w:rsidRDefault="001A0823" w:rsidP="001A0823">
            <w:r>
              <w:t>&lt;0,001</w:t>
            </w:r>
          </w:p>
        </w:tc>
        <w:tc>
          <w:tcPr>
            <w:tcW w:w="1559" w:type="dxa"/>
          </w:tcPr>
          <w:p w14:paraId="28B16D29" w14:textId="77777777" w:rsidR="001A0823" w:rsidRDefault="001A0823" w:rsidP="001A0823"/>
        </w:tc>
      </w:tr>
      <w:tr w:rsidR="001A0823" w14:paraId="348418D4" w14:textId="77777777" w:rsidTr="001A0823">
        <w:tc>
          <w:tcPr>
            <w:tcW w:w="1558" w:type="dxa"/>
          </w:tcPr>
          <w:p w14:paraId="06B31729" w14:textId="2EB6E097" w:rsidR="001A0823" w:rsidRDefault="001A0823" w:rsidP="001A0823">
            <w:r>
              <w:rPr>
                <w:i/>
                <w:iCs/>
              </w:rPr>
              <w:t>Крайна</w:t>
            </w:r>
          </w:p>
        </w:tc>
        <w:tc>
          <w:tcPr>
            <w:tcW w:w="1558" w:type="dxa"/>
          </w:tcPr>
          <w:p w14:paraId="1F8C45F4" w14:textId="38D2D646" w:rsidR="001A0823" w:rsidRDefault="001A0823" w:rsidP="001A0823">
            <w:r>
              <w:t>26,6 (16,0, 32,1)</w:t>
            </w:r>
          </w:p>
        </w:tc>
        <w:tc>
          <w:tcPr>
            <w:tcW w:w="1558" w:type="dxa"/>
          </w:tcPr>
          <w:p w14:paraId="6364751C" w14:textId="0B7317F8" w:rsidR="001A0823" w:rsidRDefault="001A0823" w:rsidP="001A0823">
            <w:r>
              <w:t>6,4 (4,4, 10,0)</w:t>
            </w:r>
          </w:p>
        </w:tc>
        <w:tc>
          <w:tcPr>
            <w:tcW w:w="1558" w:type="dxa"/>
          </w:tcPr>
          <w:p w14:paraId="596B4515" w14:textId="77777777" w:rsidR="001A0823" w:rsidRDefault="001A0823" w:rsidP="001A0823">
            <w:r>
              <w:t>0,339</w:t>
            </w:r>
          </w:p>
          <w:p w14:paraId="1FED9A5A" w14:textId="0346151E" w:rsidR="001A0823" w:rsidRDefault="001A0823" w:rsidP="001A0823">
            <w:r>
              <w:t>(0,244, 0,472)</w:t>
            </w:r>
          </w:p>
        </w:tc>
        <w:tc>
          <w:tcPr>
            <w:tcW w:w="1559" w:type="dxa"/>
          </w:tcPr>
          <w:p w14:paraId="794726BD" w14:textId="32A4D540" w:rsidR="001A0823" w:rsidRDefault="001A0823" w:rsidP="001A0823">
            <w:r>
              <w:t>&lt;0,001</w:t>
            </w:r>
          </w:p>
        </w:tc>
        <w:tc>
          <w:tcPr>
            <w:tcW w:w="1559" w:type="dxa"/>
          </w:tcPr>
          <w:p w14:paraId="39A61BC5" w14:textId="39D80AD3" w:rsidR="001A0823" w:rsidRDefault="001A0823" w:rsidP="001A0823">
            <w:r>
              <w:t>10,4 (4,3, 22,0)</w:t>
            </w:r>
          </w:p>
        </w:tc>
      </w:tr>
      <w:tr w:rsidR="001A0823" w14:paraId="5D7D49D3" w14:textId="77777777" w:rsidTr="001A0823">
        <w:tc>
          <w:tcPr>
            <w:tcW w:w="1558" w:type="dxa"/>
          </w:tcPr>
          <w:p w14:paraId="4AB942B3" w14:textId="7895B850" w:rsidR="001A0823" w:rsidRDefault="001A0823" w:rsidP="001A0823">
            <w:r>
              <w:rPr>
                <w:b/>
                <w:bCs/>
              </w:rPr>
              <w:t>Вторична</w:t>
            </w:r>
          </w:p>
        </w:tc>
        <w:tc>
          <w:tcPr>
            <w:tcW w:w="1558" w:type="dxa"/>
          </w:tcPr>
          <w:p w14:paraId="4040A405" w14:textId="77777777" w:rsidR="001A0823" w:rsidRDefault="001A0823" w:rsidP="001A0823"/>
        </w:tc>
        <w:tc>
          <w:tcPr>
            <w:tcW w:w="1558" w:type="dxa"/>
          </w:tcPr>
          <w:p w14:paraId="0AE1293D" w14:textId="77777777" w:rsidR="001A0823" w:rsidRDefault="001A0823" w:rsidP="001A0823"/>
        </w:tc>
        <w:tc>
          <w:tcPr>
            <w:tcW w:w="1558" w:type="dxa"/>
          </w:tcPr>
          <w:p w14:paraId="7AF7BF54" w14:textId="77777777" w:rsidR="001A0823" w:rsidRDefault="001A0823" w:rsidP="001A0823"/>
        </w:tc>
        <w:tc>
          <w:tcPr>
            <w:tcW w:w="1559" w:type="dxa"/>
          </w:tcPr>
          <w:p w14:paraId="0D74063C" w14:textId="77777777" w:rsidR="001A0823" w:rsidRDefault="001A0823" w:rsidP="001A0823"/>
        </w:tc>
        <w:tc>
          <w:tcPr>
            <w:tcW w:w="1559" w:type="dxa"/>
          </w:tcPr>
          <w:p w14:paraId="371FE412" w14:textId="77777777" w:rsidR="001A0823" w:rsidRDefault="001A0823" w:rsidP="001A0823"/>
        </w:tc>
      </w:tr>
      <w:tr w:rsidR="001A0823" w14:paraId="315AC287" w14:textId="77777777" w:rsidTr="001A0823">
        <w:tc>
          <w:tcPr>
            <w:tcW w:w="1558" w:type="dxa"/>
          </w:tcPr>
          <w:p w14:paraId="2A8601D7" w14:textId="22CCD185" w:rsidR="001A0823" w:rsidRDefault="001A0823" w:rsidP="001A0823">
            <w:r>
              <w:t>ПБП (седмици)</w:t>
            </w:r>
            <w:r>
              <w:rPr>
                <w:vertAlign w:val="superscript"/>
              </w:rPr>
              <w:t>с</w:t>
            </w:r>
          </w:p>
        </w:tc>
        <w:tc>
          <w:tcPr>
            <w:tcW w:w="1558" w:type="dxa"/>
          </w:tcPr>
          <w:p w14:paraId="720154F1" w14:textId="77777777" w:rsidR="001A0823" w:rsidRDefault="001A0823" w:rsidP="001A0823"/>
        </w:tc>
        <w:tc>
          <w:tcPr>
            <w:tcW w:w="1558" w:type="dxa"/>
          </w:tcPr>
          <w:p w14:paraId="38249876" w14:textId="77777777" w:rsidR="001A0823" w:rsidRDefault="001A0823" w:rsidP="001A0823"/>
        </w:tc>
        <w:tc>
          <w:tcPr>
            <w:tcW w:w="1558" w:type="dxa"/>
          </w:tcPr>
          <w:p w14:paraId="6EF9CAE5" w14:textId="77777777" w:rsidR="001A0823" w:rsidRDefault="001A0823" w:rsidP="001A0823"/>
        </w:tc>
        <w:tc>
          <w:tcPr>
            <w:tcW w:w="1559" w:type="dxa"/>
          </w:tcPr>
          <w:p w14:paraId="7FE99FD5" w14:textId="77777777" w:rsidR="001A0823" w:rsidRDefault="001A0823" w:rsidP="001A0823"/>
        </w:tc>
        <w:tc>
          <w:tcPr>
            <w:tcW w:w="1559" w:type="dxa"/>
          </w:tcPr>
          <w:p w14:paraId="40A5BD44" w14:textId="77777777" w:rsidR="001A0823" w:rsidRDefault="001A0823" w:rsidP="001A0823"/>
        </w:tc>
      </w:tr>
      <w:tr w:rsidR="001A0823" w14:paraId="050C13AF" w14:textId="77777777" w:rsidTr="001A0823">
        <w:tc>
          <w:tcPr>
            <w:tcW w:w="1558" w:type="dxa"/>
          </w:tcPr>
          <w:p w14:paraId="01E5934F" w14:textId="268EA9EB" w:rsidR="001A0823" w:rsidRDefault="001A0823" w:rsidP="001A0823">
            <w:r>
              <w:rPr>
                <w:i/>
                <w:iCs/>
              </w:rPr>
              <w:t>Междинна</w:t>
            </w:r>
          </w:p>
        </w:tc>
        <w:tc>
          <w:tcPr>
            <w:tcW w:w="1558" w:type="dxa"/>
          </w:tcPr>
          <w:p w14:paraId="5F50DE24" w14:textId="4A19649A" w:rsidR="001A0823" w:rsidRDefault="001A0823" w:rsidP="001A0823">
            <w:r>
              <w:t>24,1 (11,1,28,3)</w:t>
            </w:r>
          </w:p>
        </w:tc>
        <w:tc>
          <w:tcPr>
            <w:tcW w:w="1558" w:type="dxa"/>
          </w:tcPr>
          <w:p w14:paraId="3C66FDDF" w14:textId="4B3545AE" w:rsidR="001A0823" w:rsidRDefault="001A0823" w:rsidP="001A0823">
            <w:r>
              <w:t>6,0 (4,4, 9,9)</w:t>
            </w:r>
          </w:p>
        </w:tc>
        <w:tc>
          <w:tcPr>
            <w:tcW w:w="1558" w:type="dxa"/>
          </w:tcPr>
          <w:p w14:paraId="55BF06F7" w14:textId="77777777" w:rsidR="001A0823" w:rsidRDefault="001A0823" w:rsidP="001A0823">
            <w:r>
              <w:t>0,333</w:t>
            </w:r>
          </w:p>
          <w:p w14:paraId="562628FB" w14:textId="1C7B1B02" w:rsidR="001A0823" w:rsidRDefault="001A0823" w:rsidP="001A0823">
            <w:r>
              <w:t>(0,238, 0,467)</w:t>
            </w:r>
          </w:p>
        </w:tc>
        <w:tc>
          <w:tcPr>
            <w:tcW w:w="1559" w:type="dxa"/>
          </w:tcPr>
          <w:p w14:paraId="10FEFE47" w14:textId="39C7D712" w:rsidR="001A0823" w:rsidRDefault="001A0823" w:rsidP="001A0823">
            <w:r>
              <w:t>&lt;0,001</w:t>
            </w:r>
          </w:p>
        </w:tc>
        <w:tc>
          <w:tcPr>
            <w:tcW w:w="1559" w:type="dxa"/>
          </w:tcPr>
          <w:p w14:paraId="216D9C26" w14:textId="77777777" w:rsidR="001A0823" w:rsidRDefault="001A0823" w:rsidP="001A0823"/>
        </w:tc>
      </w:tr>
      <w:tr w:rsidR="001A0823" w14:paraId="0B3E2DAC" w14:textId="77777777" w:rsidTr="001A0823">
        <w:tc>
          <w:tcPr>
            <w:tcW w:w="1558" w:type="dxa"/>
          </w:tcPr>
          <w:p w14:paraId="3B5BC4B1" w14:textId="4292A1FC" w:rsidR="001A0823" w:rsidRDefault="001A0823" w:rsidP="001A0823">
            <w:r>
              <w:rPr>
                <w:i/>
                <w:iCs/>
              </w:rPr>
              <w:t>Крайна</w:t>
            </w:r>
          </w:p>
        </w:tc>
        <w:tc>
          <w:tcPr>
            <w:tcW w:w="1558" w:type="dxa"/>
          </w:tcPr>
          <w:p w14:paraId="4A9582E8" w14:textId="0E5D0F3A" w:rsidR="001A0823" w:rsidRDefault="001A0823" w:rsidP="001A0823">
            <w:r>
              <w:t>22,9 (10,9,28,0)</w:t>
            </w:r>
          </w:p>
        </w:tc>
        <w:tc>
          <w:tcPr>
            <w:tcW w:w="1558" w:type="dxa"/>
          </w:tcPr>
          <w:p w14:paraId="64CBD87E" w14:textId="231DCCE9" w:rsidR="001A0823" w:rsidRDefault="001A0823" w:rsidP="001A0823">
            <w:r>
              <w:t>6,0 (4,4, 9,7)</w:t>
            </w:r>
          </w:p>
        </w:tc>
        <w:tc>
          <w:tcPr>
            <w:tcW w:w="1558" w:type="dxa"/>
          </w:tcPr>
          <w:p w14:paraId="494AB9E5" w14:textId="77777777" w:rsidR="001A0823" w:rsidRDefault="001A0823" w:rsidP="001A0823">
            <w:r>
              <w:t>0,347</w:t>
            </w:r>
          </w:p>
          <w:p w14:paraId="7B3D4E49" w14:textId="52CA6952" w:rsidR="001A0823" w:rsidRDefault="001A0823" w:rsidP="001A0823">
            <w:r>
              <w:t>(0,253, 0,475)</w:t>
            </w:r>
          </w:p>
        </w:tc>
        <w:tc>
          <w:tcPr>
            <w:tcW w:w="1559" w:type="dxa"/>
          </w:tcPr>
          <w:p w14:paraId="79F131AA" w14:textId="3A37548B" w:rsidR="001A0823" w:rsidRDefault="001A0823" w:rsidP="001A0823">
            <w:r>
              <w:rPr>
                <w:b/>
                <w:bCs/>
              </w:rPr>
              <w:t>&lt;0,001</w:t>
            </w:r>
          </w:p>
        </w:tc>
        <w:tc>
          <w:tcPr>
            <w:tcW w:w="1559" w:type="dxa"/>
          </w:tcPr>
          <w:p w14:paraId="350B3D5F" w14:textId="77777777" w:rsidR="001A0823" w:rsidRDefault="001A0823" w:rsidP="001A0823"/>
        </w:tc>
      </w:tr>
      <w:tr w:rsidR="001A0823" w14:paraId="6A11E381" w14:textId="77777777" w:rsidTr="001A0823">
        <w:tc>
          <w:tcPr>
            <w:tcW w:w="1558" w:type="dxa"/>
          </w:tcPr>
          <w:p w14:paraId="6B6ACFE3" w14:textId="77B32598" w:rsidR="001A0823" w:rsidRDefault="001A0823" w:rsidP="001A0823">
            <w:r>
              <w:t xml:space="preserve">ЧОО (%) </w:t>
            </w:r>
            <w:r>
              <w:rPr>
                <w:vertAlign w:val="superscript"/>
                <w:lang w:val="en-US"/>
              </w:rPr>
              <w:t>d</w:t>
            </w:r>
          </w:p>
        </w:tc>
        <w:tc>
          <w:tcPr>
            <w:tcW w:w="1558" w:type="dxa"/>
          </w:tcPr>
          <w:p w14:paraId="7BB61E57" w14:textId="77777777" w:rsidR="001A0823" w:rsidRDefault="001A0823" w:rsidP="001A0823"/>
        </w:tc>
        <w:tc>
          <w:tcPr>
            <w:tcW w:w="1558" w:type="dxa"/>
          </w:tcPr>
          <w:p w14:paraId="14B6D895" w14:textId="77777777" w:rsidR="001A0823" w:rsidRDefault="001A0823" w:rsidP="001A0823"/>
        </w:tc>
        <w:tc>
          <w:tcPr>
            <w:tcW w:w="1558" w:type="dxa"/>
          </w:tcPr>
          <w:p w14:paraId="459F9209" w14:textId="77777777" w:rsidR="001A0823" w:rsidRDefault="001A0823" w:rsidP="001A0823"/>
        </w:tc>
        <w:tc>
          <w:tcPr>
            <w:tcW w:w="1559" w:type="dxa"/>
          </w:tcPr>
          <w:p w14:paraId="15B24F2B" w14:textId="77777777" w:rsidR="001A0823" w:rsidRDefault="001A0823" w:rsidP="001A0823"/>
        </w:tc>
        <w:tc>
          <w:tcPr>
            <w:tcW w:w="1559" w:type="dxa"/>
          </w:tcPr>
          <w:p w14:paraId="7493EDAC" w14:textId="77777777" w:rsidR="001A0823" w:rsidRDefault="001A0823" w:rsidP="001A0823"/>
        </w:tc>
      </w:tr>
      <w:tr w:rsidR="001A0823" w14:paraId="072A4288" w14:textId="77777777" w:rsidTr="001A0823">
        <w:tc>
          <w:tcPr>
            <w:tcW w:w="1558" w:type="dxa"/>
          </w:tcPr>
          <w:p w14:paraId="4B51CE2A" w14:textId="2EB634E7" w:rsidR="001A0823" w:rsidRDefault="001A0823" w:rsidP="001A0823">
            <w:r>
              <w:rPr>
                <w:i/>
                <w:iCs/>
              </w:rPr>
              <w:t>Междинна</w:t>
            </w:r>
          </w:p>
        </w:tc>
        <w:tc>
          <w:tcPr>
            <w:tcW w:w="1558" w:type="dxa"/>
          </w:tcPr>
          <w:p w14:paraId="1F183EFD" w14:textId="77777777" w:rsidR="001A0823" w:rsidRDefault="001A0823" w:rsidP="001A0823">
            <w:r>
              <w:rPr>
                <w:b/>
                <w:bCs/>
              </w:rPr>
              <w:t>6,8</w:t>
            </w:r>
          </w:p>
          <w:p w14:paraId="1C5EF63B" w14:textId="003524D0" w:rsidR="001A0823" w:rsidRDefault="001A0823" w:rsidP="001A0823">
            <w:r>
              <w:t xml:space="preserve">(3,7, </w:t>
            </w:r>
            <w:r>
              <w:rPr>
                <w:b/>
                <w:bCs/>
              </w:rPr>
              <w:t>11,1)</w:t>
            </w:r>
          </w:p>
        </w:tc>
        <w:tc>
          <w:tcPr>
            <w:tcW w:w="1558" w:type="dxa"/>
          </w:tcPr>
          <w:p w14:paraId="0218E82A" w14:textId="11D1FC2F" w:rsidR="001A0823" w:rsidRDefault="001A0823" w:rsidP="001A0823">
            <w:r>
              <w:t>0(-)</w:t>
            </w:r>
          </w:p>
        </w:tc>
        <w:tc>
          <w:tcPr>
            <w:tcW w:w="1558" w:type="dxa"/>
          </w:tcPr>
          <w:p w14:paraId="108F459D" w14:textId="3FC44887" w:rsidR="001A0823" w:rsidRDefault="001A0823" w:rsidP="001A0823">
            <w:r>
              <w:rPr>
                <w:b/>
                <w:bCs/>
                <w:lang w:val="en-US"/>
              </w:rPr>
              <w:t>NA</w:t>
            </w:r>
          </w:p>
        </w:tc>
        <w:tc>
          <w:tcPr>
            <w:tcW w:w="1559" w:type="dxa"/>
          </w:tcPr>
          <w:p w14:paraId="636E4DE9" w14:textId="681F46C0" w:rsidR="001A0823" w:rsidRDefault="001A0823" w:rsidP="001A0823">
            <w:r>
              <w:t>0,006</w:t>
            </w:r>
          </w:p>
        </w:tc>
        <w:tc>
          <w:tcPr>
            <w:tcW w:w="1559" w:type="dxa"/>
          </w:tcPr>
          <w:p w14:paraId="19AFC521" w14:textId="77777777" w:rsidR="001A0823" w:rsidRDefault="001A0823" w:rsidP="001A0823"/>
        </w:tc>
      </w:tr>
      <w:tr w:rsidR="00BB3689" w14:paraId="7565879E" w14:textId="77777777" w:rsidTr="001A0823">
        <w:tc>
          <w:tcPr>
            <w:tcW w:w="1558" w:type="dxa"/>
          </w:tcPr>
          <w:p w14:paraId="7B471014" w14:textId="5CCD830B" w:rsidR="00BB3689" w:rsidRDefault="00BB3689" w:rsidP="00BB3689">
            <w:r>
              <w:rPr>
                <w:i/>
                <w:iCs/>
              </w:rPr>
              <w:t>Крайна</w:t>
            </w:r>
          </w:p>
        </w:tc>
        <w:tc>
          <w:tcPr>
            <w:tcW w:w="1558" w:type="dxa"/>
          </w:tcPr>
          <w:p w14:paraId="7040C3B4" w14:textId="53291FAD" w:rsidR="00BB3689" w:rsidRDefault="00BB3689" w:rsidP="00BB3689">
            <w:r>
              <w:t>6,6 (3,8, 10,5)</w:t>
            </w:r>
          </w:p>
        </w:tc>
        <w:tc>
          <w:tcPr>
            <w:tcW w:w="1558" w:type="dxa"/>
          </w:tcPr>
          <w:p w14:paraId="7FA0B4B7" w14:textId="6BB1208A" w:rsidR="00BB3689" w:rsidRDefault="00BB3689" w:rsidP="00BB3689">
            <w:r>
              <w:t>0(-)</w:t>
            </w:r>
          </w:p>
        </w:tc>
        <w:tc>
          <w:tcPr>
            <w:tcW w:w="1558" w:type="dxa"/>
          </w:tcPr>
          <w:p w14:paraId="5341D913" w14:textId="053A2F2B" w:rsidR="00BB3689" w:rsidRDefault="00BB3689" w:rsidP="00BB3689">
            <w:r>
              <w:rPr>
                <w:b/>
                <w:bCs/>
                <w:lang w:val="en-US"/>
              </w:rPr>
              <w:t>NA</w:t>
            </w:r>
          </w:p>
        </w:tc>
        <w:tc>
          <w:tcPr>
            <w:tcW w:w="1559" w:type="dxa"/>
          </w:tcPr>
          <w:p w14:paraId="20318CD7" w14:textId="243040CA" w:rsidR="00BB3689" w:rsidRDefault="00BB3689" w:rsidP="00BB3689">
            <w:r>
              <w:t>0,004</w:t>
            </w:r>
          </w:p>
        </w:tc>
        <w:tc>
          <w:tcPr>
            <w:tcW w:w="1559" w:type="dxa"/>
          </w:tcPr>
          <w:p w14:paraId="6A3259C0" w14:textId="77777777" w:rsidR="00BB3689" w:rsidRDefault="00BB3689" w:rsidP="00BB3689">
            <w:r>
              <w:t>10,1</w:t>
            </w:r>
          </w:p>
          <w:p w14:paraId="27F4CCE7" w14:textId="28AA08D2" w:rsidR="00BB3689" w:rsidRDefault="00BB3689" w:rsidP="00BB3689">
            <w:r>
              <w:t>(5,0,17,8)</w:t>
            </w:r>
          </w:p>
        </w:tc>
      </w:tr>
      <w:tr w:rsidR="00BB3689" w14:paraId="46F2BCC7" w14:textId="77777777" w:rsidTr="001A0823">
        <w:tc>
          <w:tcPr>
            <w:tcW w:w="1558" w:type="dxa"/>
          </w:tcPr>
          <w:p w14:paraId="5310A019" w14:textId="1E21339D" w:rsidR="00BB3689" w:rsidRDefault="00BB3689" w:rsidP="00BB3689">
            <w:r>
              <w:rPr>
                <w:lang w:val="en-US"/>
              </w:rPr>
              <w:t xml:space="preserve">OS </w:t>
            </w:r>
            <w:r>
              <w:t>(седмици)</w:t>
            </w:r>
            <w:r>
              <w:rPr>
                <w:vertAlign w:val="superscript"/>
                <w:lang w:val="en-US"/>
              </w:rPr>
              <w:t>e</w:t>
            </w:r>
          </w:p>
        </w:tc>
        <w:tc>
          <w:tcPr>
            <w:tcW w:w="1558" w:type="dxa"/>
          </w:tcPr>
          <w:p w14:paraId="3FDAC7E8" w14:textId="77777777" w:rsidR="00BB3689" w:rsidRDefault="00BB3689" w:rsidP="00BB3689"/>
        </w:tc>
        <w:tc>
          <w:tcPr>
            <w:tcW w:w="1558" w:type="dxa"/>
          </w:tcPr>
          <w:p w14:paraId="4733ED8A" w14:textId="77777777" w:rsidR="00BB3689" w:rsidRDefault="00BB3689" w:rsidP="00BB3689"/>
        </w:tc>
        <w:tc>
          <w:tcPr>
            <w:tcW w:w="1558" w:type="dxa"/>
          </w:tcPr>
          <w:p w14:paraId="2E2CB44E" w14:textId="77777777" w:rsidR="00BB3689" w:rsidRDefault="00BB3689" w:rsidP="00BB3689"/>
        </w:tc>
        <w:tc>
          <w:tcPr>
            <w:tcW w:w="1559" w:type="dxa"/>
          </w:tcPr>
          <w:p w14:paraId="040DE0C4" w14:textId="77777777" w:rsidR="00BB3689" w:rsidRDefault="00BB3689" w:rsidP="00BB3689"/>
        </w:tc>
        <w:tc>
          <w:tcPr>
            <w:tcW w:w="1559" w:type="dxa"/>
          </w:tcPr>
          <w:p w14:paraId="23747D2C" w14:textId="77777777" w:rsidR="00BB3689" w:rsidRDefault="00BB3689" w:rsidP="00BB3689"/>
        </w:tc>
      </w:tr>
      <w:tr w:rsidR="00BB3689" w14:paraId="41A76F7F" w14:textId="77777777" w:rsidTr="001A0823">
        <w:tc>
          <w:tcPr>
            <w:tcW w:w="1558" w:type="dxa"/>
          </w:tcPr>
          <w:p w14:paraId="6940F62F" w14:textId="7AC5C0E9" w:rsidR="00BB3689" w:rsidRDefault="00BB3689" w:rsidP="00BB3689">
            <w:r>
              <w:rPr>
                <w:i/>
                <w:iCs/>
              </w:rPr>
              <w:t>Междинна</w:t>
            </w:r>
          </w:p>
        </w:tc>
        <w:tc>
          <w:tcPr>
            <w:tcW w:w="1558" w:type="dxa"/>
          </w:tcPr>
          <w:p w14:paraId="7C314562" w14:textId="0F86914D" w:rsidR="00BB3689" w:rsidRDefault="00BB3689" w:rsidP="00BB3689">
            <w:r>
              <w:rPr>
                <w:b/>
                <w:bCs/>
              </w:rPr>
              <w:t>-</w:t>
            </w:r>
          </w:p>
        </w:tc>
        <w:tc>
          <w:tcPr>
            <w:tcW w:w="1558" w:type="dxa"/>
          </w:tcPr>
          <w:p w14:paraId="093FB86A" w14:textId="3880E4C1" w:rsidR="00BB3689" w:rsidRDefault="00BB3689" w:rsidP="00BB3689">
            <w:r>
              <w:rPr>
                <w:b/>
                <w:bCs/>
              </w:rPr>
              <w:t>-</w:t>
            </w:r>
          </w:p>
        </w:tc>
        <w:tc>
          <w:tcPr>
            <w:tcW w:w="1558" w:type="dxa"/>
          </w:tcPr>
          <w:p w14:paraId="6C927F11" w14:textId="43D49947" w:rsidR="00BB3689" w:rsidRDefault="00BB3689" w:rsidP="00BB3689">
            <w:r>
              <w:t>0,491 (0,290,0,831)</w:t>
            </w:r>
          </w:p>
        </w:tc>
        <w:tc>
          <w:tcPr>
            <w:tcW w:w="1559" w:type="dxa"/>
          </w:tcPr>
          <w:p w14:paraId="4B2190BB" w14:textId="4E09187A" w:rsidR="00BB3689" w:rsidRDefault="00BB3689" w:rsidP="00BB3689">
            <w:r>
              <w:t>0,007</w:t>
            </w:r>
          </w:p>
        </w:tc>
        <w:tc>
          <w:tcPr>
            <w:tcW w:w="1559" w:type="dxa"/>
          </w:tcPr>
          <w:p w14:paraId="61BA42F4" w14:textId="4DFCD86F" w:rsidR="00BB3689" w:rsidRDefault="00BB3689" w:rsidP="00BB3689">
            <w:r>
              <w:rPr>
                <w:b/>
                <w:bCs/>
              </w:rPr>
              <w:t>-</w:t>
            </w:r>
          </w:p>
        </w:tc>
      </w:tr>
      <w:tr w:rsidR="00BB3689" w14:paraId="6F2DAC30" w14:textId="77777777" w:rsidTr="001A0823">
        <w:tc>
          <w:tcPr>
            <w:tcW w:w="1558" w:type="dxa"/>
          </w:tcPr>
          <w:p w14:paraId="4F6D2158" w14:textId="78080B8A" w:rsidR="00BB3689" w:rsidRDefault="00BB3689" w:rsidP="00BB3689">
            <w:r>
              <w:rPr>
                <w:i/>
                <w:iCs/>
              </w:rPr>
              <w:t>Крайна</w:t>
            </w:r>
          </w:p>
        </w:tc>
        <w:tc>
          <w:tcPr>
            <w:tcW w:w="1558" w:type="dxa"/>
          </w:tcPr>
          <w:p w14:paraId="28A50E61" w14:textId="67AF9894" w:rsidR="00BB3689" w:rsidRDefault="00BB3689" w:rsidP="00BB3689">
            <w:r>
              <w:t>72,7 (61,3,83,0)</w:t>
            </w:r>
          </w:p>
        </w:tc>
        <w:tc>
          <w:tcPr>
            <w:tcW w:w="1558" w:type="dxa"/>
          </w:tcPr>
          <w:p w14:paraId="567D51E3" w14:textId="77777777" w:rsidR="00BB3689" w:rsidRDefault="00BB3689" w:rsidP="00BB3689">
            <w:r>
              <w:t>64,9</w:t>
            </w:r>
          </w:p>
          <w:p w14:paraId="5F2557CF" w14:textId="20BB4F6D" w:rsidR="00BB3689" w:rsidRDefault="00BB3689" w:rsidP="00BB3689">
            <w:r>
              <w:t>(45,7, 96,0)</w:t>
            </w:r>
          </w:p>
        </w:tc>
        <w:tc>
          <w:tcPr>
            <w:tcW w:w="1558" w:type="dxa"/>
          </w:tcPr>
          <w:p w14:paraId="4CE2D9E5" w14:textId="77777777" w:rsidR="00BB3689" w:rsidRDefault="00BB3689" w:rsidP="00BB3689">
            <w:r>
              <w:t>0,876</w:t>
            </w:r>
          </w:p>
          <w:p w14:paraId="36A67F5C" w14:textId="35CE031A" w:rsidR="00BB3689" w:rsidRDefault="00BB3689" w:rsidP="00BB3689">
            <w:r>
              <w:t>(0,679, 1,129)</w:t>
            </w:r>
          </w:p>
        </w:tc>
        <w:tc>
          <w:tcPr>
            <w:tcW w:w="1559" w:type="dxa"/>
          </w:tcPr>
          <w:p w14:paraId="2C70BA20" w14:textId="3B59DF47" w:rsidR="00BB3689" w:rsidRDefault="00BB3689" w:rsidP="00BB3689">
            <w:r>
              <w:t>0,306</w:t>
            </w:r>
          </w:p>
        </w:tc>
        <w:tc>
          <w:tcPr>
            <w:tcW w:w="1559" w:type="dxa"/>
          </w:tcPr>
          <w:p w14:paraId="7BA11EF6" w14:textId="01D770AD" w:rsidR="00BB3689" w:rsidRDefault="00BB3689" w:rsidP="00BB3689">
            <w:r>
              <w:rPr>
                <w:b/>
                <w:bCs/>
              </w:rPr>
              <w:t>-</w:t>
            </w:r>
          </w:p>
        </w:tc>
      </w:tr>
      <w:tr w:rsidR="001A0823" w:rsidRPr="009632C6" w14:paraId="23E54EED" w14:textId="77777777" w:rsidTr="001A0823">
        <w:tc>
          <w:tcPr>
            <w:tcW w:w="9350" w:type="dxa"/>
            <w:gridSpan w:val="6"/>
          </w:tcPr>
          <w:p w14:paraId="1D8A980B" w14:textId="77777777" w:rsidR="001A0823" w:rsidRPr="009632C6" w:rsidRDefault="001A0823" w:rsidP="001A0823">
            <w:pPr>
              <w:spacing w:line="240" w:lineRule="auto"/>
              <w:rPr>
                <w:rFonts w:eastAsia="Times New Roman" w:cs="Arial"/>
                <w:lang w:eastAsia="bg-BG"/>
              </w:rPr>
            </w:pPr>
            <w:r w:rsidRPr="009632C6">
              <w:rPr>
                <w:rFonts w:eastAsia="Times New Roman" w:cs="Arial"/>
                <w:color w:val="000000"/>
                <w:lang w:eastAsia="bg-BG"/>
              </w:rPr>
              <w:t>Съкращения: С</w:t>
            </w:r>
            <w:r w:rsidRPr="009632C6">
              <w:rPr>
                <w:rFonts w:eastAsia="Times New Roman" w:cs="Arial"/>
                <w:color w:val="000000"/>
                <w:lang w:val="en-US"/>
              </w:rPr>
              <w:t>I</w:t>
            </w:r>
            <w:r w:rsidRPr="009632C6">
              <w:rPr>
                <w:rFonts w:eastAsia="Times New Roman" w:cs="Arial"/>
                <w:color w:val="000000"/>
                <w:lang w:eastAsia="bg-BG"/>
              </w:rPr>
              <w:t xml:space="preserve">=доверителен интервал; </w:t>
            </w:r>
            <w:r w:rsidRPr="009632C6">
              <w:rPr>
                <w:rFonts w:eastAsia="Times New Roman" w:cs="Arial"/>
                <w:color w:val="000000"/>
                <w:lang w:val="en-US"/>
              </w:rPr>
              <w:t xml:space="preserve">ITT= intent-to-treat </w:t>
            </w:r>
            <w:r w:rsidRPr="009632C6">
              <w:rPr>
                <w:rFonts w:eastAsia="Times New Roman" w:cs="Arial"/>
                <w:color w:val="000000"/>
                <w:lang w:eastAsia="bg-BG"/>
              </w:rPr>
              <w:t>(подлежаща на лечение);</w:t>
            </w:r>
          </w:p>
          <w:p w14:paraId="68F7AFBE" w14:textId="77777777" w:rsidR="001A0823" w:rsidRPr="009632C6" w:rsidRDefault="001A0823" w:rsidP="001A0823">
            <w:pPr>
              <w:spacing w:line="240" w:lineRule="auto"/>
              <w:rPr>
                <w:rFonts w:eastAsia="Times New Roman" w:cs="Arial"/>
                <w:lang w:eastAsia="bg-BG"/>
              </w:rPr>
            </w:pPr>
            <w:r w:rsidRPr="009632C6">
              <w:rPr>
                <w:rFonts w:eastAsia="Times New Roman" w:cs="Arial"/>
                <w:color w:val="000000"/>
                <w:lang w:val="en-US"/>
              </w:rPr>
              <w:t>N</w:t>
            </w:r>
            <w:r w:rsidRPr="009632C6">
              <w:rPr>
                <w:rFonts w:eastAsia="Times New Roman" w:cs="Arial"/>
                <w:color w:val="000000"/>
                <w:lang w:eastAsia="bg-BG"/>
              </w:rPr>
              <w:t xml:space="preserve">А=неприложимо; ЧОО=степен на обективен отговор; </w:t>
            </w:r>
            <w:r w:rsidRPr="009632C6">
              <w:rPr>
                <w:rFonts w:eastAsia="Times New Roman" w:cs="Arial"/>
                <w:color w:val="000000"/>
                <w:lang w:val="en-US"/>
              </w:rPr>
              <w:t>OS=o</w:t>
            </w:r>
            <w:r w:rsidRPr="009632C6">
              <w:rPr>
                <w:rFonts w:eastAsia="Times New Roman" w:cs="Arial"/>
                <w:color w:val="000000"/>
                <w:lang w:eastAsia="bg-BG"/>
              </w:rPr>
              <w:t>бща</w:t>
            </w:r>
            <w:r w:rsidRPr="009632C6">
              <w:rPr>
                <w:rFonts w:eastAsia="Times New Roman" w:cs="Arial"/>
                <w:color w:val="000000"/>
                <w:lang w:val="en-US"/>
              </w:rPr>
              <w:t xml:space="preserve"> </w:t>
            </w:r>
            <w:r w:rsidRPr="009632C6">
              <w:rPr>
                <w:rFonts w:eastAsia="Times New Roman" w:cs="Arial"/>
                <w:color w:val="000000"/>
                <w:lang w:eastAsia="bg-BG"/>
              </w:rPr>
              <w:t>преживяемост;</w:t>
            </w:r>
          </w:p>
          <w:p w14:paraId="011DEC63" w14:textId="77777777" w:rsidR="001A0823" w:rsidRPr="009632C6" w:rsidRDefault="001A0823" w:rsidP="001A0823">
            <w:pPr>
              <w:spacing w:line="240" w:lineRule="auto"/>
              <w:rPr>
                <w:rFonts w:eastAsia="Times New Roman" w:cs="Arial"/>
                <w:lang w:eastAsia="bg-BG"/>
              </w:rPr>
            </w:pPr>
            <w:r w:rsidRPr="009632C6">
              <w:rPr>
                <w:rFonts w:eastAsia="Times New Roman" w:cs="Arial"/>
                <w:color w:val="000000"/>
                <w:lang w:eastAsia="bg-BG"/>
              </w:rPr>
              <w:t>ПБП=преживяемост без прогресия; ВТП=време до туморна прогресия.</w:t>
            </w:r>
          </w:p>
          <w:p w14:paraId="740235B4" w14:textId="77777777" w:rsidR="001A0823" w:rsidRPr="009632C6" w:rsidRDefault="001A0823" w:rsidP="001A0823">
            <w:pPr>
              <w:spacing w:line="240" w:lineRule="auto"/>
              <w:rPr>
                <w:rFonts w:eastAsia="Times New Roman" w:cs="Arial"/>
                <w:lang w:eastAsia="bg-BG"/>
              </w:rPr>
            </w:pPr>
            <w:r w:rsidRPr="009632C6">
              <w:rPr>
                <w:rFonts w:eastAsia="Times New Roman" w:cs="Arial"/>
                <w:color w:val="000000"/>
                <w:vertAlign w:val="superscript"/>
                <w:lang w:eastAsia="bg-BG"/>
              </w:rPr>
              <w:t>а</w:t>
            </w:r>
            <w:r w:rsidRPr="009632C6">
              <w:rPr>
                <w:rFonts w:eastAsia="Times New Roman" w:cs="Arial"/>
                <w:color w:val="000000"/>
                <w:lang w:eastAsia="bg-BG"/>
              </w:rPr>
              <w:t xml:space="preserve"> Резултатите от двойно-сляпата фаза на лечение са от </w:t>
            </w:r>
            <w:r w:rsidRPr="009632C6">
              <w:rPr>
                <w:rFonts w:eastAsia="Times New Roman" w:cs="Arial"/>
                <w:color w:val="000000"/>
                <w:lang w:val="en-US"/>
              </w:rPr>
              <w:t xml:space="preserve">ITT </w:t>
            </w:r>
            <w:r w:rsidRPr="009632C6">
              <w:rPr>
                <w:rFonts w:eastAsia="Times New Roman" w:cs="Arial"/>
                <w:color w:val="000000"/>
                <w:lang w:eastAsia="bg-BG"/>
              </w:rPr>
              <w:t>популацията и, където е било уместно, е била направена централизирана рентгенологична оценка.</w:t>
            </w:r>
          </w:p>
          <w:p w14:paraId="13D32CE3" w14:textId="77777777" w:rsidR="001A0823" w:rsidRPr="009632C6" w:rsidRDefault="001A0823" w:rsidP="001A0823">
            <w:pPr>
              <w:spacing w:line="240" w:lineRule="auto"/>
              <w:rPr>
                <w:rFonts w:eastAsia="Times New Roman" w:cs="Arial"/>
                <w:lang w:eastAsia="bg-BG"/>
              </w:rPr>
            </w:pPr>
            <w:proofErr w:type="gramStart"/>
            <w:r w:rsidRPr="009632C6">
              <w:rPr>
                <w:rFonts w:eastAsia="Times New Roman" w:cs="Arial"/>
                <w:color w:val="000000"/>
                <w:vertAlign w:val="superscript"/>
                <w:lang w:val="en-US"/>
              </w:rPr>
              <w:t>b</w:t>
            </w:r>
            <w:proofErr w:type="gramEnd"/>
            <w:r w:rsidRPr="009632C6">
              <w:rPr>
                <w:rFonts w:eastAsia="Times New Roman" w:cs="Arial"/>
                <w:color w:val="000000"/>
                <w:lang w:eastAsia="bg-BG"/>
              </w:rPr>
              <w:t xml:space="preserve"> Резултатите за ефикасност от 99 пациенти, които са преминали от плацебо на сунитиниб след разкриване на кодовете на рандомизация. Била е направена повторно </w:t>
            </w:r>
            <w:r w:rsidRPr="009632C6">
              <w:rPr>
                <w:rFonts w:eastAsia="Times New Roman" w:cs="Arial"/>
                <w:color w:val="000000"/>
                <w:lang w:eastAsia="bg-BG"/>
              </w:rPr>
              <w:lastRenderedPageBreak/>
              <w:t>изходна оценка при преминаването и анализът за ефикасност е въз основа на оценката на изследователите.</w:t>
            </w:r>
            <w:bookmarkStart w:id="1" w:name="bookmark0"/>
            <w:bookmarkEnd w:id="1"/>
          </w:p>
          <w:p w14:paraId="2F9FDEBC" w14:textId="77777777" w:rsidR="001A0823" w:rsidRPr="009632C6" w:rsidRDefault="001A0823" w:rsidP="001A0823">
            <w:pPr>
              <w:rPr>
                <w:rFonts w:eastAsia="Times New Roman" w:cs="Arial"/>
                <w:color w:val="000000"/>
                <w:u w:val="single"/>
                <w:lang w:eastAsia="bg-BG"/>
              </w:rPr>
            </w:pPr>
            <w:r w:rsidRPr="009632C6">
              <w:rPr>
                <w:rFonts w:eastAsia="Times New Roman" w:cs="Arial"/>
                <w:color w:val="000000"/>
                <w:vertAlign w:val="superscript"/>
                <w:lang w:eastAsia="bg-BG"/>
              </w:rPr>
              <w:t>с</w:t>
            </w:r>
            <w:r w:rsidRPr="009632C6">
              <w:rPr>
                <w:rFonts w:eastAsia="Times New Roman" w:cs="Arial"/>
                <w:color w:val="000000"/>
                <w:lang w:eastAsia="bg-BG"/>
              </w:rPr>
              <w:t xml:space="preserve"> Броят на ПБП при междинния анализ е актуализиран въз основа на преизчисляване</w:t>
            </w:r>
            <w:r w:rsidRPr="009632C6">
              <w:rPr>
                <w:rFonts w:eastAsia="Times New Roman" w:cs="Arial"/>
                <w:color w:val="000000"/>
                <w:lang w:val="en-US"/>
              </w:rPr>
              <w:t xml:space="preserve"> </w:t>
            </w:r>
            <w:r w:rsidRPr="009632C6">
              <w:rPr>
                <w:rFonts w:eastAsia="Times New Roman" w:cs="Arial"/>
                <w:color w:val="000000"/>
                <w:lang w:eastAsia="bg-BG"/>
              </w:rPr>
              <w:t>на</w:t>
            </w:r>
            <w:r w:rsidRPr="009632C6">
              <w:rPr>
                <w:rFonts w:eastAsia="Times New Roman" w:cs="Arial"/>
                <w:i/>
                <w:iCs/>
                <w:color w:val="000000"/>
                <w:lang w:eastAsia="bg-BG"/>
              </w:rPr>
              <w:t xml:space="preserve"> </w:t>
            </w:r>
            <w:r w:rsidRPr="009632C6">
              <w:rPr>
                <w:rFonts w:eastAsia="Times New Roman" w:cs="Arial"/>
                <w:color w:val="000000"/>
                <w:lang w:eastAsia="bg-BG"/>
              </w:rPr>
              <w:t>първоначалните данни.</w:t>
            </w:r>
          </w:p>
          <w:p w14:paraId="5CE00750" w14:textId="77777777" w:rsidR="001A0823" w:rsidRPr="009632C6" w:rsidRDefault="001A0823" w:rsidP="001A0823">
            <w:pPr>
              <w:spacing w:line="240" w:lineRule="auto"/>
              <w:rPr>
                <w:rFonts w:eastAsia="Times New Roman" w:cs="Arial"/>
                <w:lang w:eastAsia="bg-BG"/>
              </w:rPr>
            </w:pPr>
            <w:r w:rsidRPr="009632C6">
              <w:rPr>
                <w:rFonts w:eastAsia="Times New Roman" w:cs="Arial"/>
                <w:color w:val="000000"/>
                <w:vertAlign w:val="superscript"/>
                <w:lang w:val="en-US"/>
              </w:rPr>
              <w:t>d</w:t>
            </w:r>
            <w:r w:rsidRPr="009632C6">
              <w:rPr>
                <w:rFonts w:eastAsia="Times New Roman" w:cs="Arial"/>
                <w:color w:val="000000"/>
                <w:lang w:val="en-US"/>
              </w:rPr>
              <w:t xml:space="preserve"> </w:t>
            </w:r>
            <w:r w:rsidRPr="009632C6">
              <w:rPr>
                <w:rFonts w:eastAsia="Times New Roman" w:cs="Arial"/>
                <w:color w:val="000000"/>
                <w:lang w:eastAsia="bg-BG"/>
              </w:rPr>
              <w:t xml:space="preserve">Резултатите от ЧОО се представят като процент на пациентите, които са били с потвърден отговор с 95% </w:t>
            </w:r>
            <w:r w:rsidRPr="009632C6">
              <w:rPr>
                <w:rFonts w:eastAsia="Times New Roman" w:cs="Arial"/>
                <w:color w:val="000000"/>
                <w:lang w:val="en-US"/>
              </w:rPr>
              <w:t>CI</w:t>
            </w:r>
          </w:p>
          <w:p w14:paraId="4C66EED5" w14:textId="1985722A" w:rsidR="001A0823" w:rsidRPr="009632C6" w:rsidRDefault="001A0823" w:rsidP="001A0823">
            <w:pPr>
              <w:rPr>
                <w:rFonts w:cs="Arial"/>
              </w:rPr>
            </w:pPr>
            <w:r w:rsidRPr="009632C6">
              <w:rPr>
                <w:rFonts w:eastAsia="Times New Roman" w:cs="Arial"/>
                <w:color w:val="000000"/>
                <w:vertAlign w:val="superscript"/>
                <w:lang w:eastAsia="bg-BG"/>
              </w:rPr>
              <w:t>е</w:t>
            </w:r>
            <w:r w:rsidRPr="009632C6">
              <w:rPr>
                <w:rFonts w:eastAsia="Times New Roman" w:cs="Arial"/>
                <w:color w:val="000000"/>
                <w:lang w:eastAsia="bg-BG"/>
              </w:rPr>
              <w:t xml:space="preserve"> Медианата не е достигната, тъй като данните все още не са събрани.</w:t>
            </w:r>
          </w:p>
        </w:tc>
      </w:tr>
    </w:tbl>
    <w:p w14:paraId="04BF7B19" w14:textId="77777777" w:rsidR="001A0823" w:rsidRPr="009632C6" w:rsidRDefault="001A0823" w:rsidP="001A0823">
      <w:pPr>
        <w:rPr>
          <w:rFonts w:cs="Arial"/>
        </w:rPr>
      </w:pPr>
    </w:p>
    <w:p w14:paraId="5C07267A" w14:textId="77777777" w:rsidR="001A0823" w:rsidRPr="009632C6" w:rsidRDefault="001A0823" w:rsidP="001A0823">
      <w:pPr>
        <w:spacing w:line="240" w:lineRule="auto"/>
        <w:rPr>
          <w:rFonts w:eastAsia="Times New Roman" w:cs="Arial"/>
          <w:lang w:eastAsia="bg-BG"/>
        </w:rPr>
      </w:pPr>
      <w:r w:rsidRPr="009632C6">
        <w:rPr>
          <w:rFonts w:eastAsia="Times New Roman" w:cs="Arial"/>
          <w:color w:val="000000"/>
          <w:lang w:eastAsia="bg-BG"/>
        </w:rPr>
        <w:t xml:space="preserve">Средната </w:t>
      </w:r>
      <w:r w:rsidRPr="009632C6">
        <w:rPr>
          <w:rFonts w:eastAsia="Times New Roman" w:cs="Arial"/>
          <w:color w:val="000000"/>
          <w:lang w:val="en-US"/>
        </w:rPr>
        <w:t xml:space="preserve">OS </w:t>
      </w:r>
      <w:r w:rsidRPr="009632C6">
        <w:rPr>
          <w:rFonts w:eastAsia="Times New Roman" w:cs="Arial"/>
          <w:color w:val="000000"/>
          <w:lang w:eastAsia="bg-BG"/>
        </w:rPr>
        <w:t xml:space="preserve">при </w:t>
      </w:r>
      <w:r w:rsidRPr="009632C6">
        <w:rPr>
          <w:rFonts w:eastAsia="Times New Roman" w:cs="Arial"/>
          <w:color w:val="000000"/>
          <w:lang w:val="en-US"/>
        </w:rPr>
        <w:t xml:space="preserve">ITT </w:t>
      </w:r>
      <w:r w:rsidRPr="009632C6">
        <w:rPr>
          <w:rFonts w:eastAsia="Times New Roman" w:cs="Arial"/>
          <w:color w:val="000000"/>
          <w:lang w:eastAsia="bg-BG"/>
        </w:rPr>
        <w:t xml:space="preserve">популацията е било съответно 72,7 седмици и 64,9 седмици </w:t>
      </w:r>
      <w:r w:rsidRPr="009632C6">
        <w:rPr>
          <w:rFonts w:eastAsia="Times New Roman" w:cs="Arial"/>
          <w:color w:val="000000"/>
          <w:lang w:val="en-US"/>
        </w:rPr>
        <w:t xml:space="preserve">(HR: </w:t>
      </w:r>
      <w:r w:rsidRPr="009632C6">
        <w:rPr>
          <w:rFonts w:eastAsia="Times New Roman" w:cs="Arial"/>
          <w:color w:val="000000"/>
          <w:lang w:eastAsia="bg-BG"/>
        </w:rPr>
        <w:t xml:space="preserve">0,876; 95% </w:t>
      </w:r>
      <w:r w:rsidRPr="009632C6">
        <w:rPr>
          <w:rFonts w:eastAsia="Times New Roman" w:cs="Arial"/>
          <w:color w:val="000000"/>
          <w:lang w:val="en-US"/>
        </w:rPr>
        <w:t xml:space="preserve">CI: </w:t>
      </w:r>
      <w:r w:rsidRPr="009632C6">
        <w:rPr>
          <w:rFonts w:eastAsia="Times New Roman" w:cs="Arial"/>
          <w:color w:val="000000"/>
          <w:lang w:eastAsia="bg-BG"/>
        </w:rPr>
        <w:t>0,679, 1,129, р = 0,306) при сунитиниб и при плацебо. В този анализ рамото на плацебо включва онези пациенти, рандомизирани на плацебо, които впоследствие са получили лечение със сунитиниб в откритата фаза на проучването.</w:t>
      </w:r>
    </w:p>
    <w:p w14:paraId="791C17D9" w14:textId="77777777" w:rsidR="001A0823" w:rsidRPr="009632C6" w:rsidRDefault="001A0823" w:rsidP="001A0823">
      <w:pPr>
        <w:spacing w:line="240" w:lineRule="auto"/>
        <w:rPr>
          <w:rFonts w:eastAsia="Times New Roman" w:cs="Arial"/>
          <w:i/>
          <w:iCs/>
          <w:color w:val="000000"/>
          <w:lang w:eastAsia="bg-BG"/>
        </w:rPr>
      </w:pPr>
    </w:p>
    <w:p w14:paraId="195C0A76" w14:textId="53C64A45" w:rsidR="001A0823" w:rsidRPr="009632C6" w:rsidRDefault="001A0823" w:rsidP="001A0823">
      <w:pPr>
        <w:spacing w:line="240" w:lineRule="auto"/>
        <w:rPr>
          <w:rFonts w:eastAsia="Times New Roman" w:cs="Arial"/>
          <w:lang w:eastAsia="bg-BG"/>
        </w:rPr>
      </w:pPr>
      <w:r w:rsidRPr="009632C6">
        <w:rPr>
          <w:rFonts w:eastAsia="Times New Roman" w:cs="Arial"/>
          <w:i/>
          <w:iCs/>
          <w:color w:val="000000"/>
          <w:lang w:eastAsia="bg-BG"/>
        </w:rPr>
        <w:t>Нелекуван метастатичен бъбречно-клетъчен карцином</w:t>
      </w:r>
    </w:p>
    <w:p w14:paraId="7B0A192B" w14:textId="77777777" w:rsidR="001A0823" w:rsidRPr="009632C6" w:rsidRDefault="001A0823" w:rsidP="001A0823">
      <w:pPr>
        <w:spacing w:line="240" w:lineRule="auto"/>
        <w:rPr>
          <w:rFonts w:eastAsia="Times New Roman" w:cs="Arial"/>
          <w:lang w:eastAsia="bg-BG"/>
        </w:rPr>
      </w:pPr>
      <w:r w:rsidRPr="009632C6">
        <w:rPr>
          <w:rFonts w:eastAsia="Times New Roman" w:cs="Arial"/>
          <w:color w:val="000000"/>
          <w:lang w:eastAsia="bg-BG"/>
        </w:rPr>
        <w:t xml:space="preserve">Проведено е рандомизирано, многоцентрово, международно проучване Фаза 3, оценяващо ефикасността и безопасността на сунитиниб сравнено с интерферон </w:t>
      </w:r>
      <w:r w:rsidRPr="009632C6">
        <w:rPr>
          <w:rFonts w:eastAsia="Times New Roman" w:cs="Arial"/>
          <w:color w:val="000000"/>
          <w:lang w:val="en-US"/>
        </w:rPr>
        <w:t xml:space="preserve">IFN-a </w:t>
      </w:r>
      <w:r w:rsidRPr="009632C6">
        <w:rPr>
          <w:rFonts w:eastAsia="Times New Roman" w:cs="Arial"/>
          <w:color w:val="000000"/>
          <w:lang w:eastAsia="bg-BG"/>
        </w:rPr>
        <w:t xml:space="preserve">при пациенти с нелекуван МБКК. Седемстотин и петдесет пациенти са били рандомизирани 1:1 в терапевтичните рамена; те са получавали лечение или със сунитиниб в повтарящи се 6- седмични цикли, състоящи се от 4 седмици по 50 </w:t>
      </w:r>
      <w:r w:rsidRPr="009632C6">
        <w:rPr>
          <w:rFonts w:eastAsia="Times New Roman" w:cs="Arial"/>
          <w:color w:val="000000"/>
          <w:lang w:val="en-US"/>
        </w:rPr>
        <w:t xml:space="preserve">mg </w:t>
      </w:r>
      <w:r w:rsidRPr="009632C6">
        <w:rPr>
          <w:rFonts w:eastAsia="Times New Roman" w:cs="Arial"/>
          <w:color w:val="000000"/>
          <w:lang w:eastAsia="bg-BG"/>
        </w:rPr>
        <w:t xml:space="preserve">дневно перорално приложение, последвано от 2 седмици почивка (Схема 4/2), или </w:t>
      </w:r>
      <w:r w:rsidRPr="009632C6">
        <w:rPr>
          <w:rFonts w:eastAsia="Times New Roman" w:cs="Arial"/>
          <w:color w:val="000000"/>
          <w:lang w:val="en-US"/>
        </w:rPr>
        <w:t xml:space="preserve">IFN-a, </w:t>
      </w:r>
      <w:r w:rsidRPr="009632C6">
        <w:rPr>
          <w:rFonts w:eastAsia="Times New Roman" w:cs="Arial"/>
          <w:color w:val="000000"/>
          <w:lang w:eastAsia="bg-BG"/>
        </w:rPr>
        <w:t xml:space="preserve">приложен като подкожна инжекция от 3 милиона единици </w:t>
      </w:r>
      <w:r w:rsidRPr="009632C6">
        <w:rPr>
          <w:rFonts w:eastAsia="Times New Roman" w:cs="Arial"/>
          <w:color w:val="000000"/>
          <w:lang w:val="en-US"/>
        </w:rPr>
        <w:t xml:space="preserve">(Million Units, MU) </w:t>
      </w:r>
      <w:r w:rsidRPr="009632C6">
        <w:rPr>
          <w:rFonts w:eastAsia="Times New Roman" w:cs="Arial"/>
          <w:color w:val="000000"/>
          <w:lang w:eastAsia="bg-BG"/>
        </w:rPr>
        <w:t xml:space="preserve">първата седмица, 6 </w:t>
      </w:r>
      <w:r w:rsidRPr="009632C6">
        <w:rPr>
          <w:rFonts w:eastAsia="Times New Roman" w:cs="Arial"/>
          <w:color w:val="000000"/>
          <w:lang w:val="en-US"/>
        </w:rPr>
        <w:t xml:space="preserve">MU </w:t>
      </w:r>
      <w:r w:rsidRPr="009632C6">
        <w:rPr>
          <w:rFonts w:eastAsia="Times New Roman" w:cs="Arial"/>
          <w:color w:val="000000"/>
          <w:lang w:eastAsia="bg-BG"/>
        </w:rPr>
        <w:t xml:space="preserve">втората седмица и 9 </w:t>
      </w:r>
      <w:r w:rsidRPr="009632C6">
        <w:rPr>
          <w:rFonts w:eastAsia="Times New Roman" w:cs="Arial"/>
          <w:color w:val="000000"/>
          <w:lang w:val="en-US"/>
        </w:rPr>
        <w:t xml:space="preserve">MU </w:t>
      </w:r>
      <w:r w:rsidRPr="009632C6">
        <w:rPr>
          <w:rFonts w:eastAsia="Times New Roman" w:cs="Arial"/>
          <w:color w:val="000000"/>
          <w:lang w:eastAsia="bg-BG"/>
        </w:rPr>
        <w:t>третата седмица и след това на 3 непоследователни дни всяка седмица.</w:t>
      </w:r>
    </w:p>
    <w:p w14:paraId="63E142A3" w14:textId="77777777" w:rsidR="001A0823" w:rsidRPr="009632C6" w:rsidRDefault="001A0823" w:rsidP="001A0823">
      <w:pPr>
        <w:spacing w:line="240" w:lineRule="auto"/>
        <w:rPr>
          <w:rFonts w:eastAsia="Times New Roman" w:cs="Arial"/>
          <w:color w:val="000000"/>
          <w:lang w:eastAsia="bg-BG"/>
        </w:rPr>
      </w:pPr>
    </w:p>
    <w:p w14:paraId="4D7491B0" w14:textId="2F0EBFCF" w:rsidR="001A0823" w:rsidRPr="009632C6" w:rsidRDefault="001A0823" w:rsidP="001A0823">
      <w:pPr>
        <w:spacing w:line="240" w:lineRule="auto"/>
        <w:rPr>
          <w:rFonts w:eastAsia="Times New Roman" w:cs="Arial"/>
          <w:lang w:eastAsia="bg-BG"/>
        </w:rPr>
      </w:pPr>
      <w:r w:rsidRPr="009632C6">
        <w:rPr>
          <w:rFonts w:eastAsia="Times New Roman" w:cs="Arial"/>
          <w:color w:val="000000"/>
          <w:lang w:eastAsia="bg-BG"/>
        </w:rPr>
        <w:t xml:space="preserve">Средната продължителност на лечението е била 11,1 месеца (диапазон: 0,4 -46,1) за лечението със сунитиниб и 4,1 месеца (диапазон: 0,1 - 45,6) за лечението с </w:t>
      </w:r>
      <w:r w:rsidRPr="009632C6">
        <w:rPr>
          <w:rFonts w:eastAsia="Times New Roman" w:cs="Arial"/>
          <w:color w:val="000000"/>
          <w:lang w:val="en-US"/>
        </w:rPr>
        <w:t xml:space="preserve">IFN-a. </w:t>
      </w:r>
      <w:r w:rsidRPr="009632C6">
        <w:rPr>
          <w:rFonts w:eastAsia="Times New Roman" w:cs="Arial"/>
          <w:color w:val="000000"/>
          <w:lang w:eastAsia="bg-BG"/>
        </w:rPr>
        <w:t xml:space="preserve">Сериозни нежелани събития, свързани с лечението </w:t>
      </w:r>
      <w:r w:rsidRPr="009632C6">
        <w:rPr>
          <w:rFonts w:eastAsia="Times New Roman" w:cs="Arial"/>
          <w:color w:val="000000"/>
          <w:lang w:val="en-US"/>
        </w:rPr>
        <w:t xml:space="preserve">(TRSAEs), </w:t>
      </w:r>
      <w:r w:rsidRPr="009632C6">
        <w:rPr>
          <w:rFonts w:eastAsia="Times New Roman" w:cs="Arial"/>
          <w:color w:val="000000"/>
          <w:lang w:eastAsia="bg-BG"/>
        </w:rPr>
        <w:t xml:space="preserve">са съобщени при 23,7% от пациентите, приемащи сунитиниб, и 6,9% от пациентите, приемащи </w:t>
      </w:r>
      <w:r w:rsidRPr="009632C6">
        <w:rPr>
          <w:rFonts w:eastAsia="Times New Roman" w:cs="Arial"/>
          <w:color w:val="000000"/>
          <w:lang w:val="en-US"/>
        </w:rPr>
        <w:t xml:space="preserve">IFN-a. </w:t>
      </w:r>
      <w:r w:rsidRPr="009632C6">
        <w:rPr>
          <w:rFonts w:eastAsia="Times New Roman" w:cs="Arial"/>
          <w:color w:val="000000"/>
          <w:lang w:eastAsia="bg-BG"/>
        </w:rPr>
        <w:t xml:space="preserve">Процентите на прекратяване на лечението поради нежелани събития обаче са били 20% за сунитиниб и 23% за </w:t>
      </w:r>
      <w:r w:rsidRPr="009632C6">
        <w:rPr>
          <w:rFonts w:eastAsia="Times New Roman" w:cs="Arial"/>
          <w:color w:val="000000"/>
          <w:lang w:val="en-US"/>
        </w:rPr>
        <w:t xml:space="preserve">IFN-a. </w:t>
      </w:r>
      <w:r w:rsidRPr="009632C6">
        <w:rPr>
          <w:rFonts w:eastAsia="Times New Roman" w:cs="Arial"/>
          <w:color w:val="000000"/>
          <w:lang w:eastAsia="bg-BG"/>
        </w:rPr>
        <w:t xml:space="preserve">Прекратяване на приема е настъпил при 202 пациенти (54%) на сунитиниб и 141 пациенти (39%) на </w:t>
      </w:r>
      <w:r w:rsidRPr="009632C6">
        <w:rPr>
          <w:rFonts w:eastAsia="Times New Roman" w:cs="Arial"/>
          <w:color w:val="000000"/>
          <w:lang w:val="en-US"/>
        </w:rPr>
        <w:t xml:space="preserve">IFN-a. </w:t>
      </w:r>
      <w:r w:rsidRPr="009632C6">
        <w:rPr>
          <w:rFonts w:eastAsia="Times New Roman" w:cs="Arial"/>
          <w:color w:val="000000"/>
          <w:lang w:eastAsia="bg-BG"/>
        </w:rPr>
        <w:t xml:space="preserve">Понижаване на дозата е настъпило при 194 пациенти (52%) на сунитиниб и 98 пациенти (27%) на </w:t>
      </w:r>
      <w:r w:rsidRPr="009632C6">
        <w:rPr>
          <w:rFonts w:eastAsia="Times New Roman" w:cs="Arial"/>
          <w:color w:val="000000"/>
          <w:lang w:val="en-US"/>
        </w:rPr>
        <w:t xml:space="preserve">IFN-a. </w:t>
      </w:r>
      <w:r w:rsidRPr="009632C6">
        <w:rPr>
          <w:rFonts w:eastAsia="Times New Roman" w:cs="Arial"/>
          <w:color w:val="000000"/>
          <w:lang w:eastAsia="bg-BG"/>
        </w:rPr>
        <w:t xml:space="preserve">Пациентите са лекувани до прогресия на заболяването или оттегляне от проучването. Първичната крайна точка за ефикасност е ПБП. Планиран междинен анализ показва статистически значимо предимство за сунитиниб спрямо </w:t>
      </w:r>
      <w:r w:rsidRPr="009632C6">
        <w:rPr>
          <w:rFonts w:eastAsia="Times New Roman" w:cs="Arial"/>
          <w:color w:val="000000"/>
          <w:lang w:val="en-US"/>
        </w:rPr>
        <w:t xml:space="preserve">IFN-a, </w:t>
      </w:r>
      <w:r w:rsidRPr="009632C6">
        <w:rPr>
          <w:rFonts w:eastAsia="Times New Roman" w:cs="Arial"/>
          <w:color w:val="000000"/>
          <w:lang w:eastAsia="bg-BG"/>
        </w:rPr>
        <w:t xml:space="preserve">в това проучване, където медийната на ПБП за групата, лекувана със сунитиниб е била 47,3 седмици в сравнение с 22,0 седмици за групата, лекувана с </w:t>
      </w:r>
      <w:r w:rsidRPr="009632C6">
        <w:rPr>
          <w:rFonts w:eastAsia="Times New Roman" w:cs="Arial"/>
          <w:color w:val="000000"/>
          <w:lang w:val="en-US"/>
        </w:rPr>
        <w:t xml:space="preserve">IFN-a; HR </w:t>
      </w:r>
      <w:r w:rsidRPr="009632C6">
        <w:rPr>
          <w:rFonts w:eastAsia="Times New Roman" w:cs="Arial"/>
          <w:color w:val="000000"/>
          <w:lang w:eastAsia="bg-BG"/>
        </w:rPr>
        <w:t xml:space="preserve">е бил 0,415 (95% </w:t>
      </w:r>
      <w:r w:rsidRPr="009632C6">
        <w:rPr>
          <w:rFonts w:eastAsia="Times New Roman" w:cs="Arial"/>
          <w:color w:val="000000"/>
          <w:lang w:val="en-US"/>
        </w:rPr>
        <w:t xml:space="preserve">CI: </w:t>
      </w:r>
      <w:r w:rsidRPr="009632C6">
        <w:rPr>
          <w:rFonts w:eastAsia="Times New Roman" w:cs="Arial"/>
          <w:color w:val="000000"/>
          <w:lang w:eastAsia="bg-BG"/>
        </w:rPr>
        <w:t xml:space="preserve">0,320,0,539, р-стойност &lt;0,001). Други крайни точки са ЧОО, </w:t>
      </w:r>
      <w:r w:rsidRPr="009632C6">
        <w:rPr>
          <w:rFonts w:eastAsia="Times New Roman" w:cs="Arial"/>
          <w:color w:val="000000"/>
          <w:lang w:val="en-US"/>
        </w:rPr>
        <w:t xml:space="preserve">OS </w:t>
      </w:r>
      <w:r w:rsidRPr="009632C6">
        <w:rPr>
          <w:rFonts w:eastAsia="Times New Roman" w:cs="Arial"/>
          <w:color w:val="000000"/>
          <w:lang w:eastAsia="bg-BG"/>
        </w:rPr>
        <w:t xml:space="preserve">и безопасност. Основното образно изследване е прекратено след достигане на първичната крайна точка. В окончателния анализ ЧОО според оценката на изследователите е била 46% (95% </w:t>
      </w:r>
      <w:r w:rsidRPr="009632C6">
        <w:rPr>
          <w:rFonts w:eastAsia="Times New Roman" w:cs="Arial"/>
          <w:color w:val="000000"/>
          <w:lang w:val="en-US"/>
        </w:rPr>
        <w:t xml:space="preserve">CI: </w:t>
      </w:r>
      <w:r w:rsidRPr="009632C6">
        <w:rPr>
          <w:rFonts w:eastAsia="Times New Roman" w:cs="Arial"/>
          <w:color w:val="000000"/>
          <w:lang w:eastAsia="bg-BG"/>
        </w:rPr>
        <w:t xml:space="preserve">41%, 51%) за рамото на сунитиниб и 12,0% (95% </w:t>
      </w:r>
      <w:r w:rsidRPr="009632C6">
        <w:rPr>
          <w:rFonts w:eastAsia="Times New Roman" w:cs="Arial"/>
          <w:color w:val="000000"/>
          <w:lang w:val="en-US"/>
        </w:rPr>
        <w:t xml:space="preserve">CI: </w:t>
      </w:r>
      <w:r w:rsidRPr="009632C6">
        <w:rPr>
          <w:rFonts w:eastAsia="Times New Roman" w:cs="Arial"/>
          <w:color w:val="000000"/>
          <w:lang w:eastAsia="bg-BG"/>
        </w:rPr>
        <w:t xml:space="preserve">9%, 16%) за рамото на </w:t>
      </w:r>
      <w:r w:rsidRPr="009632C6">
        <w:rPr>
          <w:rFonts w:eastAsia="Times New Roman" w:cs="Arial"/>
          <w:color w:val="000000"/>
          <w:lang w:val="en-US"/>
        </w:rPr>
        <w:t xml:space="preserve">IFN-a </w:t>
      </w:r>
      <w:r w:rsidRPr="009632C6">
        <w:rPr>
          <w:rFonts w:eastAsia="Times New Roman" w:cs="Arial"/>
          <w:color w:val="000000"/>
          <w:lang w:eastAsia="bg-BG"/>
        </w:rPr>
        <w:t>(р&lt;0,001).</w:t>
      </w:r>
    </w:p>
    <w:p w14:paraId="627B4B90" w14:textId="77777777" w:rsidR="001A0823" w:rsidRPr="009632C6" w:rsidRDefault="001A0823" w:rsidP="001A0823">
      <w:pPr>
        <w:spacing w:line="240" w:lineRule="auto"/>
        <w:rPr>
          <w:rFonts w:eastAsia="Times New Roman" w:cs="Arial"/>
          <w:color w:val="000000"/>
          <w:lang w:eastAsia="bg-BG"/>
        </w:rPr>
      </w:pPr>
    </w:p>
    <w:p w14:paraId="0C05EB93" w14:textId="501F793F" w:rsidR="001A0823" w:rsidRPr="009632C6" w:rsidRDefault="001A0823" w:rsidP="001A0823">
      <w:pPr>
        <w:spacing w:line="240" w:lineRule="auto"/>
        <w:rPr>
          <w:rFonts w:eastAsia="Times New Roman" w:cs="Arial"/>
          <w:lang w:eastAsia="bg-BG"/>
        </w:rPr>
      </w:pPr>
      <w:r w:rsidRPr="009632C6">
        <w:rPr>
          <w:rFonts w:eastAsia="Times New Roman" w:cs="Arial"/>
          <w:color w:val="000000"/>
          <w:lang w:eastAsia="bg-BG"/>
        </w:rPr>
        <w:t xml:space="preserve">Лечението със сунитиниб се свързва с по-продължителна преживяемост спрямо </w:t>
      </w:r>
      <w:r w:rsidRPr="009632C6">
        <w:rPr>
          <w:rFonts w:eastAsia="Times New Roman" w:cs="Arial"/>
          <w:color w:val="000000"/>
          <w:lang w:val="en-US"/>
        </w:rPr>
        <w:t xml:space="preserve">IFN-a. </w:t>
      </w:r>
      <w:r w:rsidRPr="009632C6">
        <w:rPr>
          <w:rFonts w:eastAsia="Times New Roman" w:cs="Arial"/>
          <w:color w:val="000000"/>
          <w:lang w:eastAsia="bg-BG"/>
        </w:rPr>
        <w:t xml:space="preserve">Средната </w:t>
      </w:r>
      <w:r w:rsidRPr="009632C6">
        <w:rPr>
          <w:rFonts w:eastAsia="Times New Roman" w:cs="Arial"/>
          <w:color w:val="000000"/>
          <w:lang w:val="en-US"/>
        </w:rPr>
        <w:t xml:space="preserve">OS </w:t>
      </w:r>
      <w:r w:rsidRPr="009632C6">
        <w:rPr>
          <w:rFonts w:eastAsia="Times New Roman" w:cs="Arial"/>
          <w:color w:val="000000"/>
          <w:lang w:eastAsia="bg-BG"/>
        </w:rPr>
        <w:t xml:space="preserve">е била 114,6 седмици за рамото на сунитиниб (95% </w:t>
      </w:r>
      <w:r w:rsidRPr="009632C6">
        <w:rPr>
          <w:rFonts w:eastAsia="Times New Roman" w:cs="Arial"/>
          <w:color w:val="000000"/>
          <w:lang w:val="en-US"/>
        </w:rPr>
        <w:t xml:space="preserve">CI: </w:t>
      </w:r>
      <w:r w:rsidRPr="009632C6">
        <w:rPr>
          <w:rFonts w:eastAsia="Times New Roman" w:cs="Arial"/>
          <w:color w:val="000000"/>
          <w:lang w:eastAsia="bg-BG"/>
        </w:rPr>
        <w:t xml:space="preserve">100,1,142,9) и 94,9 седмици за рамото на </w:t>
      </w:r>
      <w:r w:rsidRPr="009632C6">
        <w:rPr>
          <w:rFonts w:eastAsia="Times New Roman" w:cs="Arial"/>
          <w:color w:val="000000"/>
          <w:lang w:val="en-US"/>
        </w:rPr>
        <w:t xml:space="preserve">IFN-a </w:t>
      </w:r>
      <w:r w:rsidRPr="009632C6">
        <w:rPr>
          <w:rFonts w:eastAsia="Times New Roman" w:cs="Arial"/>
          <w:color w:val="000000"/>
          <w:lang w:eastAsia="bg-BG"/>
        </w:rPr>
        <w:t xml:space="preserve">(95% </w:t>
      </w:r>
      <w:r w:rsidRPr="009632C6">
        <w:rPr>
          <w:rFonts w:eastAsia="Times New Roman" w:cs="Arial"/>
          <w:color w:val="000000"/>
          <w:lang w:val="en-US"/>
        </w:rPr>
        <w:t xml:space="preserve">CI: </w:t>
      </w:r>
      <w:r w:rsidRPr="009632C6">
        <w:rPr>
          <w:rFonts w:eastAsia="Times New Roman" w:cs="Arial"/>
          <w:color w:val="000000"/>
          <w:lang w:eastAsia="bg-BG"/>
        </w:rPr>
        <w:t xml:space="preserve">77,7,117,0), с коефициент на риска 0,821 (95% </w:t>
      </w:r>
      <w:r w:rsidRPr="009632C6">
        <w:rPr>
          <w:rFonts w:eastAsia="Times New Roman" w:cs="Arial"/>
          <w:color w:val="000000"/>
          <w:lang w:val="en-US"/>
        </w:rPr>
        <w:t xml:space="preserve">CI: </w:t>
      </w:r>
      <w:r w:rsidRPr="009632C6">
        <w:rPr>
          <w:rFonts w:eastAsia="Times New Roman" w:cs="Arial"/>
          <w:color w:val="000000"/>
          <w:lang w:eastAsia="bg-BG"/>
        </w:rPr>
        <w:t xml:space="preserve">0,673, 1,001; р = 0,0510 спрямо нестратифициран </w:t>
      </w:r>
      <w:r w:rsidRPr="009632C6">
        <w:rPr>
          <w:rFonts w:eastAsia="Times New Roman" w:cs="Arial"/>
          <w:color w:val="000000"/>
          <w:lang w:val="en-US"/>
        </w:rPr>
        <w:t>log-rank).</w:t>
      </w:r>
    </w:p>
    <w:p w14:paraId="5D959FC7" w14:textId="77777777" w:rsidR="001A0823" w:rsidRPr="009632C6" w:rsidRDefault="001A0823" w:rsidP="001A0823">
      <w:pPr>
        <w:spacing w:line="240" w:lineRule="auto"/>
        <w:rPr>
          <w:rFonts w:eastAsia="Times New Roman" w:cs="Arial"/>
          <w:color w:val="000000"/>
          <w:lang w:eastAsia="bg-BG"/>
        </w:rPr>
      </w:pPr>
    </w:p>
    <w:p w14:paraId="5A2B29B0" w14:textId="0BAF4278" w:rsidR="001A0823" w:rsidRPr="009632C6" w:rsidRDefault="001A0823" w:rsidP="001A0823">
      <w:pPr>
        <w:spacing w:line="240" w:lineRule="auto"/>
        <w:rPr>
          <w:rFonts w:eastAsia="Times New Roman" w:cs="Arial"/>
          <w:lang w:eastAsia="bg-BG"/>
        </w:rPr>
      </w:pPr>
      <w:r w:rsidRPr="009632C6">
        <w:rPr>
          <w:rFonts w:eastAsia="Times New Roman" w:cs="Arial"/>
          <w:color w:val="000000"/>
          <w:lang w:eastAsia="bg-BG"/>
        </w:rPr>
        <w:t xml:space="preserve">Цялостните ПБП и </w:t>
      </w:r>
      <w:r w:rsidRPr="009632C6">
        <w:rPr>
          <w:rFonts w:eastAsia="Times New Roman" w:cs="Arial"/>
          <w:color w:val="000000"/>
          <w:lang w:val="en-US"/>
        </w:rPr>
        <w:t xml:space="preserve">OS, </w:t>
      </w:r>
      <w:r w:rsidRPr="009632C6">
        <w:rPr>
          <w:rFonts w:eastAsia="Times New Roman" w:cs="Arial"/>
          <w:color w:val="000000"/>
          <w:lang w:eastAsia="bg-BG"/>
        </w:rPr>
        <w:t xml:space="preserve">наблюдавани в </w:t>
      </w:r>
      <w:r w:rsidRPr="009632C6">
        <w:rPr>
          <w:rFonts w:eastAsia="Times New Roman" w:cs="Arial"/>
          <w:color w:val="000000"/>
          <w:lang w:val="en-US"/>
        </w:rPr>
        <w:t xml:space="preserve">ITT </w:t>
      </w:r>
      <w:r w:rsidRPr="009632C6">
        <w:rPr>
          <w:rFonts w:eastAsia="Times New Roman" w:cs="Arial"/>
          <w:color w:val="000000"/>
          <w:lang w:eastAsia="bg-BG"/>
        </w:rPr>
        <w:t>популацията, определени от основното образно лабораторно изследване, са обобщени в Таблица 3.</w:t>
      </w:r>
    </w:p>
    <w:p w14:paraId="3813F9D1" w14:textId="77777777" w:rsidR="001A0823" w:rsidRPr="009632C6" w:rsidRDefault="001A0823" w:rsidP="001A0823">
      <w:pPr>
        <w:rPr>
          <w:rFonts w:eastAsia="Times New Roman" w:cs="Arial"/>
          <w:b/>
          <w:bCs/>
          <w:color w:val="000000"/>
          <w:u w:val="single"/>
          <w:lang w:eastAsia="bg-BG"/>
        </w:rPr>
      </w:pPr>
    </w:p>
    <w:p w14:paraId="36152471" w14:textId="71638783" w:rsidR="0091385D" w:rsidRPr="009632C6" w:rsidRDefault="001A0823" w:rsidP="001A0823">
      <w:pPr>
        <w:rPr>
          <w:rFonts w:eastAsia="Times New Roman" w:cs="Arial"/>
          <w:b/>
          <w:bCs/>
          <w:color w:val="000000"/>
          <w:u w:val="single"/>
          <w:lang w:eastAsia="bg-BG"/>
        </w:rPr>
      </w:pPr>
      <w:r w:rsidRPr="009632C6">
        <w:rPr>
          <w:rFonts w:eastAsia="Times New Roman" w:cs="Arial"/>
          <w:b/>
          <w:bCs/>
          <w:color w:val="000000"/>
          <w:u w:val="single"/>
          <w:lang w:eastAsia="bg-BG"/>
        </w:rPr>
        <w:lastRenderedPageBreak/>
        <w:t xml:space="preserve">Таблица 3 - Нелекуван към момента МБКК - обобщение на крайните точки за ефикасност </w:t>
      </w:r>
      <w:r w:rsidRPr="009632C6">
        <w:rPr>
          <w:rFonts w:eastAsia="Times New Roman" w:cs="Arial"/>
          <w:b/>
          <w:bCs/>
          <w:color w:val="000000"/>
          <w:u w:val="single"/>
          <w:lang w:val="en-US"/>
        </w:rPr>
        <w:t xml:space="preserve">(ITT </w:t>
      </w:r>
      <w:r w:rsidRPr="009632C6">
        <w:rPr>
          <w:rFonts w:eastAsia="Times New Roman" w:cs="Arial"/>
          <w:b/>
          <w:bCs/>
          <w:color w:val="000000"/>
          <w:u w:val="single"/>
          <w:lang w:eastAsia="bg-BG"/>
        </w:rPr>
        <w:t>популация)</w:t>
      </w:r>
    </w:p>
    <w:tbl>
      <w:tblPr>
        <w:tblStyle w:val="TableGrid"/>
        <w:tblW w:w="0" w:type="auto"/>
        <w:tblLook w:val="04A0" w:firstRow="1" w:lastRow="0" w:firstColumn="1" w:lastColumn="0" w:noHBand="0" w:noVBand="1"/>
      </w:tblPr>
      <w:tblGrid>
        <w:gridCol w:w="3116"/>
        <w:gridCol w:w="3117"/>
        <w:gridCol w:w="3117"/>
      </w:tblGrid>
      <w:tr w:rsidR="001A0823" w:rsidRPr="009632C6" w14:paraId="497CB054" w14:textId="77777777" w:rsidTr="001A0823">
        <w:tc>
          <w:tcPr>
            <w:tcW w:w="3116" w:type="dxa"/>
          </w:tcPr>
          <w:p w14:paraId="371FC788" w14:textId="03AB2055" w:rsidR="001A0823" w:rsidRPr="009632C6" w:rsidRDefault="001A0823" w:rsidP="001A0823">
            <w:pPr>
              <w:rPr>
                <w:rFonts w:cs="Arial"/>
              </w:rPr>
            </w:pPr>
            <w:r w:rsidRPr="009632C6">
              <w:rPr>
                <w:rFonts w:cs="Arial"/>
                <w:b/>
                <w:bCs/>
              </w:rPr>
              <w:t>Обобщение на преживяемост без прогресия</w:t>
            </w:r>
          </w:p>
        </w:tc>
        <w:tc>
          <w:tcPr>
            <w:tcW w:w="3117" w:type="dxa"/>
          </w:tcPr>
          <w:p w14:paraId="59368F29" w14:textId="57041466" w:rsidR="001A0823" w:rsidRPr="009632C6" w:rsidRDefault="001A0823" w:rsidP="001A0823">
            <w:pPr>
              <w:rPr>
                <w:rFonts w:cs="Arial"/>
              </w:rPr>
            </w:pPr>
            <w:r w:rsidRPr="009632C6">
              <w:rPr>
                <w:rFonts w:cs="Arial"/>
                <w:b/>
                <w:bCs/>
              </w:rPr>
              <w:t xml:space="preserve">Сунитиниб </w:t>
            </w:r>
            <w:r w:rsidRPr="009632C6">
              <w:rPr>
                <w:rFonts w:cs="Arial"/>
                <w:b/>
                <w:bCs/>
                <w:lang w:val="en-US"/>
              </w:rPr>
              <w:t>(N-375)</w:t>
            </w:r>
          </w:p>
        </w:tc>
        <w:tc>
          <w:tcPr>
            <w:tcW w:w="3117" w:type="dxa"/>
          </w:tcPr>
          <w:p w14:paraId="1D1F012C" w14:textId="528F7DBF" w:rsidR="001A0823" w:rsidRPr="009632C6" w:rsidRDefault="001A0823" w:rsidP="001A0823">
            <w:pPr>
              <w:rPr>
                <w:rFonts w:cs="Arial"/>
              </w:rPr>
            </w:pPr>
            <w:r w:rsidRPr="009632C6">
              <w:rPr>
                <w:rFonts w:cs="Arial"/>
                <w:b/>
                <w:bCs/>
                <w:lang w:val="en-US"/>
              </w:rPr>
              <w:t>IFN-a (N=375)</w:t>
            </w:r>
          </w:p>
        </w:tc>
      </w:tr>
      <w:tr w:rsidR="001A0823" w:rsidRPr="009632C6" w14:paraId="61A0B101" w14:textId="77777777" w:rsidTr="001A0823">
        <w:tc>
          <w:tcPr>
            <w:tcW w:w="3116" w:type="dxa"/>
          </w:tcPr>
          <w:p w14:paraId="54CB4919" w14:textId="65D7E96B" w:rsidR="001A0823" w:rsidRPr="009632C6" w:rsidRDefault="001A0823" w:rsidP="001A0823">
            <w:pPr>
              <w:rPr>
                <w:rFonts w:cs="Arial"/>
              </w:rPr>
            </w:pPr>
            <w:r w:rsidRPr="009632C6">
              <w:rPr>
                <w:rFonts w:cs="Arial"/>
              </w:rPr>
              <w:t>Пациент без прогресия или смърт [п (%)]</w:t>
            </w:r>
          </w:p>
        </w:tc>
        <w:tc>
          <w:tcPr>
            <w:tcW w:w="3117" w:type="dxa"/>
          </w:tcPr>
          <w:p w14:paraId="15C02E7C" w14:textId="27229054" w:rsidR="001A0823" w:rsidRPr="009632C6" w:rsidRDefault="001A0823" w:rsidP="001A0823">
            <w:pPr>
              <w:rPr>
                <w:rFonts w:cs="Arial"/>
              </w:rPr>
            </w:pPr>
            <w:r w:rsidRPr="009632C6">
              <w:rPr>
                <w:rFonts w:cs="Arial"/>
              </w:rPr>
              <w:t>161 (42,9)</w:t>
            </w:r>
          </w:p>
        </w:tc>
        <w:tc>
          <w:tcPr>
            <w:tcW w:w="3117" w:type="dxa"/>
          </w:tcPr>
          <w:p w14:paraId="08C3FBD4" w14:textId="7407B3EA" w:rsidR="001A0823" w:rsidRPr="009632C6" w:rsidRDefault="001A0823" w:rsidP="001A0823">
            <w:pPr>
              <w:rPr>
                <w:rFonts w:cs="Arial"/>
              </w:rPr>
            </w:pPr>
            <w:r w:rsidRPr="009632C6">
              <w:rPr>
                <w:rFonts w:cs="Arial"/>
              </w:rPr>
              <w:t>176 (46,9)</w:t>
            </w:r>
          </w:p>
        </w:tc>
      </w:tr>
      <w:tr w:rsidR="001A0823" w:rsidRPr="009632C6" w14:paraId="5899A6C7" w14:textId="77777777" w:rsidTr="001A0823">
        <w:tc>
          <w:tcPr>
            <w:tcW w:w="3116" w:type="dxa"/>
          </w:tcPr>
          <w:p w14:paraId="4F855AF6" w14:textId="668E0A32" w:rsidR="001A0823" w:rsidRPr="009632C6" w:rsidRDefault="001A0823" w:rsidP="001A0823">
            <w:pPr>
              <w:rPr>
                <w:rFonts w:cs="Arial"/>
              </w:rPr>
            </w:pPr>
            <w:r w:rsidRPr="009632C6">
              <w:rPr>
                <w:rFonts w:cs="Arial"/>
              </w:rPr>
              <w:t>Пациент с наблюдавана прогресия или смърт [п (%)]</w:t>
            </w:r>
          </w:p>
        </w:tc>
        <w:tc>
          <w:tcPr>
            <w:tcW w:w="3117" w:type="dxa"/>
          </w:tcPr>
          <w:p w14:paraId="49FF5E0B" w14:textId="722A1978" w:rsidR="001A0823" w:rsidRPr="009632C6" w:rsidRDefault="001A0823" w:rsidP="001A0823">
            <w:pPr>
              <w:rPr>
                <w:rFonts w:cs="Arial"/>
              </w:rPr>
            </w:pPr>
            <w:r w:rsidRPr="009632C6">
              <w:rPr>
                <w:rFonts w:cs="Arial"/>
              </w:rPr>
              <w:t>214(57,1)</w:t>
            </w:r>
          </w:p>
        </w:tc>
        <w:tc>
          <w:tcPr>
            <w:tcW w:w="3117" w:type="dxa"/>
          </w:tcPr>
          <w:p w14:paraId="64C79B32" w14:textId="542013B8" w:rsidR="001A0823" w:rsidRPr="009632C6" w:rsidRDefault="001A0823" w:rsidP="001A0823">
            <w:pPr>
              <w:rPr>
                <w:rFonts w:cs="Arial"/>
              </w:rPr>
            </w:pPr>
            <w:r w:rsidRPr="009632C6">
              <w:rPr>
                <w:rFonts w:cs="Arial"/>
              </w:rPr>
              <w:t>199</w:t>
            </w:r>
            <w:r w:rsidRPr="009632C6">
              <w:rPr>
                <w:rFonts w:cs="Arial"/>
                <w:lang w:val="en-US"/>
              </w:rPr>
              <w:t xml:space="preserve"> </w:t>
            </w:r>
            <w:r w:rsidRPr="009632C6">
              <w:rPr>
                <w:rFonts w:cs="Arial"/>
              </w:rPr>
              <w:t>(53.1)</w:t>
            </w:r>
          </w:p>
        </w:tc>
      </w:tr>
      <w:tr w:rsidR="001A0823" w:rsidRPr="009632C6" w14:paraId="2CB48769" w14:textId="77777777" w:rsidTr="001A0823">
        <w:tc>
          <w:tcPr>
            <w:tcW w:w="3116" w:type="dxa"/>
          </w:tcPr>
          <w:p w14:paraId="19A0036D" w14:textId="6DA14EE3" w:rsidR="001A0823" w:rsidRPr="009632C6" w:rsidRDefault="001A0823" w:rsidP="001A0823">
            <w:pPr>
              <w:rPr>
                <w:rFonts w:cs="Arial"/>
              </w:rPr>
            </w:pPr>
            <w:r w:rsidRPr="009632C6">
              <w:rPr>
                <w:rFonts w:cs="Arial"/>
              </w:rPr>
              <w:t>ПБП (седмици)</w:t>
            </w:r>
          </w:p>
        </w:tc>
        <w:tc>
          <w:tcPr>
            <w:tcW w:w="3117" w:type="dxa"/>
          </w:tcPr>
          <w:p w14:paraId="2AB02BFD" w14:textId="77777777" w:rsidR="001A0823" w:rsidRPr="009632C6" w:rsidRDefault="001A0823" w:rsidP="001A0823">
            <w:pPr>
              <w:rPr>
                <w:rFonts w:cs="Arial"/>
              </w:rPr>
            </w:pPr>
          </w:p>
        </w:tc>
        <w:tc>
          <w:tcPr>
            <w:tcW w:w="3117" w:type="dxa"/>
          </w:tcPr>
          <w:p w14:paraId="43945603" w14:textId="77777777" w:rsidR="001A0823" w:rsidRPr="009632C6" w:rsidRDefault="001A0823" w:rsidP="001A0823">
            <w:pPr>
              <w:rPr>
                <w:rFonts w:cs="Arial"/>
              </w:rPr>
            </w:pPr>
          </w:p>
        </w:tc>
      </w:tr>
      <w:tr w:rsidR="001A0823" w:rsidRPr="009632C6" w14:paraId="30D7F2A9" w14:textId="77777777" w:rsidTr="001A0823">
        <w:tc>
          <w:tcPr>
            <w:tcW w:w="3116" w:type="dxa"/>
          </w:tcPr>
          <w:p w14:paraId="24BB8437" w14:textId="605C3A85" w:rsidR="001A0823" w:rsidRPr="009632C6" w:rsidRDefault="001A0823" w:rsidP="001A0823">
            <w:pPr>
              <w:rPr>
                <w:rFonts w:cs="Arial"/>
              </w:rPr>
            </w:pPr>
            <w:r w:rsidRPr="009632C6">
              <w:rPr>
                <w:rFonts w:cs="Arial"/>
              </w:rPr>
              <w:t xml:space="preserve">Квартал (95% </w:t>
            </w:r>
            <w:r w:rsidRPr="009632C6">
              <w:rPr>
                <w:rFonts w:cs="Arial"/>
                <w:lang w:val="en-US"/>
              </w:rPr>
              <w:t>CI)</w:t>
            </w:r>
          </w:p>
        </w:tc>
        <w:tc>
          <w:tcPr>
            <w:tcW w:w="3117" w:type="dxa"/>
          </w:tcPr>
          <w:p w14:paraId="48CBE6E1" w14:textId="77777777" w:rsidR="001A0823" w:rsidRPr="009632C6" w:rsidRDefault="001A0823" w:rsidP="001A0823">
            <w:pPr>
              <w:rPr>
                <w:rFonts w:cs="Arial"/>
              </w:rPr>
            </w:pPr>
          </w:p>
        </w:tc>
        <w:tc>
          <w:tcPr>
            <w:tcW w:w="3117" w:type="dxa"/>
          </w:tcPr>
          <w:p w14:paraId="516528B8" w14:textId="77777777" w:rsidR="001A0823" w:rsidRPr="009632C6" w:rsidRDefault="001A0823" w:rsidP="001A0823">
            <w:pPr>
              <w:rPr>
                <w:rFonts w:cs="Arial"/>
              </w:rPr>
            </w:pPr>
          </w:p>
        </w:tc>
      </w:tr>
      <w:tr w:rsidR="001A0823" w:rsidRPr="009632C6" w14:paraId="067EC3AF" w14:textId="77777777" w:rsidTr="001A0823">
        <w:tc>
          <w:tcPr>
            <w:tcW w:w="3116" w:type="dxa"/>
          </w:tcPr>
          <w:p w14:paraId="678512BC" w14:textId="4D3DFB6C" w:rsidR="001A0823" w:rsidRPr="009632C6" w:rsidRDefault="001A0823" w:rsidP="001A0823">
            <w:pPr>
              <w:rPr>
                <w:rFonts w:cs="Arial"/>
              </w:rPr>
            </w:pPr>
            <w:r w:rsidRPr="009632C6">
              <w:rPr>
                <w:rFonts w:cs="Arial"/>
              </w:rPr>
              <w:t>25%</w:t>
            </w:r>
          </w:p>
        </w:tc>
        <w:tc>
          <w:tcPr>
            <w:tcW w:w="3117" w:type="dxa"/>
          </w:tcPr>
          <w:p w14:paraId="772CB23A" w14:textId="5DE348C8" w:rsidR="001A0823" w:rsidRPr="009632C6" w:rsidRDefault="001A0823" w:rsidP="001A0823">
            <w:pPr>
              <w:rPr>
                <w:rFonts w:cs="Arial"/>
              </w:rPr>
            </w:pPr>
            <w:r w:rsidRPr="009632C6">
              <w:rPr>
                <w:rFonts w:cs="Arial"/>
              </w:rPr>
              <w:t>22,7 (18,0, 34,0)</w:t>
            </w:r>
          </w:p>
        </w:tc>
        <w:tc>
          <w:tcPr>
            <w:tcW w:w="3117" w:type="dxa"/>
          </w:tcPr>
          <w:p w14:paraId="08BE458C" w14:textId="736C05BB" w:rsidR="001A0823" w:rsidRPr="009632C6" w:rsidRDefault="001A0823" w:rsidP="001A0823">
            <w:pPr>
              <w:rPr>
                <w:rFonts w:cs="Arial"/>
              </w:rPr>
            </w:pPr>
            <w:r w:rsidRPr="009632C6">
              <w:rPr>
                <w:rFonts w:cs="Arial"/>
              </w:rPr>
              <w:t>10,0</w:t>
            </w:r>
            <w:r w:rsidRPr="009632C6">
              <w:rPr>
                <w:rFonts w:cs="Arial"/>
                <w:lang w:val="en-US"/>
              </w:rPr>
              <w:t xml:space="preserve"> </w:t>
            </w:r>
            <w:r w:rsidRPr="009632C6">
              <w:rPr>
                <w:rFonts w:cs="Arial"/>
              </w:rPr>
              <w:t>(7,3, 10,3)</w:t>
            </w:r>
          </w:p>
        </w:tc>
      </w:tr>
      <w:tr w:rsidR="001A0823" w:rsidRPr="009632C6" w14:paraId="12FAE977" w14:textId="77777777" w:rsidTr="001A0823">
        <w:tc>
          <w:tcPr>
            <w:tcW w:w="3116" w:type="dxa"/>
          </w:tcPr>
          <w:p w14:paraId="4825D06A" w14:textId="4EAAC831" w:rsidR="001A0823" w:rsidRPr="009632C6" w:rsidRDefault="001A0823" w:rsidP="001A0823">
            <w:pPr>
              <w:rPr>
                <w:rFonts w:cs="Arial"/>
              </w:rPr>
            </w:pPr>
            <w:r w:rsidRPr="009632C6">
              <w:rPr>
                <w:rFonts w:cs="Arial"/>
              </w:rPr>
              <w:t>50%</w:t>
            </w:r>
          </w:p>
        </w:tc>
        <w:tc>
          <w:tcPr>
            <w:tcW w:w="3117" w:type="dxa"/>
          </w:tcPr>
          <w:p w14:paraId="6DB9430E" w14:textId="08CEDB24" w:rsidR="001A0823" w:rsidRPr="009632C6" w:rsidRDefault="001A0823" w:rsidP="001A0823">
            <w:pPr>
              <w:rPr>
                <w:rFonts w:cs="Arial"/>
              </w:rPr>
            </w:pPr>
            <w:r w:rsidRPr="009632C6">
              <w:rPr>
                <w:rFonts w:cs="Arial"/>
              </w:rPr>
              <w:t>48,3 (46,4, 58,3)</w:t>
            </w:r>
          </w:p>
        </w:tc>
        <w:tc>
          <w:tcPr>
            <w:tcW w:w="3117" w:type="dxa"/>
          </w:tcPr>
          <w:p w14:paraId="774E540A" w14:textId="02B9B7AB" w:rsidR="001A0823" w:rsidRPr="009632C6" w:rsidRDefault="001A0823" w:rsidP="001A0823">
            <w:pPr>
              <w:rPr>
                <w:rFonts w:cs="Arial"/>
              </w:rPr>
            </w:pPr>
            <w:r w:rsidRPr="009632C6">
              <w:rPr>
                <w:rFonts w:cs="Arial"/>
              </w:rPr>
              <w:t>22,1 (17,1,24,0)</w:t>
            </w:r>
          </w:p>
        </w:tc>
      </w:tr>
      <w:tr w:rsidR="001A0823" w:rsidRPr="009632C6" w14:paraId="79B1B8CC" w14:textId="77777777" w:rsidTr="001A0823">
        <w:tc>
          <w:tcPr>
            <w:tcW w:w="3116" w:type="dxa"/>
          </w:tcPr>
          <w:p w14:paraId="3EDB2803" w14:textId="29C7C874" w:rsidR="001A0823" w:rsidRPr="009632C6" w:rsidRDefault="001A0823" w:rsidP="001A0823">
            <w:pPr>
              <w:rPr>
                <w:rFonts w:cs="Arial"/>
              </w:rPr>
            </w:pPr>
            <w:r w:rsidRPr="009632C6">
              <w:rPr>
                <w:rFonts w:cs="Arial"/>
              </w:rPr>
              <w:t>75%</w:t>
            </w:r>
          </w:p>
        </w:tc>
        <w:tc>
          <w:tcPr>
            <w:tcW w:w="3117" w:type="dxa"/>
          </w:tcPr>
          <w:p w14:paraId="789AD440" w14:textId="7061DFDC" w:rsidR="001A0823" w:rsidRPr="009632C6" w:rsidRDefault="001A0823" w:rsidP="001A0823">
            <w:pPr>
              <w:rPr>
                <w:rFonts w:cs="Arial"/>
              </w:rPr>
            </w:pPr>
            <w:r w:rsidRPr="009632C6">
              <w:rPr>
                <w:rFonts w:cs="Arial"/>
              </w:rPr>
              <w:t>84,3 (72,9, 95,1)</w:t>
            </w:r>
          </w:p>
        </w:tc>
        <w:tc>
          <w:tcPr>
            <w:tcW w:w="3117" w:type="dxa"/>
          </w:tcPr>
          <w:p w14:paraId="66CDA14B" w14:textId="75D5E3F8" w:rsidR="001A0823" w:rsidRPr="009632C6" w:rsidRDefault="001A0823" w:rsidP="001A0823">
            <w:pPr>
              <w:rPr>
                <w:rFonts w:cs="Arial"/>
              </w:rPr>
            </w:pPr>
            <w:r w:rsidRPr="009632C6">
              <w:rPr>
                <w:rFonts w:cs="Arial"/>
              </w:rPr>
              <w:t>58,1 (45,6, 82,1)</w:t>
            </w:r>
          </w:p>
        </w:tc>
      </w:tr>
      <w:tr w:rsidR="001A0823" w:rsidRPr="009632C6" w14:paraId="3A7F499E" w14:textId="77777777" w:rsidTr="001A0823">
        <w:tc>
          <w:tcPr>
            <w:tcW w:w="3116" w:type="dxa"/>
          </w:tcPr>
          <w:p w14:paraId="320B624C" w14:textId="2EC20795" w:rsidR="001A0823" w:rsidRPr="009632C6" w:rsidRDefault="001A0823" w:rsidP="001A0823">
            <w:pPr>
              <w:rPr>
                <w:rFonts w:cs="Arial"/>
              </w:rPr>
            </w:pPr>
            <w:r w:rsidRPr="009632C6">
              <w:rPr>
                <w:rFonts w:cs="Arial"/>
              </w:rPr>
              <w:t>Нестратифициран анализ</w:t>
            </w:r>
          </w:p>
        </w:tc>
        <w:tc>
          <w:tcPr>
            <w:tcW w:w="6234" w:type="dxa"/>
            <w:gridSpan w:val="2"/>
          </w:tcPr>
          <w:p w14:paraId="5889D362" w14:textId="77777777" w:rsidR="001A0823" w:rsidRPr="009632C6" w:rsidRDefault="001A0823" w:rsidP="001A0823">
            <w:pPr>
              <w:rPr>
                <w:rFonts w:cs="Arial"/>
              </w:rPr>
            </w:pPr>
          </w:p>
        </w:tc>
      </w:tr>
      <w:tr w:rsidR="001A0823" w:rsidRPr="009632C6" w14:paraId="2062FDF0" w14:textId="77777777" w:rsidTr="001A0823">
        <w:tc>
          <w:tcPr>
            <w:tcW w:w="3116" w:type="dxa"/>
          </w:tcPr>
          <w:p w14:paraId="40380545" w14:textId="64A998AC" w:rsidR="001A0823" w:rsidRPr="009632C6" w:rsidRDefault="001A0823" w:rsidP="001A0823">
            <w:pPr>
              <w:rPr>
                <w:rFonts w:cs="Arial"/>
              </w:rPr>
            </w:pPr>
            <w:r w:rsidRPr="009632C6">
              <w:rPr>
                <w:rFonts w:cs="Arial"/>
              </w:rPr>
              <w:t xml:space="preserve">Коефициент на риска (сунитиниб спрямо </w:t>
            </w:r>
            <w:r w:rsidRPr="009632C6">
              <w:rPr>
                <w:rFonts w:cs="Arial"/>
                <w:lang w:val="en-US"/>
              </w:rPr>
              <w:t>IFN-a)</w:t>
            </w:r>
          </w:p>
        </w:tc>
        <w:tc>
          <w:tcPr>
            <w:tcW w:w="6234" w:type="dxa"/>
            <w:gridSpan w:val="2"/>
          </w:tcPr>
          <w:p w14:paraId="65CDB9EF" w14:textId="5952EB81" w:rsidR="001A0823" w:rsidRPr="009632C6" w:rsidRDefault="001A0823" w:rsidP="001A0823">
            <w:pPr>
              <w:rPr>
                <w:rFonts w:cs="Arial"/>
              </w:rPr>
            </w:pPr>
            <w:r w:rsidRPr="009632C6">
              <w:rPr>
                <w:rFonts w:cs="Arial"/>
              </w:rPr>
              <w:t>0,5268</w:t>
            </w:r>
          </w:p>
        </w:tc>
      </w:tr>
      <w:tr w:rsidR="001A0823" w:rsidRPr="009632C6" w14:paraId="091E2F91" w14:textId="77777777" w:rsidTr="001A0823">
        <w:tc>
          <w:tcPr>
            <w:tcW w:w="3116" w:type="dxa"/>
          </w:tcPr>
          <w:p w14:paraId="10B49A2F" w14:textId="5D2198B7" w:rsidR="001A0823" w:rsidRPr="009632C6" w:rsidRDefault="001A0823" w:rsidP="001A0823">
            <w:pPr>
              <w:rPr>
                <w:rFonts w:cs="Arial"/>
              </w:rPr>
            </w:pPr>
            <w:r w:rsidRPr="009632C6">
              <w:rPr>
                <w:rFonts w:cs="Arial"/>
              </w:rPr>
              <w:t xml:space="preserve">95% </w:t>
            </w:r>
            <w:r w:rsidRPr="009632C6">
              <w:rPr>
                <w:rFonts w:cs="Arial"/>
                <w:lang w:val="en-US"/>
              </w:rPr>
              <w:t xml:space="preserve">CI </w:t>
            </w:r>
            <w:r w:rsidRPr="009632C6">
              <w:rPr>
                <w:rFonts w:cs="Arial"/>
              </w:rPr>
              <w:t>за Коефициент на риска</w:t>
            </w:r>
          </w:p>
        </w:tc>
        <w:tc>
          <w:tcPr>
            <w:tcW w:w="6234" w:type="dxa"/>
            <w:gridSpan w:val="2"/>
          </w:tcPr>
          <w:p w14:paraId="3C64FBD7" w14:textId="6CEC910D" w:rsidR="001A0823" w:rsidRPr="009632C6" w:rsidRDefault="001A0823" w:rsidP="001A0823">
            <w:pPr>
              <w:rPr>
                <w:rFonts w:cs="Arial"/>
              </w:rPr>
            </w:pPr>
            <w:r w:rsidRPr="009632C6">
              <w:rPr>
                <w:rFonts w:cs="Arial"/>
              </w:rPr>
              <w:t>(0,4316, 0,6430)</w:t>
            </w:r>
          </w:p>
        </w:tc>
      </w:tr>
      <w:tr w:rsidR="001A0823" w:rsidRPr="009632C6" w14:paraId="03A584AA" w14:textId="77777777" w:rsidTr="001A0823">
        <w:tc>
          <w:tcPr>
            <w:tcW w:w="3116" w:type="dxa"/>
          </w:tcPr>
          <w:p w14:paraId="66137396" w14:textId="4A858121" w:rsidR="001A0823" w:rsidRPr="009632C6" w:rsidRDefault="001A0823" w:rsidP="001A0823">
            <w:pPr>
              <w:rPr>
                <w:rFonts w:cs="Arial"/>
              </w:rPr>
            </w:pPr>
            <w:r w:rsidRPr="009632C6">
              <w:rPr>
                <w:rFonts w:cs="Arial"/>
              </w:rPr>
              <w:t>р-стойност</w:t>
            </w:r>
            <w:r w:rsidRPr="009632C6">
              <w:rPr>
                <w:rFonts w:cs="Arial"/>
                <w:vertAlign w:val="superscript"/>
                <w:lang w:val="en-US"/>
              </w:rPr>
              <w:t>a</w:t>
            </w:r>
          </w:p>
        </w:tc>
        <w:tc>
          <w:tcPr>
            <w:tcW w:w="6234" w:type="dxa"/>
            <w:gridSpan w:val="2"/>
          </w:tcPr>
          <w:p w14:paraId="08CEE14A" w14:textId="7EB7ADEB" w:rsidR="001A0823" w:rsidRPr="009632C6" w:rsidRDefault="001A0823" w:rsidP="001A0823">
            <w:pPr>
              <w:rPr>
                <w:rFonts w:cs="Arial"/>
              </w:rPr>
            </w:pPr>
            <w:r w:rsidRPr="009632C6">
              <w:rPr>
                <w:rFonts w:cs="Arial"/>
              </w:rPr>
              <w:t>&lt;0,0001</w:t>
            </w:r>
          </w:p>
        </w:tc>
      </w:tr>
      <w:tr w:rsidR="001A0823" w:rsidRPr="009632C6" w14:paraId="7ED26B64" w14:textId="77777777" w:rsidTr="001A0823">
        <w:tc>
          <w:tcPr>
            <w:tcW w:w="3116" w:type="dxa"/>
          </w:tcPr>
          <w:p w14:paraId="7FDF2ABF" w14:textId="09636B85" w:rsidR="001A0823" w:rsidRPr="009632C6" w:rsidRDefault="001A0823" w:rsidP="001A0823">
            <w:pPr>
              <w:rPr>
                <w:rFonts w:cs="Arial"/>
              </w:rPr>
            </w:pPr>
            <w:r w:rsidRPr="009632C6">
              <w:rPr>
                <w:rFonts w:cs="Arial"/>
                <w:b/>
                <w:bCs/>
              </w:rPr>
              <w:t>Обобщение на общата преживяемост</w:t>
            </w:r>
          </w:p>
        </w:tc>
        <w:tc>
          <w:tcPr>
            <w:tcW w:w="3117" w:type="dxa"/>
          </w:tcPr>
          <w:p w14:paraId="2F77DC0C" w14:textId="77777777" w:rsidR="001A0823" w:rsidRPr="009632C6" w:rsidRDefault="001A0823" w:rsidP="001A0823">
            <w:pPr>
              <w:rPr>
                <w:rFonts w:cs="Arial"/>
              </w:rPr>
            </w:pPr>
          </w:p>
        </w:tc>
        <w:tc>
          <w:tcPr>
            <w:tcW w:w="3117" w:type="dxa"/>
          </w:tcPr>
          <w:p w14:paraId="2441792D" w14:textId="77777777" w:rsidR="001A0823" w:rsidRPr="009632C6" w:rsidRDefault="001A0823" w:rsidP="001A0823">
            <w:pPr>
              <w:rPr>
                <w:rFonts w:cs="Arial"/>
              </w:rPr>
            </w:pPr>
          </w:p>
        </w:tc>
      </w:tr>
      <w:tr w:rsidR="001A0823" w:rsidRPr="009632C6" w14:paraId="5FF2E15B" w14:textId="77777777" w:rsidTr="001A0823">
        <w:tc>
          <w:tcPr>
            <w:tcW w:w="3116" w:type="dxa"/>
          </w:tcPr>
          <w:p w14:paraId="696ED66F" w14:textId="4620867D" w:rsidR="001A0823" w:rsidRPr="009632C6" w:rsidRDefault="001A0823" w:rsidP="001A0823">
            <w:pPr>
              <w:rPr>
                <w:rFonts w:cs="Arial"/>
              </w:rPr>
            </w:pPr>
            <w:r w:rsidRPr="009632C6">
              <w:rPr>
                <w:rFonts w:cs="Arial"/>
              </w:rPr>
              <w:t>Пациент, за когото не е известно да е починал [</w:t>
            </w:r>
            <w:r w:rsidRPr="009632C6">
              <w:rPr>
                <w:rFonts w:cs="Arial"/>
                <w:lang w:val="en-US"/>
              </w:rPr>
              <w:t>n</w:t>
            </w:r>
            <w:r w:rsidRPr="009632C6">
              <w:rPr>
                <w:rFonts w:cs="Arial"/>
              </w:rPr>
              <w:t>(%)]</w:t>
            </w:r>
          </w:p>
        </w:tc>
        <w:tc>
          <w:tcPr>
            <w:tcW w:w="3117" w:type="dxa"/>
          </w:tcPr>
          <w:p w14:paraId="5C254AF2" w14:textId="68D43396" w:rsidR="001A0823" w:rsidRPr="009632C6" w:rsidRDefault="001A0823" w:rsidP="001A0823">
            <w:pPr>
              <w:rPr>
                <w:rFonts w:cs="Arial"/>
              </w:rPr>
            </w:pPr>
            <w:r w:rsidRPr="009632C6">
              <w:rPr>
                <w:rFonts w:cs="Arial"/>
              </w:rPr>
              <w:t>185 (49,3)</w:t>
            </w:r>
          </w:p>
        </w:tc>
        <w:tc>
          <w:tcPr>
            <w:tcW w:w="3117" w:type="dxa"/>
          </w:tcPr>
          <w:p w14:paraId="1DB911F7" w14:textId="2FCBFAF4" w:rsidR="001A0823" w:rsidRPr="009632C6" w:rsidRDefault="001A0823" w:rsidP="001A0823">
            <w:pPr>
              <w:rPr>
                <w:rFonts w:cs="Arial"/>
              </w:rPr>
            </w:pPr>
            <w:r w:rsidRPr="009632C6">
              <w:rPr>
                <w:rFonts w:cs="Arial"/>
              </w:rPr>
              <w:t>175 (46,7)</w:t>
            </w:r>
          </w:p>
        </w:tc>
      </w:tr>
      <w:tr w:rsidR="001A0823" w:rsidRPr="009632C6" w14:paraId="4CB1F918" w14:textId="77777777" w:rsidTr="001A0823">
        <w:tc>
          <w:tcPr>
            <w:tcW w:w="3116" w:type="dxa"/>
          </w:tcPr>
          <w:p w14:paraId="03BC5BD8" w14:textId="3F6726FA" w:rsidR="001A0823" w:rsidRPr="009632C6" w:rsidRDefault="001A0823" w:rsidP="001A0823">
            <w:pPr>
              <w:rPr>
                <w:rFonts w:cs="Arial"/>
              </w:rPr>
            </w:pPr>
            <w:r w:rsidRPr="009632C6">
              <w:rPr>
                <w:rFonts w:cs="Arial"/>
              </w:rPr>
              <w:t>Пациент, който е починал [п (%)]</w:t>
            </w:r>
          </w:p>
        </w:tc>
        <w:tc>
          <w:tcPr>
            <w:tcW w:w="3117" w:type="dxa"/>
          </w:tcPr>
          <w:p w14:paraId="6C1C23A4" w14:textId="734F1178" w:rsidR="001A0823" w:rsidRPr="009632C6" w:rsidRDefault="001A0823" w:rsidP="001A0823">
            <w:pPr>
              <w:rPr>
                <w:rFonts w:cs="Arial"/>
              </w:rPr>
            </w:pPr>
            <w:r w:rsidRPr="009632C6">
              <w:rPr>
                <w:rFonts w:cs="Arial"/>
              </w:rPr>
              <w:t>190 (50,7)</w:t>
            </w:r>
          </w:p>
        </w:tc>
        <w:tc>
          <w:tcPr>
            <w:tcW w:w="3117" w:type="dxa"/>
          </w:tcPr>
          <w:p w14:paraId="0E9030EF" w14:textId="3B5E21D4" w:rsidR="001A0823" w:rsidRPr="009632C6" w:rsidRDefault="001A0823" w:rsidP="001A0823">
            <w:pPr>
              <w:rPr>
                <w:rFonts w:cs="Arial"/>
              </w:rPr>
            </w:pPr>
            <w:r w:rsidRPr="009632C6">
              <w:rPr>
                <w:rFonts w:cs="Arial"/>
              </w:rPr>
              <w:t>200 (53,3)</w:t>
            </w:r>
          </w:p>
        </w:tc>
      </w:tr>
      <w:tr w:rsidR="001A0823" w:rsidRPr="009632C6" w14:paraId="673D942D" w14:textId="77777777" w:rsidTr="001A0823">
        <w:tc>
          <w:tcPr>
            <w:tcW w:w="3116" w:type="dxa"/>
          </w:tcPr>
          <w:p w14:paraId="62ADF75E" w14:textId="254497F6" w:rsidR="001A0823" w:rsidRPr="009632C6" w:rsidRDefault="001A0823" w:rsidP="001A0823">
            <w:pPr>
              <w:rPr>
                <w:rFonts w:cs="Arial"/>
              </w:rPr>
            </w:pPr>
            <w:r w:rsidRPr="009632C6">
              <w:rPr>
                <w:rFonts w:cs="Arial"/>
                <w:lang w:val="en-US"/>
              </w:rPr>
              <w:t xml:space="preserve">OS </w:t>
            </w:r>
            <w:r w:rsidRPr="009632C6">
              <w:rPr>
                <w:rFonts w:cs="Arial"/>
              </w:rPr>
              <w:t>(седмици)</w:t>
            </w:r>
          </w:p>
        </w:tc>
        <w:tc>
          <w:tcPr>
            <w:tcW w:w="3117" w:type="dxa"/>
          </w:tcPr>
          <w:p w14:paraId="46F7AF55" w14:textId="77777777" w:rsidR="001A0823" w:rsidRPr="009632C6" w:rsidRDefault="001A0823" w:rsidP="001A0823">
            <w:pPr>
              <w:rPr>
                <w:rFonts w:cs="Arial"/>
              </w:rPr>
            </w:pPr>
          </w:p>
        </w:tc>
        <w:tc>
          <w:tcPr>
            <w:tcW w:w="3117" w:type="dxa"/>
          </w:tcPr>
          <w:p w14:paraId="270E3615" w14:textId="77777777" w:rsidR="001A0823" w:rsidRPr="009632C6" w:rsidRDefault="001A0823" w:rsidP="001A0823">
            <w:pPr>
              <w:rPr>
                <w:rFonts w:cs="Arial"/>
              </w:rPr>
            </w:pPr>
          </w:p>
        </w:tc>
      </w:tr>
      <w:tr w:rsidR="001A0823" w:rsidRPr="009632C6" w14:paraId="2914D3EA" w14:textId="77777777" w:rsidTr="001A0823">
        <w:tc>
          <w:tcPr>
            <w:tcW w:w="3116" w:type="dxa"/>
          </w:tcPr>
          <w:p w14:paraId="406A664D" w14:textId="538678F4" w:rsidR="001A0823" w:rsidRPr="009632C6" w:rsidRDefault="001A0823" w:rsidP="001A0823">
            <w:pPr>
              <w:rPr>
                <w:rFonts w:cs="Arial"/>
              </w:rPr>
            </w:pPr>
            <w:r w:rsidRPr="009632C6">
              <w:rPr>
                <w:rFonts w:cs="Arial"/>
              </w:rPr>
              <w:t xml:space="preserve">Квартил (95% </w:t>
            </w:r>
            <w:r w:rsidRPr="009632C6">
              <w:rPr>
                <w:rFonts w:cs="Arial"/>
                <w:lang w:val="en-US"/>
              </w:rPr>
              <w:t>CI)</w:t>
            </w:r>
          </w:p>
        </w:tc>
        <w:tc>
          <w:tcPr>
            <w:tcW w:w="3117" w:type="dxa"/>
          </w:tcPr>
          <w:p w14:paraId="4CE37DA6" w14:textId="77777777" w:rsidR="001A0823" w:rsidRPr="009632C6" w:rsidRDefault="001A0823" w:rsidP="001A0823">
            <w:pPr>
              <w:rPr>
                <w:rFonts w:cs="Arial"/>
              </w:rPr>
            </w:pPr>
          </w:p>
        </w:tc>
        <w:tc>
          <w:tcPr>
            <w:tcW w:w="3117" w:type="dxa"/>
          </w:tcPr>
          <w:p w14:paraId="4E5835CD" w14:textId="77777777" w:rsidR="001A0823" w:rsidRPr="009632C6" w:rsidRDefault="001A0823" w:rsidP="001A0823">
            <w:pPr>
              <w:rPr>
                <w:rFonts w:cs="Arial"/>
              </w:rPr>
            </w:pPr>
          </w:p>
        </w:tc>
      </w:tr>
      <w:tr w:rsidR="001A0823" w:rsidRPr="009632C6" w14:paraId="5260BDF6" w14:textId="77777777" w:rsidTr="001A0823">
        <w:tc>
          <w:tcPr>
            <w:tcW w:w="3116" w:type="dxa"/>
          </w:tcPr>
          <w:p w14:paraId="1F1274B4" w14:textId="68DB1882" w:rsidR="001A0823" w:rsidRPr="009632C6" w:rsidRDefault="001A0823" w:rsidP="001A0823">
            <w:pPr>
              <w:rPr>
                <w:rFonts w:cs="Arial"/>
              </w:rPr>
            </w:pPr>
            <w:r w:rsidRPr="009632C6">
              <w:rPr>
                <w:rFonts w:cs="Arial"/>
              </w:rPr>
              <w:t>25%</w:t>
            </w:r>
          </w:p>
        </w:tc>
        <w:tc>
          <w:tcPr>
            <w:tcW w:w="3117" w:type="dxa"/>
          </w:tcPr>
          <w:p w14:paraId="2213D5D0" w14:textId="38481456" w:rsidR="001A0823" w:rsidRPr="009632C6" w:rsidRDefault="001A0823" w:rsidP="001A0823">
            <w:pPr>
              <w:rPr>
                <w:rFonts w:cs="Arial"/>
              </w:rPr>
            </w:pPr>
            <w:r w:rsidRPr="009632C6">
              <w:rPr>
                <w:rFonts w:cs="Arial"/>
              </w:rPr>
              <w:t>56,6 (48,7, 68,4)</w:t>
            </w:r>
          </w:p>
        </w:tc>
        <w:tc>
          <w:tcPr>
            <w:tcW w:w="3117" w:type="dxa"/>
          </w:tcPr>
          <w:p w14:paraId="6DFE5DC8" w14:textId="4040EA4E" w:rsidR="001A0823" w:rsidRPr="009632C6" w:rsidRDefault="001A0823" w:rsidP="001A0823">
            <w:pPr>
              <w:rPr>
                <w:rFonts w:cs="Arial"/>
              </w:rPr>
            </w:pPr>
            <w:r w:rsidRPr="009632C6">
              <w:rPr>
                <w:rFonts w:cs="Arial"/>
              </w:rPr>
              <w:t>41,7(32,6,51,6)</w:t>
            </w:r>
          </w:p>
        </w:tc>
      </w:tr>
      <w:tr w:rsidR="001A0823" w:rsidRPr="009632C6" w14:paraId="4372A866" w14:textId="77777777" w:rsidTr="001A0823">
        <w:tc>
          <w:tcPr>
            <w:tcW w:w="3116" w:type="dxa"/>
          </w:tcPr>
          <w:p w14:paraId="64646D64" w14:textId="15697B9E" w:rsidR="001A0823" w:rsidRPr="009632C6" w:rsidRDefault="001A0823" w:rsidP="001A0823">
            <w:pPr>
              <w:rPr>
                <w:rFonts w:cs="Arial"/>
              </w:rPr>
            </w:pPr>
            <w:r w:rsidRPr="009632C6">
              <w:rPr>
                <w:rFonts w:cs="Arial"/>
              </w:rPr>
              <w:t>50%</w:t>
            </w:r>
          </w:p>
        </w:tc>
        <w:tc>
          <w:tcPr>
            <w:tcW w:w="3117" w:type="dxa"/>
          </w:tcPr>
          <w:p w14:paraId="0AB8289B" w14:textId="77777777" w:rsidR="001A0823" w:rsidRPr="009632C6" w:rsidRDefault="001A0823" w:rsidP="001A0823">
            <w:pPr>
              <w:rPr>
                <w:rFonts w:cs="Arial"/>
              </w:rPr>
            </w:pPr>
            <w:r w:rsidRPr="009632C6">
              <w:rPr>
                <w:rFonts w:cs="Arial"/>
              </w:rPr>
              <w:t>114,6</w:t>
            </w:r>
            <w:r w:rsidRPr="009632C6">
              <w:rPr>
                <w:rFonts w:cs="Arial"/>
              </w:rPr>
              <w:tab/>
              <w:t>(100,1,</w:t>
            </w:r>
          </w:p>
          <w:p w14:paraId="7BC58C29" w14:textId="55FA6B5E" w:rsidR="001A0823" w:rsidRPr="009632C6" w:rsidRDefault="001A0823" w:rsidP="001A0823">
            <w:pPr>
              <w:rPr>
                <w:rFonts w:cs="Arial"/>
              </w:rPr>
            </w:pPr>
            <w:r w:rsidRPr="009632C6">
              <w:rPr>
                <w:rFonts w:cs="Arial"/>
              </w:rPr>
              <w:t>142,9)</w:t>
            </w:r>
          </w:p>
        </w:tc>
        <w:tc>
          <w:tcPr>
            <w:tcW w:w="3117" w:type="dxa"/>
          </w:tcPr>
          <w:p w14:paraId="649F043E" w14:textId="02F5E3AC" w:rsidR="001A0823" w:rsidRPr="009632C6" w:rsidRDefault="001A0823" w:rsidP="001A0823">
            <w:pPr>
              <w:rPr>
                <w:rFonts w:cs="Arial"/>
              </w:rPr>
            </w:pPr>
            <w:r w:rsidRPr="009632C6">
              <w:rPr>
                <w:rFonts w:cs="Arial"/>
              </w:rPr>
              <w:t>94,9(77,7, 117,0)</w:t>
            </w:r>
          </w:p>
        </w:tc>
      </w:tr>
      <w:tr w:rsidR="001A0823" w:rsidRPr="009632C6" w14:paraId="48C42697" w14:textId="77777777" w:rsidTr="001A0823">
        <w:tc>
          <w:tcPr>
            <w:tcW w:w="3116" w:type="dxa"/>
          </w:tcPr>
          <w:p w14:paraId="20B31DC9" w14:textId="2E2BEDE4" w:rsidR="001A0823" w:rsidRPr="009632C6" w:rsidRDefault="001A0823" w:rsidP="001A0823">
            <w:pPr>
              <w:rPr>
                <w:rFonts w:cs="Arial"/>
              </w:rPr>
            </w:pPr>
            <w:r w:rsidRPr="009632C6">
              <w:rPr>
                <w:rFonts w:cs="Arial"/>
              </w:rPr>
              <w:t>75%</w:t>
            </w:r>
          </w:p>
        </w:tc>
        <w:tc>
          <w:tcPr>
            <w:tcW w:w="3117" w:type="dxa"/>
          </w:tcPr>
          <w:p w14:paraId="128A5B80" w14:textId="66520457" w:rsidR="001A0823" w:rsidRPr="009632C6" w:rsidRDefault="001A0823" w:rsidP="001A0823">
            <w:pPr>
              <w:rPr>
                <w:rFonts w:cs="Arial"/>
              </w:rPr>
            </w:pPr>
            <w:r w:rsidRPr="009632C6">
              <w:rPr>
                <w:rFonts w:cs="Arial"/>
                <w:lang w:val="en-US"/>
              </w:rPr>
              <w:t>NA (NA, NA)</w:t>
            </w:r>
          </w:p>
        </w:tc>
        <w:tc>
          <w:tcPr>
            <w:tcW w:w="3117" w:type="dxa"/>
          </w:tcPr>
          <w:p w14:paraId="60E4E8CF" w14:textId="737D7D81" w:rsidR="001A0823" w:rsidRPr="009632C6" w:rsidRDefault="001A0823" w:rsidP="001A0823">
            <w:pPr>
              <w:rPr>
                <w:rFonts w:cs="Arial"/>
              </w:rPr>
            </w:pPr>
            <w:r w:rsidRPr="009632C6">
              <w:rPr>
                <w:rFonts w:cs="Arial"/>
                <w:lang w:val="en-US"/>
              </w:rPr>
              <w:t>NA (NA, NA)</w:t>
            </w:r>
          </w:p>
        </w:tc>
      </w:tr>
      <w:tr w:rsidR="001A0823" w:rsidRPr="009632C6" w14:paraId="22A827A6" w14:textId="77777777" w:rsidTr="001A0823">
        <w:tc>
          <w:tcPr>
            <w:tcW w:w="3116" w:type="dxa"/>
          </w:tcPr>
          <w:p w14:paraId="28093D15" w14:textId="4FA33C6B" w:rsidR="001A0823" w:rsidRPr="009632C6" w:rsidRDefault="001A0823" w:rsidP="001A0823">
            <w:pPr>
              <w:rPr>
                <w:rFonts w:cs="Arial"/>
              </w:rPr>
            </w:pPr>
            <w:r w:rsidRPr="009632C6">
              <w:rPr>
                <w:rFonts w:cs="Arial"/>
              </w:rPr>
              <w:t>Нестратифициран анализ</w:t>
            </w:r>
          </w:p>
        </w:tc>
        <w:tc>
          <w:tcPr>
            <w:tcW w:w="6234" w:type="dxa"/>
            <w:gridSpan w:val="2"/>
          </w:tcPr>
          <w:p w14:paraId="11F5ED95" w14:textId="77777777" w:rsidR="001A0823" w:rsidRPr="009632C6" w:rsidRDefault="001A0823" w:rsidP="001A0823">
            <w:pPr>
              <w:rPr>
                <w:rFonts w:cs="Arial"/>
              </w:rPr>
            </w:pPr>
          </w:p>
        </w:tc>
      </w:tr>
      <w:tr w:rsidR="001A0823" w:rsidRPr="009632C6" w14:paraId="68A45EED" w14:textId="77777777" w:rsidTr="001A0823">
        <w:tc>
          <w:tcPr>
            <w:tcW w:w="3116" w:type="dxa"/>
          </w:tcPr>
          <w:p w14:paraId="2805DFD3" w14:textId="4451AA84" w:rsidR="001A0823" w:rsidRPr="009632C6" w:rsidRDefault="001A0823" w:rsidP="001A0823">
            <w:pPr>
              <w:rPr>
                <w:rFonts w:cs="Arial"/>
              </w:rPr>
            </w:pPr>
            <w:r w:rsidRPr="009632C6">
              <w:rPr>
                <w:rFonts w:cs="Arial"/>
              </w:rPr>
              <w:t xml:space="preserve">Коефициент на риска (сунитиниб спрямо </w:t>
            </w:r>
            <w:r w:rsidRPr="009632C6">
              <w:rPr>
                <w:rFonts w:cs="Arial"/>
                <w:lang w:val="en-US"/>
              </w:rPr>
              <w:t>IFN-a)</w:t>
            </w:r>
          </w:p>
        </w:tc>
        <w:tc>
          <w:tcPr>
            <w:tcW w:w="6234" w:type="dxa"/>
            <w:gridSpan w:val="2"/>
          </w:tcPr>
          <w:p w14:paraId="36B569B0" w14:textId="0C075509" w:rsidR="001A0823" w:rsidRPr="009632C6" w:rsidRDefault="001A0823" w:rsidP="001A0823">
            <w:pPr>
              <w:rPr>
                <w:rFonts w:cs="Arial"/>
              </w:rPr>
            </w:pPr>
            <w:r w:rsidRPr="009632C6">
              <w:rPr>
                <w:rFonts w:cs="Arial"/>
              </w:rPr>
              <w:t>0,8209</w:t>
            </w:r>
          </w:p>
        </w:tc>
      </w:tr>
      <w:tr w:rsidR="001A0823" w:rsidRPr="009632C6" w14:paraId="22496EE7" w14:textId="77777777" w:rsidTr="001A0823">
        <w:tc>
          <w:tcPr>
            <w:tcW w:w="3116" w:type="dxa"/>
          </w:tcPr>
          <w:p w14:paraId="04DA89B6" w14:textId="1055EDE6" w:rsidR="001A0823" w:rsidRPr="009632C6" w:rsidRDefault="001A0823" w:rsidP="001A0823">
            <w:pPr>
              <w:rPr>
                <w:rFonts w:cs="Arial"/>
              </w:rPr>
            </w:pPr>
            <w:r w:rsidRPr="009632C6">
              <w:rPr>
                <w:rFonts w:cs="Arial"/>
              </w:rPr>
              <w:t xml:space="preserve">95% </w:t>
            </w:r>
            <w:r w:rsidRPr="009632C6">
              <w:rPr>
                <w:rFonts w:cs="Arial"/>
                <w:lang w:val="en-US"/>
              </w:rPr>
              <w:t xml:space="preserve">CI </w:t>
            </w:r>
            <w:r w:rsidRPr="009632C6">
              <w:rPr>
                <w:rFonts w:cs="Arial"/>
              </w:rPr>
              <w:t>за коефициент на риска</w:t>
            </w:r>
          </w:p>
        </w:tc>
        <w:tc>
          <w:tcPr>
            <w:tcW w:w="6234" w:type="dxa"/>
            <w:gridSpan w:val="2"/>
          </w:tcPr>
          <w:p w14:paraId="440C2DE4" w14:textId="4B9449CD" w:rsidR="001A0823" w:rsidRPr="009632C6" w:rsidRDefault="001A0823" w:rsidP="001A0823">
            <w:pPr>
              <w:rPr>
                <w:rFonts w:cs="Arial"/>
              </w:rPr>
            </w:pPr>
            <w:r w:rsidRPr="009632C6">
              <w:rPr>
                <w:rFonts w:cs="Arial"/>
              </w:rPr>
              <w:t>(0,6730, 1,0013)</w:t>
            </w:r>
          </w:p>
        </w:tc>
      </w:tr>
      <w:tr w:rsidR="001A0823" w:rsidRPr="009632C6" w14:paraId="2A4DF30B" w14:textId="77777777" w:rsidTr="001A0823">
        <w:tc>
          <w:tcPr>
            <w:tcW w:w="3116" w:type="dxa"/>
          </w:tcPr>
          <w:p w14:paraId="76305D0C" w14:textId="12E00EA0" w:rsidR="001A0823" w:rsidRPr="009632C6" w:rsidRDefault="001A0823" w:rsidP="001A0823">
            <w:pPr>
              <w:rPr>
                <w:rFonts w:cs="Arial"/>
              </w:rPr>
            </w:pPr>
            <w:r w:rsidRPr="009632C6">
              <w:rPr>
                <w:rFonts w:cs="Arial"/>
              </w:rPr>
              <w:t>р-стойност</w:t>
            </w:r>
            <w:r w:rsidRPr="009632C6">
              <w:rPr>
                <w:rFonts w:cs="Arial"/>
                <w:vertAlign w:val="superscript"/>
                <w:lang w:val="en-US"/>
              </w:rPr>
              <w:t>a</w:t>
            </w:r>
          </w:p>
        </w:tc>
        <w:tc>
          <w:tcPr>
            <w:tcW w:w="6234" w:type="dxa"/>
            <w:gridSpan w:val="2"/>
          </w:tcPr>
          <w:p w14:paraId="014AB6A8" w14:textId="389DB8BD" w:rsidR="001A0823" w:rsidRPr="009632C6" w:rsidRDefault="001A0823" w:rsidP="001A0823">
            <w:pPr>
              <w:rPr>
                <w:rFonts w:cs="Arial"/>
              </w:rPr>
            </w:pPr>
            <w:r w:rsidRPr="009632C6">
              <w:rPr>
                <w:rFonts w:cs="Arial"/>
              </w:rPr>
              <w:t>0,0510</w:t>
            </w:r>
          </w:p>
        </w:tc>
      </w:tr>
    </w:tbl>
    <w:p w14:paraId="37FD4ADA" w14:textId="77777777" w:rsidR="001A0823" w:rsidRPr="009632C6" w:rsidRDefault="001A0823" w:rsidP="001A0823">
      <w:pPr>
        <w:spacing w:line="240" w:lineRule="auto"/>
        <w:rPr>
          <w:rFonts w:eastAsia="Times New Roman" w:cs="Arial"/>
          <w:lang w:eastAsia="bg-BG"/>
        </w:rPr>
      </w:pPr>
      <w:r w:rsidRPr="009632C6">
        <w:rPr>
          <w:rFonts w:eastAsia="Times New Roman" w:cs="Arial"/>
          <w:color w:val="000000"/>
          <w:lang w:eastAsia="bg-BG"/>
        </w:rPr>
        <w:t>Съкращения: С</w:t>
      </w:r>
      <w:r w:rsidRPr="009632C6">
        <w:rPr>
          <w:rFonts w:eastAsia="Times New Roman" w:cs="Arial"/>
          <w:color w:val="000000"/>
          <w:lang w:val="en-US"/>
        </w:rPr>
        <w:t>I</w:t>
      </w:r>
      <w:r w:rsidRPr="009632C6">
        <w:rPr>
          <w:rFonts w:eastAsia="Times New Roman" w:cs="Arial"/>
          <w:color w:val="000000"/>
          <w:lang w:eastAsia="bg-BG"/>
        </w:rPr>
        <w:t xml:space="preserve">=доверителен интервал; </w:t>
      </w:r>
      <w:r w:rsidRPr="009632C6">
        <w:rPr>
          <w:rFonts w:eastAsia="Times New Roman" w:cs="Arial"/>
          <w:color w:val="000000"/>
          <w:lang w:val="en-US"/>
        </w:rPr>
        <w:t>INF</w:t>
      </w:r>
      <w:r w:rsidRPr="009632C6">
        <w:rPr>
          <w:rFonts w:eastAsia="Times New Roman" w:cs="Arial"/>
          <w:color w:val="000000"/>
          <w:lang w:eastAsia="bg-BG"/>
        </w:rPr>
        <w:t xml:space="preserve">-α-интерферон-алфа; </w:t>
      </w:r>
      <w:r w:rsidRPr="009632C6">
        <w:rPr>
          <w:rFonts w:eastAsia="Times New Roman" w:cs="Arial"/>
          <w:color w:val="000000"/>
          <w:lang w:val="en-US"/>
        </w:rPr>
        <w:t xml:space="preserve">ITT= intent- to-treat </w:t>
      </w:r>
      <w:r w:rsidRPr="009632C6">
        <w:rPr>
          <w:rFonts w:eastAsia="Times New Roman" w:cs="Arial"/>
          <w:color w:val="000000"/>
          <w:lang w:eastAsia="bg-BG"/>
        </w:rPr>
        <w:t xml:space="preserve">(подлежаща на лечение); </w:t>
      </w:r>
      <w:r w:rsidRPr="009632C6">
        <w:rPr>
          <w:rFonts w:eastAsia="Times New Roman" w:cs="Arial"/>
          <w:color w:val="000000"/>
          <w:lang w:val="en-US"/>
        </w:rPr>
        <w:t>N=6po</w:t>
      </w:r>
      <w:r w:rsidRPr="009632C6">
        <w:rPr>
          <w:rFonts w:eastAsia="Times New Roman" w:cs="Arial"/>
          <w:color w:val="000000"/>
          <w:lang w:eastAsia="bg-BG"/>
        </w:rPr>
        <w:t>й</w:t>
      </w:r>
      <w:r w:rsidRPr="009632C6">
        <w:rPr>
          <w:rFonts w:eastAsia="Times New Roman" w:cs="Arial"/>
          <w:color w:val="000000"/>
          <w:lang w:val="en-US"/>
        </w:rPr>
        <w:t xml:space="preserve"> </w:t>
      </w:r>
      <w:r w:rsidRPr="009632C6">
        <w:rPr>
          <w:rFonts w:eastAsia="Times New Roman" w:cs="Arial"/>
          <w:color w:val="000000"/>
          <w:lang w:eastAsia="bg-BG"/>
        </w:rPr>
        <w:t xml:space="preserve">пациенти; </w:t>
      </w:r>
      <w:r w:rsidRPr="009632C6">
        <w:rPr>
          <w:rFonts w:eastAsia="Times New Roman" w:cs="Arial"/>
          <w:color w:val="000000"/>
          <w:lang w:val="en-US"/>
        </w:rPr>
        <w:t>N</w:t>
      </w:r>
      <w:r w:rsidRPr="009632C6">
        <w:rPr>
          <w:rFonts w:eastAsia="Times New Roman" w:cs="Arial"/>
          <w:color w:val="000000"/>
          <w:lang w:eastAsia="bg-BG"/>
        </w:rPr>
        <w:t>А=неприложимо; О</w:t>
      </w:r>
      <w:r w:rsidRPr="009632C6">
        <w:rPr>
          <w:rFonts w:eastAsia="Times New Roman" w:cs="Arial"/>
          <w:color w:val="000000"/>
          <w:lang w:val="en-US"/>
        </w:rPr>
        <w:t>S</w:t>
      </w:r>
      <w:r w:rsidRPr="009632C6">
        <w:rPr>
          <w:rFonts w:eastAsia="Times New Roman" w:cs="Arial"/>
          <w:color w:val="000000"/>
          <w:lang w:eastAsia="bg-BG"/>
        </w:rPr>
        <w:t>=обща преживяемост; ПБП=преживяемост без прогресия.</w:t>
      </w:r>
    </w:p>
    <w:p w14:paraId="0B2D6158" w14:textId="77777777" w:rsidR="001A0823" w:rsidRPr="009632C6" w:rsidRDefault="001A0823" w:rsidP="001A0823">
      <w:pPr>
        <w:spacing w:line="240" w:lineRule="auto"/>
        <w:rPr>
          <w:rFonts w:eastAsia="Times New Roman" w:cs="Arial"/>
          <w:lang w:eastAsia="bg-BG"/>
        </w:rPr>
      </w:pPr>
      <w:r w:rsidRPr="009632C6">
        <w:rPr>
          <w:rFonts w:eastAsia="Times New Roman" w:cs="Arial"/>
          <w:color w:val="000000"/>
          <w:vertAlign w:val="superscript"/>
          <w:lang w:eastAsia="bg-BG"/>
        </w:rPr>
        <w:t>а</w:t>
      </w:r>
      <w:r w:rsidRPr="009632C6">
        <w:rPr>
          <w:rFonts w:eastAsia="Times New Roman" w:cs="Arial"/>
          <w:color w:val="000000"/>
          <w:lang w:eastAsia="bg-BG"/>
        </w:rPr>
        <w:t xml:space="preserve"> От 2-странен </w:t>
      </w:r>
      <w:r w:rsidRPr="009632C6">
        <w:rPr>
          <w:rFonts w:eastAsia="Times New Roman" w:cs="Arial"/>
          <w:color w:val="000000"/>
          <w:lang w:val="en-US"/>
        </w:rPr>
        <w:t xml:space="preserve">log-rank </w:t>
      </w:r>
      <w:r w:rsidRPr="009632C6">
        <w:rPr>
          <w:rFonts w:eastAsia="Times New Roman" w:cs="Arial"/>
          <w:color w:val="000000"/>
          <w:lang w:eastAsia="bg-BG"/>
        </w:rPr>
        <w:t>тест.</w:t>
      </w:r>
    </w:p>
    <w:p w14:paraId="2FC90310" w14:textId="77777777" w:rsidR="001A0823" w:rsidRPr="009632C6" w:rsidRDefault="001A0823" w:rsidP="001A0823">
      <w:pPr>
        <w:spacing w:line="240" w:lineRule="auto"/>
        <w:rPr>
          <w:rFonts w:eastAsia="Times New Roman" w:cs="Arial"/>
          <w:i/>
          <w:iCs/>
          <w:color w:val="000000"/>
          <w:lang w:eastAsia="bg-BG"/>
        </w:rPr>
      </w:pPr>
    </w:p>
    <w:p w14:paraId="66FC1FC5" w14:textId="632F7C86" w:rsidR="001A0823" w:rsidRPr="009632C6" w:rsidRDefault="001A0823" w:rsidP="001A0823">
      <w:pPr>
        <w:spacing w:line="240" w:lineRule="auto"/>
        <w:rPr>
          <w:rFonts w:eastAsia="Times New Roman" w:cs="Arial"/>
          <w:lang w:eastAsia="bg-BG"/>
        </w:rPr>
      </w:pPr>
      <w:r w:rsidRPr="009632C6">
        <w:rPr>
          <w:rFonts w:eastAsia="Times New Roman" w:cs="Arial"/>
          <w:i/>
          <w:iCs/>
          <w:color w:val="000000"/>
          <w:lang w:eastAsia="bg-BG"/>
        </w:rPr>
        <w:t>Цитокин-рефрактерен метастатичен бъбречно-клетъчен карцином</w:t>
      </w:r>
    </w:p>
    <w:p w14:paraId="715BA83F" w14:textId="77777777" w:rsidR="001A0823" w:rsidRPr="009632C6" w:rsidRDefault="001A0823" w:rsidP="001A0823">
      <w:pPr>
        <w:spacing w:line="240" w:lineRule="auto"/>
        <w:rPr>
          <w:rFonts w:eastAsia="Times New Roman" w:cs="Arial"/>
          <w:lang w:eastAsia="bg-BG"/>
        </w:rPr>
      </w:pPr>
      <w:r w:rsidRPr="009632C6">
        <w:rPr>
          <w:rFonts w:eastAsia="Times New Roman" w:cs="Arial"/>
          <w:color w:val="000000"/>
          <w:lang w:eastAsia="bg-BG"/>
        </w:rPr>
        <w:t xml:space="preserve">Проучване Фаза 2 на сунитиниб е било проведено на пациенти, които са били рефрактерни на предшестваща цитокинова терапия с интерлевкин-2 или </w:t>
      </w:r>
      <w:r w:rsidRPr="009632C6">
        <w:rPr>
          <w:rFonts w:eastAsia="Times New Roman" w:cs="Arial"/>
          <w:color w:val="000000"/>
          <w:lang w:val="en-US"/>
        </w:rPr>
        <w:t xml:space="preserve">IFN-a. </w:t>
      </w:r>
      <w:r w:rsidRPr="009632C6">
        <w:rPr>
          <w:rFonts w:eastAsia="Times New Roman" w:cs="Arial"/>
          <w:color w:val="000000"/>
          <w:lang w:eastAsia="bg-BG"/>
        </w:rPr>
        <w:lastRenderedPageBreak/>
        <w:t xml:space="preserve">Шестдесет и три пациенти са получили начална доза 50 </w:t>
      </w:r>
      <w:r w:rsidRPr="009632C6">
        <w:rPr>
          <w:rFonts w:eastAsia="Times New Roman" w:cs="Arial"/>
          <w:color w:val="000000"/>
          <w:lang w:val="en-US"/>
        </w:rPr>
        <w:t xml:space="preserve">mg </w:t>
      </w:r>
      <w:r w:rsidRPr="009632C6">
        <w:rPr>
          <w:rFonts w:eastAsia="Times New Roman" w:cs="Arial"/>
          <w:color w:val="000000"/>
          <w:lang w:eastAsia="bg-BG"/>
        </w:rPr>
        <w:t xml:space="preserve">сунитиниб перорално, веднъж дневно в продължение на 4 последователни седмици, последвани от 2-седмична пауза, за да се обхване пълен цикъл от 6 седмици (Схема 4/2). Първичната крайна точка за ефикасност е била ЧОО, основаваща се на Критерии за оценка на отговора при солидни тумори </w:t>
      </w:r>
      <w:r w:rsidRPr="009632C6">
        <w:rPr>
          <w:rFonts w:eastAsia="Times New Roman" w:cs="Arial"/>
          <w:color w:val="000000"/>
          <w:lang w:val="en-US"/>
        </w:rPr>
        <w:t>(RECIST).</w:t>
      </w:r>
    </w:p>
    <w:p w14:paraId="7F597810" w14:textId="77777777" w:rsidR="001A0823" w:rsidRPr="009632C6" w:rsidRDefault="001A0823" w:rsidP="001A0823">
      <w:pPr>
        <w:spacing w:line="240" w:lineRule="auto"/>
        <w:rPr>
          <w:rFonts w:eastAsia="Times New Roman" w:cs="Arial"/>
          <w:color w:val="000000"/>
          <w:lang w:eastAsia="bg-BG"/>
        </w:rPr>
      </w:pPr>
    </w:p>
    <w:p w14:paraId="6452775D" w14:textId="3C03F84D" w:rsidR="001A0823" w:rsidRPr="009632C6" w:rsidRDefault="001A0823" w:rsidP="001A0823">
      <w:pPr>
        <w:spacing w:line="240" w:lineRule="auto"/>
        <w:rPr>
          <w:rFonts w:eastAsia="Times New Roman" w:cs="Arial"/>
          <w:lang w:eastAsia="bg-BG"/>
        </w:rPr>
      </w:pPr>
      <w:r w:rsidRPr="009632C6">
        <w:rPr>
          <w:rFonts w:eastAsia="Times New Roman" w:cs="Arial"/>
          <w:color w:val="000000"/>
          <w:lang w:eastAsia="bg-BG"/>
        </w:rPr>
        <w:t xml:space="preserve">В това проучване честотата на обективния отговор е била 36,5% (95% </w:t>
      </w:r>
      <w:r w:rsidRPr="009632C6">
        <w:rPr>
          <w:rFonts w:eastAsia="Times New Roman" w:cs="Arial"/>
          <w:color w:val="000000"/>
          <w:lang w:val="en-US"/>
        </w:rPr>
        <w:t xml:space="preserve">CI: </w:t>
      </w:r>
      <w:r w:rsidRPr="009632C6">
        <w:rPr>
          <w:rFonts w:eastAsia="Times New Roman" w:cs="Arial"/>
          <w:color w:val="000000"/>
          <w:lang w:eastAsia="bg-BG"/>
        </w:rPr>
        <w:t xml:space="preserve">24,7%, 49,6%), а медианата на ТТР е била 37,7 седмици (95% </w:t>
      </w:r>
      <w:r w:rsidRPr="009632C6">
        <w:rPr>
          <w:rFonts w:eastAsia="Times New Roman" w:cs="Arial"/>
          <w:color w:val="000000"/>
          <w:lang w:val="en-US"/>
        </w:rPr>
        <w:t xml:space="preserve">CI: </w:t>
      </w:r>
      <w:r w:rsidRPr="009632C6">
        <w:rPr>
          <w:rFonts w:eastAsia="Times New Roman" w:cs="Arial"/>
          <w:color w:val="000000"/>
          <w:lang w:eastAsia="bg-BG"/>
        </w:rPr>
        <w:t>24,0, 46,4).</w:t>
      </w:r>
    </w:p>
    <w:p w14:paraId="49EEA4A7" w14:textId="77777777" w:rsidR="001A0823" w:rsidRPr="009632C6" w:rsidRDefault="001A0823" w:rsidP="001A0823">
      <w:pPr>
        <w:spacing w:line="240" w:lineRule="auto"/>
        <w:rPr>
          <w:rFonts w:eastAsia="Times New Roman" w:cs="Arial"/>
          <w:color w:val="000000"/>
          <w:lang w:eastAsia="bg-BG"/>
        </w:rPr>
      </w:pPr>
    </w:p>
    <w:p w14:paraId="4ABA1C00" w14:textId="265FF2B4" w:rsidR="001A0823" w:rsidRPr="009632C6" w:rsidRDefault="001A0823" w:rsidP="001A0823">
      <w:pPr>
        <w:spacing w:line="240" w:lineRule="auto"/>
        <w:rPr>
          <w:rFonts w:eastAsia="Times New Roman" w:cs="Arial"/>
          <w:lang w:eastAsia="bg-BG"/>
        </w:rPr>
      </w:pPr>
      <w:r w:rsidRPr="009632C6">
        <w:rPr>
          <w:rFonts w:eastAsia="Times New Roman" w:cs="Arial"/>
          <w:color w:val="000000"/>
          <w:lang w:eastAsia="bg-BG"/>
        </w:rPr>
        <w:t xml:space="preserve">В потвърждение на това при пациенти с МЕКК, които са били рефрактерни на предшестваща цитокинова терапия е проведено открито, с едно рамо, многоцентрово проучване за оценка на ефикасността и безопасността на сунитиниб. 106 пациенти са приели поне една доза от 50 </w:t>
      </w:r>
      <w:r w:rsidRPr="009632C6">
        <w:rPr>
          <w:rFonts w:eastAsia="Times New Roman" w:cs="Arial"/>
          <w:color w:val="000000"/>
          <w:lang w:val="en-US"/>
        </w:rPr>
        <w:t xml:space="preserve">mg </w:t>
      </w:r>
      <w:r w:rsidRPr="009632C6">
        <w:rPr>
          <w:rFonts w:eastAsia="Times New Roman" w:cs="Arial"/>
          <w:color w:val="000000"/>
          <w:lang w:eastAsia="bg-BG"/>
        </w:rPr>
        <w:t>сунитиниб по Схема 4/2.</w:t>
      </w:r>
    </w:p>
    <w:p w14:paraId="592B97D6" w14:textId="77777777" w:rsidR="001A0823" w:rsidRPr="009632C6" w:rsidRDefault="001A0823" w:rsidP="001A0823">
      <w:pPr>
        <w:spacing w:line="240" w:lineRule="auto"/>
        <w:rPr>
          <w:rFonts w:eastAsia="Times New Roman" w:cs="Arial"/>
          <w:color w:val="000000"/>
          <w:lang w:eastAsia="bg-BG"/>
        </w:rPr>
      </w:pPr>
    </w:p>
    <w:p w14:paraId="0D0178FD" w14:textId="77777777" w:rsidR="001A0823" w:rsidRPr="009632C6" w:rsidRDefault="001A0823" w:rsidP="001A0823">
      <w:pPr>
        <w:spacing w:line="240" w:lineRule="auto"/>
        <w:rPr>
          <w:rFonts w:eastAsia="Times New Roman" w:cs="Arial"/>
          <w:lang w:eastAsia="bg-BG"/>
        </w:rPr>
      </w:pPr>
      <w:r w:rsidRPr="009632C6">
        <w:rPr>
          <w:rFonts w:eastAsia="Times New Roman" w:cs="Arial"/>
          <w:color w:val="000000"/>
          <w:lang w:eastAsia="bg-BG"/>
        </w:rPr>
        <w:t xml:space="preserve">Първичната крайна точка за ефикасност при това проучване е била ЧОО. Вторичните крайни точки са включвали ТТР, продължителност на отговора (ПО) и </w:t>
      </w:r>
      <w:r w:rsidRPr="009632C6">
        <w:rPr>
          <w:rFonts w:eastAsia="Times New Roman" w:cs="Arial"/>
          <w:color w:val="000000"/>
          <w:lang w:val="en-US"/>
        </w:rPr>
        <w:t>OS.</w:t>
      </w:r>
    </w:p>
    <w:p w14:paraId="55075791" w14:textId="77777777" w:rsidR="001A0823" w:rsidRPr="009632C6" w:rsidRDefault="001A0823" w:rsidP="001A0823">
      <w:pPr>
        <w:spacing w:line="240" w:lineRule="auto"/>
        <w:rPr>
          <w:rFonts w:eastAsia="Times New Roman" w:cs="Arial"/>
          <w:lang w:eastAsia="bg-BG"/>
        </w:rPr>
      </w:pPr>
    </w:p>
    <w:p w14:paraId="507D5C63" w14:textId="0C8B3F48" w:rsidR="001A0823" w:rsidRPr="009632C6" w:rsidRDefault="001A0823" w:rsidP="001A0823">
      <w:pPr>
        <w:spacing w:line="240" w:lineRule="auto"/>
        <w:rPr>
          <w:rFonts w:eastAsia="Times New Roman" w:cs="Arial"/>
          <w:lang w:eastAsia="bg-BG"/>
        </w:rPr>
      </w:pPr>
      <w:r w:rsidRPr="009632C6">
        <w:rPr>
          <w:rFonts w:eastAsia="Times New Roman" w:cs="Arial"/>
          <w:color w:val="000000"/>
          <w:lang w:eastAsia="bg-BG"/>
        </w:rPr>
        <w:t xml:space="preserve">В това проучване ЧОО е била 35,8% (95% </w:t>
      </w:r>
      <w:r w:rsidRPr="009632C6">
        <w:rPr>
          <w:rFonts w:eastAsia="Times New Roman" w:cs="Arial"/>
          <w:color w:val="000000"/>
          <w:lang w:val="en-US"/>
        </w:rPr>
        <w:t xml:space="preserve">CI: </w:t>
      </w:r>
      <w:r w:rsidRPr="009632C6">
        <w:rPr>
          <w:rFonts w:eastAsia="Times New Roman" w:cs="Arial"/>
          <w:color w:val="000000"/>
          <w:lang w:eastAsia="bg-BG"/>
        </w:rPr>
        <w:t xml:space="preserve">26,8%, 47,5%). Медианите на ПО и </w:t>
      </w:r>
      <w:r w:rsidRPr="009632C6">
        <w:rPr>
          <w:rFonts w:eastAsia="Times New Roman" w:cs="Arial"/>
          <w:color w:val="000000"/>
          <w:lang w:val="en-US"/>
        </w:rPr>
        <w:t xml:space="preserve">OS </w:t>
      </w:r>
      <w:r w:rsidRPr="009632C6">
        <w:rPr>
          <w:rFonts w:eastAsia="Times New Roman" w:cs="Arial"/>
          <w:color w:val="000000"/>
          <w:lang w:eastAsia="bg-BG"/>
        </w:rPr>
        <w:t>все още не са били достигнати.</w:t>
      </w:r>
    </w:p>
    <w:p w14:paraId="7EF44058" w14:textId="77777777" w:rsidR="001A0823" w:rsidRPr="009632C6" w:rsidRDefault="001A0823" w:rsidP="001A0823">
      <w:pPr>
        <w:spacing w:line="240" w:lineRule="auto"/>
        <w:rPr>
          <w:rFonts w:eastAsia="Times New Roman" w:cs="Arial"/>
          <w:i/>
          <w:iCs/>
          <w:color w:val="000000"/>
          <w:lang w:eastAsia="bg-BG"/>
        </w:rPr>
      </w:pPr>
    </w:p>
    <w:p w14:paraId="744E11FC" w14:textId="786CBF4F" w:rsidR="001A0823" w:rsidRPr="009632C6" w:rsidRDefault="001A0823" w:rsidP="001A0823">
      <w:pPr>
        <w:spacing w:line="240" w:lineRule="auto"/>
        <w:rPr>
          <w:rFonts w:eastAsia="Times New Roman" w:cs="Arial"/>
          <w:lang w:eastAsia="bg-BG"/>
        </w:rPr>
      </w:pPr>
      <w:r w:rsidRPr="009632C6">
        <w:rPr>
          <w:rFonts w:eastAsia="Times New Roman" w:cs="Arial"/>
          <w:i/>
          <w:iCs/>
          <w:color w:val="000000"/>
          <w:lang w:eastAsia="bg-BG"/>
        </w:rPr>
        <w:t>Панкреатични невроендокринни тумори</w:t>
      </w:r>
    </w:p>
    <w:p w14:paraId="7214F072" w14:textId="77777777" w:rsidR="001A0823" w:rsidRPr="009632C6" w:rsidRDefault="001A0823" w:rsidP="001A0823">
      <w:pPr>
        <w:spacing w:line="240" w:lineRule="auto"/>
        <w:rPr>
          <w:rFonts w:eastAsia="Times New Roman" w:cs="Arial"/>
          <w:lang w:eastAsia="bg-BG"/>
        </w:rPr>
      </w:pPr>
      <w:r w:rsidRPr="009632C6">
        <w:rPr>
          <w:rFonts w:eastAsia="Times New Roman" w:cs="Arial"/>
          <w:color w:val="000000"/>
          <w:lang w:eastAsia="bg-BG"/>
        </w:rPr>
        <w:t xml:space="preserve">Поддържащо, открито, многоцентрово проучване фаза 2 е оценило ефикасността и безопасността на монотерапия с 50 </w:t>
      </w:r>
      <w:r w:rsidRPr="009632C6">
        <w:rPr>
          <w:rFonts w:eastAsia="Times New Roman" w:cs="Arial"/>
          <w:color w:val="000000"/>
          <w:lang w:val="en-US"/>
        </w:rPr>
        <w:t xml:space="preserve">mg </w:t>
      </w:r>
      <w:r w:rsidRPr="009632C6">
        <w:rPr>
          <w:rFonts w:eastAsia="Times New Roman" w:cs="Arial"/>
          <w:color w:val="000000"/>
          <w:lang w:eastAsia="bg-BG"/>
        </w:rPr>
        <w:t>сунитиниб дневно по Схема 4/2 при пациенти с неоперабилен ПНЕТ. При кохорта от 66 пациенти с тумори на клетките на Лангерхансовите острови в панкреаса, първичната крайна точка за степен на отговор е била 17%.</w:t>
      </w:r>
    </w:p>
    <w:p w14:paraId="2E8CF94D" w14:textId="77777777" w:rsidR="001A0823" w:rsidRPr="009632C6" w:rsidRDefault="001A0823" w:rsidP="001A0823">
      <w:pPr>
        <w:spacing w:line="240" w:lineRule="auto"/>
        <w:rPr>
          <w:rFonts w:eastAsia="Times New Roman" w:cs="Arial"/>
          <w:color w:val="000000"/>
          <w:lang w:eastAsia="bg-BG"/>
        </w:rPr>
      </w:pPr>
    </w:p>
    <w:p w14:paraId="28594804" w14:textId="15B7282D" w:rsidR="001A0823" w:rsidRPr="009632C6" w:rsidRDefault="001A0823" w:rsidP="001A0823">
      <w:pPr>
        <w:spacing w:line="240" w:lineRule="auto"/>
        <w:rPr>
          <w:rFonts w:eastAsia="Times New Roman" w:cs="Arial"/>
          <w:lang w:eastAsia="bg-BG"/>
        </w:rPr>
      </w:pPr>
      <w:r w:rsidRPr="009632C6">
        <w:rPr>
          <w:rFonts w:eastAsia="Times New Roman" w:cs="Arial"/>
          <w:color w:val="000000"/>
          <w:lang w:eastAsia="bg-BG"/>
        </w:rPr>
        <w:t>При пациенти с неоперабилен ПНЕТ е проведено основно, многоцентрово, международно,</w:t>
      </w:r>
    </w:p>
    <w:p w14:paraId="12529C76" w14:textId="042C8C03" w:rsidR="001A0823" w:rsidRPr="009632C6" w:rsidRDefault="001A0823" w:rsidP="001A0823">
      <w:pPr>
        <w:rPr>
          <w:rFonts w:cs="Arial"/>
        </w:rPr>
      </w:pPr>
      <w:r w:rsidRPr="009632C6">
        <w:rPr>
          <w:rFonts w:eastAsia="Times New Roman" w:cs="Arial"/>
          <w:color w:val="000000"/>
          <w:lang w:eastAsia="bg-BG"/>
        </w:rPr>
        <w:t>рандомизирано, двойно-сляпо, плацебо-контролирано проучване фаза 3 при самостоятелно</w:t>
      </w:r>
      <w:r w:rsidRPr="009632C6">
        <w:rPr>
          <w:rFonts w:eastAsia="Times New Roman" w:cs="Arial"/>
          <w:i/>
          <w:iCs/>
          <w:color w:val="000000"/>
          <w:lang w:eastAsia="bg-BG"/>
        </w:rPr>
        <w:t xml:space="preserve"> </w:t>
      </w:r>
      <w:r w:rsidRPr="009632C6">
        <w:rPr>
          <w:rFonts w:eastAsia="Times New Roman" w:cs="Arial"/>
          <w:color w:val="000000"/>
          <w:lang w:eastAsia="bg-BG"/>
        </w:rPr>
        <w:t>приложение на сунитиниб.</w:t>
      </w:r>
    </w:p>
    <w:p w14:paraId="7DE88EAB" w14:textId="5656DBC8" w:rsidR="001A0823" w:rsidRPr="009632C6" w:rsidRDefault="001A0823" w:rsidP="0091385D">
      <w:pPr>
        <w:rPr>
          <w:rFonts w:cs="Arial"/>
        </w:rPr>
      </w:pPr>
    </w:p>
    <w:p w14:paraId="0184026A" w14:textId="77777777"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 xml:space="preserve">Необходимо е било пациентите да имат доказана туморна прогресия в рамките на изминалите 12 месеца, въз основа на Критериите за оценка на отговора при солидни тумори </w:t>
      </w:r>
      <w:r w:rsidRPr="00C35E5D">
        <w:rPr>
          <w:rFonts w:eastAsia="Times New Roman" w:cs="Arial"/>
          <w:color w:val="000000"/>
          <w:lang w:val="en-US"/>
        </w:rPr>
        <w:t xml:space="preserve">(RECIST) </w:t>
      </w:r>
      <w:r w:rsidRPr="00C35E5D">
        <w:rPr>
          <w:rFonts w:eastAsia="Times New Roman" w:cs="Arial"/>
          <w:color w:val="000000"/>
          <w:lang w:eastAsia="bg-BG"/>
        </w:rPr>
        <w:t xml:space="preserve">и са били рандомизирани (1:1) да приемат или 37,5 </w:t>
      </w:r>
      <w:r w:rsidRPr="00C35E5D">
        <w:rPr>
          <w:rFonts w:eastAsia="Times New Roman" w:cs="Arial"/>
          <w:color w:val="000000"/>
          <w:lang w:val="en-US"/>
        </w:rPr>
        <w:t xml:space="preserve">mg </w:t>
      </w:r>
      <w:r w:rsidRPr="00C35E5D">
        <w:rPr>
          <w:rFonts w:eastAsia="Times New Roman" w:cs="Arial"/>
          <w:color w:val="000000"/>
          <w:lang w:eastAsia="bg-BG"/>
        </w:rPr>
        <w:t xml:space="preserve">сунитиниб веднъж дневно без почивка </w:t>
      </w:r>
      <w:r w:rsidRPr="00C35E5D">
        <w:rPr>
          <w:rFonts w:eastAsia="Times New Roman" w:cs="Arial"/>
          <w:color w:val="000000"/>
          <w:lang w:val="en-US"/>
        </w:rPr>
        <w:t xml:space="preserve">(N </w:t>
      </w:r>
      <w:r w:rsidRPr="00C35E5D">
        <w:rPr>
          <w:rFonts w:eastAsia="Times New Roman" w:cs="Arial"/>
          <w:color w:val="000000"/>
          <w:lang w:eastAsia="bg-BG"/>
        </w:rPr>
        <w:t xml:space="preserve">= 86) или плацебо </w:t>
      </w:r>
      <w:r w:rsidRPr="00C35E5D">
        <w:rPr>
          <w:rFonts w:eastAsia="Times New Roman" w:cs="Arial"/>
          <w:color w:val="000000"/>
          <w:lang w:val="en-US"/>
        </w:rPr>
        <w:t xml:space="preserve">(N </w:t>
      </w:r>
      <w:r w:rsidRPr="00C35E5D">
        <w:rPr>
          <w:rFonts w:eastAsia="Times New Roman" w:cs="Arial"/>
          <w:color w:val="000000"/>
          <w:lang w:eastAsia="bg-BG"/>
        </w:rPr>
        <w:t>= 85).</w:t>
      </w:r>
    </w:p>
    <w:p w14:paraId="483E0B16" w14:textId="77777777" w:rsidR="00C35E5D" w:rsidRPr="009632C6" w:rsidRDefault="00C35E5D" w:rsidP="00C35E5D">
      <w:pPr>
        <w:spacing w:line="240" w:lineRule="auto"/>
        <w:rPr>
          <w:rFonts w:eastAsia="Times New Roman" w:cs="Arial"/>
          <w:color w:val="000000"/>
          <w:lang w:eastAsia="bg-BG"/>
        </w:rPr>
      </w:pPr>
    </w:p>
    <w:p w14:paraId="405D47F7" w14:textId="45758361"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 xml:space="preserve">Основната цел е била да се сравни ПБП при пациенти, приемащи сунитиниб </w:t>
      </w:r>
      <w:r w:rsidRPr="00C35E5D">
        <w:rPr>
          <w:rFonts w:eastAsia="Times New Roman" w:cs="Arial"/>
          <w:i/>
          <w:iCs/>
          <w:color w:val="000000"/>
          <w:lang w:eastAsia="bg-BG"/>
        </w:rPr>
        <w:t>спрямо</w:t>
      </w:r>
      <w:r w:rsidRPr="00C35E5D">
        <w:rPr>
          <w:rFonts w:eastAsia="Times New Roman" w:cs="Arial"/>
          <w:color w:val="000000"/>
          <w:lang w:eastAsia="bg-BG"/>
        </w:rPr>
        <w:t xml:space="preserve"> пациенти, приемащи плацебо. Другите Крайни точки са включвали </w:t>
      </w:r>
      <w:r w:rsidRPr="00C35E5D">
        <w:rPr>
          <w:rFonts w:eastAsia="Times New Roman" w:cs="Arial"/>
          <w:color w:val="000000"/>
          <w:lang w:val="en-US"/>
        </w:rPr>
        <w:t xml:space="preserve">OS, </w:t>
      </w:r>
      <w:r w:rsidRPr="00C35E5D">
        <w:rPr>
          <w:rFonts w:eastAsia="Times New Roman" w:cs="Arial"/>
          <w:color w:val="000000"/>
          <w:lang w:eastAsia="bg-BG"/>
        </w:rPr>
        <w:t xml:space="preserve">ЧОО, </w:t>
      </w:r>
      <w:r w:rsidRPr="00C35E5D">
        <w:rPr>
          <w:rFonts w:eastAsia="Times New Roman" w:cs="Arial"/>
          <w:color w:val="000000"/>
          <w:lang w:val="en-US"/>
        </w:rPr>
        <w:t xml:space="preserve">PRO </w:t>
      </w:r>
      <w:r w:rsidRPr="00C35E5D">
        <w:rPr>
          <w:rFonts w:eastAsia="Times New Roman" w:cs="Arial"/>
          <w:color w:val="000000"/>
          <w:lang w:eastAsia="bg-BG"/>
        </w:rPr>
        <w:t>и безопасност.</w:t>
      </w:r>
    </w:p>
    <w:p w14:paraId="559EB60F" w14:textId="77777777"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 xml:space="preserve">Демографските показатели са били сравними между групите на сунитиниб и плацебо. В допълнение 49% от пациентите на сунитиниб са имали нефункционални тумори </w:t>
      </w:r>
      <w:r w:rsidRPr="00C35E5D">
        <w:rPr>
          <w:rFonts w:eastAsia="Times New Roman" w:cs="Arial"/>
          <w:i/>
          <w:iCs/>
          <w:color w:val="000000"/>
          <w:lang w:eastAsia="bg-BG"/>
        </w:rPr>
        <w:t xml:space="preserve">в сравнение с </w:t>
      </w:r>
      <w:r w:rsidRPr="00C35E5D">
        <w:rPr>
          <w:rFonts w:eastAsia="Times New Roman" w:cs="Arial"/>
          <w:color w:val="000000"/>
          <w:lang w:eastAsia="bg-BG"/>
        </w:rPr>
        <w:t>52% от пациентите, приемащи плацебо, а 92% от пациентите и в двете рамена са имали чернодробни метастази.</w:t>
      </w:r>
    </w:p>
    <w:p w14:paraId="57DC9CBA" w14:textId="77777777" w:rsidR="00C35E5D" w:rsidRPr="009632C6" w:rsidRDefault="00C35E5D" w:rsidP="00C35E5D">
      <w:pPr>
        <w:spacing w:line="240" w:lineRule="auto"/>
        <w:rPr>
          <w:rFonts w:eastAsia="Times New Roman" w:cs="Arial"/>
          <w:color w:val="000000"/>
          <w:lang w:eastAsia="bg-BG"/>
        </w:rPr>
      </w:pPr>
    </w:p>
    <w:p w14:paraId="44BB2EE5" w14:textId="5AFA8567"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Приложението на соматостатинови аналози е било позволено по време на проучването.</w:t>
      </w:r>
    </w:p>
    <w:p w14:paraId="5664255F" w14:textId="77777777" w:rsidR="00C35E5D" w:rsidRPr="009632C6" w:rsidRDefault="00C35E5D" w:rsidP="00C35E5D">
      <w:pPr>
        <w:spacing w:line="240" w:lineRule="auto"/>
        <w:rPr>
          <w:rFonts w:eastAsia="Times New Roman" w:cs="Arial"/>
          <w:color w:val="000000"/>
          <w:lang w:eastAsia="bg-BG"/>
        </w:rPr>
      </w:pPr>
    </w:p>
    <w:p w14:paraId="5C02F20A" w14:textId="07E0CEA4"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Общо 66% от пациентите на сунитиниб са приемали предшестваща системна терапия в сравнение със 72% от пациентите на плацебо. В допълнение 24% от пациентите на сунитиниб са приемали соматостатинови аналози в сравнение с 22% от пациентите на плацебо..</w:t>
      </w:r>
    </w:p>
    <w:p w14:paraId="2484709C" w14:textId="77777777" w:rsidR="00C35E5D" w:rsidRPr="009632C6" w:rsidRDefault="00C35E5D" w:rsidP="00C35E5D">
      <w:pPr>
        <w:spacing w:line="240" w:lineRule="auto"/>
        <w:rPr>
          <w:rFonts w:eastAsia="Times New Roman" w:cs="Arial"/>
          <w:color w:val="000000"/>
          <w:lang w:eastAsia="bg-BG"/>
        </w:rPr>
      </w:pPr>
    </w:p>
    <w:p w14:paraId="780C4438" w14:textId="6B7FE516"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 xml:space="preserve">Наблюдавано е клинично-значимо предимство при оценяването от изследователя на ПБП за сунитиниб в сравнение с плацебо. Медианата на преживяемостта (ПБП) в рамото на сунитиниб е била 11,4 месеца в сравнение с 5,5 месеца за рамото на плацебо [коефициент на риск: 0,418 (95% </w:t>
      </w:r>
      <w:r w:rsidRPr="00C35E5D">
        <w:rPr>
          <w:rFonts w:eastAsia="Times New Roman" w:cs="Arial"/>
          <w:color w:val="000000"/>
          <w:lang w:val="en-US"/>
        </w:rPr>
        <w:t xml:space="preserve">CI: </w:t>
      </w:r>
      <w:r w:rsidRPr="00C35E5D">
        <w:rPr>
          <w:rFonts w:eastAsia="Times New Roman" w:cs="Arial"/>
          <w:color w:val="000000"/>
          <w:lang w:eastAsia="bg-BG"/>
        </w:rPr>
        <w:t xml:space="preserve">0,263,0,662), р-стойност = 0,0001]; подобни резултати са били наблюдавани когато оценките на туморния отговор, получени въз основа на прилагането на </w:t>
      </w:r>
      <w:r w:rsidRPr="00C35E5D">
        <w:rPr>
          <w:rFonts w:eastAsia="Times New Roman" w:cs="Arial"/>
          <w:color w:val="000000"/>
          <w:lang w:val="en-US"/>
        </w:rPr>
        <w:t xml:space="preserve">RECIST </w:t>
      </w:r>
      <w:r w:rsidRPr="00C35E5D">
        <w:rPr>
          <w:rFonts w:eastAsia="Times New Roman" w:cs="Arial"/>
          <w:color w:val="000000"/>
          <w:lang w:eastAsia="bg-BG"/>
        </w:rPr>
        <w:t xml:space="preserve">към измерванията на тумора от изследователите, са били използвани за определяне на прогресията на заболяването, както е показано в таблица 4. Коефициент на риска в полза на сунитиниб е наблюдаван при всички подгрупи с оценявани характеристики на изходно ниво, включително и анализ на броя на курсовете от предшестващо системно лечение. Общо 29 пациенти от рамото на сунитиниб и 24 от рамото на плацебо не са приемали предшестваща системна терапия; при тези пациенти коефициентът на риск за ПБП е бил 0,365 (95% </w:t>
      </w:r>
      <w:r w:rsidRPr="00C35E5D">
        <w:rPr>
          <w:rFonts w:eastAsia="Times New Roman" w:cs="Arial"/>
          <w:color w:val="000000"/>
          <w:lang w:val="en-US"/>
        </w:rPr>
        <w:t xml:space="preserve">CI: </w:t>
      </w:r>
      <w:r w:rsidRPr="00C35E5D">
        <w:rPr>
          <w:rFonts w:eastAsia="Times New Roman" w:cs="Arial"/>
          <w:color w:val="000000"/>
          <w:lang w:eastAsia="bg-BG"/>
        </w:rPr>
        <w:t>0,156,0,857), р=0,0156.</w:t>
      </w:r>
    </w:p>
    <w:p w14:paraId="09A20957" w14:textId="77777777"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 xml:space="preserve">Подобно на това, при 57 пациенти </w:t>
      </w:r>
      <w:r w:rsidRPr="00C35E5D">
        <w:rPr>
          <w:rFonts w:eastAsia="Times New Roman" w:cs="Arial"/>
          <w:i/>
          <w:iCs/>
          <w:color w:val="000000"/>
          <w:lang w:eastAsia="bg-BG"/>
        </w:rPr>
        <w:t>в</w:t>
      </w:r>
      <w:r w:rsidRPr="00C35E5D">
        <w:rPr>
          <w:rFonts w:eastAsia="Times New Roman" w:cs="Arial"/>
          <w:color w:val="000000"/>
          <w:lang w:eastAsia="bg-BG"/>
        </w:rPr>
        <w:t xml:space="preserve"> рамото на сунитиниб (включително 28 с 1 цикъл на предшестваща системна терапия и 36 с 2 или повече цикъла на системна терапия) и 61 пациенти в рамото на плацебо (включително 25 с 1 цикъл на предшестваща системна терапия и 36 с 2 или повече цикъла на предишна системна терапия), коефициентът на риск за ПБП е бил 0,456 (95% </w:t>
      </w:r>
      <w:r w:rsidRPr="00C35E5D">
        <w:rPr>
          <w:rFonts w:eastAsia="Times New Roman" w:cs="Arial"/>
          <w:color w:val="000000"/>
          <w:lang w:val="en-US"/>
        </w:rPr>
        <w:t xml:space="preserve">CI: </w:t>
      </w:r>
      <w:r w:rsidRPr="00C35E5D">
        <w:rPr>
          <w:rFonts w:eastAsia="Times New Roman" w:cs="Arial"/>
          <w:color w:val="000000"/>
          <w:lang w:eastAsia="bg-BG"/>
        </w:rPr>
        <w:t>0,264,0,787), р=0,0036.</w:t>
      </w:r>
    </w:p>
    <w:p w14:paraId="14DB1743" w14:textId="77777777" w:rsidR="00C35E5D" w:rsidRPr="009632C6" w:rsidRDefault="00C35E5D" w:rsidP="00C35E5D">
      <w:pPr>
        <w:spacing w:line="240" w:lineRule="auto"/>
        <w:rPr>
          <w:rFonts w:eastAsia="Times New Roman" w:cs="Arial"/>
          <w:color w:val="000000"/>
          <w:lang w:eastAsia="bg-BG"/>
        </w:rPr>
      </w:pPr>
    </w:p>
    <w:p w14:paraId="1F59C61D" w14:textId="77777777" w:rsidR="00C35E5D" w:rsidRPr="009632C6" w:rsidRDefault="00C35E5D" w:rsidP="00C35E5D">
      <w:pPr>
        <w:spacing w:line="240" w:lineRule="auto"/>
        <w:rPr>
          <w:rFonts w:eastAsia="Times New Roman" w:cs="Arial"/>
          <w:color w:val="000000"/>
          <w:lang w:eastAsia="bg-BG"/>
        </w:rPr>
      </w:pPr>
      <w:r w:rsidRPr="00C35E5D">
        <w:rPr>
          <w:rFonts w:eastAsia="Times New Roman" w:cs="Arial"/>
          <w:color w:val="000000"/>
          <w:lang w:eastAsia="bg-BG"/>
        </w:rPr>
        <w:t xml:space="preserve">Проведен е анализ на чувствителността на ПБП, в който данните за прогресията се базират на измерванията на тумора, докладвани от изследователите и където всички пациенти, отпаднали по причини, различни от прекратяване на проучването са разглеждани като ПБП събития. Този анализ представя консервативна оценка на терапевтичния ефект на сунитиниб и подкрепя първичния анализ, показващ коефициент на риск 0,507 (95% </w:t>
      </w:r>
      <w:r w:rsidRPr="00C35E5D">
        <w:rPr>
          <w:rFonts w:eastAsia="Times New Roman" w:cs="Arial"/>
          <w:color w:val="000000"/>
          <w:lang w:val="en-US"/>
        </w:rPr>
        <w:t xml:space="preserve">CI: </w:t>
      </w:r>
      <w:r w:rsidRPr="00C35E5D">
        <w:rPr>
          <w:rFonts w:eastAsia="Times New Roman" w:cs="Arial"/>
          <w:color w:val="000000"/>
          <w:lang w:eastAsia="bg-BG"/>
        </w:rPr>
        <w:t xml:space="preserve">0,350,0,733), р = 0,000193. Главното проучване при панкреатични невроендокринни тумори е било прекратено предварително по препоръка на независим Комитет по лекарствен мониторинг, а първичната крайна точка е била базирана на оценката на изследователя, като и двата факта може да са оказали влияние на оценката </w:t>
      </w:r>
    </w:p>
    <w:p w14:paraId="284CFEC9" w14:textId="34183298"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на терапевтичния ефект.</w:t>
      </w:r>
    </w:p>
    <w:p w14:paraId="1B48C1DF" w14:textId="77777777" w:rsidR="00C35E5D" w:rsidRPr="009632C6" w:rsidRDefault="00C35E5D" w:rsidP="00C35E5D">
      <w:pPr>
        <w:spacing w:line="240" w:lineRule="auto"/>
        <w:rPr>
          <w:rFonts w:eastAsia="Times New Roman" w:cs="Arial"/>
          <w:color w:val="000000"/>
          <w:lang w:eastAsia="bg-BG"/>
        </w:rPr>
      </w:pPr>
    </w:p>
    <w:p w14:paraId="2CD736FE" w14:textId="521218A8"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За да се изключи пристрастност при оценката на изследователя за ПБП, е проведен заслепен независим централен преглед (ЗНЦП) на резултатите, който е подкрепил оценката на изследователя, както е показано в таблица 4.</w:t>
      </w:r>
    </w:p>
    <w:p w14:paraId="753E9896" w14:textId="77777777" w:rsidR="00C35E5D" w:rsidRPr="009632C6" w:rsidRDefault="00C35E5D" w:rsidP="00C35E5D">
      <w:pPr>
        <w:rPr>
          <w:rFonts w:eastAsia="Times New Roman" w:cs="Arial"/>
          <w:b/>
          <w:bCs/>
          <w:color w:val="000000"/>
          <w:u w:val="single"/>
          <w:lang w:eastAsia="bg-BG"/>
        </w:rPr>
      </w:pPr>
    </w:p>
    <w:p w14:paraId="5D3A6B62" w14:textId="7D70B610" w:rsidR="00C35E5D" w:rsidRPr="009632C6" w:rsidRDefault="00C35E5D" w:rsidP="00C35E5D">
      <w:pPr>
        <w:rPr>
          <w:rFonts w:eastAsia="Times New Roman" w:cs="Arial"/>
          <w:b/>
          <w:bCs/>
          <w:color w:val="000000"/>
          <w:u w:val="single"/>
          <w:lang w:eastAsia="bg-BG"/>
        </w:rPr>
      </w:pPr>
      <w:r w:rsidRPr="009632C6">
        <w:rPr>
          <w:rFonts w:eastAsia="Times New Roman" w:cs="Arial"/>
          <w:b/>
          <w:bCs/>
          <w:color w:val="000000"/>
          <w:u w:val="single"/>
          <w:lang w:eastAsia="bg-BG"/>
        </w:rPr>
        <w:t>Таблица 4 - ПЛЕТ резултати за ефикасност от фаза 3 проучване</w:t>
      </w:r>
    </w:p>
    <w:tbl>
      <w:tblPr>
        <w:tblStyle w:val="TableGrid"/>
        <w:tblW w:w="0" w:type="auto"/>
        <w:tblLook w:val="04A0" w:firstRow="1" w:lastRow="0" w:firstColumn="1" w:lastColumn="0" w:noHBand="0" w:noVBand="1"/>
      </w:tblPr>
      <w:tblGrid>
        <w:gridCol w:w="1870"/>
        <w:gridCol w:w="1870"/>
        <w:gridCol w:w="1870"/>
        <w:gridCol w:w="1870"/>
        <w:gridCol w:w="1870"/>
      </w:tblGrid>
      <w:tr w:rsidR="00C35E5D" w:rsidRPr="009632C6" w14:paraId="7C0ED068" w14:textId="77777777" w:rsidTr="00C35E5D">
        <w:tc>
          <w:tcPr>
            <w:tcW w:w="1870" w:type="dxa"/>
          </w:tcPr>
          <w:p w14:paraId="48E23B2C" w14:textId="1B68FC80" w:rsidR="00C35E5D" w:rsidRPr="009632C6" w:rsidRDefault="00C35E5D" w:rsidP="00C35E5D">
            <w:pPr>
              <w:rPr>
                <w:rFonts w:cs="Arial"/>
              </w:rPr>
            </w:pPr>
            <w:r w:rsidRPr="009632C6">
              <w:rPr>
                <w:rFonts w:cs="Arial"/>
                <w:b/>
                <w:bCs/>
              </w:rPr>
              <w:t>Параметър за ефикасност</w:t>
            </w:r>
          </w:p>
        </w:tc>
        <w:tc>
          <w:tcPr>
            <w:tcW w:w="1870" w:type="dxa"/>
          </w:tcPr>
          <w:p w14:paraId="2A04E492" w14:textId="25AB771E" w:rsidR="00C35E5D" w:rsidRPr="009632C6" w:rsidRDefault="00C35E5D" w:rsidP="00C35E5D">
            <w:pPr>
              <w:rPr>
                <w:rFonts w:cs="Arial"/>
              </w:rPr>
            </w:pPr>
            <w:r w:rsidRPr="009632C6">
              <w:rPr>
                <w:rFonts w:cs="Arial"/>
                <w:b/>
                <w:bCs/>
              </w:rPr>
              <w:t xml:space="preserve">Сунитиниб </w:t>
            </w:r>
            <w:r w:rsidRPr="009632C6">
              <w:rPr>
                <w:rFonts w:cs="Arial"/>
                <w:b/>
                <w:bCs/>
                <w:lang w:val="en-US"/>
              </w:rPr>
              <w:t>(N=86)</w:t>
            </w:r>
          </w:p>
        </w:tc>
        <w:tc>
          <w:tcPr>
            <w:tcW w:w="1870" w:type="dxa"/>
          </w:tcPr>
          <w:p w14:paraId="18C189DC" w14:textId="3E0591B7" w:rsidR="00C35E5D" w:rsidRPr="009632C6" w:rsidRDefault="00C35E5D" w:rsidP="00C35E5D">
            <w:pPr>
              <w:rPr>
                <w:rFonts w:cs="Arial"/>
              </w:rPr>
            </w:pPr>
            <w:r w:rsidRPr="009632C6">
              <w:rPr>
                <w:rFonts w:cs="Arial"/>
                <w:b/>
                <w:bCs/>
              </w:rPr>
              <w:t xml:space="preserve">Плацебо </w:t>
            </w:r>
            <w:r w:rsidRPr="009632C6">
              <w:rPr>
                <w:rFonts w:cs="Arial"/>
                <w:b/>
                <w:bCs/>
                <w:lang w:val="en-US"/>
              </w:rPr>
              <w:t>(N=85)</w:t>
            </w:r>
          </w:p>
        </w:tc>
        <w:tc>
          <w:tcPr>
            <w:tcW w:w="1870" w:type="dxa"/>
          </w:tcPr>
          <w:p w14:paraId="53D28813" w14:textId="76B3EED2" w:rsidR="00C35E5D" w:rsidRPr="009632C6" w:rsidRDefault="00C35E5D" w:rsidP="00C35E5D">
            <w:pPr>
              <w:rPr>
                <w:rFonts w:cs="Arial"/>
              </w:rPr>
            </w:pPr>
            <w:r w:rsidRPr="009632C6">
              <w:rPr>
                <w:rFonts w:cs="Arial"/>
                <w:b/>
                <w:bCs/>
              </w:rPr>
              <w:t>Коефициент на риска (95% С1)</w:t>
            </w:r>
          </w:p>
        </w:tc>
        <w:tc>
          <w:tcPr>
            <w:tcW w:w="1870" w:type="dxa"/>
          </w:tcPr>
          <w:p w14:paraId="4EBB21DC" w14:textId="6FDDEA38" w:rsidR="00C35E5D" w:rsidRPr="009632C6" w:rsidRDefault="00C35E5D" w:rsidP="00C35E5D">
            <w:pPr>
              <w:rPr>
                <w:rFonts w:cs="Arial"/>
              </w:rPr>
            </w:pPr>
            <w:r w:rsidRPr="009632C6">
              <w:rPr>
                <w:rFonts w:cs="Arial"/>
                <w:lang w:val="en-US"/>
              </w:rPr>
              <w:t>p-</w:t>
            </w:r>
            <w:r w:rsidRPr="009632C6">
              <w:rPr>
                <w:rFonts w:cs="Arial"/>
              </w:rPr>
              <w:t>стойност</w:t>
            </w:r>
          </w:p>
        </w:tc>
      </w:tr>
      <w:tr w:rsidR="00C35E5D" w:rsidRPr="009632C6" w14:paraId="345B2CB0" w14:textId="77777777" w:rsidTr="00C35E5D">
        <w:tc>
          <w:tcPr>
            <w:tcW w:w="1870" w:type="dxa"/>
          </w:tcPr>
          <w:p w14:paraId="5F5E1DAA" w14:textId="2F6F50F8" w:rsidR="00C35E5D" w:rsidRPr="009632C6" w:rsidRDefault="00C35E5D" w:rsidP="00C35E5D">
            <w:pPr>
              <w:rPr>
                <w:rFonts w:cs="Arial"/>
              </w:rPr>
            </w:pPr>
            <w:r w:rsidRPr="009632C6">
              <w:rPr>
                <w:rFonts w:cs="Arial"/>
              </w:rPr>
              <w:t>Преживяемост без прогресия</w:t>
            </w:r>
          </w:p>
        </w:tc>
        <w:tc>
          <w:tcPr>
            <w:tcW w:w="1870" w:type="dxa"/>
          </w:tcPr>
          <w:p w14:paraId="38A4F493" w14:textId="5C81FFDA" w:rsidR="00C35E5D" w:rsidRPr="009632C6" w:rsidRDefault="00C35E5D" w:rsidP="00C35E5D">
            <w:pPr>
              <w:rPr>
                <w:rFonts w:cs="Arial"/>
              </w:rPr>
            </w:pPr>
            <w:r w:rsidRPr="009632C6">
              <w:rPr>
                <w:rFonts w:cs="Arial"/>
              </w:rPr>
              <w:t>11,4</w:t>
            </w:r>
          </w:p>
        </w:tc>
        <w:tc>
          <w:tcPr>
            <w:tcW w:w="1870" w:type="dxa"/>
          </w:tcPr>
          <w:p w14:paraId="2B4781DF" w14:textId="02412C29" w:rsidR="00C35E5D" w:rsidRPr="009632C6" w:rsidRDefault="00C35E5D" w:rsidP="00C35E5D">
            <w:pPr>
              <w:rPr>
                <w:rFonts w:cs="Arial"/>
              </w:rPr>
            </w:pPr>
            <w:r w:rsidRPr="009632C6">
              <w:rPr>
                <w:rFonts w:cs="Arial"/>
              </w:rPr>
              <w:t>5,5</w:t>
            </w:r>
          </w:p>
        </w:tc>
        <w:tc>
          <w:tcPr>
            <w:tcW w:w="1870" w:type="dxa"/>
          </w:tcPr>
          <w:p w14:paraId="714E1303" w14:textId="1947CBD5" w:rsidR="00C35E5D" w:rsidRPr="009632C6" w:rsidRDefault="00C35E5D" w:rsidP="00C35E5D">
            <w:pPr>
              <w:rPr>
                <w:rFonts w:cs="Arial"/>
              </w:rPr>
            </w:pPr>
            <w:r w:rsidRPr="009632C6">
              <w:rPr>
                <w:rFonts w:cs="Arial"/>
              </w:rPr>
              <w:t>0,418</w:t>
            </w:r>
          </w:p>
        </w:tc>
        <w:tc>
          <w:tcPr>
            <w:tcW w:w="1870" w:type="dxa"/>
          </w:tcPr>
          <w:p w14:paraId="5B3C5379" w14:textId="77777777" w:rsidR="00C35E5D" w:rsidRPr="009632C6" w:rsidRDefault="00C35E5D" w:rsidP="00C35E5D">
            <w:pPr>
              <w:rPr>
                <w:rFonts w:cs="Arial"/>
              </w:rPr>
            </w:pPr>
          </w:p>
        </w:tc>
      </w:tr>
      <w:tr w:rsidR="00C35E5D" w:rsidRPr="009632C6" w14:paraId="6FAE4E04" w14:textId="77777777" w:rsidTr="00C35E5D">
        <w:tc>
          <w:tcPr>
            <w:tcW w:w="1870" w:type="dxa"/>
          </w:tcPr>
          <w:p w14:paraId="28CE2CB6" w14:textId="657A73D6" w:rsidR="00C35E5D" w:rsidRPr="009632C6" w:rsidRDefault="00C35E5D" w:rsidP="00C35E5D">
            <w:pPr>
              <w:rPr>
                <w:rFonts w:cs="Arial"/>
              </w:rPr>
            </w:pPr>
            <w:r w:rsidRPr="009632C6">
              <w:rPr>
                <w:rFonts w:cs="Arial"/>
              </w:rPr>
              <w:t xml:space="preserve">[медиана, месеци (95% </w:t>
            </w:r>
            <w:r w:rsidRPr="009632C6">
              <w:rPr>
                <w:rFonts w:cs="Arial"/>
                <w:lang w:val="en-US"/>
              </w:rPr>
              <w:t xml:space="preserve">CI)] </w:t>
            </w:r>
            <w:r w:rsidRPr="009632C6">
              <w:rPr>
                <w:rFonts w:cs="Arial"/>
              </w:rPr>
              <w:t>по оценка на изследователя</w:t>
            </w:r>
          </w:p>
        </w:tc>
        <w:tc>
          <w:tcPr>
            <w:tcW w:w="1870" w:type="dxa"/>
          </w:tcPr>
          <w:p w14:paraId="0896149E" w14:textId="25BABE6C" w:rsidR="00C35E5D" w:rsidRPr="009632C6" w:rsidRDefault="00C35E5D" w:rsidP="00C35E5D">
            <w:pPr>
              <w:rPr>
                <w:rFonts w:cs="Arial"/>
              </w:rPr>
            </w:pPr>
            <w:r w:rsidRPr="009632C6">
              <w:rPr>
                <w:rFonts w:cs="Arial"/>
              </w:rPr>
              <w:t>(7,4, 19,8)</w:t>
            </w:r>
          </w:p>
        </w:tc>
        <w:tc>
          <w:tcPr>
            <w:tcW w:w="1870" w:type="dxa"/>
          </w:tcPr>
          <w:p w14:paraId="00A1A45B" w14:textId="0827FB5F" w:rsidR="00C35E5D" w:rsidRPr="009632C6" w:rsidRDefault="00C35E5D" w:rsidP="00C35E5D">
            <w:pPr>
              <w:rPr>
                <w:rFonts w:cs="Arial"/>
              </w:rPr>
            </w:pPr>
            <w:r w:rsidRPr="009632C6">
              <w:rPr>
                <w:rFonts w:cs="Arial"/>
              </w:rPr>
              <w:t>(3,6, 7,4)</w:t>
            </w:r>
          </w:p>
        </w:tc>
        <w:tc>
          <w:tcPr>
            <w:tcW w:w="1870" w:type="dxa"/>
          </w:tcPr>
          <w:p w14:paraId="542AD7F4" w14:textId="00E31F97" w:rsidR="00C35E5D" w:rsidRPr="009632C6" w:rsidRDefault="00C35E5D" w:rsidP="00C35E5D">
            <w:pPr>
              <w:rPr>
                <w:rFonts w:cs="Arial"/>
              </w:rPr>
            </w:pPr>
            <w:r w:rsidRPr="009632C6">
              <w:rPr>
                <w:rFonts w:cs="Arial"/>
              </w:rPr>
              <w:t>(0,263, 0,662)</w:t>
            </w:r>
          </w:p>
        </w:tc>
        <w:tc>
          <w:tcPr>
            <w:tcW w:w="1870" w:type="dxa"/>
          </w:tcPr>
          <w:p w14:paraId="0AAB7B85" w14:textId="243FA08D" w:rsidR="00C35E5D" w:rsidRPr="009632C6" w:rsidRDefault="00C35E5D" w:rsidP="00C35E5D">
            <w:pPr>
              <w:rPr>
                <w:rFonts w:cs="Arial"/>
              </w:rPr>
            </w:pPr>
            <w:r w:rsidRPr="009632C6">
              <w:rPr>
                <w:rFonts w:cs="Arial"/>
              </w:rPr>
              <w:t>0,0001</w:t>
            </w:r>
            <w:r w:rsidRPr="009632C6">
              <w:rPr>
                <w:rFonts w:cs="Arial"/>
                <w:vertAlign w:val="superscript"/>
              </w:rPr>
              <w:t>а</w:t>
            </w:r>
          </w:p>
        </w:tc>
      </w:tr>
      <w:tr w:rsidR="00C35E5D" w:rsidRPr="009632C6" w14:paraId="2F95EDE0" w14:textId="77777777" w:rsidTr="00C35E5D">
        <w:tc>
          <w:tcPr>
            <w:tcW w:w="1870" w:type="dxa"/>
          </w:tcPr>
          <w:p w14:paraId="0CF3F235" w14:textId="37FEF9A5" w:rsidR="00C35E5D" w:rsidRPr="009632C6" w:rsidRDefault="00C35E5D" w:rsidP="00C35E5D">
            <w:pPr>
              <w:rPr>
                <w:rFonts w:cs="Arial"/>
              </w:rPr>
            </w:pPr>
            <w:r w:rsidRPr="009632C6">
              <w:rPr>
                <w:rFonts w:cs="Arial"/>
              </w:rPr>
              <w:t xml:space="preserve">Преживяемост без прогресия [медиана, месеци (95% </w:t>
            </w:r>
            <w:r w:rsidRPr="009632C6">
              <w:rPr>
                <w:rFonts w:cs="Arial"/>
                <w:lang w:val="en-US"/>
              </w:rPr>
              <w:lastRenderedPageBreak/>
              <w:t xml:space="preserve">CI)] </w:t>
            </w:r>
            <w:r w:rsidRPr="009632C6">
              <w:rPr>
                <w:rFonts w:cs="Arial"/>
              </w:rPr>
              <w:t xml:space="preserve">. чрез оценка на туморното повлияване въз основа на прилагането на </w:t>
            </w:r>
            <w:r w:rsidRPr="009632C6">
              <w:rPr>
                <w:rFonts w:cs="Arial"/>
                <w:lang w:val="en-US"/>
              </w:rPr>
              <w:t xml:space="preserve">RECIST </w:t>
            </w:r>
            <w:r w:rsidRPr="009632C6">
              <w:rPr>
                <w:rFonts w:cs="Arial"/>
              </w:rPr>
              <w:t>към туморните оценки на изследователя</w:t>
            </w:r>
          </w:p>
        </w:tc>
        <w:tc>
          <w:tcPr>
            <w:tcW w:w="1870" w:type="dxa"/>
          </w:tcPr>
          <w:p w14:paraId="4BBC0BAA" w14:textId="77777777" w:rsidR="00C35E5D" w:rsidRPr="009632C6" w:rsidRDefault="00C35E5D" w:rsidP="00C35E5D">
            <w:pPr>
              <w:rPr>
                <w:rFonts w:cs="Arial"/>
              </w:rPr>
            </w:pPr>
            <w:r w:rsidRPr="009632C6">
              <w:rPr>
                <w:rFonts w:cs="Arial"/>
              </w:rPr>
              <w:lastRenderedPageBreak/>
              <w:t>12,6</w:t>
            </w:r>
          </w:p>
          <w:p w14:paraId="059F8D63" w14:textId="08185D51" w:rsidR="00C35E5D" w:rsidRPr="009632C6" w:rsidRDefault="00C35E5D" w:rsidP="00C35E5D">
            <w:pPr>
              <w:rPr>
                <w:rFonts w:cs="Arial"/>
              </w:rPr>
            </w:pPr>
            <w:r w:rsidRPr="009632C6">
              <w:rPr>
                <w:rFonts w:cs="Arial"/>
              </w:rPr>
              <w:t>(7,4, 16,9)</w:t>
            </w:r>
          </w:p>
        </w:tc>
        <w:tc>
          <w:tcPr>
            <w:tcW w:w="1870" w:type="dxa"/>
          </w:tcPr>
          <w:p w14:paraId="29C096C3" w14:textId="77777777" w:rsidR="00C35E5D" w:rsidRPr="009632C6" w:rsidRDefault="00C35E5D" w:rsidP="00C35E5D">
            <w:pPr>
              <w:rPr>
                <w:rFonts w:cs="Arial"/>
              </w:rPr>
            </w:pPr>
            <w:r w:rsidRPr="009632C6">
              <w:rPr>
                <w:rFonts w:cs="Arial"/>
              </w:rPr>
              <w:t>5,4</w:t>
            </w:r>
          </w:p>
          <w:p w14:paraId="54FFAFEF" w14:textId="5C64825E" w:rsidR="00C35E5D" w:rsidRPr="009632C6" w:rsidRDefault="00C35E5D" w:rsidP="00C35E5D">
            <w:pPr>
              <w:rPr>
                <w:rFonts w:cs="Arial"/>
              </w:rPr>
            </w:pPr>
            <w:r w:rsidRPr="009632C6">
              <w:rPr>
                <w:rFonts w:cs="Arial"/>
              </w:rPr>
              <w:t>(3,5, 6,0)</w:t>
            </w:r>
          </w:p>
        </w:tc>
        <w:tc>
          <w:tcPr>
            <w:tcW w:w="1870" w:type="dxa"/>
          </w:tcPr>
          <w:p w14:paraId="16EA2D96" w14:textId="77777777" w:rsidR="00C35E5D" w:rsidRPr="009632C6" w:rsidRDefault="00C35E5D" w:rsidP="00C35E5D">
            <w:pPr>
              <w:rPr>
                <w:rFonts w:cs="Arial"/>
              </w:rPr>
            </w:pPr>
            <w:r w:rsidRPr="009632C6">
              <w:rPr>
                <w:rFonts w:cs="Arial"/>
              </w:rPr>
              <w:t>0,401</w:t>
            </w:r>
          </w:p>
          <w:p w14:paraId="700D3AAA" w14:textId="30E39A60" w:rsidR="00C35E5D" w:rsidRPr="009632C6" w:rsidRDefault="00C35E5D" w:rsidP="00C35E5D">
            <w:pPr>
              <w:rPr>
                <w:rFonts w:cs="Arial"/>
              </w:rPr>
            </w:pPr>
            <w:r w:rsidRPr="009632C6">
              <w:rPr>
                <w:rFonts w:cs="Arial"/>
              </w:rPr>
              <w:t>(0,252, 0,640)</w:t>
            </w:r>
          </w:p>
        </w:tc>
        <w:tc>
          <w:tcPr>
            <w:tcW w:w="1870" w:type="dxa"/>
          </w:tcPr>
          <w:p w14:paraId="4690799A" w14:textId="26A62846" w:rsidR="00C35E5D" w:rsidRPr="009632C6" w:rsidRDefault="00C35E5D" w:rsidP="00C35E5D">
            <w:pPr>
              <w:rPr>
                <w:rFonts w:cs="Arial"/>
              </w:rPr>
            </w:pPr>
            <w:r w:rsidRPr="009632C6">
              <w:rPr>
                <w:rFonts w:cs="Arial"/>
              </w:rPr>
              <w:t>0,000066</w:t>
            </w:r>
            <w:r w:rsidRPr="009632C6">
              <w:rPr>
                <w:rFonts w:cs="Arial"/>
                <w:vertAlign w:val="superscript"/>
              </w:rPr>
              <w:t>а</w:t>
            </w:r>
          </w:p>
        </w:tc>
      </w:tr>
      <w:tr w:rsidR="00C35E5D" w:rsidRPr="009632C6" w14:paraId="402594BC" w14:textId="77777777" w:rsidTr="00C35E5D">
        <w:tc>
          <w:tcPr>
            <w:tcW w:w="1870" w:type="dxa"/>
          </w:tcPr>
          <w:p w14:paraId="25D3778E" w14:textId="4F63BF46" w:rsidR="00C35E5D" w:rsidRPr="009632C6" w:rsidRDefault="00C35E5D" w:rsidP="00C35E5D">
            <w:pPr>
              <w:rPr>
                <w:rFonts w:cs="Arial"/>
              </w:rPr>
            </w:pPr>
            <w:r w:rsidRPr="009632C6">
              <w:rPr>
                <w:rFonts w:cs="Arial"/>
              </w:rPr>
              <w:t xml:space="preserve">Преживяемост без прогресия [медиана, месеци (95% </w:t>
            </w:r>
            <w:r w:rsidRPr="009632C6">
              <w:rPr>
                <w:rFonts w:cs="Arial"/>
                <w:lang w:val="en-US"/>
              </w:rPr>
              <w:t xml:space="preserve">CI)] </w:t>
            </w:r>
            <w:r w:rsidRPr="009632C6">
              <w:rPr>
                <w:rFonts w:cs="Arial"/>
              </w:rPr>
              <w:t>чрез заслепен, независим централизиран преглед на туморната оценка</w:t>
            </w:r>
          </w:p>
        </w:tc>
        <w:tc>
          <w:tcPr>
            <w:tcW w:w="1870" w:type="dxa"/>
          </w:tcPr>
          <w:p w14:paraId="3C9E3982" w14:textId="40ADC2F6" w:rsidR="00C35E5D" w:rsidRPr="009632C6" w:rsidRDefault="00C35E5D" w:rsidP="00C35E5D">
            <w:pPr>
              <w:rPr>
                <w:rFonts w:cs="Arial"/>
              </w:rPr>
            </w:pPr>
            <w:r w:rsidRPr="009632C6">
              <w:rPr>
                <w:rFonts w:cs="Arial"/>
              </w:rPr>
              <w:t>12,6 (11,1,20,6)</w:t>
            </w:r>
          </w:p>
        </w:tc>
        <w:tc>
          <w:tcPr>
            <w:tcW w:w="1870" w:type="dxa"/>
          </w:tcPr>
          <w:p w14:paraId="651D2BBC" w14:textId="77777777" w:rsidR="00C35E5D" w:rsidRPr="009632C6" w:rsidRDefault="00C35E5D" w:rsidP="00C35E5D">
            <w:pPr>
              <w:rPr>
                <w:rFonts w:cs="Arial"/>
              </w:rPr>
            </w:pPr>
            <w:r w:rsidRPr="009632C6">
              <w:rPr>
                <w:rFonts w:cs="Arial"/>
              </w:rPr>
              <w:t>5,8</w:t>
            </w:r>
          </w:p>
          <w:p w14:paraId="1D110F8A" w14:textId="2B23B95E" w:rsidR="00C35E5D" w:rsidRPr="009632C6" w:rsidRDefault="00C35E5D" w:rsidP="00C35E5D">
            <w:pPr>
              <w:rPr>
                <w:rFonts w:cs="Arial"/>
              </w:rPr>
            </w:pPr>
            <w:r w:rsidRPr="009632C6">
              <w:rPr>
                <w:rFonts w:cs="Arial"/>
              </w:rPr>
              <w:t>(3,8, 7,2)</w:t>
            </w:r>
          </w:p>
        </w:tc>
        <w:tc>
          <w:tcPr>
            <w:tcW w:w="1870" w:type="dxa"/>
          </w:tcPr>
          <w:p w14:paraId="148B1E79" w14:textId="77777777" w:rsidR="00C35E5D" w:rsidRPr="009632C6" w:rsidRDefault="00C35E5D" w:rsidP="00C35E5D">
            <w:pPr>
              <w:rPr>
                <w:rFonts w:cs="Arial"/>
              </w:rPr>
            </w:pPr>
            <w:r w:rsidRPr="009632C6">
              <w:rPr>
                <w:rFonts w:cs="Arial"/>
              </w:rPr>
              <w:t>0,315</w:t>
            </w:r>
          </w:p>
          <w:p w14:paraId="328DD668" w14:textId="381CBAD6" w:rsidR="00C35E5D" w:rsidRPr="009632C6" w:rsidRDefault="00C35E5D" w:rsidP="00C35E5D">
            <w:pPr>
              <w:rPr>
                <w:rFonts w:cs="Arial"/>
              </w:rPr>
            </w:pPr>
            <w:r w:rsidRPr="009632C6">
              <w:rPr>
                <w:rFonts w:cs="Arial"/>
              </w:rPr>
              <w:t>(0,181, 0,546)</w:t>
            </w:r>
          </w:p>
        </w:tc>
        <w:tc>
          <w:tcPr>
            <w:tcW w:w="1870" w:type="dxa"/>
          </w:tcPr>
          <w:p w14:paraId="0667333E" w14:textId="41386408" w:rsidR="00C35E5D" w:rsidRPr="009632C6" w:rsidRDefault="00C35E5D" w:rsidP="00C35E5D">
            <w:pPr>
              <w:rPr>
                <w:rFonts w:cs="Arial"/>
              </w:rPr>
            </w:pPr>
            <w:r w:rsidRPr="009632C6">
              <w:rPr>
                <w:rFonts w:cs="Arial"/>
              </w:rPr>
              <w:t>0,000015</w:t>
            </w:r>
            <w:r w:rsidRPr="009632C6">
              <w:rPr>
                <w:rFonts w:cs="Arial"/>
                <w:vertAlign w:val="superscript"/>
              </w:rPr>
              <w:t>а</w:t>
            </w:r>
          </w:p>
        </w:tc>
      </w:tr>
      <w:tr w:rsidR="00C35E5D" w:rsidRPr="009632C6" w14:paraId="7EDEF5E1" w14:textId="77777777" w:rsidTr="00C35E5D">
        <w:tc>
          <w:tcPr>
            <w:tcW w:w="1870" w:type="dxa"/>
          </w:tcPr>
          <w:p w14:paraId="7CC7C783" w14:textId="2B625AE7" w:rsidR="00C35E5D" w:rsidRPr="009632C6" w:rsidRDefault="00C35E5D" w:rsidP="00C35E5D">
            <w:pPr>
              <w:rPr>
                <w:rFonts w:cs="Arial"/>
              </w:rPr>
            </w:pPr>
            <w:r w:rsidRPr="009632C6">
              <w:rPr>
                <w:rFonts w:cs="Arial"/>
              </w:rPr>
              <w:t xml:space="preserve">Обща преживяемост [период на проследяване 5 години] [медиана, месеци (95% </w:t>
            </w:r>
            <w:r w:rsidRPr="009632C6">
              <w:rPr>
                <w:rFonts w:cs="Arial"/>
                <w:lang w:val="en-US"/>
              </w:rPr>
              <w:t>CI)]</w:t>
            </w:r>
          </w:p>
        </w:tc>
        <w:tc>
          <w:tcPr>
            <w:tcW w:w="1870" w:type="dxa"/>
          </w:tcPr>
          <w:p w14:paraId="77461B25" w14:textId="77777777" w:rsidR="00C35E5D" w:rsidRPr="009632C6" w:rsidRDefault="00C35E5D" w:rsidP="00C35E5D">
            <w:pPr>
              <w:rPr>
                <w:rFonts w:cs="Arial"/>
              </w:rPr>
            </w:pPr>
            <w:r w:rsidRPr="009632C6">
              <w:rPr>
                <w:rFonts w:cs="Arial"/>
              </w:rPr>
              <w:t>38,6</w:t>
            </w:r>
          </w:p>
          <w:p w14:paraId="173DD6EA" w14:textId="578C425E" w:rsidR="00C35E5D" w:rsidRPr="009632C6" w:rsidRDefault="00C35E5D" w:rsidP="00C35E5D">
            <w:pPr>
              <w:rPr>
                <w:rFonts w:cs="Arial"/>
              </w:rPr>
            </w:pPr>
            <w:r w:rsidRPr="009632C6">
              <w:rPr>
                <w:rFonts w:cs="Arial"/>
              </w:rPr>
              <w:t>(25,6, 56,4)</w:t>
            </w:r>
          </w:p>
        </w:tc>
        <w:tc>
          <w:tcPr>
            <w:tcW w:w="1870" w:type="dxa"/>
          </w:tcPr>
          <w:p w14:paraId="3A6A9F42" w14:textId="3ADAE797" w:rsidR="00C35E5D" w:rsidRPr="009632C6" w:rsidRDefault="00C35E5D" w:rsidP="00C35E5D">
            <w:pPr>
              <w:rPr>
                <w:rFonts w:cs="Arial"/>
              </w:rPr>
            </w:pPr>
            <w:r w:rsidRPr="009632C6">
              <w:rPr>
                <w:rFonts w:cs="Arial"/>
              </w:rPr>
              <w:t>29,1 (16,4, 36,8)</w:t>
            </w:r>
          </w:p>
        </w:tc>
        <w:tc>
          <w:tcPr>
            <w:tcW w:w="1870" w:type="dxa"/>
          </w:tcPr>
          <w:p w14:paraId="7AF364B8" w14:textId="77777777" w:rsidR="00C35E5D" w:rsidRPr="009632C6" w:rsidRDefault="00C35E5D" w:rsidP="00C35E5D">
            <w:pPr>
              <w:rPr>
                <w:rFonts w:cs="Arial"/>
              </w:rPr>
            </w:pPr>
            <w:r w:rsidRPr="009632C6">
              <w:rPr>
                <w:rFonts w:cs="Arial"/>
              </w:rPr>
              <w:t>0,730</w:t>
            </w:r>
          </w:p>
          <w:p w14:paraId="276C6F0F" w14:textId="666BD104" w:rsidR="00C35E5D" w:rsidRPr="009632C6" w:rsidRDefault="00C35E5D" w:rsidP="00C35E5D">
            <w:pPr>
              <w:rPr>
                <w:rFonts w:cs="Arial"/>
              </w:rPr>
            </w:pPr>
            <w:r w:rsidRPr="009632C6">
              <w:rPr>
                <w:rFonts w:cs="Arial"/>
              </w:rPr>
              <w:t>(0,504, 1,057)</w:t>
            </w:r>
          </w:p>
        </w:tc>
        <w:tc>
          <w:tcPr>
            <w:tcW w:w="1870" w:type="dxa"/>
          </w:tcPr>
          <w:p w14:paraId="05ED6240" w14:textId="513E6F21" w:rsidR="00C35E5D" w:rsidRPr="009632C6" w:rsidRDefault="00C35E5D" w:rsidP="00C35E5D">
            <w:pPr>
              <w:rPr>
                <w:rFonts w:cs="Arial"/>
              </w:rPr>
            </w:pPr>
            <w:r w:rsidRPr="009632C6">
              <w:rPr>
                <w:rFonts w:cs="Arial"/>
              </w:rPr>
              <w:t>0,0940</w:t>
            </w:r>
            <w:r w:rsidRPr="009632C6">
              <w:rPr>
                <w:rFonts w:cs="Arial"/>
                <w:vertAlign w:val="superscript"/>
              </w:rPr>
              <w:t>а</w:t>
            </w:r>
          </w:p>
        </w:tc>
      </w:tr>
      <w:tr w:rsidR="00C35E5D" w:rsidRPr="009632C6" w14:paraId="32CE0CEF" w14:textId="77777777" w:rsidTr="00C35E5D">
        <w:tc>
          <w:tcPr>
            <w:tcW w:w="1870" w:type="dxa"/>
          </w:tcPr>
          <w:p w14:paraId="4A8BC7A0" w14:textId="633A154F" w:rsidR="00C35E5D" w:rsidRPr="009632C6" w:rsidRDefault="00C35E5D" w:rsidP="00C35E5D">
            <w:pPr>
              <w:rPr>
                <w:rFonts w:cs="Arial"/>
              </w:rPr>
            </w:pPr>
            <w:r w:rsidRPr="009632C6">
              <w:rPr>
                <w:rFonts w:cs="Arial"/>
              </w:rPr>
              <w:t xml:space="preserve">Честота на обективния отговор [%, (95% </w:t>
            </w:r>
            <w:r w:rsidRPr="009632C6">
              <w:rPr>
                <w:rFonts w:cs="Arial"/>
                <w:lang w:val="en-US"/>
              </w:rPr>
              <w:t>CI)]</w:t>
            </w:r>
          </w:p>
        </w:tc>
        <w:tc>
          <w:tcPr>
            <w:tcW w:w="1870" w:type="dxa"/>
          </w:tcPr>
          <w:p w14:paraId="6F762DF2" w14:textId="46506D1D" w:rsidR="00C35E5D" w:rsidRPr="009632C6" w:rsidRDefault="00C35E5D" w:rsidP="00C35E5D">
            <w:pPr>
              <w:rPr>
                <w:rFonts w:cs="Arial"/>
              </w:rPr>
            </w:pPr>
            <w:r w:rsidRPr="009632C6">
              <w:rPr>
                <w:rFonts w:cs="Arial"/>
              </w:rPr>
              <w:t>9 3 (3,2, 15,4)</w:t>
            </w:r>
          </w:p>
        </w:tc>
        <w:tc>
          <w:tcPr>
            <w:tcW w:w="1870" w:type="dxa"/>
          </w:tcPr>
          <w:p w14:paraId="23CDA18A" w14:textId="1676BD37" w:rsidR="00C35E5D" w:rsidRPr="009632C6" w:rsidRDefault="00C35E5D" w:rsidP="00C35E5D">
            <w:pPr>
              <w:rPr>
                <w:rFonts w:cs="Arial"/>
              </w:rPr>
            </w:pPr>
            <w:r w:rsidRPr="009632C6">
              <w:rPr>
                <w:rFonts w:cs="Arial"/>
              </w:rPr>
              <w:t>0</w:t>
            </w:r>
          </w:p>
        </w:tc>
        <w:tc>
          <w:tcPr>
            <w:tcW w:w="1870" w:type="dxa"/>
          </w:tcPr>
          <w:p w14:paraId="22BAF218" w14:textId="6445ABFD" w:rsidR="00C35E5D" w:rsidRPr="009632C6" w:rsidRDefault="00C35E5D" w:rsidP="00C35E5D">
            <w:pPr>
              <w:rPr>
                <w:rFonts w:cs="Arial"/>
              </w:rPr>
            </w:pPr>
            <w:r w:rsidRPr="009632C6">
              <w:rPr>
                <w:rFonts w:cs="Arial"/>
                <w:lang w:val="en-US"/>
              </w:rPr>
              <w:t>NA</w:t>
            </w:r>
          </w:p>
        </w:tc>
        <w:tc>
          <w:tcPr>
            <w:tcW w:w="1870" w:type="dxa"/>
          </w:tcPr>
          <w:p w14:paraId="78E636B7" w14:textId="5FE3EDE9" w:rsidR="00C35E5D" w:rsidRPr="009632C6" w:rsidRDefault="00C35E5D" w:rsidP="00C35E5D">
            <w:pPr>
              <w:rPr>
                <w:rFonts w:cs="Arial"/>
              </w:rPr>
            </w:pPr>
            <w:r w:rsidRPr="009632C6">
              <w:rPr>
                <w:rFonts w:cs="Arial"/>
              </w:rPr>
              <w:t>0.0066</w:t>
            </w:r>
            <w:r w:rsidRPr="009632C6">
              <w:rPr>
                <w:rFonts w:cs="Arial"/>
                <w:vertAlign w:val="superscript"/>
              </w:rPr>
              <w:t>Ь</w:t>
            </w:r>
          </w:p>
        </w:tc>
      </w:tr>
    </w:tbl>
    <w:p w14:paraId="68058284" w14:textId="462AFE27" w:rsidR="00C35E5D" w:rsidRPr="009632C6" w:rsidRDefault="00C35E5D" w:rsidP="00C35E5D">
      <w:pPr>
        <w:rPr>
          <w:rFonts w:cs="Arial"/>
        </w:rPr>
      </w:pPr>
    </w:p>
    <w:p w14:paraId="44DC778A" w14:textId="77777777"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Съкращения: С</w:t>
      </w:r>
      <w:r w:rsidRPr="00C35E5D">
        <w:rPr>
          <w:rFonts w:eastAsia="Times New Roman" w:cs="Arial"/>
          <w:color w:val="000000"/>
          <w:lang w:val="en-US"/>
        </w:rPr>
        <w:t>I</w:t>
      </w:r>
      <w:r w:rsidRPr="00C35E5D">
        <w:rPr>
          <w:rFonts w:eastAsia="Times New Roman" w:cs="Arial"/>
          <w:color w:val="000000"/>
          <w:lang w:eastAsia="bg-BG"/>
        </w:rPr>
        <w:t xml:space="preserve">=доверителен интервал, </w:t>
      </w:r>
      <w:r w:rsidRPr="00C35E5D">
        <w:rPr>
          <w:rFonts w:eastAsia="Times New Roman" w:cs="Arial"/>
          <w:color w:val="000000"/>
          <w:lang w:val="en-US"/>
        </w:rPr>
        <w:t>N=6po</w:t>
      </w:r>
      <w:r w:rsidRPr="00C35E5D">
        <w:rPr>
          <w:rFonts w:eastAsia="Times New Roman" w:cs="Arial"/>
          <w:color w:val="000000"/>
          <w:lang w:eastAsia="bg-BG"/>
        </w:rPr>
        <w:t>й</w:t>
      </w:r>
      <w:r w:rsidRPr="00C35E5D">
        <w:rPr>
          <w:rFonts w:eastAsia="Times New Roman" w:cs="Arial"/>
          <w:color w:val="000000"/>
          <w:lang w:val="en-US"/>
        </w:rPr>
        <w:t xml:space="preserve"> </w:t>
      </w:r>
      <w:r w:rsidRPr="00C35E5D">
        <w:rPr>
          <w:rFonts w:eastAsia="Times New Roman" w:cs="Arial"/>
          <w:color w:val="000000"/>
          <w:lang w:eastAsia="bg-BG"/>
        </w:rPr>
        <w:t xml:space="preserve">пациенти; </w:t>
      </w:r>
      <w:r w:rsidRPr="00C35E5D">
        <w:rPr>
          <w:rFonts w:eastAsia="Times New Roman" w:cs="Arial"/>
          <w:color w:val="000000"/>
          <w:lang w:val="en-US"/>
        </w:rPr>
        <w:t xml:space="preserve">NA=He </w:t>
      </w:r>
      <w:r w:rsidRPr="00C35E5D">
        <w:rPr>
          <w:rFonts w:eastAsia="Times New Roman" w:cs="Arial"/>
          <w:color w:val="000000"/>
          <w:lang w:eastAsia="bg-BG"/>
        </w:rPr>
        <w:t>е приложимо;</w:t>
      </w:r>
    </w:p>
    <w:p w14:paraId="58E2D075" w14:textId="77777777"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 xml:space="preserve">ПНЕТ=панкреатични невроендокринни тумори; </w:t>
      </w:r>
      <w:r w:rsidRPr="00C35E5D">
        <w:rPr>
          <w:rFonts w:eastAsia="Times New Roman" w:cs="Arial"/>
          <w:color w:val="000000"/>
          <w:lang w:val="en-US"/>
        </w:rPr>
        <w:t>RECIS</w:t>
      </w:r>
      <w:r w:rsidRPr="00C35E5D">
        <w:rPr>
          <w:rFonts w:eastAsia="Times New Roman" w:cs="Arial"/>
          <w:color w:val="000000"/>
          <w:lang w:eastAsia="bg-BG"/>
        </w:rPr>
        <w:t>Т=Критерии за оценка на отговора при солидни тумори.</w:t>
      </w:r>
    </w:p>
    <w:p w14:paraId="106404DA" w14:textId="77777777" w:rsidR="00C35E5D" w:rsidRPr="00C35E5D" w:rsidRDefault="00C35E5D" w:rsidP="00C35E5D">
      <w:pPr>
        <w:spacing w:line="240" w:lineRule="auto"/>
        <w:rPr>
          <w:rFonts w:eastAsia="Times New Roman" w:cs="Arial"/>
          <w:lang w:eastAsia="bg-BG"/>
        </w:rPr>
      </w:pPr>
      <w:r w:rsidRPr="00C35E5D">
        <w:rPr>
          <w:rFonts w:eastAsia="Times New Roman" w:cs="Arial"/>
          <w:color w:val="000000"/>
          <w:vertAlign w:val="superscript"/>
          <w:lang w:eastAsia="bg-BG"/>
        </w:rPr>
        <w:t>а</w:t>
      </w:r>
      <w:r w:rsidRPr="00C35E5D">
        <w:rPr>
          <w:rFonts w:eastAsia="Times New Roman" w:cs="Arial"/>
          <w:color w:val="000000"/>
          <w:lang w:eastAsia="bg-BG"/>
        </w:rPr>
        <w:t xml:space="preserve">2-странен нестратифициран </w:t>
      </w:r>
      <w:r w:rsidRPr="00C35E5D">
        <w:rPr>
          <w:rFonts w:eastAsia="Times New Roman" w:cs="Arial"/>
          <w:color w:val="000000"/>
          <w:lang w:val="en-US"/>
        </w:rPr>
        <w:t xml:space="preserve">log-rank </w:t>
      </w:r>
      <w:r w:rsidRPr="00C35E5D">
        <w:rPr>
          <w:rFonts w:eastAsia="Times New Roman" w:cs="Arial"/>
          <w:color w:val="000000"/>
          <w:lang w:eastAsia="bg-BG"/>
        </w:rPr>
        <w:t>тест</w:t>
      </w:r>
    </w:p>
    <w:p w14:paraId="681AEBB2" w14:textId="77777777" w:rsidR="00C35E5D" w:rsidRPr="00C35E5D" w:rsidRDefault="00C35E5D" w:rsidP="00C35E5D">
      <w:pPr>
        <w:spacing w:line="240" w:lineRule="auto"/>
        <w:rPr>
          <w:rFonts w:eastAsia="Times New Roman" w:cs="Arial"/>
          <w:lang w:eastAsia="bg-BG"/>
        </w:rPr>
      </w:pPr>
      <w:proofErr w:type="gramStart"/>
      <w:r w:rsidRPr="00C35E5D">
        <w:rPr>
          <w:rFonts w:eastAsia="Times New Roman" w:cs="Arial"/>
          <w:color w:val="000000"/>
          <w:vertAlign w:val="superscript"/>
          <w:lang w:val="en-US"/>
        </w:rPr>
        <w:t>b</w:t>
      </w:r>
      <w:r w:rsidRPr="00C35E5D">
        <w:rPr>
          <w:rFonts w:eastAsia="Times New Roman" w:cs="Arial"/>
          <w:color w:val="000000"/>
          <w:lang w:eastAsia="bg-BG"/>
        </w:rPr>
        <w:t>Точен</w:t>
      </w:r>
      <w:proofErr w:type="gramEnd"/>
      <w:r w:rsidRPr="00C35E5D">
        <w:rPr>
          <w:rFonts w:eastAsia="Times New Roman" w:cs="Arial"/>
          <w:color w:val="000000"/>
          <w:lang w:eastAsia="bg-BG"/>
        </w:rPr>
        <w:t xml:space="preserve"> тест на </w:t>
      </w:r>
      <w:r w:rsidRPr="00C35E5D">
        <w:rPr>
          <w:rFonts w:eastAsia="Times New Roman" w:cs="Arial"/>
          <w:color w:val="000000"/>
          <w:lang w:val="en-US"/>
        </w:rPr>
        <w:t>Fisher</w:t>
      </w:r>
    </w:p>
    <w:p w14:paraId="549E5CC2" w14:textId="77777777" w:rsidR="00C35E5D" w:rsidRPr="009632C6" w:rsidRDefault="00C35E5D" w:rsidP="00C35E5D">
      <w:pPr>
        <w:rPr>
          <w:rFonts w:eastAsia="Times New Roman" w:cs="Arial"/>
          <w:color w:val="000000"/>
          <w:u w:val="single"/>
          <w:lang w:eastAsia="bg-BG"/>
        </w:rPr>
      </w:pPr>
    </w:p>
    <w:p w14:paraId="7A64F754" w14:textId="5A595E3C" w:rsidR="00C35E5D" w:rsidRPr="009632C6" w:rsidRDefault="00C35E5D" w:rsidP="00C35E5D">
      <w:pPr>
        <w:rPr>
          <w:rFonts w:eastAsia="Times New Roman" w:cs="Arial"/>
          <w:color w:val="000000"/>
          <w:u w:val="single"/>
          <w:lang w:eastAsia="bg-BG"/>
        </w:rPr>
      </w:pPr>
      <w:r w:rsidRPr="009632C6">
        <w:rPr>
          <w:rFonts w:eastAsia="Times New Roman" w:cs="Arial"/>
          <w:color w:val="000000"/>
          <w:u w:val="single"/>
          <w:lang w:eastAsia="bg-BG"/>
        </w:rPr>
        <w:t xml:space="preserve">Фигура 1 -Графика на </w:t>
      </w:r>
      <w:r w:rsidRPr="009632C6">
        <w:rPr>
          <w:rFonts w:eastAsia="Times New Roman" w:cs="Arial"/>
          <w:color w:val="000000"/>
          <w:u w:val="single"/>
          <w:lang w:val="en-US"/>
        </w:rPr>
        <w:t xml:space="preserve">Kaplan-Meier </w:t>
      </w:r>
      <w:r w:rsidRPr="009632C6">
        <w:rPr>
          <w:rFonts w:eastAsia="Times New Roman" w:cs="Arial"/>
          <w:color w:val="000000"/>
          <w:u w:val="single"/>
          <w:lang w:eastAsia="bg-BG"/>
        </w:rPr>
        <w:t>за ПБП при ПНЕТ проучване фаза 3</w:t>
      </w:r>
    </w:p>
    <w:p w14:paraId="318102E2" w14:textId="69048DFA" w:rsidR="00C35E5D" w:rsidRPr="00C35E5D" w:rsidRDefault="00C35E5D" w:rsidP="00C35E5D">
      <w:pPr>
        <w:rPr>
          <w:lang w:val="en-US"/>
        </w:rPr>
      </w:pPr>
      <w:r>
        <w:rPr>
          <w:noProof/>
          <w:lang w:eastAsia="bg-BG"/>
        </w:rPr>
        <w:lastRenderedPageBreak/>
        <w:drawing>
          <wp:inline distT="0" distB="0" distL="0" distR="0" wp14:anchorId="6EC793C6" wp14:editId="4A5A3EE1">
            <wp:extent cx="3915321" cy="2743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cc111.png"/>
                    <pic:cNvPicPr/>
                  </pic:nvPicPr>
                  <pic:blipFill>
                    <a:blip r:embed="rId5">
                      <a:extLst>
                        <a:ext uri="{28A0092B-C50C-407E-A947-70E740481C1C}">
                          <a14:useLocalDpi xmlns:a14="http://schemas.microsoft.com/office/drawing/2010/main" val="0"/>
                        </a:ext>
                      </a:extLst>
                    </a:blip>
                    <a:stretch>
                      <a:fillRect/>
                    </a:stretch>
                  </pic:blipFill>
                  <pic:spPr>
                    <a:xfrm>
                      <a:off x="0" y="0"/>
                      <a:ext cx="3915321" cy="2743583"/>
                    </a:xfrm>
                    <a:prstGeom prst="rect">
                      <a:avLst/>
                    </a:prstGeom>
                  </pic:spPr>
                </pic:pic>
              </a:graphicData>
            </a:graphic>
          </wp:inline>
        </w:drawing>
      </w:r>
    </w:p>
    <w:p w14:paraId="37B57628" w14:textId="032B1F39" w:rsidR="00C35E5D" w:rsidRDefault="00C35E5D" w:rsidP="0091385D"/>
    <w:p w14:paraId="1DD00D76" w14:textId="77777777"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Съкращения: С</w:t>
      </w:r>
      <w:r w:rsidRPr="00C35E5D">
        <w:rPr>
          <w:rFonts w:eastAsia="Times New Roman" w:cs="Arial"/>
          <w:color w:val="000000"/>
          <w:lang w:val="en-US"/>
        </w:rPr>
        <w:t>I</w:t>
      </w:r>
      <w:r w:rsidRPr="00C35E5D">
        <w:rPr>
          <w:rFonts w:eastAsia="Times New Roman" w:cs="Arial"/>
          <w:color w:val="000000"/>
          <w:lang w:eastAsia="bg-BG"/>
        </w:rPr>
        <w:t xml:space="preserve">=доверителен интервал, </w:t>
      </w:r>
      <w:r w:rsidRPr="00C35E5D">
        <w:rPr>
          <w:rFonts w:eastAsia="Times New Roman" w:cs="Arial"/>
          <w:color w:val="000000"/>
          <w:lang w:val="en-US"/>
        </w:rPr>
        <w:t>N=6po</w:t>
      </w:r>
      <w:r w:rsidRPr="00C35E5D">
        <w:rPr>
          <w:rFonts w:eastAsia="Times New Roman" w:cs="Arial"/>
          <w:color w:val="000000"/>
          <w:lang w:eastAsia="bg-BG"/>
        </w:rPr>
        <w:t>й</w:t>
      </w:r>
      <w:r w:rsidRPr="00C35E5D">
        <w:rPr>
          <w:rFonts w:eastAsia="Times New Roman" w:cs="Arial"/>
          <w:color w:val="000000"/>
          <w:lang w:val="en-US"/>
        </w:rPr>
        <w:t xml:space="preserve"> </w:t>
      </w:r>
      <w:r w:rsidRPr="00C35E5D">
        <w:rPr>
          <w:rFonts w:eastAsia="Times New Roman" w:cs="Arial"/>
          <w:color w:val="000000"/>
          <w:lang w:eastAsia="bg-BG"/>
        </w:rPr>
        <w:t>пациенти; ПБП=преживяемост без прогресия;</w:t>
      </w:r>
    </w:p>
    <w:p w14:paraId="51A1204A" w14:textId="77777777"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ПНЕТ=панкреатични невроендокринни тумори.</w:t>
      </w:r>
    </w:p>
    <w:p w14:paraId="6B5249C0" w14:textId="2353900C" w:rsidR="00C35E5D" w:rsidRPr="00C35E5D" w:rsidRDefault="00C35E5D" w:rsidP="00C35E5D">
      <w:pPr>
        <w:spacing w:line="240" w:lineRule="auto"/>
        <w:rPr>
          <w:rFonts w:eastAsia="Times New Roman" w:cs="Arial"/>
          <w:lang w:eastAsia="bg-BG"/>
        </w:rPr>
      </w:pPr>
    </w:p>
    <w:p w14:paraId="14F39CE8" w14:textId="77777777" w:rsidR="00C35E5D" w:rsidRPr="009632C6" w:rsidRDefault="00C35E5D" w:rsidP="00C35E5D">
      <w:pPr>
        <w:rPr>
          <w:rFonts w:eastAsia="Times New Roman" w:cs="Arial"/>
          <w:lang w:eastAsia="bg-BG"/>
        </w:rPr>
      </w:pPr>
      <w:r w:rsidRPr="009632C6">
        <w:rPr>
          <w:rFonts w:eastAsia="Times New Roman" w:cs="Arial"/>
          <w:color w:val="000000"/>
          <w:lang w:eastAsia="bg-BG"/>
        </w:rPr>
        <w:t xml:space="preserve">Данните за обща преживяемост </w:t>
      </w:r>
      <w:r w:rsidRPr="009632C6">
        <w:rPr>
          <w:rFonts w:eastAsia="Times New Roman" w:cs="Arial"/>
          <w:color w:val="000000"/>
          <w:lang w:val="en-US"/>
        </w:rPr>
        <w:t xml:space="preserve">(OS) </w:t>
      </w:r>
      <w:r w:rsidRPr="009632C6">
        <w:rPr>
          <w:rFonts w:eastAsia="Times New Roman" w:cs="Arial"/>
          <w:color w:val="000000"/>
          <w:lang w:eastAsia="bg-BG"/>
        </w:rPr>
        <w:t>не са били пълни към времето на приключване</w:t>
      </w:r>
      <w:r w:rsidRPr="009632C6">
        <w:rPr>
          <w:rFonts w:eastAsia="Times New Roman" w:cs="Arial"/>
          <w:color w:val="000000"/>
          <w:lang w:val="en-US"/>
        </w:rPr>
        <w:t xml:space="preserve"> </w:t>
      </w:r>
      <w:r w:rsidRPr="009632C6">
        <w:rPr>
          <w:rFonts w:eastAsia="Times New Roman" w:cs="Arial"/>
          <w:color w:val="000000"/>
          <w:lang w:eastAsia="bg-BG"/>
        </w:rPr>
        <w:t xml:space="preserve">на проучването [20,6 месеца (95% </w:t>
      </w:r>
      <w:r w:rsidRPr="009632C6">
        <w:rPr>
          <w:rFonts w:eastAsia="Times New Roman" w:cs="Arial"/>
          <w:color w:val="000000"/>
          <w:lang w:val="en-US"/>
        </w:rPr>
        <w:t xml:space="preserve">CI </w:t>
      </w:r>
      <w:r w:rsidRPr="009632C6">
        <w:rPr>
          <w:rFonts w:eastAsia="Times New Roman" w:cs="Arial"/>
          <w:color w:val="000000"/>
          <w:lang w:eastAsia="bg-BG"/>
        </w:rPr>
        <w:t xml:space="preserve">20,6, </w:t>
      </w:r>
      <w:r w:rsidRPr="009632C6">
        <w:rPr>
          <w:rFonts w:eastAsia="Times New Roman" w:cs="Arial"/>
          <w:color w:val="000000"/>
          <w:lang w:val="en-US"/>
        </w:rPr>
        <w:t xml:space="preserve">NR) </w:t>
      </w:r>
      <w:r w:rsidRPr="009632C6">
        <w:rPr>
          <w:rFonts w:eastAsia="Times New Roman" w:cs="Arial"/>
          <w:color w:val="000000"/>
          <w:lang w:eastAsia="bg-BG"/>
        </w:rPr>
        <w:t xml:space="preserve">за рамото на сунитиниб, в сравнение с </w:t>
      </w:r>
      <w:r w:rsidRPr="009632C6">
        <w:rPr>
          <w:rFonts w:eastAsia="Times New Roman" w:cs="Arial"/>
          <w:color w:val="000000"/>
          <w:lang w:val="en-US"/>
        </w:rPr>
        <w:t xml:space="preserve">NR (95% CI </w:t>
      </w:r>
      <w:r w:rsidRPr="009632C6">
        <w:rPr>
          <w:rFonts w:eastAsia="Times New Roman" w:cs="Arial"/>
          <w:color w:val="000000"/>
          <w:lang w:eastAsia="bg-BG"/>
        </w:rPr>
        <w:t xml:space="preserve">15,5, </w:t>
      </w:r>
      <w:r w:rsidRPr="009632C6">
        <w:rPr>
          <w:rFonts w:eastAsia="Times New Roman" w:cs="Arial"/>
          <w:color w:val="000000"/>
          <w:lang w:val="en-US"/>
        </w:rPr>
        <w:t xml:space="preserve">NR) </w:t>
      </w:r>
      <w:r w:rsidRPr="009632C6">
        <w:rPr>
          <w:rFonts w:eastAsia="Times New Roman" w:cs="Arial"/>
          <w:color w:val="000000"/>
          <w:lang w:eastAsia="bg-BG"/>
        </w:rPr>
        <w:t xml:space="preserve">за рамото на плацебо, коефициент на риск: 0,409 (95% </w:t>
      </w:r>
      <w:r w:rsidRPr="009632C6">
        <w:rPr>
          <w:rFonts w:eastAsia="Times New Roman" w:cs="Arial"/>
          <w:color w:val="000000"/>
          <w:lang w:val="en-US"/>
        </w:rPr>
        <w:t xml:space="preserve">CI: </w:t>
      </w:r>
      <w:r w:rsidRPr="009632C6">
        <w:rPr>
          <w:rFonts w:eastAsia="Times New Roman" w:cs="Arial"/>
          <w:color w:val="000000"/>
          <w:lang w:eastAsia="bg-BG"/>
        </w:rPr>
        <w:t xml:space="preserve">0,187, 0,894), </w:t>
      </w:r>
      <w:r w:rsidRPr="009632C6">
        <w:rPr>
          <w:rFonts w:eastAsia="Times New Roman" w:cs="Arial"/>
          <w:color w:val="000000"/>
          <w:lang w:val="en-US"/>
        </w:rPr>
        <w:t>p-</w:t>
      </w:r>
      <w:r w:rsidRPr="009632C6">
        <w:rPr>
          <w:rFonts w:eastAsia="Times New Roman" w:cs="Arial"/>
          <w:color w:val="000000"/>
          <w:lang w:eastAsia="bg-BG"/>
        </w:rPr>
        <w:t>стойност =</w:t>
      </w:r>
      <w:r w:rsidRPr="009632C6">
        <w:rPr>
          <w:rFonts w:eastAsia="Times New Roman" w:cs="Arial"/>
          <w:color w:val="000000"/>
          <w:lang w:val="en-US" w:eastAsia="bg-BG"/>
        </w:rPr>
        <w:t xml:space="preserve"> </w:t>
      </w:r>
      <w:r w:rsidRPr="009632C6">
        <w:rPr>
          <w:rFonts w:eastAsia="Times New Roman" w:cs="Arial"/>
          <w:color w:val="000000"/>
          <w:lang w:eastAsia="bg-BG"/>
        </w:rPr>
        <w:t>0,0204]. Имало е 9 случая на смърт при рамото на сунитиниб и 21 случая при рамото на плацебо.</w:t>
      </w:r>
    </w:p>
    <w:p w14:paraId="64D564E0" w14:textId="77777777" w:rsidR="00C35E5D" w:rsidRPr="009632C6" w:rsidRDefault="00C35E5D" w:rsidP="00C35E5D">
      <w:pPr>
        <w:spacing w:line="240" w:lineRule="auto"/>
        <w:rPr>
          <w:rFonts w:eastAsia="Times New Roman" w:cs="Arial"/>
          <w:color w:val="000000"/>
          <w:lang w:eastAsia="bg-BG"/>
        </w:rPr>
      </w:pPr>
    </w:p>
    <w:p w14:paraId="60D73D75" w14:textId="35E31CD2"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 xml:space="preserve">При прогресия на заболяването пациентите са били разслепени и на пациентите от плацебо групата е предоставен открито достъп до сунитиниб в отделно разширено проучване. Поради ранното приключване на проучването, останалите пациенти са били разслепени и им е бил предложен открит достъп до сунитиниб в разширено проучване. Общо 59 от 85 пациенти (69,4%) от рамото на плацебо са преминали на открито лечение със сунитиниб след прогресия на заболяването или разслепяване при приключване на проучването. </w:t>
      </w:r>
      <w:r w:rsidRPr="00C35E5D">
        <w:rPr>
          <w:rFonts w:eastAsia="Times New Roman" w:cs="Arial"/>
          <w:color w:val="000000"/>
          <w:lang w:val="en-US"/>
        </w:rPr>
        <w:t xml:space="preserve">OS, </w:t>
      </w:r>
      <w:r w:rsidRPr="00C35E5D">
        <w:rPr>
          <w:rFonts w:eastAsia="Times New Roman" w:cs="Arial"/>
          <w:color w:val="000000"/>
          <w:lang w:eastAsia="bg-BG"/>
        </w:rPr>
        <w:t xml:space="preserve">наблюдавана след 5годишно проследяване в рамките на разширеното проучване, е показала коефициент на риск 0,730 </w:t>
      </w:r>
      <w:r w:rsidRPr="00C35E5D">
        <w:rPr>
          <w:rFonts w:eastAsia="Times New Roman" w:cs="Arial"/>
          <w:i/>
          <w:iCs/>
          <w:color w:val="000000"/>
          <w:lang w:eastAsia="bg-BG"/>
        </w:rPr>
        <w:t xml:space="preserve">(95% </w:t>
      </w:r>
      <w:r w:rsidRPr="00C35E5D">
        <w:rPr>
          <w:rFonts w:eastAsia="Times New Roman" w:cs="Arial"/>
          <w:i/>
          <w:iCs/>
          <w:color w:val="000000"/>
          <w:lang w:val="en-US"/>
        </w:rPr>
        <w:t>CI:</w:t>
      </w:r>
      <w:r w:rsidRPr="00C35E5D">
        <w:rPr>
          <w:rFonts w:eastAsia="Times New Roman" w:cs="Arial"/>
          <w:color w:val="000000"/>
          <w:lang w:val="en-US"/>
        </w:rPr>
        <w:t xml:space="preserve"> </w:t>
      </w:r>
      <w:r w:rsidRPr="00C35E5D">
        <w:rPr>
          <w:rFonts w:eastAsia="Times New Roman" w:cs="Arial"/>
          <w:color w:val="000000"/>
          <w:lang w:eastAsia="bg-BG"/>
        </w:rPr>
        <w:t>0</w:t>
      </w:r>
      <w:proofErr w:type="gramStart"/>
      <w:r w:rsidRPr="00C35E5D">
        <w:rPr>
          <w:rFonts w:eastAsia="Times New Roman" w:cs="Arial"/>
          <w:color w:val="000000"/>
          <w:lang w:eastAsia="bg-BG"/>
        </w:rPr>
        <w:t>,504,1,057</w:t>
      </w:r>
      <w:proofErr w:type="gramEnd"/>
      <w:r w:rsidRPr="00C35E5D">
        <w:rPr>
          <w:rFonts w:eastAsia="Times New Roman" w:cs="Arial"/>
          <w:color w:val="000000"/>
          <w:lang w:eastAsia="bg-BG"/>
        </w:rPr>
        <w:t>).</w:t>
      </w:r>
    </w:p>
    <w:p w14:paraId="34808CA2" w14:textId="77777777" w:rsidR="00C35E5D" w:rsidRPr="009632C6" w:rsidRDefault="00C35E5D" w:rsidP="00C35E5D">
      <w:pPr>
        <w:spacing w:line="240" w:lineRule="auto"/>
        <w:rPr>
          <w:rFonts w:eastAsia="Times New Roman" w:cs="Arial"/>
          <w:color w:val="000000"/>
          <w:lang w:eastAsia="bg-BG"/>
        </w:rPr>
      </w:pPr>
    </w:p>
    <w:p w14:paraId="3C5D8ECA" w14:textId="698BD53E"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 xml:space="preserve">Резултатите от въпросника за качеството на живот на Европейската организация за изследване и лечение на рака </w:t>
      </w:r>
      <w:r w:rsidRPr="00C35E5D">
        <w:rPr>
          <w:rFonts w:eastAsia="Times New Roman" w:cs="Arial"/>
          <w:color w:val="000000"/>
          <w:lang w:val="en-US"/>
        </w:rPr>
        <w:t xml:space="preserve">(European Organization for Research and Treatment of Cancer Quality of Life Questionnaire (EORTC QLQC-30)) </w:t>
      </w:r>
      <w:r w:rsidRPr="00C35E5D">
        <w:rPr>
          <w:rFonts w:eastAsia="Times New Roman" w:cs="Arial"/>
          <w:color w:val="000000"/>
          <w:lang w:eastAsia="bg-BG"/>
        </w:rPr>
        <w:t>са показали, че общото глобално, свързано със здравето качество на живот и петте функционални области (физическа, ролева, когнитивна, емоционална и социална) са поддържани при пациентите на лечение със сунитиниб в сравнение с плацебо, с ограничени симптоматични нежелани реакции.</w:t>
      </w:r>
    </w:p>
    <w:p w14:paraId="0B440B4B" w14:textId="77777777" w:rsidR="00C35E5D" w:rsidRPr="009632C6" w:rsidRDefault="00C35E5D" w:rsidP="00C35E5D">
      <w:pPr>
        <w:spacing w:line="240" w:lineRule="auto"/>
        <w:rPr>
          <w:rFonts w:eastAsia="Times New Roman" w:cs="Arial"/>
          <w:color w:val="000000"/>
          <w:lang w:eastAsia="bg-BG"/>
        </w:rPr>
      </w:pPr>
    </w:p>
    <w:p w14:paraId="6C3BBAB0" w14:textId="429FE5EA"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Проведено е многонационално, многоцентрово, открито проучване с едно рамо, фаза 4 за оценка на ефикасността и безопасността на сунитиниб при пациенти с прогресиращи, напреднали/метасгатични, добре диференцирани, неоперабилни ПНЕТ.</w:t>
      </w:r>
    </w:p>
    <w:p w14:paraId="47FB356B" w14:textId="77777777" w:rsidR="00C35E5D" w:rsidRPr="009632C6" w:rsidRDefault="00C35E5D" w:rsidP="00C35E5D">
      <w:pPr>
        <w:spacing w:line="240" w:lineRule="auto"/>
        <w:rPr>
          <w:rFonts w:eastAsia="Times New Roman" w:cs="Arial"/>
          <w:color w:val="000000"/>
          <w:lang w:eastAsia="bg-BG"/>
        </w:rPr>
      </w:pPr>
    </w:p>
    <w:p w14:paraId="4A75F3F0" w14:textId="4C71E216"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 xml:space="preserve">Сто и шест пациенти (61 пациенти в кохортата с нелекувани до момента пациенти и 45 пациенти в кохортата с последваща линия на лечение) получават лечение със сунитиниб </w:t>
      </w:r>
      <w:r w:rsidRPr="00C35E5D">
        <w:rPr>
          <w:rFonts w:eastAsia="Times New Roman" w:cs="Arial"/>
          <w:color w:val="000000"/>
          <w:lang w:eastAsia="bg-BG"/>
        </w:rPr>
        <w:lastRenderedPageBreak/>
        <w:t xml:space="preserve">перорално 37,5 </w:t>
      </w:r>
      <w:r w:rsidRPr="00C35E5D">
        <w:rPr>
          <w:rFonts w:eastAsia="Times New Roman" w:cs="Arial"/>
          <w:color w:val="000000"/>
          <w:lang w:val="en-US"/>
        </w:rPr>
        <w:t xml:space="preserve">mg </w:t>
      </w:r>
      <w:r w:rsidRPr="00C35E5D">
        <w:rPr>
          <w:rFonts w:eastAsia="Times New Roman" w:cs="Arial"/>
          <w:color w:val="000000"/>
          <w:lang w:eastAsia="bg-BG"/>
        </w:rPr>
        <w:t>веднъж дневно съгласно продължителна схема с ежедневно прилагане (ПСЕП).</w:t>
      </w:r>
    </w:p>
    <w:p w14:paraId="40E96D4F" w14:textId="77777777" w:rsidR="00C35E5D" w:rsidRPr="009632C6" w:rsidRDefault="00C35E5D" w:rsidP="00C35E5D">
      <w:pPr>
        <w:spacing w:line="240" w:lineRule="auto"/>
        <w:rPr>
          <w:rFonts w:eastAsia="Times New Roman" w:cs="Arial"/>
          <w:color w:val="000000"/>
          <w:lang w:eastAsia="bg-BG"/>
        </w:rPr>
      </w:pPr>
    </w:p>
    <w:p w14:paraId="2A1C1DB9" w14:textId="0B3D1208"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 xml:space="preserve">Оценената от изследователя медиана на ПБП е 13,2 месеца, какго в общата популация (95% </w:t>
      </w:r>
      <w:r w:rsidRPr="00C35E5D">
        <w:rPr>
          <w:rFonts w:eastAsia="Times New Roman" w:cs="Arial"/>
          <w:color w:val="000000"/>
          <w:lang w:val="en-US"/>
        </w:rPr>
        <w:t xml:space="preserve">CI: </w:t>
      </w:r>
      <w:r w:rsidRPr="00C35E5D">
        <w:rPr>
          <w:rFonts w:eastAsia="Times New Roman" w:cs="Arial"/>
          <w:color w:val="000000"/>
          <w:lang w:eastAsia="bg-BG"/>
        </w:rPr>
        <w:t xml:space="preserve">10,9,16,7), така и в кохортата с нелекувани до момента пациенти (95% </w:t>
      </w:r>
      <w:r w:rsidRPr="00C35E5D">
        <w:rPr>
          <w:rFonts w:eastAsia="Times New Roman" w:cs="Arial"/>
          <w:color w:val="000000"/>
          <w:lang w:val="en-US"/>
        </w:rPr>
        <w:t xml:space="preserve">CI: </w:t>
      </w:r>
      <w:r w:rsidRPr="00C35E5D">
        <w:rPr>
          <w:rFonts w:eastAsia="Times New Roman" w:cs="Arial"/>
          <w:color w:val="000000"/>
          <w:lang w:eastAsia="bg-BG"/>
        </w:rPr>
        <w:t>7,4,16,8).</w:t>
      </w:r>
    </w:p>
    <w:p w14:paraId="3EED2E4D" w14:textId="77777777" w:rsidR="00C35E5D" w:rsidRPr="009632C6" w:rsidRDefault="00C35E5D" w:rsidP="00C35E5D">
      <w:pPr>
        <w:spacing w:line="240" w:lineRule="auto"/>
        <w:rPr>
          <w:rFonts w:eastAsia="Times New Roman" w:cs="Arial"/>
          <w:color w:val="000000"/>
          <w:u w:val="single"/>
          <w:lang w:eastAsia="bg-BG"/>
        </w:rPr>
      </w:pPr>
    </w:p>
    <w:p w14:paraId="13AD0C64" w14:textId="56135693" w:rsidR="00C35E5D" w:rsidRPr="00C35E5D" w:rsidRDefault="00C35E5D" w:rsidP="00C35E5D">
      <w:pPr>
        <w:spacing w:line="240" w:lineRule="auto"/>
        <w:rPr>
          <w:rFonts w:eastAsia="Times New Roman" w:cs="Arial"/>
          <w:lang w:eastAsia="bg-BG"/>
        </w:rPr>
      </w:pPr>
      <w:r w:rsidRPr="00C35E5D">
        <w:rPr>
          <w:rFonts w:eastAsia="Times New Roman" w:cs="Arial"/>
          <w:color w:val="000000"/>
          <w:u w:val="single"/>
          <w:lang w:eastAsia="bg-BG"/>
        </w:rPr>
        <w:t>Педиатрична популапия</w:t>
      </w:r>
    </w:p>
    <w:p w14:paraId="689DFE93" w14:textId="77777777" w:rsidR="00C35E5D" w:rsidRPr="009632C6" w:rsidRDefault="00C35E5D" w:rsidP="00C35E5D">
      <w:pPr>
        <w:spacing w:line="240" w:lineRule="auto"/>
        <w:rPr>
          <w:rFonts w:eastAsia="Times New Roman" w:cs="Arial"/>
          <w:color w:val="000000"/>
          <w:lang w:eastAsia="bg-BG"/>
        </w:rPr>
      </w:pPr>
    </w:p>
    <w:p w14:paraId="70C1050F" w14:textId="2C162534"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Опитът от употребата на сунитиниб при педиатрични пациенти е ограничен (вж. точка 4.2).</w:t>
      </w:r>
    </w:p>
    <w:p w14:paraId="7285DB7B" w14:textId="77777777" w:rsidR="00C35E5D" w:rsidRPr="009632C6" w:rsidRDefault="00C35E5D" w:rsidP="00C35E5D">
      <w:pPr>
        <w:spacing w:line="240" w:lineRule="auto"/>
        <w:rPr>
          <w:rFonts w:eastAsia="Times New Roman" w:cs="Arial"/>
          <w:color w:val="000000"/>
          <w:lang w:eastAsia="bg-BG"/>
        </w:rPr>
      </w:pPr>
    </w:p>
    <w:p w14:paraId="37EBFB26" w14:textId="103C4092"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Проведено е проучване фаза 1 с увеличаване на дозата на перорално приложен сунитиниб при 35 пациенти, включващо 30 педиатрични пациенти (на възраст от 3 години до 17 години) и 5 млади възрастни пациенти (на възраст от 18 години до 21 години) с рефрактерни солидни тумори, по-голямата част от които са включени с основна диагноза мозъчен тумор.</w:t>
      </w:r>
    </w:p>
    <w:p w14:paraId="730EAD74" w14:textId="77777777"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 xml:space="preserve">Наблюдавана е дозолимитираща кардиотоксичност в първата част на проучването, което след това е променено, за да се изключат пациентите с предходна експозиция на потенциално кардиотоксични лечения (включително антрациклини) или облъчване на сърцето. Във втората част на проучването, включваща пациенти с предходно противораково лечение, но без рискови фактори за кардиотоксичност, сунитиниб като цяло се понася добре и е клинично контролируем при доза 15 </w:t>
      </w:r>
      <w:r w:rsidRPr="00C35E5D">
        <w:rPr>
          <w:rFonts w:eastAsia="Times New Roman" w:cs="Arial"/>
          <w:color w:val="000000"/>
          <w:lang w:val="en-US"/>
        </w:rPr>
        <w:t>mg/m</w:t>
      </w:r>
      <w:r w:rsidRPr="00C35E5D">
        <w:rPr>
          <w:rFonts w:eastAsia="Times New Roman" w:cs="Arial"/>
          <w:color w:val="000000"/>
          <w:vertAlign w:val="superscript"/>
          <w:lang w:val="en-US"/>
        </w:rPr>
        <w:t>2</w:t>
      </w:r>
      <w:r w:rsidRPr="00C35E5D">
        <w:rPr>
          <w:rFonts w:eastAsia="Times New Roman" w:cs="Arial"/>
          <w:color w:val="000000"/>
          <w:lang w:val="en-US"/>
        </w:rPr>
        <w:t xml:space="preserve"> </w:t>
      </w:r>
      <w:r w:rsidRPr="00C35E5D">
        <w:rPr>
          <w:rFonts w:eastAsia="Times New Roman" w:cs="Arial"/>
          <w:color w:val="000000"/>
          <w:lang w:eastAsia="bg-BG"/>
        </w:rPr>
        <w:t xml:space="preserve">дневно (МПД) по Схема 4/2. При никой от участниците не се постига пълен или частичен отговор. Стабилно заболяване се наблюдава при 6 пациенти (17%). Един пациент с ГИСТ е включен при ниво на дозата 15 </w:t>
      </w:r>
      <w:r w:rsidRPr="00C35E5D">
        <w:rPr>
          <w:rFonts w:eastAsia="Times New Roman" w:cs="Arial"/>
          <w:color w:val="000000"/>
          <w:lang w:val="en-US"/>
        </w:rPr>
        <w:t>mg/m</w:t>
      </w:r>
      <w:r w:rsidRPr="00C35E5D">
        <w:rPr>
          <w:rFonts w:eastAsia="Times New Roman" w:cs="Arial"/>
          <w:color w:val="000000"/>
          <w:vertAlign w:val="superscript"/>
          <w:lang w:val="en-US"/>
        </w:rPr>
        <w:t>2</w:t>
      </w:r>
      <w:r w:rsidRPr="00C35E5D">
        <w:rPr>
          <w:rFonts w:eastAsia="Times New Roman" w:cs="Arial"/>
          <w:color w:val="000000"/>
          <w:lang w:val="en-US"/>
        </w:rPr>
        <w:t xml:space="preserve"> </w:t>
      </w:r>
      <w:r w:rsidRPr="00C35E5D">
        <w:rPr>
          <w:rFonts w:eastAsia="Times New Roman" w:cs="Arial"/>
          <w:color w:val="000000"/>
          <w:lang w:eastAsia="bg-BG"/>
        </w:rPr>
        <w:t>без доказателства за полза. Наблюдаваните нежелани лекарствени реакции като цяло са сходни с реакциите, наблюдавани при възрастни пациенти (вж. точка 4.8).</w:t>
      </w:r>
    </w:p>
    <w:p w14:paraId="40DE546C" w14:textId="77777777" w:rsidR="00C35E5D" w:rsidRPr="009632C6" w:rsidRDefault="00C35E5D" w:rsidP="00C35E5D">
      <w:pPr>
        <w:rPr>
          <w:rFonts w:eastAsia="Times New Roman" w:cs="Arial"/>
          <w:color w:val="000000"/>
          <w:lang w:eastAsia="bg-BG"/>
        </w:rPr>
      </w:pPr>
    </w:p>
    <w:p w14:paraId="7DFEAF36" w14:textId="77777777" w:rsidR="00C35E5D" w:rsidRPr="009632C6" w:rsidRDefault="00C35E5D" w:rsidP="00C35E5D">
      <w:pPr>
        <w:rPr>
          <w:rFonts w:eastAsia="Times New Roman" w:cs="Arial"/>
          <w:lang w:eastAsia="bg-BG"/>
        </w:rPr>
      </w:pPr>
      <w:r w:rsidRPr="009632C6">
        <w:rPr>
          <w:rFonts w:eastAsia="Times New Roman" w:cs="Arial"/>
          <w:color w:val="000000"/>
          <w:lang w:eastAsia="bg-BG"/>
        </w:rPr>
        <w:t xml:space="preserve">Проведено е фаза 2 открито проучване при 29 пациенти, включващо 27 педиатрични пациенти (на възраст от 3 години до 16 години) и 2 млади възрастни пациенти (на възраст от 18 години до 19 години) с ВСГ или епендимом. Проучването е спряно към момента на планирания междинен анализ поради липса на контрол на заболяването. Медианата на ПБП е 2,3 месеца в групата с ВСГ и 2,7 месеца в групата с епендимом. Медианата на цялостната </w:t>
      </w:r>
      <w:r w:rsidRPr="009632C6">
        <w:rPr>
          <w:rFonts w:eastAsia="Times New Roman" w:cs="Arial"/>
          <w:color w:val="000000"/>
          <w:lang w:val="en-US"/>
        </w:rPr>
        <w:t xml:space="preserve">OS </w:t>
      </w:r>
      <w:r w:rsidRPr="009632C6">
        <w:rPr>
          <w:rFonts w:eastAsia="Times New Roman" w:cs="Arial"/>
          <w:color w:val="000000"/>
          <w:lang w:eastAsia="bg-BG"/>
        </w:rPr>
        <w:t>е 5,1 месеца в групата с ВСГ и 12,3 месеца в групата с епендимом. Най-честите (≥</w:t>
      </w:r>
      <w:r w:rsidRPr="009632C6">
        <w:rPr>
          <w:rFonts w:eastAsia="Times New Roman" w:cs="Arial"/>
          <w:color w:val="000000"/>
          <w:lang w:val="en-US"/>
        </w:rPr>
        <w:t xml:space="preserve"> </w:t>
      </w:r>
      <w:r w:rsidRPr="009632C6">
        <w:rPr>
          <w:rFonts w:eastAsia="Times New Roman" w:cs="Arial"/>
          <w:color w:val="000000"/>
          <w:lang w:eastAsia="bg-BG"/>
        </w:rPr>
        <w:t>10%) съобщени нежелани събития, свързани с лечението, комбинирано при пациентите в двете групи са намален брой на</w:t>
      </w:r>
      <w:r w:rsidRPr="009632C6">
        <w:rPr>
          <w:rFonts w:eastAsia="Times New Roman" w:cs="Arial"/>
          <w:color w:val="000000"/>
          <w:lang w:val="en-US" w:eastAsia="bg-BG"/>
        </w:rPr>
        <w:t xml:space="preserve"> </w:t>
      </w:r>
      <w:r w:rsidRPr="009632C6">
        <w:rPr>
          <w:rFonts w:eastAsia="Times New Roman" w:cs="Arial"/>
          <w:color w:val="000000"/>
          <w:lang w:eastAsia="bg-BG"/>
        </w:rPr>
        <w:t>неутрофилиге (6 пациенти [20,7%] и вътречерепен кръвоизлив (3 пациенти [10,3%]) (вж. точка 4.8).</w:t>
      </w:r>
    </w:p>
    <w:p w14:paraId="43EEC869" w14:textId="77777777" w:rsidR="00C35E5D" w:rsidRPr="009632C6" w:rsidRDefault="00C35E5D" w:rsidP="00C35E5D">
      <w:pPr>
        <w:spacing w:line="240" w:lineRule="auto"/>
        <w:rPr>
          <w:rFonts w:eastAsia="Times New Roman" w:cs="Arial"/>
          <w:color w:val="000000"/>
          <w:lang w:eastAsia="bg-BG"/>
        </w:rPr>
      </w:pPr>
    </w:p>
    <w:p w14:paraId="2E94B83C" w14:textId="14BD799A"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 xml:space="preserve">Доказателства от проучване фаза 1/2 на перорално приложен сунитиниб, проведено при 6 педиатрични пациенти с ГИСТ на възраст от 13 години до 16 години, които получават сунитиниб по Схема 4/2 в дози, вариращи между 15 </w:t>
      </w:r>
      <w:r w:rsidRPr="00C35E5D">
        <w:rPr>
          <w:rFonts w:eastAsia="Times New Roman" w:cs="Arial"/>
          <w:color w:val="000000"/>
          <w:lang w:val="en-US"/>
        </w:rPr>
        <w:t>mg/m</w:t>
      </w:r>
      <w:r w:rsidRPr="00C35E5D">
        <w:rPr>
          <w:rFonts w:eastAsia="Times New Roman" w:cs="Arial"/>
          <w:color w:val="000000"/>
          <w:vertAlign w:val="superscript"/>
          <w:lang w:val="en-US"/>
        </w:rPr>
        <w:t>2</w:t>
      </w:r>
      <w:r w:rsidRPr="00C35E5D">
        <w:rPr>
          <w:rFonts w:eastAsia="Times New Roman" w:cs="Arial"/>
          <w:color w:val="000000"/>
          <w:lang w:val="en-US"/>
        </w:rPr>
        <w:t xml:space="preserve"> </w:t>
      </w:r>
      <w:r w:rsidRPr="00C35E5D">
        <w:rPr>
          <w:rFonts w:eastAsia="Times New Roman" w:cs="Arial"/>
          <w:color w:val="000000"/>
          <w:lang w:eastAsia="bg-BG"/>
        </w:rPr>
        <w:t xml:space="preserve">дневно и 30 </w:t>
      </w:r>
      <w:r w:rsidRPr="00C35E5D">
        <w:rPr>
          <w:rFonts w:eastAsia="Times New Roman" w:cs="Arial"/>
          <w:color w:val="000000"/>
          <w:lang w:val="en-US"/>
        </w:rPr>
        <w:t>mg/m</w:t>
      </w:r>
      <w:r w:rsidRPr="00C35E5D">
        <w:rPr>
          <w:rFonts w:eastAsia="Times New Roman" w:cs="Arial"/>
          <w:color w:val="000000"/>
          <w:vertAlign w:val="superscript"/>
          <w:lang w:val="en-US"/>
        </w:rPr>
        <w:t>2</w:t>
      </w:r>
      <w:r w:rsidRPr="00C35E5D">
        <w:rPr>
          <w:rFonts w:eastAsia="Times New Roman" w:cs="Arial"/>
          <w:color w:val="000000"/>
          <w:lang w:val="en-US"/>
        </w:rPr>
        <w:t xml:space="preserve"> </w:t>
      </w:r>
      <w:r w:rsidRPr="00C35E5D">
        <w:rPr>
          <w:rFonts w:eastAsia="Times New Roman" w:cs="Arial"/>
          <w:color w:val="000000"/>
          <w:lang w:eastAsia="bg-BG"/>
        </w:rPr>
        <w:t xml:space="preserve">дневно, както и наличните публикувани данни (20 педиатрични или млади възрастни пациенти с ГИСТ), показват, че лечението със сунитиниб води до стабилизиране на заболяването при 18 от 26 (69,2%) пациенти след неуспешно лечение или непоносимост към иматиниб (16 пациенти със стабилно заболяване от 21) или </w:t>
      </w:r>
      <w:r w:rsidRPr="00C35E5D">
        <w:rPr>
          <w:rFonts w:eastAsia="Times New Roman" w:cs="Arial"/>
          <w:i/>
          <w:iCs/>
          <w:color w:val="000000"/>
          <w:lang w:val="en-US"/>
        </w:rPr>
        <w:t>de novo</w:t>
      </w:r>
      <w:r w:rsidRPr="00C35E5D">
        <w:rPr>
          <w:rFonts w:eastAsia="Times New Roman" w:cs="Arial"/>
          <w:i/>
          <w:iCs/>
          <w:color w:val="000000"/>
          <w:lang w:eastAsia="bg-BG"/>
        </w:rPr>
        <w:t>/след</w:t>
      </w:r>
      <w:r w:rsidRPr="00C35E5D">
        <w:rPr>
          <w:rFonts w:eastAsia="Times New Roman" w:cs="Arial"/>
          <w:color w:val="000000"/>
          <w:lang w:eastAsia="bg-BG"/>
        </w:rPr>
        <w:t xml:space="preserve"> операция (2 пациенти със стабилно заболяване от 5). При проучването фаза 1/2, стабилно заболяване и прогресия на заболяването са наблюдавани при 3 от 6 пациенти за всяко от двете (съответно 1 пациент е получил неоадювантно и Т пациент е получил адювантно лечение с иматиниб). В същото проучване, 4 от 6 пациенти (66,7%) получават нежелани събития, свързани с </w:t>
      </w:r>
      <w:r w:rsidRPr="00C35E5D">
        <w:rPr>
          <w:rFonts w:eastAsia="Times New Roman" w:cs="Arial"/>
          <w:color w:val="000000"/>
          <w:lang w:eastAsia="bg-BG"/>
        </w:rPr>
        <w:lastRenderedPageBreak/>
        <w:t>лечението степен 3-4 (степен 3 хипофосфатемия, неутропения и тромбоцитопения при 1 пациент от всяко събитие и неутропения от степен 4 при 1 пациент). В допълнение, в публикациите се съобщава за следните нежелани лекарствени реакции от степен 3, проявени при 5 пациенти: умора (2), гастроинтестинални нежелани лекарствени реакции (включително диария) (2), хематологични нежелани лекарствени реакции (включително анемия) (2), холецистит (1), хипертиреоидизъм (1) и мукозит(1).</w:t>
      </w:r>
    </w:p>
    <w:p w14:paraId="09F8682E" w14:textId="77777777" w:rsidR="00C35E5D" w:rsidRPr="009632C6" w:rsidRDefault="00C35E5D" w:rsidP="00C35E5D">
      <w:pPr>
        <w:spacing w:line="240" w:lineRule="auto"/>
        <w:rPr>
          <w:rFonts w:eastAsia="Times New Roman" w:cs="Arial"/>
          <w:color w:val="000000"/>
          <w:lang w:eastAsia="bg-BG"/>
        </w:rPr>
      </w:pPr>
    </w:p>
    <w:p w14:paraId="1A6C94F7" w14:textId="3A8B3837"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 xml:space="preserve">Извършен е популационен фармакокинетичен (ФК) и фармакокинетичен/фармакодинамичен (ФК/ФД) анализ с цел да се екстраполират ФК и основните крайни точки за безопасност и ефикасност на сунитиниб при педиатрични пациенти с ГИСТ (на възраст: от 6 до 17 години). Този анализ се основава на данните, събрани при възрастни пациенти с ГИСТ или солидни тумори, както и при педиатрични пациенти със солидни тумори. Въз основа на анализите на моделиране, по-младата възраст и по-малкият размер на тялото не изглежда да </w:t>
      </w:r>
      <w:r w:rsidRPr="00C35E5D">
        <w:rPr>
          <w:rFonts w:eastAsia="Times New Roman" w:cs="Arial"/>
          <w:i/>
          <w:iCs/>
          <w:color w:val="000000"/>
          <w:lang w:eastAsia="bg-BG"/>
        </w:rPr>
        <w:t xml:space="preserve">повлияват </w:t>
      </w:r>
      <w:r w:rsidRPr="00C35E5D">
        <w:rPr>
          <w:rFonts w:eastAsia="Times New Roman" w:cs="Arial"/>
          <w:color w:val="000000"/>
          <w:lang w:eastAsia="bg-BG"/>
        </w:rPr>
        <w:t>отрицателно отговорите към плазмената експозиция на сунитиниб по отношение на безопасността и ефикасността. Съотношението полза/риск на сунитиниб не изглежда да се повлиява отрицателно от по-младата възраст или по-малкия размер на тялото и се определя главно от плазмената му експозиция.</w:t>
      </w:r>
    </w:p>
    <w:p w14:paraId="2C1231E9" w14:textId="77777777" w:rsidR="00C35E5D" w:rsidRPr="009632C6" w:rsidRDefault="00C35E5D" w:rsidP="00C35E5D">
      <w:pPr>
        <w:spacing w:line="240" w:lineRule="auto"/>
        <w:rPr>
          <w:rFonts w:eastAsia="Times New Roman" w:cs="Arial"/>
          <w:color w:val="000000"/>
          <w:lang w:eastAsia="bg-BG"/>
        </w:rPr>
      </w:pPr>
    </w:p>
    <w:p w14:paraId="529B7FED" w14:textId="19C16A28"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ЕМА освобождава от задължението за предоставяне на резултатите от проучвания с референтния продукт, съдържащ сунитиниб във всички подгрупи на педиатричната популация за лечение на бъбречен карцином или карцином на бъбречното легенче (с изключение на нефробластом, нефробластоматоза, светлоклетьчен сарком, мезобластен нефром, медуларен бъбречен карцином и рабдоиден тумор на бъбреците) (вж. точка 4.2).</w:t>
      </w:r>
    </w:p>
    <w:p w14:paraId="284F4782" w14:textId="77777777" w:rsidR="00C35E5D" w:rsidRPr="009632C6" w:rsidRDefault="00C35E5D" w:rsidP="00C35E5D">
      <w:pPr>
        <w:rPr>
          <w:rFonts w:eastAsia="Times New Roman" w:cs="Arial"/>
          <w:color w:val="000000"/>
          <w:lang w:eastAsia="bg-BG"/>
        </w:rPr>
      </w:pPr>
    </w:p>
    <w:p w14:paraId="28598D3F" w14:textId="51118605" w:rsidR="00C35E5D" w:rsidRPr="009632C6" w:rsidRDefault="00C35E5D" w:rsidP="00C35E5D">
      <w:pPr>
        <w:rPr>
          <w:rFonts w:cs="Arial"/>
          <w:lang w:val="en-US"/>
        </w:rPr>
      </w:pPr>
      <w:r w:rsidRPr="009632C6">
        <w:rPr>
          <w:rFonts w:eastAsia="Times New Roman" w:cs="Arial"/>
          <w:color w:val="000000"/>
          <w:lang w:eastAsia="bg-BG"/>
        </w:rPr>
        <w:t>ЕМА освобождава от задължението за предоставяне на резултатите от проучвания с референтния продукт, съдържащ сунитиниб във всички подгрупи на педиатричната популация за лечение на гастроентеропанкреатични невроендокринни тумори (с изключение на невробластом, невроганглиобластом и феохромоцитом) (вж. точка 4.2).</w:t>
      </w:r>
    </w:p>
    <w:p w14:paraId="3FD45D2D" w14:textId="77777777" w:rsidR="00C35E5D" w:rsidRPr="0091385D" w:rsidRDefault="00C35E5D" w:rsidP="0091385D"/>
    <w:p w14:paraId="5031193D" w14:textId="408B9A83" w:rsidR="0091385D" w:rsidRDefault="002C50EE" w:rsidP="007A2185">
      <w:pPr>
        <w:pStyle w:val="Heading2"/>
      </w:pPr>
      <w:r>
        <w:t>5.2. Фармакокинетични свойства</w:t>
      </w:r>
    </w:p>
    <w:p w14:paraId="46B35D05" w14:textId="6A0462F4" w:rsidR="007A2185" w:rsidRDefault="007A2185" w:rsidP="007A2185"/>
    <w:p w14:paraId="724CADC6" w14:textId="77777777"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ФК на сунитиниб е оценена при 135 здрави доброволци и 266 пациенти със солидни тумори. ФК е била сходна при всички изследвани популации пациенти със солидни тумори и при здрави доброволци.</w:t>
      </w:r>
    </w:p>
    <w:p w14:paraId="593E1C70" w14:textId="77777777" w:rsidR="00C35E5D" w:rsidRPr="009632C6" w:rsidRDefault="00C35E5D" w:rsidP="00C35E5D">
      <w:pPr>
        <w:rPr>
          <w:rFonts w:eastAsia="Times New Roman" w:cs="Arial"/>
          <w:color w:val="000000"/>
          <w:lang w:eastAsia="bg-BG"/>
        </w:rPr>
      </w:pPr>
    </w:p>
    <w:p w14:paraId="483FDBA7" w14:textId="6B279E61" w:rsidR="00C35E5D" w:rsidRPr="009632C6" w:rsidRDefault="00C35E5D" w:rsidP="00C35E5D">
      <w:pPr>
        <w:rPr>
          <w:rFonts w:eastAsia="Times New Roman" w:cs="Arial"/>
          <w:lang w:eastAsia="bg-BG"/>
        </w:rPr>
      </w:pPr>
      <w:r w:rsidRPr="009632C6">
        <w:rPr>
          <w:rFonts w:eastAsia="Times New Roman" w:cs="Arial"/>
          <w:color w:val="000000"/>
          <w:lang w:eastAsia="bg-BG"/>
        </w:rPr>
        <w:t xml:space="preserve">В диапазона на дози от 25 до 100 </w:t>
      </w:r>
      <w:r w:rsidRPr="009632C6">
        <w:rPr>
          <w:rFonts w:eastAsia="Times New Roman" w:cs="Arial"/>
          <w:color w:val="000000"/>
          <w:lang w:val="en-US"/>
        </w:rPr>
        <w:t xml:space="preserve">mg, </w:t>
      </w:r>
      <w:r w:rsidRPr="009632C6">
        <w:rPr>
          <w:rFonts w:eastAsia="Times New Roman" w:cs="Arial"/>
          <w:color w:val="000000"/>
          <w:lang w:eastAsia="bg-BG"/>
        </w:rPr>
        <w:t xml:space="preserve">площта под кривата ’’плазмена концентрация-време” </w:t>
      </w:r>
      <w:r w:rsidRPr="009632C6">
        <w:rPr>
          <w:rFonts w:eastAsia="Times New Roman" w:cs="Arial"/>
          <w:color w:val="000000"/>
          <w:lang w:val="en-US"/>
        </w:rPr>
        <w:t xml:space="preserve">(AUC) </w:t>
      </w:r>
      <w:r w:rsidRPr="009632C6">
        <w:rPr>
          <w:rFonts w:eastAsia="Times New Roman" w:cs="Arial"/>
          <w:color w:val="000000"/>
          <w:lang w:eastAsia="bg-BG"/>
        </w:rPr>
        <w:t>и С</w:t>
      </w:r>
      <w:r w:rsidRPr="009632C6">
        <w:rPr>
          <w:rFonts w:eastAsia="Times New Roman" w:cs="Arial"/>
          <w:color w:val="000000"/>
          <w:lang w:val="en-US" w:eastAsia="bg-BG"/>
        </w:rPr>
        <w:t>m</w:t>
      </w:r>
      <w:r w:rsidRPr="009632C6">
        <w:rPr>
          <w:rFonts w:eastAsia="Times New Roman" w:cs="Arial"/>
          <w:color w:val="000000"/>
          <w:lang w:eastAsia="bg-BG"/>
        </w:rPr>
        <w:t xml:space="preserve">ах се повишават пропорционално на дозата. При многократно дневно приложение сунитиниб кумулира 3 до 4 пъти, а основният му активен метаболит кумулира 7 до 10 пъти. Стационарните концентрации на сунитиниб и неговия първичен активен метаболит се достигат в рамките на 10 до 14 дни. До ден 14 общите плазмени концентрации на сунитиниб и на активния му метаболит са 62,9 -101 </w:t>
      </w:r>
      <w:r w:rsidRPr="009632C6">
        <w:rPr>
          <w:rFonts w:eastAsia="Times New Roman" w:cs="Arial"/>
          <w:color w:val="000000"/>
          <w:lang w:val="en-US"/>
        </w:rPr>
        <w:t xml:space="preserve">ng/ml, </w:t>
      </w:r>
      <w:r w:rsidRPr="009632C6">
        <w:rPr>
          <w:rFonts w:eastAsia="Times New Roman" w:cs="Arial"/>
          <w:color w:val="000000"/>
          <w:lang w:eastAsia="bg-BG"/>
        </w:rPr>
        <w:t xml:space="preserve">те са таргетни концентрации, предсказани от предклиничните данни за инхибиране на фосфорилирането на рецептора </w:t>
      </w:r>
      <w:r w:rsidRPr="009632C6">
        <w:rPr>
          <w:rFonts w:eastAsia="Times New Roman" w:cs="Arial"/>
          <w:i/>
          <w:iCs/>
          <w:color w:val="000000"/>
          <w:lang w:val="en-US"/>
        </w:rPr>
        <w:t>in vitro</w:t>
      </w:r>
      <w:r w:rsidRPr="009632C6">
        <w:rPr>
          <w:rFonts w:eastAsia="Times New Roman" w:cs="Arial"/>
          <w:color w:val="000000"/>
          <w:lang w:val="en-US"/>
        </w:rPr>
        <w:t xml:space="preserve"> </w:t>
      </w:r>
      <w:r w:rsidRPr="009632C6">
        <w:rPr>
          <w:rFonts w:eastAsia="Times New Roman" w:cs="Arial"/>
          <w:color w:val="000000"/>
          <w:lang w:eastAsia="bg-BG"/>
        </w:rPr>
        <w:t xml:space="preserve">и водещи до туморна стаза/намаляване на растежа </w:t>
      </w:r>
      <w:r w:rsidRPr="009632C6">
        <w:rPr>
          <w:rFonts w:eastAsia="Times New Roman" w:cs="Arial"/>
          <w:i/>
          <w:iCs/>
          <w:color w:val="000000"/>
          <w:lang w:val="en-US"/>
        </w:rPr>
        <w:t>in vivo.</w:t>
      </w:r>
      <w:r w:rsidRPr="009632C6">
        <w:rPr>
          <w:rFonts w:eastAsia="Times New Roman" w:cs="Arial"/>
          <w:color w:val="000000"/>
          <w:lang w:val="en-US"/>
        </w:rPr>
        <w:t xml:space="preserve"> </w:t>
      </w:r>
      <w:r w:rsidRPr="009632C6">
        <w:rPr>
          <w:rFonts w:eastAsia="Times New Roman" w:cs="Arial"/>
          <w:color w:val="000000"/>
          <w:lang w:eastAsia="bg-BG"/>
        </w:rPr>
        <w:t>Основният активен метаболит обхваща 23 до 37%</w:t>
      </w:r>
      <w:r w:rsidRPr="009632C6">
        <w:rPr>
          <w:rFonts w:eastAsia="Times New Roman" w:cs="Arial"/>
          <w:color w:val="000000"/>
          <w:lang w:val="en-US" w:eastAsia="bg-BG"/>
        </w:rPr>
        <w:t xml:space="preserve"> </w:t>
      </w:r>
      <w:r w:rsidRPr="009632C6">
        <w:rPr>
          <w:rFonts w:eastAsia="Times New Roman" w:cs="Arial"/>
          <w:color w:val="000000"/>
          <w:lang w:eastAsia="bg-BG"/>
        </w:rPr>
        <w:t>от общата експозиция. При многократно дневно приложение или многократни цикли при проучваните схеми на приложение не са били наблюдавани значими промени във ФК на сунитиниб или на неговия първичен активен метаболит.</w:t>
      </w:r>
    </w:p>
    <w:p w14:paraId="71122080" w14:textId="77777777" w:rsidR="00C35E5D" w:rsidRPr="009632C6" w:rsidRDefault="00C35E5D" w:rsidP="00C35E5D">
      <w:pPr>
        <w:spacing w:line="240" w:lineRule="auto"/>
        <w:rPr>
          <w:rFonts w:eastAsia="Times New Roman" w:cs="Arial"/>
          <w:color w:val="000000"/>
          <w:u w:val="single"/>
          <w:lang w:eastAsia="bg-BG"/>
        </w:rPr>
      </w:pPr>
    </w:p>
    <w:p w14:paraId="54DA76D9" w14:textId="4FE3CBE6" w:rsidR="00C35E5D" w:rsidRPr="00E86AE3" w:rsidRDefault="00C35E5D" w:rsidP="00E86AE3">
      <w:pPr>
        <w:pStyle w:val="Heading3"/>
        <w:rPr>
          <w:rFonts w:eastAsia="Times New Roman"/>
          <w:u w:val="single"/>
          <w:lang w:eastAsia="bg-BG"/>
        </w:rPr>
      </w:pPr>
      <w:r w:rsidRPr="00E86AE3">
        <w:rPr>
          <w:rFonts w:eastAsia="Times New Roman"/>
          <w:u w:val="single"/>
          <w:lang w:eastAsia="bg-BG"/>
        </w:rPr>
        <w:lastRenderedPageBreak/>
        <w:t>Абсорбция</w:t>
      </w:r>
    </w:p>
    <w:p w14:paraId="5C0E5339" w14:textId="77777777"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След перорално приложение на сунитиниб, С</w:t>
      </w:r>
      <w:r w:rsidRPr="00C35E5D">
        <w:rPr>
          <w:rFonts w:eastAsia="Times New Roman" w:cs="Arial"/>
          <w:color w:val="000000"/>
          <w:lang w:val="en-US"/>
        </w:rPr>
        <w:t>m</w:t>
      </w:r>
      <w:r w:rsidRPr="00C35E5D">
        <w:rPr>
          <w:rFonts w:eastAsia="Times New Roman" w:cs="Arial"/>
          <w:color w:val="000000"/>
          <w:lang w:eastAsia="bg-BG"/>
        </w:rPr>
        <w:t xml:space="preserve">ах обикновено са наблюдавани от 6 до 12 часа време до максимална концентрация </w:t>
      </w:r>
      <w:proofErr w:type="spellStart"/>
      <w:r w:rsidRPr="00C35E5D">
        <w:rPr>
          <w:rFonts w:eastAsia="Times New Roman" w:cs="Arial"/>
          <w:color w:val="000000"/>
          <w:lang w:val="en-US"/>
        </w:rPr>
        <w:t>tmax</w:t>
      </w:r>
      <w:proofErr w:type="spellEnd"/>
      <w:r w:rsidRPr="00C35E5D">
        <w:rPr>
          <w:rFonts w:eastAsia="Times New Roman" w:cs="Arial"/>
          <w:color w:val="000000"/>
          <w:lang w:val="en-US"/>
        </w:rPr>
        <w:t xml:space="preserve"> </w:t>
      </w:r>
      <w:r w:rsidRPr="00C35E5D">
        <w:rPr>
          <w:rFonts w:eastAsia="Times New Roman" w:cs="Arial"/>
          <w:color w:val="000000"/>
          <w:lang w:eastAsia="bg-BG"/>
        </w:rPr>
        <w:t>след приложение.</w:t>
      </w:r>
    </w:p>
    <w:p w14:paraId="449BEBBE" w14:textId="77777777" w:rsidR="00C35E5D" w:rsidRPr="009632C6" w:rsidRDefault="00C35E5D" w:rsidP="00C35E5D">
      <w:pPr>
        <w:spacing w:line="240" w:lineRule="auto"/>
        <w:rPr>
          <w:rFonts w:eastAsia="Times New Roman" w:cs="Arial"/>
          <w:color w:val="000000"/>
          <w:lang w:eastAsia="bg-BG"/>
        </w:rPr>
      </w:pPr>
    </w:p>
    <w:p w14:paraId="2C9B9D3B" w14:textId="5F75C88E"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Храната няма ефект върху бионаличността на сунитиниб.</w:t>
      </w:r>
    </w:p>
    <w:p w14:paraId="3DF089D0" w14:textId="77777777" w:rsidR="00C35E5D" w:rsidRPr="009632C6" w:rsidRDefault="00C35E5D" w:rsidP="00C35E5D">
      <w:pPr>
        <w:spacing w:line="240" w:lineRule="auto"/>
        <w:rPr>
          <w:rFonts w:eastAsia="Times New Roman" w:cs="Arial"/>
          <w:color w:val="000000"/>
          <w:u w:val="single"/>
          <w:lang w:eastAsia="bg-BG"/>
        </w:rPr>
      </w:pPr>
    </w:p>
    <w:p w14:paraId="68EBAD02" w14:textId="6CA2D5CA" w:rsidR="00C35E5D" w:rsidRPr="00E86AE3" w:rsidRDefault="00C35E5D" w:rsidP="00E86AE3">
      <w:pPr>
        <w:pStyle w:val="Heading3"/>
        <w:rPr>
          <w:rFonts w:eastAsia="Times New Roman"/>
          <w:u w:val="single"/>
          <w:lang w:eastAsia="bg-BG"/>
        </w:rPr>
      </w:pPr>
      <w:r w:rsidRPr="00E86AE3">
        <w:rPr>
          <w:rFonts w:eastAsia="Times New Roman"/>
          <w:u w:val="single"/>
          <w:lang w:eastAsia="bg-BG"/>
        </w:rPr>
        <w:t>Разпределение</w:t>
      </w:r>
    </w:p>
    <w:p w14:paraId="345917FE" w14:textId="77777777"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 xml:space="preserve">Свързването на сунитиниб и неговия основен активен метаболит с човешкия плазмен протеин в изследвания </w:t>
      </w:r>
      <w:r w:rsidRPr="00C35E5D">
        <w:rPr>
          <w:rFonts w:eastAsia="Times New Roman" w:cs="Arial"/>
          <w:i/>
          <w:iCs/>
          <w:color w:val="000000"/>
          <w:lang w:val="en-US"/>
        </w:rPr>
        <w:t>in vitro</w:t>
      </w:r>
      <w:r w:rsidRPr="00C35E5D">
        <w:rPr>
          <w:rFonts w:eastAsia="Times New Roman" w:cs="Arial"/>
          <w:color w:val="000000"/>
          <w:lang w:val="en-US"/>
        </w:rPr>
        <w:t xml:space="preserve"> </w:t>
      </w:r>
      <w:r w:rsidRPr="00C35E5D">
        <w:rPr>
          <w:rFonts w:eastAsia="Times New Roman" w:cs="Arial"/>
          <w:color w:val="000000"/>
          <w:lang w:eastAsia="bg-BG"/>
        </w:rPr>
        <w:t xml:space="preserve">е било съответно 95% и 90%, без забележима зависимост от концентрацията. Привидният обем на разпределение </w:t>
      </w:r>
      <w:r w:rsidRPr="00C35E5D">
        <w:rPr>
          <w:rFonts w:eastAsia="Times New Roman" w:cs="Arial"/>
          <w:color w:val="000000"/>
          <w:lang w:val="en-US"/>
        </w:rPr>
        <w:t>(</w:t>
      </w:r>
      <w:proofErr w:type="spellStart"/>
      <w:r w:rsidRPr="00C35E5D">
        <w:rPr>
          <w:rFonts w:eastAsia="Times New Roman" w:cs="Arial"/>
          <w:color w:val="000000"/>
          <w:lang w:val="en-US"/>
        </w:rPr>
        <w:t>V</w:t>
      </w:r>
      <w:r w:rsidRPr="00C35E5D">
        <w:rPr>
          <w:rFonts w:eastAsia="Times New Roman" w:cs="Arial"/>
          <w:color w:val="000000"/>
          <w:vertAlign w:val="subscript"/>
          <w:lang w:val="en-US"/>
        </w:rPr>
        <w:t>d</w:t>
      </w:r>
      <w:proofErr w:type="spellEnd"/>
      <w:r w:rsidRPr="00C35E5D">
        <w:rPr>
          <w:rFonts w:eastAsia="Times New Roman" w:cs="Arial"/>
          <w:color w:val="000000"/>
          <w:lang w:val="en-US"/>
        </w:rPr>
        <w:t xml:space="preserve">) </w:t>
      </w:r>
      <w:r w:rsidRPr="00C35E5D">
        <w:rPr>
          <w:rFonts w:eastAsia="Times New Roman" w:cs="Arial"/>
          <w:color w:val="000000"/>
          <w:lang w:eastAsia="bg-BG"/>
        </w:rPr>
        <w:t>за сунитиниб е бил голям -2230 1, показвайки разпределение в тъканите.</w:t>
      </w:r>
    </w:p>
    <w:p w14:paraId="5671F3CD" w14:textId="77777777" w:rsidR="00C35E5D" w:rsidRPr="009632C6" w:rsidRDefault="00C35E5D" w:rsidP="00C35E5D">
      <w:pPr>
        <w:spacing w:line="240" w:lineRule="auto"/>
        <w:rPr>
          <w:rFonts w:eastAsia="Times New Roman" w:cs="Arial"/>
          <w:color w:val="000000"/>
          <w:u w:val="single"/>
          <w:lang w:eastAsia="bg-BG"/>
        </w:rPr>
      </w:pPr>
    </w:p>
    <w:p w14:paraId="58FA4530" w14:textId="3689904F" w:rsidR="00C35E5D" w:rsidRPr="00C35E5D" w:rsidRDefault="00C35E5D" w:rsidP="00C35E5D">
      <w:pPr>
        <w:spacing w:line="240" w:lineRule="auto"/>
        <w:rPr>
          <w:rFonts w:eastAsia="Times New Roman" w:cs="Arial"/>
          <w:lang w:eastAsia="bg-BG"/>
        </w:rPr>
      </w:pPr>
      <w:r w:rsidRPr="00C35E5D">
        <w:rPr>
          <w:rFonts w:eastAsia="Times New Roman" w:cs="Arial"/>
          <w:color w:val="000000"/>
          <w:u w:val="single"/>
          <w:lang w:eastAsia="bg-BG"/>
        </w:rPr>
        <w:t>Метаболитни взаимодействия</w:t>
      </w:r>
    </w:p>
    <w:p w14:paraId="143D1B15" w14:textId="77777777"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 xml:space="preserve">Изчислените </w:t>
      </w:r>
      <w:r w:rsidRPr="00C35E5D">
        <w:rPr>
          <w:rFonts w:eastAsia="Times New Roman" w:cs="Arial"/>
          <w:i/>
          <w:iCs/>
          <w:color w:val="000000"/>
          <w:lang w:val="en-US"/>
        </w:rPr>
        <w:t>in vitro</w:t>
      </w:r>
      <w:r w:rsidRPr="00C35E5D">
        <w:rPr>
          <w:rFonts w:eastAsia="Times New Roman" w:cs="Arial"/>
          <w:color w:val="000000"/>
          <w:lang w:val="en-US"/>
        </w:rPr>
        <w:t xml:space="preserve"> </w:t>
      </w:r>
      <w:r w:rsidRPr="00C35E5D">
        <w:rPr>
          <w:rFonts w:eastAsia="Times New Roman" w:cs="Arial"/>
          <w:color w:val="000000"/>
          <w:lang w:eastAsia="bg-BG"/>
        </w:rPr>
        <w:t xml:space="preserve">стойности на </w:t>
      </w:r>
      <w:r w:rsidRPr="00C35E5D">
        <w:rPr>
          <w:rFonts w:eastAsia="Times New Roman" w:cs="Arial"/>
          <w:i/>
          <w:iCs/>
          <w:color w:val="000000"/>
          <w:lang w:val="en-US"/>
        </w:rPr>
        <w:t>Ki</w:t>
      </w:r>
      <w:r w:rsidRPr="00C35E5D">
        <w:rPr>
          <w:rFonts w:eastAsia="Times New Roman" w:cs="Arial"/>
          <w:color w:val="000000"/>
          <w:lang w:val="en-US"/>
        </w:rPr>
        <w:t xml:space="preserve"> </w:t>
      </w:r>
      <w:r w:rsidRPr="00C35E5D">
        <w:rPr>
          <w:rFonts w:eastAsia="Times New Roman" w:cs="Arial"/>
          <w:color w:val="000000"/>
          <w:lang w:eastAsia="bg-BG"/>
        </w:rPr>
        <w:t xml:space="preserve">за всички изпитани изоформи на цитохром Р450 </w:t>
      </w:r>
      <w:r w:rsidRPr="00C35E5D">
        <w:rPr>
          <w:rFonts w:eastAsia="Times New Roman" w:cs="Arial"/>
          <w:color w:val="000000"/>
          <w:lang w:val="en-US"/>
        </w:rPr>
        <w:t xml:space="preserve">(CYP) (CYP1A2, CYP2A6, CYP2B6, CYP2C8, CYP2C9, CYP2C19, CYP2D6, CYP2E1, CYP3A4/5 </w:t>
      </w:r>
      <w:r w:rsidRPr="00C35E5D">
        <w:rPr>
          <w:rFonts w:eastAsia="Times New Roman" w:cs="Arial"/>
          <w:color w:val="000000"/>
          <w:lang w:eastAsia="bg-BG"/>
        </w:rPr>
        <w:t xml:space="preserve">и </w:t>
      </w:r>
      <w:r w:rsidRPr="00C35E5D">
        <w:rPr>
          <w:rFonts w:eastAsia="Times New Roman" w:cs="Arial"/>
          <w:color w:val="000000"/>
          <w:lang w:val="en-US"/>
        </w:rPr>
        <w:t>CYP4A9/1</w:t>
      </w:r>
      <w:r w:rsidRPr="00C35E5D">
        <w:rPr>
          <w:rFonts w:eastAsia="Times New Roman" w:cs="Arial"/>
          <w:color w:val="000000"/>
          <w:lang w:eastAsia="bg-BG"/>
        </w:rPr>
        <w:t>1) показват, че е малко вероятно сунитиниб и основният му активен метаболит да индуцират метаболизма на други активни вещества, които се метаболизират от тези ензими, до някаква клинично значима степен.</w:t>
      </w:r>
    </w:p>
    <w:p w14:paraId="5E59CFE6" w14:textId="77777777" w:rsidR="00C35E5D" w:rsidRPr="009632C6" w:rsidRDefault="00C35E5D" w:rsidP="00C35E5D">
      <w:pPr>
        <w:spacing w:line="240" w:lineRule="auto"/>
        <w:rPr>
          <w:rFonts w:eastAsia="Times New Roman" w:cs="Arial"/>
          <w:color w:val="000000"/>
          <w:u w:val="single"/>
          <w:lang w:eastAsia="bg-BG"/>
        </w:rPr>
      </w:pPr>
    </w:p>
    <w:p w14:paraId="0744A38A" w14:textId="4929A989" w:rsidR="00C35E5D" w:rsidRPr="00E86AE3" w:rsidRDefault="00C35E5D" w:rsidP="00E86AE3">
      <w:pPr>
        <w:pStyle w:val="Heading3"/>
        <w:rPr>
          <w:rFonts w:eastAsia="Times New Roman"/>
          <w:u w:val="single"/>
          <w:lang w:eastAsia="bg-BG"/>
        </w:rPr>
      </w:pPr>
      <w:r w:rsidRPr="00E86AE3">
        <w:rPr>
          <w:rFonts w:eastAsia="Times New Roman"/>
          <w:u w:val="single"/>
          <w:lang w:eastAsia="bg-BG"/>
        </w:rPr>
        <w:t>Биотрансформация</w:t>
      </w:r>
    </w:p>
    <w:p w14:paraId="6F428D5E" w14:textId="77777777"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 xml:space="preserve">Сунитиниб се метаболизира главно от </w:t>
      </w:r>
      <w:r w:rsidRPr="00C35E5D">
        <w:rPr>
          <w:rFonts w:eastAsia="Times New Roman" w:cs="Arial"/>
          <w:color w:val="000000"/>
          <w:lang w:val="en-US"/>
        </w:rPr>
        <w:t xml:space="preserve">CYP3A4, </w:t>
      </w:r>
      <w:r w:rsidRPr="00C35E5D">
        <w:rPr>
          <w:rFonts w:eastAsia="Times New Roman" w:cs="Arial"/>
          <w:color w:val="000000"/>
          <w:lang w:eastAsia="bg-BG"/>
        </w:rPr>
        <w:t xml:space="preserve">изоформа от групата на </w:t>
      </w:r>
      <w:r w:rsidRPr="00C35E5D">
        <w:rPr>
          <w:rFonts w:eastAsia="Times New Roman" w:cs="Arial"/>
          <w:color w:val="000000"/>
          <w:lang w:val="en-US"/>
        </w:rPr>
        <w:t xml:space="preserve">CYP, </w:t>
      </w:r>
      <w:r w:rsidRPr="00C35E5D">
        <w:rPr>
          <w:rFonts w:eastAsia="Times New Roman" w:cs="Arial"/>
          <w:color w:val="000000"/>
          <w:lang w:eastAsia="bg-BG"/>
        </w:rPr>
        <w:t>който продуцира неговия основен активен метаболит, дезетил сунитиниб, който след това допълнително се метаболизира от същия изоензим.</w:t>
      </w:r>
    </w:p>
    <w:p w14:paraId="496FEAD6" w14:textId="77777777" w:rsidR="00C35E5D" w:rsidRPr="009632C6" w:rsidRDefault="00C35E5D" w:rsidP="00C35E5D">
      <w:pPr>
        <w:spacing w:line="240" w:lineRule="auto"/>
        <w:rPr>
          <w:rFonts w:eastAsia="Times New Roman" w:cs="Arial"/>
          <w:color w:val="000000"/>
          <w:lang w:eastAsia="bg-BG"/>
        </w:rPr>
      </w:pPr>
    </w:p>
    <w:p w14:paraId="67363DBE" w14:textId="69F3CF98"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 xml:space="preserve">Едновременно приложение на сунитиниб с мощни индуктори на </w:t>
      </w:r>
      <w:r w:rsidRPr="00C35E5D">
        <w:rPr>
          <w:rFonts w:eastAsia="Times New Roman" w:cs="Arial"/>
          <w:color w:val="000000"/>
          <w:lang w:val="en-US"/>
        </w:rPr>
        <w:t xml:space="preserve">CYP3A4 </w:t>
      </w:r>
      <w:r w:rsidRPr="00C35E5D">
        <w:rPr>
          <w:rFonts w:eastAsia="Times New Roman" w:cs="Arial"/>
          <w:color w:val="000000"/>
          <w:lang w:eastAsia="bg-BG"/>
        </w:rPr>
        <w:t>или инхибитори трябва да се избягва, тъй като плазмените концентрации на сунитиниб могат да се променят (вж. точки 4.4 и 4.5).</w:t>
      </w:r>
    </w:p>
    <w:p w14:paraId="437DB8DC" w14:textId="77777777" w:rsidR="00C35E5D" w:rsidRPr="009632C6" w:rsidRDefault="00C35E5D" w:rsidP="00C35E5D">
      <w:pPr>
        <w:spacing w:line="240" w:lineRule="auto"/>
        <w:rPr>
          <w:rFonts w:eastAsia="Times New Roman" w:cs="Arial"/>
          <w:color w:val="000000"/>
          <w:u w:val="single"/>
          <w:lang w:eastAsia="bg-BG"/>
        </w:rPr>
      </w:pPr>
    </w:p>
    <w:p w14:paraId="26EB7FC3" w14:textId="564F83BC" w:rsidR="00C35E5D" w:rsidRPr="00E86AE3" w:rsidRDefault="00C35E5D" w:rsidP="00E86AE3">
      <w:pPr>
        <w:pStyle w:val="Heading3"/>
        <w:rPr>
          <w:rFonts w:eastAsia="Times New Roman"/>
          <w:u w:val="single"/>
          <w:lang w:eastAsia="bg-BG"/>
        </w:rPr>
      </w:pPr>
      <w:r w:rsidRPr="00E86AE3">
        <w:rPr>
          <w:rFonts w:eastAsia="Times New Roman"/>
          <w:u w:val="single"/>
          <w:lang w:eastAsia="bg-BG"/>
        </w:rPr>
        <w:t>Елиминиране</w:t>
      </w:r>
    </w:p>
    <w:p w14:paraId="3391183C" w14:textId="77777777"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 xml:space="preserve">Екскрецията е основно чрез фецеса (61%), а елиминирането на непроменено активно вещество и метабо лигите му чрез бъбреците съставлява 16% от приложената доза. Сунитиниб и неговият основен активен метаболит са били основните съединения, идентифицирани в плазма, урина и изпражнения, представляващи съответно 91,5%, 86,4% и 73,8% от радиоактивното вещество в събраните проби. Второстепенни метаболити са били идентифицирани в урина и фецеса, но обикновено не са били откривани в плазма. Тоталният перорален клирънс </w:t>
      </w:r>
      <w:r w:rsidRPr="00C35E5D">
        <w:rPr>
          <w:rFonts w:eastAsia="Times New Roman" w:cs="Arial"/>
          <w:color w:val="000000"/>
          <w:lang w:val="en-US"/>
        </w:rPr>
        <w:t xml:space="preserve">(CL/F) </w:t>
      </w:r>
      <w:r w:rsidRPr="00C35E5D">
        <w:rPr>
          <w:rFonts w:eastAsia="Times New Roman" w:cs="Arial"/>
          <w:color w:val="000000"/>
          <w:lang w:eastAsia="bg-BG"/>
        </w:rPr>
        <w:t>е бил 34-62</w:t>
      </w:r>
      <w:r w:rsidRPr="00C35E5D">
        <w:rPr>
          <w:rFonts w:eastAsia="Times New Roman" w:cs="Arial"/>
          <w:color w:val="000000"/>
          <w:lang w:val="en-US"/>
        </w:rPr>
        <w:t xml:space="preserve"> l</w:t>
      </w:r>
      <w:r w:rsidRPr="00C35E5D">
        <w:rPr>
          <w:rFonts w:eastAsia="Times New Roman" w:cs="Arial"/>
          <w:color w:val="000000"/>
          <w:lang w:eastAsia="bg-BG"/>
        </w:rPr>
        <w:t>/час. След перорално приложение при здрави доброволци, елиминационните полуживоти на сунитиниб и неговия основен активен дезетил-метаболит са съответно около 40-60 часа и 80-100 часа.</w:t>
      </w:r>
    </w:p>
    <w:p w14:paraId="20361850" w14:textId="77777777" w:rsidR="00C35E5D" w:rsidRPr="009632C6" w:rsidRDefault="00C35E5D" w:rsidP="00C35E5D">
      <w:pPr>
        <w:rPr>
          <w:rFonts w:eastAsia="Times New Roman" w:cs="Arial"/>
          <w:color w:val="000000"/>
          <w:u w:val="single"/>
          <w:lang w:eastAsia="bg-BG"/>
        </w:rPr>
      </w:pPr>
    </w:p>
    <w:p w14:paraId="45551830" w14:textId="30329976" w:rsidR="007A2185" w:rsidRPr="009632C6" w:rsidRDefault="00C35E5D" w:rsidP="00C35E5D">
      <w:pPr>
        <w:rPr>
          <w:rFonts w:cs="Arial"/>
          <w:lang w:val="en-US"/>
        </w:rPr>
      </w:pPr>
      <w:r w:rsidRPr="009632C6">
        <w:rPr>
          <w:rFonts w:eastAsia="Times New Roman" w:cs="Arial"/>
          <w:color w:val="000000"/>
          <w:u w:val="single"/>
          <w:lang w:eastAsia="bg-BG"/>
        </w:rPr>
        <w:t xml:space="preserve">Едновременно приложение с лекарствени продукти, които са инхибитори на </w:t>
      </w:r>
      <w:r w:rsidRPr="009632C6">
        <w:rPr>
          <w:rFonts w:eastAsia="Times New Roman" w:cs="Arial"/>
          <w:color w:val="000000"/>
          <w:u w:val="single"/>
          <w:lang w:val="en-US"/>
        </w:rPr>
        <w:t xml:space="preserve">BCRP </w:t>
      </w:r>
      <w:r w:rsidRPr="009632C6">
        <w:rPr>
          <w:rFonts w:eastAsia="Times New Roman" w:cs="Arial"/>
          <w:i/>
          <w:iCs/>
          <w:color w:val="000000"/>
          <w:lang w:val="en-US"/>
        </w:rPr>
        <w:t>In vitro,</w:t>
      </w:r>
      <w:r w:rsidRPr="009632C6">
        <w:rPr>
          <w:rFonts w:eastAsia="Times New Roman" w:cs="Arial"/>
          <w:color w:val="000000"/>
          <w:lang w:val="en-US"/>
        </w:rPr>
        <w:t xml:space="preserve"> </w:t>
      </w:r>
      <w:r w:rsidRPr="009632C6">
        <w:rPr>
          <w:rFonts w:eastAsia="Times New Roman" w:cs="Arial"/>
          <w:color w:val="000000"/>
          <w:lang w:eastAsia="bg-BG"/>
        </w:rPr>
        <w:t xml:space="preserve">сунитиниб представлява субстрат на ефлуксния транспортер на </w:t>
      </w:r>
      <w:r w:rsidRPr="009632C6">
        <w:rPr>
          <w:rFonts w:eastAsia="Times New Roman" w:cs="Arial"/>
          <w:color w:val="000000"/>
          <w:lang w:val="en-US"/>
        </w:rPr>
        <w:t xml:space="preserve">BCRP. </w:t>
      </w:r>
      <w:r w:rsidRPr="009632C6">
        <w:rPr>
          <w:rFonts w:eastAsia="Times New Roman" w:cs="Arial"/>
          <w:color w:val="000000"/>
          <w:lang w:eastAsia="bg-BG"/>
        </w:rPr>
        <w:t xml:space="preserve">В проучване А618103 8, едновременното приложение на гефитиниб, инхибитор на </w:t>
      </w:r>
      <w:r w:rsidRPr="009632C6">
        <w:rPr>
          <w:rFonts w:eastAsia="Times New Roman" w:cs="Arial"/>
          <w:color w:val="000000"/>
          <w:lang w:val="en-US"/>
        </w:rPr>
        <w:t xml:space="preserve">BCRP, </w:t>
      </w:r>
      <w:r w:rsidRPr="009632C6">
        <w:rPr>
          <w:rFonts w:eastAsia="Times New Roman" w:cs="Arial"/>
          <w:color w:val="000000"/>
          <w:lang w:eastAsia="bg-BG"/>
        </w:rPr>
        <w:t>не оказва клинично значим ефект върху С</w:t>
      </w:r>
      <w:r w:rsidRPr="009632C6">
        <w:rPr>
          <w:rFonts w:eastAsia="Times New Roman" w:cs="Arial"/>
          <w:color w:val="000000"/>
          <w:lang w:val="en-US"/>
        </w:rPr>
        <w:t>m</w:t>
      </w:r>
      <w:r w:rsidRPr="009632C6">
        <w:rPr>
          <w:rFonts w:eastAsia="Times New Roman" w:cs="Arial"/>
          <w:color w:val="000000"/>
          <w:lang w:eastAsia="bg-BG"/>
        </w:rPr>
        <w:t xml:space="preserve">ах и </w:t>
      </w:r>
      <w:r w:rsidRPr="009632C6">
        <w:rPr>
          <w:rFonts w:eastAsia="Times New Roman" w:cs="Arial"/>
          <w:color w:val="000000"/>
          <w:lang w:val="en-US"/>
        </w:rPr>
        <w:t xml:space="preserve">AUC </w:t>
      </w:r>
      <w:r w:rsidRPr="009632C6">
        <w:rPr>
          <w:rFonts w:eastAsia="Times New Roman" w:cs="Arial"/>
          <w:color w:val="000000"/>
          <w:lang w:eastAsia="bg-BG"/>
        </w:rPr>
        <w:t xml:space="preserve">на сунитиниб или общите лекарствени концентрации (сунитиниб + метаболит) (вж. точка 4.5). Това проучване е многоцентрово, открито проучване фаза 1/2, изследващо безопасността/поносимостта, максималната поносима доза и антитуморната активност на сунитиниб в комбинация с гефитиниб при пациенти сМБКК. Като вторична цел на проучването саоценени РК на гефитиниб (250 </w:t>
      </w:r>
      <w:r w:rsidRPr="009632C6">
        <w:rPr>
          <w:rFonts w:eastAsia="Times New Roman" w:cs="Arial"/>
          <w:color w:val="000000"/>
          <w:lang w:val="en-US"/>
        </w:rPr>
        <w:t xml:space="preserve">mg </w:t>
      </w:r>
      <w:r w:rsidRPr="009632C6">
        <w:rPr>
          <w:rFonts w:eastAsia="Times New Roman" w:cs="Arial"/>
          <w:color w:val="000000"/>
          <w:lang w:eastAsia="bg-BG"/>
        </w:rPr>
        <w:t xml:space="preserve">дневно) и сунитиниб (37,5 </w:t>
      </w:r>
      <w:r w:rsidRPr="009632C6">
        <w:rPr>
          <w:rFonts w:eastAsia="Times New Roman" w:cs="Arial"/>
          <w:color w:val="000000"/>
          <w:lang w:val="en-US"/>
        </w:rPr>
        <w:t xml:space="preserve">mg </w:t>
      </w:r>
      <w:r w:rsidRPr="009632C6">
        <w:rPr>
          <w:rFonts w:eastAsia="Times New Roman" w:cs="Arial"/>
          <w:color w:val="000000"/>
          <w:lang w:eastAsia="bg-BG"/>
        </w:rPr>
        <w:t xml:space="preserve">[Кохорта 1, </w:t>
      </w:r>
      <w:r w:rsidRPr="009632C6">
        <w:rPr>
          <w:rFonts w:eastAsia="Times New Roman" w:cs="Arial"/>
          <w:color w:val="000000"/>
          <w:lang w:val="en-US"/>
        </w:rPr>
        <w:t>n</w:t>
      </w:r>
      <w:r w:rsidRPr="009632C6">
        <w:rPr>
          <w:rFonts w:eastAsia="Times New Roman" w:cs="Arial"/>
          <w:color w:val="000000"/>
          <w:lang w:eastAsia="bg-BG"/>
        </w:rPr>
        <w:t xml:space="preserve">=4] или 50 </w:t>
      </w:r>
      <w:r w:rsidRPr="009632C6">
        <w:rPr>
          <w:rFonts w:eastAsia="Times New Roman" w:cs="Arial"/>
          <w:color w:val="000000"/>
          <w:lang w:val="en-US"/>
        </w:rPr>
        <w:t xml:space="preserve">mg </w:t>
      </w:r>
      <w:r w:rsidRPr="009632C6">
        <w:rPr>
          <w:rFonts w:eastAsia="Times New Roman" w:cs="Arial"/>
          <w:color w:val="000000"/>
          <w:lang w:eastAsia="bg-BG"/>
        </w:rPr>
        <w:t xml:space="preserve">[Кохорта 2, </w:t>
      </w:r>
      <w:r w:rsidRPr="009632C6">
        <w:rPr>
          <w:rFonts w:eastAsia="Times New Roman" w:cs="Arial"/>
          <w:color w:val="000000"/>
          <w:lang w:val="en-US"/>
        </w:rPr>
        <w:t>n</w:t>
      </w:r>
      <w:r w:rsidRPr="009632C6">
        <w:rPr>
          <w:rFonts w:eastAsia="Times New Roman" w:cs="Arial"/>
          <w:color w:val="000000"/>
          <w:lang w:eastAsia="bg-BG"/>
        </w:rPr>
        <w:t xml:space="preserve">=7] дневно при </w:t>
      </w:r>
      <w:r w:rsidRPr="009632C6">
        <w:rPr>
          <w:rFonts w:eastAsia="Times New Roman" w:cs="Arial"/>
          <w:color w:val="000000"/>
          <w:lang w:eastAsia="bg-BG"/>
        </w:rPr>
        <w:lastRenderedPageBreak/>
        <w:t xml:space="preserve">Схема с 4-седмичен прием и 2-седмична пауза) при едновременното им приложение. Промените във ФК параметри на  сунитиниб не са клинично значими и не са показали лекарствени взаимодействия. Обаче като се вземе предвид относително малкият брой пациенти (т.е. </w:t>
      </w:r>
      <w:r w:rsidRPr="009632C6">
        <w:rPr>
          <w:rFonts w:eastAsia="Times New Roman" w:cs="Arial"/>
          <w:color w:val="000000"/>
          <w:lang w:val="en-US"/>
        </w:rPr>
        <w:t xml:space="preserve">N=7+4) </w:t>
      </w:r>
      <w:r w:rsidRPr="009632C6">
        <w:rPr>
          <w:rFonts w:eastAsia="Times New Roman" w:cs="Arial"/>
          <w:color w:val="000000"/>
          <w:lang w:eastAsia="bg-BG"/>
        </w:rPr>
        <w:t>и умерената до висока</w:t>
      </w:r>
      <w:r w:rsidRPr="009632C6">
        <w:rPr>
          <w:rFonts w:eastAsia="Times New Roman" w:cs="Arial"/>
          <w:i/>
          <w:iCs/>
          <w:color w:val="000000"/>
          <w:lang w:eastAsia="bg-BG"/>
        </w:rPr>
        <w:t xml:space="preserve"> </w:t>
      </w:r>
      <w:r w:rsidRPr="009632C6">
        <w:rPr>
          <w:rFonts w:eastAsia="Times New Roman" w:cs="Arial"/>
          <w:color w:val="000000"/>
          <w:lang w:eastAsia="bg-BG"/>
        </w:rPr>
        <w:t>вариабилност на фармакокинетичните параметри между пациентите, находките за ФК лекарствено взаимодействие в това проучване трябва да се тълкуват особено предпазливо.</w:t>
      </w:r>
    </w:p>
    <w:p w14:paraId="4EE1BB0B" w14:textId="6590EDCE" w:rsidR="0091385D" w:rsidRPr="009632C6" w:rsidRDefault="0091385D" w:rsidP="0091385D">
      <w:pPr>
        <w:rPr>
          <w:rFonts w:cs="Arial"/>
        </w:rPr>
      </w:pPr>
    </w:p>
    <w:p w14:paraId="35A910BB" w14:textId="77777777" w:rsidR="00C35E5D" w:rsidRPr="00C35E5D" w:rsidRDefault="00C35E5D" w:rsidP="00C35E5D">
      <w:pPr>
        <w:spacing w:line="240" w:lineRule="auto"/>
        <w:rPr>
          <w:rFonts w:eastAsia="Times New Roman" w:cs="Arial"/>
          <w:lang w:eastAsia="bg-BG"/>
        </w:rPr>
      </w:pPr>
      <w:r w:rsidRPr="00C35E5D">
        <w:rPr>
          <w:rFonts w:eastAsia="Times New Roman" w:cs="Arial"/>
          <w:color w:val="000000"/>
          <w:u w:val="single"/>
          <w:lang w:eastAsia="bg-BG"/>
        </w:rPr>
        <w:t>Специални популапии</w:t>
      </w:r>
    </w:p>
    <w:p w14:paraId="0F45B2CC" w14:textId="77777777" w:rsidR="00C35E5D" w:rsidRPr="009632C6" w:rsidRDefault="00C35E5D" w:rsidP="00C35E5D">
      <w:pPr>
        <w:spacing w:line="240" w:lineRule="auto"/>
        <w:rPr>
          <w:rFonts w:eastAsia="Times New Roman" w:cs="Arial"/>
          <w:i/>
          <w:iCs/>
          <w:color w:val="000000"/>
          <w:lang w:eastAsia="bg-BG"/>
        </w:rPr>
      </w:pPr>
    </w:p>
    <w:p w14:paraId="31F3971F" w14:textId="2755525E" w:rsidR="00C35E5D" w:rsidRPr="00C35E5D" w:rsidRDefault="00C35E5D" w:rsidP="00C35E5D">
      <w:pPr>
        <w:spacing w:line="240" w:lineRule="auto"/>
        <w:rPr>
          <w:rFonts w:eastAsia="Times New Roman" w:cs="Arial"/>
          <w:lang w:eastAsia="bg-BG"/>
        </w:rPr>
      </w:pPr>
      <w:r w:rsidRPr="00C35E5D">
        <w:rPr>
          <w:rFonts w:eastAsia="Times New Roman" w:cs="Arial"/>
          <w:i/>
          <w:iCs/>
          <w:color w:val="000000"/>
          <w:lang w:eastAsia="bg-BG"/>
        </w:rPr>
        <w:t>Чернодробно увреждане</w:t>
      </w:r>
    </w:p>
    <w:p w14:paraId="68F95B26" w14:textId="77777777"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 xml:space="preserve">Сунитиниб и основният му метаболит се метаболизират главно от черния дроб. Системните експозиции след единична доза сунитиниб са били сходни при лица с леко или умерено чернодробно увреждане </w:t>
      </w:r>
      <w:r w:rsidRPr="00C35E5D">
        <w:rPr>
          <w:rFonts w:eastAsia="Times New Roman" w:cs="Arial"/>
          <w:color w:val="000000"/>
          <w:lang w:val="en-US"/>
        </w:rPr>
        <w:t xml:space="preserve">(Child-Pugh </w:t>
      </w:r>
      <w:r w:rsidRPr="00C35E5D">
        <w:rPr>
          <w:rFonts w:eastAsia="Times New Roman" w:cs="Arial"/>
          <w:color w:val="000000"/>
          <w:lang w:eastAsia="bg-BG"/>
        </w:rPr>
        <w:t xml:space="preserve">клас А и В) в сравнение с лица с нормална чернодробна функция. Сунитиниб не е бил проучван при лица с тежко чернодробно увреждане </w:t>
      </w:r>
      <w:r w:rsidRPr="00C35E5D">
        <w:rPr>
          <w:rFonts w:eastAsia="Times New Roman" w:cs="Arial"/>
          <w:color w:val="000000"/>
          <w:lang w:val="en-US"/>
        </w:rPr>
        <w:t xml:space="preserve">(Child-Pugh </w:t>
      </w:r>
      <w:r w:rsidRPr="00C35E5D">
        <w:rPr>
          <w:rFonts w:eastAsia="Times New Roman" w:cs="Arial"/>
          <w:color w:val="000000"/>
          <w:lang w:eastAsia="bg-BG"/>
        </w:rPr>
        <w:t>клас С).</w:t>
      </w:r>
    </w:p>
    <w:p w14:paraId="4E302056" w14:textId="77777777" w:rsidR="00C35E5D" w:rsidRPr="009632C6" w:rsidRDefault="00C35E5D" w:rsidP="00C35E5D">
      <w:pPr>
        <w:spacing w:line="240" w:lineRule="auto"/>
        <w:rPr>
          <w:rFonts w:eastAsia="Times New Roman" w:cs="Arial"/>
          <w:color w:val="000000"/>
          <w:lang w:eastAsia="bg-BG"/>
        </w:rPr>
      </w:pPr>
    </w:p>
    <w:p w14:paraId="412AA74F" w14:textId="5BAB1ACD"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 xml:space="preserve">Проучванията при пациенти с рак са изключвали пациенти с </w:t>
      </w:r>
      <w:r w:rsidRPr="00C35E5D">
        <w:rPr>
          <w:rFonts w:eastAsia="Times New Roman" w:cs="Arial"/>
          <w:color w:val="000000"/>
          <w:lang w:val="en-US"/>
        </w:rPr>
        <w:t xml:space="preserve">ALT </w:t>
      </w:r>
      <w:r w:rsidRPr="00C35E5D">
        <w:rPr>
          <w:rFonts w:eastAsia="Times New Roman" w:cs="Arial"/>
          <w:color w:val="000000"/>
          <w:lang w:eastAsia="bg-BG"/>
        </w:rPr>
        <w:t xml:space="preserve">или </w:t>
      </w:r>
      <w:r w:rsidRPr="00C35E5D">
        <w:rPr>
          <w:rFonts w:eastAsia="Times New Roman" w:cs="Arial"/>
          <w:color w:val="000000"/>
          <w:lang w:val="en-US"/>
        </w:rPr>
        <w:t xml:space="preserve">AST </w:t>
      </w:r>
      <w:r w:rsidRPr="00C35E5D">
        <w:rPr>
          <w:rFonts w:eastAsia="Times New Roman" w:cs="Arial"/>
          <w:color w:val="000000"/>
          <w:lang w:eastAsia="bg-BG"/>
        </w:rPr>
        <w:t>&gt; 2,5 х ГГН (горна граница на нормата) или &gt; 5,0 х ГГН, ако се дължи на чернодробни метастази .</w:t>
      </w:r>
    </w:p>
    <w:p w14:paraId="27E01C51" w14:textId="77777777" w:rsidR="00C35E5D" w:rsidRPr="009632C6" w:rsidRDefault="00C35E5D" w:rsidP="00C35E5D">
      <w:pPr>
        <w:spacing w:line="240" w:lineRule="auto"/>
        <w:rPr>
          <w:rFonts w:eastAsia="Times New Roman" w:cs="Arial"/>
          <w:i/>
          <w:iCs/>
          <w:color w:val="000000"/>
          <w:lang w:eastAsia="bg-BG"/>
        </w:rPr>
      </w:pPr>
    </w:p>
    <w:p w14:paraId="1C6147C2" w14:textId="1808E259" w:rsidR="00C35E5D" w:rsidRPr="00C35E5D" w:rsidRDefault="00C35E5D" w:rsidP="00C35E5D">
      <w:pPr>
        <w:spacing w:line="240" w:lineRule="auto"/>
        <w:rPr>
          <w:rFonts w:eastAsia="Times New Roman" w:cs="Arial"/>
          <w:lang w:eastAsia="bg-BG"/>
        </w:rPr>
      </w:pPr>
      <w:r w:rsidRPr="00C35E5D">
        <w:rPr>
          <w:rFonts w:eastAsia="Times New Roman" w:cs="Arial"/>
          <w:i/>
          <w:iCs/>
          <w:color w:val="000000"/>
          <w:lang w:eastAsia="bg-BG"/>
        </w:rPr>
        <w:t>Бъбречно увреждане</w:t>
      </w:r>
    </w:p>
    <w:p w14:paraId="5B0AB0F2" w14:textId="77777777"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 xml:space="preserve">Популационен ФК анализ е показал, че привидният клирънс на сунитиниб </w:t>
      </w:r>
      <w:r w:rsidRPr="00C35E5D">
        <w:rPr>
          <w:rFonts w:eastAsia="Times New Roman" w:cs="Arial"/>
          <w:color w:val="000000"/>
          <w:lang w:val="en-US"/>
        </w:rPr>
        <w:t xml:space="preserve">(CL/F) </w:t>
      </w:r>
      <w:r w:rsidRPr="00C35E5D">
        <w:rPr>
          <w:rFonts w:eastAsia="Times New Roman" w:cs="Arial"/>
          <w:color w:val="000000"/>
          <w:lang w:eastAsia="bg-BG"/>
        </w:rPr>
        <w:t xml:space="preserve">не е бил повлиян от креатининовия клирънс </w:t>
      </w:r>
      <w:r w:rsidRPr="00C35E5D">
        <w:rPr>
          <w:rFonts w:eastAsia="Times New Roman" w:cs="Arial"/>
          <w:color w:val="000000"/>
          <w:lang w:val="en-US"/>
        </w:rPr>
        <w:t>(</w:t>
      </w:r>
      <w:proofErr w:type="spellStart"/>
      <w:r w:rsidRPr="00C35E5D">
        <w:rPr>
          <w:rFonts w:eastAsia="Times New Roman" w:cs="Arial"/>
          <w:color w:val="000000"/>
          <w:lang w:val="en-US"/>
        </w:rPr>
        <w:t>CLcr</w:t>
      </w:r>
      <w:proofErr w:type="spellEnd"/>
      <w:r w:rsidRPr="00C35E5D">
        <w:rPr>
          <w:rFonts w:eastAsia="Times New Roman" w:cs="Arial"/>
          <w:color w:val="000000"/>
          <w:lang w:val="en-US"/>
        </w:rPr>
        <w:t xml:space="preserve">) </w:t>
      </w:r>
      <w:r w:rsidRPr="00C35E5D">
        <w:rPr>
          <w:rFonts w:eastAsia="Times New Roman" w:cs="Arial"/>
          <w:color w:val="000000"/>
          <w:lang w:eastAsia="bg-BG"/>
        </w:rPr>
        <w:t xml:space="preserve">в оценявания диапазон (42-347 </w:t>
      </w:r>
      <w:r w:rsidRPr="00C35E5D">
        <w:rPr>
          <w:rFonts w:eastAsia="Times New Roman" w:cs="Arial"/>
          <w:color w:val="000000"/>
          <w:lang w:val="en-US"/>
        </w:rPr>
        <w:t xml:space="preserve">ml/min). </w:t>
      </w:r>
      <w:r w:rsidRPr="00C35E5D">
        <w:rPr>
          <w:rFonts w:eastAsia="Times New Roman" w:cs="Arial"/>
          <w:color w:val="000000"/>
          <w:lang w:eastAsia="bg-BG"/>
        </w:rPr>
        <w:t xml:space="preserve">Системната експозиция след еднократна доза сунитиниб е била сходна при индивиди с тежко бъбречно увреждане </w:t>
      </w:r>
      <w:r w:rsidRPr="00C35E5D">
        <w:rPr>
          <w:rFonts w:eastAsia="Times New Roman" w:cs="Arial"/>
          <w:color w:val="000000"/>
          <w:lang w:val="en-US"/>
        </w:rPr>
        <w:t>(</w:t>
      </w:r>
      <w:proofErr w:type="spellStart"/>
      <w:r w:rsidRPr="00C35E5D">
        <w:rPr>
          <w:rFonts w:eastAsia="Times New Roman" w:cs="Arial"/>
          <w:color w:val="000000"/>
          <w:lang w:val="en-US"/>
        </w:rPr>
        <w:t>CLcr</w:t>
      </w:r>
      <w:proofErr w:type="spellEnd"/>
      <w:r w:rsidRPr="00C35E5D">
        <w:rPr>
          <w:rFonts w:eastAsia="Times New Roman" w:cs="Arial"/>
          <w:color w:val="000000"/>
          <w:lang w:val="en-US"/>
        </w:rPr>
        <w:t xml:space="preserve"> </w:t>
      </w:r>
      <w:r w:rsidRPr="00C35E5D">
        <w:rPr>
          <w:rFonts w:eastAsia="Times New Roman" w:cs="Arial"/>
          <w:color w:val="000000"/>
          <w:lang w:eastAsia="bg-BG"/>
        </w:rPr>
        <w:t xml:space="preserve">&lt; 30 </w:t>
      </w:r>
      <w:r w:rsidRPr="00C35E5D">
        <w:rPr>
          <w:rFonts w:eastAsia="Times New Roman" w:cs="Arial"/>
          <w:color w:val="000000"/>
          <w:lang w:val="en-US"/>
        </w:rPr>
        <w:t xml:space="preserve">ml/min) </w:t>
      </w:r>
      <w:r w:rsidRPr="00C35E5D">
        <w:rPr>
          <w:rFonts w:eastAsia="Times New Roman" w:cs="Arial"/>
          <w:color w:val="000000"/>
          <w:lang w:eastAsia="bg-BG"/>
        </w:rPr>
        <w:t xml:space="preserve">и такива с нормална бъбречна функция </w:t>
      </w:r>
      <w:r w:rsidRPr="00C35E5D">
        <w:rPr>
          <w:rFonts w:eastAsia="Times New Roman" w:cs="Arial"/>
          <w:color w:val="000000"/>
          <w:lang w:val="en-US"/>
        </w:rPr>
        <w:t>(</w:t>
      </w:r>
      <w:proofErr w:type="spellStart"/>
      <w:r w:rsidRPr="00C35E5D">
        <w:rPr>
          <w:rFonts w:eastAsia="Times New Roman" w:cs="Arial"/>
          <w:color w:val="000000"/>
          <w:lang w:val="en-US"/>
        </w:rPr>
        <w:t>CLcr</w:t>
      </w:r>
      <w:proofErr w:type="spellEnd"/>
      <w:r w:rsidRPr="00C35E5D">
        <w:rPr>
          <w:rFonts w:eastAsia="Times New Roman" w:cs="Arial"/>
          <w:color w:val="000000"/>
          <w:lang w:val="en-US"/>
        </w:rPr>
        <w:t xml:space="preserve"> </w:t>
      </w:r>
      <w:r w:rsidRPr="00C35E5D">
        <w:rPr>
          <w:rFonts w:eastAsia="Times New Roman" w:cs="Arial"/>
          <w:color w:val="000000"/>
          <w:lang w:eastAsia="bg-BG"/>
        </w:rPr>
        <w:t xml:space="preserve">&lt; 80 </w:t>
      </w:r>
      <w:r w:rsidRPr="00C35E5D">
        <w:rPr>
          <w:rFonts w:eastAsia="Times New Roman" w:cs="Arial"/>
          <w:color w:val="000000"/>
          <w:lang w:val="en-US"/>
        </w:rPr>
        <w:t>ml/min).</w:t>
      </w:r>
    </w:p>
    <w:p w14:paraId="44331B17" w14:textId="77777777"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Въпреки че сунитиниб и неговия първичен метаболит не се елиминирани чрез хемодиализа, при индивиди с ТБН, общата системна експозиция е била понижена с 47% при сунитиниб и 31% при неговия първичен метаболит, в сравнение с индивиди с нормална бъбречна функция.</w:t>
      </w:r>
    </w:p>
    <w:p w14:paraId="731216FD" w14:textId="77777777" w:rsidR="00C35E5D" w:rsidRPr="009632C6" w:rsidRDefault="00C35E5D" w:rsidP="00C35E5D">
      <w:pPr>
        <w:spacing w:line="240" w:lineRule="auto"/>
        <w:rPr>
          <w:rFonts w:eastAsia="Times New Roman" w:cs="Arial"/>
          <w:i/>
          <w:iCs/>
          <w:color w:val="000000"/>
          <w:lang w:eastAsia="bg-BG"/>
        </w:rPr>
      </w:pPr>
    </w:p>
    <w:p w14:paraId="77A31FC3" w14:textId="0C534F33" w:rsidR="00C35E5D" w:rsidRPr="00C35E5D" w:rsidRDefault="00C35E5D" w:rsidP="00C35E5D">
      <w:pPr>
        <w:spacing w:line="240" w:lineRule="auto"/>
        <w:rPr>
          <w:rFonts w:eastAsia="Times New Roman" w:cs="Arial"/>
          <w:lang w:eastAsia="bg-BG"/>
        </w:rPr>
      </w:pPr>
      <w:r w:rsidRPr="00C35E5D">
        <w:rPr>
          <w:rFonts w:eastAsia="Times New Roman" w:cs="Arial"/>
          <w:i/>
          <w:iCs/>
          <w:color w:val="000000"/>
          <w:lang w:eastAsia="bg-BG"/>
        </w:rPr>
        <w:t>Тегло, функционално състояние</w:t>
      </w:r>
    </w:p>
    <w:p w14:paraId="480676F2" w14:textId="77777777"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 xml:space="preserve">Популационни ФК анализи на демографски данни показват, че не са необходими първоначални адаптирания на дозата според телесното тегло или функционалното състояние по </w:t>
      </w:r>
      <w:r w:rsidRPr="00C35E5D">
        <w:rPr>
          <w:rFonts w:eastAsia="Times New Roman" w:cs="Arial"/>
          <w:color w:val="000000"/>
          <w:lang w:val="en-US"/>
        </w:rPr>
        <w:t>ECOG.</w:t>
      </w:r>
    </w:p>
    <w:p w14:paraId="54CB0A34" w14:textId="77777777" w:rsidR="00C35E5D" w:rsidRPr="009632C6" w:rsidRDefault="00C35E5D" w:rsidP="00C35E5D">
      <w:pPr>
        <w:spacing w:line="240" w:lineRule="auto"/>
        <w:rPr>
          <w:rFonts w:eastAsia="Times New Roman" w:cs="Arial"/>
          <w:i/>
          <w:iCs/>
          <w:color w:val="000000"/>
          <w:lang w:eastAsia="bg-BG"/>
        </w:rPr>
      </w:pPr>
    </w:p>
    <w:p w14:paraId="3B0E0C8A" w14:textId="19E0813F" w:rsidR="00C35E5D" w:rsidRPr="00C35E5D" w:rsidRDefault="00C35E5D" w:rsidP="00C35E5D">
      <w:pPr>
        <w:spacing w:line="240" w:lineRule="auto"/>
        <w:rPr>
          <w:rFonts w:eastAsia="Times New Roman" w:cs="Arial"/>
          <w:lang w:eastAsia="bg-BG"/>
        </w:rPr>
      </w:pPr>
      <w:r w:rsidRPr="00C35E5D">
        <w:rPr>
          <w:rFonts w:eastAsia="Times New Roman" w:cs="Arial"/>
          <w:i/>
          <w:iCs/>
          <w:color w:val="000000"/>
          <w:lang w:eastAsia="bg-BG"/>
        </w:rPr>
        <w:t>Пол</w:t>
      </w:r>
    </w:p>
    <w:p w14:paraId="2503CFD1" w14:textId="77777777"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 xml:space="preserve">Наличните данни показват, че жените могат да имат около 30% по-нисък привиден клирънс </w:t>
      </w:r>
      <w:r w:rsidRPr="00C35E5D">
        <w:rPr>
          <w:rFonts w:eastAsia="Times New Roman" w:cs="Arial"/>
          <w:color w:val="000000"/>
          <w:lang w:val="en-US"/>
        </w:rPr>
        <w:t xml:space="preserve">(CL/F) </w:t>
      </w:r>
      <w:r w:rsidRPr="00C35E5D">
        <w:rPr>
          <w:rFonts w:eastAsia="Times New Roman" w:cs="Arial"/>
          <w:color w:val="000000"/>
          <w:lang w:eastAsia="bg-BG"/>
        </w:rPr>
        <w:t>на сунитиниб, в сравнение с мъжете: тази разлика, обаче, не налага първоначални корекции на дозата.</w:t>
      </w:r>
    </w:p>
    <w:p w14:paraId="4CCAC47B" w14:textId="77777777" w:rsidR="00C35E5D" w:rsidRPr="009632C6" w:rsidRDefault="00C35E5D" w:rsidP="00C35E5D">
      <w:pPr>
        <w:spacing w:line="240" w:lineRule="auto"/>
        <w:rPr>
          <w:rFonts w:eastAsia="Times New Roman" w:cs="Arial"/>
          <w:i/>
          <w:iCs/>
          <w:color w:val="000000"/>
          <w:lang w:eastAsia="bg-BG"/>
        </w:rPr>
      </w:pPr>
    </w:p>
    <w:p w14:paraId="1E485BEB" w14:textId="14A30385" w:rsidR="00C35E5D" w:rsidRPr="00C35E5D" w:rsidRDefault="00C35E5D" w:rsidP="00C35E5D">
      <w:pPr>
        <w:spacing w:line="240" w:lineRule="auto"/>
        <w:rPr>
          <w:rFonts w:eastAsia="Times New Roman" w:cs="Arial"/>
          <w:lang w:eastAsia="bg-BG"/>
        </w:rPr>
      </w:pPr>
      <w:r w:rsidRPr="00C35E5D">
        <w:rPr>
          <w:rFonts w:eastAsia="Times New Roman" w:cs="Arial"/>
          <w:i/>
          <w:iCs/>
          <w:color w:val="000000"/>
          <w:lang w:eastAsia="bg-BG"/>
        </w:rPr>
        <w:t>Педиатрична популация</w:t>
      </w:r>
    </w:p>
    <w:p w14:paraId="58FB1BCA" w14:textId="77777777"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Опитът от употребата на сунитиниб при педиатрични пациенти е ограничен (вж. точка 4.2). Популационните ФК анализи на сборен набор от данни при възрастни пациенти с ГИСТ и солидни тумори, както и при педиатрични пациенти със солидни тумори са завършени. Извършени са анализи на стъпково ковариатно моделиране за оценка на ефекта на възрастта и размера на тялото (общо телесно тегло или площ на телесна повърхност), както и на други ковариати на важни ФК параметри за сунитиниб и неговия активен метаболит.</w:t>
      </w:r>
    </w:p>
    <w:p w14:paraId="3465F0EC" w14:textId="77777777"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 xml:space="preserve">От изследваните ковариати, свързани с възрастта и размера на тялото, възрастта е значима коварната на привидния клирънс на сунитиниб (колкото по-малка е възрастта на </w:t>
      </w:r>
      <w:r w:rsidRPr="00C35E5D">
        <w:rPr>
          <w:rFonts w:eastAsia="Times New Roman" w:cs="Arial"/>
          <w:color w:val="000000"/>
          <w:lang w:eastAsia="bg-BG"/>
        </w:rPr>
        <w:lastRenderedPageBreak/>
        <w:t>педиатричния пациент, толкова по-нисък е привидният клирънс). Подобно на това, телесната повърхност е значима коварната на привидния клирънс на активния метаболит (колкото по-малка е телесната повърхност, толкова по-нисък е привидният клирънс).</w:t>
      </w:r>
    </w:p>
    <w:p w14:paraId="79FDB203" w14:textId="77777777" w:rsidR="00C35E5D" w:rsidRPr="009632C6" w:rsidRDefault="00C35E5D" w:rsidP="00C35E5D">
      <w:pPr>
        <w:rPr>
          <w:rFonts w:eastAsia="Times New Roman" w:cs="Arial"/>
          <w:color w:val="000000"/>
          <w:lang w:eastAsia="bg-BG"/>
        </w:rPr>
      </w:pPr>
    </w:p>
    <w:p w14:paraId="03FFDE6B" w14:textId="66158871" w:rsidR="00C35E5D" w:rsidRPr="009632C6" w:rsidRDefault="00C35E5D" w:rsidP="00C35E5D">
      <w:pPr>
        <w:rPr>
          <w:rFonts w:cs="Arial"/>
          <w:lang w:val="en-US"/>
        </w:rPr>
      </w:pPr>
      <w:r w:rsidRPr="009632C6">
        <w:rPr>
          <w:rFonts w:eastAsia="Times New Roman" w:cs="Arial"/>
          <w:color w:val="000000"/>
          <w:lang w:eastAsia="bg-BG"/>
        </w:rPr>
        <w:t xml:space="preserve">Освен това въз основа на интегриран ФК анализ на сборни данни от 3 педиатрични проучвания (2 педиатрични проучвания при солидни тумори и 1 педиатрично проучване при ГИСТ; възрасти: от 6 години до 11 години и от 12 години до 17 години), изходната телесна повърхност (ИТП) е значима коварната на привидния клирънс на сунитиниб и неговия активен метаболит. Въз основа на този анализ доза приблизително 20 </w:t>
      </w:r>
      <w:r w:rsidRPr="009632C6">
        <w:rPr>
          <w:rFonts w:eastAsia="Times New Roman" w:cs="Arial"/>
          <w:color w:val="000000"/>
          <w:lang w:val="en-US"/>
        </w:rPr>
        <w:t>mg/m</w:t>
      </w:r>
      <w:r w:rsidRPr="009632C6">
        <w:rPr>
          <w:rFonts w:eastAsia="Times New Roman" w:cs="Arial"/>
          <w:color w:val="000000"/>
          <w:vertAlign w:val="superscript"/>
          <w:lang w:val="en-US"/>
        </w:rPr>
        <w:t>2</w:t>
      </w:r>
      <w:r w:rsidRPr="009632C6">
        <w:rPr>
          <w:rFonts w:eastAsia="Times New Roman" w:cs="Arial"/>
          <w:color w:val="000000"/>
          <w:lang w:val="en-US"/>
        </w:rPr>
        <w:t xml:space="preserve"> </w:t>
      </w:r>
      <w:r w:rsidRPr="009632C6">
        <w:rPr>
          <w:rFonts w:eastAsia="Times New Roman" w:cs="Arial"/>
          <w:color w:val="000000"/>
          <w:lang w:eastAsia="bg-BG"/>
        </w:rPr>
        <w:t xml:space="preserve">дневно при педиатрични пациенти с диапазон на ИТП между 1,10 и 1,87 </w:t>
      </w:r>
      <w:r w:rsidRPr="009632C6">
        <w:rPr>
          <w:rFonts w:eastAsia="Times New Roman" w:cs="Arial"/>
          <w:color w:val="000000"/>
          <w:lang w:val="en-US"/>
        </w:rPr>
        <w:t>m</w:t>
      </w:r>
      <w:r w:rsidRPr="009632C6">
        <w:rPr>
          <w:rFonts w:eastAsia="Times New Roman" w:cs="Arial"/>
          <w:color w:val="000000"/>
          <w:vertAlign w:val="superscript"/>
          <w:lang w:val="en-US"/>
        </w:rPr>
        <w:t>2</w:t>
      </w:r>
      <w:r w:rsidRPr="009632C6">
        <w:rPr>
          <w:rFonts w:eastAsia="Times New Roman" w:cs="Arial"/>
          <w:color w:val="000000"/>
          <w:lang w:eastAsia="bg-BG"/>
        </w:rPr>
        <w:t xml:space="preserve"> се очаква да достави експозиции на сунитиниб и неговия активен метаболит (между 75 и 125% от </w:t>
      </w:r>
      <w:r w:rsidRPr="009632C6">
        <w:rPr>
          <w:rFonts w:eastAsia="Times New Roman" w:cs="Arial"/>
          <w:color w:val="000000"/>
          <w:lang w:val="en-US"/>
        </w:rPr>
        <w:t xml:space="preserve">AUC), </w:t>
      </w:r>
      <w:r w:rsidRPr="009632C6">
        <w:rPr>
          <w:rFonts w:eastAsia="Times New Roman" w:cs="Arial"/>
          <w:color w:val="000000"/>
          <w:lang w:eastAsia="bg-BG"/>
        </w:rPr>
        <w:t xml:space="preserve">сравними с тези при възрастни с ГИСТ, на които е прилаган сунитиниб 50 </w:t>
      </w:r>
      <w:r w:rsidRPr="009632C6">
        <w:rPr>
          <w:rFonts w:eastAsia="Times New Roman" w:cs="Arial"/>
          <w:color w:val="000000"/>
          <w:lang w:val="en-US"/>
        </w:rPr>
        <w:t xml:space="preserve">mg </w:t>
      </w:r>
      <w:r w:rsidRPr="009632C6">
        <w:rPr>
          <w:rFonts w:eastAsia="Times New Roman" w:cs="Arial"/>
          <w:color w:val="000000"/>
          <w:lang w:eastAsia="bg-BG"/>
        </w:rPr>
        <w:t xml:space="preserve">дневно по Схема 4/2 </w:t>
      </w:r>
      <w:r w:rsidRPr="009632C6">
        <w:rPr>
          <w:rFonts w:eastAsia="Times New Roman" w:cs="Arial"/>
          <w:color w:val="000000"/>
          <w:lang w:val="en-US"/>
        </w:rPr>
        <w:t xml:space="preserve">(AUC </w:t>
      </w:r>
      <w:r w:rsidRPr="009632C6">
        <w:rPr>
          <w:rFonts w:eastAsia="Times New Roman" w:cs="Arial"/>
          <w:color w:val="000000"/>
          <w:lang w:eastAsia="bg-BG"/>
        </w:rPr>
        <w:t xml:space="preserve">1233 </w:t>
      </w:r>
      <w:r w:rsidRPr="009632C6">
        <w:rPr>
          <w:rFonts w:eastAsia="Times New Roman" w:cs="Arial"/>
          <w:color w:val="000000"/>
          <w:lang w:val="en-US"/>
        </w:rPr>
        <w:t xml:space="preserve">ng.hr/ml). </w:t>
      </w:r>
      <w:r w:rsidRPr="009632C6">
        <w:rPr>
          <w:rFonts w:eastAsia="Times New Roman" w:cs="Arial"/>
          <w:color w:val="000000"/>
          <w:lang w:eastAsia="bg-BG"/>
        </w:rPr>
        <w:t xml:space="preserve">При педиатрични проучвания, началната доза сунитиниб е 15 </w:t>
      </w:r>
      <w:r w:rsidRPr="009632C6">
        <w:rPr>
          <w:rFonts w:eastAsia="Times New Roman" w:cs="Arial"/>
          <w:color w:val="000000"/>
          <w:lang w:val="en-US"/>
        </w:rPr>
        <w:t>mg/m</w:t>
      </w:r>
      <w:r w:rsidRPr="009632C6">
        <w:rPr>
          <w:rFonts w:eastAsia="Times New Roman" w:cs="Arial"/>
          <w:color w:val="000000"/>
          <w:vertAlign w:val="superscript"/>
          <w:lang w:val="en-US"/>
        </w:rPr>
        <w:t>2</w:t>
      </w:r>
      <w:r w:rsidRPr="009632C6">
        <w:rPr>
          <w:rFonts w:eastAsia="Times New Roman" w:cs="Arial"/>
          <w:color w:val="000000"/>
          <w:lang w:val="en-US"/>
        </w:rPr>
        <w:t xml:space="preserve"> </w:t>
      </w:r>
      <w:r w:rsidRPr="009632C6">
        <w:rPr>
          <w:rFonts w:eastAsia="Times New Roman" w:cs="Arial"/>
          <w:color w:val="000000"/>
          <w:lang w:eastAsia="bg-BG"/>
        </w:rPr>
        <w:t>(въз основа на МПД, идентифицирана при проучване фаза 1 с повишаванена дозата, вж. точка 5.1), която</w:t>
      </w:r>
      <w:r w:rsidRPr="009632C6">
        <w:rPr>
          <w:rFonts w:eastAsia="Times New Roman" w:cs="Arial"/>
          <w:color w:val="000000"/>
          <w:lang w:val="en-US"/>
        </w:rPr>
        <w:t xml:space="preserve"> </w:t>
      </w:r>
      <w:r w:rsidRPr="009632C6">
        <w:rPr>
          <w:rFonts w:eastAsia="Times New Roman" w:cs="Arial"/>
          <w:color w:val="000000"/>
          <w:lang w:eastAsia="bg-BG"/>
        </w:rPr>
        <w:t xml:space="preserve">при педиатрични пациенти с ГИСТ е повишена до 22,5 </w:t>
      </w:r>
      <w:r w:rsidRPr="009632C6">
        <w:rPr>
          <w:rFonts w:eastAsia="Times New Roman" w:cs="Arial"/>
          <w:color w:val="000000"/>
          <w:lang w:val="en-US"/>
        </w:rPr>
        <w:t>mg/m</w:t>
      </w:r>
      <w:r w:rsidRPr="009632C6">
        <w:rPr>
          <w:rFonts w:eastAsia="Times New Roman" w:cs="Arial"/>
          <w:color w:val="000000"/>
          <w:vertAlign w:val="superscript"/>
          <w:lang w:val="en-US"/>
        </w:rPr>
        <w:t>2</w:t>
      </w:r>
      <w:r w:rsidRPr="009632C6">
        <w:rPr>
          <w:rFonts w:eastAsia="Times New Roman" w:cs="Arial"/>
          <w:color w:val="000000"/>
          <w:lang w:val="en-US"/>
        </w:rPr>
        <w:t xml:space="preserve"> </w:t>
      </w:r>
      <w:r w:rsidRPr="009632C6">
        <w:rPr>
          <w:rFonts w:eastAsia="Times New Roman" w:cs="Arial"/>
          <w:color w:val="000000"/>
          <w:lang w:eastAsia="bg-BG"/>
        </w:rPr>
        <w:t xml:space="preserve">и впоследствие до 30 </w:t>
      </w:r>
      <w:r w:rsidRPr="009632C6">
        <w:rPr>
          <w:rFonts w:eastAsia="Times New Roman" w:cs="Arial"/>
          <w:color w:val="000000"/>
          <w:lang w:val="en-US"/>
        </w:rPr>
        <w:t>mg</w:t>
      </w:r>
      <w:r w:rsidRPr="009632C6">
        <w:rPr>
          <w:rFonts w:eastAsia="Times New Roman" w:cs="Arial"/>
          <w:color w:val="000000"/>
          <w:lang w:eastAsia="bg-BG"/>
        </w:rPr>
        <w:t xml:space="preserve"> /</w:t>
      </w:r>
      <w:r w:rsidRPr="009632C6">
        <w:rPr>
          <w:rFonts w:eastAsia="Times New Roman" w:cs="Arial"/>
          <w:color w:val="000000"/>
          <w:lang w:val="en-US"/>
        </w:rPr>
        <w:t>m</w:t>
      </w:r>
      <w:r w:rsidRPr="009632C6">
        <w:rPr>
          <w:rFonts w:eastAsia="Times New Roman" w:cs="Arial"/>
          <w:color w:val="000000"/>
          <w:vertAlign w:val="superscript"/>
          <w:lang w:val="en-US"/>
        </w:rPr>
        <w:t>2</w:t>
      </w:r>
      <w:r w:rsidRPr="009632C6">
        <w:rPr>
          <w:rFonts w:eastAsia="Times New Roman" w:cs="Arial"/>
          <w:color w:val="000000"/>
          <w:lang w:val="en-US"/>
        </w:rPr>
        <w:t xml:space="preserve"> </w:t>
      </w:r>
      <w:r w:rsidRPr="009632C6">
        <w:rPr>
          <w:rFonts w:eastAsia="Times New Roman" w:cs="Arial"/>
          <w:color w:val="000000"/>
          <w:lang w:eastAsia="bg-BG"/>
        </w:rPr>
        <w:t xml:space="preserve">не се превишава общата доза 50 </w:t>
      </w:r>
      <w:r w:rsidRPr="009632C6">
        <w:rPr>
          <w:rFonts w:eastAsia="Times New Roman" w:cs="Arial"/>
          <w:color w:val="000000"/>
          <w:lang w:val="en-US"/>
        </w:rPr>
        <w:t>mg</w:t>
      </w:r>
      <w:r w:rsidRPr="009632C6">
        <w:rPr>
          <w:rFonts w:eastAsia="Times New Roman" w:cs="Arial"/>
          <w:color w:val="000000"/>
          <w:lang w:eastAsia="bg-BG"/>
        </w:rPr>
        <w:t>/ден) въз основа на индивидуалната поносимост/безопасност при</w:t>
      </w:r>
      <w:r w:rsidRPr="009632C6">
        <w:rPr>
          <w:rFonts w:eastAsia="Times New Roman" w:cs="Arial"/>
          <w:color w:val="000000"/>
          <w:vertAlign w:val="superscript"/>
          <w:lang w:eastAsia="bg-BG"/>
        </w:rPr>
        <w:t xml:space="preserve"> </w:t>
      </w:r>
      <w:r w:rsidRPr="009632C6">
        <w:rPr>
          <w:rFonts w:eastAsia="Times New Roman" w:cs="Arial"/>
          <w:color w:val="000000"/>
          <w:lang w:eastAsia="bg-BG"/>
        </w:rPr>
        <w:t>пациентите. Освен това, според публикувани литературни данни при педиатрични пациенти с</w:t>
      </w:r>
      <w:r w:rsidRPr="009632C6">
        <w:rPr>
          <w:rFonts w:eastAsia="Times New Roman" w:cs="Arial"/>
          <w:color w:val="000000"/>
          <w:lang w:val="en-US" w:eastAsia="bg-BG"/>
        </w:rPr>
        <w:t xml:space="preserve"> </w:t>
      </w:r>
      <w:r w:rsidRPr="009632C6">
        <w:rPr>
          <w:rFonts w:cs="Arial"/>
        </w:rPr>
        <w:t xml:space="preserve">ГИСТ, изчислената начална доза е в границите между 16,6 </w:t>
      </w:r>
      <w:r w:rsidRPr="009632C6">
        <w:rPr>
          <w:rFonts w:cs="Arial"/>
          <w:lang w:val="en-US"/>
        </w:rPr>
        <w:t>mg/m</w:t>
      </w:r>
      <w:r w:rsidRPr="009632C6">
        <w:rPr>
          <w:rFonts w:cs="Arial"/>
          <w:vertAlign w:val="superscript"/>
          <w:lang w:val="en-US"/>
        </w:rPr>
        <w:t>2</w:t>
      </w:r>
      <w:r w:rsidRPr="009632C6">
        <w:rPr>
          <w:rFonts w:cs="Arial"/>
          <w:lang w:val="en-US"/>
        </w:rPr>
        <w:t xml:space="preserve"> </w:t>
      </w:r>
      <w:r w:rsidRPr="009632C6">
        <w:rPr>
          <w:rFonts w:cs="Arial"/>
        </w:rPr>
        <w:t xml:space="preserve">до 36 </w:t>
      </w:r>
      <w:r w:rsidRPr="009632C6">
        <w:rPr>
          <w:rFonts w:cs="Arial"/>
          <w:lang w:val="en-US"/>
        </w:rPr>
        <w:t>mg/m</w:t>
      </w:r>
      <w:r w:rsidRPr="009632C6">
        <w:rPr>
          <w:rFonts w:cs="Arial"/>
          <w:vertAlign w:val="superscript"/>
          <w:lang w:val="en-US"/>
        </w:rPr>
        <w:t>2</w:t>
      </w:r>
      <w:r w:rsidRPr="009632C6">
        <w:rPr>
          <w:rFonts w:cs="Arial"/>
          <w:lang w:val="en-US"/>
        </w:rPr>
        <w:t xml:space="preserve">, </w:t>
      </w:r>
      <w:r w:rsidRPr="009632C6">
        <w:rPr>
          <w:rFonts w:cs="Arial"/>
        </w:rPr>
        <w:t xml:space="preserve">повишена до високи дози като40,4 </w:t>
      </w:r>
      <w:r w:rsidRPr="009632C6">
        <w:rPr>
          <w:rFonts w:cs="Arial"/>
          <w:lang w:val="en-US"/>
        </w:rPr>
        <w:t>mg/m</w:t>
      </w:r>
      <w:r w:rsidRPr="009632C6">
        <w:rPr>
          <w:rFonts w:cs="Arial"/>
          <w:vertAlign w:val="superscript"/>
          <w:lang w:val="en-US"/>
        </w:rPr>
        <w:t>2</w:t>
      </w:r>
      <w:r w:rsidRPr="009632C6">
        <w:rPr>
          <w:rFonts w:cs="Arial"/>
          <w:lang w:val="en-US"/>
        </w:rPr>
        <w:t xml:space="preserve"> </w:t>
      </w:r>
      <w:r w:rsidRPr="009632C6">
        <w:rPr>
          <w:rFonts w:cs="Arial"/>
        </w:rPr>
        <w:t xml:space="preserve">(без да се превишава общата доза 50 </w:t>
      </w:r>
      <w:r w:rsidRPr="009632C6">
        <w:rPr>
          <w:rFonts w:cs="Arial"/>
          <w:lang w:val="en-US"/>
        </w:rPr>
        <w:t>mg</w:t>
      </w:r>
      <w:r w:rsidRPr="009632C6">
        <w:rPr>
          <w:rFonts w:cs="Arial"/>
        </w:rPr>
        <w:t>/ден).</w:t>
      </w:r>
    </w:p>
    <w:p w14:paraId="6352381E" w14:textId="77777777" w:rsidR="00C35E5D" w:rsidRPr="0091385D" w:rsidRDefault="00C35E5D" w:rsidP="0091385D"/>
    <w:p w14:paraId="648E39DA" w14:textId="44D16CBD" w:rsidR="00CF77F7" w:rsidRDefault="002C50EE" w:rsidP="004A448E">
      <w:pPr>
        <w:pStyle w:val="Heading2"/>
      </w:pPr>
      <w:r>
        <w:t>5.3. Предклинични данни за безопасност</w:t>
      </w:r>
    </w:p>
    <w:p w14:paraId="20E967BE" w14:textId="751DCF54" w:rsidR="0091385D" w:rsidRDefault="0091385D" w:rsidP="0091385D"/>
    <w:p w14:paraId="0228433E" w14:textId="77777777"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 xml:space="preserve">В проучвания върху плъхове и маймуни на токсичността при многократно прилагане с продължителност до 9 месеца, основните ефекти върху прицелните органи са били установени в стомашно-чревния тракт (повръщане и диария при маймуни), надбъбречна жлеза (кортикална конгестия и/или кръвоизлив при плъхове и маймуни с некроза, последвана от фиброза при плъхове), хемолимфопоетична система (костномозъчна хипоцелуларност; деплеция на лимфоиди от тимус, слезка и лимфни възли), екзокринен панкреас (дегранулация на ацинарните клетки с некроза на единични клетки), слюнчена жлеза (ацинарна хипертрофия), костно-ставни (удебеляване на растежните плочки), матка (атрофия) и яйчници (намалено образуване на фоликулите). Всички прояви са настъпили при клинично значими плазмени нива на експозиция на сунитиниб. Допълнителни ефекти, наблюдавани в други проучвания, са включвали: удължаване на </w:t>
      </w:r>
      <w:proofErr w:type="spellStart"/>
      <w:r w:rsidRPr="00C35E5D">
        <w:rPr>
          <w:rFonts w:eastAsia="Times New Roman" w:cs="Arial"/>
          <w:color w:val="000000"/>
          <w:lang w:val="en-US"/>
        </w:rPr>
        <w:t>QTc</w:t>
      </w:r>
      <w:proofErr w:type="spellEnd"/>
      <w:r w:rsidRPr="00C35E5D">
        <w:rPr>
          <w:rFonts w:eastAsia="Times New Roman" w:cs="Arial"/>
          <w:color w:val="000000"/>
          <w:lang w:val="en-US"/>
        </w:rPr>
        <w:t xml:space="preserve"> </w:t>
      </w:r>
      <w:r w:rsidRPr="00C35E5D">
        <w:rPr>
          <w:rFonts w:eastAsia="Times New Roman" w:cs="Arial"/>
          <w:color w:val="000000"/>
          <w:lang w:eastAsia="bg-BG"/>
        </w:rPr>
        <w:t>интервала, намаляване на левокамерната фракция на изтласкване, атрофия на ту булите на тестисите, увеличаване на мезангиалните клетки в бъбреците, кръвоизлив в стомашно-чревния тракт и лигавицата на устата и хипертрофия на клетките на предния дял на хипофизата. Смята се, че промените в матката (ендометриална атрофия) и растежните плочки на костите (удебеляване на физата или хрущялна дисплазия) са свързани с фармакологичното действие на сунитиниб. Повечето от тези явления са били обратими след 2 до 6 седмици без лечение.</w:t>
      </w:r>
    </w:p>
    <w:p w14:paraId="0E085940" w14:textId="77777777" w:rsidR="00E86AE3" w:rsidRDefault="00E86AE3" w:rsidP="00C35E5D">
      <w:pPr>
        <w:spacing w:line="240" w:lineRule="auto"/>
        <w:rPr>
          <w:rFonts w:eastAsia="Times New Roman" w:cs="Arial"/>
          <w:color w:val="000000"/>
          <w:u w:val="single"/>
          <w:lang w:eastAsia="bg-BG"/>
        </w:rPr>
      </w:pPr>
    </w:p>
    <w:p w14:paraId="5DA85A3E" w14:textId="0F6AC4B0" w:rsidR="00C35E5D" w:rsidRPr="00C35E5D" w:rsidRDefault="00C35E5D" w:rsidP="00C35E5D">
      <w:pPr>
        <w:spacing w:line="240" w:lineRule="auto"/>
        <w:rPr>
          <w:rFonts w:eastAsia="Times New Roman" w:cs="Arial"/>
          <w:lang w:eastAsia="bg-BG"/>
        </w:rPr>
      </w:pPr>
      <w:r w:rsidRPr="00C35E5D">
        <w:rPr>
          <w:rFonts w:eastAsia="Times New Roman" w:cs="Arial"/>
          <w:color w:val="000000"/>
          <w:u w:val="single"/>
          <w:lang w:eastAsia="bg-BG"/>
        </w:rPr>
        <w:t>Генотоксичност</w:t>
      </w:r>
    </w:p>
    <w:p w14:paraId="1E9AE9A0" w14:textId="77777777"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 xml:space="preserve">Генотоксичният потенциал на сунитиниб е бил изследван </w:t>
      </w:r>
      <w:r w:rsidRPr="00C35E5D">
        <w:rPr>
          <w:rFonts w:eastAsia="Times New Roman" w:cs="Arial"/>
          <w:i/>
          <w:iCs/>
          <w:color w:val="000000"/>
          <w:lang w:val="en-US"/>
        </w:rPr>
        <w:t>in vitro</w:t>
      </w:r>
      <w:r w:rsidRPr="00C35E5D">
        <w:rPr>
          <w:rFonts w:eastAsia="Times New Roman" w:cs="Arial"/>
          <w:color w:val="000000"/>
          <w:lang w:val="en-US"/>
        </w:rPr>
        <w:t xml:space="preserve"> </w:t>
      </w:r>
      <w:r w:rsidRPr="00C35E5D">
        <w:rPr>
          <w:rFonts w:eastAsia="Times New Roman" w:cs="Arial"/>
          <w:color w:val="000000"/>
          <w:lang w:eastAsia="bg-BG"/>
        </w:rPr>
        <w:t xml:space="preserve">и </w:t>
      </w:r>
      <w:r w:rsidRPr="00C35E5D">
        <w:rPr>
          <w:rFonts w:eastAsia="Times New Roman" w:cs="Arial"/>
          <w:i/>
          <w:iCs/>
          <w:color w:val="000000"/>
          <w:lang w:val="en-US"/>
        </w:rPr>
        <w:t>in vivo.</w:t>
      </w:r>
      <w:r w:rsidRPr="00C35E5D">
        <w:rPr>
          <w:rFonts w:eastAsia="Times New Roman" w:cs="Arial"/>
          <w:color w:val="000000"/>
          <w:lang w:val="en-US"/>
        </w:rPr>
        <w:t xml:space="preserve"> </w:t>
      </w:r>
      <w:r w:rsidRPr="00C35E5D">
        <w:rPr>
          <w:rFonts w:eastAsia="Times New Roman" w:cs="Arial"/>
          <w:color w:val="000000"/>
          <w:lang w:eastAsia="bg-BG"/>
        </w:rPr>
        <w:t xml:space="preserve">Сунитиниб не е бил мутагенен при бактерии, като се използва метаболитно активиране от черен дроб на плъх. Сунитиниб не е предизвикал структурни хромозомни нарушения </w:t>
      </w:r>
      <w:r w:rsidRPr="00C35E5D">
        <w:rPr>
          <w:rFonts w:eastAsia="Times New Roman" w:cs="Arial"/>
          <w:i/>
          <w:iCs/>
          <w:color w:val="000000"/>
          <w:lang w:val="en-US"/>
        </w:rPr>
        <w:t>in vitro</w:t>
      </w:r>
      <w:r w:rsidRPr="00C35E5D">
        <w:rPr>
          <w:rFonts w:eastAsia="Times New Roman" w:cs="Arial"/>
          <w:color w:val="000000"/>
          <w:lang w:val="en-US"/>
        </w:rPr>
        <w:t xml:space="preserve"> </w:t>
      </w:r>
      <w:r w:rsidRPr="00C35E5D">
        <w:rPr>
          <w:rFonts w:eastAsia="Times New Roman" w:cs="Arial"/>
          <w:color w:val="000000"/>
          <w:lang w:eastAsia="bg-BG"/>
        </w:rPr>
        <w:t>в лимфоцитни клетки от човешка периферна кръв.</w:t>
      </w:r>
    </w:p>
    <w:p w14:paraId="38015539" w14:textId="77777777"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 xml:space="preserve">В лимфоцити от човешка периферна кръв </w:t>
      </w:r>
      <w:r w:rsidRPr="00C35E5D">
        <w:rPr>
          <w:rFonts w:eastAsia="Times New Roman" w:cs="Arial"/>
          <w:color w:val="000000"/>
          <w:lang w:val="en-US"/>
        </w:rPr>
        <w:t xml:space="preserve">in vitro </w:t>
      </w:r>
      <w:r w:rsidRPr="00C35E5D">
        <w:rPr>
          <w:rFonts w:eastAsia="Times New Roman" w:cs="Arial"/>
          <w:color w:val="000000"/>
          <w:lang w:eastAsia="bg-BG"/>
        </w:rPr>
        <w:t xml:space="preserve">са наблюдавани полиплоиди (числени хромозомни аберации) както в присъствието, така и в отсъствието на метаболитно </w:t>
      </w:r>
      <w:r w:rsidRPr="00C35E5D">
        <w:rPr>
          <w:rFonts w:eastAsia="Times New Roman" w:cs="Arial"/>
          <w:color w:val="000000"/>
          <w:lang w:eastAsia="bg-BG"/>
        </w:rPr>
        <w:lastRenderedPageBreak/>
        <w:t xml:space="preserve">активиране. Сунитиниб не е бил кластогенен в костен мозък от плъх </w:t>
      </w:r>
      <w:r w:rsidRPr="00C35E5D">
        <w:rPr>
          <w:rFonts w:eastAsia="Times New Roman" w:cs="Arial"/>
          <w:i/>
          <w:iCs/>
          <w:color w:val="000000"/>
          <w:lang w:val="en-US"/>
        </w:rPr>
        <w:t>in vivo.</w:t>
      </w:r>
      <w:r w:rsidRPr="00C35E5D">
        <w:rPr>
          <w:rFonts w:eastAsia="Times New Roman" w:cs="Arial"/>
          <w:color w:val="000000"/>
          <w:lang w:val="en-US"/>
        </w:rPr>
        <w:t xml:space="preserve"> </w:t>
      </w:r>
      <w:r w:rsidRPr="00C35E5D">
        <w:rPr>
          <w:rFonts w:eastAsia="Times New Roman" w:cs="Arial"/>
          <w:color w:val="000000"/>
          <w:lang w:eastAsia="bg-BG"/>
        </w:rPr>
        <w:t>Генотоксичният потенциал на основният активен метаболит не е бил изпитван.</w:t>
      </w:r>
    </w:p>
    <w:p w14:paraId="569A5314" w14:textId="77777777" w:rsidR="00E86AE3" w:rsidRDefault="00E86AE3" w:rsidP="00C35E5D">
      <w:pPr>
        <w:spacing w:line="240" w:lineRule="auto"/>
        <w:rPr>
          <w:rFonts w:eastAsia="Times New Roman" w:cs="Arial"/>
          <w:color w:val="000000"/>
          <w:u w:val="single"/>
          <w:lang w:eastAsia="bg-BG"/>
        </w:rPr>
      </w:pPr>
    </w:p>
    <w:p w14:paraId="262F4B18" w14:textId="7154A066" w:rsidR="00C35E5D" w:rsidRPr="00C35E5D" w:rsidRDefault="00C35E5D" w:rsidP="00C35E5D">
      <w:pPr>
        <w:spacing w:line="240" w:lineRule="auto"/>
        <w:rPr>
          <w:rFonts w:eastAsia="Times New Roman" w:cs="Arial"/>
          <w:lang w:eastAsia="bg-BG"/>
        </w:rPr>
      </w:pPr>
      <w:bookmarkStart w:id="2" w:name="_GoBack"/>
      <w:bookmarkEnd w:id="2"/>
      <w:r w:rsidRPr="00C35E5D">
        <w:rPr>
          <w:rFonts w:eastAsia="Times New Roman" w:cs="Arial"/>
          <w:color w:val="000000"/>
          <w:u w:val="single"/>
          <w:lang w:eastAsia="bg-BG"/>
        </w:rPr>
        <w:t>Канцерогенност</w:t>
      </w:r>
    </w:p>
    <w:p w14:paraId="7F6093F5" w14:textId="77777777"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 xml:space="preserve">При едномесечно проучване с перорална гастрална сонда, за установяване на дозов диапазон (0, 10, 25, 75 или 200 </w:t>
      </w:r>
      <w:r w:rsidRPr="00C35E5D">
        <w:rPr>
          <w:rFonts w:eastAsia="Times New Roman" w:cs="Arial"/>
          <w:color w:val="000000"/>
          <w:lang w:val="en-US"/>
        </w:rPr>
        <w:t>mg/kg</w:t>
      </w:r>
      <w:r w:rsidRPr="00C35E5D">
        <w:rPr>
          <w:rFonts w:eastAsia="Times New Roman" w:cs="Arial"/>
          <w:color w:val="000000"/>
          <w:lang w:eastAsia="bg-BG"/>
        </w:rPr>
        <w:t xml:space="preserve">/дневно) след продължителен ежедневен прием при </w:t>
      </w:r>
      <w:r w:rsidRPr="00C35E5D">
        <w:rPr>
          <w:rFonts w:eastAsia="Times New Roman" w:cs="Arial"/>
          <w:color w:val="000000"/>
          <w:lang w:val="en-US"/>
        </w:rPr>
        <w:t xml:space="preserve">rasH2 </w:t>
      </w:r>
      <w:r w:rsidRPr="00C35E5D">
        <w:rPr>
          <w:rFonts w:eastAsia="Times New Roman" w:cs="Arial"/>
          <w:color w:val="000000"/>
          <w:lang w:eastAsia="bg-BG"/>
        </w:rPr>
        <w:t xml:space="preserve">трансгенни мишки, са наблюдавани карцином и хиперплазия на Брунеровите жлези на дванадесетопръстника, при най-високата изпитвана доза (200 </w:t>
      </w:r>
      <w:r w:rsidRPr="00C35E5D">
        <w:rPr>
          <w:rFonts w:eastAsia="Times New Roman" w:cs="Arial"/>
          <w:color w:val="000000"/>
          <w:lang w:val="en-US"/>
        </w:rPr>
        <w:t>mg/kg</w:t>
      </w:r>
      <w:r w:rsidRPr="00C35E5D">
        <w:rPr>
          <w:rFonts w:eastAsia="Times New Roman" w:cs="Arial"/>
          <w:color w:val="000000"/>
          <w:lang w:eastAsia="bg-BG"/>
        </w:rPr>
        <w:t>/ден).</w:t>
      </w:r>
    </w:p>
    <w:p w14:paraId="0F204586" w14:textId="77777777" w:rsidR="00C35E5D" w:rsidRPr="009632C6" w:rsidRDefault="00C35E5D" w:rsidP="00C35E5D">
      <w:pPr>
        <w:spacing w:line="240" w:lineRule="auto"/>
        <w:rPr>
          <w:rFonts w:eastAsia="Times New Roman" w:cs="Arial"/>
          <w:color w:val="000000"/>
          <w:lang w:eastAsia="bg-BG"/>
        </w:rPr>
      </w:pPr>
    </w:p>
    <w:p w14:paraId="37191FB5" w14:textId="4960516B"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 xml:space="preserve">При </w:t>
      </w:r>
      <w:r w:rsidRPr="00C35E5D">
        <w:rPr>
          <w:rFonts w:eastAsia="Times New Roman" w:cs="Arial"/>
          <w:color w:val="000000"/>
          <w:lang w:val="en-US"/>
        </w:rPr>
        <w:t xml:space="preserve">rasH2 </w:t>
      </w:r>
      <w:r w:rsidRPr="00C35E5D">
        <w:rPr>
          <w:rFonts w:eastAsia="Times New Roman" w:cs="Arial"/>
          <w:color w:val="000000"/>
          <w:lang w:eastAsia="bg-BG"/>
        </w:rPr>
        <w:t xml:space="preserve">трансгенни мишки е проведено 6-месечно проучване с перорална гастрална сонда за карциногенност (0, 8,25, 75 [понижени до 50] </w:t>
      </w:r>
      <w:r w:rsidRPr="00C35E5D">
        <w:rPr>
          <w:rFonts w:eastAsia="Times New Roman" w:cs="Arial"/>
          <w:color w:val="000000"/>
          <w:lang w:val="en-US"/>
        </w:rPr>
        <w:t>mg/kg</w:t>
      </w:r>
      <w:r w:rsidRPr="00C35E5D">
        <w:rPr>
          <w:rFonts w:eastAsia="Times New Roman" w:cs="Arial"/>
          <w:color w:val="000000"/>
          <w:lang w:eastAsia="bg-BG"/>
        </w:rPr>
        <w:t xml:space="preserve">/дневно) при ежедневно дозиране. Гастродуоденални карциноми, повишена честота на съпътстващи хемангиосаркоми и/или хиперплазия на стомашната лигавица са наблюдавани при дози ≥ 25 </w:t>
      </w:r>
      <w:r w:rsidRPr="00C35E5D">
        <w:rPr>
          <w:rFonts w:eastAsia="Times New Roman" w:cs="Arial"/>
          <w:color w:val="000000"/>
          <w:lang w:val="en-US"/>
        </w:rPr>
        <w:t xml:space="preserve">mg/kg </w:t>
      </w:r>
      <w:r w:rsidRPr="00C35E5D">
        <w:rPr>
          <w:rFonts w:eastAsia="Times New Roman" w:cs="Arial"/>
          <w:color w:val="000000"/>
          <w:lang w:eastAsia="bg-BG"/>
        </w:rPr>
        <w:t xml:space="preserve">дневно, с продължителност 1 или 6 месеца (≥ 7,3 пъти </w:t>
      </w:r>
      <w:r w:rsidRPr="00C35E5D">
        <w:rPr>
          <w:rFonts w:eastAsia="Times New Roman" w:cs="Arial"/>
          <w:color w:val="000000"/>
          <w:lang w:val="en-US"/>
        </w:rPr>
        <w:t xml:space="preserve">AUC </w:t>
      </w:r>
      <w:r w:rsidRPr="00C35E5D">
        <w:rPr>
          <w:rFonts w:eastAsia="Times New Roman" w:cs="Arial"/>
          <w:color w:val="000000"/>
          <w:lang w:eastAsia="bg-BG"/>
        </w:rPr>
        <w:t>при пациенти, приемали препоръчителната дневна доза [ПДД]).</w:t>
      </w:r>
    </w:p>
    <w:p w14:paraId="7D6FE991" w14:textId="77777777" w:rsidR="00C35E5D" w:rsidRPr="009632C6" w:rsidRDefault="00C35E5D" w:rsidP="00C35E5D">
      <w:pPr>
        <w:spacing w:line="240" w:lineRule="auto"/>
        <w:rPr>
          <w:rFonts w:eastAsia="Times New Roman" w:cs="Arial"/>
          <w:color w:val="000000"/>
          <w:lang w:eastAsia="bg-BG"/>
        </w:rPr>
      </w:pPr>
    </w:p>
    <w:p w14:paraId="59E2266A" w14:textId="17FA6E8E"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 xml:space="preserve">При 2-годишно проучване за карциногенност при плъхове (0; 0,33; 1 или 3 </w:t>
      </w:r>
      <w:r w:rsidRPr="00C35E5D">
        <w:rPr>
          <w:rFonts w:eastAsia="Times New Roman" w:cs="Arial"/>
          <w:color w:val="000000"/>
          <w:lang w:val="en-US"/>
        </w:rPr>
        <w:t>mg/kg</w:t>
      </w:r>
      <w:r w:rsidRPr="00C35E5D">
        <w:rPr>
          <w:rFonts w:eastAsia="Times New Roman" w:cs="Arial"/>
          <w:color w:val="000000"/>
          <w:lang w:eastAsia="bg-BG"/>
        </w:rPr>
        <w:t xml:space="preserve">/дневно), приложението на сунитиниб в цикли от по 28 дни, последвани от 7 дневни периоди без лечение, е довело до повишена честотата на феохромоцитоми и хиперплазия на надбъбречната медула при мъжки плъхове, получавали по 3 </w:t>
      </w:r>
      <w:r w:rsidRPr="00C35E5D">
        <w:rPr>
          <w:rFonts w:eastAsia="Times New Roman" w:cs="Arial"/>
          <w:color w:val="000000"/>
          <w:lang w:val="en-US"/>
        </w:rPr>
        <w:t>mg/kg</w:t>
      </w:r>
      <w:r w:rsidRPr="00C35E5D">
        <w:rPr>
          <w:rFonts w:eastAsia="Times New Roman" w:cs="Arial"/>
          <w:color w:val="000000"/>
          <w:lang w:eastAsia="bg-BG"/>
        </w:rPr>
        <w:t xml:space="preserve">/дневно след &gt; 1 година приложение (≥ 7,8 пъти </w:t>
      </w:r>
      <w:r w:rsidRPr="00C35E5D">
        <w:rPr>
          <w:rFonts w:eastAsia="Times New Roman" w:cs="Arial"/>
          <w:color w:val="000000"/>
          <w:lang w:val="en-US"/>
        </w:rPr>
        <w:t xml:space="preserve">AUC </w:t>
      </w:r>
      <w:r w:rsidRPr="00C35E5D">
        <w:rPr>
          <w:rFonts w:eastAsia="Times New Roman" w:cs="Arial"/>
          <w:color w:val="000000"/>
          <w:lang w:eastAsia="bg-BG"/>
        </w:rPr>
        <w:t xml:space="preserve">при пациенти, на които е прилагана </w:t>
      </w:r>
      <w:r w:rsidRPr="00C35E5D">
        <w:rPr>
          <w:rFonts w:eastAsia="Times New Roman" w:cs="Arial"/>
          <w:color w:val="000000"/>
          <w:u w:val="single"/>
          <w:lang w:eastAsia="bg-BG"/>
        </w:rPr>
        <w:t>ПДД</w:t>
      </w:r>
      <w:r w:rsidRPr="00C35E5D">
        <w:rPr>
          <w:rFonts w:eastAsia="Times New Roman" w:cs="Arial"/>
          <w:color w:val="000000"/>
          <w:lang w:eastAsia="bg-BG"/>
        </w:rPr>
        <w:t xml:space="preserve">). </w:t>
      </w:r>
      <w:proofErr w:type="gramStart"/>
      <w:r w:rsidRPr="00C35E5D">
        <w:rPr>
          <w:rFonts w:eastAsia="Times New Roman" w:cs="Arial"/>
          <w:color w:val="000000"/>
          <w:vertAlign w:val="subscript"/>
          <w:lang w:val="en-US"/>
        </w:rPr>
        <w:t>k</w:t>
      </w:r>
      <w:proofErr w:type="gramEnd"/>
    </w:p>
    <w:p w14:paraId="53E88B2C" w14:textId="77777777"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 xml:space="preserve">Карцином на Брунеровите жлези се появява в дванадесетопръстника при ≥ 1 </w:t>
      </w:r>
      <w:r w:rsidRPr="00C35E5D">
        <w:rPr>
          <w:rFonts w:eastAsia="Times New Roman" w:cs="Arial"/>
          <w:color w:val="000000"/>
          <w:lang w:val="en-US"/>
        </w:rPr>
        <w:t>mg/kg</w:t>
      </w:r>
      <w:r w:rsidRPr="00C35E5D">
        <w:rPr>
          <w:rFonts w:eastAsia="Times New Roman" w:cs="Arial"/>
          <w:color w:val="000000"/>
          <w:lang w:eastAsia="bg-BG"/>
        </w:rPr>
        <w:t xml:space="preserve">/дневно </w:t>
      </w:r>
      <w:r w:rsidRPr="00C35E5D">
        <w:rPr>
          <w:rFonts w:eastAsia="Times New Roman" w:cs="Arial"/>
          <w:color w:val="000000"/>
          <w:u w:val="single"/>
          <w:lang w:eastAsia="bg-BG"/>
        </w:rPr>
        <w:t xml:space="preserve">при </w:t>
      </w:r>
      <w:r w:rsidRPr="00C35E5D">
        <w:rPr>
          <w:rFonts w:eastAsia="Times New Roman" w:cs="Arial"/>
          <w:color w:val="000000"/>
          <w:lang w:eastAsia="bg-BG"/>
        </w:rPr>
        <w:t xml:space="preserve">женски и при 3 </w:t>
      </w:r>
      <w:r w:rsidRPr="00C35E5D">
        <w:rPr>
          <w:rFonts w:eastAsia="Times New Roman" w:cs="Arial"/>
          <w:color w:val="000000"/>
          <w:lang w:val="en-US"/>
        </w:rPr>
        <w:t>mg/kg</w:t>
      </w:r>
      <w:r w:rsidRPr="00C35E5D">
        <w:rPr>
          <w:rFonts w:eastAsia="Times New Roman" w:cs="Arial"/>
          <w:color w:val="000000"/>
          <w:lang w:eastAsia="bg-BG"/>
        </w:rPr>
        <w:t xml:space="preserve">/дневно при мъжки животни, а хиперплазия на мукозни клетки е доказана в жлезистия стомах при 3 </w:t>
      </w:r>
      <w:r w:rsidRPr="00C35E5D">
        <w:rPr>
          <w:rFonts w:eastAsia="Times New Roman" w:cs="Arial"/>
          <w:color w:val="000000"/>
          <w:lang w:val="en-US"/>
        </w:rPr>
        <w:t>mg/kg</w:t>
      </w:r>
      <w:r w:rsidRPr="00C35E5D">
        <w:rPr>
          <w:rFonts w:eastAsia="Times New Roman" w:cs="Arial"/>
          <w:color w:val="000000"/>
          <w:lang w:eastAsia="bg-BG"/>
        </w:rPr>
        <w:t>/дневно при мъжки животни, като се появяват при ≥ 0,9;</w:t>
      </w:r>
      <w:r w:rsidRPr="00C35E5D">
        <w:rPr>
          <w:rFonts w:eastAsia="Times New Roman" w:cs="Arial"/>
          <w:color w:val="000000"/>
          <w:lang w:val="en-US"/>
        </w:rPr>
        <w:t xml:space="preserve"> 7,8 </w:t>
      </w:r>
      <w:r w:rsidRPr="00C35E5D">
        <w:rPr>
          <w:rFonts w:eastAsia="Times New Roman" w:cs="Arial"/>
          <w:color w:val="000000"/>
          <w:lang w:eastAsia="bg-BG"/>
        </w:rPr>
        <w:t>и</w:t>
      </w:r>
    </w:p>
    <w:p w14:paraId="13A7B62A" w14:textId="1B2FE895" w:rsidR="007A2185" w:rsidRPr="009632C6" w:rsidRDefault="00C35E5D" w:rsidP="00C35E5D">
      <w:pPr>
        <w:rPr>
          <w:rFonts w:cs="Arial"/>
        </w:rPr>
      </w:pPr>
      <w:r w:rsidRPr="009632C6">
        <w:rPr>
          <w:rFonts w:eastAsia="Times New Roman" w:cs="Arial"/>
          <w:color w:val="000000"/>
          <w:lang w:eastAsia="bg-BG"/>
        </w:rPr>
        <w:t xml:space="preserve">съответно 7,8 пъти </w:t>
      </w:r>
      <w:r w:rsidRPr="009632C6">
        <w:rPr>
          <w:rFonts w:eastAsia="Times New Roman" w:cs="Arial"/>
          <w:color w:val="000000"/>
          <w:lang w:val="en-US"/>
        </w:rPr>
        <w:t xml:space="preserve">AUC </w:t>
      </w:r>
      <w:r w:rsidRPr="009632C6">
        <w:rPr>
          <w:rFonts w:eastAsia="Times New Roman" w:cs="Arial"/>
          <w:color w:val="000000"/>
          <w:lang w:eastAsia="bg-BG"/>
        </w:rPr>
        <w:t xml:space="preserve">при пациенти, при които е прилагана ПДД. Практическото значение за хората, на неопластичните находки, наблюдавани при проучвания за карциногенност при мишки (трансгенни </w:t>
      </w:r>
      <w:r w:rsidRPr="009632C6">
        <w:rPr>
          <w:rFonts w:eastAsia="Times New Roman" w:cs="Arial"/>
          <w:color w:val="000000"/>
          <w:lang w:val="en-US"/>
        </w:rPr>
        <w:t xml:space="preserve">rasH2) </w:t>
      </w:r>
      <w:r w:rsidRPr="009632C6">
        <w:rPr>
          <w:rFonts w:eastAsia="Times New Roman" w:cs="Arial"/>
          <w:color w:val="000000"/>
          <w:lang w:eastAsia="bg-BG"/>
        </w:rPr>
        <w:t>и плъхове е неясно.</w:t>
      </w:r>
    </w:p>
    <w:p w14:paraId="12FFA9B2" w14:textId="6417DC60" w:rsidR="007A2185" w:rsidRPr="009632C6" w:rsidRDefault="007A2185" w:rsidP="0091385D">
      <w:pPr>
        <w:rPr>
          <w:rFonts w:cs="Arial"/>
        </w:rPr>
      </w:pPr>
    </w:p>
    <w:p w14:paraId="0F3A88A1" w14:textId="77777777" w:rsidR="00C35E5D" w:rsidRPr="00C35E5D" w:rsidRDefault="00C35E5D" w:rsidP="00C35E5D">
      <w:pPr>
        <w:spacing w:line="240" w:lineRule="auto"/>
        <w:rPr>
          <w:rFonts w:eastAsia="Times New Roman" w:cs="Arial"/>
          <w:lang w:eastAsia="bg-BG"/>
        </w:rPr>
      </w:pPr>
      <w:r w:rsidRPr="00C35E5D">
        <w:rPr>
          <w:rFonts w:eastAsia="Times New Roman" w:cs="Arial"/>
          <w:color w:val="000000"/>
          <w:u w:val="single"/>
          <w:lang w:eastAsia="bg-BG"/>
        </w:rPr>
        <w:t>Репродуктивна токсичност и токсичност за развитието</w:t>
      </w:r>
    </w:p>
    <w:p w14:paraId="53983F56" w14:textId="77777777"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В изследвания на репродуктивната токсичност не са наблюдавани ефекти върху мъжкия или женския фертилитет. При проведени върху плъхове и маймуни проучвания на токсичността при многократно приложение, са наблюдавани ефекти върху женския фертилитет под формата на фоликуларна атрезия, дегенерация на жълтото тяло, ендометриални промени в матката и намалено тегло на матката и яйчниците при клинично значими нива на системна експозиция. Ефекти върху мъжкия фертилитет при плъхове са наблюдавани под формата на тубулна атрофия в тестисите, намаление на сперматозоидите в епидидимиса и колоидна деплеция в простатата и семенните мехурчета при плазмени нива на експозиция 25 пъти по-високи от системната експозиция при хора.</w:t>
      </w:r>
    </w:p>
    <w:p w14:paraId="6C637FF4" w14:textId="77777777" w:rsidR="00C35E5D" w:rsidRPr="009632C6" w:rsidRDefault="00C35E5D" w:rsidP="00C35E5D">
      <w:pPr>
        <w:spacing w:line="240" w:lineRule="auto"/>
        <w:rPr>
          <w:rFonts w:eastAsia="Times New Roman" w:cs="Arial"/>
          <w:color w:val="000000"/>
          <w:lang w:eastAsia="bg-BG"/>
        </w:rPr>
      </w:pPr>
    </w:p>
    <w:p w14:paraId="12C29E96" w14:textId="7BFE788C"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 xml:space="preserve">При плъхове ембриофеталната смъртност е била проявена като сигнификантно намаление в броя на живите фетуси, увеличен брой на резорбции, увеличена постимплантационна загуба и пълна загуба па потомството при 8 от 28 бременни женски животни при плазмени нива на експозиция 5,5 пъти по-високи от системната експозиция при хора. При зайци намалението в теглата на бременните матки и в броя на живите фетуси се е дължал на увеличения брой на резорбции, увеличената постимплантационна загуба и пълната загуба на потомството в 4 от 6 бременни женски животни при плазмени нива на експозиция 3 пъти по-големи от системната експозиция при хора. Третиране на плъхове със сунитиниб по време на органогенезата е довело до тератогенни ефекти при </w:t>
      </w:r>
      <w:r w:rsidRPr="00C35E5D">
        <w:rPr>
          <w:rFonts w:eastAsia="Times New Roman" w:cs="Arial"/>
          <w:color w:val="000000"/>
          <w:lang w:eastAsia="bg-BG"/>
        </w:rPr>
        <w:lastRenderedPageBreak/>
        <w:t xml:space="preserve">≥ 5 </w:t>
      </w:r>
      <w:r w:rsidRPr="00C35E5D">
        <w:rPr>
          <w:rFonts w:eastAsia="Times New Roman" w:cs="Arial"/>
          <w:color w:val="000000"/>
          <w:lang w:val="en-US"/>
        </w:rPr>
        <w:t>mg/kg</w:t>
      </w:r>
      <w:r w:rsidRPr="00C35E5D">
        <w:rPr>
          <w:rFonts w:eastAsia="Times New Roman" w:cs="Arial"/>
          <w:color w:val="000000"/>
          <w:lang w:eastAsia="bg-BG"/>
        </w:rPr>
        <w:t>/ден и се състои в увеличена честота на скелетни малформации на плода, които се характеризират предимно като забавена осификация на гръдните/лумбалните прешлени и проявили се при плазмени нива на експозиция 5,5 пъти по- високи от системната експозиция при хора. При зайци тератогенните ефекти са се състояли от увеличена честота на цепка на устната при плазмени нива на експозиция приблизително равни на тези, наблюдавани в клиниката, а така също на цепка на устната и цепка на небцето при плазмени нива на експозиция 2,7 пъти по-високи от системната експозиция при хора.</w:t>
      </w:r>
    </w:p>
    <w:p w14:paraId="24625A65" w14:textId="77777777" w:rsidR="00C35E5D" w:rsidRPr="009632C6" w:rsidRDefault="00C35E5D" w:rsidP="00C35E5D">
      <w:pPr>
        <w:rPr>
          <w:rFonts w:eastAsia="Times New Roman" w:cs="Arial"/>
          <w:color w:val="000000"/>
          <w:lang w:eastAsia="bg-BG"/>
        </w:rPr>
      </w:pPr>
    </w:p>
    <w:p w14:paraId="026E3FA5" w14:textId="40309F76" w:rsidR="00C35E5D" w:rsidRPr="009632C6" w:rsidRDefault="00C35E5D" w:rsidP="00C35E5D">
      <w:pPr>
        <w:rPr>
          <w:rFonts w:cs="Arial"/>
        </w:rPr>
      </w:pPr>
      <w:r w:rsidRPr="009632C6">
        <w:rPr>
          <w:rFonts w:eastAsia="Times New Roman" w:cs="Arial"/>
          <w:color w:val="000000"/>
          <w:lang w:eastAsia="bg-BG"/>
        </w:rPr>
        <w:t xml:space="preserve">Сунитиниб (0,3; 1,0; 3,0 </w:t>
      </w:r>
      <w:r w:rsidRPr="009632C6">
        <w:rPr>
          <w:rFonts w:eastAsia="Times New Roman" w:cs="Arial"/>
          <w:color w:val="000000"/>
          <w:lang w:val="en-US"/>
        </w:rPr>
        <w:t>mg/kg</w:t>
      </w:r>
      <w:r w:rsidRPr="009632C6">
        <w:rPr>
          <w:rFonts w:eastAsia="Times New Roman" w:cs="Arial"/>
          <w:color w:val="000000"/>
          <w:lang w:eastAsia="bg-BG"/>
        </w:rPr>
        <w:t xml:space="preserve">/дневно) е оценен при проучване върху пре-и постнаталното развитие при бременни плъхове. Наддаването на тегло при майката е било намалено по време на бременността и лактацията при ≥ 1 </w:t>
      </w:r>
      <w:r w:rsidRPr="009632C6">
        <w:rPr>
          <w:rFonts w:eastAsia="Times New Roman" w:cs="Arial"/>
          <w:color w:val="000000"/>
          <w:lang w:val="en-US"/>
        </w:rPr>
        <w:t>mg/kg</w:t>
      </w:r>
      <w:r w:rsidRPr="009632C6">
        <w:rPr>
          <w:rFonts w:eastAsia="Times New Roman" w:cs="Arial"/>
          <w:color w:val="000000"/>
          <w:lang w:eastAsia="bg-BG"/>
        </w:rPr>
        <w:t xml:space="preserve">/дневно, но не е наблюдавана репродуктивна токсичност до 3 </w:t>
      </w:r>
      <w:r w:rsidRPr="009632C6">
        <w:rPr>
          <w:rFonts w:eastAsia="Times New Roman" w:cs="Arial"/>
          <w:color w:val="000000"/>
          <w:lang w:val="en-US"/>
        </w:rPr>
        <w:t>mg/kg</w:t>
      </w:r>
      <w:r w:rsidRPr="009632C6">
        <w:rPr>
          <w:rFonts w:eastAsia="Times New Roman" w:cs="Arial"/>
          <w:color w:val="000000"/>
          <w:lang w:eastAsia="bg-BG"/>
        </w:rPr>
        <w:t xml:space="preserve">/дневно (очаквана експозиция ≥ 2,3 пъти </w:t>
      </w:r>
      <w:r w:rsidRPr="009632C6">
        <w:rPr>
          <w:rFonts w:eastAsia="Times New Roman" w:cs="Arial"/>
          <w:color w:val="000000"/>
          <w:lang w:val="en-US"/>
        </w:rPr>
        <w:t xml:space="preserve">AUC </w:t>
      </w:r>
      <w:r w:rsidRPr="009632C6">
        <w:rPr>
          <w:rFonts w:eastAsia="Times New Roman" w:cs="Arial"/>
          <w:color w:val="000000"/>
          <w:lang w:eastAsia="bg-BG"/>
        </w:rPr>
        <w:t xml:space="preserve">при пациенти, на които е прилагана ППД). Намалено тегло при поколението е наблюдавано преди и след отбиването при 3 </w:t>
      </w:r>
      <w:r w:rsidRPr="009632C6">
        <w:rPr>
          <w:rFonts w:eastAsia="Times New Roman" w:cs="Arial"/>
          <w:color w:val="000000"/>
          <w:lang w:val="en-US"/>
        </w:rPr>
        <w:t>mg/kg</w:t>
      </w:r>
      <w:r w:rsidRPr="009632C6">
        <w:rPr>
          <w:rFonts w:eastAsia="Times New Roman" w:cs="Arial"/>
          <w:color w:val="000000"/>
          <w:lang w:eastAsia="bg-BG"/>
        </w:rPr>
        <w:t xml:space="preserve">/дневно. Не е наблюдавана токсичност върху развитието при 1 </w:t>
      </w:r>
      <w:r w:rsidRPr="009632C6">
        <w:rPr>
          <w:rFonts w:eastAsia="Times New Roman" w:cs="Arial"/>
          <w:color w:val="000000"/>
          <w:lang w:val="en-US"/>
        </w:rPr>
        <w:t>mg/kg</w:t>
      </w:r>
      <w:r w:rsidRPr="009632C6">
        <w:rPr>
          <w:rFonts w:eastAsia="Times New Roman" w:cs="Arial"/>
          <w:color w:val="000000"/>
          <w:lang w:eastAsia="bg-BG"/>
        </w:rPr>
        <w:t xml:space="preserve">/дневно (приблизителна експозиция ≥ 0,9 пъти </w:t>
      </w:r>
      <w:r w:rsidRPr="009632C6">
        <w:rPr>
          <w:rFonts w:eastAsia="Times New Roman" w:cs="Arial"/>
          <w:color w:val="000000"/>
          <w:lang w:val="en-US"/>
        </w:rPr>
        <w:t xml:space="preserve">AUC </w:t>
      </w:r>
      <w:r w:rsidRPr="009632C6">
        <w:rPr>
          <w:rFonts w:eastAsia="Times New Roman" w:cs="Arial"/>
          <w:color w:val="000000"/>
          <w:lang w:eastAsia="bg-BG"/>
        </w:rPr>
        <w:t>при пациенти, на които е прилагана ПДД).</w:t>
      </w:r>
    </w:p>
    <w:p w14:paraId="5615321A" w14:textId="77777777" w:rsidR="00C35E5D" w:rsidRPr="0091385D" w:rsidRDefault="00C35E5D" w:rsidP="0091385D"/>
    <w:p w14:paraId="6A7820AB" w14:textId="353DB6D2" w:rsidR="008A6AF2" w:rsidRDefault="002C50EE" w:rsidP="00395555">
      <w:pPr>
        <w:pStyle w:val="Heading1"/>
      </w:pPr>
      <w:r>
        <w:t>7. ПРИТЕЖАТЕЛ НА РАЗРЕШЕНИЕТО ЗА УПОТРЕБА</w:t>
      </w:r>
    </w:p>
    <w:p w14:paraId="1B9B651E" w14:textId="24042B6C" w:rsidR="0091385D" w:rsidRDefault="0091385D" w:rsidP="0091385D"/>
    <w:p w14:paraId="1D7275C2" w14:textId="77777777" w:rsidR="00C35E5D" w:rsidRPr="00C35E5D" w:rsidRDefault="00C35E5D" w:rsidP="00C35E5D">
      <w:pPr>
        <w:spacing w:line="240" w:lineRule="auto"/>
        <w:rPr>
          <w:rFonts w:eastAsia="Times New Roman" w:cs="Arial"/>
          <w:lang w:val="en-US" w:eastAsia="bg-BG"/>
        </w:rPr>
      </w:pPr>
      <w:proofErr w:type="spellStart"/>
      <w:r w:rsidRPr="00C35E5D">
        <w:rPr>
          <w:rFonts w:eastAsia="Times New Roman" w:cs="Arial"/>
          <w:color w:val="000000"/>
          <w:lang w:val="en-US"/>
        </w:rPr>
        <w:t>Teva</w:t>
      </w:r>
      <w:proofErr w:type="spellEnd"/>
      <w:r w:rsidRPr="00C35E5D">
        <w:rPr>
          <w:rFonts w:eastAsia="Times New Roman" w:cs="Arial"/>
          <w:color w:val="000000"/>
          <w:lang w:val="en-US"/>
        </w:rPr>
        <w:t xml:space="preserve"> B.V,</w:t>
      </w:r>
    </w:p>
    <w:p w14:paraId="4B1C57BC" w14:textId="77777777" w:rsidR="00C35E5D" w:rsidRPr="00C35E5D" w:rsidRDefault="00C35E5D" w:rsidP="00C35E5D">
      <w:pPr>
        <w:spacing w:line="240" w:lineRule="auto"/>
        <w:rPr>
          <w:rFonts w:eastAsia="Times New Roman" w:cs="Arial"/>
          <w:lang w:val="en-US" w:eastAsia="bg-BG"/>
        </w:rPr>
      </w:pPr>
      <w:proofErr w:type="spellStart"/>
      <w:r w:rsidRPr="00C35E5D">
        <w:rPr>
          <w:rFonts w:eastAsia="Times New Roman" w:cs="Arial"/>
          <w:color w:val="000000"/>
          <w:lang w:val="en-US"/>
        </w:rPr>
        <w:t>Swensweg</w:t>
      </w:r>
      <w:proofErr w:type="spellEnd"/>
      <w:r w:rsidRPr="00C35E5D">
        <w:rPr>
          <w:rFonts w:eastAsia="Times New Roman" w:cs="Arial"/>
          <w:color w:val="000000"/>
          <w:lang w:val="en-US"/>
        </w:rPr>
        <w:t xml:space="preserve"> </w:t>
      </w:r>
      <w:r w:rsidRPr="00C35E5D">
        <w:rPr>
          <w:rFonts w:eastAsia="Times New Roman" w:cs="Arial"/>
          <w:color w:val="000000"/>
          <w:lang w:eastAsia="bg-BG"/>
        </w:rPr>
        <w:t>5</w:t>
      </w:r>
      <w:proofErr w:type="gramStart"/>
      <w:r w:rsidRPr="00C35E5D">
        <w:rPr>
          <w:rFonts w:eastAsia="Times New Roman" w:cs="Arial"/>
          <w:color w:val="000000"/>
          <w:lang w:eastAsia="bg-BG"/>
        </w:rPr>
        <w:t>,2031</w:t>
      </w:r>
      <w:proofErr w:type="gramEnd"/>
      <w:r w:rsidRPr="00C35E5D">
        <w:rPr>
          <w:rFonts w:eastAsia="Times New Roman" w:cs="Arial"/>
          <w:color w:val="000000"/>
          <w:lang w:eastAsia="bg-BG"/>
        </w:rPr>
        <w:t xml:space="preserve"> </w:t>
      </w:r>
      <w:r w:rsidRPr="00C35E5D">
        <w:rPr>
          <w:rFonts w:eastAsia="Times New Roman" w:cs="Arial"/>
          <w:color w:val="000000"/>
          <w:lang w:val="en-US"/>
        </w:rPr>
        <w:t>GA Haarlem</w:t>
      </w:r>
    </w:p>
    <w:p w14:paraId="4F02909F" w14:textId="195EB359" w:rsidR="007A2185" w:rsidRPr="009632C6" w:rsidRDefault="00C35E5D" w:rsidP="00C35E5D">
      <w:pPr>
        <w:rPr>
          <w:rFonts w:cs="Arial"/>
        </w:rPr>
      </w:pPr>
      <w:r w:rsidRPr="009632C6">
        <w:rPr>
          <w:rFonts w:eastAsia="Times New Roman" w:cs="Arial"/>
          <w:color w:val="000000"/>
          <w:lang w:eastAsia="bg-BG"/>
        </w:rPr>
        <w:t>Нидерландия</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3072FB0E" w:rsidR="0091385D" w:rsidRDefault="0091385D" w:rsidP="0091385D"/>
    <w:p w14:paraId="5910CF64" w14:textId="77777777" w:rsidR="00C35E5D" w:rsidRPr="00C35E5D" w:rsidRDefault="00C35E5D" w:rsidP="00C35E5D">
      <w:pPr>
        <w:spacing w:line="240" w:lineRule="auto"/>
        <w:rPr>
          <w:rFonts w:eastAsia="Times New Roman" w:cs="Arial"/>
          <w:lang w:val="en-US" w:eastAsia="bg-BG"/>
        </w:rPr>
      </w:pPr>
      <w:r w:rsidRPr="00C35E5D">
        <w:rPr>
          <w:rFonts w:eastAsia="Times New Roman" w:cs="Arial"/>
          <w:color w:val="000000"/>
          <w:lang w:val="en-US"/>
        </w:rPr>
        <w:t>12</w:t>
      </w:r>
      <w:proofErr w:type="gramStart"/>
      <w:r w:rsidRPr="00C35E5D">
        <w:rPr>
          <w:rFonts w:eastAsia="Times New Roman" w:cs="Arial"/>
          <w:color w:val="000000"/>
          <w:lang w:val="en-US"/>
        </w:rPr>
        <w:t>,5</w:t>
      </w:r>
      <w:proofErr w:type="gramEnd"/>
      <w:r w:rsidRPr="00C35E5D">
        <w:rPr>
          <w:rFonts w:eastAsia="Times New Roman" w:cs="Arial"/>
          <w:color w:val="000000"/>
          <w:lang w:val="en-US"/>
        </w:rPr>
        <w:t xml:space="preserve"> mg-</w:t>
      </w:r>
      <w:r w:rsidRPr="00C35E5D">
        <w:rPr>
          <w:rFonts w:eastAsia="Times New Roman" w:cs="Arial"/>
          <w:color w:val="000000"/>
          <w:lang w:eastAsia="bg-BG"/>
        </w:rPr>
        <w:t xml:space="preserve"> </w:t>
      </w:r>
      <w:proofErr w:type="spellStart"/>
      <w:r w:rsidRPr="00C35E5D">
        <w:rPr>
          <w:rFonts w:eastAsia="Times New Roman" w:cs="Arial"/>
          <w:color w:val="000000"/>
          <w:lang w:val="en-US"/>
        </w:rPr>
        <w:t>pe</w:t>
      </w:r>
      <w:proofErr w:type="spellEnd"/>
      <w:r w:rsidRPr="00C35E5D">
        <w:rPr>
          <w:rFonts w:eastAsia="Times New Roman" w:cs="Arial"/>
          <w:color w:val="000000"/>
          <w:lang w:eastAsia="bg-BG"/>
        </w:rPr>
        <w:t>г</w:t>
      </w:r>
      <w:r w:rsidRPr="00C35E5D">
        <w:rPr>
          <w:rFonts w:eastAsia="Times New Roman" w:cs="Arial"/>
          <w:color w:val="000000"/>
          <w:lang w:val="en-US"/>
        </w:rPr>
        <w:t>. №20180082</w:t>
      </w:r>
    </w:p>
    <w:p w14:paraId="74F10D0F" w14:textId="77777777" w:rsidR="00C35E5D" w:rsidRPr="00C35E5D" w:rsidRDefault="00C35E5D" w:rsidP="00C35E5D">
      <w:pPr>
        <w:spacing w:line="240" w:lineRule="auto"/>
        <w:rPr>
          <w:rFonts w:eastAsia="Times New Roman" w:cs="Arial"/>
          <w:lang w:val="en-US" w:eastAsia="bg-BG"/>
        </w:rPr>
      </w:pPr>
      <w:r w:rsidRPr="00C35E5D">
        <w:rPr>
          <w:rFonts w:eastAsia="Times New Roman" w:cs="Arial"/>
          <w:color w:val="000000"/>
          <w:lang w:val="en-US"/>
        </w:rPr>
        <w:t>25 mg-</w:t>
      </w:r>
      <w:r w:rsidRPr="00C35E5D">
        <w:rPr>
          <w:rFonts w:eastAsia="Times New Roman" w:cs="Arial"/>
          <w:color w:val="000000"/>
          <w:lang w:eastAsia="bg-BG"/>
        </w:rPr>
        <w:t xml:space="preserve"> </w:t>
      </w:r>
      <w:proofErr w:type="spellStart"/>
      <w:r w:rsidRPr="00C35E5D">
        <w:rPr>
          <w:rFonts w:eastAsia="Times New Roman" w:cs="Arial"/>
          <w:color w:val="000000"/>
          <w:lang w:val="en-US"/>
        </w:rPr>
        <w:t>pe</w:t>
      </w:r>
      <w:proofErr w:type="spellEnd"/>
      <w:r w:rsidRPr="00C35E5D">
        <w:rPr>
          <w:rFonts w:eastAsia="Times New Roman" w:cs="Arial"/>
          <w:color w:val="000000"/>
          <w:lang w:eastAsia="bg-BG"/>
        </w:rPr>
        <w:t>г</w:t>
      </w:r>
      <w:r w:rsidRPr="00C35E5D">
        <w:rPr>
          <w:rFonts w:eastAsia="Times New Roman" w:cs="Arial"/>
          <w:color w:val="000000"/>
          <w:lang w:val="en-US"/>
        </w:rPr>
        <w:t>.№20180083</w:t>
      </w:r>
    </w:p>
    <w:p w14:paraId="46161304" w14:textId="5E8F0191" w:rsidR="007A2185" w:rsidRPr="009632C6" w:rsidRDefault="00C35E5D" w:rsidP="00C35E5D">
      <w:pPr>
        <w:rPr>
          <w:rFonts w:cs="Arial"/>
        </w:rPr>
      </w:pPr>
      <w:r w:rsidRPr="009632C6">
        <w:rPr>
          <w:rFonts w:eastAsia="Times New Roman" w:cs="Arial"/>
          <w:color w:val="000000"/>
          <w:lang w:val="en-US"/>
        </w:rPr>
        <w:t xml:space="preserve">50 mg - </w:t>
      </w:r>
      <w:proofErr w:type="spellStart"/>
      <w:r w:rsidRPr="009632C6">
        <w:rPr>
          <w:rFonts w:eastAsia="Times New Roman" w:cs="Arial"/>
          <w:color w:val="000000"/>
          <w:lang w:val="en-US"/>
        </w:rPr>
        <w:t>pe</w:t>
      </w:r>
      <w:proofErr w:type="spellEnd"/>
      <w:r w:rsidRPr="009632C6">
        <w:rPr>
          <w:rFonts w:eastAsia="Times New Roman" w:cs="Arial"/>
          <w:color w:val="000000"/>
          <w:lang w:eastAsia="bg-BG"/>
        </w:rPr>
        <w:t>г</w:t>
      </w:r>
      <w:r w:rsidRPr="009632C6">
        <w:rPr>
          <w:rFonts w:eastAsia="Times New Roman" w:cs="Arial"/>
          <w:color w:val="000000"/>
          <w:lang w:val="en-US"/>
        </w:rPr>
        <w:t>. № 20180084</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57E44C81" w:rsidR="0091385D" w:rsidRDefault="0091385D" w:rsidP="0091385D"/>
    <w:p w14:paraId="63A246C5" w14:textId="77777777" w:rsidR="00C35E5D" w:rsidRPr="00C35E5D" w:rsidRDefault="00C35E5D" w:rsidP="00C35E5D">
      <w:pPr>
        <w:spacing w:line="240" w:lineRule="auto"/>
        <w:rPr>
          <w:rFonts w:eastAsia="Times New Roman" w:cs="Arial"/>
          <w:lang w:eastAsia="bg-BG"/>
        </w:rPr>
      </w:pPr>
      <w:r w:rsidRPr="00C35E5D">
        <w:rPr>
          <w:rFonts w:eastAsia="Times New Roman" w:cs="Arial"/>
          <w:color w:val="000000"/>
          <w:lang w:eastAsia="bg-BG"/>
        </w:rPr>
        <w:t>Дата на първо разрешаване: 05.04.2018 г.</w:t>
      </w:r>
    </w:p>
    <w:p w14:paraId="6C57D8B6" w14:textId="6381F185" w:rsidR="007A2185" w:rsidRPr="009632C6" w:rsidRDefault="00C35E5D" w:rsidP="00C35E5D">
      <w:pPr>
        <w:rPr>
          <w:rFonts w:cs="Arial"/>
        </w:rPr>
      </w:pPr>
      <w:r w:rsidRPr="009632C6">
        <w:rPr>
          <w:rFonts w:eastAsia="Times New Roman" w:cs="Arial"/>
          <w:color w:val="000000"/>
          <w:lang w:eastAsia="bg-BG"/>
        </w:rPr>
        <w:t>Дата на последно подновяване:</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0121B4E2" w:rsidR="0091385D" w:rsidRDefault="0091385D" w:rsidP="0091385D"/>
    <w:p w14:paraId="0524F1D6" w14:textId="77777777" w:rsidR="007A2185" w:rsidRDefault="007A2185" w:rsidP="0091385D"/>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A6795"/>
    <w:multiLevelType w:val="hybridMultilevel"/>
    <w:tmpl w:val="0540A0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2"/>
  </w:num>
  <w:num w:numId="4">
    <w:abstractNumId w:val="3"/>
  </w:num>
  <w:num w:numId="5">
    <w:abstractNumId w:val="1"/>
  </w:num>
  <w:num w:numId="6">
    <w:abstractNumId w:val="16"/>
  </w:num>
  <w:num w:numId="7">
    <w:abstractNumId w:val="10"/>
  </w:num>
  <w:num w:numId="8">
    <w:abstractNumId w:val="15"/>
  </w:num>
  <w:num w:numId="9">
    <w:abstractNumId w:val="2"/>
  </w:num>
  <w:num w:numId="10">
    <w:abstractNumId w:val="4"/>
  </w:num>
  <w:num w:numId="11">
    <w:abstractNumId w:val="30"/>
  </w:num>
  <w:num w:numId="12">
    <w:abstractNumId w:val="14"/>
  </w:num>
  <w:num w:numId="13">
    <w:abstractNumId w:val="19"/>
  </w:num>
  <w:num w:numId="14">
    <w:abstractNumId w:val="11"/>
  </w:num>
  <w:num w:numId="15">
    <w:abstractNumId w:val="29"/>
  </w:num>
  <w:num w:numId="16">
    <w:abstractNumId w:val="9"/>
  </w:num>
  <w:num w:numId="17">
    <w:abstractNumId w:val="24"/>
  </w:num>
  <w:num w:numId="18">
    <w:abstractNumId w:val="7"/>
  </w:num>
  <w:num w:numId="19">
    <w:abstractNumId w:val="26"/>
  </w:num>
  <w:num w:numId="20">
    <w:abstractNumId w:val="23"/>
  </w:num>
  <w:num w:numId="21">
    <w:abstractNumId w:val="17"/>
  </w:num>
  <w:num w:numId="22">
    <w:abstractNumId w:val="25"/>
  </w:num>
  <w:num w:numId="23">
    <w:abstractNumId w:val="18"/>
  </w:num>
  <w:num w:numId="24">
    <w:abstractNumId w:val="8"/>
  </w:num>
  <w:num w:numId="25">
    <w:abstractNumId w:val="22"/>
  </w:num>
  <w:num w:numId="26">
    <w:abstractNumId w:val="21"/>
  </w:num>
  <w:num w:numId="27">
    <w:abstractNumId w:val="31"/>
  </w:num>
  <w:num w:numId="28">
    <w:abstractNumId w:val="6"/>
  </w:num>
  <w:num w:numId="29">
    <w:abstractNumId w:val="20"/>
  </w:num>
  <w:num w:numId="30">
    <w:abstractNumId w:val="34"/>
  </w:num>
  <w:num w:numId="31">
    <w:abstractNumId w:val="5"/>
  </w:num>
  <w:num w:numId="32">
    <w:abstractNumId w:val="33"/>
  </w:num>
  <w:num w:numId="33">
    <w:abstractNumId w:val="28"/>
  </w:num>
  <w:num w:numId="34">
    <w:abstractNumId w:val="3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A0823"/>
    <w:rsid w:val="001D1B23"/>
    <w:rsid w:val="002B3C38"/>
    <w:rsid w:val="002B4DBB"/>
    <w:rsid w:val="002C50EE"/>
    <w:rsid w:val="00340A0A"/>
    <w:rsid w:val="003765DC"/>
    <w:rsid w:val="00395555"/>
    <w:rsid w:val="003E3126"/>
    <w:rsid w:val="003F729A"/>
    <w:rsid w:val="00426E5F"/>
    <w:rsid w:val="004A448E"/>
    <w:rsid w:val="004D4D6B"/>
    <w:rsid w:val="004F1CE7"/>
    <w:rsid w:val="004F498A"/>
    <w:rsid w:val="00517A5B"/>
    <w:rsid w:val="00593A00"/>
    <w:rsid w:val="005A66D9"/>
    <w:rsid w:val="005B0F27"/>
    <w:rsid w:val="00605BCA"/>
    <w:rsid w:val="006158A1"/>
    <w:rsid w:val="00617B1F"/>
    <w:rsid w:val="00672487"/>
    <w:rsid w:val="00672600"/>
    <w:rsid w:val="00681D4A"/>
    <w:rsid w:val="00682341"/>
    <w:rsid w:val="00685882"/>
    <w:rsid w:val="0075649D"/>
    <w:rsid w:val="007A2185"/>
    <w:rsid w:val="007C605B"/>
    <w:rsid w:val="008134C8"/>
    <w:rsid w:val="00814073"/>
    <w:rsid w:val="00826F0D"/>
    <w:rsid w:val="00893B92"/>
    <w:rsid w:val="008A6AF2"/>
    <w:rsid w:val="008C70A2"/>
    <w:rsid w:val="008F1AF3"/>
    <w:rsid w:val="0091385D"/>
    <w:rsid w:val="009226FA"/>
    <w:rsid w:val="009632C6"/>
    <w:rsid w:val="009717E1"/>
    <w:rsid w:val="009773E4"/>
    <w:rsid w:val="009B171C"/>
    <w:rsid w:val="009F1313"/>
    <w:rsid w:val="00A20351"/>
    <w:rsid w:val="00A65A81"/>
    <w:rsid w:val="00A73575"/>
    <w:rsid w:val="00AA23EC"/>
    <w:rsid w:val="00AC63CE"/>
    <w:rsid w:val="00AE2107"/>
    <w:rsid w:val="00B159F3"/>
    <w:rsid w:val="00B275A8"/>
    <w:rsid w:val="00BB3689"/>
    <w:rsid w:val="00BB3B9C"/>
    <w:rsid w:val="00BF2600"/>
    <w:rsid w:val="00C0049F"/>
    <w:rsid w:val="00C07B84"/>
    <w:rsid w:val="00C33464"/>
    <w:rsid w:val="00C35E5D"/>
    <w:rsid w:val="00C40420"/>
    <w:rsid w:val="00C809A7"/>
    <w:rsid w:val="00C83063"/>
    <w:rsid w:val="00C87E90"/>
    <w:rsid w:val="00CA1B57"/>
    <w:rsid w:val="00CF77F7"/>
    <w:rsid w:val="00D86297"/>
    <w:rsid w:val="00DD466D"/>
    <w:rsid w:val="00E86AE3"/>
    <w:rsid w:val="00EB6364"/>
    <w:rsid w:val="00EC41ED"/>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13509</Words>
  <Characters>77005</Characters>
  <Application>Microsoft Office Word</Application>
  <DocSecurity>0</DocSecurity>
  <Lines>641</Lines>
  <Paragraphs>180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2023-06-05T09:46:00Z</dcterms:created>
  <dcterms:modified xsi:type="dcterms:W3CDTF">2023-06-05T09:46:00Z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