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70C53E81" w:rsidR="00DB32D3" w:rsidRDefault="00DD466D" w:rsidP="005726E3">
      <w:pPr>
        <w:pStyle w:val="Heading1"/>
      </w:pPr>
      <w:r>
        <w:t>1.ИМЕ НА ЛЕКАРСТВЕНИЯ ПРОДУКТ</w:t>
      </w:r>
    </w:p>
    <w:p w14:paraId="59FBD140" w14:textId="2C975DCA" w:rsidR="00DB54E0" w:rsidRDefault="00DB54E0" w:rsidP="00DB54E0"/>
    <w:p w14:paraId="07A2558B" w14:textId="77777777" w:rsidR="00DB54E0" w:rsidRPr="00DB54E0" w:rsidRDefault="00DB54E0" w:rsidP="00DB54E0">
      <w:pPr>
        <w:rPr>
          <w:sz w:val="24"/>
          <w:szCs w:val="24"/>
          <w:lang w:val="ru-RU"/>
        </w:rPr>
      </w:pPr>
      <w:r w:rsidRPr="00DB54E0">
        <w:rPr>
          <w:lang w:eastAsia="bg-BG"/>
        </w:rPr>
        <w:t xml:space="preserve">Сувартар Н 160 </w:t>
      </w:r>
      <w:r w:rsidRPr="00DB54E0">
        <w:rPr>
          <w:lang w:val="en-US"/>
        </w:rPr>
        <w:t>mg</w:t>
      </w:r>
      <w:r w:rsidRPr="00DB54E0">
        <w:rPr>
          <w:lang w:val="ru-RU"/>
        </w:rPr>
        <w:t xml:space="preserve">/12,5 </w:t>
      </w:r>
      <w:r w:rsidRPr="00DB54E0">
        <w:rPr>
          <w:lang w:val="en-US"/>
        </w:rPr>
        <w:t>mg</w:t>
      </w:r>
      <w:r w:rsidRPr="00DB54E0">
        <w:rPr>
          <w:lang w:val="ru-RU"/>
        </w:rPr>
        <w:t xml:space="preserve"> </w:t>
      </w:r>
      <w:r w:rsidRPr="00DB54E0">
        <w:rPr>
          <w:lang w:eastAsia="bg-BG"/>
        </w:rPr>
        <w:t>филмирани таблетки</w:t>
      </w:r>
    </w:p>
    <w:p w14:paraId="79B8728F" w14:textId="77777777" w:rsidR="00DB54E0" w:rsidRPr="00DB54E0" w:rsidRDefault="00DB54E0" w:rsidP="00DB54E0">
      <w:pPr>
        <w:rPr>
          <w:sz w:val="24"/>
          <w:szCs w:val="24"/>
          <w:lang w:val="en-US"/>
        </w:rPr>
      </w:pPr>
      <w:proofErr w:type="spellStart"/>
      <w:r w:rsidRPr="00DB54E0">
        <w:rPr>
          <w:lang w:val="en-US"/>
        </w:rPr>
        <w:t>SuvartarH</w:t>
      </w:r>
      <w:proofErr w:type="spellEnd"/>
      <w:r w:rsidRPr="00DB54E0">
        <w:rPr>
          <w:lang w:val="en-US"/>
        </w:rPr>
        <w:t xml:space="preserve"> </w:t>
      </w:r>
      <w:r w:rsidRPr="00DB54E0">
        <w:rPr>
          <w:lang w:eastAsia="bg-BG"/>
        </w:rPr>
        <w:t xml:space="preserve">160 </w:t>
      </w:r>
      <w:r w:rsidRPr="00DB54E0">
        <w:rPr>
          <w:lang w:val="en-US"/>
        </w:rPr>
        <w:t>mg/12</w:t>
      </w:r>
      <w:proofErr w:type="gramStart"/>
      <w:r w:rsidRPr="00DB54E0">
        <w:rPr>
          <w:lang w:val="en-US"/>
        </w:rPr>
        <w:t>,5</w:t>
      </w:r>
      <w:proofErr w:type="gramEnd"/>
      <w:r w:rsidRPr="00DB54E0">
        <w:rPr>
          <w:lang w:val="en-US"/>
        </w:rPr>
        <w:t xml:space="preserve"> mg film-coated tablets</w:t>
      </w:r>
    </w:p>
    <w:p w14:paraId="52B6B3FF" w14:textId="77777777" w:rsidR="00DB54E0" w:rsidRDefault="00DB54E0" w:rsidP="00DB54E0">
      <w:pPr>
        <w:rPr>
          <w:lang w:eastAsia="bg-BG"/>
        </w:rPr>
      </w:pPr>
    </w:p>
    <w:p w14:paraId="340FD994" w14:textId="2032AA29" w:rsidR="00DB54E0" w:rsidRPr="00DB54E0" w:rsidRDefault="00DB54E0" w:rsidP="00DB54E0">
      <w:pPr>
        <w:rPr>
          <w:sz w:val="24"/>
          <w:szCs w:val="24"/>
          <w:lang w:val="ru-RU"/>
        </w:rPr>
      </w:pPr>
      <w:r w:rsidRPr="00DB54E0">
        <w:rPr>
          <w:lang w:eastAsia="bg-BG"/>
        </w:rPr>
        <w:t xml:space="preserve">Сувартар </w:t>
      </w:r>
      <w:r w:rsidRPr="00DB54E0">
        <w:rPr>
          <w:lang w:val="en-US"/>
        </w:rPr>
        <w:t>H</w:t>
      </w:r>
      <w:r w:rsidRPr="00DB54E0">
        <w:rPr>
          <w:lang w:val="ru-RU"/>
        </w:rPr>
        <w:t xml:space="preserve"> 160 </w:t>
      </w:r>
      <w:r w:rsidRPr="00DB54E0">
        <w:rPr>
          <w:lang w:val="en-US"/>
        </w:rPr>
        <w:t>mg</w:t>
      </w:r>
      <w:r w:rsidRPr="00DB54E0">
        <w:rPr>
          <w:lang w:val="ru-RU"/>
        </w:rPr>
        <w:t xml:space="preserve">/25 </w:t>
      </w:r>
      <w:r w:rsidRPr="00DB54E0">
        <w:rPr>
          <w:lang w:val="en-US"/>
        </w:rPr>
        <w:t>mg</w:t>
      </w:r>
      <w:r w:rsidRPr="00DB54E0">
        <w:rPr>
          <w:lang w:val="ru-RU"/>
        </w:rPr>
        <w:t xml:space="preserve"> </w:t>
      </w:r>
      <w:r w:rsidRPr="00DB54E0">
        <w:rPr>
          <w:lang w:eastAsia="bg-BG"/>
        </w:rPr>
        <w:t>филмирани таблетки</w:t>
      </w:r>
    </w:p>
    <w:p w14:paraId="5F1ABF88" w14:textId="77777777" w:rsidR="00DB54E0" w:rsidRPr="00DB54E0" w:rsidRDefault="00DB54E0" w:rsidP="00DB54E0">
      <w:pPr>
        <w:rPr>
          <w:sz w:val="24"/>
          <w:szCs w:val="24"/>
          <w:lang w:val="en-US"/>
        </w:rPr>
      </w:pPr>
      <w:proofErr w:type="spellStart"/>
      <w:r w:rsidRPr="00DB54E0">
        <w:rPr>
          <w:lang w:val="en-US"/>
        </w:rPr>
        <w:t>Suvartar</w:t>
      </w:r>
      <w:proofErr w:type="spellEnd"/>
      <w:r w:rsidRPr="00DB54E0">
        <w:rPr>
          <w:lang w:val="en-US"/>
        </w:rPr>
        <w:t xml:space="preserve"> H 160 mg/25 mg film-coated tablets</w:t>
      </w:r>
    </w:p>
    <w:p w14:paraId="45F5EA8B" w14:textId="77777777" w:rsidR="00DB54E0" w:rsidRPr="00DB54E0" w:rsidRDefault="00DB54E0" w:rsidP="00DB54E0"/>
    <w:p w14:paraId="48E6CABE" w14:textId="462413F4" w:rsidR="00DB32D3" w:rsidRDefault="00DD466D" w:rsidP="005726E3">
      <w:pPr>
        <w:pStyle w:val="Heading1"/>
      </w:pPr>
      <w:r>
        <w:t>2. КАЧЕСТВЕН И КОЛИЧЕСТВЕН СЪСТАВ</w:t>
      </w:r>
    </w:p>
    <w:p w14:paraId="711E5B11" w14:textId="34989CCE" w:rsidR="00DB54E0" w:rsidRDefault="00DB54E0" w:rsidP="00DB54E0"/>
    <w:p w14:paraId="3C5DF67A" w14:textId="77777777" w:rsidR="00DB54E0" w:rsidRPr="00DB54E0" w:rsidRDefault="00DB54E0" w:rsidP="00DB54E0">
      <w:pPr>
        <w:spacing w:line="240" w:lineRule="auto"/>
        <w:rPr>
          <w:rFonts w:eastAsia="Times New Roman" w:cs="Arial"/>
          <w:sz w:val="24"/>
          <w:szCs w:val="24"/>
        </w:rPr>
      </w:pPr>
      <w:r w:rsidRPr="00DB54E0">
        <w:rPr>
          <w:rFonts w:eastAsia="Times New Roman" w:cs="Arial"/>
          <w:iCs/>
          <w:color w:val="000000"/>
          <w:lang w:eastAsia="bg-BG"/>
        </w:rPr>
        <w:t xml:space="preserve">Сувартар Н160 </w:t>
      </w:r>
      <w:r w:rsidRPr="00DB54E0">
        <w:rPr>
          <w:rFonts w:eastAsia="Times New Roman" w:cs="Arial"/>
          <w:iCs/>
          <w:color w:val="000000"/>
          <w:lang w:val="en-US"/>
        </w:rPr>
        <w:t>mg</w:t>
      </w:r>
      <w:r w:rsidRPr="00DB54E0">
        <w:rPr>
          <w:rFonts w:eastAsia="Times New Roman" w:cs="Arial"/>
          <w:iCs/>
          <w:color w:val="000000"/>
          <w:lang w:val="ru-RU"/>
        </w:rPr>
        <w:t xml:space="preserve">/12,5 </w:t>
      </w:r>
      <w:r w:rsidRPr="00DB54E0">
        <w:rPr>
          <w:rFonts w:eastAsia="Times New Roman" w:cs="Arial"/>
          <w:iCs/>
          <w:color w:val="000000"/>
          <w:lang w:val="en-US"/>
        </w:rPr>
        <w:t>mg</w:t>
      </w:r>
      <w:r w:rsidRPr="00DB54E0">
        <w:rPr>
          <w:rFonts w:eastAsia="Times New Roman" w:cs="Arial"/>
          <w:iCs/>
          <w:color w:val="000000"/>
          <w:lang w:val="ru-RU"/>
        </w:rPr>
        <w:t xml:space="preserve"> </w:t>
      </w:r>
      <w:r w:rsidRPr="00DB54E0">
        <w:rPr>
          <w:rFonts w:eastAsia="Times New Roman" w:cs="Arial"/>
          <w:iCs/>
          <w:color w:val="000000"/>
          <w:lang w:eastAsia="bg-BG"/>
        </w:rPr>
        <w:t>филмирани таблетки</w:t>
      </w:r>
    </w:p>
    <w:p w14:paraId="7BC56DB9"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Всяка филмирана таблетка съдържа 160 </w:t>
      </w:r>
      <w:r w:rsidRPr="00DB54E0">
        <w:rPr>
          <w:rFonts w:eastAsia="Times New Roman" w:cs="Arial"/>
          <w:color w:val="000000"/>
          <w:lang w:val="en-US"/>
        </w:rPr>
        <w:t>mg</w:t>
      </w:r>
      <w:r w:rsidRPr="00DB54E0">
        <w:rPr>
          <w:rFonts w:eastAsia="Times New Roman" w:cs="Arial"/>
          <w:color w:val="000000"/>
        </w:rPr>
        <w:t xml:space="preserve"> </w:t>
      </w:r>
      <w:r w:rsidRPr="00DB54E0">
        <w:rPr>
          <w:rFonts w:eastAsia="Times New Roman" w:cs="Arial"/>
          <w:color w:val="000000"/>
          <w:lang w:eastAsia="bg-BG"/>
        </w:rPr>
        <w:t>валсартан (</w:t>
      </w:r>
      <w:r w:rsidRPr="00DB54E0">
        <w:rPr>
          <w:rFonts w:eastAsia="Times New Roman" w:cs="Arial"/>
          <w:iCs/>
          <w:color w:val="000000"/>
          <w:lang w:val="en-US"/>
        </w:rPr>
        <w:t>valsartan</w:t>
      </w:r>
      <w:r w:rsidRPr="00DB54E0">
        <w:rPr>
          <w:rFonts w:eastAsia="Times New Roman" w:cs="Arial"/>
          <w:iCs/>
          <w:color w:val="000000"/>
        </w:rPr>
        <w:t>)</w:t>
      </w:r>
      <w:r w:rsidRPr="00DB54E0">
        <w:rPr>
          <w:rFonts w:eastAsia="Times New Roman" w:cs="Arial"/>
          <w:color w:val="000000"/>
        </w:rPr>
        <w:t xml:space="preserve"> </w:t>
      </w:r>
      <w:r w:rsidRPr="00DB54E0">
        <w:rPr>
          <w:rFonts w:eastAsia="Times New Roman" w:cs="Arial"/>
          <w:color w:val="000000"/>
          <w:lang w:eastAsia="bg-BG"/>
        </w:rPr>
        <w:t xml:space="preserve">и 12,5 </w:t>
      </w:r>
      <w:r w:rsidRPr="00DB54E0">
        <w:rPr>
          <w:rFonts w:eastAsia="Times New Roman" w:cs="Arial"/>
          <w:color w:val="000000"/>
          <w:lang w:val="en-US"/>
        </w:rPr>
        <w:t>mg</w:t>
      </w:r>
      <w:r w:rsidRPr="00DB54E0">
        <w:rPr>
          <w:rFonts w:eastAsia="Times New Roman" w:cs="Arial"/>
          <w:color w:val="000000"/>
        </w:rPr>
        <w:t xml:space="preserve"> </w:t>
      </w:r>
      <w:r w:rsidRPr="00DB54E0">
        <w:rPr>
          <w:rFonts w:eastAsia="Times New Roman" w:cs="Arial"/>
          <w:color w:val="000000"/>
          <w:lang w:eastAsia="bg-BG"/>
        </w:rPr>
        <w:t>хидрохлоротиазид (</w:t>
      </w:r>
      <w:r w:rsidRPr="00DB54E0">
        <w:rPr>
          <w:rFonts w:eastAsia="Times New Roman" w:cs="Arial"/>
          <w:iCs/>
          <w:color w:val="000000"/>
          <w:lang w:val="en-US"/>
        </w:rPr>
        <w:t>hydrochlorothiazide</w:t>
      </w:r>
      <w:r w:rsidRPr="00DB54E0">
        <w:rPr>
          <w:rFonts w:eastAsia="Times New Roman" w:cs="Arial"/>
          <w:iCs/>
          <w:color w:val="000000"/>
        </w:rPr>
        <w:t>).</w:t>
      </w:r>
    </w:p>
    <w:p w14:paraId="36337A66" w14:textId="77777777" w:rsidR="00DB54E0" w:rsidRPr="00DB54E0" w:rsidRDefault="00DB54E0" w:rsidP="00DB54E0">
      <w:pPr>
        <w:spacing w:line="240" w:lineRule="auto"/>
        <w:rPr>
          <w:rFonts w:eastAsia="Times New Roman" w:cs="Arial"/>
          <w:iCs/>
          <w:color w:val="000000"/>
          <w:lang w:eastAsia="bg-BG"/>
        </w:rPr>
      </w:pPr>
    </w:p>
    <w:p w14:paraId="600F5661" w14:textId="6F9EB285" w:rsidR="00DB54E0" w:rsidRPr="00DB54E0" w:rsidRDefault="00DB54E0" w:rsidP="00DB54E0">
      <w:pPr>
        <w:spacing w:line="240" w:lineRule="auto"/>
        <w:rPr>
          <w:rFonts w:eastAsia="Times New Roman" w:cs="Arial"/>
          <w:sz w:val="24"/>
          <w:szCs w:val="24"/>
        </w:rPr>
      </w:pPr>
      <w:r w:rsidRPr="00DB54E0">
        <w:rPr>
          <w:rFonts w:eastAsia="Times New Roman" w:cs="Arial"/>
          <w:iCs/>
          <w:color w:val="000000"/>
          <w:lang w:eastAsia="bg-BG"/>
        </w:rPr>
        <w:t xml:space="preserve">Сувартар Н160 </w:t>
      </w:r>
      <w:r w:rsidRPr="00DB54E0">
        <w:rPr>
          <w:rFonts w:eastAsia="Times New Roman" w:cs="Arial"/>
          <w:iCs/>
          <w:color w:val="000000"/>
          <w:lang w:val="en-US"/>
        </w:rPr>
        <w:t>mg</w:t>
      </w:r>
      <w:r w:rsidRPr="00DB54E0">
        <w:rPr>
          <w:rFonts w:eastAsia="Times New Roman" w:cs="Arial"/>
          <w:iCs/>
          <w:color w:val="000000"/>
          <w:lang w:val="ru-RU"/>
        </w:rPr>
        <w:t xml:space="preserve">/25 </w:t>
      </w:r>
      <w:r w:rsidRPr="00DB54E0">
        <w:rPr>
          <w:rFonts w:eastAsia="Times New Roman" w:cs="Arial"/>
          <w:iCs/>
          <w:color w:val="000000"/>
          <w:lang w:val="en-US"/>
        </w:rPr>
        <w:t>mg</w:t>
      </w:r>
      <w:r w:rsidRPr="00DB54E0">
        <w:rPr>
          <w:rFonts w:eastAsia="Times New Roman" w:cs="Arial"/>
          <w:iCs/>
          <w:color w:val="000000"/>
          <w:lang w:val="ru-RU"/>
        </w:rPr>
        <w:t xml:space="preserve"> </w:t>
      </w:r>
      <w:r w:rsidRPr="00DB54E0">
        <w:rPr>
          <w:rFonts w:eastAsia="Times New Roman" w:cs="Arial"/>
          <w:iCs/>
          <w:color w:val="000000"/>
          <w:lang w:eastAsia="bg-BG"/>
        </w:rPr>
        <w:t>филмирани таблетки</w:t>
      </w:r>
    </w:p>
    <w:p w14:paraId="4771B0F6"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Всяка филмирана таблетка съдържа 160 </w:t>
      </w:r>
      <w:r w:rsidRPr="00DB54E0">
        <w:rPr>
          <w:rFonts w:eastAsia="Times New Roman" w:cs="Arial"/>
          <w:color w:val="000000"/>
          <w:lang w:val="en-US"/>
        </w:rPr>
        <w:t>mg</w:t>
      </w:r>
      <w:r w:rsidRPr="00DB54E0">
        <w:rPr>
          <w:rFonts w:eastAsia="Times New Roman" w:cs="Arial"/>
          <w:color w:val="000000"/>
        </w:rPr>
        <w:t xml:space="preserve"> </w:t>
      </w:r>
      <w:r w:rsidRPr="00DB54E0">
        <w:rPr>
          <w:rFonts w:eastAsia="Times New Roman" w:cs="Arial"/>
          <w:color w:val="000000"/>
          <w:lang w:eastAsia="bg-BG"/>
        </w:rPr>
        <w:t>валсартан (</w:t>
      </w:r>
      <w:r w:rsidRPr="00DB54E0">
        <w:rPr>
          <w:rFonts w:eastAsia="Times New Roman" w:cs="Arial"/>
          <w:iCs/>
          <w:color w:val="000000"/>
          <w:lang w:val="en-US"/>
        </w:rPr>
        <w:t>valsartan</w:t>
      </w:r>
      <w:r w:rsidRPr="00DB54E0">
        <w:rPr>
          <w:rFonts w:eastAsia="Times New Roman" w:cs="Arial"/>
          <w:iCs/>
          <w:color w:val="000000"/>
        </w:rPr>
        <w:t>)</w:t>
      </w:r>
      <w:r w:rsidRPr="00DB54E0">
        <w:rPr>
          <w:rFonts w:eastAsia="Times New Roman" w:cs="Arial"/>
          <w:color w:val="000000"/>
        </w:rPr>
        <w:t xml:space="preserve"> </w:t>
      </w:r>
      <w:r w:rsidRPr="00DB54E0">
        <w:rPr>
          <w:rFonts w:eastAsia="Times New Roman" w:cs="Arial"/>
          <w:color w:val="000000"/>
          <w:lang w:eastAsia="bg-BG"/>
        </w:rPr>
        <w:t xml:space="preserve">и 25 </w:t>
      </w:r>
      <w:r w:rsidRPr="00DB54E0">
        <w:rPr>
          <w:rFonts w:eastAsia="Times New Roman" w:cs="Arial"/>
          <w:color w:val="000000"/>
          <w:lang w:val="en-US"/>
        </w:rPr>
        <w:t>mg</w:t>
      </w:r>
      <w:r w:rsidRPr="00DB54E0">
        <w:rPr>
          <w:rFonts w:eastAsia="Times New Roman" w:cs="Arial"/>
          <w:color w:val="000000"/>
        </w:rPr>
        <w:t xml:space="preserve"> </w:t>
      </w:r>
      <w:r w:rsidRPr="00DB54E0">
        <w:rPr>
          <w:rFonts w:eastAsia="Times New Roman" w:cs="Arial"/>
          <w:color w:val="000000"/>
          <w:lang w:eastAsia="bg-BG"/>
        </w:rPr>
        <w:t xml:space="preserve">хидрохлоротиазид </w:t>
      </w:r>
      <w:r w:rsidRPr="00DB54E0">
        <w:rPr>
          <w:rFonts w:eastAsia="Times New Roman" w:cs="Arial"/>
          <w:iCs/>
          <w:color w:val="000000"/>
        </w:rPr>
        <w:t>(</w:t>
      </w:r>
      <w:r w:rsidRPr="00DB54E0">
        <w:rPr>
          <w:rFonts w:eastAsia="Times New Roman" w:cs="Arial"/>
          <w:iCs/>
          <w:color w:val="000000"/>
          <w:lang w:val="en-US"/>
        </w:rPr>
        <w:t>hydrochlorothiazide</w:t>
      </w:r>
      <w:r w:rsidRPr="00DB54E0">
        <w:rPr>
          <w:rFonts w:eastAsia="Times New Roman" w:cs="Arial"/>
          <w:iCs/>
          <w:color w:val="000000"/>
        </w:rPr>
        <w:t>).</w:t>
      </w:r>
    </w:p>
    <w:p w14:paraId="5DC4479A" w14:textId="77777777" w:rsidR="00DB54E0" w:rsidRPr="00DB54E0" w:rsidRDefault="00DB54E0" w:rsidP="00DB54E0"/>
    <w:p w14:paraId="614984C4" w14:textId="34939B1D" w:rsidR="008A6AF2" w:rsidRDefault="00DD466D" w:rsidP="002C50EE">
      <w:pPr>
        <w:pStyle w:val="Heading1"/>
      </w:pPr>
      <w:r>
        <w:t>3. ЛЕКАРСТВЕНА ФОРМА</w:t>
      </w:r>
    </w:p>
    <w:p w14:paraId="1DB2820D" w14:textId="1F8B944D" w:rsidR="00DB54E0" w:rsidRDefault="00DB54E0" w:rsidP="00DB54E0"/>
    <w:p w14:paraId="659E79DA"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Филмирана таблетка</w:t>
      </w:r>
    </w:p>
    <w:p w14:paraId="2B0BEFC4" w14:textId="77777777" w:rsidR="00DB54E0" w:rsidRPr="00DB54E0" w:rsidRDefault="00DB54E0" w:rsidP="00DB54E0">
      <w:pPr>
        <w:spacing w:line="240" w:lineRule="auto"/>
        <w:rPr>
          <w:rFonts w:eastAsia="Times New Roman" w:cs="Arial"/>
          <w:i/>
          <w:iCs/>
          <w:color w:val="000000"/>
          <w:lang w:eastAsia="bg-BG"/>
        </w:rPr>
      </w:pPr>
    </w:p>
    <w:p w14:paraId="0BB58521" w14:textId="7E5F59FB"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lang w:eastAsia="bg-BG"/>
        </w:rPr>
        <w:t xml:space="preserve">Сувартар Н160 </w:t>
      </w:r>
      <w:r w:rsidRPr="00DB54E0">
        <w:rPr>
          <w:rFonts w:eastAsia="Times New Roman" w:cs="Arial"/>
          <w:i/>
          <w:iCs/>
          <w:color w:val="000000"/>
          <w:lang w:val="en-US"/>
        </w:rPr>
        <w:t>mg</w:t>
      </w:r>
      <w:r w:rsidRPr="00DB54E0">
        <w:rPr>
          <w:rFonts w:eastAsia="Times New Roman" w:cs="Arial"/>
          <w:i/>
          <w:iCs/>
          <w:color w:val="000000"/>
          <w:lang w:val="ru-RU"/>
        </w:rPr>
        <w:t xml:space="preserve">/12,5 </w:t>
      </w:r>
      <w:r w:rsidRPr="00DB54E0">
        <w:rPr>
          <w:rFonts w:eastAsia="Times New Roman" w:cs="Arial"/>
          <w:i/>
          <w:iCs/>
          <w:color w:val="000000"/>
          <w:lang w:val="en-US"/>
        </w:rPr>
        <w:t>mg</w:t>
      </w:r>
      <w:r w:rsidRPr="00DB54E0">
        <w:rPr>
          <w:rFonts w:eastAsia="Times New Roman" w:cs="Arial"/>
          <w:i/>
          <w:iCs/>
          <w:color w:val="000000"/>
          <w:lang w:val="ru-RU"/>
        </w:rPr>
        <w:t xml:space="preserve"> </w:t>
      </w:r>
      <w:r w:rsidRPr="00DB54E0">
        <w:rPr>
          <w:rFonts w:eastAsia="Times New Roman" w:cs="Arial"/>
          <w:i/>
          <w:iCs/>
          <w:color w:val="000000"/>
          <w:lang w:eastAsia="bg-BG"/>
        </w:rPr>
        <w:t>филмирани таблетки</w:t>
      </w:r>
    </w:p>
    <w:p w14:paraId="4DC0E9CD"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Тъмночервени, продълговати, леко изпъкнали филмирани таблетки, щамповани от едната страна с "ННН" и </w:t>
      </w:r>
      <w:r w:rsidRPr="00DB54E0">
        <w:rPr>
          <w:rFonts w:eastAsia="Times New Roman" w:cs="Arial"/>
          <w:color w:val="000000"/>
          <w:lang w:val="ru-RU"/>
        </w:rPr>
        <w:t>"</w:t>
      </w:r>
      <w:r w:rsidRPr="00DB54E0">
        <w:rPr>
          <w:rFonts w:eastAsia="Times New Roman" w:cs="Arial"/>
          <w:color w:val="000000"/>
          <w:lang w:val="en-US"/>
        </w:rPr>
        <w:t>CG</w:t>
      </w:r>
      <w:r w:rsidRPr="00DB54E0">
        <w:rPr>
          <w:rFonts w:eastAsia="Times New Roman" w:cs="Arial"/>
          <w:color w:val="000000"/>
          <w:lang w:val="ru-RU"/>
        </w:rPr>
        <w:t xml:space="preserve">" </w:t>
      </w:r>
      <w:r w:rsidRPr="00DB54E0">
        <w:rPr>
          <w:rFonts w:eastAsia="Times New Roman" w:cs="Arial"/>
          <w:color w:val="000000"/>
          <w:lang w:eastAsia="bg-BG"/>
        </w:rPr>
        <w:t>от обратната страна на таблетката.</w:t>
      </w:r>
    </w:p>
    <w:p w14:paraId="1039397E" w14:textId="77777777" w:rsidR="00DB54E0" w:rsidRPr="00DB54E0" w:rsidRDefault="00DB54E0" w:rsidP="00DB54E0">
      <w:pPr>
        <w:spacing w:line="240" w:lineRule="auto"/>
        <w:rPr>
          <w:rFonts w:eastAsia="Times New Roman" w:cs="Arial"/>
          <w:i/>
          <w:iCs/>
          <w:color w:val="000000"/>
          <w:lang w:eastAsia="bg-BG"/>
        </w:rPr>
      </w:pPr>
    </w:p>
    <w:p w14:paraId="7CD63AC1" w14:textId="263311A9"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lang w:eastAsia="bg-BG"/>
        </w:rPr>
        <w:t xml:space="preserve">Сувартар Н160 </w:t>
      </w:r>
      <w:r w:rsidRPr="00DB54E0">
        <w:rPr>
          <w:rFonts w:eastAsia="Times New Roman" w:cs="Arial"/>
          <w:i/>
          <w:iCs/>
          <w:color w:val="000000"/>
          <w:lang w:val="en-US"/>
        </w:rPr>
        <w:t>mg</w:t>
      </w:r>
      <w:r w:rsidRPr="00DB54E0">
        <w:rPr>
          <w:rFonts w:eastAsia="Times New Roman" w:cs="Arial"/>
          <w:i/>
          <w:iCs/>
          <w:color w:val="000000"/>
          <w:lang w:val="ru-RU"/>
        </w:rPr>
        <w:t xml:space="preserve">/25 </w:t>
      </w:r>
      <w:r w:rsidRPr="00DB54E0">
        <w:rPr>
          <w:rFonts w:eastAsia="Times New Roman" w:cs="Arial"/>
          <w:i/>
          <w:iCs/>
          <w:color w:val="000000"/>
          <w:lang w:val="en-US"/>
        </w:rPr>
        <w:t>mg</w:t>
      </w:r>
      <w:r w:rsidRPr="00DB54E0">
        <w:rPr>
          <w:rFonts w:eastAsia="Times New Roman" w:cs="Arial"/>
          <w:i/>
          <w:iCs/>
          <w:color w:val="000000"/>
          <w:lang w:val="ru-RU"/>
        </w:rPr>
        <w:t xml:space="preserve"> </w:t>
      </w:r>
      <w:r w:rsidRPr="00DB54E0">
        <w:rPr>
          <w:rFonts w:eastAsia="Times New Roman" w:cs="Arial"/>
          <w:i/>
          <w:iCs/>
          <w:color w:val="000000"/>
          <w:lang w:eastAsia="bg-BG"/>
        </w:rPr>
        <w:t>филмирани таблетки</w:t>
      </w:r>
    </w:p>
    <w:p w14:paraId="3799BA44" w14:textId="07705E41" w:rsid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Оранжевокафяви, продълговати, леко изпъкнали филмирани таблетки, щамповани от едната страна с "НХН" и </w:t>
      </w:r>
      <w:r w:rsidRPr="00DB54E0">
        <w:rPr>
          <w:rFonts w:eastAsia="Times New Roman" w:cs="Arial"/>
          <w:color w:val="000000"/>
          <w:lang w:val="ru-RU"/>
        </w:rPr>
        <w:t>"</w:t>
      </w:r>
      <w:r w:rsidRPr="00DB54E0">
        <w:rPr>
          <w:rFonts w:eastAsia="Times New Roman" w:cs="Arial"/>
          <w:color w:val="000000"/>
          <w:lang w:val="en-US"/>
        </w:rPr>
        <w:t>NVR</w:t>
      </w:r>
      <w:r w:rsidRPr="00DB54E0">
        <w:rPr>
          <w:rFonts w:eastAsia="Times New Roman" w:cs="Arial"/>
          <w:color w:val="000000"/>
          <w:lang w:val="ru-RU"/>
        </w:rPr>
        <w:t xml:space="preserve">" </w:t>
      </w:r>
      <w:r w:rsidRPr="00DB54E0">
        <w:rPr>
          <w:rFonts w:eastAsia="Times New Roman" w:cs="Arial"/>
          <w:color w:val="000000"/>
          <w:lang w:eastAsia="bg-BG"/>
        </w:rPr>
        <w:t>от обратната страна на таблетката.</w:t>
      </w:r>
    </w:p>
    <w:p w14:paraId="7CDC9463" w14:textId="77777777" w:rsidR="00DB54E0" w:rsidRPr="00DB54E0" w:rsidRDefault="00DB54E0" w:rsidP="00DB54E0">
      <w:pPr>
        <w:spacing w:line="240" w:lineRule="auto"/>
        <w:rPr>
          <w:rFonts w:eastAsia="Times New Roman" w:cs="Arial"/>
          <w:sz w:val="24"/>
          <w:szCs w:val="24"/>
        </w:rPr>
      </w:pPr>
    </w:p>
    <w:p w14:paraId="490FC2C4" w14:textId="6899DE43" w:rsidR="002C50EE" w:rsidRDefault="002C50EE" w:rsidP="002C50EE">
      <w:pPr>
        <w:pStyle w:val="Heading1"/>
      </w:pPr>
      <w:r>
        <w:t>4. КЛИНИЧНИ ДАННИ</w:t>
      </w:r>
    </w:p>
    <w:p w14:paraId="0771830A" w14:textId="3535A3AF" w:rsidR="00DB32D3" w:rsidRDefault="002C50EE" w:rsidP="005726E3">
      <w:pPr>
        <w:pStyle w:val="Heading2"/>
      </w:pPr>
      <w:r>
        <w:t>4.1. Терапевтични показания</w:t>
      </w:r>
    </w:p>
    <w:p w14:paraId="65D54504" w14:textId="41C59F7E" w:rsidR="00DB54E0" w:rsidRDefault="00DB54E0" w:rsidP="00DB54E0"/>
    <w:p w14:paraId="56DFE384" w14:textId="77777777" w:rsidR="00DB54E0" w:rsidRPr="00DB54E0" w:rsidRDefault="00DB54E0" w:rsidP="00DB54E0">
      <w:pPr>
        <w:rPr>
          <w:sz w:val="24"/>
          <w:szCs w:val="24"/>
        </w:rPr>
      </w:pPr>
      <w:r w:rsidRPr="00DB54E0">
        <w:rPr>
          <w:lang w:eastAsia="bg-BG"/>
        </w:rPr>
        <w:t>Лечение на есенциална хипертония при възрастни.</w:t>
      </w:r>
    </w:p>
    <w:p w14:paraId="4578F5E2" w14:textId="77777777" w:rsidR="00DB54E0" w:rsidRDefault="00DB54E0" w:rsidP="00DB54E0">
      <w:pPr>
        <w:rPr>
          <w:lang w:eastAsia="bg-BG"/>
        </w:rPr>
      </w:pPr>
    </w:p>
    <w:p w14:paraId="662816FE" w14:textId="2B06F886" w:rsidR="00DB54E0" w:rsidRPr="00DB54E0" w:rsidRDefault="00DB54E0" w:rsidP="00DB54E0">
      <w:pPr>
        <w:rPr>
          <w:sz w:val="24"/>
          <w:szCs w:val="24"/>
        </w:rPr>
      </w:pPr>
      <w:r w:rsidRPr="00DB54E0">
        <w:rPr>
          <w:lang w:eastAsia="bg-BG"/>
        </w:rPr>
        <w:t>Сувартар Н фиксирана дозова комбинация е показан при пациенти, чието артериално налягане не се контролира адекватно от монотерапия с валсартан или хидрохлоротиазид.</w:t>
      </w:r>
    </w:p>
    <w:p w14:paraId="558473F9" w14:textId="77777777" w:rsidR="00DB54E0" w:rsidRPr="00DB54E0" w:rsidRDefault="00DB54E0" w:rsidP="00DB54E0"/>
    <w:p w14:paraId="1286DE96" w14:textId="5B15D82A" w:rsidR="00DB54E0" w:rsidRDefault="00DB54E0" w:rsidP="00DB54E0"/>
    <w:p w14:paraId="70129B85" w14:textId="77777777" w:rsidR="00DB54E0" w:rsidRPr="00DB54E0" w:rsidRDefault="00DB54E0" w:rsidP="00DB54E0"/>
    <w:p w14:paraId="7647A102" w14:textId="4C7DCAB3" w:rsidR="00DB32D3" w:rsidRDefault="002C50EE" w:rsidP="005726E3">
      <w:pPr>
        <w:pStyle w:val="Heading2"/>
      </w:pPr>
      <w:r>
        <w:lastRenderedPageBreak/>
        <w:t>4.2. Дозировка и начин на приложение</w:t>
      </w:r>
    </w:p>
    <w:p w14:paraId="10D60893" w14:textId="7E13B72E" w:rsidR="00DB54E0" w:rsidRDefault="00DB54E0" w:rsidP="00DB54E0"/>
    <w:p w14:paraId="207CDBC9" w14:textId="77777777" w:rsidR="00DB54E0" w:rsidRPr="00DB54E0" w:rsidRDefault="00DB54E0" w:rsidP="00DB54E0">
      <w:pPr>
        <w:pStyle w:val="Heading3"/>
        <w:rPr>
          <w:u w:val="single"/>
        </w:rPr>
      </w:pPr>
      <w:r w:rsidRPr="00DB54E0">
        <w:rPr>
          <w:u w:val="single"/>
        </w:rPr>
        <w:t>Дозировка</w:t>
      </w:r>
      <w:bookmarkStart w:id="1" w:name="bookmark0"/>
      <w:bookmarkEnd w:id="1"/>
    </w:p>
    <w:p w14:paraId="7108719A"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Препоръчителната доза Сувартар Н е една филмирана таблетка дневно. Препоръчва се индивидуално титриране на дозите на отделните компоненти. За всеки случай, за да се намали риска от хипотония и</w:t>
      </w:r>
    </w:p>
    <w:p w14:paraId="6425D38C" w14:textId="77777777" w:rsidR="00DB54E0" w:rsidRPr="00DB54E0" w:rsidRDefault="00DB54E0" w:rsidP="00DB54E0">
      <w:pPr>
        <w:rPr>
          <w:rFonts w:eastAsia="Times New Roman" w:cs="Arial"/>
          <w:sz w:val="24"/>
          <w:szCs w:val="24"/>
        </w:rPr>
      </w:pPr>
      <w:r w:rsidRPr="00DB54E0">
        <w:rPr>
          <w:rFonts w:eastAsia="Times New Roman" w:cs="Arial"/>
          <w:color w:val="000000"/>
          <w:lang w:eastAsia="bg-BG"/>
        </w:rPr>
        <w:t>други нежелани реакции е добре последователно възходящо да се титрират оделните компоненти. Когато е уместно от клинична гледна точка, би могло да се обсъди директно преминаване от монотерапия към лечение с комбинация от фиксирани дози при пациенти, чиетето артериално налягане не се контролира адекватно от монотерапия с валсартан или хидрохлоротиазид, като се осигури спазване на препоръчителната последователност за титриране на отделните компоненти.</w:t>
      </w:r>
    </w:p>
    <w:p w14:paraId="0C893811" w14:textId="77777777" w:rsidR="00DB54E0" w:rsidRPr="00DB54E0" w:rsidRDefault="00DB54E0" w:rsidP="00DB54E0">
      <w:pPr>
        <w:spacing w:line="240" w:lineRule="auto"/>
        <w:rPr>
          <w:rFonts w:eastAsia="Times New Roman" w:cs="Arial"/>
          <w:color w:val="000000"/>
          <w:lang w:eastAsia="bg-BG"/>
        </w:rPr>
      </w:pPr>
    </w:p>
    <w:p w14:paraId="1A31884A" w14:textId="7887CB25"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След започване на терапията трябва да се направи оценка на клиничния отговор спрямо Сувартар Н и ако не може да се постигне контрол на артериалното налягане, дозата може да се повиши чрез повишаване на отделните компонети до максимална доза 320 </w:t>
      </w:r>
      <w:r w:rsidRPr="00DB54E0">
        <w:rPr>
          <w:rFonts w:eastAsia="Times New Roman" w:cs="Arial"/>
          <w:color w:val="000000"/>
          <w:lang w:val="en-US"/>
        </w:rPr>
        <w:t>mg</w:t>
      </w:r>
      <w:r w:rsidRPr="00DB54E0">
        <w:rPr>
          <w:rFonts w:eastAsia="Times New Roman" w:cs="Arial"/>
          <w:color w:val="000000"/>
          <w:lang w:val="ru-RU"/>
        </w:rPr>
        <w:t xml:space="preserve"> </w:t>
      </w:r>
      <w:r w:rsidRPr="00DB54E0">
        <w:rPr>
          <w:rFonts w:eastAsia="Times New Roman" w:cs="Arial"/>
          <w:color w:val="000000"/>
          <w:lang w:eastAsia="bg-BG"/>
        </w:rPr>
        <w:t xml:space="preserve">валсартан и 25 </w:t>
      </w:r>
      <w:r w:rsidRPr="00DB54E0">
        <w:rPr>
          <w:rFonts w:eastAsia="Times New Roman" w:cs="Arial"/>
          <w:color w:val="000000"/>
          <w:lang w:val="en-US"/>
        </w:rPr>
        <w:t>mg</w:t>
      </w:r>
      <w:r w:rsidRPr="00DB54E0">
        <w:rPr>
          <w:rFonts w:eastAsia="Times New Roman" w:cs="Arial"/>
          <w:color w:val="000000"/>
          <w:lang w:val="ru-RU"/>
        </w:rPr>
        <w:t xml:space="preserve"> </w:t>
      </w:r>
      <w:r w:rsidRPr="00DB54E0">
        <w:rPr>
          <w:rFonts w:eastAsia="Times New Roman" w:cs="Arial"/>
          <w:color w:val="000000"/>
          <w:lang w:eastAsia="bg-BG"/>
        </w:rPr>
        <w:t>хидрохлоротиазид.</w:t>
      </w:r>
    </w:p>
    <w:p w14:paraId="1FA3446A" w14:textId="77777777" w:rsidR="00DB54E0" w:rsidRPr="00DB54E0" w:rsidRDefault="00DB54E0" w:rsidP="00DB54E0">
      <w:pPr>
        <w:spacing w:line="240" w:lineRule="auto"/>
        <w:rPr>
          <w:rFonts w:eastAsia="Times New Roman" w:cs="Arial"/>
          <w:color w:val="000000"/>
          <w:lang w:eastAsia="bg-BG"/>
        </w:rPr>
      </w:pPr>
    </w:p>
    <w:p w14:paraId="79463DF8" w14:textId="07388DC4"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Антихипертензивният ефект е подчертано наличен след 2 седмици.</w:t>
      </w:r>
    </w:p>
    <w:p w14:paraId="16C4510D"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При повечето пациенти максималните ефекти се постигат в рамките на 4 седмици. При някои пациенти, обаче, може да е необходимо лечение в продължение на 4-8 седмици. Това трябва да се има предвид по време на титрирането на дозата.</w:t>
      </w:r>
    </w:p>
    <w:p w14:paraId="500E4F19" w14:textId="77777777" w:rsidR="00DB54E0" w:rsidRPr="00DB54E0" w:rsidRDefault="00DB54E0" w:rsidP="00DB54E0">
      <w:pPr>
        <w:spacing w:line="240" w:lineRule="auto"/>
        <w:rPr>
          <w:rFonts w:eastAsia="Times New Roman" w:cs="Arial"/>
          <w:color w:val="000000"/>
          <w:lang w:eastAsia="bg-BG"/>
        </w:rPr>
      </w:pPr>
    </w:p>
    <w:p w14:paraId="0466203D" w14:textId="5584506D"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Ако след 8 седмици не настъпи очаквания ефект от Сувартар Н 320 </w:t>
      </w:r>
      <w:r w:rsidRPr="00DB54E0">
        <w:rPr>
          <w:rFonts w:eastAsia="Times New Roman" w:cs="Arial"/>
          <w:color w:val="000000"/>
          <w:lang w:val="en-US"/>
        </w:rPr>
        <w:t>mg</w:t>
      </w:r>
      <w:r w:rsidRPr="00DB54E0">
        <w:rPr>
          <w:rFonts w:eastAsia="Times New Roman" w:cs="Arial"/>
          <w:color w:val="000000"/>
          <w:lang w:val="ru-RU"/>
        </w:rPr>
        <w:t xml:space="preserve">/25 </w:t>
      </w:r>
      <w:r w:rsidRPr="00DB54E0">
        <w:rPr>
          <w:rFonts w:eastAsia="Times New Roman" w:cs="Arial"/>
          <w:color w:val="000000"/>
          <w:lang w:val="en-US"/>
        </w:rPr>
        <w:t>mg</w:t>
      </w:r>
      <w:r w:rsidRPr="00DB54E0">
        <w:rPr>
          <w:rFonts w:eastAsia="Times New Roman" w:cs="Arial"/>
          <w:color w:val="000000"/>
          <w:lang w:val="ru-RU"/>
        </w:rPr>
        <w:t xml:space="preserve">, </w:t>
      </w:r>
      <w:r w:rsidRPr="00DB54E0">
        <w:rPr>
          <w:rFonts w:eastAsia="Times New Roman" w:cs="Arial"/>
          <w:color w:val="000000"/>
          <w:lang w:eastAsia="bg-BG"/>
        </w:rPr>
        <w:t>трябва да се обсъди лечение с допълнителен или алтернативен антихипертензивен лекарствен продукт (виж точки 4.3, 4.4, 4.5 и 5.1)</w:t>
      </w:r>
    </w:p>
    <w:p w14:paraId="41E67EF6" w14:textId="77777777" w:rsidR="00DB54E0" w:rsidRPr="00DB54E0" w:rsidRDefault="00DB54E0" w:rsidP="00DB54E0">
      <w:pPr>
        <w:spacing w:line="240" w:lineRule="auto"/>
        <w:rPr>
          <w:rFonts w:eastAsia="Times New Roman" w:cs="Arial"/>
          <w:i/>
          <w:iCs/>
          <w:color w:val="000000"/>
          <w:lang w:eastAsia="bg-BG"/>
        </w:rPr>
      </w:pPr>
    </w:p>
    <w:p w14:paraId="5CEF86B2" w14:textId="4FFD4254"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lang w:eastAsia="bg-BG"/>
        </w:rPr>
        <w:t>Специални групи пациенти</w:t>
      </w:r>
    </w:p>
    <w:p w14:paraId="6C0F3FE4" w14:textId="77777777"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u w:val="single"/>
          <w:lang w:eastAsia="bg-BG"/>
        </w:rPr>
        <w:t>Бъбречно увреждане</w:t>
      </w:r>
    </w:p>
    <w:p w14:paraId="2012F6E1"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Не се налага промяна в дозировката при пациенти с лека до умерена бъбречна недостатъчност (Скорост на гломерулна филтрация </w:t>
      </w:r>
      <w:r w:rsidRPr="00DB54E0">
        <w:rPr>
          <w:rFonts w:eastAsia="Times New Roman" w:cs="Arial"/>
          <w:color w:val="000000"/>
          <w:lang w:val="ru-RU"/>
        </w:rPr>
        <w:t>(</w:t>
      </w:r>
      <w:r w:rsidRPr="00DB54E0">
        <w:rPr>
          <w:rFonts w:eastAsia="Times New Roman" w:cs="Arial"/>
          <w:color w:val="000000"/>
          <w:lang w:val="en-US"/>
        </w:rPr>
        <w:t>GFR</w:t>
      </w:r>
      <w:r w:rsidRPr="00DB54E0">
        <w:rPr>
          <w:rFonts w:eastAsia="Times New Roman" w:cs="Arial"/>
          <w:color w:val="000000"/>
          <w:lang w:val="ru-RU"/>
        </w:rPr>
        <w:t xml:space="preserve">) </w:t>
      </w:r>
      <w:r w:rsidRPr="00DB54E0">
        <w:rPr>
          <w:rFonts w:eastAsia="Times New Roman" w:cs="Arial"/>
          <w:color w:val="000000"/>
          <w:lang w:eastAsia="bg-BG"/>
        </w:rPr>
        <w:t xml:space="preserve">&gt;30 </w:t>
      </w:r>
      <w:r w:rsidRPr="00DB54E0">
        <w:rPr>
          <w:rFonts w:eastAsia="Times New Roman" w:cs="Arial"/>
          <w:color w:val="000000"/>
          <w:lang w:val="en-US"/>
        </w:rPr>
        <w:t>ml</w:t>
      </w:r>
      <w:r w:rsidRPr="00DB54E0">
        <w:rPr>
          <w:rFonts w:eastAsia="Times New Roman" w:cs="Arial"/>
          <w:color w:val="000000"/>
          <w:lang w:val="ru-RU"/>
        </w:rPr>
        <w:t>/</w:t>
      </w:r>
      <w:r w:rsidRPr="00DB54E0">
        <w:rPr>
          <w:rFonts w:eastAsia="Times New Roman" w:cs="Arial"/>
          <w:color w:val="000000"/>
          <w:lang w:val="en-US"/>
        </w:rPr>
        <w:t>min</w:t>
      </w:r>
      <w:r w:rsidRPr="00DB54E0">
        <w:rPr>
          <w:rFonts w:eastAsia="Times New Roman" w:cs="Arial"/>
          <w:color w:val="000000"/>
          <w:lang w:val="ru-RU"/>
        </w:rPr>
        <w:t xml:space="preserve">). </w:t>
      </w:r>
      <w:r w:rsidRPr="00DB54E0">
        <w:rPr>
          <w:rFonts w:eastAsia="Times New Roman" w:cs="Arial"/>
          <w:color w:val="000000"/>
          <w:lang w:eastAsia="bg-BG"/>
        </w:rPr>
        <w:t xml:space="preserve">Поради хидрохлоротиазидната компонента Сувартар Н е противопоказан при пациенти с тежко бъбречно увреждане </w:t>
      </w:r>
      <w:r w:rsidRPr="00DB54E0">
        <w:rPr>
          <w:rFonts w:eastAsia="Times New Roman" w:cs="Arial"/>
          <w:color w:val="000000"/>
          <w:lang w:val="ru-RU"/>
        </w:rPr>
        <w:t>(</w:t>
      </w:r>
      <w:r w:rsidRPr="00DB54E0">
        <w:rPr>
          <w:rFonts w:eastAsia="Times New Roman" w:cs="Arial"/>
          <w:color w:val="000000"/>
          <w:lang w:val="en-US"/>
        </w:rPr>
        <w:t>GFR</w:t>
      </w:r>
      <w:r w:rsidRPr="00DB54E0">
        <w:rPr>
          <w:rFonts w:eastAsia="Times New Roman" w:cs="Arial"/>
          <w:color w:val="000000"/>
          <w:lang w:val="ru-RU"/>
        </w:rPr>
        <w:t xml:space="preserve"> </w:t>
      </w:r>
      <w:r w:rsidRPr="00DB54E0">
        <w:rPr>
          <w:rFonts w:eastAsia="Times New Roman" w:cs="Arial"/>
          <w:color w:val="000000"/>
          <w:lang w:eastAsia="bg-BG"/>
        </w:rPr>
        <w:t xml:space="preserve">&lt; 30 </w:t>
      </w:r>
      <w:r w:rsidRPr="00DB54E0">
        <w:rPr>
          <w:rFonts w:eastAsia="Times New Roman" w:cs="Arial"/>
          <w:color w:val="000000"/>
          <w:lang w:val="en-US"/>
        </w:rPr>
        <w:t>mL</w:t>
      </w:r>
      <w:r w:rsidRPr="00DB54E0">
        <w:rPr>
          <w:rFonts w:eastAsia="Times New Roman" w:cs="Arial"/>
          <w:color w:val="000000"/>
          <w:lang w:val="ru-RU"/>
        </w:rPr>
        <w:t>/</w:t>
      </w:r>
      <w:r w:rsidRPr="00DB54E0">
        <w:rPr>
          <w:rFonts w:eastAsia="Times New Roman" w:cs="Arial"/>
          <w:color w:val="000000"/>
          <w:lang w:val="en-US"/>
        </w:rPr>
        <w:t>min</w:t>
      </w:r>
      <w:r w:rsidRPr="00DB54E0">
        <w:rPr>
          <w:rFonts w:eastAsia="Times New Roman" w:cs="Arial"/>
          <w:color w:val="000000"/>
          <w:lang w:val="ru-RU"/>
        </w:rPr>
        <w:t xml:space="preserve">) </w:t>
      </w:r>
      <w:r w:rsidRPr="00DB54E0">
        <w:rPr>
          <w:rFonts w:eastAsia="Times New Roman" w:cs="Arial"/>
          <w:color w:val="000000"/>
          <w:lang w:eastAsia="bg-BG"/>
        </w:rPr>
        <w:t>и анурия (вж. точки 4.3, 4.4 и 5.2).</w:t>
      </w:r>
    </w:p>
    <w:p w14:paraId="46CBFD41" w14:textId="77777777" w:rsidR="00DB54E0" w:rsidRPr="00DB54E0" w:rsidRDefault="00DB54E0" w:rsidP="00DB54E0">
      <w:pPr>
        <w:spacing w:line="240" w:lineRule="auto"/>
        <w:rPr>
          <w:rFonts w:eastAsia="Times New Roman" w:cs="Arial"/>
          <w:i/>
          <w:iCs/>
          <w:color w:val="000000"/>
          <w:u w:val="single"/>
          <w:lang w:eastAsia="bg-BG"/>
        </w:rPr>
      </w:pPr>
    </w:p>
    <w:p w14:paraId="1295E2B1" w14:textId="42A1732A"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u w:val="single"/>
          <w:lang w:eastAsia="bg-BG"/>
        </w:rPr>
        <w:t>Чернодробно увреждане</w:t>
      </w:r>
    </w:p>
    <w:p w14:paraId="1B2668AF"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превишава 80 </w:t>
      </w:r>
      <w:r w:rsidRPr="00DB54E0">
        <w:rPr>
          <w:rFonts w:eastAsia="Times New Roman" w:cs="Arial"/>
          <w:color w:val="000000"/>
          <w:lang w:val="en-US"/>
        </w:rPr>
        <w:t>mg</w:t>
      </w:r>
      <w:r w:rsidRPr="00DB54E0">
        <w:rPr>
          <w:rFonts w:eastAsia="Times New Roman" w:cs="Arial"/>
          <w:color w:val="000000"/>
          <w:lang w:val="ru-RU"/>
        </w:rPr>
        <w:t xml:space="preserve"> </w:t>
      </w:r>
      <w:r w:rsidRPr="00DB54E0">
        <w:rPr>
          <w:rFonts w:eastAsia="Times New Roman" w:cs="Arial"/>
          <w:color w:val="000000"/>
          <w:lang w:eastAsia="bg-BG"/>
        </w:rPr>
        <w:t>(вж. точка 4.4). Не е необходимо коригиране на дозата на хидрохлоротиазид за пациенти с леко до умерено чернодробно увреждане. Поради наличието на валсартан, комбинираният лекарствен продукт Сувартар Н е противопоказан при пациенти с тежко чернодробно увреждане или билиарна цироза и холестаза.(вж. точки 4.3,</w:t>
      </w:r>
      <w:r w:rsidRPr="00DB54E0">
        <w:rPr>
          <w:rFonts w:eastAsia="Times New Roman" w:cs="Arial"/>
          <w:color w:val="000000"/>
          <w:lang w:val="ru-RU"/>
        </w:rPr>
        <w:t xml:space="preserve"> </w:t>
      </w:r>
      <w:r w:rsidRPr="00DB54E0">
        <w:rPr>
          <w:rFonts w:eastAsia="Times New Roman" w:cs="Arial"/>
          <w:color w:val="000000"/>
          <w:lang w:eastAsia="bg-BG"/>
        </w:rPr>
        <w:t>4.4 и 5.2).</w:t>
      </w:r>
    </w:p>
    <w:p w14:paraId="41E31A77" w14:textId="77777777" w:rsidR="00DB54E0" w:rsidRPr="00DB54E0" w:rsidRDefault="00DB54E0" w:rsidP="00DB54E0">
      <w:pPr>
        <w:spacing w:line="240" w:lineRule="auto"/>
        <w:rPr>
          <w:rFonts w:eastAsia="Times New Roman" w:cs="Arial"/>
          <w:i/>
          <w:iCs/>
          <w:color w:val="000000"/>
          <w:u w:val="single"/>
          <w:lang w:eastAsia="bg-BG"/>
        </w:rPr>
      </w:pPr>
    </w:p>
    <w:p w14:paraId="2B8AC6E2" w14:textId="1ABF8F24"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u w:val="single"/>
          <w:lang w:eastAsia="bg-BG"/>
        </w:rPr>
        <w:t>Пациенти в старческа възраст</w:t>
      </w:r>
    </w:p>
    <w:p w14:paraId="05FCA69E"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Не се налага промяна в дозировката при пациенти в старческа възраст.</w:t>
      </w:r>
    </w:p>
    <w:p w14:paraId="4E4EC59C" w14:textId="77777777" w:rsidR="00DB54E0" w:rsidRPr="00DB54E0" w:rsidRDefault="00DB54E0" w:rsidP="00DB54E0">
      <w:pPr>
        <w:spacing w:line="240" w:lineRule="auto"/>
        <w:rPr>
          <w:rFonts w:eastAsia="Times New Roman" w:cs="Arial"/>
          <w:i/>
          <w:iCs/>
          <w:color w:val="000000"/>
          <w:u w:val="single"/>
          <w:lang w:eastAsia="bg-BG"/>
        </w:rPr>
      </w:pPr>
    </w:p>
    <w:p w14:paraId="4890BF0F" w14:textId="407B1E86"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u w:val="single"/>
          <w:lang w:eastAsia="bg-BG"/>
        </w:rPr>
        <w:t>Педиатрична популация</w:t>
      </w:r>
    </w:p>
    <w:p w14:paraId="73FE7D1C"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Валсартан /хидрохлоротиазид не се препоръчва за употреба при деца под 18 години, поради липсата на данни за безопасност и ефикасност.</w:t>
      </w:r>
    </w:p>
    <w:p w14:paraId="741E4A0E" w14:textId="77777777" w:rsidR="00DB54E0" w:rsidRPr="00DB54E0" w:rsidRDefault="00DB54E0" w:rsidP="00DB54E0">
      <w:pPr>
        <w:spacing w:line="240" w:lineRule="auto"/>
        <w:rPr>
          <w:rFonts w:eastAsia="Times New Roman" w:cs="Arial"/>
          <w:i/>
          <w:iCs/>
          <w:color w:val="000000"/>
          <w:lang w:eastAsia="bg-BG"/>
        </w:rPr>
      </w:pPr>
    </w:p>
    <w:p w14:paraId="05129323" w14:textId="3EFFBDB9" w:rsidR="00DB54E0" w:rsidRPr="00DB54E0" w:rsidRDefault="00DB54E0" w:rsidP="00DB54E0">
      <w:pPr>
        <w:pStyle w:val="Heading3"/>
        <w:rPr>
          <w:u w:val="single"/>
        </w:rPr>
      </w:pPr>
      <w:r w:rsidRPr="00DB54E0">
        <w:rPr>
          <w:u w:val="single"/>
        </w:rPr>
        <w:lastRenderedPageBreak/>
        <w:t>Начин на приложение</w:t>
      </w:r>
    </w:p>
    <w:p w14:paraId="5567605D" w14:textId="058E7722" w:rsidR="00DB54E0" w:rsidRDefault="00DB54E0" w:rsidP="00DB54E0">
      <w:pPr>
        <w:rPr>
          <w:rFonts w:eastAsia="Times New Roman" w:cs="Arial"/>
          <w:color w:val="000000"/>
          <w:lang w:eastAsia="bg-BG"/>
        </w:rPr>
      </w:pPr>
      <w:r w:rsidRPr="00DB54E0">
        <w:rPr>
          <w:rFonts w:eastAsia="Times New Roman" w:cs="Arial"/>
          <w:color w:val="000000"/>
          <w:lang w:eastAsia="bg-BG"/>
        </w:rPr>
        <w:t>Сувартар Н може да се приема с или без храна и трябва да се приема с вода.</w:t>
      </w:r>
    </w:p>
    <w:p w14:paraId="457D1810" w14:textId="77777777" w:rsidR="00DB54E0" w:rsidRPr="00DB54E0" w:rsidRDefault="00DB54E0" w:rsidP="00DB54E0">
      <w:pPr>
        <w:rPr>
          <w:rFonts w:cs="Arial"/>
        </w:rPr>
      </w:pPr>
    </w:p>
    <w:p w14:paraId="74903285" w14:textId="6B10E6F1" w:rsidR="00DB32D3" w:rsidRDefault="002C50EE" w:rsidP="005726E3">
      <w:pPr>
        <w:pStyle w:val="Heading2"/>
      </w:pPr>
      <w:r>
        <w:t>4.3. Противопоказания</w:t>
      </w:r>
    </w:p>
    <w:p w14:paraId="0278902F" w14:textId="66400C73" w:rsidR="00DB54E0" w:rsidRDefault="00DB54E0" w:rsidP="00DB54E0"/>
    <w:p w14:paraId="75D771B3" w14:textId="77777777"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Свръхчувствителност към активните вещества, други сулфонамидни производни или към някое от помощните вещества, изброени в точка 6.1.</w:t>
      </w:r>
    </w:p>
    <w:p w14:paraId="0138C269" w14:textId="77777777"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Втори и трети триместър на бремеността (вж. точки 4.4 и 4.6).</w:t>
      </w:r>
    </w:p>
    <w:p w14:paraId="6B48E201" w14:textId="77777777"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Тежко чернодробно увреждане, билиарна цироза и холестаза.</w:t>
      </w:r>
    </w:p>
    <w:p w14:paraId="64D5C36A" w14:textId="77777777"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 xml:space="preserve">Тежко бъбречно увреждане (креатининов клирънс &lt;30 </w:t>
      </w:r>
      <w:r w:rsidRPr="00DB54E0">
        <w:rPr>
          <w:rFonts w:eastAsia="Times New Roman" w:cs="Arial"/>
          <w:color w:val="000000"/>
          <w:lang w:val="en-US"/>
        </w:rPr>
        <w:t>ml</w:t>
      </w:r>
      <w:r w:rsidRPr="00DB54E0">
        <w:rPr>
          <w:rFonts w:eastAsia="Times New Roman" w:cs="Arial"/>
          <w:color w:val="000000"/>
          <w:lang w:val="ru-RU"/>
        </w:rPr>
        <w:t>/</w:t>
      </w:r>
      <w:r w:rsidRPr="00DB54E0">
        <w:rPr>
          <w:rFonts w:eastAsia="Times New Roman" w:cs="Arial"/>
          <w:color w:val="000000"/>
          <w:lang w:val="en-US"/>
        </w:rPr>
        <w:t>min</w:t>
      </w:r>
      <w:r w:rsidRPr="00DB54E0">
        <w:rPr>
          <w:rFonts w:eastAsia="Times New Roman" w:cs="Arial"/>
          <w:color w:val="000000"/>
          <w:lang w:val="ru-RU"/>
        </w:rPr>
        <w:t xml:space="preserve">), </w:t>
      </w:r>
      <w:r w:rsidRPr="00DB54E0">
        <w:rPr>
          <w:rFonts w:eastAsia="Times New Roman" w:cs="Arial"/>
          <w:color w:val="000000"/>
          <w:lang w:eastAsia="bg-BG"/>
        </w:rPr>
        <w:t>анурия.</w:t>
      </w:r>
    </w:p>
    <w:p w14:paraId="305AE0D9" w14:textId="77777777"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Рефракторна хипокалиемия, хипонатриемия, хиперкалциемия и симптоматична хиперурикемия.</w:t>
      </w:r>
    </w:p>
    <w:p w14:paraId="2BBC40D0" w14:textId="3FBF7E3E" w:rsidR="00DB54E0" w:rsidRPr="00DB54E0" w:rsidRDefault="00DB54E0" w:rsidP="00DB54E0">
      <w:pPr>
        <w:pStyle w:val="ListParagraph"/>
        <w:numPr>
          <w:ilvl w:val="0"/>
          <w:numId w:val="37"/>
        </w:numPr>
        <w:spacing w:line="240" w:lineRule="auto"/>
        <w:rPr>
          <w:rFonts w:eastAsia="Times New Roman" w:cs="Arial"/>
          <w:sz w:val="24"/>
          <w:szCs w:val="24"/>
        </w:rPr>
      </w:pPr>
      <w:r w:rsidRPr="00DB54E0">
        <w:rPr>
          <w:rFonts w:eastAsia="Times New Roman" w:cs="Arial"/>
          <w:color w:val="000000"/>
          <w:lang w:eastAsia="bg-BG"/>
        </w:rPr>
        <w:t xml:space="preserve">Едновременната употреба на Сурватар Н с алискирен-съдържащи продукти е при пациенти със захарен диабет или бъбречно увреждане </w:t>
      </w:r>
      <w:r w:rsidRPr="00DB54E0">
        <w:rPr>
          <w:rFonts w:eastAsia="Times New Roman" w:cs="Arial"/>
          <w:color w:val="000000"/>
          <w:lang w:val="ru-RU"/>
        </w:rPr>
        <w:t>(</w:t>
      </w:r>
      <w:r w:rsidRPr="00DB54E0">
        <w:rPr>
          <w:rFonts w:eastAsia="Times New Roman" w:cs="Arial"/>
          <w:color w:val="000000"/>
          <w:lang w:val="en-US"/>
        </w:rPr>
        <w:t>GFR</w:t>
      </w:r>
      <w:r w:rsidRPr="00DB54E0">
        <w:rPr>
          <w:rFonts w:eastAsia="Times New Roman" w:cs="Arial"/>
          <w:color w:val="000000"/>
          <w:lang w:val="ru-RU"/>
        </w:rPr>
        <w:t xml:space="preserve"> </w:t>
      </w:r>
      <w:r w:rsidRPr="00DB54E0">
        <w:rPr>
          <w:rFonts w:eastAsia="Times New Roman" w:cs="Arial"/>
          <w:color w:val="000000"/>
          <w:lang w:eastAsia="bg-BG"/>
        </w:rPr>
        <w:t xml:space="preserve">&lt; 60 </w:t>
      </w:r>
      <w:r w:rsidRPr="00DB54E0">
        <w:rPr>
          <w:rFonts w:eastAsia="Times New Roman" w:cs="Arial"/>
          <w:color w:val="000000"/>
          <w:lang w:val="en-US"/>
        </w:rPr>
        <w:t>ml</w:t>
      </w:r>
      <w:r w:rsidRPr="00DB54E0">
        <w:rPr>
          <w:rFonts w:eastAsia="Times New Roman" w:cs="Arial"/>
          <w:color w:val="000000"/>
          <w:lang w:val="ru-RU"/>
        </w:rPr>
        <w:t>/</w:t>
      </w:r>
      <w:r w:rsidRPr="00DB54E0">
        <w:rPr>
          <w:rFonts w:eastAsia="Times New Roman" w:cs="Arial"/>
          <w:color w:val="000000"/>
          <w:lang w:val="en-US"/>
        </w:rPr>
        <w:t>min</w:t>
      </w:r>
      <w:r w:rsidRPr="00DB54E0">
        <w:rPr>
          <w:rFonts w:eastAsia="Times New Roman" w:cs="Arial"/>
          <w:color w:val="000000"/>
          <w:lang w:val="ru-RU"/>
        </w:rPr>
        <w:t>/1,73</w:t>
      </w:r>
      <w:r w:rsidRPr="00DB54E0">
        <w:rPr>
          <w:rFonts w:eastAsia="Times New Roman" w:cs="Arial"/>
          <w:color w:val="000000"/>
          <w:lang w:val="en-US"/>
        </w:rPr>
        <w:t>m</w:t>
      </w:r>
      <w:r w:rsidRPr="00DB54E0">
        <w:rPr>
          <w:rFonts w:eastAsia="Times New Roman" w:cs="Arial"/>
          <w:color w:val="000000"/>
          <w:vertAlign w:val="superscript"/>
          <w:lang w:val="ru-RU"/>
        </w:rPr>
        <w:t>2</w:t>
      </w:r>
      <w:r w:rsidRPr="00DB54E0">
        <w:rPr>
          <w:rFonts w:eastAsia="Times New Roman" w:cs="Arial"/>
          <w:color w:val="000000"/>
          <w:lang w:val="ru-RU"/>
        </w:rPr>
        <w:t>)(</w:t>
      </w:r>
      <w:r w:rsidRPr="00DB54E0">
        <w:rPr>
          <w:rFonts w:eastAsia="Times New Roman" w:cs="Arial"/>
          <w:color w:val="000000"/>
          <w:lang w:eastAsia="bg-BG"/>
        </w:rPr>
        <w:t>вж. точки 4.5 и 5.1).</w:t>
      </w:r>
    </w:p>
    <w:p w14:paraId="422A8C85" w14:textId="77777777" w:rsidR="00DB54E0" w:rsidRPr="00DB54E0" w:rsidRDefault="00DB54E0" w:rsidP="00DB54E0"/>
    <w:p w14:paraId="76DC8E58" w14:textId="32D7ADAB" w:rsidR="00DB32D3" w:rsidRDefault="002C50EE" w:rsidP="005726E3">
      <w:pPr>
        <w:pStyle w:val="Heading2"/>
      </w:pPr>
      <w:r>
        <w:t>4.4. Специални предупреждения и предпазни мерки при употреба</w:t>
      </w:r>
    </w:p>
    <w:p w14:paraId="172E37C4" w14:textId="631E07FC" w:rsidR="00DB54E0" w:rsidRDefault="00DB54E0" w:rsidP="00DB54E0"/>
    <w:p w14:paraId="6EA14121" w14:textId="77777777"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Промени в нивата на серумните електролити</w:t>
      </w:r>
    </w:p>
    <w:p w14:paraId="3B4C72DE" w14:textId="77777777"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Валсартан</w:t>
      </w:r>
    </w:p>
    <w:p w14:paraId="7EDF8D6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 съответно.</w:t>
      </w:r>
    </w:p>
    <w:p w14:paraId="30112C45" w14:textId="77777777" w:rsidR="00DB54E0" w:rsidRPr="00DB54E0" w:rsidRDefault="00DB54E0" w:rsidP="00DB54E0">
      <w:pPr>
        <w:spacing w:line="240" w:lineRule="auto"/>
        <w:rPr>
          <w:rFonts w:eastAsia="Times New Roman" w:cs="Arial"/>
          <w:i/>
          <w:iCs/>
          <w:color w:val="000000"/>
          <w:lang w:eastAsia="bg-BG"/>
        </w:rPr>
      </w:pPr>
    </w:p>
    <w:p w14:paraId="6141AC8B" w14:textId="1DBE7EBF"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Хидрохлоротиазид</w:t>
      </w:r>
    </w:p>
    <w:p w14:paraId="2F854CC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При лечение с тиазидни диуретици, включително хидрохлоротиазид, се съобщава за случаи на хипокалиемия. Препоръчва се често мониториране на нивата на серумния калий.</w:t>
      </w:r>
    </w:p>
    <w:p w14:paraId="27E03B6D"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Лечението с тиазидни диуретици, включително хидрохлоротиазид, се свързва с хипонатриемия и хипохлоремична алкалоза. Тиазидите, включително хидрохлоротиазид, повишават екскрецията на магнезий в урината, което може да доведе до хипомагнезиемия. Екскрецията на калций намалява под влиянието на тиазидните диуретици. Това може да доведе до хиперкалциемия.</w:t>
      </w:r>
    </w:p>
    <w:p w14:paraId="60548E1A"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Както при всички пациенти, получаващи диуретично лечение, е необходимо на подходящи интервали от време да се осъществява определяне на нивата на серумните електролити.</w:t>
      </w:r>
    </w:p>
    <w:p w14:paraId="21BC5D14" w14:textId="77777777" w:rsidR="00DB54E0" w:rsidRPr="00DB54E0" w:rsidRDefault="00DB54E0" w:rsidP="00DB54E0">
      <w:pPr>
        <w:spacing w:line="240" w:lineRule="auto"/>
        <w:rPr>
          <w:rFonts w:eastAsia="Times New Roman" w:cs="Arial"/>
          <w:color w:val="000000"/>
          <w:u w:val="single"/>
          <w:lang w:eastAsia="bg-BG"/>
        </w:rPr>
      </w:pPr>
    </w:p>
    <w:p w14:paraId="26DC5C8E" w14:textId="1DDC2677"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Пациенти с натриев и/или обемен дефицит</w:t>
      </w:r>
    </w:p>
    <w:p w14:paraId="6ED776A5"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поява на клинични признаци на воден или електролитен дисбаланс.</w:t>
      </w:r>
    </w:p>
    <w:p w14:paraId="36246AB2" w14:textId="77777777" w:rsidR="00DB54E0" w:rsidRPr="00DB54E0" w:rsidRDefault="00DB54E0" w:rsidP="00DB54E0">
      <w:pPr>
        <w:spacing w:line="240" w:lineRule="auto"/>
        <w:rPr>
          <w:rFonts w:eastAsia="Times New Roman" w:cs="Arial"/>
          <w:color w:val="000000"/>
          <w:lang w:eastAsia="bg-BG"/>
        </w:rPr>
      </w:pPr>
    </w:p>
    <w:p w14:paraId="5AEF8795" w14:textId="524B846F" w:rsidR="00DB54E0" w:rsidRPr="00DB54E0" w:rsidRDefault="00DB54E0" w:rsidP="00DB54E0">
      <w:pPr>
        <w:spacing w:line="240" w:lineRule="auto"/>
        <w:rPr>
          <w:rFonts w:eastAsia="Times New Roman" w:cs="Arial"/>
        </w:rPr>
      </w:pPr>
      <w:r w:rsidRPr="00DB54E0">
        <w:rPr>
          <w:rFonts w:eastAsia="Times New Roman" w:cs="Arial"/>
          <w:color w:val="000000"/>
          <w:lang w:eastAsia="bg-BG"/>
        </w:rPr>
        <w:t>При пациенти с тежък натриев и/или обемен дефицит, като тези, които получават диуретици, в редки случаи след започване на терапия със Сувартар Н може да се появи сиптоматична хипотония. Натриевият и/или обемният дефицит трябва да се коригира преди започване на лечението със Сувартар Н.</w:t>
      </w:r>
    </w:p>
    <w:p w14:paraId="4E816DD5" w14:textId="77777777" w:rsidR="00DB54E0" w:rsidRPr="00DB54E0" w:rsidRDefault="00DB54E0" w:rsidP="00DB54E0">
      <w:pPr>
        <w:spacing w:line="240" w:lineRule="auto"/>
        <w:rPr>
          <w:rFonts w:eastAsia="Times New Roman" w:cs="Arial"/>
          <w:color w:val="000000"/>
          <w:u w:val="single"/>
          <w:lang w:eastAsia="bg-BG"/>
        </w:rPr>
      </w:pPr>
    </w:p>
    <w:p w14:paraId="323151D8" w14:textId="2E1DF65F"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lastRenderedPageBreak/>
        <w:t>Пациенти с тежка хронична сърдечна недостатъчност или други състояния, при които е налице стимулация на системата ренин-ангиотензин-алдостерон</w:t>
      </w:r>
    </w:p>
    <w:p w14:paraId="291DA8D5"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ангиотензин-конвертиращия ензим се свързва с олигурия и/или прогресираща азотемия и в редки случаи с остра бъбречна недостатъчност и/или смърт. Оценка на пациентите със сърдечна недостатъчност или след прекаран инфаркт на миокарда трябва винаги да включва оценка на бъбречната функция. Приложението на Сувартар Н при пациенти с тежка хронична сърдечна недостатъчност не е проучвано.</w:t>
      </w:r>
    </w:p>
    <w:p w14:paraId="71E2B34A"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Следователно не може да се изключи, че поради инхибиране на системата ренин-ангиотензин- алдостерон прилагането на Сувартар Н може да бъде свързано с увреждане на бъбречната функция. Сувартар Н не трябва да се прилага при тези пациенти.</w:t>
      </w:r>
    </w:p>
    <w:p w14:paraId="23975D0D" w14:textId="77777777" w:rsidR="00DB54E0" w:rsidRPr="00DB54E0" w:rsidRDefault="00DB54E0" w:rsidP="00DB54E0">
      <w:pPr>
        <w:spacing w:line="240" w:lineRule="auto"/>
        <w:rPr>
          <w:rFonts w:eastAsia="Times New Roman" w:cs="Arial"/>
          <w:color w:val="000000"/>
          <w:u w:val="single"/>
          <w:lang w:eastAsia="bg-BG"/>
        </w:rPr>
      </w:pPr>
    </w:p>
    <w:p w14:paraId="21051BC4" w14:textId="565F5D9E"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Стеноза на бъбречната артерия</w:t>
      </w:r>
    </w:p>
    <w:p w14:paraId="5C06E7AC"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Сувартар Н не трябва да се прилага за лечение на хипертония при пациенти с едностранна или двустранна стеноза на бъбречните артерии или стеноза на артерия на единствен бъбрек, тъй като при такива пациенти е възможно повишаване на стойностите на серумните нива на урея и креатинин.</w:t>
      </w:r>
    </w:p>
    <w:p w14:paraId="356B5113" w14:textId="77777777" w:rsidR="00DB54E0" w:rsidRPr="00DB54E0" w:rsidRDefault="00DB54E0" w:rsidP="00DB54E0">
      <w:pPr>
        <w:spacing w:line="240" w:lineRule="auto"/>
        <w:rPr>
          <w:rFonts w:eastAsia="Times New Roman" w:cs="Arial"/>
          <w:color w:val="000000"/>
          <w:u w:val="single"/>
          <w:lang w:eastAsia="bg-BG"/>
        </w:rPr>
      </w:pPr>
    </w:p>
    <w:p w14:paraId="0FF2978A" w14:textId="00D98FB9"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Първичен хипералдостеронизъм</w:t>
      </w:r>
    </w:p>
    <w:p w14:paraId="68AC4BB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Пациентите с първичен хипералдостеронизъм не трябва да се лекуват със Сувартар Н, тъй като тяхната система ренин-ангиотензин не е активирана.</w:t>
      </w:r>
    </w:p>
    <w:p w14:paraId="5BB5430F" w14:textId="77777777" w:rsidR="00DB54E0" w:rsidRPr="00DB54E0" w:rsidRDefault="00DB54E0" w:rsidP="00DB54E0">
      <w:pPr>
        <w:spacing w:line="240" w:lineRule="auto"/>
        <w:rPr>
          <w:rFonts w:eastAsia="Times New Roman" w:cs="Arial"/>
          <w:color w:val="000000"/>
          <w:u w:val="single"/>
          <w:lang w:eastAsia="bg-BG"/>
        </w:rPr>
      </w:pPr>
    </w:p>
    <w:p w14:paraId="34E2A439" w14:textId="71120777"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Аортна и митрална клапна стеноза. хипертрофична обструктивна кардиомиопатия</w:t>
      </w:r>
    </w:p>
    <w:p w14:paraId="75C2DD45"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митрапна стеноза или от хипертрофична обструктивна кардиомиопатия (ХОКМ).</w:t>
      </w:r>
    </w:p>
    <w:p w14:paraId="0170F1C3" w14:textId="77777777" w:rsidR="00DB54E0" w:rsidRPr="00DB54E0" w:rsidRDefault="00DB54E0" w:rsidP="00DB54E0">
      <w:pPr>
        <w:spacing w:line="240" w:lineRule="auto"/>
        <w:rPr>
          <w:rFonts w:eastAsia="Times New Roman" w:cs="Arial"/>
          <w:color w:val="000000"/>
          <w:u w:val="single"/>
          <w:lang w:eastAsia="bg-BG"/>
        </w:rPr>
      </w:pPr>
    </w:p>
    <w:p w14:paraId="4FAF939B" w14:textId="53DA86C4"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Нарушение на бъбречната функция</w:t>
      </w:r>
    </w:p>
    <w:p w14:paraId="2EFF1710"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Не се налага коригиране на дозата при пациенти с креатининов клирънс ≥30 </w:t>
      </w:r>
      <w:r w:rsidRPr="00DB54E0">
        <w:rPr>
          <w:rFonts w:eastAsia="Times New Roman" w:cs="Arial"/>
          <w:color w:val="000000"/>
          <w:lang w:val="en-US"/>
        </w:rPr>
        <w:t>mL</w:t>
      </w:r>
      <w:r w:rsidRPr="00DB54E0">
        <w:rPr>
          <w:rFonts w:eastAsia="Times New Roman" w:cs="Arial"/>
          <w:color w:val="000000"/>
          <w:lang w:val="ru-RU"/>
        </w:rPr>
        <w:t>/</w:t>
      </w:r>
      <w:r w:rsidRPr="00DB54E0">
        <w:rPr>
          <w:rFonts w:eastAsia="Times New Roman" w:cs="Arial"/>
          <w:color w:val="000000"/>
          <w:lang w:val="en-US"/>
        </w:rPr>
        <w:t>min</w:t>
      </w:r>
      <w:r w:rsidRPr="00DB54E0">
        <w:rPr>
          <w:rFonts w:eastAsia="Times New Roman" w:cs="Arial"/>
          <w:color w:val="000000"/>
          <w:lang w:val="ru-RU"/>
        </w:rPr>
        <w:t xml:space="preserve"> </w:t>
      </w:r>
      <w:r w:rsidRPr="00DB54E0">
        <w:rPr>
          <w:rFonts w:eastAsia="Times New Roman" w:cs="Arial"/>
          <w:color w:val="000000"/>
          <w:lang w:eastAsia="bg-BG"/>
        </w:rPr>
        <w:t>(вж.</w:t>
      </w:r>
    </w:p>
    <w:p w14:paraId="0B249629"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точка 4.2). При пациенти с бъбречна недостатъчност се препоръчва периодично мониториране на серумните калиеви нива, както и нивата на серумните креатинин и урея.</w:t>
      </w:r>
    </w:p>
    <w:p w14:paraId="3DFACD58" w14:textId="77777777" w:rsidR="00DB54E0" w:rsidRPr="00DB54E0" w:rsidRDefault="00DB54E0" w:rsidP="00DB54E0">
      <w:pPr>
        <w:spacing w:line="240" w:lineRule="auto"/>
        <w:rPr>
          <w:rFonts w:eastAsia="Times New Roman" w:cs="Arial"/>
          <w:color w:val="000000"/>
          <w:u w:val="single"/>
          <w:lang w:eastAsia="bg-BG"/>
        </w:rPr>
      </w:pPr>
    </w:p>
    <w:p w14:paraId="15A1521A" w14:textId="30801D8F"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Бъбречна трансплантация</w:t>
      </w:r>
    </w:p>
    <w:p w14:paraId="68D7738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До този момент няма натрупан опит по отношение на безопасната употреба на Сувартар Н при пациенти, прекарали наскоро бъбречна трансплантация.</w:t>
      </w:r>
    </w:p>
    <w:p w14:paraId="13F69682" w14:textId="77777777" w:rsidR="00DB54E0" w:rsidRPr="00DB54E0" w:rsidRDefault="00DB54E0" w:rsidP="00DB54E0">
      <w:pPr>
        <w:spacing w:line="240" w:lineRule="auto"/>
        <w:rPr>
          <w:rFonts w:eastAsia="Times New Roman" w:cs="Arial"/>
          <w:color w:val="000000"/>
          <w:u w:val="single"/>
          <w:lang w:eastAsia="bg-BG"/>
        </w:rPr>
      </w:pPr>
    </w:p>
    <w:p w14:paraId="2C78ECB3" w14:textId="59A46D01"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Чернодробно увреждане</w:t>
      </w:r>
    </w:p>
    <w:p w14:paraId="361D47E6"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При пациенти с леко до умерено чернодробно увреждане без холестаза Сувартар Н трябва да се употребява с повишено внимание (вж. точки 4.2 и 5.2).</w:t>
      </w:r>
    </w:p>
    <w:p w14:paraId="1C5C173A"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Тиазидите трябва да се използват с повишено внимание при пациенти с нарушена чернодробна функция или прогресиращо чернодробно заболяване, тъй като минимални промени във водно- електролитния баланс могат да отключат чернодробна кома.</w:t>
      </w:r>
    </w:p>
    <w:p w14:paraId="617356A3" w14:textId="77777777" w:rsidR="00DB54E0" w:rsidRPr="00DB54E0" w:rsidRDefault="00DB54E0" w:rsidP="00DB54E0">
      <w:pPr>
        <w:spacing w:line="240" w:lineRule="auto"/>
        <w:rPr>
          <w:rFonts w:eastAsia="Times New Roman" w:cs="Arial"/>
          <w:color w:val="000000"/>
          <w:u w:val="single"/>
          <w:lang w:eastAsia="bg-BG"/>
        </w:rPr>
      </w:pPr>
    </w:p>
    <w:p w14:paraId="13F3C94A" w14:textId="75F8B637"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Анамнеза за ангиоедем</w:t>
      </w:r>
    </w:p>
    <w:p w14:paraId="0A7DDEB9"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Ангиоедем, включително и подуване на ларинкса и глотиса, които причинява обструкция на въздушния път и/или подуване на лицето, устните, фаринкса, и/или езика е бил докладван при пациенти, приемащи валсартан; някои от тези пациенти са получавали ангиоедем при употреба на други лекарства, включитгелно АСЕ-инхибитори. Приема на </w:t>
      </w:r>
      <w:r w:rsidRPr="00DB54E0">
        <w:rPr>
          <w:rFonts w:eastAsia="Times New Roman" w:cs="Arial"/>
          <w:color w:val="000000"/>
          <w:lang w:eastAsia="bg-BG"/>
        </w:rPr>
        <w:lastRenderedPageBreak/>
        <w:t>Сувартар Н трябва да бъде незабавно прекратен при пациенти, които развият ангиоедем, и комбинацията валсартан/хидрохлортиазид не трябва да бъде назначавана отново.</w:t>
      </w:r>
    </w:p>
    <w:p w14:paraId="562FE4BD" w14:textId="77777777" w:rsidR="00DB54E0" w:rsidRPr="00DB54E0" w:rsidRDefault="00DB54E0" w:rsidP="00DB54E0">
      <w:pPr>
        <w:spacing w:line="240" w:lineRule="auto"/>
        <w:rPr>
          <w:rFonts w:eastAsia="Times New Roman" w:cs="Arial"/>
          <w:color w:val="000000"/>
          <w:u w:val="single"/>
          <w:lang w:eastAsia="bg-BG"/>
        </w:rPr>
      </w:pPr>
    </w:p>
    <w:p w14:paraId="19D61396" w14:textId="20CF9265"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Системен лупус еритематодес</w:t>
      </w:r>
    </w:p>
    <w:p w14:paraId="44BA13B2"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0AEBA5F2" w14:textId="77777777" w:rsidR="00DB54E0" w:rsidRPr="00DB54E0" w:rsidRDefault="00DB54E0" w:rsidP="00DB54E0">
      <w:pPr>
        <w:spacing w:line="240" w:lineRule="auto"/>
        <w:rPr>
          <w:rFonts w:eastAsia="Times New Roman" w:cs="Arial"/>
          <w:color w:val="000000"/>
          <w:u w:val="single"/>
          <w:lang w:eastAsia="bg-BG"/>
        </w:rPr>
      </w:pPr>
    </w:p>
    <w:p w14:paraId="319261F7" w14:textId="58E6021B" w:rsidR="00DB54E0" w:rsidRPr="00DB54E0" w:rsidRDefault="00DB54E0" w:rsidP="00DB54E0">
      <w:pPr>
        <w:spacing w:line="240" w:lineRule="auto"/>
        <w:rPr>
          <w:rFonts w:eastAsia="Times New Roman" w:cs="Arial"/>
          <w:color w:val="000000"/>
          <w:u w:val="single"/>
          <w:lang w:eastAsia="bg-BG"/>
        </w:rPr>
      </w:pPr>
      <w:r w:rsidRPr="00DB54E0">
        <w:rPr>
          <w:rFonts w:eastAsia="Times New Roman" w:cs="Arial"/>
          <w:color w:val="000000"/>
          <w:u w:val="single"/>
          <w:lang w:eastAsia="bg-BG"/>
        </w:rPr>
        <w:t>Други метаболитни нарушения</w:t>
      </w:r>
    </w:p>
    <w:p w14:paraId="57C51373"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3E8810FF"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Тиазидните диуретици могат да понижат екскрецията на калций в урината и да доведат до интермитентно леко повишаване на нивата на серумния калций при липса на установено нарушение на калциевия метаболизъм. Изразената хиперкалциемия може да е доказателство за подлежащ хиперпаратиреоидизъм. Приемът на тиазидни диуретици трябва да бъде прекратен преди провеждането на изследвания на паратиреоидните функции.</w:t>
      </w:r>
    </w:p>
    <w:p w14:paraId="67A73306" w14:textId="77777777" w:rsidR="00DB54E0" w:rsidRPr="00DB54E0" w:rsidRDefault="00DB54E0" w:rsidP="00DB54E0">
      <w:pPr>
        <w:spacing w:line="240" w:lineRule="auto"/>
        <w:rPr>
          <w:rFonts w:eastAsia="Times New Roman" w:cs="Arial"/>
          <w:color w:val="000000"/>
          <w:u w:val="single"/>
          <w:lang w:eastAsia="bg-BG"/>
        </w:rPr>
      </w:pPr>
    </w:p>
    <w:p w14:paraId="0500E7E6" w14:textId="0D49EA1E"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Фоточувствителност</w:t>
      </w:r>
    </w:p>
    <w:p w14:paraId="0ECD0D31"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реакцията на фоточувствителност възникне в хода на лечението,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DB54E0">
        <w:rPr>
          <w:rFonts w:eastAsia="Times New Roman" w:cs="Arial"/>
          <w:color w:val="000000"/>
          <w:lang w:val="en-US"/>
        </w:rPr>
        <w:t>UVA</w:t>
      </w:r>
      <w:r w:rsidRPr="00DB54E0">
        <w:rPr>
          <w:rFonts w:eastAsia="Times New Roman" w:cs="Arial"/>
          <w:color w:val="000000"/>
          <w:lang w:val="ru-RU"/>
        </w:rPr>
        <w:t xml:space="preserve"> </w:t>
      </w:r>
      <w:r w:rsidRPr="00DB54E0">
        <w:rPr>
          <w:rFonts w:eastAsia="Times New Roman" w:cs="Arial"/>
          <w:color w:val="000000"/>
          <w:lang w:eastAsia="bg-BG"/>
        </w:rPr>
        <w:t>светлина.</w:t>
      </w:r>
    </w:p>
    <w:p w14:paraId="5C741A37" w14:textId="77777777" w:rsidR="00DB54E0" w:rsidRPr="00DB54E0" w:rsidRDefault="00DB54E0" w:rsidP="00DB54E0">
      <w:pPr>
        <w:spacing w:line="240" w:lineRule="auto"/>
        <w:rPr>
          <w:rFonts w:eastAsia="Times New Roman" w:cs="Arial"/>
          <w:color w:val="000000"/>
          <w:u w:val="single"/>
          <w:lang w:eastAsia="bg-BG"/>
        </w:rPr>
      </w:pPr>
    </w:p>
    <w:p w14:paraId="6B7FD1D6" w14:textId="145D5AE1"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Бременност</w:t>
      </w:r>
    </w:p>
    <w:p w14:paraId="21A1F20F"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Не трябва да се започва лечение с ангиотензин II рецепторни антагонисти (АТ</w:t>
      </w:r>
      <w:r w:rsidRPr="00DB54E0">
        <w:rPr>
          <w:rFonts w:eastAsia="Times New Roman" w:cs="Arial"/>
          <w:color w:val="000000"/>
          <w:lang w:val="en-US"/>
        </w:rPr>
        <w:t>II</w:t>
      </w:r>
      <w:r w:rsidRPr="00DB54E0">
        <w:rPr>
          <w:rFonts w:eastAsia="Times New Roman" w:cs="Arial"/>
          <w:color w:val="000000"/>
          <w:lang w:eastAsia="bg-BG"/>
        </w:rPr>
        <w:t>РА) по време на бременност. Освен ако продължителната терапия с АТ</w:t>
      </w:r>
      <w:r w:rsidRPr="00DB54E0">
        <w:rPr>
          <w:rFonts w:eastAsia="Times New Roman" w:cs="Arial"/>
          <w:color w:val="000000"/>
          <w:lang w:val="en-US"/>
        </w:rPr>
        <w:t>II</w:t>
      </w:r>
      <w:r w:rsidRPr="00DB54E0">
        <w:rPr>
          <w:rFonts w:eastAsia="Times New Roman" w:cs="Arial"/>
          <w:color w:val="000000"/>
          <w:lang w:eastAsia="bg-BG"/>
        </w:rPr>
        <w:t xml:space="preserve">РА се прецени като съществена, лечението на пациентки, които са планирали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е АТПРА трябва незабавно да се преустанови </w:t>
      </w:r>
      <w:r w:rsidRPr="00DB54E0">
        <w:rPr>
          <w:rFonts w:eastAsia="Times New Roman" w:cs="Arial"/>
          <w:color w:val="000000"/>
          <w:u w:val="single"/>
          <w:lang w:eastAsia="bg-BG"/>
        </w:rPr>
        <w:t xml:space="preserve">и да се </w:t>
      </w:r>
      <w:r w:rsidRPr="00DB54E0">
        <w:rPr>
          <w:rFonts w:eastAsia="Times New Roman" w:cs="Arial"/>
          <w:color w:val="000000"/>
          <w:lang w:eastAsia="bg-BG"/>
        </w:rPr>
        <w:t>започне алтернативно лечение, ако е подходящо (вж. точки 4.3 и 4.6),</w:t>
      </w:r>
    </w:p>
    <w:p w14:paraId="4A998C6E" w14:textId="77777777" w:rsidR="00DB54E0" w:rsidRPr="00DB54E0" w:rsidRDefault="00DB54E0" w:rsidP="00DB54E0">
      <w:pPr>
        <w:rPr>
          <w:rFonts w:eastAsia="Times New Roman" w:cs="Arial"/>
          <w:color w:val="000000"/>
          <w:lang w:eastAsia="bg-BG"/>
        </w:rPr>
      </w:pPr>
    </w:p>
    <w:p w14:paraId="342282B6" w14:textId="56B8E702" w:rsidR="00DB54E0" w:rsidRPr="00DB54E0" w:rsidRDefault="00DB54E0" w:rsidP="00DB54E0">
      <w:pPr>
        <w:rPr>
          <w:rFonts w:eastAsia="Times New Roman" w:cs="Arial"/>
          <w:color w:val="000000"/>
          <w:u w:val="single"/>
          <w:lang w:eastAsia="bg-BG"/>
        </w:rPr>
      </w:pPr>
      <w:r w:rsidRPr="00DB54E0">
        <w:rPr>
          <w:rFonts w:eastAsia="Times New Roman" w:cs="Arial"/>
          <w:color w:val="000000"/>
          <w:u w:val="single"/>
          <w:lang w:eastAsia="bg-BG"/>
        </w:rPr>
        <w:t>Общи</w:t>
      </w:r>
    </w:p>
    <w:p w14:paraId="122527B7" w14:textId="0E830DAC" w:rsidR="00DB54E0" w:rsidRPr="00DB54E0" w:rsidRDefault="00DB54E0" w:rsidP="00DB54E0">
      <w:pPr>
        <w:rPr>
          <w:rFonts w:eastAsia="Times New Roman" w:cs="Arial"/>
          <w:color w:val="000000"/>
          <w:lang w:eastAsia="bg-BG"/>
        </w:rPr>
      </w:pPr>
      <w:r w:rsidRPr="00DB54E0">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антагонисти. Реакциите на свръхчувствителност към хидрохлоротиазид са по-вероятни при пациенти, страдащи от алергия или астма.</w:t>
      </w:r>
    </w:p>
    <w:p w14:paraId="54B04012" w14:textId="0896E269" w:rsidR="00DB54E0" w:rsidRPr="00DB54E0" w:rsidRDefault="00DB54E0" w:rsidP="00DB54E0">
      <w:pPr>
        <w:rPr>
          <w:rFonts w:eastAsia="Times New Roman" w:cs="Arial"/>
          <w:color w:val="000000"/>
          <w:lang w:eastAsia="bg-BG"/>
        </w:rPr>
      </w:pPr>
    </w:p>
    <w:p w14:paraId="1385F0B4" w14:textId="77777777"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Хороидален излив, остра миопия и остра закритоъгьлна глаукома</w:t>
      </w:r>
    </w:p>
    <w:p w14:paraId="146FEDC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преходна миопия и остра закритоъгьлна глаукома. Симптомите включват остро настъпващо намаление на зрителната острота или болка в очите и обичайно възникват в рамките на часове до седмици от започване на лечението с лекарствения продукт, Нелекуваната остра закритоъгьлна глаукома може да доведе до трайна загуба на зрението.</w:t>
      </w:r>
    </w:p>
    <w:p w14:paraId="3E72E119" w14:textId="77777777" w:rsidR="00DB54E0" w:rsidRPr="00DB54E0" w:rsidRDefault="00DB54E0" w:rsidP="00DB54E0">
      <w:pPr>
        <w:spacing w:line="240" w:lineRule="auto"/>
        <w:rPr>
          <w:rFonts w:eastAsia="Times New Roman" w:cs="Arial"/>
          <w:color w:val="000000"/>
          <w:lang w:eastAsia="bg-BG"/>
        </w:rPr>
      </w:pPr>
    </w:p>
    <w:p w14:paraId="2502A518" w14:textId="5666BD24" w:rsidR="00DB54E0" w:rsidRPr="00DB54E0" w:rsidRDefault="00DB54E0" w:rsidP="00DB54E0">
      <w:pPr>
        <w:spacing w:line="240" w:lineRule="auto"/>
        <w:rPr>
          <w:rFonts w:eastAsia="Times New Roman" w:cs="Arial"/>
        </w:rPr>
      </w:pPr>
      <w:r w:rsidRPr="00DB54E0">
        <w:rPr>
          <w:rFonts w:eastAsia="Times New Roman" w:cs="Arial"/>
          <w:color w:val="000000"/>
          <w:lang w:eastAsia="bg-BG"/>
        </w:rPr>
        <w:lastRenderedPageBreak/>
        <w:t>Първоначално лечението е спиране на хидрохлоротиазида по възможно най-бързия начин. Ако вътреочното налягане остава без контрол може да се има предвид и своевременно клинично или хирургично лечение. Към рисковите фактори за развитие на остра закритоъгьлна глаукома може да се включи и минала анамнеза за алергия към сулфонамиди или пеницилин.</w:t>
      </w:r>
    </w:p>
    <w:p w14:paraId="1F927F56" w14:textId="77777777" w:rsidR="00DB54E0" w:rsidRPr="00DB54E0" w:rsidRDefault="00DB54E0" w:rsidP="00DB54E0">
      <w:pPr>
        <w:spacing w:line="240" w:lineRule="auto"/>
        <w:rPr>
          <w:rFonts w:eastAsia="Times New Roman" w:cs="Arial"/>
          <w:color w:val="000000"/>
          <w:u w:val="single"/>
          <w:lang w:eastAsia="bg-BG"/>
        </w:rPr>
      </w:pPr>
    </w:p>
    <w:p w14:paraId="71845877" w14:textId="58325FCF"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 xml:space="preserve">Двойна блокада на ренин-ангиотензин-алдостероновата система </w:t>
      </w:r>
      <w:r w:rsidRPr="00DB54E0">
        <w:rPr>
          <w:rFonts w:eastAsia="Times New Roman" w:cs="Arial"/>
          <w:color w:val="000000"/>
          <w:u w:val="single"/>
          <w:lang w:val="ru-RU"/>
        </w:rPr>
        <w:t>(</w:t>
      </w:r>
      <w:r w:rsidRPr="00DB54E0">
        <w:rPr>
          <w:rFonts w:eastAsia="Times New Roman" w:cs="Arial"/>
          <w:color w:val="000000"/>
          <w:u w:val="single"/>
          <w:lang w:val="en-US"/>
        </w:rPr>
        <w:t>RAAS</w:t>
      </w:r>
      <w:r w:rsidRPr="00DB54E0">
        <w:rPr>
          <w:rFonts w:eastAsia="Times New Roman" w:cs="Arial"/>
          <w:color w:val="000000"/>
          <w:u w:val="single"/>
          <w:lang w:val="ru-RU"/>
        </w:rPr>
        <w:t>)</w:t>
      </w:r>
    </w:p>
    <w:p w14:paraId="7D42C9C2"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Има данни, че едновременната употреба на АСЕ инхибитори, ангиотензин </w:t>
      </w:r>
      <w:r w:rsidRPr="00DB54E0">
        <w:rPr>
          <w:rFonts w:eastAsia="Times New Roman" w:cs="Arial"/>
          <w:color w:val="000000"/>
          <w:lang w:val="en-US"/>
        </w:rPr>
        <w:t>II</w:t>
      </w:r>
      <w:r w:rsidRPr="00DB54E0">
        <w:rPr>
          <w:rFonts w:eastAsia="Times New Roman" w:cs="Arial"/>
          <w:color w:val="000000"/>
          <w:lang w:eastAsia="bg-BG"/>
        </w:rPr>
        <w:t xml:space="preserve">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7726A3F9" w14:textId="77777777" w:rsidR="00DB54E0" w:rsidRPr="00DB54E0" w:rsidRDefault="00DB54E0" w:rsidP="00DB54E0">
      <w:pPr>
        <w:spacing w:line="240" w:lineRule="auto"/>
        <w:rPr>
          <w:rFonts w:eastAsia="Times New Roman" w:cs="Arial"/>
          <w:color w:val="000000"/>
          <w:lang w:eastAsia="bg-BG"/>
        </w:rPr>
      </w:pPr>
    </w:p>
    <w:p w14:paraId="0643137D" w14:textId="522BD8BD" w:rsidR="00DB54E0" w:rsidRPr="00DB54E0" w:rsidRDefault="00DB54E0" w:rsidP="00DB54E0">
      <w:pPr>
        <w:spacing w:line="240" w:lineRule="auto"/>
        <w:rPr>
          <w:rFonts w:eastAsia="Times New Roman" w:cs="Arial"/>
        </w:rPr>
      </w:pPr>
      <w:r w:rsidRPr="00DB54E0">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64F4733"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АСЕ инхибитори и АРБ не трябва да се използват едновременно при пациенти с диабетна нефропатия.</w:t>
      </w:r>
    </w:p>
    <w:p w14:paraId="22315037" w14:textId="77777777" w:rsidR="00DB54E0" w:rsidRPr="00DB54E0" w:rsidRDefault="00DB54E0" w:rsidP="00DB54E0">
      <w:pPr>
        <w:spacing w:line="240" w:lineRule="auto"/>
        <w:rPr>
          <w:rFonts w:eastAsia="Times New Roman" w:cs="Arial"/>
          <w:color w:val="000000"/>
          <w:u w:val="single"/>
          <w:lang w:eastAsia="bg-BG"/>
        </w:rPr>
      </w:pPr>
    </w:p>
    <w:p w14:paraId="3A6B507C" w14:textId="206D7514"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Немеланомен рак на кожата</w:t>
      </w:r>
    </w:p>
    <w:p w14:paraId="41FB8089"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2F0A182" w14:textId="77777777" w:rsidR="00DB54E0" w:rsidRPr="00DB54E0" w:rsidRDefault="00DB54E0" w:rsidP="00DB54E0">
      <w:pPr>
        <w:spacing w:line="240" w:lineRule="auto"/>
        <w:rPr>
          <w:rFonts w:eastAsia="Times New Roman" w:cs="Arial"/>
          <w:color w:val="000000"/>
          <w:lang w:eastAsia="bg-BG"/>
        </w:rPr>
      </w:pPr>
    </w:p>
    <w:p w14:paraId="687ED94A" w14:textId="58DF208D" w:rsidR="00DB54E0" w:rsidRPr="00DB54E0" w:rsidRDefault="00DB54E0" w:rsidP="00DB54E0">
      <w:pPr>
        <w:spacing w:line="240" w:lineRule="auto"/>
        <w:rPr>
          <w:rFonts w:eastAsia="Times New Roman" w:cs="Arial"/>
        </w:rPr>
      </w:pPr>
      <w:r w:rsidRPr="00DB54E0">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53D0AF09" w14:textId="77777777" w:rsidR="00DB54E0" w:rsidRPr="00DB54E0" w:rsidRDefault="00DB54E0" w:rsidP="00DB54E0">
      <w:pPr>
        <w:spacing w:line="240" w:lineRule="auto"/>
        <w:rPr>
          <w:rFonts w:eastAsia="Times New Roman" w:cs="Arial"/>
          <w:color w:val="000000"/>
          <w:u w:val="single"/>
          <w:lang w:eastAsia="bg-BG"/>
        </w:rPr>
      </w:pPr>
    </w:p>
    <w:p w14:paraId="6562DDB2" w14:textId="6470BB5C"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Остра респираторна токсичност</w:t>
      </w:r>
    </w:p>
    <w:p w14:paraId="1CDFF27F"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DB54E0">
        <w:rPr>
          <w:rFonts w:eastAsia="Times New Roman" w:cs="Arial"/>
          <w:color w:val="000000"/>
          <w:lang w:val="en-US"/>
        </w:rPr>
        <w:t>ARDS</w:t>
      </w:r>
      <w:r w:rsidRPr="00DB54E0">
        <w:rPr>
          <w:rFonts w:eastAsia="Times New Roman" w:cs="Arial"/>
          <w:color w:val="000000"/>
          <w:lang w:val="ru-RU"/>
        </w:rPr>
        <w:t xml:space="preserve"> </w:t>
      </w:r>
      <w:r w:rsidRPr="00DB54E0">
        <w:rPr>
          <w:rFonts w:eastAsia="Times New Roman" w:cs="Arial"/>
          <w:color w:val="000000"/>
          <w:lang w:eastAsia="bg-BG"/>
        </w:rPr>
        <w:t>трябва да бъде спрян приемът на Сувартар Н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1F7890E4" w14:textId="77777777" w:rsidR="00DB54E0" w:rsidRPr="00DB54E0" w:rsidRDefault="00DB54E0" w:rsidP="00DB54E0"/>
    <w:p w14:paraId="62F27C9B" w14:textId="08FBD0D4"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F870352" w14:textId="3997445F" w:rsidR="00DB54E0" w:rsidRDefault="00DB54E0" w:rsidP="00DB54E0"/>
    <w:p w14:paraId="7B26B358" w14:textId="5A902EA5" w:rsidR="00DB54E0" w:rsidRPr="00DB54E0" w:rsidRDefault="00DB54E0" w:rsidP="00DB54E0">
      <w:pPr>
        <w:rPr>
          <w:rFonts w:cs="Arial"/>
          <w:b/>
          <w:bCs/>
        </w:rPr>
      </w:pPr>
      <w:r w:rsidRPr="00DB54E0">
        <w:rPr>
          <w:rFonts w:cs="Arial"/>
          <w:b/>
          <w:bCs/>
        </w:rPr>
        <w:t>Взаимодействия, свързани с валсартан и хидрохлоротиазид</w:t>
      </w:r>
    </w:p>
    <w:p w14:paraId="74C74C8C" w14:textId="77777777"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lastRenderedPageBreak/>
        <w:t>Не се препоръчва едновременна употреба</w:t>
      </w:r>
    </w:p>
    <w:p w14:paraId="422D484C" w14:textId="77777777" w:rsidR="00DB54E0" w:rsidRPr="00DB54E0" w:rsidRDefault="00DB54E0" w:rsidP="00DB54E0">
      <w:pPr>
        <w:spacing w:line="240" w:lineRule="auto"/>
        <w:rPr>
          <w:rFonts w:eastAsia="Times New Roman" w:cs="Arial"/>
          <w:i/>
          <w:iCs/>
          <w:color w:val="000000"/>
          <w:lang w:eastAsia="bg-BG"/>
        </w:rPr>
      </w:pPr>
    </w:p>
    <w:p w14:paraId="1CD09FC1" w14:textId="16AB3C19"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Литий</w:t>
      </w:r>
    </w:p>
    <w:p w14:paraId="0A8D8390"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Обратимо повишаване на серумните концентрации на литий и токсичност са съобщени при едновременната употреба с АСЕ-инхибитори и тиазиди, вкючително и хидрохлоротиазид. Поради липсата на опит от едновременна употреба на валсартан и литий тази комбинация не се препоръчва. Препоръчва се внимателно следене на серумните нива на литий, ако се прецени, че комбинацията е необходима.</w:t>
      </w:r>
    </w:p>
    <w:p w14:paraId="29FD03F0" w14:textId="77777777" w:rsidR="00DB54E0" w:rsidRPr="00DB54E0" w:rsidRDefault="00DB54E0" w:rsidP="00DB54E0">
      <w:pPr>
        <w:spacing w:line="240" w:lineRule="auto"/>
        <w:rPr>
          <w:rFonts w:eastAsia="Times New Roman" w:cs="Arial"/>
          <w:i/>
          <w:iCs/>
          <w:color w:val="000000"/>
          <w:lang w:eastAsia="bg-BG"/>
        </w:rPr>
      </w:pPr>
    </w:p>
    <w:p w14:paraId="71FCD39F" w14:textId="5E3B74CF"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Изисква се повишено внимание при едновременна употреба с:</w:t>
      </w:r>
    </w:p>
    <w:p w14:paraId="3A7D486A" w14:textId="77777777" w:rsidR="00DB54E0" w:rsidRPr="00DB54E0" w:rsidRDefault="00DB54E0" w:rsidP="00DB54E0">
      <w:pPr>
        <w:spacing w:line="240" w:lineRule="auto"/>
        <w:rPr>
          <w:rFonts w:eastAsia="Times New Roman" w:cs="Arial"/>
          <w:color w:val="000000"/>
          <w:u w:val="single"/>
          <w:lang w:eastAsia="bg-BG"/>
        </w:rPr>
      </w:pPr>
    </w:p>
    <w:p w14:paraId="0B4F7054" w14:textId="6A8CE6C0"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Други антихипертензивни агенти</w:t>
      </w:r>
    </w:p>
    <w:p w14:paraId="0194F9D8"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Валсартан/хидрохлоротиазид може да усили действието на други лекарства с антихипертензивни свойства (напр. гванитидин, метилдопа, вазодилататори, АСЕ инхибитори, Ангиотензин II- рецепторни антагонисти, бета-блокери, калциеви антагонисти и </w:t>
      </w:r>
      <w:r w:rsidRPr="00DB54E0">
        <w:rPr>
          <w:rFonts w:eastAsia="Times New Roman" w:cs="Arial"/>
          <w:color w:val="000000"/>
          <w:lang w:val="en-US"/>
        </w:rPr>
        <w:t>DRIs</w:t>
      </w:r>
      <w:r w:rsidRPr="00DB54E0">
        <w:rPr>
          <w:rFonts w:eastAsia="Times New Roman" w:cs="Arial"/>
          <w:color w:val="000000"/>
          <w:lang w:val="ru-RU"/>
        </w:rPr>
        <w:t>).</w:t>
      </w:r>
    </w:p>
    <w:p w14:paraId="59E6E84A" w14:textId="77777777" w:rsidR="00DB54E0" w:rsidRPr="00DB54E0" w:rsidRDefault="00DB54E0" w:rsidP="00DB54E0">
      <w:pPr>
        <w:spacing w:line="240" w:lineRule="auto"/>
        <w:rPr>
          <w:rFonts w:eastAsia="Times New Roman" w:cs="Arial"/>
          <w:color w:val="000000"/>
          <w:u w:val="single"/>
          <w:lang w:eastAsia="bg-BG"/>
        </w:rPr>
      </w:pPr>
    </w:p>
    <w:p w14:paraId="4B419734" w14:textId="734FDD3A"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Пресорни амини (напр. норадреналин, адреналин)</w:t>
      </w:r>
    </w:p>
    <w:p w14:paraId="2E528786"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Възможно е намаляване на отговора към пресорни амини. Клиничната значимост на този ефект не е сигурна и не е достатъчна, за да бъдат спрени.</w:t>
      </w:r>
    </w:p>
    <w:p w14:paraId="292E55F3" w14:textId="77777777" w:rsidR="00DB54E0" w:rsidRPr="00DB54E0" w:rsidRDefault="00DB54E0" w:rsidP="00DB54E0">
      <w:pPr>
        <w:spacing w:line="240" w:lineRule="auto"/>
        <w:rPr>
          <w:rFonts w:eastAsia="Times New Roman" w:cs="Arial"/>
          <w:i/>
          <w:iCs/>
          <w:color w:val="000000"/>
          <w:u w:val="single"/>
          <w:lang w:eastAsia="bg-BG"/>
        </w:rPr>
      </w:pPr>
    </w:p>
    <w:p w14:paraId="2F25F89F" w14:textId="0A6A4038"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t>Нестероидни противовъзпалителни средства (НСПВС), включително селективни СОХ-2 инхибитори, ацетилсалииилова киселина ( &gt;3</w:t>
      </w:r>
      <w:r w:rsidRPr="00DB54E0">
        <w:rPr>
          <w:rFonts w:eastAsia="Times New Roman" w:cs="Arial"/>
          <w:i/>
          <w:iCs/>
          <w:color w:val="000000"/>
          <w:u w:val="single"/>
          <w:lang w:val="en-US"/>
        </w:rPr>
        <w:t>g</w:t>
      </w:r>
      <w:r w:rsidRPr="00DB54E0">
        <w:rPr>
          <w:rFonts w:eastAsia="Times New Roman" w:cs="Arial"/>
          <w:i/>
          <w:iCs/>
          <w:color w:val="000000"/>
          <w:u w:val="single"/>
          <w:lang w:eastAsia="bg-BG"/>
        </w:rPr>
        <w:t>/ден) и неселективни НСПВС</w:t>
      </w:r>
    </w:p>
    <w:p w14:paraId="5EBFB68A"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Когато ангиотензин II рецепторните блокери и хидрохлоротиазид се прилагат едновременно с НСПВС, може да се наблюдава отслабване на антихипертензивния им ефект. Освен това едновременната употреба на валсартан/хидрохлоротиазид и НСПВС може да доведе до повишен риск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3CDB337E" w14:textId="77777777" w:rsidR="00DB54E0" w:rsidRPr="00DB54E0" w:rsidRDefault="00DB54E0" w:rsidP="00DB54E0">
      <w:pPr>
        <w:spacing w:line="240" w:lineRule="auto"/>
        <w:rPr>
          <w:rFonts w:eastAsia="Times New Roman" w:cs="Arial"/>
          <w:b/>
          <w:bCs/>
          <w:color w:val="000000"/>
          <w:lang w:eastAsia="bg-BG"/>
        </w:rPr>
      </w:pPr>
    </w:p>
    <w:p w14:paraId="7BCAB09C" w14:textId="71A40831" w:rsidR="00DB54E0" w:rsidRPr="00DB54E0" w:rsidRDefault="00DB54E0" w:rsidP="00DB54E0">
      <w:pPr>
        <w:spacing w:line="240" w:lineRule="auto"/>
        <w:rPr>
          <w:rFonts w:eastAsia="Times New Roman" w:cs="Arial"/>
        </w:rPr>
      </w:pPr>
      <w:r w:rsidRPr="00DB54E0">
        <w:rPr>
          <w:rFonts w:eastAsia="Times New Roman" w:cs="Arial"/>
          <w:b/>
          <w:bCs/>
          <w:color w:val="000000"/>
          <w:lang w:eastAsia="bg-BG"/>
        </w:rPr>
        <w:t>Взаимодействия, свързани с валсартан</w:t>
      </w:r>
    </w:p>
    <w:p w14:paraId="520A76EB" w14:textId="77777777" w:rsidR="00DB54E0" w:rsidRPr="00DB54E0" w:rsidRDefault="00DB54E0" w:rsidP="00DB54E0">
      <w:pPr>
        <w:spacing w:line="240" w:lineRule="auto"/>
        <w:rPr>
          <w:rFonts w:eastAsia="Times New Roman" w:cs="Arial"/>
          <w:i/>
          <w:iCs/>
          <w:color w:val="000000"/>
          <w:lang w:eastAsia="bg-BG"/>
        </w:rPr>
      </w:pPr>
    </w:p>
    <w:p w14:paraId="29E640C4" w14:textId="40532DA2"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 xml:space="preserve">Двойна блокада наренин-ангиотензин-алдостероновата система </w:t>
      </w:r>
      <w:r w:rsidRPr="00DB54E0">
        <w:rPr>
          <w:rFonts w:eastAsia="Times New Roman" w:cs="Arial"/>
          <w:i/>
          <w:iCs/>
          <w:color w:val="000000"/>
          <w:lang w:val="ru-RU"/>
        </w:rPr>
        <w:t>(</w:t>
      </w:r>
      <w:r w:rsidRPr="00DB54E0">
        <w:rPr>
          <w:rFonts w:eastAsia="Times New Roman" w:cs="Arial"/>
          <w:i/>
          <w:iCs/>
          <w:color w:val="000000"/>
          <w:lang w:val="en-US"/>
        </w:rPr>
        <w:t>RAAS</w:t>
      </w:r>
      <w:r w:rsidRPr="00DB54E0">
        <w:rPr>
          <w:rFonts w:eastAsia="Times New Roman" w:cs="Arial"/>
          <w:i/>
          <w:iCs/>
          <w:color w:val="000000"/>
          <w:lang w:val="ru-RU"/>
        </w:rPr>
        <w:t xml:space="preserve">) </w:t>
      </w:r>
      <w:r w:rsidRPr="00DB54E0">
        <w:rPr>
          <w:rFonts w:eastAsia="Times New Roman" w:cs="Arial"/>
          <w:i/>
          <w:iCs/>
          <w:color w:val="000000"/>
          <w:lang w:eastAsia="bg-BG"/>
        </w:rPr>
        <w:t xml:space="preserve">с АСЕ инхибитори </w:t>
      </w:r>
      <w:r w:rsidRPr="00DB54E0">
        <w:rPr>
          <w:rFonts w:eastAsia="Times New Roman" w:cs="Arial"/>
          <w:i/>
          <w:iCs/>
          <w:color w:val="000000"/>
          <w:u w:val="single"/>
          <w:lang w:val="ru-RU"/>
        </w:rPr>
        <w:t>(</w:t>
      </w:r>
      <w:r w:rsidRPr="00DB54E0">
        <w:rPr>
          <w:rFonts w:eastAsia="Times New Roman" w:cs="Arial"/>
          <w:i/>
          <w:iCs/>
          <w:color w:val="000000"/>
          <w:u w:val="single"/>
          <w:lang w:val="en-US"/>
        </w:rPr>
        <w:t>ACEIs</w:t>
      </w:r>
      <w:r w:rsidRPr="00DB54E0">
        <w:rPr>
          <w:rFonts w:eastAsia="Times New Roman" w:cs="Arial"/>
          <w:i/>
          <w:iCs/>
          <w:color w:val="000000"/>
          <w:u w:val="single"/>
          <w:lang w:val="ru-RU"/>
        </w:rPr>
        <w:t>)</w:t>
      </w:r>
      <w:r w:rsidRPr="00DB54E0">
        <w:rPr>
          <w:rFonts w:eastAsia="Times New Roman" w:cs="Arial"/>
          <w:i/>
          <w:iCs/>
          <w:color w:val="000000"/>
          <w:lang w:val="ru-RU"/>
        </w:rPr>
        <w:t xml:space="preserve">. </w:t>
      </w:r>
      <w:r w:rsidRPr="00DB54E0">
        <w:rPr>
          <w:rFonts w:eastAsia="Times New Roman" w:cs="Arial"/>
          <w:i/>
          <w:iCs/>
          <w:color w:val="000000"/>
          <w:lang w:eastAsia="bg-BG"/>
        </w:rPr>
        <w:t xml:space="preserve">Ангиотензин </w:t>
      </w:r>
      <w:r w:rsidRPr="00DB54E0">
        <w:rPr>
          <w:rFonts w:eastAsia="Times New Roman" w:cs="Arial"/>
          <w:i/>
          <w:iCs/>
          <w:color w:val="000000"/>
          <w:lang w:val="en-US"/>
        </w:rPr>
        <w:t>II</w:t>
      </w:r>
      <w:r w:rsidRPr="00DB54E0">
        <w:rPr>
          <w:rFonts w:eastAsia="Times New Roman" w:cs="Arial"/>
          <w:i/>
          <w:iCs/>
          <w:color w:val="000000"/>
          <w:lang w:eastAsia="bg-BG"/>
        </w:rPr>
        <w:t>-рецепторни антагонисти(</w:t>
      </w:r>
      <w:r w:rsidRPr="00DB54E0">
        <w:rPr>
          <w:rFonts w:eastAsia="Times New Roman" w:cs="Arial"/>
          <w:i/>
          <w:iCs/>
          <w:color w:val="000000"/>
          <w:u w:val="single"/>
          <w:lang w:val="en-US"/>
        </w:rPr>
        <w:t>ARBs</w:t>
      </w:r>
      <w:r w:rsidRPr="00DB54E0">
        <w:rPr>
          <w:rFonts w:eastAsia="Times New Roman" w:cs="Arial"/>
          <w:i/>
          <w:iCs/>
          <w:color w:val="000000"/>
          <w:u w:val="single"/>
          <w:lang w:val="ru-RU"/>
        </w:rPr>
        <w:t>)</w:t>
      </w:r>
      <w:r w:rsidRPr="00DB54E0">
        <w:rPr>
          <w:rFonts w:eastAsia="Times New Roman" w:cs="Arial"/>
          <w:i/>
          <w:iCs/>
          <w:color w:val="000000"/>
          <w:lang w:val="ru-RU"/>
        </w:rPr>
        <w:t xml:space="preserve"> </w:t>
      </w:r>
      <w:r w:rsidRPr="00DB54E0">
        <w:rPr>
          <w:rFonts w:eastAsia="Times New Roman" w:cs="Arial"/>
          <w:i/>
          <w:iCs/>
          <w:color w:val="000000"/>
          <w:lang w:eastAsia="bg-BG"/>
        </w:rPr>
        <w:t>или алискирен</w:t>
      </w:r>
    </w:p>
    <w:p w14:paraId="014F6EDB"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4BC777E4" w14:textId="77777777" w:rsidR="00DB54E0" w:rsidRPr="00DB54E0" w:rsidRDefault="00DB54E0" w:rsidP="00DB54E0">
      <w:pPr>
        <w:spacing w:line="240" w:lineRule="auto"/>
        <w:rPr>
          <w:rFonts w:eastAsia="Times New Roman" w:cs="Arial"/>
          <w:i/>
          <w:iCs/>
          <w:color w:val="000000"/>
          <w:u w:val="single"/>
          <w:lang w:eastAsia="bg-BG"/>
        </w:rPr>
      </w:pPr>
    </w:p>
    <w:p w14:paraId="5F5C7E41" w14:textId="7680F1C1"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t>Не се препоръчва едновременна употреба</w:t>
      </w:r>
    </w:p>
    <w:p w14:paraId="7A647461"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Калий-съхраняващи диуретици, калиеви добавки, заместители на солта, или други субстанции, които биха могли да повишат нивата на калий.</w:t>
      </w:r>
    </w:p>
    <w:p w14:paraId="7AD1A0B3"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При необходимост от приложение на лекарствен продукт, който засяга калиевите нива, в комбинация с валсартан, се препоръчва следене на плазмените нива на калий.</w:t>
      </w:r>
    </w:p>
    <w:p w14:paraId="0338BE8E" w14:textId="77777777" w:rsidR="00DB54E0" w:rsidRPr="00DB54E0" w:rsidRDefault="00DB54E0" w:rsidP="00DB54E0">
      <w:pPr>
        <w:spacing w:line="240" w:lineRule="auto"/>
        <w:rPr>
          <w:rFonts w:eastAsia="Times New Roman" w:cs="Arial"/>
          <w:i/>
          <w:iCs/>
          <w:color w:val="000000"/>
          <w:lang w:eastAsia="bg-BG"/>
        </w:rPr>
      </w:pPr>
    </w:p>
    <w:p w14:paraId="570EEFC8" w14:textId="3E4F4C8E"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Транспортери</w:t>
      </w:r>
    </w:p>
    <w:p w14:paraId="7311B620" w14:textId="77777777" w:rsidR="00DB54E0" w:rsidRPr="00DB54E0" w:rsidRDefault="00DB54E0" w:rsidP="00DB54E0">
      <w:pPr>
        <w:spacing w:line="240" w:lineRule="auto"/>
        <w:rPr>
          <w:rFonts w:eastAsia="Times New Roman" w:cs="Arial"/>
        </w:rPr>
      </w:pPr>
      <w:r w:rsidRPr="00DB54E0">
        <w:rPr>
          <w:rFonts w:eastAsia="Times New Roman" w:cs="Arial"/>
          <w:i/>
          <w:iCs/>
          <w:color w:val="000000"/>
          <w:lang w:val="en-US"/>
        </w:rPr>
        <w:t>In</w:t>
      </w:r>
      <w:r w:rsidRPr="00DB54E0">
        <w:rPr>
          <w:rFonts w:eastAsia="Times New Roman" w:cs="Arial"/>
          <w:i/>
          <w:iCs/>
          <w:color w:val="000000"/>
          <w:lang w:val="ru-RU"/>
        </w:rPr>
        <w:t xml:space="preserve"> </w:t>
      </w:r>
      <w:r w:rsidRPr="00DB54E0">
        <w:rPr>
          <w:rFonts w:eastAsia="Times New Roman" w:cs="Arial"/>
          <w:i/>
          <w:iCs/>
          <w:color w:val="000000"/>
          <w:lang w:val="en-US"/>
        </w:rPr>
        <w:t>vitro</w:t>
      </w:r>
      <w:r w:rsidRPr="00DB54E0">
        <w:rPr>
          <w:rFonts w:eastAsia="Times New Roman" w:cs="Arial"/>
          <w:color w:val="000000"/>
          <w:lang w:val="ru-RU"/>
        </w:rPr>
        <w:t xml:space="preserve"> </w:t>
      </w:r>
      <w:r w:rsidRPr="00DB54E0">
        <w:rPr>
          <w:rFonts w:eastAsia="Times New Roman" w:cs="Arial"/>
          <w:color w:val="000000"/>
          <w:lang w:eastAsia="bg-BG"/>
        </w:rPr>
        <w:t xml:space="preserve">данни показват, че валсартан е субстрат на транспортера на чернодробното захващане ОАТР1В1/ОАТР1ВЗ и чернодробния ефлукс транспортер </w:t>
      </w:r>
      <w:r w:rsidRPr="00DB54E0">
        <w:rPr>
          <w:rFonts w:eastAsia="Times New Roman" w:cs="Arial"/>
          <w:color w:val="000000"/>
          <w:lang w:val="en-US"/>
        </w:rPr>
        <w:t>MRP</w:t>
      </w:r>
      <w:r w:rsidRPr="00DB54E0">
        <w:rPr>
          <w:rFonts w:eastAsia="Times New Roman" w:cs="Arial"/>
          <w:color w:val="000000"/>
          <w:lang w:val="ru-RU"/>
        </w:rPr>
        <w:t xml:space="preserve">2. </w:t>
      </w:r>
      <w:r w:rsidRPr="00DB54E0">
        <w:rPr>
          <w:rFonts w:eastAsia="Times New Roman" w:cs="Arial"/>
          <w:color w:val="000000"/>
          <w:lang w:eastAsia="bg-BG"/>
        </w:rPr>
        <w:t xml:space="preserve">Клиничната значимост на тази находкане е известна. Едновременното приложение на инхибитори на входиращите транспортери (т.е рифампин, циклоспорин) или ефлукс транспортерите </w:t>
      </w:r>
      <w:r w:rsidRPr="00DB54E0">
        <w:rPr>
          <w:rFonts w:eastAsia="Times New Roman" w:cs="Arial"/>
          <w:color w:val="000000"/>
          <w:lang w:eastAsia="bg-BG"/>
        </w:rPr>
        <w:lastRenderedPageBreak/>
        <w:t>(ритонавир) могат да увеличат системната</w:t>
      </w:r>
      <w:r w:rsidRPr="00DB54E0">
        <w:rPr>
          <w:rFonts w:eastAsia="Times New Roman" w:cs="Arial"/>
          <w:color w:val="000000"/>
          <w:u w:val="single"/>
          <w:lang w:eastAsia="bg-BG"/>
        </w:rPr>
        <w:t xml:space="preserve"> </w:t>
      </w:r>
      <w:r w:rsidRPr="00DB54E0">
        <w:rPr>
          <w:rFonts w:eastAsia="Times New Roman" w:cs="Arial"/>
          <w:color w:val="000000"/>
          <w:lang w:eastAsia="bg-BG"/>
        </w:rPr>
        <w:t>експозиция спрямо валсартан. Обърнете нужното внимание, когато започвате или спирате съпътстващо лечение с такива лекарства</w:t>
      </w:r>
    </w:p>
    <w:p w14:paraId="2CADF4D2" w14:textId="77777777" w:rsidR="00DB54E0" w:rsidRPr="00DB54E0" w:rsidRDefault="00DB54E0" w:rsidP="00DB54E0">
      <w:pPr>
        <w:spacing w:line="240" w:lineRule="auto"/>
        <w:rPr>
          <w:rFonts w:eastAsia="Times New Roman" w:cs="Arial"/>
          <w:color w:val="000000"/>
          <w:u w:val="single"/>
          <w:lang w:eastAsia="bg-BG"/>
        </w:rPr>
      </w:pPr>
    </w:p>
    <w:p w14:paraId="0984EE1A" w14:textId="32F2EE55"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Липса на взаимодействия</w:t>
      </w:r>
    </w:p>
    <w:p w14:paraId="3D684E7D" w14:textId="77777777" w:rsidR="00DB54E0" w:rsidRPr="00DB54E0" w:rsidRDefault="00DB54E0" w:rsidP="00DB54E0">
      <w:pPr>
        <w:rPr>
          <w:rFonts w:eastAsia="Times New Roman" w:cs="Arial"/>
          <w:color w:val="000000"/>
          <w:lang w:eastAsia="bg-BG"/>
        </w:rPr>
      </w:pPr>
      <w:r w:rsidRPr="00DB54E0">
        <w:rPr>
          <w:rFonts w:eastAsia="Times New Roman" w:cs="Arial"/>
          <w:color w:val="000000"/>
          <w:lang w:eastAsia="bg-BG"/>
        </w:rPr>
        <w:t xml:space="preserve">При проучвания за лекарствени взаимодействия с валсартан не са установени клинично значими взаимодействия между валсартан и някое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компонента на Сувартар Н (виж </w:t>
      </w:r>
    </w:p>
    <w:p w14:paraId="6EC4A202" w14:textId="166F0D92" w:rsidR="00DB54E0" w:rsidRPr="00DB54E0" w:rsidRDefault="00DB54E0" w:rsidP="00DB54E0">
      <w:pPr>
        <w:rPr>
          <w:rFonts w:eastAsia="Times New Roman" w:cs="Arial"/>
        </w:rPr>
      </w:pPr>
      <w:r w:rsidRPr="00DB54E0">
        <w:rPr>
          <w:rFonts w:eastAsia="Times New Roman" w:cs="Arial"/>
          <w:color w:val="000000"/>
          <w:lang w:eastAsia="bg-BG"/>
        </w:rPr>
        <w:t>взаимодействия свързани с хидрохлоротиазид).</w:t>
      </w:r>
    </w:p>
    <w:p w14:paraId="11033E19" w14:textId="77777777" w:rsidR="00DB54E0" w:rsidRPr="00DB54E0" w:rsidRDefault="00DB54E0" w:rsidP="00DB54E0">
      <w:pPr>
        <w:spacing w:line="240" w:lineRule="auto"/>
        <w:rPr>
          <w:rFonts w:eastAsia="Times New Roman" w:cs="Arial"/>
          <w:b/>
          <w:bCs/>
          <w:color w:val="000000"/>
          <w:lang w:eastAsia="bg-BG"/>
        </w:rPr>
      </w:pPr>
    </w:p>
    <w:p w14:paraId="08880AFC" w14:textId="6597F0F1" w:rsidR="00DB54E0" w:rsidRPr="00DB54E0" w:rsidRDefault="00DB54E0" w:rsidP="00DB54E0">
      <w:pPr>
        <w:spacing w:line="240" w:lineRule="auto"/>
        <w:rPr>
          <w:rFonts w:eastAsia="Times New Roman" w:cs="Arial"/>
        </w:rPr>
      </w:pPr>
      <w:r w:rsidRPr="00DB54E0">
        <w:rPr>
          <w:rFonts w:eastAsia="Times New Roman" w:cs="Arial"/>
          <w:b/>
          <w:bCs/>
          <w:color w:val="000000"/>
          <w:lang w:eastAsia="bg-BG"/>
        </w:rPr>
        <w:t>Взаимодействия, свързани с хидрохлоротиазид</w:t>
      </w:r>
    </w:p>
    <w:p w14:paraId="6256A342" w14:textId="77777777" w:rsidR="00DB54E0" w:rsidRPr="00DB54E0" w:rsidRDefault="00DB54E0" w:rsidP="00DB54E0">
      <w:pPr>
        <w:spacing w:line="240" w:lineRule="auto"/>
        <w:rPr>
          <w:rFonts w:eastAsia="Times New Roman" w:cs="Arial"/>
          <w:i/>
          <w:iCs/>
          <w:color w:val="000000"/>
          <w:u w:val="single"/>
          <w:lang w:eastAsia="bg-BG"/>
        </w:rPr>
      </w:pPr>
    </w:p>
    <w:p w14:paraId="661A1A85" w14:textId="4471F1D0"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t>Необходимо е повишено внимание при едновременна употреба</w:t>
      </w:r>
    </w:p>
    <w:p w14:paraId="1F9F9C25" w14:textId="77777777" w:rsidR="00DB54E0" w:rsidRPr="00DB54E0" w:rsidRDefault="00DB54E0" w:rsidP="00DB54E0">
      <w:pPr>
        <w:spacing w:line="240" w:lineRule="auto"/>
        <w:rPr>
          <w:rFonts w:eastAsia="Times New Roman" w:cs="Arial"/>
          <w:i/>
          <w:iCs/>
          <w:color w:val="000000"/>
          <w:u w:val="single"/>
          <w:lang w:eastAsia="bg-BG"/>
        </w:rPr>
      </w:pPr>
    </w:p>
    <w:p w14:paraId="12784A45" w14:textId="30C20DFE"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t>Лекарствени продукти, повлияващи нивата на калий в серума</w:t>
      </w:r>
    </w:p>
    <w:p w14:paraId="2BC5E666"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Хипокалиемичният ефект на хидрохлоротиазид може да бъде повишен от едновременното прилагане на калий-губещи диуретици, кортикостероиди, лаксативи, АКТХ, амфотерицин, карбеноксолон, пеницилин </w:t>
      </w:r>
      <w:r w:rsidRPr="00DB54E0">
        <w:rPr>
          <w:rFonts w:eastAsia="Times New Roman" w:cs="Arial"/>
          <w:color w:val="000000"/>
          <w:lang w:val="en-US"/>
        </w:rPr>
        <w:t>G</w:t>
      </w:r>
      <w:r w:rsidRPr="00DB54E0">
        <w:rPr>
          <w:rFonts w:eastAsia="Times New Roman" w:cs="Arial"/>
          <w:color w:val="000000"/>
          <w:lang w:val="ru-RU"/>
        </w:rPr>
        <w:t xml:space="preserve">, </w:t>
      </w:r>
      <w:r w:rsidRPr="00DB54E0">
        <w:rPr>
          <w:rFonts w:eastAsia="Times New Roman" w:cs="Arial"/>
          <w:color w:val="000000"/>
          <w:lang w:eastAsia="bg-BG"/>
        </w:rPr>
        <w:t>салицилова киселина и прозводни.</w:t>
      </w:r>
    </w:p>
    <w:p w14:paraId="6224ACC5"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Ако е необходимо предписването на тези лекарствени продукти едновременно с комбинацията хидрохлоротиазид-валсартан, се препоръчва мониториране на плазмените нива на калия. (вж. точка 4.4).</w:t>
      </w:r>
    </w:p>
    <w:p w14:paraId="39A68FD0" w14:textId="77777777" w:rsidR="00DB54E0" w:rsidRPr="00DB54E0" w:rsidRDefault="00DB54E0" w:rsidP="00DB54E0">
      <w:pPr>
        <w:spacing w:line="240" w:lineRule="auto"/>
        <w:rPr>
          <w:rFonts w:eastAsia="Times New Roman" w:cs="Arial"/>
          <w:color w:val="000000"/>
          <w:u w:val="single"/>
          <w:lang w:eastAsia="bg-BG"/>
        </w:rPr>
      </w:pPr>
    </w:p>
    <w:p w14:paraId="3404F9FA" w14:textId="49360D3C"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 xml:space="preserve">Лекарствени продукти, които могат да индуцират </w:t>
      </w:r>
      <w:proofErr w:type="spellStart"/>
      <w:r w:rsidRPr="00DB54E0">
        <w:rPr>
          <w:rFonts w:eastAsia="Times New Roman" w:cs="Arial"/>
          <w:i/>
          <w:iCs/>
          <w:color w:val="000000"/>
          <w:u w:val="single"/>
          <w:lang w:val="en-US"/>
        </w:rPr>
        <w:t>torsades</w:t>
      </w:r>
      <w:proofErr w:type="spellEnd"/>
      <w:r w:rsidRPr="00DB54E0">
        <w:rPr>
          <w:rFonts w:eastAsia="Times New Roman" w:cs="Arial"/>
          <w:i/>
          <w:iCs/>
          <w:color w:val="000000"/>
          <w:u w:val="single"/>
          <w:lang w:val="ru-RU"/>
        </w:rPr>
        <w:t xml:space="preserve"> </w:t>
      </w:r>
      <w:r w:rsidRPr="00DB54E0">
        <w:rPr>
          <w:rFonts w:eastAsia="Times New Roman" w:cs="Arial"/>
          <w:i/>
          <w:iCs/>
          <w:color w:val="000000"/>
          <w:u w:val="single"/>
          <w:lang w:val="en-US"/>
        </w:rPr>
        <w:t>de</w:t>
      </w:r>
      <w:r w:rsidRPr="00DB54E0">
        <w:rPr>
          <w:rFonts w:eastAsia="Times New Roman" w:cs="Arial"/>
          <w:i/>
          <w:iCs/>
          <w:color w:val="000000"/>
          <w:u w:val="single"/>
          <w:lang w:val="ru-RU"/>
        </w:rPr>
        <w:t xml:space="preserve"> </w:t>
      </w:r>
      <w:r w:rsidRPr="00DB54E0">
        <w:rPr>
          <w:rFonts w:eastAsia="Times New Roman" w:cs="Arial"/>
          <w:i/>
          <w:iCs/>
          <w:color w:val="000000"/>
          <w:u w:val="single"/>
          <w:lang w:val="en-US"/>
        </w:rPr>
        <w:t>pointes</w:t>
      </w:r>
    </w:p>
    <w:p w14:paraId="3DF6C1B0"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Поради риска от хипокалиемия, хидрохлоротиазид трябва да се прилага с повишено внимание едновременно с лекарствени продукти, които могат да индуцират </w:t>
      </w:r>
      <w:proofErr w:type="spellStart"/>
      <w:r w:rsidRPr="00DB54E0">
        <w:rPr>
          <w:rFonts w:eastAsia="Times New Roman" w:cs="Arial"/>
          <w:i/>
          <w:iCs/>
          <w:color w:val="000000"/>
          <w:lang w:val="en-US"/>
        </w:rPr>
        <w:t>torsades</w:t>
      </w:r>
      <w:proofErr w:type="spellEnd"/>
      <w:r w:rsidRPr="00DB54E0">
        <w:rPr>
          <w:rFonts w:eastAsia="Times New Roman" w:cs="Arial"/>
          <w:i/>
          <w:iCs/>
          <w:color w:val="000000"/>
          <w:lang w:val="ru-RU"/>
        </w:rPr>
        <w:t xml:space="preserve"> </w:t>
      </w:r>
      <w:r w:rsidRPr="00DB54E0">
        <w:rPr>
          <w:rFonts w:eastAsia="Times New Roman" w:cs="Arial"/>
          <w:i/>
          <w:iCs/>
          <w:color w:val="000000"/>
          <w:lang w:val="en-US"/>
        </w:rPr>
        <w:t>de</w:t>
      </w:r>
      <w:r w:rsidRPr="00DB54E0">
        <w:rPr>
          <w:rFonts w:eastAsia="Times New Roman" w:cs="Arial"/>
          <w:i/>
          <w:iCs/>
          <w:color w:val="000000"/>
          <w:lang w:val="ru-RU"/>
        </w:rPr>
        <w:t xml:space="preserve"> </w:t>
      </w:r>
      <w:r w:rsidRPr="00DB54E0">
        <w:rPr>
          <w:rFonts w:eastAsia="Times New Roman" w:cs="Arial"/>
          <w:i/>
          <w:iCs/>
          <w:color w:val="000000"/>
          <w:lang w:val="en-US"/>
        </w:rPr>
        <w:t>pointes</w:t>
      </w:r>
      <w:r w:rsidRPr="00DB54E0">
        <w:rPr>
          <w:rFonts w:eastAsia="Times New Roman" w:cs="Arial"/>
          <w:i/>
          <w:iCs/>
          <w:color w:val="000000"/>
          <w:lang w:val="ru-RU"/>
        </w:rPr>
        <w:t>,</w:t>
      </w:r>
      <w:r w:rsidRPr="00DB54E0">
        <w:rPr>
          <w:rFonts w:eastAsia="Times New Roman" w:cs="Arial"/>
          <w:color w:val="000000"/>
          <w:lang w:val="ru-RU"/>
        </w:rPr>
        <w:t xml:space="preserve"> </w:t>
      </w:r>
      <w:r w:rsidRPr="00DB54E0">
        <w:rPr>
          <w:rFonts w:eastAsia="Times New Roman" w:cs="Arial"/>
          <w:color w:val="000000"/>
          <w:lang w:eastAsia="bg-BG"/>
        </w:rPr>
        <w:t>особено Клас I и Клас III антиаритмици и някои антипсихотици.</w:t>
      </w:r>
    </w:p>
    <w:p w14:paraId="6DFAE70E" w14:textId="77777777" w:rsidR="00DB54E0" w:rsidRPr="00DB54E0" w:rsidRDefault="00DB54E0" w:rsidP="00DB54E0">
      <w:pPr>
        <w:spacing w:line="240" w:lineRule="auto"/>
        <w:rPr>
          <w:rFonts w:eastAsia="Times New Roman" w:cs="Arial"/>
          <w:i/>
          <w:iCs/>
          <w:color w:val="000000"/>
          <w:u w:val="single"/>
          <w:lang w:eastAsia="bg-BG"/>
        </w:rPr>
      </w:pPr>
    </w:p>
    <w:p w14:paraId="3E715CEC" w14:textId="45E7F04F" w:rsidR="00DB54E0" w:rsidRPr="00DB54E0" w:rsidRDefault="00DB54E0" w:rsidP="00DB54E0">
      <w:pPr>
        <w:spacing w:line="240" w:lineRule="auto"/>
        <w:rPr>
          <w:rFonts w:eastAsia="Times New Roman" w:cs="Arial"/>
        </w:rPr>
      </w:pPr>
      <w:r w:rsidRPr="00DB54E0">
        <w:rPr>
          <w:rFonts w:eastAsia="Times New Roman" w:cs="Arial"/>
          <w:i/>
          <w:iCs/>
          <w:color w:val="000000"/>
          <w:u w:val="single"/>
          <w:lang w:eastAsia="bg-BG"/>
        </w:rPr>
        <w:t>Лекарствени продукти, повлияващи нивата на натрий в серума</w:t>
      </w:r>
    </w:p>
    <w:p w14:paraId="1E06975D"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Хипонатриемичният ефект на диуретиците може да бъде усилен от едновременното приложение на лекарствени продукти като антидепресанти, антипсихотици, антиепилептици и т.н. Препоръчва се повишено внимание при продължителната употреба на тези лекарства</w:t>
      </w:r>
    </w:p>
    <w:p w14:paraId="1A78B7CA" w14:textId="77777777" w:rsidR="00DB54E0" w:rsidRPr="00DB54E0" w:rsidRDefault="00DB54E0" w:rsidP="00DB54E0">
      <w:pPr>
        <w:spacing w:line="240" w:lineRule="auto"/>
        <w:rPr>
          <w:rFonts w:eastAsia="Times New Roman" w:cs="Arial"/>
          <w:color w:val="000000"/>
          <w:u w:val="single"/>
          <w:lang w:eastAsia="bg-BG"/>
        </w:rPr>
      </w:pPr>
    </w:p>
    <w:p w14:paraId="7DE98527" w14:textId="4D7EF48E" w:rsidR="00DB54E0" w:rsidRPr="00DB54E0" w:rsidRDefault="00DB54E0" w:rsidP="00DB54E0">
      <w:pPr>
        <w:spacing w:line="240" w:lineRule="auto"/>
        <w:rPr>
          <w:rFonts w:eastAsia="Times New Roman" w:cs="Arial"/>
        </w:rPr>
      </w:pPr>
      <w:r w:rsidRPr="00DB54E0">
        <w:rPr>
          <w:rFonts w:eastAsia="Times New Roman" w:cs="Arial"/>
          <w:color w:val="000000"/>
          <w:u w:val="single"/>
          <w:lang w:eastAsia="bg-BG"/>
        </w:rPr>
        <w:t>Дигиталисови гликозиди</w:t>
      </w:r>
    </w:p>
    <w:p w14:paraId="02A6161E"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Тиазид-индуцирана хипокалиемия или хипомагнезиемия могат да се изявят като нежелани реакции, улеснявайки началото на дигиталис-индуцирани сърдечни аритмии (виж т.4.4).</w:t>
      </w:r>
    </w:p>
    <w:p w14:paraId="4FACC05B" w14:textId="77777777" w:rsidR="00DB54E0" w:rsidRPr="00DB54E0" w:rsidRDefault="00DB54E0" w:rsidP="00DB54E0">
      <w:pPr>
        <w:spacing w:line="240" w:lineRule="auto"/>
        <w:rPr>
          <w:rFonts w:eastAsia="Times New Roman" w:cs="Arial"/>
          <w:i/>
          <w:iCs/>
          <w:color w:val="000000"/>
          <w:lang w:eastAsia="bg-BG"/>
        </w:rPr>
      </w:pPr>
    </w:p>
    <w:p w14:paraId="38AB3492" w14:textId="242F8FCF"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 xml:space="preserve">Калциеви соли и витамин </w:t>
      </w:r>
      <w:r w:rsidRPr="00DB54E0">
        <w:rPr>
          <w:rFonts w:eastAsia="Times New Roman" w:cs="Arial"/>
          <w:i/>
          <w:iCs/>
          <w:color w:val="000000"/>
          <w:lang w:val="en-US"/>
        </w:rPr>
        <w:t>D</w:t>
      </w:r>
    </w:p>
    <w:p w14:paraId="1B0C9D4F"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 xml:space="preserve">Прилагането на тиазидни диуретици, включително хидрохлоротиазид, с витамин </w:t>
      </w:r>
      <w:r w:rsidRPr="00DB54E0">
        <w:rPr>
          <w:rFonts w:eastAsia="Times New Roman" w:cs="Arial"/>
          <w:color w:val="000000"/>
          <w:lang w:val="en-US"/>
        </w:rPr>
        <w:t>D</w:t>
      </w:r>
      <w:r w:rsidRPr="00DB54E0">
        <w:rPr>
          <w:rFonts w:eastAsia="Times New Roman" w:cs="Arial"/>
          <w:color w:val="000000"/>
          <w:lang w:val="ru-RU"/>
        </w:rPr>
        <w:t xml:space="preserve"> </w:t>
      </w:r>
      <w:r w:rsidRPr="00DB54E0">
        <w:rPr>
          <w:rFonts w:eastAsia="Times New Roman" w:cs="Arial"/>
          <w:color w:val="000000"/>
          <w:lang w:eastAsia="bg-BG"/>
        </w:rPr>
        <w:t>или с калциеви соли може да потенцира покачването на серумния калций. Едновременната употреба на тиазидни диуретици с калциеви соли може да доведе до хиперкалциемия при пациенти, предразположени към повишени нива на калций в кръвта (т.е хиперпаратиреоидизъм, злокачествени заболявания или витамин Д - свързани състояния) като повишават обратната резорбция на калций в тубулите.</w:t>
      </w:r>
    </w:p>
    <w:p w14:paraId="3A233A88" w14:textId="77777777" w:rsidR="00DB54E0" w:rsidRPr="00DB54E0" w:rsidRDefault="00DB54E0" w:rsidP="00DB54E0">
      <w:pPr>
        <w:spacing w:line="240" w:lineRule="auto"/>
        <w:rPr>
          <w:rFonts w:eastAsia="Times New Roman" w:cs="Arial"/>
          <w:i/>
          <w:iCs/>
          <w:color w:val="000000"/>
          <w:lang w:eastAsia="bg-BG"/>
        </w:rPr>
      </w:pPr>
    </w:p>
    <w:p w14:paraId="4DFBA921" w14:textId="315C39D4"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Антидиабетни лекарства (перорални средства и инсулин)</w:t>
      </w:r>
    </w:p>
    <w:p w14:paraId="4A943120"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lastRenderedPageBreak/>
        <w:t>Тиазидите могат да променят глюкозния толеранс. Може да е необходимо коригиране на дозите на лекарствения продукт.</w:t>
      </w:r>
    </w:p>
    <w:p w14:paraId="322D862C"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p w14:paraId="4EE743C7" w14:textId="77777777" w:rsidR="00DB54E0" w:rsidRPr="00DB54E0" w:rsidRDefault="00DB54E0" w:rsidP="00DB54E0">
      <w:pPr>
        <w:spacing w:line="240" w:lineRule="auto"/>
        <w:rPr>
          <w:rFonts w:eastAsia="Times New Roman" w:cs="Arial"/>
          <w:i/>
          <w:iCs/>
          <w:color w:val="000000"/>
          <w:lang w:eastAsia="bg-BG"/>
        </w:rPr>
      </w:pPr>
    </w:p>
    <w:p w14:paraId="17810EE4" w14:textId="748935F1"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Бета-блокери и диазоксид</w:t>
      </w:r>
    </w:p>
    <w:p w14:paraId="4D25108D"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Едновременното приложение на тиазидни диуретици, включително хидрохлоротиазид, и бета- 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p w14:paraId="7E6F66A3" w14:textId="77777777" w:rsidR="00DB54E0" w:rsidRPr="00DB54E0" w:rsidRDefault="00DB54E0" w:rsidP="00DB54E0">
      <w:pPr>
        <w:spacing w:line="240" w:lineRule="auto"/>
        <w:rPr>
          <w:rFonts w:eastAsia="Times New Roman" w:cs="Arial"/>
          <w:i/>
          <w:iCs/>
          <w:color w:val="000000"/>
          <w:lang w:eastAsia="bg-BG"/>
        </w:rPr>
      </w:pPr>
    </w:p>
    <w:p w14:paraId="21F8D541" w14:textId="1920126C"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 xml:space="preserve">Лекарствени продукти, прилагани за лечение на подагра (пробенецид, сулфинпиразон и алопуринол) </w:t>
      </w:r>
      <w:r w:rsidRPr="00DB54E0">
        <w:rPr>
          <w:rFonts w:eastAsia="Times New Roman" w:cs="Arial"/>
          <w:color w:val="000000"/>
          <w:lang w:eastAsia="bg-BG"/>
        </w:rPr>
        <w:t>Възможно е да се наложи коригиране на дозата на урикозуричните средства, тъй като хидрохлоротиазид може да покачи нивата на серумната пикочна киселина. Може да е 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w:t>
      </w:r>
    </w:p>
    <w:p w14:paraId="18DCE685" w14:textId="12C17E44" w:rsidR="00DB54E0" w:rsidRPr="00DB54E0" w:rsidRDefault="00DB54E0" w:rsidP="00DB54E0">
      <w:pPr>
        <w:rPr>
          <w:rFonts w:eastAsia="Times New Roman" w:cs="Arial"/>
          <w:color w:val="000000"/>
          <w:lang w:eastAsia="bg-BG"/>
        </w:rPr>
      </w:pPr>
      <w:r w:rsidRPr="00DB54E0">
        <w:rPr>
          <w:rFonts w:eastAsia="Times New Roman" w:cs="Arial"/>
          <w:color w:val="000000"/>
          <w:lang w:eastAsia="bg-BG"/>
        </w:rPr>
        <w:t>свръхчувствителност спрямо алопуринол.</w:t>
      </w:r>
    </w:p>
    <w:p w14:paraId="2415C4B5" w14:textId="72280A99" w:rsidR="00DB54E0" w:rsidRPr="00DB54E0" w:rsidRDefault="00DB54E0" w:rsidP="00DB54E0">
      <w:pPr>
        <w:rPr>
          <w:rFonts w:eastAsia="Times New Roman" w:cs="Arial"/>
          <w:color w:val="000000"/>
          <w:lang w:eastAsia="bg-BG"/>
        </w:rPr>
      </w:pPr>
    </w:p>
    <w:p w14:paraId="68FF42AF" w14:textId="77777777"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Антихолинергични лекарствени продукти и други лекарства засягащи мотилитета на стомашно- чревния тракт</w:t>
      </w:r>
    </w:p>
    <w:p w14:paraId="23AE2C23"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Бионаличността на тиазидните диуретици може да се повиши от антихолинергичните лекарствени продукти (напр. атропин, бипериден), очевидно поради намаляване на мотилитета на стомашно- чревния тракт и забавяне на времето за изпразване на стомаха. Обратно, очаква се че прокинетиците, като цизаприд, могат да намалят бионаличността на тиазидните диуретици.</w:t>
      </w:r>
    </w:p>
    <w:p w14:paraId="093804BC" w14:textId="77777777" w:rsidR="00DB54E0" w:rsidRPr="00DB54E0" w:rsidRDefault="00DB54E0" w:rsidP="00DB54E0">
      <w:pPr>
        <w:spacing w:line="240" w:lineRule="auto"/>
        <w:rPr>
          <w:rFonts w:eastAsia="Times New Roman" w:cs="Arial"/>
          <w:i/>
          <w:iCs/>
          <w:color w:val="000000"/>
          <w:lang w:eastAsia="bg-BG"/>
        </w:rPr>
      </w:pPr>
    </w:p>
    <w:p w14:paraId="6BDFF827" w14:textId="3146EE7D"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Амантадин</w:t>
      </w:r>
    </w:p>
    <w:p w14:paraId="0A3FEE47"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Тиазидните диуретици, включително хидрохлоротиазид, могат да повишат риска от нежелани реакции, причинени от амантадин.</w:t>
      </w:r>
    </w:p>
    <w:p w14:paraId="1DF5A5A3" w14:textId="77777777" w:rsidR="00DB54E0" w:rsidRPr="00DB54E0" w:rsidRDefault="00DB54E0" w:rsidP="00DB54E0">
      <w:pPr>
        <w:spacing w:line="240" w:lineRule="auto"/>
        <w:rPr>
          <w:rFonts w:eastAsia="Times New Roman" w:cs="Arial"/>
          <w:i/>
          <w:iCs/>
          <w:color w:val="000000"/>
          <w:lang w:eastAsia="bg-BG"/>
        </w:rPr>
      </w:pPr>
    </w:p>
    <w:p w14:paraId="51A4C1E1" w14:textId="451A532C"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Йонообменни смоли</w:t>
      </w:r>
    </w:p>
    <w:p w14:paraId="38AEB566"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Абсорбцията на тиазидните диуретици, включително хидрохлоротиазид, се понижава от холестирамин или холестипол. Това може да доведе до понижен терапевтичен ефект на тиазидния диуретик. Все пак, напасването на дозировката на хидрохлоротиазида и Йонообменната смола, като например прием на хидрохлоротиазида поне 4 часа преди или 4-6 часа след смолата, потенциално би намалило ефекта на взаимодействието им.</w:t>
      </w:r>
    </w:p>
    <w:p w14:paraId="7AF30CD8" w14:textId="77777777" w:rsidR="00DB54E0" w:rsidRPr="00DB54E0" w:rsidRDefault="00DB54E0" w:rsidP="00DB54E0">
      <w:pPr>
        <w:spacing w:line="240" w:lineRule="auto"/>
        <w:rPr>
          <w:rFonts w:eastAsia="Times New Roman" w:cs="Arial"/>
          <w:i/>
          <w:iCs/>
          <w:color w:val="000000"/>
          <w:lang w:eastAsia="bg-BG"/>
        </w:rPr>
      </w:pPr>
    </w:p>
    <w:p w14:paraId="2171C9AC" w14:textId="73E03235"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Цитотоксични лекарствени продукти</w:t>
      </w:r>
    </w:p>
    <w:p w14:paraId="25528721"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Тиазидните диуретици, включително хидрохлоротиазид, могат да намалят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1FA2D423" w14:textId="77777777" w:rsidR="00DB54E0" w:rsidRPr="00DB54E0" w:rsidRDefault="00DB54E0" w:rsidP="00DB54E0">
      <w:pPr>
        <w:spacing w:line="240" w:lineRule="auto"/>
        <w:rPr>
          <w:rFonts w:eastAsia="Times New Roman" w:cs="Arial"/>
          <w:i/>
          <w:iCs/>
          <w:color w:val="000000"/>
          <w:lang w:eastAsia="bg-BG"/>
        </w:rPr>
      </w:pPr>
    </w:p>
    <w:p w14:paraId="6A16C6F1" w14:textId="5940A265"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Недеполяризиращи скелетномускулни релаксанти (напр. тубокурарин)</w:t>
      </w:r>
    </w:p>
    <w:p w14:paraId="06DAF01C"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Тиазидните диуретици, включително хидрохлоротиазид, потенцират действието на скелетните миорелаксанти, като производните на кураре.</w:t>
      </w:r>
    </w:p>
    <w:p w14:paraId="53BC2927" w14:textId="77777777" w:rsidR="00DB54E0" w:rsidRPr="00DB54E0" w:rsidRDefault="00DB54E0" w:rsidP="00DB54E0">
      <w:pPr>
        <w:spacing w:line="240" w:lineRule="auto"/>
        <w:rPr>
          <w:rFonts w:eastAsia="Times New Roman" w:cs="Arial"/>
          <w:i/>
          <w:iCs/>
          <w:color w:val="000000"/>
          <w:lang w:eastAsia="bg-BG"/>
        </w:rPr>
      </w:pPr>
    </w:p>
    <w:p w14:paraId="183A0C82" w14:textId="44B0F537"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Циклоспорин</w:t>
      </w:r>
    </w:p>
    <w:p w14:paraId="05FEA2C2"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Едновременното прилагане с циклоспорин може да повиши риска от хиперурикемия и усложнения на подаграта.</w:t>
      </w:r>
    </w:p>
    <w:p w14:paraId="797B3FEB" w14:textId="77777777" w:rsidR="00DB54E0" w:rsidRPr="00DB54E0" w:rsidRDefault="00DB54E0" w:rsidP="00DB54E0">
      <w:pPr>
        <w:spacing w:line="240" w:lineRule="auto"/>
        <w:rPr>
          <w:rFonts w:eastAsia="Times New Roman" w:cs="Arial"/>
          <w:i/>
          <w:iCs/>
          <w:color w:val="000000"/>
          <w:lang w:eastAsia="bg-BG"/>
        </w:rPr>
      </w:pPr>
    </w:p>
    <w:p w14:paraId="14B6A38D" w14:textId="7483A5C4"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Алкохол, барбитурати и наркотични лекарствени продукти</w:t>
      </w:r>
    </w:p>
    <w:p w14:paraId="3DAD1F1B"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Едновременното приложение на тиазидни диуретици със субстанции, които понижават кръвното налягане (напр. като редуцират активността на симпатиковата ЦНС или са директни вазодилататори), може да потенцира ортостатична хипотония.</w:t>
      </w:r>
    </w:p>
    <w:p w14:paraId="031B5689" w14:textId="77777777" w:rsidR="00DB54E0" w:rsidRPr="00DB54E0" w:rsidRDefault="00DB54E0" w:rsidP="00DB54E0">
      <w:pPr>
        <w:spacing w:line="240" w:lineRule="auto"/>
        <w:rPr>
          <w:rFonts w:eastAsia="Times New Roman" w:cs="Arial"/>
          <w:i/>
          <w:iCs/>
          <w:color w:val="000000"/>
          <w:lang w:eastAsia="bg-BG"/>
        </w:rPr>
      </w:pPr>
    </w:p>
    <w:p w14:paraId="358F2234" w14:textId="085013FC"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Метилдопа</w:t>
      </w:r>
    </w:p>
    <w:p w14:paraId="4F200519"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Има изолирани съобщения за случаи на хемолитична анемия при едновременно прилагане на метилдопа и хидрохлоротиазид.</w:t>
      </w:r>
    </w:p>
    <w:p w14:paraId="2BB47086" w14:textId="77777777" w:rsidR="00DB54E0" w:rsidRPr="00DB54E0" w:rsidRDefault="00DB54E0" w:rsidP="00DB54E0">
      <w:pPr>
        <w:spacing w:line="240" w:lineRule="auto"/>
        <w:rPr>
          <w:rFonts w:eastAsia="Times New Roman" w:cs="Arial"/>
          <w:i/>
          <w:iCs/>
          <w:color w:val="000000"/>
          <w:lang w:eastAsia="bg-BG"/>
        </w:rPr>
      </w:pPr>
    </w:p>
    <w:p w14:paraId="1A70729E" w14:textId="4AD36AC9" w:rsidR="00DB54E0" w:rsidRPr="00DB54E0" w:rsidRDefault="00DB54E0" w:rsidP="00DB54E0">
      <w:pPr>
        <w:spacing w:line="240" w:lineRule="auto"/>
        <w:rPr>
          <w:rFonts w:eastAsia="Times New Roman" w:cs="Arial"/>
        </w:rPr>
      </w:pPr>
      <w:r w:rsidRPr="00DB54E0">
        <w:rPr>
          <w:rFonts w:eastAsia="Times New Roman" w:cs="Arial"/>
          <w:i/>
          <w:iCs/>
          <w:color w:val="000000"/>
          <w:lang w:eastAsia="bg-BG"/>
        </w:rPr>
        <w:t>Йодни контрастни средства</w:t>
      </w:r>
    </w:p>
    <w:p w14:paraId="66E9C567" w14:textId="77777777" w:rsidR="00DB54E0" w:rsidRPr="00DB54E0" w:rsidRDefault="00DB54E0" w:rsidP="00DB54E0">
      <w:pPr>
        <w:spacing w:line="240" w:lineRule="auto"/>
        <w:rPr>
          <w:rFonts w:eastAsia="Times New Roman" w:cs="Arial"/>
        </w:rPr>
      </w:pPr>
      <w:r w:rsidRPr="00DB54E0">
        <w:rPr>
          <w:rFonts w:eastAsia="Times New Roman" w:cs="Arial"/>
          <w:color w:val="000000"/>
          <w:lang w:eastAsia="bg-BG"/>
        </w:rPr>
        <w:t>В случай на диуретик-индуцирана дехидратация е налице повишен риск от остра бъбречна недостатъчност, особено при високи дози на йодния продукт. Пациентите трябва да се рехидратират преди прилагането на йодни контрастни вещества.</w:t>
      </w:r>
    </w:p>
    <w:p w14:paraId="052B8E4A" w14:textId="77777777" w:rsidR="00DB54E0" w:rsidRPr="00DB54E0" w:rsidRDefault="00DB54E0" w:rsidP="00DB54E0">
      <w:pPr>
        <w:rPr>
          <w:rFonts w:ascii="Times New Roman" w:eastAsia="Times New Roman" w:hAnsi="Times New Roman" w:cs="Times New Roman"/>
          <w:color w:val="000000"/>
          <w:lang w:eastAsia="bg-BG"/>
        </w:rPr>
      </w:pPr>
    </w:p>
    <w:p w14:paraId="006BE4EC" w14:textId="26F857BE" w:rsidR="00DB32D3" w:rsidRDefault="002C50EE" w:rsidP="005726E3">
      <w:pPr>
        <w:pStyle w:val="Heading2"/>
      </w:pPr>
      <w:r>
        <w:t>4.6. Фертилитет, бременност и кърмене</w:t>
      </w:r>
    </w:p>
    <w:p w14:paraId="204AD896" w14:textId="7263ADAF" w:rsidR="00DB54E0" w:rsidRDefault="00DB54E0" w:rsidP="00DB54E0"/>
    <w:p w14:paraId="787BD880" w14:textId="77777777" w:rsidR="00DB54E0" w:rsidRPr="00DB54E0" w:rsidRDefault="00DB54E0" w:rsidP="00DB54E0">
      <w:pPr>
        <w:pStyle w:val="Heading3"/>
        <w:rPr>
          <w:rFonts w:eastAsia="Times New Roman"/>
          <w:u w:val="single"/>
        </w:rPr>
      </w:pPr>
      <w:r w:rsidRPr="00DB54E0">
        <w:rPr>
          <w:rFonts w:eastAsia="Times New Roman"/>
          <w:u w:val="single"/>
          <w:lang w:eastAsia="bg-BG"/>
        </w:rPr>
        <w:t>Бременност</w:t>
      </w:r>
    </w:p>
    <w:p w14:paraId="547C9C1C" w14:textId="77777777" w:rsidR="00DB54E0" w:rsidRPr="00DB54E0" w:rsidRDefault="00DB54E0" w:rsidP="00DB54E0">
      <w:pPr>
        <w:rPr>
          <w:rFonts w:eastAsia="Times New Roman" w:cs="Arial"/>
          <w:color w:val="000000"/>
          <w:lang w:eastAsia="bg-BG"/>
        </w:rPr>
      </w:pPr>
    </w:p>
    <w:p w14:paraId="750AFF71" w14:textId="4B7DCE30" w:rsidR="00DB54E0" w:rsidRPr="00DB54E0" w:rsidRDefault="00DB54E0" w:rsidP="00DB54E0">
      <w:pPr>
        <w:rPr>
          <w:rFonts w:eastAsia="Times New Roman" w:cs="Arial"/>
          <w:color w:val="000000"/>
          <w:lang w:eastAsia="bg-BG"/>
        </w:rPr>
      </w:pPr>
      <w:r w:rsidRPr="00DB54E0">
        <w:rPr>
          <w:rFonts w:eastAsia="Times New Roman" w:cs="Arial"/>
          <w:color w:val="000000"/>
          <w:lang w:eastAsia="bg-BG"/>
        </w:rPr>
        <w:t>Валсартан</w:t>
      </w:r>
    </w:p>
    <w:tbl>
      <w:tblPr>
        <w:tblStyle w:val="TableGrid"/>
        <w:tblW w:w="0" w:type="auto"/>
        <w:tblLook w:val="04A0" w:firstRow="1" w:lastRow="0" w:firstColumn="1" w:lastColumn="0" w:noHBand="0" w:noVBand="1"/>
      </w:tblPr>
      <w:tblGrid>
        <w:gridCol w:w="9350"/>
      </w:tblGrid>
      <w:tr w:rsidR="00DB54E0" w:rsidRPr="00DB54E0" w14:paraId="3CF40500" w14:textId="77777777" w:rsidTr="00DB54E0">
        <w:tc>
          <w:tcPr>
            <w:tcW w:w="9576" w:type="dxa"/>
          </w:tcPr>
          <w:p w14:paraId="223B8F4F"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Употребата на ангиотензин II рецепторни антагонисти (АТ</w:t>
            </w:r>
            <w:r w:rsidRPr="00DB54E0">
              <w:rPr>
                <w:rFonts w:eastAsia="Times New Roman" w:cs="Arial"/>
                <w:color w:val="000000"/>
                <w:lang w:val="en-US"/>
              </w:rPr>
              <w:t>II</w:t>
            </w:r>
            <w:r w:rsidRPr="00DB54E0">
              <w:rPr>
                <w:rFonts w:eastAsia="Times New Roman" w:cs="Arial"/>
                <w:color w:val="000000"/>
                <w:lang w:eastAsia="bg-BG"/>
              </w:rPr>
              <w:t>РА) не се препоръчва през първия</w:t>
            </w:r>
          </w:p>
          <w:p w14:paraId="1AE77805" w14:textId="61F58CE8" w:rsidR="00DB54E0" w:rsidRPr="00DB54E0" w:rsidRDefault="00DB54E0" w:rsidP="00DB54E0">
            <w:pPr>
              <w:rPr>
                <w:rFonts w:cs="Arial"/>
              </w:rPr>
            </w:pPr>
            <w:r w:rsidRPr="00DB54E0">
              <w:rPr>
                <w:rFonts w:eastAsia="Times New Roman" w:cs="Arial"/>
                <w:color w:val="000000"/>
                <w:lang w:eastAsia="bg-BG"/>
              </w:rPr>
              <w:t>триместър на бременността (вж. точка 4.4). Употребата на АТ</w:t>
            </w:r>
            <w:r w:rsidRPr="00DB54E0">
              <w:rPr>
                <w:rFonts w:eastAsia="Times New Roman" w:cs="Arial"/>
                <w:color w:val="000000"/>
                <w:lang w:val="en-US"/>
              </w:rPr>
              <w:t>II</w:t>
            </w:r>
            <w:r w:rsidRPr="00DB54E0">
              <w:rPr>
                <w:rFonts w:eastAsia="Times New Roman" w:cs="Arial"/>
                <w:color w:val="000000"/>
                <w:lang w:eastAsia="bg-BG"/>
              </w:rPr>
              <w:t xml:space="preserve">РА е противопокаана през втория и </w:t>
            </w:r>
            <w:r w:rsidRPr="00DB54E0">
              <w:rPr>
                <w:rFonts w:eastAsia="Times New Roman" w:cs="Arial"/>
                <w:color w:val="000000"/>
                <w:u w:val="single"/>
                <w:lang w:eastAsia="bg-BG"/>
              </w:rPr>
              <w:t>третия триместьр на бременността (вж. точки 4.3 и 4.4).</w:t>
            </w:r>
          </w:p>
        </w:tc>
      </w:tr>
    </w:tbl>
    <w:p w14:paraId="4E04291C" w14:textId="77777777" w:rsidR="00DB54E0" w:rsidRPr="00DB54E0" w:rsidRDefault="00DB54E0" w:rsidP="00DB54E0">
      <w:pPr>
        <w:spacing w:line="240" w:lineRule="auto"/>
        <w:rPr>
          <w:rFonts w:eastAsia="Times New Roman" w:cs="Arial"/>
          <w:color w:val="000000"/>
          <w:lang w:eastAsia="bg-BG"/>
        </w:rPr>
      </w:pPr>
    </w:p>
    <w:p w14:paraId="614EBF91" w14:textId="3CDEE501"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Епидемиологичните данни за риска от тератогенност след експозиция на АСЕ-инхибитори през първия триместьр на бременността не са окончателни; независимо от това не може да се изключи леко повишаване на риска. Въпреки че няма контролирани епидемиологични данни за риска от АТ</w:t>
      </w:r>
      <w:r w:rsidRPr="00DB54E0">
        <w:rPr>
          <w:rFonts w:eastAsia="Times New Roman" w:cs="Arial"/>
          <w:color w:val="000000"/>
          <w:lang w:val="en-US"/>
        </w:rPr>
        <w:t>II</w:t>
      </w:r>
      <w:r w:rsidRPr="00DB54E0">
        <w:rPr>
          <w:rFonts w:eastAsia="Times New Roman" w:cs="Arial"/>
          <w:color w:val="000000"/>
          <w:lang w:eastAsia="bg-BG"/>
        </w:rPr>
        <w:t>РА, подобен риск може да съществува при този клас лекарства. Освен в случай че терапията с АТ</w:t>
      </w:r>
      <w:r w:rsidRPr="00DB54E0">
        <w:rPr>
          <w:rFonts w:eastAsia="Times New Roman" w:cs="Arial"/>
          <w:color w:val="000000"/>
          <w:lang w:val="en-US"/>
        </w:rPr>
        <w:t>II</w:t>
      </w:r>
      <w:r w:rsidRPr="00DB54E0">
        <w:rPr>
          <w:rFonts w:eastAsia="Times New Roman" w:cs="Arial"/>
          <w:color w:val="000000"/>
          <w:lang w:eastAsia="bg-BG"/>
        </w:rPr>
        <w:t>РА се преценява като много важна, пациентките, които планират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АТ</w:t>
      </w:r>
      <w:r w:rsidRPr="00DB54E0">
        <w:rPr>
          <w:rFonts w:eastAsia="Times New Roman" w:cs="Arial"/>
          <w:color w:val="000000"/>
          <w:lang w:val="en-US"/>
        </w:rPr>
        <w:t>II</w:t>
      </w:r>
      <w:r w:rsidRPr="00DB54E0">
        <w:rPr>
          <w:rFonts w:eastAsia="Times New Roman" w:cs="Arial"/>
          <w:color w:val="000000"/>
          <w:lang w:eastAsia="bg-BG"/>
        </w:rPr>
        <w:t>РА трябва да се преустанови незабавно и при необходимост да се започне алтернативна терапия.</w:t>
      </w:r>
    </w:p>
    <w:p w14:paraId="2517F891"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Известно е, че експозицията на терапия с АТ</w:t>
      </w:r>
      <w:r w:rsidRPr="00DB54E0">
        <w:rPr>
          <w:rFonts w:eastAsia="Times New Roman" w:cs="Arial"/>
          <w:color w:val="000000"/>
          <w:lang w:val="en-US"/>
        </w:rPr>
        <w:t>II</w:t>
      </w:r>
      <w:r w:rsidRPr="00DB54E0">
        <w:rPr>
          <w:rFonts w:eastAsia="Times New Roman" w:cs="Arial"/>
          <w:color w:val="000000"/>
          <w:lang w:eastAsia="bg-BG"/>
        </w:rPr>
        <w:t>РА по време на втория и третия триместьр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вижте също точка 5.3 "Предклинични данни за безопасност”.</w:t>
      </w:r>
    </w:p>
    <w:p w14:paraId="23A792D1"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В случай на експозиция на АТ</w:t>
      </w:r>
      <w:r w:rsidRPr="00DB54E0">
        <w:rPr>
          <w:rFonts w:eastAsia="Times New Roman" w:cs="Arial"/>
          <w:color w:val="000000"/>
          <w:lang w:val="en-US"/>
        </w:rPr>
        <w:t>II</w:t>
      </w:r>
      <w:r w:rsidRPr="00DB54E0">
        <w:rPr>
          <w:rFonts w:eastAsia="Times New Roman" w:cs="Arial"/>
          <w:color w:val="000000"/>
          <w:lang w:eastAsia="bg-BG"/>
        </w:rPr>
        <w:t>РА след втория триместьр на бременността се препоръчва ултразвукова проверка на бъбречната функция и черепа.</w:t>
      </w:r>
    </w:p>
    <w:p w14:paraId="6EB821FB"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Новородени, чиито майки са приемали АТ</w:t>
      </w:r>
      <w:r w:rsidRPr="00DB54E0">
        <w:rPr>
          <w:rFonts w:eastAsia="Times New Roman" w:cs="Arial"/>
          <w:color w:val="000000"/>
          <w:lang w:val="en-US"/>
        </w:rPr>
        <w:t>II</w:t>
      </w:r>
      <w:r w:rsidRPr="00DB54E0">
        <w:rPr>
          <w:rFonts w:eastAsia="Times New Roman" w:cs="Arial"/>
          <w:color w:val="000000"/>
          <w:lang w:eastAsia="bg-BG"/>
        </w:rPr>
        <w:t>РА, трябва да бъдат внимателно наблюдавани за хипотония (вж. също точки 4.3 и 4.4).</w:t>
      </w:r>
    </w:p>
    <w:p w14:paraId="6389E682" w14:textId="77777777" w:rsidR="00DB54E0" w:rsidRPr="00DB54E0" w:rsidRDefault="00DB54E0" w:rsidP="00DB54E0">
      <w:pPr>
        <w:spacing w:line="240" w:lineRule="auto"/>
        <w:rPr>
          <w:rFonts w:eastAsia="Times New Roman" w:cs="Arial"/>
          <w:i/>
          <w:iCs/>
          <w:color w:val="000000"/>
          <w:lang w:eastAsia="bg-BG"/>
        </w:rPr>
      </w:pPr>
    </w:p>
    <w:p w14:paraId="28FC9405" w14:textId="10A9F788"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lang w:eastAsia="bg-BG"/>
        </w:rPr>
        <w:t>Хидрохлоротиазид</w:t>
      </w:r>
    </w:p>
    <w:p w14:paraId="7CC744C7"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 xml:space="preserve">Налице е ограничен опит относно употребата на хидрохлоротиазид по време на бременност, особено през първия триместьр. Проучванията при животни са недостатъчни. Хидрохлоротиазид преминава през плацентата. Изхождайки от фармакологичния механизъм на действие на хидрохлоротиазид, употребата му през </w:t>
      </w:r>
      <w:r w:rsidRPr="00DB54E0">
        <w:rPr>
          <w:rFonts w:eastAsia="Times New Roman" w:cs="Arial"/>
          <w:color w:val="000000"/>
          <w:lang w:eastAsia="bg-BG"/>
        </w:rPr>
        <w:lastRenderedPageBreak/>
        <w:t>втория и третия триместьр може да наруши фетоплацентарната перфузия и да доведе до фетални и неонатални усложнения като жълтеница, нарушения на електролитния баланс и тромбоцитопения.</w:t>
      </w:r>
    </w:p>
    <w:p w14:paraId="56318A4C" w14:textId="77777777" w:rsidR="00DB54E0" w:rsidRPr="00DB54E0" w:rsidRDefault="00DB54E0" w:rsidP="00DB54E0">
      <w:pPr>
        <w:spacing w:line="240" w:lineRule="auto"/>
        <w:rPr>
          <w:rFonts w:eastAsia="Times New Roman" w:cs="Arial"/>
          <w:i/>
          <w:iCs/>
          <w:color w:val="000000"/>
          <w:u w:val="single"/>
          <w:lang w:eastAsia="bg-BG"/>
        </w:rPr>
      </w:pPr>
    </w:p>
    <w:p w14:paraId="03A672A5" w14:textId="3C5CFBB8" w:rsidR="00DB54E0" w:rsidRPr="00DB54E0" w:rsidRDefault="00DB54E0" w:rsidP="00DB54E0">
      <w:pPr>
        <w:pStyle w:val="Heading3"/>
        <w:rPr>
          <w:rFonts w:eastAsia="Times New Roman"/>
          <w:u w:val="single"/>
        </w:rPr>
      </w:pPr>
      <w:r w:rsidRPr="00DB54E0">
        <w:rPr>
          <w:rFonts w:eastAsia="Times New Roman"/>
          <w:u w:val="single"/>
          <w:lang w:eastAsia="bg-BG"/>
        </w:rPr>
        <w:t>Кърмене</w:t>
      </w:r>
    </w:p>
    <w:p w14:paraId="2388CA3B"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Липсват данни относно употребата на валсартан по време на кърмене, Хидрохлоротиазид се екскретира в човешкото мляко. Поради тази причина не се препоръчва прием на Сувартар Н по време на кърмене. Предпочита алтернативно лечение с по-добре установен профил на безопасност по време на кърмене, особено при кърмене на новородено или недоносено бебе.</w:t>
      </w:r>
    </w:p>
    <w:p w14:paraId="457905A4" w14:textId="77777777" w:rsidR="00DB54E0" w:rsidRPr="00DB54E0" w:rsidRDefault="00DB54E0" w:rsidP="00DB54E0">
      <w:pPr>
        <w:spacing w:line="240" w:lineRule="auto"/>
        <w:rPr>
          <w:rFonts w:eastAsia="Times New Roman" w:cs="Arial"/>
          <w:i/>
          <w:iCs/>
          <w:color w:val="000000"/>
          <w:u w:val="single"/>
          <w:lang w:eastAsia="bg-BG"/>
        </w:rPr>
      </w:pPr>
    </w:p>
    <w:p w14:paraId="51C30C4E" w14:textId="45937840" w:rsidR="00DB54E0" w:rsidRPr="00DB54E0" w:rsidRDefault="00DB54E0" w:rsidP="00DB54E0">
      <w:pPr>
        <w:pStyle w:val="Heading3"/>
        <w:rPr>
          <w:rFonts w:eastAsia="Times New Roman"/>
          <w:u w:val="single"/>
        </w:rPr>
      </w:pPr>
      <w:r w:rsidRPr="00DB54E0">
        <w:rPr>
          <w:rFonts w:eastAsia="Times New Roman"/>
          <w:u w:val="single"/>
          <w:lang w:eastAsia="bg-BG"/>
        </w:rPr>
        <w:t>Фертилитет</w:t>
      </w:r>
    </w:p>
    <w:p w14:paraId="42BBE221"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Няма данни относно ефекта на валсартан или хидрохлоротиазид върху фертилитета.</w:t>
      </w:r>
    </w:p>
    <w:p w14:paraId="345BF67B" w14:textId="77777777" w:rsidR="00DB54E0" w:rsidRPr="00DB54E0" w:rsidRDefault="00DB54E0" w:rsidP="00DB54E0"/>
    <w:p w14:paraId="128BA3A8" w14:textId="3AE2F7B9" w:rsidR="00DB32D3" w:rsidRDefault="002C50EE" w:rsidP="005726E3">
      <w:pPr>
        <w:pStyle w:val="Heading2"/>
      </w:pPr>
      <w:r>
        <w:t>4.7. Ефекти върху способността за шофиране и работа с машини</w:t>
      </w:r>
    </w:p>
    <w:p w14:paraId="30464881" w14:textId="13583D9B" w:rsidR="00DB54E0" w:rsidRDefault="00DB54E0" w:rsidP="00DB54E0"/>
    <w:p w14:paraId="3B401463" w14:textId="674707E9" w:rsidR="00DB54E0" w:rsidRDefault="00DB54E0" w:rsidP="00DB54E0">
      <w:pPr>
        <w:rPr>
          <w:sz w:val="24"/>
          <w:szCs w:val="24"/>
        </w:rPr>
      </w:pPr>
      <w:r w:rsidRPr="00DB54E0">
        <w:rPr>
          <w:lang w:eastAsia="bg-BG"/>
        </w:rPr>
        <w:t>Не са провеждани проучвания за ефектите на валсартан/хидрохлоротиазид върху способността за шофиране. Трябва да се има предвид, че при шофиране и работа с машини е възможно понякога да настъпят замаяност или умора.</w:t>
      </w:r>
    </w:p>
    <w:p w14:paraId="2B076238" w14:textId="77777777" w:rsidR="00DB54E0" w:rsidRPr="00DB54E0" w:rsidRDefault="00DB54E0" w:rsidP="00DB54E0">
      <w:pPr>
        <w:spacing w:line="240" w:lineRule="auto"/>
        <w:rPr>
          <w:rFonts w:ascii="Times New Roman" w:eastAsia="Times New Roman" w:hAnsi="Times New Roman" w:cs="Times New Roman"/>
          <w:sz w:val="24"/>
          <w:szCs w:val="24"/>
        </w:rPr>
      </w:pPr>
    </w:p>
    <w:p w14:paraId="44CE30A3" w14:textId="554FB963" w:rsidR="007122AD" w:rsidRDefault="002C50EE" w:rsidP="00936AD0">
      <w:pPr>
        <w:pStyle w:val="Heading2"/>
      </w:pPr>
      <w:r>
        <w:t>4.8. Нежелани лекарствени реакции</w:t>
      </w:r>
    </w:p>
    <w:p w14:paraId="6E87E9E5" w14:textId="6F24FBB6" w:rsidR="00DB54E0" w:rsidRDefault="00DB54E0" w:rsidP="00DB54E0"/>
    <w:p w14:paraId="209408B0"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Нежеланите лекарствени реакции, съобщени при клинични проучвания и лабораторни находки, настъпващи по-често при валсартан плюс хидрохлоротиазид спрямо плацебо, както и отделните съобщения по време на постмаркетинговия период, са представени по-долу по системо-органни класове. Нежеланите реакции, за които се знае, че настъпват при прилагане на отделните съставки самостоятелно, но които не са наблюдавани при клиничните проучвания, могат да възникнат в хода на лечението с валсартан/хидрохлоротиазид.</w:t>
      </w:r>
    </w:p>
    <w:p w14:paraId="75E75592" w14:textId="77777777" w:rsidR="00DB54E0" w:rsidRPr="00DB54E0" w:rsidRDefault="00DB54E0" w:rsidP="00DB54E0">
      <w:pPr>
        <w:spacing w:line="240" w:lineRule="auto"/>
        <w:rPr>
          <w:rFonts w:eastAsia="Times New Roman" w:cs="Arial"/>
          <w:color w:val="000000"/>
          <w:lang w:eastAsia="bg-BG"/>
        </w:rPr>
      </w:pPr>
    </w:p>
    <w:p w14:paraId="1F47F4E2" w14:textId="1A1D6CE5"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Нежеланите реакции са подредени по честота, най-честите са първи, съгласно следната конвенция: много чести (&gt; 1/10); чести (&gt; 1/100 до &lt; 1/10); нечести (&gt; 1/1 000 до &lt; 1/100); редки (&gt;1/10 000 до &lt;1/1 000);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68A49F6" w14:textId="77777777" w:rsidR="00DB54E0" w:rsidRPr="00DB54E0" w:rsidRDefault="00DB54E0" w:rsidP="00DB54E0">
      <w:pPr>
        <w:spacing w:line="240" w:lineRule="auto"/>
        <w:rPr>
          <w:rFonts w:eastAsia="Times New Roman" w:cs="Arial"/>
          <w:sz w:val="24"/>
          <w:szCs w:val="24"/>
        </w:rPr>
      </w:pPr>
    </w:p>
    <w:p w14:paraId="78D96954" w14:textId="37565F62" w:rsidR="00DB54E0" w:rsidRDefault="00DB54E0" w:rsidP="00DB54E0">
      <w:pPr>
        <w:rPr>
          <w:rFonts w:eastAsia="Times New Roman" w:cs="Arial"/>
          <w:i/>
          <w:iCs/>
          <w:color w:val="000000"/>
          <w:lang w:eastAsia="bg-BG"/>
        </w:rPr>
      </w:pPr>
      <w:r w:rsidRPr="00DB54E0">
        <w:rPr>
          <w:rFonts w:eastAsia="Times New Roman" w:cs="Arial"/>
          <w:i/>
          <w:iCs/>
          <w:color w:val="000000"/>
          <w:lang w:eastAsia="bg-BG"/>
        </w:rPr>
        <w:t>Таблица 1: Честота на нежеланите реакции при валсартан/хидрохлоротиазид</w:t>
      </w:r>
    </w:p>
    <w:tbl>
      <w:tblPr>
        <w:tblStyle w:val="TableGrid"/>
        <w:tblW w:w="0" w:type="auto"/>
        <w:tblLook w:val="04A0" w:firstRow="1" w:lastRow="0" w:firstColumn="1" w:lastColumn="0" w:noHBand="0" w:noVBand="1"/>
      </w:tblPr>
      <w:tblGrid>
        <w:gridCol w:w="4666"/>
        <w:gridCol w:w="4684"/>
      </w:tblGrid>
      <w:tr w:rsidR="00DB54E0" w14:paraId="18982DC1" w14:textId="77777777" w:rsidTr="00CB6FE5">
        <w:tc>
          <w:tcPr>
            <w:tcW w:w="9576" w:type="dxa"/>
            <w:gridSpan w:val="2"/>
          </w:tcPr>
          <w:p w14:paraId="21997E8A" w14:textId="765B3873" w:rsidR="00DB54E0" w:rsidRPr="00DB54E0" w:rsidRDefault="00DB54E0" w:rsidP="00DB54E0">
            <w:pPr>
              <w:rPr>
                <w:rFonts w:cs="Arial"/>
              </w:rPr>
            </w:pPr>
            <w:r w:rsidRPr="00DB54E0">
              <w:rPr>
                <w:rFonts w:cs="Arial"/>
                <w:b/>
                <w:bCs/>
              </w:rPr>
              <w:t>Нарушения на метаболизма и храненето</w:t>
            </w:r>
          </w:p>
        </w:tc>
      </w:tr>
      <w:tr w:rsidR="00DB54E0" w14:paraId="341D9246" w14:textId="77777777" w:rsidTr="00DB54E0">
        <w:tc>
          <w:tcPr>
            <w:tcW w:w="4788" w:type="dxa"/>
          </w:tcPr>
          <w:p w14:paraId="212012BE" w14:textId="7BCE5522" w:rsidR="00DB54E0" w:rsidRPr="00DB54E0" w:rsidRDefault="00DB54E0" w:rsidP="00DB54E0">
            <w:pPr>
              <w:rPr>
                <w:rFonts w:cs="Arial"/>
              </w:rPr>
            </w:pPr>
            <w:r w:rsidRPr="00DB54E0">
              <w:rPr>
                <w:rFonts w:cs="Arial"/>
              </w:rPr>
              <w:t>Нечести</w:t>
            </w:r>
          </w:p>
        </w:tc>
        <w:tc>
          <w:tcPr>
            <w:tcW w:w="4788" w:type="dxa"/>
          </w:tcPr>
          <w:p w14:paraId="667BBD64" w14:textId="35A4E300" w:rsidR="00DB54E0" w:rsidRPr="00DB54E0" w:rsidRDefault="00DB54E0" w:rsidP="00DB54E0">
            <w:pPr>
              <w:rPr>
                <w:rFonts w:cs="Arial"/>
              </w:rPr>
            </w:pPr>
            <w:r w:rsidRPr="00DB54E0">
              <w:rPr>
                <w:rFonts w:cs="Arial"/>
              </w:rPr>
              <w:t>дехидратация</w:t>
            </w:r>
          </w:p>
        </w:tc>
      </w:tr>
      <w:tr w:rsidR="00DB54E0" w14:paraId="038F3326" w14:textId="77777777" w:rsidTr="000034C2">
        <w:tc>
          <w:tcPr>
            <w:tcW w:w="9576" w:type="dxa"/>
            <w:gridSpan w:val="2"/>
          </w:tcPr>
          <w:p w14:paraId="18189EC2" w14:textId="43E76E88" w:rsidR="00DB54E0" w:rsidRPr="00DB54E0" w:rsidRDefault="00DB54E0" w:rsidP="00DB54E0">
            <w:pPr>
              <w:rPr>
                <w:rFonts w:cs="Arial"/>
              </w:rPr>
            </w:pPr>
            <w:r w:rsidRPr="00DB54E0">
              <w:rPr>
                <w:rFonts w:cs="Arial"/>
                <w:b/>
                <w:bCs/>
              </w:rPr>
              <w:t>Нарушения на нервната система</w:t>
            </w:r>
          </w:p>
        </w:tc>
      </w:tr>
      <w:tr w:rsidR="00DB54E0" w14:paraId="2909CAD5" w14:textId="77777777" w:rsidTr="00DB54E0">
        <w:tc>
          <w:tcPr>
            <w:tcW w:w="4788" w:type="dxa"/>
          </w:tcPr>
          <w:p w14:paraId="27A9F4E6" w14:textId="0EC79205" w:rsidR="00DB54E0" w:rsidRPr="00DB54E0" w:rsidRDefault="00DB54E0" w:rsidP="00DB54E0">
            <w:pPr>
              <w:rPr>
                <w:rFonts w:cs="Arial"/>
              </w:rPr>
            </w:pPr>
            <w:r w:rsidRPr="00DB54E0">
              <w:rPr>
                <w:rFonts w:cs="Arial"/>
              </w:rPr>
              <w:t>Много редки</w:t>
            </w:r>
          </w:p>
        </w:tc>
        <w:tc>
          <w:tcPr>
            <w:tcW w:w="4788" w:type="dxa"/>
          </w:tcPr>
          <w:p w14:paraId="3E24E8F5" w14:textId="19399220" w:rsidR="00DB54E0" w:rsidRPr="00DB54E0" w:rsidRDefault="00DB54E0" w:rsidP="00DB54E0">
            <w:pPr>
              <w:rPr>
                <w:rFonts w:cs="Arial"/>
              </w:rPr>
            </w:pPr>
            <w:r w:rsidRPr="00DB54E0">
              <w:rPr>
                <w:rFonts w:cs="Arial"/>
              </w:rPr>
              <w:t>замаяност</w:t>
            </w:r>
          </w:p>
        </w:tc>
      </w:tr>
      <w:tr w:rsidR="00DB54E0" w14:paraId="4610A20D" w14:textId="77777777" w:rsidTr="00DB54E0">
        <w:tc>
          <w:tcPr>
            <w:tcW w:w="4788" w:type="dxa"/>
          </w:tcPr>
          <w:p w14:paraId="77B72052" w14:textId="50A793F7" w:rsidR="00DB54E0" w:rsidRPr="00DB54E0" w:rsidRDefault="00DB54E0" w:rsidP="00DB54E0">
            <w:pPr>
              <w:rPr>
                <w:rFonts w:cs="Arial"/>
              </w:rPr>
            </w:pPr>
            <w:r w:rsidRPr="00DB54E0">
              <w:rPr>
                <w:rFonts w:cs="Arial"/>
              </w:rPr>
              <w:t>Нечести</w:t>
            </w:r>
          </w:p>
        </w:tc>
        <w:tc>
          <w:tcPr>
            <w:tcW w:w="4788" w:type="dxa"/>
          </w:tcPr>
          <w:p w14:paraId="475FECEA" w14:textId="47E4495D" w:rsidR="00DB54E0" w:rsidRPr="00DB54E0" w:rsidRDefault="00DB54E0" w:rsidP="00DB54E0">
            <w:pPr>
              <w:rPr>
                <w:rFonts w:cs="Arial"/>
              </w:rPr>
            </w:pPr>
            <w:r w:rsidRPr="00DB54E0">
              <w:rPr>
                <w:rFonts w:cs="Arial"/>
              </w:rPr>
              <w:t>парестезия</w:t>
            </w:r>
          </w:p>
        </w:tc>
      </w:tr>
      <w:tr w:rsidR="00DB54E0" w14:paraId="14A0F8DD" w14:textId="77777777" w:rsidTr="00DB54E0">
        <w:tc>
          <w:tcPr>
            <w:tcW w:w="4788" w:type="dxa"/>
          </w:tcPr>
          <w:p w14:paraId="0725ACC9" w14:textId="1BDF5E70" w:rsidR="00DB54E0" w:rsidRPr="00DB54E0" w:rsidRDefault="00DB54E0" w:rsidP="00DB54E0">
            <w:pPr>
              <w:rPr>
                <w:rFonts w:cs="Arial"/>
              </w:rPr>
            </w:pPr>
            <w:r w:rsidRPr="00DB54E0">
              <w:rPr>
                <w:rFonts w:cs="Arial"/>
              </w:rPr>
              <w:t>С неизвестна честота</w:t>
            </w:r>
          </w:p>
        </w:tc>
        <w:tc>
          <w:tcPr>
            <w:tcW w:w="4788" w:type="dxa"/>
          </w:tcPr>
          <w:p w14:paraId="4B624940" w14:textId="6336A682" w:rsidR="00DB54E0" w:rsidRPr="00DB54E0" w:rsidRDefault="00DB54E0" w:rsidP="00DB54E0">
            <w:pPr>
              <w:rPr>
                <w:rFonts w:cs="Arial"/>
              </w:rPr>
            </w:pPr>
            <w:r w:rsidRPr="00DB54E0">
              <w:rPr>
                <w:rFonts w:cs="Arial"/>
              </w:rPr>
              <w:t>синкоп</w:t>
            </w:r>
          </w:p>
        </w:tc>
      </w:tr>
      <w:tr w:rsidR="00DB54E0" w14:paraId="609099B3" w14:textId="77777777" w:rsidTr="00C62DCB">
        <w:tc>
          <w:tcPr>
            <w:tcW w:w="9576" w:type="dxa"/>
            <w:gridSpan w:val="2"/>
          </w:tcPr>
          <w:p w14:paraId="5C3B0DE3" w14:textId="7D39F509" w:rsidR="00DB54E0" w:rsidRPr="00DB54E0" w:rsidRDefault="00DB54E0" w:rsidP="00DB54E0">
            <w:pPr>
              <w:rPr>
                <w:rFonts w:cs="Arial"/>
              </w:rPr>
            </w:pPr>
            <w:r w:rsidRPr="00DB54E0">
              <w:rPr>
                <w:rFonts w:cs="Arial"/>
                <w:b/>
                <w:bCs/>
              </w:rPr>
              <w:t>Нарушения на очите</w:t>
            </w:r>
          </w:p>
        </w:tc>
      </w:tr>
      <w:tr w:rsidR="00DB54E0" w14:paraId="7609269C" w14:textId="77777777" w:rsidTr="00DB54E0">
        <w:tc>
          <w:tcPr>
            <w:tcW w:w="4788" w:type="dxa"/>
          </w:tcPr>
          <w:p w14:paraId="266558DF" w14:textId="5CBCDF82" w:rsidR="00DB54E0" w:rsidRPr="00DB54E0" w:rsidRDefault="00DB54E0" w:rsidP="00DB54E0">
            <w:pPr>
              <w:rPr>
                <w:rFonts w:cs="Arial"/>
              </w:rPr>
            </w:pPr>
            <w:r w:rsidRPr="00DB54E0">
              <w:rPr>
                <w:rFonts w:cs="Arial"/>
              </w:rPr>
              <w:t>Нечести</w:t>
            </w:r>
          </w:p>
        </w:tc>
        <w:tc>
          <w:tcPr>
            <w:tcW w:w="4788" w:type="dxa"/>
          </w:tcPr>
          <w:p w14:paraId="190F2B9F" w14:textId="54D7622E" w:rsidR="00DB54E0" w:rsidRPr="00DB54E0" w:rsidRDefault="00DB54E0" w:rsidP="00DB54E0">
            <w:pPr>
              <w:rPr>
                <w:rFonts w:cs="Arial"/>
              </w:rPr>
            </w:pPr>
            <w:r w:rsidRPr="00DB54E0">
              <w:rPr>
                <w:rFonts w:cs="Arial"/>
              </w:rPr>
              <w:t>замъглено зрение</w:t>
            </w:r>
          </w:p>
        </w:tc>
      </w:tr>
      <w:tr w:rsidR="00DB54E0" w14:paraId="3B0213AD" w14:textId="77777777" w:rsidTr="00A04C80">
        <w:tc>
          <w:tcPr>
            <w:tcW w:w="9576" w:type="dxa"/>
            <w:gridSpan w:val="2"/>
          </w:tcPr>
          <w:p w14:paraId="2421AD4C" w14:textId="7F28FEEF" w:rsidR="00DB54E0" w:rsidRPr="00DB54E0" w:rsidRDefault="00DB54E0" w:rsidP="00DB54E0">
            <w:pPr>
              <w:rPr>
                <w:rFonts w:cs="Arial"/>
              </w:rPr>
            </w:pPr>
            <w:r w:rsidRPr="00DB54E0">
              <w:rPr>
                <w:rFonts w:cs="Arial"/>
                <w:b/>
                <w:bCs/>
              </w:rPr>
              <w:t>Нарушения на ухото и лабиринта</w:t>
            </w:r>
          </w:p>
        </w:tc>
      </w:tr>
      <w:tr w:rsidR="00DB54E0" w14:paraId="0982EC59" w14:textId="77777777" w:rsidTr="00DB54E0">
        <w:tc>
          <w:tcPr>
            <w:tcW w:w="4788" w:type="dxa"/>
          </w:tcPr>
          <w:p w14:paraId="59B9B03C" w14:textId="1FBE1677" w:rsidR="00DB54E0" w:rsidRPr="00DB54E0" w:rsidRDefault="00DB54E0" w:rsidP="00DB54E0">
            <w:pPr>
              <w:rPr>
                <w:rFonts w:cs="Arial"/>
              </w:rPr>
            </w:pPr>
            <w:r w:rsidRPr="00DB54E0">
              <w:rPr>
                <w:rFonts w:cs="Arial"/>
              </w:rPr>
              <w:lastRenderedPageBreak/>
              <w:t>Нечести</w:t>
            </w:r>
          </w:p>
        </w:tc>
        <w:tc>
          <w:tcPr>
            <w:tcW w:w="4788" w:type="dxa"/>
          </w:tcPr>
          <w:p w14:paraId="43AAC636" w14:textId="5A70874E" w:rsidR="00DB54E0" w:rsidRPr="00DB54E0" w:rsidRDefault="00DB54E0" w:rsidP="00DB54E0">
            <w:pPr>
              <w:rPr>
                <w:rFonts w:cs="Arial"/>
              </w:rPr>
            </w:pPr>
            <w:r w:rsidRPr="00DB54E0">
              <w:rPr>
                <w:rFonts w:cs="Arial"/>
              </w:rPr>
              <w:t>тинитус</w:t>
            </w:r>
          </w:p>
        </w:tc>
      </w:tr>
      <w:tr w:rsidR="00DB54E0" w14:paraId="2503E3D7" w14:textId="77777777" w:rsidTr="00E91B0A">
        <w:tc>
          <w:tcPr>
            <w:tcW w:w="9576" w:type="dxa"/>
            <w:gridSpan w:val="2"/>
          </w:tcPr>
          <w:p w14:paraId="052985EF" w14:textId="10B9C820" w:rsidR="00DB54E0" w:rsidRPr="00DB54E0" w:rsidRDefault="00DB54E0" w:rsidP="00DB54E0">
            <w:pPr>
              <w:rPr>
                <w:rFonts w:cs="Arial"/>
              </w:rPr>
            </w:pPr>
            <w:r w:rsidRPr="00DB54E0">
              <w:rPr>
                <w:rFonts w:cs="Arial"/>
                <w:b/>
                <w:bCs/>
              </w:rPr>
              <w:t>Съдови нарушения</w:t>
            </w:r>
          </w:p>
        </w:tc>
      </w:tr>
      <w:tr w:rsidR="00DB54E0" w14:paraId="78305570" w14:textId="77777777" w:rsidTr="00DB54E0">
        <w:tc>
          <w:tcPr>
            <w:tcW w:w="4788" w:type="dxa"/>
          </w:tcPr>
          <w:p w14:paraId="2148638F" w14:textId="1EC26629" w:rsidR="00DB54E0" w:rsidRPr="00DB54E0" w:rsidRDefault="00DB54E0" w:rsidP="00DB54E0">
            <w:pPr>
              <w:rPr>
                <w:rFonts w:cs="Arial"/>
              </w:rPr>
            </w:pPr>
            <w:r w:rsidRPr="00DB54E0">
              <w:rPr>
                <w:rFonts w:cs="Arial"/>
              </w:rPr>
              <w:t>Нечести</w:t>
            </w:r>
          </w:p>
        </w:tc>
        <w:tc>
          <w:tcPr>
            <w:tcW w:w="4788" w:type="dxa"/>
          </w:tcPr>
          <w:p w14:paraId="71201E1E" w14:textId="22D60086" w:rsidR="00DB54E0" w:rsidRPr="00DB54E0" w:rsidRDefault="00DB54E0" w:rsidP="00DB54E0">
            <w:pPr>
              <w:rPr>
                <w:rFonts w:cs="Arial"/>
              </w:rPr>
            </w:pPr>
            <w:r w:rsidRPr="00DB54E0">
              <w:rPr>
                <w:rFonts w:cs="Arial"/>
              </w:rPr>
              <w:t>хипотония</w:t>
            </w:r>
          </w:p>
        </w:tc>
      </w:tr>
      <w:tr w:rsidR="00DB54E0" w14:paraId="35CBBE75" w14:textId="77777777" w:rsidTr="00016B8A">
        <w:tc>
          <w:tcPr>
            <w:tcW w:w="9576" w:type="dxa"/>
            <w:gridSpan w:val="2"/>
          </w:tcPr>
          <w:p w14:paraId="57676CF4" w14:textId="62860C40" w:rsidR="00DB54E0" w:rsidRPr="00DB54E0" w:rsidRDefault="00DB54E0" w:rsidP="00DB54E0">
            <w:pPr>
              <w:rPr>
                <w:rFonts w:cs="Arial"/>
              </w:rPr>
            </w:pPr>
            <w:r w:rsidRPr="00DB54E0">
              <w:rPr>
                <w:rFonts w:cs="Arial"/>
                <w:b/>
                <w:bCs/>
              </w:rPr>
              <w:t>Респираторни, гръдни и медиастинални нарушения</w:t>
            </w:r>
          </w:p>
        </w:tc>
      </w:tr>
      <w:tr w:rsidR="00DB54E0" w14:paraId="17FCD4E4" w14:textId="77777777" w:rsidTr="00DB54E0">
        <w:tc>
          <w:tcPr>
            <w:tcW w:w="4788" w:type="dxa"/>
          </w:tcPr>
          <w:p w14:paraId="645664F8" w14:textId="2CB9EC4E" w:rsidR="00DB54E0" w:rsidRPr="00DB54E0" w:rsidRDefault="00DB54E0" w:rsidP="00DB54E0">
            <w:pPr>
              <w:rPr>
                <w:rFonts w:cs="Arial"/>
              </w:rPr>
            </w:pPr>
            <w:r w:rsidRPr="00DB54E0">
              <w:rPr>
                <w:rFonts w:cs="Arial"/>
              </w:rPr>
              <w:t>Нечести</w:t>
            </w:r>
          </w:p>
        </w:tc>
        <w:tc>
          <w:tcPr>
            <w:tcW w:w="4788" w:type="dxa"/>
          </w:tcPr>
          <w:p w14:paraId="616C6F75" w14:textId="73AB4A38" w:rsidR="00DB54E0" w:rsidRPr="00DB54E0" w:rsidRDefault="00DB54E0" w:rsidP="00DB54E0">
            <w:pPr>
              <w:rPr>
                <w:rFonts w:cs="Arial"/>
              </w:rPr>
            </w:pPr>
            <w:r w:rsidRPr="00DB54E0">
              <w:rPr>
                <w:rFonts w:cs="Arial"/>
              </w:rPr>
              <w:t>кашлица</w:t>
            </w:r>
          </w:p>
        </w:tc>
      </w:tr>
      <w:tr w:rsidR="00DB54E0" w14:paraId="3FD16BAF" w14:textId="77777777" w:rsidTr="00DB54E0">
        <w:tc>
          <w:tcPr>
            <w:tcW w:w="4788" w:type="dxa"/>
          </w:tcPr>
          <w:p w14:paraId="597FEC31" w14:textId="0D4B370A" w:rsidR="00DB54E0" w:rsidRPr="00DB54E0" w:rsidRDefault="00DB54E0" w:rsidP="00DB54E0">
            <w:pPr>
              <w:rPr>
                <w:rFonts w:cs="Arial"/>
              </w:rPr>
            </w:pPr>
            <w:r w:rsidRPr="00DB54E0">
              <w:rPr>
                <w:rFonts w:cs="Arial"/>
              </w:rPr>
              <w:t>С неизвестна честота</w:t>
            </w:r>
          </w:p>
        </w:tc>
        <w:tc>
          <w:tcPr>
            <w:tcW w:w="4788" w:type="dxa"/>
          </w:tcPr>
          <w:p w14:paraId="1B950AF0" w14:textId="198B354E" w:rsidR="00DB54E0" w:rsidRPr="00DB54E0" w:rsidRDefault="00DB54E0" w:rsidP="00DB54E0">
            <w:pPr>
              <w:rPr>
                <w:rFonts w:cs="Arial"/>
              </w:rPr>
            </w:pPr>
            <w:r w:rsidRPr="00DB54E0">
              <w:rPr>
                <w:rFonts w:cs="Arial"/>
              </w:rPr>
              <w:t>некардиогенен белодробен оток</w:t>
            </w:r>
          </w:p>
        </w:tc>
      </w:tr>
      <w:tr w:rsidR="00DB54E0" w14:paraId="16B03EDE" w14:textId="77777777" w:rsidTr="009B0565">
        <w:tc>
          <w:tcPr>
            <w:tcW w:w="9576" w:type="dxa"/>
            <w:gridSpan w:val="2"/>
          </w:tcPr>
          <w:p w14:paraId="51787F16" w14:textId="36663B45" w:rsidR="00DB54E0" w:rsidRPr="00DB54E0" w:rsidRDefault="00DB54E0" w:rsidP="00DB54E0">
            <w:pPr>
              <w:rPr>
                <w:rFonts w:cs="Arial"/>
              </w:rPr>
            </w:pPr>
            <w:r w:rsidRPr="00DB54E0">
              <w:rPr>
                <w:rFonts w:cs="Arial"/>
                <w:b/>
                <w:bCs/>
              </w:rPr>
              <w:t>Стомашно-чревни нарушения</w:t>
            </w:r>
          </w:p>
        </w:tc>
      </w:tr>
      <w:tr w:rsidR="00DB54E0" w14:paraId="4D6E64CB" w14:textId="77777777" w:rsidTr="00DB54E0">
        <w:tc>
          <w:tcPr>
            <w:tcW w:w="4788" w:type="dxa"/>
          </w:tcPr>
          <w:p w14:paraId="02689641" w14:textId="7272225C" w:rsidR="00DB54E0" w:rsidRPr="00DB54E0" w:rsidRDefault="00DB54E0" w:rsidP="00DB54E0">
            <w:pPr>
              <w:rPr>
                <w:rFonts w:cs="Arial"/>
              </w:rPr>
            </w:pPr>
            <w:r w:rsidRPr="00DB54E0">
              <w:rPr>
                <w:rFonts w:cs="Arial"/>
              </w:rPr>
              <w:t>Много редки</w:t>
            </w:r>
          </w:p>
        </w:tc>
        <w:tc>
          <w:tcPr>
            <w:tcW w:w="4788" w:type="dxa"/>
          </w:tcPr>
          <w:p w14:paraId="0158F9A8" w14:textId="1F9D159D" w:rsidR="00DB54E0" w:rsidRPr="00DB54E0" w:rsidRDefault="00DB54E0" w:rsidP="00DB54E0">
            <w:pPr>
              <w:rPr>
                <w:rFonts w:cs="Arial"/>
              </w:rPr>
            </w:pPr>
            <w:r w:rsidRPr="00DB54E0">
              <w:rPr>
                <w:rFonts w:cs="Arial"/>
              </w:rPr>
              <w:t>диария</w:t>
            </w:r>
          </w:p>
        </w:tc>
      </w:tr>
      <w:tr w:rsidR="00DB54E0" w14:paraId="74ECA021" w14:textId="77777777" w:rsidTr="000F17D8">
        <w:tc>
          <w:tcPr>
            <w:tcW w:w="9576" w:type="dxa"/>
            <w:gridSpan w:val="2"/>
          </w:tcPr>
          <w:p w14:paraId="50234A77" w14:textId="672466B7" w:rsidR="00DB54E0" w:rsidRPr="00DB54E0" w:rsidRDefault="00DB54E0" w:rsidP="00DB54E0">
            <w:pPr>
              <w:rPr>
                <w:rFonts w:cs="Arial"/>
              </w:rPr>
            </w:pPr>
            <w:r w:rsidRPr="00DB54E0">
              <w:rPr>
                <w:rFonts w:cs="Arial"/>
                <w:b/>
                <w:bCs/>
              </w:rPr>
              <w:t>Нарушения на мускулно-скелетната система и съединителната тъкан</w:t>
            </w:r>
          </w:p>
        </w:tc>
      </w:tr>
      <w:tr w:rsidR="00DB54E0" w14:paraId="70E5F993" w14:textId="77777777" w:rsidTr="00DB54E0">
        <w:tc>
          <w:tcPr>
            <w:tcW w:w="4788" w:type="dxa"/>
          </w:tcPr>
          <w:p w14:paraId="34C7F738" w14:textId="52734BF2" w:rsidR="00DB54E0" w:rsidRPr="00DB54E0" w:rsidRDefault="00DB54E0" w:rsidP="00DB54E0">
            <w:pPr>
              <w:rPr>
                <w:rFonts w:cs="Arial"/>
              </w:rPr>
            </w:pPr>
            <w:r w:rsidRPr="00DB54E0">
              <w:rPr>
                <w:rFonts w:cs="Arial"/>
              </w:rPr>
              <w:t>Нечести</w:t>
            </w:r>
          </w:p>
        </w:tc>
        <w:tc>
          <w:tcPr>
            <w:tcW w:w="4788" w:type="dxa"/>
          </w:tcPr>
          <w:p w14:paraId="7663E21A" w14:textId="2C3557CF" w:rsidR="00DB54E0" w:rsidRPr="00DB54E0" w:rsidRDefault="00DB54E0" w:rsidP="00DB54E0">
            <w:pPr>
              <w:rPr>
                <w:rFonts w:cs="Arial"/>
              </w:rPr>
            </w:pPr>
            <w:r w:rsidRPr="00DB54E0">
              <w:rPr>
                <w:rFonts w:cs="Arial"/>
              </w:rPr>
              <w:t>миалгия</w:t>
            </w:r>
          </w:p>
        </w:tc>
      </w:tr>
      <w:tr w:rsidR="00DB54E0" w14:paraId="09A13D13" w14:textId="77777777" w:rsidTr="00DB54E0">
        <w:tc>
          <w:tcPr>
            <w:tcW w:w="4788" w:type="dxa"/>
          </w:tcPr>
          <w:p w14:paraId="41A47F9A" w14:textId="15767253" w:rsidR="00DB54E0" w:rsidRPr="00DB54E0" w:rsidRDefault="00DB54E0" w:rsidP="00DB54E0">
            <w:pPr>
              <w:rPr>
                <w:rFonts w:cs="Arial"/>
              </w:rPr>
            </w:pPr>
            <w:r w:rsidRPr="00DB54E0">
              <w:rPr>
                <w:rFonts w:cs="Arial"/>
              </w:rPr>
              <w:t>Много редки</w:t>
            </w:r>
          </w:p>
        </w:tc>
        <w:tc>
          <w:tcPr>
            <w:tcW w:w="4788" w:type="dxa"/>
          </w:tcPr>
          <w:p w14:paraId="5EC012E1" w14:textId="7C0C909F" w:rsidR="00DB54E0" w:rsidRPr="00DB54E0" w:rsidRDefault="00DB54E0" w:rsidP="00DB54E0">
            <w:pPr>
              <w:rPr>
                <w:rFonts w:cs="Arial"/>
              </w:rPr>
            </w:pPr>
            <w:r w:rsidRPr="00DB54E0">
              <w:rPr>
                <w:rFonts w:cs="Arial"/>
              </w:rPr>
              <w:t>артралгия</w:t>
            </w:r>
          </w:p>
        </w:tc>
      </w:tr>
      <w:tr w:rsidR="00DB54E0" w14:paraId="511A7020" w14:textId="77777777" w:rsidTr="00052D03">
        <w:tc>
          <w:tcPr>
            <w:tcW w:w="9576" w:type="dxa"/>
            <w:gridSpan w:val="2"/>
          </w:tcPr>
          <w:p w14:paraId="5B0E5D34" w14:textId="017EF7A0" w:rsidR="00DB54E0" w:rsidRPr="00DB54E0" w:rsidRDefault="00DB54E0" w:rsidP="00DB54E0">
            <w:pPr>
              <w:rPr>
                <w:rFonts w:cs="Arial"/>
              </w:rPr>
            </w:pPr>
            <w:r w:rsidRPr="00DB54E0">
              <w:rPr>
                <w:rFonts w:cs="Arial"/>
                <w:b/>
                <w:bCs/>
              </w:rPr>
              <w:t>Нарушения на бъбреците и пикочните пътища</w:t>
            </w:r>
          </w:p>
        </w:tc>
      </w:tr>
      <w:tr w:rsidR="00DB54E0" w14:paraId="30167ED1" w14:textId="77777777" w:rsidTr="00DB54E0">
        <w:tc>
          <w:tcPr>
            <w:tcW w:w="4788" w:type="dxa"/>
          </w:tcPr>
          <w:p w14:paraId="7E4C6C77" w14:textId="0B5F2910" w:rsidR="00DB54E0" w:rsidRPr="00DB54E0" w:rsidRDefault="00DB54E0" w:rsidP="00DB54E0">
            <w:pPr>
              <w:rPr>
                <w:rFonts w:cs="Arial"/>
              </w:rPr>
            </w:pPr>
            <w:r w:rsidRPr="00DB54E0">
              <w:rPr>
                <w:rFonts w:cs="Arial"/>
              </w:rPr>
              <w:t>С неизвестна честота</w:t>
            </w:r>
          </w:p>
        </w:tc>
        <w:tc>
          <w:tcPr>
            <w:tcW w:w="4788" w:type="dxa"/>
          </w:tcPr>
          <w:p w14:paraId="54EA0033" w14:textId="5CB70F98" w:rsidR="00DB54E0" w:rsidRPr="00DB54E0" w:rsidRDefault="00DB54E0" w:rsidP="00DB54E0">
            <w:pPr>
              <w:rPr>
                <w:rFonts w:cs="Arial"/>
              </w:rPr>
            </w:pPr>
            <w:r w:rsidRPr="00DB54E0">
              <w:rPr>
                <w:rFonts w:cs="Arial"/>
              </w:rPr>
              <w:t>нарушена бъбречна функция</w:t>
            </w:r>
          </w:p>
        </w:tc>
      </w:tr>
      <w:tr w:rsidR="00DB54E0" w14:paraId="7C9B04A6" w14:textId="77777777" w:rsidTr="005C361D">
        <w:tc>
          <w:tcPr>
            <w:tcW w:w="9576" w:type="dxa"/>
            <w:gridSpan w:val="2"/>
          </w:tcPr>
          <w:p w14:paraId="6691A605" w14:textId="247ACF36" w:rsidR="00DB54E0" w:rsidRPr="00DB54E0" w:rsidRDefault="00DB54E0" w:rsidP="00DB54E0">
            <w:pPr>
              <w:rPr>
                <w:rFonts w:cs="Arial"/>
              </w:rPr>
            </w:pPr>
            <w:r w:rsidRPr="00DB54E0">
              <w:rPr>
                <w:rFonts w:cs="Arial"/>
                <w:b/>
                <w:bCs/>
              </w:rPr>
              <w:t>Общи нарушения и ефекти на мястото на приложение</w:t>
            </w:r>
          </w:p>
        </w:tc>
      </w:tr>
      <w:tr w:rsidR="00DB54E0" w14:paraId="1607203A" w14:textId="77777777" w:rsidTr="00DB54E0">
        <w:tc>
          <w:tcPr>
            <w:tcW w:w="4788" w:type="dxa"/>
          </w:tcPr>
          <w:p w14:paraId="620E57A7" w14:textId="67FE63B7" w:rsidR="00DB54E0" w:rsidRPr="00DB54E0" w:rsidRDefault="00DB54E0" w:rsidP="00DB54E0">
            <w:pPr>
              <w:rPr>
                <w:rFonts w:cs="Arial"/>
              </w:rPr>
            </w:pPr>
            <w:r w:rsidRPr="00DB54E0">
              <w:rPr>
                <w:rFonts w:cs="Arial"/>
              </w:rPr>
              <w:t>Нечести</w:t>
            </w:r>
          </w:p>
        </w:tc>
        <w:tc>
          <w:tcPr>
            <w:tcW w:w="4788" w:type="dxa"/>
          </w:tcPr>
          <w:p w14:paraId="5B458B8A" w14:textId="254461E3" w:rsidR="00DB54E0" w:rsidRPr="00DB54E0" w:rsidRDefault="00DB54E0" w:rsidP="00DB54E0">
            <w:pPr>
              <w:rPr>
                <w:rFonts w:cs="Arial"/>
              </w:rPr>
            </w:pPr>
            <w:r w:rsidRPr="00DB54E0">
              <w:rPr>
                <w:rFonts w:cs="Arial"/>
              </w:rPr>
              <w:t>Умора</w:t>
            </w:r>
          </w:p>
        </w:tc>
      </w:tr>
      <w:tr w:rsidR="00DB54E0" w14:paraId="04737ACD" w14:textId="77777777" w:rsidTr="008156AF">
        <w:tc>
          <w:tcPr>
            <w:tcW w:w="9576" w:type="dxa"/>
            <w:gridSpan w:val="2"/>
          </w:tcPr>
          <w:p w14:paraId="0CF74089" w14:textId="3F86DEF0" w:rsidR="00DB54E0" w:rsidRPr="00DB54E0" w:rsidRDefault="00DB54E0" w:rsidP="00DB54E0">
            <w:pPr>
              <w:rPr>
                <w:rFonts w:cs="Arial"/>
              </w:rPr>
            </w:pPr>
            <w:r w:rsidRPr="00DB54E0">
              <w:rPr>
                <w:rFonts w:cs="Arial"/>
                <w:b/>
                <w:bCs/>
              </w:rPr>
              <w:t>Изследвания</w:t>
            </w:r>
          </w:p>
        </w:tc>
      </w:tr>
      <w:tr w:rsidR="00DB54E0" w14:paraId="19DAFA9E" w14:textId="77777777" w:rsidTr="00DB54E0">
        <w:tc>
          <w:tcPr>
            <w:tcW w:w="4788" w:type="dxa"/>
          </w:tcPr>
          <w:p w14:paraId="5D3AB255" w14:textId="0A1616E7" w:rsidR="00DB54E0" w:rsidRPr="00DB54E0" w:rsidRDefault="00DB54E0" w:rsidP="00DB54E0">
            <w:pPr>
              <w:rPr>
                <w:rFonts w:cs="Arial"/>
              </w:rPr>
            </w:pPr>
            <w:r w:rsidRPr="00DB54E0">
              <w:rPr>
                <w:rFonts w:cs="Arial"/>
              </w:rPr>
              <w:t>С неизвестна честота</w:t>
            </w:r>
          </w:p>
        </w:tc>
        <w:tc>
          <w:tcPr>
            <w:tcW w:w="4788" w:type="dxa"/>
          </w:tcPr>
          <w:p w14:paraId="2FD858FF" w14:textId="0C796128" w:rsidR="00DB54E0" w:rsidRPr="00DB54E0" w:rsidRDefault="00DB54E0" w:rsidP="00DB54E0">
            <w:pPr>
              <w:rPr>
                <w:rFonts w:cs="Arial"/>
              </w:rPr>
            </w:pPr>
            <w:r w:rsidRPr="00DB54E0">
              <w:rPr>
                <w:rFonts w:cs="Arial"/>
              </w:rPr>
              <w:t>Повишени нива на пикочна киселина в серума, повишени серумен билирубин и креатинин, хипокалиемия, хипонатриемия, повишени нива на урея в кръвта, неутропения</w:t>
            </w:r>
          </w:p>
        </w:tc>
      </w:tr>
    </w:tbl>
    <w:p w14:paraId="2FEE0E75" w14:textId="77777777" w:rsidR="00DB54E0" w:rsidRDefault="00DB54E0" w:rsidP="00DB54E0">
      <w:pPr>
        <w:spacing w:line="240" w:lineRule="auto"/>
        <w:rPr>
          <w:rFonts w:ascii="Times New Roman" w:eastAsia="Times New Roman" w:hAnsi="Times New Roman" w:cs="Times New Roman"/>
          <w:color w:val="000000"/>
          <w:u w:val="single"/>
          <w:lang w:eastAsia="bg-BG"/>
        </w:rPr>
      </w:pPr>
    </w:p>
    <w:p w14:paraId="4B18FF0F" w14:textId="3BBF2B54" w:rsidR="00DB54E0" w:rsidRPr="00DB54E0" w:rsidRDefault="00DB54E0" w:rsidP="00DB54E0">
      <w:pPr>
        <w:spacing w:line="240" w:lineRule="auto"/>
        <w:rPr>
          <w:rFonts w:eastAsia="Times New Roman" w:cs="Arial"/>
          <w:sz w:val="24"/>
          <w:szCs w:val="24"/>
        </w:rPr>
      </w:pPr>
      <w:r w:rsidRPr="00DB54E0">
        <w:rPr>
          <w:rFonts w:eastAsia="Times New Roman" w:cs="Arial"/>
          <w:color w:val="000000"/>
          <w:u w:val="single"/>
          <w:lang w:eastAsia="bg-BG"/>
        </w:rPr>
        <w:t>Допълнителна информация за отделните съставки</w:t>
      </w:r>
    </w:p>
    <w:p w14:paraId="18FDCAC1" w14:textId="77777777" w:rsidR="00DB54E0" w:rsidRPr="00DB54E0" w:rsidRDefault="00DB54E0" w:rsidP="00DB54E0">
      <w:pPr>
        <w:spacing w:line="240" w:lineRule="auto"/>
        <w:rPr>
          <w:rFonts w:eastAsia="Times New Roman" w:cs="Arial"/>
          <w:sz w:val="24"/>
          <w:szCs w:val="24"/>
        </w:rPr>
      </w:pPr>
      <w:r w:rsidRPr="00DB54E0">
        <w:rPr>
          <w:rFonts w:eastAsia="Times New Roman" w:cs="Arial"/>
          <w:color w:val="000000"/>
          <w:lang w:eastAsia="bg-BG"/>
        </w:rPr>
        <w:t>Нежеланите реакции, съобщени за всяка от отделните съставки, могат да бъдат потенциални нежелани реакции на Сувартар Н, дори да не са наблюдавани в хода на клиничните проучвания или по време на постмаркетинговия период.</w:t>
      </w:r>
    </w:p>
    <w:p w14:paraId="33C2302E" w14:textId="77777777" w:rsidR="00DB54E0" w:rsidRPr="00DB54E0" w:rsidRDefault="00DB54E0" w:rsidP="00DB54E0">
      <w:pPr>
        <w:spacing w:line="240" w:lineRule="auto"/>
        <w:rPr>
          <w:rFonts w:eastAsia="Times New Roman" w:cs="Arial"/>
          <w:i/>
          <w:iCs/>
          <w:color w:val="000000"/>
          <w:lang w:eastAsia="bg-BG"/>
        </w:rPr>
      </w:pPr>
    </w:p>
    <w:p w14:paraId="5B57FB98" w14:textId="595BD9DF" w:rsidR="00DB54E0" w:rsidRPr="00DB54E0" w:rsidRDefault="00DB54E0" w:rsidP="00DB54E0">
      <w:pPr>
        <w:spacing w:line="240" w:lineRule="auto"/>
        <w:rPr>
          <w:rFonts w:eastAsia="Times New Roman" w:cs="Arial"/>
          <w:sz w:val="24"/>
          <w:szCs w:val="24"/>
        </w:rPr>
      </w:pPr>
      <w:r w:rsidRPr="00DB54E0">
        <w:rPr>
          <w:rFonts w:eastAsia="Times New Roman" w:cs="Arial"/>
          <w:i/>
          <w:iCs/>
          <w:color w:val="000000"/>
          <w:lang w:eastAsia="bg-BG"/>
        </w:rPr>
        <w:t>Таблица 2: Честота на нежеланите реакции при валсартан</w:t>
      </w:r>
    </w:p>
    <w:tbl>
      <w:tblPr>
        <w:tblStyle w:val="TableGrid"/>
        <w:tblW w:w="0" w:type="auto"/>
        <w:tblLook w:val="04A0" w:firstRow="1" w:lastRow="0" w:firstColumn="1" w:lastColumn="0" w:noHBand="0" w:noVBand="1"/>
      </w:tblPr>
      <w:tblGrid>
        <w:gridCol w:w="4653"/>
        <w:gridCol w:w="4697"/>
      </w:tblGrid>
      <w:tr w:rsidR="00C26715" w14:paraId="4E3D9271" w14:textId="77777777" w:rsidTr="00654D7C">
        <w:tc>
          <w:tcPr>
            <w:tcW w:w="9576" w:type="dxa"/>
            <w:gridSpan w:val="2"/>
            <w:vAlign w:val="bottom"/>
          </w:tcPr>
          <w:p w14:paraId="1DDD4F72" w14:textId="5D0A00E4" w:rsidR="00C26715" w:rsidRDefault="00C26715" w:rsidP="00C26715">
            <w:pPr>
              <w:rPr>
                <w:rFonts w:cs="Arial"/>
              </w:rPr>
            </w:pPr>
            <w:r>
              <w:rPr>
                <w:b/>
                <w:bCs/>
              </w:rPr>
              <w:t>Нарушения на кръвта и лимфната система</w:t>
            </w:r>
          </w:p>
        </w:tc>
      </w:tr>
      <w:tr w:rsidR="00C26715" w14:paraId="13D11417" w14:textId="77777777" w:rsidTr="00322901">
        <w:tc>
          <w:tcPr>
            <w:tcW w:w="4788" w:type="dxa"/>
          </w:tcPr>
          <w:p w14:paraId="2B27E493" w14:textId="6CEFD7D2" w:rsidR="00C26715" w:rsidRDefault="00C26715" w:rsidP="00C26715">
            <w:pPr>
              <w:rPr>
                <w:rFonts w:cs="Arial"/>
              </w:rPr>
            </w:pPr>
            <w:r>
              <w:t>С неизвестна честота</w:t>
            </w:r>
          </w:p>
        </w:tc>
        <w:tc>
          <w:tcPr>
            <w:tcW w:w="4788" w:type="dxa"/>
            <w:vAlign w:val="bottom"/>
          </w:tcPr>
          <w:p w14:paraId="3478A7FB" w14:textId="48378854" w:rsidR="00C26715" w:rsidRDefault="00C26715" w:rsidP="00C26715">
            <w:pPr>
              <w:rPr>
                <w:rFonts w:cs="Arial"/>
              </w:rPr>
            </w:pPr>
            <w:r>
              <w:t>Понижен химоглобин, понижен хсматокрит. неутропения, тромбоцитопения</w:t>
            </w:r>
          </w:p>
        </w:tc>
      </w:tr>
      <w:tr w:rsidR="00C26715" w14:paraId="09575002" w14:textId="77777777" w:rsidTr="00067013">
        <w:tc>
          <w:tcPr>
            <w:tcW w:w="9576" w:type="dxa"/>
            <w:gridSpan w:val="2"/>
            <w:vAlign w:val="bottom"/>
          </w:tcPr>
          <w:p w14:paraId="2C77C1EC" w14:textId="5FC27691" w:rsidR="00C26715" w:rsidRDefault="00C26715" w:rsidP="00C26715">
            <w:pPr>
              <w:rPr>
                <w:rFonts w:cs="Arial"/>
              </w:rPr>
            </w:pPr>
            <w:r>
              <w:rPr>
                <w:b/>
                <w:bCs/>
              </w:rPr>
              <w:t>Нарушения на имунната система</w:t>
            </w:r>
          </w:p>
        </w:tc>
      </w:tr>
      <w:tr w:rsidR="00C26715" w14:paraId="0EEE9E1B" w14:textId="77777777" w:rsidTr="00322901">
        <w:tc>
          <w:tcPr>
            <w:tcW w:w="4788" w:type="dxa"/>
          </w:tcPr>
          <w:p w14:paraId="75A504F6" w14:textId="63677ED6" w:rsidR="00C26715" w:rsidRDefault="00C26715" w:rsidP="00C26715">
            <w:pPr>
              <w:rPr>
                <w:rFonts w:cs="Arial"/>
              </w:rPr>
            </w:pPr>
            <w:r>
              <w:t>С неизвестна честота</w:t>
            </w:r>
          </w:p>
        </w:tc>
        <w:tc>
          <w:tcPr>
            <w:tcW w:w="4788" w:type="dxa"/>
            <w:vAlign w:val="bottom"/>
          </w:tcPr>
          <w:p w14:paraId="56BC3FF6" w14:textId="1479B2A2" w:rsidR="00C26715" w:rsidRDefault="00C26715" w:rsidP="00C26715">
            <w:pPr>
              <w:rPr>
                <w:rFonts w:cs="Arial"/>
              </w:rPr>
            </w:pPr>
            <w:r>
              <w:t>Други реакции на свръхчувствителност, включително серумна болест</w:t>
            </w:r>
          </w:p>
        </w:tc>
      </w:tr>
      <w:tr w:rsidR="00C26715" w14:paraId="4A7EF141" w14:textId="77777777" w:rsidTr="007C080C">
        <w:tc>
          <w:tcPr>
            <w:tcW w:w="9576" w:type="dxa"/>
            <w:gridSpan w:val="2"/>
            <w:vAlign w:val="bottom"/>
          </w:tcPr>
          <w:p w14:paraId="33DD43CD" w14:textId="5F3DD2C7" w:rsidR="00C26715" w:rsidRDefault="00C26715" w:rsidP="00C26715">
            <w:pPr>
              <w:rPr>
                <w:rFonts w:cs="Arial"/>
              </w:rPr>
            </w:pPr>
            <w:r>
              <w:rPr>
                <w:b/>
                <w:bCs/>
              </w:rPr>
              <w:t>Нарушения на метаболизма и храненето</w:t>
            </w:r>
          </w:p>
        </w:tc>
      </w:tr>
      <w:tr w:rsidR="00C26715" w14:paraId="5B777FA8" w14:textId="77777777" w:rsidTr="00322901">
        <w:tc>
          <w:tcPr>
            <w:tcW w:w="4788" w:type="dxa"/>
            <w:vAlign w:val="bottom"/>
          </w:tcPr>
          <w:p w14:paraId="02FA2608" w14:textId="3080C655" w:rsidR="00C26715" w:rsidRDefault="00C26715" w:rsidP="00C26715">
            <w:pPr>
              <w:rPr>
                <w:rFonts w:cs="Arial"/>
              </w:rPr>
            </w:pPr>
            <w:r>
              <w:t>С неизвестна честота</w:t>
            </w:r>
          </w:p>
        </w:tc>
        <w:tc>
          <w:tcPr>
            <w:tcW w:w="4788" w:type="dxa"/>
            <w:vAlign w:val="bottom"/>
          </w:tcPr>
          <w:p w14:paraId="5191A519" w14:textId="57457E59" w:rsidR="00C26715" w:rsidRDefault="00C26715" w:rsidP="00C26715">
            <w:pPr>
              <w:rPr>
                <w:rFonts w:cs="Arial"/>
              </w:rPr>
            </w:pPr>
            <w:r>
              <w:t>Повишен серумен калий, хипонатриемия</w:t>
            </w:r>
          </w:p>
        </w:tc>
      </w:tr>
      <w:tr w:rsidR="00C26715" w14:paraId="3B615DDD" w14:textId="77777777" w:rsidTr="00726B2D">
        <w:tc>
          <w:tcPr>
            <w:tcW w:w="9576" w:type="dxa"/>
            <w:gridSpan w:val="2"/>
            <w:vAlign w:val="bottom"/>
          </w:tcPr>
          <w:p w14:paraId="6A5AE072" w14:textId="5AB90BCC" w:rsidR="00C26715" w:rsidRDefault="00C26715" w:rsidP="00C26715">
            <w:pPr>
              <w:rPr>
                <w:rFonts w:cs="Arial"/>
              </w:rPr>
            </w:pPr>
            <w:r>
              <w:rPr>
                <w:b/>
                <w:bCs/>
              </w:rPr>
              <w:t>Нарушения на ухото и лабиринта</w:t>
            </w:r>
          </w:p>
        </w:tc>
      </w:tr>
      <w:tr w:rsidR="00C26715" w14:paraId="66B2A768" w14:textId="77777777" w:rsidTr="00322901">
        <w:tc>
          <w:tcPr>
            <w:tcW w:w="4788" w:type="dxa"/>
            <w:vAlign w:val="bottom"/>
          </w:tcPr>
          <w:p w14:paraId="215AC912" w14:textId="2E4C70A3" w:rsidR="00C26715" w:rsidRDefault="00C26715" w:rsidP="00C26715">
            <w:pPr>
              <w:rPr>
                <w:rFonts w:cs="Arial"/>
              </w:rPr>
            </w:pPr>
            <w:r>
              <w:t>Нечести</w:t>
            </w:r>
          </w:p>
        </w:tc>
        <w:tc>
          <w:tcPr>
            <w:tcW w:w="4788" w:type="dxa"/>
            <w:vAlign w:val="bottom"/>
          </w:tcPr>
          <w:p w14:paraId="32E06C97" w14:textId="4589F1F5" w:rsidR="00C26715" w:rsidRDefault="00C26715" w:rsidP="00C26715">
            <w:pPr>
              <w:rPr>
                <w:rFonts w:cs="Arial"/>
              </w:rPr>
            </w:pPr>
            <w:r>
              <w:t>Световъртеж</w:t>
            </w:r>
          </w:p>
        </w:tc>
      </w:tr>
      <w:tr w:rsidR="00C26715" w14:paraId="424BF3CA" w14:textId="77777777" w:rsidTr="00C52E82">
        <w:tc>
          <w:tcPr>
            <w:tcW w:w="9576" w:type="dxa"/>
            <w:gridSpan w:val="2"/>
            <w:vAlign w:val="bottom"/>
          </w:tcPr>
          <w:p w14:paraId="51B906F0" w14:textId="783EC113" w:rsidR="00C26715" w:rsidRDefault="00C26715" w:rsidP="00C26715">
            <w:pPr>
              <w:rPr>
                <w:rFonts w:cs="Arial"/>
              </w:rPr>
            </w:pPr>
            <w:r>
              <w:rPr>
                <w:b/>
                <w:bCs/>
                <w:i/>
                <w:iCs/>
              </w:rPr>
              <w:t>Съдови</w:t>
            </w:r>
            <w:r>
              <w:rPr>
                <w:b/>
                <w:bCs/>
              </w:rPr>
              <w:t xml:space="preserve"> нарушения</w:t>
            </w:r>
          </w:p>
        </w:tc>
      </w:tr>
      <w:tr w:rsidR="00C26715" w14:paraId="18F4B066" w14:textId="77777777" w:rsidTr="00322901">
        <w:tc>
          <w:tcPr>
            <w:tcW w:w="4788" w:type="dxa"/>
            <w:vAlign w:val="bottom"/>
          </w:tcPr>
          <w:p w14:paraId="76D4549C" w14:textId="194ABC4E" w:rsidR="00C26715" w:rsidRDefault="00C26715" w:rsidP="00C26715">
            <w:pPr>
              <w:rPr>
                <w:rFonts w:cs="Arial"/>
              </w:rPr>
            </w:pPr>
            <w:r>
              <w:t>С неизвестна честота</w:t>
            </w:r>
          </w:p>
        </w:tc>
        <w:tc>
          <w:tcPr>
            <w:tcW w:w="4788" w:type="dxa"/>
            <w:vAlign w:val="bottom"/>
          </w:tcPr>
          <w:p w14:paraId="4ABEE8C5" w14:textId="6326B115" w:rsidR="00C26715" w:rsidRDefault="00C26715" w:rsidP="00C26715">
            <w:pPr>
              <w:rPr>
                <w:rFonts w:cs="Arial"/>
              </w:rPr>
            </w:pPr>
            <w:r>
              <w:t>Васкулит</w:t>
            </w:r>
          </w:p>
        </w:tc>
      </w:tr>
      <w:tr w:rsidR="00C26715" w14:paraId="5C3B5909" w14:textId="77777777" w:rsidTr="0074584D">
        <w:tc>
          <w:tcPr>
            <w:tcW w:w="9576" w:type="dxa"/>
            <w:gridSpan w:val="2"/>
            <w:vAlign w:val="bottom"/>
          </w:tcPr>
          <w:p w14:paraId="2D1D6869" w14:textId="3B8DD638" w:rsidR="00C26715" w:rsidRDefault="00C26715" w:rsidP="00C26715">
            <w:pPr>
              <w:rPr>
                <w:rFonts w:cs="Arial"/>
              </w:rPr>
            </w:pPr>
            <w:r>
              <w:rPr>
                <w:b/>
                <w:bCs/>
              </w:rPr>
              <w:t>Респираторни, гръдни и медиастинални нарушения</w:t>
            </w:r>
          </w:p>
        </w:tc>
      </w:tr>
      <w:tr w:rsidR="00C26715" w14:paraId="71CA4436" w14:textId="77777777" w:rsidTr="00322901">
        <w:tc>
          <w:tcPr>
            <w:tcW w:w="4788" w:type="dxa"/>
            <w:vAlign w:val="bottom"/>
          </w:tcPr>
          <w:p w14:paraId="6BD3A6C0" w14:textId="4DDE2F54" w:rsidR="00C26715" w:rsidRDefault="00C26715" w:rsidP="00C26715">
            <w:pPr>
              <w:rPr>
                <w:rFonts w:cs="Arial"/>
              </w:rPr>
            </w:pPr>
            <w:r>
              <w:t>Нечести</w:t>
            </w:r>
          </w:p>
        </w:tc>
        <w:tc>
          <w:tcPr>
            <w:tcW w:w="4788" w:type="dxa"/>
            <w:vAlign w:val="bottom"/>
          </w:tcPr>
          <w:p w14:paraId="31B116F3" w14:textId="5FCA7E1C" w:rsidR="00C26715" w:rsidRDefault="00C26715" w:rsidP="00C26715">
            <w:pPr>
              <w:rPr>
                <w:rFonts w:cs="Arial"/>
              </w:rPr>
            </w:pPr>
            <w:r>
              <w:t>Кашлица</w:t>
            </w:r>
          </w:p>
        </w:tc>
      </w:tr>
      <w:tr w:rsidR="00C26715" w14:paraId="55E07BAE" w14:textId="77777777" w:rsidTr="00EC246C">
        <w:tc>
          <w:tcPr>
            <w:tcW w:w="9576" w:type="dxa"/>
            <w:gridSpan w:val="2"/>
            <w:vAlign w:val="bottom"/>
          </w:tcPr>
          <w:p w14:paraId="7A883184" w14:textId="772F7651" w:rsidR="00C26715" w:rsidRDefault="00C26715" w:rsidP="00C26715">
            <w:pPr>
              <w:rPr>
                <w:rFonts w:cs="Arial"/>
              </w:rPr>
            </w:pPr>
            <w:r>
              <w:rPr>
                <w:b/>
                <w:bCs/>
              </w:rPr>
              <w:t>Стомашно-чревни нарушения</w:t>
            </w:r>
          </w:p>
        </w:tc>
      </w:tr>
      <w:tr w:rsidR="00C26715" w14:paraId="54FB4A55" w14:textId="77777777" w:rsidTr="00322901">
        <w:tc>
          <w:tcPr>
            <w:tcW w:w="4788" w:type="dxa"/>
          </w:tcPr>
          <w:p w14:paraId="1FF59D40" w14:textId="2F73E9FA" w:rsidR="00C26715" w:rsidRDefault="00C26715" w:rsidP="00C26715">
            <w:pPr>
              <w:rPr>
                <w:rFonts w:cs="Arial"/>
              </w:rPr>
            </w:pPr>
            <w:r>
              <w:t>Нечести</w:t>
            </w:r>
          </w:p>
        </w:tc>
        <w:tc>
          <w:tcPr>
            <w:tcW w:w="4788" w:type="dxa"/>
            <w:vAlign w:val="bottom"/>
          </w:tcPr>
          <w:p w14:paraId="2C9E6E54" w14:textId="0CE3F643" w:rsidR="00C26715" w:rsidRDefault="00C26715" w:rsidP="00C26715">
            <w:pPr>
              <w:rPr>
                <w:rFonts w:cs="Arial"/>
              </w:rPr>
            </w:pPr>
            <w:r>
              <w:t>Коремна болка</w:t>
            </w:r>
          </w:p>
        </w:tc>
      </w:tr>
      <w:tr w:rsidR="00C26715" w14:paraId="3691278B" w14:textId="77777777" w:rsidTr="007F3504">
        <w:tc>
          <w:tcPr>
            <w:tcW w:w="9576" w:type="dxa"/>
            <w:gridSpan w:val="2"/>
          </w:tcPr>
          <w:p w14:paraId="33CF6637" w14:textId="1C2DDEEF" w:rsidR="00C26715" w:rsidRDefault="00C26715" w:rsidP="00C26715">
            <w:pPr>
              <w:rPr>
                <w:rFonts w:cs="Arial"/>
              </w:rPr>
            </w:pPr>
            <w:r>
              <w:rPr>
                <w:b/>
                <w:bCs/>
              </w:rPr>
              <w:t>Хепатобилиарни нарушения</w:t>
            </w:r>
          </w:p>
        </w:tc>
      </w:tr>
      <w:tr w:rsidR="00C26715" w14:paraId="1C803D5E" w14:textId="77777777" w:rsidTr="00DB54E0">
        <w:tc>
          <w:tcPr>
            <w:tcW w:w="4788" w:type="dxa"/>
          </w:tcPr>
          <w:p w14:paraId="79A6D7FC" w14:textId="6F507282" w:rsidR="00C26715" w:rsidRDefault="00C26715" w:rsidP="00C26715">
            <w:pPr>
              <w:rPr>
                <w:rFonts w:cs="Arial"/>
              </w:rPr>
            </w:pPr>
            <w:r>
              <w:t>С неизвестна честота</w:t>
            </w:r>
          </w:p>
        </w:tc>
        <w:tc>
          <w:tcPr>
            <w:tcW w:w="4788" w:type="dxa"/>
          </w:tcPr>
          <w:p w14:paraId="10B8CC3F" w14:textId="7C45CEB9" w:rsidR="00C26715" w:rsidRDefault="00C26715" w:rsidP="00C26715">
            <w:pPr>
              <w:rPr>
                <w:rFonts w:cs="Arial"/>
              </w:rPr>
            </w:pPr>
            <w:r>
              <w:t>Повишаване на показателите за чернодробна функция</w:t>
            </w:r>
          </w:p>
        </w:tc>
      </w:tr>
      <w:tr w:rsidR="00C26715" w14:paraId="7BB19D61" w14:textId="77777777" w:rsidTr="001576A7">
        <w:tc>
          <w:tcPr>
            <w:tcW w:w="9576" w:type="dxa"/>
            <w:gridSpan w:val="2"/>
          </w:tcPr>
          <w:p w14:paraId="016E3345" w14:textId="2E9547E2" w:rsidR="00C26715" w:rsidRDefault="00C26715" w:rsidP="00C26715">
            <w:pPr>
              <w:rPr>
                <w:rFonts w:cs="Arial"/>
              </w:rPr>
            </w:pPr>
            <w:r>
              <w:rPr>
                <w:b/>
                <w:bCs/>
              </w:rPr>
              <w:lastRenderedPageBreak/>
              <w:t>Нарушения на кожата и подкожната тъкан</w:t>
            </w:r>
          </w:p>
        </w:tc>
      </w:tr>
      <w:tr w:rsidR="00C26715" w14:paraId="7EBED76F" w14:textId="77777777" w:rsidTr="00DB54E0">
        <w:tc>
          <w:tcPr>
            <w:tcW w:w="4788" w:type="dxa"/>
          </w:tcPr>
          <w:p w14:paraId="67EF7EBC" w14:textId="50D29172" w:rsidR="00C26715" w:rsidRDefault="00C26715" w:rsidP="00C26715">
            <w:pPr>
              <w:rPr>
                <w:rFonts w:cs="Arial"/>
              </w:rPr>
            </w:pPr>
            <w:r>
              <w:t>С неизвестна честота</w:t>
            </w:r>
          </w:p>
        </w:tc>
        <w:tc>
          <w:tcPr>
            <w:tcW w:w="4788" w:type="dxa"/>
          </w:tcPr>
          <w:p w14:paraId="69DDD846" w14:textId="3922992F" w:rsidR="00C26715" w:rsidRDefault="00C26715" w:rsidP="00C26715">
            <w:pPr>
              <w:rPr>
                <w:rFonts w:cs="Arial"/>
              </w:rPr>
            </w:pPr>
            <w:r>
              <w:t>Ангиоедем, обрив, сърбеж</w:t>
            </w:r>
          </w:p>
        </w:tc>
      </w:tr>
      <w:tr w:rsidR="00C26715" w14:paraId="5B3535FE" w14:textId="77777777" w:rsidTr="00E13F48">
        <w:tc>
          <w:tcPr>
            <w:tcW w:w="9576" w:type="dxa"/>
            <w:gridSpan w:val="2"/>
          </w:tcPr>
          <w:p w14:paraId="2A215135" w14:textId="61FEEAF6" w:rsidR="00C26715" w:rsidRDefault="00C26715" w:rsidP="00C26715">
            <w:pPr>
              <w:rPr>
                <w:rFonts w:cs="Arial"/>
              </w:rPr>
            </w:pPr>
            <w:r>
              <w:rPr>
                <w:b/>
                <w:bCs/>
              </w:rPr>
              <w:t>Нарушения на бъбреците и пикочните пътища</w:t>
            </w:r>
          </w:p>
        </w:tc>
      </w:tr>
      <w:tr w:rsidR="00C26715" w14:paraId="31794E65" w14:textId="77777777" w:rsidTr="00DB54E0">
        <w:tc>
          <w:tcPr>
            <w:tcW w:w="4788" w:type="dxa"/>
          </w:tcPr>
          <w:p w14:paraId="23654604" w14:textId="6F954364" w:rsidR="00C26715" w:rsidRDefault="00C26715" w:rsidP="00C26715">
            <w:pPr>
              <w:rPr>
                <w:rFonts w:cs="Arial"/>
              </w:rPr>
            </w:pPr>
            <w:r>
              <w:t>С неизвестна честота</w:t>
            </w:r>
          </w:p>
        </w:tc>
        <w:tc>
          <w:tcPr>
            <w:tcW w:w="4788" w:type="dxa"/>
          </w:tcPr>
          <w:p w14:paraId="7F3BBAC7" w14:textId="4C47388E" w:rsidR="00C26715" w:rsidRDefault="00C26715" w:rsidP="00C26715">
            <w:pPr>
              <w:rPr>
                <w:rFonts w:cs="Arial"/>
              </w:rPr>
            </w:pPr>
            <w:r>
              <w:t>нарушена бъбречна функция</w:t>
            </w:r>
          </w:p>
        </w:tc>
      </w:tr>
    </w:tbl>
    <w:p w14:paraId="1B088B69" w14:textId="63D10C15" w:rsidR="00DB54E0" w:rsidRDefault="00DB54E0" w:rsidP="00DB54E0">
      <w:pPr>
        <w:rPr>
          <w:rFonts w:cs="Arial"/>
        </w:rPr>
      </w:pPr>
    </w:p>
    <w:p w14:paraId="0DF7E277" w14:textId="77777777"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lang w:eastAsia="bg-BG"/>
        </w:rPr>
        <w:t>Таблица 3: Честота на нежеланите реакции при хидрохлоротиазид</w:t>
      </w:r>
    </w:p>
    <w:p w14:paraId="297EB76B" w14:textId="77777777" w:rsidR="00C26715" w:rsidRPr="00C26715" w:rsidRDefault="00C26715" w:rsidP="00C26715">
      <w:pPr>
        <w:spacing w:line="240" w:lineRule="auto"/>
        <w:rPr>
          <w:rFonts w:eastAsia="Times New Roman" w:cs="Arial"/>
          <w:color w:val="000000"/>
          <w:lang w:eastAsia="bg-BG"/>
        </w:rPr>
      </w:pPr>
    </w:p>
    <w:p w14:paraId="79B79571" w14:textId="68789068" w:rsidR="00C26715" w:rsidRDefault="00C26715" w:rsidP="00C26715">
      <w:pPr>
        <w:spacing w:line="240" w:lineRule="auto"/>
        <w:rPr>
          <w:rFonts w:eastAsia="Times New Roman" w:cs="Arial"/>
          <w:color w:val="000000"/>
          <w:lang w:eastAsia="bg-BG"/>
        </w:rPr>
      </w:pPr>
      <w:r w:rsidRPr="00C26715">
        <w:rPr>
          <w:rFonts w:eastAsia="Times New Roman" w:cs="Arial"/>
          <w:color w:val="000000"/>
          <w:lang w:eastAsia="bg-BG"/>
        </w:rPr>
        <w:t>Хидрохлоротиазид се предписва широко от много години, често в дози, по-високи от дозата, прилагана при Сувартар Н. Следните нежелани риакции са били съобщени при пациенти, лекувани с тиазидни диуретици, включително хидрохлоротиазид, като монотерапия:</w:t>
      </w:r>
    </w:p>
    <w:tbl>
      <w:tblPr>
        <w:tblStyle w:val="TableGrid"/>
        <w:tblW w:w="0" w:type="auto"/>
        <w:tblLook w:val="04A0" w:firstRow="1" w:lastRow="0" w:firstColumn="1" w:lastColumn="0" w:noHBand="0" w:noVBand="1"/>
      </w:tblPr>
      <w:tblGrid>
        <w:gridCol w:w="4655"/>
        <w:gridCol w:w="4695"/>
      </w:tblGrid>
      <w:tr w:rsidR="00C26715" w14:paraId="59C75275" w14:textId="77777777" w:rsidTr="00990BDA">
        <w:tc>
          <w:tcPr>
            <w:tcW w:w="9576" w:type="dxa"/>
            <w:gridSpan w:val="2"/>
            <w:vAlign w:val="bottom"/>
          </w:tcPr>
          <w:p w14:paraId="5B4AA5CB" w14:textId="57880402" w:rsidR="00C26715" w:rsidRDefault="00C26715" w:rsidP="00C26715">
            <w:pPr>
              <w:spacing w:line="240" w:lineRule="auto"/>
              <w:rPr>
                <w:rFonts w:eastAsia="Times New Roman" w:cs="Arial"/>
                <w:sz w:val="24"/>
                <w:szCs w:val="24"/>
              </w:rPr>
            </w:pPr>
            <w:r>
              <w:rPr>
                <w:b/>
                <w:bCs/>
              </w:rPr>
              <w:t>Нарушения на кръвта и лимфната система</w:t>
            </w:r>
          </w:p>
        </w:tc>
      </w:tr>
      <w:tr w:rsidR="00C26715" w14:paraId="0A3D07F6" w14:textId="77777777" w:rsidTr="003B7792">
        <w:tc>
          <w:tcPr>
            <w:tcW w:w="4788" w:type="dxa"/>
            <w:vAlign w:val="bottom"/>
          </w:tcPr>
          <w:p w14:paraId="4EB33A0E" w14:textId="20C6687A" w:rsidR="00C26715" w:rsidRDefault="00C26715" w:rsidP="00C26715">
            <w:pPr>
              <w:spacing w:line="240" w:lineRule="auto"/>
              <w:rPr>
                <w:rFonts w:eastAsia="Times New Roman" w:cs="Arial"/>
                <w:sz w:val="24"/>
                <w:szCs w:val="24"/>
              </w:rPr>
            </w:pPr>
            <w:r>
              <w:t>Редки</w:t>
            </w:r>
          </w:p>
        </w:tc>
        <w:tc>
          <w:tcPr>
            <w:tcW w:w="4788" w:type="dxa"/>
            <w:vAlign w:val="bottom"/>
          </w:tcPr>
          <w:p w14:paraId="4CC705F9" w14:textId="76A2C6B7" w:rsidR="00C26715" w:rsidRDefault="00C26715" w:rsidP="00C26715">
            <w:pPr>
              <w:spacing w:line="240" w:lineRule="auto"/>
              <w:rPr>
                <w:rFonts w:eastAsia="Times New Roman" w:cs="Arial"/>
                <w:sz w:val="24"/>
                <w:szCs w:val="24"/>
              </w:rPr>
            </w:pPr>
            <w:r>
              <w:t>Тромбоцитопения. понякога с пурпура</w:t>
            </w:r>
          </w:p>
        </w:tc>
      </w:tr>
      <w:tr w:rsidR="00C26715" w14:paraId="0AB6765B" w14:textId="77777777" w:rsidTr="003B7792">
        <w:tc>
          <w:tcPr>
            <w:tcW w:w="4788" w:type="dxa"/>
          </w:tcPr>
          <w:p w14:paraId="62672E6C" w14:textId="5DAE55BC" w:rsidR="00C26715" w:rsidRDefault="00C26715" w:rsidP="00C26715">
            <w:pPr>
              <w:spacing w:line="240" w:lineRule="auto"/>
              <w:rPr>
                <w:rFonts w:eastAsia="Times New Roman" w:cs="Arial"/>
                <w:sz w:val="24"/>
                <w:szCs w:val="24"/>
              </w:rPr>
            </w:pPr>
            <w:r>
              <w:t>Много редки</w:t>
            </w:r>
          </w:p>
        </w:tc>
        <w:tc>
          <w:tcPr>
            <w:tcW w:w="4788" w:type="dxa"/>
            <w:vAlign w:val="bottom"/>
          </w:tcPr>
          <w:p w14:paraId="2B6CDF12" w14:textId="041C05DC" w:rsidR="00C26715" w:rsidRDefault="00C26715" w:rsidP="00C26715">
            <w:pPr>
              <w:spacing w:line="240" w:lineRule="auto"/>
              <w:rPr>
                <w:rFonts w:eastAsia="Times New Roman" w:cs="Arial"/>
                <w:sz w:val="24"/>
                <w:szCs w:val="24"/>
              </w:rPr>
            </w:pPr>
            <w:r>
              <w:t>Агранулоцитоза, левкопения. хемолитична анемия, нарушение на костно-мозъчната функция</w:t>
            </w:r>
          </w:p>
        </w:tc>
      </w:tr>
      <w:tr w:rsidR="00C26715" w14:paraId="17242CC6" w14:textId="77777777" w:rsidTr="003B7792">
        <w:tc>
          <w:tcPr>
            <w:tcW w:w="4788" w:type="dxa"/>
            <w:vAlign w:val="bottom"/>
          </w:tcPr>
          <w:p w14:paraId="14E7391C" w14:textId="4219865D" w:rsidR="00C26715" w:rsidRDefault="00C26715" w:rsidP="00C26715">
            <w:pPr>
              <w:spacing w:line="240" w:lineRule="auto"/>
              <w:rPr>
                <w:rFonts w:eastAsia="Times New Roman" w:cs="Arial"/>
                <w:sz w:val="24"/>
                <w:szCs w:val="24"/>
              </w:rPr>
            </w:pPr>
            <w:r>
              <w:t>С неизвестна честота</w:t>
            </w:r>
          </w:p>
        </w:tc>
        <w:tc>
          <w:tcPr>
            <w:tcW w:w="4788" w:type="dxa"/>
            <w:vAlign w:val="bottom"/>
          </w:tcPr>
          <w:p w14:paraId="0586958E" w14:textId="68447586" w:rsidR="00C26715" w:rsidRDefault="00C26715" w:rsidP="00C26715">
            <w:pPr>
              <w:spacing w:line="240" w:lineRule="auto"/>
              <w:rPr>
                <w:rFonts w:eastAsia="Times New Roman" w:cs="Arial"/>
                <w:sz w:val="24"/>
                <w:szCs w:val="24"/>
              </w:rPr>
            </w:pPr>
            <w:r>
              <w:t>Апластична анемия</w:t>
            </w:r>
          </w:p>
        </w:tc>
      </w:tr>
      <w:tr w:rsidR="00C26715" w14:paraId="40782521" w14:textId="77777777" w:rsidTr="00FF49AC">
        <w:tc>
          <w:tcPr>
            <w:tcW w:w="9576" w:type="dxa"/>
            <w:gridSpan w:val="2"/>
            <w:vAlign w:val="bottom"/>
          </w:tcPr>
          <w:p w14:paraId="792CA30D" w14:textId="066D69B0" w:rsidR="00C26715" w:rsidRDefault="00C26715" w:rsidP="00C26715">
            <w:pPr>
              <w:spacing w:line="240" w:lineRule="auto"/>
              <w:rPr>
                <w:rFonts w:eastAsia="Times New Roman" w:cs="Arial"/>
                <w:sz w:val="24"/>
                <w:szCs w:val="24"/>
              </w:rPr>
            </w:pPr>
            <w:r>
              <w:rPr>
                <w:b/>
                <w:bCs/>
              </w:rPr>
              <w:t>Нарушения на имунната система</w:t>
            </w:r>
          </w:p>
        </w:tc>
      </w:tr>
      <w:tr w:rsidR="00C26715" w14:paraId="3ED09225" w14:textId="77777777" w:rsidTr="003B7792">
        <w:tc>
          <w:tcPr>
            <w:tcW w:w="4788" w:type="dxa"/>
            <w:vAlign w:val="bottom"/>
          </w:tcPr>
          <w:p w14:paraId="5C35431F" w14:textId="10940490" w:rsidR="00C26715" w:rsidRDefault="00C26715" w:rsidP="00C26715">
            <w:pPr>
              <w:spacing w:line="240" w:lineRule="auto"/>
              <w:rPr>
                <w:rFonts w:eastAsia="Times New Roman" w:cs="Arial"/>
                <w:sz w:val="24"/>
                <w:szCs w:val="24"/>
              </w:rPr>
            </w:pPr>
            <w:r>
              <w:t>Много редки</w:t>
            </w:r>
          </w:p>
        </w:tc>
        <w:tc>
          <w:tcPr>
            <w:tcW w:w="4788" w:type="dxa"/>
            <w:vAlign w:val="bottom"/>
          </w:tcPr>
          <w:p w14:paraId="025CD7D4" w14:textId="197FCC0D" w:rsidR="00C26715" w:rsidRDefault="00C26715" w:rsidP="00C26715">
            <w:pPr>
              <w:spacing w:line="240" w:lineRule="auto"/>
              <w:rPr>
                <w:rFonts w:eastAsia="Times New Roman" w:cs="Arial"/>
                <w:sz w:val="24"/>
                <w:szCs w:val="24"/>
              </w:rPr>
            </w:pPr>
            <w:r>
              <w:t>Реакции на свръхчувствителност</w:t>
            </w:r>
          </w:p>
        </w:tc>
      </w:tr>
      <w:tr w:rsidR="00C26715" w14:paraId="446961B5" w14:textId="77777777" w:rsidTr="00DE0ADE">
        <w:tc>
          <w:tcPr>
            <w:tcW w:w="9576" w:type="dxa"/>
            <w:gridSpan w:val="2"/>
            <w:vAlign w:val="bottom"/>
          </w:tcPr>
          <w:p w14:paraId="648B05C6" w14:textId="25A05EA9" w:rsidR="00C26715" w:rsidRDefault="00C26715" w:rsidP="00C26715">
            <w:pPr>
              <w:spacing w:line="240" w:lineRule="auto"/>
              <w:rPr>
                <w:rFonts w:eastAsia="Times New Roman" w:cs="Arial"/>
                <w:sz w:val="24"/>
                <w:szCs w:val="24"/>
              </w:rPr>
            </w:pPr>
            <w:r>
              <w:rPr>
                <w:b/>
                <w:bCs/>
              </w:rPr>
              <w:t>Нарушения в метаболизма и храненето</w:t>
            </w:r>
          </w:p>
        </w:tc>
      </w:tr>
      <w:tr w:rsidR="00C26715" w14:paraId="19EA930E" w14:textId="77777777" w:rsidTr="003B7792">
        <w:tc>
          <w:tcPr>
            <w:tcW w:w="4788" w:type="dxa"/>
          </w:tcPr>
          <w:p w14:paraId="19D6425C" w14:textId="3028E2C0" w:rsidR="00C26715" w:rsidRDefault="00C26715" w:rsidP="00C26715">
            <w:pPr>
              <w:spacing w:line="240" w:lineRule="auto"/>
              <w:rPr>
                <w:rFonts w:eastAsia="Times New Roman" w:cs="Arial"/>
                <w:sz w:val="24"/>
                <w:szCs w:val="24"/>
              </w:rPr>
            </w:pPr>
            <w:r>
              <w:t>Много чести</w:t>
            </w:r>
          </w:p>
        </w:tc>
        <w:tc>
          <w:tcPr>
            <w:tcW w:w="4788" w:type="dxa"/>
            <w:vAlign w:val="bottom"/>
          </w:tcPr>
          <w:p w14:paraId="4BBC8296" w14:textId="2B8FB28C" w:rsidR="00C26715" w:rsidRDefault="00C26715" w:rsidP="00C26715">
            <w:pPr>
              <w:spacing w:line="240" w:lineRule="auto"/>
              <w:rPr>
                <w:rFonts w:eastAsia="Times New Roman" w:cs="Arial"/>
                <w:sz w:val="24"/>
                <w:szCs w:val="24"/>
              </w:rPr>
            </w:pPr>
            <w:r>
              <w:t>Хипокалиемия, повишени липиди в кръвта (главно при високи дози)</w:t>
            </w:r>
          </w:p>
        </w:tc>
      </w:tr>
      <w:tr w:rsidR="00C26715" w14:paraId="32CB2809" w14:textId="77777777" w:rsidTr="003B7792">
        <w:tc>
          <w:tcPr>
            <w:tcW w:w="4788" w:type="dxa"/>
          </w:tcPr>
          <w:p w14:paraId="57183C67" w14:textId="42C173AF" w:rsidR="00C26715" w:rsidRDefault="00C26715" w:rsidP="00C26715">
            <w:pPr>
              <w:spacing w:line="240" w:lineRule="auto"/>
              <w:rPr>
                <w:rFonts w:eastAsia="Times New Roman" w:cs="Arial"/>
                <w:sz w:val="24"/>
                <w:szCs w:val="24"/>
              </w:rPr>
            </w:pPr>
            <w:r>
              <w:t>Чести</w:t>
            </w:r>
          </w:p>
        </w:tc>
        <w:tc>
          <w:tcPr>
            <w:tcW w:w="4788" w:type="dxa"/>
            <w:vAlign w:val="bottom"/>
          </w:tcPr>
          <w:p w14:paraId="57D21DB9" w14:textId="127FDDB7" w:rsidR="00C26715" w:rsidRDefault="00C26715" w:rsidP="00C26715">
            <w:pPr>
              <w:spacing w:line="240" w:lineRule="auto"/>
              <w:rPr>
                <w:rFonts w:eastAsia="Times New Roman" w:cs="Arial"/>
                <w:sz w:val="24"/>
                <w:szCs w:val="24"/>
              </w:rPr>
            </w:pPr>
            <w:r>
              <w:t>Хипонатриемия, хипомагнезиемия, хиперурикемия</w:t>
            </w:r>
          </w:p>
        </w:tc>
      </w:tr>
      <w:tr w:rsidR="00C26715" w14:paraId="3FA44847" w14:textId="77777777" w:rsidTr="003B7792">
        <w:tc>
          <w:tcPr>
            <w:tcW w:w="4788" w:type="dxa"/>
          </w:tcPr>
          <w:p w14:paraId="36CBB557" w14:textId="4E69607D" w:rsidR="00C26715" w:rsidRDefault="00C26715" w:rsidP="00C26715">
            <w:pPr>
              <w:spacing w:line="240" w:lineRule="auto"/>
              <w:rPr>
                <w:rFonts w:eastAsia="Times New Roman" w:cs="Arial"/>
                <w:sz w:val="24"/>
                <w:szCs w:val="24"/>
              </w:rPr>
            </w:pPr>
            <w:r>
              <w:t>Редки</w:t>
            </w:r>
          </w:p>
        </w:tc>
        <w:tc>
          <w:tcPr>
            <w:tcW w:w="4788" w:type="dxa"/>
            <w:vAlign w:val="bottom"/>
          </w:tcPr>
          <w:p w14:paraId="3FF89CCD" w14:textId="3BA77F4A" w:rsidR="00C26715" w:rsidRDefault="00C26715" w:rsidP="00C26715">
            <w:pPr>
              <w:spacing w:line="240" w:lineRule="auto"/>
              <w:rPr>
                <w:rFonts w:eastAsia="Times New Roman" w:cs="Arial"/>
                <w:sz w:val="24"/>
                <w:szCs w:val="24"/>
              </w:rPr>
            </w:pPr>
            <w:r>
              <w:t>Хиперкалциемия, хипергликемия, глюкозурия, влошаване на метаболитния статус при диабет</w:t>
            </w:r>
          </w:p>
        </w:tc>
      </w:tr>
      <w:tr w:rsidR="00C26715" w14:paraId="37A69E22" w14:textId="77777777" w:rsidTr="003B7792">
        <w:tc>
          <w:tcPr>
            <w:tcW w:w="4788" w:type="dxa"/>
            <w:vAlign w:val="bottom"/>
          </w:tcPr>
          <w:p w14:paraId="1C75A389" w14:textId="23CB1898" w:rsidR="00C26715" w:rsidRDefault="00C26715" w:rsidP="00C26715">
            <w:pPr>
              <w:spacing w:line="240" w:lineRule="auto"/>
              <w:rPr>
                <w:rFonts w:eastAsia="Times New Roman" w:cs="Arial"/>
                <w:sz w:val="24"/>
                <w:szCs w:val="24"/>
              </w:rPr>
            </w:pPr>
            <w:r>
              <w:t>Много редки</w:t>
            </w:r>
          </w:p>
        </w:tc>
        <w:tc>
          <w:tcPr>
            <w:tcW w:w="4788" w:type="dxa"/>
            <w:vAlign w:val="bottom"/>
          </w:tcPr>
          <w:p w14:paraId="680F8D24" w14:textId="417B4979" w:rsidR="00C26715" w:rsidRDefault="00C26715" w:rsidP="00C26715">
            <w:pPr>
              <w:spacing w:line="240" w:lineRule="auto"/>
              <w:rPr>
                <w:rFonts w:eastAsia="Times New Roman" w:cs="Arial"/>
                <w:sz w:val="24"/>
                <w:szCs w:val="24"/>
              </w:rPr>
            </w:pPr>
            <w:r>
              <w:t>Хипохлоремична алкалоза</w:t>
            </w:r>
          </w:p>
        </w:tc>
      </w:tr>
      <w:tr w:rsidR="00C26715" w14:paraId="66D5F299" w14:textId="77777777" w:rsidTr="006148BE">
        <w:tc>
          <w:tcPr>
            <w:tcW w:w="9576" w:type="dxa"/>
            <w:gridSpan w:val="2"/>
            <w:vAlign w:val="bottom"/>
          </w:tcPr>
          <w:p w14:paraId="2DAD27A0" w14:textId="707B687B" w:rsidR="00C26715" w:rsidRDefault="00C26715" w:rsidP="00C26715">
            <w:pPr>
              <w:spacing w:line="240" w:lineRule="auto"/>
              <w:rPr>
                <w:rFonts w:eastAsia="Times New Roman" w:cs="Arial"/>
                <w:sz w:val="24"/>
                <w:szCs w:val="24"/>
              </w:rPr>
            </w:pPr>
            <w:r>
              <w:rPr>
                <w:b/>
                <w:bCs/>
              </w:rPr>
              <w:t>Психични реакции</w:t>
            </w:r>
          </w:p>
        </w:tc>
      </w:tr>
      <w:tr w:rsidR="00C26715" w14:paraId="20F17CF8" w14:textId="77777777" w:rsidTr="00B05BF2">
        <w:tc>
          <w:tcPr>
            <w:tcW w:w="4788" w:type="dxa"/>
            <w:vAlign w:val="bottom"/>
          </w:tcPr>
          <w:p w14:paraId="38C8D0BE" w14:textId="1FE493DB" w:rsidR="00C26715" w:rsidRDefault="00C26715" w:rsidP="00C26715">
            <w:pPr>
              <w:spacing w:line="240" w:lineRule="auto"/>
              <w:rPr>
                <w:rFonts w:eastAsia="Times New Roman" w:cs="Arial"/>
                <w:sz w:val="24"/>
                <w:szCs w:val="24"/>
              </w:rPr>
            </w:pPr>
            <w:r>
              <w:t>Редки</w:t>
            </w:r>
          </w:p>
        </w:tc>
        <w:tc>
          <w:tcPr>
            <w:tcW w:w="4788" w:type="dxa"/>
            <w:vAlign w:val="bottom"/>
          </w:tcPr>
          <w:p w14:paraId="0AFCD7DA" w14:textId="1F08F7A7" w:rsidR="00C26715" w:rsidRDefault="00C26715" w:rsidP="00C26715">
            <w:pPr>
              <w:spacing w:line="240" w:lineRule="auto"/>
              <w:rPr>
                <w:rFonts w:eastAsia="Times New Roman" w:cs="Arial"/>
                <w:sz w:val="24"/>
                <w:szCs w:val="24"/>
              </w:rPr>
            </w:pPr>
            <w:r>
              <w:t>Депресия, нарушения на съня</w:t>
            </w:r>
          </w:p>
        </w:tc>
      </w:tr>
      <w:tr w:rsidR="00C26715" w14:paraId="0BD4C4F6" w14:textId="77777777" w:rsidTr="00A71DF2">
        <w:tc>
          <w:tcPr>
            <w:tcW w:w="9576" w:type="dxa"/>
            <w:gridSpan w:val="2"/>
            <w:vAlign w:val="bottom"/>
          </w:tcPr>
          <w:p w14:paraId="11AF441D" w14:textId="7B1EFED8" w:rsidR="00C26715" w:rsidRDefault="00C26715" w:rsidP="00C26715">
            <w:pPr>
              <w:spacing w:line="240" w:lineRule="auto"/>
              <w:rPr>
                <w:rFonts w:eastAsia="Times New Roman" w:cs="Arial"/>
                <w:sz w:val="24"/>
                <w:szCs w:val="24"/>
              </w:rPr>
            </w:pPr>
            <w:r>
              <w:rPr>
                <w:b/>
                <w:bCs/>
              </w:rPr>
              <w:t>Нарушения на нервната система</w:t>
            </w:r>
          </w:p>
        </w:tc>
      </w:tr>
      <w:tr w:rsidR="00C26715" w14:paraId="077D011F" w14:textId="77777777" w:rsidTr="00B05BF2">
        <w:tc>
          <w:tcPr>
            <w:tcW w:w="4788" w:type="dxa"/>
            <w:vAlign w:val="bottom"/>
          </w:tcPr>
          <w:p w14:paraId="7C94BC39" w14:textId="5671A1FE" w:rsidR="00C26715" w:rsidRDefault="00C26715" w:rsidP="00C26715">
            <w:pPr>
              <w:spacing w:line="240" w:lineRule="auto"/>
              <w:rPr>
                <w:rFonts w:eastAsia="Times New Roman" w:cs="Arial"/>
                <w:sz w:val="24"/>
                <w:szCs w:val="24"/>
              </w:rPr>
            </w:pPr>
            <w:r>
              <w:t>Редки</w:t>
            </w:r>
          </w:p>
        </w:tc>
        <w:tc>
          <w:tcPr>
            <w:tcW w:w="4788" w:type="dxa"/>
            <w:vAlign w:val="bottom"/>
          </w:tcPr>
          <w:p w14:paraId="7105D303" w14:textId="60606F34" w:rsidR="00C26715" w:rsidRDefault="00C26715" w:rsidP="00C26715">
            <w:pPr>
              <w:spacing w:line="240" w:lineRule="auto"/>
              <w:rPr>
                <w:rFonts w:eastAsia="Times New Roman" w:cs="Arial"/>
                <w:sz w:val="24"/>
                <w:szCs w:val="24"/>
              </w:rPr>
            </w:pPr>
            <w:r>
              <w:t>Главоболие, замаяност, парестезия</w:t>
            </w:r>
          </w:p>
        </w:tc>
      </w:tr>
      <w:tr w:rsidR="00C26715" w14:paraId="02177CD5" w14:textId="77777777" w:rsidTr="00C66161">
        <w:tc>
          <w:tcPr>
            <w:tcW w:w="9576" w:type="dxa"/>
            <w:gridSpan w:val="2"/>
            <w:vAlign w:val="bottom"/>
          </w:tcPr>
          <w:p w14:paraId="6C04755E" w14:textId="1E4C43C6" w:rsidR="00C26715" w:rsidRDefault="00C26715" w:rsidP="00C26715">
            <w:pPr>
              <w:spacing w:line="240" w:lineRule="auto"/>
              <w:rPr>
                <w:rFonts w:eastAsia="Times New Roman" w:cs="Arial"/>
                <w:sz w:val="24"/>
                <w:szCs w:val="24"/>
              </w:rPr>
            </w:pPr>
            <w:r>
              <w:rPr>
                <w:b/>
                <w:bCs/>
              </w:rPr>
              <w:t>Нарушения на очите</w:t>
            </w:r>
          </w:p>
        </w:tc>
      </w:tr>
      <w:tr w:rsidR="00C26715" w14:paraId="24CF1979" w14:textId="77777777" w:rsidTr="00B05BF2">
        <w:tc>
          <w:tcPr>
            <w:tcW w:w="4788" w:type="dxa"/>
            <w:vAlign w:val="bottom"/>
          </w:tcPr>
          <w:p w14:paraId="5A1C9739" w14:textId="32FD97D6" w:rsidR="00C26715" w:rsidRDefault="00C26715" w:rsidP="00C26715">
            <w:pPr>
              <w:spacing w:line="240" w:lineRule="auto"/>
              <w:rPr>
                <w:rFonts w:eastAsia="Times New Roman" w:cs="Arial"/>
                <w:sz w:val="24"/>
                <w:szCs w:val="24"/>
              </w:rPr>
            </w:pPr>
            <w:r>
              <w:t>Редки</w:t>
            </w:r>
          </w:p>
        </w:tc>
        <w:tc>
          <w:tcPr>
            <w:tcW w:w="4788" w:type="dxa"/>
            <w:vAlign w:val="bottom"/>
          </w:tcPr>
          <w:p w14:paraId="15E2471E" w14:textId="45B6BD24" w:rsidR="00C26715" w:rsidRDefault="00C26715" w:rsidP="00C26715">
            <w:pPr>
              <w:spacing w:line="240" w:lineRule="auto"/>
              <w:rPr>
                <w:rFonts w:eastAsia="Times New Roman" w:cs="Arial"/>
                <w:sz w:val="24"/>
                <w:szCs w:val="24"/>
              </w:rPr>
            </w:pPr>
            <w:r>
              <w:t>Нарушение на зрителната острота</w:t>
            </w:r>
          </w:p>
        </w:tc>
      </w:tr>
      <w:tr w:rsidR="00C26715" w14:paraId="6F14AA83" w14:textId="77777777" w:rsidTr="00B05BF2">
        <w:tc>
          <w:tcPr>
            <w:tcW w:w="4788" w:type="dxa"/>
          </w:tcPr>
          <w:p w14:paraId="38110D0D" w14:textId="0E82E419" w:rsidR="00C26715" w:rsidRDefault="00C26715" w:rsidP="00C26715">
            <w:pPr>
              <w:spacing w:line="240" w:lineRule="auto"/>
              <w:rPr>
                <w:rFonts w:eastAsia="Times New Roman" w:cs="Arial"/>
                <w:sz w:val="24"/>
                <w:szCs w:val="24"/>
              </w:rPr>
            </w:pPr>
            <w:r>
              <w:t>С неизвестна честота</w:t>
            </w:r>
          </w:p>
        </w:tc>
        <w:tc>
          <w:tcPr>
            <w:tcW w:w="4788" w:type="dxa"/>
            <w:vAlign w:val="bottom"/>
          </w:tcPr>
          <w:p w14:paraId="012E7A40" w14:textId="4E755AA3" w:rsidR="00C26715" w:rsidRDefault="00C26715" w:rsidP="00C26715">
            <w:pPr>
              <w:spacing w:line="240" w:lineRule="auto"/>
              <w:rPr>
                <w:rFonts w:eastAsia="Times New Roman" w:cs="Arial"/>
                <w:sz w:val="24"/>
                <w:szCs w:val="24"/>
              </w:rPr>
            </w:pPr>
            <w:r>
              <w:t>Остра закритоъгьлна глаукома, хороидален излив</w:t>
            </w:r>
          </w:p>
        </w:tc>
      </w:tr>
      <w:tr w:rsidR="00C26715" w14:paraId="61E7ECA0" w14:textId="77777777" w:rsidTr="00133677">
        <w:tc>
          <w:tcPr>
            <w:tcW w:w="9576" w:type="dxa"/>
            <w:gridSpan w:val="2"/>
            <w:vAlign w:val="bottom"/>
          </w:tcPr>
          <w:p w14:paraId="181B1456" w14:textId="2869B254" w:rsidR="00C26715" w:rsidRDefault="00C26715" w:rsidP="00C26715">
            <w:pPr>
              <w:spacing w:line="240" w:lineRule="auto"/>
              <w:rPr>
                <w:rFonts w:eastAsia="Times New Roman" w:cs="Arial"/>
                <w:sz w:val="24"/>
                <w:szCs w:val="24"/>
              </w:rPr>
            </w:pPr>
            <w:r>
              <w:rPr>
                <w:b/>
                <w:bCs/>
              </w:rPr>
              <w:t>Сърдечни нарушения</w:t>
            </w:r>
          </w:p>
        </w:tc>
      </w:tr>
      <w:tr w:rsidR="00C26715" w14:paraId="5C7B21A7" w14:textId="77777777" w:rsidTr="00B05BF2">
        <w:tc>
          <w:tcPr>
            <w:tcW w:w="4788" w:type="dxa"/>
            <w:vAlign w:val="bottom"/>
          </w:tcPr>
          <w:p w14:paraId="196D979C" w14:textId="666860D9" w:rsidR="00C26715" w:rsidRDefault="00C26715" w:rsidP="00C26715">
            <w:pPr>
              <w:spacing w:line="240" w:lineRule="auto"/>
              <w:rPr>
                <w:rFonts w:eastAsia="Times New Roman" w:cs="Arial"/>
                <w:sz w:val="24"/>
                <w:szCs w:val="24"/>
              </w:rPr>
            </w:pPr>
            <w:r>
              <w:t>Редки</w:t>
            </w:r>
          </w:p>
        </w:tc>
        <w:tc>
          <w:tcPr>
            <w:tcW w:w="4788" w:type="dxa"/>
            <w:vAlign w:val="bottom"/>
          </w:tcPr>
          <w:p w14:paraId="1C5DFB37" w14:textId="4D584ABC" w:rsidR="00C26715" w:rsidRDefault="00C26715" w:rsidP="00C26715">
            <w:pPr>
              <w:spacing w:line="240" w:lineRule="auto"/>
              <w:rPr>
                <w:rFonts w:eastAsia="Times New Roman" w:cs="Arial"/>
                <w:sz w:val="24"/>
                <w:szCs w:val="24"/>
              </w:rPr>
            </w:pPr>
            <w:r>
              <w:t>Сърдечна аритмия</w:t>
            </w:r>
          </w:p>
        </w:tc>
      </w:tr>
      <w:tr w:rsidR="00C26715" w14:paraId="47244934" w14:textId="77777777" w:rsidTr="005D0DD3">
        <w:tc>
          <w:tcPr>
            <w:tcW w:w="9576" w:type="dxa"/>
            <w:gridSpan w:val="2"/>
            <w:vAlign w:val="bottom"/>
          </w:tcPr>
          <w:p w14:paraId="3E2907FD" w14:textId="791DC014" w:rsidR="00C26715" w:rsidRDefault="00C26715" w:rsidP="00C26715">
            <w:pPr>
              <w:spacing w:line="240" w:lineRule="auto"/>
              <w:rPr>
                <w:rFonts w:eastAsia="Times New Roman" w:cs="Arial"/>
                <w:sz w:val="24"/>
                <w:szCs w:val="24"/>
              </w:rPr>
            </w:pPr>
            <w:r>
              <w:rPr>
                <w:b/>
                <w:bCs/>
              </w:rPr>
              <w:t>Съдови нарушения</w:t>
            </w:r>
          </w:p>
        </w:tc>
      </w:tr>
      <w:tr w:rsidR="00C26715" w14:paraId="0B999659" w14:textId="77777777" w:rsidTr="00B05BF2">
        <w:tc>
          <w:tcPr>
            <w:tcW w:w="4788" w:type="dxa"/>
            <w:vAlign w:val="bottom"/>
          </w:tcPr>
          <w:p w14:paraId="561936FE" w14:textId="2EFF5652" w:rsidR="00C26715" w:rsidRDefault="00C26715" w:rsidP="00C26715">
            <w:pPr>
              <w:spacing w:line="240" w:lineRule="auto"/>
              <w:rPr>
                <w:rFonts w:eastAsia="Times New Roman" w:cs="Arial"/>
                <w:sz w:val="24"/>
                <w:szCs w:val="24"/>
              </w:rPr>
            </w:pPr>
            <w:r>
              <w:t>Чести</w:t>
            </w:r>
          </w:p>
        </w:tc>
        <w:tc>
          <w:tcPr>
            <w:tcW w:w="4788" w:type="dxa"/>
            <w:vAlign w:val="bottom"/>
          </w:tcPr>
          <w:p w14:paraId="205F85B8" w14:textId="149F459C" w:rsidR="00C26715" w:rsidRDefault="00C26715" w:rsidP="00C26715">
            <w:pPr>
              <w:spacing w:line="240" w:lineRule="auto"/>
              <w:rPr>
                <w:rFonts w:eastAsia="Times New Roman" w:cs="Arial"/>
                <w:sz w:val="24"/>
                <w:szCs w:val="24"/>
              </w:rPr>
            </w:pPr>
            <w:r>
              <w:t>Ортостатична хипотония</w:t>
            </w:r>
          </w:p>
        </w:tc>
      </w:tr>
      <w:tr w:rsidR="00C26715" w14:paraId="741B2D90" w14:textId="77777777" w:rsidTr="00346A6E">
        <w:tc>
          <w:tcPr>
            <w:tcW w:w="9576" w:type="dxa"/>
            <w:gridSpan w:val="2"/>
            <w:vAlign w:val="bottom"/>
          </w:tcPr>
          <w:p w14:paraId="3CBE85AE" w14:textId="57BCCE1F" w:rsidR="00C26715" w:rsidRDefault="00C26715" w:rsidP="00C26715">
            <w:pPr>
              <w:spacing w:line="240" w:lineRule="auto"/>
              <w:rPr>
                <w:rFonts w:eastAsia="Times New Roman" w:cs="Arial"/>
                <w:sz w:val="24"/>
                <w:szCs w:val="24"/>
              </w:rPr>
            </w:pPr>
            <w:r>
              <w:rPr>
                <w:b/>
                <w:bCs/>
              </w:rPr>
              <w:t>Респираторни, гръдни и медиастинални нарушения</w:t>
            </w:r>
          </w:p>
        </w:tc>
      </w:tr>
      <w:tr w:rsidR="00C26715" w14:paraId="4E576CFC" w14:textId="77777777" w:rsidTr="00860C4B">
        <w:tc>
          <w:tcPr>
            <w:tcW w:w="4788" w:type="dxa"/>
          </w:tcPr>
          <w:p w14:paraId="51AFE6D8" w14:textId="1E928A60" w:rsidR="00C26715" w:rsidRDefault="00C26715" w:rsidP="00C26715">
            <w:pPr>
              <w:spacing w:line="240" w:lineRule="auto"/>
              <w:rPr>
                <w:rFonts w:eastAsia="Times New Roman" w:cs="Arial"/>
                <w:sz w:val="24"/>
                <w:szCs w:val="24"/>
              </w:rPr>
            </w:pPr>
            <w:r>
              <w:t>Много редки</w:t>
            </w:r>
          </w:p>
        </w:tc>
        <w:tc>
          <w:tcPr>
            <w:tcW w:w="4788" w:type="dxa"/>
            <w:vAlign w:val="bottom"/>
          </w:tcPr>
          <w:p w14:paraId="6437DE48" w14:textId="76D350B3" w:rsidR="00C26715" w:rsidRDefault="00C26715" w:rsidP="00C26715">
            <w:pPr>
              <w:spacing w:line="240" w:lineRule="auto"/>
              <w:rPr>
                <w:rFonts w:eastAsia="Times New Roman" w:cs="Arial"/>
                <w:sz w:val="24"/>
                <w:szCs w:val="24"/>
              </w:rPr>
            </w:pPr>
            <w:r>
              <w:t>Респираторен дистрес, включително пневмонит и белодробен оток</w:t>
            </w:r>
          </w:p>
        </w:tc>
      </w:tr>
      <w:tr w:rsidR="00C26715" w14:paraId="05143447" w14:textId="77777777" w:rsidTr="00860C4B">
        <w:tc>
          <w:tcPr>
            <w:tcW w:w="4788" w:type="dxa"/>
          </w:tcPr>
          <w:p w14:paraId="0AFCF0EB" w14:textId="77777777" w:rsidR="00C26715" w:rsidRDefault="00C26715" w:rsidP="00C26715">
            <w:pPr>
              <w:spacing w:line="240" w:lineRule="auto"/>
              <w:rPr>
                <w:rFonts w:eastAsia="Times New Roman" w:cs="Arial"/>
                <w:sz w:val="24"/>
                <w:szCs w:val="24"/>
              </w:rPr>
            </w:pPr>
          </w:p>
        </w:tc>
        <w:tc>
          <w:tcPr>
            <w:tcW w:w="4788" w:type="dxa"/>
            <w:vAlign w:val="bottom"/>
          </w:tcPr>
          <w:p w14:paraId="24B31408" w14:textId="23CBDC57" w:rsidR="00C26715" w:rsidRDefault="00C26715" w:rsidP="00C26715">
            <w:pPr>
              <w:spacing w:line="240" w:lineRule="auto"/>
              <w:rPr>
                <w:rFonts w:eastAsia="Times New Roman" w:cs="Arial"/>
                <w:sz w:val="24"/>
                <w:szCs w:val="24"/>
              </w:rPr>
            </w:pPr>
            <w:r>
              <w:t xml:space="preserve">Остър респираторен дистрес синдром </w:t>
            </w:r>
            <w:r w:rsidRPr="00C26715">
              <w:rPr>
                <w:lang w:val="ru-RU"/>
              </w:rPr>
              <w:t>(</w:t>
            </w:r>
            <w:r>
              <w:rPr>
                <w:lang w:val="en-US"/>
              </w:rPr>
              <w:t>ARDS</w:t>
            </w:r>
            <w:r w:rsidRPr="00C26715">
              <w:rPr>
                <w:lang w:val="ru-RU"/>
              </w:rPr>
              <w:t xml:space="preserve">) </w:t>
            </w:r>
            <w:r>
              <w:t>(вж. точка 4.4)</w:t>
            </w:r>
          </w:p>
        </w:tc>
      </w:tr>
      <w:tr w:rsidR="00C26715" w14:paraId="6ACDFA5A" w14:textId="77777777" w:rsidTr="0037636B">
        <w:tc>
          <w:tcPr>
            <w:tcW w:w="9576" w:type="dxa"/>
            <w:gridSpan w:val="2"/>
            <w:vAlign w:val="bottom"/>
          </w:tcPr>
          <w:p w14:paraId="1B60C764" w14:textId="4F5EB536" w:rsidR="00C26715" w:rsidRDefault="00C26715" w:rsidP="00C26715">
            <w:pPr>
              <w:spacing w:line="240" w:lineRule="auto"/>
              <w:rPr>
                <w:rFonts w:eastAsia="Times New Roman" w:cs="Arial"/>
                <w:sz w:val="24"/>
                <w:szCs w:val="24"/>
              </w:rPr>
            </w:pPr>
            <w:r>
              <w:rPr>
                <w:b/>
                <w:bCs/>
              </w:rPr>
              <w:t>Стомашно-чревни нарушения</w:t>
            </w:r>
          </w:p>
        </w:tc>
      </w:tr>
      <w:tr w:rsidR="00C26715" w14:paraId="2424307C" w14:textId="77777777" w:rsidTr="00860C4B">
        <w:tc>
          <w:tcPr>
            <w:tcW w:w="4788" w:type="dxa"/>
            <w:vAlign w:val="bottom"/>
          </w:tcPr>
          <w:p w14:paraId="7B0A4348" w14:textId="06665722" w:rsidR="00C26715" w:rsidRDefault="00C26715" w:rsidP="00C26715">
            <w:pPr>
              <w:spacing w:line="240" w:lineRule="auto"/>
              <w:rPr>
                <w:rFonts w:eastAsia="Times New Roman" w:cs="Arial"/>
                <w:sz w:val="24"/>
                <w:szCs w:val="24"/>
              </w:rPr>
            </w:pPr>
            <w:r>
              <w:t>Чести</w:t>
            </w:r>
          </w:p>
        </w:tc>
        <w:tc>
          <w:tcPr>
            <w:tcW w:w="4788" w:type="dxa"/>
            <w:vAlign w:val="bottom"/>
          </w:tcPr>
          <w:p w14:paraId="53C41345" w14:textId="1F295AFE" w:rsidR="00C26715" w:rsidRDefault="00C26715" w:rsidP="00C26715">
            <w:pPr>
              <w:spacing w:line="240" w:lineRule="auto"/>
              <w:rPr>
                <w:rFonts w:eastAsia="Times New Roman" w:cs="Arial"/>
                <w:sz w:val="24"/>
                <w:szCs w:val="24"/>
              </w:rPr>
            </w:pPr>
            <w:r>
              <w:t>Липса на апетит, гадене и повръщане</w:t>
            </w:r>
          </w:p>
        </w:tc>
      </w:tr>
      <w:tr w:rsidR="00C26715" w14:paraId="0B8DB5A4" w14:textId="77777777" w:rsidTr="00860C4B">
        <w:tc>
          <w:tcPr>
            <w:tcW w:w="4788" w:type="dxa"/>
            <w:vAlign w:val="bottom"/>
          </w:tcPr>
          <w:p w14:paraId="1B64C689" w14:textId="10947920" w:rsidR="00C26715" w:rsidRDefault="00C26715" w:rsidP="00C26715">
            <w:pPr>
              <w:spacing w:line="240" w:lineRule="auto"/>
              <w:rPr>
                <w:rFonts w:eastAsia="Times New Roman" w:cs="Arial"/>
                <w:sz w:val="24"/>
                <w:szCs w:val="24"/>
              </w:rPr>
            </w:pPr>
            <w:r>
              <w:t>Редки</w:t>
            </w:r>
          </w:p>
        </w:tc>
        <w:tc>
          <w:tcPr>
            <w:tcW w:w="4788" w:type="dxa"/>
            <w:vAlign w:val="bottom"/>
          </w:tcPr>
          <w:p w14:paraId="0421462C" w14:textId="2AF7729B" w:rsidR="00C26715" w:rsidRDefault="00C26715" w:rsidP="00C26715">
            <w:pPr>
              <w:spacing w:line="240" w:lineRule="auto"/>
              <w:rPr>
                <w:rFonts w:eastAsia="Times New Roman" w:cs="Arial"/>
                <w:sz w:val="24"/>
                <w:szCs w:val="24"/>
              </w:rPr>
            </w:pPr>
            <w:r>
              <w:t>Запек, стомашно-чревен дискомфорт</w:t>
            </w:r>
          </w:p>
        </w:tc>
      </w:tr>
      <w:tr w:rsidR="00C26715" w14:paraId="04E41091" w14:textId="77777777" w:rsidTr="00860C4B">
        <w:tc>
          <w:tcPr>
            <w:tcW w:w="4788" w:type="dxa"/>
            <w:vAlign w:val="bottom"/>
          </w:tcPr>
          <w:p w14:paraId="567E1C22" w14:textId="71F45DB3" w:rsidR="00C26715" w:rsidRDefault="00C26715" w:rsidP="00C26715">
            <w:pPr>
              <w:spacing w:line="240" w:lineRule="auto"/>
              <w:rPr>
                <w:rFonts w:eastAsia="Times New Roman" w:cs="Arial"/>
                <w:sz w:val="24"/>
                <w:szCs w:val="24"/>
              </w:rPr>
            </w:pPr>
            <w:r>
              <w:t>Много редки</w:t>
            </w:r>
          </w:p>
        </w:tc>
        <w:tc>
          <w:tcPr>
            <w:tcW w:w="4788" w:type="dxa"/>
            <w:vAlign w:val="bottom"/>
          </w:tcPr>
          <w:p w14:paraId="3F0A3019" w14:textId="46BBA179" w:rsidR="00C26715" w:rsidRDefault="00C26715" w:rsidP="00C26715">
            <w:pPr>
              <w:spacing w:line="240" w:lineRule="auto"/>
              <w:rPr>
                <w:rFonts w:eastAsia="Times New Roman" w:cs="Arial"/>
                <w:sz w:val="24"/>
                <w:szCs w:val="24"/>
              </w:rPr>
            </w:pPr>
            <w:r>
              <w:t>Панкреатит</w:t>
            </w:r>
          </w:p>
        </w:tc>
      </w:tr>
      <w:tr w:rsidR="00C26715" w14:paraId="5085BCE4" w14:textId="77777777" w:rsidTr="00C0390F">
        <w:tc>
          <w:tcPr>
            <w:tcW w:w="9576" w:type="dxa"/>
            <w:gridSpan w:val="2"/>
            <w:vAlign w:val="bottom"/>
          </w:tcPr>
          <w:p w14:paraId="3B97FB05" w14:textId="343E89A2" w:rsidR="00C26715" w:rsidRDefault="00C26715" w:rsidP="00C26715">
            <w:pPr>
              <w:spacing w:line="240" w:lineRule="auto"/>
              <w:rPr>
                <w:rFonts w:eastAsia="Times New Roman" w:cs="Arial"/>
                <w:sz w:val="24"/>
                <w:szCs w:val="24"/>
              </w:rPr>
            </w:pPr>
            <w:r>
              <w:rPr>
                <w:b/>
                <w:bCs/>
              </w:rPr>
              <w:lastRenderedPageBreak/>
              <w:t>Хепатобилиарни нарушения</w:t>
            </w:r>
          </w:p>
        </w:tc>
      </w:tr>
      <w:tr w:rsidR="00C26715" w14:paraId="2A38370C" w14:textId="77777777" w:rsidTr="00860C4B">
        <w:tc>
          <w:tcPr>
            <w:tcW w:w="4788" w:type="dxa"/>
            <w:vAlign w:val="bottom"/>
          </w:tcPr>
          <w:p w14:paraId="35AC5B02" w14:textId="3FC29A6A" w:rsidR="00C26715" w:rsidRDefault="00C26715" w:rsidP="00C26715">
            <w:pPr>
              <w:spacing w:line="240" w:lineRule="auto"/>
              <w:rPr>
                <w:rFonts w:eastAsia="Times New Roman" w:cs="Arial"/>
                <w:sz w:val="24"/>
                <w:szCs w:val="24"/>
              </w:rPr>
            </w:pPr>
            <w:r>
              <w:t>Редки</w:t>
            </w:r>
          </w:p>
        </w:tc>
        <w:tc>
          <w:tcPr>
            <w:tcW w:w="4788" w:type="dxa"/>
            <w:vAlign w:val="bottom"/>
          </w:tcPr>
          <w:p w14:paraId="302C2FF2" w14:textId="27AAB8D7" w:rsidR="00C26715" w:rsidRDefault="00C26715" w:rsidP="00C26715">
            <w:pPr>
              <w:spacing w:line="240" w:lineRule="auto"/>
              <w:rPr>
                <w:rFonts w:eastAsia="Times New Roman" w:cs="Arial"/>
                <w:sz w:val="24"/>
                <w:szCs w:val="24"/>
              </w:rPr>
            </w:pPr>
            <w:r>
              <w:t>Интрахепатална холестаза или жълтеница</w:t>
            </w:r>
          </w:p>
        </w:tc>
      </w:tr>
      <w:tr w:rsidR="00C26715" w14:paraId="5F7A4867" w14:textId="77777777" w:rsidTr="00671FD3">
        <w:tc>
          <w:tcPr>
            <w:tcW w:w="9576" w:type="dxa"/>
            <w:gridSpan w:val="2"/>
            <w:vAlign w:val="bottom"/>
          </w:tcPr>
          <w:p w14:paraId="4C0B1039" w14:textId="08BC7491" w:rsidR="00C26715" w:rsidRDefault="00C26715" w:rsidP="00C26715">
            <w:pPr>
              <w:spacing w:line="240" w:lineRule="auto"/>
              <w:rPr>
                <w:rFonts w:eastAsia="Times New Roman" w:cs="Arial"/>
                <w:sz w:val="24"/>
                <w:szCs w:val="24"/>
              </w:rPr>
            </w:pPr>
            <w:r>
              <w:rPr>
                <w:b/>
                <w:bCs/>
              </w:rPr>
              <w:t>Нарушения на бъбреците и пикочните пътища</w:t>
            </w:r>
          </w:p>
        </w:tc>
      </w:tr>
      <w:tr w:rsidR="00C26715" w14:paraId="7600A837" w14:textId="77777777" w:rsidTr="00C26715">
        <w:tc>
          <w:tcPr>
            <w:tcW w:w="4788" w:type="dxa"/>
          </w:tcPr>
          <w:p w14:paraId="71386E42" w14:textId="6EB9CF3D" w:rsidR="00C26715" w:rsidRDefault="00C26715" w:rsidP="00C26715">
            <w:pPr>
              <w:spacing w:line="240" w:lineRule="auto"/>
              <w:rPr>
                <w:rFonts w:eastAsia="Times New Roman" w:cs="Arial"/>
                <w:sz w:val="24"/>
                <w:szCs w:val="24"/>
              </w:rPr>
            </w:pPr>
            <w:r>
              <w:t>С неизвестна честота</w:t>
            </w:r>
          </w:p>
        </w:tc>
        <w:tc>
          <w:tcPr>
            <w:tcW w:w="4788" w:type="dxa"/>
          </w:tcPr>
          <w:p w14:paraId="1CEAC7D3" w14:textId="69504EAC" w:rsidR="00C26715" w:rsidRDefault="00C26715" w:rsidP="00C26715">
            <w:pPr>
              <w:spacing w:line="240" w:lineRule="auto"/>
              <w:rPr>
                <w:rFonts w:eastAsia="Times New Roman" w:cs="Arial"/>
                <w:sz w:val="24"/>
                <w:szCs w:val="24"/>
              </w:rPr>
            </w:pPr>
            <w:r>
              <w:t>Нарушена функция на бъбреците, остра бъбречна недостатъчност</w:t>
            </w:r>
          </w:p>
        </w:tc>
      </w:tr>
      <w:tr w:rsidR="00C26715" w14:paraId="15493300" w14:textId="77777777" w:rsidTr="00FC1E34">
        <w:tc>
          <w:tcPr>
            <w:tcW w:w="9576" w:type="dxa"/>
            <w:gridSpan w:val="2"/>
          </w:tcPr>
          <w:p w14:paraId="11A580C1" w14:textId="6176FAE3" w:rsidR="00C26715" w:rsidRDefault="00C26715" w:rsidP="00C26715">
            <w:pPr>
              <w:spacing w:line="240" w:lineRule="auto"/>
              <w:rPr>
                <w:rFonts w:eastAsia="Times New Roman" w:cs="Arial"/>
                <w:sz w:val="24"/>
                <w:szCs w:val="24"/>
              </w:rPr>
            </w:pPr>
            <w:r>
              <w:rPr>
                <w:b/>
                <w:bCs/>
              </w:rPr>
              <w:t>Нарушения на кожата и подкожната тъкан</w:t>
            </w:r>
          </w:p>
        </w:tc>
      </w:tr>
      <w:tr w:rsidR="00C26715" w14:paraId="54F2F611" w14:textId="77777777" w:rsidTr="00C26715">
        <w:tc>
          <w:tcPr>
            <w:tcW w:w="4788" w:type="dxa"/>
          </w:tcPr>
          <w:p w14:paraId="34363408" w14:textId="61564ADF" w:rsidR="00C26715" w:rsidRDefault="00C26715" w:rsidP="00C26715">
            <w:pPr>
              <w:spacing w:line="240" w:lineRule="auto"/>
              <w:rPr>
                <w:rFonts w:eastAsia="Times New Roman" w:cs="Arial"/>
                <w:sz w:val="24"/>
                <w:szCs w:val="24"/>
              </w:rPr>
            </w:pPr>
            <w:r>
              <w:t>Чести</w:t>
            </w:r>
          </w:p>
        </w:tc>
        <w:tc>
          <w:tcPr>
            <w:tcW w:w="4788" w:type="dxa"/>
          </w:tcPr>
          <w:p w14:paraId="1E76F71E" w14:textId="46833D54" w:rsidR="00C26715" w:rsidRDefault="00C26715" w:rsidP="00C26715">
            <w:pPr>
              <w:spacing w:line="240" w:lineRule="auto"/>
              <w:rPr>
                <w:rFonts w:eastAsia="Times New Roman" w:cs="Arial"/>
                <w:sz w:val="24"/>
                <w:szCs w:val="24"/>
              </w:rPr>
            </w:pPr>
            <w:r>
              <w:t>Уртикария и други форми на обрив</w:t>
            </w:r>
          </w:p>
        </w:tc>
      </w:tr>
      <w:tr w:rsidR="00C26715" w14:paraId="6D1335FE" w14:textId="77777777" w:rsidTr="00C26715">
        <w:tc>
          <w:tcPr>
            <w:tcW w:w="4788" w:type="dxa"/>
          </w:tcPr>
          <w:p w14:paraId="07D6BE8C" w14:textId="33D4A412" w:rsidR="00C26715" w:rsidRDefault="00C26715" w:rsidP="00C26715">
            <w:pPr>
              <w:spacing w:line="240" w:lineRule="auto"/>
              <w:rPr>
                <w:rFonts w:eastAsia="Times New Roman" w:cs="Arial"/>
                <w:sz w:val="24"/>
                <w:szCs w:val="24"/>
              </w:rPr>
            </w:pPr>
            <w:r>
              <w:t>Редки</w:t>
            </w:r>
          </w:p>
        </w:tc>
        <w:tc>
          <w:tcPr>
            <w:tcW w:w="4788" w:type="dxa"/>
          </w:tcPr>
          <w:p w14:paraId="5458C891" w14:textId="7FA7173C" w:rsidR="00C26715" w:rsidRDefault="00C26715" w:rsidP="00C26715">
            <w:pPr>
              <w:spacing w:line="240" w:lineRule="auto"/>
              <w:rPr>
                <w:rFonts w:eastAsia="Times New Roman" w:cs="Arial"/>
                <w:sz w:val="24"/>
                <w:szCs w:val="24"/>
              </w:rPr>
            </w:pPr>
            <w:r>
              <w:t>Фоточувствителност</w:t>
            </w:r>
          </w:p>
        </w:tc>
      </w:tr>
      <w:tr w:rsidR="00C26715" w14:paraId="70B42868" w14:textId="77777777" w:rsidTr="00C26715">
        <w:tc>
          <w:tcPr>
            <w:tcW w:w="4788" w:type="dxa"/>
          </w:tcPr>
          <w:p w14:paraId="150B50E1" w14:textId="48334AB0" w:rsidR="00C26715" w:rsidRDefault="00C26715" w:rsidP="00C26715">
            <w:pPr>
              <w:spacing w:line="240" w:lineRule="auto"/>
              <w:rPr>
                <w:rFonts w:eastAsia="Times New Roman" w:cs="Arial"/>
                <w:sz w:val="24"/>
                <w:szCs w:val="24"/>
              </w:rPr>
            </w:pPr>
            <w:r>
              <w:t>Много редки</w:t>
            </w:r>
          </w:p>
        </w:tc>
        <w:tc>
          <w:tcPr>
            <w:tcW w:w="4788" w:type="dxa"/>
          </w:tcPr>
          <w:p w14:paraId="6E2A8819" w14:textId="72C51F5F" w:rsidR="00C26715" w:rsidRDefault="00C26715" w:rsidP="00C26715">
            <w:pPr>
              <w:spacing w:line="240" w:lineRule="auto"/>
              <w:rPr>
                <w:rFonts w:eastAsia="Times New Roman" w:cs="Arial"/>
                <w:sz w:val="24"/>
                <w:szCs w:val="24"/>
              </w:rPr>
            </w:pPr>
            <w:r>
              <w:t>Некротизиращ васкулит и токсична епидермална некролиза, кожни реакции, наподобяващи лупус еритематозус, реактивиране на кожен лупус еритематозус</w:t>
            </w:r>
          </w:p>
        </w:tc>
      </w:tr>
      <w:tr w:rsidR="00C26715" w14:paraId="23966EB9" w14:textId="77777777" w:rsidTr="00C26715">
        <w:tc>
          <w:tcPr>
            <w:tcW w:w="4788" w:type="dxa"/>
          </w:tcPr>
          <w:p w14:paraId="4A7F0B67" w14:textId="0F516CC3" w:rsidR="00C26715" w:rsidRDefault="00C26715" w:rsidP="00C26715">
            <w:pPr>
              <w:spacing w:line="240" w:lineRule="auto"/>
              <w:rPr>
                <w:rFonts w:eastAsia="Times New Roman" w:cs="Arial"/>
                <w:sz w:val="24"/>
                <w:szCs w:val="24"/>
              </w:rPr>
            </w:pPr>
            <w:r>
              <w:t>С неизвестна честота</w:t>
            </w:r>
          </w:p>
        </w:tc>
        <w:tc>
          <w:tcPr>
            <w:tcW w:w="4788" w:type="dxa"/>
          </w:tcPr>
          <w:p w14:paraId="06E53E5F" w14:textId="41C62206" w:rsidR="00C26715" w:rsidRDefault="00C26715" w:rsidP="00C26715">
            <w:pPr>
              <w:spacing w:line="240" w:lineRule="auto"/>
              <w:rPr>
                <w:rFonts w:eastAsia="Times New Roman" w:cs="Arial"/>
                <w:sz w:val="24"/>
                <w:szCs w:val="24"/>
              </w:rPr>
            </w:pPr>
            <w:r>
              <w:t>Еритема мултиформе</w:t>
            </w:r>
          </w:p>
        </w:tc>
      </w:tr>
      <w:tr w:rsidR="00C26715" w14:paraId="6FE7CDDF" w14:textId="77777777" w:rsidTr="001A7020">
        <w:tc>
          <w:tcPr>
            <w:tcW w:w="9576" w:type="dxa"/>
            <w:gridSpan w:val="2"/>
          </w:tcPr>
          <w:p w14:paraId="0C27DA21" w14:textId="4224A9D6" w:rsidR="00C26715" w:rsidRDefault="00C26715" w:rsidP="00C26715">
            <w:pPr>
              <w:spacing w:line="240" w:lineRule="auto"/>
              <w:rPr>
                <w:rFonts w:eastAsia="Times New Roman" w:cs="Arial"/>
                <w:sz w:val="24"/>
                <w:szCs w:val="24"/>
              </w:rPr>
            </w:pPr>
            <w:r>
              <w:rPr>
                <w:b/>
                <w:bCs/>
              </w:rPr>
              <w:t>Общи нарушения и ефекти на мястото на приложение</w:t>
            </w:r>
          </w:p>
        </w:tc>
      </w:tr>
      <w:tr w:rsidR="00C26715" w14:paraId="2AFC0EB7" w14:textId="77777777" w:rsidTr="00C26715">
        <w:tc>
          <w:tcPr>
            <w:tcW w:w="4788" w:type="dxa"/>
          </w:tcPr>
          <w:p w14:paraId="2AD1D275" w14:textId="408242A8" w:rsidR="00C26715" w:rsidRDefault="00C26715" w:rsidP="00C26715">
            <w:pPr>
              <w:spacing w:line="240" w:lineRule="auto"/>
              <w:rPr>
                <w:rFonts w:eastAsia="Times New Roman" w:cs="Arial"/>
                <w:sz w:val="24"/>
                <w:szCs w:val="24"/>
              </w:rPr>
            </w:pPr>
            <w:r>
              <w:t>С неизвестна честота</w:t>
            </w:r>
          </w:p>
        </w:tc>
        <w:tc>
          <w:tcPr>
            <w:tcW w:w="4788" w:type="dxa"/>
          </w:tcPr>
          <w:p w14:paraId="4E83A274" w14:textId="6043FC26" w:rsidR="00C26715" w:rsidRDefault="00C26715" w:rsidP="00C26715">
            <w:pPr>
              <w:spacing w:line="240" w:lineRule="auto"/>
              <w:rPr>
                <w:rFonts w:eastAsia="Times New Roman" w:cs="Arial"/>
                <w:sz w:val="24"/>
                <w:szCs w:val="24"/>
              </w:rPr>
            </w:pPr>
            <w:r>
              <w:t>Пирексия, астения</w:t>
            </w:r>
          </w:p>
        </w:tc>
      </w:tr>
      <w:tr w:rsidR="00C26715" w14:paraId="403C5DD6" w14:textId="77777777" w:rsidTr="003C2569">
        <w:tc>
          <w:tcPr>
            <w:tcW w:w="9576" w:type="dxa"/>
            <w:gridSpan w:val="2"/>
          </w:tcPr>
          <w:p w14:paraId="3692FE8E" w14:textId="6D8023C5" w:rsidR="00C26715" w:rsidRDefault="00C26715" w:rsidP="00C26715">
            <w:pPr>
              <w:spacing w:line="240" w:lineRule="auto"/>
              <w:rPr>
                <w:rFonts w:eastAsia="Times New Roman" w:cs="Arial"/>
                <w:sz w:val="24"/>
                <w:szCs w:val="24"/>
              </w:rPr>
            </w:pPr>
            <w:r>
              <w:rPr>
                <w:b/>
                <w:bCs/>
              </w:rPr>
              <w:t>Нарушения на мускулно-скелетната система и съединителната тъкан</w:t>
            </w:r>
          </w:p>
        </w:tc>
      </w:tr>
      <w:tr w:rsidR="00C26715" w14:paraId="7CD74EC6" w14:textId="77777777" w:rsidTr="00C26715">
        <w:tc>
          <w:tcPr>
            <w:tcW w:w="4788" w:type="dxa"/>
          </w:tcPr>
          <w:p w14:paraId="66E8A2D2" w14:textId="7DEACFD9" w:rsidR="00C26715" w:rsidRDefault="00C26715" w:rsidP="00C26715">
            <w:pPr>
              <w:spacing w:line="240" w:lineRule="auto"/>
              <w:rPr>
                <w:rFonts w:eastAsia="Times New Roman" w:cs="Arial"/>
                <w:sz w:val="24"/>
                <w:szCs w:val="24"/>
              </w:rPr>
            </w:pPr>
            <w:r>
              <w:t>С неизвестна честота</w:t>
            </w:r>
          </w:p>
        </w:tc>
        <w:tc>
          <w:tcPr>
            <w:tcW w:w="4788" w:type="dxa"/>
          </w:tcPr>
          <w:p w14:paraId="05BB4874" w14:textId="3434BB2F" w:rsidR="00C26715" w:rsidRDefault="00C26715" w:rsidP="00C26715">
            <w:pPr>
              <w:spacing w:line="240" w:lineRule="auto"/>
              <w:rPr>
                <w:rFonts w:eastAsia="Times New Roman" w:cs="Arial"/>
                <w:sz w:val="24"/>
                <w:szCs w:val="24"/>
              </w:rPr>
            </w:pPr>
            <w:r>
              <w:t>Мускулни спазми</w:t>
            </w:r>
          </w:p>
        </w:tc>
      </w:tr>
      <w:tr w:rsidR="00C26715" w14:paraId="13057E11" w14:textId="77777777" w:rsidTr="00397202">
        <w:tc>
          <w:tcPr>
            <w:tcW w:w="9576" w:type="dxa"/>
            <w:gridSpan w:val="2"/>
          </w:tcPr>
          <w:p w14:paraId="77304CF6" w14:textId="15751B49" w:rsidR="00C26715" w:rsidRDefault="00C26715" w:rsidP="00C26715">
            <w:pPr>
              <w:spacing w:line="240" w:lineRule="auto"/>
              <w:rPr>
                <w:rFonts w:eastAsia="Times New Roman" w:cs="Arial"/>
                <w:sz w:val="24"/>
                <w:szCs w:val="24"/>
              </w:rPr>
            </w:pPr>
            <w:r>
              <w:rPr>
                <w:b/>
                <w:bCs/>
              </w:rPr>
              <w:t>Нарушения на репродуктивната система и гърдата</w:t>
            </w:r>
          </w:p>
        </w:tc>
      </w:tr>
      <w:tr w:rsidR="00C26715" w14:paraId="3BC1E182" w14:textId="77777777" w:rsidTr="00C26715">
        <w:tc>
          <w:tcPr>
            <w:tcW w:w="4788" w:type="dxa"/>
          </w:tcPr>
          <w:p w14:paraId="54C22006" w14:textId="525EF038" w:rsidR="00C26715" w:rsidRDefault="00C26715" w:rsidP="00C26715">
            <w:pPr>
              <w:spacing w:line="240" w:lineRule="auto"/>
              <w:rPr>
                <w:rFonts w:eastAsia="Times New Roman" w:cs="Arial"/>
                <w:sz w:val="24"/>
                <w:szCs w:val="24"/>
              </w:rPr>
            </w:pPr>
            <w:r>
              <w:t>Чести</w:t>
            </w:r>
          </w:p>
        </w:tc>
        <w:tc>
          <w:tcPr>
            <w:tcW w:w="4788" w:type="dxa"/>
          </w:tcPr>
          <w:p w14:paraId="36537BD1" w14:textId="1F326E2F" w:rsidR="00C26715" w:rsidRDefault="00C26715" w:rsidP="00C26715">
            <w:pPr>
              <w:spacing w:line="240" w:lineRule="auto"/>
              <w:rPr>
                <w:rFonts w:eastAsia="Times New Roman" w:cs="Arial"/>
                <w:sz w:val="24"/>
                <w:szCs w:val="24"/>
              </w:rPr>
            </w:pPr>
            <w:r>
              <w:t>Импотентност</w:t>
            </w:r>
          </w:p>
        </w:tc>
      </w:tr>
      <w:tr w:rsidR="00C26715" w14:paraId="1C3FD3AE" w14:textId="77777777" w:rsidTr="00006E22">
        <w:tc>
          <w:tcPr>
            <w:tcW w:w="9576" w:type="dxa"/>
            <w:gridSpan w:val="2"/>
          </w:tcPr>
          <w:p w14:paraId="30893EED" w14:textId="4ED9132A" w:rsidR="00C26715" w:rsidRDefault="00C26715" w:rsidP="00C26715">
            <w:pPr>
              <w:spacing w:line="240" w:lineRule="auto"/>
              <w:rPr>
                <w:rFonts w:eastAsia="Times New Roman" w:cs="Arial"/>
                <w:sz w:val="24"/>
                <w:szCs w:val="24"/>
              </w:rPr>
            </w:pPr>
            <w:r>
              <w:rPr>
                <w:b/>
                <w:bCs/>
              </w:rPr>
              <w:t>Неоплазми -доброкачествени, злокачествени  и неопределени (вкл. кисти и полипи)</w:t>
            </w:r>
          </w:p>
        </w:tc>
      </w:tr>
      <w:tr w:rsidR="00C26715" w14:paraId="20A0334A" w14:textId="77777777" w:rsidTr="00C26715">
        <w:tc>
          <w:tcPr>
            <w:tcW w:w="4788" w:type="dxa"/>
          </w:tcPr>
          <w:p w14:paraId="57A87BEC" w14:textId="2FD6C2C7" w:rsidR="00C26715" w:rsidRDefault="00C26715" w:rsidP="00C26715">
            <w:pPr>
              <w:spacing w:line="240" w:lineRule="auto"/>
              <w:rPr>
                <w:rFonts w:eastAsia="Times New Roman" w:cs="Arial"/>
                <w:sz w:val="24"/>
                <w:szCs w:val="24"/>
              </w:rPr>
            </w:pPr>
            <w:r>
              <w:t>С неизвестна честота</w:t>
            </w:r>
          </w:p>
        </w:tc>
        <w:tc>
          <w:tcPr>
            <w:tcW w:w="4788" w:type="dxa"/>
          </w:tcPr>
          <w:p w14:paraId="75A6F209" w14:textId="5CFB1A97" w:rsidR="00C26715" w:rsidRDefault="00C26715" w:rsidP="00C26715">
            <w:pPr>
              <w:spacing w:line="240" w:lineRule="auto"/>
              <w:rPr>
                <w:rFonts w:eastAsia="Times New Roman" w:cs="Arial"/>
                <w:sz w:val="24"/>
                <w:szCs w:val="24"/>
              </w:rPr>
            </w:pPr>
            <w:r>
              <w:t>Немеланомен рак на кожата (базалноклетъчен карцином и сквамозноклетъчен карцином)*</w:t>
            </w:r>
          </w:p>
        </w:tc>
      </w:tr>
    </w:tbl>
    <w:p w14:paraId="547E6B50"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415CC5FA" w14:textId="77777777" w:rsidR="00C26715" w:rsidRPr="00C26715" w:rsidRDefault="00C26715" w:rsidP="00C26715">
      <w:pPr>
        <w:spacing w:line="240" w:lineRule="auto"/>
        <w:rPr>
          <w:rFonts w:eastAsia="Times New Roman" w:cs="Arial"/>
          <w:color w:val="000000"/>
          <w:u w:val="single"/>
          <w:lang w:eastAsia="bg-BG"/>
        </w:rPr>
      </w:pPr>
    </w:p>
    <w:p w14:paraId="10E7B7B4" w14:textId="3E00D79F" w:rsidR="00C26715" w:rsidRPr="00C26715" w:rsidRDefault="00C26715" w:rsidP="00C26715">
      <w:pPr>
        <w:spacing w:line="240" w:lineRule="auto"/>
        <w:rPr>
          <w:rFonts w:eastAsia="Times New Roman" w:cs="Arial"/>
        </w:rPr>
      </w:pPr>
      <w:r w:rsidRPr="00C26715">
        <w:rPr>
          <w:rFonts w:eastAsia="Times New Roman" w:cs="Arial"/>
          <w:color w:val="000000"/>
          <w:u w:val="single"/>
          <w:lang w:eastAsia="bg-BG"/>
        </w:rPr>
        <w:t>Съобщаване на подозирани нежелани реакции</w:t>
      </w:r>
    </w:p>
    <w:p w14:paraId="7448D7D2" w14:textId="247F2D7D"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C26715">
        <w:rPr>
          <w:rFonts w:eastAsia="Times New Roman" w:cs="Arial"/>
        </w:rPr>
        <w:fldChar w:fldCharType="begin"/>
      </w:r>
      <w:r w:rsidRPr="00C26715">
        <w:rPr>
          <w:rFonts w:eastAsia="Times New Roman" w:cs="Arial"/>
        </w:rPr>
        <w:instrText xml:space="preserve"> HYPERLINK "http://www.bda.bg" </w:instrText>
      </w:r>
      <w:r w:rsidRPr="00C26715">
        <w:rPr>
          <w:rFonts w:eastAsia="Times New Roman" w:cs="Arial"/>
        </w:rPr>
      </w:r>
      <w:r w:rsidRPr="00C26715">
        <w:rPr>
          <w:rFonts w:eastAsia="Times New Roman" w:cs="Arial"/>
        </w:rPr>
        <w:fldChar w:fldCharType="separate"/>
      </w:r>
      <w:r w:rsidRPr="00C26715">
        <w:rPr>
          <w:rFonts w:eastAsia="Times New Roman" w:cs="Arial"/>
          <w:color w:val="000000"/>
          <w:u w:val="single"/>
          <w:lang w:val="en-US"/>
        </w:rPr>
        <w:t>www.bda.bg</w:t>
      </w:r>
      <w:r w:rsidRPr="00C26715">
        <w:rPr>
          <w:rFonts w:eastAsia="Times New Roman" w:cs="Arial"/>
        </w:rPr>
        <w:fldChar w:fldCharType="end"/>
      </w:r>
      <w:r w:rsidRPr="00C26715">
        <w:rPr>
          <w:rFonts w:eastAsia="Times New Roman" w:cs="Arial"/>
          <w:color w:val="000000"/>
          <w:lang w:val="en-US"/>
        </w:rPr>
        <w:t>.</w:t>
      </w:r>
    </w:p>
    <w:p w14:paraId="65C978FD" w14:textId="77777777" w:rsidR="00C26715" w:rsidRPr="00DB54E0" w:rsidRDefault="00C26715" w:rsidP="00DB54E0">
      <w:pPr>
        <w:rPr>
          <w:rFonts w:cs="Arial"/>
        </w:rPr>
      </w:pPr>
    </w:p>
    <w:p w14:paraId="5A87DBA3" w14:textId="10439DDA" w:rsidR="007122AD" w:rsidRDefault="002C50EE" w:rsidP="00936AD0">
      <w:pPr>
        <w:pStyle w:val="Heading2"/>
      </w:pPr>
      <w:r>
        <w:t>4.9. Предозиране</w:t>
      </w:r>
    </w:p>
    <w:p w14:paraId="0D0B79E2" w14:textId="0C4F83BC" w:rsidR="00C26715" w:rsidRDefault="00C26715" w:rsidP="00C26715"/>
    <w:p w14:paraId="13112651" w14:textId="77777777" w:rsidR="00C26715" w:rsidRPr="00C26715" w:rsidRDefault="00C26715" w:rsidP="00C26715">
      <w:pPr>
        <w:pStyle w:val="Heading3"/>
        <w:rPr>
          <w:rFonts w:eastAsia="Times New Roman"/>
          <w:u w:val="single"/>
        </w:rPr>
      </w:pPr>
      <w:r w:rsidRPr="00C26715">
        <w:rPr>
          <w:rFonts w:eastAsia="Times New Roman"/>
          <w:u w:val="single"/>
          <w:lang w:eastAsia="bg-BG"/>
        </w:rPr>
        <w:t>Симптоми</w:t>
      </w:r>
    </w:p>
    <w:p w14:paraId="13F7A61A"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 В допълнение, при предозиране с хидрохлоротиазидната съставка могат да възникнат следните признаци и симптоми: гадене, сънливост, хиповолемия и електролитен дисбаланс, свързан със сърдечни аритмии и мускулни спазми.</w:t>
      </w:r>
    </w:p>
    <w:p w14:paraId="464CD547" w14:textId="77777777" w:rsidR="00C26715" w:rsidRPr="00C26715" w:rsidRDefault="00C26715" w:rsidP="00C26715">
      <w:pPr>
        <w:spacing w:line="240" w:lineRule="auto"/>
        <w:rPr>
          <w:rFonts w:eastAsia="Times New Roman" w:cs="Arial"/>
          <w:color w:val="000000"/>
          <w:u w:val="single"/>
          <w:lang w:eastAsia="bg-BG"/>
        </w:rPr>
      </w:pPr>
    </w:p>
    <w:p w14:paraId="1EAC0186" w14:textId="791F715C" w:rsidR="00C26715" w:rsidRPr="00C26715" w:rsidRDefault="00C26715" w:rsidP="00C26715">
      <w:pPr>
        <w:pStyle w:val="Heading3"/>
        <w:rPr>
          <w:rFonts w:eastAsia="Times New Roman"/>
          <w:u w:val="single"/>
        </w:rPr>
      </w:pPr>
      <w:r w:rsidRPr="00C26715">
        <w:rPr>
          <w:rFonts w:eastAsia="Times New Roman"/>
          <w:u w:val="single"/>
          <w:lang w:eastAsia="bg-BG"/>
        </w:rPr>
        <w:t>Лечение</w:t>
      </w:r>
    </w:p>
    <w:p w14:paraId="47C32F7F"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w:t>
      </w:r>
    </w:p>
    <w:p w14:paraId="2601EF5C"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lastRenderedPageBreak/>
        <w:t>В случай на хипотония пациентът трябва да бъде поставен в легнало положение и бързо да се предприеме заместване с обемозаместващи и солеви разтвори.</w:t>
      </w:r>
    </w:p>
    <w:p w14:paraId="617D725A" w14:textId="33485631" w:rsidR="00C26715" w:rsidRPr="00C26715" w:rsidRDefault="00C26715" w:rsidP="00C26715">
      <w:pPr>
        <w:rPr>
          <w:rFonts w:cs="Arial"/>
        </w:rPr>
      </w:pPr>
      <w:r w:rsidRPr="00C26715">
        <w:rPr>
          <w:rFonts w:eastAsia="Times New Roman" w:cs="Arial"/>
          <w:color w:val="000000"/>
          <w:lang w:eastAsia="bg-BG"/>
        </w:rPr>
        <w:t>Малко вероятно е валсартан да бъде отстранен чрез хемодиализа поради стабилното му свързване с плазмените протеини, от друга страна с диализа може да се постигне клирънс на хидрохлоротиазид.</w:t>
      </w:r>
    </w:p>
    <w:p w14:paraId="02081B24" w14:textId="36FE76F4" w:rsidR="00395555" w:rsidRPr="00395555" w:rsidRDefault="002C50EE" w:rsidP="008A6AF2">
      <w:pPr>
        <w:pStyle w:val="Heading1"/>
      </w:pPr>
      <w:r>
        <w:t>5. ФАРМАКОЛОГИЧНИ СВОЙСТВА</w:t>
      </w:r>
    </w:p>
    <w:p w14:paraId="6339E404" w14:textId="562332F7" w:rsidR="00875EEC" w:rsidRDefault="002C50EE" w:rsidP="005726E3">
      <w:pPr>
        <w:pStyle w:val="Heading2"/>
      </w:pPr>
      <w:r>
        <w:t>5.1. Фармакодинамични свойства</w:t>
      </w:r>
    </w:p>
    <w:p w14:paraId="1F6712E3" w14:textId="504C4A2F" w:rsidR="00C26715" w:rsidRDefault="00C26715" w:rsidP="00C26715"/>
    <w:p w14:paraId="6D8AED28" w14:textId="04C6EAD1" w:rsidR="00C26715" w:rsidRPr="00C26715" w:rsidRDefault="00C26715" w:rsidP="00C26715">
      <w:pPr>
        <w:spacing w:line="240" w:lineRule="auto"/>
        <w:rPr>
          <w:rFonts w:eastAsia="Times New Roman" w:cs="Arial"/>
        </w:rPr>
      </w:pPr>
      <w:r w:rsidRPr="00C26715">
        <w:rPr>
          <w:rFonts w:eastAsia="Times New Roman" w:cs="Arial"/>
          <w:color w:val="000000"/>
          <w:lang w:eastAsia="bg-BG"/>
        </w:rPr>
        <w:t>Фармакотерапевтична група: ангиотензин II рецепторни антагонисти и диуретици, валсартан и</w:t>
      </w:r>
      <w:r w:rsidRPr="00C26715">
        <w:rPr>
          <w:rFonts w:eastAsia="Times New Roman" w:cs="Arial"/>
          <w:smallCaps/>
          <w:color w:val="000000"/>
          <w:lang w:eastAsia="bg-BG"/>
        </w:rPr>
        <w:t xml:space="preserve"> </w:t>
      </w:r>
      <w:r w:rsidRPr="00C26715">
        <w:rPr>
          <w:rFonts w:eastAsia="Times New Roman" w:cs="Arial"/>
          <w:color w:val="000000"/>
          <w:lang w:eastAsia="bg-BG"/>
        </w:rPr>
        <w:t>диуретици,</w:t>
      </w:r>
      <w:r w:rsidRPr="00C26715">
        <w:rPr>
          <w:rFonts w:eastAsia="Times New Roman" w:cs="Arial"/>
        </w:rPr>
        <w:t xml:space="preserve"> </w:t>
      </w:r>
      <w:r w:rsidRPr="00C26715">
        <w:rPr>
          <w:rFonts w:eastAsia="Times New Roman" w:cs="Arial"/>
          <w:color w:val="000000"/>
          <w:lang w:eastAsia="bg-BG"/>
        </w:rPr>
        <w:t xml:space="preserve">АТС код: </w:t>
      </w:r>
      <w:r w:rsidRPr="00C26715">
        <w:rPr>
          <w:rFonts w:eastAsia="Times New Roman" w:cs="Arial"/>
          <w:color w:val="000000"/>
          <w:lang w:val="en-US"/>
        </w:rPr>
        <w:t>C</w:t>
      </w:r>
      <w:r w:rsidRPr="00C26715">
        <w:rPr>
          <w:rFonts w:eastAsia="Times New Roman" w:cs="Arial"/>
          <w:color w:val="000000"/>
          <w:lang w:val="ru-RU"/>
        </w:rPr>
        <w:t>09</w:t>
      </w:r>
      <w:r w:rsidRPr="00C26715">
        <w:rPr>
          <w:rFonts w:eastAsia="Times New Roman" w:cs="Arial"/>
          <w:color w:val="000000"/>
          <w:lang w:val="en-US"/>
        </w:rPr>
        <w:t>DA</w:t>
      </w:r>
      <w:r w:rsidRPr="00C26715">
        <w:rPr>
          <w:rFonts w:eastAsia="Times New Roman" w:cs="Arial"/>
          <w:color w:val="000000"/>
          <w:lang w:val="ru-RU"/>
        </w:rPr>
        <w:t>03</w:t>
      </w:r>
    </w:p>
    <w:p w14:paraId="3648CF40" w14:textId="77777777" w:rsidR="00C26715" w:rsidRPr="00C26715" w:rsidRDefault="00C26715" w:rsidP="00C26715">
      <w:pPr>
        <w:spacing w:line="240" w:lineRule="auto"/>
        <w:rPr>
          <w:rFonts w:eastAsia="Times New Roman" w:cs="Arial"/>
          <w:i/>
          <w:iCs/>
          <w:color w:val="000000"/>
          <w:lang w:eastAsia="bg-BG"/>
        </w:rPr>
      </w:pPr>
    </w:p>
    <w:p w14:paraId="05B90E72" w14:textId="5E2B181C" w:rsidR="00C26715" w:rsidRPr="00C26715" w:rsidRDefault="00C26715" w:rsidP="00C26715">
      <w:pPr>
        <w:spacing w:line="240" w:lineRule="auto"/>
        <w:rPr>
          <w:rFonts w:eastAsia="Times New Roman" w:cs="Arial"/>
        </w:rPr>
      </w:pPr>
      <w:r w:rsidRPr="00C26715">
        <w:rPr>
          <w:rFonts w:eastAsia="Times New Roman" w:cs="Arial"/>
          <w:i/>
          <w:iCs/>
          <w:color w:val="000000"/>
          <w:lang w:eastAsia="bg-BG"/>
        </w:rPr>
        <w:t>Валсартан/хидрохлоротиазид</w:t>
      </w:r>
    </w:p>
    <w:p w14:paraId="182BB5D5" w14:textId="77777777" w:rsidR="00C26715" w:rsidRPr="00C26715" w:rsidRDefault="00C26715" w:rsidP="00C26715">
      <w:pPr>
        <w:spacing w:line="240" w:lineRule="auto"/>
        <w:rPr>
          <w:rFonts w:eastAsia="Times New Roman" w:cs="Arial"/>
          <w:color w:val="000000"/>
          <w:lang w:eastAsia="bg-BG"/>
        </w:rPr>
      </w:pPr>
    </w:p>
    <w:p w14:paraId="276BE915" w14:textId="2243A55D"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се наблюдава сигнификантно не</w:t>
      </w:r>
      <w:r w:rsidRPr="00C26715">
        <w:rPr>
          <w:rFonts w:eastAsia="Times New Roman" w:cs="Arial"/>
          <w:color w:val="000000"/>
          <w:lang w:eastAsia="bg-BG"/>
        </w:rPr>
        <w:softHyphen/>
        <w:t xml:space="preserve">голяма редукция на средното систолно/диастолно АН с комбинацията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(14,9/11,3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(5,2/2,9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(6,8/5,7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допълнение, процентът на пациентите, повлияли се от лечението (диастолно АН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&gt;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е значимо по-висок с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(60%) в сравнение с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(25%) и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(27%).</w:t>
      </w:r>
    </w:p>
    <w:p w14:paraId="64B7BB7F" w14:textId="77777777" w:rsidR="00C26715" w:rsidRPr="00C26715" w:rsidRDefault="00C26715" w:rsidP="00C26715">
      <w:pPr>
        <w:spacing w:line="240" w:lineRule="auto"/>
        <w:rPr>
          <w:rFonts w:eastAsia="Times New Roman" w:cs="Arial"/>
          <w:color w:val="000000"/>
          <w:lang w:eastAsia="bg-BG"/>
        </w:rPr>
      </w:pPr>
    </w:p>
    <w:p w14:paraId="71D990E9" w14:textId="5FEB6612"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80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(9,8/8,2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валсартан 80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(3,9/5,1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(6,5/6,2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допълнение, процентът на пациентите, повлияли се от лечението (диастолно АН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&gt;10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е значимо по-висок с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(5</w:t>
      </w:r>
      <w:r w:rsidRPr="00C26715">
        <w:rPr>
          <w:rFonts w:eastAsia="Times New Roman" w:cs="Arial"/>
          <w:color w:val="000000"/>
          <w:lang w:eastAsia="bg-BG"/>
        </w:rPr>
        <w:t xml:space="preserve">1%) в сравнение с валсартан 80 </w:t>
      </w:r>
      <w:r w:rsidRPr="00C26715">
        <w:rPr>
          <w:rFonts w:eastAsia="Times New Roman" w:cs="Arial"/>
          <w:color w:val="000000"/>
          <w:lang w:val="en-US"/>
        </w:rPr>
        <w:t>mg</w:t>
      </w:r>
      <w:r w:rsidRPr="00C26715">
        <w:rPr>
          <w:rFonts w:eastAsia="Times New Roman" w:cs="Arial"/>
          <w:color w:val="000000"/>
          <w:lang w:val="ru-RU"/>
        </w:rPr>
        <w:t xml:space="preserve">(36%) </w:t>
      </w:r>
      <w:r w:rsidRPr="00C26715">
        <w:rPr>
          <w:rFonts w:eastAsia="Times New Roman" w:cs="Arial"/>
          <w:color w:val="000000"/>
          <w:lang w:eastAsia="bg-BG"/>
        </w:rPr>
        <w:t xml:space="preserve">и валсартан 160 </w:t>
      </w:r>
      <w:r w:rsidRPr="00C26715">
        <w:rPr>
          <w:rFonts w:eastAsia="Times New Roman" w:cs="Arial"/>
          <w:color w:val="000000"/>
          <w:lang w:val="en-US"/>
        </w:rPr>
        <w:t>mg</w:t>
      </w:r>
      <w:r w:rsidRPr="00C26715">
        <w:rPr>
          <w:rFonts w:eastAsia="Times New Roman" w:cs="Arial"/>
          <w:color w:val="000000"/>
          <w:lang w:val="ru-RU"/>
        </w:rPr>
        <w:t>(37%).</w:t>
      </w:r>
    </w:p>
    <w:p w14:paraId="6FE833B4" w14:textId="77777777" w:rsidR="00C26715" w:rsidRPr="00C26715" w:rsidRDefault="00C26715" w:rsidP="00C26715">
      <w:pPr>
        <w:spacing w:line="240" w:lineRule="auto"/>
        <w:rPr>
          <w:rFonts w:eastAsia="Times New Roman" w:cs="Arial"/>
          <w:color w:val="000000"/>
          <w:lang w:eastAsia="bg-BG"/>
        </w:rPr>
      </w:pPr>
    </w:p>
    <w:p w14:paraId="42992305" w14:textId="77A0D3BF"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 голяма редукция на средното систолно/диастолно АН с комбинацията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(16,5/11,8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плацебо (1,9/4,1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отделните съставки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i/>
          <w:iCs/>
          <w:color w:val="000000"/>
          <w:lang w:eastAsia="bg-BG"/>
        </w:rPr>
        <w:t>(7,3/7,2</w:t>
      </w:r>
      <w:r w:rsidRPr="00C26715">
        <w:rPr>
          <w:rFonts w:eastAsia="Times New Roman" w:cs="Arial"/>
          <w:color w:val="000000"/>
          <w:lang w:eastAsia="bg-BG"/>
        </w:rPr>
        <w:t xml:space="preserve">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 80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(8,8/8,6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допълнение, процентът на пациентите, повлияли се от лечението (диастолно </w:t>
      </w:r>
      <w:r w:rsidRPr="00C26715">
        <w:rPr>
          <w:rFonts w:eastAsia="Times New Roman" w:cs="Arial"/>
          <w:color w:val="000000"/>
          <w:lang w:val="en-US"/>
        </w:rPr>
        <w:t>AH</w:t>
      </w:r>
      <w:r w:rsidRPr="00C26715">
        <w:rPr>
          <w:rFonts w:eastAsia="Times New Roman" w:cs="Arial"/>
          <w:color w:val="000000"/>
          <w:lang w:val="ru-RU"/>
        </w:rPr>
        <w:t xml:space="preserve"> </w:t>
      </w:r>
      <w:r w:rsidRPr="00C26715">
        <w:rPr>
          <w:rFonts w:eastAsia="Times New Roman" w:cs="Arial"/>
          <w:color w:val="000000"/>
          <w:lang w:eastAsia="bg-BG"/>
        </w:rPr>
        <w:t xml:space="preserve">ВР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&gt;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е значимо по-висок с валсартан/хидрохлоротиазид 80/12,5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(64%) в сравнение с плацебо (29%) и хидрохлоротиазид (41%).</w:t>
      </w:r>
    </w:p>
    <w:p w14:paraId="3FAD17EE" w14:textId="77777777" w:rsidR="00C26715" w:rsidRPr="00C26715" w:rsidRDefault="00C26715" w:rsidP="00C26715">
      <w:pPr>
        <w:spacing w:line="240" w:lineRule="auto"/>
        <w:rPr>
          <w:rFonts w:eastAsia="Times New Roman" w:cs="Arial"/>
          <w:color w:val="000000"/>
          <w:lang w:eastAsia="bg-BG"/>
        </w:rPr>
      </w:pPr>
    </w:p>
    <w:p w14:paraId="07E151B5" w14:textId="3A148131"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се наблюдава сигнификантно по- голяма редукция на средното систолно/диастолно АН с комбинацията валсартан/хидрохлоротиазид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(12,4/7,5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(5,6/2,1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допълнение, процентът на пациентите, повлияли се от лечението (АН &lt; 140/90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на САН ≥20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w:t>
      </w:r>
      <w:r w:rsidRPr="00C26715">
        <w:rPr>
          <w:rFonts w:eastAsia="Times New Roman" w:cs="Arial"/>
          <w:color w:val="000000"/>
          <w:lang w:eastAsia="bg-BG"/>
        </w:rPr>
        <w:lastRenderedPageBreak/>
        <w:t xml:space="preserve">понижение на ДАН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е значимо по-висок с валсартан/хидрохлоротиазид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(50%) в сравнение с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(25%).</w:t>
      </w:r>
    </w:p>
    <w:p w14:paraId="22FB6A15" w14:textId="77777777" w:rsidR="00C26715" w:rsidRPr="00C26715" w:rsidRDefault="00C26715" w:rsidP="00C26715">
      <w:pPr>
        <w:spacing w:line="240" w:lineRule="auto"/>
        <w:rPr>
          <w:rFonts w:eastAsia="Times New Roman" w:cs="Arial"/>
          <w:color w:val="000000"/>
          <w:lang w:eastAsia="bg-BG"/>
        </w:rPr>
      </w:pPr>
    </w:p>
    <w:p w14:paraId="6A084CE4" w14:textId="6E7BEB36"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(14,6/11,9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валсартан/хидрохлоротиазид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(12,4/10,4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(8,7/8,8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Разликата в понижението на АН между дозите от 160/25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и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също достига статистическа значимост. В допълнение, процентът на пациентите, повлияли се от лечението (диастолно АН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е значимо по-висок с валсартан/хидрохлоротиазид 160/25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(68%) и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(62%) в сравнение с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(49%).</w:t>
      </w:r>
    </w:p>
    <w:p w14:paraId="79EC7036" w14:textId="77777777" w:rsidR="00C26715" w:rsidRPr="00C26715" w:rsidRDefault="00C26715" w:rsidP="00C26715">
      <w:pPr>
        <w:spacing w:line="240" w:lineRule="auto"/>
        <w:rPr>
          <w:rFonts w:eastAsia="Times New Roman" w:cs="Arial"/>
          <w:color w:val="000000"/>
          <w:lang w:eastAsia="bg-BG"/>
        </w:rPr>
      </w:pPr>
    </w:p>
    <w:p w14:paraId="36269063" w14:textId="77777777" w:rsidR="00C26715" w:rsidRPr="00C26715" w:rsidRDefault="00C26715" w:rsidP="00C26715">
      <w:pPr>
        <w:rPr>
          <w:rFonts w:eastAsia="Times New Roman" w:cs="Arial"/>
        </w:rPr>
      </w:pPr>
      <w:r w:rsidRPr="00C26715">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 голяма редукция на средното систолно/диастолно АН с комбинацията валсартан/хидрохлоротиазид 160/12,5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(17,8/13,5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160/25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(22,5/15,3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плацебо (1,9/4,1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съответните монотерапии, т.е.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(7,3/7,2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хидрохлоротиазид 25 </w:t>
      </w:r>
      <w:r w:rsidRPr="00C26715">
        <w:rPr>
          <w:rFonts w:eastAsia="Times New Roman" w:cs="Arial"/>
          <w:color w:val="000000"/>
          <w:lang w:val="en-US"/>
        </w:rPr>
        <w:t>mg</w:t>
      </w:r>
      <w:r w:rsidRPr="00C26715">
        <w:rPr>
          <w:rFonts w:eastAsia="Times New Roman" w:cs="Arial"/>
          <w:color w:val="000000"/>
          <w:lang w:eastAsia="bg-BG"/>
        </w:rPr>
        <w:t xml:space="preserve"> (12,7/9,3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(12,1/9,4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В допълнение, процентът на пациентите</w:t>
      </w:r>
      <w:r w:rsidRPr="00C26715">
        <w:rPr>
          <w:rFonts w:eastAsia="Times New Roman" w:cs="Arial"/>
        </w:rPr>
        <w:t xml:space="preserve"> </w:t>
      </w:r>
      <w:r w:rsidRPr="00C26715">
        <w:rPr>
          <w:rFonts w:eastAsia="Times New Roman" w:cs="Arial"/>
          <w:color w:val="000000"/>
          <w:lang w:eastAsia="bg-BG"/>
        </w:rPr>
        <w:t xml:space="preserve">повлияли се от лечението (диастолно АН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val="en-US"/>
        </w:rPr>
        <w:t>e</w:t>
      </w:r>
      <w:r w:rsidRPr="00C26715">
        <w:rPr>
          <w:rFonts w:eastAsia="Times New Roman" w:cs="Arial"/>
          <w:color w:val="000000"/>
          <w:lang w:val="ru-RU"/>
        </w:rPr>
        <w:t xml:space="preserve"> </w:t>
      </w:r>
      <w:r w:rsidRPr="00C26715">
        <w:rPr>
          <w:rFonts w:eastAsia="Times New Roman" w:cs="Arial"/>
          <w:color w:val="000000"/>
          <w:lang w:eastAsia="bg-BG"/>
        </w:rPr>
        <w:t xml:space="preserve">значително по-висок с валсартан/хидрохлоротиазид 160/25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(81%) и валсартан/хидрохлоротиазид 160/12,5</w:t>
      </w:r>
      <w:r w:rsidRPr="00C26715">
        <w:rPr>
          <w:rFonts w:eastAsia="Times New Roman" w:cs="Arial"/>
          <w:color w:val="000000"/>
          <w:lang w:val="en-US"/>
        </w:rPr>
        <w:t>mg</w:t>
      </w:r>
      <w:r w:rsidRPr="00C26715">
        <w:rPr>
          <w:rFonts w:eastAsia="Times New Roman" w:cs="Arial"/>
          <w:color w:val="000000"/>
          <w:lang w:val="ru-RU"/>
        </w:rPr>
        <w:t xml:space="preserve"> (76%) </w:t>
      </w:r>
      <w:r w:rsidRPr="00C26715">
        <w:rPr>
          <w:rFonts w:eastAsia="Times New Roman" w:cs="Arial"/>
          <w:color w:val="000000"/>
          <w:lang w:eastAsia="bg-BG"/>
        </w:rPr>
        <w:t xml:space="preserve">в сравнение с плацебо (29%) и съответните монотерапии, т.е.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(41 %),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(54%), и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(59%),</w:t>
      </w:r>
    </w:p>
    <w:p w14:paraId="4A57701E" w14:textId="77777777" w:rsidR="00C26715" w:rsidRPr="00C26715" w:rsidRDefault="00C26715" w:rsidP="00C26715">
      <w:pPr>
        <w:spacing w:line="240" w:lineRule="auto"/>
        <w:rPr>
          <w:rFonts w:eastAsia="Times New Roman" w:cs="Arial"/>
          <w:color w:val="000000"/>
          <w:lang w:eastAsia="bg-BG"/>
        </w:rPr>
      </w:pPr>
    </w:p>
    <w:p w14:paraId="007DEC54" w14:textId="49011A36"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едно двойно-сляпо, рандомизирано, активно контролирано проучване при пациенти, които не са адекватно контролирани с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е било установено значително по-голямо понижене на стойностите на средното систолно/диастолно КН и с двете комбинации на валсартан/хидрохлоротиазид 320/25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(15,4/10,4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валсартан/хидрохлоротиазид 320/12,5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(13,6/9,7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спрямо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(6,1/5,8 </w:t>
      </w:r>
      <w:r w:rsidRPr="00C26715">
        <w:rPr>
          <w:rFonts w:eastAsia="Times New Roman" w:cs="Arial"/>
          <w:color w:val="000000"/>
          <w:lang w:val="en-US"/>
        </w:rPr>
        <w:t>mmHg</w:t>
      </w:r>
      <w:r w:rsidRPr="00C26715">
        <w:rPr>
          <w:rFonts w:eastAsia="Times New Roman" w:cs="Arial"/>
          <w:color w:val="000000"/>
          <w:lang w:val="ru-RU"/>
        </w:rPr>
        <w:t>).</w:t>
      </w:r>
    </w:p>
    <w:p w14:paraId="79DFF521"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Разликата в понижението на систолното КН между дози 320/25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val="en-US"/>
        </w:rPr>
        <w:t>and</w:t>
      </w:r>
      <w:r w:rsidRPr="00C26715">
        <w:rPr>
          <w:rFonts w:eastAsia="Times New Roman" w:cs="Arial"/>
          <w:color w:val="000000"/>
          <w:lang w:val="ru-RU"/>
        </w:rPr>
        <w:t xml:space="preserve"> </w:t>
      </w:r>
      <w:r w:rsidRPr="00C26715">
        <w:rPr>
          <w:rFonts w:eastAsia="Times New Roman" w:cs="Arial"/>
          <w:color w:val="000000"/>
          <w:lang w:eastAsia="bg-BG"/>
        </w:rPr>
        <w:t xml:space="preserve">320/12,5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също е достигнала статистическа значимост. Освен това, статистически по-голям процент от пациентите са дали отговор спрямо (диастолно КН &lt;90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редукция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валсартан/ хидрохлоротиазид 320/25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(75%) и 320/12,5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(69%) в сравнение с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(53%).</w:t>
      </w:r>
    </w:p>
    <w:p w14:paraId="02A5EC43" w14:textId="77777777" w:rsidR="00C26715" w:rsidRPr="00C26715" w:rsidRDefault="00C26715" w:rsidP="00C26715">
      <w:pPr>
        <w:spacing w:line="240" w:lineRule="auto"/>
        <w:rPr>
          <w:rFonts w:eastAsia="Times New Roman" w:cs="Arial"/>
          <w:color w:val="000000"/>
          <w:lang w:eastAsia="bg-BG"/>
        </w:rPr>
      </w:pPr>
    </w:p>
    <w:p w14:paraId="1FCBF00C" w14:textId="17751B53"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едно двойно-сляпо, рандомизирано, плацебо-контролирано проучване с факторен дизайн, което е сравнявало различни дозови комбинации на валсартан/хидрохлоротиазид спрямо компоненти му по отделно, е било наблюдавано значително по-голямо намаление на средното систолно/диастолно КН при комбинациите валсартан/хидрохлоротиазид 320/12,5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(21,7/15,0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320/25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(24,7/16,6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в сравнение с плацебо (7,0/5,9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съответстващите им монотерапии, т.е., 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(11,1/9,0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(14,5/10,8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(13,7/11,3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Освен това, значително по-голям брой пациенти са отговорили (диастолно КН&lt;90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или понижение ≥10 </w:t>
      </w:r>
      <w:r w:rsidRPr="00C26715">
        <w:rPr>
          <w:rFonts w:eastAsia="Times New Roman" w:cs="Arial"/>
          <w:color w:val="000000"/>
          <w:lang w:val="en-US"/>
        </w:rPr>
        <w:t>mmHg</w:t>
      </w:r>
      <w:r w:rsidRPr="00C26715">
        <w:rPr>
          <w:rFonts w:eastAsia="Times New Roman" w:cs="Arial"/>
          <w:color w:val="000000"/>
          <w:lang w:val="ru-RU"/>
        </w:rPr>
        <w:t xml:space="preserve">) </w:t>
      </w:r>
      <w:r w:rsidRPr="00C26715">
        <w:rPr>
          <w:rFonts w:eastAsia="Times New Roman" w:cs="Arial"/>
          <w:color w:val="000000"/>
          <w:lang w:eastAsia="bg-BG"/>
        </w:rPr>
        <w:t xml:space="preserve">на валсартан/хидрохлоротиазид 320/25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(85%) и 320/12,5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(83%) в сравнение с плацебо (45%) и съответстващите им монотерапии, т.е., </w:t>
      </w:r>
      <w:r w:rsidRPr="00C26715">
        <w:rPr>
          <w:rFonts w:eastAsia="Times New Roman" w:cs="Arial"/>
          <w:color w:val="000000"/>
          <w:lang w:eastAsia="bg-BG"/>
        </w:rPr>
        <w:lastRenderedPageBreak/>
        <w:t xml:space="preserve">хидрохлоротиазид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(60%), хидрохлоротиазид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(66%), и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(69%).</w:t>
      </w:r>
    </w:p>
    <w:p w14:paraId="7BFEC194" w14:textId="77777777" w:rsidR="00C26715" w:rsidRPr="00C26715" w:rsidRDefault="00C26715" w:rsidP="00C26715">
      <w:pPr>
        <w:spacing w:line="240" w:lineRule="auto"/>
        <w:rPr>
          <w:rFonts w:eastAsia="Times New Roman" w:cs="Arial"/>
          <w:color w:val="000000"/>
          <w:lang w:eastAsia="bg-BG"/>
        </w:rPr>
      </w:pPr>
    </w:p>
    <w:p w14:paraId="6DC4C184" w14:textId="3265872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 контролирани клинични проучвания с валсартан + хидрохлоротиазид се наблюдава дозозависимо понижение на нивата на серумния калий. Понижението в нивата на серумния калий е по-често при пациентите, приемащи 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хидрохлоротиазид, отколкото при тези, приемащи 12,5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хидрохлоротиазид. В контролирани клинични изпитвания с валсартан/хидрохлоротиазид калий- понижаващият ефект на хидрохлоротиазид се отслабва от калий-съхраняващият ефект на валсартан.</w:t>
      </w:r>
    </w:p>
    <w:p w14:paraId="1B192139" w14:textId="77777777" w:rsidR="00C26715" w:rsidRPr="00C26715" w:rsidRDefault="00C26715" w:rsidP="00C26715">
      <w:pPr>
        <w:spacing w:line="240" w:lineRule="auto"/>
        <w:rPr>
          <w:rFonts w:eastAsia="Times New Roman" w:cs="Arial"/>
          <w:color w:val="000000"/>
          <w:lang w:eastAsia="bg-BG"/>
        </w:rPr>
      </w:pPr>
    </w:p>
    <w:p w14:paraId="3040D7E5" w14:textId="77553682" w:rsidR="00C26715" w:rsidRPr="00C26715" w:rsidRDefault="00C26715" w:rsidP="00C26715">
      <w:pPr>
        <w:spacing w:line="240" w:lineRule="auto"/>
        <w:rPr>
          <w:rFonts w:eastAsia="Times New Roman" w:cs="Arial"/>
        </w:rPr>
      </w:pPr>
      <w:r w:rsidRPr="00C26715">
        <w:rPr>
          <w:rFonts w:eastAsia="Times New Roman" w:cs="Arial"/>
          <w:color w:val="000000"/>
          <w:lang w:eastAsia="bg-BG"/>
        </w:rPr>
        <w:t>На този етап не са известни ползите от комбинацията на валсартан с хидрохлоротиазид по отношение на сърдечно-съдовата смъртност и болестност.</w:t>
      </w:r>
    </w:p>
    <w:p w14:paraId="42A7383E"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Епидемиологични проучвания показват, че дългосрочното лечение с хидрохлоротиазид понижава риска от сърдечно-съдова смъртност и болестност.</w:t>
      </w:r>
    </w:p>
    <w:p w14:paraId="0FFF9EBE" w14:textId="77777777" w:rsidR="00C26715" w:rsidRPr="00C26715" w:rsidRDefault="00C26715" w:rsidP="00C26715">
      <w:pPr>
        <w:spacing w:line="240" w:lineRule="auto"/>
        <w:rPr>
          <w:rFonts w:eastAsia="Times New Roman" w:cs="Arial"/>
          <w:i/>
          <w:iCs/>
          <w:color w:val="000000"/>
          <w:lang w:eastAsia="bg-BG"/>
        </w:rPr>
      </w:pPr>
    </w:p>
    <w:p w14:paraId="24258A60" w14:textId="2E1C5542" w:rsidR="00C26715" w:rsidRPr="00C26715" w:rsidRDefault="00C26715" w:rsidP="00C26715">
      <w:pPr>
        <w:spacing w:line="240" w:lineRule="auto"/>
        <w:rPr>
          <w:rFonts w:eastAsia="Times New Roman" w:cs="Arial"/>
        </w:rPr>
      </w:pPr>
      <w:r w:rsidRPr="00C26715">
        <w:rPr>
          <w:rFonts w:eastAsia="Times New Roman" w:cs="Arial"/>
          <w:i/>
          <w:iCs/>
          <w:color w:val="000000"/>
          <w:lang w:eastAsia="bg-BG"/>
        </w:rPr>
        <w:t>Валсартан</w:t>
      </w:r>
    </w:p>
    <w:p w14:paraId="4F3A5546"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Валсартан е перорално активен, мощен и специфичен ангиотензин II </w:t>
      </w:r>
      <w:r w:rsidRPr="00C26715">
        <w:rPr>
          <w:rFonts w:eastAsia="Times New Roman" w:cs="Arial"/>
          <w:color w:val="000000"/>
          <w:lang w:val="ru-RU"/>
        </w:rPr>
        <w:t>(</w:t>
      </w:r>
      <w:r w:rsidRPr="00C26715">
        <w:rPr>
          <w:rFonts w:eastAsia="Times New Roman" w:cs="Arial"/>
          <w:color w:val="000000"/>
          <w:lang w:val="en-US"/>
        </w:rPr>
        <w:t>AT</w:t>
      </w:r>
      <w:r w:rsidRPr="00C26715">
        <w:rPr>
          <w:rFonts w:eastAsia="Times New Roman" w:cs="Arial"/>
          <w:color w:val="000000"/>
          <w:lang w:val="ru-RU"/>
        </w:rPr>
        <w:t xml:space="preserve"> </w:t>
      </w:r>
      <w:r w:rsidRPr="00C26715">
        <w:rPr>
          <w:rFonts w:eastAsia="Times New Roman" w:cs="Arial"/>
          <w:color w:val="000000"/>
          <w:lang w:eastAsia="bg-BG"/>
        </w:rPr>
        <w:t xml:space="preserve">II) рецепторен антагонист. Той действа селективно върху </w:t>
      </w:r>
      <w:r w:rsidRPr="00C26715">
        <w:rPr>
          <w:rFonts w:eastAsia="Times New Roman" w:cs="Arial"/>
          <w:color w:val="000000"/>
          <w:lang w:val="en-US"/>
        </w:rPr>
        <w:t>AT</w:t>
      </w:r>
      <w:r w:rsidRPr="00C26715">
        <w:rPr>
          <w:rFonts w:eastAsia="Times New Roman" w:cs="Arial"/>
          <w:color w:val="000000"/>
          <w:vertAlign w:val="subscript"/>
          <w:lang w:val="ru-RU"/>
        </w:rPr>
        <w:t>1</w:t>
      </w:r>
      <w:r w:rsidRPr="00C26715">
        <w:rPr>
          <w:rFonts w:eastAsia="Times New Roman" w:cs="Arial"/>
          <w:color w:val="000000"/>
          <w:lang w:val="ru-RU"/>
        </w:rPr>
        <w:t xml:space="preserve"> </w:t>
      </w:r>
      <w:r w:rsidRPr="00C26715">
        <w:rPr>
          <w:rFonts w:eastAsia="Times New Roman" w:cs="Arial"/>
          <w:color w:val="000000"/>
          <w:lang w:eastAsia="bg-BG"/>
        </w:rPr>
        <w:t>рецепторния подтип, който е отговорен за познатите действия на ангиотензин II. Повишените плазмени нива на ангиотензин II в резултат на АТ</w:t>
      </w:r>
      <w:r w:rsidRPr="00C26715">
        <w:rPr>
          <w:rFonts w:eastAsia="Times New Roman" w:cs="Arial"/>
          <w:color w:val="000000"/>
          <w:vertAlign w:val="subscript"/>
          <w:lang w:eastAsia="bg-BG"/>
        </w:rPr>
        <w:t>1</w:t>
      </w:r>
      <w:r w:rsidRPr="00C26715">
        <w:rPr>
          <w:rFonts w:eastAsia="Times New Roman" w:cs="Arial"/>
          <w:color w:val="000000"/>
          <w:lang w:eastAsia="bg-BG"/>
        </w:rPr>
        <w:t xml:space="preserve"> рецепторната блокада с валсартан може да стимулират неблокираните АТг рецептори, което изглежда противодейства на ефекта на </w:t>
      </w:r>
      <w:r w:rsidRPr="00C26715">
        <w:rPr>
          <w:rFonts w:eastAsia="Times New Roman" w:cs="Arial"/>
          <w:color w:val="000000"/>
          <w:lang w:val="en-US"/>
        </w:rPr>
        <w:t>AT</w:t>
      </w:r>
      <w:r w:rsidRPr="00C26715">
        <w:rPr>
          <w:rFonts w:eastAsia="Times New Roman" w:cs="Arial"/>
          <w:color w:val="000000"/>
          <w:vertAlign w:val="subscript"/>
          <w:lang w:val="ru-RU"/>
        </w:rPr>
        <w:t>1</w:t>
      </w:r>
      <w:r w:rsidRPr="00C26715">
        <w:rPr>
          <w:rFonts w:eastAsia="Times New Roman" w:cs="Arial"/>
          <w:color w:val="000000"/>
          <w:lang w:val="ru-RU"/>
        </w:rPr>
        <w:t xml:space="preserve"> </w:t>
      </w:r>
      <w:r w:rsidRPr="00C26715">
        <w:rPr>
          <w:rFonts w:eastAsia="Times New Roman" w:cs="Arial"/>
          <w:color w:val="000000"/>
          <w:lang w:eastAsia="bg-BG"/>
        </w:rPr>
        <w:t xml:space="preserve">рецептора. Валсартан не проявява никаква частична агонистична активност към </w:t>
      </w:r>
      <w:r w:rsidRPr="00C26715">
        <w:rPr>
          <w:rFonts w:eastAsia="Times New Roman" w:cs="Arial"/>
          <w:color w:val="000000"/>
          <w:lang w:val="en-US"/>
        </w:rPr>
        <w:t>AT</w:t>
      </w:r>
      <w:r w:rsidRPr="00C26715">
        <w:rPr>
          <w:rFonts w:eastAsia="Times New Roman" w:cs="Arial"/>
          <w:color w:val="000000"/>
          <w:vertAlign w:val="subscript"/>
          <w:lang w:val="ru-RU"/>
        </w:rPr>
        <w:t>1</w:t>
      </w:r>
      <w:r w:rsidRPr="00C26715">
        <w:rPr>
          <w:rFonts w:eastAsia="Times New Roman" w:cs="Arial"/>
          <w:color w:val="000000"/>
          <w:lang w:val="ru-RU"/>
        </w:rPr>
        <w:t xml:space="preserve"> </w:t>
      </w:r>
      <w:r w:rsidRPr="00C26715">
        <w:rPr>
          <w:rFonts w:eastAsia="Times New Roman" w:cs="Arial"/>
          <w:color w:val="000000"/>
          <w:lang w:eastAsia="bg-BG"/>
        </w:rPr>
        <w:t>рецептора и има значително (около 20 000 пъти) по-голям афинитет към АТ</w:t>
      </w:r>
      <w:r w:rsidRPr="00C26715">
        <w:rPr>
          <w:rFonts w:eastAsia="Times New Roman" w:cs="Arial"/>
          <w:color w:val="000000"/>
          <w:vertAlign w:val="subscript"/>
          <w:lang w:eastAsia="bg-BG"/>
        </w:rPr>
        <w:t>1</w:t>
      </w:r>
      <w:r w:rsidRPr="00C26715">
        <w:rPr>
          <w:rFonts w:eastAsia="Times New Roman" w:cs="Arial"/>
          <w:color w:val="000000"/>
          <w:lang w:eastAsia="bg-BG"/>
        </w:rPr>
        <w:t xml:space="preserve"> рецептора, отколкото към А</w:t>
      </w:r>
      <w:r w:rsidRPr="00C26715">
        <w:rPr>
          <w:rFonts w:eastAsia="Times New Roman" w:cs="Arial"/>
          <w:color w:val="000000"/>
          <w:lang w:val="en-US"/>
        </w:rPr>
        <w:t>T</w:t>
      </w:r>
      <w:r w:rsidRPr="00C26715">
        <w:rPr>
          <w:rFonts w:eastAsia="Times New Roman" w:cs="Arial"/>
          <w:color w:val="000000"/>
          <w:vertAlign w:val="subscript"/>
          <w:lang w:val="ru-RU"/>
        </w:rPr>
        <w:t>2</w:t>
      </w:r>
      <w:r w:rsidRPr="00C26715">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42712215" w14:textId="77777777" w:rsidR="00C26715" w:rsidRPr="00C26715" w:rsidRDefault="00C26715" w:rsidP="00C26715">
      <w:pPr>
        <w:spacing w:line="240" w:lineRule="auto"/>
        <w:rPr>
          <w:rFonts w:eastAsia="Times New Roman" w:cs="Arial"/>
          <w:color w:val="000000"/>
          <w:lang w:eastAsia="bg-BG"/>
        </w:rPr>
      </w:pPr>
    </w:p>
    <w:p w14:paraId="1976E756" w14:textId="204B359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Валсартан не инхибира АСЕ (известен и като кининаза </w:t>
      </w:r>
      <w:r w:rsidRPr="00C26715">
        <w:rPr>
          <w:rFonts w:eastAsia="Times New Roman" w:cs="Arial"/>
          <w:color w:val="000000"/>
          <w:lang w:val="en-US"/>
        </w:rPr>
        <w:t>II</w:t>
      </w:r>
      <w:r w:rsidRPr="00C26715">
        <w:rPr>
          <w:rFonts w:eastAsia="Times New Roman" w:cs="Arial"/>
          <w:color w:val="000000"/>
          <w:lang w:eastAsia="bg-BG"/>
        </w:rPr>
        <w:t>),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АСЕ инхибитор, честотата на суха кашлица е значително (Р&lt;0,05) по-малка при пациенти, лекувани с валсартан, отколкото</w:t>
      </w:r>
      <w:r w:rsidRPr="00C26715">
        <w:rPr>
          <w:rFonts w:eastAsia="Times New Roman" w:cs="Arial"/>
          <w:color w:val="000000"/>
          <w:lang w:val="ru-RU"/>
        </w:rPr>
        <w:t xml:space="preserve"> </w:t>
      </w:r>
      <w:r w:rsidRPr="00C26715">
        <w:rPr>
          <w:rFonts w:eastAsia="Times New Roman" w:cs="Arial"/>
          <w:color w:val="000000"/>
          <w:lang w:eastAsia="bg-BG"/>
        </w:rPr>
        <w:t>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имат кашлица в сравнение</w:t>
      </w:r>
      <w:r w:rsidRPr="00C26715">
        <w:rPr>
          <w:rFonts w:eastAsia="Times New Roman" w:cs="Arial"/>
        </w:rPr>
        <w:t xml:space="preserve"> </w:t>
      </w:r>
      <w:r w:rsidRPr="00C26715">
        <w:rPr>
          <w:rFonts w:eastAsia="Times New Roman" w:cs="Arial"/>
          <w:color w:val="000000"/>
          <w:lang w:eastAsia="bg-BG"/>
        </w:rPr>
        <w:t>68,5% от лицата, лекувани с АСЕ инхибитор (Р &lt; 0,05).</w:t>
      </w:r>
    </w:p>
    <w:p w14:paraId="019593A1" w14:textId="77777777" w:rsidR="00C26715" w:rsidRPr="00C26715" w:rsidRDefault="00C26715" w:rsidP="00C26715">
      <w:pPr>
        <w:spacing w:line="240" w:lineRule="auto"/>
        <w:rPr>
          <w:rFonts w:eastAsia="Times New Roman" w:cs="Arial"/>
        </w:rPr>
      </w:pPr>
    </w:p>
    <w:p w14:paraId="1327ADBD" w14:textId="77777777" w:rsidR="00C26715" w:rsidRPr="00C26715" w:rsidRDefault="00C26715" w:rsidP="00C26715">
      <w:pPr>
        <w:rPr>
          <w:rFonts w:eastAsia="Times New Roman" w:cs="Arial"/>
        </w:rPr>
      </w:pPr>
      <w:r w:rsidRPr="00C26715">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7440DB16"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пикът на понижаването на артериалното налягане се достига в рамките на 4-6 часа. Антихипертензивният ефект продължава над 24 часа след приема. При многократен прием реален антихипертензивен ефект най-общо се постига в рамките на 2-4 седмици, и се поддържа в хода на дълготрайна терапия. Значимо допълнително понижение на артериалното налягане се постига при комбинация с хидрохлоротиазид.</w:t>
      </w:r>
    </w:p>
    <w:p w14:paraId="71D4FDFA" w14:textId="77777777" w:rsidR="00C26715" w:rsidRPr="00C26715" w:rsidRDefault="00C26715" w:rsidP="00C26715">
      <w:pPr>
        <w:spacing w:line="240" w:lineRule="auto"/>
        <w:rPr>
          <w:rFonts w:eastAsia="Times New Roman" w:cs="Arial"/>
          <w:color w:val="000000"/>
          <w:lang w:eastAsia="bg-BG"/>
        </w:rPr>
      </w:pPr>
    </w:p>
    <w:p w14:paraId="7721DA5E" w14:textId="2DB0C72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Внезапното преустановяване на лечението с валсартан не се свързва с </w:t>
      </w:r>
      <w:r w:rsidRPr="00C26715">
        <w:rPr>
          <w:rFonts w:eastAsia="Times New Roman" w:cs="Arial"/>
          <w:color w:val="000000"/>
          <w:lang w:val="en-US"/>
        </w:rPr>
        <w:t>rebound</w:t>
      </w:r>
      <w:r w:rsidRPr="00C26715">
        <w:rPr>
          <w:rFonts w:eastAsia="Times New Roman" w:cs="Arial"/>
          <w:color w:val="000000"/>
          <w:lang w:eastAsia="bg-BG"/>
        </w:rPr>
        <w:t>-хипертония или с други нежелани клинични събития.</w:t>
      </w:r>
    </w:p>
    <w:p w14:paraId="68C34042"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При пациенти с хипертония и диабет тип 2 с микроалбуминурия е отчетено, че валсартан намалява отделянето на албумин в урината. Проучването </w:t>
      </w:r>
      <w:r w:rsidRPr="00C26715">
        <w:rPr>
          <w:rFonts w:eastAsia="Times New Roman" w:cs="Arial"/>
          <w:color w:val="000000"/>
          <w:lang w:val="en-US"/>
        </w:rPr>
        <w:t>MARVAL</w:t>
      </w:r>
      <w:r w:rsidRPr="00C26715">
        <w:rPr>
          <w:rFonts w:eastAsia="Times New Roman" w:cs="Arial"/>
          <w:color w:val="000000"/>
        </w:rPr>
        <w:t xml:space="preserve"> (</w:t>
      </w:r>
      <w:r w:rsidRPr="00C26715">
        <w:rPr>
          <w:rFonts w:eastAsia="Times New Roman" w:cs="Arial"/>
          <w:color w:val="000000"/>
          <w:lang w:val="en-US"/>
        </w:rPr>
        <w:t>Micro</w:t>
      </w:r>
      <w:r w:rsidRPr="00C26715">
        <w:rPr>
          <w:rFonts w:eastAsia="Times New Roman" w:cs="Arial"/>
          <w:color w:val="000000"/>
        </w:rPr>
        <w:t xml:space="preserve"> </w:t>
      </w:r>
      <w:r w:rsidRPr="00C26715">
        <w:rPr>
          <w:rFonts w:eastAsia="Times New Roman" w:cs="Arial"/>
          <w:color w:val="000000"/>
          <w:lang w:val="en-US"/>
        </w:rPr>
        <w:t>Albuminuria</w:t>
      </w:r>
      <w:r w:rsidRPr="00C26715">
        <w:rPr>
          <w:rFonts w:eastAsia="Times New Roman" w:cs="Arial"/>
          <w:color w:val="000000"/>
        </w:rPr>
        <w:t xml:space="preserve"> </w:t>
      </w:r>
      <w:r w:rsidRPr="00C26715">
        <w:rPr>
          <w:rFonts w:eastAsia="Times New Roman" w:cs="Arial"/>
          <w:color w:val="000000"/>
          <w:lang w:val="en-US"/>
        </w:rPr>
        <w:lastRenderedPageBreak/>
        <w:t>Reduction</w:t>
      </w:r>
      <w:r w:rsidRPr="00C26715">
        <w:rPr>
          <w:rFonts w:eastAsia="Times New Roman" w:cs="Arial"/>
          <w:color w:val="000000"/>
        </w:rPr>
        <w:t xml:space="preserve"> </w:t>
      </w:r>
      <w:r w:rsidRPr="00C26715">
        <w:rPr>
          <w:rFonts w:eastAsia="Times New Roman" w:cs="Arial"/>
          <w:color w:val="000000"/>
          <w:lang w:val="en-US"/>
        </w:rPr>
        <w:t>with</w:t>
      </w:r>
      <w:r w:rsidRPr="00C26715">
        <w:rPr>
          <w:rFonts w:eastAsia="Times New Roman" w:cs="Arial"/>
          <w:color w:val="000000"/>
        </w:rPr>
        <w:t xml:space="preserve"> </w:t>
      </w:r>
      <w:r w:rsidRPr="00C26715">
        <w:rPr>
          <w:rFonts w:eastAsia="Times New Roman" w:cs="Arial"/>
          <w:color w:val="000000"/>
          <w:lang w:val="en-US"/>
        </w:rPr>
        <w:t>Valsartan</w:t>
      </w:r>
      <w:r w:rsidRPr="00C26715">
        <w:rPr>
          <w:rFonts w:eastAsia="Times New Roman" w:cs="Arial"/>
          <w:color w:val="000000"/>
        </w:rPr>
        <w:t xml:space="preserve">) </w:t>
      </w:r>
      <w:r w:rsidRPr="00C26715">
        <w:rPr>
          <w:rFonts w:eastAsia="Times New Roman" w:cs="Arial"/>
          <w:color w:val="000000"/>
          <w:lang w:eastAsia="bg-BG"/>
        </w:rPr>
        <w:t xml:space="preserve">оценява намаляването на отделянето на албумин в урината </w:t>
      </w:r>
      <w:r w:rsidRPr="00C26715">
        <w:rPr>
          <w:rFonts w:eastAsia="Times New Roman" w:cs="Arial"/>
          <w:color w:val="000000"/>
        </w:rPr>
        <w:t>(</w:t>
      </w:r>
      <w:r w:rsidRPr="00C26715">
        <w:rPr>
          <w:rFonts w:eastAsia="Times New Roman" w:cs="Arial"/>
          <w:color w:val="000000"/>
          <w:lang w:val="en-US"/>
        </w:rPr>
        <w:t>UAE</w:t>
      </w:r>
      <w:r w:rsidRPr="00C26715">
        <w:rPr>
          <w:rFonts w:eastAsia="Times New Roman" w:cs="Arial"/>
          <w:color w:val="000000"/>
        </w:rPr>
        <w:t xml:space="preserve">) </w:t>
      </w:r>
      <w:r w:rsidRPr="00C26715">
        <w:rPr>
          <w:rFonts w:eastAsia="Times New Roman" w:cs="Arial"/>
          <w:color w:val="000000"/>
          <w:lang w:eastAsia="bg-BG"/>
        </w:rPr>
        <w:t xml:space="preserve">с валсартан (80-160 </w:t>
      </w:r>
      <w:r w:rsidRPr="00C26715">
        <w:rPr>
          <w:rFonts w:eastAsia="Times New Roman" w:cs="Arial"/>
          <w:color w:val="000000"/>
          <w:lang w:val="en-US"/>
        </w:rPr>
        <w:t>mg</w:t>
      </w:r>
      <w:r w:rsidRPr="00C26715">
        <w:rPr>
          <w:rFonts w:eastAsia="Times New Roman" w:cs="Arial"/>
          <w:color w:val="000000"/>
          <w:lang w:eastAsia="bg-BG"/>
        </w:rPr>
        <w:t xml:space="preserve">/ден) в сравнение с амлодипин (5-10 </w:t>
      </w:r>
      <w:r w:rsidRPr="00C26715">
        <w:rPr>
          <w:rFonts w:eastAsia="Times New Roman" w:cs="Arial"/>
          <w:color w:val="000000"/>
          <w:lang w:val="en-US"/>
        </w:rPr>
        <w:t>mg</w:t>
      </w:r>
      <w:r w:rsidRPr="00C26715">
        <w:rPr>
          <w:rFonts w:eastAsia="Times New Roman" w:cs="Arial"/>
          <w:color w:val="000000"/>
          <w:lang w:eastAsia="bg-BG"/>
        </w:rPr>
        <w:t>/ден), при 332 пациенти с диабет тип 2 (средна възраст: 58 години; 265 мъже) с микроалбуминурия (валсартан: 58 μ</w:t>
      </w:r>
      <w:r w:rsidRPr="00C26715">
        <w:rPr>
          <w:rFonts w:eastAsia="Times New Roman" w:cs="Arial"/>
          <w:color w:val="000000"/>
          <w:lang w:val="en-US"/>
        </w:rPr>
        <w:t>g</w:t>
      </w:r>
      <w:r w:rsidRPr="00C26715">
        <w:rPr>
          <w:rFonts w:eastAsia="Times New Roman" w:cs="Arial"/>
          <w:color w:val="000000"/>
        </w:rPr>
        <w:t>/</w:t>
      </w:r>
      <w:r w:rsidRPr="00C26715">
        <w:rPr>
          <w:rFonts w:eastAsia="Times New Roman" w:cs="Arial"/>
          <w:color w:val="000000"/>
          <w:lang w:val="en-US"/>
        </w:rPr>
        <w:t>min</w:t>
      </w:r>
      <w:r w:rsidRPr="00C26715">
        <w:rPr>
          <w:rFonts w:eastAsia="Times New Roman" w:cs="Arial"/>
          <w:color w:val="000000"/>
        </w:rPr>
        <w:t xml:space="preserve">; </w:t>
      </w:r>
      <w:r w:rsidRPr="00C26715">
        <w:rPr>
          <w:rFonts w:eastAsia="Times New Roman" w:cs="Arial"/>
          <w:color w:val="000000"/>
          <w:lang w:eastAsia="bg-BG"/>
        </w:rPr>
        <w:t>амлодипин: 55,4 μ</w:t>
      </w:r>
      <w:r w:rsidRPr="00C26715">
        <w:rPr>
          <w:rFonts w:eastAsia="Times New Roman" w:cs="Arial"/>
          <w:color w:val="000000"/>
          <w:lang w:val="en-US"/>
        </w:rPr>
        <w:t>g</w:t>
      </w:r>
      <w:r w:rsidRPr="00C26715">
        <w:rPr>
          <w:rFonts w:eastAsia="Times New Roman" w:cs="Arial"/>
          <w:color w:val="000000"/>
        </w:rPr>
        <w:t>/</w:t>
      </w:r>
      <w:r w:rsidRPr="00C26715">
        <w:rPr>
          <w:rFonts w:eastAsia="Times New Roman" w:cs="Arial"/>
          <w:color w:val="000000"/>
          <w:lang w:val="en-US"/>
        </w:rPr>
        <w:t>min</w:t>
      </w:r>
      <w:r w:rsidRPr="00C26715">
        <w:rPr>
          <w:rFonts w:eastAsia="Times New Roman" w:cs="Arial"/>
          <w:color w:val="000000"/>
        </w:rPr>
        <w:t xml:space="preserve">). </w:t>
      </w:r>
      <w:r w:rsidRPr="00C26715">
        <w:rPr>
          <w:rFonts w:eastAsia="Times New Roman" w:cs="Arial"/>
          <w:color w:val="000000"/>
          <w:lang w:eastAsia="bg-BG"/>
        </w:rPr>
        <w:t xml:space="preserve">с нормално или високо артериално налягане и със запазена бъбречна функция (серумен креатинин &lt;120 </w:t>
      </w:r>
      <w:proofErr w:type="spellStart"/>
      <w:r w:rsidRPr="00C26715">
        <w:rPr>
          <w:rFonts w:eastAsia="Times New Roman" w:cs="Arial"/>
          <w:color w:val="000000"/>
          <w:lang w:val="en-US"/>
        </w:rPr>
        <w:t>pmol</w:t>
      </w:r>
      <w:proofErr w:type="spellEnd"/>
      <w:r w:rsidRPr="00C26715">
        <w:rPr>
          <w:rFonts w:eastAsia="Times New Roman" w:cs="Arial"/>
          <w:color w:val="000000"/>
        </w:rPr>
        <w:t>/</w:t>
      </w:r>
      <w:r w:rsidRPr="00C26715">
        <w:rPr>
          <w:rFonts w:eastAsia="Times New Roman" w:cs="Arial"/>
          <w:color w:val="000000"/>
          <w:lang w:val="en-US"/>
        </w:rPr>
        <w:t>l</w:t>
      </w:r>
      <w:r w:rsidRPr="00C26715">
        <w:rPr>
          <w:rFonts w:eastAsia="Times New Roman" w:cs="Arial"/>
          <w:color w:val="000000"/>
        </w:rPr>
        <w:t xml:space="preserve">). </w:t>
      </w:r>
      <w:r w:rsidRPr="00C26715">
        <w:rPr>
          <w:rFonts w:eastAsia="Times New Roman" w:cs="Arial"/>
          <w:color w:val="000000"/>
          <w:lang w:eastAsia="bg-BG"/>
        </w:rPr>
        <w:t xml:space="preserve">След 24 седмици, </w:t>
      </w:r>
      <w:r w:rsidRPr="00C26715">
        <w:rPr>
          <w:rFonts w:eastAsia="Times New Roman" w:cs="Arial"/>
          <w:color w:val="000000"/>
          <w:lang w:val="en-US"/>
        </w:rPr>
        <w:t>UAE</w:t>
      </w:r>
      <w:r w:rsidRPr="00C26715">
        <w:rPr>
          <w:rFonts w:eastAsia="Times New Roman" w:cs="Arial"/>
          <w:color w:val="000000"/>
          <w:lang w:val="ru-RU"/>
        </w:rPr>
        <w:t xml:space="preserve"> </w:t>
      </w:r>
      <w:r w:rsidRPr="00C26715">
        <w:rPr>
          <w:rFonts w:eastAsia="Times New Roman" w:cs="Arial"/>
          <w:color w:val="000000"/>
          <w:lang w:eastAsia="bg-BG"/>
        </w:rPr>
        <w:t xml:space="preserve">е намалена (р&lt;0,001) с 42% (-24,2 </w:t>
      </w:r>
      <w:proofErr w:type="spellStart"/>
      <w:r w:rsidRPr="00C26715">
        <w:rPr>
          <w:rFonts w:eastAsia="Times New Roman" w:cs="Arial"/>
          <w:color w:val="000000"/>
          <w:lang w:val="en-US"/>
        </w:rPr>
        <w:t>pg</w:t>
      </w:r>
      <w:proofErr w:type="spellEnd"/>
      <w:r w:rsidRPr="00C26715">
        <w:rPr>
          <w:rFonts w:eastAsia="Times New Roman" w:cs="Arial"/>
          <w:color w:val="000000"/>
          <w:lang w:val="ru-RU"/>
        </w:rPr>
        <w:t>/</w:t>
      </w:r>
      <w:r w:rsidRPr="00C26715">
        <w:rPr>
          <w:rFonts w:eastAsia="Times New Roman" w:cs="Arial"/>
          <w:color w:val="000000"/>
          <w:lang w:val="en-US"/>
        </w:rPr>
        <w:t>min</w:t>
      </w:r>
      <w:r w:rsidRPr="00C26715">
        <w:rPr>
          <w:rFonts w:eastAsia="Times New Roman" w:cs="Arial"/>
          <w:color w:val="000000"/>
          <w:lang w:val="ru-RU"/>
        </w:rPr>
        <w:t xml:space="preserve">; </w:t>
      </w:r>
      <w:r w:rsidRPr="00C26715">
        <w:rPr>
          <w:rFonts w:eastAsia="Times New Roman" w:cs="Arial"/>
          <w:color w:val="000000"/>
          <w:lang w:eastAsia="bg-BG"/>
        </w:rPr>
        <w:t xml:space="preserve">95% </w:t>
      </w:r>
      <w:r w:rsidRPr="00C26715">
        <w:rPr>
          <w:rFonts w:eastAsia="Times New Roman" w:cs="Arial"/>
          <w:color w:val="000000"/>
          <w:lang w:val="en-US"/>
        </w:rPr>
        <w:t>Cl</w:t>
      </w:r>
      <w:r w:rsidRPr="00C26715">
        <w:rPr>
          <w:rFonts w:eastAsia="Times New Roman" w:cs="Arial"/>
          <w:color w:val="000000"/>
          <w:lang w:val="ru-RU"/>
        </w:rPr>
        <w:t xml:space="preserve">: </w:t>
      </w:r>
      <w:r w:rsidRPr="00C26715">
        <w:rPr>
          <w:rFonts w:eastAsia="Times New Roman" w:cs="Arial"/>
          <w:color w:val="000000"/>
          <w:lang w:eastAsia="bg-BG"/>
        </w:rPr>
        <w:t>-40,4 до -19,1) с валсартан и приблизително 3% (-1,7 μ</w:t>
      </w:r>
      <w:r w:rsidRPr="00C26715">
        <w:rPr>
          <w:rFonts w:eastAsia="Times New Roman" w:cs="Arial"/>
          <w:color w:val="000000"/>
          <w:lang w:val="en-US"/>
        </w:rPr>
        <w:t>g</w:t>
      </w:r>
      <w:r w:rsidRPr="00C26715">
        <w:rPr>
          <w:rFonts w:eastAsia="Times New Roman" w:cs="Arial"/>
          <w:color w:val="000000"/>
          <w:lang w:val="ru-RU"/>
        </w:rPr>
        <w:t>/</w:t>
      </w:r>
      <w:r w:rsidRPr="00C26715">
        <w:rPr>
          <w:rFonts w:eastAsia="Times New Roman" w:cs="Arial"/>
          <w:color w:val="000000"/>
          <w:lang w:val="en-US"/>
        </w:rPr>
        <w:t>min</w:t>
      </w:r>
      <w:r w:rsidRPr="00C26715">
        <w:rPr>
          <w:rFonts w:eastAsia="Times New Roman" w:cs="Arial"/>
          <w:color w:val="000000"/>
          <w:lang w:val="ru-RU"/>
        </w:rPr>
        <w:t xml:space="preserve">; </w:t>
      </w:r>
      <w:r w:rsidRPr="00C26715">
        <w:rPr>
          <w:rFonts w:eastAsia="Times New Roman" w:cs="Arial"/>
          <w:color w:val="000000"/>
          <w:lang w:eastAsia="bg-BG"/>
        </w:rPr>
        <w:t xml:space="preserve">95% </w:t>
      </w:r>
      <w:r w:rsidRPr="00C26715">
        <w:rPr>
          <w:rFonts w:eastAsia="Times New Roman" w:cs="Arial"/>
          <w:color w:val="000000"/>
          <w:lang w:val="en-US"/>
        </w:rPr>
        <w:t>CI</w:t>
      </w:r>
      <w:r w:rsidRPr="00C26715">
        <w:rPr>
          <w:rFonts w:eastAsia="Times New Roman" w:cs="Arial"/>
          <w:color w:val="000000"/>
          <w:lang w:val="ru-RU"/>
        </w:rPr>
        <w:t xml:space="preserve">: </w:t>
      </w:r>
      <w:r w:rsidRPr="00C26715">
        <w:rPr>
          <w:rFonts w:eastAsia="Times New Roman" w:cs="Arial"/>
          <w:color w:val="000000"/>
          <w:lang w:eastAsia="bg-BG"/>
        </w:rPr>
        <w:t>-5,6 до 14,9) с амлодипин, независимо от сходната степен на понижение в двете групи.</w:t>
      </w:r>
    </w:p>
    <w:p w14:paraId="5CEB0E19" w14:textId="77777777" w:rsidR="00C26715" w:rsidRPr="00C26715" w:rsidRDefault="00C26715" w:rsidP="00C26715">
      <w:pPr>
        <w:spacing w:line="240" w:lineRule="auto"/>
        <w:rPr>
          <w:rFonts w:eastAsia="Times New Roman" w:cs="Arial"/>
          <w:color w:val="000000"/>
          <w:lang w:eastAsia="bg-BG"/>
        </w:rPr>
      </w:pPr>
    </w:p>
    <w:p w14:paraId="25850469" w14:textId="132065B8"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Проучването </w:t>
      </w:r>
      <w:r w:rsidRPr="00C26715">
        <w:rPr>
          <w:rFonts w:eastAsia="Times New Roman" w:cs="Arial"/>
          <w:color w:val="000000"/>
          <w:lang w:val="en-US"/>
        </w:rPr>
        <w:t>Diovan</w:t>
      </w:r>
      <w:r w:rsidRPr="00C26715">
        <w:rPr>
          <w:rFonts w:eastAsia="Times New Roman" w:cs="Arial"/>
          <w:color w:val="000000"/>
        </w:rPr>
        <w:t xml:space="preserve"> </w:t>
      </w:r>
      <w:r w:rsidRPr="00C26715">
        <w:rPr>
          <w:rFonts w:eastAsia="Times New Roman" w:cs="Arial"/>
          <w:color w:val="000000"/>
          <w:lang w:val="en-US"/>
        </w:rPr>
        <w:t>Reduction</w:t>
      </w:r>
      <w:r w:rsidRPr="00C26715">
        <w:rPr>
          <w:rFonts w:eastAsia="Times New Roman" w:cs="Arial"/>
          <w:color w:val="000000"/>
        </w:rPr>
        <w:t xml:space="preserve"> </w:t>
      </w:r>
      <w:r w:rsidRPr="00C26715">
        <w:rPr>
          <w:rFonts w:eastAsia="Times New Roman" w:cs="Arial"/>
          <w:color w:val="000000"/>
          <w:lang w:val="en-US"/>
        </w:rPr>
        <w:t>of</w:t>
      </w:r>
      <w:r w:rsidRPr="00C26715">
        <w:rPr>
          <w:rFonts w:eastAsia="Times New Roman" w:cs="Arial"/>
          <w:color w:val="000000"/>
        </w:rPr>
        <w:t xml:space="preserve"> </w:t>
      </w:r>
      <w:r w:rsidRPr="00C26715">
        <w:rPr>
          <w:rFonts w:eastAsia="Times New Roman" w:cs="Arial"/>
          <w:color w:val="000000"/>
          <w:lang w:val="en-US"/>
        </w:rPr>
        <w:t>Proteinuria</w:t>
      </w:r>
      <w:r w:rsidRPr="00C26715">
        <w:rPr>
          <w:rFonts w:eastAsia="Times New Roman" w:cs="Arial"/>
          <w:color w:val="000000"/>
        </w:rPr>
        <w:t xml:space="preserve"> (</w:t>
      </w:r>
      <w:r w:rsidRPr="00C26715">
        <w:rPr>
          <w:rFonts w:eastAsia="Times New Roman" w:cs="Arial"/>
          <w:color w:val="000000"/>
          <w:lang w:val="en-US"/>
        </w:rPr>
        <w:t>DROP</w:t>
      </w:r>
      <w:r w:rsidRPr="00C26715">
        <w:rPr>
          <w:rFonts w:eastAsia="Times New Roman" w:cs="Arial"/>
          <w:color w:val="000000"/>
        </w:rPr>
        <w:t xml:space="preserve">) </w:t>
      </w:r>
      <w:r w:rsidRPr="00C26715">
        <w:rPr>
          <w:rFonts w:eastAsia="Times New Roman" w:cs="Arial"/>
          <w:color w:val="000000"/>
          <w:lang w:eastAsia="bg-BG"/>
        </w:rPr>
        <w:t xml:space="preserve">изследва допълнително ефикасността на валсартан при редуциране на </w:t>
      </w:r>
      <w:r w:rsidRPr="00C26715">
        <w:rPr>
          <w:rFonts w:eastAsia="Times New Roman" w:cs="Arial"/>
          <w:color w:val="000000"/>
          <w:lang w:val="en-US"/>
        </w:rPr>
        <w:t>UAE</w:t>
      </w:r>
      <w:r w:rsidRPr="00C26715">
        <w:rPr>
          <w:rFonts w:eastAsia="Times New Roman" w:cs="Arial"/>
          <w:color w:val="000000"/>
        </w:rPr>
        <w:t xml:space="preserve"> </w:t>
      </w:r>
      <w:r w:rsidRPr="00C26715">
        <w:rPr>
          <w:rFonts w:eastAsia="Times New Roman" w:cs="Arial"/>
          <w:color w:val="000000"/>
          <w:lang w:eastAsia="bg-BG"/>
        </w:rPr>
        <w:t xml:space="preserve">при 391 пациенти с хипертония (АН= 150/88 </w:t>
      </w:r>
      <w:r w:rsidRPr="00C26715">
        <w:rPr>
          <w:rFonts w:eastAsia="Times New Roman" w:cs="Arial"/>
          <w:color w:val="000000"/>
          <w:lang w:val="en-US"/>
        </w:rPr>
        <w:t>mmHg</w:t>
      </w:r>
      <w:r w:rsidRPr="00C26715">
        <w:rPr>
          <w:rFonts w:eastAsia="Times New Roman" w:cs="Arial"/>
          <w:color w:val="000000"/>
        </w:rPr>
        <w:t xml:space="preserve">) </w:t>
      </w:r>
      <w:r w:rsidRPr="00C26715">
        <w:rPr>
          <w:rFonts w:eastAsia="Times New Roman" w:cs="Arial"/>
          <w:color w:val="000000"/>
          <w:lang w:eastAsia="bg-BG"/>
        </w:rPr>
        <w:t>с диабет тип 2, албуминурия (средна стойност=102 μ</w:t>
      </w:r>
      <w:r w:rsidRPr="00C26715">
        <w:rPr>
          <w:rFonts w:eastAsia="Times New Roman" w:cs="Arial"/>
          <w:color w:val="000000"/>
          <w:lang w:val="en-US"/>
        </w:rPr>
        <w:t>g</w:t>
      </w:r>
      <w:r w:rsidRPr="00C26715">
        <w:rPr>
          <w:rFonts w:eastAsia="Times New Roman" w:cs="Arial"/>
          <w:color w:val="000000"/>
        </w:rPr>
        <w:t>/</w:t>
      </w:r>
      <w:r w:rsidRPr="00C26715">
        <w:rPr>
          <w:rFonts w:eastAsia="Times New Roman" w:cs="Arial"/>
          <w:color w:val="000000"/>
          <w:lang w:val="en-US"/>
        </w:rPr>
        <w:t>min</w:t>
      </w:r>
      <w:r w:rsidRPr="00C26715">
        <w:rPr>
          <w:rFonts w:eastAsia="Times New Roman" w:cs="Arial"/>
          <w:color w:val="000000"/>
        </w:rPr>
        <w:t xml:space="preserve">; </w:t>
      </w:r>
      <w:r w:rsidRPr="00C26715">
        <w:rPr>
          <w:rFonts w:eastAsia="Times New Roman" w:cs="Arial"/>
          <w:color w:val="000000"/>
          <w:lang w:eastAsia="bg-BG"/>
        </w:rPr>
        <w:t>20-700 μ</w:t>
      </w:r>
      <w:r w:rsidRPr="00C26715">
        <w:rPr>
          <w:rFonts w:eastAsia="Times New Roman" w:cs="Arial"/>
          <w:color w:val="000000"/>
          <w:lang w:val="en-US"/>
        </w:rPr>
        <w:t>g</w:t>
      </w:r>
      <w:r w:rsidRPr="00C26715">
        <w:rPr>
          <w:rFonts w:eastAsia="Times New Roman" w:cs="Arial"/>
          <w:color w:val="000000"/>
        </w:rPr>
        <w:t>/</w:t>
      </w:r>
      <w:r w:rsidRPr="00C26715">
        <w:rPr>
          <w:rFonts w:eastAsia="Times New Roman" w:cs="Arial"/>
          <w:color w:val="000000"/>
          <w:lang w:val="en-US"/>
        </w:rPr>
        <w:t>min</w:t>
      </w:r>
      <w:r w:rsidRPr="00C26715">
        <w:rPr>
          <w:rFonts w:eastAsia="Times New Roman" w:cs="Arial"/>
          <w:color w:val="000000"/>
        </w:rPr>
        <w:t xml:space="preserve">) </w:t>
      </w:r>
      <w:r w:rsidRPr="00C26715">
        <w:rPr>
          <w:rFonts w:eastAsia="Times New Roman" w:cs="Arial"/>
          <w:color w:val="000000"/>
          <w:lang w:eastAsia="bg-BG"/>
        </w:rPr>
        <w:t xml:space="preserve">и запазена бъбречна функция (среден серумен креатинин=80 </w:t>
      </w:r>
      <w:proofErr w:type="spellStart"/>
      <w:r w:rsidRPr="00C26715">
        <w:rPr>
          <w:rFonts w:eastAsia="Times New Roman" w:cs="Arial"/>
          <w:color w:val="000000"/>
          <w:lang w:val="en-US"/>
        </w:rPr>
        <w:t>pmol</w:t>
      </w:r>
      <w:proofErr w:type="spellEnd"/>
      <w:r w:rsidRPr="00C26715">
        <w:rPr>
          <w:rFonts w:eastAsia="Times New Roman" w:cs="Arial"/>
          <w:color w:val="000000"/>
        </w:rPr>
        <w:t xml:space="preserve">/1). </w:t>
      </w:r>
      <w:r w:rsidRPr="00C26715">
        <w:rPr>
          <w:rFonts w:eastAsia="Times New Roman" w:cs="Arial"/>
          <w:color w:val="000000"/>
          <w:lang w:eastAsia="bg-BG"/>
        </w:rPr>
        <w:t xml:space="preserve">Пациентите са рандомизирани с една от 3-те дози валсартан (160, 320 и 640 </w:t>
      </w:r>
      <w:r w:rsidRPr="00C26715">
        <w:rPr>
          <w:rFonts w:eastAsia="Times New Roman" w:cs="Arial"/>
          <w:color w:val="000000"/>
          <w:lang w:val="en-US"/>
        </w:rPr>
        <w:t>mg</w:t>
      </w:r>
      <w:r w:rsidRPr="00C26715">
        <w:rPr>
          <w:rFonts w:eastAsia="Times New Roman" w:cs="Arial"/>
          <w:color w:val="000000"/>
          <w:lang w:eastAsia="bg-BG"/>
        </w:rPr>
        <w:t xml:space="preserve">/ден) и лекувани в продължение на 30 седмици. Целта на проучването е да установи оптималната доза валсартан за редуциране на </w:t>
      </w:r>
      <w:r w:rsidRPr="00C26715">
        <w:rPr>
          <w:rFonts w:eastAsia="Times New Roman" w:cs="Arial"/>
          <w:color w:val="000000"/>
          <w:lang w:val="en-US"/>
        </w:rPr>
        <w:t>UAE</w:t>
      </w:r>
      <w:r w:rsidRPr="00C26715">
        <w:rPr>
          <w:rFonts w:eastAsia="Times New Roman" w:cs="Arial"/>
          <w:color w:val="000000"/>
          <w:lang w:val="ru-RU"/>
        </w:rPr>
        <w:t xml:space="preserve"> </w:t>
      </w:r>
      <w:r w:rsidRPr="00C26715">
        <w:rPr>
          <w:rFonts w:eastAsia="Times New Roman" w:cs="Arial"/>
          <w:color w:val="000000"/>
          <w:lang w:eastAsia="bg-BG"/>
        </w:rPr>
        <w:t xml:space="preserve">при пациенти с хипертония и диабет тип 2. След 30 седмици процентната промяна в </w:t>
      </w:r>
      <w:r w:rsidRPr="00C26715">
        <w:rPr>
          <w:rFonts w:eastAsia="Times New Roman" w:cs="Arial"/>
          <w:color w:val="000000"/>
          <w:lang w:val="en-US"/>
        </w:rPr>
        <w:t>UAE</w:t>
      </w:r>
      <w:r w:rsidRPr="00C26715">
        <w:rPr>
          <w:rFonts w:eastAsia="Times New Roman" w:cs="Arial"/>
          <w:color w:val="000000"/>
          <w:lang w:val="ru-RU"/>
        </w:rPr>
        <w:t xml:space="preserve"> </w:t>
      </w:r>
      <w:r w:rsidRPr="00C26715">
        <w:rPr>
          <w:rFonts w:eastAsia="Times New Roman" w:cs="Arial"/>
          <w:color w:val="000000"/>
          <w:lang w:eastAsia="bg-BG"/>
        </w:rPr>
        <w:t xml:space="preserve">е значително намалена с 36% от изходната стойност с валсартан 160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(95% </w:t>
      </w:r>
      <w:r w:rsidRPr="00C26715">
        <w:rPr>
          <w:rFonts w:eastAsia="Times New Roman" w:cs="Arial"/>
          <w:color w:val="000000"/>
          <w:lang w:val="en-US"/>
        </w:rPr>
        <w:t>CI</w:t>
      </w:r>
      <w:r w:rsidRPr="00C26715">
        <w:rPr>
          <w:rFonts w:eastAsia="Times New Roman" w:cs="Arial"/>
          <w:color w:val="000000"/>
          <w:lang w:val="ru-RU"/>
        </w:rPr>
        <w:t xml:space="preserve">: </w:t>
      </w:r>
      <w:r w:rsidRPr="00C26715">
        <w:rPr>
          <w:rFonts w:eastAsia="Times New Roman" w:cs="Arial"/>
          <w:color w:val="000000"/>
          <w:lang w:eastAsia="bg-BG"/>
        </w:rPr>
        <w:t xml:space="preserve">22 до 47%) и с 44% с валсартан 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(95% </w:t>
      </w:r>
      <w:r w:rsidRPr="00C26715">
        <w:rPr>
          <w:rFonts w:eastAsia="Times New Roman" w:cs="Arial"/>
          <w:color w:val="000000"/>
          <w:lang w:val="en-US"/>
        </w:rPr>
        <w:t>CI</w:t>
      </w:r>
      <w:r w:rsidRPr="00C26715">
        <w:rPr>
          <w:rFonts w:eastAsia="Times New Roman" w:cs="Arial"/>
          <w:color w:val="000000"/>
          <w:lang w:val="ru-RU"/>
        </w:rPr>
        <w:t xml:space="preserve">: </w:t>
      </w:r>
      <w:r w:rsidRPr="00C26715">
        <w:rPr>
          <w:rFonts w:eastAsia="Times New Roman" w:cs="Arial"/>
          <w:color w:val="000000"/>
          <w:lang w:eastAsia="bg-BG"/>
        </w:rPr>
        <w:t xml:space="preserve">31 до 54%). Направено е заключение, че 160-320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валсартан води до клинично значима редукция на </w:t>
      </w:r>
      <w:r w:rsidRPr="00C26715">
        <w:rPr>
          <w:rFonts w:eastAsia="Times New Roman" w:cs="Arial"/>
          <w:color w:val="000000"/>
          <w:lang w:val="en-US"/>
        </w:rPr>
        <w:t>UAE</w:t>
      </w:r>
      <w:r w:rsidRPr="00C26715">
        <w:rPr>
          <w:rFonts w:eastAsia="Times New Roman" w:cs="Arial"/>
          <w:color w:val="000000"/>
          <w:lang w:val="ru-RU"/>
        </w:rPr>
        <w:t xml:space="preserve"> </w:t>
      </w:r>
      <w:r w:rsidRPr="00C26715">
        <w:rPr>
          <w:rFonts w:eastAsia="Times New Roman" w:cs="Arial"/>
          <w:color w:val="000000"/>
          <w:lang w:eastAsia="bg-BG"/>
        </w:rPr>
        <w:t>при пациенти с хипертония и диабет тип 2.</w:t>
      </w:r>
    </w:p>
    <w:p w14:paraId="56B40504" w14:textId="77777777" w:rsidR="00C26715" w:rsidRPr="00C26715" w:rsidRDefault="00C26715" w:rsidP="00C26715">
      <w:pPr>
        <w:spacing w:line="240" w:lineRule="auto"/>
        <w:rPr>
          <w:rFonts w:eastAsia="Times New Roman" w:cs="Arial"/>
          <w:i/>
          <w:iCs/>
          <w:color w:val="000000"/>
          <w:u w:val="single"/>
          <w:lang w:eastAsia="bg-BG"/>
        </w:rPr>
      </w:pPr>
    </w:p>
    <w:p w14:paraId="7B070137" w14:textId="4088AF25" w:rsidR="00C26715" w:rsidRPr="00C26715" w:rsidRDefault="00C26715" w:rsidP="00C26715">
      <w:pPr>
        <w:spacing w:line="240" w:lineRule="auto"/>
        <w:rPr>
          <w:rFonts w:eastAsia="Times New Roman" w:cs="Arial"/>
        </w:rPr>
      </w:pPr>
      <w:r w:rsidRPr="00C26715">
        <w:rPr>
          <w:rFonts w:eastAsia="Times New Roman" w:cs="Arial"/>
          <w:i/>
          <w:iCs/>
          <w:color w:val="000000"/>
          <w:u w:val="single"/>
          <w:lang w:eastAsia="bg-BG"/>
        </w:rPr>
        <w:t>Други: двойно блокиране наренин ангиотензин -алдостероновата система (РААС)</w:t>
      </w:r>
    </w:p>
    <w:p w14:paraId="56C68959"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Две големи рандомизирани контролирани проучвания - </w:t>
      </w:r>
      <w:r w:rsidRPr="00C26715">
        <w:rPr>
          <w:rFonts w:eastAsia="Times New Roman" w:cs="Arial"/>
          <w:color w:val="000000"/>
          <w:lang w:val="en-US"/>
        </w:rPr>
        <w:t>ONTARGET</w:t>
      </w:r>
      <w:r w:rsidRPr="00C26715">
        <w:rPr>
          <w:rFonts w:eastAsia="Times New Roman" w:cs="Arial"/>
          <w:color w:val="000000"/>
        </w:rPr>
        <w:t xml:space="preserve"> (</w:t>
      </w:r>
      <w:proofErr w:type="spellStart"/>
      <w:r w:rsidRPr="00C26715">
        <w:rPr>
          <w:rFonts w:eastAsia="Times New Roman" w:cs="Arial"/>
          <w:color w:val="000000"/>
          <w:lang w:val="en-US"/>
        </w:rPr>
        <w:t>ONgoing</w:t>
      </w:r>
      <w:proofErr w:type="spellEnd"/>
      <w:r w:rsidRPr="00C26715">
        <w:rPr>
          <w:rFonts w:eastAsia="Times New Roman" w:cs="Arial"/>
          <w:color w:val="000000"/>
        </w:rPr>
        <w:t xml:space="preserve"> </w:t>
      </w:r>
      <w:proofErr w:type="spellStart"/>
      <w:r w:rsidRPr="00C26715">
        <w:rPr>
          <w:rFonts w:eastAsia="Times New Roman" w:cs="Arial"/>
          <w:color w:val="000000"/>
          <w:lang w:val="en-US"/>
        </w:rPr>
        <w:t>Telmisartan</w:t>
      </w:r>
      <w:proofErr w:type="spellEnd"/>
      <w:r w:rsidRPr="00C26715">
        <w:rPr>
          <w:rFonts w:eastAsia="Times New Roman" w:cs="Arial"/>
          <w:color w:val="000000"/>
        </w:rPr>
        <w:t xml:space="preserve"> </w:t>
      </w:r>
      <w:r w:rsidRPr="00C26715">
        <w:rPr>
          <w:rFonts w:eastAsia="Times New Roman" w:cs="Arial"/>
          <w:color w:val="000000"/>
          <w:lang w:val="en-US"/>
        </w:rPr>
        <w:t>Alone</w:t>
      </w:r>
      <w:r w:rsidRPr="00C26715">
        <w:rPr>
          <w:rFonts w:eastAsia="Times New Roman" w:cs="Arial"/>
          <w:color w:val="000000"/>
        </w:rPr>
        <w:t xml:space="preserve"> </w:t>
      </w:r>
      <w:r w:rsidRPr="00C26715">
        <w:rPr>
          <w:rFonts w:eastAsia="Times New Roman" w:cs="Arial"/>
          <w:color w:val="000000"/>
          <w:lang w:val="en-US"/>
        </w:rPr>
        <w:t>and</w:t>
      </w:r>
      <w:r w:rsidRPr="00C26715">
        <w:rPr>
          <w:rFonts w:eastAsia="Times New Roman" w:cs="Arial"/>
          <w:color w:val="000000"/>
        </w:rPr>
        <w:t xml:space="preserve"> </w:t>
      </w:r>
      <w:r w:rsidRPr="00C26715">
        <w:rPr>
          <w:rFonts w:eastAsia="Times New Roman" w:cs="Arial"/>
          <w:color w:val="000000"/>
          <w:lang w:val="en-US"/>
        </w:rPr>
        <w:t>in</w:t>
      </w:r>
      <w:r w:rsidRPr="00C26715">
        <w:rPr>
          <w:rFonts w:eastAsia="Times New Roman" w:cs="Arial"/>
          <w:color w:val="000000"/>
        </w:rPr>
        <w:t xml:space="preserve"> </w:t>
      </w:r>
      <w:r w:rsidRPr="00C26715">
        <w:rPr>
          <w:rFonts w:eastAsia="Times New Roman" w:cs="Arial"/>
          <w:color w:val="000000"/>
          <w:lang w:val="en-US"/>
        </w:rPr>
        <w:t>combination</w:t>
      </w:r>
      <w:r w:rsidRPr="00C26715">
        <w:rPr>
          <w:rFonts w:eastAsia="Times New Roman" w:cs="Arial"/>
          <w:color w:val="000000"/>
        </w:rPr>
        <w:t xml:space="preserve"> </w:t>
      </w:r>
      <w:r w:rsidRPr="00C26715">
        <w:rPr>
          <w:rFonts w:eastAsia="Times New Roman" w:cs="Arial"/>
          <w:color w:val="000000"/>
          <w:lang w:val="en-US"/>
        </w:rPr>
        <w:t>with</w:t>
      </w:r>
      <w:r w:rsidRPr="00C26715">
        <w:rPr>
          <w:rFonts w:eastAsia="Times New Roman" w:cs="Arial"/>
          <w:color w:val="000000"/>
        </w:rPr>
        <w:t xml:space="preserve"> </w:t>
      </w:r>
      <w:r w:rsidRPr="00C26715">
        <w:rPr>
          <w:rFonts w:eastAsia="Times New Roman" w:cs="Arial"/>
          <w:color w:val="000000"/>
          <w:lang w:val="en-US"/>
        </w:rPr>
        <w:t>Ramipril</w:t>
      </w:r>
      <w:r w:rsidRPr="00C26715">
        <w:rPr>
          <w:rFonts w:eastAsia="Times New Roman" w:cs="Arial"/>
          <w:color w:val="000000"/>
        </w:rPr>
        <w:t xml:space="preserve"> </w:t>
      </w:r>
      <w:r w:rsidRPr="00C26715">
        <w:rPr>
          <w:rFonts w:eastAsia="Times New Roman" w:cs="Arial"/>
          <w:color w:val="000000"/>
          <w:lang w:val="en-US"/>
        </w:rPr>
        <w:t>Global</w:t>
      </w:r>
      <w:r w:rsidRPr="00C26715">
        <w:rPr>
          <w:rFonts w:eastAsia="Times New Roman" w:cs="Arial"/>
          <w:color w:val="000000"/>
        </w:rPr>
        <w:t xml:space="preserve"> </w:t>
      </w:r>
      <w:r w:rsidRPr="00C26715">
        <w:rPr>
          <w:rFonts w:eastAsia="Times New Roman" w:cs="Arial"/>
          <w:color w:val="000000"/>
          <w:lang w:val="en-US"/>
        </w:rPr>
        <w:t>Endpoint</w:t>
      </w:r>
      <w:r w:rsidRPr="00C26715">
        <w:rPr>
          <w:rFonts w:eastAsia="Times New Roman" w:cs="Arial"/>
          <w:color w:val="000000"/>
        </w:rPr>
        <w:t xml:space="preserve"> </w:t>
      </w:r>
      <w:r w:rsidRPr="00C26715">
        <w:rPr>
          <w:rFonts w:eastAsia="Times New Roman" w:cs="Arial"/>
          <w:color w:val="000000"/>
          <w:lang w:val="en-US"/>
        </w:rPr>
        <w:t>Trial</w:t>
      </w:r>
      <w:r w:rsidRPr="00C26715">
        <w:rPr>
          <w:rFonts w:eastAsia="Times New Roman" w:cs="Arial"/>
          <w:color w:val="000000"/>
        </w:rPr>
        <w:t xml:space="preserve"> - </w:t>
      </w:r>
      <w:r w:rsidRPr="00C2671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26715">
        <w:rPr>
          <w:rFonts w:eastAsia="Times New Roman" w:cs="Arial"/>
          <w:color w:val="000000"/>
          <w:lang w:val="en-US"/>
        </w:rPr>
        <w:t>VA</w:t>
      </w:r>
      <w:r w:rsidRPr="00C26715">
        <w:rPr>
          <w:rFonts w:eastAsia="Times New Roman" w:cs="Arial"/>
          <w:color w:val="000000"/>
        </w:rPr>
        <w:t xml:space="preserve"> </w:t>
      </w:r>
      <w:r w:rsidRPr="00C26715">
        <w:rPr>
          <w:rFonts w:eastAsia="Times New Roman" w:cs="Arial"/>
          <w:color w:val="000000"/>
          <w:lang w:val="en-US"/>
        </w:rPr>
        <w:t>NEPHRON</w:t>
      </w:r>
      <w:r w:rsidRPr="00C26715">
        <w:rPr>
          <w:rFonts w:eastAsia="Times New Roman" w:cs="Arial"/>
          <w:color w:val="000000"/>
        </w:rPr>
        <w:t>-</w:t>
      </w:r>
      <w:r w:rsidRPr="00C26715">
        <w:rPr>
          <w:rFonts w:eastAsia="Times New Roman" w:cs="Arial"/>
          <w:color w:val="000000"/>
          <w:lang w:val="en-US"/>
        </w:rPr>
        <w:t>D</w:t>
      </w:r>
      <w:r w:rsidRPr="00C26715">
        <w:rPr>
          <w:rFonts w:eastAsia="Times New Roman" w:cs="Arial"/>
          <w:color w:val="000000"/>
        </w:rPr>
        <w:t xml:space="preserve"> </w:t>
      </w:r>
      <w:r w:rsidRPr="00C26715">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19900A9A" w14:textId="77777777" w:rsidR="00C26715" w:rsidRPr="00C26715" w:rsidRDefault="00C26715" w:rsidP="00C26715">
      <w:pPr>
        <w:spacing w:line="240" w:lineRule="auto"/>
        <w:rPr>
          <w:rFonts w:eastAsia="Times New Roman" w:cs="Arial"/>
        </w:rPr>
      </w:pPr>
      <w:r w:rsidRPr="00C26715">
        <w:rPr>
          <w:rFonts w:eastAsia="Times New Roman" w:cs="Arial"/>
          <w:color w:val="000000"/>
          <w:lang w:val="en-US"/>
        </w:rPr>
        <w:t>ONTARGET</w:t>
      </w:r>
      <w:r w:rsidRPr="00C26715">
        <w:rPr>
          <w:rFonts w:eastAsia="Times New Roman" w:cs="Arial"/>
          <w:color w:val="000000"/>
          <w:lang w:val="ru-RU"/>
        </w:rPr>
        <w:t xml:space="preserve"> </w:t>
      </w:r>
      <w:r w:rsidRPr="00C26715">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26715">
        <w:rPr>
          <w:rFonts w:eastAsia="Times New Roman" w:cs="Arial"/>
          <w:color w:val="000000"/>
          <w:lang w:val="en-US"/>
        </w:rPr>
        <w:t>VA</w:t>
      </w:r>
      <w:r w:rsidRPr="00C26715">
        <w:rPr>
          <w:rFonts w:eastAsia="Times New Roman" w:cs="Arial"/>
          <w:color w:val="000000"/>
          <w:lang w:val="ru-RU"/>
        </w:rPr>
        <w:t xml:space="preserve"> </w:t>
      </w:r>
      <w:r w:rsidRPr="00C26715">
        <w:rPr>
          <w:rFonts w:eastAsia="Times New Roman" w:cs="Arial"/>
          <w:color w:val="000000"/>
          <w:lang w:val="en-US"/>
        </w:rPr>
        <w:t>NEPHRON</w:t>
      </w:r>
      <w:r w:rsidRPr="00C26715">
        <w:rPr>
          <w:rFonts w:eastAsia="Times New Roman" w:cs="Arial"/>
          <w:color w:val="000000"/>
          <w:lang w:val="ru-RU"/>
        </w:rPr>
        <w:t>-</w:t>
      </w:r>
      <w:r w:rsidRPr="00C26715">
        <w:rPr>
          <w:rFonts w:eastAsia="Times New Roman" w:cs="Arial"/>
          <w:color w:val="000000"/>
          <w:lang w:val="en-US"/>
        </w:rPr>
        <w:t>D</w:t>
      </w:r>
      <w:r w:rsidRPr="00C26715">
        <w:rPr>
          <w:rFonts w:eastAsia="Times New Roman" w:cs="Arial"/>
          <w:color w:val="000000"/>
          <w:lang w:val="ru-RU"/>
        </w:rPr>
        <w:t xml:space="preserve"> </w:t>
      </w:r>
      <w:r w:rsidRPr="00C26715">
        <w:rPr>
          <w:rFonts w:eastAsia="Times New Roman" w:cs="Arial"/>
          <w:color w:val="000000"/>
          <w:lang w:eastAsia="bg-BG"/>
        </w:rPr>
        <w:t>е проучване при пациенти със захарен диабет тип 2 и диабетна нефропатия.</w:t>
      </w:r>
    </w:p>
    <w:p w14:paraId="45F385AB"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2A5BD527"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w:t>
      </w:r>
    </w:p>
    <w:p w14:paraId="200CFF74" w14:textId="77777777" w:rsidR="00C26715" w:rsidRPr="00C26715" w:rsidRDefault="00C26715" w:rsidP="00C26715">
      <w:pPr>
        <w:spacing w:line="240" w:lineRule="auto"/>
        <w:rPr>
          <w:rFonts w:eastAsia="Times New Roman" w:cs="Arial"/>
        </w:rPr>
      </w:pPr>
      <w:r w:rsidRPr="00C26715">
        <w:rPr>
          <w:rFonts w:eastAsia="Times New Roman" w:cs="Arial"/>
          <w:color w:val="000000"/>
          <w:lang w:val="en-US"/>
        </w:rPr>
        <w:t>ALTITUDE</w:t>
      </w:r>
      <w:r w:rsidRPr="00C26715">
        <w:rPr>
          <w:rFonts w:eastAsia="Times New Roman" w:cs="Arial"/>
          <w:color w:val="000000"/>
          <w:lang w:val="ru-RU"/>
        </w:rPr>
        <w:t xml:space="preserve"> </w:t>
      </w:r>
      <w:r w:rsidRPr="00C26715">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C26715">
        <w:rPr>
          <w:rFonts w:eastAsia="Times New Roman" w:cs="Arial"/>
          <w:color w:val="000000"/>
          <w:lang w:val="en-US"/>
        </w:rPr>
        <w:t>ACE</w:t>
      </w:r>
      <w:r w:rsidRPr="00C26715">
        <w:rPr>
          <w:rFonts w:eastAsia="Times New Roman" w:cs="Arial"/>
          <w:color w:val="000000"/>
          <w:lang w:eastAsia="bg-BG"/>
        </w:rPr>
        <w:t xml:space="preserve">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 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D3B71B9" w14:textId="00539A81" w:rsidR="00C26715" w:rsidRPr="00C26715" w:rsidRDefault="00C26715" w:rsidP="00C26715">
      <w:pPr>
        <w:spacing w:line="240" w:lineRule="auto"/>
        <w:rPr>
          <w:rFonts w:eastAsia="Times New Roman" w:cs="Arial"/>
        </w:rPr>
      </w:pPr>
    </w:p>
    <w:p w14:paraId="393913B1" w14:textId="77777777" w:rsidR="00C26715" w:rsidRPr="00C26715" w:rsidRDefault="00C26715" w:rsidP="00C26715">
      <w:pPr>
        <w:spacing w:line="240" w:lineRule="auto"/>
        <w:rPr>
          <w:rFonts w:eastAsia="Times New Roman" w:cs="Arial"/>
        </w:rPr>
      </w:pPr>
      <w:r w:rsidRPr="00C26715">
        <w:rPr>
          <w:rFonts w:eastAsia="Times New Roman" w:cs="Arial"/>
          <w:i/>
          <w:iCs/>
          <w:color w:val="000000"/>
          <w:lang w:eastAsia="bg-BG"/>
        </w:rPr>
        <w:t>Хидрохлоротиазид</w:t>
      </w:r>
    </w:p>
    <w:p w14:paraId="5DB54FD4" w14:textId="77777777" w:rsidR="00C26715" w:rsidRPr="00C26715" w:rsidRDefault="00C26715" w:rsidP="00C26715">
      <w:pPr>
        <w:spacing w:line="240" w:lineRule="auto"/>
        <w:rPr>
          <w:rFonts w:eastAsia="Times New Roman" w:cs="Arial"/>
        </w:rPr>
      </w:pPr>
      <w:r w:rsidRPr="00C26715">
        <w:rPr>
          <w:rFonts w:eastAsia="Times New Roman" w:cs="Arial"/>
          <w:i/>
          <w:iCs/>
          <w:color w:val="000000"/>
          <w:lang w:eastAsia="bg-BG"/>
        </w:rPr>
        <w:lastRenderedPageBreak/>
        <w:t>Основното място на</w:t>
      </w:r>
      <w:r w:rsidRPr="00C26715">
        <w:rPr>
          <w:rFonts w:eastAsia="Times New Roman" w:cs="Arial"/>
          <w:color w:val="000000"/>
          <w:lang w:eastAsia="bg-BG"/>
        </w:rPr>
        <w:t xml:space="preserve"> действие на тиазидните диуретици са дисталните извити каналчета на бъбрека. Доказано е, че в бъбречната кора съществува високоафинитетен рецептор, който е основно свързващо място за тиазидните диуретици и за инхибиране на транспорта на натриев хлорид в дисталното извито каналче. Тиазидните диуретици действат чрез инхибиране на </w:t>
      </w:r>
      <w:r w:rsidRPr="00C26715">
        <w:rPr>
          <w:rFonts w:eastAsia="Times New Roman" w:cs="Arial"/>
          <w:color w:val="000000"/>
          <w:lang w:val="en-US"/>
        </w:rPr>
        <w:t>Na</w:t>
      </w:r>
      <w:r w:rsidRPr="00C26715">
        <w:rPr>
          <w:rFonts w:eastAsia="Times New Roman" w:cs="Arial"/>
          <w:color w:val="000000"/>
          <w:lang w:val="ru-RU"/>
        </w:rPr>
        <w:t xml:space="preserve"> </w:t>
      </w:r>
      <w:r w:rsidRPr="00C26715">
        <w:rPr>
          <w:rFonts w:eastAsia="Times New Roman" w:cs="Arial"/>
          <w:color w:val="000000"/>
          <w:vertAlign w:val="superscript"/>
          <w:lang w:eastAsia="bg-BG"/>
        </w:rPr>
        <w:t>+</w:t>
      </w:r>
      <w:r w:rsidRPr="00C26715">
        <w:rPr>
          <w:rFonts w:eastAsia="Times New Roman" w:cs="Arial"/>
          <w:color w:val="000000"/>
          <w:lang w:eastAsia="bg-BG"/>
        </w:rPr>
        <w:t>С</w:t>
      </w:r>
      <w:r w:rsidRPr="00C26715">
        <w:rPr>
          <w:rFonts w:eastAsia="Times New Roman" w:cs="Arial"/>
          <w:color w:val="000000"/>
          <w:lang w:val="en-US"/>
        </w:rPr>
        <w:t>l</w:t>
      </w:r>
      <w:r w:rsidRPr="00C26715">
        <w:rPr>
          <w:rFonts w:eastAsia="Times New Roman" w:cs="Arial"/>
          <w:color w:val="000000"/>
          <w:vertAlign w:val="superscript"/>
          <w:lang w:val="ru-RU"/>
        </w:rPr>
        <w:t>-</w:t>
      </w:r>
      <w:r w:rsidRPr="00C26715">
        <w:rPr>
          <w:rFonts w:eastAsia="Times New Roman" w:cs="Arial"/>
          <w:color w:val="000000"/>
          <w:vertAlign w:val="superscript"/>
          <w:lang w:eastAsia="bg-BG"/>
        </w:rPr>
        <w:t xml:space="preserve"> </w:t>
      </w:r>
      <w:r w:rsidRPr="00C26715">
        <w:rPr>
          <w:rFonts w:eastAsia="Times New Roman" w:cs="Arial"/>
          <w:color w:val="000000"/>
          <w:lang w:eastAsia="bg-BG"/>
        </w:rPr>
        <w:t>симпортер, вероятно чрез конкуриране за мястото за свързване на С</w:t>
      </w:r>
      <w:r w:rsidRPr="00C26715">
        <w:rPr>
          <w:rFonts w:eastAsia="Times New Roman" w:cs="Arial"/>
          <w:color w:val="000000"/>
          <w:lang w:val="en-US"/>
        </w:rPr>
        <w:t>l</w:t>
      </w:r>
      <w:r w:rsidRPr="00C26715">
        <w:rPr>
          <w:rFonts w:eastAsia="Times New Roman" w:cs="Arial"/>
          <w:color w:val="000000"/>
          <w:vertAlign w:val="superscript"/>
          <w:lang w:val="ru-RU"/>
        </w:rPr>
        <w:t>-</w:t>
      </w:r>
      <w:r w:rsidRPr="00C26715">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хлориди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 Връзката ренин-алдостерон се медиира от ангиотензин И, така че при едновременно прилагане с валсартан редукцията на серумния калий е по-слабо изразена, отколкото наблюдаваната при монотерапия с хидрохлоротиазид.</w:t>
      </w:r>
    </w:p>
    <w:p w14:paraId="685475E4" w14:textId="77777777" w:rsidR="00C26715" w:rsidRPr="00C26715" w:rsidRDefault="00C26715" w:rsidP="00C26715">
      <w:pPr>
        <w:spacing w:line="240" w:lineRule="auto"/>
        <w:rPr>
          <w:rFonts w:eastAsia="Times New Roman" w:cs="Arial"/>
          <w:i/>
          <w:iCs/>
          <w:color w:val="000000"/>
          <w:lang w:eastAsia="bg-BG"/>
        </w:rPr>
      </w:pPr>
    </w:p>
    <w:p w14:paraId="0FC472C0" w14:textId="1B8C16D4" w:rsidR="00C26715" w:rsidRPr="00C26715" w:rsidRDefault="00C26715" w:rsidP="00C26715">
      <w:pPr>
        <w:spacing w:line="240" w:lineRule="auto"/>
        <w:rPr>
          <w:rFonts w:eastAsia="Times New Roman" w:cs="Arial"/>
        </w:rPr>
      </w:pPr>
      <w:r w:rsidRPr="00C26715">
        <w:rPr>
          <w:rFonts w:eastAsia="Times New Roman" w:cs="Arial"/>
          <w:i/>
          <w:iCs/>
          <w:color w:val="000000"/>
          <w:lang w:eastAsia="bg-BG"/>
        </w:rPr>
        <w:t>Немеланомен рак на кожата</w:t>
      </w:r>
    </w:p>
    <w:p w14:paraId="7E72F774" w14:textId="77777777" w:rsidR="00C26715" w:rsidRPr="00C26715" w:rsidRDefault="00C26715" w:rsidP="00C26715">
      <w:pPr>
        <w:spacing w:line="240" w:lineRule="auto"/>
        <w:rPr>
          <w:rFonts w:eastAsia="Times New Roman" w:cs="Arial"/>
        </w:rPr>
      </w:pPr>
      <w:r w:rsidRPr="00C26715">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е свързана с коригиран </w:t>
      </w:r>
      <w:r w:rsidRPr="00C26715">
        <w:rPr>
          <w:rFonts w:eastAsia="Times New Roman" w:cs="Arial"/>
          <w:color w:val="000000"/>
          <w:lang w:val="en-US"/>
        </w:rPr>
        <w:t>OR</w:t>
      </w:r>
      <w:r w:rsidRPr="00C26715">
        <w:rPr>
          <w:rFonts w:eastAsia="Times New Roman" w:cs="Arial"/>
          <w:color w:val="000000"/>
          <w:lang w:val="ru-RU"/>
        </w:rPr>
        <w:t xml:space="preserve"> </w:t>
      </w:r>
      <w:r w:rsidRPr="00C26715">
        <w:rPr>
          <w:rFonts w:eastAsia="Times New Roman" w:cs="Arial"/>
          <w:color w:val="000000"/>
          <w:lang w:eastAsia="bg-BG"/>
        </w:rPr>
        <w:t xml:space="preserve">1,29 (95% ДИ: 1,23-1,35) за БКК и 3,98 (95% ДИ: 3,68- 4,31)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C26715">
        <w:rPr>
          <w:rFonts w:eastAsia="Times New Roman" w:cs="Arial"/>
          <w:color w:val="000000"/>
          <w:lang w:val="en-US"/>
        </w:rPr>
        <w:t>OR</w:t>
      </w:r>
      <w:r w:rsidRPr="00C26715">
        <w:rPr>
          <w:rFonts w:eastAsia="Times New Roman" w:cs="Arial"/>
          <w:color w:val="000000"/>
          <w:lang w:val="ru-RU"/>
        </w:rPr>
        <w:t xml:space="preserve"> </w:t>
      </w:r>
      <w:r w:rsidRPr="00C26715">
        <w:rPr>
          <w:rFonts w:eastAsia="Times New Roman" w:cs="Arial"/>
          <w:color w:val="000000"/>
          <w:lang w:eastAsia="bg-BG"/>
        </w:rPr>
        <w:t xml:space="preserve">2,1 (95% ДИ: 1,7-2,6), нарастващ до </w:t>
      </w:r>
      <w:r w:rsidRPr="00C26715">
        <w:rPr>
          <w:rFonts w:eastAsia="Times New Roman" w:cs="Arial"/>
          <w:color w:val="000000"/>
          <w:lang w:val="en-US"/>
        </w:rPr>
        <w:t>OR</w:t>
      </w:r>
      <w:r w:rsidRPr="00C26715">
        <w:rPr>
          <w:rFonts w:eastAsia="Times New Roman" w:cs="Arial"/>
          <w:color w:val="000000"/>
          <w:lang w:val="ru-RU"/>
        </w:rPr>
        <w:t xml:space="preserve"> </w:t>
      </w:r>
      <w:r w:rsidRPr="00C26715">
        <w:rPr>
          <w:rFonts w:eastAsia="Times New Roman" w:cs="Arial"/>
          <w:color w:val="000000"/>
          <w:lang w:eastAsia="bg-BG"/>
        </w:rPr>
        <w:t xml:space="preserve">3,9 (3,0-4,9) за висока употреба (~ 25 000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 xml:space="preserve">и </w:t>
      </w:r>
      <w:r w:rsidRPr="00C26715">
        <w:rPr>
          <w:rFonts w:eastAsia="Times New Roman" w:cs="Arial"/>
          <w:color w:val="000000"/>
          <w:lang w:val="en-US"/>
        </w:rPr>
        <w:t>OR</w:t>
      </w:r>
      <w:r w:rsidRPr="00C26715">
        <w:rPr>
          <w:rFonts w:eastAsia="Times New Roman" w:cs="Arial"/>
          <w:color w:val="000000"/>
          <w:lang w:val="ru-RU"/>
        </w:rPr>
        <w:t xml:space="preserve"> </w:t>
      </w:r>
      <w:r w:rsidRPr="00C26715">
        <w:rPr>
          <w:rFonts w:eastAsia="Times New Roman" w:cs="Arial"/>
          <w:color w:val="000000"/>
          <w:lang w:eastAsia="bg-BG"/>
        </w:rPr>
        <w:t xml:space="preserve">7,7 (5,7-10,5) за най-високата кумулативна доза (~ 100 000 </w:t>
      </w:r>
      <w:r w:rsidRPr="00C26715">
        <w:rPr>
          <w:rFonts w:eastAsia="Times New Roman" w:cs="Arial"/>
          <w:color w:val="000000"/>
          <w:lang w:val="en-US"/>
        </w:rPr>
        <w:t>mg</w:t>
      </w:r>
      <w:r w:rsidRPr="00C26715">
        <w:rPr>
          <w:rFonts w:eastAsia="Times New Roman" w:cs="Arial"/>
          <w:color w:val="000000"/>
          <w:lang w:val="ru-RU"/>
        </w:rPr>
        <w:t xml:space="preserve">) </w:t>
      </w:r>
      <w:r w:rsidRPr="00C26715">
        <w:rPr>
          <w:rFonts w:eastAsia="Times New Roman" w:cs="Arial"/>
          <w:color w:val="000000"/>
          <w:lang w:eastAsia="bg-BG"/>
        </w:rPr>
        <w:t>(вж. също точка 4.4).</w:t>
      </w:r>
    </w:p>
    <w:p w14:paraId="19C6BE00" w14:textId="77777777" w:rsidR="00C26715" w:rsidRPr="00C26715" w:rsidRDefault="00C26715" w:rsidP="00C26715"/>
    <w:p w14:paraId="346B622B" w14:textId="0DF7201A" w:rsidR="00875EEC" w:rsidRDefault="002C50EE" w:rsidP="005726E3">
      <w:pPr>
        <w:pStyle w:val="Heading2"/>
      </w:pPr>
      <w:r>
        <w:t>5.2. Фармакокинетични свойства</w:t>
      </w:r>
    </w:p>
    <w:p w14:paraId="5C973F10" w14:textId="315B3CCD" w:rsidR="00C26715" w:rsidRDefault="00C26715" w:rsidP="00C26715"/>
    <w:p w14:paraId="7FBA8238" w14:textId="77777777"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lang w:eastAsia="bg-BG"/>
        </w:rPr>
        <w:t>Валсартан/хидрохлоротиазид</w:t>
      </w:r>
    </w:p>
    <w:p w14:paraId="3122988E"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Системната наличност на хидрохлоротиазид е намалена с около 30% при едновременно прилагане с валсартан. Кинетиката на валсартан не се повлиява значително при едновременно прилагане с хидрохлоротиазид. Наблюдаваното взаимодействие не оказва влияние при употреба на комбинацията валсартан </w:t>
      </w:r>
      <w:r w:rsidRPr="00C26715">
        <w:rPr>
          <w:rFonts w:eastAsia="Times New Roman" w:cs="Arial"/>
          <w:i/>
          <w:iCs/>
          <w:color w:val="000000"/>
          <w:lang w:eastAsia="bg-BG"/>
        </w:rPr>
        <w:t>и</w:t>
      </w:r>
      <w:r w:rsidRPr="00C26715">
        <w:rPr>
          <w:rFonts w:eastAsia="Times New Roman" w:cs="Arial"/>
          <w:color w:val="000000"/>
          <w:lang w:eastAsia="bg-BG"/>
        </w:rPr>
        <w:t xml:space="preserve"> хидрохлоротиазид, тъй като контролирани клинични проучвания са показали явен антихипертензивен ефект, по-голям от постигнатия при активните вещества, приложени поотделно или при плацебо.</w:t>
      </w:r>
    </w:p>
    <w:p w14:paraId="01DDD2A7" w14:textId="77777777" w:rsidR="00C26715" w:rsidRPr="00C26715" w:rsidRDefault="00C26715" w:rsidP="00C26715">
      <w:pPr>
        <w:spacing w:line="240" w:lineRule="auto"/>
        <w:rPr>
          <w:rFonts w:eastAsia="Times New Roman" w:cs="Arial"/>
          <w:i/>
          <w:iCs/>
          <w:color w:val="000000"/>
          <w:lang w:eastAsia="bg-BG"/>
        </w:rPr>
      </w:pPr>
    </w:p>
    <w:p w14:paraId="17433CF4" w14:textId="5F66B294" w:rsidR="00C26715" w:rsidRPr="00C26715" w:rsidRDefault="00C26715" w:rsidP="00C26715">
      <w:pPr>
        <w:pStyle w:val="Heading3"/>
        <w:rPr>
          <w:rFonts w:eastAsia="Times New Roman"/>
          <w:u w:val="single"/>
        </w:rPr>
      </w:pPr>
      <w:r w:rsidRPr="00C26715">
        <w:rPr>
          <w:rFonts w:eastAsia="Times New Roman"/>
          <w:u w:val="single"/>
          <w:lang w:eastAsia="bg-BG"/>
        </w:rPr>
        <w:t>Валсартан</w:t>
      </w:r>
    </w:p>
    <w:p w14:paraId="09862D6B" w14:textId="77777777"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Абсорбиия:</w:t>
      </w:r>
    </w:p>
    <w:p w14:paraId="7B890E00"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След перорално приложение само на валсартан пиковите плазмени концентрации на валсартан се достигат за 2-4 часа. Средната абсолютна бионаличност е 23%. Храната намалява експозицията (измерена с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на валсартан с около 40%, а пиковата плазмена концентрация (С</w:t>
      </w:r>
      <w:r w:rsidRPr="00C26715">
        <w:rPr>
          <w:rFonts w:eastAsia="Times New Roman" w:cs="Arial"/>
          <w:color w:val="000000"/>
          <w:lang w:val="en-US"/>
        </w:rPr>
        <w:t>max</w:t>
      </w:r>
      <w:r w:rsidRPr="00C26715">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 или без храна.</w:t>
      </w:r>
    </w:p>
    <w:p w14:paraId="79F5D85B" w14:textId="77777777" w:rsidR="00C26715" w:rsidRPr="00C26715" w:rsidRDefault="00C26715" w:rsidP="00C26715">
      <w:pPr>
        <w:spacing w:line="240" w:lineRule="auto"/>
        <w:rPr>
          <w:rFonts w:eastAsia="Times New Roman" w:cs="Arial"/>
          <w:i/>
          <w:iCs/>
          <w:color w:val="000000"/>
          <w:u w:val="single"/>
          <w:lang w:eastAsia="bg-BG"/>
        </w:rPr>
      </w:pPr>
    </w:p>
    <w:p w14:paraId="53EB15AD" w14:textId="35E6FFF3"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lastRenderedPageBreak/>
        <w:t>Разпределение:</w:t>
      </w:r>
    </w:p>
    <w:p w14:paraId="7CAB7B77"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502D2544" w14:textId="77777777" w:rsidR="00C26715" w:rsidRPr="00C26715" w:rsidRDefault="00C26715" w:rsidP="00C26715">
      <w:pPr>
        <w:spacing w:line="240" w:lineRule="auto"/>
        <w:rPr>
          <w:rFonts w:eastAsia="Times New Roman" w:cs="Arial"/>
          <w:i/>
          <w:iCs/>
          <w:color w:val="000000"/>
          <w:u w:val="single"/>
          <w:lang w:eastAsia="bg-BG"/>
        </w:rPr>
      </w:pPr>
    </w:p>
    <w:p w14:paraId="59AC7A77" w14:textId="677A0C0C"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Биотрансформация:</w:t>
      </w:r>
    </w:p>
    <w:p w14:paraId="48E31959"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Валсартан не се биотрансформира в голяма степен, тъй като само около 20% от дозата се открива</w:t>
      </w:r>
    </w:p>
    <w:p w14:paraId="14386535" w14:textId="6EFB73AC" w:rsidR="00C26715" w:rsidRPr="00C26715" w:rsidRDefault="00C26715" w:rsidP="00C26715">
      <w:pPr>
        <w:rPr>
          <w:rFonts w:eastAsia="Times New Roman" w:cs="Arial"/>
          <w:color w:val="000000"/>
          <w:lang w:eastAsia="bg-BG"/>
        </w:rPr>
      </w:pPr>
      <w:r w:rsidRPr="00C26715">
        <w:rPr>
          <w:rFonts w:eastAsia="Times New Roman" w:cs="Arial"/>
          <w:color w:val="000000"/>
          <w:lang w:eastAsia="bg-BG"/>
        </w:rPr>
        <w:t xml:space="preserve">като метаболити. В плазмата е установен хидроксиметаболит в ниски концентрации (по-малко от 10% от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на валсартан). Този метаболит е фармакологично неактивен.</w:t>
      </w:r>
    </w:p>
    <w:p w14:paraId="3F9182BF" w14:textId="4C51BD91" w:rsidR="00C26715" w:rsidRPr="00C26715" w:rsidRDefault="00C26715" w:rsidP="00C26715">
      <w:pPr>
        <w:rPr>
          <w:rFonts w:eastAsia="Times New Roman" w:cs="Arial"/>
          <w:color w:val="000000"/>
          <w:lang w:eastAsia="bg-BG"/>
        </w:rPr>
      </w:pPr>
    </w:p>
    <w:p w14:paraId="2E408E6D" w14:textId="77777777"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Елиминация</w:t>
      </w:r>
    </w:p>
    <w:p w14:paraId="7DA4A4B1"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Валсартан показва мултиекспоненциална кинетика </w:t>
      </w:r>
      <w:r w:rsidRPr="00C26715">
        <w:rPr>
          <w:rFonts w:eastAsia="Times New Roman" w:cs="Arial"/>
          <w:color w:val="000000"/>
          <w:lang w:val="ru-RU"/>
        </w:rPr>
        <w:t>(</w:t>
      </w:r>
      <w:r w:rsidRPr="00C26715">
        <w:rPr>
          <w:rFonts w:eastAsia="Times New Roman" w:cs="Arial"/>
          <w:color w:val="000000"/>
          <w:lang w:val="en-US"/>
        </w:rPr>
        <w:t>t</w:t>
      </w:r>
      <w:r w:rsidRPr="00C26715">
        <w:rPr>
          <w:rFonts w:eastAsia="Times New Roman" w:cs="Arial"/>
          <w:color w:val="000000"/>
          <w:vertAlign w:val="subscript"/>
          <w:lang w:val="ru-RU"/>
        </w:rPr>
        <w:t>1/2</w:t>
      </w:r>
      <w:r w:rsidRPr="00C26715">
        <w:rPr>
          <w:rFonts w:eastAsia="Times New Roman" w:cs="Arial"/>
          <w:color w:val="000000"/>
          <w:vertAlign w:val="subscript"/>
          <w:lang w:eastAsia="bg-BG"/>
        </w:rPr>
        <w:t>α</w:t>
      </w:r>
      <w:r w:rsidRPr="00C26715">
        <w:rPr>
          <w:rFonts w:eastAsia="Times New Roman" w:cs="Arial"/>
          <w:color w:val="000000"/>
          <w:lang w:val="ru-RU"/>
        </w:rPr>
        <w:t xml:space="preserve"> </w:t>
      </w:r>
      <w:r w:rsidRPr="00C26715">
        <w:rPr>
          <w:rFonts w:eastAsia="Times New Roman" w:cs="Arial"/>
          <w:color w:val="000000"/>
          <w:lang w:eastAsia="bg-BG"/>
        </w:rPr>
        <w:t xml:space="preserve">&lt; 1 час и </w:t>
      </w:r>
      <w:r w:rsidRPr="00C26715">
        <w:rPr>
          <w:rFonts w:eastAsia="Times New Roman" w:cs="Arial"/>
          <w:color w:val="000000"/>
          <w:lang w:val="en-US"/>
        </w:rPr>
        <w:t>t</w:t>
      </w:r>
      <w:r w:rsidRPr="00C26715">
        <w:rPr>
          <w:rFonts w:eastAsia="Times New Roman" w:cs="Arial"/>
          <w:color w:val="000000"/>
          <w:vertAlign w:val="subscript"/>
          <w:lang w:val="ru-RU"/>
        </w:rPr>
        <w:t>1/2</w:t>
      </w:r>
      <w:r w:rsidRPr="00C26715">
        <w:rPr>
          <w:rFonts w:eastAsia="Times New Roman" w:cs="Arial"/>
          <w:color w:val="000000"/>
          <w:vertAlign w:val="subscript"/>
          <w:lang w:eastAsia="bg-BG"/>
        </w:rPr>
        <w:t>β</w:t>
      </w:r>
      <w:r w:rsidRPr="00C26715">
        <w:rPr>
          <w:rFonts w:eastAsia="Times New Roman" w:cs="Arial"/>
          <w:color w:val="000000"/>
          <w:lang w:eastAsia="bg-BG"/>
        </w:rPr>
        <w:t xml:space="preserve"> около 9 часа). Валсартан се елиминира предимно с фекалиите (около 83% от дозата) и урината (около 13% от дозата), главно като непроменено лекарство. След интравенозно приложение плазменият клирънс на валсартан е около 2 1/час и неговият бъбречен клирънс е 0,62 1/час (около 30% от общия клирънс). Полуживотът на валсартан е 6 часа.</w:t>
      </w:r>
    </w:p>
    <w:p w14:paraId="08CA94D2" w14:textId="77777777" w:rsidR="00C26715" w:rsidRPr="00C26715" w:rsidRDefault="00C26715" w:rsidP="00C26715">
      <w:pPr>
        <w:spacing w:line="240" w:lineRule="auto"/>
        <w:rPr>
          <w:rFonts w:eastAsia="Times New Roman" w:cs="Arial"/>
          <w:i/>
          <w:iCs/>
          <w:color w:val="000000"/>
          <w:lang w:eastAsia="bg-BG"/>
        </w:rPr>
      </w:pPr>
    </w:p>
    <w:p w14:paraId="304F03E0" w14:textId="590DFDB3" w:rsidR="00C26715" w:rsidRPr="00C26715" w:rsidRDefault="00C26715" w:rsidP="00C26715">
      <w:pPr>
        <w:pStyle w:val="Heading3"/>
        <w:rPr>
          <w:rFonts w:eastAsia="Times New Roman"/>
          <w:u w:val="single"/>
        </w:rPr>
      </w:pPr>
      <w:r w:rsidRPr="00C26715">
        <w:rPr>
          <w:rFonts w:eastAsia="Times New Roman"/>
          <w:u w:val="single"/>
          <w:lang w:eastAsia="bg-BG"/>
        </w:rPr>
        <w:t>Хидрохлоротиазид</w:t>
      </w:r>
    </w:p>
    <w:p w14:paraId="62547FAA" w14:textId="77777777"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Абсорбиия</w:t>
      </w:r>
    </w:p>
    <w:p w14:paraId="5EB28E0C"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Абсорбцията на хидрохлоротиазид след перорален прием е бърза </w:t>
      </w:r>
      <w:r w:rsidRPr="00C26715">
        <w:rPr>
          <w:rFonts w:eastAsia="Times New Roman" w:cs="Arial"/>
          <w:color w:val="000000"/>
          <w:lang w:val="ru-RU"/>
        </w:rPr>
        <w:t>(</w:t>
      </w:r>
      <w:proofErr w:type="spellStart"/>
      <w:r w:rsidRPr="00C26715">
        <w:rPr>
          <w:rFonts w:eastAsia="Times New Roman" w:cs="Arial"/>
          <w:color w:val="000000"/>
          <w:lang w:val="en-US"/>
        </w:rPr>
        <w:t>t</w:t>
      </w:r>
      <w:r w:rsidRPr="00C26715">
        <w:rPr>
          <w:rFonts w:eastAsia="Times New Roman" w:cs="Arial"/>
          <w:color w:val="000000"/>
          <w:vertAlign w:val="subscript"/>
          <w:lang w:val="en-US"/>
        </w:rPr>
        <w:t>max</w:t>
      </w:r>
      <w:proofErr w:type="spellEnd"/>
      <w:r w:rsidRPr="00C26715">
        <w:rPr>
          <w:rFonts w:eastAsia="Times New Roman" w:cs="Arial"/>
          <w:color w:val="000000"/>
          <w:lang w:val="ru-RU"/>
        </w:rPr>
        <w:t xml:space="preserve"> </w:t>
      </w:r>
      <w:r w:rsidRPr="00C26715">
        <w:rPr>
          <w:rFonts w:eastAsia="Times New Roman" w:cs="Arial"/>
          <w:color w:val="000000"/>
          <w:lang w:eastAsia="bg-BG"/>
        </w:rPr>
        <w:t xml:space="preserve">около 2 ч). Увеличението на средната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е линейно и дозово прпорционално в терапевтичните граници. Въздействието на хранат върху абсорбцията на хидрохлоротиазид, ако изобщо го има, е с малка клинична значимост. Абсолютната бионаличност на хидрохлоротиазид след перорален прием е 70% след перорално приложение.</w:t>
      </w:r>
    </w:p>
    <w:p w14:paraId="6C5153B5" w14:textId="77777777" w:rsidR="00C26715" w:rsidRPr="00C26715" w:rsidRDefault="00C26715" w:rsidP="00C26715">
      <w:pPr>
        <w:spacing w:line="240" w:lineRule="auto"/>
        <w:rPr>
          <w:rFonts w:eastAsia="Times New Roman" w:cs="Arial"/>
          <w:i/>
          <w:iCs/>
          <w:color w:val="000000"/>
          <w:u w:val="single"/>
          <w:lang w:eastAsia="bg-BG"/>
        </w:rPr>
      </w:pPr>
    </w:p>
    <w:p w14:paraId="030054C7" w14:textId="5EBBF921"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Разпределение</w:t>
      </w:r>
    </w:p>
    <w:p w14:paraId="3EC117C8"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Привидният обем на разпределение е 4-8 </w:t>
      </w:r>
      <w:r w:rsidRPr="00C26715">
        <w:rPr>
          <w:rFonts w:eastAsia="Times New Roman" w:cs="Arial"/>
          <w:color w:val="000000"/>
          <w:lang w:val="en-US"/>
        </w:rPr>
        <w:t>l</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val="ru-RU"/>
        </w:rPr>
        <w:t>.</w:t>
      </w:r>
    </w:p>
    <w:p w14:paraId="10BA240F"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6DF933EC" w14:textId="77777777" w:rsidR="00C26715" w:rsidRPr="00C26715" w:rsidRDefault="00C26715" w:rsidP="00C26715">
      <w:pPr>
        <w:spacing w:line="240" w:lineRule="auto"/>
        <w:rPr>
          <w:rFonts w:eastAsia="Times New Roman" w:cs="Arial"/>
          <w:i/>
          <w:iCs/>
          <w:color w:val="000000"/>
          <w:u w:val="single"/>
          <w:lang w:eastAsia="bg-BG"/>
        </w:rPr>
      </w:pPr>
    </w:p>
    <w:p w14:paraId="50061A1B" w14:textId="0705361A" w:rsidR="00C26715" w:rsidRPr="00C26715" w:rsidRDefault="00C26715" w:rsidP="00C26715">
      <w:pPr>
        <w:spacing w:line="240" w:lineRule="auto"/>
        <w:rPr>
          <w:rFonts w:eastAsia="Times New Roman" w:cs="Arial"/>
          <w:sz w:val="24"/>
          <w:szCs w:val="24"/>
        </w:rPr>
      </w:pPr>
      <w:r w:rsidRPr="00C26715">
        <w:rPr>
          <w:rFonts w:eastAsia="Times New Roman" w:cs="Arial"/>
          <w:i/>
          <w:iCs/>
          <w:color w:val="000000"/>
          <w:u w:val="single"/>
          <w:lang w:eastAsia="bg-BG"/>
        </w:rPr>
        <w:t>Елиминация</w:t>
      </w:r>
    </w:p>
    <w:p w14:paraId="152462AA"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Хидрохлоротиазид се елиминира предимно като непроменено лекарство. Хидрохлоротиазид се елиминира от плазмата с полуживот вариращ между 6 и 15 часа за терминалната елиминационна фаза. Няма промяна в кинетиката на хидрохлоротиазид при повтарящи се дози и акумулирането е минимално при еднократно дневно дозиране.</w:t>
      </w:r>
    </w:p>
    <w:p w14:paraId="2FE9D9F8"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07205CB3" w14:textId="77777777" w:rsidR="00C26715" w:rsidRPr="00C26715" w:rsidRDefault="00C26715" w:rsidP="00C26715">
      <w:pPr>
        <w:spacing w:line="240" w:lineRule="auto"/>
        <w:rPr>
          <w:rFonts w:eastAsia="Times New Roman" w:cs="Arial"/>
          <w:i/>
          <w:iCs/>
          <w:color w:val="000000"/>
          <w:u w:val="single"/>
          <w:lang w:eastAsia="bg-BG"/>
        </w:rPr>
      </w:pPr>
    </w:p>
    <w:p w14:paraId="395BBA23" w14:textId="0C49D295" w:rsidR="00C26715" w:rsidRPr="00C26715" w:rsidRDefault="00C26715" w:rsidP="00C26715">
      <w:pPr>
        <w:pStyle w:val="Heading3"/>
        <w:rPr>
          <w:rFonts w:eastAsia="Times New Roman"/>
          <w:u w:val="single"/>
        </w:rPr>
      </w:pPr>
      <w:r w:rsidRPr="00C26715">
        <w:rPr>
          <w:rFonts w:eastAsia="Times New Roman"/>
          <w:u w:val="single"/>
          <w:lang w:eastAsia="bg-BG"/>
        </w:rPr>
        <w:t>Специални групи пациенти</w:t>
      </w:r>
    </w:p>
    <w:p w14:paraId="0F00AFA7"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u w:val="single"/>
          <w:lang w:eastAsia="bg-BG"/>
        </w:rPr>
        <w:t>Хора в старческа възраст</w:t>
      </w:r>
    </w:p>
    <w:p w14:paraId="285F5277"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 Ограничени данни предполагат, че системният клирънс на хидрохлоротиазид е намален при пациенти в старческа възраст, както при здрави, така и с хипертония, в сравнение с млади здрави доброволци.</w:t>
      </w:r>
    </w:p>
    <w:p w14:paraId="74CE4663" w14:textId="77777777" w:rsidR="00C26715" w:rsidRPr="00C26715" w:rsidRDefault="00C26715" w:rsidP="00C26715">
      <w:pPr>
        <w:spacing w:line="240" w:lineRule="auto"/>
        <w:rPr>
          <w:rFonts w:eastAsia="Times New Roman" w:cs="Arial"/>
          <w:color w:val="000000"/>
          <w:u w:val="single"/>
          <w:lang w:eastAsia="bg-BG"/>
        </w:rPr>
      </w:pPr>
    </w:p>
    <w:p w14:paraId="6BEB6CEE" w14:textId="7F90E5D6" w:rsidR="00C26715" w:rsidRPr="00C26715" w:rsidRDefault="00C26715" w:rsidP="00C26715">
      <w:pPr>
        <w:spacing w:line="240" w:lineRule="auto"/>
        <w:rPr>
          <w:rFonts w:eastAsia="Times New Roman" w:cs="Arial"/>
          <w:sz w:val="24"/>
          <w:szCs w:val="24"/>
        </w:rPr>
      </w:pPr>
      <w:r w:rsidRPr="00C26715">
        <w:rPr>
          <w:rFonts w:eastAsia="Times New Roman" w:cs="Arial"/>
          <w:color w:val="000000"/>
          <w:u w:val="single"/>
          <w:lang w:eastAsia="bg-BG"/>
        </w:rPr>
        <w:lastRenderedPageBreak/>
        <w:t>Нарушена бъбречна функция</w:t>
      </w:r>
    </w:p>
    <w:p w14:paraId="41BECE29"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При прилагане на препоръчваната доза на Сувартар Н не се изисква коригиране на дозата при пациенти с Скорост на гломерулна филтрация </w:t>
      </w:r>
      <w:r w:rsidRPr="00C26715">
        <w:rPr>
          <w:rFonts w:eastAsia="Times New Roman" w:cs="Arial"/>
          <w:color w:val="000000"/>
          <w:lang w:val="ru-RU"/>
        </w:rPr>
        <w:t>(</w:t>
      </w:r>
      <w:r w:rsidRPr="00C26715">
        <w:rPr>
          <w:rFonts w:eastAsia="Times New Roman" w:cs="Arial"/>
          <w:color w:val="000000"/>
          <w:lang w:val="en-US"/>
        </w:rPr>
        <w:t>GFR</w:t>
      </w:r>
      <w:r w:rsidRPr="00C26715">
        <w:rPr>
          <w:rFonts w:eastAsia="Times New Roman" w:cs="Arial"/>
          <w:color w:val="000000"/>
          <w:lang w:val="ru-RU"/>
        </w:rPr>
        <w:t xml:space="preserve">) </w:t>
      </w:r>
      <w:r w:rsidRPr="00C26715">
        <w:rPr>
          <w:rFonts w:eastAsia="Times New Roman" w:cs="Arial"/>
          <w:color w:val="000000"/>
          <w:lang w:eastAsia="bg-BG"/>
        </w:rPr>
        <w:t xml:space="preserve">30-70 </w:t>
      </w:r>
      <w:r w:rsidRPr="00C26715">
        <w:rPr>
          <w:rFonts w:eastAsia="Times New Roman" w:cs="Arial"/>
          <w:color w:val="000000"/>
          <w:lang w:val="en-US"/>
        </w:rPr>
        <w:t>ml</w:t>
      </w:r>
      <w:r w:rsidRPr="00C26715">
        <w:rPr>
          <w:rFonts w:eastAsia="Times New Roman" w:cs="Arial"/>
          <w:color w:val="000000"/>
          <w:lang w:val="ru-RU"/>
        </w:rPr>
        <w:t>/</w:t>
      </w:r>
      <w:r w:rsidRPr="00C26715">
        <w:rPr>
          <w:rFonts w:eastAsia="Times New Roman" w:cs="Arial"/>
          <w:color w:val="000000"/>
          <w:lang w:val="en-US"/>
        </w:rPr>
        <w:t>min</w:t>
      </w:r>
      <w:r w:rsidRPr="00C26715">
        <w:rPr>
          <w:rFonts w:eastAsia="Times New Roman" w:cs="Arial"/>
          <w:color w:val="000000"/>
          <w:lang w:val="ru-RU"/>
        </w:rPr>
        <w:t>.</w:t>
      </w:r>
    </w:p>
    <w:p w14:paraId="506BADCC" w14:textId="77777777" w:rsidR="00C26715" w:rsidRPr="00C26715" w:rsidRDefault="00C26715" w:rsidP="00C26715">
      <w:pPr>
        <w:spacing w:line="240" w:lineRule="auto"/>
        <w:rPr>
          <w:rFonts w:eastAsia="Times New Roman" w:cs="Arial"/>
          <w:color w:val="000000"/>
          <w:lang w:eastAsia="bg-BG"/>
        </w:rPr>
      </w:pPr>
    </w:p>
    <w:p w14:paraId="4FF7E3B8" w14:textId="286F49B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Няма данни за прилагането на валсартан/хидрохлоротиазид при пациенти с тежко бъбречно увреждане </w:t>
      </w:r>
      <w:r w:rsidRPr="00C26715">
        <w:rPr>
          <w:rFonts w:eastAsia="Times New Roman" w:cs="Arial"/>
          <w:color w:val="000000"/>
          <w:lang w:val="ru-RU"/>
        </w:rPr>
        <w:t>(</w:t>
      </w:r>
      <w:r w:rsidRPr="00C26715">
        <w:rPr>
          <w:rFonts w:eastAsia="Times New Roman" w:cs="Arial"/>
          <w:color w:val="000000"/>
          <w:lang w:val="en-US"/>
        </w:rPr>
        <w:t>GFR</w:t>
      </w:r>
      <w:r w:rsidRPr="00C26715">
        <w:rPr>
          <w:rFonts w:eastAsia="Times New Roman" w:cs="Arial"/>
          <w:color w:val="000000"/>
          <w:lang w:val="ru-RU"/>
        </w:rPr>
        <w:t xml:space="preserve"> </w:t>
      </w:r>
      <w:r w:rsidRPr="00C26715">
        <w:rPr>
          <w:rFonts w:eastAsia="Times New Roman" w:cs="Arial"/>
          <w:color w:val="000000"/>
          <w:lang w:eastAsia="bg-BG"/>
        </w:rPr>
        <w:t xml:space="preserve">&lt;30 </w:t>
      </w:r>
      <w:r w:rsidRPr="00C26715">
        <w:rPr>
          <w:rFonts w:eastAsia="Times New Roman" w:cs="Arial"/>
          <w:color w:val="000000"/>
          <w:lang w:val="en-US"/>
        </w:rPr>
        <w:t>ml</w:t>
      </w:r>
      <w:r w:rsidRPr="00C26715">
        <w:rPr>
          <w:rFonts w:eastAsia="Times New Roman" w:cs="Arial"/>
          <w:color w:val="000000"/>
          <w:lang w:val="ru-RU"/>
        </w:rPr>
        <w:t>/</w:t>
      </w:r>
      <w:r w:rsidRPr="00C26715">
        <w:rPr>
          <w:rFonts w:eastAsia="Times New Roman" w:cs="Arial"/>
          <w:color w:val="000000"/>
          <w:lang w:val="en-US"/>
        </w:rPr>
        <w:t>min</w:t>
      </w:r>
      <w:r w:rsidRPr="00C26715">
        <w:rPr>
          <w:rFonts w:eastAsia="Times New Roman" w:cs="Arial"/>
          <w:color w:val="000000"/>
          <w:lang w:val="ru-RU"/>
        </w:rPr>
        <w:t xml:space="preserve">) </w:t>
      </w:r>
      <w:r w:rsidRPr="00C26715">
        <w:rPr>
          <w:rFonts w:eastAsia="Times New Roman" w:cs="Arial"/>
          <w:color w:val="000000"/>
          <w:lang w:eastAsia="bg-BG"/>
        </w:rPr>
        <w:t>и при пациенти на диализа. Валсартан се свързва във висока степен с плазмените протеини и не може да бъде отстранен чрез диализа, докато хидрохлоротиазид може да бъде очистен чрез диализа.</w:t>
      </w:r>
    </w:p>
    <w:p w14:paraId="2361C156" w14:textId="77777777" w:rsidR="00C26715" w:rsidRPr="00C26715" w:rsidRDefault="00C26715" w:rsidP="00C26715">
      <w:pPr>
        <w:spacing w:line="240" w:lineRule="auto"/>
        <w:rPr>
          <w:rFonts w:eastAsia="Times New Roman" w:cs="Arial"/>
          <w:color w:val="000000"/>
          <w:lang w:eastAsia="bg-BG"/>
        </w:rPr>
      </w:pPr>
    </w:p>
    <w:p w14:paraId="73E7E81A" w14:textId="4DF74D6A"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При наличието на бъбречно увреждане, средните пикови плазмени нива и стойностите на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 xml:space="preserve">(площта под кривата) за хидрохлоротиазид са увеличени и екскрецията с урината е намалена. При пациенти с леко или умерено бъбречно увреждане е наблюдавано 3- кратно увеличение на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 xml:space="preserve">на хидрохлоротиазид. При пациенти с тежко бъбречно увреждане е наблюдавано 8 - увеличение на </w:t>
      </w:r>
      <w:r w:rsidRPr="00C26715">
        <w:rPr>
          <w:rFonts w:eastAsia="Times New Roman" w:cs="Arial"/>
          <w:color w:val="000000"/>
          <w:lang w:val="en-US"/>
        </w:rPr>
        <w:t>AUC</w:t>
      </w:r>
      <w:r w:rsidRPr="00C26715">
        <w:rPr>
          <w:rFonts w:eastAsia="Times New Roman" w:cs="Arial"/>
          <w:color w:val="000000"/>
          <w:lang w:val="ru-RU"/>
        </w:rPr>
        <w:t xml:space="preserve">. </w:t>
      </w:r>
      <w:r w:rsidRPr="00C26715">
        <w:rPr>
          <w:rFonts w:eastAsia="Times New Roman" w:cs="Arial"/>
          <w:color w:val="000000"/>
          <w:lang w:eastAsia="bg-BG"/>
        </w:rPr>
        <w:t>Хидрохлоротиазид е противопоказан при пациенти с тежко бъбречно увреждане (вж. точка</w:t>
      </w:r>
    </w:p>
    <w:p w14:paraId="22C01A9E"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4.3).</w:t>
      </w:r>
    </w:p>
    <w:p w14:paraId="36D7D342" w14:textId="77777777" w:rsidR="00C26715" w:rsidRPr="00C26715" w:rsidRDefault="00C26715" w:rsidP="00C26715">
      <w:pPr>
        <w:spacing w:line="240" w:lineRule="auto"/>
        <w:rPr>
          <w:rFonts w:eastAsia="Times New Roman" w:cs="Arial"/>
          <w:color w:val="000000"/>
          <w:u w:val="single"/>
          <w:lang w:eastAsia="bg-BG"/>
        </w:rPr>
      </w:pPr>
    </w:p>
    <w:p w14:paraId="3EC9EBE7" w14:textId="7842D44F" w:rsidR="00C26715" w:rsidRPr="00C26715" w:rsidRDefault="00C26715" w:rsidP="00C26715">
      <w:pPr>
        <w:spacing w:line="240" w:lineRule="auto"/>
        <w:rPr>
          <w:rFonts w:eastAsia="Times New Roman" w:cs="Arial"/>
          <w:sz w:val="24"/>
          <w:szCs w:val="24"/>
        </w:rPr>
      </w:pPr>
      <w:r w:rsidRPr="00C26715">
        <w:rPr>
          <w:rFonts w:eastAsia="Times New Roman" w:cs="Arial"/>
          <w:color w:val="000000"/>
          <w:u w:val="single"/>
          <w:lang w:eastAsia="bg-BG"/>
        </w:rPr>
        <w:t>Чернодробно увреждане</w:t>
      </w:r>
    </w:p>
    <w:p w14:paraId="275BF313" w14:textId="4D6D8CA5"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Във фармакокинетично изпитване при пациенти с лека (</w:t>
      </w:r>
      <w:r w:rsidRPr="00C26715">
        <w:rPr>
          <w:rFonts w:eastAsia="Times New Roman" w:cs="Arial"/>
          <w:color w:val="000000"/>
          <w:lang w:val="en-US"/>
        </w:rPr>
        <w:t>n</w:t>
      </w:r>
      <w:r w:rsidRPr="00C26715">
        <w:rPr>
          <w:rFonts w:eastAsia="Times New Roman" w:cs="Arial"/>
          <w:color w:val="000000"/>
          <w:lang w:eastAsia="bg-BG"/>
        </w:rPr>
        <w:t>=6) до умерена (</w:t>
      </w:r>
      <w:r w:rsidRPr="00C26715">
        <w:rPr>
          <w:rFonts w:eastAsia="Times New Roman" w:cs="Arial"/>
          <w:color w:val="000000"/>
          <w:lang w:val="en-US"/>
        </w:rPr>
        <w:t>n</w:t>
      </w:r>
      <w:r w:rsidRPr="00C26715">
        <w:rPr>
          <w:rFonts w:eastAsia="Times New Roman" w:cs="Arial"/>
          <w:color w:val="000000"/>
          <w:lang w:eastAsia="bg-BG"/>
        </w:rPr>
        <w:t>=5) чернодробна</w:t>
      </w:r>
      <w:r>
        <w:rPr>
          <w:rFonts w:eastAsia="Times New Roman" w:cs="Arial"/>
          <w:sz w:val="24"/>
          <w:szCs w:val="24"/>
        </w:rPr>
        <w:t xml:space="preserve"> </w:t>
      </w:r>
      <w:r w:rsidRPr="00C26715">
        <w:rPr>
          <w:rFonts w:eastAsia="Times New Roman" w:cs="Arial"/>
          <w:color w:val="000000"/>
          <w:lang w:eastAsia="bg-BG"/>
        </w:rPr>
        <w:t>дисфункция експозицията на валсартан се повишава приблизително 2 пъти спрямо здрави доброволци (вж.точка 4.2 и 4.4).</w:t>
      </w:r>
    </w:p>
    <w:p w14:paraId="0D88E9EF"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Липсват данни за употребата на валсартан при пациенти с тежка чернодробна дисфункция (вж. точка 4.3). Чернодробните заболявания не повлияват значимо фармакокинетиката на хидрохлоротиазид.</w:t>
      </w:r>
    </w:p>
    <w:p w14:paraId="76E237E4" w14:textId="10D06EDC" w:rsidR="00C26715" w:rsidRPr="00C26715" w:rsidRDefault="00C26715" w:rsidP="00C26715"/>
    <w:p w14:paraId="4F31844C" w14:textId="7EB96B35" w:rsidR="00875EEC" w:rsidRDefault="002C50EE" w:rsidP="005726E3">
      <w:pPr>
        <w:pStyle w:val="Heading2"/>
      </w:pPr>
      <w:r>
        <w:t>5.3. Предклинични данни за безопасност</w:t>
      </w:r>
    </w:p>
    <w:p w14:paraId="2A52C538" w14:textId="4464BDA6" w:rsidR="00C26715" w:rsidRDefault="00C26715" w:rsidP="00C26715"/>
    <w:p w14:paraId="1A33A1F3" w14:textId="777777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Потенциалната токсичност на комбинацията валсартан + хидрохлоротиазид след перорално приложение е изследвана при плъхове и мармозетки в проучвания, продължаващи до шест месеца. Не са установени данни, които биха могли да изключат приложението на терапевтични дози при хора.</w:t>
      </w:r>
    </w:p>
    <w:p w14:paraId="13457F7B" w14:textId="77777777" w:rsidR="00C26715" w:rsidRPr="00C26715" w:rsidRDefault="00C26715" w:rsidP="00C26715">
      <w:pPr>
        <w:spacing w:line="240" w:lineRule="auto"/>
        <w:rPr>
          <w:rFonts w:eastAsia="Times New Roman" w:cs="Arial"/>
          <w:color w:val="000000"/>
          <w:lang w:eastAsia="bg-BG"/>
        </w:rPr>
      </w:pPr>
    </w:p>
    <w:p w14:paraId="4799725B" w14:textId="77777777" w:rsidR="00C26715" w:rsidRPr="00C26715" w:rsidRDefault="00C26715" w:rsidP="00C26715">
      <w:pPr>
        <w:spacing w:line="240" w:lineRule="auto"/>
        <w:rPr>
          <w:rFonts w:eastAsia="Times New Roman" w:cs="Arial"/>
          <w:color w:val="000000"/>
          <w:lang w:eastAsia="bg-BG"/>
        </w:rPr>
      </w:pPr>
      <w:r w:rsidRPr="00C26715">
        <w:rPr>
          <w:rFonts w:eastAsia="Times New Roman" w:cs="Arial"/>
          <w:color w:val="000000"/>
          <w:lang w:eastAsia="bg-BG"/>
        </w:rPr>
        <w:t xml:space="preserve">Измененията, причинени от комбинацията в проучванията за хронична токсичност е вероятно да са предизвикани от валсартан. Токсикологичният прицелен орган са бъбреците, реакцията е по-изразена при мармозетки, отколкото при плъхове. Комбинацията е довела до бъбречно увреждане (нефропатия с тубулна базофилия, покачване на плазмената урея, плазмения креатинин и серумния калий, увеличаване на обема на урината и електролитите в урината от 30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валсартан + 9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хидрохлоротиазид при плъхове и 10 + 3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при мармозетки), вероятно по механизма на нарушена бъбречна хемодинамика. При плъхове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При мармозетки тези дози съответстват на 0,3 и 1,2 пъти максималната препоръчвана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(Изчисленията се отнасят за перорална доза от 320 </w:t>
      </w:r>
    </w:p>
    <w:p w14:paraId="49D8B4D4" w14:textId="6C385172" w:rsidR="00C26715" w:rsidRPr="00C26715" w:rsidRDefault="00C26715" w:rsidP="00C26715">
      <w:pPr>
        <w:spacing w:line="240" w:lineRule="auto"/>
        <w:rPr>
          <w:rFonts w:eastAsia="Times New Roman" w:cs="Arial"/>
          <w:sz w:val="24"/>
          <w:szCs w:val="24"/>
        </w:rPr>
      </w:pPr>
      <w:proofErr w:type="gramStart"/>
      <w:r w:rsidRPr="00C26715">
        <w:rPr>
          <w:rFonts w:eastAsia="Times New Roman" w:cs="Arial"/>
          <w:color w:val="000000"/>
          <w:lang w:val="en-US"/>
        </w:rPr>
        <w:t>mg</w:t>
      </w:r>
      <w:r w:rsidRPr="00C26715">
        <w:rPr>
          <w:rFonts w:eastAsia="Times New Roman" w:cs="Arial"/>
          <w:color w:val="000000"/>
          <w:lang w:eastAsia="bg-BG"/>
        </w:rPr>
        <w:t>/ден</w:t>
      </w:r>
      <w:proofErr w:type="gramEnd"/>
      <w:r w:rsidRPr="00C26715">
        <w:rPr>
          <w:rFonts w:eastAsia="Times New Roman" w:cs="Arial"/>
          <w:color w:val="000000"/>
          <w:lang w:eastAsia="bg-BG"/>
        </w:rPr>
        <w:t xml:space="preserve"> валсартан в комбинация с 25 </w:t>
      </w:r>
      <w:r w:rsidRPr="00C26715">
        <w:rPr>
          <w:rFonts w:eastAsia="Times New Roman" w:cs="Arial"/>
          <w:color w:val="000000"/>
          <w:lang w:val="en-US"/>
        </w:rPr>
        <w:t>mg</w:t>
      </w:r>
      <w:r w:rsidRPr="00C26715">
        <w:rPr>
          <w:rFonts w:eastAsia="Times New Roman" w:cs="Arial"/>
          <w:color w:val="000000"/>
          <w:lang w:eastAsia="bg-BG"/>
        </w:rPr>
        <w:t xml:space="preserve">/ден хидрохлоротиазид и пациент с тегло 60 </w:t>
      </w:r>
      <w:r w:rsidRPr="00C26715">
        <w:rPr>
          <w:rFonts w:eastAsia="Times New Roman" w:cs="Arial"/>
          <w:color w:val="000000"/>
          <w:lang w:val="en-US"/>
        </w:rPr>
        <w:t>kg</w:t>
      </w:r>
      <w:r w:rsidRPr="00C26715">
        <w:rPr>
          <w:rFonts w:eastAsia="Times New Roman" w:cs="Arial"/>
          <w:color w:val="000000"/>
          <w:lang w:val="ru-RU"/>
        </w:rPr>
        <w:t>.)</w:t>
      </w:r>
    </w:p>
    <w:p w14:paraId="7302BE65" w14:textId="77777777" w:rsidR="00C26715" w:rsidRPr="00C26715" w:rsidRDefault="00C26715" w:rsidP="00C26715">
      <w:pPr>
        <w:spacing w:line="240" w:lineRule="auto"/>
        <w:rPr>
          <w:rFonts w:eastAsia="Times New Roman" w:cs="Arial"/>
          <w:color w:val="000000"/>
          <w:lang w:eastAsia="bg-BG"/>
        </w:rPr>
      </w:pPr>
    </w:p>
    <w:p w14:paraId="199E02C8" w14:textId="64C4F548"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Високи дози на комбинацията валсартан - хидрохлоротиазид предизвикват намаляване на еритроцитните показатели (брой на еритроцитите, хемоглобин, хематокрит от 100 + 31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при плъхове и 30 + 9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при мармозетки). При плъхове тези дози </w:t>
      </w:r>
      <w:r w:rsidRPr="00C26715">
        <w:rPr>
          <w:rFonts w:eastAsia="Times New Roman" w:cs="Arial"/>
          <w:color w:val="000000"/>
          <w:lang w:eastAsia="bg-BG"/>
        </w:rPr>
        <w:lastRenderedPageBreak/>
        <w:t xml:space="preserve">съответстват на 3,0 и 12 пъти максималната препоръчвана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При мармозетки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(Изчисленията се отнасят за перорална доза от 320 </w:t>
      </w:r>
      <w:r w:rsidRPr="00C26715">
        <w:rPr>
          <w:rFonts w:eastAsia="Times New Roman" w:cs="Arial"/>
          <w:color w:val="000000"/>
          <w:lang w:val="en-US"/>
        </w:rPr>
        <w:t>mg</w:t>
      </w:r>
      <w:r w:rsidRPr="00C26715">
        <w:rPr>
          <w:rFonts w:eastAsia="Times New Roman" w:cs="Arial"/>
          <w:color w:val="000000"/>
          <w:lang w:eastAsia="bg-BG"/>
        </w:rPr>
        <w:t xml:space="preserve">/ден валсартан в комбинация с 25 </w:t>
      </w:r>
      <w:r w:rsidRPr="00C26715">
        <w:rPr>
          <w:rFonts w:eastAsia="Times New Roman" w:cs="Arial"/>
          <w:color w:val="000000"/>
          <w:lang w:val="en-US"/>
        </w:rPr>
        <w:t>mg</w:t>
      </w:r>
      <w:r w:rsidRPr="00C26715">
        <w:rPr>
          <w:rFonts w:eastAsia="Times New Roman" w:cs="Arial"/>
          <w:color w:val="000000"/>
          <w:lang w:eastAsia="bg-BG"/>
        </w:rPr>
        <w:t xml:space="preserve">/ден хидрохлоротиазид и пациент с тегло 60 </w:t>
      </w:r>
      <w:r w:rsidRPr="00C26715">
        <w:rPr>
          <w:rFonts w:eastAsia="Times New Roman" w:cs="Arial"/>
          <w:color w:val="000000"/>
          <w:lang w:val="en-US"/>
        </w:rPr>
        <w:t>kg</w:t>
      </w:r>
      <w:r w:rsidRPr="00C26715">
        <w:rPr>
          <w:rFonts w:eastAsia="Times New Roman" w:cs="Arial"/>
          <w:color w:val="000000"/>
          <w:lang w:val="ru-RU"/>
        </w:rPr>
        <w:t>).</w:t>
      </w:r>
    </w:p>
    <w:p w14:paraId="33379519" w14:textId="77777777" w:rsidR="00C26715" w:rsidRPr="00C26715" w:rsidRDefault="00C26715" w:rsidP="00C26715">
      <w:pPr>
        <w:spacing w:line="240" w:lineRule="auto"/>
        <w:rPr>
          <w:rFonts w:eastAsia="Times New Roman" w:cs="Arial"/>
          <w:color w:val="000000"/>
          <w:lang w:eastAsia="bg-BG"/>
        </w:rPr>
      </w:pPr>
    </w:p>
    <w:p w14:paraId="5DDD7D5C" w14:textId="4B4F1077"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При мармозетки се </w:t>
      </w:r>
      <w:r w:rsidRPr="00C26715">
        <w:rPr>
          <w:rFonts w:eastAsia="Times New Roman" w:cs="Arial"/>
          <w:i/>
          <w:iCs/>
          <w:color w:val="000000"/>
          <w:lang w:eastAsia="bg-BG"/>
        </w:rPr>
        <w:t>наблюдава</w:t>
      </w:r>
      <w:r w:rsidRPr="00C26715">
        <w:rPr>
          <w:rFonts w:eastAsia="Times New Roman" w:cs="Arial"/>
          <w:color w:val="000000"/>
          <w:lang w:eastAsia="bg-BG"/>
        </w:rPr>
        <w:t xml:space="preserve"> увреждане на стомашната лигавица (от 30 + 9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Комбинацията също така води до хиперплазия на аферентните артериоли в бъбреците (при 600 + 188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при плъхове и 30 + 9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при мармозетки). При мармозетки дозите съответстват на 0,9 и 3,5 пъти максималната препоръчителна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При плъхове тези дози съответстват на 18 и 73 пъти максималната препоръчителна доза при хора (МПДХ) съответно на валсартан и хидрохлоротиазид, изчислени на база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lang w:val="ru-RU"/>
        </w:rPr>
        <w:t xml:space="preserve"> </w:t>
      </w:r>
      <w:r w:rsidRPr="00C26715">
        <w:rPr>
          <w:rFonts w:eastAsia="Times New Roman" w:cs="Arial"/>
          <w:color w:val="000000"/>
          <w:lang w:eastAsia="bg-BG"/>
        </w:rPr>
        <w:t xml:space="preserve">. (Изчисленията се отнасят за перорална доза от 320 </w:t>
      </w:r>
      <w:r w:rsidRPr="00C26715">
        <w:rPr>
          <w:rFonts w:eastAsia="Times New Roman" w:cs="Arial"/>
          <w:color w:val="000000"/>
          <w:lang w:val="en-US"/>
        </w:rPr>
        <w:t>mg</w:t>
      </w:r>
      <w:r w:rsidRPr="00C26715">
        <w:rPr>
          <w:rFonts w:eastAsia="Times New Roman" w:cs="Arial"/>
          <w:color w:val="000000"/>
          <w:lang w:eastAsia="bg-BG"/>
        </w:rPr>
        <w:t xml:space="preserve">/ден валсартан в комбинация с 25 </w:t>
      </w:r>
      <w:r w:rsidRPr="00C26715">
        <w:rPr>
          <w:rFonts w:eastAsia="Times New Roman" w:cs="Arial"/>
          <w:color w:val="000000"/>
          <w:lang w:val="en-US"/>
        </w:rPr>
        <w:t>mg</w:t>
      </w:r>
      <w:r w:rsidRPr="00C26715">
        <w:rPr>
          <w:rFonts w:eastAsia="Times New Roman" w:cs="Arial"/>
          <w:color w:val="000000"/>
          <w:lang w:eastAsia="bg-BG"/>
        </w:rPr>
        <w:t xml:space="preserve">/ден хидрохлоротиазид и пациент с тегло 60 </w:t>
      </w:r>
      <w:r w:rsidRPr="00C26715">
        <w:rPr>
          <w:rFonts w:eastAsia="Times New Roman" w:cs="Arial"/>
          <w:color w:val="000000"/>
          <w:lang w:val="en-US"/>
        </w:rPr>
        <w:t>kg</w:t>
      </w:r>
      <w:r w:rsidRPr="00C26715">
        <w:rPr>
          <w:rFonts w:eastAsia="Times New Roman" w:cs="Arial"/>
          <w:color w:val="000000"/>
          <w:lang w:val="ru-RU"/>
        </w:rPr>
        <w:t>).</w:t>
      </w:r>
    </w:p>
    <w:p w14:paraId="528337DC" w14:textId="77777777" w:rsidR="00C26715" w:rsidRPr="00C26715" w:rsidRDefault="00C26715" w:rsidP="00C26715">
      <w:pPr>
        <w:spacing w:line="240" w:lineRule="auto"/>
        <w:rPr>
          <w:rFonts w:eastAsia="Times New Roman" w:cs="Arial"/>
          <w:color w:val="000000"/>
          <w:lang w:eastAsia="bg-BG"/>
        </w:rPr>
      </w:pPr>
    </w:p>
    <w:p w14:paraId="151F0FEF" w14:textId="765FC130"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 xml:space="preserve">Споменатите по-горе ефекти вероятно се дължат на фармакологичния ефект на високите дози валсартан (блокиране на ангиотензин </w:t>
      </w:r>
      <w:r w:rsidRPr="00C26715">
        <w:rPr>
          <w:rFonts w:eastAsia="Times New Roman" w:cs="Arial"/>
          <w:color w:val="000000"/>
          <w:lang w:val="en-US"/>
        </w:rPr>
        <w:t>II</w:t>
      </w:r>
      <w:r w:rsidRPr="00C26715">
        <w:rPr>
          <w:rFonts w:eastAsia="Times New Roman" w:cs="Arial"/>
          <w:color w:val="000000"/>
          <w:lang w:eastAsia="bg-BG"/>
        </w:rPr>
        <w:t>-индуцираната инхибиция на отделянето на ренин и стимулация на ренин-продуциращи клетки) и се срещат и при АСЕ-инхибиторите. Тези данни вероятно нямат практическо значение по отношение на терапевтичното приложение на валсартан при хора.</w:t>
      </w:r>
    </w:p>
    <w:p w14:paraId="7CBD80BF" w14:textId="77777777" w:rsidR="00C26715" w:rsidRPr="00C26715" w:rsidRDefault="00C26715" w:rsidP="00C26715">
      <w:pPr>
        <w:spacing w:line="240" w:lineRule="auto"/>
        <w:rPr>
          <w:rFonts w:eastAsia="Times New Roman" w:cs="Arial"/>
          <w:color w:val="000000"/>
          <w:lang w:eastAsia="bg-BG"/>
        </w:rPr>
      </w:pPr>
    </w:p>
    <w:p w14:paraId="63B311AC" w14:textId="0F02E2A5" w:rsidR="00C26715" w:rsidRPr="00C26715" w:rsidRDefault="00C26715" w:rsidP="00C26715">
      <w:pPr>
        <w:spacing w:line="240" w:lineRule="auto"/>
        <w:rPr>
          <w:rFonts w:eastAsia="Times New Roman" w:cs="Arial"/>
          <w:sz w:val="24"/>
          <w:szCs w:val="24"/>
        </w:rPr>
      </w:pPr>
      <w:r w:rsidRPr="00C26715">
        <w:rPr>
          <w:rFonts w:eastAsia="Times New Roman" w:cs="Arial"/>
          <w:color w:val="000000"/>
          <w:lang w:eastAsia="bg-BG"/>
        </w:rPr>
        <w:t>Комбинацията валсартан - хидрохлоротиазид не е проучвана за мутагенност, хромозомни аномалии или карциногенност, тъй като липсват доказателства за взаимодействие между двете субстанции. Независимо че тестовете са провеждани поотделно за валсартан и хидрохлоротиазид не са установени доказателства за мутагенност, хромозомни аномалии или карциногенност</w:t>
      </w:r>
    </w:p>
    <w:p w14:paraId="7CF80EB0" w14:textId="77777777" w:rsidR="00C26715" w:rsidRPr="00C26715" w:rsidRDefault="00C26715" w:rsidP="00C26715">
      <w:pPr>
        <w:spacing w:line="240" w:lineRule="auto"/>
        <w:rPr>
          <w:rFonts w:eastAsia="Times New Roman" w:cs="Arial"/>
          <w:color w:val="000000"/>
          <w:lang w:eastAsia="bg-BG"/>
        </w:rPr>
      </w:pPr>
    </w:p>
    <w:p w14:paraId="67B9E91F" w14:textId="0334599B" w:rsidR="00C26715" w:rsidRPr="00C26715" w:rsidRDefault="00C26715" w:rsidP="00C26715">
      <w:pPr>
        <w:rPr>
          <w:rFonts w:eastAsia="Times New Roman" w:cs="Arial"/>
          <w:sz w:val="24"/>
          <w:szCs w:val="24"/>
        </w:rPr>
      </w:pPr>
      <w:r w:rsidRPr="00C26715">
        <w:rPr>
          <w:rFonts w:eastAsia="Times New Roman" w:cs="Arial"/>
          <w:color w:val="000000"/>
          <w:lang w:eastAsia="bg-BG"/>
        </w:rPr>
        <w:t xml:space="preserve">При плъхове токсични дози за майката (600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w:t>
      </w:r>
      <w:r w:rsidRPr="00C26715">
        <w:rPr>
          <w:rFonts w:cs="Arial"/>
        </w:rPr>
        <w:t xml:space="preserve"> </w:t>
      </w:r>
      <w:r w:rsidRPr="00C26715">
        <w:rPr>
          <w:rFonts w:eastAsia="Times New Roman" w:cs="Arial"/>
          <w:color w:val="000000"/>
          <w:lang w:eastAsia="bg-BG"/>
        </w:rPr>
        <w:t xml:space="preserve">точка 4.6). Тези дози при плъхове (600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kg</w:t>
      </w:r>
      <w:r w:rsidRPr="00C26715">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C26715">
        <w:rPr>
          <w:rFonts w:eastAsia="Times New Roman" w:cs="Arial"/>
          <w:color w:val="000000"/>
          <w:lang w:val="en-US"/>
        </w:rPr>
        <w:t>mg</w:t>
      </w:r>
      <w:r w:rsidRPr="00C26715">
        <w:rPr>
          <w:rFonts w:eastAsia="Times New Roman" w:cs="Arial"/>
          <w:color w:val="000000"/>
          <w:lang w:val="ru-RU"/>
        </w:rPr>
        <w:t>/</w:t>
      </w:r>
      <w:r w:rsidRPr="00C26715">
        <w:rPr>
          <w:rFonts w:eastAsia="Times New Roman" w:cs="Arial"/>
          <w:color w:val="000000"/>
          <w:lang w:val="en-US"/>
        </w:rPr>
        <w:t>m</w:t>
      </w:r>
      <w:r w:rsidRPr="00C26715">
        <w:rPr>
          <w:rFonts w:eastAsia="Times New Roman" w:cs="Arial"/>
          <w:color w:val="000000"/>
          <w:vertAlign w:val="superscript"/>
          <w:lang w:val="ru-RU"/>
        </w:rPr>
        <w:t>2</w:t>
      </w:r>
      <w:r w:rsidRPr="00C26715">
        <w:rPr>
          <w:rFonts w:eastAsia="Times New Roman" w:cs="Arial"/>
          <w:color w:val="000000"/>
          <w:lang w:val="ru-RU"/>
        </w:rPr>
        <w:t xml:space="preserve"> </w:t>
      </w:r>
      <w:r w:rsidRPr="00C26715">
        <w:rPr>
          <w:rFonts w:eastAsia="Times New Roman" w:cs="Arial"/>
          <w:color w:val="000000"/>
          <w:lang w:eastAsia="bg-BG"/>
        </w:rPr>
        <w:t xml:space="preserve">(изчисленията се отнасят за перорална доза 320 </w:t>
      </w:r>
      <w:r w:rsidRPr="00C26715">
        <w:rPr>
          <w:rFonts w:eastAsia="Times New Roman" w:cs="Arial"/>
          <w:color w:val="000000"/>
          <w:lang w:val="en-US"/>
        </w:rPr>
        <w:t>mg</w:t>
      </w:r>
      <w:r w:rsidRPr="00C26715">
        <w:rPr>
          <w:rFonts w:eastAsia="Times New Roman" w:cs="Arial"/>
          <w:color w:val="000000"/>
          <w:lang w:eastAsia="bg-BG"/>
        </w:rPr>
        <w:t xml:space="preserve">/ден и и пациент с тегло 60 </w:t>
      </w:r>
      <w:r w:rsidRPr="00C26715">
        <w:rPr>
          <w:rFonts w:eastAsia="Times New Roman" w:cs="Arial"/>
          <w:color w:val="000000"/>
          <w:lang w:val="en-US"/>
        </w:rPr>
        <w:t>kg</w:t>
      </w:r>
      <w:r w:rsidRPr="00C26715">
        <w:rPr>
          <w:rFonts w:eastAsia="Times New Roman" w:cs="Arial"/>
          <w:color w:val="000000"/>
          <w:lang w:val="ru-RU"/>
        </w:rPr>
        <w:t xml:space="preserve">). </w:t>
      </w:r>
      <w:r w:rsidRPr="00C26715">
        <w:rPr>
          <w:rFonts w:eastAsia="Times New Roman" w:cs="Arial"/>
          <w:color w:val="000000"/>
          <w:lang w:eastAsia="bg-BG"/>
        </w:rPr>
        <w:t>При прилагане на валсартан/хидрохлоротиазид при плъхове и зайци се наблюдават сходни находки. В проучванията за ембриофетално развитие (Фаза II) липсват доказателства за тератогенност при прилагане на валсартан/хидрохлоротиазид при плъхове и зайци, въпреки това наблюдавана фетотоксичност, свързана с майчина токсичност.</w:t>
      </w:r>
    </w:p>
    <w:p w14:paraId="67CC6E02" w14:textId="77777777" w:rsidR="00C26715" w:rsidRPr="00C26715" w:rsidRDefault="00C26715" w:rsidP="00C26715"/>
    <w:p w14:paraId="1BA6531D" w14:textId="37DEAB4A" w:rsidR="00B6672E" w:rsidRDefault="002C50EE" w:rsidP="00936AD0">
      <w:pPr>
        <w:pStyle w:val="Heading1"/>
      </w:pPr>
      <w:r>
        <w:t>7. ПРИТЕЖАТЕЛ НА РАЗРЕШЕНИЕТО ЗА УПОТРЕБА</w:t>
      </w:r>
    </w:p>
    <w:p w14:paraId="745E1257" w14:textId="57F2995A" w:rsidR="00C26715" w:rsidRDefault="00C26715" w:rsidP="00C26715"/>
    <w:p w14:paraId="1AF95E7B" w14:textId="77777777" w:rsidR="00C26715" w:rsidRPr="00C26715" w:rsidRDefault="00C26715" w:rsidP="00C26715">
      <w:pPr>
        <w:rPr>
          <w:sz w:val="24"/>
          <w:szCs w:val="24"/>
        </w:rPr>
      </w:pPr>
      <w:r w:rsidRPr="00C26715">
        <w:rPr>
          <w:lang w:val="en-US"/>
        </w:rPr>
        <w:t>Sandoz</w:t>
      </w:r>
      <w:r w:rsidRPr="00C26715">
        <w:t xml:space="preserve"> </w:t>
      </w:r>
      <w:r w:rsidRPr="00C26715">
        <w:rPr>
          <w:lang w:val="en-US"/>
        </w:rPr>
        <w:t>d</w:t>
      </w:r>
      <w:r w:rsidRPr="00C26715">
        <w:t>.</w:t>
      </w:r>
      <w:r w:rsidRPr="00C26715">
        <w:rPr>
          <w:lang w:val="en-US"/>
        </w:rPr>
        <w:t>d</w:t>
      </w:r>
      <w:r w:rsidRPr="00C26715">
        <w:t>.</w:t>
      </w:r>
    </w:p>
    <w:p w14:paraId="10F1F461" w14:textId="278BC6DA" w:rsidR="00C26715" w:rsidRPr="00C26715" w:rsidRDefault="00C26715" w:rsidP="00C26715">
      <w:pPr>
        <w:rPr>
          <w:sz w:val="24"/>
          <w:szCs w:val="24"/>
        </w:rPr>
      </w:pPr>
      <w:proofErr w:type="spellStart"/>
      <w:r w:rsidRPr="00C26715">
        <w:rPr>
          <w:lang w:val="en-US"/>
        </w:rPr>
        <w:t>Verovskova</w:t>
      </w:r>
      <w:proofErr w:type="spellEnd"/>
      <w:r w:rsidRPr="00C26715">
        <w:t xml:space="preserve"> </w:t>
      </w:r>
      <w:r w:rsidRPr="00C26715">
        <w:rPr>
          <w:lang w:eastAsia="bg-BG"/>
        </w:rPr>
        <w:t xml:space="preserve">57, 1000 </w:t>
      </w:r>
      <w:r w:rsidRPr="00C26715">
        <w:rPr>
          <w:lang w:val="en-US"/>
        </w:rPr>
        <w:t>Ljubljana</w:t>
      </w:r>
      <w:r w:rsidRPr="00C26715">
        <w:t xml:space="preserve">, </w:t>
      </w:r>
      <w:r w:rsidRPr="00C26715">
        <w:rPr>
          <w:lang w:eastAsia="bg-BG"/>
        </w:rPr>
        <w:t>Словения</w:t>
      </w:r>
    </w:p>
    <w:p w14:paraId="508F3A54" w14:textId="385859DC" w:rsidR="00B6672E" w:rsidRDefault="00936AD0" w:rsidP="00936AD0">
      <w:pPr>
        <w:pStyle w:val="Heading1"/>
      </w:pPr>
      <w:r>
        <w:t>8.</w:t>
      </w:r>
      <w:r w:rsidR="002C50EE">
        <w:t>НОМЕР НА РАЗРЕШЕНИЕТО ЗА УПОТРЕБА</w:t>
      </w:r>
    </w:p>
    <w:p w14:paraId="307C1D65" w14:textId="248088AE" w:rsidR="00C26715" w:rsidRDefault="00C26715" w:rsidP="00C26715"/>
    <w:p w14:paraId="34676E66" w14:textId="77777777" w:rsidR="00C26715" w:rsidRPr="00C26715" w:rsidRDefault="00C26715" w:rsidP="00C26715">
      <w:pPr>
        <w:rPr>
          <w:sz w:val="24"/>
          <w:szCs w:val="24"/>
        </w:rPr>
      </w:pPr>
      <w:r w:rsidRPr="00C26715">
        <w:rPr>
          <w:lang w:eastAsia="bg-BG"/>
        </w:rPr>
        <w:lastRenderedPageBreak/>
        <w:t xml:space="preserve">Сувартар Н 160 </w:t>
      </w:r>
      <w:r w:rsidRPr="00C26715">
        <w:rPr>
          <w:lang w:val="en-US"/>
        </w:rPr>
        <w:t>mg</w:t>
      </w:r>
      <w:r w:rsidRPr="00C26715">
        <w:rPr>
          <w:lang w:val="ru-RU"/>
        </w:rPr>
        <w:t>/1</w:t>
      </w:r>
      <w:r w:rsidRPr="00C26715">
        <w:rPr>
          <w:lang w:eastAsia="bg-BG"/>
        </w:rPr>
        <w:t xml:space="preserve">2,5 </w:t>
      </w:r>
      <w:r w:rsidRPr="00C26715">
        <w:rPr>
          <w:lang w:val="en-US"/>
        </w:rPr>
        <w:t>mg</w:t>
      </w:r>
      <w:r w:rsidRPr="00C26715">
        <w:rPr>
          <w:lang w:val="ru-RU"/>
        </w:rPr>
        <w:t xml:space="preserve">, </w:t>
      </w:r>
      <w:r w:rsidRPr="00C26715">
        <w:rPr>
          <w:lang w:eastAsia="bg-BG"/>
        </w:rPr>
        <w:t>Рег.№: 20100453</w:t>
      </w:r>
    </w:p>
    <w:p w14:paraId="72083EA5" w14:textId="7F03063C" w:rsidR="00C26715" w:rsidRPr="00C26715" w:rsidRDefault="00C26715" w:rsidP="00C26715">
      <w:r w:rsidRPr="00C26715">
        <w:rPr>
          <w:lang w:eastAsia="bg-BG"/>
        </w:rPr>
        <w:t xml:space="preserve">Сувартар Н 160 </w:t>
      </w:r>
      <w:r w:rsidRPr="00C26715">
        <w:rPr>
          <w:lang w:val="en-US"/>
        </w:rPr>
        <w:t>mg</w:t>
      </w:r>
      <w:r w:rsidRPr="00C26715">
        <w:rPr>
          <w:lang w:val="ru-RU"/>
        </w:rPr>
        <w:t xml:space="preserve">/25 </w:t>
      </w:r>
      <w:r w:rsidRPr="00C26715">
        <w:rPr>
          <w:lang w:val="en-US"/>
        </w:rPr>
        <w:t>mg</w:t>
      </w:r>
      <w:r w:rsidRPr="00C26715">
        <w:rPr>
          <w:lang w:val="ru-RU"/>
        </w:rPr>
        <w:t xml:space="preserve">, </w:t>
      </w:r>
      <w:r w:rsidRPr="00C26715">
        <w:rPr>
          <w:lang w:eastAsia="bg-BG"/>
        </w:rPr>
        <w:t>Рег.№: 20100454</w:t>
      </w:r>
    </w:p>
    <w:p w14:paraId="3BC5EC53" w14:textId="32131B11" w:rsidR="00875EEC" w:rsidRDefault="002C50EE" w:rsidP="005726E3">
      <w:pPr>
        <w:pStyle w:val="Heading1"/>
      </w:pPr>
      <w:r>
        <w:t>9. ДАТА НА ПЪРВО РАЗРЕШАВАНЕ/ПОДНОВЯВАНЕ НА РАЗРЕШЕНИЕТО ЗА УПОТРЕБА</w:t>
      </w:r>
    </w:p>
    <w:p w14:paraId="22022AFA" w14:textId="48377D74" w:rsidR="00C26715" w:rsidRDefault="00C26715" w:rsidP="00C26715"/>
    <w:p w14:paraId="2CD9ADBB" w14:textId="77777777" w:rsidR="00C26715" w:rsidRPr="00C26715" w:rsidRDefault="00C26715" w:rsidP="00C26715">
      <w:pPr>
        <w:rPr>
          <w:sz w:val="24"/>
          <w:szCs w:val="24"/>
        </w:rPr>
      </w:pPr>
      <w:r w:rsidRPr="00C26715">
        <w:rPr>
          <w:lang w:eastAsia="bg-BG"/>
        </w:rPr>
        <w:t>Първо РУ: 12.07.2010</w:t>
      </w:r>
    </w:p>
    <w:p w14:paraId="13D4B3AB" w14:textId="450966C9" w:rsidR="00C26715" w:rsidRPr="00C26715" w:rsidRDefault="00C26715" w:rsidP="00C26715">
      <w:pPr>
        <w:rPr>
          <w:sz w:val="24"/>
          <w:szCs w:val="24"/>
        </w:rPr>
      </w:pPr>
      <w:r w:rsidRPr="00C26715">
        <w:rPr>
          <w:lang w:eastAsia="bg-BG"/>
        </w:rPr>
        <w:t>Подновяване на РУ: 18.01.2017</w:t>
      </w:r>
    </w:p>
    <w:p w14:paraId="43FB38A2" w14:textId="14B90B82" w:rsidR="007C605B" w:rsidRDefault="002C50EE" w:rsidP="005726E3">
      <w:pPr>
        <w:pStyle w:val="Heading1"/>
      </w:pPr>
      <w:r>
        <w:t>10. ДАТА НА АКТУАЛИЗИРАНЕ НА ТЕКСТА</w:t>
      </w:r>
      <w:bookmarkEnd w:id="0"/>
    </w:p>
    <w:p w14:paraId="19FB2F94" w14:textId="320CF14F" w:rsidR="00C26715" w:rsidRPr="00C26715" w:rsidRDefault="00C26715" w:rsidP="00C26715">
      <w:r>
        <w:t>11/2021</w:t>
      </w:r>
      <w:bookmarkStart w:id="2" w:name="_GoBack"/>
      <w:bookmarkEnd w:id="2"/>
    </w:p>
    <w:sectPr w:rsidR="00C26715" w:rsidRPr="00C2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450D1"/>
    <w:multiLevelType w:val="hybridMultilevel"/>
    <w:tmpl w:val="53E8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747DF"/>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26715"/>
    <w:rsid w:val="00C33464"/>
    <w:rsid w:val="00C40420"/>
    <w:rsid w:val="00C809A7"/>
    <w:rsid w:val="00C83063"/>
    <w:rsid w:val="00C87E90"/>
    <w:rsid w:val="00CA1B57"/>
    <w:rsid w:val="00CF77F7"/>
    <w:rsid w:val="00D86297"/>
    <w:rsid w:val="00DB32D3"/>
    <w:rsid w:val="00DB54E0"/>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8680</Words>
  <Characters>49476</Characters>
  <Application>Microsoft Office Word</Application>
  <DocSecurity>0</DocSecurity>
  <Lines>412</Lines>
  <Paragraphs>116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2022-12-04T22:59:00Z</dcterms:created>
  <dcterms:modified xsi:type="dcterms:W3CDTF">2022-12-04T22:59:00Z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